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177F" w14:textId="4F93A847" w:rsidR="00441CB2" w:rsidRDefault="00152A21" w:rsidP="0096289D">
      <w:pPr>
        <w:pStyle w:val="Heading1"/>
        <w:jc w:val="center"/>
        <w:rPr>
          <w:b w:val="0"/>
        </w:rPr>
      </w:pPr>
      <w:r w:rsidRPr="00152A21">
        <w:t>Time-</w:t>
      </w:r>
      <w:r w:rsidR="00B208D6">
        <w:t>v</w:t>
      </w:r>
      <w:r w:rsidRPr="00152A21">
        <w:t xml:space="preserve">arying </w:t>
      </w:r>
      <w:r w:rsidR="00B208D6">
        <w:t>i</w:t>
      </w:r>
      <w:r w:rsidRPr="00152A21">
        <w:t xml:space="preserve">mpact of </w:t>
      </w:r>
      <w:r w:rsidR="00B208D6">
        <w:t>p</w:t>
      </w:r>
      <w:r w:rsidRPr="00152A21">
        <w:t xml:space="preserve">andemics on </w:t>
      </w:r>
      <w:r w:rsidR="00B208D6">
        <w:t>g</w:t>
      </w:r>
      <w:r w:rsidRPr="00152A21">
        <w:t xml:space="preserve">lobal </w:t>
      </w:r>
      <w:r w:rsidR="00B208D6">
        <w:t>o</w:t>
      </w:r>
      <w:r w:rsidRPr="00152A21">
        <w:t xml:space="preserve">utput </w:t>
      </w:r>
      <w:r w:rsidR="00B208D6">
        <w:t>g</w:t>
      </w:r>
      <w:r w:rsidRPr="00152A21">
        <w:t>rowth</w:t>
      </w:r>
    </w:p>
    <w:p w14:paraId="0E383E5E" w14:textId="77777777" w:rsidR="00041971" w:rsidRDefault="00041971" w:rsidP="00152A21">
      <w:pPr>
        <w:spacing w:after="0" w:line="240" w:lineRule="auto"/>
        <w:jc w:val="center"/>
        <w:rPr>
          <w:rFonts w:ascii="Times New Roman" w:hAnsi="Times New Roman" w:cs="Times New Roman"/>
          <w:b/>
          <w:sz w:val="24"/>
          <w:szCs w:val="24"/>
        </w:rPr>
      </w:pPr>
    </w:p>
    <w:p w14:paraId="3D04A002" w14:textId="7ACEB786" w:rsidR="009166D6" w:rsidRPr="00041971" w:rsidRDefault="00BB6F38" w:rsidP="00041971">
      <w:pPr>
        <w:snapToGri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Abstract</w:t>
      </w:r>
      <w:r w:rsidR="00041971">
        <w:rPr>
          <w:rFonts w:ascii="Times New Roman" w:hAnsi="Times New Roman" w:cs="Times New Roman"/>
          <w:b/>
          <w:sz w:val="24"/>
          <w:szCs w:val="24"/>
        </w:rPr>
        <w:t xml:space="preserve">: </w:t>
      </w:r>
      <w:r w:rsidRPr="00BB6F38">
        <w:rPr>
          <w:rFonts w:ascii="Times New Roman" w:hAnsi="Times New Roman" w:cs="Times New Roman"/>
          <w:sz w:val="24"/>
          <w:szCs w:val="24"/>
        </w:rPr>
        <w:t xml:space="preserve">This paper analyses the dynamic impact of </w:t>
      </w:r>
      <w:r>
        <w:rPr>
          <w:rFonts w:ascii="Times New Roman" w:hAnsi="Times New Roman" w:cs="Times New Roman"/>
          <w:sz w:val="24"/>
          <w:szCs w:val="24"/>
        </w:rPr>
        <w:t>uncertainty due to global pandemics (</w:t>
      </w:r>
      <w:r w:rsidRPr="00774F1D">
        <w:rPr>
          <w:rFonts w:ascii="Times New Roman" w:hAnsi="Times New Roman" w:cs="Times New Roman"/>
          <w:sz w:val="24"/>
          <w:szCs w:val="24"/>
        </w:rPr>
        <w:t xml:space="preserve">SARS, </w:t>
      </w:r>
      <w:r>
        <w:rPr>
          <w:rFonts w:ascii="Times New Roman" w:hAnsi="Times New Roman" w:cs="Times New Roman"/>
          <w:sz w:val="24"/>
          <w:szCs w:val="24"/>
        </w:rPr>
        <w:t>H5N1</w:t>
      </w:r>
      <w:r w:rsidRPr="00774F1D">
        <w:rPr>
          <w:rFonts w:ascii="Times New Roman" w:hAnsi="Times New Roman" w:cs="Times New Roman"/>
          <w:sz w:val="24"/>
          <w:szCs w:val="24"/>
        </w:rPr>
        <w:t xml:space="preserve">, </w:t>
      </w:r>
      <w:r>
        <w:rPr>
          <w:rFonts w:ascii="Times New Roman" w:hAnsi="Times New Roman" w:cs="Times New Roman"/>
          <w:sz w:val="24"/>
          <w:szCs w:val="24"/>
        </w:rPr>
        <w:t>H1N1</w:t>
      </w:r>
      <w:r w:rsidRPr="00774F1D">
        <w:rPr>
          <w:rFonts w:ascii="Times New Roman" w:hAnsi="Times New Roman" w:cs="Times New Roman"/>
          <w:sz w:val="24"/>
          <w:szCs w:val="24"/>
        </w:rPr>
        <w:t xml:space="preserve">, </w:t>
      </w:r>
      <w:r>
        <w:rPr>
          <w:rFonts w:ascii="Times New Roman" w:hAnsi="Times New Roman" w:cs="Times New Roman"/>
          <w:sz w:val="24"/>
          <w:szCs w:val="24"/>
        </w:rPr>
        <w:t>MERS</w:t>
      </w:r>
      <w:r w:rsidRPr="00774F1D">
        <w:rPr>
          <w:rFonts w:ascii="Times New Roman" w:hAnsi="Times New Roman" w:cs="Times New Roman"/>
          <w:sz w:val="24"/>
          <w:szCs w:val="24"/>
        </w:rPr>
        <w:t xml:space="preserve">, Ebola, and </w:t>
      </w:r>
      <w:r>
        <w:rPr>
          <w:rFonts w:ascii="Times New Roman" w:hAnsi="Times New Roman" w:cs="Times New Roman"/>
          <w:sz w:val="24"/>
          <w:szCs w:val="24"/>
        </w:rPr>
        <w:t>COVID-19) on global output growth</w:t>
      </w:r>
      <w:r w:rsidRPr="00BB6F38">
        <w:rPr>
          <w:rFonts w:ascii="Times New Roman" w:hAnsi="Times New Roman" w:cs="Times New Roman"/>
          <w:sz w:val="24"/>
          <w:szCs w:val="24"/>
        </w:rPr>
        <w:t xml:space="preserve">, using a TVP-SVAR model. </w:t>
      </w:r>
      <w:r>
        <w:rPr>
          <w:rFonts w:ascii="Times New Roman" w:hAnsi="Times New Roman" w:cs="Times New Roman"/>
          <w:sz w:val="24"/>
          <w:szCs w:val="24"/>
        </w:rPr>
        <w:t xml:space="preserve">We find that the negative effect of the coronavirus on the growth rate of output is unprecedented, </w:t>
      </w:r>
      <w:r w:rsidR="00DE7DD4">
        <w:rPr>
          <w:rFonts w:ascii="Times New Roman" w:hAnsi="Times New Roman" w:cs="Times New Roman"/>
          <w:sz w:val="24"/>
          <w:szCs w:val="24"/>
        </w:rPr>
        <w:t xml:space="preserve">with </w:t>
      </w:r>
      <w:r>
        <w:rPr>
          <w:rFonts w:ascii="Times New Roman" w:hAnsi="Times New Roman" w:cs="Times New Roman"/>
          <w:sz w:val="24"/>
          <w:szCs w:val="24"/>
        </w:rPr>
        <w:t>the emerging markets</w:t>
      </w:r>
      <w:r w:rsidR="00DE7DD4">
        <w:rPr>
          <w:rFonts w:ascii="Times New Roman" w:hAnsi="Times New Roman" w:cs="Times New Roman"/>
          <w:sz w:val="24"/>
          <w:szCs w:val="24"/>
        </w:rPr>
        <w:t xml:space="preserve"> being the</w:t>
      </w:r>
      <w:r>
        <w:rPr>
          <w:rFonts w:ascii="Times New Roman" w:hAnsi="Times New Roman" w:cs="Times New Roman"/>
          <w:sz w:val="24"/>
          <w:szCs w:val="24"/>
        </w:rPr>
        <w:t xml:space="preserve"> worst hit</w:t>
      </w:r>
      <w:r w:rsidR="00DE7DD4">
        <w:rPr>
          <w:rFonts w:ascii="Times New Roman" w:hAnsi="Times New Roman" w:cs="Times New Roman"/>
          <w:sz w:val="24"/>
          <w:szCs w:val="24"/>
        </w:rPr>
        <w:t>.</w:t>
      </w:r>
      <w:r>
        <w:rPr>
          <w:rFonts w:ascii="Times New Roman" w:hAnsi="Times New Roman" w:cs="Times New Roman"/>
          <w:sz w:val="24"/>
          <w:szCs w:val="24"/>
        </w:rPr>
        <w:t xml:space="preserve"> We also find that since 2016, the </w:t>
      </w:r>
      <w:proofErr w:type="spellStart"/>
      <w:r>
        <w:rPr>
          <w:rFonts w:ascii="Times New Roman" w:hAnsi="Times New Roman" w:cs="Times New Roman"/>
          <w:sz w:val="24"/>
          <w:szCs w:val="24"/>
        </w:rPr>
        <w:t>comovement</w:t>
      </w:r>
      <w:proofErr w:type="spellEnd"/>
      <w:r>
        <w:rPr>
          <w:rFonts w:ascii="Times New Roman" w:hAnsi="Times New Roman" w:cs="Times New Roman"/>
          <w:sz w:val="24"/>
          <w:szCs w:val="24"/>
        </w:rPr>
        <w:t xml:space="preserve"> among the growth rates ha</w:t>
      </w:r>
      <w:r w:rsidR="00027B96">
        <w:rPr>
          <w:rFonts w:ascii="Times New Roman" w:hAnsi="Times New Roman" w:cs="Times New Roman"/>
          <w:sz w:val="24"/>
          <w:szCs w:val="24"/>
        </w:rPr>
        <w:t>s</w:t>
      </w:r>
      <w:r>
        <w:rPr>
          <w:rFonts w:ascii="Times New Roman" w:hAnsi="Times New Roman" w:cs="Times New Roman"/>
          <w:sz w:val="24"/>
          <w:szCs w:val="24"/>
        </w:rPr>
        <w:t xml:space="preserve"> increased significantly. Our results </w:t>
      </w:r>
      <w:r w:rsidR="00DE7DD4">
        <w:rPr>
          <w:rFonts w:ascii="Times New Roman" w:hAnsi="Times New Roman" w:cs="Times New Roman"/>
          <w:sz w:val="24"/>
          <w:szCs w:val="24"/>
        </w:rPr>
        <w:t>imply that</w:t>
      </w:r>
      <w:r>
        <w:rPr>
          <w:rFonts w:ascii="Times New Roman" w:hAnsi="Times New Roman" w:cs="Times New Roman"/>
          <w:sz w:val="24"/>
          <w:szCs w:val="24"/>
        </w:rPr>
        <w:t xml:space="preserve"> policymakers </w:t>
      </w:r>
      <w:r w:rsidR="00DE7DD4">
        <w:rPr>
          <w:rFonts w:ascii="Times New Roman" w:hAnsi="Times New Roman" w:cs="Times New Roman"/>
          <w:sz w:val="24"/>
          <w:szCs w:val="24"/>
        </w:rPr>
        <w:t>would need to</w:t>
      </w:r>
      <w:r>
        <w:rPr>
          <w:rFonts w:ascii="Times New Roman" w:hAnsi="Times New Roman" w:cs="Times New Roman"/>
          <w:sz w:val="24"/>
          <w:szCs w:val="24"/>
        </w:rPr>
        <w:t xml:space="preserve"> undertak</w:t>
      </w:r>
      <w:r w:rsidR="00DE7DD4">
        <w:rPr>
          <w:rFonts w:ascii="Times New Roman" w:hAnsi="Times New Roman" w:cs="Times New Roman"/>
          <w:sz w:val="24"/>
          <w:szCs w:val="24"/>
        </w:rPr>
        <w:t>e</w:t>
      </w:r>
      <w:r>
        <w:rPr>
          <w:rFonts w:ascii="Times New Roman" w:hAnsi="Times New Roman" w:cs="Times New Roman"/>
          <w:sz w:val="24"/>
          <w:szCs w:val="24"/>
        </w:rPr>
        <w:t xml:space="preserve"> massive expansionary policies</w:t>
      </w:r>
      <w:r w:rsidR="00DE7DD4">
        <w:rPr>
          <w:rFonts w:ascii="Times New Roman" w:hAnsi="Times New Roman" w:cs="Times New Roman"/>
          <w:sz w:val="24"/>
          <w:szCs w:val="24"/>
        </w:rPr>
        <w:t>, but</w:t>
      </w:r>
      <w:r>
        <w:rPr>
          <w:rFonts w:ascii="Times New Roman" w:hAnsi="Times New Roman" w:cs="Times New Roman"/>
          <w:sz w:val="24"/>
          <w:szCs w:val="24"/>
        </w:rPr>
        <w:t xml:space="preserve"> it is </w:t>
      </w:r>
      <w:r w:rsidR="00DE7DD4">
        <w:rPr>
          <w:rFonts w:ascii="Times New Roman" w:hAnsi="Times New Roman" w:cs="Times New Roman"/>
          <w:sz w:val="24"/>
          <w:szCs w:val="24"/>
        </w:rPr>
        <w:t xml:space="preserve">also </w:t>
      </w:r>
      <w:r>
        <w:rPr>
          <w:rFonts w:ascii="Times New Roman" w:hAnsi="Times New Roman" w:cs="Times New Roman"/>
          <w:sz w:val="24"/>
          <w:szCs w:val="24"/>
        </w:rPr>
        <w:t>important to pursue well-coordinated policy decisions</w:t>
      </w:r>
      <w:r w:rsidR="00DE7DD4">
        <w:rPr>
          <w:rFonts w:ascii="Times New Roman" w:hAnsi="Times New Roman" w:cs="Times New Roman"/>
          <w:sz w:val="24"/>
          <w:szCs w:val="24"/>
        </w:rPr>
        <w:t xml:space="preserve"> across the economic blocs</w:t>
      </w:r>
      <w:r>
        <w:rPr>
          <w:rFonts w:ascii="Times New Roman" w:hAnsi="Times New Roman" w:cs="Times New Roman"/>
          <w:sz w:val="24"/>
          <w:szCs w:val="24"/>
        </w:rPr>
        <w:t>.</w:t>
      </w:r>
    </w:p>
    <w:p w14:paraId="3FC3D24C" w14:textId="62DBD59F" w:rsidR="00BB6F38" w:rsidRDefault="00BB6F38" w:rsidP="00041971">
      <w:pPr>
        <w:snapToGri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BB6F38">
        <w:rPr>
          <w:rFonts w:ascii="Times New Roman" w:hAnsi="Times New Roman" w:cs="Times New Roman"/>
          <w:sz w:val="24"/>
          <w:szCs w:val="24"/>
        </w:rPr>
        <w:t>Pandemics</w:t>
      </w:r>
      <w:r w:rsidR="00B208D6">
        <w:rPr>
          <w:rFonts w:ascii="Times New Roman" w:hAnsi="Times New Roman" w:cs="Times New Roman"/>
          <w:sz w:val="24"/>
          <w:szCs w:val="24"/>
        </w:rPr>
        <w:t>,</w:t>
      </w:r>
      <w:r w:rsidRPr="00BB6F38">
        <w:rPr>
          <w:rFonts w:ascii="Times New Roman" w:hAnsi="Times New Roman" w:cs="Times New Roman"/>
          <w:sz w:val="24"/>
          <w:szCs w:val="24"/>
        </w:rPr>
        <w:t xml:space="preserve"> uncertainty, output growth, TVP-SVAR</w:t>
      </w:r>
    </w:p>
    <w:p w14:paraId="390CB80C" w14:textId="51ECBB9B" w:rsidR="00BB6F38" w:rsidRPr="00BB6F38" w:rsidRDefault="00BB6F38" w:rsidP="00041971">
      <w:pPr>
        <w:snapToGri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JEL Codes: </w:t>
      </w:r>
      <w:r w:rsidRPr="00BB6F38">
        <w:rPr>
          <w:rFonts w:ascii="Times New Roman" w:hAnsi="Times New Roman" w:cs="Times New Roman"/>
          <w:sz w:val="24"/>
          <w:szCs w:val="24"/>
        </w:rPr>
        <w:t xml:space="preserve">C32, </w:t>
      </w:r>
      <w:r>
        <w:rPr>
          <w:rFonts w:ascii="Times New Roman" w:hAnsi="Times New Roman" w:cs="Times New Roman"/>
          <w:sz w:val="24"/>
          <w:szCs w:val="24"/>
        </w:rPr>
        <w:t>D80, E23, E32</w:t>
      </w:r>
    </w:p>
    <w:p w14:paraId="56F8A01C" w14:textId="78F69459" w:rsidR="005B58C3" w:rsidRPr="005B58C3" w:rsidRDefault="00041971" w:rsidP="0096289D">
      <w:pPr>
        <w:pStyle w:val="Heading1"/>
      </w:pPr>
      <w:r>
        <w:t xml:space="preserve">1. </w:t>
      </w:r>
      <w:r w:rsidR="005B58C3">
        <w:t>Introduction</w:t>
      </w:r>
    </w:p>
    <w:p w14:paraId="1DDBF861" w14:textId="29756827" w:rsidR="009166D6" w:rsidRPr="00774F1D" w:rsidRDefault="005B58C3" w:rsidP="00041971">
      <w:pPr>
        <w:snapToGrid w:val="0"/>
        <w:spacing w:after="0" w:line="480" w:lineRule="auto"/>
        <w:ind w:firstLineChars="200" w:firstLine="480"/>
        <w:jc w:val="both"/>
        <w:rPr>
          <w:rFonts w:ascii="Times New Roman" w:hAnsi="Times New Roman" w:cs="Times New Roman"/>
          <w:sz w:val="24"/>
          <w:szCs w:val="24"/>
        </w:rPr>
      </w:pPr>
      <w:r w:rsidRPr="00774F1D">
        <w:rPr>
          <w:rFonts w:ascii="Times New Roman" w:hAnsi="Times New Roman" w:cs="Times New Roman"/>
          <w:sz w:val="24"/>
          <w:szCs w:val="24"/>
        </w:rPr>
        <w:t>Theoretically, heightened economic uncertainty leads to the postponement of consumption and investing decisions by economic agents, and this “wait and see” approach results in lower aggregate demand, and hence a negative impact on output (see</w:t>
      </w:r>
      <w:r w:rsidR="00027B96">
        <w:rPr>
          <w:rFonts w:ascii="Times New Roman" w:hAnsi="Times New Roman" w:cs="Times New Roman"/>
          <w:sz w:val="24"/>
          <w:szCs w:val="24"/>
        </w:rPr>
        <w:t>,</w:t>
      </w:r>
      <w:r w:rsidRPr="00774F1D">
        <w:rPr>
          <w:rFonts w:ascii="Times New Roman" w:hAnsi="Times New Roman" w:cs="Times New Roman"/>
          <w:sz w:val="24"/>
          <w:szCs w:val="24"/>
        </w:rPr>
        <w:t xml:space="preserve"> for example, Bernanke</w:t>
      </w:r>
      <w:r w:rsidR="00BB2727">
        <w:rPr>
          <w:rFonts w:ascii="Times New Roman" w:hAnsi="Times New Roman" w:cs="Times New Roman"/>
          <w:sz w:val="24"/>
          <w:szCs w:val="24"/>
        </w:rPr>
        <w:t>, 1</w:t>
      </w:r>
      <w:r w:rsidRPr="00774F1D">
        <w:rPr>
          <w:rFonts w:ascii="Times New Roman" w:hAnsi="Times New Roman" w:cs="Times New Roman"/>
          <w:sz w:val="24"/>
          <w:szCs w:val="24"/>
        </w:rPr>
        <w:t>993</w:t>
      </w:r>
      <w:r w:rsidR="00BB2727">
        <w:rPr>
          <w:rFonts w:ascii="Times New Roman" w:hAnsi="Times New Roman" w:cs="Times New Roman"/>
          <w:sz w:val="24"/>
          <w:szCs w:val="24"/>
        </w:rPr>
        <w:t xml:space="preserve">; </w:t>
      </w:r>
      <w:r w:rsidRPr="00774F1D">
        <w:rPr>
          <w:rFonts w:ascii="Times New Roman" w:hAnsi="Times New Roman" w:cs="Times New Roman"/>
          <w:sz w:val="24"/>
          <w:szCs w:val="24"/>
        </w:rPr>
        <w:t xml:space="preserve">Dixit and </w:t>
      </w:r>
      <w:proofErr w:type="spellStart"/>
      <w:r w:rsidRPr="00774F1D">
        <w:rPr>
          <w:rFonts w:ascii="Times New Roman" w:hAnsi="Times New Roman" w:cs="Times New Roman"/>
          <w:sz w:val="24"/>
          <w:szCs w:val="24"/>
        </w:rPr>
        <w:t>Pindyck</w:t>
      </w:r>
      <w:proofErr w:type="spellEnd"/>
      <w:r w:rsidR="00BB2727">
        <w:rPr>
          <w:rFonts w:ascii="Times New Roman" w:hAnsi="Times New Roman" w:cs="Times New Roman"/>
          <w:sz w:val="24"/>
          <w:szCs w:val="24"/>
        </w:rPr>
        <w:t xml:space="preserve">, </w:t>
      </w:r>
      <w:r w:rsidRPr="00774F1D">
        <w:rPr>
          <w:rFonts w:ascii="Times New Roman" w:hAnsi="Times New Roman" w:cs="Times New Roman"/>
          <w:sz w:val="24"/>
          <w:szCs w:val="24"/>
        </w:rPr>
        <w:t>1994</w:t>
      </w:r>
      <w:r w:rsidR="00BB2727">
        <w:rPr>
          <w:rFonts w:ascii="Times New Roman" w:hAnsi="Times New Roman" w:cs="Times New Roman"/>
          <w:sz w:val="24"/>
          <w:szCs w:val="24"/>
        </w:rPr>
        <w:t xml:space="preserve">; </w:t>
      </w:r>
      <w:r w:rsidRPr="00774F1D">
        <w:rPr>
          <w:rFonts w:ascii="Times New Roman" w:hAnsi="Times New Roman" w:cs="Times New Roman"/>
          <w:sz w:val="24"/>
          <w:szCs w:val="24"/>
        </w:rPr>
        <w:t>Bloom</w:t>
      </w:r>
      <w:r w:rsidR="00BB2727">
        <w:rPr>
          <w:rFonts w:ascii="Times New Roman" w:hAnsi="Times New Roman" w:cs="Times New Roman"/>
          <w:sz w:val="24"/>
          <w:szCs w:val="24"/>
        </w:rPr>
        <w:t xml:space="preserve">, </w:t>
      </w:r>
      <w:r w:rsidRPr="00774F1D">
        <w:rPr>
          <w:rFonts w:ascii="Times New Roman" w:hAnsi="Times New Roman" w:cs="Times New Roman"/>
          <w:sz w:val="24"/>
          <w:szCs w:val="24"/>
        </w:rPr>
        <w:t>2009). In this regard, the recent COVID-19 pandemic, that started as a localized shock in China, has triggered a massive spike in global uncertainty associated with every aspect of human life ranging from health to livelihood, extending the impact of this health crisis to the overall economy</w:t>
      </w:r>
      <w:r w:rsidR="00BB2727">
        <w:rPr>
          <w:rFonts w:ascii="Times New Roman" w:hAnsi="Times New Roman" w:cs="Times New Roman"/>
          <w:sz w:val="24"/>
          <w:szCs w:val="24"/>
        </w:rPr>
        <w:t xml:space="preserve"> (Ji et al., 2020; Zhang et al., 2020)</w:t>
      </w:r>
      <w:r w:rsidRPr="00774F1D">
        <w:rPr>
          <w:rFonts w:ascii="Times New Roman" w:hAnsi="Times New Roman" w:cs="Times New Roman"/>
          <w:sz w:val="24"/>
          <w:szCs w:val="24"/>
        </w:rPr>
        <w:t>. Given the uncertainty this health crisis has created for economic fundamentals, the objective of our paper is to assess the role of uncertainty related to pandemics i.e., infectious diseases of various types</w:t>
      </w:r>
      <w:r w:rsidR="002B4AE8" w:rsidRPr="00774F1D">
        <w:rPr>
          <w:rFonts w:ascii="Times New Roman" w:hAnsi="Times New Roman" w:cs="Times New Roman"/>
          <w:sz w:val="24"/>
          <w:szCs w:val="24"/>
        </w:rPr>
        <w:t xml:space="preserve"> the world has witnessed over the last two decades</w:t>
      </w:r>
      <w:r w:rsidRPr="00774F1D">
        <w:rPr>
          <w:rFonts w:ascii="Times New Roman" w:hAnsi="Times New Roman" w:cs="Times New Roman"/>
          <w:sz w:val="24"/>
          <w:szCs w:val="24"/>
        </w:rPr>
        <w:t xml:space="preserve"> for example,</w:t>
      </w:r>
      <w:r w:rsidR="002B4AE8" w:rsidRPr="00774F1D">
        <w:rPr>
          <w:rFonts w:ascii="Times New Roman" w:hAnsi="Times New Roman" w:cs="Times New Roman"/>
          <w:sz w:val="24"/>
          <w:szCs w:val="24"/>
        </w:rPr>
        <w:t xml:space="preserve"> severe acute respiratory syndrome</w:t>
      </w:r>
      <w:r w:rsidRPr="00774F1D">
        <w:rPr>
          <w:rFonts w:ascii="Times New Roman" w:hAnsi="Times New Roman" w:cs="Times New Roman"/>
          <w:sz w:val="24"/>
          <w:szCs w:val="24"/>
        </w:rPr>
        <w:t xml:space="preserve"> </w:t>
      </w:r>
      <w:r w:rsidR="002B4AE8" w:rsidRPr="00774F1D">
        <w:rPr>
          <w:rFonts w:ascii="Times New Roman" w:hAnsi="Times New Roman" w:cs="Times New Roman"/>
          <w:sz w:val="24"/>
          <w:szCs w:val="24"/>
        </w:rPr>
        <w:t>(</w:t>
      </w:r>
      <w:r w:rsidRPr="00774F1D">
        <w:rPr>
          <w:rFonts w:ascii="Times New Roman" w:hAnsi="Times New Roman" w:cs="Times New Roman"/>
          <w:sz w:val="24"/>
          <w:szCs w:val="24"/>
        </w:rPr>
        <w:t>SARS</w:t>
      </w:r>
      <w:r w:rsidR="002B4AE8" w:rsidRPr="00774F1D">
        <w:rPr>
          <w:rFonts w:ascii="Times New Roman" w:hAnsi="Times New Roman" w:cs="Times New Roman"/>
          <w:sz w:val="24"/>
          <w:szCs w:val="24"/>
        </w:rPr>
        <w:t>)</w:t>
      </w:r>
      <w:r w:rsidRPr="00774F1D">
        <w:rPr>
          <w:rFonts w:ascii="Times New Roman" w:hAnsi="Times New Roman" w:cs="Times New Roman"/>
          <w:sz w:val="24"/>
          <w:szCs w:val="24"/>
        </w:rPr>
        <w:t xml:space="preserve">, </w:t>
      </w:r>
      <w:r w:rsidR="002B4AE8" w:rsidRPr="00774F1D">
        <w:rPr>
          <w:rFonts w:ascii="Times New Roman" w:hAnsi="Times New Roman" w:cs="Times New Roman"/>
          <w:sz w:val="24"/>
          <w:szCs w:val="24"/>
        </w:rPr>
        <w:t>Avian or Bird Flu (H5N1), Swine Flu (H1N1), Middle East respiratory syndrome</w:t>
      </w:r>
      <w:r w:rsidR="00BB6F38">
        <w:rPr>
          <w:rFonts w:ascii="Times New Roman" w:hAnsi="Times New Roman" w:cs="Times New Roman"/>
          <w:sz w:val="24"/>
          <w:szCs w:val="24"/>
        </w:rPr>
        <w:t xml:space="preserve"> </w:t>
      </w:r>
      <w:r w:rsidR="002B4AE8" w:rsidRPr="00774F1D">
        <w:rPr>
          <w:rFonts w:ascii="Times New Roman" w:hAnsi="Times New Roman" w:cs="Times New Roman"/>
          <w:sz w:val="24"/>
          <w:szCs w:val="24"/>
        </w:rPr>
        <w:t xml:space="preserve">(MERS), Ebola, </w:t>
      </w:r>
      <w:r w:rsidRPr="00774F1D">
        <w:rPr>
          <w:rFonts w:ascii="Times New Roman" w:hAnsi="Times New Roman" w:cs="Times New Roman"/>
          <w:sz w:val="24"/>
          <w:szCs w:val="24"/>
        </w:rPr>
        <w:t xml:space="preserve">and of course </w:t>
      </w:r>
      <w:r w:rsidR="002B4AE8" w:rsidRPr="00774F1D">
        <w:rPr>
          <w:rFonts w:ascii="Times New Roman" w:hAnsi="Times New Roman" w:cs="Times New Roman"/>
          <w:sz w:val="24"/>
          <w:szCs w:val="24"/>
        </w:rPr>
        <w:t xml:space="preserve">the </w:t>
      </w:r>
      <w:r w:rsidRPr="00774F1D">
        <w:rPr>
          <w:rFonts w:ascii="Times New Roman" w:hAnsi="Times New Roman" w:cs="Times New Roman"/>
          <w:sz w:val="24"/>
          <w:szCs w:val="24"/>
        </w:rPr>
        <w:t>Coronavirus)</w:t>
      </w:r>
      <w:r w:rsidR="002B4AE8" w:rsidRPr="00774F1D">
        <w:rPr>
          <w:rFonts w:ascii="Times New Roman" w:hAnsi="Times New Roman" w:cs="Times New Roman"/>
          <w:sz w:val="24"/>
          <w:szCs w:val="24"/>
        </w:rPr>
        <w:t xml:space="preserve"> on global output growth.</w:t>
      </w:r>
      <w:r w:rsidR="00235F5D">
        <w:rPr>
          <w:rFonts w:ascii="Times New Roman" w:hAnsi="Times New Roman" w:cs="Times New Roman"/>
          <w:sz w:val="24"/>
          <w:szCs w:val="24"/>
        </w:rPr>
        <w:t xml:space="preserve"> It must also be noted that such uncertainties have also been shown to affect the </w:t>
      </w:r>
      <w:r w:rsidR="00235F5D">
        <w:rPr>
          <w:rFonts w:ascii="Times New Roman" w:hAnsi="Times New Roman" w:cs="Times New Roman"/>
          <w:sz w:val="24"/>
          <w:szCs w:val="24"/>
        </w:rPr>
        <w:lastRenderedPageBreak/>
        <w:t xml:space="preserve">movements of asset markets (see for example, </w:t>
      </w:r>
      <w:proofErr w:type="spellStart"/>
      <w:r w:rsidR="00235F5D">
        <w:rPr>
          <w:rFonts w:ascii="Times New Roman" w:hAnsi="Times New Roman" w:cs="Times New Roman"/>
          <w:sz w:val="24"/>
          <w:szCs w:val="24"/>
        </w:rPr>
        <w:t>Bouri</w:t>
      </w:r>
      <w:proofErr w:type="spellEnd"/>
      <w:r w:rsidR="00235F5D">
        <w:rPr>
          <w:rFonts w:ascii="Times New Roman" w:hAnsi="Times New Roman" w:cs="Times New Roman"/>
          <w:sz w:val="24"/>
          <w:szCs w:val="24"/>
        </w:rPr>
        <w:t>, et al., 2020; Gupta et al., 202</w:t>
      </w:r>
      <w:r w:rsidR="00BB2727">
        <w:rPr>
          <w:rFonts w:ascii="Times New Roman" w:hAnsi="Times New Roman" w:cs="Times New Roman"/>
          <w:sz w:val="24"/>
          <w:szCs w:val="24"/>
        </w:rPr>
        <w:t>1; Hu et al., 2020</w:t>
      </w:r>
      <w:r w:rsidR="00235F5D">
        <w:rPr>
          <w:rFonts w:ascii="Times New Roman" w:hAnsi="Times New Roman" w:cs="Times New Roman"/>
          <w:sz w:val="24"/>
          <w:szCs w:val="24"/>
        </w:rPr>
        <w:t>), which in turn being leading indicators (</w:t>
      </w:r>
      <w:proofErr w:type="spellStart"/>
      <w:r w:rsidR="00235F5D">
        <w:rPr>
          <w:rFonts w:ascii="Times New Roman" w:hAnsi="Times New Roman" w:cs="Times New Roman"/>
          <w:sz w:val="24"/>
          <w:szCs w:val="24"/>
        </w:rPr>
        <w:t>Plakandaras</w:t>
      </w:r>
      <w:proofErr w:type="spellEnd"/>
      <w:r w:rsidR="00235F5D">
        <w:rPr>
          <w:rFonts w:ascii="Times New Roman" w:hAnsi="Times New Roman" w:cs="Times New Roman"/>
          <w:sz w:val="24"/>
          <w:szCs w:val="24"/>
        </w:rPr>
        <w:t xml:space="preserve"> et al., 2017), can also influence the overall macroeconomy and even prolong the impact of such shocks.</w:t>
      </w:r>
      <w:r w:rsidR="002B4AE8" w:rsidRPr="00774F1D">
        <w:rPr>
          <w:rFonts w:ascii="Times New Roman" w:hAnsi="Times New Roman" w:cs="Times New Roman"/>
          <w:sz w:val="24"/>
          <w:szCs w:val="24"/>
        </w:rPr>
        <w:t xml:space="preserve"> It goes without saying, that this is clearly an issue of importance for not only policymakers for fiscal and monetary policy implementation, but also firms in their future planning decisions.</w:t>
      </w:r>
    </w:p>
    <w:p w14:paraId="602CF1DB" w14:textId="61E5B860" w:rsidR="009166D6" w:rsidRDefault="00BF2588" w:rsidP="00041971">
      <w:pPr>
        <w:snapToGrid w:val="0"/>
        <w:spacing w:after="0" w:line="480" w:lineRule="auto"/>
        <w:ind w:firstLineChars="200" w:firstLine="480"/>
        <w:jc w:val="both"/>
        <w:rPr>
          <w:rFonts w:ascii="Times New Roman" w:hAnsi="Times New Roman" w:cs="Times New Roman"/>
          <w:sz w:val="24"/>
          <w:szCs w:val="24"/>
        </w:rPr>
      </w:pPr>
      <w:r w:rsidRPr="00774F1D">
        <w:rPr>
          <w:rFonts w:ascii="Times New Roman" w:hAnsi="Times New Roman" w:cs="Times New Roman"/>
          <w:sz w:val="24"/>
          <w:szCs w:val="24"/>
        </w:rPr>
        <w:t>In this process, a necessary first step is to quantify the uncertainty related to infectious diseases in a way that it would act as suitable input into a statistical model for measuring the impact on output growth. In this regard, we use the recently developed aggregate index of discussion about pandemics</w:t>
      </w:r>
      <w:r w:rsidR="00AD114E">
        <w:rPr>
          <w:rFonts w:ascii="Times New Roman" w:hAnsi="Times New Roman" w:cs="Times New Roman"/>
          <w:sz w:val="24"/>
          <w:szCs w:val="24"/>
        </w:rPr>
        <w:t xml:space="preserve"> which appear in </w:t>
      </w:r>
      <w:r w:rsidR="00AD114E" w:rsidRPr="00BB0821">
        <w:rPr>
          <w:rFonts w:ascii="Times New Roman" w:hAnsi="Times New Roman" w:cs="Times New Roman"/>
          <w:sz w:val="24"/>
          <w:szCs w:val="24"/>
        </w:rPr>
        <w:t>Economist Intelligence Unit</w:t>
      </w:r>
      <w:r w:rsidR="00AD114E">
        <w:rPr>
          <w:rFonts w:ascii="Times New Roman" w:hAnsi="Times New Roman" w:cs="Times New Roman"/>
          <w:sz w:val="24"/>
          <w:szCs w:val="24"/>
        </w:rPr>
        <w:t xml:space="preserve"> (EIU)</w:t>
      </w:r>
      <w:r w:rsidR="00AD114E" w:rsidRPr="00BB0821">
        <w:rPr>
          <w:rFonts w:ascii="Times New Roman" w:hAnsi="Times New Roman" w:cs="Times New Roman"/>
          <w:sz w:val="24"/>
          <w:szCs w:val="24"/>
        </w:rPr>
        <w:t xml:space="preserve"> country reports</w:t>
      </w:r>
      <w:r w:rsidRPr="00774F1D">
        <w:rPr>
          <w:rFonts w:ascii="Times New Roman" w:hAnsi="Times New Roman" w:cs="Times New Roman"/>
          <w:sz w:val="24"/>
          <w:szCs w:val="24"/>
        </w:rPr>
        <w:t xml:space="preserve">, as constructed by </w:t>
      </w:r>
      <w:proofErr w:type="spellStart"/>
      <w:r w:rsidRPr="00774F1D">
        <w:rPr>
          <w:rFonts w:ascii="Times New Roman" w:hAnsi="Times New Roman" w:cs="Times New Roman"/>
          <w:sz w:val="24"/>
          <w:szCs w:val="24"/>
        </w:rPr>
        <w:t>Ahir</w:t>
      </w:r>
      <w:proofErr w:type="spellEnd"/>
      <w:r w:rsidRPr="00774F1D">
        <w:rPr>
          <w:rFonts w:ascii="Times New Roman" w:hAnsi="Times New Roman" w:cs="Times New Roman"/>
          <w:sz w:val="24"/>
          <w:szCs w:val="24"/>
        </w:rPr>
        <w:t xml:space="preserve"> et al., (2018). </w:t>
      </w:r>
      <w:r w:rsidR="00303084" w:rsidRPr="00774F1D">
        <w:rPr>
          <w:rFonts w:ascii="Times New Roman" w:hAnsi="Times New Roman" w:cs="Times New Roman"/>
          <w:sz w:val="24"/>
          <w:szCs w:val="24"/>
        </w:rPr>
        <w:t>This index is then fed into a time-varying parameter-structural vector autoregressive (TVP-SVAR) model to analyse the evolution of the impact of various recent pandemics on</w:t>
      </w:r>
      <w:r w:rsidR="00027B96">
        <w:rPr>
          <w:rFonts w:ascii="Times New Roman" w:hAnsi="Times New Roman" w:cs="Times New Roman"/>
          <w:sz w:val="24"/>
          <w:szCs w:val="24"/>
        </w:rPr>
        <w:t xml:space="preserve"> economic</w:t>
      </w:r>
      <w:r w:rsidR="00303084" w:rsidRPr="00774F1D">
        <w:rPr>
          <w:rFonts w:ascii="Times New Roman" w:hAnsi="Times New Roman" w:cs="Times New Roman"/>
          <w:sz w:val="24"/>
          <w:szCs w:val="24"/>
        </w:rPr>
        <w:t xml:space="preserve"> growth of the United States</w:t>
      </w:r>
      <w:r w:rsidR="00897C0A" w:rsidRPr="00774F1D">
        <w:rPr>
          <w:rFonts w:ascii="Times New Roman" w:hAnsi="Times New Roman" w:cs="Times New Roman"/>
          <w:sz w:val="24"/>
          <w:szCs w:val="24"/>
        </w:rPr>
        <w:t xml:space="preserve"> (US)</w:t>
      </w:r>
      <w:r w:rsidR="00303084" w:rsidRPr="00774F1D">
        <w:rPr>
          <w:rFonts w:ascii="Times New Roman" w:hAnsi="Times New Roman" w:cs="Times New Roman"/>
          <w:sz w:val="24"/>
          <w:szCs w:val="24"/>
        </w:rPr>
        <w:t xml:space="preserve">, </w:t>
      </w:r>
      <w:r w:rsidR="00897C0A" w:rsidRPr="00774F1D">
        <w:rPr>
          <w:rFonts w:ascii="Times New Roman" w:hAnsi="Times New Roman" w:cs="Times New Roman"/>
          <w:sz w:val="24"/>
          <w:szCs w:val="24"/>
        </w:rPr>
        <w:t>advanced economies excluding the US, and emerging market countries over the quarterly period of 1996:</w:t>
      </w:r>
      <w:r w:rsidR="00F662F6">
        <w:rPr>
          <w:rFonts w:ascii="Times New Roman" w:hAnsi="Times New Roman" w:cs="Times New Roman"/>
          <w:sz w:val="24"/>
          <w:szCs w:val="24"/>
        </w:rPr>
        <w:t xml:space="preserve"> </w:t>
      </w:r>
      <w:r w:rsidR="00897C0A" w:rsidRPr="00774F1D">
        <w:rPr>
          <w:rFonts w:ascii="Times New Roman" w:hAnsi="Times New Roman" w:cs="Times New Roman"/>
          <w:sz w:val="24"/>
          <w:szCs w:val="24"/>
        </w:rPr>
        <w:t>Q1 to 2020:</w:t>
      </w:r>
      <w:r w:rsidR="00F662F6">
        <w:rPr>
          <w:rFonts w:ascii="Times New Roman" w:hAnsi="Times New Roman" w:cs="Times New Roman"/>
          <w:sz w:val="24"/>
          <w:szCs w:val="24"/>
        </w:rPr>
        <w:t xml:space="preserve"> </w:t>
      </w:r>
      <w:r w:rsidR="00897C0A" w:rsidRPr="00774F1D">
        <w:rPr>
          <w:rFonts w:ascii="Times New Roman" w:hAnsi="Times New Roman" w:cs="Times New Roman"/>
          <w:sz w:val="24"/>
          <w:szCs w:val="24"/>
        </w:rPr>
        <w:t>Q1.</w:t>
      </w:r>
    </w:p>
    <w:p w14:paraId="3597E09C" w14:textId="44DF3169" w:rsidR="00705B15" w:rsidRDefault="00794C25" w:rsidP="00041971">
      <w:pPr>
        <w:autoSpaceDE w:val="0"/>
        <w:autoSpaceDN w:val="0"/>
        <w:adjustRightInd w:val="0"/>
        <w:snapToGrid w:val="0"/>
        <w:spacing w:after="0" w:line="480" w:lineRule="auto"/>
        <w:ind w:firstLineChars="200" w:firstLine="480"/>
        <w:jc w:val="both"/>
        <w:rPr>
          <w:rFonts w:ascii="Times New Roman" w:hAnsi="Times New Roman" w:cs="Times New Roman"/>
          <w:sz w:val="24"/>
          <w:szCs w:val="24"/>
        </w:rPr>
      </w:pPr>
      <w:r w:rsidRPr="00705B15">
        <w:rPr>
          <w:rFonts w:ascii="Times New Roman" w:hAnsi="Times New Roman" w:cs="Times New Roman"/>
          <w:sz w:val="24"/>
          <w:szCs w:val="24"/>
        </w:rPr>
        <w:t>It must be note</w:t>
      </w:r>
      <w:r w:rsidR="00AD114E" w:rsidRPr="00705B15">
        <w:rPr>
          <w:rFonts w:ascii="Times New Roman" w:hAnsi="Times New Roman" w:cs="Times New Roman"/>
          <w:sz w:val="24"/>
          <w:szCs w:val="24"/>
        </w:rPr>
        <w:t>d</w:t>
      </w:r>
      <w:r w:rsidRPr="00705B15">
        <w:rPr>
          <w:rFonts w:ascii="Times New Roman" w:hAnsi="Times New Roman" w:cs="Times New Roman"/>
          <w:sz w:val="24"/>
          <w:szCs w:val="24"/>
        </w:rPr>
        <w:t xml:space="preserve"> that</w:t>
      </w:r>
      <w:r w:rsidR="00774F1D" w:rsidRPr="00705B15">
        <w:rPr>
          <w:rFonts w:ascii="Times New Roman" w:hAnsi="Times New Roman" w:cs="Times New Roman"/>
          <w:sz w:val="24"/>
          <w:szCs w:val="24"/>
        </w:rPr>
        <w:t xml:space="preserve"> quite a few recent </w:t>
      </w:r>
      <w:r w:rsidR="00705B15">
        <w:rPr>
          <w:rFonts w:ascii="Times New Roman" w:hAnsi="Times New Roman" w:cs="Times New Roman"/>
          <w:sz w:val="24"/>
          <w:szCs w:val="24"/>
        </w:rPr>
        <w:t xml:space="preserve">academic </w:t>
      </w:r>
      <w:r w:rsidR="00774F1D" w:rsidRPr="00705B15">
        <w:rPr>
          <w:rFonts w:ascii="Times New Roman" w:hAnsi="Times New Roman" w:cs="Times New Roman"/>
          <w:sz w:val="24"/>
          <w:szCs w:val="24"/>
        </w:rPr>
        <w:t>studies</w:t>
      </w:r>
      <w:r w:rsidR="00705B15">
        <w:rPr>
          <w:rFonts w:ascii="Times New Roman" w:hAnsi="Times New Roman" w:cs="Times New Roman"/>
          <w:sz w:val="24"/>
          <w:szCs w:val="24"/>
        </w:rPr>
        <w:t>, which deserve mentioning,</w:t>
      </w:r>
      <w:r w:rsidR="00774F1D" w:rsidRPr="00705B15">
        <w:rPr>
          <w:rFonts w:ascii="Times New Roman" w:hAnsi="Times New Roman" w:cs="Times New Roman"/>
          <w:sz w:val="24"/>
          <w:szCs w:val="24"/>
        </w:rPr>
        <w:t xml:space="preserve"> have </w:t>
      </w:r>
      <w:r w:rsidR="00324D02" w:rsidRPr="00705B15">
        <w:rPr>
          <w:rFonts w:ascii="Times New Roman" w:hAnsi="Times New Roman" w:cs="Times New Roman"/>
          <w:sz w:val="24"/>
          <w:szCs w:val="24"/>
        </w:rPr>
        <w:t xml:space="preserve">used static </w:t>
      </w:r>
      <w:r w:rsidRPr="00705B15">
        <w:rPr>
          <w:rFonts w:ascii="Times New Roman" w:hAnsi="Times New Roman" w:cs="Times New Roman"/>
          <w:sz w:val="24"/>
          <w:szCs w:val="24"/>
        </w:rPr>
        <w:t xml:space="preserve">(VAR) </w:t>
      </w:r>
      <w:r w:rsidR="00324D02" w:rsidRPr="00705B15">
        <w:rPr>
          <w:rFonts w:ascii="Times New Roman" w:hAnsi="Times New Roman" w:cs="Times New Roman"/>
          <w:sz w:val="24"/>
          <w:szCs w:val="24"/>
        </w:rPr>
        <w:t>models to analyse</w:t>
      </w:r>
      <w:r w:rsidR="00774F1D" w:rsidRPr="00705B15">
        <w:rPr>
          <w:rFonts w:ascii="Times New Roman" w:hAnsi="Times New Roman" w:cs="Times New Roman"/>
          <w:sz w:val="24"/>
          <w:szCs w:val="24"/>
        </w:rPr>
        <w:t xml:space="preserve"> the </w:t>
      </w:r>
      <w:r w:rsidR="00BB0821" w:rsidRPr="00705B15">
        <w:rPr>
          <w:rFonts w:ascii="Times New Roman" w:hAnsi="Times New Roman" w:cs="Times New Roman"/>
          <w:sz w:val="24"/>
          <w:szCs w:val="24"/>
        </w:rPr>
        <w:t>contractionary</w:t>
      </w:r>
      <w:r w:rsidR="00774F1D" w:rsidRPr="00705B15">
        <w:rPr>
          <w:rFonts w:ascii="Times New Roman" w:hAnsi="Times New Roman" w:cs="Times New Roman"/>
          <w:sz w:val="24"/>
          <w:szCs w:val="24"/>
        </w:rPr>
        <w:t xml:space="preserve"> impact of COVID-19</w:t>
      </w:r>
      <w:r w:rsidRPr="00705B15">
        <w:rPr>
          <w:rFonts w:ascii="Times New Roman" w:hAnsi="Times New Roman" w:cs="Times New Roman"/>
          <w:sz w:val="24"/>
          <w:szCs w:val="24"/>
        </w:rPr>
        <w:t xml:space="preserve"> by translating information on financial market volatility and cost of deadly disasters</w:t>
      </w:r>
      <w:r w:rsidR="00774F1D" w:rsidRPr="00705B15">
        <w:rPr>
          <w:rFonts w:ascii="Times New Roman" w:hAnsi="Times New Roman" w:cs="Times New Roman"/>
          <w:sz w:val="24"/>
          <w:szCs w:val="24"/>
        </w:rPr>
        <w:t xml:space="preserve"> on output growth of the US (</w:t>
      </w:r>
      <w:r w:rsidR="00324D02" w:rsidRPr="00705B15">
        <w:rPr>
          <w:rFonts w:ascii="Times New Roman" w:hAnsi="Times New Roman" w:cs="Times New Roman"/>
          <w:sz w:val="24"/>
          <w:szCs w:val="24"/>
        </w:rPr>
        <w:t>Baker et al., 2020</w:t>
      </w:r>
      <w:r w:rsidR="00646E9C">
        <w:rPr>
          <w:rFonts w:ascii="Times New Roman" w:hAnsi="Times New Roman" w:cs="Times New Roman"/>
          <w:sz w:val="24"/>
          <w:szCs w:val="24"/>
        </w:rPr>
        <w:t>a</w:t>
      </w:r>
      <w:r w:rsidR="00324D02" w:rsidRPr="00705B15">
        <w:rPr>
          <w:rFonts w:ascii="Times New Roman" w:hAnsi="Times New Roman" w:cs="Times New Roman"/>
          <w:sz w:val="24"/>
          <w:szCs w:val="24"/>
        </w:rPr>
        <w:t xml:space="preserve">; </w:t>
      </w:r>
      <w:proofErr w:type="spellStart"/>
      <w:r w:rsidR="00324D02" w:rsidRPr="00705B15">
        <w:rPr>
          <w:rFonts w:ascii="Times New Roman" w:hAnsi="Times New Roman" w:cs="Times New Roman"/>
          <w:sz w:val="24"/>
          <w:szCs w:val="24"/>
        </w:rPr>
        <w:t>Ludvigson</w:t>
      </w:r>
      <w:proofErr w:type="spellEnd"/>
      <w:r w:rsidR="00324D02" w:rsidRPr="00705B15">
        <w:rPr>
          <w:rFonts w:ascii="Times New Roman" w:hAnsi="Times New Roman" w:cs="Times New Roman"/>
          <w:sz w:val="24"/>
          <w:szCs w:val="24"/>
        </w:rPr>
        <w:t xml:space="preserve"> et al., 2020; </w:t>
      </w:r>
      <w:proofErr w:type="spellStart"/>
      <w:r w:rsidR="00324D02" w:rsidRPr="00705B15">
        <w:rPr>
          <w:rFonts w:ascii="Times New Roman" w:hAnsi="Times New Roman" w:cs="Times New Roman"/>
          <w:sz w:val="24"/>
          <w:szCs w:val="24"/>
        </w:rPr>
        <w:t>Salisu</w:t>
      </w:r>
      <w:proofErr w:type="spellEnd"/>
      <w:r w:rsidR="00324D02" w:rsidRPr="00705B15">
        <w:rPr>
          <w:rFonts w:ascii="Times New Roman" w:hAnsi="Times New Roman" w:cs="Times New Roman"/>
          <w:sz w:val="24"/>
          <w:szCs w:val="24"/>
        </w:rPr>
        <w:t xml:space="preserve"> et al., 2020</w:t>
      </w:r>
      <w:r w:rsidR="00774F1D" w:rsidRPr="00705B15">
        <w:rPr>
          <w:rFonts w:ascii="Times New Roman" w:hAnsi="Times New Roman" w:cs="Times New Roman"/>
          <w:sz w:val="24"/>
          <w:szCs w:val="24"/>
        </w:rPr>
        <w:t>)</w:t>
      </w:r>
      <w:r w:rsidRPr="00705B15">
        <w:rPr>
          <w:rFonts w:ascii="Times New Roman" w:hAnsi="Times New Roman" w:cs="Times New Roman"/>
          <w:sz w:val="24"/>
          <w:szCs w:val="24"/>
        </w:rPr>
        <w:t xml:space="preserve"> and </w:t>
      </w:r>
      <w:r w:rsidR="00027B96" w:rsidRPr="00705B15">
        <w:rPr>
          <w:rFonts w:ascii="Times New Roman" w:hAnsi="Times New Roman" w:cs="Times New Roman"/>
          <w:sz w:val="24"/>
          <w:szCs w:val="24"/>
        </w:rPr>
        <w:t xml:space="preserve">the </w:t>
      </w:r>
      <w:r w:rsidR="00774F1D" w:rsidRPr="00705B15">
        <w:rPr>
          <w:rFonts w:ascii="Times New Roman" w:hAnsi="Times New Roman" w:cs="Times New Roman"/>
          <w:sz w:val="24"/>
          <w:szCs w:val="24"/>
        </w:rPr>
        <w:t>overall world (</w:t>
      </w:r>
      <w:proofErr w:type="spellStart"/>
      <w:r w:rsidR="00324D02" w:rsidRPr="00705B15">
        <w:rPr>
          <w:rFonts w:ascii="Times New Roman" w:hAnsi="Times New Roman" w:cs="Times New Roman"/>
          <w:sz w:val="24"/>
          <w:szCs w:val="24"/>
        </w:rPr>
        <w:t>Caggiano</w:t>
      </w:r>
      <w:proofErr w:type="spellEnd"/>
      <w:r w:rsidR="00324D02" w:rsidRPr="00705B15">
        <w:rPr>
          <w:rFonts w:ascii="Times New Roman" w:hAnsi="Times New Roman" w:cs="Times New Roman"/>
          <w:sz w:val="24"/>
          <w:szCs w:val="24"/>
        </w:rPr>
        <w:t xml:space="preserve"> et al., </w:t>
      </w:r>
      <w:r w:rsidR="006735FD">
        <w:rPr>
          <w:rFonts w:ascii="Times New Roman" w:hAnsi="Times New Roman" w:cs="Times New Roman"/>
          <w:sz w:val="24"/>
          <w:szCs w:val="24"/>
        </w:rPr>
        <w:t>2020</w:t>
      </w:r>
      <w:r w:rsidRPr="00705B15">
        <w:rPr>
          <w:rFonts w:ascii="Times New Roman" w:hAnsi="Times New Roman" w:cs="Times New Roman"/>
          <w:sz w:val="24"/>
          <w:szCs w:val="24"/>
        </w:rPr>
        <w:t xml:space="preserve">). </w:t>
      </w:r>
      <w:r w:rsidR="00B17DA9" w:rsidRPr="00705B15">
        <w:rPr>
          <w:rFonts w:ascii="Times New Roman" w:hAnsi="Times New Roman" w:cs="Times New Roman"/>
          <w:sz w:val="24"/>
          <w:szCs w:val="24"/>
        </w:rPr>
        <w:t>Baker et al., (2020</w:t>
      </w:r>
      <w:r w:rsidR="00646E9C">
        <w:rPr>
          <w:rFonts w:ascii="Times New Roman" w:hAnsi="Times New Roman" w:cs="Times New Roman"/>
          <w:sz w:val="24"/>
          <w:szCs w:val="24"/>
        </w:rPr>
        <w:t>a</w:t>
      </w:r>
      <w:r w:rsidR="00B17DA9" w:rsidRPr="00705B15">
        <w:rPr>
          <w:rFonts w:ascii="Times New Roman" w:hAnsi="Times New Roman" w:cs="Times New Roman"/>
          <w:sz w:val="24"/>
          <w:szCs w:val="24"/>
        </w:rPr>
        <w:t>) indicated of the possibility of a year-on-year contraction in US real GDP of nearly 11% as of 2020:</w:t>
      </w:r>
      <w:r w:rsidR="00F662F6">
        <w:rPr>
          <w:rFonts w:ascii="Times New Roman" w:hAnsi="Times New Roman" w:cs="Times New Roman"/>
          <w:sz w:val="24"/>
          <w:szCs w:val="24"/>
        </w:rPr>
        <w:t xml:space="preserve"> </w:t>
      </w:r>
      <w:r w:rsidR="00B17DA9" w:rsidRPr="00705B15">
        <w:rPr>
          <w:rFonts w:ascii="Times New Roman" w:hAnsi="Times New Roman" w:cs="Times New Roman"/>
          <w:sz w:val="24"/>
          <w:szCs w:val="24"/>
        </w:rPr>
        <w:t xml:space="preserve">Q4 (and this value extending to a nearly 20 percent contraction with a 90 percent confidence interval). </w:t>
      </w:r>
      <w:proofErr w:type="spellStart"/>
      <w:r w:rsidR="00B17DA9" w:rsidRPr="00705B15">
        <w:rPr>
          <w:rFonts w:ascii="Times New Roman" w:hAnsi="Times New Roman" w:cs="Times New Roman"/>
          <w:sz w:val="24"/>
          <w:szCs w:val="24"/>
        </w:rPr>
        <w:t>Ludvigson</w:t>
      </w:r>
      <w:proofErr w:type="spellEnd"/>
      <w:r w:rsidR="00B17DA9" w:rsidRPr="00705B15">
        <w:rPr>
          <w:rFonts w:ascii="Times New Roman" w:hAnsi="Times New Roman" w:cs="Times New Roman"/>
          <w:sz w:val="24"/>
          <w:szCs w:val="24"/>
        </w:rPr>
        <w:t xml:space="preserve"> et al., (2020) </w:t>
      </w:r>
      <w:r w:rsidR="00B17DA9" w:rsidRPr="00705B15">
        <w:rPr>
          <w:rFonts w:ascii="Times New Roman" w:hAnsi="Times New Roman" w:cs="Times New Roman"/>
          <w:sz w:val="24"/>
          <w:szCs w:val="24"/>
          <w:lang w:val="en-ZA"/>
        </w:rPr>
        <w:t xml:space="preserve">study the dynamic responses of the US economy to a sequence of large shocks to show a cumulative loss in industrial production of 12.75% and </w:t>
      </w:r>
      <w:proofErr w:type="gramStart"/>
      <w:r w:rsidR="00B17DA9" w:rsidRPr="00705B15">
        <w:rPr>
          <w:rFonts w:ascii="Times New Roman" w:hAnsi="Times New Roman" w:cs="Times New Roman"/>
          <w:sz w:val="24"/>
          <w:szCs w:val="24"/>
          <w:lang w:val="en-ZA"/>
        </w:rPr>
        <w:t>in service</w:t>
      </w:r>
      <w:proofErr w:type="gramEnd"/>
      <w:r w:rsidR="00B17DA9" w:rsidRPr="00705B15">
        <w:rPr>
          <w:rFonts w:ascii="Times New Roman" w:hAnsi="Times New Roman" w:cs="Times New Roman"/>
          <w:sz w:val="24"/>
          <w:szCs w:val="24"/>
          <w:lang w:val="en-ZA"/>
        </w:rPr>
        <w:t xml:space="preserve"> sector employment of nearly 17% over a period of ten months. </w:t>
      </w:r>
      <w:r w:rsidRPr="00705B15">
        <w:rPr>
          <w:rFonts w:ascii="Times New Roman" w:hAnsi="Times New Roman" w:cs="Times New Roman"/>
          <w:sz w:val="24"/>
          <w:szCs w:val="24"/>
        </w:rPr>
        <w:t xml:space="preserve">At the same time, </w:t>
      </w:r>
      <w:proofErr w:type="spellStart"/>
      <w:r w:rsidRPr="00705B15">
        <w:rPr>
          <w:rFonts w:ascii="Times New Roman" w:hAnsi="Times New Roman" w:cs="Times New Roman"/>
          <w:sz w:val="24"/>
          <w:szCs w:val="24"/>
        </w:rPr>
        <w:t>Maliszewska</w:t>
      </w:r>
      <w:proofErr w:type="spellEnd"/>
      <w:r w:rsidRPr="00705B15">
        <w:rPr>
          <w:rFonts w:ascii="Times New Roman" w:hAnsi="Times New Roman" w:cs="Times New Roman"/>
          <w:sz w:val="24"/>
          <w:szCs w:val="24"/>
        </w:rPr>
        <w:t xml:space="preserve"> et al., (2020) used a computable general equilibrium (CGE) model to simulate the size of the negative impact of the virus on output </w:t>
      </w:r>
      <w:r w:rsidR="00BB0821" w:rsidRPr="00705B15">
        <w:rPr>
          <w:rFonts w:ascii="Times New Roman" w:hAnsi="Times New Roman" w:cs="Times New Roman"/>
          <w:sz w:val="24"/>
          <w:szCs w:val="24"/>
        </w:rPr>
        <w:lastRenderedPageBreak/>
        <w:t>(</w:t>
      </w:r>
      <w:r w:rsidRPr="00705B15">
        <w:rPr>
          <w:rFonts w:ascii="Times New Roman" w:hAnsi="Times New Roman" w:cs="Times New Roman"/>
          <w:sz w:val="24"/>
          <w:szCs w:val="24"/>
        </w:rPr>
        <w:t>and trade</w:t>
      </w:r>
      <w:r w:rsidR="00BB0821" w:rsidRPr="00705B15">
        <w:rPr>
          <w:rFonts w:ascii="Times New Roman" w:hAnsi="Times New Roman" w:cs="Times New Roman"/>
          <w:sz w:val="24"/>
          <w:szCs w:val="24"/>
        </w:rPr>
        <w:t>)</w:t>
      </w:r>
      <w:r w:rsidRPr="00705B15">
        <w:rPr>
          <w:rFonts w:ascii="Times New Roman" w:hAnsi="Times New Roman" w:cs="Times New Roman"/>
          <w:sz w:val="24"/>
          <w:szCs w:val="24"/>
        </w:rPr>
        <w:t xml:space="preserve"> growth of developing and industrialised countries as a shock involving underutilization of labo</w:t>
      </w:r>
      <w:r w:rsidR="00027B96" w:rsidRPr="00705B15">
        <w:rPr>
          <w:rFonts w:ascii="Times New Roman" w:hAnsi="Times New Roman" w:cs="Times New Roman"/>
          <w:sz w:val="24"/>
          <w:szCs w:val="24"/>
        </w:rPr>
        <w:t>u</w:t>
      </w:r>
      <w:r w:rsidRPr="00705B15">
        <w:rPr>
          <w:rFonts w:ascii="Times New Roman" w:hAnsi="Times New Roman" w:cs="Times New Roman"/>
          <w:sz w:val="24"/>
          <w:szCs w:val="24"/>
        </w:rPr>
        <w:t>r and capital, an increase in international trade costs, a drop in travel services, and a redirection of demand away from activities that require proximity between people.</w:t>
      </w:r>
      <w:r w:rsidR="00B17DA9" w:rsidRPr="00705B15">
        <w:rPr>
          <w:rFonts w:ascii="Times New Roman" w:hAnsi="Times New Roman" w:cs="Times New Roman"/>
          <w:sz w:val="24"/>
          <w:szCs w:val="24"/>
        </w:rPr>
        <w:t xml:space="preserve"> They showed that Gross Domestic Product (GDP) would fall by 2% below the benchmark for the world, 2.5% for developing countries, and 1.8% for industrial countries.</w:t>
      </w:r>
      <w:r w:rsidR="00705B15" w:rsidRPr="00705B15">
        <w:rPr>
          <w:rFonts w:ascii="Times New Roman" w:hAnsi="Times New Roman" w:cs="Times New Roman"/>
          <w:sz w:val="24"/>
          <w:szCs w:val="24"/>
        </w:rPr>
        <w:t xml:space="preserve"> Using a time series-based approach </w:t>
      </w:r>
      <w:proofErr w:type="spellStart"/>
      <w:r w:rsidR="00705B15" w:rsidRPr="00705B15">
        <w:rPr>
          <w:rFonts w:ascii="Times New Roman" w:hAnsi="Times New Roman" w:cs="Times New Roman"/>
          <w:sz w:val="24"/>
          <w:szCs w:val="24"/>
          <w:lang w:val="en-ZA"/>
        </w:rPr>
        <w:t>Caggiano</w:t>
      </w:r>
      <w:proofErr w:type="spellEnd"/>
      <w:r w:rsidR="00260B4A">
        <w:rPr>
          <w:rFonts w:ascii="Times New Roman" w:hAnsi="Times New Roman" w:cs="Times New Roman"/>
          <w:sz w:val="24"/>
          <w:szCs w:val="24"/>
          <w:lang w:val="en-ZA"/>
        </w:rPr>
        <w:t xml:space="preserve"> et al., (2020</w:t>
      </w:r>
      <w:r w:rsidR="00705B15" w:rsidRPr="00705B15">
        <w:rPr>
          <w:rFonts w:ascii="Times New Roman" w:hAnsi="Times New Roman" w:cs="Times New Roman"/>
          <w:sz w:val="24"/>
          <w:szCs w:val="24"/>
          <w:lang w:val="en-ZA"/>
        </w:rPr>
        <w:t xml:space="preserve">) found a peak (cumulative over one year) negative response of world output of 1.6% (14%), with the biggest decline quite close to the estimate of </w:t>
      </w:r>
      <w:proofErr w:type="spellStart"/>
      <w:r w:rsidR="00705B15" w:rsidRPr="00705B15">
        <w:rPr>
          <w:rFonts w:ascii="Times New Roman" w:hAnsi="Times New Roman" w:cs="Times New Roman"/>
          <w:sz w:val="24"/>
          <w:szCs w:val="24"/>
        </w:rPr>
        <w:t>Maliszewska</w:t>
      </w:r>
      <w:proofErr w:type="spellEnd"/>
      <w:r w:rsidR="00705B15" w:rsidRPr="00705B15">
        <w:rPr>
          <w:rFonts w:ascii="Times New Roman" w:hAnsi="Times New Roman" w:cs="Times New Roman"/>
          <w:sz w:val="24"/>
          <w:szCs w:val="24"/>
        </w:rPr>
        <w:t xml:space="preserve"> et al., (2020)</w:t>
      </w:r>
      <w:r w:rsidR="00705B15" w:rsidRPr="00705B15">
        <w:rPr>
          <w:rFonts w:ascii="Times New Roman" w:hAnsi="Times New Roman" w:cs="Times New Roman"/>
          <w:sz w:val="24"/>
          <w:szCs w:val="24"/>
          <w:lang w:val="en-ZA"/>
        </w:rPr>
        <w:t>. Finally,</w:t>
      </w:r>
      <w:r w:rsidR="00B17DA9" w:rsidRPr="00705B15">
        <w:rPr>
          <w:rFonts w:ascii="Times New Roman" w:hAnsi="Times New Roman" w:cs="Times New Roman"/>
          <w:sz w:val="24"/>
          <w:szCs w:val="24"/>
        </w:rPr>
        <w:t xml:space="preserve"> </w:t>
      </w:r>
      <w:proofErr w:type="spellStart"/>
      <w:r w:rsidR="00B17DA9" w:rsidRPr="00705B15">
        <w:rPr>
          <w:rFonts w:ascii="Times New Roman" w:hAnsi="Times New Roman" w:cs="Times New Roman"/>
          <w:sz w:val="24"/>
          <w:szCs w:val="24"/>
        </w:rPr>
        <w:t>Salisu</w:t>
      </w:r>
      <w:proofErr w:type="spellEnd"/>
      <w:r w:rsidR="00B17DA9" w:rsidRPr="00705B15">
        <w:rPr>
          <w:rFonts w:ascii="Times New Roman" w:hAnsi="Times New Roman" w:cs="Times New Roman"/>
          <w:sz w:val="24"/>
          <w:szCs w:val="24"/>
        </w:rPr>
        <w:t xml:space="preserve"> et al., (2020) was more concerned about </w:t>
      </w:r>
      <w:proofErr w:type="spellStart"/>
      <w:r w:rsidR="00B17DA9" w:rsidRPr="00705B15">
        <w:rPr>
          <w:rFonts w:ascii="Times New Roman" w:hAnsi="Times New Roman" w:cs="Times New Roman"/>
          <w:sz w:val="24"/>
          <w:szCs w:val="24"/>
        </w:rPr>
        <w:t>forecastability</w:t>
      </w:r>
      <w:proofErr w:type="spellEnd"/>
      <w:r w:rsidR="00B17DA9" w:rsidRPr="00705B15">
        <w:rPr>
          <w:rFonts w:ascii="Times New Roman" w:hAnsi="Times New Roman" w:cs="Times New Roman"/>
          <w:sz w:val="24"/>
          <w:szCs w:val="24"/>
        </w:rPr>
        <w:t xml:space="preserve"> </w:t>
      </w:r>
      <w:r w:rsidR="00705B15" w:rsidRPr="00705B15">
        <w:rPr>
          <w:rFonts w:ascii="Times New Roman" w:hAnsi="Times New Roman" w:cs="Times New Roman"/>
          <w:sz w:val="24"/>
          <w:szCs w:val="24"/>
        </w:rPr>
        <w:t>using a mixed frequency model, and showed that daily stock market volatility due to infections, can indeed be used to accurately predict the future path of monthly industrial production growth and quarterly real GDP growth of the US.</w:t>
      </w:r>
      <w:r w:rsidRPr="00705B15">
        <w:rPr>
          <w:rFonts w:ascii="Times New Roman" w:hAnsi="Times New Roman" w:cs="Times New Roman"/>
          <w:sz w:val="24"/>
          <w:szCs w:val="24"/>
        </w:rPr>
        <w:t xml:space="preserve"> </w:t>
      </w:r>
    </w:p>
    <w:p w14:paraId="72105F97" w14:textId="3A65D89D" w:rsidR="00041971" w:rsidRDefault="00794C25" w:rsidP="00041971">
      <w:pPr>
        <w:autoSpaceDE w:val="0"/>
        <w:autoSpaceDN w:val="0"/>
        <w:adjustRightInd w:val="0"/>
        <w:snapToGrid w:val="0"/>
        <w:spacing w:after="0" w:line="480" w:lineRule="auto"/>
        <w:ind w:firstLineChars="200" w:firstLine="480"/>
        <w:jc w:val="both"/>
        <w:rPr>
          <w:rFonts w:ascii="Times New Roman" w:hAnsi="Times New Roman" w:cs="Times New Roman"/>
          <w:sz w:val="24"/>
          <w:szCs w:val="24"/>
        </w:rPr>
      </w:pPr>
      <w:r w:rsidRPr="00705B15">
        <w:rPr>
          <w:rFonts w:ascii="Times New Roman" w:hAnsi="Times New Roman" w:cs="Times New Roman"/>
          <w:sz w:val="24"/>
          <w:szCs w:val="24"/>
        </w:rPr>
        <w:t>However,</w:t>
      </w:r>
      <w:r w:rsidR="00774F1D" w:rsidRPr="00705B15">
        <w:rPr>
          <w:rFonts w:ascii="Times New Roman" w:hAnsi="Times New Roman" w:cs="Times New Roman"/>
          <w:sz w:val="24"/>
          <w:szCs w:val="24"/>
        </w:rPr>
        <w:t xml:space="preserve"> to th</w:t>
      </w:r>
      <w:r w:rsidR="00324D02" w:rsidRPr="00705B15">
        <w:rPr>
          <w:rFonts w:ascii="Times New Roman" w:hAnsi="Times New Roman" w:cs="Times New Roman"/>
          <w:sz w:val="24"/>
          <w:szCs w:val="24"/>
        </w:rPr>
        <w:t>e best of our knowledge, this is</w:t>
      </w:r>
      <w:r w:rsidR="00774F1D" w:rsidRPr="00705B15">
        <w:rPr>
          <w:rFonts w:ascii="Times New Roman" w:hAnsi="Times New Roman" w:cs="Times New Roman"/>
          <w:sz w:val="24"/>
          <w:szCs w:val="24"/>
        </w:rPr>
        <w:t xml:space="preserve"> the first attempt to provide a full-fledged time-varying analysis of the impact of </w:t>
      </w:r>
      <w:r w:rsidR="00235F5D">
        <w:rPr>
          <w:rFonts w:ascii="Times New Roman" w:hAnsi="Times New Roman" w:cs="Times New Roman"/>
          <w:sz w:val="24"/>
          <w:szCs w:val="24"/>
        </w:rPr>
        <w:t xml:space="preserve">general </w:t>
      </w:r>
      <w:r w:rsidRPr="00705B15">
        <w:rPr>
          <w:rFonts w:ascii="Times New Roman" w:hAnsi="Times New Roman" w:cs="Times New Roman"/>
          <w:sz w:val="24"/>
          <w:szCs w:val="24"/>
        </w:rPr>
        <w:t>uncertainty</w:t>
      </w:r>
      <w:r w:rsidR="00235F5D">
        <w:rPr>
          <w:rFonts w:ascii="Times New Roman" w:hAnsi="Times New Roman" w:cs="Times New Roman"/>
          <w:sz w:val="24"/>
          <w:szCs w:val="24"/>
        </w:rPr>
        <w:t>, rather than uncertainty related to the stock market only as done in majority of the studies (</w:t>
      </w:r>
      <w:r w:rsidR="00235F5D" w:rsidRPr="00705B15">
        <w:rPr>
          <w:rFonts w:ascii="Times New Roman" w:hAnsi="Times New Roman" w:cs="Times New Roman"/>
          <w:sz w:val="24"/>
          <w:szCs w:val="24"/>
        </w:rPr>
        <w:t>Baker et al., 2020</w:t>
      </w:r>
      <w:r w:rsidR="00646E9C">
        <w:rPr>
          <w:rFonts w:ascii="Times New Roman" w:hAnsi="Times New Roman" w:cs="Times New Roman"/>
          <w:sz w:val="24"/>
          <w:szCs w:val="24"/>
        </w:rPr>
        <w:t>a</w:t>
      </w:r>
      <w:r w:rsidR="00235F5D" w:rsidRPr="00705B15">
        <w:rPr>
          <w:rFonts w:ascii="Times New Roman" w:hAnsi="Times New Roman" w:cs="Times New Roman"/>
          <w:sz w:val="24"/>
          <w:szCs w:val="24"/>
        </w:rPr>
        <w:t xml:space="preserve">; </w:t>
      </w:r>
      <w:proofErr w:type="spellStart"/>
      <w:r w:rsidR="00260B4A">
        <w:rPr>
          <w:rFonts w:ascii="Times New Roman" w:hAnsi="Times New Roman" w:cs="Times New Roman"/>
          <w:sz w:val="24"/>
          <w:szCs w:val="24"/>
        </w:rPr>
        <w:t>Caggiano</w:t>
      </w:r>
      <w:proofErr w:type="spellEnd"/>
      <w:r w:rsidR="00260B4A">
        <w:rPr>
          <w:rFonts w:ascii="Times New Roman" w:hAnsi="Times New Roman" w:cs="Times New Roman"/>
          <w:sz w:val="24"/>
          <w:szCs w:val="24"/>
        </w:rPr>
        <w:t xml:space="preserve"> et al., 2020; </w:t>
      </w:r>
      <w:proofErr w:type="spellStart"/>
      <w:r w:rsidR="00235F5D" w:rsidRPr="00705B15">
        <w:rPr>
          <w:rFonts w:ascii="Times New Roman" w:hAnsi="Times New Roman" w:cs="Times New Roman"/>
          <w:sz w:val="24"/>
          <w:szCs w:val="24"/>
        </w:rPr>
        <w:t>Ludvigson</w:t>
      </w:r>
      <w:proofErr w:type="spellEnd"/>
      <w:r w:rsidR="00235F5D" w:rsidRPr="00705B15">
        <w:rPr>
          <w:rFonts w:ascii="Times New Roman" w:hAnsi="Times New Roman" w:cs="Times New Roman"/>
          <w:sz w:val="24"/>
          <w:szCs w:val="24"/>
        </w:rPr>
        <w:t xml:space="preserve"> et al., 2020; </w:t>
      </w:r>
      <w:proofErr w:type="spellStart"/>
      <w:r w:rsidR="00235F5D" w:rsidRPr="00705B15">
        <w:rPr>
          <w:rFonts w:ascii="Times New Roman" w:hAnsi="Times New Roman" w:cs="Times New Roman"/>
          <w:sz w:val="24"/>
          <w:szCs w:val="24"/>
        </w:rPr>
        <w:t>Salisu</w:t>
      </w:r>
      <w:proofErr w:type="spellEnd"/>
      <w:r w:rsidR="00235F5D" w:rsidRPr="00705B15">
        <w:rPr>
          <w:rFonts w:ascii="Times New Roman" w:hAnsi="Times New Roman" w:cs="Times New Roman"/>
          <w:sz w:val="24"/>
          <w:szCs w:val="24"/>
        </w:rPr>
        <w:t xml:space="preserve"> et al., 2020</w:t>
      </w:r>
      <w:r w:rsidR="00235F5D">
        <w:rPr>
          <w:rFonts w:ascii="Times New Roman" w:hAnsi="Times New Roman" w:cs="Times New Roman"/>
          <w:sz w:val="24"/>
          <w:szCs w:val="24"/>
        </w:rPr>
        <w:t>),</w:t>
      </w:r>
      <w:r w:rsidRPr="00705B15">
        <w:rPr>
          <w:rFonts w:ascii="Times New Roman" w:hAnsi="Times New Roman" w:cs="Times New Roman"/>
          <w:sz w:val="24"/>
          <w:szCs w:val="24"/>
        </w:rPr>
        <w:t xml:space="preserve"> due to </w:t>
      </w:r>
      <w:r w:rsidR="00774F1D" w:rsidRPr="00705B15">
        <w:rPr>
          <w:rFonts w:ascii="Times New Roman" w:hAnsi="Times New Roman" w:cs="Times New Roman"/>
          <w:sz w:val="24"/>
          <w:szCs w:val="24"/>
        </w:rPr>
        <w:t xml:space="preserve">various pandemics on real Gross Domestic Product (GDP) growth of the US, other advanced countries barring the US, and emerging economies. </w:t>
      </w:r>
      <w:r w:rsidR="00BB0821" w:rsidRPr="00705B15">
        <w:rPr>
          <w:rFonts w:ascii="Times New Roman" w:hAnsi="Times New Roman" w:cs="Times New Roman"/>
          <w:sz w:val="24"/>
          <w:szCs w:val="24"/>
        </w:rPr>
        <w:t>The remainder of the paper is organized as follows: Section 2 outlines the data and the econometric model, with Section 3 presenting the results, and Section 4 concluding the paper.</w:t>
      </w:r>
    </w:p>
    <w:p w14:paraId="25F69DE0" w14:textId="6684AC88" w:rsidR="00F04C56" w:rsidRPr="00041971" w:rsidRDefault="00041971" w:rsidP="0096289D">
      <w:pPr>
        <w:pStyle w:val="Heading1"/>
      </w:pPr>
      <w:r w:rsidRPr="00041971">
        <w:rPr>
          <w:bCs/>
        </w:rPr>
        <w:t>2.</w:t>
      </w:r>
      <w:r>
        <w:t xml:space="preserve"> </w:t>
      </w:r>
      <w:r w:rsidR="00727F74" w:rsidRPr="00BB0821">
        <w:t xml:space="preserve">Data and </w:t>
      </w:r>
      <w:r w:rsidR="00370224" w:rsidRPr="00BB0821">
        <w:t>Methodology</w:t>
      </w:r>
    </w:p>
    <w:p w14:paraId="466E2B8D" w14:textId="6CE52108" w:rsidR="00041971" w:rsidRDefault="00BB0821" w:rsidP="00041971">
      <w:pPr>
        <w:pStyle w:val="FootnoteText"/>
        <w:snapToGrid w:val="0"/>
        <w:spacing w:line="480" w:lineRule="auto"/>
        <w:ind w:firstLineChars="200" w:firstLine="480"/>
        <w:jc w:val="both"/>
        <w:rPr>
          <w:rFonts w:ascii="Times New Roman" w:hAnsi="Times New Roman" w:cs="Times New Roman"/>
          <w:sz w:val="24"/>
          <w:szCs w:val="24"/>
        </w:rPr>
      </w:pPr>
      <w:r w:rsidRPr="00BB0821">
        <w:rPr>
          <w:rFonts w:ascii="Times New Roman" w:hAnsi="Times New Roman" w:cs="Times New Roman"/>
          <w:sz w:val="24"/>
          <w:szCs w:val="24"/>
        </w:rPr>
        <w:t xml:space="preserve">Our analysis involves four variables, the real </w:t>
      </w:r>
      <w:r w:rsidR="00705B15">
        <w:rPr>
          <w:rFonts w:ascii="Times New Roman" w:hAnsi="Times New Roman" w:cs="Times New Roman"/>
          <w:sz w:val="24"/>
          <w:szCs w:val="24"/>
        </w:rPr>
        <w:t>GDP</w:t>
      </w:r>
      <w:r>
        <w:rPr>
          <w:rFonts w:ascii="Times New Roman" w:hAnsi="Times New Roman" w:cs="Times New Roman"/>
          <w:sz w:val="24"/>
          <w:szCs w:val="24"/>
        </w:rPr>
        <w:t xml:space="preserve"> of the US, other </w:t>
      </w:r>
      <w:r w:rsidRPr="00BB0821">
        <w:rPr>
          <w:rFonts w:ascii="Times New Roman" w:hAnsi="Times New Roman" w:cs="Times New Roman"/>
          <w:sz w:val="24"/>
          <w:szCs w:val="24"/>
        </w:rPr>
        <w:t>advanced</w:t>
      </w:r>
      <w:r w:rsidR="00375B6E">
        <w:rPr>
          <w:rFonts w:ascii="Times New Roman" w:hAnsi="Times New Roman" w:cs="Times New Roman"/>
          <w:sz w:val="24"/>
          <w:szCs w:val="24"/>
        </w:rPr>
        <w:t xml:space="preserve"> barring the US (Advanced)</w:t>
      </w:r>
      <w:r w:rsidRPr="00BB0821">
        <w:rPr>
          <w:rFonts w:ascii="Times New Roman" w:hAnsi="Times New Roman" w:cs="Times New Roman"/>
          <w:sz w:val="24"/>
          <w:szCs w:val="24"/>
        </w:rPr>
        <w:t xml:space="preserve"> and emerging market</w:t>
      </w:r>
      <w:r w:rsidR="00375B6E">
        <w:rPr>
          <w:rFonts w:ascii="Times New Roman" w:hAnsi="Times New Roman" w:cs="Times New Roman"/>
          <w:sz w:val="24"/>
          <w:szCs w:val="24"/>
        </w:rPr>
        <w:t xml:space="preserve"> (Emerging)</w:t>
      </w:r>
      <w:r w:rsidRPr="00BB0821">
        <w:rPr>
          <w:rFonts w:ascii="Times New Roman" w:hAnsi="Times New Roman" w:cs="Times New Roman"/>
          <w:sz w:val="24"/>
          <w:szCs w:val="24"/>
        </w:rPr>
        <w:t xml:space="preserve"> economies, with the latter two treated </w:t>
      </w:r>
      <w:r>
        <w:rPr>
          <w:rFonts w:ascii="Times New Roman" w:hAnsi="Times New Roman" w:cs="Times New Roman"/>
          <w:sz w:val="24"/>
          <w:szCs w:val="24"/>
        </w:rPr>
        <w:t xml:space="preserve">as economic blocs, and a metric </w:t>
      </w:r>
      <w:r w:rsidRPr="00BB0821">
        <w:rPr>
          <w:rFonts w:ascii="Times New Roman" w:hAnsi="Times New Roman" w:cs="Times New Roman"/>
          <w:sz w:val="24"/>
          <w:szCs w:val="24"/>
        </w:rPr>
        <w:t xml:space="preserve">for </w:t>
      </w:r>
      <w:r>
        <w:rPr>
          <w:rFonts w:ascii="Times New Roman" w:hAnsi="Times New Roman" w:cs="Times New Roman"/>
          <w:sz w:val="24"/>
          <w:szCs w:val="24"/>
        </w:rPr>
        <w:t>pandemics-related</w:t>
      </w:r>
      <w:r w:rsidRPr="00BB0821">
        <w:rPr>
          <w:rFonts w:ascii="Times New Roman" w:hAnsi="Times New Roman" w:cs="Times New Roman"/>
          <w:sz w:val="24"/>
          <w:szCs w:val="24"/>
        </w:rPr>
        <w:t xml:space="preserve"> </w:t>
      </w:r>
      <w:r>
        <w:rPr>
          <w:rFonts w:ascii="Times New Roman" w:hAnsi="Times New Roman" w:cs="Times New Roman"/>
          <w:sz w:val="24"/>
          <w:szCs w:val="24"/>
        </w:rPr>
        <w:t xml:space="preserve">global </w:t>
      </w:r>
      <w:r w:rsidRPr="00BB0821">
        <w:rPr>
          <w:rFonts w:ascii="Times New Roman" w:hAnsi="Times New Roman" w:cs="Times New Roman"/>
          <w:sz w:val="24"/>
          <w:szCs w:val="24"/>
        </w:rPr>
        <w:t>uncertainty. The real GDP data is obtained from the Global Economic</w:t>
      </w:r>
      <w:r>
        <w:rPr>
          <w:rFonts w:ascii="Times New Roman" w:hAnsi="Times New Roman" w:cs="Times New Roman"/>
          <w:sz w:val="24"/>
          <w:szCs w:val="24"/>
        </w:rPr>
        <w:t xml:space="preserve"> </w:t>
      </w:r>
      <w:r w:rsidRPr="00BB0821">
        <w:rPr>
          <w:rFonts w:ascii="Times New Roman" w:hAnsi="Times New Roman" w:cs="Times New Roman"/>
          <w:sz w:val="24"/>
          <w:szCs w:val="24"/>
        </w:rPr>
        <w:t>Database maintained by the Federal Reserve Bank of Dallas, which is available for download from</w:t>
      </w:r>
      <w:r>
        <w:rPr>
          <w:rFonts w:ascii="Times New Roman" w:hAnsi="Times New Roman" w:cs="Times New Roman"/>
          <w:sz w:val="24"/>
          <w:szCs w:val="24"/>
        </w:rPr>
        <w:t xml:space="preserve"> </w:t>
      </w:r>
      <w:hyperlink r:id="rId8" w:history="1">
        <w:r w:rsidRPr="00EC7C47">
          <w:rPr>
            <w:rStyle w:val="Hyperlink"/>
            <w:rFonts w:ascii="Times New Roman" w:hAnsi="Times New Roman" w:cs="Times New Roman"/>
            <w:sz w:val="24"/>
            <w:szCs w:val="24"/>
          </w:rPr>
          <w:t>https://www.dallasfed.org/institute/dgei/gdp.aspx</w:t>
        </w:r>
      </w:hyperlink>
      <w:r w:rsidRPr="00BB0821">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far as the uncertainty related to global pandemics is concerned, we use the </w:t>
      </w:r>
      <w:r w:rsidRPr="00BB0821">
        <w:rPr>
          <w:rFonts w:ascii="Times New Roman" w:hAnsi="Times New Roman" w:cs="Times New Roman"/>
          <w:sz w:val="24"/>
          <w:szCs w:val="24"/>
        </w:rPr>
        <w:t>aggregate</w:t>
      </w:r>
      <w:r>
        <w:rPr>
          <w:rFonts w:ascii="Times New Roman" w:hAnsi="Times New Roman" w:cs="Times New Roman"/>
          <w:sz w:val="24"/>
          <w:szCs w:val="24"/>
        </w:rPr>
        <w:t xml:space="preserve"> (global)</w:t>
      </w:r>
      <w:r w:rsidRPr="00BB0821">
        <w:rPr>
          <w:rFonts w:ascii="Times New Roman" w:hAnsi="Times New Roman" w:cs="Times New Roman"/>
          <w:sz w:val="24"/>
          <w:szCs w:val="24"/>
        </w:rPr>
        <w:t xml:space="preserve"> index of discussion about pandemics</w:t>
      </w:r>
      <w:r>
        <w:rPr>
          <w:rFonts w:ascii="Times New Roman" w:hAnsi="Times New Roman" w:cs="Times New Roman"/>
          <w:sz w:val="24"/>
          <w:szCs w:val="24"/>
        </w:rPr>
        <w:t xml:space="preserve"> as developed by </w:t>
      </w:r>
      <w:proofErr w:type="spellStart"/>
      <w:r>
        <w:rPr>
          <w:rFonts w:ascii="Times New Roman" w:hAnsi="Times New Roman" w:cs="Times New Roman"/>
          <w:sz w:val="24"/>
          <w:szCs w:val="24"/>
        </w:rPr>
        <w:t>Ahir</w:t>
      </w:r>
      <w:proofErr w:type="spellEnd"/>
      <w:r>
        <w:rPr>
          <w:rFonts w:ascii="Times New Roman" w:hAnsi="Times New Roman" w:cs="Times New Roman"/>
          <w:sz w:val="24"/>
          <w:szCs w:val="24"/>
        </w:rPr>
        <w:t xml:space="preserve"> et al., (2018)</w:t>
      </w:r>
      <w:r w:rsidRPr="00BB0821">
        <w:rPr>
          <w:rFonts w:ascii="Times New Roman" w:hAnsi="Times New Roman" w:cs="Times New Roman"/>
          <w:sz w:val="24"/>
          <w:szCs w:val="24"/>
        </w:rPr>
        <w:t xml:space="preserve">. The index is constructed by counting the number of times a word related to pandemics is mentioned in the </w:t>
      </w:r>
      <w:r w:rsidR="00AD114E">
        <w:rPr>
          <w:rFonts w:ascii="Times New Roman" w:hAnsi="Times New Roman" w:cs="Times New Roman"/>
          <w:sz w:val="24"/>
          <w:szCs w:val="24"/>
        </w:rPr>
        <w:t>EIU</w:t>
      </w:r>
      <w:r w:rsidRPr="00BB0821">
        <w:rPr>
          <w:rFonts w:ascii="Times New Roman" w:hAnsi="Times New Roman" w:cs="Times New Roman"/>
          <w:sz w:val="24"/>
          <w:szCs w:val="24"/>
        </w:rPr>
        <w:t xml:space="preserve"> country reports. Specifically, the index is the percent of the words related to pandemic episodes in EIU country reports, multiplied by 1,000. A higher number means higher discussion</w:t>
      </w:r>
      <w:r w:rsidR="00027B96">
        <w:rPr>
          <w:rFonts w:ascii="Times New Roman" w:hAnsi="Times New Roman" w:cs="Times New Roman"/>
          <w:sz w:val="24"/>
          <w:szCs w:val="24"/>
        </w:rPr>
        <w:t>s</w:t>
      </w:r>
      <w:r w:rsidRPr="00BB0821">
        <w:rPr>
          <w:rFonts w:ascii="Times New Roman" w:hAnsi="Times New Roman" w:cs="Times New Roman"/>
          <w:sz w:val="24"/>
          <w:szCs w:val="24"/>
        </w:rPr>
        <w:t xml:space="preserve"> about pandemics and vice versa. </w:t>
      </w:r>
      <w:r>
        <w:rPr>
          <w:rFonts w:ascii="Times New Roman" w:hAnsi="Times New Roman" w:cs="Times New Roman"/>
          <w:sz w:val="24"/>
          <w:szCs w:val="24"/>
        </w:rPr>
        <w:t>The w</w:t>
      </w:r>
      <w:r w:rsidRPr="00BB0821">
        <w:rPr>
          <w:rFonts w:ascii="Times New Roman" w:hAnsi="Times New Roman" w:cs="Times New Roman"/>
          <w:sz w:val="24"/>
          <w:szCs w:val="24"/>
        </w:rPr>
        <w:t xml:space="preserve">orld </w:t>
      </w:r>
      <w:r>
        <w:rPr>
          <w:rFonts w:ascii="Times New Roman" w:hAnsi="Times New Roman" w:cs="Times New Roman"/>
          <w:sz w:val="24"/>
          <w:szCs w:val="24"/>
        </w:rPr>
        <w:t xml:space="preserve">Discussion about </w:t>
      </w:r>
      <w:r w:rsidRPr="00BB0821">
        <w:rPr>
          <w:rFonts w:ascii="Times New Roman" w:hAnsi="Times New Roman" w:cs="Times New Roman"/>
          <w:sz w:val="24"/>
          <w:szCs w:val="24"/>
        </w:rPr>
        <w:t>Pandemic</w:t>
      </w:r>
      <w:r>
        <w:rPr>
          <w:rFonts w:ascii="Times New Roman" w:hAnsi="Times New Roman" w:cs="Times New Roman"/>
          <w:sz w:val="24"/>
          <w:szCs w:val="24"/>
        </w:rPr>
        <w:t>s</w:t>
      </w:r>
      <w:r w:rsidR="00C76636">
        <w:rPr>
          <w:rFonts w:ascii="Times New Roman" w:hAnsi="Times New Roman" w:cs="Times New Roman"/>
          <w:sz w:val="24"/>
          <w:szCs w:val="24"/>
        </w:rPr>
        <w:t xml:space="preserve"> related Uncertainty</w:t>
      </w:r>
      <w:r>
        <w:rPr>
          <w:rFonts w:ascii="Times New Roman" w:hAnsi="Times New Roman" w:cs="Times New Roman"/>
          <w:sz w:val="24"/>
          <w:szCs w:val="24"/>
        </w:rPr>
        <w:t xml:space="preserve"> Index (</w:t>
      </w:r>
      <w:r w:rsidR="00C76636">
        <w:rPr>
          <w:rFonts w:ascii="Times New Roman" w:hAnsi="Times New Roman" w:cs="Times New Roman"/>
          <w:sz w:val="24"/>
          <w:szCs w:val="24"/>
        </w:rPr>
        <w:t>DPI</w:t>
      </w:r>
      <w:r>
        <w:rPr>
          <w:rFonts w:ascii="Times New Roman" w:hAnsi="Times New Roman" w:cs="Times New Roman"/>
          <w:sz w:val="24"/>
          <w:szCs w:val="24"/>
        </w:rPr>
        <w:t>)</w:t>
      </w:r>
      <w:r w:rsidRPr="00BB0821">
        <w:rPr>
          <w:rFonts w:ascii="Times New Roman" w:hAnsi="Times New Roman" w:cs="Times New Roman"/>
          <w:sz w:val="24"/>
          <w:szCs w:val="24"/>
        </w:rPr>
        <w:t xml:space="preserve"> is a simple average </w:t>
      </w:r>
      <w:r w:rsidR="00C76636">
        <w:rPr>
          <w:rFonts w:ascii="Times New Roman" w:hAnsi="Times New Roman" w:cs="Times New Roman"/>
          <w:sz w:val="24"/>
          <w:szCs w:val="24"/>
        </w:rPr>
        <w:t xml:space="preserve">of the 143 countries for which data is available on the issue of pandemics, with the data available publicly at </w:t>
      </w:r>
      <w:hyperlink r:id="rId9" w:history="1">
        <w:r w:rsidR="00C76636" w:rsidRPr="00C76636">
          <w:rPr>
            <w:rStyle w:val="Hyperlink"/>
            <w:rFonts w:ascii="Times New Roman" w:hAnsi="Times New Roman" w:cs="Times New Roman"/>
            <w:sz w:val="24"/>
            <w:szCs w:val="24"/>
          </w:rPr>
          <w:t>https://worlduncertaintyindex.com</w:t>
        </w:r>
      </w:hyperlink>
      <w:r w:rsidR="00C76636" w:rsidRPr="00C76636">
        <w:rPr>
          <w:rFonts w:ascii="Times New Roman" w:hAnsi="Times New Roman" w:cs="Times New Roman"/>
          <w:sz w:val="24"/>
          <w:szCs w:val="24"/>
        </w:rPr>
        <w:t>.</w:t>
      </w:r>
      <w:r w:rsidR="00AD114E">
        <w:rPr>
          <w:rFonts w:ascii="Times New Roman" w:hAnsi="Times New Roman" w:cs="Times New Roman"/>
          <w:sz w:val="24"/>
          <w:szCs w:val="24"/>
        </w:rPr>
        <w:t xml:space="preserve"> Note that, these coun</w:t>
      </w:r>
      <w:r w:rsidR="00027B96">
        <w:rPr>
          <w:rFonts w:ascii="Times New Roman" w:hAnsi="Times New Roman" w:cs="Times New Roman"/>
          <w:sz w:val="24"/>
          <w:szCs w:val="24"/>
        </w:rPr>
        <w:t>tr</w:t>
      </w:r>
      <w:r w:rsidR="00AD114E">
        <w:rPr>
          <w:rFonts w:ascii="Times New Roman" w:hAnsi="Times New Roman" w:cs="Times New Roman"/>
          <w:sz w:val="24"/>
          <w:szCs w:val="24"/>
        </w:rPr>
        <w:t>ies account for 99 percent of world GDP.</w:t>
      </w:r>
      <w:r w:rsidR="00C76636">
        <w:rPr>
          <w:rFonts w:ascii="Times New Roman" w:hAnsi="Times New Roman" w:cs="Times New Roman"/>
          <w:sz w:val="24"/>
          <w:szCs w:val="24"/>
        </w:rPr>
        <w:t xml:space="preserve"> We work with the </w:t>
      </w:r>
      <w:r w:rsidR="005D35EC">
        <w:rPr>
          <w:rFonts w:ascii="Times New Roman" w:hAnsi="Times New Roman" w:cs="Times New Roman"/>
          <w:sz w:val="24"/>
          <w:szCs w:val="24"/>
        </w:rPr>
        <w:t>natural logarithmic form</w:t>
      </w:r>
      <w:r w:rsidR="00706A32">
        <w:rPr>
          <w:rFonts w:ascii="Times New Roman" w:hAnsi="Times New Roman" w:cs="Times New Roman"/>
          <w:sz w:val="24"/>
          <w:szCs w:val="24"/>
        </w:rPr>
        <w:t xml:space="preserve"> of DP</w:t>
      </w:r>
      <w:r w:rsidR="00C76636">
        <w:rPr>
          <w:rFonts w:ascii="Times New Roman" w:hAnsi="Times New Roman" w:cs="Times New Roman"/>
          <w:sz w:val="24"/>
          <w:szCs w:val="24"/>
        </w:rPr>
        <w:t>I, while, we use year on year growth rate of the real GDP</w:t>
      </w:r>
      <w:r w:rsidR="00C76636">
        <w:rPr>
          <w:rFonts w:ascii="Times New Roman" w:hAnsi="Times New Roman" w:cs="Times New Roman"/>
          <w:sz w:val="24"/>
        </w:rPr>
        <w:t>.</w:t>
      </w:r>
      <w:r w:rsidR="0062114C" w:rsidRPr="0062114C">
        <w:rPr>
          <w:rFonts w:ascii="Times New Roman" w:hAnsi="Times New Roman" w:cs="Times New Roman"/>
          <w:sz w:val="24"/>
          <w:szCs w:val="24"/>
        </w:rPr>
        <w:t xml:space="preserve"> </w:t>
      </w:r>
      <w:r w:rsidR="005D35EC">
        <w:rPr>
          <w:rFonts w:ascii="Times New Roman" w:hAnsi="Times New Roman" w:cs="Times New Roman"/>
          <w:sz w:val="24"/>
          <w:szCs w:val="24"/>
        </w:rPr>
        <w:t>The sample period of</w:t>
      </w:r>
      <w:r w:rsidR="0062114C">
        <w:rPr>
          <w:rFonts w:ascii="Times New Roman" w:hAnsi="Times New Roman" w:cs="Times New Roman"/>
          <w:sz w:val="24"/>
          <w:szCs w:val="24"/>
        </w:rPr>
        <w:t xml:space="preserve"> </w:t>
      </w:r>
      <w:r w:rsidR="005D35EC">
        <w:rPr>
          <w:rFonts w:ascii="Times New Roman" w:hAnsi="Times New Roman" w:cs="Times New Roman"/>
          <w:sz w:val="24"/>
          <w:szCs w:val="24"/>
        </w:rPr>
        <w:t xml:space="preserve">our </w:t>
      </w:r>
      <w:r w:rsidR="0062114C">
        <w:rPr>
          <w:rFonts w:ascii="Times New Roman" w:hAnsi="Times New Roman" w:cs="Times New Roman"/>
          <w:sz w:val="24"/>
          <w:szCs w:val="24"/>
        </w:rPr>
        <w:t xml:space="preserve">quarterly dataset </w:t>
      </w:r>
      <w:r w:rsidR="005D35EC">
        <w:rPr>
          <w:rFonts w:ascii="Times New Roman" w:hAnsi="Times New Roman" w:cs="Times New Roman"/>
          <w:sz w:val="24"/>
          <w:szCs w:val="24"/>
        </w:rPr>
        <w:t xml:space="preserve">is </w:t>
      </w:r>
      <w:r w:rsidR="00C76636">
        <w:rPr>
          <w:rFonts w:ascii="Times New Roman" w:hAnsi="Times New Roman" w:cs="Times New Roman"/>
          <w:sz w:val="24"/>
          <w:szCs w:val="24"/>
        </w:rPr>
        <w:t xml:space="preserve">from </w:t>
      </w:r>
      <w:proofErr w:type="gramStart"/>
      <w:r w:rsidR="00C76636">
        <w:rPr>
          <w:rFonts w:ascii="Times New Roman" w:hAnsi="Times New Roman" w:cs="Times New Roman"/>
          <w:sz w:val="24"/>
          <w:szCs w:val="24"/>
        </w:rPr>
        <w:t>1996:Q</w:t>
      </w:r>
      <w:proofErr w:type="gramEnd"/>
      <w:r w:rsidR="00C76636">
        <w:rPr>
          <w:rFonts w:ascii="Times New Roman" w:hAnsi="Times New Roman" w:cs="Times New Roman"/>
          <w:sz w:val="24"/>
          <w:szCs w:val="24"/>
        </w:rPr>
        <w:t>1 to 2020:</w:t>
      </w:r>
      <w:r w:rsidR="0062114C">
        <w:rPr>
          <w:rFonts w:ascii="Times New Roman" w:hAnsi="Times New Roman" w:cs="Times New Roman"/>
          <w:sz w:val="24"/>
          <w:szCs w:val="24"/>
        </w:rPr>
        <w:t>Q1.</w:t>
      </w:r>
      <w:r w:rsidR="00C76636">
        <w:rPr>
          <w:rFonts w:ascii="Times New Roman" w:hAnsi="Times New Roman" w:cs="Times New Roman"/>
          <w:sz w:val="24"/>
          <w:szCs w:val="24"/>
        </w:rPr>
        <w:t xml:space="preserve"> The data has been plotted in Figure </w:t>
      </w:r>
      <w:r w:rsidR="00373106">
        <w:rPr>
          <w:rFonts w:ascii="Times New Roman" w:hAnsi="Times New Roman" w:cs="Times New Roman"/>
          <w:sz w:val="24"/>
          <w:szCs w:val="24"/>
        </w:rPr>
        <w:t>A1 in the Appendix of the paper</w:t>
      </w:r>
      <w:r w:rsidR="00C26287">
        <w:rPr>
          <w:rFonts w:ascii="Times New Roman" w:hAnsi="Times New Roman" w:cs="Times New Roman"/>
          <w:sz w:val="24"/>
          <w:szCs w:val="24"/>
        </w:rPr>
        <w:t>.</w:t>
      </w:r>
      <w:r w:rsidR="00373106">
        <w:rPr>
          <w:rFonts w:ascii="Times New Roman" w:hAnsi="Times New Roman" w:cs="Times New Roman"/>
          <w:sz w:val="24"/>
          <w:szCs w:val="24"/>
        </w:rPr>
        <w:t xml:space="preserve"> </w:t>
      </w:r>
    </w:p>
    <w:p w14:paraId="25F69E00" w14:textId="5A5D4007" w:rsidR="000F50FA" w:rsidRPr="00041971" w:rsidRDefault="00504E30" w:rsidP="00041971">
      <w:pPr>
        <w:pStyle w:val="FootnoteText"/>
        <w:snapToGrid w:val="0"/>
        <w:spacing w:line="480" w:lineRule="auto"/>
        <w:ind w:firstLineChars="200" w:firstLine="480"/>
        <w:jc w:val="both"/>
        <w:rPr>
          <w:rFonts w:ascii="Times New Roman" w:hAnsi="Times New Roman" w:cs="Times New Roman"/>
          <w:sz w:val="24"/>
        </w:rPr>
      </w:pPr>
      <w:r w:rsidRPr="00504E30">
        <w:rPr>
          <w:rFonts w:ascii="Times New Roman" w:hAnsi="Times New Roman" w:cs="Times New Roman"/>
          <w:sz w:val="24"/>
          <w:szCs w:val="24"/>
        </w:rPr>
        <w:t xml:space="preserve">In order to </w:t>
      </w:r>
      <w:r>
        <w:rPr>
          <w:rFonts w:ascii="Times New Roman" w:hAnsi="Times New Roman" w:cs="Times New Roman"/>
          <w:sz w:val="24"/>
          <w:szCs w:val="24"/>
        </w:rPr>
        <w:t>examine</w:t>
      </w:r>
      <w:r w:rsidRPr="00504E30">
        <w:rPr>
          <w:rFonts w:ascii="Times New Roman" w:hAnsi="Times New Roman" w:cs="Times New Roman"/>
          <w:sz w:val="24"/>
          <w:szCs w:val="24"/>
        </w:rPr>
        <w:t xml:space="preserve"> the </w:t>
      </w:r>
      <w:r w:rsidRPr="000F50FA">
        <w:rPr>
          <w:rFonts w:ascii="Times New Roman" w:hAnsi="Times New Roman" w:cs="Times New Roman"/>
          <w:sz w:val="24"/>
          <w:szCs w:val="24"/>
        </w:rPr>
        <w:t>time-varying</w:t>
      </w:r>
      <w:r w:rsidRPr="00504E30">
        <w:rPr>
          <w:rFonts w:ascii="Times New Roman" w:hAnsi="Times New Roman" w:cs="Times New Roman"/>
          <w:sz w:val="24"/>
          <w:szCs w:val="24"/>
        </w:rPr>
        <w:t xml:space="preserve"> relation</w:t>
      </w:r>
      <w:r>
        <w:rPr>
          <w:rFonts w:ascii="Times New Roman" w:hAnsi="Times New Roman" w:cs="Times New Roman"/>
          <w:sz w:val="24"/>
          <w:szCs w:val="24"/>
        </w:rPr>
        <w:t>ship</w:t>
      </w:r>
      <w:r w:rsidRPr="00504E30">
        <w:rPr>
          <w:rFonts w:ascii="Times New Roman" w:hAnsi="Times New Roman" w:cs="Times New Roman"/>
          <w:sz w:val="24"/>
          <w:szCs w:val="24"/>
        </w:rPr>
        <w:t xml:space="preserve"> between </w:t>
      </w:r>
      <w:r w:rsidR="00C76636">
        <w:rPr>
          <w:rFonts w:ascii="Times New Roman" w:hAnsi="Times New Roman" w:cs="Times New Roman"/>
          <w:sz w:val="24"/>
          <w:szCs w:val="24"/>
        </w:rPr>
        <w:t xml:space="preserve">the </w:t>
      </w:r>
      <w:r>
        <w:rPr>
          <w:rFonts w:ascii="Times New Roman" w:hAnsi="Times New Roman" w:cs="Times New Roman"/>
          <w:sz w:val="24"/>
          <w:szCs w:val="24"/>
        </w:rPr>
        <w:t>pandemic</w:t>
      </w:r>
      <w:r w:rsidR="00C76636">
        <w:rPr>
          <w:rFonts w:ascii="Times New Roman" w:hAnsi="Times New Roman" w:cs="Times New Roman"/>
          <w:sz w:val="24"/>
          <w:szCs w:val="24"/>
        </w:rPr>
        <w:t>-related</w:t>
      </w:r>
      <w:r>
        <w:rPr>
          <w:rFonts w:ascii="Times New Roman" w:hAnsi="Times New Roman" w:cs="Times New Roman"/>
          <w:sz w:val="24"/>
          <w:szCs w:val="24"/>
        </w:rPr>
        <w:t xml:space="preserve"> uncertainty</w:t>
      </w:r>
      <w:r w:rsidRPr="00504E30">
        <w:rPr>
          <w:rFonts w:ascii="Times New Roman" w:hAnsi="Times New Roman" w:cs="Times New Roman"/>
          <w:sz w:val="24"/>
          <w:szCs w:val="24"/>
        </w:rPr>
        <w:t xml:space="preserve"> and the </w:t>
      </w:r>
      <w:r w:rsidR="00C76636">
        <w:rPr>
          <w:rFonts w:ascii="Times New Roman" w:hAnsi="Times New Roman" w:cs="Times New Roman"/>
          <w:sz w:val="24"/>
          <w:szCs w:val="24"/>
        </w:rPr>
        <w:t>growth rates</w:t>
      </w:r>
      <w:r>
        <w:rPr>
          <w:rFonts w:ascii="Times New Roman" w:hAnsi="Times New Roman" w:cs="Times New Roman"/>
          <w:sz w:val="24"/>
          <w:szCs w:val="24"/>
        </w:rPr>
        <w:t xml:space="preserve">, we estimate the </w:t>
      </w:r>
      <w:r w:rsidR="00C76636">
        <w:rPr>
          <w:rFonts w:ascii="Times New Roman" w:hAnsi="Times New Roman" w:cs="Times New Roman"/>
          <w:sz w:val="24"/>
          <w:szCs w:val="24"/>
        </w:rPr>
        <w:t>TVP-SVAR</w:t>
      </w:r>
      <w:r w:rsidRPr="000F50FA">
        <w:rPr>
          <w:rFonts w:ascii="Times New Roman" w:hAnsi="Times New Roman" w:cs="Times New Roman"/>
          <w:sz w:val="24"/>
          <w:szCs w:val="24"/>
        </w:rPr>
        <w:t xml:space="preserve"> model</w:t>
      </w:r>
      <w:r>
        <w:rPr>
          <w:rFonts w:ascii="Times New Roman" w:hAnsi="Times New Roman" w:cs="Times New Roman"/>
          <w:sz w:val="24"/>
          <w:szCs w:val="24"/>
        </w:rPr>
        <w:t xml:space="preserve"> of </w:t>
      </w:r>
      <w:bookmarkStart w:id="0" w:name="_Hlk44668501"/>
      <w:proofErr w:type="spellStart"/>
      <w:r w:rsidR="00D26615">
        <w:rPr>
          <w:rFonts w:ascii="Times New Roman" w:hAnsi="Times New Roman" w:cs="Times New Roman"/>
          <w:sz w:val="24"/>
          <w:szCs w:val="24"/>
        </w:rPr>
        <w:t>Akram</w:t>
      </w:r>
      <w:proofErr w:type="spellEnd"/>
      <w:r w:rsidR="00D26615">
        <w:rPr>
          <w:rFonts w:ascii="Times New Roman" w:hAnsi="Times New Roman" w:cs="Times New Roman"/>
          <w:sz w:val="24"/>
          <w:szCs w:val="24"/>
        </w:rPr>
        <w:t xml:space="preserve"> and Mumtaz (2019</w:t>
      </w:r>
      <w:r w:rsidRPr="00EB7843">
        <w:rPr>
          <w:rFonts w:ascii="Times New Roman" w:hAnsi="Times New Roman" w:cs="Times New Roman"/>
          <w:sz w:val="24"/>
          <w:szCs w:val="24"/>
        </w:rPr>
        <w:t>)</w:t>
      </w:r>
      <w:bookmarkEnd w:id="0"/>
      <w:r>
        <w:rPr>
          <w:rFonts w:ascii="Times New Roman" w:hAnsi="Times New Roman" w:cs="Times New Roman"/>
          <w:sz w:val="24"/>
          <w:szCs w:val="24"/>
        </w:rPr>
        <w:t xml:space="preserve"> using the </w:t>
      </w:r>
      <w:r w:rsidRPr="00EB7843">
        <w:rPr>
          <w:rFonts w:ascii="Times New Roman" w:hAnsi="Times New Roman" w:cs="Times New Roman"/>
          <w:sz w:val="24"/>
          <w:szCs w:val="24"/>
        </w:rPr>
        <w:t>Bayesian</w:t>
      </w:r>
      <w:r>
        <w:rPr>
          <w:rFonts w:ascii="Times New Roman" w:hAnsi="Times New Roman" w:cs="Times New Roman"/>
          <w:sz w:val="24"/>
          <w:szCs w:val="24"/>
        </w:rPr>
        <w:t xml:space="preserve"> approach.</w:t>
      </w:r>
      <w:r w:rsidR="00A15888">
        <w:rPr>
          <w:rStyle w:val="FootnoteReference"/>
          <w:rFonts w:ascii="Times New Roman" w:hAnsi="Times New Roman" w:cs="Times New Roman"/>
          <w:sz w:val="24"/>
          <w:szCs w:val="24"/>
        </w:rPr>
        <w:footnoteReference w:id="2"/>
      </w:r>
    </w:p>
    <w:p w14:paraId="25F69E02" w14:textId="67022D5D" w:rsidR="000F50FA" w:rsidRPr="0013410D" w:rsidRDefault="0096289D" w:rsidP="00041971">
      <w:pPr>
        <w:snapToGrid w:val="0"/>
        <w:spacing w:after="0" w:line="480" w:lineRule="auto"/>
        <w:rPr>
          <w:rFonts w:ascii="Cambria Math" w:hAnsi="Cambria Math" w:cs="Times New Roman"/>
          <w:sz w:val="24"/>
          <w:szCs w:val="24"/>
          <w:oMath/>
        </w:rPr>
      </w:pPr>
      <m:oMath>
        <m:d>
          <m:dPr>
            <m:begChr m:val="["/>
            <m:endChr m:val="]"/>
            <m:ctrlPr>
              <w:rPr>
                <w:rFonts w:ascii="Cambria Math" w:hAnsi="Cambria Math" w:cs="Times New Roman"/>
                <w:i/>
                <w:sz w:val="24"/>
                <w:szCs w:val="24"/>
              </w:rPr>
            </m:ctrlPr>
          </m:dPr>
          <m:e>
            <m:eqArr>
              <m:eqArrPr>
                <m:obj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1,t</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 t</m:t>
                    </m:r>
                  </m:sub>
                </m:sSub>
              </m:e>
            </m:eqAr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d>
          <m:dPr>
            <m:begChr m:val="["/>
            <m:endChr m:val="]"/>
            <m:shp m:val="match"/>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1,t</m:t>
                      </m:r>
                    </m:sub>
                  </m:sSub>
                  <m:d>
                    <m:dPr>
                      <m:ctrlPr>
                        <w:rPr>
                          <w:rFonts w:ascii="Cambria Math" w:hAnsi="Cambria Math" w:cs="Times New Roman"/>
                          <w:i/>
                          <w:sz w:val="24"/>
                          <w:szCs w:val="24"/>
                        </w:rPr>
                      </m:ctrlPr>
                    </m:dPr>
                    <m:e>
                      <m:r>
                        <w:rPr>
                          <w:rFonts w:ascii="Cambria Math" w:hAnsi="Cambria Math" w:cs="Times New Roman"/>
                          <w:sz w:val="24"/>
                          <w:szCs w:val="24"/>
                        </w:rPr>
                        <m:t>L</m:t>
                      </m:r>
                    </m:e>
                  </m:d>
                </m:e>
                <m:e>
                  <m:r>
                    <w:rPr>
                      <w:rFonts w:ascii="Cambria Math" w:hAnsi="Cambria Math" w:cs="Times New Roman"/>
                      <w:sz w:val="24"/>
                      <w:szCs w:val="24"/>
                    </w:rPr>
                    <m:t>0</m:t>
                  </m:r>
                </m:e>
              </m:m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2,t</m:t>
                      </m:r>
                    </m:sub>
                  </m:sSub>
                  <m:d>
                    <m:dPr>
                      <m:ctrlPr>
                        <w:rPr>
                          <w:rFonts w:ascii="Cambria Math" w:hAnsi="Cambria Math" w:cs="Times New Roman"/>
                          <w:i/>
                          <w:sz w:val="24"/>
                          <w:szCs w:val="24"/>
                        </w:rPr>
                      </m:ctrlPr>
                    </m:dPr>
                    <m:e>
                      <m:r>
                        <w:rPr>
                          <w:rFonts w:ascii="Cambria Math" w:hAnsi="Cambria Math" w:cs="Times New Roman"/>
                          <w:sz w:val="24"/>
                          <w:szCs w:val="24"/>
                        </w:rPr>
                        <m:t>L</m:t>
                      </m:r>
                    </m:e>
                  </m:d>
                </m:e>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3,t</m:t>
                      </m:r>
                    </m:sub>
                  </m:sSub>
                  <m:d>
                    <m:dPr>
                      <m:ctrlPr>
                        <w:rPr>
                          <w:rFonts w:ascii="Cambria Math" w:hAnsi="Cambria Math" w:cs="Times New Roman"/>
                          <w:i/>
                          <w:sz w:val="24"/>
                          <w:szCs w:val="24"/>
                        </w:rPr>
                      </m:ctrlPr>
                    </m:dPr>
                    <m:e>
                      <m:r>
                        <w:rPr>
                          <w:rFonts w:ascii="Cambria Math" w:hAnsi="Cambria Math" w:cs="Times New Roman"/>
                          <w:sz w:val="24"/>
                          <w:szCs w:val="24"/>
                        </w:rPr>
                        <m:t>L</m:t>
                      </m:r>
                    </m:e>
                  </m:d>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 t</m:t>
                      </m:r>
                    </m:sub>
                  </m:sSub>
                </m:e>
              </m:m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 t</m:t>
                      </m:r>
                    </m:sub>
                  </m:sSub>
                </m:e>
              </m:mr>
            </m:m>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0F50FA">
        <w:rPr>
          <w:rFonts w:ascii="Times New Roman" w:hAnsi="Times New Roman" w:cs="Times New Roman"/>
          <w:sz w:val="24"/>
          <w:szCs w:val="24"/>
        </w:rPr>
        <w:tab/>
      </w:r>
      <w:r w:rsidR="000F50FA">
        <w:rPr>
          <w:rFonts w:ascii="Times New Roman" w:hAnsi="Times New Roman" w:cs="Times New Roman"/>
          <w:sz w:val="24"/>
          <w:szCs w:val="24"/>
        </w:rPr>
        <w:tab/>
      </w:r>
      <w:r w:rsidR="000F50FA">
        <w:rPr>
          <w:rFonts w:ascii="Times New Roman" w:hAnsi="Times New Roman" w:cs="Times New Roman"/>
          <w:sz w:val="24"/>
          <w:szCs w:val="24"/>
        </w:rPr>
        <w:tab/>
      </w:r>
      <w:r w:rsidR="000F50FA" w:rsidRPr="000F50FA">
        <w:rPr>
          <w:rFonts w:ascii="Times New Roman" w:hAnsi="Times New Roman" w:cs="Times New Roman"/>
          <w:sz w:val="24"/>
          <w:szCs w:val="24"/>
        </w:rPr>
        <w:tab/>
      </w:r>
      <w:r w:rsidR="000F50FA" w:rsidRPr="000F50FA">
        <w:rPr>
          <w:rFonts w:ascii="Times New Roman" w:hAnsi="Times New Roman" w:cs="Times New Roman"/>
          <w:sz w:val="24"/>
          <w:szCs w:val="24"/>
        </w:rPr>
        <w:tab/>
      </w:r>
      <w:r w:rsidR="00CE4E15">
        <w:rPr>
          <w:rFonts w:ascii="Times New Roman" w:hAnsi="Times New Roman" w:cs="Times New Roman"/>
          <w:sz w:val="24"/>
          <w:szCs w:val="24"/>
        </w:rPr>
        <w:tab/>
      </w:r>
      <w:r w:rsidR="000F50FA" w:rsidRPr="000F50FA">
        <w:rPr>
          <w:rFonts w:ascii="Times New Roman" w:hAnsi="Times New Roman" w:cs="Times New Roman"/>
          <w:sz w:val="24"/>
          <w:szCs w:val="24"/>
        </w:rPr>
        <w:t xml:space="preserve"> </w:t>
      </w:r>
      <w:r w:rsidR="005D4C2E">
        <w:rPr>
          <w:rFonts w:ascii="Times New Roman" w:hAnsi="Times New Roman" w:cs="Times New Roman"/>
          <w:sz w:val="24"/>
          <w:szCs w:val="24"/>
        </w:rPr>
        <w:tab/>
      </w:r>
      <w:r w:rsidR="000F50FA" w:rsidRPr="000F50FA">
        <w:rPr>
          <w:rFonts w:ascii="Times New Roman" w:hAnsi="Times New Roman" w:cs="Times New Roman"/>
          <w:sz w:val="24"/>
          <w:szCs w:val="24"/>
        </w:rPr>
        <w:t>(1)</w:t>
      </w:r>
    </w:p>
    <w:p w14:paraId="25F69E04" w14:textId="23D2E4DC" w:rsidR="00ED4FC2" w:rsidRPr="00EB7843" w:rsidRDefault="000F50FA" w:rsidP="00041971">
      <w:pPr>
        <w:snapToGrid w:val="0"/>
        <w:spacing w:after="0" w:line="480" w:lineRule="auto"/>
        <w:jc w:val="both"/>
        <w:rPr>
          <w:rFonts w:ascii="Times New Roman" w:hAnsi="Times New Roman" w:cs="Times New Roman"/>
          <w:sz w:val="24"/>
          <w:szCs w:val="24"/>
        </w:rPr>
      </w:pPr>
      <w:r w:rsidRPr="000F50FA">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1,t</m:t>
            </m:r>
          </m:sub>
        </m:sSub>
      </m:oMath>
      <w:r w:rsidRPr="000F50FA">
        <w:rPr>
          <w:rFonts w:ascii="Times New Roman" w:hAnsi="Times New Roman" w:cs="Times New Roman"/>
          <w:sz w:val="24"/>
          <w:szCs w:val="24"/>
        </w:rPr>
        <w:t xml:space="preserve"> </w:t>
      </w:r>
      <w:r w:rsidR="00504E30">
        <w:rPr>
          <w:rFonts w:ascii="Times New Roman" w:hAnsi="Times New Roman" w:cs="Times New Roman"/>
          <w:sz w:val="24"/>
          <w:szCs w:val="24"/>
        </w:rPr>
        <w:t>is</w:t>
      </w:r>
      <w:r w:rsidRPr="000F50FA">
        <w:rPr>
          <w:rFonts w:ascii="Times New Roman" w:hAnsi="Times New Roman" w:cs="Times New Roman"/>
          <w:sz w:val="24"/>
          <w:szCs w:val="24"/>
        </w:rPr>
        <w:t xml:space="preserve"> </w:t>
      </w:r>
      <w:r w:rsidR="00504E30">
        <w:rPr>
          <w:rFonts w:ascii="Times New Roman" w:hAnsi="Times New Roman" w:cs="Times New Roman"/>
          <w:sz w:val="24"/>
          <w:szCs w:val="24"/>
        </w:rPr>
        <w:t xml:space="preserve">an exogenous variable capturing </w:t>
      </w:r>
      <w:r w:rsidR="00C76636">
        <w:rPr>
          <w:rFonts w:ascii="Times New Roman" w:hAnsi="Times New Roman" w:cs="Times New Roman"/>
          <w:sz w:val="24"/>
          <w:szCs w:val="24"/>
        </w:rPr>
        <w:t xml:space="preserve">the </w:t>
      </w:r>
      <w:r w:rsidR="00504E30">
        <w:rPr>
          <w:rFonts w:ascii="Times New Roman" w:hAnsi="Times New Roman" w:cs="Times New Roman"/>
          <w:sz w:val="24"/>
          <w:szCs w:val="24"/>
        </w:rPr>
        <w:t>pandemic</w:t>
      </w:r>
      <w:r w:rsidR="00C76636">
        <w:rPr>
          <w:rFonts w:ascii="Times New Roman" w:hAnsi="Times New Roman" w:cs="Times New Roman"/>
          <w:sz w:val="24"/>
          <w:szCs w:val="24"/>
        </w:rPr>
        <w:t>-related</w:t>
      </w:r>
      <w:r w:rsidR="00504E30">
        <w:rPr>
          <w:rFonts w:ascii="Times New Roman" w:hAnsi="Times New Roman" w:cs="Times New Roman"/>
          <w:sz w:val="24"/>
          <w:szCs w:val="24"/>
        </w:rPr>
        <w:t xml:space="preserve"> uncertainty</w:t>
      </w:r>
      <w:r w:rsidR="00C76636">
        <w:rPr>
          <w:rFonts w:ascii="Times New Roman" w:hAnsi="Times New Roman" w:cs="Times New Roman"/>
          <w:sz w:val="24"/>
          <w:szCs w:val="24"/>
        </w:rPr>
        <w:t xml:space="preserve"> index</w:t>
      </w:r>
      <w:r w:rsidR="00504E30">
        <w:rPr>
          <w:rFonts w:ascii="Times New Roman" w:hAnsi="Times New Roman" w:cs="Times New Roman"/>
          <w:sz w:val="24"/>
          <w:szCs w:val="24"/>
        </w:rPr>
        <w:t xml:space="preserve"> (i.e., DPI);</w:t>
      </w:r>
      <w:r w:rsidRPr="000F50F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 t</m:t>
            </m:r>
          </m:sub>
        </m:sSub>
      </m:oMath>
      <w:r w:rsidRPr="000F50FA">
        <w:rPr>
          <w:rFonts w:ascii="Times New Roman" w:hAnsi="Times New Roman" w:cs="Times New Roman"/>
          <w:sz w:val="24"/>
          <w:szCs w:val="24"/>
        </w:rPr>
        <w:t xml:space="preserve"> </w:t>
      </w:r>
      <w:r w:rsidR="00504E30">
        <w:rPr>
          <w:rFonts w:ascii="Times New Roman" w:hAnsi="Times New Roman" w:cs="Times New Roman"/>
          <w:sz w:val="24"/>
          <w:szCs w:val="24"/>
        </w:rPr>
        <w:t>is</w:t>
      </w:r>
      <w:r w:rsidRPr="000F50FA">
        <w:rPr>
          <w:rFonts w:ascii="Times New Roman" w:hAnsi="Times New Roman" w:cs="Times New Roman"/>
          <w:sz w:val="24"/>
          <w:szCs w:val="24"/>
        </w:rPr>
        <w:t xml:space="preserve"> a vector of</w:t>
      </w:r>
      <w:r w:rsidR="00504E30">
        <w:rPr>
          <w:rFonts w:ascii="Times New Roman" w:hAnsi="Times New Roman" w:cs="Times New Roman"/>
          <w:sz w:val="24"/>
          <w:szCs w:val="24"/>
        </w:rPr>
        <w:t xml:space="preserve"> </w:t>
      </w:r>
      <w:r w:rsidR="00FF0EA8">
        <w:rPr>
          <w:rFonts w:ascii="Times New Roman" w:hAnsi="Times New Roman" w:cs="Times New Roman"/>
          <w:sz w:val="24"/>
          <w:szCs w:val="24"/>
        </w:rPr>
        <w:t xml:space="preserve">three </w:t>
      </w:r>
      <w:r w:rsidR="00504E30">
        <w:rPr>
          <w:rFonts w:ascii="Times New Roman" w:hAnsi="Times New Roman" w:cs="Times New Roman"/>
          <w:sz w:val="24"/>
          <w:szCs w:val="24"/>
        </w:rPr>
        <w:t xml:space="preserve">endogenous variables measuring </w:t>
      </w:r>
      <w:r w:rsidR="00C76636">
        <w:rPr>
          <w:rFonts w:ascii="Times New Roman" w:hAnsi="Times New Roman" w:cs="Times New Roman"/>
          <w:sz w:val="24"/>
          <w:szCs w:val="24"/>
        </w:rPr>
        <w:t xml:space="preserve">real </w:t>
      </w:r>
      <w:r w:rsidR="007D65CB">
        <w:rPr>
          <w:rFonts w:ascii="Times New Roman" w:hAnsi="Times New Roman" w:cs="Times New Roman"/>
          <w:sz w:val="24"/>
          <w:szCs w:val="24"/>
        </w:rPr>
        <w:t xml:space="preserve">GDP growth rates </w:t>
      </w:r>
      <w:r w:rsidR="00C76636">
        <w:rPr>
          <w:rFonts w:ascii="Times New Roman" w:hAnsi="Times New Roman" w:cs="Times New Roman"/>
          <w:sz w:val="24"/>
          <w:szCs w:val="24"/>
        </w:rPr>
        <w:t>of</w:t>
      </w:r>
      <w:r w:rsidR="007D65CB">
        <w:rPr>
          <w:rFonts w:ascii="Times New Roman" w:hAnsi="Times New Roman" w:cs="Times New Roman"/>
          <w:sz w:val="24"/>
          <w:szCs w:val="24"/>
        </w:rPr>
        <w:t xml:space="preserve"> the US, developed economies (</w:t>
      </w:r>
      <w:r w:rsidR="007D65CB">
        <w:rPr>
          <w:rFonts w:ascii="Times New Roman" w:hAnsi="Times New Roman" w:cs="Times New Roman"/>
          <w:sz w:val="24"/>
        </w:rPr>
        <w:t>excluding the US) and emerging economies</w:t>
      </w:r>
      <w:r w:rsidR="00504E30">
        <w:rPr>
          <w:rFonts w:ascii="Times New Roman" w:hAnsi="Times New Roman" w:cs="Times New Roman"/>
          <w:sz w:val="24"/>
        </w:rPr>
        <w:t>, respectively</w:t>
      </w:r>
      <w:r w:rsidR="003F0A24">
        <w:rPr>
          <w:rFonts w:ascii="Times New Roman" w:hAnsi="Times New Roman" w:cs="Times New Roman"/>
          <w:sz w:val="24"/>
        </w:rPr>
        <w:t xml:space="preserve">, ordered </w:t>
      </w:r>
      <w:r w:rsidR="003F0A24">
        <w:rPr>
          <w:rFonts w:ascii="Times New Roman" w:hAnsi="Times New Roman" w:cs="Times New Roman"/>
          <w:sz w:val="24"/>
        </w:rPr>
        <w:lastRenderedPageBreak/>
        <w:t>assuming a Cholesky decomposition</w:t>
      </w:r>
      <w:r w:rsidRPr="000F50FA">
        <w:rPr>
          <w:rFonts w:ascii="Times New Roman" w:hAnsi="Times New Roman" w:cs="Times New Roman"/>
          <w:sz w:val="24"/>
          <w:szCs w:val="24"/>
        </w:rPr>
        <w:t>.</w:t>
      </w:r>
      <w:r w:rsidR="00C76636">
        <w:rPr>
          <w:rFonts w:ascii="Times New Roman" w:hAnsi="Times New Roman" w:cs="Times New Roman"/>
          <w:sz w:val="24"/>
          <w:szCs w:val="24"/>
        </w:rPr>
        <w:t xml:space="preserve"> This ordering is understandable as it allows us to capture the fact that US growth rate impacts growth rates of the other two blocs</w:t>
      </w:r>
      <w:r w:rsidR="005D4C2E">
        <w:rPr>
          <w:rFonts w:ascii="Times New Roman" w:hAnsi="Times New Roman" w:cs="Times New Roman"/>
          <w:sz w:val="24"/>
          <w:szCs w:val="24"/>
        </w:rPr>
        <w:t xml:space="preserve"> within the same quarter</w:t>
      </w:r>
      <w:r w:rsidR="00C76636">
        <w:rPr>
          <w:rFonts w:ascii="Times New Roman" w:hAnsi="Times New Roman" w:cs="Times New Roman"/>
          <w:sz w:val="24"/>
          <w:szCs w:val="24"/>
        </w:rPr>
        <w:t>, while</w:t>
      </w:r>
      <w:r w:rsidR="005D4C2E">
        <w:rPr>
          <w:rFonts w:ascii="Times New Roman" w:hAnsi="Times New Roman" w:cs="Times New Roman"/>
          <w:sz w:val="24"/>
          <w:szCs w:val="24"/>
        </w:rPr>
        <w:t xml:space="preserve"> advanced economies and emerging countries have a delayed impact on the growth rate of the US. In addition, just like the US, advanced economies too are assumed to contemporaneously impact emerging markets, but the feedback is delayed by a quarter. In other words, the variables are included in the model in decreasing order of exogeneity</w:t>
      </w:r>
      <w:r w:rsidR="00C26287">
        <w:rPr>
          <w:rFonts w:ascii="Times New Roman" w:hAnsi="Times New Roman" w:cs="Times New Roman"/>
          <w:sz w:val="24"/>
          <w:szCs w:val="24"/>
        </w:rPr>
        <w:t>, with DP</w:t>
      </w:r>
      <w:r w:rsidR="003F0A24">
        <w:rPr>
          <w:rFonts w:ascii="Times New Roman" w:hAnsi="Times New Roman" w:cs="Times New Roman"/>
          <w:sz w:val="24"/>
          <w:szCs w:val="24"/>
        </w:rPr>
        <w:t>I being treated, understandably, as completely exogenous, which would not be possible if we used a recursive ordering for all the four variables</w:t>
      </w:r>
      <w:r w:rsidR="005D4C2E">
        <w:rPr>
          <w:rFonts w:ascii="Times New Roman" w:hAnsi="Times New Roman" w:cs="Times New Roman"/>
          <w:sz w:val="24"/>
          <w:szCs w:val="24"/>
        </w:rPr>
        <w: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i,t</m:t>
            </m:r>
          </m:sub>
        </m:sSub>
        <m:d>
          <m:dPr>
            <m:ctrlPr>
              <w:rPr>
                <w:rFonts w:ascii="Cambria Math" w:hAnsi="Cambria Math" w:cs="Times New Roman"/>
                <w:i/>
                <w:sz w:val="24"/>
                <w:szCs w:val="24"/>
              </w:rPr>
            </m:ctrlPr>
          </m:dPr>
          <m:e>
            <m:r>
              <w:rPr>
                <w:rFonts w:ascii="Cambria Math" w:hAnsi="Cambria Math" w:cs="Times New Roman"/>
                <w:sz w:val="24"/>
                <w:szCs w:val="24"/>
              </w:rPr>
              <m:t>L</m:t>
            </m:r>
          </m:e>
        </m:d>
      </m:oMath>
      <w:r w:rsidRPr="000F50FA">
        <w:rPr>
          <w:rFonts w:ascii="Times New Roman" w:hAnsi="Times New Roman" w:cs="Times New Roman"/>
          <w:sz w:val="24"/>
          <w:szCs w:val="24"/>
        </w:rPr>
        <w:t xml:space="preserve"> </w:t>
      </w:r>
      <w:r w:rsidR="00504E30">
        <w:rPr>
          <w:rFonts w:ascii="Times New Roman" w:hAnsi="Times New Roman" w:cs="Times New Roman"/>
          <w:sz w:val="24"/>
          <w:szCs w:val="24"/>
        </w:rPr>
        <w:t>denotes</w:t>
      </w:r>
      <w:r w:rsidRPr="000F50FA">
        <w:rPr>
          <w:rFonts w:ascii="Times New Roman" w:hAnsi="Times New Roman" w:cs="Times New Roman"/>
          <w:sz w:val="24"/>
          <w:szCs w:val="24"/>
        </w:rPr>
        <w:t xml:space="preserve"> a lag polynomial</w:t>
      </w:r>
      <w:r w:rsidR="00504E30">
        <w:rPr>
          <w:rFonts w:ascii="Times New Roman" w:hAnsi="Times New Roman" w:cs="Times New Roman"/>
          <w:sz w:val="24"/>
          <w:szCs w:val="24"/>
        </w:rPr>
        <w:t>,</w:t>
      </w:r>
      <w:r w:rsidRPr="000F50FA">
        <w:rPr>
          <w:rFonts w:ascii="Times New Roman" w:hAnsi="Times New Roman" w:cs="Times New Roman"/>
          <w:sz w:val="24"/>
          <w:szCs w:val="24"/>
        </w:rPr>
        <w:t xml:space="preserve"> with </w:t>
      </w:r>
      <m:oMath>
        <m:r>
          <w:rPr>
            <w:rFonts w:ascii="Cambria Math" w:hAnsi="Cambria Math" w:cs="Times New Roman"/>
            <w:sz w:val="24"/>
            <w:szCs w:val="24"/>
          </w:rPr>
          <m:t>L</m:t>
        </m:r>
      </m:oMath>
      <w:r w:rsidRPr="000F50FA">
        <w:rPr>
          <w:rFonts w:ascii="Times New Roman" w:hAnsi="Times New Roman" w:cs="Times New Roman"/>
          <w:sz w:val="24"/>
          <w:szCs w:val="24"/>
        </w:rPr>
        <w:t xml:space="preserve"> </w:t>
      </w:r>
      <w:r w:rsidR="00504E30">
        <w:rPr>
          <w:rFonts w:ascii="Times New Roman" w:hAnsi="Times New Roman" w:cs="Times New Roman"/>
          <w:sz w:val="24"/>
          <w:szCs w:val="24"/>
        </w:rPr>
        <w:t xml:space="preserve">representing the length of </w:t>
      </w:r>
      <w:r w:rsidRPr="000F50FA">
        <w:rPr>
          <w:rFonts w:ascii="Times New Roman" w:hAnsi="Times New Roman" w:cs="Times New Roman"/>
          <w:sz w:val="24"/>
          <w:szCs w:val="24"/>
        </w:rPr>
        <w:t>lags</w:t>
      </w:r>
      <w:r w:rsidR="00D76760">
        <w:rPr>
          <w:rFonts w:ascii="Times New Roman" w:hAnsi="Times New Roman" w:cs="Times New Roman"/>
          <w:sz w:val="24"/>
          <w:szCs w:val="24"/>
        </w:rPr>
        <w:t>.</w:t>
      </w:r>
      <w:r w:rsidRPr="000F50FA">
        <w:rPr>
          <w:rStyle w:val="FootnoteReference"/>
          <w:rFonts w:ascii="Times New Roman" w:hAnsi="Times New Roman" w:cs="Times New Roman"/>
          <w:sz w:val="24"/>
          <w:szCs w:val="24"/>
        </w:rPr>
        <w:footnoteReference w:id="3"/>
      </w:r>
      <w:r w:rsidRPr="000F50F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0F50FA">
        <w:rPr>
          <w:rFonts w:ascii="Times New Roman" w:hAnsi="Times New Roman" w:cs="Times New Roman"/>
          <w:sz w:val="24"/>
          <w:szCs w:val="24"/>
        </w:rPr>
        <w:t xml:space="preserve"> is a vector of time</w:t>
      </w:r>
      <w:r w:rsidR="00504E30">
        <w:rPr>
          <w:rFonts w:ascii="Times New Roman" w:hAnsi="Times New Roman" w:cs="Times New Roman"/>
          <w:sz w:val="24"/>
          <w:szCs w:val="24"/>
        </w:rPr>
        <w:t>-</w:t>
      </w:r>
      <w:r w:rsidRPr="000F50FA">
        <w:rPr>
          <w:rFonts w:ascii="Times New Roman" w:hAnsi="Times New Roman" w:cs="Times New Roman"/>
          <w:sz w:val="24"/>
          <w:szCs w:val="24"/>
        </w:rPr>
        <w:t xml:space="preserve">varying intercepts. The covariance matrix of the innovations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0F50FA">
        <w:rPr>
          <w:rFonts w:ascii="Times New Roman" w:hAnsi="Times New Roman" w:cs="Times New Roman"/>
          <w:sz w:val="24"/>
          <w:szCs w:val="24"/>
        </w:rPr>
        <w:t xml:space="preserve"> is defined as:</w:t>
      </w:r>
    </w:p>
    <w:p w14:paraId="25F69E06" w14:textId="1765510B" w:rsidR="00ED4FC2" w:rsidRPr="00EB7843" w:rsidRDefault="007333A3" w:rsidP="00041971">
      <w:pPr>
        <w:snapToGrid w:val="0"/>
        <w:spacing w:after="0" w:line="480" w:lineRule="auto"/>
        <w:jc w:val="both"/>
        <w:rPr>
          <w:rFonts w:ascii="Times New Roman" w:hAnsi="Times New Roman" w:cs="Times New Roman"/>
          <w:sz w:val="24"/>
          <w:szCs w:val="24"/>
        </w:rPr>
      </w:pPr>
      <m:oMath>
        <m:r>
          <w:rPr>
            <w:rFonts w:ascii="Cambria Math" w:hAnsi="Cambria Math" w:cs="Times New Roman"/>
            <w:sz w:val="24"/>
            <w:szCs w:val="24"/>
          </w:rPr>
          <m:t xml:space="preserve">Var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t</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t</m:t>
                </m:r>
              </m:sub>
              <m:sup>
                <m:r>
                  <w:rPr>
                    <w:rFonts w:ascii="Cambria Math" w:hAnsi="Cambria Math" w:cs="Times New Roman"/>
                    <w:sz w:val="24"/>
                    <w:szCs w:val="24"/>
                  </w:rPr>
                  <m:t>-1</m:t>
                </m:r>
              </m:sup>
            </m:sSubSup>
            <m:r>
              <w:rPr>
                <w:rFonts w:ascii="Cambria Math" w:hAnsi="Cambria Math" w:cs="Times New Roman"/>
                <w:sz w:val="24"/>
                <w:szCs w:val="24"/>
              </w:rPr>
              <m:t>)</m:t>
            </m:r>
          </m:e>
          <m:sup>
            <m:r>
              <w:rPr>
                <w:rFonts w:ascii="Cambria Math" w:hAnsi="Cambria Math" w:cs="Times New Roman"/>
                <w:sz w:val="24"/>
                <w:szCs w:val="24"/>
              </w:rPr>
              <m:t>'</m:t>
            </m:r>
          </m:sup>
        </m:sSup>
      </m:oMath>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ED4FC2" w:rsidRPr="00EB7843">
        <w:rPr>
          <w:rFonts w:ascii="Times New Roman" w:hAnsi="Times New Roman" w:cs="Times New Roman"/>
          <w:sz w:val="24"/>
          <w:szCs w:val="24"/>
        </w:rPr>
        <w:tab/>
      </w:r>
      <w:r w:rsidR="005D4C2E">
        <w:rPr>
          <w:rFonts w:ascii="Times New Roman" w:hAnsi="Times New Roman" w:cs="Times New Roman"/>
          <w:sz w:val="24"/>
          <w:szCs w:val="24"/>
        </w:rPr>
        <w:tab/>
      </w:r>
      <w:r w:rsidR="0010642B" w:rsidRPr="00EB7843">
        <w:rPr>
          <w:rFonts w:ascii="Times New Roman" w:hAnsi="Times New Roman" w:cs="Times New Roman"/>
          <w:sz w:val="24"/>
          <w:szCs w:val="24"/>
        </w:rPr>
        <w:t xml:space="preserve"> </w:t>
      </w:r>
      <w:r w:rsidR="00ED4FC2" w:rsidRPr="00EB7843">
        <w:rPr>
          <w:rFonts w:ascii="Times New Roman" w:hAnsi="Times New Roman" w:cs="Times New Roman"/>
          <w:sz w:val="24"/>
          <w:szCs w:val="24"/>
        </w:rPr>
        <w:t>(2)</w:t>
      </w:r>
    </w:p>
    <w:p w14:paraId="25F69E0E" w14:textId="45573D2D" w:rsidR="0010642B" w:rsidRPr="00EB7843" w:rsidRDefault="00504E30" w:rsidP="00041971">
      <w:pPr>
        <w:snapToGri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ED4FC2" w:rsidRPr="00EB7843">
        <w:rPr>
          <w:rFonts w:ascii="Times New Roman" w:hAnsi="Times New Roman" w:cs="Times New Roman"/>
          <w:sz w:val="24"/>
          <w:szCs w:val="24"/>
        </w:rPr>
        <w:t>here</w:t>
      </w:r>
      <w:r>
        <w:rPr>
          <w:rFonts w:ascii="Times New Roman" w:hAnsi="Times New Roman" w:cs="Times New Roman"/>
          <w:sz w:val="24"/>
          <w:szCs w:val="24"/>
        </w:rPr>
        <w:t xml:space="preserve"> time-varying</w:t>
      </w:r>
      <w:r w:rsidR="00ED4FC2" w:rsidRPr="00EB784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A</m:t>
            </m:r>
          </m:e>
          <m:sub>
            <m:r>
              <w:rPr>
                <w:rFonts w:ascii="Cambria Math" w:hAnsi="Cambria Math" w:cs="Times New Roman"/>
                <w:sz w:val="24"/>
                <w:szCs w:val="24"/>
              </w:rPr>
              <m:t>t</m:t>
            </m:r>
          </m:sub>
        </m:sSub>
      </m:oMath>
      <w:r w:rsidR="00ED4FC2" w:rsidRPr="00EB7843">
        <w:rPr>
          <w:rFonts w:ascii="Times New Roman" w:hAnsi="Times New Roman" w:cs="Times New Roman"/>
          <w:sz w:val="24"/>
          <w:szCs w:val="24"/>
        </w:rPr>
        <w:t xml:space="preserve"> is the lower triangular matrix with ones on the diagonal.</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t</m:t>
            </m:r>
          </m:sub>
        </m:sSub>
      </m:oMath>
      <w:r w:rsidR="00ED4FC2" w:rsidRPr="00EB7843">
        <w:rPr>
          <w:rFonts w:ascii="Times New Roman" w:hAnsi="Times New Roman" w:cs="Times New Roman"/>
          <w:sz w:val="24"/>
          <w:szCs w:val="24"/>
        </w:rPr>
        <w:t xml:space="preserve"> is </w:t>
      </w:r>
      <w:r>
        <w:rPr>
          <w:rFonts w:ascii="Times New Roman" w:hAnsi="Times New Roman" w:cs="Times New Roman"/>
          <w:sz w:val="24"/>
          <w:szCs w:val="24"/>
        </w:rPr>
        <w:t xml:space="preserve">defined as </w:t>
      </w:r>
      <w:proofErr w:type="spellStart"/>
      <w:r>
        <w:rPr>
          <w:rFonts w:ascii="Times New Roman" w:hAnsi="Times New Roman" w:cs="Times New Roman"/>
          <w:sz w:val="24"/>
          <w:szCs w:val="24"/>
        </w:rPr>
        <w:t>diag</w:t>
      </w:r>
      <w:proofErr w:type="spellEnd"/>
      <w:r>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 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 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 t</m:t>
            </m:r>
          </m:sub>
        </m:sSub>
        <m:r>
          <w:rPr>
            <w:rFonts w:ascii="Cambria Math" w:hAnsi="Cambria Math" w:cs="Times New Roman"/>
            <w:sz w:val="24"/>
            <w:szCs w:val="24"/>
          </w:rPr>
          <m:t>)</m:t>
        </m:r>
      </m:oMath>
      <w:r>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 t</m:t>
            </m:r>
          </m:sub>
        </m:sSub>
      </m:oMath>
      <w:r w:rsidR="00ED4FC2" w:rsidRPr="00EB7843">
        <w:rPr>
          <w:rFonts w:ascii="Times New Roman" w:hAnsi="Times New Roman" w:cs="Times New Roman"/>
          <w:sz w:val="24"/>
          <w:szCs w:val="24"/>
        </w:rPr>
        <w:t xml:space="preserve"> follows </w:t>
      </w:r>
      <w:r w:rsidR="0065525B" w:rsidRPr="00EB7843">
        <w:rPr>
          <w:rFonts w:ascii="Times New Roman" w:hAnsi="Times New Roman" w:cs="Times New Roman"/>
          <w:sz w:val="24"/>
          <w:szCs w:val="24"/>
        </w:rPr>
        <w:t>a</w:t>
      </w:r>
      <w:r w:rsidR="00B46791" w:rsidRPr="00EB7843">
        <w:rPr>
          <w:rFonts w:ascii="Times New Roman" w:hAnsi="Times New Roman" w:cs="Times New Roman"/>
          <w:sz w:val="24"/>
          <w:szCs w:val="24"/>
        </w:rPr>
        <w:t xml:space="preserve"> geometric random walk process</w:t>
      </w:r>
      <w:r w:rsidR="005D4C2E">
        <w:rPr>
          <w:rFonts w:ascii="Times New Roman" w:hAnsi="Times New Roman" w:cs="Times New Roman"/>
          <w:sz w:val="24"/>
          <w:szCs w:val="24"/>
        </w:rPr>
        <w:t xml:space="preserve"> as follows:</w:t>
      </w:r>
    </w:p>
    <w:p w14:paraId="25F69E10" w14:textId="2DBADE18" w:rsidR="00B46791" w:rsidRPr="00EB7843" w:rsidRDefault="0010642B" w:rsidP="00041971">
      <w:pPr>
        <w:snapToGrid w:val="0"/>
        <w:spacing w:after="0" w:line="480" w:lineRule="auto"/>
        <w:jc w:val="both"/>
        <w:rPr>
          <w:rFonts w:ascii="Times New Roman" w:hAnsi="Times New Roman" w:cs="Times New Roman"/>
          <w:sz w:val="24"/>
          <w:szCs w:val="24"/>
        </w:rPr>
      </w:pPr>
      <m:oMath>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 t</m:t>
                </m:r>
              </m:sub>
            </m:sSub>
          </m:e>
        </m:d>
        <m:r>
          <w:rPr>
            <w:rFonts w:ascii="Cambria Math" w:hAnsi="Cambria Math" w:cs="Times New Roman"/>
            <w:sz w:val="24"/>
            <w:szCs w:val="24"/>
          </w:rPr>
          <m:t>= 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 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oMath>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t xml:space="preserve">   </w:t>
      </w:r>
      <w:r w:rsidRPr="00EB7843">
        <w:rPr>
          <w:rFonts w:ascii="Times New Roman" w:hAnsi="Times New Roman" w:cs="Times New Roman"/>
          <w:sz w:val="24"/>
          <w:szCs w:val="24"/>
        </w:rPr>
        <w:t>(</w:t>
      </w:r>
      <w:r w:rsidR="0071655C" w:rsidRPr="00EB7843">
        <w:rPr>
          <w:rFonts w:ascii="Times New Roman" w:hAnsi="Times New Roman" w:cs="Times New Roman"/>
          <w:sz w:val="24"/>
          <w:szCs w:val="24"/>
        </w:rPr>
        <w:t>3</w:t>
      </w:r>
      <w:r w:rsidRPr="00EB7843">
        <w:rPr>
          <w:rFonts w:ascii="Times New Roman" w:hAnsi="Times New Roman" w:cs="Times New Roman"/>
          <w:sz w:val="24"/>
          <w:szCs w:val="24"/>
        </w:rPr>
        <w:t>)</w:t>
      </w:r>
    </w:p>
    <w:p w14:paraId="25F69E12" w14:textId="0F668E0B" w:rsidR="0071655C" w:rsidRPr="00EB7843" w:rsidRDefault="0071655C" w:rsidP="00041971">
      <w:pPr>
        <w:snapToGrid w:val="0"/>
        <w:spacing w:after="0" w:line="480" w:lineRule="auto"/>
        <w:ind w:firstLineChars="200" w:firstLine="480"/>
        <w:jc w:val="both"/>
        <w:rPr>
          <w:rFonts w:ascii="Times New Roman" w:hAnsi="Times New Roman" w:cs="Times New Roman"/>
          <w:sz w:val="24"/>
          <w:szCs w:val="24"/>
        </w:rPr>
      </w:pPr>
      <w:r w:rsidRPr="00EB7843">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EB7843">
        <w:rPr>
          <w:rFonts w:ascii="Times New Roman" w:hAnsi="Times New Roman" w:cs="Times New Roman"/>
          <w:sz w:val="24"/>
          <w:szCs w:val="24"/>
        </w:rPr>
        <w:t xml:space="preserve"> </w:t>
      </w:r>
      <w:r w:rsidR="00AC2136" w:rsidRPr="00AC2136">
        <w:rPr>
          <w:rFonts w:ascii="Times New Roman" w:hAnsi="Times New Roman" w:cs="Times New Roman"/>
          <w:sz w:val="24"/>
          <w:szCs w:val="24"/>
        </w:rPr>
        <w:t xml:space="preserve">be the vector of non-zero and non-one elements of the matrix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A</m:t>
            </m:r>
          </m:e>
          <m:sub>
            <m:r>
              <w:rPr>
                <w:rFonts w:ascii="Cambria Math" w:hAnsi="Cambria Math" w:cs="Times New Roman"/>
                <w:sz w:val="24"/>
                <w:szCs w:val="24"/>
              </w:rPr>
              <m:t>t</m:t>
            </m:r>
          </m:sub>
        </m:sSub>
      </m:oMath>
      <w:r w:rsidR="00AC2136" w:rsidRPr="00EB7843">
        <w:rPr>
          <w:rFonts w:ascii="Times New Roman" w:hAnsi="Times New Roman" w:cs="Times New Roman"/>
          <w:sz w:val="24"/>
          <w:szCs w:val="24"/>
        </w:rPr>
        <w:t xml:space="preserve"> </w:t>
      </w:r>
      <w:r w:rsidRPr="00EB7843">
        <w:rPr>
          <w:rFonts w:ascii="Times New Roman" w:hAnsi="Times New Roman" w:cs="Times New Roman"/>
          <w:sz w:val="24"/>
          <w:szCs w:val="24"/>
        </w:rPr>
        <w:t>(stacked by rows)</w:t>
      </w:r>
      <w:r w:rsidR="0007177E" w:rsidRPr="00EB7843">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oMath>
      <w:r w:rsidR="0007177E" w:rsidRPr="00EB7843">
        <w:rPr>
          <w:rFonts w:ascii="Times New Roman" w:hAnsi="Times New Roman" w:cs="Times New Roman"/>
          <w:sz w:val="24"/>
          <w:szCs w:val="24"/>
        </w:rPr>
        <w:t xml:space="preserve"> be the vector </w:t>
      </w:r>
      <w:r w:rsidR="00031564">
        <w:rPr>
          <w:rFonts w:ascii="Times New Roman" w:hAnsi="Times New Roman" w:cs="Times New Roman"/>
          <w:sz w:val="24"/>
          <w:szCs w:val="24"/>
        </w:rPr>
        <w:t xml:space="preserve">that </w:t>
      </w:r>
      <w:r w:rsidR="0007177E" w:rsidRPr="00EB7843">
        <w:rPr>
          <w:rFonts w:ascii="Times New Roman" w:hAnsi="Times New Roman" w:cs="Times New Roman"/>
          <w:sz w:val="24"/>
          <w:szCs w:val="24"/>
        </w:rPr>
        <w:t xml:space="preserve">stacked all </w:t>
      </w:r>
      <w:r w:rsidR="00031564" w:rsidRPr="00EB7843">
        <w:rPr>
          <w:rFonts w:ascii="Times New Roman" w:hAnsi="Times New Roman" w:cs="Times New Roman"/>
          <w:sz w:val="24"/>
          <w:szCs w:val="24"/>
        </w:rPr>
        <w:t xml:space="preserve">the </w:t>
      </w:r>
      <w:r w:rsidR="00AC2136">
        <w:rPr>
          <w:rFonts w:ascii="Times New Roman" w:hAnsi="Times New Roman" w:cs="Times New Roman"/>
          <w:sz w:val="24"/>
          <w:szCs w:val="24"/>
        </w:rPr>
        <w:t xml:space="preserve">time-varying </w:t>
      </w:r>
      <w:r w:rsidR="0007177E" w:rsidRPr="00EB7843">
        <w:rPr>
          <w:rFonts w:ascii="Times New Roman" w:hAnsi="Times New Roman" w:cs="Times New Roman"/>
          <w:sz w:val="24"/>
          <w:szCs w:val="24"/>
        </w:rPr>
        <w:t>coefficients</w:t>
      </w:r>
      <w:r w:rsidR="00031564">
        <w:rPr>
          <w:rFonts w:ascii="Times New Roman" w:hAnsi="Times New Roman" w:cs="Times New Roman"/>
          <w:sz w:val="24"/>
          <w:szCs w:val="24"/>
        </w:rPr>
        <w:t xml:space="preserve"> on the </w:t>
      </w:r>
      <w:r w:rsidR="00031564" w:rsidRPr="00EB7843">
        <w:rPr>
          <w:rFonts w:ascii="Times New Roman" w:hAnsi="Times New Roman" w:cs="Times New Roman"/>
          <w:sz w:val="24"/>
          <w:szCs w:val="24"/>
        </w:rPr>
        <w:t>right-hand</w:t>
      </w:r>
      <w:r w:rsidR="00031564">
        <w:rPr>
          <w:rFonts w:ascii="Times New Roman" w:hAnsi="Times New Roman" w:cs="Times New Roman"/>
          <w:sz w:val="24"/>
          <w:szCs w:val="24"/>
        </w:rPr>
        <w:t xml:space="preserve"> </w:t>
      </w:r>
      <w:r w:rsidR="00031564" w:rsidRPr="00EB7843">
        <w:rPr>
          <w:rFonts w:ascii="Times New Roman" w:hAnsi="Times New Roman" w:cs="Times New Roman"/>
          <w:sz w:val="24"/>
          <w:szCs w:val="24"/>
        </w:rPr>
        <w:t>side</w:t>
      </w:r>
      <w:r w:rsidR="0007177E" w:rsidRPr="00EB7843">
        <w:rPr>
          <w:rFonts w:ascii="Times New Roman" w:hAnsi="Times New Roman" w:cs="Times New Roman"/>
          <w:sz w:val="24"/>
          <w:szCs w:val="24"/>
        </w:rPr>
        <w:t xml:space="preserve"> </w:t>
      </w:r>
      <w:r w:rsidR="00031564">
        <w:rPr>
          <w:rFonts w:ascii="Times New Roman" w:hAnsi="Times New Roman" w:cs="Times New Roman"/>
          <w:sz w:val="24"/>
          <w:szCs w:val="24"/>
        </w:rPr>
        <w:t>of</w:t>
      </w:r>
      <w:r w:rsidR="0007177E" w:rsidRPr="00EB7843">
        <w:rPr>
          <w:rFonts w:ascii="Times New Roman" w:hAnsi="Times New Roman" w:cs="Times New Roman"/>
          <w:sz w:val="24"/>
          <w:szCs w:val="24"/>
        </w:rPr>
        <w:t xml:space="preserve"> </w:t>
      </w:r>
      <w:r w:rsidR="005D4C2E">
        <w:rPr>
          <w:rFonts w:ascii="Times New Roman" w:hAnsi="Times New Roman" w:cs="Times New Roman"/>
          <w:sz w:val="24"/>
          <w:szCs w:val="24"/>
        </w:rPr>
        <w:t xml:space="preserve">equation </w:t>
      </w:r>
      <w:r w:rsidR="0007177E" w:rsidRPr="00EB7843">
        <w:rPr>
          <w:rFonts w:ascii="Times New Roman" w:hAnsi="Times New Roman" w:cs="Times New Roman"/>
          <w:sz w:val="24"/>
          <w:szCs w:val="24"/>
        </w:rPr>
        <w:t>(1).</w:t>
      </w:r>
      <w:r w:rsidRPr="00EB7843">
        <w:rPr>
          <w:rFonts w:ascii="Times New Roman" w:hAnsi="Times New Roman" w:cs="Times New Roman"/>
          <w:sz w:val="24"/>
          <w:szCs w:val="24"/>
        </w:rPr>
        <w:t xml:space="preserve"> </w:t>
      </w:r>
      <w:r w:rsidR="00956947" w:rsidRPr="00EB7843">
        <w:rPr>
          <w:rFonts w:ascii="Times New Roman" w:hAnsi="Times New Roman" w:cs="Times New Roman"/>
          <w:sz w:val="24"/>
          <w:szCs w:val="24"/>
        </w:rPr>
        <w:t xml:space="preserve">Both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EB7843">
        <w:rPr>
          <w:rFonts w:ascii="Times New Roman" w:hAnsi="Times New Roman" w:cs="Times New Roman"/>
          <w:sz w:val="24"/>
          <w:szCs w:val="24"/>
        </w:rPr>
        <w:t xml:space="preserve"> </w:t>
      </w:r>
      <w:r w:rsidR="0007177E" w:rsidRPr="00EB7843">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oMath>
      <w:r w:rsidR="0007177E" w:rsidRPr="00EB7843">
        <w:rPr>
          <w:rFonts w:ascii="Times New Roman" w:hAnsi="Times New Roman" w:cs="Times New Roman"/>
          <w:sz w:val="24"/>
          <w:szCs w:val="24"/>
        </w:rPr>
        <w:t xml:space="preserve"> </w:t>
      </w:r>
      <w:r w:rsidR="00504E30">
        <w:rPr>
          <w:rFonts w:ascii="Times New Roman" w:hAnsi="Times New Roman" w:cs="Times New Roman"/>
          <w:sz w:val="24"/>
          <w:szCs w:val="24"/>
        </w:rPr>
        <w:t>are</w:t>
      </w:r>
      <w:r w:rsidR="0007177E" w:rsidRPr="00EB7843">
        <w:rPr>
          <w:rFonts w:ascii="Times New Roman" w:hAnsi="Times New Roman" w:cs="Times New Roman"/>
          <w:sz w:val="24"/>
          <w:szCs w:val="24"/>
        </w:rPr>
        <w:t xml:space="preserve"> </w:t>
      </w:r>
      <w:r w:rsidR="00AC2136">
        <w:rPr>
          <w:rFonts w:ascii="Times New Roman" w:hAnsi="Times New Roman" w:cs="Times New Roman"/>
          <w:sz w:val="24"/>
          <w:szCs w:val="24"/>
        </w:rPr>
        <w:t>assumed to</w:t>
      </w:r>
      <w:r w:rsidR="00AC2136" w:rsidRPr="00AC2136">
        <w:rPr>
          <w:rFonts w:ascii="Times New Roman" w:hAnsi="Times New Roman" w:cs="Times New Roman"/>
          <w:sz w:val="24"/>
          <w:szCs w:val="24"/>
        </w:rPr>
        <w:t xml:space="preserve"> evolve as driftless random w</w:t>
      </w:r>
      <w:r w:rsidR="00AC2136">
        <w:rPr>
          <w:rFonts w:ascii="Times New Roman" w:hAnsi="Times New Roman" w:cs="Times New Roman"/>
          <w:sz w:val="24"/>
          <w:szCs w:val="24"/>
        </w:rPr>
        <w:t>alks</w:t>
      </w:r>
      <w:r w:rsidR="003F0A24">
        <w:rPr>
          <w:rFonts w:ascii="Times New Roman" w:hAnsi="Times New Roman" w:cs="Times New Roman"/>
          <w:sz w:val="24"/>
          <w:szCs w:val="24"/>
        </w:rPr>
        <w:t>:</w:t>
      </w:r>
    </w:p>
    <w:p w14:paraId="25F69E14" w14:textId="63ADC291" w:rsidR="0007177E" w:rsidRPr="00EB7843" w:rsidRDefault="0096289D" w:rsidP="00041971">
      <w:pPr>
        <w:snapToGrid w:val="0"/>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w:r w:rsidR="0071655C" w:rsidRPr="00EB7843">
        <w:rPr>
          <w:rFonts w:ascii="Times New Roman" w:hAnsi="Times New Roman" w:cs="Times New Roman"/>
          <w:sz w:val="24"/>
          <w:szCs w:val="24"/>
        </w:rPr>
        <w:t xml:space="preserve"> </w:t>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F04C56" w:rsidRPr="00EB7843">
        <w:rPr>
          <w:rFonts w:ascii="Times New Roman" w:hAnsi="Times New Roman" w:cs="Times New Roman"/>
          <w:sz w:val="24"/>
          <w:szCs w:val="24"/>
        </w:rPr>
        <w:tab/>
      </w:r>
      <w:r w:rsidR="005D4C2E">
        <w:rPr>
          <w:rFonts w:ascii="Times New Roman" w:hAnsi="Times New Roman" w:cs="Times New Roman"/>
          <w:sz w:val="24"/>
          <w:szCs w:val="24"/>
        </w:rPr>
        <w:tab/>
        <w:t xml:space="preserve">   </w:t>
      </w:r>
      <w:r w:rsidR="0071655C" w:rsidRPr="00EB7843">
        <w:rPr>
          <w:rFonts w:ascii="Times New Roman" w:hAnsi="Times New Roman" w:cs="Times New Roman"/>
          <w:sz w:val="24"/>
          <w:szCs w:val="24"/>
        </w:rPr>
        <w:t>(4)</w:t>
      </w:r>
    </w:p>
    <w:p w14:paraId="25F69E16" w14:textId="37BF93FB" w:rsidR="0007177E" w:rsidRPr="00EB7843" w:rsidRDefault="0096289D" w:rsidP="00041971">
      <w:pPr>
        <w:snapToGrid w:val="0"/>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005D4C2E">
        <w:rPr>
          <w:rFonts w:ascii="Times New Roman" w:hAnsi="Times New Roman" w:cs="Times New Roman"/>
          <w:sz w:val="24"/>
          <w:szCs w:val="24"/>
        </w:rPr>
        <w:t xml:space="preserve"> </w:t>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t xml:space="preserve">               </w:t>
      </w:r>
      <w:r w:rsidR="0007177E" w:rsidRPr="00EB7843">
        <w:rPr>
          <w:rFonts w:ascii="Times New Roman" w:hAnsi="Times New Roman" w:cs="Times New Roman"/>
          <w:sz w:val="24"/>
          <w:szCs w:val="24"/>
        </w:rPr>
        <w:t>(5)</w:t>
      </w:r>
    </w:p>
    <w:p w14:paraId="25F69E18" w14:textId="53118DAB" w:rsidR="004D0486" w:rsidRPr="00EB7843" w:rsidRDefault="00EA70AA"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All</w:t>
      </w:r>
      <w:r w:rsidR="002C50D3" w:rsidRPr="00EB7843">
        <w:rPr>
          <w:rFonts w:ascii="Times New Roman" w:hAnsi="Times New Roman" w:cs="Times New Roman"/>
          <w:sz w:val="24"/>
          <w:szCs w:val="24"/>
        </w:rPr>
        <w:t xml:space="preserve"> innovations in the </w:t>
      </w:r>
      <w:r>
        <w:rPr>
          <w:rFonts w:ascii="Times New Roman" w:hAnsi="Times New Roman" w:cs="Times New Roman"/>
          <w:sz w:val="24"/>
          <w:szCs w:val="24"/>
        </w:rPr>
        <w:t>model</w:t>
      </w:r>
      <w:r w:rsidR="002C50D3" w:rsidRPr="00EB7843">
        <w:rPr>
          <w:rFonts w:ascii="Times New Roman" w:hAnsi="Times New Roman" w:cs="Times New Roman"/>
          <w:sz w:val="24"/>
          <w:szCs w:val="24"/>
        </w:rPr>
        <w:t xml:space="preserve"> are</w:t>
      </w:r>
      <w:r w:rsidR="00504E30">
        <w:rPr>
          <w:rFonts w:ascii="Times New Roman" w:hAnsi="Times New Roman" w:cs="Times New Roman"/>
          <w:sz w:val="24"/>
          <w:szCs w:val="24"/>
        </w:rPr>
        <w:t xml:space="preserve"> assumed to be</w:t>
      </w:r>
      <w:r w:rsidR="002C50D3" w:rsidRPr="00EB7843">
        <w:rPr>
          <w:rFonts w:ascii="Times New Roman" w:hAnsi="Times New Roman" w:cs="Times New Roman"/>
          <w:sz w:val="24"/>
          <w:szCs w:val="24"/>
        </w:rPr>
        <w:t xml:space="preserve"> jointly normally distributed</w:t>
      </w:r>
      <w:r w:rsidR="00363984" w:rsidRPr="00EB7843">
        <w:rPr>
          <w:rFonts w:ascii="Times New Roman" w:hAnsi="Times New Roman" w:cs="Times New Roman"/>
          <w:sz w:val="24"/>
          <w:szCs w:val="24"/>
        </w:rPr>
        <w:t xml:space="preserve"> (i.e., </w:t>
      </w: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ξ</m:t>
                </m:r>
              </m:e>
              <m:sub>
                <m:r>
                  <w:rPr>
                    <w:rFonts w:ascii="Cambria Math" w:hAnsi="Cambria Math" w:cs="Times New Roman"/>
                    <w:sz w:val="24"/>
                    <w:szCs w:val="24"/>
                  </w:rPr>
                  <m:t>t</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 v</m:t>
                </m:r>
              </m:e>
              <m:sub>
                <m:r>
                  <w:rPr>
                    <w:rFonts w:ascii="Cambria Math" w:hAnsi="Cambria Math" w:cs="Times New Roman"/>
                    <w:sz w:val="24"/>
                    <w:szCs w:val="24"/>
                  </w:rPr>
                  <m:t>t</m:t>
                </m:r>
              </m:sub>
              <m:sup>
                <m:r>
                  <w:rPr>
                    <w:rFonts w:ascii="Cambria Math" w:hAnsi="Cambria Math" w:cs="Times New Roman"/>
                    <w:sz w:val="24"/>
                    <w:szCs w:val="24"/>
                  </w:rPr>
                  <m:t>'</m:t>
                </m:r>
              </m:sup>
            </m:sSubSup>
          </m:e>
        </m:d>
        <m:r>
          <w:rPr>
            <w:rFonts w:ascii="Cambria Math" w:hAnsi="Cambria Math" w:cs="Times New Roman"/>
            <w:sz w:val="24"/>
            <w:szCs w:val="24"/>
          </w:rPr>
          <m:t>, V~ N(0,H)</m:t>
        </m:r>
      </m:oMath>
      <w:r w:rsidR="00363984" w:rsidRPr="00EB7843">
        <w:rPr>
          <w:rFonts w:ascii="Times New Roman" w:hAnsi="Times New Roman" w:cs="Times New Roman"/>
          <w:sz w:val="24"/>
          <w:szCs w:val="24"/>
        </w:rPr>
        <w:t xml:space="preserve">, </w:t>
      </w:r>
      <w:r w:rsidR="00F14700" w:rsidRPr="00EB7843">
        <w:rPr>
          <w:rFonts w:ascii="Times New Roman" w:hAnsi="Times New Roman" w:cs="Times New Roman"/>
          <w:sz w:val="24"/>
          <w:szCs w:val="24"/>
        </w:rPr>
        <w:t>with the following assumptions on the</w:t>
      </w:r>
      <w:r w:rsidR="00363984" w:rsidRPr="00EB7843">
        <w:rPr>
          <w:rFonts w:ascii="Times New Roman" w:hAnsi="Times New Roman" w:cs="Times New Roman"/>
          <w:sz w:val="24"/>
          <w:szCs w:val="24"/>
        </w:rPr>
        <w:t xml:space="preserve"> covariance</w:t>
      </w:r>
      <w:r>
        <w:rPr>
          <w:rFonts w:ascii="Times New Roman" w:hAnsi="Times New Roman" w:cs="Times New Roman"/>
          <w:sz w:val="24"/>
          <w:szCs w:val="24"/>
        </w:rPr>
        <w:t xml:space="preserve"> matrix</w:t>
      </w:r>
      <w:r w:rsidR="00F14700" w:rsidRPr="00EB7843">
        <w:rPr>
          <w:rFonts w:ascii="Times New Roman" w:hAnsi="Times New Roman" w:cs="Times New Roman"/>
          <w:sz w:val="24"/>
          <w:szCs w:val="24"/>
        </w:rPr>
        <w:t xml:space="preserve"> </w:t>
      </w:r>
      <m:oMath>
        <m:r>
          <w:rPr>
            <w:rFonts w:ascii="Cambria Math" w:hAnsi="Cambria Math" w:cs="Times New Roman"/>
            <w:sz w:val="24"/>
            <w:szCs w:val="24"/>
          </w:rPr>
          <m:t>H</m:t>
        </m:r>
      </m:oMath>
      <w:r w:rsidR="005D4C2E">
        <w:rPr>
          <w:rFonts w:ascii="Times New Roman" w:hAnsi="Times New Roman" w:cs="Times New Roman"/>
          <w:sz w:val="24"/>
          <w:szCs w:val="24"/>
        </w:rPr>
        <w:t>:</w:t>
      </w:r>
    </w:p>
    <w:p w14:paraId="25F69E1A" w14:textId="5AFA1FED" w:rsidR="006E2FC6" w:rsidRPr="00EB7843" w:rsidRDefault="00F14700" w:rsidP="00041971">
      <w:pPr>
        <w:snapToGrid w:val="0"/>
        <w:spacing w:after="0" w:line="480" w:lineRule="auto"/>
        <w:jc w:val="both"/>
        <w:rPr>
          <w:rFonts w:ascii="Times New Roman" w:hAnsi="Times New Roman" w:cs="Times New Roman"/>
          <w:sz w:val="24"/>
          <w:szCs w:val="24"/>
        </w:rPr>
      </w:pPr>
      <m:oMath>
        <m:r>
          <w:rPr>
            <w:rFonts w:ascii="Cambria Math" w:hAnsi="Cambria Math" w:cs="Times New Roman"/>
            <w:sz w:val="24"/>
            <w:szCs w:val="24"/>
          </w:rPr>
          <m:t>H=Var</m:t>
        </m:r>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eqArr>
                  <m:eqArrPr>
                    <m:obj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e>
                  <m:e>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e>
                </m:eqAr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cs="Times New Roman"/>
                      <w:sz w:val="24"/>
                      <w:szCs w:val="24"/>
                    </w:rPr>
                    <m:t>Q</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cs="Times New Roman"/>
                      <w:sz w:val="24"/>
                      <w:szCs w:val="24"/>
                    </w:rPr>
                    <m:t>0</m:t>
                  </m:r>
                </m:e>
                <m:e>
                  <m:r>
                    <w:rPr>
                      <w:rFonts w:ascii="Cambria Math" w:hAnsi="Cambria Math" w:cs="Times New Roman"/>
                      <w:sz w:val="24"/>
                      <w:szCs w:val="24"/>
                    </w:rPr>
                    <m:t>S</m:t>
                  </m:r>
                </m:e>
                <m:e>
                  <m:r>
                    <w:rPr>
                      <w:rFonts w:ascii="Cambria Math" w:hAnsi="Cambria Math" w:cs="Times New Roman"/>
                      <w:sz w:val="24"/>
                      <w:szCs w:val="24"/>
                    </w:rPr>
                    <m:t>0</m:t>
                  </m: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G</m:t>
                  </m:r>
                </m:e>
              </m:mr>
            </m:m>
          </m:e>
        </m:d>
      </m:oMath>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r>
      <w:r w:rsidR="005D4C2E">
        <w:rPr>
          <w:rFonts w:ascii="Times New Roman" w:hAnsi="Times New Roman" w:cs="Times New Roman"/>
          <w:sz w:val="24"/>
          <w:szCs w:val="24"/>
        </w:rPr>
        <w:tab/>
        <w:t xml:space="preserve">   (6)</w:t>
      </w:r>
    </w:p>
    <w:p w14:paraId="38EC998F" w14:textId="3F58A047" w:rsidR="00DA065D" w:rsidRDefault="008F66F1" w:rsidP="00041971">
      <w:pPr>
        <w:snapToGrid w:val="0"/>
        <w:spacing w:after="0" w:line="480" w:lineRule="auto"/>
        <w:jc w:val="both"/>
        <w:rPr>
          <w:rFonts w:ascii="Times New Roman" w:hAnsi="Times New Roman" w:cs="Times New Roman"/>
          <w:sz w:val="24"/>
          <w:szCs w:val="24"/>
        </w:rPr>
      </w:pPr>
      <w:r w:rsidRPr="00EB7843">
        <w:rPr>
          <w:rFonts w:ascii="Times New Roman" w:hAnsi="Times New Roman" w:cs="Times New Roman"/>
          <w:sz w:val="24"/>
          <w:szCs w:val="24"/>
        </w:rPr>
        <w:lastRenderedPageBreak/>
        <w:t>w</w:t>
      </w:r>
      <w:r w:rsidR="002C50D3" w:rsidRPr="00EB7843">
        <w:rPr>
          <w:rFonts w:ascii="Times New Roman" w:hAnsi="Times New Roman" w:cs="Times New Roman"/>
          <w:sz w:val="24"/>
          <w:szCs w:val="24"/>
        </w:rPr>
        <w:t>here</w:t>
      </w:r>
      <w:r w:rsidRPr="00EB784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m:t>
            </m:r>
          </m:sub>
        </m:sSub>
      </m:oMath>
      <w:r w:rsidR="003F0A24">
        <w:rPr>
          <w:rFonts w:ascii="Times New Roman" w:hAnsi="Times New Roman" w:cs="Times New Roman"/>
          <w:sz w:val="24"/>
          <w:szCs w:val="24"/>
        </w:rPr>
        <w:t xml:space="preserve"> is an identity matrix;</w:t>
      </w:r>
      <w:r w:rsidRPr="00EB7843">
        <w:rPr>
          <w:rFonts w:ascii="Times New Roman" w:hAnsi="Times New Roman" w:cs="Times New Roman"/>
          <w:sz w:val="24"/>
          <w:szCs w:val="24"/>
        </w:rPr>
        <w:t xml:space="preserve"> </w:t>
      </w:r>
      <w:r w:rsidRPr="003F0A24">
        <w:rPr>
          <w:rFonts w:ascii="Times New Roman" w:hAnsi="Times New Roman" w:cs="Times New Roman"/>
          <w:i/>
          <w:sz w:val="24"/>
          <w:szCs w:val="24"/>
        </w:rPr>
        <w:t>Q</w:t>
      </w:r>
      <w:r w:rsidR="003F0A24">
        <w:rPr>
          <w:rFonts w:ascii="Times New Roman" w:hAnsi="Times New Roman" w:cs="Times New Roman"/>
          <w:sz w:val="24"/>
          <w:szCs w:val="24"/>
        </w:rPr>
        <w:t xml:space="preserve">, </w:t>
      </w:r>
      <w:r w:rsidRPr="003F0A24">
        <w:rPr>
          <w:rFonts w:ascii="Times New Roman" w:hAnsi="Times New Roman" w:cs="Times New Roman"/>
          <w:i/>
          <w:sz w:val="24"/>
          <w:szCs w:val="24"/>
        </w:rPr>
        <w:t>S</w:t>
      </w:r>
      <w:r w:rsidRPr="00EB7843">
        <w:rPr>
          <w:rFonts w:ascii="Times New Roman" w:hAnsi="Times New Roman" w:cs="Times New Roman"/>
          <w:sz w:val="24"/>
          <w:szCs w:val="24"/>
        </w:rPr>
        <w:t xml:space="preserve">, and </w:t>
      </w:r>
      <w:r w:rsidRPr="003F0A24">
        <w:rPr>
          <w:rFonts w:ascii="Times New Roman" w:hAnsi="Times New Roman" w:cs="Times New Roman"/>
          <w:i/>
          <w:sz w:val="24"/>
          <w:szCs w:val="24"/>
        </w:rPr>
        <w:t>G</w:t>
      </w:r>
      <w:r w:rsidRPr="00EB7843">
        <w:rPr>
          <w:rFonts w:ascii="Times New Roman" w:hAnsi="Times New Roman" w:cs="Times New Roman"/>
          <w:sz w:val="24"/>
          <w:szCs w:val="24"/>
        </w:rPr>
        <w:t xml:space="preserve"> are positive definite matrices.</w:t>
      </w:r>
    </w:p>
    <w:p w14:paraId="446D4797" w14:textId="77777777" w:rsidR="009166D6" w:rsidRDefault="009166D6" w:rsidP="00041971">
      <w:pPr>
        <w:snapToGrid w:val="0"/>
        <w:spacing w:after="0" w:line="480" w:lineRule="auto"/>
        <w:jc w:val="both"/>
        <w:rPr>
          <w:rFonts w:ascii="Times New Roman" w:hAnsi="Times New Roman" w:cs="Times New Roman"/>
          <w:sz w:val="24"/>
          <w:szCs w:val="24"/>
        </w:rPr>
      </w:pPr>
    </w:p>
    <w:p w14:paraId="3F5386B6" w14:textId="107DC7F9" w:rsidR="003E64C6" w:rsidRPr="00EB7843" w:rsidRDefault="00823DDA" w:rsidP="00041971">
      <w:pPr>
        <w:snapToGrid w:val="0"/>
        <w:spacing w:after="0" w:line="480" w:lineRule="auto"/>
        <w:ind w:firstLineChars="200" w:firstLine="480"/>
        <w:jc w:val="both"/>
        <w:rPr>
          <w:rFonts w:ascii="Times New Roman" w:hAnsi="Times New Roman" w:cs="Times New Roman"/>
          <w:sz w:val="24"/>
          <w:szCs w:val="24"/>
        </w:rPr>
      </w:pPr>
      <w:r w:rsidRPr="00EB7843">
        <w:rPr>
          <w:rFonts w:ascii="Times New Roman" w:hAnsi="Times New Roman" w:cs="Times New Roman"/>
          <w:sz w:val="24"/>
          <w:szCs w:val="24"/>
        </w:rPr>
        <w:t xml:space="preserve">The </w:t>
      </w:r>
      <w:r w:rsidR="003E64C6" w:rsidRPr="00EB7843">
        <w:rPr>
          <w:rFonts w:ascii="Times New Roman" w:hAnsi="Times New Roman" w:cs="Times New Roman"/>
          <w:sz w:val="24"/>
          <w:szCs w:val="24"/>
        </w:rPr>
        <w:t>dynamic correlation</w:t>
      </w:r>
      <w:r w:rsidR="003E64C6">
        <w:rPr>
          <w:rFonts w:ascii="Times New Roman" w:hAnsi="Times New Roman" w:cs="Times New Roman"/>
          <w:sz w:val="24"/>
          <w:szCs w:val="24"/>
        </w:rPr>
        <w:t xml:space="preserve"> measuring the</w:t>
      </w:r>
      <w:r w:rsidR="003E64C6" w:rsidRPr="00EB7843">
        <w:rPr>
          <w:rFonts w:ascii="Times New Roman" w:hAnsi="Times New Roman" w:cs="Times New Roman"/>
          <w:sz w:val="24"/>
          <w:szCs w:val="24"/>
        </w:rPr>
        <w:t xml:space="preserve"> </w:t>
      </w:r>
      <w:r w:rsidRPr="00EB7843">
        <w:rPr>
          <w:rFonts w:ascii="Times New Roman" w:hAnsi="Times New Roman" w:cs="Times New Roman"/>
          <w:sz w:val="24"/>
          <w:szCs w:val="24"/>
        </w:rPr>
        <w:t>time-varying co-</w:t>
      </w:r>
      <w:r w:rsidR="001E61D6" w:rsidRPr="00EB7843">
        <w:rPr>
          <w:rFonts w:ascii="Times New Roman" w:hAnsi="Times New Roman" w:cs="Times New Roman"/>
          <w:sz w:val="24"/>
          <w:szCs w:val="24"/>
        </w:rPr>
        <w:t>movement</w:t>
      </w:r>
      <w:r w:rsidRPr="00EB7843">
        <w:rPr>
          <w:rFonts w:ascii="Times New Roman" w:hAnsi="Times New Roman" w:cs="Times New Roman"/>
          <w:sz w:val="24"/>
          <w:szCs w:val="24"/>
        </w:rPr>
        <w:t xml:space="preserve"> between </w:t>
      </w:r>
      <w:r w:rsidR="003E64C6">
        <w:rPr>
          <w:rFonts w:ascii="Times New Roman" w:hAnsi="Times New Roman" w:cs="Times New Roman"/>
          <w:sz w:val="24"/>
          <w:szCs w:val="24"/>
        </w:rPr>
        <w:t xml:space="preserve">two </w:t>
      </w:r>
      <w:r w:rsidRPr="00EB7843">
        <w:rPr>
          <w:rFonts w:ascii="Times New Roman" w:hAnsi="Times New Roman" w:cs="Times New Roman"/>
          <w:sz w:val="24"/>
          <w:szCs w:val="24"/>
        </w:rPr>
        <w:t>variables</w:t>
      </w:r>
      <w:r w:rsidR="003E64C6">
        <w:rPr>
          <w:rFonts w:ascii="Times New Roman" w:hAnsi="Times New Roman" w:cs="Times New Roman"/>
          <w:sz w:val="24"/>
          <w:szCs w:val="24"/>
        </w:rPr>
        <w:t xml:space="preserve"> (</w:t>
      </w:r>
      <w:r w:rsidR="005D4C2E">
        <w:rPr>
          <w:rFonts w:ascii="Times New Roman" w:hAnsi="Times New Roman" w:cs="Times New Roman"/>
          <w:sz w:val="24"/>
          <w:szCs w:val="24"/>
        </w:rPr>
        <w:t>i.e.,</w:t>
      </w:r>
      <w:r w:rsidR="003E64C6">
        <w:rPr>
          <w:rFonts w:ascii="Times New Roman" w:hAnsi="Times New Roman" w:cs="Times New Roman"/>
          <w:sz w:val="24"/>
          <w:szCs w:val="24"/>
        </w:rPr>
        <w:t xml:space="preserve"> variables</w:t>
      </w:r>
      <w:r w:rsidRPr="00EB7843">
        <w:rPr>
          <w:rFonts w:ascii="Times New Roman" w:hAnsi="Times New Roman" w:cs="Times New Roman"/>
          <w:sz w:val="24"/>
          <w:szCs w:val="24"/>
        </w:rPr>
        <w:t xml:space="preserve"> </w:t>
      </w:r>
      <w:proofErr w:type="spellStart"/>
      <w:r w:rsidRPr="00EB7843">
        <w:rPr>
          <w:rFonts w:ascii="Times New Roman" w:hAnsi="Times New Roman" w:cs="Times New Roman"/>
          <w:i/>
          <w:sz w:val="24"/>
          <w:szCs w:val="24"/>
        </w:rPr>
        <w:t>i</w:t>
      </w:r>
      <w:proofErr w:type="spellEnd"/>
      <w:r w:rsidRPr="00EB7843">
        <w:rPr>
          <w:rFonts w:ascii="Times New Roman" w:hAnsi="Times New Roman" w:cs="Times New Roman"/>
          <w:sz w:val="24"/>
          <w:szCs w:val="24"/>
        </w:rPr>
        <w:t xml:space="preserve"> and </w:t>
      </w:r>
      <w:r w:rsidRPr="00EB7843">
        <w:rPr>
          <w:rFonts w:ascii="Times New Roman" w:hAnsi="Times New Roman" w:cs="Times New Roman"/>
          <w:i/>
          <w:sz w:val="24"/>
          <w:szCs w:val="24"/>
        </w:rPr>
        <w:t>j</w:t>
      </w:r>
      <w:r w:rsidR="003E64C6" w:rsidRPr="003E64C6">
        <w:rPr>
          <w:rFonts w:ascii="Times New Roman" w:hAnsi="Times New Roman" w:cs="Times New Roman"/>
          <w:iCs/>
          <w:sz w:val="24"/>
          <w:szCs w:val="24"/>
        </w:rPr>
        <w:t>)</w:t>
      </w:r>
      <w:r w:rsidR="001E61D6" w:rsidRPr="00EB7843">
        <w:rPr>
          <w:rFonts w:ascii="Times New Roman" w:hAnsi="Times New Roman" w:cs="Times New Roman"/>
          <w:sz w:val="24"/>
          <w:szCs w:val="24"/>
        </w:rPr>
        <w:t xml:space="preserve"> at time </w:t>
      </w:r>
      <w:r w:rsidR="001E61D6" w:rsidRPr="00EB7843">
        <w:rPr>
          <w:rFonts w:ascii="Times New Roman" w:hAnsi="Times New Roman" w:cs="Times New Roman"/>
          <w:i/>
          <w:sz w:val="24"/>
          <w:szCs w:val="24"/>
        </w:rPr>
        <w:t>t</w:t>
      </w:r>
      <w:r w:rsidRPr="00EB7843">
        <w:rPr>
          <w:rFonts w:ascii="Times New Roman" w:hAnsi="Times New Roman" w:cs="Times New Roman"/>
          <w:sz w:val="24"/>
          <w:szCs w:val="24"/>
        </w:rPr>
        <w:t xml:space="preserve"> </w:t>
      </w:r>
      <w:r w:rsidR="003E64C6">
        <w:rPr>
          <w:rFonts w:ascii="Times New Roman" w:hAnsi="Times New Roman" w:cs="Times New Roman"/>
          <w:sz w:val="24"/>
          <w:szCs w:val="24"/>
        </w:rPr>
        <w:t>is</w:t>
      </w:r>
      <w:r w:rsidR="001E61D6" w:rsidRPr="00EB7843">
        <w:rPr>
          <w:rFonts w:ascii="Times New Roman" w:hAnsi="Times New Roman" w:cs="Times New Roman"/>
          <w:sz w:val="24"/>
          <w:szCs w:val="24"/>
        </w:rPr>
        <w:t xml:space="preserve"> </w:t>
      </w:r>
      <w:r w:rsidR="00747EC9" w:rsidRPr="00EB7843">
        <w:rPr>
          <w:rFonts w:ascii="Times New Roman" w:hAnsi="Times New Roman" w:cs="Times New Roman"/>
          <w:sz w:val="24"/>
          <w:szCs w:val="24"/>
        </w:rPr>
        <w:t>defined</w:t>
      </w:r>
      <w:r w:rsidRPr="00EB7843">
        <w:rPr>
          <w:rFonts w:ascii="Times New Roman" w:hAnsi="Times New Roman" w:cs="Times New Roman"/>
          <w:sz w:val="24"/>
          <w:szCs w:val="24"/>
        </w:rPr>
        <w:t xml:space="preserve"> as</w:t>
      </w:r>
      <w:r w:rsidR="003E64C6">
        <w:rPr>
          <w:rFonts w:ascii="Times New Roman" w:hAnsi="Times New Roman" w:cs="Times New Roman"/>
          <w:sz w:val="24"/>
          <w:szCs w:val="24"/>
        </w:rPr>
        <w:t xml:space="preserve"> follows:</w:t>
      </w:r>
    </w:p>
    <w:p w14:paraId="25F69E30" w14:textId="4E860458" w:rsidR="00EB7843" w:rsidRPr="00EB7843" w:rsidRDefault="00CE03A0" w:rsidP="00041971">
      <w:pPr>
        <w:snapToGrid w:val="0"/>
        <w:spacing w:after="0" w:line="480" w:lineRule="auto"/>
        <w:jc w:val="both"/>
        <w:rPr>
          <w:rFonts w:ascii="Times New Roman" w:hAnsi="Times New Roman" w:cs="Times New Roman"/>
          <w:sz w:val="24"/>
          <w:szCs w:val="24"/>
        </w:rPr>
      </w:pPr>
      <w:proofErr w:type="spellStart"/>
      <w:r w:rsidRPr="00CE03A0">
        <w:rPr>
          <w:rFonts w:ascii="Cambria Math" w:hAnsi="Cambria Math" w:cs="Times New Roman"/>
          <w:i/>
          <w:sz w:val="24"/>
          <w:szCs w:val="24"/>
        </w:rPr>
        <w:t>ρ</w:t>
      </w:r>
      <w:r w:rsidRPr="00CE03A0">
        <w:rPr>
          <w:rFonts w:ascii="Cambria Math" w:hAnsi="Cambria Math" w:cs="Times New Roman"/>
          <w:i/>
          <w:sz w:val="24"/>
          <w:szCs w:val="24"/>
          <w:vertAlign w:val="subscript"/>
        </w:rPr>
        <w:t>ij,t</w:t>
      </w:r>
      <w:proofErr w:type="spellEnd"/>
      <w:r w:rsidR="003F0A24">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c</m:t>
                    </m:r>
                  </m:e>
                </m:acc>
              </m:e>
              <m:sub>
                <m:r>
                  <w:rPr>
                    <w:rFonts w:ascii="Cambria Math" w:hAnsi="Cambria Math" w:cs="Times New Roman"/>
                    <w:sz w:val="24"/>
                    <w:szCs w:val="24"/>
                  </w:rPr>
                  <m:t>i,j</m:t>
                </m:r>
              </m:sub>
            </m:sSub>
            <m:r>
              <w:rPr>
                <w:rFonts w:ascii="Cambria Math" w:hAnsi="Cambria Math" w:cs="Times New Roman"/>
                <w:sz w:val="24"/>
                <w:szCs w:val="24"/>
              </w:rPr>
              <m:t>(w)</m:t>
            </m:r>
          </m:num>
          <m:den>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t</m:t>
                    </m:r>
                  </m:sub>
                  <m:sup>
                    <m:r>
                      <w:rPr>
                        <w:rFonts w:ascii="Cambria Math" w:hAnsi="Cambria Math" w:cs="Times New Roman"/>
                        <w:sz w:val="24"/>
                        <w:szCs w:val="24"/>
                      </w:rPr>
                      <m:t>ii</m:t>
                    </m:r>
                  </m:sup>
                </m:sSubSup>
                <m:r>
                  <w:rPr>
                    <w:rFonts w:ascii="Cambria Math" w:hAnsi="Cambria Math" w:cs="Times New Roman"/>
                    <w:sz w:val="24"/>
                    <w:szCs w:val="24"/>
                  </w:rPr>
                  <m:t>(w)</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t</m:t>
                    </m:r>
                  </m:sub>
                  <m:sup>
                    <m:r>
                      <w:rPr>
                        <w:rFonts w:ascii="Cambria Math" w:hAnsi="Cambria Math" w:cs="Times New Roman"/>
                        <w:sz w:val="24"/>
                        <w:szCs w:val="24"/>
                      </w:rPr>
                      <m:t>jj</m:t>
                    </m:r>
                  </m:sup>
                </m:sSubSup>
                <m:r>
                  <w:rPr>
                    <w:rFonts w:ascii="Cambria Math" w:hAnsi="Cambria Math" w:cs="Times New Roman"/>
                    <w:sz w:val="24"/>
                    <w:szCs w:val="24"/>
                  </w:rPr>
                  <m:t>(w)</m:t>
                </m:r>
              </m:e>
            </m:rad>
          </m:den>
        </m:f>
      </m:oMath>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r>
      <w:r w:rsidR="003F0A24">
        <w:rPr>
          <w:rFonts w:ascii="Times New Roman" w:hAnsi="Times New Roman" w:cs="Times New Roman"/>
          <w:sz w:val="24"/>
          <w:szCs w:val="24"/>
        </w:rPr>
        <w:tab/>
        <w:t xml:space="preserve">               </w:t>
      </w:r>
      <w:r w:rsidR="005D4C2E">
        <w:rPr>
          <w:rFonts w:ascii="Times New Roman" w:hAnsi="Times New Roman" w:cs="Times New Roman"/>
          <w:sz w:val="24"/>
          <w:szCs w:val="24"/>
        </w:rPr>
        <w:t>(7)</w:t>
      </w:r>
    </w:p>
    <w:p w14:paraId="5E8DB07C" w14:textId="77777777" w:rsidR="00041971" w:rsidRDefault="00823DDA" w:rsidP="00041971">
      <w:pPr>
        <w:snapToGrid w:val="0"/>
        <w:spacing w:after="0" w:line="480" w:lineRule="auto"/>
        <w:jc w:val="both"/>
        <w:rPr>
          <w:rFonts w:ascii="Times New Roman" w:hAnsi="Times New Roman" w:cs="Times New Roman"/>
          <w:sz w:val="24"/>
          <w:szCs w:val="24"/>
        </w:rPr>
      </w:pPr>
      <w:r w:rsidRPr="00EB784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c</m:t>
                </m:r>
              </m:e>
            </m:acc>
          </m:e>
          <m:sub>
            <m:r>
              <w:rPr>
                <w:rFonts w:ascii="Cambria Math" w:hAnsi="Cambria Math" w:cs="Times New Roman"/>
                <w:sz w:val="24"/>
                <w:szCs w:val="24"/>
              </w:rPr>
              <m:t>i,j</m:t>
            </m:r>
          </m:sub>
        </m:sSub>
        <m:r>
          <w:rPr>
            <w:rFonts w:ascii="Cambria Math" w:hAnsi="Cambria Math" w:cs="Times New Roman"/>
            <w:sz w:val="24"/>
            <w:szCs w:val="24"/>
          </w:rPr>
          <m:t>(w)</m:t>
        </m:r>
      </m:oMath>
      <w:r w:rsidRPr="00EB7843">
        <w:rPr>
          <w:rFonts w:ascii="Times New Roman" w:hAnsi="Times New Roman" w:cs="Times New Roman"/>
          <w:sz w:val="24"/>
          <w:szCs w:val="24"/>
        </w:rPr>
        <w:t xml:space="preserve"> </w:t>
      </w:r>
      <w:r w:rsidR="003E64C6">
        <w:rPr>
          <w:rFonts w:ascii="Times New Roman" w:hAnsi="Times New Roman" w:cs="Times New Roman"/>
          <w:sz w:val="24"/>
          <w:szCs w:val="24"/>
        </w:rPr>
        <w:t>is</w:t>
      </w:r>
      <w:r w:rsidRPr="00EB7843">
        <w:rPr>
          <w:rFonts w:ascii="Times New Roman" w:hAnsi="Times New Roman" w:cs="Times New Roman"/>
          <w:sz w:val="24"/>
          <w:szCs w:val="24"/>
        </w:rPr>
        <w:t xml:space="preserve"> the </w:t>
      </w:r>
      <w:proofErr w:type="spellStart"/>
      <w:r w:rsidRPr="00EB7843">
        <w:rPr>
          <w:rFonts w:ascii="Times New Roman" w:hAnsi="Times New Roman" w:cs="Times New Roman"/>
          <w:sz w:val="24"/>
          <w:szCs w:val="24"/>
        </w:rPr>
        <w:t>cospectrum</w:t>
      </w:r>
      <w:proofErr w:type="spellEnd"/>
      <w:r w:rsidRPr="00EB7843">
        <w:rPr>
          <w:rFonts w:ascii="Times New Roman" w:hAnsi="Times New Roman" w:cs="Times New Roman"/>
          <w:sz w:val="24"/>
          <w:szCs w:val="24"/>
        </w:rPr>
        <w:t xml:space="preserve"> between</w:t>
      </w:r>
      <w:r w:rsidR="003E64C6">
        <w:rPr>
          <w:rFonts w:ascii="Times New Roman" w:hAnsi="Times New Roman" w:cs="Times New Roman"/>
          <w:sz w:val="24"/>
          <w:szCs w:val="24"/>
        </w:rPr>
        <w:t xml:space="preserve"> the two </w:t>
      </w:r>
      <w:r w:rsidRPr="00EB7843">
        <w:rPr>
          <w:rFonts w:ascii="Times New Roman" w:hAnsi="Times New Roman" w:cs="Times New Roman"/>
          <w:sz w:val="24"/>
          <w:szCs w:val="24"/>
        </w:rPr>
        <w:t xml:space="preserve">variables at frequency </w:t>
      </w:r>
      <w:r w:rsidRPr="00EB7843">
        <w:rPr>
          <w:rFonts w:ascii="Times New Roman" w:hAnsi="Times New Roman" w:cs="Times New Roman"/>
          <w:i/>
          <w:sz w:val="24"/>
          <w:szCs w:val="24"/>
        </w:rPr>
        <w:t>w</w:t>
      </w:r>
      <w:r w:rsidR="0083788B" w:rsidRPr="00EB784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t</m:t>
            </m:r>
          </m:sub>
          <m:sup>
            <m:r>
              <w:rPr>
                <w:rFonts w:ascii="Cambria Math" w:hAnsi="Cambria Math" w:cs="Times New Roman"/>
                <w:sz w:val="24"/>
                <w:szCs w:val="24"/>
              </w:rPr>
              <m:t>ii</m:t>
            </m:r>
          </m:sup>
        </m:sSubSup>
        <m:r>
          <w:rPr>
            <w:rFonts w:ascii="Cambria Math" w:hAnsi="Cambria Math" w:cs="Times New Roman"/>
            <w:sz w:val="24"/>
            <w:szCs w:val="24"/>
          </w:rPr>
          <m:t>(w)</m:t>
        </m:r>
      </m:oMath>
      <w:r w:rsidR="0083788B" w:rsidRPr="00EB7843">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t</m:t>
            </m:r>
          </m:sub>
          <m:sup>
            <m:r>
              <w:rPr>
                <w:rFonts w:ascii="Cambria Math" w:hAnsi="Cambria Math" w:cs="Times New Roman"/>
                <w:sz w:val="24"/>
                <w:szCs w:val="24"/>
              </w:rPr>
              <m:t>jj</m:t>
            </m:r>
          </m:sup>
        </m:sSubSup>
        <m:d>
          <m:dPr>
            <m:ctrlPr>
              <w:rPr>
                <w:rFonts w:ascii="Cambria Math" w:hAnsi="Cambria Math" w:cs="Times New Roman"/>
                <w:i/>
                <w:sz w:val="24"/>
                <w:szCs w:val="24"/>
              </w:rPr>
            </m:ctrlPr>
          </m:dPr>
          <m:e>
            <m:r>
              <w:rPr>
                <w:rFonts w:ascii="Cambria Math" w:hAnsi="Cambria Math" w:cs="Times New Roman"/>
                <w:sz w:val="24"/>
                <w:szCs w:val="24"/>
              </w:rPr>
              <m:t>w</m:t>
            </m:r>
          </m:e>
        </m:d>
      </m:oMath>
      <w:r w:rsidR="0083788B" w:rsidRPr="00EB7843">
        <w:rPr>
          <w:rFonts w:ascii="Times New Roman" w:hAnsi="Times New Roman" w:cs="Times New Roman"/>
          <w:sz w:val="24"/>
          <w:szCs w:val="24"/>
        </w:rPr>
        <w:t xml:space="preserve"> are the model implied</w:t>
      </w:r>
      <w:r w:rsidRPr="00EB7843">
        <w:rPr>
          <w:rFonts w:ascii="Times New Roman" w:hAnsi="Times New Roman" w:cs="Times New Roman"/>
          <w:sz w:val="24"/>
          <w:szCs w:val="24"/>
        </w:rPr>
        <w:t xml:space="preserve"> spectral</w:t>
      </w:r>
      <w:r w:rsidR="0083788B" w:rsidRPr="00EB7843">
        <w:rPr>
          <w:rFonts w:ascii="Times New Roman" w:hAnsi="Times New Roman" w:cs="Times New Roman"/>
          <w:sz w:val="24"/>
          <w:szCs w:val="24"/>
        </w:rPr>
        <w:t xml:space="preserve"> density matrices of variables </w:t>
      </w:r>
      <w:proofErr w:type="spellStart"/>
      <w:r w:rsidR="0083788B" w:rsidRPr="00EB7843">
        <w:rPr>
          <w:rFonts w:ascii="Times New Roman" w:hAnsi="Times New Roman" w:cs="Times New Roman"/>
          <w:i/>
          <w:sz w:val="24"/>
          <w:szCs w:val="24"/>
        </w:rPr>
        <w:t>i</w:t>
      </w:r>
      <w:proofErr w:type="spellEnd"/>
      <w:r w:rsidR="0083788B" w:rsidRPr="00EB7843">
        <w:rPr>
          <w:rFonts w:ascii="Times New Roman" w:hAnsi="Times New Roman" w:cs="Times New Roman"/>
          <w:sz w:val="24"/>
          <w:szCs w:val="24"/>
        </w:rPr>
        <w:t xml:space="preserve"> and </w:t>
      </w:r>
      <w:r w:rsidR="0083788B" w:rsidRPr="00EB7843">
        <w:rPr>
          <w:rFonts w:ascii="Times New Roman" w:hAnsi="Times New Roman" w:cs="Times New Roman"/>
          <w:i/>
          <w:sz w:val="24"/>
          <w:szCs w:val="24"/>
        </w:rPr>
        <w:t>j</w:t>
      </w:r>
      <w:r w:rsidR="0083788B" w:rsidRPr="00EB7843">
        <w:rPr>
          <w:rFonts w:ascii="Times New Roman" w:hAnsi="Times New Roman" w:cs="Times New Roman"/>
          <w:sz w:val="24"/>
          <w:szCs w:val="24"/>
        </w:rPr>
        <w:t xml:space="preserve">, and can be calculated </w:t>
      </w:r>
      <w:r w:rsidR="003E64C6">
        <w:rPr>
          <w:rFonts w:ascii="Times New Roman" w:hAnsi="Times New Roman" w:cs="Times New Roman"/>
          <w:sz w:val="24"/>
          <w:szCs w:val="24"/>
        </w:rPr>
        <w:t xml:space="preserve">at each point in time </w:t>
      </w:r>
      <w:r w:rsidR="0083788B" w:rsidRPr="00EB7843">
        <w:rPr>
          <w:rFonts w:ascii="Times New Roman" w:hAnsi="Times New Roman" w:cs="Times New Roman"/>
          <w:sz w:val="24"/>
          <w:szCs w:val="24"/>
        </w:rPr>
        <w:t>as:</w:t>
      </w:r>
      <w:r w:rsidR="00DA065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w</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-iw</m:t>
                </m:r>
              </m:sup>
            </m:sSup>
            <m:r>
              <w:rPr>
                <w:rFonts w:ascii="Cambria Math" w:hAnsi="Cambria Math" w:cs="Times New Roman"/>
                <w:sz w:val="24"/>
                <w:szCs w:val="24"/>
              </w:rPr>
              <m:t>)</m:t>
            </m:r>
          </m:e>
          <m:sup>
            <m:r>
              <w:rPr>
                <w:rFonts w:ascii="Cambria Math" w:hAnsi="Cambria Math" w:cs="Times New Roman"/>
                <w:sz w:val="24"/>
                <w:szCs w:val="24"/>
              </w:rPr>
              <m:t>-1</m:t>
            </m:r>
          </m:sup>
        </m:s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m:t>
                </m:r>
              </m:sub>
            </m:sSub>
          </m:num>
          <m:den>
            <m:r>
              <w:rPr>
                <w:rFonts w:ascii="Cambria Math" w:hAnsi="Cambria Math" w:cs="Times New Roman"/>
                <w:sz w:val="24"/>
                <w:szCs w:val="24"/>
              </w:rPr>
              <m:t>2π</m:t>
            </m:r>
          </m:den>
        </m:f>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-iw</m:t>
                    </m:r>
                  </m:sup>
                </m:sSup>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m:t>
            </m:r>
          </m:e>
          <m:sup>
            <m:r>
              <w:rPr>
                <w:rFonts w:ascii="Cambria Math" w:hAnsi="Cambria Math" w:cs="Times New Roman"/>
                <w:sz w:val="24"/>
                <w:szCs w:val="24"/>
              </w:rPr>
              <m:t>'</m:t>
            </m:r>
          </m:sup>
        </m:sSup>
      </m:oMath>
      <w:r w:rsidR="003E64C6">
        <w:rPr>
          <w:rFonts w:ascii="Times New Roman" w:hAnsi="Times New Roman" w:cs="Times New Roman"/>
          <w:sz w:val="24"/>
          <w:szCs w:val="24"/>
        </w:rPr>
        <w:t xml:space="preserve">. </w:t>
      </w:r>
      <w:r w:rsidR="00DA1913" w:rsidRPr="00EB7843">
        <w:rPr>
          <w:rFonts w:ascii="Times New Roman" w:hAnsi="Times New Roman" w:cs="Times New Roman"/>
          <w:sz w:val="24"/>
          <w:szCs w:val="24"/>
        </w:rPr>
        <w:t xml:space="preserve">The dynamic correlation has a range from -1 to 1. It is equal to 1 when variables </w:t>
      </w:r>
      <w:proofErr w:type="spellStart"/>
      <w:r w:rsidR="00DA1913" w:rsidRPr="00EB7843">
        <w:rPr>
          <w:rFonts w:ascii="Times New Roman" w:hAnsi="Times New Roman" w:cs="Times New Roman"/>
          <w:i/>
          <w:sz w:val="24"/>
          <w:szCs w:val="24"/>
        </w:rPr>
        <w:t>i</w:t>
      </w:r>
      <w:proofErr w:type="spellEnd"/>
      <w:r w:rsidR="00DA1913" w:rsidRPr="00EB7843">
        <w:rPr>
          <w:rFonts w:ascii="Times New Roman" w:hAnsi="Times New Roman" w:cs="Times New Roman"/>
          <w:sz w:val="24"/>
          <w:szCs w:val="24"/>
        </w:rPr>
        <w:t xml:space="preserve"> and</w:t>
      </w:r>
      <w:r w:rsidR="00DA1913" w:rsidRPr="00EB7843">
        <w:rPr>
          <w:rFonts w:ascii="Times New Roman" w:hAnsi="Times New Roman" w:cs="Times New Roman"/>
          <w:i/>
          <w:sz w:val="24"/>
          <w:szCs w:val="24"/>
        </w:rPr>
        <w:t xml:space="preserve"> j</w:t>
      </w:r>
      <w:r w:rsidR="00DA1913" w:rsidRPr="00EB7843">
        <w:rPr>
          <w:rFonts w:ascii="Times New Roman" w:hAnsi="Times New Roman" w:cs="Times New Roman"/>
          <w:sz w:val="24"/>
          <w:szCs w:val="24"/>
        </w:rPr>
        <w:t xml:space="preserve"> are perfectly synchronised at </w:t>
      </w:r>
      <w:r w:rsidR="003E64C6">
        <w:rPr>
          <w:rFonts w:ascii="Times New Roman" w:hAnsi="Times New Roman" w:cs="Times New Roman"/>
          <w:sz w:val="24"/>
          <w:szCs w:val="24"/>
        </w:rPr>
        <w:t>a</w:t>
      </w:r>
      <w:r w:rsidR="00DA1913" w:rsidRPr="00EB7843">
        <w:rPr>
          <w:rFonts w:ascii="Times New Roman" w:hAnsi="Times New Roman" w:cs="Times New Roman"/>
          <w:sz w:val="24"/>
          <w:szCs w:val="24"/>
        </w:rPr>
        <w:t xml:space="preserve"> </w:t>
      </w:r>
      <w:r w:rsidR="003E64C6">
        <w:rPr>
          <w:rFonts w:ascii="Times New Roman" w:hAnsi="Times New Roman" w:cs="Times New Roman"/>
          <w:sz w:val="24"/>
          <w:szCs w:val="24"/>
        </w:rPr>
        <w:t>given</w:t>
      </w:r>
      <w:r w:rsidR="00DA1913" w:rsidRPr="00EB7843">
        <w:rPr>
          <w:rFonts w:ascii="Times New Roman" w:hAnsi="Times New Roman" w:cs="Times New Roman"/>
          <w:sz w:val="24"/>
          <w:szCs w:val="24"/>
        </w:rPr>
        <w:t xml:space="preserve"> frequency.</w:t>
      </w:r>
    </w:p>
    <w:p w14:paraId="6BC0CCC2" w14:textId="6596A7A3" w:rsidR="0013410D" w:rsidRPr="00041971" w:rsidRDefault="00041971" w:rsidP="0096289D">
      <w:pPr>
        <w:pStyle w:val="Heading1"/>
      </w:pPr>
      <w:r w:rsidRPr="00041971">
        <w:rPr>
          <w:bCs/>
        </w:rPr>
        <w:t>3.</w:t>
      </w:r>
      <w:r>
        <w:t xml:space="preserve"> </w:t>
      </w:r>
      <w:r w:rsidR="005D4C2E">
        <w:t xml:space="preserve">Empirical </w:t>
      </w:r>
      <w:r w:rsidR="00B75499" w:rsidRPr="005D4C2E">
        <w:t>Results</w:t>
      </w:r>
      <w:r w:rsidR="009F46D2" w:rsidRPr="005D4C2E">
        <w:t xml:space="preserve"> </w:t>
      </w:r>
    </w:p>
    <w:p w14:paraId="4537E1A1" w14:textId="7A58E28C" w:rsidR="006F0485" w:rsidRDefault="007120F9"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In this section, we use the </w:t>
      </w:r>
      <w:r w:rsidR="000177D1">
        <w:rPr>
          <w:rFonts w:ascii="Times New Roman" w:hAnsi="Times New Roman" w:cs="Times New Roman"/>
          <w:sz w:val="24"/>
          <w:szCs w:val="24"/>
        </w:rPr>
        <w:t>TVP-</w:t>
      </w:r>
      <w:r w:rsidR="00BB6F38">
        <w:rPr>
          <w:rFonts w:ascii="Times New Roman" w:hAnsi="Times New Roman" w:cs="Times New Roman"/>
          <w:sz w:val="24"/>
          <w:szCs w:val="24"/>
        </w:rPr>
        <w:t>S</w:t>
      </w:r>
      <w:r w:rsidRPr="000F50FA">
        <w:rPr>
          <w:rFonts w:ascii="Times New Roman" w:hAnsi="Times New Roman" w:cs="Times New Roman"/>
          <w:sz w:val="24"/>
          <w:szCs w:val="24"/>
        </w:rPr>
        <w:t>VAR model</w:t>
      </w:r>
      <w:r>
        <w:rPr>
          <w:rFonts w:ascii="Times New Roman" w:hAnsi="Times New Roman" w:cs="Times New Roman"/>
          <w:sz w:val="24"/>
          <w:szCs w:val="24"/>
        </w:rPr>
        <w:t xml:space="preserve"> </w:t>
      </w:r>
      <w:r w:rsidR="00B144CA">
        <w:rPr>
          <w:rFonts w:ascii="Times New Roman" w:hAnsi="Times New Roman" w:cs="Times New Roman"/>
          <w:sz w:val="24"/>
          <w:szCs w:val="24"/>
        </w:rPr>
        <w:t>to</w:t>
      </w:r>
      <w:r>
        <w:rPr>
          <w:rFonts w:ascii="Times New Roman" w:hAnsi="Times New Roman" w:cs="Times New Roman"/>
          <w:sz w:val="24"/>
          <w:szCs w:val="24"/>
        </w:rPr>
        <w:t xml:space="preserve"> </w:t>
      </w:r>
      <w:r w:rsidR="00B144CA">
        <w:rPr>
          <w:rFonts w:ascii="Times New Roman" w:hAnsi="Times New Roman" w:cs="Times New Roman"/>
          <w:sz w:val="24"/>
          <w:szCs w:val="24"/>
        </w:rPr>
        <w:t xml:space="preserve">study possible changes </w:t>
      </w:r>
      <w:r w:rsidR="000177D1">
        <w:rPr>
          <w:rFonts w:ascii="Times New Roman" w:hAnsi="Times New Roman" w:cs="Times New Roman"/>
          <w:sz w:val="24"/>
          <w:szCs w:val="24"/>
        </w:rPr>
        <w:t xml:space="preserve">in time-varying </w:t>
      </w:r>
      <w:r w:rsidR="00CB46F5">
        <w:rPr>
          <w:rFonts w:ascii="Times New Roman" w:hAnsi="Times New Roman" w:cs="Times New Roman"/>
          <w:sz w:val="24"/>
          <w:szCs w:val="24"/>
        </w:rPr>
        <w:t>correlations</w:t>
      </w:r>
      <w:r>
        <w:rPr>
          <w:rFonts w:ascii="Times New Roman" w:hAnsi="Times New Roman" w:cs="Times New Roman"/>
          <w:sz w:val="24"/>
          <w:szCs w:val="24"/>
        </w:rPr>
        <w:t xml:space="preserve"> </w:t>
      </w:r>
      <w:r w:rsidR="00B144CA">
        <w:rPr>
          <w:rFonts w:ascii="Times New Roman" w:hAnsi="Times New Roman" w:cs="Times New Roman"/>
          <w:sz w:val="24"/>
          <w:szCs w:val="24"/>
        </w:rPr>
        <w:t>between</w:t>
      </w:r>
      <w:r w:rsidR="00271A97">
        <w:rPr>
          <w:rFonts w:ascii="Times New Roman" w:hAnsi="Times New Roman" w:cs="Times New Roman"/>
          <w:sz w:val="24"/>
          <w:szCs w:val="24"/>
        </w:rPr>
        <w:t xml:space="preserve"> </w:t>
      </w:r>
      <w:r w:rsidR="00C26287">
        <w:rPr>
          <w:rFonts w:ascii="Times New Roman" w:hAnsi="Times New Roman" w:cs="Times New Roman"/>
          <w:sz w:val="24"/>
          <w:szCs w:val="24"/>
        </w:rPr>
        <w:t xml:space="preserve">the </w:t>
      </w:r>
      <w:r w:rsidR="00271A97">
        <w:rPr>
          <w:rFonts w:ascii="Times New Roman" w:hAnsi="Times New Roman" w:cs="Times New Roman"/>
          <w:sz w:val="24"/>
          <w:szCs w:val="24"/>
        </w:rPr>
        <w:t>variables</w:t>
      </w:r>
      <w:r w:rsidR="006F0485">
        <w:rPr>
          <w:rFonts w:ascii="Times New Roman" w:hAnsi="Times New Roman" w:cs="Times New Roman"/>
          <w:sz w:val="24"/>
          <w:szCs w:val="24"/>
        </w:rPr>
        <w:t xml:space="preserve"> in the system</w:t>
      </w:r>
      <w:r w:rsidR="00271A97">
        <w:rPr>
          <w:rFonts w:ascii="Times New Roman" w:hAnsi="Times New Roman" w:cs="Times New Roman"/>
          <w:sz w:val="24"/>
          <w:szCs w:val="24"/>
        </w:rPr>
        <w:t xml:space="preserve">, with a special focus on the </w:t>
      </w:r>
      <w:r w:rsidR="00CB46F5">
        <w:rPr>
          <w:rFonts w:ascii="Times New Roman" w:hAnsi="Times New Roman" w:cs="Times New Roman"/>
          <w:sz w:val="24"/>
          <w:szCs w:val="24"/>
        </w:rPr>
        <w:t>co-movements</w:t>
      </w:r>
      <w:r w:rsidR="00271A97">
        <w:rPr>
          <w:rFonts w:ascii="Times New Roman" w:hAnsi="Times New Roman" w:cs="Times New Roman"/>
          <w:sz w:val="24"/>
          <w:szCs w:val="24"/>
        </w:rPr>
        <w:t xml:space="preserve"> between</w:t>
      </w:r>
      <w:r w:rsidR="00B144CA">
        <w:rPr>
          <w:rFonts w:ascii="Times New Roman" w:hAnsi="Times New Roman" w:cs="Times New Roman"/>
          <w:sz w:val="24"/>
          <w:szCs w:val="24"/>
        </w:rPr>
        <w:t xml:space="preserve"> </w:t>
      </w:r>
      <w:r w:rsidR="00C26287">
        <w:rPr>
          <w:rFonts w:ascii="Times New Roman" w:hAnsi="Times New Roman" w:cs="Times New Roman"/>
          <w:sz w:val="24"/>
          <w:szCs w:val="24"/>
        </w:rPr>
        <w:t>the DPI and out</w:t>
      </w:r>
      <w:r w:rsidR="00122BDF">
        <w:rPr>
          <w:rFonts w:ascii="Times New Roman" w:hAnsi="Times New Roman" w:cs="Times New Roman"/>
          <w:sz w:val="24"/>
          <w:szCs w:val="24"/>
        </w:rPr>
        <w:t>put</w:t>
      </w:r>
      <w:r w:rsidR="00C26287">
        <w:rPr>
          <w:rFonts w:ascii="Times New Roman" w:hAnsi="Times New Roman" w:cs="Times New Roman"/>
          <w:sz w:val="24"/>
          <w:szCs w:val="24"/>
        </w:rPr>
        <w:t xml:space="preserve"> growth rates of</w:t>
      </w:r>
      <w:r w:rsidR="000177D1">
        <w:rPr>
          <w:rFonts w:ascii="Times New Roman" w:hAnsi="Times New Roman" w:cs="Times New Roman"/>
          <w:sz w:val="24"/>
          <w:szCs w:val="24"/>
        </w:rPr>
        <w:t xml:space="preserve"> the US, developed economies (ex</w:t>
      </w:r>
      <w:r w:rsidR="00C26287">
        <w:rPr>
          <w:rFonts w:ascii="Times New Roman" w:hAnsi="Times New Roman" w:cs="Times New Roman"/>
          <w:sz w:val="24"/>
          <w:szCs w:val="24"/>
        </w:rPr>
        <w:t>cluding</w:t>
      </w:r>
      <w:r w:rsidR="000177D1">
        <w:rPr>
          <w:rFonts w:ascii="Times New Roman" w:hAnsi="Times New Roman" w:cs="Times New Roman"/>
          <w:sz w:val="24"/>
          <w:szCs w:val="24"/>
        </w:rPr>
        <w:t xml:space="preserve"> the US) and emerging economies</w:t>
      </w:r>
      <w:r>
        <w:rPr>
          <w:rFonts w:ascii="Times New Roman" w:hAnsi="Times New Roman" w:cs="Times New Roman"/>
          <w:sz w:val="24"/>
          <w:szCs w:val="24"/>
        </w:rPr>
        <w:t xml:space="preserve">. </w:t>
      </w:r>
    </w:p>
    <w:p w14:paraId="2D0C6849" w14:textId="77777777" w:rsidR="007957EA" w:rsidRDefault="007957EA" w:rsidP="007957EA">
      <w:pPr>
        <w:spacing w:after="0" w:line="240" w:lineRule="auto"/>
        <w:contextualSpacing/>
        <w:rPr>
          <w:rFonts w:ascii="Times New Roman" w:hAnsi="Times New Roman" w:cs="Times New Roman"/>
          <w:b/>
          <w:sz w:val="24"/>
          <w:szCs w:val="24"/>
        </w:rPr>
      </w:pPr>
    </w:p>
    <w:p w14:paraId="690CB2DE" w14:textId="77777777" w:rsidR="007957EA" w:rsidRDefault="007957EA" w:rsidP="007957EA">
      <w:pPr>
        <w:spacing w:after="0" w:line="240" w:lineRule="auto"/>
        <w:contextualSpacing/>
        <w:rPr>
          <w:rFonts w:ascii="Times New Roman" w:hAnsi="Times New Roman" w:cs="Times New Roman"/>
          <w:b/>
          <w:sz w:val="24"/>
          <w:szCs w:val="24"/>
        </w:rPr>
      </w:pPr>
    </w:p>
    <w:p w14:paraId="6E1CB621" w14:textId="77777777" w:rsidR="007957EA" w:rsidRDefault="007957EA" w:rsidP="007957EA">
      <w:pPr>
        <w:spacing w:after="0" w:line="240" w:lineRule="auto"/>
        <w:contextualSpacing/>
        <w:rPr>
          <w:rFonts w:ascii="Times New Roman" w:hAnsi="Times New Roman" w:cs="Times New Roman"/>
          <w:b/>
          <w:sz w:val="24"/>
          <w:szCs w:val="24"/>
        </w:rPr>
      </w:pPr>
    </w:p>
    <w:p w14:paraId="55BA0BF5" w14:textId="77777777" w:rsidR="007957EA" w:rsidRDefault="007957EA" w:rsidP="007957EA">
      <w:pPr>
        <w:spacing w:after="0" w:line="240" w:lineRule="auto"/>
        <w:contextualSpacing/>
        <w:rPr>
          <w:rFonts w:ascii="Times New Roman" w:hAnsi="Times New Roman" w:cs="Times New Roman"/>
          <w:b/>
          <w:sz w:val="24"/>
          <w:szCs w:val="24"/>
        </w:rPr>
      </w:pPr>
    </w:p>
    <w:p w14:paraId="0078CE38" w14:textId="77777777" w:rsidR="007957EA" w:rsidRDefault="007957EA" w:rsidP="007957EA">
      <w:pPr>
        <w:spacing w:after="0" w:line="240" w:lineRule="auto"/>
        <w:contextualSpacing/>
        <w:rPr>
          <w:rFonts w:ascii="Times New Roman" w:hAnsi="Times New Roman" w:cs="Times New Roman"/>
          <w:b/>
          <w:sz w:val="24"/>
          <w:szCs w:val="24"/>
        </w:rPr>
      </w:pPr>
    </w:p>
    <w:p w14:paraId="49269EFC" w14:textId="77777777" w:rsidR="007957EA" w:rsidRDefault="007957EA" w:rsidP="007957EA">
      <w:pPr>
        <w:spacing w:after="0" w:line="240" w:lineRule="auto"/>
        <w:contextualSpacing/>
        <w:rPr>
          <w:rFonts w:ascii="Times New Roman" w:hAnsi="Times New Roman" w:cs="Times New Roman"/>
          <w:b/>
          <w:sz w:val="24"/>
          <w:szCs w:val="24"/>
        </w:rPr>
      </w:pPr>
    </w:p>
    <w:p w14:paraId="5696F714" w14:textId="77777777" w:rsidR="007957EA" w:rsidRDefault="007957EA" w:rsidP="007957EA">
      <w:pPr>
        <w:spacing w:after="0" w:line="240" w:lineRule="auto"/>
        <w:contextualSpacing/>
        <w:rPr>
          <w:rFonts w:ascii="Times New Roman" w:hAnsi="Times New Roman" w:cs="Times New Roman"/>
          <w:b/>
          <w:sz w:val="24"/>
          <w:szCs w:val="24"/>
        </w:rPr>
      </w:pPr>
    </w:p>
    <w:p w14:paraId="01E8C491" w14:textId="77777777" w:rsidR="007957EA" w:rsidRDefault="007957EA" w:rsidP="007957EA">
      <w:pPr>
        <w:spacing w:after="0" w:line="240" w:lineRule="auto"/>
        <w:contextualSpacing/>
        <w:rPr>
          <w:rFonts w:ascii="Times New Roman" w:hAnsi="Times New Roman" w:cs="Times New Roman"/>
          <w:b/>
          <w:sz w:val="24"/>
          <w:szCs w:val="24"/>
        </w:rPr>
      </w:pPr>
    </w:p>
    <w:p w14:paraId="48AA3A30" w14:textId="77777777" w:rsidR="007957EA" w:rsidRDefault="007957EA" w:rsidP="007957EA">
      <w:pPr>
        <w:spacing w:after="0" w:line="240" w:lineRule="auto"/>
        <w:contextualSpacing/>
        <w:rPr>
          <w:rFonts w:ascii="Times New Roman" w:hAnsi="Times New Roman" w:cs="Times New Roman"/>
          <w:b/>
          <w:sz w:val="24"/>
          <w:szCs w:val="24"/>
        </w:rPr>
      </w:pPr>
    </w:p>
    <w:p w14:paraId="10554468" w14:textId="77777777" w:rsidR="007957EA" w:rsidRDefault="007957EA" w:rsidP="007957EA">
      <w:pPr>
        <w:spacing w:after="0" w:line="240" w:lineRule="auto"/>
        <w:contextualSpacing/>
        <w:rPr>
          <w:rFonts w:ascii="Times New Roman" w:hAnsi="Times New Roman" w:cs="Times New Roman"/>
          <w:b/>
          <w:sz w:val="24"/>
          <w:szCs w:val="24"/>
        </w:rPr>
      </w:pPr>
    </w:p>
    <w:p w14:paraId="15A27A47" w14:textId="77777777" w:rsidR="007957EA" w:rsidRDefault="007957EA" w:rsidP="007957EA">
      <w:pPr>
        <w:spacing w:after="0" w:line="240" w:lineRule="auto"/>
        <w:contextualSpacing/>
        <w:rPr>
          <w:rFonts w:ascii="Times New Roman" w:hAnsi="Times New Roman" w:cs="Times New Roman"/>
          <w:b/>
          <w:sz w:val="24"/>
          <w:szCs w:val="24"/>
        </w:rPr>
      </w:pPr>
    </w:p>
    <w:p w14:paraId="39E8A169" w14:textId="77777777" w:rsidR="007957EA" w:rsidRDefault="007957EA" w:rsidP="007957EA">
      <w:pPr>
        <w:spacing w:after="0" w:line="240" w:lineRule="auto"/>
        <w:contextualSpacing/>
        <w:rPr>
          <w:rFonts w:ascii="Times New Roman" w:hAnsi="Times New Roman" w:cs="Times New Roman"/>
          <w:b/>
          <w:sz w:val="24"/>
          <w:szCs w:val="24"/>
        </w:rPr>
      </w:pPr>
    </w:p>
    <w:p w14:paraId="36C79AB8" w14:textId="77777777" w:rsidR="007957EA" w:rsidRDefault="007957EA" w:rsidP="007957EA">
      <w:pPr>
        <w:spacing w:after="0" w:line="240" w:lineRule="auto"/>
        <w:contextualSpacing/>
        <w:rPr>
          <w:rFonts w:ascii="Times New Roman" w:hAnsi="Times New Roman" w:cs="Times New Roman"/>
          <w:b/>
          <w:sz w:val="24"/>
          <w:szCs w:val="24"/>
        </w:rPr>
      </w:pPr>
    </w:p>
    <w:p w14:paraId="3EF80A46" w14:textId="5503766C" w:rsidR="007957EA" w:rsidRDefault="007957EA" w:rsidP="0096289D">
      <w:pPr>
        <w:pStyle w:val="Heading2"/>
      </w:pPr>
      <w:r w:rsidRPr="00375B6E">
        <w:lastRenderedPageBreak/>
        <w:t>Figure 1.</w:t>
      </w:r>
      <w:r w:rsidRPr="004E5936">
        <w:t xml:space="preserve"> </w:t>
      </w:r>
      <w:r w:rsidRPr="0096289D">
        <w:rPr>
          <w:b w:val="0"/>
          <w:bCs/>
        </w:rPr>
        <w:t>Dynamic Correlations</w:t>
      </w:r>
    </w:p>
    <w:p w14:paraId="25F69E42" w14:textId="3F322C49" w:rsidR="00810375" w:rsidRDefault="0096289D" w:rsidP="00C26287">
      <w:pPr>
        <w:spacing w:after="0" w:line="240" w:lineRule="auto"/>
        <w:contextualSpacing/>
        <w:jc w:val="center"/>
        <w:rPr>
          <w:rFonts w:ascii="Times New Roman" w:hAnsi="Times New Roman" w:cs="Times New Roman"/>
          <w:sz w:val="24"/>
          <w:szCs w:val="24"/>
        </w:rPr>
      </w:pPr>
      <w:r>
        <w:rPr>
          <w:noProof/>
          <w:lang w:val="en-ZA" w:eastAsia="en-ZA"/>
        </w:rPr>
        <w:t>Figure 1</w:t>
      </w:r>
      <w:r w:rsidR="004E25DB">
        <w:rPr>
          <w:noProof/>
          <w:lang w:val="en-ZA" w:eastAsia="en-ZA"/>
        </w:rPr>
        <w:drawing>
          <wp:inline distT="0" distB="0" distL="0" distR="0" wp14:anchorId="3B36B354" wp14:editId="2A9651F4">
            <wp:extent cx="5731510" cy="2899410"/>
            <wp:effectExtent l="0" t="0" r="254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99410"/>
                    </a:xfrm>
                    <a:prstGeom prst="rect">
                      <a:avLst/>
                    </a:prstGeom>
                    <a:noFill/>
                    <a:ln>
                      <a:noFill/>
                    </a:ln>
                  </pic:spPr>
                </pic:pic>
              </a:graphicData>
            </a:graphic>
          </wp:inline>
        </w:drawing>
      </w:r>
    </w:p>
    <w:p w14:paraId="2EBEEAD7" w14:textId="4A1D7035" w:rsidR="004419C9" w:rsidRPr="007957EA" w:rsidRDefault="007957EA" w:rsidP="00C26287">
      <w:pPr>
        <w:spacing w:after="0" w:line="240" w:lineRule="auto"/>
        <w:contextualSpacing/>
        <w:jc w:val="both"/>
        <w:rPr>
          <w:rFonts w:ascii="Times New Roman" w:hAnsi="Times New Roman" w:cs="Times New Roman"/>
          <w:sz w:val="20"/>
          <w:szCs w:val="20"/>
        </w:rPr>
      </w:pPr>
      <w:r w:rsidRPr="007957EA">
        <w:rPr>
          <w:rFonts w:ascii="Times New Roman" w:hAnsi="Times New Roman" w:cs="Times New Roman"/>
          <w:b/>
          <w:sz w:val="20"/>
          <w:szCs w:val="20"/>
        </w:rPr>
        <w:t>Note:</w:t>
      </w:r>
      <w:r w:rsidRPr="007957EA">
        <w:rPr>
          <w:rFonts w:ascii="Times New Roman" w:hAnsi="Times New Roman" w:cs="Times New Roman"/>
          <w:sz w:val="20"/>
          <w:szCs w:val="20"/>
        </w:rPr>
        <w:t xml:space="preserve"> </w:t>
      </w:r>
      <w:r w:rsidR="00080528" w:rsidRPr="007957EA">
        <w:rPr>
          <w:rFonts w:ascii="Times New Roman" w:hAnsi="Times New Roman" w:cs="Times New Roman"/>
          <w:sz w:val="20"/>
          <w:szCs w:val="20"/>
        </w:rPr>
        <w:t xml:space="preserve">Figure </w:t>
      </w:r>
      <w:r w:rsidR="000177D1" w:rsidRPr="007957EA">
        <w:rPr>
          <w:rFonts w:ascii="Times New Roman" w:hAnsi="Times New Roman" w:cs="Times New Roman"/>
          <w:sz w:val="20"/>
          <w:szCs w:val="20"/>
        </w:rPr>
        <w:t>1</w:t>
      </w:r>
      <w:r w:rsidR="00080528" w:rsidRPr="007957EA">
        <w:rPr>
          <w:rFonts w:ascii="Times New Roman" w:hAnsi="Times New Roman" w:cs="Times New Roman"/>
          <w:sz w:val="20"/>
          <w:szCs w:val="20"/>
        </w:rPr>
        <w:t xml:space="preserve"> </w:t>
      </w:r>
      <w:r w:rsidR="00E001ED" w:rsidRPr="007957EA">
        <w:rPr>
          <w:rFonts w:ascii="Times New Roman" w:hAnsi="Times New Roman" w:cs="Times New Roman"/>
          <w:sz w:val="20"/>
          <w:szCs w:val="20"/>
        </w:rPr>
        <w:t>shows the estimated dynamic correlations</w:t>
      </w:r>
      <w:r w:rsidR="00E80FEB" w:rsidRPr="007957EA">
        <w:rPr>
          <w:rFonts w:ascii="Times New Roman" w:hAnsi="Times New Roman" w:cs="Times New Roman"/>
          <w:sz w:val="20"/>
          <w:szCs w:val="20"/>
        </w:rPr>
        <w:t xml:space="preserve"> between variables</w:t>
      </w:r>
      <w:r w:rsidR="00E001ED" w:rsidRPr="007957EA">
        <w:rPr>
          <w:rFonts w:ascii="Times New Roman" w:hAnsi="Times New Roman" w:cs="Times New Roman"/>
          <w:sz w:val="20"/>
          <w:szCs w:val="20"/>
        </w:rPr>
        <w:t xml:space="preserve"> at the long-run frequency. </w:t>
      </w:r>
      <w:r w:rsidR="00E82048" w:rsidRPr="007957EA">
        <w:rPr>
          <w:rFonts w:ascii="Times New Roman" w:hAnsi="Times New Roman" w:cs="Times New Roman"/>
          <w:sz w:val="20"/>
          <w:szCs w:val="20"/>
        </w:rPr>
        <w:t xml:space="preserve">The red shaded areas represent one standard deviation error bands. </w:t>
      </w:r>
      <w:r w:rsidR="00403F18" w:rsidRPr="007957EA">
        <w:rPr>
          <w:rFonts w:ascii="Times New Roman" w:hAnsi="Times New Roman" w:cs="Times New Roman"/>
          <w:sz w:val="20"/>
          <w:szCs w:val="20"/>
        </w:rPr>
        <w:t>Note that,</w:t>
      </w:r>
      <w:r w:rsidR="003E75FD" w:rsidRPr="007957EA">
        <w:rPr>
          <w:rFonts w:ascii="Times New Roman" w:hAnsi="Times New Roman" w:cs="Times New Roman"/>
          <w:sz w:val="20"/>
          <w:szCs w:val="20"/>
        </w:rPr>
        <w:t xml:space="preserve"> </w:t>
      </w:r>
      <w:r w:rsidR="00034954" w:rsidRPr="007957EA">
        <w:rPr>
          <w:rFonts w:ascii="Times New Roman" w:hAnsi="Times New Roman" w:cs="Times New Roman"/>
          <w:sz w:val="20"/>
          <w:szCs w:val="20"/>
        </w:rPr>
        <w:t xml:space="preserve">we use </w:t>
      </w:r>
      <w:r w:rsidR="00E82048" w:rsidRPr="007957EA">
        <w:rPr>
          <w:rFonts w:ascii="Times New Roman" w:hAnsi="Times New Roman" w:cs="Times New Roman"/>
          <w:sz w:val="20"/>
          <w:szCs w:val="20"/>
        </w:rPr>
        <w:t xml:space="preserve">the </w:t>
      </w:r>
      <w:r w:rsidR="002655C8" w:rsidRPr="007957EA">
        <w:rPr>
          <w:rFonts w:ascii="Times New Roman" w:hAnsi="Times New Roman" w:cs="Times New Roman"/>
          <w:sz w:val="20"/>
          <w:szCs w:val="20"/>
        </w:rPr>
        <w:t>first</w:t>
      </w:r>
      <w:r w:rsidR="00034954" w:rsidRPr="007957EA">
        <w:rPr>
          <w:rFonts w:ascii="Times New Roman" w:hAnsi="Times New Roman" w:cs="Times New Roman"/>
          <w:sz w:val="20"/>
          <w:szCs w:val="20"/>
        </w:rPr>
        <w:t xml:space="preserve"> </w:t>
      </w:r>
      <w:r w:rsidR="003E75FD" w:rsidRPr="007957EA">
        <w:rPr>
          <w:rFonts w:ascii="Times New Roman" w:hAnsi="Times New Roman" w:cs="Times New Roman"/>
          <w:sz w:val="20"/>
          <w:szCs w:val="20"/>
        </w:rPr>
        <w:t xml:space="preserve">26 observations as </w:t>
      </w:r>
      <w:r w:rsidR="00034954" w:rsidRPr="007957EA">
        <w:rPr>
          <w:rFonts w:ascii="Times New Roman" w:hAnsi="Times New Roman" w:cs="Times New Roman"/>
          <w:sz w:val="20"/>
          <w:szCs w:val="20"/>
        </w:rPr>
        <w:t>a</w:t>
      </w:r>
      <w:r w:rsidR="003E75FD" w:rsidRPr="007957EA">
        <w:rPr>
          <w:rFonts w:ascii="Times New Roman" w:hAnsi="Times New Roman" w:cs="Times New Roman"/>
          <w:sz w:val="20"/>
          <w:szCs w:val="20"/>
        </w:rPr>
        <w:t xml:space="preserve"> training</w:t>
      </w:r>
      <w:r w:rsidR="00034954" w:rsidRPr="007957EA">
        <w:rPr>
          <w:rFonts w:ascii="Times New Roman" w:hAnsi="Times New Roman" w:cs="Times New Roman"/>
          <w:sz w:val="20"/>
          <w:szCs w:val="20"/>
        </w:rPr>
        <w:t xml:space="preserve"> sample to initialise the estimation algorithm</w:t>
      </w:r>
      <w:r w:rsidR="00C26287" w:rsidRPr="007957EA">
        <w:rPr>
          <w:rFonts w:ascii="Times New Roman" w:hAnsi="Times New Roman" w:cs="Times New Roman"/>
          <w:sz w:val="20"/>
          <w:szCs w:val="20"/>
        </w:rPr>
        <w:t xml:space="preserve"> so that the starting point of our time-varying analysis corresponds to the outbreak of SARS</w:t>
      </w:r>
      <w:r w:rsidR="00034954" w:rsidRPr="007957EA">
        <w:rPr>
          <w:rFonts w:ascii="Times New Roman" w:hAnsi="Times New Roman" w:cs="Times New Roman"/>
          <w:sz w:val="20"/>
          <w:szCs w:val="20"/>
        </w:rPr>
        <w:t>.</w:t>
      </w:r>
      <w:r w:rsidR="000221ED" w:rsidRPr="007957EA">
        <w:rPr>
          <w:rStyle w:val="FootnoteReference"/>
          <w:rFonts w:ascii="Times New Roman" w:hAnsi="Times New Roman" w:cs="Times New Roman"/>
          <w:sz w:val="20"/>
          <w:szCs w:val="20"/>
        </w:rPr>
        <w:footnoteReference w:id="4"/>
      </w:r>
      <w:r w:rsidR="00034954" w:rsidRPr="007957EA">
        <w:rPr>
          <w:rFonts w:ascii="Times New Roman" w:hAnsi="Times New Roman" w:cs="Times New Roman"/>
          <w:sz w:val="20"/>
          <w:szCs w:val="20"/>
        </w:rPr>
        <w:t xml:space="preserve"> This pre-sample and the two lags used in estimation imply that </w:t>
      </w:r>
      <w:r w:rsidR="00403F18" w:rsidRPr="007957EA">
        <w:rPr>
          <w:rFonts w:ascii="Times New Roman" w:hAnsi="Times New Roman" w:cs="Times New Roman"/>
          <w:sz w:val="20"/>
          <w:szCs w:val="20"/>
        </w:rPr>
        <w:t>the effective sample</w:t>
      </w:r>
      <w:r w:rsidR="00243781" w:rsidRPr="007957EA">
        <w:rPr>
          <w:rFonts w:ascii="Times New Roman" w:hAnsi="Times New Roman" w:cs="Times New Roman"/>
          <w:sz w:val="20"/>
          <w:szCs w:val="20"/>
        </w:rPr>
        <w:t xml:space="preserve"> for estimation results</w:t>
      </w:r>
      <w:r w:rsidR="00403F18" w:rsidRPr="007957EA">
        <w:rPr>
          <w:rFonts w:ascii="Times New Roman" w:hAnsi="Times New Roman" w:cs="Times New Roman"/>
          <w:sz w:val="20"/>
          <w:szCs w:val="20"/>
        </w:rPr>
        <w:t xml:space="preserve"> starts </w:t>
      </w:r>
      <w:r w:rsidR="00034954" w:rsidRPr="007957EA">
        <w:rPr>
          <w:rFonts w:ascii="Times New Roman" w:hAnsi="Times New Roman" w:cs="Times New Roman"/>
          <w:sz w:val="20"/>
          <w:szCs w:val="20"/>
        </w:rPr>
        <w:t>from</w:t>
      </w:r>
      <w:r w:rsidR="00FF2366" w:rsidRPr="007957EA">
        <w:rPr>
          <w:rFonts w:ascii="Times New Roman" w:hAnsi="Times New Roman" w:cs="Times New Roman"/>
          <w:sz w:val="20"/>
          <w:szCs w:val="20"/>
        </w:rPr>
        <w:t xml:space="preserve"> 2003:Q1</w:t>
      </w:r>
      <w:r w:rsidR="00C26287" w:rsidRPr="007957EA">
        <w:rPr>
          <w:rFonts w:ascii="Times New Roman" w:hAnsi="Times New Roman" w:cs="Times New Roman"/>
          <w:sz w:val="20"/>
          <w:szCs w:val="20"/>
        </w:rPr>
        <w:t xml:space="preserve"> to 2020:</w:t>
      </w:r>
      <w:r w:rsidR="00403F18" w:rsidRPr="007957EA">
        <w:rPr>
          <w:rFonts w:ascii="Times New Roman" w:hAnsi="Times New Roman" w:cs="Times New Roman"/>
          <w:sz w:val="20"/>
          <w:szCs w:val="20"/>
        </w:rPr>
        <w:t>Q1</w:t>
      </w:r>
      <w:r w:rsidR="000221ED" w:rsidRPr="007957EA">
        <w:rPr>
          <w:rFonts w:ascii="Times New Roman" w:hAnsi="Times New Roman" w:cs="Times New Roman"/>
          <w:sz w:val="20"/>
          <w:szCs w:val="20"/>
        </w:rPr>
        <w:t xml:space="preserve">, which </w:t>
      </w:r>
      <w:r w:rsidR="00403F18" w:rsidRPr="007957EA">
        <w:rPr>
          <w:rFonts w:ascii="Times New Roman" w:hAnsi="Times New Roman" w:cs="Times New Roman"/>
          <w:sz w:val="20"/>
          <w:szCs w:val="20"/>
        </w:rPr>
        <w:t xml:space="preserve">covers the </w:t>
      </w:r>
      <w:r w:rsidR="00034954" w:rsidRPr="007957EA">
        <w:rPr>
          <w:rFonts w:ascii="Times New Roman" w:hAnsi="Times New Roman" w:cs="Times New Roman"/>
          <w:sz w:val="20"/>
          <w:szCs w:val="20"/>
        </w:rPr>
        <w:t>period including</w:t>
      </w:r>
      <w:r w:rsidR="00C26287" w:rsidRPr="007957EA">
        <w:rPr>
          <w:rFonts w:ascii="Times New Roman" w:hAnsi="Times New Roman" w:cs="Times New Roman"/>
          <w:sz w:val="20"/>
          <w:szCs w:val="20"/>
        </w:rPr>
        <w:t xml:space="preserve"> all recent global</w:t>
      </w:r>
      <w:r w:rsidR="00403F18" w:rsidRPr="007957EA">
        <w:rPr>
          <w:rFonts w:ascii="Times New Roman" w:hAnsi="Times New Roman" w:cs="Times New Roman"/>
          <w:sz w:val="20"/>
          <w:szCs w:val="20"/>
        </w:rPr>
        <w:t xml:space="preserve"> major infectious disease outbreaks</w:t>
      </w:r>
      <w:r w:rsidR="00034954" w:rsidRPr="007957EA">
        <w:rPr>
          <w:rFonts w:ascii="Times New Roman" w:hAnsi="Times New Roman" w:cs="Times New Roman"/>
          <w:sz w:val="20"/>
          <w:szCs w:val="20"/>
        </w:rPr>
        <w:t xml:space="preserve">, </w:t>
      </w:r>
      <w:r w:rsidR="00E82048" w:rsidRPr="007957EA">
        <w:rPr>
          <w:rFonts w:ascii="Times New Roman" w:hAnsi="Times New Roman" w:cs="Times New Roman"/>
          <w:sz w:val="20"/>
          <w:szCs w:val="20"/>
        </w:rPr>
        <w:t>such as</w:t>
      </w:r>
      <w:r w:rsidR="00034954" w:rsidRPr="007957EA">
        <w:rPr>
          <w:rFonts w:ascii="Times New Roman" w:hAnsi="Times New Roman" w:cs="Times New Roman"/>
          <w:sz w:val="20"/>
          <w:szCs w:val="20"/>
        </w:rPr>
        <w:t xml:space="preserve"> </w:t>
      </w:r>
      <w:r w:rsidR="007076F3" w:rsidRPr="007957EA">
        <w:rPr>
          <w:rFonts w:ascii="Times New Roman" w:hAnsi="Times New Roman" w:cs="Times New Roman"/>
          <w:sz w:val="20"/>
          <w:szCs w:val="20"/>
        </w:rPr>
        <w:t xml:space="preserve">the </w:t>
      </w:r>
      <w:r w:rsidR="00403F18" w:rsidRPr="007957EA">
        <w:rPr>
          <w:rFonts w:ascii="Times New Roman" w:hAnsi="Times New Roman" w:cs="Times New Roman"/>
          <w:sz w:val="20"/>
          <w:szCs w:val="20"/>
        </w:rPr>
        <w:t>S</w:t>
      </w:r>
      <w:r w:rsidR="00C26287" w:rsidRPr="007957EA">
        <w:rPr>
          <w:rFonts w:ascii="Times New Roman" w:hAnsi="Times New Roman" w:cs="Times New Roman"/>
          <w:sz w:val="20"/>
          <w:szCs w:val="20"/>
        </w:rPr>
        <w:t>ARS</w:t>
      </w:r>
      <w:r w:rsidR="00F714F2" w:rsidRPr="007957EA">
        <w:rPr>
          <w:rFonts w:ascii="Times New Roman" w:hAnsi="Times New Roman" w:cs="Times New Roman"/>
          <w:sz w:val="20"/>
          <w:szCs w:val="20"/>
        </w:rPr>
        <w:t xml:space="preserve"> in 2003,</w:t>
      </w:r>
      <w:r w:rsidR="00A65F2F" w:rsidRPr="007957EA">
        <w:rPr>
          <w:rFonts w:ascii="Times New Roman" w:hAnsi="Times New Roman" w:cs="Times New Roman"/>
          <w:sz w:val="20"/>
          <w:szCs w:val="20"/>
        </w:rPr>
        <w:t xml:space="preserve"> Avian flu towards the end of 2003,</w:t>
      </w:r>
      <w:r w:rsidR="00F714F2" w:rsidRPr="007957EA">
        <w:rPr>
          <w:rFonts w:ascii="Times New Roman" w:hAnsi="Times New Roman" w:cs="Times New Roman"/>
          <w:sz w:val="20"/>
          <w:szCs w:val="20"/>
        </w:rPr>
        <w:t xml:space="preserve"> Swine f</w:t>
      </w:r>
      <w:r w:rsidR="00403F18" w:rsidRPr="007957EA">
        <w:rPr>
          <w:rFonts w:ascii="Times New Roman" w:hAnsi="Times New Roman" w:cs="Times New Roman"/>
          <w:sz w:val="20"/>
          <w:szCs w:val="20"/>
        </w:rPr>
        <w:t>lu in 2009-2010, M</w:t>
      </w:r>
      <w:r w:rsidR="00F714F2" w:rsidRPr="007957EA">
        <w:rPr>
          <w:rFonts w:ascii="Times New Roman" w:hAnsi="Times New Roman" w:cs="Times New Roman"/>
          <w:sz w:val="20"/>
          <w:szCs w:val="20"/>
        </w:rPr>
        <w:t>ERS</w:t>
      </w:r>
      <w:r w:rsidR="00403F18" w:rsidRPr="007957EA">
        <w:rPr>
          <w:rFonts w:ascii="Times New Roman" w:hAnsi="Times New Roman" w:cs="Times New Roman"/>
          <w:sz w:val="20"/>
          <w:szCs w:val="20"/>
        </w:rPr>
        <w:t xml:space="preserve"> coronavirus (MERS-</w:t>
      </w:r>
      <w:proofErr w:type="spellStart"/>
      <w:r w:rsidR="00403F18" w:rsidRPr="007957EA">
        <w:rPr>
          <w:rFonts w:ascii="Times New Roman" w:hAnsi="Times New Roman" w:cs="Times New Roman"/>
          <w:sz w:val="20"/>
          <w:szCs w:val="20"/>
        </w:rPr>
        <w:t>CoV</w:t>
      </w:r>
      <w:proofErr w:type="spellEnd"/>
      <w:r w:rsidR="00403F18" w:rsidRPr="007957EA">
        <w:rPr>
          <w:rFonts w:ascii="Times New Roman" w:hAnsi="Times New Roman" w:cs="Times New Roman"/>
          <w:sz w:val="20"/>
          <w:szCs w:val="20"/>
        </w:rPr>
        <w:t>) in 2012-present,</w:t>
      </w:r>
      <w:r w:rsidR="00A65F2F" w:rsidRPr="007957EA">
        <w:rPr>
          <w:rFonts w:ascii="Times New Roman" w:hAnsi="Times New Roman" w:cs="Times New Roman"/>
          <w:sz w:val="20"/>
          <w:szCs w:val="20"/>
        </w:rPr>
        <w:t xml:space="preserve"> Bird flu in 2013,</w:t>
      </w:r>
      <w:r w:rsidR="00403F18" w:rsidRPr="007957EA">
        <w:rPr>
          <w:rFonts w:ascii="Times New Roman" w:hAnsi="Times New Roman" w:cs="Times New Roman"/>
          <w:sz w:val="20"/>
          <w:szCs w:val="20"/>
        </w:rPr>
        <w:t xml:space="preserve"> </w:t>
      </w:r>
      <w:bookmarkStart w:id="1" w:name="_Hlk44589466"/>
      <w:r w:rsidR="00403F18" w:rsidRPr="007957EA">
        <w:rPr>
          <w:rFonts w:ascii="Times New Roman" w:hAnsi="Times New Roman" w:cs="Times New Roman"/>
          <w:sz w:val="20"/>
          <w:szCs w:val="20"/>
        </w:rPr>
        <w:t>Ebola virus disease (EVD) in 2014-2016</w:t>
      </w:r>
      <w:bookmarkEnd w:id="1"/>
      <w:r w:rsidR="00403F18" w:rsidRPr="007957EA">
        <w:rPr>
          <w:rFonts w:ascii="Times New Roman" w:hAnsi="Times New Roman" w:cs="Times New Roman"/>
          <w:sz w:val="20"/>
          <w:szCs w:val="20"/>
        </w:rPr>
        <w:t xml:space="preserve">, and </w:t>
      </w:r>
      <w:r w:rsidR="00A65F2F" w:rsidRPr="007957EA">
        <w:rPr>
          <w:rFonts w:ascii="Times New Roman" w:hAnsi="Times New Roman" w:cs="Times New Roman"/>
          <w:sz w:val="20"/>
          <w:szCs w:val="20"/>
        </w:rPr>
        <w:t xml:space="preserve">finally, the </w:t>
      </w:r>
      <w:r w:rsidR="00403F18" w:rsidRPr="007957EA">
        <w:rPr>
          <w:rFonts w:ascii="Times New Roman" w:hAnsi="Times New Roman" w:cs="Times New Roman"/>
          <w:sz w:val="20"/>
          <w:szCs w:val="20"/>
        </w:rPr>
        <w:t xml:space="preserve">Coronavirus disease (COVID-19) </w:t>
      </w:r>
      <w:r w:rsidR="00122BDF" w:rsidRPr="007957EA">
        <w:rPr>
          <w:rFonts w:ascii="Times New Roman" w:hAnsi="Times New Roman" w:cs="Times New Roman"/>
          <w:sz w:val="20"/>
          <w:szCs w:val="20"/>
        </w:rPr>
        <w:t>in</w:t>
      </w:r>
      <w:r w:rsidR="00F714F2" w:rsidRPr="007957EA">
        <w:rPr>
          <w:rFonts w:ascii="Times New Roman" w:hAnsi="Times New Roman" w:cs="Times New Roman"/>
          <w:sz w:val="20"/>
          <w:szCs w:val="20"/>
        </w:rPr>
        <w:t xml:space="preserve"> </w:t>
      </w:r>
      <w:r w:rsidRPr="007957EA">
        <w:rPr>
          <w:rFonts w:ascii="Times New Roman" w:hAnsi="Times New Roman" w:cs="Times New Roman"/>
          <w:sz w:val="20"/>
          <w:szCs w:val="20"/>
        </w:rPr>
        <w:t>2019-present.</w:t>
      </w:r>
    </w:p>
    <w:p w14:paraId="2C2176A9" w14:textId="77777777" w:rsidR="009166D6" w:rsidRDefault="009166D6" w:rsidP="00C26287">
      <w:pPr>
        <w:spacing w:after="0" w:line="240" w:lineRule="auto"/>
        <w:contextualSpacing/>
        <w:jc w:val="both"/>
        <w:rPr>
          <w:rFonts w:ascii="Times New Roman" w:hAnsi="Times New Roman" w:cs="Times New Roman"/>
          <w:sz w:val="24"/>
          <w:szCs w:val="24"/>
        </w:rPr>
      </w:pPr>
    </w:p>
    <w:p w14:paraId="15A753CA" w14:textId="77777777" w:rsidR="00E16B9C" w:rsidRDefault="004E0B34"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We find that </w:t>
      </w:r>
      <w:r w:rsidR="00AE7F06">
        <w:rPr>
          <w:rFonts w:ascii="Times New Roman" w:hAnsi="Times New Roman" w:cs="Times New Roman"/>
          <w:sz w:val="24"/>
          <w:szCs w:val="24"/>
        </w:rPr>
        <w:t xml:space="preserve">the </w:t>
      </w:r>
      <w:r w:rsidR="00A863AC">
        <w:rPr>
          <w:rFonts w:ascii="Times New Roman" w:hAnsi="Times New Roman" w:cs="Times New Roman"/>
          <w:sz w:val="24"/>
          <w:szCs w:val="24"/>
        </w:rPr>
        <w:t xml:space="preserve">dynamic </w:t>
      </w:r>
      <w:r>
        <w:rPr>
          <w:rFonts w:ascii="Times New Roman" w:hAnsi="Times New Roman" w:cs="Times New Roman"/>
          <w:sz w:val="24"/>
          <w:szCs w:val="24"/>
        </w:rPr>
        <w:t xml:space="preserve">correlations between economic </w:t>
      </w:r>
      <w:r w:rsidR="00A65F2F">
        <w:rPr>
          <w:rFonts w:ascii="Times New Roman" w:hAnsi="Times New Roman" w:cs="Times New Roman"/>
          <w:sz w:val="24"/>
          <w:szCs w:val="24"/>
        </w:rPr>
        <w:t xml:space="preserve">growth </w:t>
      </w:r>
      <w:r>
        <w:rPr>
          <w:rFonts w:ascii="Times New Roman" w:hAnsi="Times New Roman" w:cs="Times New Roman"/>
          <w:sz w:val="24"/>
          <w:szCs w:val="24"/>
        </w:rPr>
        <w:t xml:space="preserve">activities and </w:t>
      </w:r>
      <w:r w:rsidR="00A863AC">
        <w:rPr>
          <w:rFonts w:ascii="Times New Roman" w:hAnsi="Times New Roman" w:cs="Times New Roman"/>
          <w:sz w:val="24"/>
          <w:szCs w:val="24"/>
        </w:rPr>
        <w:t>pandemic</w:t>
      </w:r>
      <w:r w:rsidR="00A65F2F">
        <w:rPr>
          <w:rFonts w:ascii="Times New Roman" w:hAnsi="Times New Roman" w:cs="Times New Roman"/>
          <w:sz w:val="24"/>
          <w:szCs w:val="24"/>
        </w:rPr>
        <w:t>s-related</w:t>
      </w:r>
      <w:r w:rsidR="00A863AC">
        <w:rPr>
          <w:rFonts w:ascii="Times New Roman" w:hAnsi="Times New Roman" w:cs="Times New Roman"/>
          <w:sz w:val="24"/>
          <w:szCs w:val="24"/>
        </w:rPr>
        <w:t xml:space="preserve"> uncertainty </w:t>
      </w:r>
      <w:r>
        <w:rPr>
          <w:rFonts w:ascii="Times New Roman" w:hAnsi="Times New Roman" w:cs="Times New Roman"/>
          <w:sz w:val="24"/>
          <w:szCs w:val="24"/>
        </w:rPr>
        <w:t xml:space="preserve">across the US, other developed economies, and emerging </w:t>
      </w:r>
      <w:r w:rsidR="00A65F2F">
        <w:rPr>
          <w:rFonts w:ascii="Times New Roman" w:hAnsi="Times New Roman" w:cs="Times New Roman"/>
          <w:sz w:val="24"/>
          <w:szCs w:val="24"/>
        </w:rPr>
        <w:t>countries</w:t>
      </w:r>
      <w:r w:rsidR="00F308F3" w:rsidRPr="00F308F3">
        <w:rPr>
          <w:rFonts w:ascii="Times New Roman" w:hAnsi="Times New Roman" w:cs="Times New Roman"/>
          <w:sz w:val="24"/>
          <w:szCs w:val="24"/>
        </w:rPr>
        <w:t xml:space="preserve"> </w:t>
      </w:r>
      <w:r w:rsidR="00F308F3">
        <w:rPr>
          <w:rFonts w:ascii="Times New Roman" w:hAnsi="Times New Roman" w:cs="Times New Roman"/>
          <w:sz w:val="24"/>
          <w:szCs w:val="24"/>
        </w:rPr>
        <w:t>are negative in general</w:t>
      </w:r>
      <w:r>
        <w:rPr>
          <w:rFonts w:ascii="Times New Roman" w:hAnsi="Times New Roman" w:cs="Times New Roman"/>
          <w:sz w:val="24"/>
          <w:szCs w:val="24"/>
        </w:rPr>
        <w:t>.</w:t>
      </w:r>
      <w:r w:rsidR="00F308F3">
        <w:rPr>
          <w:rFonts w:ascii="Times New Roman" w:hAnsi="Times New Roman" w:cs="Times New Roman"/>
          <w:sz w:val="24"/>
          <w:szCs w:val="24"/>
        </w:rPr>
        <w:t xml:space="preserve"> </w:t>
      </w:r>
      <w:r w:rsidR="00A65F2F">
        <w:rPr>
          <w:rFonts w:ascii="Times New Roman" w:hAnsi="Times New Roman" w:cs="Times New Roman"/>
          <w:sz w:val="24"/>
          <w:szCs w:val="24"/>
        </w:rPr>
        <w:t>Note, a</w:t>
      </w:r>
      <w:r w:rsidR="006A5E86">
        <w:rPr>
          <w:rFonts w:ascii="Times New Roman" w:hAnsi="Times New Roman" w:cs="Times New Roman"/>
          <w:sz w:val="24"/>
          <w:szCs w:val="24"/>
        </w:rPr>
        <w:t xml:space="preserve"> </w:t>
      </w:r>
      <w:r w:rsidR="00EB53C6">
        <w:rPr>
          <w:rFonts w:ascii="Times New Roman" w:hAnsi="Times New Roman" w:cs="Times New Roman"/>
          <w:sz w:val="24"/>
          <w:szCs w:val="24"/>
        </w:rPr>
        <w:t>negative</w:t>
      </w:r>
      <w:r w:rsidR="00EB53C6" w:rsidRPr="00EB53C6">
        <w:rPr>
          <w:rFonts w:ascii="Times New Roman" w:hAnsi="Times New Roman" w:cs="Times New Roman"/>
          <w:sz w:val="24"/>
          <w:szCs w:val="24"/>
        </w:rPr>
        <w:t xml:space="preserve"> correlation</w:t>
      </w:r>
      <w:r w:rsidR="00F308F3">
        <w:rPr>
          <w:rFonts w:ascii="Times New Roman" w:hAnsi="Times New Roman" w:cs="Times New Roman"/>
          <w:sz w:val="24"/>
          <w:szCs w:val="24"/>
        </w:rPr>
        <w:t xml:space="preserve"> indicates </w:t>
      </w:r>
      <w:r w:rsidR="00EB53C6" w:rsidRPr="00EB53C6">
        <w:rPr>
          <w:rFonts w:ascii="Times New Roman" w:hAnsi="Times New Roman" w:cs="Times New Roman"/>
          <w:sz w:val="24"/>
          <w:szCs w:val="24"/>
        </w:rPr>
        <w:t>that</w:t>
      </w:r>
      <w:r w:rsidR="00EB53C6">
        <w:rPr>
          <w:rFonts w:ascii="Times New Roman" w:hAnsi="Times New Roman" w:cs="Times New Roman"/>
          <w:sz w:val="24"/>
          <w:szCs w:val="24"/>
        </w:rPr>
        <w:t xml:space="preserve"> </w:t>
      </w:r>
      <w:r w:rsidR="005851B7">
        <w:rPr>
          <w:rFonts w:ascii="Times New Roman" w:hAnsi="Times New Roman" w:cs="Times New Roman"/>
          <w:sz w:val="24"/>
          <w:szCs w:val="24"/>
        </w:rPr>
        <w:t>higher</w:t>
      </w:r>
      <w:r w:rsidR="00EB53C6">
        <w:rPr>
          <w:rFonts w:ascii="Times New Roman" w:hAnsi="Times New Roman" w:cs="Times New Roman"/>
          <w:sz w:val="24"/>
          <w:szCs w:val="24"/>
        </w:rPr>
        <w:t xml:space="preserve"> pandemic</w:t>
      </w:r>
      <w:r w:rsidR="00A65F2F">
        <w:rPr>
          <w:rFonts w:ascii="Times New Roman" w:hAnsi="Times New Roman" w:cs="Times New Roman"/>
          <w:sz w:val="24"/>
          <w:szCs w:val="24"/>
        </w:rPr>
        <w:t>s-related</w:t>
      </w:r>
      <w:r w:rsidR="00EB53C6">
        <w:rPr>
          <w:rFonts w:ascii="Times New Roman" w:hAnsi="Times New Roman" w:cs="Times New Roman"/>
          <w:sz w:val="24"/>
          <w:szCs w:val="24"/>
        </w:rPr>
        <w:t xml:space="preserve"> uncertainty</w:t>
      </w:r>
      <w:r w:rsidR="00EB53C6" w:rsidRPr="00EB53C6">
        <w:rPr>
          <w:rFonts w:ascii="Times New Roman" w:hAnsi="Times New Roman" w:cs="Times New Roman"/>
          <w:sz w:val="24"/>
          <w:szCs w:val="24"/>
        </w:rPr>
        <w:t xml:space="preserve"> </w:t>
      </w:r>
      <w:r w:rsidR="00A65F2F">
        <w:rPr>
          <w:rFonts w:ascii="Times New Roman" w:hAnsi="Times New Roman" w:cs="Times New Roman"/>
          <w:sz w:val="24"/>
          <w:szCs w:val="24"/>
        </w:rPr>
        <w:t xml:space="preserve">can be associated with </w:t>
      </w:r>
      <w:r w:rsidR="00EB53C6">
        <w:rPr>
          <w:rFonts w:ascii="Times New Roman" w:hAnsi="Times New Roman" w:cs="Times New Roman"/>
          <w:sz w:val="24"/>
          <w:szCs w:val="24"/>
        </w:rPr>
        <w:t xml:space="preserve">lower </w:t>
      </w:r>
      <w:r w:rsidR="00F12190">
        <w:rPr>
          <w:rFonts w:ascii="Times New Roman" w:hAnsi="Times New Roman" w:cs="Times New Roman"/>
          <w:sz w:val="24"/>
          <w:szCs w:val="24"/>
        </w:rPr>
        <w:t xml:space="preserve">economic </w:t>
      </w:r>
      <w:r w:rsidR="00EB53C6">
        <w:rPr>
          <w:rFonts w:ascii="Times New Roman" w:hAnsi="Times New Roman" w:cs="Times New Roman"/>
          <w:sz w:val="24"/>
          <w:szCs w:val="24"/>
        </w:rPr>
        <w:t>growth rates</w:t>
      </w:r>
      <w:r w:rsidR="00EB53C6" w:rsidRPr="00EB53C6">
        <w:rPr>
          <w:rFonts w:ascii="Times New Roman" w:hAnsi="Times New Roman" w:cs="Times New Roman"/>
          <w:sz w:val="24"/>
          <w:szCs w:val="24"/>
        </w:rPr>
        <w:t>.</w:t>
      </w:r>
      <w:r w:rsidR="00A863AC">
        <w:rPr>
          <w:rFonts w:ascii="Times New Roman" w:hAnsi="Times New Roman" w:cs="Times New Roman"/>
          <w:sz w:val="24"/>
          <w:szCs w:val="24"/>
        </w:rPr>
        <w:t xml:space="preserve"> </w:t>
      </w:r>
      <w:r w:rsidR="00F308F3">
        <w:rPr>
          <w:rFonts w:ascii="Times New Roman" w:hAnsi="Times New Roman" w:cs="Times New Roman"/>
          <w:sz w:val="24"/>
          <w:szCs w:val="24"/>
        </w:rPr>
        <w:t>We observe two sharp dips in correlations between DPI and GDP growth rates</w:t>
      </w:r>
      <w:r w:rsidR="00A65F2F">
        <w:rPr>
          <w:rFonts w:ascii="Times New Roman" w:hAnsi="Times New Roman" w:cs="Times New Roman"/>
          <w:sz w:val="24"/>
          <w:szCs w:val="24"/>
        </w:rPr>
        <w:t xml:space="preserve"> resulting from</w:t>
      </w:r>
      <w:r w:rsidR="00F308F3" w:rsidRPr="00F308F3">
        <w:rPr>
          <w:rFonts w:ascii="Times New Roman" w:hAnsi="Times New Roman" w:cs="Times New Roman"/>
          <w:sz w:val="24"/>
          <w:szCs w:val="24"/>
        </w:rPr>
        <w:t xml:space="preserve"> the outbreak</w:t>
      </w:r>
      <w:r w:rsidR="00F308F3">
        <w:rPr>
          <w:rFonts w:ascii="Times New Roman" w:hAnsi="Times New Roman" w:cs="Times New Roman"/>
          <w:sz w:val="24"/>
          <w:szCs w:val="24"/>
        </w:rPr>
        <w:t>s</w:t>
      </w:r>
      <w:r w:rsidR="00F308F3" w:rsidRPr="00F308F3">
        <w:rPr>
          <w:rFonts w:ascii="Times New Roman" w:hAnsi="Times New Roman" w:cs="Times New Roman"/>
          <w:sz w:val="24"/>
          <w:szCs w:val="24"/>
        </w:rPr>
        <w:t xml:space="preserve"> of </w:t>
      </w:r>
      <w:r w:rsidR="00F308F3" w:rsidRPr="00403F18">
        <w:rPr>
          <w:rFonts w:ascii="Times New Roman" w:hAnsi="Times New Roman" w:cs="Times New Roman"/>
          <w:sz w:val="24"/>
          <w:szCs w:val="24"/>
        </w:rPr>
        <w:t>MERS-</w:t>
      </w:r>
      <w:proofErr w:type="spellStart"/>
      <w:r w:rsidR="00F308F3" w:rsidRPr="00403F18">
        <w:rPr>
          <w:rFonts w:ascii="Times New Roman" w:hAnsi="Times New Roman" w:cs="Times New Roman"/>
          <w:sz w:val="24"/>
          <w:szCs w:val="24"/>
        </w:rPr>
        <w:t>CoV</w:t>
      </w:r>
      <w:proofErr w:type="spellEnd"/>
      <w:r w:rsidR="00F308F3">
        <w:rPr>
          <w:rFonts w:ascii="Times New Roman" w:hAnsi="Times New Roman" w:cs="Times New Roman"/>
          <w:sz w:val="24"/>
          <w:szCs w:val="24"/>
        </w:rPr>
        <w:t xml:space="preserve"> (in 2012-present) and </w:t>
      </w:r>
      <w:r w:rsidR="006E7297">
        <w:rPr>
          <w:rFonts w:ascii="Times New Roman" w:hAnsi="Times New Roman" w:cs="Times New Roman"/>
          <w:sz w:val="24"/>
          <w:szCs w:val="24"/>
        </w:rPr>
        <w:t xml:space="preserve">the recent </w:t>
      </w:r>
      <w:r w:rsidR="00F308F3" w:rsidRPr="00403F18">
        <w:rPr>
          <w:rFonts w:ascii="Times New Roman" w:hAnsi="Times New Roman" w:cs="Times New Roman"/>
          <w:sz w:val="24"/>
          <w:szCs w:val="24"/>
        </w:rPr>
        <w:t>COVID-19</w:t>
      </w:r>
      <w:r w:rsidR="00F308F3">
        <w:rPr>
          <w:rFonts w:ascii="Times New Roman" w:hAnsi="Times New Roman" w:cs="Times New Roman"/>
          <w:sz w:val="24"/>
          <w:szCs w:val="24"/>
        </w:rPr>
        <w:t xml:space="preserve"> </w:t>
      </w:r>
      <w:r w:rsidR="00A65F2F">
        <w:rPr>
          <w:rFonts w:ascii="Times New Roman" w:hAnsi="Times New Roman" w:cs="Times New Roman"/>
          <w:sz w:val="24"/>
          <w:szCs w:val="24"/>
        </w:rPr>
        <w:t xml:space="preserve"> </w:t>
      </w:r>
      <w:r w:rsidR="006E7297">
        <w:rPr>
          <w:rFonts w:ascii="Times New Roman" w:hAnsi="Times New Roman" w:cs="Times New Roman"/>
          <w:sz w:val="24"/>
          <w:szCs w:val="24"/>
        </w:rPr>
        <w:t>(</w:t>
      </w:r>
      <w:r w:rsidR="00A65F2F">
        <w:rPr>
          <w:rFonts w:ascii="Times New Roman" w:hAnsi="Times New Roman" w:cs="Times New Roman"/>
          <w:sz w:val="24"/>
          <w:szCs w:val="24"/>
        </w:rPr>
        <w:t>as well as mildly from the Bird Flu in 2013</w:t>
      </w:r>
      <w:r w:rsidR="006E7297">
        <w:rPr>
          <w:rFonts w:ascii="Times New Roman" w:hAnsi="Times New Roman" w:cs="Times New Roman"/>
          <w:sz w:val="24"/>
          <w:szCs w:val="24"/>
        </w:rPr>
        <w:t>, but which could be the persistent impact of MERS-</w:t>
      </w:r>
      <w:proofErr w:type="spellStart"/>
      <w:r w:rsidR="006E7297">
        <w:rPr>
          <w:rFonts w:ascii="Times New Roman" w:hAnsi="Times New Roman" w:cs="Times New Roman"/>
          <w:sz w:val="24"/>
          <w:szCs w:val="24"/>
        </w:rPr>
        <w:t>CoV</w:t>
      </w:r>
      <w:proofErr w:type="spellEnd"/>
      <w:r w:rsidR="006E7297">
        <w:rPr>
          <w:rFonts w:ascii="Times New Roman" w:hAnsi="Times New Roman" w:cs="Times New Roman"/>
          <w:sz w:val="24"/>
          <w:szCs w:val="24"/>
        </w:rPr>
        <w:t>), highlighting</w:t>
      </w:r>
      <w:r w:rsidR="00AE7F06">
        <w:rPr>
          <w:rFonts w:ascii="Times New Roman" w:hAnsi="Times New Roman" w:cs="Times New Roman"/>
          <w:sz w:val="24"/>
          <w:szCs w:val="24"/>
        </w:rPr>
        <w:t xml:space="preserve"> a</w:t>
      </w:r>
      <w:r w:rsidR="00100EB9">
        <w:rPr>
          <w:rFonts w:ascii="Times New Roman" w:hAnsi="Times New Roman" w:cs="Times New Roman"/>
          <w:sz w:val="24"/>
          <w:szCs w:val="24"/>
        </w:rPr>
        <w:t xml:space="preserve"> closer relationship between higher uncertainty associated with</w:t>
      </w:r>
      <w:r w:rsidR="00F308F3">
        <w:rPr>
          <w:rFonts w:ascii="Times New Roman" w:hAnsi="Times New Roman" w:cs="Times New Roman"/>
          <w:sz w:val="24"/>
          <w:szCs w:val="24"/>
        </w:rPr>
        <w:t xml:space="preserve"> these on-going diseases </w:t>
      </w:r>
      <w:r w:rsidR="00100EB9">
        <w:rPr>
          <w:rFonts w:ascii="Times New Roman" w:hAnsi="Times New Roman" w:cs="Times New Roman"/>
          <w:sz w:val="24"/>
          <w:szCs w:val="24"/>
        </w:rPr>
        <w:t>and lower</w:t>
      </w:r>
      <w:r w:rsidR="00F308F3">
        <w:rPr>
          <w:rFonts w:ascii="Times New Roman" w:hAnsi="Times New Roman" w:cs="Times New Roman"/>
          <w:sz w:val="24"/>
          <w:szCs w:val="24"/>
        </w:rPr>
        <w:t xml:space="preserve"> real economic activities. This is clear evidence that GDP growth rates highly covary with uncertainty</w:t>
      </w:r>
      <w:r w:rsidR="00A65F2F">
        <w:rPr>
          <w:rFonts w:ascii="Times New Roman" w:hAnsi="Times New Roman" w:cs="Times New Roman"/>
          <w:sz w:val="24"/>
          <w:szCs w:val="24"/>
        </w:rPr>
        <w:t xml:space="preserve"> caused by pandemics</w:t>
      </w:r>
      <w:r w:rsidR="00F308F3">
        <w:rPr>
          <w:rFonts w:ascii="Times New Roman" w:hAnsi="Times New Roman" w:cs="Times New Roman"/>
          <w:sz w:val="24"/>
          <w:szCs w:val="24"/>
        </w:rPr>
        <w:t xml:space="preserve">, especially </w:t>
      </w:r>
      <w:r w:rsidR="00A976D3">
        <w:rPr>
          <w:rFonts w:ascii="Times New Roman" w:hAnsi="Times New Roman" w:cs="Times New Roman"/>
          <w:sz w:val="24"/>
          <w:szCs w:val="24"/>
        </w:rPr>
        <w:t>in the</w:t>
      </w:r>
      <w:r w:rsidR="00CB46F5">
        <w:rPr>
          <w:rFonts w:ascii="Times New Roman" w:hAnsi="Times New Roman" w:cs="Times New Roman"/>
          <w:sz w:val="24"/>
          <w:szCs w:val="24"/>
        </w:rPr>
        <w:t xml:space="preserve"> events of</w:t>
      </w:r>
      <w:r w:rsidR="00F308F3">
        <w:rPr>
          <w:rFonts w:ascii="Times New Roman" w:hAnsi="Times New Roman" w:cs="Times New Roman"/>
          <w:sz w:val="24"/>
          <w:szCs w:val="24"/>
        </w:rPr>
        <w:t xml:space="preserve"> disease</w:t>
      </w:r>
      <w:r w:rsidR="00A976D3">
        <w:rPr>
          <w:rFonts w:ascii="Times New Roman" w:hAnsi="Times New Roman" w:cs="Times New Roman"/>
          <w:sz w:val="24"/>
          <w:szCs w:val="24"/>
        </w:rPr>
        <w:t xml:space="preserve"> outbreaks</w:t>
      </w:r>
      <w:r w:rsidR="00F308F3">
        <w:rPr>
          <w:rFonts w:ascii="Times New Roman" w:hAnsi="Times New Roman" w:cs="Times New Roman"/>
          <w:sz w:val="24"/>
          <w:szCs w:val="24"/>
        </w:rPr>
        <w:t xml:space="preserve"> </w:t>
      </w:r>
      <w:r w:rsidR="00A976D3">
        <w:rPr>
          <w:rFonts w:ascii="Times New Roman" w:hAnsi="Times New Roman" w:cs="Times New Roman"/>
          <w:sz w:val="24"/>
          <w:szCs w:val="24"/>
        </w:rPr>
        <w:t>that have not been</w:t>
      </w:r>
      <w:r w:rsidR="00F308F3">
        <w:rPr>
          <w:rFonts w:ascii="Times New Roman" w:hAnsi="Times New Roman" w:cs="Times New Roman"/>
          <w:sz w:val="24"/>
          <w:szCs w:val="24"/>
        </w:rPr>
        <w:t xml:space="preserve"> brought under </w:t>
      </w:r>
      <w:r w:rsidR="00A65F2F">
        <w:rPr>
          <w:rFonts w:ascii="Times New Roman" w:hAnsi="Times New Roman" w:cs="Times New Roman"/>
          <w:sz w:val="24"/>
          <w:szCs w:val="24"/>
        </w:rPr>
        <w:lastRenderedPageBreak/>
        <w:t xml:space="preserve">proper </w:t>
      </w:r>
      <w:r w:rsidR="00F308F3">
        <w:rPr>
          <w:rFonts w:ascii="Times New Roman" w:hAnsi="Times New Roman" w:cs="Times New Roman"/>
          <w:sz w:val="24"/>
          <w:szCs w:val="24"/>
        </w:rPr>
        <w:t>control</w:t>
      </w:r>
      <w:r w:rsidR="00A65F2F">
        <w:rPr>
          <w:rFonts w:ascii="Times New Roman" w:hAnsi="Times New Roman" w:cs="Times New Roman"/>
          <w:sz w:val="24"/>
          <w:szCs w:val="24"/>
        </w:rPr>
        <w:t>,</w:t>
      </w:r>
      <w:r w:rsidR="00F308F3">
        <w:rPr>
          <w:rFonts w:ascii="Times New Roman" w:hAnsi="Times New Roman" w:cs="Times New Roman"/>
          <w:sz w:val="24"/>
          <w:szCs w:val="24"/>
        </w:rPr>
        <w:t xml:space="preserve"> and </w:t>
      </w:r>
      <w:r w:rsidR="0081302A">
        <w:rPr>
          <w:rFonts w:ascii="Times New Roman" w:hAnsi="Times New Roman" w:cs="Times New Roman"/>
          <w:sz w:val="24"/>
          <w:szCs w:val="24"/>
        </w:rPr>
        <w:t xml:space="preserve">when </w:t>
      </w:r>
      <w:r w:rsidR="00CB46F5">
        <w:rPr>
          <w:rFonts w:ascii="Times New Roman" w:hAnsi="Times New Roman" w:cs="Times New Roman"/>
          <w:sz w:val="24"/>
          <w:szCs w:val="24"/>
        </w:rPr>
        <w:t>there are no</w:t>
      </w:r>
      <w:r w:rsidR="00F308F3" w:rsidRPr="00F308F3">
        <w:rPr>
          <w:rFonts w:ascii="Times New Roman" w:hAnsi="Times New Roman" w:cs="Times New Roman"/>
          <w:sz w:val="24"/>
          <w:szCs w:val="24"/>
        </w:rPr>
        <w:t xml:space="preserve"> </w:t>
      </w:r>
      <w:r w:rsidR="00F308F3">
        <w:rPr>
          <w:rFonts w:ascii="Times New Roman" w:hAnsi="Times New Roman" w:cs="Times New Roman"/>
          <w:sz w:val="24"/>
          <w:szCs w:val="24"/>
        </w:rPr>
        <w:t>effective</w:t>
      </w:r>
      <w:r w:rsidR="00F308F3" w:rsidRPr="00F308F3">
        <w:rPr>
          <w:rFonts w:ascii="Times New Roman" w:hAnsi="Times New Roman" w:cs="Times New Roman"/>
          <w:sz w:val="24"/>
          <w:szCs w:val="24"/>
        </w:rPr>
        <w:t xml:space="preserve"> vaccine</w:t>
      </w:r>
      <w:r w:rsidR="00F308F3">
        <w:rPr>
          <w:rFonts w:ascii="Times New Roman" w:hAnsi="Times New Roman" w:cs="Times New Roman"/>
          <w:sz w:val="24"/>
          <w:szCs w:val="24"/>
        </w:rPr>
        <w:t>s</w:t>
      </w:r>
      <w:r w:rsidR="00F308F3" w:rsidRPr="00F308F3">
        <w:rPr>
          <w:rFonts w:ascii="Times New Roman" w:hAnsi="Times New Roman" w:cs="Times New Roman"/>
          <w:sz w:val="24"/>
          <w:szCs w:val="24"/>
        </w:rPr>
        <w:t xml:space="preserve"> or treatment</w:t>
      </w:r>
      <w:r w:rsidR="00F308F3">
        <w:rPr>
          <w:rFonts w:ascii="Times New Roman" w:hAnsi="Times New Roman" w:cs="Times New Roman"/>
          <w:sz w:val="24"/>
          <w:szCs w:val="24"/>
        </w:rPr>
        <w:t>s</w:t>
      </w:r>
      <w:r w:rsidR="00F308F3" w:rsidRPr="00F308F3">
        <w:rPr>
          <w:rFonts w:ascii="Times New Roman" w:hAnsi="Times New Roman" w:cs="Times New Roman"/>
          <w:sz w:val="24"/>
          <w:szCs w:val="24"/>
        </w:rPr>
        <w:t xml:space="preserve"> for the disease</w:t>
      </w:r>
      <w:r w:rsidR="00F308F3">
        <w:rPr>
          <w:rFonts w:ascii="Times New Roman" w:hAnsi="Times New Roman" w:cs="Times New Roman"/>
          <w:sz w:val="24"/>
          <w:szCs w:val="24"/>
        </w:rPr>
        <w:t>s</w:t>
      </w:r>
      <w:r w:rsidR="00FD562C">
        <w:rPr>
          <w:rFonts w:ascii="Times New Roman" w:hAnsi="Times New Roman" w:cs="Times New Roman"/>
          <w:sz w:val="24"/>
          <w:szCs w:val="24"/>
        </w:rPr>
        <w:t>. In contrast, d</w:t>
      </w:r>
      <w:r w:rsidR="007076F3">
        <w:rPr>
          <w:rFonts w:ascii="Times New Roman" w:hAnsi="Times New Roman" w:cs="Times New Roman"/>
          <w:sz w:val="24"/>
          <w:szCs w:val="24"/>
        </w:rPr>
        <w:t>uring the periods of SARS</w:t>
      </w:r>
      <w:r w:rsidR="00A65F2F">
        <w:rPr>
          <w:rFonts w:ascii="Times New Roman" w:hAnsi="Times New Roman" w:cs="Times New Roman"/>
          <w:sz w:val="24"/>
          <w:szCs w:val="24"/>
        </w:rPr>
        <w:t xml:space="preserve"> and Avian flu</w:t>
      </w:r>
      <w:r w:rsidR="007076F3">
        <w:rPr>
          <w:rFonts w:ascii="Times New Roman" w:hAnsi="Times New Roman" w:cs="Times New Roman"/>
          <w:sz w:val="24"/>
          <w:szCs w:val="24"/>
        </w:rPr>
        <w:t xml:space="preserve"> in 2003</w:t>
      </w:r>
      <w:r w:rsidR="00FD562C">
        <w:rPr>
          <w:rFonts w:ascii="Times New Roman" w:hAnsi="Times New Roman" w:cs="Times New Roman"/>
          <w:sz w:val="24"/>
          <w:szCs w:val="24"/>
        </w:rPr>
        <w:t xml:space="preserve">, the </w:t>
      </w:r>
      <w:r w:rsidR="007076F3">
        <w:rPr>
          <w:rFonts w:ascii="Times New Roman" w:hAnsi="Times New Roman" w:cs="Times New Roman"/>
          <w:sz w:val="24"/>
          <w:szCs w:val="24"/>
        </w:rPr>
        <w:t>Sw</w:t>
      </w:r>
      <w:r w:rsidR="00A65F2F">
        <w:rPr>
          <w:rFonts w:ascii="Times New Roman" w:hAnsi="Times New Roman" w:cs="Times New Roman"/>
          <w:sz w:val="24"/>
          <w:szCs w:val="24"/>
        </w:rPr>
        <w:t>ine Flu in 2009-2010,</w:t>
      </w:r>
      <w:r w:rsidR="00FD562C">
        <w:rPr>
          <w:rFonts w:ascii="Times New Roman" w:hAnsi="Times New Roman" w:cs="Times New Roman"/>
          <w:sz w:val="24"/>
          <w:szCs w:val="24"/>
        </w:rPr>
        <w:t xml:space="preserve"> and </w:t>
      </w:r>
      <w:r w:rsidR="00FD562C" w:rsidRPr="00403F18">
        <w:rPr>
          <w:rFonts w:ascii="Times New Roman" w:hAnsi="Times New Roman" w:cs="Times New Roman"/>
          <w:sz w:val="24"/>
          <w:szCs w:val="24"/>
        </w:rPr>
        <w:t>EVD</w:t>
      </w:r>
      <w:r w:rsidR="00FD562C">
        <w:rPr>
          <w:rFonts w:ascii="Times New Roman" w:hAnsi="Times New Roman" w:cs="Times New Roman"/>
          <w:sz w:val="24"/>
          <w:szCs w:val="24"/>
        </w:rPr>
        <w:t xml:space="preserve"> in 2014-2016</w:t>
      </w:r>
      <w:r w:rsidR="00A976D3">
        <w:rPr>
          <w:rFonts w:ascii="Times New Roman" w:hAnsi="Times New Roman" w:cs="Times New Roman"/>
          <w:sz w:val="24"/>
          <w:szCs w:val="24"/>
        </w:rPr>
        <w:t xml:space="preserve"> when the disease outbreaks have been quickly contained</w:t>
      </w:r>
      <w:r w:rsidR="00FD562C">
        <w:rPr>
          <w:rFonts w:ascii="Times New Roman" w:hAnsi="Times New Roman" w:cs="Times New Roman"/>
          <w:sz w:val="24"/>
          <w:szCs w:val="24"/>
        </w:rPr>
        <w:t>,</w:t>
      </w:r>
      <w:r w:rsidR="007076F3">
        <w:rPr>
          <w:rFonts w:ascii="Times New Roman" w:hAnsi="Times New Roman" w:cs="Times New Roman"/>
          <w:sz w:val="24"/>
          <w:szCs w:val="24"/>
        </w:rPr>
        <w:t xml:space="preserve"> we only observe </w:t>
      </w:r>
      <w:r w:rsidR="009B28E8">
        <w:rPr>
          <w:rFonts w:ascii="Times New Roman" w:hAnsi="Times New Roman" w:cs="Times New Roman"/>
          <w:sz w:val="24"/>
          <w:szCs w:val="24"/>
        </w:rPr>
        <w:t xml:space="preserve">negative and statistically significant correlations between </w:t>
      </w:r>
      <w:r w:rsidR="00FD562C">
        <w:rPr>
          <w:rFonts w:ascii="Times New Roman" w:hAnsi="Times New Roman" w:cs="Times New Roman"/>
          <w:sz w:val="24"/>
          <w:szCs w:val="24"/>
        </w:rPr>
        <w:t xml:space="preserve">DPI and </w:t>
      </w:r>
      <w:r w:rsidR="009B28E8">
        <w:rPr>
          <w:rFonts w:ascii="Times New Roman" w:hAnsi="Times New Roman" w:cs="Times New Roman"/>
          <w:sz w:val="24"/>
          <w:szCs w:val="24"/>
        </w:rPr>
        <w:t xml:space="preserve">real economic activities </w:t>
      </w:r>
      <w:r w:rsidR="00FD562C">
        <w:rPr>
          <w:rFonts w:ascii="Times New Roman" w:hAnsi="Times New Roman" w:cs="Times New Roman"/>
          <w:sz w:val="24"/>
          <w:szCs w:val="24"/>
        </w:rPr>
        <w:t>in advanced economies (excluding the US)</w:t>
      </w:r>
      <w:r w:rsidR="00A65F2F">
        <w:rPr>
          <w:rFonts w:ascii="Times New Roman" w:hAnsi="Times New Roman" w:cs="Times New Roman"/>
          <w:sz w:val="24"/>
          <w:szCs w:val="24"/>
        </w:rPr>
        <w:t>,</w:t>
      </w:r>
      <w:r w:rsidR="00FD562C">
        <w:rPr>
          <w:rFonts w:ascii="Times New Roman" w:hAnsi="Times New Roman" w:cs="Times New Roman"/>
          <w:sz w:val="24"/>
          <w:szCs w:val="24"/>
        </w:rPr>
        <w:t xml:space="preserve"> </w:t>
      </w:r>
      <w:r w:rsidR="007076F3">
        <w:rPr>
          <w:rFonts w:ascii="Times New Roman" w:hAnsi="Times New Roman" w:cs="Times New Roman"/>
          <w:sz w:val="24"/>
          <w:szCs w:val="24"/>
        </w:rPr>
        <w:t>and the size</w:t>
      </w:r>
      <w:r w:rsidR="00FD562C">
        <w:rPr>
          <w:rFonts w:ascii="Times New Roman" w:hAnsi="Times New Roman" w:cs="Times New Roman"/>
          <w:sz w:val="24"/>
          <w:szCs w:val="24"/>
        </w:rPr>
        <w:t>s</w:t>
      </w:r>
      <w:r w:rsidR="007076F3">
        <w:rPr>
          <w:rFonts w:ascii="Times New Roman" w:hAnsi="Times New Roman" w:cs="Times New Roman"/>
          <w:sz w:val="24"/>
          <w:szCs w:val="24"/>
        </w:rPr>
        <w:t xml:space="preserve"> of correlations </w:t>
      </w:r>
      <w:r w:rsidR="00FD562C">
        <w:rPr>
          <w:rFonts w:ascii="Times New Roman" w:hAnsi="Times New Roman" w:cs="Times New Roman"/>
          <w:sz w:val="24"/>
          <w:szCs w:val="24"/>
        </w:rPr>
        <w:t>are</w:t>
      </w:r>
      <w:r w:rsidR="007076F3">
        <w:rPr>
          <w:rFonts w:ascii="Times New Roman" w:hAnsi="Times New Roman" w:cs="Times New Roman"/>
          <w:sz w:val="24"/>
          <w:szCs w:val="24"/>
        </w:rPr>
        <w:t xml:space="preserve"> </w:t>
      </w:r>
      <w:r w:rsidR="007836C4">
        <w:rPr>
          <w:rFonts w:ascii="Times New Roman" w:hAnsi="Times New Roman" w:cs="Times New Roman"/>
          <w:sz w:val="24"/>
          <w:szCs w:val="24"/>
        </w:rPr>
        <w:t xml:space="preserve">relatively </w:t>
      </w:r>
      <w:r w:rsidR="007076F3">
        <w:rPr>
          <w:rFonts w:ascii="Times New Roman" w:hAnsi="Times New Roman" w:cs="Times New Roman"/>
          <w:sz w:val="24"/>
          <w:szCs w:val="24"/>
        </w:rPr>
        <w:t>small</w:t>
      </w:r>
      <w:r w:rsidR="00A11F20">
        <w:rPr>
          <w:rFonts w:ascii="Times New Roman" w:hAnsi="Times New Roman" w:cs="Times New Roman"/>
          <w:sz w:val="24"/>
          <w:szCs w:val="24"/>
        </w:rPr>
        <w:t>. Furthermore,</w:t>
      </w:r>
      <w:r w:rsidR="00AE7F06">
        <w:rPr>
          <w:rFonts w:ascii="Times New Roman" w:hAnsi="Times New Roman" w:cs="Times New Roman"/>
          <w:sz w:val="24"/>
          <w:szCs w:val="24"/>
        </w:rPr>
        <w:t xml:space="preserve"> our results show that the size of the dynamic correlations reaches its highest level during the period of COVID-19 </w:t>
      </w:r>
      <w:r w:rsidR="006E7297">
        <w:rPr>
          <w:rFonts w:ascii="Times New Roman" w:hAnsi="Times New Roman" w:cs="Times New Roman"/>
          <w:sz w:val="24"/>
          <w:szCs w:val="24"/>
        </w:rPr>
        <w:t>in the estimation sample period,</w:t>
      </w:r>
      <w:r w:rsidR="00C20CE0">
        <w:rPr>
          <w:rFonts w:ascii="Times New Roman" w:hAnsi="Times New Roman" w:cs="Times New Roman"/>
          <w:sz w:val="24"/>
          <w:szCs w:val="24"/>
        </w:rPr>
        <w:t xml:space="preserve"> with strongest negative value observed for emerging market economies (-0.8), followed by other advanced countries (-0.6) and the US (-0.5).</w:t>
      </w:r>
      <w:r w:rsidR="00850A5C">
        <w:rPr>
          <w:rFonts w:ascii="Times New Roman" w:hAnsi="Times New Roman" w:cs="Times New Roman"/>
          <w:sz w:val="24"/>
          <w:szCs w:val="24"/>
        </w:rPr>
        <w:t xml:space="preserve"> The comparatively higher negative impact on developing countries is in line with the findings of </w:t>
      </w:r>
      <w:proofErr w:type="spellStart"/>
      <w:r w:rsidR="00850A5C">
        <w:rPr>
          <w:rFonts w:ascii="Times New Roman" w:hAnsi="Times New Roman" w:cs="Times New Roman"/>
          <w:sz w:val="24"/>
          <w:szCs w:val="24"/>
        </w:rPr>
        <w:t>Maliszewska</w:t>
      </w:r>
      <w:proofErr w:type="spellEnd"/>
      <w:r w:rsidR="00850A5C">
        <w:rPr>
          <w:rFonts w:ascii="Times New Roman" w:hAnsi="Times New Roman" w:cs="Times New Roman"/>
          <w:sz w:val="24"/>
          <w:szCs w:val="24"/>
        </w:rPr>
        <w:t xml:space="preserve"> et al., (2020)</w:t>
      </w:r>
      <w:r w:rsidR="003F433C">
        <w:rPr>
          <w:rFonts w:ascii="Times New Roman" w:hAnsi="Times New Roman" w:cs="Times New Roman"/>
          <w:sz w:val="24"/>
          <w:szCs w:val="24"/>
        </w:rPr>
        <w:t xml:space="preserve">, and should not come as a surprise due to the </w:t>
      </w:r>
      <w:r w:rsidR="0081302A">
        <w:rPr>
          <w:rFonts w:ascii="Times New Roman" w:hAnsi="Times New Roman" w:cs="Times New Roman"/>
          <w:sz w:val="24"/>
          <w:szCs w:val="24"/>
        </w:rPr>
        <w:t xml:space="preserve">fact that the </w:t>
      </w:r>
      <w:r w:rsidR="003F433C">
        <w:rPr>
          <w:rFonts w:ascii="Times New Roman" w:hAnsi="Times New Roman" w:cs="Times New Roman"/>
          <w:sz w:val="24"/>
          <w:szCs w:val="24"/>
        </w:rPr>
        <w:t xml:space="preserve">virus </w:t>
      </w:r>
      <w:r w:rsidR="00027B96">
        <w:rPr>
          <w:rFonts w:ascii="Times New Roman" w:hAnsi="Times New Roman" w:cs="Times New Roman"/>
          <w:sz w:val="24"/>
          <w:szCs w:val="24"/>
        </w:rPr>
        <w:t xml:space="preserve">first </w:t>
      </w:r>
      <w:r w:rsidR="008161FA">
        <w:rPr>
          <w:rFonts w:ascii="Times New Roman" w:hAnsi="Times New Roman" w:cs="Times New Roman"/>
          <w:sz w:val="24"/>
          <w:szCs w:val="24"/>
        </w:rPr>
        <w:t>hit</w:t>
      </w:r>
      <w:r w:rsidR="003F433C">
        <w:rPr>
          <w:rFonts w:ascii="Times New Roman" w:hAnsi="Times New Roman" w:cs="Times New Roman"/>
          <w:sz w:val="24"/>
          <w:szCs w:val="24"/>
        </w:rPr>
        <w:t xml:space="preserve"> China</w:t>
      </w:r>
      <w:r w:rsidR="008161FA">
        <w:rPr>
          <w:rFonts w:ascii="Times New Roman" w:hAnsi="Times New Roman" w:cs="Times New Roman"/>
          <w:sz w:val="24"/>
          <w:szCs w:val="24"/>
        </w:rPr>
        <w:t xml:space="preserve"> in late 2019</w:t>
      </w:r>
      <w:r w:rsidR="003F433C">
        <w:rPr>
          <w:rFonts w:ascii="Times New Roman" w:hAnsi="Times New Roman" w:cs="Times New Roman"/>
          <w:sz w:val="24"/>
          <w:szCs w:val="24"/>
        </w:rPr>
        <w:t>, which is the biggest emerging market economy</w:t>
      </w:r>
      <w:r w:rsidR="00850A5C">
        <w:rPr>
          <w:rFonts w:ascii="Times New Roman" w:hAnsi="Times New Roman" w:cs="Times New Roman"/>
          <w:sz w:val="24"/>
          <w:szCs w:val="24"/>
        </w:rPr>
        <w:t>.</w:t>
      </w:r>
      <w:r w:rsidR="00C20CE0">
        <w:rPr>
          <w:rFonts w:ascii="Times New Roman" w:hAnsi="Times New Roman" w:cs="Times New Roman"/>
          <w:sz w:val="24"/>
          <w:szCs w:val="24"/>
        </w:rPr>
        <w:t xml:space="preserve"> H</w:t>
      </w:r>
      <w:r w:rsidR="006E7297">
        <w:rPr>
          <w:rFonts w:ascii="Times New Roman" w:hAnsi="Times New Roman" w:cs="Times New Roman"/>
          <w:sz w:val="24"/>
          <w:szCs w:val="24"/>
        </w:rPr>
        <w:t xml:space="preserve">ence, </w:t>
      </w:r>
      <w:r w:rsidR="00A11F20">
        <w:rPr>
          <w:rFonts w:ascii="Times New Roman" w:hAnsi="Times New Roman" w:cs="Times New Roman"/>
          <w:sz w:val="24"/>
          <w:szCs w:val="24"/>
        </w:rPr>
        <w:t>fast and dramatic actions from policymakers</w:t>
      </w:r>
      <w:r w:rsidR="00C20CE0">
        <w:rPr>
          <w:rFonts w:ascii="Times New Roman" w:hAnsi="Times New Roman" w:cs="Times New Roman"/>
          <w:sz w:val="24"/>
          <w:szCs w:val="24"/>
        </w:rPr>
        <w:t xml:space="preserve"> around the world</w:t>
      </w:r>
      <w:r w:rsidR="00A467F6">
        <w:rPr>
          <w:rFonts w:ascii="Times New Roman" w:hAnsi="Times New Roman" w:cs="Times New Roman"/>
          <w:sz w:val="24"/>
          <w:szCs w:val="24"/>
        </w:rPr>
        <w:t xml:space="preserve"> are </w:t>
      </w:r>
      <w:r w:rsidR="00641D89">
        <w:rPr>
          <w:rFonts w:ascii="Times New Roman" w:hAnsi="Times New Roman" w:cs="Times New Roman"/>
          <w:sz w:val="24"/>
          <w:szCs w:val="24"/>
        </w:rPr>
        <w:t>needed</w:t>
      </w:r>
      <w:r w:rsidR="00A467F6">
        <w:rPr>
          <w:rFonts w:ascii="Times New Roman" w:hAnsi="Times New Roman" w:cs="Times New Roman"/>
          <w:sz w:val="24"/>
          <w:szCs w:val="24"/>
        </w:rPr>
        <w:t xml:space="preserve"> to address the</w:t>
      </w:r>
      <w:r w:rsidR="00641D89">
        <w:rPr>
          <w:rFonts w:ascii="Times New Roman" w:hAnsi="Times New Roman" w:cs="Times New Roman"/>
          <w:sz w:val="24"/>
          <w:szCs w:val="24"/>
        </w:rPr>
        <w:t xml:space="preserve"> </w:t>
      </w:r>
      <w:r w:rsidR="00A467F6">
        <w:rPr>
          <w:rFonts w:ascii="Times New Roman" w:hAnsi="Times New Roman" w:cs="Times New Roman"/>
          <w:sz w:val="24"/>
          <w:szCs w:val="24"/>
        </w:rPr>
        <w:t xml:space="preserve">negative </w:t>
      </w:r>
      <w:r w:rsidR="00727372">
        <w:rPr>
          <w:rFonts w:ascii="Times New Roman" w:hAnsi="Times New Roman" w:cs="Times New Roman"/>
          <w:sz w:val="24"/>
          <w:szCs w:val="24"/>
        </w:rPr>
        <w:t>ma</w:t>
      </w:r>
      <w:r w:rsidR="000D7DD3">
        <w:rPr>
          <w:rFonts w:ascii="Times New Roman" w:hAnsi="Times New Roman" w:cs="Times New Roman"/>
          <w:sz w:val="24"/>
          <w:szCs w:val="24"/>
        </w:rPr>
        <w:t>croeco</w:t>
      </w:r>
      <w:r w:rsidR="00727372">
        <w:rPr>
          <w:rFonts w:ascii="Times New Roman" w:hAnsi="Times New Roman" w:cs="Times New Roman"/>
          <w:sz w:val="24"/>
          <w:szCs w:val="24"/>
        </w:rPr>
        <w:t xml:space="preserve">nomic </w:t>
      </w:r>
      <w:r w:rsidR="00A467F6">
        <w:rPr>
          <w:rFonts w:ascii="Times New Roman" w:hAnsi="Times New Roman" w:cs="Times New Roman"/>
          <w:sz w:val="24"/>
          <w:szCs w:val="24"/>
        </w:rPr>
        <w:t xml:space="preserve">impact of uncertainty caused by </w:t>
      </w:r>
      <w:r w:rsidR="006E7297">
        <w:rPr>
          <w:rFonts w:ascii="Times New Roman" w:hAnsi="Times New Roman" w:cs="Times New Roman"/>
          <w:sz w:val="24"/>
          <w:szCs w:val="24"/>
        </w:rPr>
        <w:t>the coronavirus</w:t>
      </w:r>
      <w:r w:rsidR="00A11F20">
        <w:rPr>
          <w:rFonts w:ascii="Times New Roman" w:hAnsi="Times New Roman" w:cs="Times New Roman"/>
          <w:sz w:val="24"/>
          <w:szCs w:val="24"/>
        </w:rPr>
        <w:t>.</w:t>
      </w:r>
      <w:r w:rsidR="00003DEC">
        <w:rPr>
          <w:rFonts w:ascii="Times New Roman" w:hAnsi="Times New Roman" w:cs="Times New Roman"/>
          <w:sz w:val="24"/>
          <w:szCs w:val="24"/>
        </w:rPr>
        <w:t xml:space="preserve"> </w:t>
      </w:r>
    </w:p>
    <w:p w14:paraId="02DB5E74" w14:textId="3B21AAEF" w:rsidR="009166D6" w:rsidRDefault="00003DEC"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We must emphasize, that compared to the existing literature, which relies on constant parameter models-based analysis, we provide a more complete picture of the evolution of the impact of infectious diseases related uncertainty by considering a time-varying approach, and hence are able to compare historically the strength of the (negative) effect of various diseases namely, </w:t>
      </w:r>
      <w:r w:rsidRPr="00774F1D">
        <w:rPr>
          <w:rFonts w:ascii="Times New Roman" w:hAnsi="Times New Roman" w:cs="Times New Roman"/>
          <w:sz w:val="24"/>
          <w:szCs w:val="24"/>
        </w:rPr>
        <w:t xml:space="preserve">SARS, </w:t>
      </w:r>
      <w:r>
        <w:rPr>
          <w:rFonts w:ascii="Times New Roman" w:hAnsi="Times New Roman" w:cs="Times New Roman"/>
          <w:sz w:val="24"/>
          <w:szCs w:val="24"/>
        </w:rPr>
        <w:t>H5N1</w:t>
      </w:r>
      <w:r w:rsidRPr="00774F1D">
        <w:rPr>
          <w:rFonts w:ascii="Times New Roman" w:hAnsi="Times New Roman" w:cs="Times New Roman"/>
          <w:sz w:val="24"/>
          <w:szCs w:val="24"/>
        </w:rPr>
        <w:t xml:space="preserve">, </w:t>
      </w:r>
      <w:r>
        <w:rPr>
          <w:rFonts w:ascii="Times New Roman" w:hAnsi="Times New Roman" w:cs="Times New Roman"/>
          <w:sz w:val="24"/>
          <w:szCs w:val="24"/>
        </w:rPr>
        <w:t>H1N1</w:t>
      </w:r>
      <w:r w:rsidRPr="00774F1D">
        <w:rPr>
          <w:rFonts w:ascii="Times New Roman" w:hAnsi="Times New Roman" w:cs="Times New Roman"/>
          <w:sz w:val="24"/>
          <w:szCs w:val="24"/>
        </w:rPr>
        <w:t xml:space="preserve">, </w:t>
      </w:r>
      <w:r>
        <w:rPr>
          <w:rFonts w:ascii="Times New Roman" w:hAnsi="Times New Roman" w:cs="Times New Roman"/>
          <w:sz w:val="24"/>
          <w:szCs w:val="24"/>
        </w:rPr>
        <w:t>MERS</w:t>
      </w:r>
      <w:r w:rsidRPr="00774F1D">
        <w:rPr>
          <w:rFonts w:ascii="Times New Roman" w:hAnsi="Times New Roman" w:cs="Times New Roman"/>
          <w:sz w:val="24"/>
          <w:szCs w:val="24"/>
        </w:rPr>
        <w:t xml:space="preserve">, Ebola, and </w:t>
      </w:r>
      <w:r>
        <w:rPr>
          <w:rFonts w:ascii="Times New Roman" w:hAnsi="Times New Roman" w:cs="Times New Roman"/>
          <w:sz w:val="24"/>
          <w:szCs w:val="24"/>
        </w:rPr>
        <w:t xml:space="preserve">COVID-19, rather than only the latter. In the process, we indicate the severity of the downturn, and the need for unprecedented strong expansionary policy responses that are required. </w:t>
      </w:r>
    </w:p>
    <w:p w14:paraId="6EAB31EC" w14:textId="1CFA180C" w:rsidR="00041971" w:rsidRDefault="00A976D3"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Our results also show that t</w:t>
      </w:r>
      <w:r w:rsidR="007076F3">
        <w:rPr>
          <w:rFonts w:ascii="Times New Roman" w:hAnsi="Times New Roman" w:cs="Times New Roman"/>
          <w:sz w:val="24"/>
          <w:szCs w:val="24"/>
        </w:rPr>
        <w:t xml:space="preserve">he dynamic correlations </w:t>
      </w:r>
      <w:r w:rsidR="00296AA5">
        <w:rPr>
          <w:rFonts w:ascii="Times New Roman" w:hAnsi="Times New Roman" w:cs="Times New Roman"/>
          <w:sz w:val="24"/>
          <w:szCs w:val="24"/>
        </w:rPr>
        <w:t>of</w:t>
      </w:r>
      <w:r w:rsidR="007076F3">
        <w:rPr>
          <w:rFonts w:ascii="Times New Roman" w:hAnsi="Times New Roman" w:cs="Times New Roman"/>
          <w:sz w:val="24"/>
          <w:szCs w:val="24"/>
        </w:rPr>
        <w:t xml:space="preserve"> economic </w:t>
      </w:r>
      <w:r w:rsidR="00E86397">
        <w:rPr>
          <w:rFonts w:ascii="Times New Roman" w:hAnsi="Times New Roman" w:cs="Times New Roman"/>
          <w:sz w:val="24"/>
          <w:szCs w:val="24"/>
        </w:rPr>
        <w:t>growth</w:t>
      </w:r>
      <w:r w:rsidR="007076F3">
        <w:rPr>
          <w:rFonts w:ascii="Times New Roman" w:hAnsi="Times New Roman" w:cs="Times New Roman"/>
          <w:sz w:val="24"/>
          <w:szCs w:val="24"/>
        </w:rPr>
        <w:t xml:space="preserve"> among </w:t>
      </w:r>
      <w:r w:rsidR="00296AA5">
        <w:rPr>
          <w:rFonts w:ascii="Times New Roman" w:hAnsi="Times New Roman" w:cs="Times New Roman"/>
          <w:sz w:val="24"/>
          <w:szCs w:val="24"/>
        </w:rPr>
        <w:t>the US, other developed economies, and emerging economies</w:t>
      </w:r>
      <w:r w:rsidR="007076F3">
        <w:rPr>
          <w:rFonts w:ascii="Times New Roman" w:hAnsi="Times New Roman" w:cs="Times New Roman"/>
          <w:sz w:val="24"/>
          <w:szCs w:val="24"/>
        </w:rPr>
        <w:t xml:space="preserve"> are positive and statistically significant throughout most of the </w:t>
      </w:r>
      <w:r w:rsidR="00EB53C6">
        <w:rPr>
          <w:rFonts w:ascii="Times New Roman" w:hAnsi="Times New Roman" w:cs="Times New Roman"/>
          <w:sz w:val="24"/>
          <w:szCs w:val="24"/>
        </w:rPr>
        <w:t>estimation sample</w:t>
      </w:r>
      <w:r w:rsidR="007076F3">
        <w:rPr>
          <w:rFonts w:ascii="Times New Roman" w:hAnsi="Times New Roman" w:cs="Times New Roman"/>
          <w:sz w:val="24"/>
          <w:szCs w:val="24"/>
        </w:rPr>
        <w:t xml:space="preserve"> period. </w:t>
      </w:r>
      <w:r w:rsidR="00D15B05">
        <w:rPr>
          <w:rFonts w:ascii="Times New Roman" w:hAnsi="Times New Roman" w:cs="Times New Roman"/>
          <w:sz w:val="24"/>
          <w:szCs w:val="24"/>
        </w:rPr>
        <w:t xml:space="preserve">It is </w:t>
      </w:r>
      <w:r w:rsidR="00F308F3">
        <w:rPr>
          <w:rFonts w:ascii="Times New Roman" w:hAnsi="Times New Roman" w:cs="Times New Roman"/>
          <w:sz w:val="24"/>
          <w:szCs w:val="24"/>
        </w:rPr>
        <w:t>noteworthy</w:t>
      </w:r>
      <w:r w:rsidR="00D15B05">
        <w:rPr>
          <w:rFonts w:ascii="Times New Roman" w:hAnsi="Times New Roman" w:cs="Times New Roman"/>
          <w:sz w:val="24"/>
          <w:szCs w:val="24"/>
        </w:rPr>
        <w:t xml:space="preserve"> that the </w:t>
      </w:r>
      <w:r w:rsidR="007076F3">
        <w:rPr>
          <w:rFonts w:ascii="Times New Roman" w:hAnsi="Times New Roman" w:cs="Times New Roman"/>
          <w:sz w:val="24"/>
          <w:szCs w:val="24"/>
        </w:rPr>
        <w:t>economic growth rates between the US and advanced economies are highly correlated</w:t>
      </w:r>
      <w:r w:rsidR="00296AA5">
        <w:rPr>
          <w:rFonts w:ascii="Times New Roman" w:hAnsi="Times New Roman" w:cs="Times New Roman"/>
          <w:sz w:val="24"/>
          <w:szCs w:val="24"/>
        </w:rPr>
        <w:t>,</w:t>
      </w:r>
      <w:r w:rsidR="007076F3">
        <w:rPr>
          <w:rFonts w:ascii="Times New Roman" w:hAnsi="Times New Roman" w:cs="Times New Roman"/>
          <w:sz w:val="24"/>
          <w:szCs w:val="24"/>
        </w:rPr>
        <w:t xml:space="preserve"> and the long-run dynamic correlations are around 0.8 </w:t>
      </w:r>
      <w:r w:rsidR="00100EB9">
        <w:rPr>
          <w:rFonts w:ascii="Times New Roman" w:hAnsi="Times New Roman" w:cs="Times New Roman"/>
          <w:sz w:val="24"/>
          <w:szCs w:val="24"/>
        </w:rPr>
        <w:t>over</w:t>
      </w:r>
      <w:r w:rsidR="007076F3">
        <w:rPr>
          <w:rFonts w:ascii="Times New Roman" w:hAnsi="Times New Roman" w:cs="Times New Roman"/>
          <w:sz w:val="24"/>
          <w:szCs w:val="24"/>
        </w:rPr>
        <w:t xml:space="preserve"> the whole </w:t>
      </w:r>
      <w:r w:rsidR="00EB53C6">
        <w:rPr>
          <w:rFonts w:ascii="Times New Roman" w:hAnsi="Times New Roman" w:cs="Times New Roman"/>
          <w:sz w:val="24"/>
          <w:szCs w:val="24"/>
        </w:rPr>
        <w:t>estimation</w:t>
      </w:r>
      <w:r w:rsidR="007076F3">
        <w:rPr>
          <w:rFonts w:ascii="Times New Roman" w:hAnsi="Times New Roman" w:cs="Times New Roman"/>
          <w:sz w:val="24"/>
          <w:szCs w:val="24"/>
        </w:rPr>
        <w:t xml:space="preserve"> period.</w:t>
      </w:r>
      <w:r w:rsidR="00EB53C6">
        <w:rPr>
          <w:rFonts w:ascii="Times New Roman" w:hAnsi="Times New Roman" w:cs="Times New Roman"/>
          <w:sz w:val="24"/>
          <w:szCs w:val="24"/>
        </w:rPr>
        <w:t xml:space="preserve"> In addition, t</w:t>
      </w:r>
      <w:r w:rsidR="00EB53C6" w:rsidRPr="00EB53C6">
        <w:rPr>
          <w:rFonts w:ascii="Times New Roman" w:hAnsi="Times New Roman" w:cs="Times New Roman"/>
          <w:sz w:val="24"/>
          <w:szCs w:val="24"/>
        </w:rPr>
        <w:t>he time-variation</w:t>
      </w:r>
      <w:r w:rsidR="00EB53C6">
        <w:rPr>
          <w:rFonts w:ascii="Times New Roman" w:hAnsi="Times New Roman" w:cs="Times New Roman"/>
          <w:sz w:val="24"/>
          <w:szCs w:val="24"/>
        </w:rPr>
        <w:t xml:space="preserve"> </w:t>
      </w:r>
      <w:r w:rsidR="00EB53C6" w:rsidRPr="00EB53C6">
        <w:rPr>
          <w:rFonts w:ascii="Times New Roman" w:hAnsi="Times New Roman" w:cs="Times New Roman"/>
          <w:sz w:val="24"/>
          <w:szCs w:val="24"/>
        </w:rPr>
        <w:t xml:space="preserve">in </w:t>
      </w:r>
      <w:r w:rsidR="00EB53C6" w:rsidRPr="00EB53C6">
        <w:rPr>
          <w:rFonts w:ascii="Times New Roman" w:hAnsi="Times New Roman" w:cs="Times New Roman"/>
          <w:sz w:val="24"/>
          <w:szCs w:val="24"/>
        </w:rPr>
        <w:lastRenderedPageBreak/>
        <w:t xml:space="preserve">dynamic correlations is quite </w:t>
      </w:r>
      <w:r w:rsidR="00EB53C6">
        <w:rPr>
          <w:rFonts w:ascii="Times New Roman" w:hAnsi="Times New Roman" w:cs="Times New Roman"/>
          <w:sz w:val="24"/>
          <w:szCs w:val="24"/>
        </w:rPr>
        <w:t>stable</w:t>
      </w:r>
      <w:r w:rsidR="00EB53C6" w:rsidRPr="00EB53C6">
        <w:rPr>
          <w:rFonts w:ascii="Times New Roman" w:hAnsi="Times New Roman" w:cs="Times New Roman"/>
          <w:sz w:val="24"/>
          <w:szCs w:val="24"/>
        </w:rPr>
        <w:t xml:space="preserve"> while the associated</w:t>
      </w:r>
      <w:r w:rsidR="00EB53C6">
        <w:rPr>
          <w:rFonts w:ascii="Times New Roman" w:hAnsi="Times New Roman" w:cs="Times New Roman"/>
          <w:sz w:val="24"/>
          <w:szCs w:val="24"/>
        </w:rPr>
        <w:t xml:space="preserve"> error</w:t>
      </w:r>
      <w:r w:rsidR="00EB53C6" w:rsidRPr="00EB53C6">
        <w:rPr>
          <w:rFonts w:ascii="Times New Roman" w:hAnsi="Times New Roman" w:cs="Times New Roman"/>
          <w:sz w:val="24"/>
          <w:szCs w:val="24"/>
        </w:rPr>
        <w:t xml:space="preserve"> bands are relatively </w:t>
      </w:r>
      <w:r w:rsidR="00EB53C6">
        <w:rPr>
          <w:rFonts w:ascii="Times New Roman" w:hAnsi="Times New Roman" w:cs="Times New Roman"/>
          <w:sz w:val="24"/>
          <w:szCs w:val="24"/>
        </w:rPr>
        <w:t>narrow</w:t>
      </w:r>
      <w:r w:rsidR="00EB53C6" w:rsidRPr="00EB53C6">
        <w:rPr>
          <w:rFonts w:ascii="Times New Roman" w:hAnsi="Times New Roman" w:cs="Times New Roman"/>
          <w:sz w:val="24"/>
          <w:szCs w:val="24"/>
        </w:rPr>
        <w:t xml:space="preserve">. </w:t>
      </w:r>
      <w:r w:rsidR="00296AA5">
        <w:rPr>
          <w:rFonts w:ascii="Times New Roman" w:hAnsi="Times New Roman" w:cs="Times New Roman"/>
          <w:sz w:val="24"/>
          <w:szCs w:val="24"/>
        </w:rPr>
        <w:t>We also observe</w:t>
      </w:r>
      <w:r w:rsidR="00296AA5" w:rsidRPr="00296AA5">
        <w:rPr>
          <w:rFonts w:ascii="Times New Roman" w:hAnsi="Times New Roman" w:cs="Times New Roman"/>
          <w:sz w:val="24"/>
          <w:szCs w:val="24"/>
        </w:rPr>
        <w:t xml:space="preserve"> a notable </w:t>
      </w:r>
      <w:r w:rsidR="00296AA5">
        <w:rPr>
          <w:rFonts w:ascii="Times New Roman" w:hAnsi="Times New Roman" w:cs="Times New Roman"/>
          <w:sz w:val="24"/>
          <w:szCs w:val="24"/>
        </w:rPr>
        <w:t xml:space="preserve">decline </w:t>
      </w:r>
      <w:r w:rsidR="00296AA5" w:rsidRPr="00296AA5">
        <w:rPr>
          <w:rFonts w:ascii="Times New Roman" w:hAnsi="Times New Roman" w:cs="Times New Roman"/>
          <w:sz w:val="24"/>
          <w:szCs w:val="24"/>
        </w:rPr>
        <w:t xml:space="preserve">in </w:t>
      </w:r>
      <w:r w:rsidR="00296AA5">
        <w:rPr>
          <w:rFonts w:ascii="Times New Roman" w:hAnsi="Times New Roman" w:cs="Times New Roman"/>
          <w:sz w:val="24"/>
          <w:szCs w:val="24"/>
        </w:rPr>
        <w:t xml:space="preserve">the </w:t>
      </w:r>
      <w:r w:rsidR="00EB53C6">
        <w:rPr>
          <w:rFonts w:ascii="Times New Roman" w:hAnsi="Times New Roman" w:cs="Times New Roman"/>
          <w:sz w:val="24"/>
          <w:szCs w:val="24"/>
        </w:rPr>
        <w:t xml:space="preserve">long-run </w:t>
      </w:r>
      <w:r w:rsidR="00296AA5">
        <w:rPr>
          <w:rFonts w:ascii="Times New Roman" w:hAnsi="Times New Roman" w:cs="Times New Roman"/>
          <w:sz w:val="24"/>
          <w:szCs w:val="24"/>
        </w:rPr>
        <w:t xml:space="preserve">dynamic correlations of economic </w:t>
      </w:r>
      <w:r w:rsidR="00E86397">
        <w:rPr>
          <w:rFonts w:ascii="Times New Roman" w:hAnsi="Times New Roman" w:cs="Times New Roman"/>
          <w:sz w:val="24"/>
          <w:szCs w:val="24"/>
        </w:rPr>
        <w:t>growth</w:t>
      </w:r>
      <w:r w:rsidR="00296AA5">
        <w:rPr>
          <w:rFonts w:ascii="Times New Roman" w:hAnsi="Times New Roman" w:cs="Times New Roman"/>
          <w:sz w:val="24"/>
          <w:szCs w:val="24"/>
        </w:rPr>
        <w:t xml:space="preserve"> between emerging </w:t>
      </w:r>
      <w:r w:rsidR="00E86397">
        <w:rPr>
          <w:rFonts w:ascii="Times New Roman" w:hAnsi="Times New Roman" w:cs="Times New Roman"/>
          <w:sz w:val="24"/>
          <w:szCs w:val="24"/>
        </w:rPr>
        <w:t>countries</w:t>
      </w:r>
      <w:r w:rsidR="00296AA5">
        <w:rPr>
          <w:rFonts w:ascii="Times New Roman" w:hAnsi="Times New Roman" w:cs="Times New Roman"/>
          <w:sz w:val="24"/>
          <w:szCs w:val="24"/>
        </w:rPr>
        <w:t xml:space="preserve"> and the </w:t>
      </w:r>
      <w:r w:rsidR="00E86397">
        <w:rPr>
          <w:rFonts w:ascii="Times New Roman" w:hAnsi="Times New Roman" w:cs="Times New Roman"/>
          <w:sz w:val="24"/>
          <w:szCs w:val="24"/>
        </w:rPr>
        <w:t>US and other developed economies</w:t>
      </w:r>
      <w:r w:rsidR="00296AA5">
        <w:rPr>
          <w:rFonts w:ascii="Times New Roman" w:hAnsi="Times New Roman" w:cs="Times New Roman"/>
          <w:sz w:val="24"/>
          <w:szCs w:val="24"/>
        </w:rPr>
        <w:t xml:space="preserve"> at the beginning of </w:t>
      </w:r>
      <w:r w:rsidR="00296AA5" w:rsidRPr="00403F18">
        <w:rPr>
          <w:rFonts w:ascii="Times New Roman" w:hAnsi="Times New Roman" w:cs="Times New Roman"/>
          <w:sz w:val="24"/>
          <w:szCs w:val="24"/>
        </w:rPr>
        <w:t>MERS-</w:t>
      </w:r>
      <w:proofErr w:type="spellStart"/>
      <w:r w:rsidR="00296AA5" w:rsidRPr="00403F18">
        <w:rPr>
          <w:rFonts w:ascii="Times New Roman" w:hAnsi="Times New Roman" w:cs="Times New Roman"/>
          <w:sz w:val="24"/>
          <w:szCs w:val="24"/>
        </w:rPr>
        <w:t>CoV</w:t>
      </w:r>
      <w:proofErr w:type="spellEnd"/>
      <w:r w:rsidR="00296AA5">
        <w:rPr>
          <w:rFonts w:ascii="Times New Roman" w:hAnsi="Times New Roman" w:cs="Times New Roman"/>
          <w:sz w:val="24"/>
          <w:szCs w:val="24"/>
        </w:rPr>
        <w:t xml:space="preserve"> in 2012, and a further fall during the period of </w:t>
      </w:r>
      <w:r w:rsidR="00296AA5" w:rsidRPr="00296AA5">
        <w:rPr>
          <w:rFonts w:ascii="Times New Roman" w:hAnsi="Times New Roman" w:cs="Times New Roman"/>
          <w:sz w:val="24"/>
          <w:szCs w:val="24"/>
        </w:rPr>
        <w:t>EVD in 2014-2016</w:t>
      </w:r>
      <w:r w:rsidR="009A1754">
        <w:rPr>
          <w:rFonts w:ascii="Times New Roman" w:hAnsi="Times New Roman" w:cs="Times New Roman"/>
          <w:sz w:val="24"/>
          <w:szCs w:val="24"/>
        </w:rPr>
        <w:t>,</w:t>
      </w:r>
      <w:r w:rsidR="00755584">
        <w:rPr>
          <w:rFonts w:ascii="Times New Roman" w:hAnsi="Times New Roman" w:cs="Times New Roman"/>
          <w:sz w:val="24"/>
          <w:szCs w:val="24"/>
        </w:rPr>
        <w:t xml:space="preserve"> but</w:t>
      </w:r>
      <w:r w:rsidR="009A1754">
        <w:rPr>
          <w:rFonts w:ascii="Times New Roman" w:hAnsi="Times New Roman" w:cs="Times New Roman"/>
          <w:sz w:val="24"/>
          <w:szCs w:val="24"/>
        </w:rPr>
        <w:t xml:space="preserve"> have gradually increased over time since then.</w:t>
      </w:r>
      <w:r w:rsidR="00C20CE0">
        <w:rPr>
          <w:rFonts w:ascii="Times New Roman" w:hAnsi="Times New Roman" w:cs="Times New Roman"/>
          <w:sz w:val="24"/>
          <w:szCs w:val="24"/>
        </w:rPr>
        <w:t xml:space="preserve"> The increased correlation is most likely due to the trade wars the US has been involved with many advanced and emerging markets since the start of Donald J. Trump’s presidential term</w:t>
      </w:r>
      <w:r w:rsidR="00C52765">
        <w:rPr>
          <w:rFonts w:ascii="Times New Roman" w:hAnsi="Times New Roman" w:cs="Times New Roman"/>
          <w:sz w:val="24"/>
          <w:szCs w:val="24"/>
        </w:rPr>
        <w:t>, and of course peaking-up during the outbreak of the Corona virus in 2020</w:t>
      </w:r>
      <w:r w:rsidR="00C20CE0">
        <w:rPr>
          <w:rFonts w:ascii="Times New Roman" w:hAnsi="Times New Roman" w:cs="Times New Roman"/>
          <w:sz w:val="24"/>
          <w:szCs w:val="24"/>
        </w:rPr>
        <w:t>.</w:t>
      </w:r>
      <w:r w:rsidR="00C52765">
        <w:rPr>
          <w:rStyle w:val="FootnoteReference"/>
          <w:rFonts w:ascii="Times New Roman" w:hAnsi="Times New Roman" w:cs="Times New Roman"/>
          <w:sz w:val="24"/>
          <w:szCs w:val="24"/>
        </w:rPr>
        <w:footnoteReference w:id="5"/>
      </w:r>
      <w:r w:rsidR="00C20CE0">
        <w:rPr>
          <w:rFonts w:ascii="Times New Roman" w:hAnsi="Times New Roman" w:cs="Times New Roman"/>
          <w:sz w:val="24"/>
          <w:szCs w:val="24"/>
        </w:rPr>
        <w:t xml:space="preserve"> This implies that in the wake of this heightened </w:t>
      </w:r>
      <w:proofErr w:type="spellStart"/>
      <w:r w:rsidR="00C20CE0">
        <w:rPr>
          <w:rFonts w:ascii="Times New Roman" w:hAnsi="Times New Roman" w:cs="Times New Roman"/>
          <w:sz w:val="24"/>
          <w:szCs w:val="24"/>
        </w:rPr>
        <w:t>comovement</w:t>
      </w:r>
      <w:proofErr w:type="spellEnd"/>
      <w:r w:rsidR="00C20CE0">
        <w:rPr>
          <w:rFonts w:ascii="Times New Roman" w:hAnsi="Times New Roman" w:cs="Times New Roman"/>
          <w:sz w:val="24"/>
          <w:szCs w:val="24"/>
        </w:rPr>
        <w:t xml:space="preserve"> around the world, policy decisions to correct for the negative impact on growth due to COVID-19 needs to be undertaken in </w:t>
      </w:r>
      <w:r w:rsidR="00210491">
        <w:rPr>
          <w:rFonts w:ascii="Times New Roman" w:hAnsi="Times New Roman" w:cs="Times New Roman"/>
          <w:sz w:val="24"/>
          <w:szCs w:val="24"/>
        </w:rPr>
        <w:t xml:space="preserve">a </w:t>
      </w:r>
      <w:r w:rsidR="00C20CE0">
        <w:rPr>
          <w:rFonts w:ascii="Times New Roman" w:hAnsi="Times New Roman" w:cs="Times New Roman"/>
          <w:sz w:val="24"/>
          <w:szCs w:val="24"/>
        </w:rPr>
        <w:t>coordinated manner across these countries.</w:t>
      </w:r>
    </w:p>
    <w:p w14:paraId="3FEA188C" w14:textId="2C1D6062" w:rsidR="009166D6" w:rsidRDefault="00041971" w:rsidP="0096289D">
      <w:pPr>
        <w:pStyle w:val="Heading1"/>
      </w:pPr>
      <w:r w:rsidRPr="00041971">
        <w:rPr>
          <w:bCs/>
        </w:rPr>
        <w:t>4.</w:t>
      </w:r>
      <w:r>
        <w:t xml:space="preserve"> </w:t>
      </w:r>
      <w:r w:rsidR="00D26615" w:rsidRPr="00AD114E">
        <w:t>Conclusion</w:t>
      </w:r>
    </w:p>
    <w:p w14:paraId="7C62EDB5" w14:textId="2D43C08E" w:rsidR="009166D6" w:rsidRDefault="00AD114E" w:rsidP="00041971">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In this paper, we use a TVP-SVAR model to analyse the impact of </w:t>
      </w:r>
      <w:r w:rsidR="00100FF2">
        <w:rPr>
          <w:rFonts w:ascii="Times New Roman" w:hAnsi="Times New Roman" w:cs="Times New Roman"/>
          <w:sz w:val="24"/>
          <w:szCs w:val="24"/>
        </w:rPr>
        <w:t xml:space="preserve">uncertainty associated </w:t>
      </w:r>
      <w:r>
        <w:rPr>
          <w:rFonts w:ascii="Times New Roman" w:hAnsi="Times New Roman" w:cs="Times New Roman"/>
          <w:sz w:val="24"/>
          <w:szCs w:val="24"/>
        </w:rPr>
        <w:t xml:space="preserve">recent pandemics namely, </w:t>
      </w:r>
      <w:r w:rsidRPr="00774F1D">
        <w:rPr>
          <w:rFonts w:ascii="Times New Roman" w:hAnsi="Times New Roman" w:cs="Times New Roman"/>
          <w:sz w:val="24"/>
          <w:szCs w:val="24"/>
        </w:rPr>
        <w:t xml:space="preserve">SARS, Avian or Bird Flu, Swine Flu, </w:t>
      </w:r>
      <w:r>
        <w:rPr>
          <w:rFonts w:ascii="Times New Roman" w:hAnsi="Times New Roman" w:cs="Times New Roman"/>
          <w:sz w:val="24"/>
          <w:szCs w:val="24"/>
        </w:rPr>
        <w:t>MERS</w:t>
      </w:r>
      <w:r w:rsidRPr="00774F1D">
        <w:rPr>
          <w:rFonts w:ascii="Times New Roman" w:hAnsi="Times New Roman" w:cs="Times New Roman"/>
          <w:sz w:val="24"/>
          <w:szCs w:val="24"/>
        </w:rPr>
        <w:t xml:space="preserve">, Ebola, and of course the </w:t>
      </w:r>
      <w:r>
        <w:rPr>
          <w:rFonts w:ascii="Times New Roman" w:hAnsi="Times New Roman" w:cs="Times New Roman"/>
          <w:sz w:val="24"/>
          <w:szCs w:val="24"/>
        </w:rPr>
        <w:t>C</w:t>
      </w:r>
      <w:r w:rsidR="00F41783">
        <w:rPr>
          <w:rFonts w:ascii="Times New Roman" w:hAnsi="Times New Roman" w:cs="Times New Roman"/>
          <w:sz w:val="24"/>
          <w:szCs w:val="24"/>
        </w:rPr>
        <w:t>OVID-19</w:t>
      </w:r>
      <w:r w:rsidRPr="00774F1D">
        <w:rPr>
          <w:rFonts w:ascii="Times New Roman" w:hAnsi="Times New Roman" w:cs="Times New Roman"/>
          <w:sz w:val="24"/>
          <w:szCs w:val="24"/>
        </w:rPr>
        <w:t xml:space="preserve"> on output growth</w:t>
      </w:r>
      <w:r>
        <w:rPr>
          <w:rFonts w:ascii="Times New Roman" w:hAnsi="Times New Roman" w:cs="Times New Roman"/>
          <w:sz w:val="24"/>
          <w:szCs w:val="24"/>
        </w:rPr>
        <w:t xml:space="preserve"> of the US, advanced economies (excluding the US), and emerging countries over the quarterly period of 1996:Q1 to 2020:Q1</w:t>
      </w:r>
      <w:r w:rsidRPr="00774F1D">
        <w:rPr>
          <w:rFonts w:ascii="Times New Roman" w:hAnsi="Times New Roman" w:cs="Times New Roman"/>
          <w:sz w:val="24"/>
          <w:szCs w:val="24"/>
        </w:rPr>
        <w:t>.</w:t>
      </w:r>
      <w:r>
        <w:rPr>
          <w:rFonts w:ascii="Times New Roman" w:hAnsi="Times New Roman" w:cs="Times New Roman"/>
          <w:sz w:val="24"/>
          <w:szCs w:val="24"/>
        </w:rPr>
        <w:t xml:space="preserve"> To quantify the impact of</w:t>
      </w:r>
      <w:r w:rsidR="00100FF2">
        <w:rPr>
          <w:rFonts w:ascii="Times New Roman" w:hAnsi="Times New Roman" w:cs="Times New Roman"/>
          <w:sz w:val="24"/>
          <w:szCs w:val="24"/>
        </w:rPr>
        <w:t xml:space="preserve"> pandemics-related uncertainty, </w:t>
      </w:r>
      <w:r w:rsidR="00100FF2" w:rsidRPr="00100FF2">
        <w:rPr>
          <w:rFonts w:ascii="Times New Roman" w:hAnsi="Times New Roman" w:cs="Times New Roman"/>
          <w:sz w:val="24"/>
          <w:szCs w:val="24"/>
        </w:rPr>
        <w:t xml:space="preserve">we use the recently developed aggregate index of discussion about pandemics which appear in </w:t>
      </w:r>
      <w:r w:rsidR="00100FF2">
        <w:rPr>
          <w:rFonts w:ascii="Times New Roman" w:hAnsi="Times New Roman" w:cs="Times New Roman"/>
          <w:sz w:val="24"/>
          <w:szCs w:val="24"/>
        </w:rPr>
        <w:t>EIU</w:t>
      </w:r>
      <w:r w:rsidR="00100FF2" w:rsidRPr="00100FF2">
        <w:rPr>
          <w:rFonts w:ascii="Times New Roman" w:hAnsi="Times New Roman" w:cs="Times New Roman"/>
          <w:sz w:val="24"/>
          <w:szCs w:val="24"/>
        </w:rPr>
        <w:t xml:space="preserve"> country reports</w:t>
      </w:r>
      <w:r w:rsidR="00100FF2">
        <w:rPr>
          <w:rFonts w:ascii="Times New Roman" w:hAnsi="Times New Roman" w:cs="Times New Roman"/>
          <w:sz w:val="24"/>
          <w:szCs w:val="24"/>
        </w:rPr>
        <w:t>.</w:t>
      </w:r>
      <w:r w:rsidR="00F41783">
        <w:rPr>
          <w:rFonts w:ascii="Times New Roman" w:hAnsi="Times New Roman" w:cs="Times New Roman"/>
          <w:sz w:val="24"/>
          <w:szCs w:val="24"/>
        </w:rPr>
        <w:t xml:space="preserve"> We find that</w:t>
      </w:r>
      <w:r w:rsidR="00100FF2">
        <w:rPr>
          <w:rFonts w:ascii="Times New Roman" w:hAnsi="Times New Roman" w:cs="Times New Roman"/>
          <w:sz w:val="24"/>
          <w:szCs w:val="24"/>
        </w:rPr>
        <w:t xml:space="preserve"> </w:t>
      </w:r>
      <w:r w:rsidR="00F41783">
        <w:rPr>
          <w:rFonts w:ascii="Times New Roman" w:hAnsi="Times New Roman" w:cs="Times New Roman"/>
          <w:sz w:val="24"/>
          <w:szCs w:val="24"/>
        </w:rPr>
        <w:t xml:space="preserve">the negative effect of the coronavirus on the growth rate of output of the US, other advanced and emerging economies </w:t>
      </w:r>
      <w:r w:rsidR="003F433C">
        <w:rPr>
          <w:rFonts w:ascii="Times New Roman" w:hAnsi="Times New Roman" w:cs="Times New Roman"/>
          <w:sz w:val="24"/>
          <w:szCs w:val="24"/>
        </w:rPr>
        <w:t xml:space="preserve">is unprecedented, with the only comparable, but way smaller, deterioration of output growth </w:t>
      </w:r>
      <w:r w:rsidR="003F433C">
        <w:rPr>
          <w:rFonts w:ascii="Times New Roman" w:hAnsi="Times New Roman" w:cs="Times New Roman"/>
          <w:sz w:val="24"/>
          <w:szCs w:val="24"/>
        </w:rPr>
        <w:lastRenderedPageBreak/>
        <w:t xml:space="preserve">under MERS. Moreover, among these three output growth </w:t>
      </w:r>
      <w:r w:rsidR="00122BDF">
        <w:rPr>
          <w:rFonts w:ascii="Times New Roman" w:hAnsi="Times New Roman" w:cs="Times New Roman"/>
          <w:sz w:val="24"/>
          <w:szCs w:val="24"/>
        </w:rPr>
        <w:t xml:space="preserve">series </w:t>
      </w:r>
      <w:r w:rsidR="003F433C">
        <w:rPr>
          <w:rFonts w:ascii="Times New Roman" w:hAnsi="Times New Roman" w:cs="Times New Roman"/>
          <w:sz w:val="24"/>
          <w:szCs w:val="24"/>
        </w:rPr>
        <w:t xml:space="preserve">considered, the emerging markets are the worst hit in the wake of the COVID-19, which is not surprising given the massive slowdown in China, where the virus </w:t>
      </w:r>
      <w:r w:rsidR="00122BDF">
        <w:rPr>
          <w:rFonts w:ascii="Times New Roman" w:hAnsi="Times New Roman" w:cs="Times New Roman"/>
          <w:sz w:val="24"/>
          <w:szCs w:val="24"/>
        </w:rPr>
        <w:t>was first reported</w:t>
      </w:r>
      <w:r w:rsidR="003F433C">
        <w:rPr>
          <w:rFonts w:ascii="Times New Roman" w:hAnsi="Times New Roman" w:cs="Times New Roman"/>
          <w:sz w:val="24"/>
          <w:szCs w:val="24"/>
        </w:rPr>
        <w:t xml:space="preserve">. We also find that since 2016, the </w:t>
      </w:r>
      <w:proofErr w:type="spellStart"/>
      <w:r w:rsidR="003F433C">
        <w:rPr>
          <w:rFonts w:ascii="Times New Roman" w:hAnsi="Times New Roman" w:cs="Times New Roman"/>
          <w:sz w:val="24"/>
          <w:szCs w:val="24"/>
        </w:rPr>
        <w:t>comovement</w:t>
      </w:r>
      <w:proofErr w:type="spellEnd"/>
      <w:r w:rsidR="003F433C">
        <w:rPr>
          <w:rFonts w:ascii="Times New Roman" w:hAnsi="Times New Roman" w:cs="Times New Roman"/>
          <w:sz w:val="24"/>
          <w:szCs w:val="24"/>
        </w:rPr>
        <w:t xml:space="preserve"> among the growth rates of the US, other advanced and emerging countries have increased significantly. Our results have the obvious policy implication for policymakers around the world, and in particular emerging market economies, for undertaking massive expansionary policies (which governments are already implementing) to counteract the negative influence of the coronavirus on the real economy. But given the recently heightened connectedness among the US, other advanced and emerging countries, it is important for policy authorities to pursue well-coordinated policy decisions</w:t>
      </w:r>
      <w:r w:rsidR="00561932">
        <w:rPr>
          <w:rFonts w:ascii="Times New Roman" w:hAnsi="Times New Roman" w:cs="Times New Roman"/>
          <w:sz w:val="24"/>
          <w:szCs w:val="24"/>
        </w:rPr>
        <w:t>. In other words, while domestic policy changes will be important, there must be a concerted effort to ensure that the policies around the world are aligned in terms of their objectives to pull the global economy out of the deepest possible recession it currently finds itself in since the “Great Depression”, with even the “Great Recession” looking pale in comparison.</w:t>
      </w:r>
    </w:p>
    <w:p w14:paraId="7E159A5D" w14:textId="77777777" w:rsidR="0096289D" w:rsidRDefault="00235F5D" w:rsidP="0096289D">
      <w:pPr>
        <w:snapToGrid w:val="0"/>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As part of future research, it would be interesting to extend our study to an out-of-sample analysis</w:t>
      </w:r>
      <w:r w:rsidR="00B93477">
        <w:rPr>
          <w:rFonts w:ascii="Times New Roman" w:hAnsi="Times New Roman" w:cs="Times New Roman"/>
          <w:sz w:val="24"/>
          <w:szCs w:val="24"/>
        </w:rPr>
        <w:t xml:space="preserve"> (Aye et al., 2019)</w:t>
      </w:r>
      <w:r>
        <w:rPr>
          <w:rFonts w:ascii="Times New Roman" w:hAnsi="Times New Roman" w:cs="Times New Roman"/>
          <w:sz w:val="24"/>
          <w:szCs w:val="24"/>
        </w:rPr>
        <w:t xml:space="preserve">, given that evidence of in-sample predictability of pandemics on output growth may not necessarily translate into forecasting gains. Further, instead of looking at the advanced economies (excluding the US) and emerging countries as blocs, one could also investigate the impact of pandemics-related uncertainty on individual countries for the better design of </w:t>
      </w:r>
      <w:r w:rsidR="00B93477">
        <w:rPr>
          <w:rFonts w:ascii="Times New Roman" w:hAnsi="Times New Roman" w:cs="Times New Roman"/>
          <w:sz w:val="24"/>
          <w:szCs w:val="24"/>
        </w:rPr>
        <w:t xml:space="preserve">domestic </w:t>
      </w:r>
      <w:r>
        <w:rPr>
          <w:rFonts w:ascii="Times New Roman" w:hAnsi="Times New Roman" w:cs="Times New Roman"/>
          <w:sz w:val="24"/>
          <w:szCs w:val="24"/>
        </w:rPr>
        <w:t>policy responses.</w:t>
      </w:r>
    </w:p>
    <w:p w14:paraId="4C7948EF" w14:textId="77777777" w:rsidR="0096289D" w:rsidRDefault="0096289D">
      <w:pPr>
        <w:rPr>
          <w:rFonts w:ascii="Times New Roman" w:hAnsi="Times New Roman" w:cs="Times New Roman"/>
          <w:sz w:val="24"/>
          <w:szCs w:val="24"/>
        </w:rPr>
      </w:pPr>
      <w:r>
        <w:rPr>
          <w:rFonts w:ascii="Times New Roman" w:hAnsi="Times New Roman" w:cs="Times New Roman"/>
          <w:sz w:val="24"/>
          <w:szCs w:val="24"/>
        </w:rPr>
        <w:br w:type="page"/>
      </w:r>
    </w:p>
    <w:p w14:paraId="25F69E4F" w14:textId="1DCFEB0E" w:rsidR="00B64FCC" w:rsidRPr="0096289D" w:rsidRDefault="00B64FCC" w:rsidP="0096289D">
      <w:pPr>
        <w:pStyle w:val="Heading1"/>
        <w:rPr>
          <w:rFonts w:cs="Times New Roman"/>
          <w:szCs w:val="24"/>
        </w:rPr>
      </w:pPr>
      <w:r w:rsidRPr="00B64FCC">
        <w:lastRenderedPageBreak/>
        <w:t>References</w:t>
      </w:r>
    </w:p>
    <w:p w14:paraId="25F69E50" w14:textId="7B001C1B" w:rsidR="00B64FCC" w:rsidRDefault="00D26615" w:rsidP="00BB2727">
      <w:pPr>
        <w:snapToGri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Q.F., and Mumtaz, H. (2019</w:t>
      </w:r>
      <w:r w:rsidR="00B64FCC" w:rsidRPr="00B64FCC">
        <w:rPr>
          <w:rFonts w:ascii="Times New Roman" w:hAnsi="Times New Roman" w:cs="Times New Roman"/>
          <w:sz w:val="24"/>
          <w:szCs w:val="24"/>
        </w:rPr>
        <w:t>). Time</w:t>
      </w:r>
      <w:r w:rsidR="00B64FCC" w:rsidRPr="00B64FCC">
        <w:rPr>
          <w:rFonts w:ascii="Cambria Math" w:hAnsi="Cambria Math" w:cs="Cambria Math"/>
          <w:sz w:val="24"/>
          <w:szCs w:val="24"/>
        </w:rPr>
        <w:t>‐</w:t>
      </w:r>
      <w:r w:rsidR="00D762CE">
        <w:rPr>
          <w:rFonts w:ascii="Times New Roman" w:hAnsi="Times New Roman" w:cs="Times New Roman"/>
          <w:sz w:val="24"/>
          <w:szCs w:val="24"/>
        </w:rPr>
        <w:t>v</w:t>
      </w:r>
      <w:r w:rsidR="00B64FCC" w:rsidRPr="00B64FCC">
        <w:rPr>
          <w:rFonts w:ascii="Times New Roman" w:hAnsi="Times New Roman" w:cs="Times New Roman"/>
          <w:sz w:val="24"/>
          <w:szCs w:val="24"/>
        </w:rPr>
        <w:t xml:space="preserve">arying </w:t>
      </w:r>
      <w:r w:rsidR="00D762CE">
        <w:rPr>
          <w:rFonts w:ascii="Times New Roman" w:hAnsi="Times New Roman" w:cs="Times New Roman"/>
          <w:sz w:val="24"/>
          <w:szCs w:val="24"/>
        </w:rPr>
        <w:t>d</w:t>
      </w:r>
      <w:r w:rsidR="00B64FCC" w:rsidRPr="00B64FCC">
        <w:rPr>
          <w:rFonts w:ascii="Times New Roman" w:hAnsi="Times New Roman" w:cs="Times New Roman"/>
          <w:sz w:val="24"/>
          <w:szCs w:val="24"/>
        </w:rPr>
        <w:t xml:space="preserve">ynamics of the Norwegian </w:t>
      </w:r>
      <w:r w:rsidR="00D762CE">
        <w:rPr>
          <w:rFonts w:ascii="Times New Roman" w:hAnsi="Times New Roman" w:cs="Times New Roman"/>
          <w:sz w:val="24"/>
          <w:szCs w:val="24"/>
        </w:rPr>
        <w:t>e</w:t>
      </w:r>
      <w:r w:rsidR="00B64FCC" w:rsidRPr="00B64FCC">
        <w:rPr>
          <w:rFonts w:ascii="Times New Roman" w:hAnsi="Times New Roman" w:cs="Times New Roman"/>
          <w:sz w:val="24"/>
          <w:szCs w:val="24"/>
        </w:rPr>
        <w:t>conomy. The Sc</w:t>
      </w:r>
      <w:r>
        <w:rPr>
          <w:rFonts w:ascii="Times New Roman" w:hAnsi="Times New Roman" w:cs="Times New Roman"/>
          <w:sz w:val="24"/>
          <w:szCs w:val="24"/>
        </w:rPr>
        <w:t>andinavian Journal of Economics, 121(1), 407-434.</w:t>
      </w:r>
    </w:p>
    <w:p w14:paraId="0E7015D8" w14:textId="31DE45AB" w:rsidR="00694E32" w:rsidRDefault="00694E32" w:rsidP="00BB2727">
      <w:pPr>
        <w:snapToGrid w:val="0"/>
        <w:spacing w:after="0" w:line="480" w:lineRule="auto"/>
        <w:jc w:val="both"/>
        <w:rPr>
          <w:rFonts w:ascii="Times New Roman" w:hAnsi="Times New Roman" w:cs="Times New Roman"/>
          <w:sz w:val="24"/>
          <w:szCs w:val="24"/>
        </w:rPr>
      </w:pPr>
      <w:proofErr w:type="spellStart"/>
      <w:r w:rsidRPr="00694E32">
        <w:rPr>
          <w:rFonts w:ascii="Times New Roman" w:hAnsi="Times New Roman" w:cs="Times New Roman"/>
          <w:sz w:val="24"/>
          <w:szCs w:val="24"/>
        </w:rPr>
        <w:t>Ahir</w:t>
      </w:r>
      <w:proofErr w:type="spellEnd"/>
      <w:r w:rsidRPr="00694E32">
        <w:rPr>
          <w:rFonts w:ascii="Times New Roman" w:hAnsi="Times New Roman" w:cs="Times New Roman"/>
          <w:sz w:val="24"/>
          <w:szCs w:val="24"/>
        </w:rPr>
        <w:t>, H., Bloom, N.</w:t>
      </w:r>
      <w:r>
        <w:rPr>
          <w:rFonts w:ascii="Times New Roman" w:hAnsi="Times New Roman" w:cs="Times New Roman"/>
          <w:sz w:val="24"/>
          <w:szCs w:val="24"/>
        </w:rPr>
        <w:t>A.</w:t>
      </w:r>
      <w:r w:rsidRPr="00694E32">
        <w:rPr>
          <w:rFonts w:ascii="Times New Roman" w:hAnsi="Times New Roman" w:cs="Times New Roman"/>
          <w:sz w:val="24"/>
          <w:szCs w:val="24"/>
        </w:rPr>
        <w:t xml:space="preserve">, and </w:t>
      </w:r>
      <w:proofErr w:type="spellStart"/>
      <w:r w:rsidRPr="00694E32">
        <w:rPr>
          <w:rFonts w:ascii="Times New Roman" w:hAnsi="Times New Roman" w:cs="Times New Roman"/>
          <w:sz w:val="24"/>
          <w:szCs w:val="24"/>
        </w:rPr>
        <w:t>Furceri</w:t>
      </w:r>
      <w:proofErr w:type="spellEnd"/>
      <w:r w:rsidRPr="00694E32">
        <w:rPr>
          <w:rFonts w:ascii="Times New Roman" w:hAnsi="Times New Roman" w:cs="Times New Roman"/>
          <w:sz w:val="24"/>
          <w:szCs w:val="24"/>
        </w:rPr>
        <w:t xml:space="preserve">, D. (2018). World </w:t>
      </w:r>
      <w:r w:rsidR="00D762CE">
        <w:rPr>
          <w:rFonts w:ascii="Times New Roman" w:hAnsi="Times New Roman" w:cs="Times New Roman"/>
          <w:sz w:val="24"/>
          <w:szCs w:val="24"/>
        </w:rPr>
        <w:t>u</w:t>
      </w:r>
      <w:r w:rsidRPr="00694E32">
        <w:rPr>
          <w:rFonts w:ascii="Times New Roman" w:hAnsi="Times New Roman" w:cs="Times New Roman"/>
          <w:sz w:val="24"/>
          <w:szCs w:val="24"/>
        </w:rPr>
        <w:t xml:space="preserve">ncertainty </w:t>
      </w:r>
      <w:r w:rsidR="00D762CE">
        <w:rPr>
          <w:rFonts w:ascii="Times New Roman" w:hAnsi="Times New Roman" w:cs="Times New Roman"/>
          <w:sz w:val="24"/>
          <w:szCs w:val="24"/>
        </w:rPr>
        <w:t>i</w:t>
      </w:r>
      <w:r w:rsidRPr="00694E32">
        <w:rPr>
          <w:rFonts w:ascii="Times New Roman" w:hAnsi="Times New Roman" w:cs="Times New Roman"/>
          <w:sz w:val="24"/>
          <w:szCs w:val="24"/>
        </w:rPr>
        <w:t xml:space="preserve">ndex. Stanford University Mimeo. Available for download at: </w:t>
      </w:r>
      <w:hyperlink r:id="rId11" w:history="1">
        <w:r w:rsidR="00B93477" w:rsidRPr="004A7589">
          <w:rPr>
            <w:rStyle w:val="Hyperlink"/>
            <w:rFonts w:ascii="Times New Roman" w:hAnsi="Times New Roman" w:cs="Times New Roman"/>
            <w:sz w:val="24"/>
            <w:szCs w:val="24"/>
          </w:rPr>
          <w:t>http://policyuncertainty.com/wui_quarterly.html</w:t>
        </w:r>
      </w:hyperlink>
      <w:r w:rsidRPr="00694E32">
        <w:rPr>
          <w:rFonts w:ascii="Times New Roman" w:hAnsi="Times New Roman" w:cs="Times New Roman"/>
          <w:sz w:val="24"/>
          <w:szCs w:val="24"/>
        </w:rPr>
        <w:t>.</w:t>
      </w:r>
    </w:p>
    <w:p w14:paraId="4BDD759B" w14:textId="2F97960F" w:rsidR="00B93477" w:rsidRPr="00694E32" w:rsidRDefault="00B93477" w:rsidP="00BB2727">
      <w:pPr>
        <w:snapToGrid w:val="0"/>
        <w:spacing w:after="0" w:line="480" w:lineRule="auto"/>
        <w:jc w:val="both"/>
        <w:rPr>
          <w:rFonts w:ascii="Times New Roman" w:hAnsi="Times New Roman" w:cs="Times New Roman"/>
          <w:sz w:val="24"/>
          <w:szCs w:val="24"/>
        </w:rPr>
      </w:pPr>
      <w:r w:rsidRPr="00B93477">
        <w:rPr>
          <w:rFonts w:ascii="Times New Roman" w:hAnsi="Times New Roman" w:cs="Times New Roman"/>
          <w:sz w:val="24"/>
          <w:szCs w:val="24"/>
        </w:rPr>
        <w:t>Aye, G.C., Gupta, R., Lau, C.K.M., and Sheng, X. (2019). Is there a role for uncertainty in forecasting output growth in OECD countries? Evidence from a time-varying parameter-panel vector autoregressive model. Applied Economics, 51(33), 3624-3631.</w:t>
      </w:r>
    </w:p>
    <w:p w14:paraId="3C708113" w14:textId="1713C567" w:rsidR="00DE1E88" w:rsidRDefault="00DE1E88" w:rsidP="00BB2727">
      <w:pPr>
        <w:snapToGrid w:val="0"/>
        <w:spacing w:after="0" w:line="480" w:lineRule="auto"/>
        <w:jc w:val="both"/>
        <w:rPr>
          <w:rFonts w:ascii="Times New Roman" w:hAnsi="Times New Roman" w:cs="Times New Roman"/>
          <w:sz w:val="24"/>
          <w:szCs w:val="24"/>
        </w:rPr>
      </w:pPr>
      <w:r w:rsidRPr="00DE1E88">
        <w:rPr>
          <w:rFonts w:ascii="Times New Roman" w:hAnsi="Times New Roman" w:cs="Times New Roman"/>
          <w:sz w:val="24"/>
          <w:szCs w:val="24"/>
        </w:rPr>
        <w:t xml:space="preserve">Baker, S.R., Bloom, N.A., Davis, S.J., </w:t>
      </w:r>
      <w:proofErr w:type="spellStart"/>
      <w:r w:rsidRPr="00DE1E88">
        <w:rPr>
          <w:rFonts w:ascii="Times New Roman" w:hAnsi="Times New Roman" w:cs="Times New Roman"/>
          <w:sz w:val="24"/>
          <w:szCs w:val="24"/>
        </w:rPr>
        <w:t>Kost</w:t>
      </w:r>
      <w:proofErr w:type="spellEnd"/>
      <w:r w:rsidRPr="00DE1E88">
        <w:rPr>
          <w:rFonts w:ascii="Times New Roman" w:hAnsi="Times New Roman" w:cs="Times New Roman"/>
          <w:sz w:val="24"/>
          <w:szCs w:val="24"/>
        </w:rPr>
        <w:t xml:space="preserve">, K.J., </w:t>
      </w:r>
      <w:proofErr w:type="spellStart"/>
      <w:r w:rsidRPr="00DE1E88">
        <w:rPr>
          <w:rFonts w:ascii="Times New Roman" w:hAnsi="Times New Roman" w:cs="Times New Roman"/>
          <w:sz w:val="24"/>
          <w:szCs w:val="24"/>
        </w:rPr>
        <w:t>Sammon</w:t>
      </w:r>
      <w:proofErr w:type="spellEnd"/>
      <w:r w:rsidRPr="00DE1E88">
        <w:rPr>
          <w:rFonts w:ascii="Times New Roman" w:hAnsi="Times New Roman" w:cs="Times New Roman"/>
          <w:sz w:val="24"/>
          <w:szCs w:val="24"/>
        </w:rPr>
        <w:t xml:space="preserve">, M.C., and </w:t>
      </w:r>
      <w:proofErr w:type="spellStart"/>
      <w:r w:rsidRPr="00DE1E88">
        <w:rPr>
          <w:rFonts w:ascii="Times New Roman" w:hAnsi="Times New Roman" w:cs="Times New Roman"/>
          <w:sz w:val="24"/>
          <w:szCs w:val="24"/>
        </w:rPr>
        <w:t>Viratyosin</w:t>
      </w:r>
      <w:proofErr w:type="spellEnd"/>
      <w:r w:rsidRPr="00DE1E88">
        <w:rPr>
          <w:rFonts w:ascii="Times New Roman" w:hAnsi="Times New Roman" w:cs="Times New Roman"/>
          <w:sz w:val="24"/>
          <w:szCs w:val="24"/>
        </w:rPr>
        <w:t>, T. (2020b). The Unprecedented Stock Market Impact of COVID-19.</w:t>
      </w:r>
      <w:r w:rsidR="00BB2727">
        <w:rPr>
          <w:rFonts w:ascii="Times New Roman" w:hAnsi="Times New Roman" w:cs="Times New Roman"/>
          <w:sz w:val="24"/>
          <w:szCs w:val="24"/>
        </w:rPr>
        <w:t xml:space="preserve"> </w:t>
      </w:r>
      <w:r w:rsidRPr="00DE1E88">
        <w:rPr>
          <w:rFonts w:ascii="Times New Roman" w:hAnsi="Times New Roman" w:cs="Times New Roman"/>
          <w:sz w:val="24"/>
          <w:szCs w:val="24"/>
        </w:rPr>
        <w:t>NBER Working Paper No. 26945.</w:t>
      </w:r>
    </w:p>
    <w:p w14:paraId="34EA861D" w14:textId="3E2F6CDF" w:rsidR="00C52765" w:rsidRDefault="00694E32" w:rsidP="00BB2727">
      <w:pPr>
        <w:snapToGrid w:val="0"/>
        <w:spacing w:after="0" w:line="480" w:lineRule="auto"/>
        <w:jc w:val="both"/>
        <w:rPr>
          <w:rFonts w:ascii="Times New Roman" w:hAnsi="Times New Roman" w:cs="Times New Roman"/>
          <w:sz w:val="24"/>
          <w:szCs w:val="24"/>
        </w:rPr>
      </w:pPr>
      <w:r w:rsidRPr="00694E32">
        <w:rPr>
          <w:rFonts w:ascii="Times New Roman" w:hAnsi="Times New Roman" w:cs="Times New Roman"/>
          <w:sz w:val="24"/>
          <w:szCs w:val="24"/>
        </w:rPr>
        <w:t>Baker, S.R., Bloom, N.</w:t>
      </w:r>
      <w:r>
        <w:rPr>
          <w:rFonts w:ascii="Times New Roman" w:hAnsi="Times New Roman" w:cs="Times New Roman"/>
          <w:sz w:val="24"/>
          <w:szCs w:val="24"/>
        </w:rPr>
        <w:t>A.</w:t>
      </w:r>
      <w:r w:rsidRPr="00694E32">
        <w:rPr>
          <w:rFonts w:ascii="Times New Roman" w:hAnsi="Times New Roman" w:cs="Times New Roman"/>
          <w:sz w:val="24"/>
          <w:szCs w:val="24"/>
        </w:rPr>
        <w:t>, Davis, S.J., Terry, S.J. (2020</w:t>
      </w:r>
      <w:r w:rsidR="00C52765">
        <w:rPr>
          <w:rFonts w:ascii="Times New Roman" w:hAnsi="Times New Roman" w:cs="Times New Roman"/>
          <w:sz w:val="24"/>
          <w:szCs w:val="24"/>
        </w:rPr>
        <w:t>a</w:t>
      </w:r>
      <w:r w:rsidRPr="00694E32">
        <w:rPr>
          <w:rFonts w:ascii="Times New Roman" w:hAnsi="Times New Roman" w:cs="Times New Roman"/>
          <w:sz w:val="24"/>
          <w:szCs w:val="24"/>
        </w:rPr>
        <w:t xml:space="preserve">). </w:t>
      </w:r>
      <w:proofErr w:type="spellStart"/>
      <w:r w:rsidRPr="00694E32">
        <w:rPr>
          <w:rFonts w:ascii="Times New Roman" w:hAnsi="Times New Roman" w:cs="Times New Roman"/>
          <w:sz w:val="24"/>
          <w:szCs w:val="24"/>
        </w:rPr>
        <w:t>Covid</w:t>
      </w:r>
      <w:proofErr w:type="spellEnd"/>
      <w:r w:rsidRPr="00694E32">
        <w:rPr>
          <w:rFonts w:ascii="Times New Roman" w:hAnsi="Times New Roman" w:cs="Times New Roman"/>
          <w:sz w:val="24"/>
          <w:szCs w:val="24"/>
        </w:rPr>
        <w:t>-</w:t>
      </w:r>
      <w:r w:rsidR="00D762CE">
        <w:rPr>
          <w:rFonts w:ascii="Times New Roman" w:hAnsi="Times New Roman" w:cs="Times New Roman"/>
          <w:sz w:val="24"/>
          <w:szCs w:val="24"/>
        </w:rPr>
        <w:t>i</w:t>
      </w:r>
      <w:r w:rsidRPr="00694E32">
        <w:rPr>
          <w:rFonts w:ascii="Times New Roman" w:hAnsi="Times New Roman" w:cs="Times New Roman"/>
          <w:sz w:val="24"/>
          <w:szCs w:val="24"/>
        </w:rPr>
        <w:t xml:space="preserve">nduced </w:t>
      </w:r>
      <w:r w:rsidR="00D762CE">
        <w:rPr>
          <w:rFonts w:ascii="Times New Roman" w:hAnsi="Times New Roman" w:cs="Times New Roman"/>
          <w:sz w:val="24"/>
          <w:szCs w:val="24"/>
        </w:rPr>
        <w:t>e</w:t>
      </w:r>
      <w:r w:rsidRPr="00694E32">
        <w:rPr>
          <w:rFonts w:ascii="Times New Roman" w:hAnsi="Times New Roman" w:cs="Times New Roman"/>
          <w:sz w:val="24"/>
          <w:szCs w:val="24"/>
        </w:rPr>
        <w:t xml:space="preserve">conomic </w:t>
      </w:r>
      <w:r w:rsidR="00D762CE">
        <w:rPr>
          <w:rFonts w:ascii="Times New Roman" w:hAnsi="Times New Roman" w:cs="Times New Roman"/>
          <w:sz w:val="24"/>
          <w:szCs w:val="24"/>
        </w:rPr>
        <w:t>u</w:t>
      </w:r>
      <w:r w:rsidRPr="00694E32">
        <w:rPr>
          <w:rFonts w:ascii="Times New Roman" w:hAnsi="Times New Roman" w:cs="Times New Roman"/>
          <w:sz w:val="24"/>
          <w:szCs w:val="24"/>
        </w:rPr>
        <w:t>ncertainty. NBER Working Paper No. 26983.</w:t>
      </w:r>
    </w:p>
    <w:p w14:paraId="34A9DC10" w14:textId="16949911" w:rsidR="00C52765" w:rsidRDefault="00C52765" w:rsidP="00BB2727">
      <w:pPr>
        <w:snapToGrid w:val="0"/>
        <w:spacing w:after="0" w:line="480" w:lineRule="auto"/>
        <w:jc w:val="both"/>
        <w:rPr>
          <w:rFonts w:ascii="Times New Roman" w:hAnsi="Times New Roman" w:cs="Times New Roman"/>
          <w:sz w:val="24"/>
          <w:szCs w:val="24"/>
        </w:rPr>
      </w:pPr>
      <w:proofErr w:type="spellStart"/>
      <w:r w:rsidRPr="00C52765">
        <w:rPr>
          <w:rFonts w:ascii="Times New Roman" w:hAnsi="Times New Roman" w:cs="Times New Roman"/>
          <w:sz w:val="24"/>
          <w:szCs w:val="24"/>
        </w:rPr>
        <w:t>Balcilar</w:t>
      </w:r>
      <w:proofErr w:type="spellEnd"/>
      <w:r w:rsidRPr="00C52765">
        <w:rPr>
          <w:rFonts w:ascii="Times New Roman" w:hAnsi="Times New Roman" w:cs="Times New Roman"/>
          <w:sz w:val="24"/>
          <w:szCs w:val="24"/>
        </w:rPr>
        <w:t xml:space="preserve">, M., </w:t>
      </w:r>
      <w:proofErr w:type="spellStart"/>
      <w:r w:rsidRPr="00C52765">
        <w:rPr>
          <w:rFonts w:ascii="Times New Roman" w:hAnsi="Times New Roman" w:cs="Times New Roman"/>
          <w:sz w:val="24"/>
          <w:szCs w:val="24"/>
        </w:rPr>
        <w:t>Ozdemir</w:t>
      </w:r>
      <w:proofErr w:type="spellEnd"/>
      <w:r w:rsidRPr="00C52765">
        <w:rPr>
          <w:rFonts w:ascii="Times New Roman" w:hAnsi="Times New Roman" w:cs="Times New Roman"/>
          <w:sz w:val="24"/>
          <w:szCs w:val="24"/>
        </w:rPr>
        <w:t xml:space="preserve">, Z.A., </w:t>
      </w:r>
      <w:proofErr w:type="spellStart"/>
      <w:r w:rsidRPr="00C52765">
        <w:rPr>
          <w:rFonts w:ascii="Times New Roman" w:hAnsi="Times New Roman" w:cs="Times New Roman"/>
          <w:sz w:val="24"/>
          <w:szCs w:val="24"/>
        </w:rPr>
        <w:t>Ozdemir</w:t>
      </w:r>
      <w:proofErr w:type="spellEnd"/>
      <w:r w:rsidRPr="00C52765">
        <w:rPr>
          <w:rFonts w:ascii="Times New Roman" w:hAnsi="Times New Roman" w:cs="Times New Roman"/>
          <w:sz w:val="24"/>
          <w:szCs w:val="24"/>
        </w:rPr>
        <w:t xml:space="preserve">, H., and </w:t>
      </w:r>
      <w:proofErr w:type="spellStart"/>
      <w:r w:rsidRPr="00C52765">
        <w:rPr>
          <w:rFonts w:ascii="Times New Roman" w:hAnsi="Times New Roman" w:cs="Times New Roman"/>
          <w:sz w:val="24"/>
          <w:szCs w:val="24"/>
        </w:rPr>
        <w:t>Wohar</w:t>
      </w:r>
      <w:proofErr w:type="spellEnd"/>
      <w:r w:rsidRPr="00C52765">
        <w:rPr>
          <w:rFonts w:ascii="Times New Roman" w:hAnsi="Times New Roman" w:cs="Times New Roman"/>
          <w:sz w:val="24"/>
          <w:szCs w:val="24"/>
        </w:rPr>
        <w:t xml:space="preserve">, M.E. (2020). Fed’s unconventional monetary policy and risk </w:t>
      </w:r>
      <w:proofErr w:type="spellStart"/>
      <w:r w:rsidRPr="00C52765">
        <w:rPr>
          <w:rFonts w:ascii="Times New Roman" w:hAnsi="Times New Roman" w:cs="Times New Roman"/>
          <w:sz w:val="24"/>
          <w:szCs w:val="24"/>
        </w:rPr>
        <w:t>spillover</w:t>
      </w:r>
      <w:proofErr w:type="spellEnd"/>
      <w:r w:rsidRPr="00C52765">
        <w:rPr>
          <w:rFonts w:ascii="Times New Roman" w:hAnsi="Times New Roman" w:cs="Times New Roman"/>
          <w:sz w:val="24"/>
          <w:szCs w:val="24"/>
        </w:rPr>
        <w:t xml:space="preserve"> in the US financial markets. The Quarterly Review of Economics and Finance. DOI: </w:t>
      </w:r>
      <w:hyperlink r:id="rId12" w:history="1">
        <w:r w:rsidRPr="00C83B1E">
          <w:rPr>
            <w:rStyle w:val="Hyperlink"/>
            <w:rFonts w:ascii="Times New Roman" w:hAnsi="Times New Roman" w:cs="Times New Roman"/>
            <w:sz w:val="24"/>
            <w:szCs w:val="24"/>
          </w:rPr>
          <w:t>https://doi.org/10.1016/j.qref.2020.01.004</w:t>
        </w:r>
      </w:hyperlink>
      <w:r w:rsidRPr="00C52765">
        <w:rPr>
          <w:rFonts w:ascii="Times New Roman" w:hAnsi="Times New Roman" w:cs="Times New Roman"/>
          <w:sz w:val="24"/>
          <w:szCs w:val="24"/>
        </w:rPr>
        <w:t>.</w:t>
      </w:r>
    </w:p>
    <w:p w14:paraId="6BE57318" w14:textId="15365B62" w:rsidR="00694E32" w:rsidRPr="00694E32" w:rsidRDefault="00694E32" w:rsidP="00BB2727">
      <w:pPr>
        <w:snapToGrid w:val="0"/>
        <w:spacing w:after="0" w:line="480" w:lineRule="auto"/>
        <w:jc w:val="both"/>
        <w:rPr>
          <w:rFonts w:ascii="Times New Roman" w:hAnsi="Times New Roman" w:cs="Times New Roman"/>
          <w:sz w:val="24"/>
          <w:szCs w:val="24"/>
        </w:rPr>
      </w:pPr>
      <w:r w:rsidRPr="00694E32">
        <w:rPr>
          <w:rFonts w:ascii="Times New Roman" w:hAnsi="Times New Roman" w:cs="Times New Roman"/>
          <w:sz w:val="24"/>
          <w:szCs w:val="24"/>
        </w:rPr>
        <w:t xml:space="preserve"> Bernanke, B (1983). Irreversibility, </w:t>
      </w:r>
      <w:r w:rsidR="00D762CE">
        <w:rPr>
          <w:rFonts w:ascii="Times New Roman" w:hAnsi="Times New Roman" w:cs="Times New Roman"/>
          <w:sz w:val="24"/>
          <w:szCs w:val="24"/>
        </w:rPr>
        <w:t>u</w:t>
      </w:r>
      <w:r w:rsidRPr="00694E32">
        <w:rPr>
          <w:rFonts w:ascii="Times New Roman" w:hAnsi="Times New Roman" w:cs="Times New Roman"/>
          <w:sz w:val="24"/>
          <w:szCs w:val="24"/>
        </w:rPr>
        <w:t xml:space="preserve">ncertainty, and </w:t>
      </w:r>
      <w:r w:rsidR="00D762CE">
        <w:rPr>
          <w:rFonts w:ascii="Times New Roman" w:hAnsi="Times New Roman" w:cs="Times New Roman"/>
          <w:sz w:val="24"/>
          <w:szCs w:val="24"/>
        </w:rPr>
        <w:t>c</w:t>
      </w:r>
      <w:r w:rsidRPr="00694E32">
        <w:rPr>
          <w:rFonts w:ascii="Times New Roman" w:hAnsi="Times New Roman" w:cs="Times New Roman"/>
          <w:sz w:val="24"/>
          <w:szCs w:val="24"/>
        </w:rPr>
        <w:t xml:space="preserve">yclical </w:t>
      </w:r>
      <w:r w:rsidR="00D762CE">
        <w:rPr>
          <w:rFonts w:ascii="Times New Roman" w:hAnsi="Times New Roman" w:cs="Times New Roman"/>
          <w:sz w:val="24"/>
          <w:szCs w:val="24"/>
        </w:rPr>
        <w:t>i</w:t>
      </w:r>
      <w:r w:rsidRPr="00694E32">
        <w:rPr>
          <w:rFonts w:ascii="Times New Roman" w:hAnsi="Times New Roman" w:cs="Times New Roman"/>
          <w:sz w:val="24"/>
          <w:szCs w:val="24"/>
        </w:rPr>
        <w:t>nvestment, Quarterly Journal of Economics, 98(1), 85-106.</w:t>
      </w:r>
    </w:p>
    <w:p w14:paraId="5C7D5A3A" w14:textId="4E65E304" w:rsidR="00694E32" w:rsidRDefault="00694E32" w:rsidP="00BB2727">
      <w:pPr>
        <w:snapToGrid w:val="0"/>
        <w:spacing w:after="0" w:line="480" w:lineRule="auto"/>
        <w:jc w:val="both"/>
        <w:rPr>
          <w:rFonts w:ascii="Times New Roman" w:hAnsi="Times New Roman" w:cs="Times New Roman"/>
          <w:sz w:val="24"/>
          <w:szCs w:val="24"/>
        </w:rPr>
      </w:pPr>
      <w:r w:rsidRPr="00694E32">
        <w:rPr>
          <w:rFonts w:ascii="Times New Roman" w:hAnsi="Times New Roman" w:cs="Times New Roman"/>
          <w:sz w:val="24"/>
          <w:szCs w:val="24"/>
        </w:rPr>
        <w:t xml:space="preserve">Bloom, N. (2009). The </w:t>
      </w:r>
      <w:r w:rsidR="00D762CE">
        <w:rPr>
          <w:rFonts w:ascii="Times New Roman" w:hAnsi="Times New Roman" w:cs="Times New Roman"/>
          <w:sz w:val="24"/>
          <w:szCs w:val="24"/>
        </w:rPr>
        <w:t>i</w:t>
      </w:r>
      <w:r w:rsidRPr="00694E32">
        <w:rPr>
          <w:rFonts w:ascii="Times New Roman" w:hAnsi="Times New Roman" w:cs="Times New Roman"/>
          <w:sz w:val="24"/>
          <w:szCs w:val="24"/>
        </w:rPr>
        <w:t xml:space="preserve">mpact of </w:t>
      </w:r>
      <w:r w:rsidR="00D762CE">
        <w:rPr>
          <w:rFonts w:ascii="Times New Roman" w:hAnsi="Times New Roman" w:cs="Times New Roman"/>
          <w:sz w:val="24"/>
          <w:szCs w:val="24"/>
        </w:rPr>
        <w:t>u</w:t>
      </w:r>
      <w:r w:rsidRPr="00694E32">
        <w:rPr>
          <w:rFonts w:ascii="Times New Roman" w:hAnsi="Times New Roman" w:cs="Times New Roman"/>
          <w:sz w:val="24"/>
          <w:szCs w:val="24"/>
        </w:rPr>
        <w:t xml:space="preserve">ncertainty </w:t>
      </w:r>
      <w:r w:rsidR="00D762CE">
        <w:rPr>
          <w:rFonts w:ascii="Times New Roman" w:hAnsi="Times New Roman" w:cs="Times New Roman"/>
          <w:sz w:val="24"/>
          <w:szCs w:val="24"/>
        </w:rPr>
        <w:t>s</w:t>
      </w:r>
      <w:r w:rsidRPr="00694E32">
        <w:rPr>
          <w:rFonts w:ascii="Times New Roman" w:hAnsi="Times New Roman" w:cs="Times New Roman"/>
          <w:sz w:val="24"/>
          <w:szCs w:val="24"/>
        </w:rPr>
        <w:t xml:space="preserve">hocks. </w:t>
      </w:r>
      <w:proofErr w:type="spellStart"/>
      <w:r w:rsidRPr="00694E32">
        <w:rPr>
          <w:rFonts w:ascii="Times New Roman" w:hAnsi="Times New Roman" w:cs="Times New Roman"/>
          <w:sz w:val="24"/>
          <w:szCs w:val="24"/>
        </w:rPr>
        <w:t>Econometrica</w:t>
      </w:r>
      <w:proofErr w:type="spellEnd"/>
      <w:r w:rsidRPr="00694E32">
        <w:rPr>
          <w:rFonts w:ascii="Times New Roman" w:hAnsi="Times New Roman" w:cs="Times New Roman"/>
          <w:sz w:val="24"/>
          <w:szCs w:val="24"/>
        </w:rPr>
        <w:t xml:space="preserve">, 77(3), 623-685. </w:t>
      </w:r>
    </w:p>
    <w:p w14:paraId="35C2EE57" w14:textId="50924953" w:rsidR="00260B4A" w:rsidRPr="00694E32" w:rsidRDefault="00260B4A" w:rsidP="00BB2727">
      <w:pPr>
        <w:snapToGrid w:val="0"/>
        <w:spacing w:after="0" w:line="480" w:lineRule="auto"/>
        <w:jc w:val="both"/>
        <w:rPr>
          <w:rFonts w:ascii="Times New Roman" w:hAnsi="Times New Roman" w:cs="Times New Roman"/>
          <w:sz w:val="24"/>
          <w:szCs w:val="24"/>
        </w:rPr>
      </w:pPr>
      <w:proofErr w:type="spellStart"/>
      <w:r w:rsidRPr="00260B4A">
        <w:rPr>
          <w:rFonts w:ascii="Times New Roman" w:hAnsi="Times New Roman" w:cs="Times New Roman"/>
          <w:sz w:val="24"/>
          <w:szCs w:val="24"/>
        </w:rPr>
        <w:t>Bouri</w:t>
      </w:r>
      <w:proofErr w:type="spellEnd"/>
      <w:r w:rsidRPr="00260B4A">
        <w:rPr>
          <w:rFonts w:ascii="Times New Roman" w:hAnsi="Times New Roman" w:cs="Times New Roman"/>
          <w:sz w:val="24"/>
          <w:szCs w:val="24"/>
        </w:rPr>
        <w:t xml:space="preserve">, E., </w:t>
      </w:r>
      <w:proofErr w:type="spellStart"/>
      <w:r w:rsidRPr="00260B4A">
        <w:rPr>
          <w:rFonts w:ascii="Times New Roman" w:hAnsi="Times New Roman" w:cs="Times New Roman"/>
          <w:sz w:val="24"/>
          <w:szCs w:val="24"/>
        </w:rPr>
        <w:t>Demirer</w:t>
      </w:r>
      <w:proofErr w:type="spellEnd"/>
      <w:r w:rsidRPr="00260B4A">
        <w:rPr>
          <w:rFonts w:ascii="Times New Roman" w:hAnsi="Times New Roman" w:cs="Times New Roman"/>
          <w:sz w:val="24"/>
          <w:szCs w:val="24"/>
        </w:rPr>
        <w:t xml:space="preserve">, E., Gupta, R., and </w:t>
      </w:r>
      <w:proofErr w:type="spellStart"/>
      <w:r w:rsidRPr="00260B4A">
        <w:rPr>
          <w:rFonts w:ascii="Times New Roman" w:hAnsi="Times New Roman" w:cs="Times New Roman"/>
          <w:sz w:val="24"/>
          <w:szCs w:val="24"/>
        </w:rPr>
        <w:t>Pierdzioch</w:t>
      </w:r>
      <w:proofErr w:type="spellEnd"/>
      <w:r w:rsidRPr="00260B4A">
        <w:rPr>
          <w:rFonts w:ascii="Times New Roman" w:hAnsi="Times New Roman" w:cs="Times New Roman"/>
          <w:sz w:val="24"/>
          <w:szCs w:val="24"/>
        </w:rPr>
        <w:t xml:space="preserve">, C. (2020). Infectious </w:t>
      </w:r>
      <w:r w:rsidR="00BB2727">
        <w:rPr>
          <w:rFonts w:ascii="Times New Roman" w:hAnsi="Times New Roman" w:cs="Times New Roman"/>
          <w:sz w:val="24"/>
          <w:szCs w:val="24"/>
        </w:rPr>
        <w:t>d</w:t>
      </w:r>
      <w:r w:rsidRPr="00260B4A">
        <w:rPr>
          <w:rFonts w:ascii="Times New Roman" w:hAnsi="Times New Roman" w:cs="Times New Roman"/>
          <w:sz w:val="24"/>
          <w:szCs w:val="24"/>
        </w:rPr>
        <w:t xml:space="preserve">iseases, </w:t>
      </w:r>
      <w:r w:rsidR="00BB2727">
        <w:rPr>
          <w:rFonts w:ascii="Times New Roman" w:hAnsi="Times New Roman" w:cs="Times New Roman"/>
          <w:sz w:val="24"/>
          <w:szCs w:val="24"/>
        </w:rPr>
        <w:t>m</w:t>
      </w:r>
      <w:r w:rsidRPr="00260B4A">
        <w:rPr>
          <w:rFonts w:ascii="Times New Roman" w:hAnsi="Times New Roman" w:cs="Times New Roman"/>
          <w:sz w:val="24"/>
          <w:szCs w:val="24"/>
        </w:rPr>
        <w:t xml:space="preserve">arket </w:t>
      </w:r>
      <w:r w:rsidR="00BB2727">
        <w:rPr>
          <w:rFonts w:ascii="Times New Roman" w:hAnsi="Times New Roman" w:cs="Times New Roman"/>
          <w:sz w:val="24"/>
          <w:szCs w:val="24"/>
        </w:rPr>
        <w:t>u</w:t>
      </w:r>
      <w:r w:rsidRPr="00260B4A">
        <w:rPr>
          <w:rFonts w:ascii="Times New Roman" w:hAnsi="Times New Roman" w:cs="Times New Roman"/>
          <w:sz w:val="24"/>
          <w:szCs w:val="24"/>
        </w:rPr>
        <w:t xml:space="preserve">ncertainty and </w:t>
      </w:r>
      <w:r w:rsidR="00BB2727">
        <w:rPr>
          <w:rFonts w:ascii="Times New Roman" w:hAnsi="Times New Roman" w:cs="Times New Roman"/>
          <w:sz w:val="24"/>
          <w:szCs w:val="24"/>
        </w:rPr>
        <w:t>o</w:t>
      </w:r>
      <w:r w:rsidRPr="00260B4A">
        <w:rPr>
          <w:rFonts w:ascii="Times New Roman" w:hAnsi="Times New Roman" w:cs="Times New Roman"/>
          <w:sz w:val="24"/>
          <w:szCs w:val="24"/>
        </w:rPr>
        <w:t xml:space="preserve">il </w:t>
      </w:r>
      <w:r w:rsidR="00BB2727">
        <w:rPr>
          <w:rFonts w:ascii="Times New Roman" w:hAnsi="Times New Roman" w:cs="Times New Roman"/>
          <w:sz w:val="24"/>
          <w:szCs w:val="24"/>
        </w:rPr>
        <w:t>v</w:t>
      </w:r>
      <w:r w:rsidRPr="00260B4A">
        <w:rPr>
          <w:rFonts w:ascii="Times New Roman" w:hAnsi="Times New Roman" w:cs="Times New Roman"/>
          <w:sz w:val="24"/>
          <w:szCs w:val="24"/>
        </w:rPr>
        <w:t>olatility. Energies, 13(16), 4090.</w:t>
      </w:r>
    </w:p>
    <w:p w14:paraId="4FFB3C4F" w14:textId="71D4D92D" w:rsidR="00694E32" w:rsidRDefault="00694E32" w:rsidP="00BB2727">
      <w:pPr>
        <w:snapToGrid w:val="0"/>
        <w:spacing w:after="0" w:line="480" w:lineRule="auto"/>
        <w:jc w:val="both"/>
        <w:rPr>
          <w:rFonts w:ascii="Times New Roman" w:hAnsi="Times New Roman" w:cs="Times New Roman"/>
          <w:sz w:val="24"/>
          <w:szCs w:val="24"/>
        </w:rPr>
      </w:pPr>
      <w:proofErr w:type="spellStart"/>
      <w:r w:rsidRPr="00694E32">
        <w:rPr>
          <w:rFonts w:ascii="Times New Roman" w:hAnsi="Times New Roman" w:cs="Times New Roman"/>
          <w:sz w:val="24"/>
          <w:szCs w:val="24"/>
        </w:rPr>
        <w:t>Caggiano</w:t>
      </w:r>
      <w:proofErr w:type="spellEnd"/>
      <w:r w:rsidRPr="00694E32">
        <w:rPr>
          <w:rFonts w:ascii="Times New Roman" w:hAnsi="Times New Roman" w:cs="Times New Roman"/>
          <w:sz w:val="24"/>
          <w:szCs w:val="24"/>
        </w:rPr>
        <w:t xml:space="preserve">, G., </w:t>
      </w:r>
      <w:proofErr w:type="spellStart"/>
      <w:r w:rsidRPr="00694E32">
        <w:rPr>
          <w:rFonts w:ascii="Times New Roman" w:hAnsi="Times New Roman" w:cs="Times New Roman"/>
          <w:sz w:val="24"/>
          <w:szCs w:val="24"/>
        </w:rPr>
        <w:t>Castelnuovo</w:t>
      </w:r>
      <w:proofErr w:type="spellEnd"/>
      <w:r w:rsidRPr="00694E32">
        <w:rPr>
          <w:rFonts w:ascii="Times New Roman" w:hAnsi="Times New Roman" w:cs="Times New Roman"/>
          <w:sz w:val="24"/>
          <w:szCs w:val="24"/>
        </w:rPr>
        <w:t>, E., and Kima, R. (</w:t>
      </w:r>
      <w:r w:rsidR="00D762CE">
        <w:rPr>
          <w:rFonts w:ascii="Times New Roman" w:hAnsi="Times New Roman" w:cs="Times New Roman"/>
          <w:sz w:val="24"/>
          <w:szCs w:val="24"/>
        </w:rPr>
        <w:t>2020</w:t>
      </w:r>
      <w:r w:rsidRPr="00694E32">
        <w:rPr>
          <w:rFonts w:ascii="Times New Roman" w:hAnsi="Times New Roman" w:cs="Times New Roman"/>
          <w:sz w:val="24"/>
          <w:szCs w:val="24"/>
        </w:rPr>
        <w:t>). The global effects of Covid-19-induced</w:t>
      </w:r>
      <w:r w:rsidR="00260B4A">
        <w:rPr>
          <w:rFonts w:ascii="Times New Roman" w:hAnsi="Times New Roman" w:cs="Times New Roman"/>
          <w:sz w:val="24"/>
          <w:szCs w:val="24"/>
        </w:rPr>
        <w:t xml:space="preserve"> uncertainty. Economics Letters, 194, 109392.</w:t>
      </w:r>
    </w:p>
    <w:p w14:paraId="32AEB617" w14:textId="77777777" w:rsidR="007D10F6" w:rsidRPr="007D10F6" w:rsidRDefault="007D10F6" w:rsidP="00BB2727">
      <w:pPr>
        <w:snapToGrid w:val="0"/>
        <w:spacing w:after="0" w:line="480" w:lineRule="auto"/>
        <w:jc w:val="both"/>
        <w:rPr>
          <w:rFonts w:ascii="Times New Roman" w:hAnsi="Times New Roman" w:cs="Times New Roman"/>
          <w:sz w:val="24"/>
          <w:szCs w:val="24"/>
        </w:rPr>
      </w:pPr>
      <w:r w:rsidRPr="007D10F6">
        <w:rPr>
          <w:rFonts w:ascii="Times New Roman" w:hAnsi="Times New Roman" w:cs="Times New Roman"/>
          <w:sz w:val="24"/>
          <w:szCs w:val="24"/>
        </w:rPr>
        <w:t xml:space="preserve">Diebold, F.X. and </w:t>
      </w:r>
      <w:proofErr w:type="spellStart"/>
      <w:r w:rsidRPr="007D10F6">
        <w:rPr>
          <w:rFonts w:ascii="Times New Roman" w:hAnsi="Times New Roman" w:cs="Times New Roman"/>
          <w:sz w:val="24"/>
          <w:szCs w:val="24"/>
        </w:rPr>
        <w:t>Yılmaz</w:t>
      </w:r>
      <w:proofErr w:type="spellEnd"/>
      <w:r w:rsidRPr="007D10F6">
        <w:rPr>
          <w:rFonts w:ascii="Times New Roman" w:hAnsi="Times New Roman" w:cs="Times New Roman"/>
          <w:sz w:val="24"/>
          <w:szCs w:val="24"/>
        </w:rPr>
        <w:t xml:space="preserve">, K. (2009). Measuring financial asset return and volatility </w:t>
      </w:r>
      <w:proofErr w:type="spellStart"/>
      <w:r w:rsidRPr="007D10F6">
        <w:rPr>
          <w:rFonts w:ascii="Times New Roman" w:hAnsi="Times New Roman" w:cs="Times New Roman"/>
          <w:sz w:val="24"/>
          <w:szCs w:val="24"/>
        </w:rPr>
        <w:t>spillovers</w:t>
      </w:r>
      <w:proofErr w:type="spellEnd"/>
      <w:r w:rsidRPr="007D10F6">
        <w:rPr>
          <w:rFonts w:ascii="Times New Roman" w:hAnsi="Times New Roman" w:cs="Times New Roman"/>
          <w:sz w:val="24"/>
          <w:szCs w:val="24"/>
        </w:rPr>
        <w:t>, with application to global equity markets. The Economic Journal, 119(534), 158–171.</w:t>
      </w:r>
    </w:p>
    <w:p w14:paraId="738C6A31" w14:textId="77777777" w:rsidR="007D10F6" w:rsidRPr="007D10F6" w:rsidRDefault="007D10F6" w:rsidP="00BB2727">
      <w:pPr>
        <w:snapToGrid w:val="0"/>
        <w:spacing w:after="0" w:line="480" w:lineRule="auto"/>
        <w:jc w:val="both"/>
        <w:rPr>
          <w:rFonts w:ascii="Times New Roman" w:hAnsi="Times New Roman" w:cs="Times New Roman"/>
          <w:sz w:val="24"/>
          <w:szCs w:val="24"/>
        </w:rPr>
      </w:pPr>
      <w:r w:rsidRPr="007D10F6">
        <w:rPr>
          <w:rFonts w:ascii="Times New Roman" w:hAnsi="Times New Roman" w:cs="Times New Roman"/>
          <w:sz w:val="24"/>
          <w:szCs w:val="24"/>
        </w:rPr>
        <w:t xml:space="preserve">Diebold, F.X. and </w:t>
      </w:r>
      <w:proofErr w:type="spellStart"/>
      <w:r w:rsidRPr="007D10F6">
        <w:rPr>
          <w:rFonts w:ascii="Times New Roman" w:hAnsi="Times New Roman" w:cs="Times New Roman"/>
          <w:sz w:val="24"/>
          <w:szCs w:val="24"/>
        </w:rPr>
        <w:t>Yılmaz</w:t>
      </w:r>
      <w:proofErr w:type="spellEnd"/>
      <w:r w:rsidRPr="007D10F6">
        <w:rPr>
          <w:rFonts w:ascii="Times New Roman" w:hAnsi="Times New Roman" w:cs="Times New Roman"/>
          <w:sz w:val="24"/>
          <w:szCs w:val="24"/>
        </w:rPr>
        <w:t xml:space="preserve">, K. (2012). Better to give than to receive: Predictive directional measurement of volatility </w:t>
      </w:r>
      <w:proofErr w:type="spellStart"/>
      <w:r w:rsidRPr="007D10F6">
        <w:rPr>
          <w:rFonts w:ascii="Times New Roman" w:hAnsi="Times New Roman" w:cs="Times New Roman"/>
          <w:sz w:val="24"/>
          <w:szCs w:val="24"/>
        </w:rPr>
        <w:t>spillovers</w:t>
      </w:r>
      <w:proofErr w:type="spellEnd"/>
      <w:r w:rsidRPr="007D10F6">
        <w:rPr>
          <w:rFonts w:ascii="Times New Roman" w:hAnsi="Times New Roman" w:cs="Times New Roman"/>
          <w:sz w:val="24"/>
          <w:szCs w:val="24"/>
        </w:rPr>
        <w:t>. International Journal of Forecasting, 28(1), 57–66.</w:t>
      </w:r>
    </w:p>
    <w:p w14:paraId="0D9C7582" w14:textId="177FDBB1" w:rsidR="007D10F6" w:rsidRPr="00694E32" w:rsidRDefault="007D10F6" w:rsidP="00BB2727">
      <w:pPr>
        <w:snapToGrid w:val="0"/>
        <w:spacing w:after="0" w:line="480" w:lineRule="auto"/>
        <w:jc w:val="both"/>
        <w:rPr>
          <w:rFonts w:ascii="Times New Roman" w:hAnsi="Times New Roman" w:cs="Times New Roman"/>
          <w:sz w:val="24"/>
          <w:szCs w:val="24"/>
        </w:rPr>
      </w:pPr>
      <w:r w:rsidRPr="007D10F6">
        <w:rPr>
          <w:rFonts w:ascii="Times New Roman" w:hAnsi="Times New Roman" w:cs="Times New Roman"/>
          <w:sz w:val="24"/>
          <w:szCs w:val="24"/>
        </w:rPr>
        <w:lastRenderedPageBreak/>
        <w:t xml:space="preserve">Diebold, F.X. and </w:t>
      </w:r>
      <w:proofErr w:type="spellStart"/>
      <w:r w:rsidRPr="007D10F6">
        <w:rPr>
          <w:rFonts w:ascii="Times New Roman" w:hAnsi="Times New Roman" w:cs="Times New Roman"/>
          <w:sz w:val="24"/>
          <w:szCs w:val="24"/>
        </w:rPr>
        <w:t>Yılmaz</w:t>
      </w:r>
      <w:proofErr w:type="spellEnd"/>
      <w:r w:rsidRPr="007D10F6">
        <w:rPr>
          <w:rFonts w:ascii="Times New Roman" w:hAnsi="Times New Roman" w:cs="Times New Roman"/>
          <w:sz w:val="24"/>
          <w:szCs w:val="24"/>
        </w:rPr>
        <w:t>, K. (2014). On the network topology of variance decompositions: Measuring the connectedness of financial firms. Journal of</w:t>
      </w:r>
      <w:r>
        <w:rPr>
          <w:rFonts w:ascii="Times New Roman" w:hAnsi="Times New Roman" w:cs="Times New Roman"/>
          <w:sz w:val="24"/>
          <w:szCs w:val="24"/>
        </w:rPr>
        <w:t xml:space="preserve"> Econometrics, 182(1), 119–134.</w:t>
      </w:r>
    </w:p>
    <w:p w14:paraId="74458959" w14:textId="77777777" w:rsidR="00694E32" w:rsidRPr="00694E32" w:rsidRDefault="00694E32" w:rsidP="00BB2727">
      <w:pPr>
        <w:snapToGrid w:val="0"/>
        <w:spacing w:after="0" w:line="480" w:lineRule="auto"/>
        <w:jc w:val="both"/>
        <w:rPr>
          <w:rFonts w:ascii="Times New Roman" w:hAnsi="Times New Roman" w:cs="Times New Roman"/>
          <w:sz w:val="24"/>
          <w:szCs w:val="24"/>
        </w:rPr>
      </w:pPr>
      <w:r w:rsidRPr="00694E32">
        <w:rPr>
          <w:rFonts w:ascii="Times New Roman" w:hAnsi="Times New Roman" w:cs="Times New Roman"/>
          <w:sz w:val="24"/>
          <w:szCs w:val="24"/>
        </w:rPr>
        <w:t xml:space="preserve">Dixit, A.K., and </w:t>
      </w:r>
      <w:proofErr w:type="spellStart"/>
      <w:r w:rsidRPr="00694E32">
        <w:rPr>
          <w:rFonts w:ascii="Times New Roman" w:hAnsi="Times New Roman" w:cs="Times New Roman"/>
          <w:sz w:val="24"/>
          <w:szCs w:val="24"/>
        </w:rPr>
        <w:t>Pindyck</w:t>
      </w:r>
      <w:proofErr w:type="spellEnd"/>
      <w:r w:rsidRPr="00694E32">
        <w:rPr>
          <w:rFonts w:ascii="Times New Roman" w:hAnsi="Times New Roman" w:cs="Times New Roman"/>
          <w:sz w:val="24"/>
          <w:szCs w:val="24"/>
        </w:rPr>
        <w:t xml:space="preserve">, R.S. (1994). Investment under uncertainty. Princeton University Press. Princeton, New Jersey. </w:t>
      </w:r>
    </w:p>
    <w:p w14:paraId="1CDF950D" w14:textId="77777777" w:rsidR="00260B4A" w:rsidRDefault="00694E32" w:rsidP="00BB2727">
      <w:pPr>
        <w:snapToGrid w:val="0"/>
        <w:spacing w:after="0" w:line="480" w:lineRule="auto"/>
        <w:jc w:val="both"/>
        <w:rPr>
          <w:rFonts w:ascii="Times New Roman" w:hAnsi="Times New Roman" w:cs="Times New Roman"/>
          <w:sz w:val="24"/>
          <w:szCs w:val="24"/>
        </w:rPr>
      </w:pPr>
      <w:r w:rsidRPr="00694E32">
        <w:rPr>
          <w:rFonts w:ascii="Times New Roman" w:hAnsi="Times New Roman" w:cs="Times New Roman"/>
          <w:sz w:val="24"/>
          <w:szCs w:val="24"/>
        </w:rPr>
        <w:t>Grossman, V., Mack, A., and Martínez-García, E. (2014). Database of</w:t>
      </w:r>
      <w:r w:rsidR="006735FD">
        <w:rPr>
          <w:rFonts w:ascii="Times New Roman" w:hAnsi="Times New Roman" w:cs="Times New Roman"/>
          <w:sz w:val="24"/>
          <w:szCs w:val="24"/>
        </w:rPr>
        <w:t xml:space="preserve"> g</w:t>
      </w:r>
      <w:r w:rsidRPr="00694E32">
        <w:rPr>
          <w:rFonts w:ascii="Times New Roman" w:hAnsi="Times New Roman" w:cs="Times New Roman"/>
          <w:sz w:val="24"/>
          <w:szCs w:val="24"/>
        </w:rPr>
        <w:t xml:space="preserve">lobal </w:t>
      </w:r>
      <w:r w:rsidR="006735FD">
        <w:rPr>
          <w:rFonts w:ascii="Times New Roman" w:hAnsi="Times New Roman" w:cs="Times New Roman"/>
          <w:sz w:val="24"/>
          <w:szCs w:val="24"/>
        </w:rPr>
        <w:t>e</w:t>
      </w:r>
      <w:r w:rsidRPr="00694E32">
        <w:rPr>
          <w:rFonts w:ascii="Times New Roman" w:hAnsi="Times New Roman" w:cs="Times New Roman"/>
          <w:sz w:val="24"/>
          <w:szCs w:val="24"/>
        </w:rPr>
        <w:t xml:space="preserve">conomic </w:t>
      </w:r>
      <w:r w:rsidR="006735FD">
        <w:rPr>
          <w:rFonts w:ascii="Times New Roman" w:hAnsi="Times New Roman" w:cs="Times New Roman"/>
          <w:sz w:val="24"/>
          <w:szCs w:val="24"/>
        </w:rPr>
        <w:t>i</w:t>
      </w:r>
      <w:r w:rsidRPr="00694E32">
        <w:rPr>
          <w:rFonts w:ascii="Times New Roman" w:hAnsi="Times New Roman" w:cs="Times New Roman"/>
          <w:sz w:val="24"/>
          <w:szCs w:val="24"/>
        </w:rPr>
        <w:t xml:space="preserve">ndicators (DGEI): A </w:t>
      </w:r>
      <w:r w:rsidR="006735FD">
        <w:rPr>
          <w:rFonts w:ascii="Times New Roman" w:hAnsi="Times New Roman" w:cs="Times New Roman"/>
          <w:sz w:val="24"/>
          <w:szCs w:val="24"/>
        </w:rPr>
        <w:t>m</w:t>
      </w:r>
      <w:r w:rsidRPr="00694E32">
        <w:rPr>
          <w:rFonts w:ascii="Times New Roman" w:hAnsi="Times New Roman" w:cs="Times New Roman"/>
          <w:sz w:val="24"/>
          <w:szCs w:val="24"/>
        </w:rPr>
        <w:t xml:space="preserve">ethodological </w:t>
      </w:r>
      <w:r w:rsidR="006735FD">
        <w:rPr>
          <w:rFonts w:ascii="Times New Roman" w:hAnsi="Times New Roman" w:cs="Times New Roman"/>
          <w:sz w:val="24"/>
          <w:szCs w:val="24"/>
        </w:rPr>
        <w:t>n</w:t>
      </w:r>
      <w:r w:rsidRPr="00694E32">
        <w:rPr>
          <w:rFonts w:ascii="Times New Roman" w:hAnsi="Times New Roman" w:cs="Times New Roman"/>
          <w:sz w:val="24"/>
          <w:szCs w:val="24"/>
        </w:rPr>
        <w:t>ote. Journal of Economic and Social Measurement, 39(3), 163-197.</w:t>
      </w:r>
    </w:p>
    <w:p w14:paraId="76A6A91D" w14:textId="360E84D1" w:rsidR="00260B4A" w:rsidRDefault="00260B4A" w:rsidP="00BB2727">
      <w:pPr>
        <w:snapToGrid w:val="0"/>
        <w:spacing w:after="0" w:line="480" w:lineRule="auto"/>
        <w:jc w:val="both"/>
        <w:rPr>
          <w:rFonts w:ascii="Times New Roman" w:hAnsi="Times New Roman" w:cs="Times New Roman"/>
          <w:sz w:val="24"/>
          <w:szCs w:val="24"/>
        </w:rPr>
      </w:pPr>
      <w:r w:rsidRPr="00260B4A">
        <w:rPr>
          <w:rFonts w:ascii="Times New Roman" w:hAnsi="Times New Roman" w:cs="Times New Roman"/>
          <w:sz w:val="24"/>
          <w:szCs w:val="24"/>
        </w:rPr>
        <w:t xml:space="preserve">Gupta, R., Subramaniam, S., </w:t>
      </w:r>
      <w:proofErr w:type="spellStart"/>
      <w:r w:rsidRPr="00260B4A">
        <w:rPr>
          <w:rFonts w:ascii="Times New Roman" w:hAnsi="Times New Roman" w:cs="Times New Roman"/>
          <w:sz w:val="24"/>
          <w:szCs w:val="24"/>
        </w:rPr>
        <w:t>Bouri</w:t>
      </w:r>
      <w:proofErr w:type="spellEnd"/>
      <w:r w:rsidRPr="00260B4A">
        <w:rPr>
          <w:rFonts w:ascii="Times New Roman" w:hAnsi="Times New Roman" w:cs="Times New Roman"/>
          <w:sz w:val="24"/>
          <w:szCs w:val="24"/>
        </w:rPr>
        <w:t>, E., and Ji, Q. (20</w:t>
      </w:r>
      <w:r w:rsidR="00BB2727">
        <w:rPr>
          <w:rFonts w:ascii="Times New Roman" w:hAnsi="Times New Roman" w:cs="Times New Roman"/>
          <w:sz w:val="24"/>
          <w:szCs w:val="24"/>
        </w:rPr>
        <w:t>21</w:t>
      </w:r>
      <w:r w:rsidRPr="00260B4A">
        <w:rPr>
          <w:rFonts w:ascii="Times New Roman" w:hAnsi="Times New Roman" w:cs="Times New Roman"/>
          <w:sz w:val="24"/>
          <w:szCs w:val="24"/>
        </w:rPr>
        <w:t xml:space="preserve">). Infectious </w:t>
      </w:r>
      <w:r w:rsidR="00BB2727">
        <w:rPr>
          <w:rFonts w:ascii="Times New Roman" w:hAnsi="Times New Roman" w:cs="Times New Roman"/>
          <w:sz w:val="24"/>
          <w:szCs w:val="24"/>
        </w:rPr>
        <w:t>d</w:t>
      </w:r>
      <w:r w:rsidRPr="00260B4A">
        <w:rPr>
          <w:rFonts w:ascii="Times New Roman" w:hAnsi="Times New Roman" w:cs="Times New Roman"/>
          <w:sz w:val="24"/>
          <w:szCs w:val="24"/>
        </w:rPr>
        <w:t>iseases-</w:t>
      </w:r>
      <w:r w:rsidR="00BB2727">
        <w:rPr>
          <w:rFonts w:ascii="Times New Roman" w:hAnsi="Times New Roman" w:cs="Times New Roman"/>
          <w:sz w:val="24"/>
          <w:szCs w:val="24"/>
        </w:rPr>
        <w:t>r</w:t>
      </w:r>
      <w:r w:rsidRPr="00260B4A">
        <w:rPr>
          <w:rFonts w:ascii="Times New Roman" w:hAnsi="Times New Roman" w:cs="Times New Roman"/>
          <w:sz w:val="24"/>
          <w:szCs w:val="24"/>
        </w:rPr>
        <w:t xml:space="preserve">elated </w:t>
      </w:r>
      <w:r w:rsidR="00BB2727">
        <w:rPr>
          <w:rFonts w:ascii="Times New Roman" w:hAnsi="Times New Roman" w:cs="Times New Roman"/>
          <w:sz w:val="24"/>
          <w:szCs w:val="24"/>
        </w:rPr>
        <w:t>u</w:t>
      </w:r>
      <w:r w:rsidRPr="00260B4A">
        <w:rPr>
          <w:rFonts w:ascii="Times New Roman" w:hAnsi="Times New Roman" w:cs="Times New Roman"/>
          <w:sz w:val="24"/>
          <w:szCs w:val="24"/>
        </w:rPr>
        <w:t xml:space="preserve">ncertainty and the </w:t>
      </w:r>
      <w:r w:rsidR="00BB2727">
        <w:rPr>
          <w:rFonts w:ascii="Times New Roman" w:hAnsi="Times New Roman" w:cs="Times New Roman"/>
          <w:sz w:val="24"/>
          <w:szCs w:val="24"/>
        </w:rPr>
        <w:t>s</w:t>
      </w:r>
      <w:r w:rsidRPr="00260B4A">
        <w:rPr>
          <w:rFonts w:ascii="Times New Roman" w:hAnsi="Times New Roman" w:cs="Times New Roman"/>
          <w:sz w:val="24"/>
          <w:szCs w:val="24"/>
        </w:rPr>
        <w:t>afe-</w:t>
      </w:r>
      <w:r w:rsidR="00BB2727">
        <w:rPr>
          <w:rFonts w:ascii="Times New Roman" w:hAnsi="Times New Roman" w:cs="Times New Roman"/>
          <w:sz w:val="24"/>
          <w:szCs w:val="24"/>
        </w:rPr>
        <w:t>h</w:t>
      </w:r>
      <w:r w:rsidRPr="00260B4A">
        <w:rPr>
          <w:rFonts w:ascii="Times New Roman" w:hAnsi="Times New Roman" w:cs="Times New Roman"/>
          <w:sz w:val="24"/>
          <w:szCs w:val="24"/>
        </w:rPr>
        <w:t xml:space="preserve">aven </w:t>
      </w:r>
      <w:r w:rsidR="00BB2727">
        <w:rPr>
          <w:rFonts w:ascii="Times New Roman" w:hAnsi="Times New Roman" w:cs="Times New Roman"/>
          <w:sz w:val="24"/>
          <w:szCs w:val="24"/>
        </w:rPr>
        <w:t>c</w:t>
      </w:r>
      <w:r w:rsidRPr="00260B4A">
        <w:rPr>
          <w:rFonts w:ascii="Times New Roman" w:hAnsi="Times New Roman" w:cs="Times New Roman"/>
          <w:sz w:val="24"/>
          <w:szCs w:val="24"/>
        </w:rPr>
        <w:t xml:space="preserve">haracteristic of the US </w:t>
      </w:r>
      <w:r w:rsidR="00BB2727">
        <w:rPr>
          <w:rFonts w:ascii="Times New Roman" w:hAnsi="Times New Roman" w:cs="Times New Roman"/>
          <w:sz w:val="24"/>
          <w:szCs w:val="24"/>
        </w:rPr>
        <w:t>t</w:t>
      </w:r>
      <w:r w:rsidRPr="00260B4A">
        <w:rPr>
          <w:rFonts w:ascii="Times New Roman" w:hAnsi="Times New Roman" w:cs="Times New Roman"/>
          <w:sz w:val="24"/>
          <w:szCs w:val="24"/>
        </w:rPr>
        <w:t xml:space="preserve">reasury </w:t>
      </w:r>
      <w:r w:rsidR="00BB2727">
        <w:rPr>
          <w:rFonts w:ascii="Times New Roman" w:hAnsi="Times New Roman" w:cs="Times New Roman"/>
          <w:sz w:val="24"/>
          <w:szCs w:val="24"/>
        </w:rPr>
        <w:t>s</w:t>
      </w:r>
      <w:r w:rsidRPr="00260B4A">
        <w:rPr>
          <w:rFonts w:ascii="Times New Roman" w:hAnsi="Times New Roman" w:cs="Times New Roman"/>
          <w:sz w:val="24"/>
          <w:szCs w:val="24"/>
        </w:rPr>
        <w:t>ecurities. International Review of Economics and Finance</w:t>
      </w:r>
      <w:r w:rsidR="00BB2727">
        <w:rPr>
          <w:rFonts w:ascii="Times New Roman" w:hAnsi="Times New Roman" w:cs="Times New Roman"/>
          <w:sz w:val="24"/>
          <w:szCs w:val="24"/>
        </w:rPr>
        <w:t>, 71, 289-298</w:t>
      </w:r>
      <w:r w:rsidRPr="00260B4A">
        <w:rPr>
          <w:rFonts w:ascii="Times New Roman" w:hAnsi="Times New Roman" w:cs="Times New Roman"/>
          <w:sz w:val="24"/>
          <w:szCs w:val="24"/>
        </w:rPr>
        <w:t>.</w:t>
      </w:r>
    </w:p>
    <w:p w14:paraId="79D4678E" w14:textId="2E09AA8E" w:rsidR="00BB2727" w:rsidRDefault="00BB2727" w:rsidP="00BB2727">
      <w:pPr>
        <w:snapToGrid w:val="0"/>
        <w:spacing w:after="0" w:line="480" w:lineRule="auto"/>
        <w:jc w:val="both"/>
        <w:rPr>
          <w:rFonts w:ascii="Times New Roman" w:hAnsi="Times New Roman" w:cs="Times New Roman"/>
          <w:sz w:val="24"/>
          <w:szCs w:val="24"/>
        </w:rPr>
      </w:pPr>
      <w:r w:rsidRPr="00BB2727">
        <w:rPr>
          <w:rFonts w:ascii="Times New Roman" w:hAnsi="Times New Roman" w:cs="Times New Roman"/>
          <w:sz w:val="24"/>
          <w:szCs w:val="24"/>
        </w:rPr>
        <w:t xml:space="preserve">Hu, </w:t>
      </w:r>
      <w:r>
        <w:rPr>
          <w:rFonts w:ascii="Times New Roman" w:hAnsi="Times New Roman" w:cs="Times New Roman"/>
          <w:sz w:val="24"/>
          <w:szCs w:val="24"/>
        </w:rPr>
        <w:t>M.,</w:t>
      </w:r>
      <w:r w:rsidRPr="00BB2727">
        <w:rPr>
          <w:rFonts w:ascii="Times New Roman" w:hAnsi="Times New Roman" w:cs="Times New Roman"/>
          <w:sz w:val="24"/>
          <w:szCs w:val="24"/>
        </w:rPr>
        <w:t xml:space="preserve"> Zhang, </w:t>
      </w:r>
      <w:r>
        <w:rPr>
          <w:rFonts w:ascii="Times New Roman" w:hAnsi="Times New Roman" w:cs="Times New Roman"/>
          <w:sz w:val="24"/>
          <w:szCs w:val="24"/>
        </w:rPr>
        <w:t xml:space="preserve">D., </w:t>
      </w:r>
      <w:r w:rsidRPr="00BB2727">
        <w:rPr>
          <w:rFonts w:ascii="Times New Roman" w:hAnsi="Times New Roman" w:cs="Times New Roman"/>
          <w:sz w:val="24"/>
          <w:szCs w:val="24"/>
        </w:rPr>
        <w:t xml:space="preserve">Ji, </w:t>
      </w:r>
      <w:r>
        <w:rPr>
          <w:rFonts w:ascii="Times New Roman" w:hAnsi="Times New Roman" w:cs="Times New Roman"/>
          <w:sz w:val="24"/>
          <w:szCs w:val="24"/>
        </w:rPr>
        <w:t xml:space="preserve">Q., </w:t>
      </w:r>
      <w:r w:rsidRPr="00BB2727">
        <w:rPr>
          <w:rFonts w:ascii="Times New Roman" w:hAnsi="Times New Roman" w:cs="Times New Roman"/>
          <w:sz w:val="24"/>
          <w:szCs w:val="24"/>
        </w:rPr>
        <w:t xml:space="preserve">Wei, </w:t>
      </w:r>
      <w:r>
        <w:rPr>
          <w:rFonts w:ascii="Times New Roman" w:hAnsi="Times New Roman" w:cs="Times New Roman"/>
          <w:sz w:val="24"/>
          <w:szCs w:val="24"/>
        </w:rPr>
        <w:t>L. (</w:t>
      </w:r>
      <w:r w:rsidRPr="00BB2727">
        <w:rPr>
          <w:rFonts w:ascii="Times New Roman" w:hAnsi="Times New Roman" w:cs="Times New Roman"/>
          <w:sz w:val="24"/>
          <w:szCs w:val="24"/>
        </w:rPr>
        <w:t>2020</w:t>
      </w:r>
      <w:r>
        <w:rPr>
          <w:rFonts w:ascii="Times New Roman" w:hAnsi="Times New Roman" w:cs="Times New Roman"/>
          <w:sz w:val="24"/>
          <w:szCs w:val="24"/>
        </w:rPr>
        <w:t>)</w:t>
      </w:r>
      <w:r w:rsidRPr="00BB2727">
        <w:rPr>
          <w:rFonts w:ascii="Times New Roman" w:hAnsi="Times New Roman" w:cs="Times New Roman"/>
          <w:sz w:val="24"/>
          <w:szCs w:val="24"/>
        </w:rPr>
        <w:t>. Macro factors and the realized volatility of commodities: A dynamic network analysis. Resources Policy, 68, 101813.</w:t>
      </w:r>
    </w:p>
    <w:p w14:paraId="43E0E872" w14:textId="2C362833" w:rsidR="00BB2727" w:rsidRDefault="00BB2727" w:rsidP="00BB2727">
      <w:pPr>
        <w:snapToGrid w:val="0"/>
        <w:spacing w:after="0" w:line="480" w:lineRule="auto"/>
        <w:jc w:val="both"/>
        <w:rPr>
          <w:rFonts w:ascii="Times New Roman" w:hAnsi="Times New Roman" w:cs="Times New Roman"/>
          <w:sz w:val="24"/>
          <w:szCs w:val="24"/>
        </w:rPr>
      </w:pPr>
      <w:r w:rsidRPr="00BB2727">
        <w:rPr>
          <w:rFonts w:ascii="Times New Roman" w:hAnsi="Times New Roman" w:cs="Times New Roman"/>
          <w:sz w:val="24"/>
          <w:szCs w:val="24"/>
        </w:rPr>
        <w:t xml:space="preserve">Ji, </w:t>
      </w:r>
      <w:r>
        <w:rPr>
          <w:rFonts w:ascii="Times New Roman" w:hAnsi="Times New Roman" w:cs="Times New Roman"/>
          <w:sz w:val="24"/>
          <w:szCs w:val="24"/>
        </w:rPr>
        <w:t>Q.,</w:t>
      </w:r>
      <w:r w:rsidRPr="00BB2727">
        <w:rPr>
          <w:rFonts w:ascii="Times New Roman" w:hAnsi="Times New Roman" w:cs="Times New Roman"/>
          <w:sz w:val="24"/>
          <w:szCs w:val="24"/>
        </w:rPr>
        <w:t xml:space="preserve"> Zhang, </w:t>
      </w:r>
      <w:r>
        <w:rPr>
          <w:rFonts w:ascii="Times New Roman" w:hAnsi="Times New Roman" w:cs="Times New Roman"/>
          <w:sz w:val="24"/>
          <w:szCs w:val="24"/>
        </w:rPr>
        <w:t xml:space="preserve">D., </w:t>
      </w:r>
      <w:r w:rsidRPr="00BB2727">
        <w:rPr>
          <w:rFonts w:ascii="Times New Roman" w:hAnsi="Times New Roman" w:cs="Times New Roman"/>
          <w:sz w:val="24"/>
          <w:szCs w:val="24"/>
        </w:rPr>
        <w:t xml:space="preserve">Zhao, </w:t>
      </w:r>
      <w:r>
        <w:rPr>
          <w:rFonts w:ascii="Times New Roman" w:hAnsi="Times New Roman" w:cs="Times New Roman"/>
          <w:sz w:val="24"/>
          <w:szCs w:val="24"/>
        </w:rPr>
        <w:t>Y. (</w:t>
      </w:r>
      <w:r w:rsidRPr="00BB2727">
        <w:rPr>
          <w:rFonts w:ascii="Times New Roman" w:hAnsi="Times New Roman" w:cs="Times New Roman"/>
          <w:sz w:val="24"/>
          <w:szCs w:val="24"/>
        </w:rPr>
        <w:t>2020</w:t>
      </w:r>
      <w:r>
        <w:rPr>
          <w:rFonts w:ascii="Times New Roman" w:hAnsi="Times New Roman" w:cs="Times New Roman"/>
          <w:sz w:val="24"/>
          <w:szCs w:val="24"/>
        </w:rPr>
        <w:t>)</w:t>
      </w:r>
      <w:r w:rsidRPr="00BB2727">
        <w:rPr>
          <w:rFonts w:ascii="Times New Roman" w:hAnsi="Times New Roman" w:cs="Times New Roman"/>
          <w:sz w:val="24"/>
          <w:szCs w:val="24"/>
        </w:rPr>
        <w:t>. Searching for safe-haven assets during the COVID-19 pandemic. International Review of Financial Analysis, 71, 101526.</w:t>
      </w:r>
    </w:p>
    <w:p w14:paraId="3353F29B" w14:textId="45A2BD0D" w:rsidR="00694E32" w:rsidRPr="00694E32" w:rsidRDefault="00694E32" w:rsidP="00BB2727">
      <w:pPr>
        <w:snapToGrid w:val="0"/>
        <w:spacing w:after="0" w:line="480" w:lineRule="auto"/>
        <w:jc w:val="both"/>
        <w:rPr>
          <w:rFonts w:ascii="Times New Roman" w:hAnsi="Times New Roman" w:cs="Times New Roman"/>
          <w:sz w:val="24"/>
          <w:szCs w:val="24"/>
        </w:rPr>
      </w:pPr>
      <w:proofErr w:type="spellStart"/>
      <w:r w:rsidRPr="00694E32">
        <w:rPr>
          <w:rFonts w:ascii="Times New Roman" w:hAnsi="Times New Roman" w:cs="Times New Roman"/>
          <w:sz w:val="24"/>
          <w:szCs w:val="24"/>
        </w:rPr>
        <w:t>Ludvigson</w:t>
      </w:r>
      <w:proofErr w:type="spellEnd"/>
      <w:r w:rsidRPr="00694E32">
        <w:rPr>
          <w:rFonts w:ascii="Times New Roman" w:hAnsi="Times New Roman" w:cs="Times New Roman"/>
          <w:sz w:val="24"/>
          <w:szCs w:val="24"/>
        </w:rPr>
        <w:t xml:space="preserve">, S.C., Ma, S., and Ng, S. (2020). Covid-19 and the </w:t>
      </w:r>
      <w:r w:rsidR="006735FD">
        <w:rPr>
          <w:rFonts w:ascii="Times New Roman" w:hAnsi="Times New Roman" w:cs="Times New Roman"/>
          <w:sz w:val="24"/>
          <w:szCs w:val="24"/>
        </w:rPr>
        <w:t>c</w:t>
      </w:r>
      <w:r w:rsidRPr="00694E32">
        <w:rPr>
          <w:rFonts w:ascii="Times New Roman" w:hAnsi="Times New Roman" w:cs="Times New Roman"/>
          <w:sz w:val="24"/>
          <w:szCs w:val="24"/>
        </w:rPr>
        <w:t xml:space="preserve">osts of </w:t>
      </w:r>
      <w:r w:rsidR="006735FD">
        <w:rPr>
          <w:rFonts w:ascii="Times New Roman" w:hAnsi="Times New Roman" w:cs="Times New Roman"/>
          <w:sz w:val="24"/>
          <w:szCs w:val="24"/>
        </w:rPr>
        <w:t>d</w:t>
      </w:r>
      <w:r w:rsidRPr="00694E32">
        <w:rPr>
          <w:rFonts w:ascii="Times New Roman" w:hAnsi="Times New Roman" w:cs="Times New Roman"/>
          <w:sz w:val="24"/>
          <w:szCs w:val="24"/>
        </w:rPr>
        <w:t xml:space="preserve">eadly </w:t>
      </w:r>
      <w:r w:rsidR="006735FD">
        <w:rPr>
          <w:rFonts w:ascii="Times New Roman" w:hAnsi="Times New Roman" w:cs="Times New Roman"/>
          <w:sz w:val="24"/>
          <w:szCs w:val="24"/>
        </w:rPr>
        <w:t>d</w:t>
      </w:r>
      <w:r w:rsidRPr="00694E32">
        <w:rPr>
          <w:rFonts w:ascii="Times New Roman" w:hAnsi="Times New Roman" w:cs="Times New Roman"/>
          <w:sz w:val="24"/>
          <w:szCs w:val="24"/>
        </w:rPr>
        <w:t>isasters. Mimeo New York University.</w:t>
      </w:r>
    </w:p>
    <w:p w14:paraId="368EECD7" w14:textId="4E85074C" w:rsidR="00694E32" w:rsidRDefault="00694E32" w:rsidP="00BB2727">
      <w:pPr>
        <w:snapToGrid w:val="0"/>
        <w:spacing w:after="0" w:line="480" w:lineRule="auto"/>
        <w:jc w:val="both"/>
        <w:rPr>
          <w:rFonts w:ascii="Times New Roman" w:hAnsi="Times New Roman" w:cs="Times New Roman"/>
          <w:sz w:val="24"/>
          <w:szCs w:val="24"/>
        </w:rPr>
      </w:pPr>
      <w:proofErr w:type="spellStart"/>
      <w:r w:rsidRPr="00694E32">
        <w:rPr>
          <w:rFonts w:ascii="Times New Roman" w:hAnsi="Times New Roman" w:cs="Times New Roman"/>
          <w:sz w:val="24"/>
          <w:szCs w:val="24"/>
        </w:rPr>
        <w:t>Maliszewska</w:t>
      </w:r>
      <w:proofErr w:type="spellEnd"/>
      <w:r w:rsidRPr="00694E32">
        <w:rPr>
          <w:rFonts w:ascii="Times New Roman" w:hAnsi="Times New Roman" w:cs="Times New Roman"/>
          <w:sz w:val="24"/>
          <w:szCs w:val="24"/>
        </w:rPr>
        <w:t xml:space="preserve">, M., </w:t>
      </w:r>
      <w:proofErr w:type="spellStart"/>
      <w:r w:rsidRPr="00694E32">
        <w:rPr>
          <w:rFonts w:ascii="Times New Roman" w:hAnsi="Times New Roman" w:cs="Times New Roman"/>
          <w:sz w:val="24"/>
          <w:szCs w:val="24"/>
        </w:rPr>
        <w:t>Mattoo</w:t>
      </w:r>
      <w:proofErr w:type="spellEnd"/>
      <w:r w:rsidRPr="00694E32">
        <w:rPr>
          <w:rFonts w:ascii="Times New Roman" w:hAnsi="Times New Roman" w:cs="Times New Roman"/>
          <w:sz w:val="24"/>
          <w:szCs w:val="24"/>
        </w:rPr>
        <w:t xml:space="preserve">, A., and van der </w:t>
      </w:r>
      <w:proofErr w:type="spellStart"/>
      <w:r w:rsidRPr="00694E32">
        <w:rPr>
          <w:rFonts w:ascii="Times New Roman" w:hAnsi="Times New Roman" w:cs="Times New Roman"/>
          <w:sz w:val="24"/>
          <w:szCs w:val="24"/>
        </w:rPr>
        <w:t>Mensbrugghe</w:t>
      </w:r>
      <w:proofErr w:type="spellEnd"/>
      <w:r w:rsidRPr="00694E32">
        <w:rPr>
          <w:rFonts w:ascii="Times New Roman" w:hAnsi="Times New Roman" w:cs="Times New Roman"/>
          <w:sz w:val="24"/>
          <w:szCs w:val="24"/>
        </w:rPr>
        <w:t xml:space="preserve">, D. (2020). The </w:t>
      </w:r>
      <w:r w:rsidR="006735FD">
        <w:rPr>
          <w:rFonts w:ascii="Times New Roman" w:hAnsi="Times New Roman" w:cs="Times New Roman"/>
          <w:sz w:val="24"/>
          <w:szCs w:val="24"/>
        </w:rPr>
        <w:t>p</w:t>
      </w:r>
      <w:r w:rsidRPr="00694E32">
        <w:rPr>
          <w:rFonts w:ascii="Times New Roman" w:hAnsi="Times New Roman" w:cs="Times New Roman"/>
          <w:sz w:val="24"/>
          <w:szCs w:val="24"/>
        </w:rPr>
        <w:t xml:space="preserve">otential </w:t>
      </w:r>
      <w:r w:rsidR="006735FD">
        <w:rPr>
          <w:rFonts w:ascii="Times New Roman" w:hAnsi="Times New Roman" w:cs="Times New Roman"/>
          <w:sz w:val="24"/>
          <w:szCs w:val="24"/>
        </w:rPr>
        <w:t>i</w:t>
      </w:r>
      <w:r w:rsidRPr="00694E32">
        <w:rPr>
          <w:rFonts w:ascii="Times New Roman" w:hAnsi="Times New Roman" w:cs="Times New Roman"/>
          <w:sz w:val="24"/>
          <w:szCs w:val="24"/>
        </w:rPr>
        <w:t xml:space="preserve">mpact of COVID-19 on GDP and </w:t>
      </w:r>
      <w:r w:rsidR="006735FD">
        <w:rPr>
          <w:rFonts w:ascii="Times New Roman" w:hAnsi="Times New Roman" w:cs="Times New Roman"/>
          <w:sz w:val="24"/>
          <w:szCs w:val="24"/>
        </w:rPr>
        <w:t>t</w:t>
      </w:r>
      <w:r w:rsidRPr="00694E32">
        <w:rPr>
          <w:rFonts w:ascii="Times New Roman" w:hAnsi="Times New Roman" w:cs="Times New Roman"/>
          <w:sz w:val="24"/>
          <w:szCs w:val="24"/>
        </w:rPr>
        <w:t xml:space="preserve">rade: A </w:t>
      </w:r>
      <w:r w:rsidR="006735FD">
        <w:rPr>
          <w:rFonts w:ascii="Times New Roman" w:hAnsi="Times New Roman" w:cs="Times New Roman"/>
          <w:sz w:val="24"/>
          <w:szCs w:val="24"/>
        </w:rPr>
        <w:t>p</w:t>
      </w:r>
      <w:r w:rsidRPr="00694E32">
        <w:rPr>
          <w:rFonts w:ascii="Times New Roman" w:hAnsi="Times New Roman" w:cs="Times New Roman"/>
          <w:sz w:val="24"/>
          <w:szCs w:val="24"/>
        </w:rPr>
        <w:t xml:space="preserve">reliminary </w:t>
      </w:r>
      <w:r w:rsidR="006735FD">
        <w:rPr>
          <w:rFonts w:ascii="Times New Roman" w:hAnsi="Times New Roman" w:cs="Times New Roman"/>
          <w:sz w:val="24"/>
          <w:szCs w:val="24"/>
        </w:rPr>
        <w:t>a</w:t>
      </w:r>
      <w:r w:rsidRPr="00694E32">
        <w:rPr>
          <w:rFonts w:ascii="Times New Roman" w:hAnsi="Times New Roman" w:cs="Times New Roman"/>
          <w:sz w:val="24"/>
          <w:szCs w:val="24"/>
        </w:rPr>
        <w:t>ssessment. The World Bank, Policy Research Working Paper No. 9211.</w:t>
      </w:r>
    </w:p>
    <w:p w14:paraId="6075C513" w14:textId="0E4B6745" w:rsidR="00260B4A" w:rsidRPr="00694E32" w:rsidRDefault="00260B4A" w:rsidP="00BB2727">
      <w:pPr>
        <w:spacing w:after="0" w:line="480" w:lineRule="auto"/>
        <w:jc w:val="both"/>
        <w:rPr>
          <w:rFonts w:ascii="Times New Roman" w:hAnsi="Times New Roman" w:cs="Times New Roman"/>
          <w:sz w:val="24"/>
          <w:szCs w:val="24"/>
        </w:rPr>
      </w:pPr>
      <w:proofErr w:type="spellStart"/>
      <w:r w:rsidRPr="00260B4A">
        <w:rPr>
          <w:rFonts w:ascii="Times New Roman" w:hAnsi="Times New Roman" w:cs="Times New Roman" w:hint="eastAsia"/>
          <w:sz w:val="24"/>
          <w:szCs w:val="24"/>
        </w:rPr>
        <w:t>Plakandaras</w:t>
      </w:r>
      <w:proofErr w:type="spellEnd"/>
      <w:r w:rsidRPr="00260B4A">
        <w:rPr>
          <w:rFonts w:ascii="Times New Roman" w:hAnsi="Times New Roman" w:cs="Times New Roman" w:hint="eastAsia"/>
          <w:sz w:val="24"/>
          <w:szCs w:val="24"/>
        </w:rPr>
        <w:t xml:space="preserve">, V., </w:t>
      </w:r>
      <w:proofErr w:type="spellStart"/>
      <w:r w:rsidRPr="00260B4A">
        <w:rPr>
          <w:rFonts w:ascii="Times New Roman" w:hAnsi="Times New Roman" w:cs="Times New Roman" w:hint="eastAsia"/>
          <w:sz w:val="24"/>
          <w:szCs w:val="24"/>
        </w:rPr>
        <w:t>Cunado</w:t>
      </w:r>
      <w:proofErr w:type="spellEnd"/>
      <w:r w:rsidRPr="00260B4A">
        <w:rPr>
          <w:rFonts w:ascii="Times New Roman" w:hAnsi="Times New Roman" w:cs="Times New Roman" w:hint="eastAsia"/>
          <w:sz w:val="24"/>
          <w:szCs w:val="24"/>
        </w:rPr>
        <w:t xml:space="preserve">, J., Gupta, R., and </w:t>
      </w:r>
      <w:proofErr w:type="spellStart"/>
      <w:r w:rsidRPr="00260B4A">
        <w:rPr>
          <w:rFonts w:ascii="Times New Roman" w:hAnsi="Times New Roman" w:cs="Times New Roman" w:hint="eastAsia"/>
          <w:sz w:val="24"/>
          <w:szCs w:val="24"/>
        </w:rPr>
        <w:t>Wohar</w:t>
      </w:r>
      <w:proofErr w:type="spellEnd"/>
      <w:r w:rsidRPr="00260B4A">
        <w:rPr>
          <w:rFonts w:ascii="Times New Roman" w:hAnsi="Times New Roman" w:cs="Times New Roman" w:hint="eastAsia"/>
          <w:sz w:val="24"/>
          <w:szCs w:val="24"/>
        </w:rPr>
        <w:t>, M.E. (2017). Do leading indicators forecast U.S. recessions? A nonlinear re</w:t>
      </w:r>
      <w:r w:rsidRPr="00260B4A">
        <w:rPr>
          <w:rFonts w:ascii="Times New Roman" w:hAnsi="Times New Roman" w:cs="Times New Roman" w:hint="eastAsia"/>
          <w:sz w:val="24"/>
          <w:szCs w:val="24"/>
        </w:rPr>
        <w:t>‐</w:t>
      </w:r>
      <w:r w:rsidRPr="00260B4A">
        <w:rPr>
          <w:rFonts w:ascii="Times New Roman" w:hAnsi="Times New Roman" w:cs="Times New Roman" w:hint="eastAsia"/>
          <w:sz w:val="24"/>
          <w:szCs w:val="24"/>
        </w:rPr>
        <w:t>evaluation using historical data. Intern</w:t>
      </w:r>
      <w:r>
        <w:rPr>
          <w:rFonts w:ascii="Times New Roman" w:hAnsi="Times New Roman" w:cs="Times New Roman" w:hint="eastAsia"/>
          <w:sz w:val="24"/>
          <w:szCs w:val="24"/>
        </w:rPr>
        <w:t>ational Finance, 20(3), 289-316</w:t>
      </w:r>
      <w:r>
        <w:rPr>
          <w:rFonts w:ascii="Times New Roman" w:hAnsi="Times New Roman" w:cs="Times New Roman"/>
          <w:sz w:val="24"/>
          <w:szCs w:val="24"/>
        </w:rPr>
        <w:t>.</w:t>
      </w:r>
    </w:p>
    <w:p w14:paraId="2E719279" w14:textId="124E6E07" w:rsidR="00694E32" w:rsidRDefault="00694E32" w:rsidP="00BB2727">
      <w:pPr>
        <w:snapToGrid w:val="0"/>
        <w:spacing w:after="0" w:line="480" w:lineRule="auto"/>
        <w:jc w:val="both"/>
        <w:rPr>
          <w:rFonts w:ascii="Times New Roman" w:hAnsi="Times New Roman" w:cs="Times New Roman"/>
          <w:sz w:val="24"/>
          <w:szCs w:val="24"/>
        </w:rPr>
      </w:pPr>
      <w:proofErr w:type="spellStart"/>
      <w:r w:rsidRPr="00694E32">
        <w:rPr>
          <w:rFonts w:ascii="Times New Roman" w:hAnsi="Times New Roman" w:cs="Times New Roman"/>
          <w:sz w:val="24"/>
          <w:szCs w:val="24"/>
        </w:rPr>
        <w:t>Salisu</w:t>
      </w:r>
      <w:proofErr w:type="spellEnd"/>
      <w:r w:rsidRPr="00694E32">
        <w:rPr>
          <w:rFonts w:ascii="Times New Roman" w:hAnsi="Times New Roman" w:cs="Times New Roman"/>
          <w:sz w:val="24"/>
          <w:szCs w:val="24"/>
        </w:rPr>
        <w:t xml:space="preserve">, A.A., Gupta, R., and </w:t>
      </w:r>
      <w:proofErr w:type="spellStart"/>
      <w:r w:rsidRPr="00694E32">
        <w:rPr>
          <w:rFonts w:ascii="Times New Roman" w:hAnsi="Times New Roman" w:cs="Times New Roman"/>
          <w:sz w:val="24"/>
          <w:szCs w:val="24"/>
        </w:rPr>
        <w:t>Demirer</w:t>
      </w:r>
      <w:proofErr w:type="spellEnd"/>
      <w:r w:rsidRPr="00694E32">
        <w:rPr>
          <w:rFonts w:ascii="Times New Roman" w:hAnsi="Times New Roman" w:cs="Times New Roman"/>
          <w:sz w:val="24"/>
          <w:szCs w:val="24"/>
        </w:rPr>
        <w:t xml:space="preserve">, R. (2020). A </w:t>
      </w:r>
      <w:r w:rsidR="006735FD">
        <w:rPr>
          <w:rFonts w:ascii="Times New Roman" w:hAnsi="Times New Roman" w:cs="Times New Roman"/>
          <w:sz w:val="24"/>
          <w:szCs w:val="24"/>
        </w:rPr>
        <w:t>n</w:t>
      </w:r>
      <w:r w:rsidRPr="00694E32">
        <w:rPr>
          <w:rFonts w:ascii="Times New Roman" w:hAnsi="Times New Roman" w:cs="Times New Roman"/>
          <w:sz w:val="24"/>
          <w:szCs w:val="24"/>
        </w:rPr>
        <w:t xml:space="preserve">ote on </w:t>
      </w:r>
      <w:r w:rsidR="006735FD">
        <w:rPr>
          <w:rFonts w:ascii="Times New Roman" w:hAnsi="Times New Roman" w:cs="Times New Roman"/>
          <w:sz w:val="24"/>
          <w:szCs w:val="24"/>
        </w:rPr>
        <w:t>u</w:t>
      </w:r>
      <w:r w:rsidRPr="00694E32">
        <w:rPr>
          <w:rFonts w:ascii="Times New Roman" w:hAnsi="Times New Roman" w:cs="Times New Roman"/>
          <w:sz w:val="24"/>
          <w:szCs w:val="24"/>
        </w:rPr>
        <w:t xml:space="preserve">ncertainty due to </w:t>
      </w:r>
      <w:r w:rsidR="006735FD">
        <w:rPr>
          <w:rFonts w:ascii="Times New Roman" w:hAnsi="Times New Roman" w:cs="Times New Roman"/>
          <w:sz w:val="24"/>
          <w:szCs w:val="24"/>
        </w:rPr>
        <w:t>i</w:t>
      </w:r>
      <w:r w:rsidRPr="00694E32">
        <w:rPr>
          <w:rFonts w:ascii="Times New Roman" w:hAnsi="Times New Roman" w:cs="Times New Roman"/>
          <w:sz w:val="24"/>
          <w:szCs w:val="24"/>
        </w:rPr>
        <w:t xml:space="preserve">nfectious </w:t>
      </w:r>
      <w:r w:rsidR="006735FD">
        <w:rPr>
          <w:rFonts w:ascii="Times New Roman" w:hAnsi="Times New Roman" w:cs="Times New Roman"/>
          <w:sz w:val="24"/>
          <w:szCs w:val="24"/>
        </w:rPr>
        <w:t>d</w:t>
      </w:r>
      <w:r w:rsidRPr="00694E32">
        <w:rPr>
          <w:rFonts w:ascii="Times New Roman" w:hAnsi="Times New Roman" w:cs="Times New Roman"/>
          <w:sz w:val="24"/>
          <w:szCs w:val="24"/>
        </w:rPr>
        <w:t xml:space="preserve">iseases and </w:t>
      </w:r>
      <w:r w:rsidR="006735FD">
        <w:rPr>
          <w:rFonts w:ascii="Times New Roman" w:hAnsi="Times New Roman" w:cs="Times New Roman"/>
          <w:sz w:val="24"/>
          <w:szCs w:val="24"/>
        </w:rPr>
        <w:t>o</w:t>
      </w:r>
      <w:r w:rsidRPr="00694E32">
        <w:rPr>
          <w:rFonts w:ascii="Times New Roman" w:hAnsi="Times New Roman" w:cs="Times New Roman"/>
          <w:sz w:val="24"/>
          <w:szCs w:val="24"/>
        </w:rPr>
        <w:t xml:space="preserve">utput </w:t>
      </w:r>
      <w:r w:rsidR="006735FD">
        <w:rPr>
          <w:rFonts w:ascii="Times New Roman" w:hAnsi="Times New Roman" w:cs="Times New Roman"/>
          <w:sz w:val="24"/>
          <w:szCs w:val="24"/>
        </w:rPr>
        <w:t>g</w:t>
      </w:r>
      <w:r w:rsidRPr="00694E32">
        <w:rPr>
          <w:rFonts w:ascii="Times New Roman" w:hAnsi="Times New Roman" w:cs="Times New Roman"/>
          <w:sz w:val="24"/>
          <w:szCs w:val="24"/>
        </w:rPr>
        <w:t xml:space="preserve">rowth of the United States: A </w:t>
      </w:r>
      <w:r w:rsidR="006735FD">
        <w:rPr>
          <w:rFonts w:ascii="Times New Roman" w:hAnsi="Times New Roman" w:cs="Times New Roman"/>
          <w:sz w:val="24"/>
          <w:szCs w:val="24"/>
        </w:rPr>
        <w:t>m</w:t>
      </w:r>
      <w:r w:rsidRPr="00694E32">
        <w:rPr>
          <w:rFonts w:ascii="Times New Roman" w:hAnsi="Times New Roman" w:cs="Times New Roman"/>
          <w:sz w:val="24"/>
          <w:szCs w:val="24"/>
        </w:rPr>
        <w:t>ixed-</w:t>
      </w:r>
      <w:r w:rsidR="006735FD">
        <w:rPr>
          <w:rFonts w:ascii="Times New Roman" w:hAnsi="Times New Roman" w:cs="Times New Roman"/>
          <w:sz w:val="24"/>
          <w:szCs w:val="24"/>
        </w:rPr>
        <w:t>f</w:t>
      </w:r>
      <w:r w:rsidRPr="00694E32">
        <w:rPr>
          <w:rFonts w:ascii="Times New Roman" w:hAnsi="Times New Roman" w:cs="Times New Roman"/>
          <w:sz w:val="24"/>
          <w:szCs w:val="24"/>
        </w:rPr>
        <w:t xml:space="preserve">requency </w:t>
      </w:r>
      <w:r w:rsidR="006735FD">
        <w:rPr>
          <w:rFonts w:ascii="Times New Roman" w:hAnsi="Times New Roman" w:cs="Times New Roman"/>
          <w:sz w:val="24"/>
          <w:szCs w:val="24"/>
        </w:rPr>
        <w:t>f</w:t>
      </w:r>
      <w:r w:rsidRPr="00694E32">
        <w:rPr>
          <w:rFonts w:ascii="Times New Roman" w:hAnsi="Times New Roman" w:cs="Times New Roman"/>
          <w:sz w:val="24"/>
          <w:szCs w:val="24"/>
        </w:rPr>
        <w:t xml:space="preserve">orecasting </w:t>
      </w:r>
      <w:r w:rsidR="006735FD">
        <w:rPr>
          <w:rFonts w:ascii="Times New Roman" w:hAnsi="Times New Roman" w:cs="Times New Roman"/>
          <w:sz w:val="24"/>
          <w:szCs w:val="24"/>
        </w:rPr>
        <w:t>e</w:t>
      </w:r>
      <w:r w:rsidRPr="00694E32">
        <w:rPr>
          <w:rFonts w:ascii="Times New Roman" w:hAnsi="Times New Roman" w:cs="Times New Roman"/>
          <w:sz w:val="24"/>
          <w:szCs w:val="24"/>
        </w:rPr>
        <w:t>xperiment. University of Pretoria, Department of Economics, Working Paper No. 202050.</w:t>
      </w:r>
    </w:p>
    <w:p w14:paraId="7A4A1E96" w14:textId="77777777" w:rsidR="0096289D" w:rsidRDefault="00BB2727" w:rsidP="0096289D">
      <w:pPr>
        <w:snapToGrid w:val="0"/>
        <w:spacing w:after="0" w:line="480" w:lineRule="auto"/>
        <w:jc w:val="both"/>
        <w:rPr>
          <w:rFonts w:ascii="Times New Roman" w:hAnsi="Times New Roman" w:cs="Times New Roman"/>
          <w:sz w:val="24"/>
          <w:szCs w:val="24"/>
        </w:rPr>
      </w:pPr>
      <w:r w:rsidRPr="00BB2727">
        <w:rPr>
          <w:rFonts w:ascii="Times New Roman" w:hAnsi="Times New Roman" w:cs="Times New Roman"/>
          <w:sz w:val="24"/>
          <w:szCs w:val="24"/>
        </w:rPr>
        <w:lastRenderedPageBreak/>
        <w:t xml:space="preserve">Zhang, </w:t>
      </w:r>
      <w:r>
        <w:rPr>
          <w:rFonts w:ascii="Times New Roman" w:hAnsi="Times New Roman" w:cs="Times New Roman"/>
          <w:sz w:val="24"/>
          <w:szCs w:val="24"/>
        </w:rPr>
        <w:t xml:space="preserve">D., </w:t>
      </w:r>
      <w:r w:rsidRPr="00BB2727">
        <w:rPr>
          <w:rFonts w:ascii="Times New Roman" w:hAnsi="Times New Roman" w:cs="Times New Roman"/>
          <w:sz w:val="24"/>
          <w:szCs w:val="24"/>
        </w:rPr>
        <w:t xml:space="preserve">Hu, </w:t>
      </w:r>
      <w:r>
        <w:rPr>
          <w:rFonts w:ascii="Times New Roman" w:hAnsi="Times New Roman" w:cs="Times New Roman"/>
          <w:sz w:val="24"/>
          <w:szCs w:val="24"/>
        </w:rPr>
        <w:t>M., Ji</w:t>
      </w:r>
      <w:r w:rsidRPr="00BB2727">
        <w:rPr>
          <w:rFonts w:ascii="Times New Roman" w:hAnsi="Times New Roman" w:cs="Times New Roman"/>
          <w:sz w:val="24"/>
          <w:szCs w:val="24"/>
        </w:rPr>
        <w:t>,</w:t>
      </w:r>
      <w:r>
        <w:rPr>
          <w:rFonts w:ascii="Times New Roman" w:hAnsi="Times New Roman" w:cs="Times New Roman"/>
          <w:sz w:val="24"/>
          <w:szCs w:val="24"/>
        </w:rPr>
        <w:t xml:space="preserve"> Q.</w:t>
      </w:r>
      <w:r w:rsidRPr="00BB2727">
        <w:rPr>
          <w:rFonts w:ascii="Times New Roman" w:hAnsi="Times New Roman" w:cs="Times New Roman"/>
          <w:sz w:val="24"/>
          <w:szCs w:val="24"/>
        </w:rPr>
        <w:t xml:space="preserve"> </w:t>
      </w:r>
      <w:r>
        <w:rPr>
          <w:rFonts w:ascii="Times New Roman" w:hAnsi="Times New Roman" w:cs="Times New Roman"/>
          <w:sz w:val="24"/>
          <w:szCs w:val="24"/>
        </w:rPr>
        <w:t>(</w:t>
      </w:r>
      <w:r w:rsidRPr="00BB2727">
        <w:rPr>
          <w:rFonts w:ascii="Times New Roman" w:hAnsi="Times New Roman" w:cs="Times New Roman"/>
          <w:sz w:val="24"/>
          <w:szCs w:val="24"/>
        </w:rPr>
        <w:t>2020</w:t>
      </w:r>
      <w:r>
        <w:rPr>
          <w:rFonts w:ascii="Times New Roman" w:hAnsi="Times New Roman" w:cs="Times New Roman"/>
          <w:sz w:val="24"/>
          <w:szCs w:val="24"/>
        </w:rPr>
        <w:t>)</w:t>
      </w:r>
      <w:r w:rsidRPr="00BB2727">
        <w:rPr>
          <w:rFonts w:ascii="Times New Roman" w:hAnsi="Times New Roman" w:cs="Times New Roman"/>
          <w:sz w:val="24"/>
          <w:szCs w:val="24"/>
        </w:rPr>
        <w:t>. Financial markets under the global pandemic of COVID-19. Finance Research Letters, 36, 101528.</w:t>
      </w:r>
    </w:p>
    <w:p w14:paraId="5A8C9241" w14:textId="77777777" w:rsidR="0096289D" w:rsidRDefault="0096289D">
      <w:pPr>
        <w:rPr>
          <w:rFonts w:ascii="Times New Roman" w:hAnsi="Times New Roman" w:cs="Times New Roman"/>
          <w:sz w:val="24"/>
          <w:szCs w:val="24"/>
        </w:rPr>
      </w:pPr>
      <w:r>
        <w:rPr>
          <w:rFonts w:ascii="Times New Roman" w:hAnsi="Times New Roman" w:cs="Times New Roman"/>
          <w:sz w:val="24"/>
          <w:szCs w:val="24"/>
        </w:rPr>
        <w:br w:type="page"/>
      </w:r>
    </w:p>
    <w:p w14:paraId="536DB8FE" w14:textId="088467BE" w:rsidR="00375B6E" w:rsidRPr="0096289D" w:rsidRDefault="00705B15" w:rsidP="0096289D">
      <w:pPr>
        <w:pStyle w:val="Heading1"/>
        <w:rPr>
          <w:rFonts w:cs="Times New Roman"/>
          <w:szCs w:val="24"/>
        </w:rPr>
      </w:pPr>
      <w:r>
        <w:lastRenderedPageBreak/>
        <w:t>A</w:t>
      </w:r>
      <w:r w:rsidR="00375B6E" w:rsidRPr="00375B6E">
        <w:t>PPENDIX:</w:t>
      </w:r>
    </w:p>
    <w:p w14:paraId="2FC5AFF6" w14:textId="77777777" w:rsidR="007957EA" w:rsidRPr="00041971" w:rsidRDefault="007957EA" w:rsidP="0096289D">
      <w:pPr>
        <w:pStyle w:val="Heading2"/>
      </w:pPr>
      <w:r w:rsidRPr="00375B6E">
        <w:t>Figure A1.</w:t>
      </w:r>
      <w:r>
        <w:t xml:space="preserve"> </w:t>
      </w:r>
      <w:r w:rsidRPr="0096289D">
        <w:rPr>
          <w:b w:val="0"/>
          <w:bCs/>
        </w:rPr>
        <w:t>Data Plots</w:t>
      </w:r>
    </w:p>
    <w:p w14:paraId="333F1716" w14:textId="77777777" w:rsidR="007957EA" w:rsidRPr="00375B6E" w:rsidRDefault="007957EA" w:rsidP="00C26287">
      <w:pPr>
        <w:spacing w:after="0" w:line="240" w:lineRule="auto"/>
        <w:contextualSpacing/>
        <w:jc w:val="both"/>
        <w:rPr>
          <w:rFonts w:ascii="Times New Roman" w:hAnsi="Times New Roman" w:cs="Times New Roman"/>
          <w:b/>
          <w:sz w:val="24"/>
          <w:szCs w:val="24"/>
        </w:rPr>
      </w:pPr>
    </w:p>
    <w:p w14:paraId="088B9C76" w14:textId="77777777" w:rsidR="0096289D" w:rsidRDefault="0096289D" w:rsidP="0096289D">
      <w:pPr>
        <w:spacing w:after="0" w:line="240" w:lineRule="auto"/>
        <w:contextualSpacing/>
        <w:jc w:val="both"/>
      </w:pPr>
      <w:r>
        <w:object w:dxaOrig="10060" w:dyaOrig="6170" w14:anchorId="4E452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A1" style="width:451.5pt;height:276.75pt;mso-position-vertical:absolute" o:ole="">
            <v:imagedata r:id="rId13" o:title=""/>
          </v:shape>
          <o:OLEObject Type="Embed" ProgID="EViews.Workfile.2" ShapeID="_x0000_i1025" DrawAspect="Content" ObjectID="_1666166178" r:id="rId14"/>
        </w:object>
      </w:r>
      <w:r w:rsidR="009268C1" w:rsidRPr="009268C1">
        <w:rPr>
          <w:rFonts w:ascii="Times New Roman" w:hAnsi="Times New Roman" w:cs="Times New Roman"/>
          <w:b/>
          <w:sz w:val="20"/>
          <w:szCs w:val="20"/>
        </w:rPr>
        <w:t xml:space="preserve">Note: </w:t>
      </w:r>
      <w:r w:rsidR="009268C1" w:rsidRPr="009268C1">
        <w:rPr>
          <w:rFonts w:ascii="Times New Roman" w:hAnsi="Times New Roman" w:cs="Times New Roman"/>
          <w:sz w:val="20"/>
          <w:szCs w:val="20"/>
        </w:rPr>
        <w:t>DPI is the natural logarithmic values of the Discussion about Pandemics related Uncertainty Index, while the rest are year-on-year growth rates of real GDP of the US, other advanced economies excluding the US and emerging market countries.</w:t>
      </w:r>
    </w:p>
    <w:p w14:paraId="23289B44" w14:textId="77777777" w:rsidR="0096289D" w:rsidRDefault="0096289D">
      <w:r>
        <w:br w:type="page"/>
      </w:r>
    </w:p>
    <w:p w14:paraId="6BC7E8E6" w14:textId="6EFE0C3E" w:rsidR="007957EA" w:rsidRPr="0096289D" w:rsidRDefault="007957EA" w:rsidP="0096289D">
      <w:pPr>
        <w:pStyle w:val="Heading2"/>
        <w:rPr>
          <w:rFonts w:asciiTheme="minorHAnsi" w:hAnsiTheme="minorHAnsi" w:cstheme="minorBidi"/>
          <w:sz w:val="22"/>
          <w:szCs w:val="22"/>
        </w:rPr>
      </w:pPr>
      <w:r w:rsidRPr="00010025">
        <w:lastRenderedPageBreak/>
        <w:t>Table A1.</w:t>
      </w:r>
      <w:r>
        <w:t xml:space="preserve"> </w:t>
      </w:r>
      <w:r w:rsidRPr="0096289D">
        <w:rPr>
          <w:b w:val="0"/>
          <w:bCs/>
        </w:rPr>
        <w:t xml:space="preserve">Regime-Specific </w:t>
      </w:r>
      <w:proofErr w:type="spellStart"/>
      <w:r w:rsidRPr="0096289D">
        <w:rPr>
          <w:b w:val="0"/>
          <w:bCs/>
        </w:rPr>
        <w:t>Spillover</w:t>
      </w:r>
      <w:proofErr w:type="spellEnd"/>
    </w:p>
    <w:p w14:paraId="064B1EE1" w14:textId="603E0D06" w:rsidR="00010025" w:rsidRPr="007957EA" w:rsidRDefault="00010025" w:rsidP="007D10F6">
      <w:pPr>
        <w:spacing w:after="0" w:line="360" w:lineRule="auto"/>
        <w:rPr>
          <w:rFonts w:asciiTheme="majorBidi" w:hAnsiTheme="majorBidi" w:cstheme="majorBidi"/>
          <w:b/>
          <w:i/>
        </w:rPr>
      </w:pPr>
      <w:r w:rsidRPr="007957EA">
        <w:rPr>
          <w:rFonts w:asciiTheme="majorBidi" w:hAnsiTheme="majorBidi" w:cstheme="majorBidi"/>
          <w:b/>
          <w:i/>
        </w:rPr>
        <w:t>Upper Regime:</w:t>
      </w:r>
    </w:p>
    <w:tbl>
      <w:tblPr>
        <w:tblW w:w="9134" w:type="dxa"/>
        <w:tblLook w:val="04A0" w:firstRow="1" w:lastRow="0" w:firstColumn="1" w:lastColumn="0" w:noHBand="0" w:noVBand="1"/>
      </w:tblPr>
      <w:tblGrid>
        <w:gridCol w:w="2021"/>
        <w:gridCol w:w="1348"/>
        <w:gridCol w:w="1388"/>
        <w:gridCol w:w="1388"/>
        <w:gridCol w:w="1388"/>
        <w:gridCol w:w="1601"/>
      </w:tblGrid>
      <w:tr w:rsidR="00010025" w:rsidRPr="00D53E56" w14:paraId="2A34E225" w14:textId="77777777" w:rsidTr="0052082E">
        <w:tc>
          <w:tcPr>
            <w:tcW w:w="2021" w:type="dxa"/>
            <w:tcBorders>
              <w:top w:val="single" w:sz="4" w:space="0" w:color="auto"/>
              <w:left w:val="nil"/>
              <w:right w:val="nil"/>
            </w:tcBorders>
            <w:shd w:val="clear" w:color="auto" w:fill="auto"/>
            <w:noWrap/>
            <w:vAlign w:val="bottom"/>
            <w:hideMark/>
          </w:tcPr>
          <w:p w14:paraId="0AEC4561" w14:textId="77777777" w:rsidR="00010025" w:rsidRPr="00D53E56" w:rsidRDefault="00010025" w:rsidP="0052082E">
            <w:pPr>
              <w:rPr>
                <w:rFonts w:asciiTheme="majorBidi" w:hAnsiTheme="majorBidi" w:cstheme="majorBidi"/>
                <w:color w:val="000000"/>
                <w:sz w:val="20"/>
                <w:szCs w:val="20"/>
              </w:rPr>
            </w:pPr>
          </w:p>
        </w:tc>
        <w:tc>
          <w:tcPr>
            <w:tcW w:w="1348" w:type="dxa"/>
            <w:tcBorders>
              <w:top w:val="single" w:sz="4" w:space="0" w:color="auto"/>
              <w:left w:val="nil"/>
              <w:bottom w:val="single" w:sz="4" w:space="0" w:color="auto"/>
              <w:right w:val="nil"/>
            </w:tcBorders>
            <w:shd w:val="clear" w:color="auto" w:fill="auto"/>
            <w:noWrap/>
            <w:vAlign w:val="bottom"/>
            <w:hideMark/>
          </w:tcPr>
          <w:p w14:paraId="252E5116" w14:textId="71E64233" w:rsidR="00010025" w:rsidRPr="00D53E56" w:rsidRDefault="00010025" w:rsidP="0052082E">
            <w:pPr>
              <w:jc w:val="right"/>
              <w:rPr>
                <w:rFonts w:asciiTheme="majorBidi" w:hAnsiTheme="majorBidi" w:cstheme="majorBidi"/>
                <w:color w:val="000000"/>
                <w:sz w:val="20"/>
                <w:szCs w:val="20"/>
              </w:rPr>
            </w:pPr>
            <w:r>
              <w:rPr>
                <w:rFonts w:asciiTheme="majorBidi" w:hAnsiTheme="majorBidi" w:cstheme="majorBidi"/>
                <w:color w:val="000000"/>
                <w:sz w:val="20"/>
                <w:szCs w:val="20"/>
              </w:rPr>
              <w:t>EMVID</w:t>
            </w:r>
          </w:p>
        </w:tc>
        <w:tc>
          <w:tcPr>
            <w:tcW w:w="1388" w:type="dxa"/>
            <w:tcBorders>
              <w:top w:val="single" w:sz="4" w:space="0" w:color="auto"/>
              <w:left w:val="nil"/>
              <w:bottom w:val="single" w:sz="4" w:space="0" w:color="auto"/>
              <w:right w:val="nil"/>
            </w:tcBorders>
            <w:shd w:val="clear" w:color="auto" w:fill="auto"/>
            <w:noWrap/>
            <w:vAlign w:val="bottom"/>
            <w:hideMark/>
          </w:tcPr>
          <w:p w14:paraId="7CE99154"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US</w:t>
            </w:r>
          </w:p>
        </w:tc>
        <w:tc>
          <w:tcPr>
            <w:tcW w:w="1388" w:type="dxa"/>
            <w:tcBorders>
              <w:top w:val="single" w:sz="4" w:space="0" w:color="auto"/>
              <w:left w:val="nil"/>
              <w:bottom w:val="single" w:sz="4" w:space="0" w:color="auto"/>
              <w:right w:val="nil"/>
            </w:tcBorders>
            <w:shd w:val="clear" w:color="auto" w:fill="auto"/>
            <w:noWrap/>
            <w:vAlign w:val="bottom"/>
            <w:hideMark/>
          </w:tcPr>
          <w:p w14:paraId="277949A4" w14:textId="112DD64E" w:rsidR="00010025" w:rsidRPr="00D53E56" w:rsidRDefault="00010025" w:rsidP="00010025">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A</w:t>
            </w:r>
            <w:r>
              <w:rPr>
                <w:rFonts w:asciiTheme="majorBidi" w:hAnsiTheme="majorBidi" w:cstheme="majorBidi"/>
                <w:color w:val="000000"/>
                <w:sz w:val="20"/>
                <w:szCs w:val="20"/>
              </w:rPr>
              <w:t>dvanced</w:t>
            </w:r>
          </w:p>
        </w:tc>
        <w:tc>
          <w:tcPr>
            <w:tcW w:w="1388" w:type="dxa"/>
            <w:tcBorders>
              <w:top w:val="single" w:sz="4" w:space="0" w:color="auto"/>
              <w:left w:val="nil"/>
              <w:bottom w:val="single" w:sz="4" w:space="0" w:color="auto"/>
              <w:right w:val="nil"/>
            </w:tcBorders>
            <w:shd w:val="clear" w:color="auto" w:fill="auto"/>
            <w:noWrap/>
            <w:vAlign w:val="bottom"/>
            <w:hideMark/>
          </w:tcPr>
          <w:p w14:paraId="730AD172" w14:textId="6A3E29FA"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E</w:t>
            </w:r>
            <w:r>
              <w:rPr>
                <w:rFonts w:asciiTheme="majorBidi" w:hAnsiTheme="majorBidi" w:cstheme="majorBidi"/>
                <w:color w:val="000000"/>
                <w:sz w:val="20"/>
                <w:szCs w:val="20"/>
              </w:rPr>
              <w:t>merging</w:t>
            </w:r>
          </w:p>
        </w:tc>
        <w:tc>
          <w:tcPr>
            <w:tcW w:w="1601" w:type="dxa"/>
            <w:tcBorders>
              <w:top w:val="single" w:sz="4" w:space="0" w:color="auto"/>
              <w:left w:val="nil"/>
              <w:bottom w:val="single" w:sz="4" w:space="0" w:color="auto"/>
              <w:right w:val="nil"/>
            </w:tcBorders>
            <w:shd w:val="clear" w:color="auto" w:fill="auto"/>
            <w:noWrap/>
            <w:vAlign w:val="bottom"/>
            <w:hideMark/>
          </w:tcPr>
          <w:p w14:paraId="0111FD73" w14:textId="6F054DA5" w:rsidR="00010025" w:rsidRPr="00D53E56" w:rsidRDefault="00010025" w:rsidP="0052082E">
            <w:pPr>
              <w:jc w:val="right"/>
              <w:rPr>
                <w:rFonts w:asciiTheme="majorBidi" w:hAnsiTheme="majorBidi" w:cstheme="majorBidi"/>
                <w:color w:val="000000"/>
                <w:sz w:val="20"/>
                <w:szCs w:val="20"/>
              </w:rPr>
            </w:pPr>
            <w:r>
              <w:rPr>
                <w:rFonts w:asciiTheme="majorBidi" w:hAnsiTheme="majorBidi" w:cstheme="majorBidi"/>
                <w:color w:val="000000"/>
                <w:sz w:val="20"/>
                <w:szCs w:val="20"/>
              </w:rPr>
              <w:t xml:space="preserve">From </w:t>
            </w:r>
            <w:r w:rsidRPr="00D53E56">
              <w:rPr>
                <w:rFonts w:asciiTheme="majorBidi" w:hAnsiTheme="majorBidi" w:cstheme="majorBidi"/>
                <w:color w:val="000000"/>
                <w:sz w:val="20"/>
                <w:szCs w:val="20"/>
              </w:rPr>
              <w:t>Others</w:t>
            </w:r>
          </w:p>
        </w:tc>
      </w:tr>
      <w:tr w:rsidR="00010025" w:rsidRPr="00D53E56" w14:paraId="377F174E" w14:textId="77777777" w:rsidTr="0052082E">
        <w:tc>
          <w:tcPr>
            <w:tcW w:w="2021" w:type="dxa"/>
            <w:tcBorders>
              <w:left w:val="nil"/>
              <w:bottom w:val="nil"/>
              <w:right w:val="nil"/>
            </w:tcBorders>
            <w:shd w:val="clear" w:color="auto" w:fill="auto"/>
            <w:noWrap/>
            <w:vAlign w:val="bottom"/>
            <w:hideMark/>
          </w:tcPr>
          <w:p w14:paraId="49D47637" w14:textId="34B45086"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EMVID</w:t>
            </w:r>
          </w:p>
        </w:tc>
        <w:tc>
          <w:tcPr>
            <w:tcW w:w="1348" w:type="dxa"/>
            <w:tcBorders>
              <w:top w:val="single" w:sz="4" w:space="0" w:color="auto"/>
              <w:left w:val="nil"/>
              <w:bottom w:val="nil"/>
              <w:right w:val="nil"/>
            </w:tcBorders>
            <w:shd w:val="clear" w:color="auto" w:fill="auto"/>
            <w:noWrap/>
            <w:vAlign w:val="bottom"/>
            <w:hideMark/>
          </w:tcPr>
          <w:p w14:paraId="76C7F9FA"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5.821</w:t>
            </w:r>
          </w:p>
        </w:tc>
        <w:tc>
          <w:tcPr>
            <w:tcW w:w="1388" w:type="dxa"/>
            <w:tcBorders>
              <w:top w:val="single" w:sz="4" w:space="0" w:color="auto"/>
              <w:left w:val="nil"/>
              <w:bottom w:val="nil"/>
              <w:right w:val="nil"/>
            </w:tcBorders>
            <w:shd w:val="clear" w:color="auto" w:fill="auto"/>
            <w:noWrap/>
            <w:vAlign w:val="bottom"/>
            <w:hideMark/>
          </w:tcPr>
          <w:p w14:paraId="70CDD3D1"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48.978</w:t>
            </w:r>
          </w:p>
        </w:tc>
        <w:tc>
          <w:tcPr>
            <w:tcW w:w="1388" w:type="dxa"/>
            <w:tcBorders>
              <w:top w:val="single" w:sz="4" w:space="0" w:color="auto"/>
              <w:left w:val="nil"/>
              <w:bottom w:val="nil"/>
              <w:right w:val="nil"/>
            </w:tcBorders>
            <w:shd w:val="clear" w:color="auto" w:fill="auto"/>
            <w:noWrap/>
            <w:vAlign w:val="bottom"/>
            <w:hideMark/>
          </w:tcPr>
          <w:p w14:paraId="2343FDA0"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27.091</w:t>
            </w:r>
          </w:p>
        </w:tc>
        <w:tc>
          <w:tcPr>
            <w:tcW w:w="1388" w:type="dxa"/>
            <w:tcBorders>
              <w:top w:val="single" w:sz="4" w:space="0" w:color="auto"/>
              <w:left w:val="nil"/>
              <w:bottom w:val="nil"/>
              <w:right w:val="nil"/>
            </w:tcBorders>
            <w:shd w:val="clear" w:color="auto" w:fill="auto"/>
            <w:noWrap/>
            <w:vAlign w:val="bottom"/>
            <w:hideMark/>
          </w:tcPr>
          <w:p w14:paraId="0265B0FB"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18.111</w:t>
            </w:r>
          </w:p>
        </w:tc>
        <w:tc>
          <w:tcPr>
            <w:tcW w:w="1601" w:type="dxa"/>
            <w:tcBorders>
              <w:top w:val="single" w:sz="4" w:space="0" w:color="auto"/>
              <w:left w:val="nil"/>
              <w:bottom w:val="nil"/>
              <w:right w:val="nil"/>
            </w:tcBorders>
            <w:shd w:val="clear" w:color="auto" w:fill="auto"/>
            <w:noWrap/>
            <w:vAlign w:val="bottom"/>
            <w:hideMark/>
          </w:tcPr>
          <w:p w14:paraId="12433619"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94.179</w:t>
            </w:r>
          </w:p>
        </w:tc>
      </w:tr>
      <w:tr w:rsidR="00010025" w:rsidRPr="00D53E56" w14:paraId="495DE4A2" w14:textId="77777777" w:rsidTr="0052082E">
        <w:tc>
          <w:tcPr>
            <w:tcW w:w="2021" w:type="dxa"/>
            <w:tcBorders>
              <w:top w:val="nil"/>
              <w:left w:val="nil"/>
              <w:bottom w:val="nil"/>
              <w:right w:val="nil"/>
            </w:tcBorders>
            <w:shd w:val="clear" w:color="auto" w:fill="auto"/>
            <w:noWrap/>
            <w:vAlign w:val="bottom"/>
            <w:hideMark/>
          </w:tcPr>
          <w:p w14:paraId="21ADDAFD" w14:textId="77777777" w:rsidR="00010025" w:rsidRPr="00D53E56" w:rsidRDefault="00010025" w:rsidP="007957EA">
            <w:pPr>
              <w:jc w:val="center"/>
              <w:rPr>
                <w:rFonts w:asciiTheme="majorBidi" w:hAnsiTheme="majorBidi" w:cstheme="majorBidi"/>
                <w:color w:val="000000"/>
                <w:sz w:val="20"/>
                <w:szCs w:val="20"/>
              </w:rPr>
            </w:pPr>
            <w:r w:rsidRPr="00D53E56">
              <w:rPr>
                <w:rFonts w:asciiTheme="majorBidi" w:hAnsiTheme="majorBidi" w:cstheme="majorBidi"/>
                <w:color w:val="000000"/>
                <w:sz w:val="20"/>
                <w:szCs w:val="20"/>
              </w:rPr>
              <w:t>US</w:t>
            </w:r>
          </w:p>
        </w:tc>
        <w:tc>
          <w:tcPr>
            <w:tcW w:w="1348" w:type="dxa"/>
            <w:tcBorders>
              <w:top w:val="nil"/>
              <w:left w:val="nil"/>
              <w:bottom w:val="nil"/>
              <w:right w:val="nil"/>
            </w:tcBorders>
            <w:shd w:val="clear" w:color="auto" w:fill="auto"/>
            <w:noWrap/>
            <w:vAlign w:val="bottom"/>
            <w:hideMark/>
          </w:tcPr>
          <w:p w14:paraId="25B6D29C"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0.680</w:t>
            </w:r>
          </w:p>
        </w:tc>
        <w:tc>
          <w:tcPr>
            <w:tcW w:w="1388" w:type="dxa"/>
            <w:tcBorders>
              <w:top w:val="nil"/>
              <w:left w:val="nil"/>
              <w:bottom w:val="nil"/>
              <w:right w:val="nil"/>
            </w:tcBorders>
            <w:shd w:val="clear" w:color="auto" w:fill="auto"/>
            <w:noWrap/>
            <w:vAlign w:val="bottom"/>
            <w:hideMark/>
          </w:tcPr>
          <w:p w14:paraId="71BA7513"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24.256</w:t>
            </w:r>
          </w:p>
        </w:tc>
        <w:tc>
          <w:tcPr>
            <w:tcW w:w="1388" w:type="dxa"/>
            <w:tcBorders>
              <w:top w:val="nil"/>
              <w:left w:val="nil"/>
              <w:bottom w:val="nil"/>
              <w:right w:val="nil"/>
            </w:tcBorders>
            <w:shd w:val="clear" w:color="auto" w:fill="auto"/>
            <w:noWrap/>
            <w:vAlign w:val="bottom"/>
            <w:hideMark/>
          </w:tcPr>
          <w:p w14:paraId="192A41E8"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35.059</w:t>
            </w:r>
          </w:p>
        </w:tc>
        <w:tc>
          <w:tcPr>
            <w:tcW w:w="1388" w:type="dxa"/>
            <w:tcBorders>
              <w:top w:val="nil"/>
              <w:left w:val="nil"/>
              <w:bottom w:val="nil"/>
              <w:right w:val="nil"/>
            </w:tcBorders>
            <w:shd w:val="clear" w:color="auto" w:fill="auto"/>
            <w:noWrap/>
            <w:vAlign w:val="bottom"/>
            <w:hideMark/>
          </w:tcPr>
          <w:p w14:paraId="052F1942"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40.005</w:t>
            </w:r>
          </w:p>
        </w:tc>
        <w:tc>
          <w:tcPr>
            <w:tcW w:w="1601" w:type="dxa"/>
            <w:tcBorders>
              <w:top w:val="nil"/>
              <w:left w:val="nil"/>
              <w:bottom w:val="nil"/>
              <w:right w:val="nil"/>
            </w:tcBorders>
            <w:shd w:val="clear" w:color="auto" w:fill="auto"/>
            <w:noWrap/>
            <w:vAlign w:val="bottom"/>
            <w:hideMark/>
          </w:tcPr>
          <w:p w14:paraId="7AE8A063"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75.744</w:t>
            </w:r>
          </w:p>
        </w:tc>
      </w:tr>
      <w:tr w:rsidR="00010025" w:rsidRPr="00D53E56" w14:paraId="36969032" w14:textId="77777777" w:rsidTr="0052082E">
        <w:tc>
          <w:tcPr>
            <w:tcW w:w="2021" w:type="dxa"/>
            <w:tcBorders>
              <w:top w:val="nil"/>
              <w:left w:val="nil"/>
              <w:bottom w:val="nil"/>
              <w:right w:val="nil"/>
            </w:tcBorders>
            <w:shd w:val="clear" w:color="auto" w:fill="auto"/>
            <w:noWrap/>
            <w:vAlign w:val="bottom"/>
            <w:hideMark/>
          </w:tcPr>
          <w:p w14:paraId="3218FFA2" w14:textId="29C97A40"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Advanced</w:t>
            </w:r>
          </w:p>
        </w:tc>
        <w:tc>
          <w:tcPr>
            <w:tcW w:w="1348" w:type="dxa"/>
            <w:tcBorders>
              <w:top w:val="nil"/>
              <w:left w:val="nil"/>
              <w:bottom w:val="nil"/>
              <w:right w:val="nil"/>
            </w:tcBorders>
            <w:shd w:val="clear" w:color="auto" w:fill="auto"/>
            <w:noWrap/>
            <w:vAlign w:val="bottom"/>
            <w:hideMark/>
          </w:tcPr>
          <w:p w14:paraId="0413A918"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0.687</w:t>
            </w:r>
          </w:p>
        </w:tc>
        <w:tc>
          <w:tcPr>
            <w:tcW w:w="1388" w:type="dxa"/>
            <w:tcBorders>
              <w:top w:val="nil"/>
              <w:left w:val="nil"/>
              <w:bottom w:val="nil"/>
              <w:right w:val="nil"/>
            </w:tcBorders>
            <w:shd w:val="clear" w:color="auto" w:fill="auto"/>
            <w:noWrap/>
            <w:vAlign w:val="bottom"/>
            <w:hideMark/>
          </w:tcPr>
          <w:p w14:paraId="014ABCE3"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18.703</w:t>
            </w:r>
          </w:p>
        </w:tc>
        <w:tc>
          <w:tcPr>
            <w:tcW w:w="1388" w:type="dxa"/>
            <w:tcBorders>
              <w:top w:val="nil"/>
              <w:left w:val="nil"/>
              <w:bottom w:val="nil"/>
              <w:right w:val="nil"/>
            </w:tcBorders>
            <w:shd w:val="clear" w:color="auto" w:fill="auto"/>
            <w:noWrap/>
            <w:vAlign w:val="bottom"/>
            <w:hideMark/>
          </w:tcPr>
          <w:p w14:paraId="2B3D08AA"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41.477</w:t>
            </w:r>
          </w:p>
        </w:tc>
        <w:tc>
          <w:tcPr>
            <w:tcW w:w="1388" w:type="dxa"/>
            <w:tcBorders>
              <w:top w:val="nil"/>
              <w:left w:val="nil"/>
              <w:bottom w:val="nil"/>
              <w:right w:val="nil"/>
            </w:tcBorders>
            <w:shd w:val="clear" w:color="auto" w:fill="auto"/>
            <w:noWrap/>
            <w:vAlign w:val="bottom"/>
            <w:hideMark/>
          </w:tcPr>
          <w:p w14:paraId="5F821E13"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39.132</w:t>
            </w:r>
          </w:p>
        </w:tc>
        <w:tc>
          <w:tcPr>
            <w:tcW w:w="1601" w:type="dxa"/>
            <w:tcBorders>
              <w:top w:val="nil"/>
              <w:left w:val="nil"/>
              <w:bottom w:val="nil"/>
              <w:right w:val="nil"/>
            </w:tcBorders>
            <w:shd w:val="clear" w:color="auto" w:fill="auto"/>
            <w:noWrap/>
            <w:vAlign w:val="bottom"/>
            <w:hideMark/>
          </w:tcPr>
          <w:p w14:paraId="1DC8ACB6"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58.523</w:t>
            </w:r>
          </w:p>
        </w:tc>
      </w:tr>
      <w:tr w:rsidR="00010025" w:rsidRPr="00D53E56" w14:paraId="7D4E8693" w14:textId="77777777" w:rsidTr="0052082E">
        <w:tc>
          <w:tcPr>
            <w:tcW w:w="2021" w:type="dxa"/>
            <w:tcBorders>
              <w:top w:val="nil"/>
              <w:left w:val="nil"/>
              <w:bottom w:val="nil"/>
              <w:right w:val="nil"/>
            </w:tcBorders>
            <w:shd w:val="clear" w:color="auto" w:fill="auto"/>
            <w:noWrap/>
            <w:vAlign w:val="bottom"/>
            <w:hideMark/>
          </w:tcPr>
          <w:p w14:paraId="49268BFB" w14:textId="373B3C9B"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Emerging</w:t>
            </w:r>
          </w:p>
        </w:tc>
        <w:tc>
          <w:tcPr>
            <w:tcW w:w="1348" w:type="dxa"/>
            <w:tcBorders>
              <w:top w:val="nil"/>
              <w:left w:val="nil"/>
              <w:bottom w:val="nil"/>
              <w:right w:val="nil"/>
            </w:tcBorders>
            <w:shd w:val="clear" w:color="auto" w:fill="auto"/>
            <w:noWrap/>
            <w:vAlign w:val="bottom"/>
            <w:hideMark/>
          </w:tcPr>
          <w:p w14:paraId="66D4F067"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0.629</w:t>
            </w:r>
          </w:p>
        </w:tc>
        <w:tc>
          <w:tcPr>
            <w:tcW w:w="1388" w:type="dxa"/>
            <w:tcBorders>
              <w:top w:val="nil"/>
              <w:left w:val="nil"/>
              <w:bottom w:val="nil"/>
              <w:right w:val="nil"/>
            </w:tcBorders>
            <w:shd w:val="clear" w:color="auto" w:fill="auto"/>
            <w:noWrap/>
            <w:vAlign w:val="bottom"/>
            <w:hideMark/>
          </w:tcPr>
          <w:p w14:paraId="12177F8E"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15.795</w:t>
            </w:r>
          </w:p>
        </w:tc>
        <w:tc>
          <w:tcPr>
            <w:tcW w:w="1388" w:type="dxa"/>
            <w:tcBorders>
              <w:top w:val="nil"/>
              <w:left w:val="nil"/>
              <w:bottom w:val="nil"/>
              <w:right w:val="nil"/>
            </w:tcBorders>
            <w:shd w:val="clear" w:color="auto" w:fill="auto"/>
            <w:noWrap/>
            <w:vAlign w:val="bottom"/>
            <w:hideMark/>
          </w:tcPr>
          <w:p w14:paraId="2A851FC9"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33.060</w:t>
            </w:r>
          </w:p>
        </w:tc>
        <w:tc>
          <w:tcPr>
            <w:tcW w:w="1388" w:type="dxa"/>
            <w:tcBorders>
              <w:top w:val="nil"/>
              <w:left w:val="nil"/>
              <w:bottom w:val="nil"/>
              <w:right w:val="nil"/>
            </w:tcBorders>
            <w:shd w:val="clear" w:color="auto" w:fill="auto"/>
            <w:noWrap/>
            <w:vAlign w:val="bottom"/>
            <w:hideMark/>
          </w:tcPr>
          <w:p w14:paraId="50213A82"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50.516</w:t>
            </w:r>
          </w:p>
        </w:tc>
        <w:tc>
          <w:tcPr>
            <w:tcW w:w="1601" w:type="dxa"/>
            <w:tcBorders>
              <w:top w:val="nil"/>
              <w:left w:val="nil"/>
              <w:bottom w:val="nil"/>
              <w:right w:val="nil"/>
            </w:tcBorders>
            <w:shd w:val="clear" w:color="auto" w:fill="auto"/>
            <w:noWrap/>
            <w:vAlign w:val="bottom"/>
            <w:hideMark/>
          </w:tcPr>
          <w:p w14:paraId="25CE7AEC"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49.484</w:t>
            </w:r>
          </w:p>
        </w:tc>
      </w:tr>
      <w:tr w:rsidR="00010025" w:rsidRPr="00D53E56" w14:paraId="0F47F4C3" w14:textId="77777777" w:rsidTr="0052082E">
        <w:tc>
          <w:tcPr>
            <w:tcW w:w="2021" w:type="dxa"/>
            <w:tcBorders>
              <w:top w:val="nil"/>
              <w:left w:val="nil"/>
              <w:bottom w:val="nil"/>
              <w:right w:val="nil"/>
            </w:tcBorders>
            <w:shd w:val="clear" w:color="auto" w:fill="auto"/>
            <w:noWrap/>
            <w:vAlign w:val="bottom"/>
            <w:hideMark/>
          </w:tcPr>
          <w:p w14:paraId="488DA33F" w14:textId="245CDC15"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To </w:t>
            </w:r>
            <w:r w:rsidRPr="00D53E56">
              <w:rPr>
                <w:rFonts w:asciiTheme="majorBidi" w:hAnsiTheme="majorBidi" w:cstheme="majorBidi"/>
                <w:color w:val="000000"/>
                <w:sz w:val="20"/>
                <w:szCs w:val="20"/>
              </w:rPr>
              <w:t>Others</w:t>
            </w:r>
          </w:p>
        </w:tc>
        <w:tc>
          <w:tcPr>
            <w:tcW w:w="1348" w:type="dxa"/>
            <w:tcBorders>
              <w:top w:val="nil"/>
              <w:left w:val="nil"/>
              <w:bottom w:val="nil"/>
              <w:right w:val="nil"/>
            </w:tcBorders>
            <w:shd w:val="clear" w:color="auto" w:fill="auto"/>
            <w:noWrap/>
            <w:vAlign w:val="bottom"/>
            <w:hideMark/>
          </w:tcPr>
          <w:p w14:paraId="7CBC8CD0"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1.996</w:t>
            </w:r>
          </w:p>
        </w:tc>
        <w:tc>
          <w:tcPr>
            <w:tcW w:w="1388" w:type="dxa"/>
            <w:tcBorders>
              <w:top w:val="nil"/>
              <w:left w:val="nil"/>
              <w:bottom w:val="nil"/>
              <w:right w:val="nil"/>
            </w:tcBorders>
            <w:shd w:val="clear" w:color="auto" w:fill="auto"/>
            <w:noWrap/>
            <w:vAlign w:val="bottom"/>
            <w:hideMark/>
          </w:tcPr>
          <w:p w14:paraId="6872FB1A"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83.476</w:t>
            </w:r>
          </w:p>
        </w:tc>
        <w:tc>
          <w:tcPr>
            <w:tcW w:w="1388" w:type="dxa"/>
            <w:tcBorders>
              <w:top w:val="nil"/>
              <w:left w:val="nil"/>
              <w:bottom w:val="nil"/>
              <w:right w:val="nil"/>
            </w:tcBorders>
            <w:shd w:val="clear" w:color="auto" w:fill="auto"/>
            <w:noWrap/>
            <w:vAlign w:val="bottom"/>
            <w:hideMark/>
          </w:tcPr>
          <w:p w14:paraId="1E17F1E2"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95.209</w:t>
            </w:r>
          </w:p>
        </w:tc>
        <w:tc>
          <w:tcPr>
            <w:tcW w:w="1388" w:type="dxa"/>
            <w:tcBorders>
              <w:top w:val="nil"/>
              <w:left w:val="nil"/>
              <w:bottom w:val="nil"/>
              <w:right w:val="nil"/>
            </w:tcBorders>
            <w:shd w:val="clear" w:color="auto" w:fill="auto"/>
            <w:noWrap/>
            <w:vAlign w:val="bottom"/>
            <w:hideMark/>
          </w:tcPr>
          <w:p w14:paraId="17A731FD"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97.248</w:t>
            </w:r>
          </w:p>
        </w:tc>
        <w:tc>
          <w:tcPr>
            <w:tcW w:w="1601" w:type="dxa"/>
            <w:tcBorders>
              <w:top w:val="nil"/>
              <w:left w:val="nil"/>
              <w:bottom w:val="nil"/>
              <w:right w:val="nil"/>
            </w:tcBorders>
            <w:shd w:val="clear" w:color="auto" w:fill="auto"/>
            <w:noWrap/>
            <w:vAlign w:val="bottom"/>
            <w:hideMark/>
          </w:tcPr>
          <w:p w14:paraId="043563F2"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277.929</w:t>
            </w:r>
          </w:p>
        </w:tc>
      </w:tr>
      <w:tr w:rsidR="00010025" w:rsidRPr="00D53E56" w14:paraId="6F9C0212" w14:textId="77777777" w:rsidTr="0052082E">
        <w:tc>
          <w:tcPr>
            <w:tcW w:w="2021" w:type="dxa"/>
            <w:tcBorders>
              <w:top w:val="nil"/>
              <w:left w:val="nil"/>
              <w:bottom w:val="nil"/>
              <w:right w:val="nil"/>
            </w:tcBorders>
            <w:shd w:val="clear" w:color="auto" w:fill="auto"/>
            <w:noWrap/>
            <w:vAlign w:val="bottom"/>
            <w:hideMark/>
          </w:tcPr>
          <w:p w14:paraId="56859902" w14:textId="7CCEFD8F"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To Others Including </w:t>
            </w:r>
            <w:r w:rsidRPr="00D53E56">
              <w:rPr>
                <w:rFonts w:asciiTheme="majorBidi" w:hAnsiTheme="majorBidi" w:cstheme="majorBidi"/>
                <w:color w:val="000000"/>
                <w:sz w:val="20"/>
                <w:szCs w:val="20"/>
              </w:rPr>
              <w:t>Own</w:t>
            </w:r>
          </w:p>
        </w:tc>
        <w:tc>
          <w:tcPr>
            <w:tcW w:w="1348" w:type="dxa"/>
            <w:tcBorders>
              <w:top w:val="nil"/>
              <w:left w:val="nil"/>
              <w:bottom w:val="nil"/>
              <w:right w:val="nil"/>
            </w:tcBorders>
            <w:shd w:val="clear" w:color="auto" w:fill="auto"/>
            <w:noWrap/>
            <w:vAlign w:val="bottom"/>
            <w:hideMark/>
          </w:tcPr>
          <w:p w14:paraId="5E4BB618"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7.817</w:t>
            </w:r>
          </w:p>
        </w:tc>
        <w:tc>
          <w:tcPr>
            <w:tcW w:w="1388" w:type="dxa"/>
            <w:tcBorders>
              <w:top w:val="nil"/>
              <w:left w:val="nil"/>
              <w:bottom w:val="nil"/>
              <w:right w:val="nil"/>
            </w:tcBorders>
            <w:shd w:val="clear" w:color="auto" w:fill="auto"/>
            <w:noWrap/>
            <w:vAlign w:val="bottom"/>
            <w:hideMark/>
          </w:tcPr>
          <w:p w14:paraId="1995A4CB"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107.731</w:t>
            </w:r>
          </w:p>
        </w:tc>
        <w:tc>
          <w:tcPr>
            <w:tcW w:w="1388" w:type="dxa"/>
            <w:tcBorders>
              <w:top w:val="nil"/>
              <w:left w:val="nil"/>
              <w:bottom w:val="nil"/>
              <w:right w:val="nil"/>
            </w:tcBorders>
            <w:shd w:val="clear" w:color="auto" w:fill="auto"/>
            <w:noWrap/>
            <w:vAlign w:val="bottom"/>
            <w:hideMark/>
          </w:tcPr>
          <w:p w14:paraId="1CDFACB5"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136.686</w:t>
            </w:r>
          </w:p>
        </w:tc>
        <w:tc>
          <w:tcPr>
            <w:tcW w:w="1388" w:type="dxa"/>
            <w:tcBorders>
              <w:top w:val="nil"/>
              <w:left w:val="nil"/>
              <w:bottom w:val="nil"/>
              <w:right w:val="nil"/>
            </w:tcBorders>
            <w:shd w:val="clear" w:color="auto" w:fill="auto"/>
            <w:noWrap/>
            <w:vAlign w:val="bottom"/>
            <w:hideMark/>
          </w:tcPr>
          <w:p w14:paraId="4BF14EA1"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147.765</w:t>
            </w:r>
          </w:p>
        </w:tc>
        <w:tc>
          <w:tcPr>
            <w:tcW w:w="1601" w:type="dxa"/>
            <w:tcBorders>
              <w:top w:val="nil"/>
              <w:left w:val="nil"/>
              <w:bottom w:val="nil"/>
              <w:right w:val="nil"/>
            </w:tcBorders>
            <w:shd w:val="clear" w:color="auto" w:fill="auto"/>
            <w:noWrap/>
            <w:vAlign w:val="bottom"/>
            <w:hideMark/>
          </w:tcPr>
          <w:p w14:paraId="03625D25" w14:textId="77777777" w:rsidR="00010025" w:rsidRPr="00D53E56" w:rsidRDefault="00010025" w:rsidP="0052082E">
            <w:pPr>
              <w:jc w:val="right"/>
              <w:rPr>
                <w:rFonts w:asciiTheme="majorBidi" w:hAnsiTheme="majorBidi" w:cstheme="majorBidi"/>
                <w:color w:val="000000"/>
                <w:sz w:val="20"/>
                <w:szCs w:val="20"/>
              </w:rPr>
            </w:pPr>
            <w:proofErr w:type="spellStart"/>
            <w:r w:rsidRPr="00AF0987">
              <w:rPr>
                <w:rFonts w:asciiTheme="majorBidi" w:hAnsiTheme="majorBidi" w:cstheme="majorBidi"/>
                <w:color w:val="000000"/>
                <w:sz w:val="20"/>
                <w:szCs w:val="20"/>
              </w:rPr>
              <w:t>Spillover</w:t>
            </w:r>
            <w:proofErr w:type="spellEnd"/>
          </w:p>
        </w:tc>
      </w:tr>
      <w:tr w:rsidR="00010025" w:rsidRPr="00D53E56" w14:paraId="5030F271" w14:textId="77777777" w:rsidTr="0052082E">
        <w:tc>
          <w:tcPr>
            <w:tcW w:w="2021" w:type="dxa"/>
            <w:tcBorders>
              <w:top w:val="nil"/>
              <w:left w:val="nil"/>
              <w:bottom w:val="nil"/>
              <w:right w:val="nil"/>
            </w:tcBorders>
            <w:shd w:val="clear" w:color="auto" w:fill="auto"/>
            <w:noWrap/>
            <w:vAlign w:val="bottom"/>
            <w:hideMark/>
          </w:tcPr>
          <w:p w14:paraId="4F085E21" w14:textId="40B8E6EC" w:rsidR="00010025" w:rsidRPr="00D53E56"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Net </w:t>
            </w:r>
            <w:proofErr w:type="spellStart"/>
            <w:r w:rsidRPr="00D53E56">
              <w:rPr>
                <w:rFonts w:asciiTheme="majorBidi" w:hAnsiTheme="majorBidi" w:cstheme="majorBidi"/>
                <w:color w:val="000000"/>
                <w:sz w:val="20"/>
                <w:szCs w:val="20"/>
              </w:rPr>
              <w:t>Spillover</w:t>
            </w:r>
            <w:proofErr w:type="spellEnd"/>
          </w:p>
        </w:tc>
        <w:tc>
          <w:tcPr>
            <w:tcW w:w="1348" w:type="dxa"/>
            <w:tcBorders>
              <w:top w:val="nil"/>
              <w:left w:val="nil"/>
              <w:bottom w:val="nil"/>
              <w:right w:val="nil"/>
            </w:tcBorders>
            <w:shd w:val="clear" w:color="auto" w:fill="auto"/>
            <w:noWrap/>
            <w:vAlign w:val="bottom"/>
            <w:hideMark/>
          </w:tcPr>
          <w:p w14:paraId="0F0FFFEB"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-92.183</w:t>
            </w:r>
          </w:p>
        </w:tc>
        <w:tc>
          <w:tcPr>
            <w:tcW w:w="1388" w:type="dxa"/>
            <w:tcBorders>
              <w:top w:val="nil"/>
              <w:left w:val="nil"/>
              <w:bottom w:val="nil"/>
              <w:right w:val="nil"/>
            </w:tcBorders>
            <w:shd w:val="clear" w:color="auto" w:fill="auto"/>
            <w:noWrap/>
            <w:vAlign w:val="bottom"/>
            <w:hideMark/>
          </w:tcPr>
          <w:p w14:paraId="73D98B5F"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7.731</w:t>
            </w:r>
          </w:p>
        </w:tc>
        <w:tc>
          <w:tcPr>
            <w:tcW w:w="1388" w:type="dxa"/>
            <w:tcBorders>
              <w:top w:val="nil"/>
              <w:left w:val="nil"/>
              <w:bottom w:val="nil"/>
              <w:right w:val="nil"/>
            </w:tcBorders>
            <w:shd w:val="clear" w:color="auto" w:fill="auto"/>
            <w:noWrap/>
            <w:vAlign w:val="bottom"/>
            <w:hideMark/>
          </w:tcPr>
          <w:p w14:paraId="7BC4B3C5"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36.686</w:t>
            </w:r>
          </w:p>
        </w:tc>
        <w:tc>
          <w:tcPr>
            <w:tcW w:w="1388" w:type="dxa"/>
            <w:tcBorders>
              <w:top w:val="nil"/>
              <w:left w:val="nil"/>
              <w:bottom w:val="nil"/>
              <w:right w:val="nil"/>
            </w:tcBorders>
            <w:shd w:val="clear" w:color="auto" w:fill="auto"/>
            <w:noWrap/>
            <w:vAlign w:val="bottom"/>
            <w:hideMark/>
          </w:tcPr>
          <w:p w14:paraId="44317AF0" w14:textId="77777777" w:rsidR="00010025" w:rsidRPr="00D53E56" w:rsidRDefault="00010025" w:rsidP="0052082E">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47.765</w:t>
            </w:r>
          </w:p>
        </w:tc>
        <w:tc>
          <w:tcPr>
            <w:tcW w:w="1601" w:type="dxa"/>
            <w:tcBorders>
              <w:top w:val="nil"/>
              <w:left w:val="nil"/>
              <w:bottom w:val="nil"/>
              <w:right w:val="nil"/>
            </w:tcBorders>
            <w:shd w:val="clear" w:color="auto" w:fill="auto"/>
            <w:noWrap/>
            <w:vAlign w:val="bottom"/>
            <w:hideMark/>
          </w:tcPr>
          <w:p w14:paraId="39461218" w14:textId="77777777" w:rsidR="00010025" w:rsidRPr="00D53E56" w:rsidRDefault="00010025" w:rsidP="0052082E">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Index=</w:t>
            </w:r>
            <w:r w:rsidRPr="00D53E56">
              <w:rPr>
                <w:rFonts w:asciiTheme="majorBidi" w:hAnsiTheme="majorBidi" w:cstheme="majorBidi"/>
                <w:b/>
                <w:bCs/>
                <w:color w:val="000000"/>
                <w:sz w:val="20"/>
                <w:szCs w:val="20"/>
              </w:rPr>
              <w:t>69.482</w:t>
            </w:r>
            <w:r w:rsidRPr="00AF0987">
              <w:rPr>
                <w:rFonts w:asciiTheme="majorBidi" w:hAnsiTheme="majorBidi" w:cstheme="majorBidi"/>
                <w:b/>
                <w:bCs/>
                <w:color w:val="000000"/>
                <w:sz w:val="20"/>
                <w:szCs w:val="20"/>
              </w:rPr>
              <w:t>%</w:t>
            </w:r>
          </w:p>
        </w:tc>
      </w:tr>
    </w:tbl>
    <w:p w14:paraId="107E8122" w14:textId="30121A30" w:rsidR="00010025" w:rsidRPr="007957EA" w:rsidRDefault="00010025" w:rsidP="00010025">
      <w:pPr>
        <w:rPr>
          <w:rFonts w:asciiTheme="majorBidi" w:hAnsiTheme="majorBidi" w:cstheme="majorBidi"/>
          <w:b/>
          <w:i/>
        </w:rPr>
      </w:pPr>
      <w:r w:rsidRPr="007957EA">
        <w:rPr>
          <w:rFonts w:asciiTheme="majorBidi" w:hAnsiTheme="majorBidi" w:cstheme="majorBidi"/>
          <w:b/>
          <w:i/>
        </w:rPr>
        <w:t>Lower Regime:</w:t>
      </w:r>
    </w:p>
    <w:tbl>
      <w:tblPr>
        <w:tblW w:w="0" w:type="auto"/>
        <w:tblLook w:val="04A0" w:firstRow="1" w:lastRow="0" w:firstColumn="1" w:lastColumn="0" w:noHBand="0" w:noVBand="1"/>
      </w:tblPr>
      <w:tblGrid>
        <w:gridCol w:w="2040"/>
        <w:gridCol w:w="1300"/>
        <w:gridCol w:w="1300"/>
        <w:gridCol w:w="1339"/>
        <w:gridCol w:w="1300"/>
        <w:gridCol w:w="1601"/>
      </w:tblGrid>
      <w:tr w:rsidR="00010025" w:rsidRPr="00AF0987" w14:paraId="4A772ECE" w14:textId="77777777" w:rsidTr="0052082E">
        <w:tc>
          <w:tcPr>
            <w:tcW w:w="2040" w:type="dxa"/>
            <w:tcBorders>
              <w:top w:val="single" w:sz="4" w:space="0" w:color="auto"/>
              <w:left w:val="nil"/>
              <w:bottom w:val="nil"/>
              <w:right w:val="nil"/>
            </w:tcBorders>
            <w:shd w:val="clear" w:color="auto" w:fill="auto"/>
            <w:noWrap/>
            <w:vAlign w:val="bottom"/>
            <w:hideMark/>
          </w:tcPr>
          <w:p w14:paraId="602CBD22" w14:textId="2FB625C2" w:rsidR="00010025" w:rsidRPr="00AF0987" w:rsidRDefault="00010025" w:rsidP="00010025">
            <w:pPr>
              <w:rPr>
                <w:rFonts w:asciiTheme="majorBidi" w:hAnsiTheme="majorBidi" w:cstheme="majorBidi"/>
                <w:color w:val="000000"/>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2F609BA4" w14:textId="4D272BC1" w:rsidR="00010025" w:rsidRPr="00AF0987" w:rsidRDefault="00010025" w:rsidP="00010025">
            <w:pPr>
              <w:jc w:val="right"/>
              <w:rPr>
                <w:rFonts w:asciiTheme="majorBidi" w:hAnsiTheme="majorBidi" w:cstheme="majorBidi"/>
                <w:color w:val="000000"/>
                <w:sz w:val="20"/>
                <w:szCs w:val="20"/>
              </w:rPr>
            </w:pPr>
            <w:r>
              <w:rPr>
                <w:rFonts w:asciiTheme="majorBidi" w:hAnsiTheme="majorBidi" w:cstheme="majorBidi"/>
                <w:color w:val="000000"/>
                <w:sz w:val="20"/>
                <w:szCs w:val="20"/>
              </w:rPr>
              <w:t>EMVID</w:t>
            </w:r>
          </w:p>
        </w:tc>
        <w:tc>
          <w:tcPr>
            <w:tcW w:w="1300" w:type="dxa"/>
            <w:tcBorders>
              <w:top w:val="single" w:sz="4" w:space="0" w:color="auto"/>
              <w:left w:val="nil"/>
              <w:bottom w:val="single" w:sz="4" w:space="0" w:color="auto"/>
              <w:right w:val="nil"/>
            </w:tcBorders>
            <w:shd w:val="clear" w:color="auto" w:fill="auto"/>
            <w:noWrap/>
            <w:vAlign w:val="bottom"/>
            <w:hideMark/>
          </w:tcPr>
          <w:p w14:paraId="283FB7B3" w14:textId="3E21CD13" w:rsidR="00010025" w:rsidRPr="00AF0987" w:rsidRDefault="00010025" w:rsidP="00010025">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US</w:t>
            </w:r>
          </w:p>
        </w:tc>
        <w:tc>
          <w:tcPr>
            <w:tcW w:w="1339" w:type="dxa"/>
            <w:tcBorders>
              <w:top w:val="single" w:sz="4" w:space="0" w:color="auto"/>
              <w:left w:val="nil"/>
              <w:bottom w:val="single" w:sz="4" w:space="0" w:color="auto"/>
              <w:right w:val="nil"/>
            </w:tcBorders>
            <w:shd w:val="clear" w:color="auto" w:fill="auto"/>
            <w:noWrap/>
            <w:vAlign w:val="bottom"/>
            <w:hideMark/>
          </w:tcPr>
          <w:p w14:paraId="2F770EB1" w14:textId="7396706B" w:rsidR="00010025" w:rsidRPr="00AF0987" w:rsidRDefault="00010025" w:rsidP="00010025">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A</w:t>
            </w:r>
            <w:r>
              <w:rPr>
                <w:rFonts w:asciiTheme="majorBidi" w:hAnsiTheme="majorBidi" w:cstheme="majorBidi"/>
                <w:color w:val="000000"/>
                <w:sz w:val="20"/>
                <w:szCs w:val="20"/>
              </w:rPr>
              <w:t>dvanced</w:t>
            </w:r>
          </w:p>
        </w:tc>
        <w:tc>
          <w:tcPr>
            <w:tcW w:w="1300" w:type="dxa"/>
            <w:tcBorders>
              <w:top w:val="single" w:sz="4" w:space="0" w:color="auto"/>
              <w:left w:val="nil"/>
              <w:bottom w:val="single" w:sz="4" w:space="0" w:color="auto"/>
              <w:right w:val="nil"/>
            </w:tcBorders>
            <w:shd w:val="clear" w:color="auto" w:fill="auto"/>
            <w:noWrap/>
            <w:vAlign w:val="bottom"/>
            <w:hideMark/>
          </w:tcPr>
          <w:p w14:paraId="057B6CC7" w14:textId="234D3BD8" w:rsidR="00010025" w:rsidRPr="00AF0987" w:rsidRDefault="00010025" w:rsidP="00010025">
            <w:pPr>
              <w:jc w:val="right"/>
              <w:rPr>
                <w:rFonts w:asciiTheme="majorBidi" w:hAnsiTheme="majorBidi" w:cstheme="majorBidi"/>
                <w:color w:val="000000"/>
                <w:sz w:val="20"/>
                <w:szCs w:val="20"/>
              </w:rPr>
            </w:pPr>
            <w:r w:rsidRPr="00D53E56">
              <w:rPr>
                <w:rFonts w:asciiTheme="majorBidi" w:hAnsiTheme="majorBidi" w:cstheme="majorBidi"/>
                <w:color w:val="000000"/>
                <w:sz w:val="20"/>
                <w:szCs w:val="20"/>
              </w:rPr>
              <w:t>E</w:t>
            </w:r>
            <w:r>
              <w:rPr>
                <w:rFonts w:asciiTheme="majorBidi" w:hAnsiTheme="majorBidi" w:cstheme="majorBidi"/>
                <w:color w:val="000000"/>
                <w:sz w:val="20"/>
                <w:szCs w:val="20"/>
              </w:rPr>
              <w:t>merging</w:t>
            </w:r>
          </w:p>
        </w:tc>
        <w:tc>
          <w:tcPr>
            <w:tcW w:w="1601" w:type="dxa"/>
            <w:tcBorders>
              <w:top w:val="single" w:sz="4" w:space="0" w:color="auto"/>
              <w:left w:val="nil"/>
              <w:bottom w:val="single" w:sz="4" w:space="0" w:color="auto"/>
              <w:right w:val="nil"/>
            </w:tcBorders>
            <w:shd w:val="clear" w:color="auto" w:fill="auto"/>
            <w:noWrap/>
            <w:vAlign w:val="bottom"/>
            <w:hideMark/>
          </w:tcPr>
          <w:p w14:paraId="6B08C4EA" w14:textId="6FACAE87" w:rsidR="00010025" w:rsidRPr="00AF0987" w:rsidRDefault="00010025" w:rsidP="00010025">
            <w:pPr>
              <w:jc w:val="right"/>
              <w:rPr>
                <w:rFonts w:asciiTheme="majorBidi" w:hAnsiTheme="majorBidi" w:cstheme="majorBidi"/>
                <w:color w:val="000000"/>
                <w:sz w:val="20"/>
                <w:szCs w:val="20"/>
              </w:rPr>
            </w:pPr>
            <w:r>
              <w:rPr>
                <w:rFonts w:asciiTheme="majorBidi" w:hAnsiTheme="majorBidi" w:cstheme="majorBidi"/>
                <w:color w:val="000000"/>
                <w:sz w:val="20"/>
                <w:szCs w:val="20"/>
              </w:rPr>
              <w:t xml:space="preserve">From </w:t>
            </w:r>
            <w:r w:rsidRPr="00D53E56">
              <w:rPr>
                <w:rFonts w:asciiTheme="majorBidi" w:hAnsiTheme="majorBidi" w:cstheme="majorBidi"/>
                <w:color w:val="000000"/>
                <w:sz w:val="20"/>
                <w:szCs w:val="20"/>
              </w:rPr>
              <w:t>Others</w:t>
            </w:r>
          </w:p>
        </w:tc>
      </w:tr>
      <w:tr w:rsidR="00010025" w:rsidRPr="00AF0987" w14:paraId="59C86CB2" w14:textId="77777777" w:rsidTr="0052082E">
        <w:tc>
          <w:tcPr>
            <w:tcW w:w="2040" w:type="dxa"/>
            <w:tcBorders>
              <w:top w:val="nil"/>
              <w:left w:val="nil"/>
              <w:bottom w:val="nil"/>
              <w:right w:val="nil"/>
            </w:tcBorders>
            <w:shd w:val="clear" w:color="auto" w:fill="auto"/>
            <w:noWrap/>
            <w:vAlign w:val="bottom"/>
            <w:hideMark/>
          </w:tcPr>
          <w:p w14:paraId="594B80F5" w14:textId="27B4EEBB"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EMVID</w:t>
            </w:r>
          </w:p>
        </w:tc>
        <w:tc>
          <w:tcPr>
            <w:tcW w:w="1300" w:type="dxa"/>
            <w:tcBorders>
              <w:top w:val="single" w:sz="4" w:space="0" w:color="auto"/>
              <w:left w:val="nil"/>
              <w:bottom w:val="nil"/>
              <w:right w:val="nil"/>
            </w:tcBorders>
            <w:shd w:val="clear" w:color="auto" w:fill="auto"/>
            <w:noWrap/>
            <w:vAlign w:val="bottom"/>
            <w:hideMark/>
          </w:tcPr>
          <w:p w14:paraId="409F14F7"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73.403</w:t>
            </w:r>
          </w:p>
        </w:tc>
        <w:tc>
          <w:tcPr>
            <w:tcW w:w="1300" w:type="dxa"/>
            <w:tcBorders>
              <w:top w:val="single" w:sz="4" w:space="0" w:color="auto"/>
              <w:left w:val="nil"/>
              <w:bottom w:val="nil"/>
              <w:right w:val="nil"/>
            </w:tcBorders>
            <w:shd w:val="clear" w:color="auto" w:fill="auto"/>
            <w:noWrap/>
            <w:vAlign w:val="bottom"/>
            <w:hideMark/>
          </w:tcPr>
          <w:p w14:paraId="31F41907"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1.781</w:t>
            </w:r>
          </w:p>
        </w:tc>
        <w:tc>
          <w:tcPr>
            <w:tcW w:w="1339" w:type="dxa"/>
            <w:tcBorders>
              <w:top w:val="single" w:sz="4" w:space="0" w:color="auto"/>
              <w:left w:val="nil"/>
              <w:bottom w:val="nil"/>
              <w:right w:val="nil"/>
            </w:tcBorders>
            <w:shd w:val="clear" w:color="auto" w:fill="auto"/>
            <w:noWrap/>
            <w:vAlign w:val="bottom"/>
            <w:hideMark/>
          </w:tcPr>
          <w:p w14:paraId="7C70FE73"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17.782</w:t>
            </w:r>
          </w:p>
        </w:tc>
        <w:tc>
          <w:tcPr>
            <w:tcW w:w="1300" w:type="dxa"/>
            <w:tcBorders>
              <w:top w:val="single" w:sz="4" w:space="0" w:color="auto"/>
              <w:left w:val="nil"/>
              <w:bottom w:val="nil"/>
              <w:right w:val="nil"/>
            </w:tcBorders>
            <w:shd w:val="clear" w:color="auto" w:fill="auto"/>
            <w:noWrap/>
            <w:vAlign w:val="bottom"/>
            <w:hideMark/>
          </w:tcPr>
          <w:p w14:paraId="15DE8AF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7.034</w:t>
            </w:r>
          </w:p>
        </w:tc>
        <w:tc>
          <w:tcPr>
            <w:tcW w:w="1601" w:type="dxa"/>
            <w:tcBorders>
              <w:top w:val="single" w:sz="4" w:space="0" w:color="auto"/>
              <w:left w:val="nil"/>
              <w:bottom w:val="nil"/>
              <w:right w:val="nil"/>
            </w:tcBorders>
            <w:shd w:val="clear" w:color="auto" w:fill="auto"/>
            <w:noWrap/>
            <w:vAlign w:val="bottom"/>
            <w:hideMark/>
          </w:tcPr>
          <w:p w14:paraId="15863C6A"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26.597</w:t>
            </w:r>
          </w:p>
        </w:tc>
      </w:tr>
      <w:tr w:rsidR="00010025" w:rsidRPr="00AF0987" w14:paraId="555E9315" w14:textId="77777777" w:rsidTr="0052082E">
        <w:tc>
          <w:tcPr>
            <w:tcW w:w="2040" w:type="dxa"/>
            <w:tcBorders>
              <w:top w:val="nil"/>
              <w:left w:val="nil"/>
              <w:bottom w:val="nil"/>
              <w:right w:val="nil"/>
            </w:tcBorders>
            <w:shd w:val="clear" w:color="auto" w:fill="auto"/>
            <w:noWrap/>
            <w:vAlign w:val="bottom"/>
            <w:hideMark/>
          </w:tcPr>
          <w:p w14:paraId="78FEDFB9" w14:textId="5996B48F" w:rsidR="00010025" w:rsidRPr="00AF0987" w:rsidRDefault="00010025" w:rsidP="007957EA">
            <w:pPr>
              <w:jc w:val="center"/>
              <w:rPr>
                <w:rFonts w:asciiTheme="majorBidi" w:hAnsiTheme="majorBidi" w:cstheme="majorBidi"/>
                <w:color w:val="000000"/>
                <w:sz w:val="20"/>
                <w:szCs w:val="20"/>
              </w:rPr>
            </w:pPr>
            <w:r w:rsidRPr="00D53E56">
              <w:rPr>
                <w:rFonts w:asciiTheme="majorBidi" w:hAnsiTheme="majorBidi" w:cstheme="majorBidi"/>
                <w:color w:val="000000"/>
                <w:sz w:val="20"/>
                <w:szCs w:val="20"/>
              </w:rPr>
              <w:t>US</w:t>
            </w:r>
          </w:p>
        </w:tc>
        <w:tc>
          <w:tcPr>
            <w:tcW w:w="1300" w:type="dxa"/>
            <w:tcBorders>
              <w:top w:val="nil"/>
              <w:left w:val="nil"/>
              <w:bottom w:val="nil"/>
              <w:right w:val="nil"/>
            </w:tcBorders>
            <w:shd w:val="clear" w:color="auto" w:fill="auto"/>
            <w:noWrap/>
            <w:vAlign w:val="bottom"/>
            <w:hideMark/>
          </w:tcPr>
          <w:p w14:paraId="64D9AE1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0.462</w:t>
            </w:r>
          </w:p>
        </w:tc>
        <w:tc>
          <w:tcPr>
            <w:tcW w:w="1300" w:type="dxa"/>
            <w:tcBorders>
              <w:top w:val="nil"/>
              <w:left w:val="nil"/>
              <w:bottom w:val="nil"/>
              <w:right w:val="nil"/>
            </w:tcBorders>
            <w:shd w:val="clear" w:color="auto" w:fill="auto"/>
            <w:noWrap/>
            <w:vAlign w:val="bottom"/>
            <w:hideMark/>
          </w:tcPr>
          <w:p w14:paraId="0DF8D285"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72.075</w:t>
            </w:r>
          </w:p>
        </w:tc>
        <w:tc>
          <w:tcPr>
            <w:tcW w:w="1339" w:type="dxa"/>
            <w:tcBorders>
              <w:top w:val="nil"/>
              <w:left w:val="nil"/>
              <w:bottom w:val="nil"/>
              <w:right w:val="nil"/>
            </w:tcBorders>
            <w:shd w:val="clear" w:color="auto" w:fill="auto"/>
            <w:noWrap/>
            <w:vAlign w:val="bottom"/>
            <w:hideMark/>
          </w:tcPr>
          <w:p w14:paraId="1DB0FF33"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21.600</w:t>
            </w:r>
          </w:p>
        </w:tc>
        <w:tc>
          <w:tcPr>
            <w:tcW w:w="1300" w:type="dxa"/>
            <w:tcBorders>
              <w:top w:val="nil"/>
              <w:left w:val="nil"/>
              <w:bottom w:val="nil"/>
              <w:right w:val="nil"/>
            </w:tcBorders>
            <w:shd w:val="clear" w:color="auto" w:fill="auto"/>
            <w:noWrap/>
            <w:vAlign w:val="bottom"/>
            <w:hideMark/>
          </w:tcPr>
          <w:p w14:paraId="2A3B1AED"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5.863</w:t>
            </w:r>
          </w:p>
        </w:tc>
        <w:tc>
          <w:tcPr>
            <w:tcW w:w="1601" w:type="dxa"/>
            <w:tcBorders>
              <w:top w:val="nil"/>
              <w:left w:val="nil"/>
              <w:bottom w:val="nil"/>
              <w:right w:val="nil"/>
            </w:tcBorders>
            <w:shd w:val="clear" w:color="auto" w:fill="auto"/>
            <w:noWrap/>
            <w:vAlign w:val="bottom"/>
            <w:hideMark/>
          </w:tcPr>
          <w:p w14:paraId="3884AFF1"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27.925</w:t>
            </w:r>
          </w:p>
        </w:tc>
      </w:tr>
      <w:tr w:rsidR="00010025" w:rsidRPr="00AF0987" w14:paraId="4080BEB0" w14:textId="77777777" w:rsidTr="0052082E">
        <w:tc>
          <w:tcPr>
            <w:tcW w:w="2040" w:type="dxa"/>
            <w:tcBorders>
              <w:top w:val="nil"/>
              <w:left w:val="nil"/>
              <w:bottom w:val="nil"/>
              <w:right w:val="nil"/>
            </w:tcBorders>
            <w:shd w:val="clear" w:color="auto" w:fill="auto"/>
            <w:noWrap/>
            <w:vAlign w:val="bottom"/>
            <w:hideMark/>
          </w:tcPr>
          <w:p w14:paraId="283D6100" w14:textId="737A14E3"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Advanced</w:t>
            </w:r>
          </w:p>
        </w:tc>
        <w:tc>
          <w:tcPr>
            <w:tcW w:w="1300" w:type="dxa"/>
            <w:tcBorders>
              <w:top w:val="nil"/>
              <w:left w:val="nil"/>
              <w:bottom w:val="nil"/>
              <w:right w:val="nil"/>
            </w:tcBorders>
            <w:shd w:val="clear" w:color="auto" w:fill="auto"/>
            <w:noWrap/>
            <w:vAlign w:val="bottom"/>
            <w:hideMark/>
          </w:tcPr>
          <w:p w14:paraId="55BF04B5"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0.291</w:t>
            </w:r>
          </w:p>
        </w:tc>
        <w:tc>
          <w:tcPr>
            <w:tcW w:w="1300" w:type="dxa"/>
            <w:tcBorders>
              <w:top w:val="nil"/>
              <w:left w:val="nil"/>
              <w:bottom w:val="nil"/>
              <w:right w:val="nil"/>
            </w:tcBorders>
            <w:shd w:val="clear" w:color="auto" w:fill="auto"/>
            <w:noWrap/>
            <w:vAlign w:val="bottom"/>
            <w:hideMark/>
          </w:tcPr>
          <w:p w14:paraId="1C246714"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23.711</w:t>
            </w:r>
          </w:p>
        </w:tc>
        <w:tc>
          <w:tcPr>
            <w:tcW w:w="1339" w:type="dxa"/>
            <w:tcBorders>
              <w:top w:val="nil"/>
              <w:left w:val="nil"/>
              <w:bottom w:val="nil"/>
              <w:right w:val="nil"/>
            </w:tcBorders>
            <w:shd w:val="clear" w:color="auto" w:fill="auto"/>
            <w:noWrap/>
            <w:vAlign w:val="bottom"/>
            <w:hideMark/>
          </w:tcPr>
          <w:p w14:paraId="3B931D24"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67.049</w:t>
            </w:r>
          </w:p>
        </w:tc>
        <w:tc>
          <w:tcPr>
            <w:tcW w:w="1300" w:type="dxa"/>
            <w:tcBorders>
              <w:top w:val="nil"/>
              <w:left w:val="nil"/>
              <w:bottom w:val="nil"/>
              <w:right w:val="nil"/>
            </w:tcBorders>
            <w:shd w:val="clear" w:color="auto" w:fill="auto"/>
            <w:noWrap/>
            <w:vAlign w:val="bottom"/>
            <w:hideMark/>
          </w:tcPr>
          <w:p w14:paraId="15D1D4BC"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8.948</w:t>
            </w:r>
          </w:p>
        </w:tc>
        <w:tc>
          <w:tcPr>
            <w:tcW w:w="1601" w:type="dxa"/>
            <w:tcBorders>
              <w:top w:val="nil"/>
              <w:left w:val="nil"/>
              <w:bottom w:val="nil"/>
              <w:right w:val="nil"/>
            </w:tcBorders>
            <w:shd w:val="clear" w:color="auto" w:fill="auto"/>
            <w:noWrap/>
            <w:vAlign w:val="bottom"/>
            <w:hideMark/>
          </w:tcPr>
          <w:p w14:paraId="2DDADDEE"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32.951</w:t>
            </w:r>
          </w:p>
        </w:tc>
      </w:tr>
      <w:tr w:rsidR="00010025" w:rsidRPr="00AF0987" w14:paraId="326B0FB8" w14:textId="77777777" w:rsidTr="0052082E">
        <w:tc>
          <w:tcPr>
            <w:tcW w:w="2040" w:type="dxa"/>
            <w:tcBorders>
              <w:top w:val="nil"/>
              <w:left w:val="nil"/>
              <w:bottom w:val="nil"/>
              <w:right w:val="nil"/>
            </w:tcBorders>
            <w:shd w:val="clear" w:color="auto" w:fill="auto"/>
            <w:noWrap/>
            <w:vAlign w:val="bottom"/>
            <w:hideMark/>
          </w:tcPr>
          <w:p w14:paraId="26204DDD" w14:textId="2D903886"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Emerging</w:t>
            </w:r>
          </w:p>
        </w:tc>
        <w:tc>
          <w:tcPr>
            <w:tcW w:w="1300" w:type="dxa"/>
            <w:tcBorders>
              <w:top w:val="nil"/>
              <w:left w:val="nil"/>
              <w:bottom w:val="nil"/>
              <w:right w:val="nil"/>
            </w:tcBorders>
            <w:shd w:val="clear" w:color="auto" w:fill="auto"/>
            <w:noWrap/>
            <w:vAlign w:val="bottom"/>
            <w:hideMark/>
          </w:tcPr>
          <w:p w14:paraId="4057EEA7"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0.152</w:t>
            </w:r>
          </w:p>
        </w:tc>
        <w:tc>
          <w:tcPr>
            <w:tcW w:w="1300" w:type="dxa"/>
            <w:tcBorders>
              <w:top w:val="nil"/>
              <w:left w:val="nil"/>
              <w:bottom w:val="nil"/>
              <w:right w:val="nil"/>
            </w:tcBorders>
            <w:shd w:val="clear" w:color="auto" w:fill="auto"/>
            <w:noWrap/>
            <w:vAlign w:val="bottom"/>
            <w:hideMark/>
          </w:tcPr>
          <w:p w14:paraId="086B4E91"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13.097</w:t>
            </w:r>
          </w:p>
        </w:tc>
        <w:tc>
          <w:tcPr>
            <w:tcW w:w="1339" w:type="dxa"/>
            <w:tcBorders>
              <w:top w:val="nil"/>
              <w:left w:val="nil"/>
              <w:bottom w:val="nil"/>
              <w:right w:val="nil"/>
            </w:tcBorders>
            <w:shd w:val="clear" w:color="auto" w:fill="auto"/>
            <w:noWrap/>
            <w:vAlign w:val="bottom"/>
            <w:hideMark/>
          </w:tcPr>
          <w:p w14:paraId="17B1D89C"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8.094</w:t>
            </w:r>
          </w:p>
        </w:tc>
        <w:tc>
          <w:tcPr>
            <w:tcW w:w="1300" w:type="dxa"/>
            <w:tcBorders>
              <w:top w:val="nil"/>
              <w:left w:val="nil"/>
              <w:bottom w:val="nil"/>
              <w:right w:val="nil"/>
            </w:tcBorders>
            <w:shd w:val="clear" w:color="auto" w:fill="auto"/>
            <w:noWrap/>
            <w:vAlign w:val="bottom"/>
            <w:hideMark/>
          </w:tcPr>
          <w:p w14:paraId="1CCF9A8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78.657</w:t>
            </w:r>
          </w:p>
        </w:tc>
        <w:tc>
          <w:tcPr>
            <w:tcW w:w="1601" w:type="dxa"/>
            <w:tcBorders>
              <w:top w:val="nil"/>
              <w:left w:val="nil"/>
              <w:bottom w:val="nil"/>
              <w:right w:val="nil"/>
            </w:tcBorders>
            <w:shd w:val="clear" w:color="auto" w:fill="auto"/>
            <w:noWrap/>
            <w:vAlign w:val="bottom"/>
            <w:hideMark/>
          </w:tcPr>
          <w:p w14:paraId="636846A5"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21.343</w:t>
            </w:r>
          </w:p>
        </w:tc>
      </w:tr>
      <w:tr w:rsidR="00010025" w:rsidRPr="00AF0987" w14:paraId="77A7AE82" w14:textId="77777777" w:rsidTr="0052082E">
        <w:tc>
          <w:tcPr>
            <w:tcW w:w="2040" w:type="dxa"/>
            <w:tcBorders>
              <w:top w:val="nil"/>
              <w:left w:val="nil"/>
              <w:bottom w:val="nil"/>
              <w:right w:val="nil"/>
            </w:tcBorders>
            <w:shd w:val="clear" w:color="auto" w:fill="auto"/>
            <w:noWrap/>
            <w:vAlign w:val="bottom"/>
            <w:hideMark/>
          </w:tcPr>
          <w:p w14:paraId="5046CF46" w14:textId="5C3984F3"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To </w:t>
            </w:r>
            <w:r w:rsidRPr="00D53E56">
              <w:rPr>
                <w:rFonts w:asciiTheme="majorBidi" w:hAnsiTheme="majorBidi" w:cstheme="majorBidi"/>
                <w:color w:val="000000"/>
                <w:sz w:val="20"/>
                <w:szCs w:val="20"/>
              </w:rPr>
              <w:t>Others</w:t>
            </w:r>
          </w:p>
        </w:tc>
        <w:tc>
          <w:tcPr>
            <w:tcW w:w="1300" w:type="dxa"/>
            <w:tcBorders>
              <w:top w:val="nil"/>
              <w:left w:val="nil"/>
              <w:bottom w:val="nil"/>
              <w:right w:val="nil"/>
            </w:tcBorders>
            <w:shd w:val="clear" w:color="auto" w:fill="auto"/>
            <w:noWrap/>
            <w:vAlign w:val="bottom"/>
            <w:hideMark/>
          </w:tcPr>
          <w:p w14:paraId="478A8A91"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0.905</w:t>
            </w:r>
          </w:p>
        </w:tc>
        <w:tc>
          <w:tcPr>
            <w:tcW w:w="1300" w:type="dxa"/>
            <w:tcBorders>
              <w:top w:val="nil"/>
              <w:left w:val="nil"/>
              <w:bottom w:val="nil"/>
              <w:right w:val="nil"/>
            </w:tcBorders>
            <w:shd w:val="clear" w:color="auto" w:fill="auto"/>
            <w:noWrap/>
            <w:vAlign w:val="bottom"/>
            <w:hideMark/>
          </w:tcPr>
          <w:p w14:paraId="28F2CA3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38.589</w:t>
            </w:r>
          </w:p>
        </w:tc>
        <w:tc>
          <w:tcPr>
            <w:tcW w:w="1339" w:type="dxa"/>
            <w:tcBorders>
              <w:top w:val="nil"/>
              <w:left w:val="nil"/>
              <w:bottom w:val="nil"/>
              <w:right w:val="nil"/>
            </w:tcBorders>
            <w:shd w:val="clear" w:color="auto" w:fill="auto"/>
            <w:noWrap/>
            <w:vAlign w:val="bottom"/>
            <w:hideMark/>
          </w:tcPr>
          <w:p w14:paraId="0544B59E"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47.476</w:t>
            </w:r>
          </w:p>
        </w:tc>
        <w:tc>
          <w:tcPr>
            <w:tcW w:w="1300" w:type="dxa"/>
            <w:tcBorders>
              <w:top w:val="nil"/>
              <w:left w:val="nil"/>
              <w:bottom w:val="nil"/>
              <w:right w:val="nil"/>
            </w:tcBorders>
            <w:shd w:val="clear" w:color="auto" w:fill="auto"/>
            <w:noWrap/>
            <w:vAlign w:val="bottom"/>
            <w:hideMark/>
          </w:tcPr>
          <w:p w14:paraId="37F817C2"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21.845</w:t>
            </w:r>
          </w:p>
        </w:tc>
        <w:tc>
          <w:tcPr>
            <w:tcW w:w="1601" w:type="dxa"/>
            <w:tcBorders>
              <w:top w:val="nil"/>
              <w:left w:val="nil"/>
              <w:bottom w:val="nil"/>
              <w:right w:val="nil"/>
            </w:tcBorders>
            <w:shd w:val="clear" w:color="auto" w:fill="auto"/>
            <w:noWrap/>
            <w:vAlign w:val="bottom"/>
            <w:hideMark/>
          </w:tcPr>
          <w:p w14:paraId="43B45182"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108.815</w:t>
            </w:r>
          </w:p>
        </w:tc>
      </w:tr>
      <w:tr w:rsidR="00010025" w:rsidRPr="00AF0987" w14:paraId="79222525" w14:textId="77777777" w:rsidTr="0052082E">
        <w:tc>
          <w:tcPr>
            <w:tcW w:w="2040" w:type="dxa"/>
            <w:tcBorders>
              <w:top w:val="nil"/>
              <w:left w:val="nil"/>
              <w:right w:val="nil"/>
            </w:tcBorders>
            <w:shd w:val="clear" w:color="auto" w:fill="auto"/>
            <w:noWrap/>
            <w:vAlign w:val="bottom"/>
            <w:hideMark/>
          </w:tcPr>
          <w:p w14:paraId="76DE9999" w14:textId="2B5D5E06"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To Others Including </w:t>
            </w:r>
            <w:r w:rsidRPr="00D53E56">
              <w:rPr>
                <w:rFonts w:asciiTheme="majorBidi" w:hAnsiTheme="majorBidi" w:cstheme="majorBidi"/>
                <w:color w:val="000000"/>
                <w:sz w:val="20"/>
                <w:szCs w:val="20"/>
              </w:rPr>
              <w:t>Own</w:t>
            </w:r>
          </w:p>
        </w:tc>
        <w:tc>
          <w:tcPr>
            <w:tcW w:w="1300" w:type="dxa"/>
            <w:tcBorders>
              <w:top w:val="nil"/>
              <w:left w:val="nil"/>
              <w:right w:val="nil"/>
            </w:tcBorders>
            <w:shd w:val="clear" w:color="auto" w:fill="auto"/>
            <w:noWrap/>
            <w:vAlign w:val="bottom"/>
            <w:hideMark/>
          </w:tcPr>
          <w:p w14:paraId="54B783D5"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74.308</w:t>
            </w:r>
          </w:p>
        </w:tc>
        <w:tc>
          <w:tcPr>
            <w:tcW w:w="1300" w:type="dxa"/>
            <w:tcBorders>
              <w:top w:val="nil"/>
              <w:left w:val="nil"/>
              <w:right w:val="nil"/>
            </w:tcBorders>
            <w:shd w:val="clear" w:color="auto" w:fill="auto"/>
            <w:noWrap/>
            <w:vAlign w:val="bottom"/>
            <w:hideMark/>
          </w:tcPr>
          <w:p w14:paraId="1F4968F5"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110.664</w:t>
            </w:r>
          </w:p>
        </w:tc>
        <w:tc>
          <w:tcPr>
            <w:tcW w:w="1339" w:type="dxa"/>
            <w:tcBorders>
              <w:top w:val="nil"/>
              <w:left w:val="nil"/>
              <w:right w:val="nil"/>
            </w:tcBorders>
            <w:shd w:val="clear" w:color="auto" w:fill="auto"/>
            <w:noWrap/>
            <w:vAlign w:val="bottom"/>
            <w:hideMark/>
          </w:tcPr>
          <w:p w14:paraId="5E4C4C07"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114.525</w:t>
            </w:r>
          </w:p>
        </w:tc>
        <w:tc>
          <w:tcPr>
            <w:tcW w:w="1300" w:type="dxa"/>
            <w:tcBorders>
              <w:top w:val="nil"/>
              <w:left w:val="nil"/>
              <w:right w:val="nil"/>
            </w:tcBorders>
            <w:shd w:val="clear" w:color="auto" w:fill="auto"/>
            <w:noWrap/>
            <w:vAlign w:val="bottom"/>
            <w:hideMark/>
          </w:tcPr>
          <w:p w14:paraId="300D9E42"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100.502</w:t>
            </w:r>
          </w:p>
        </w:tc>
        <w:tc>
          <w:tcPr>
            <w:tcW w:w="1601" w:type="dxa"/>
            <w:tcBorders>
              <w:top w:val="nil"/>
              <w:left w:val="nil"/>
              <w:right w:val="nil"/>
            </w:tcBorders>
            <w:shd w:val="clear" w:color="auto" w:fill="auto"/>
            <w:noWrap/>
            <w:vAlign w:val="bottom"/>
            <w:hideMark/>
          </w:tcPr>
          <w:p w14:paraId="157D0B2B" w14:textId="77777777" w:rsidR="00010025" w:rsidRPr="00AF0987" w:rsidRDefault="00010025" w:rsidP="00010025">
            <w:pPr>
              <w:jc w:val="right"/>
              <w:rPr>
                <w:rFonts w:asciiTheme="majorBidi" w:hAnsiTheme="majorBidi" w:cstheme="majorBidi"/>
                <w:color w:val="000000"/>
                <w:sz w:val="20"/>
                <w:szCs w:val="20"/>
              </w:rPr>
            </w:pPr>
            <w:proofErr w:type="spellStart"/>
            <w:r w:rsidRPr="00AF0987">
              <w:rPr>
                <w:rFonts w:asciiTheme="majorBidi" w:hAnsiTheme="majorBidi" w:cstheme="majorBidi"/>
                <w:color w:val="000000"/>
                <w:sz w:val="20"/>
                <w:szCs w:val="20"/>
              </w:rPr>
              <w:t>Spillover</w:t>
            </w:r>
            <w:proofErr w:type="spellEnd"/>
          </w:p>
        </w:tc>
      </w:tr>
      <w:tr w:rsidR="00010025" w:rsidRPr="00AF0987" w14:paraId="6982B945" w14:textId="77777777" w:rsidTr="0052082E">
        <w:tc>
          <w:tcPr>
            <w:tcW w:w="2040" w:type="dxa"/>
            <w:tcBorders>
              <w:top w:val="nil"/>
              <w:left w:val="nil"/>
              <w:bottom w:val="single" w:sz="4" w:space="0" w:color="auto"/>
              <w:right w:val="nil"/>
            </w:tcBorders>
            <w:shd w:val="clear" w:color="auto" w:fill="auto"/>
            <w:noWrap/>
            <w:vAlign w:val="bottom"/>
            <w:hideMark/>
          </w:tcPr>
          <w:p w14:paraId="2DF7E2F2" w14:textId="1438D6E6" w:rsidR="00010025" w:rsidRPr="00AF0987" w:rsidRDefault="00010025" w:rsidP="007957EA">
            <w:pPr>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Net </w:t>
            </w:r>
            <w:proofErr w:type="spellStart"/>
            <w:r w:rsidRPr="00D53E56">
              <w:rPr>
                <w:rFonts w:asciiTheme="majorBidi" w:hAnsiTheme="majorBidi" w:cstheme="majorBidi"/>
                <w:color w:val="000000"/>
                <w:sz w:val="20"/>
                <w:szCs w:val="20"/>
              </w:rPr>
              <w:t>Spillover</w:t>
            </w:r>
            <w:proofErr w:type="spellEnd"/>
          </w:p>
        </w:tc>
        <w:tc>
          <w:tcPr>
            <w:tcW w:w="1300" w:type="dxa"/>
            <w:tcBorders>
              <w:top w:val="nil"/>
              <w:left w:val="nil"/>
              <w:bottom w:val="single" w:sz="4" w:space="0" w:color="auto"/>
              <w:right w:val="nil"/>
            </w:tcBorders>
            <w:shd w:val="clear" w:color="auto" w:fill="auto"/>
            <w:noWrap/>
            <w:vAlign w:val="bottom"/>
            <w:hideMark/>
          </w:tcPr>
          <w:p w14:paraId="19CA23FA"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-25.692</w:t>
            </w:r>
          </w:p>
        </w:tc>
        <w:tc>
          <w:tcPr>
            <w:tcW w:w="1300" w:type="dxa"/>
            <w:tcBorders>
              <w:top w:val="nil"/>
              <w:left w:val="nil"/>
              <w:bottom w:val="single" w:sz="4" w:space="0" w:color="auto"/>
              <w:right w:val="nil"/>
            </w:tcBorders>
            <w:shd w:val="clear" w:color="auto" w:fill="auto"/>
            <w:noWrap/>
            <w:vAlign w:val="bottom"/>
            <w:hideMark/>
          </w:tcPr>
          <w:p w14:paraId="7AD2DAED"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10.664</w:t>
            </w:r>
          </w:p>
        </w:tc>
        <w:tc>
          <w:tcPr>
            <w:tcW w:w="1339" w:type="dxa"/>
            <w:tcBorders>
              <w:top w:val="nil"/>
              <w:left w:val="nil"/>
              <w:bottom w:val="single" w:sz="4" w:space="0" w:color="auto"/>
              <w:right w:val="nil"/>
            </w:tcBorders>
            <w:shd w:val="clear" w:color="auto" w:fill="auto"/>
            <w:noWrap/>
            <w:vAlign w:val="bottom"/>
            <w:hideMark/>
          </w:tcPr>
          <w:p w14:paraId="06259D47"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14.525</w:t>
            </w:r>
          </w:p>
        </w:tc>
        <w:tc>
          <w:tcPr>
            <w:tcW w:w="1300" w:type="dxa"/>
            <w:tcBorders>
              <w:top w:val="nil"/>
              <w:left w:val="nil"/>
              <w:bottom w:val="single" w:sz="4" w:space="0" w:color="auto"/>
              <w:right w:val="nil"/>
            </w:tcBorders>
            <w:shd w:val="clear" w:color="auto" w:fill="auto"/>
            <w:noWrap/>
            <w:vAlign w:val="bottom"/>
            <w:hideMark/>
          </w:tcPr>
          <w:p w14:paraId="6C0F64E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0.502</w:t>
            </w:r>
          </w:p>
        </w:tc>
        <w:tc>
          <w:tcPr>
            <w:tcW w:w="1601" w:type="dxa"/>
            <w:tcBorders>
              <w:top w:val="nil"/>
              <w:left w:val="nil"/>
              <w:bottom w:val="single" w:sz="4" w:space="0" w:color="auto"/>
              <w:right w:val="nil"/>
            </w:tcBorders>
            <w:shd w:val="clear" w:color="auto" w:fill="auto"/>
            <w:noWrap/>
            <w:vAlign w:val="bottom"/>
            <w:hideMark/>
          </w:tcPr>
          <w:p w14:paraId="259F40B9" w14:textId="77777777" w:rsidR="00010025" w:rsidRPr="00AF0987" w:rsidRDefault="00010025" w:rsidP="00010025">
            <w:pPr>
              <w:jc w:val="right"/>
              <w:rPr>
                <w:rFonts w:asciiTheme="majorBidi" w:hAnsiTheme="majorBidi" w:cstheme="majorBidi"/>
                <w:color w:val="000000"/>
                <w:sz w:val="20"/>
                <w:szCs w:val="20"/>
              </w:rPr>
            </w:pPr>
            <w:r w:rsidRPr="00AF0987">
              <w:rPr>
                <w:rFonts w:asciiTheme="majorBidi" w:hAnsiTheme="majorBidi" w:cstheme="majorBidi"/>
                <w:color w:val="000000"/>
                <w:sz w:val="20"/>
                <w:szCs w:val="20"/>
              </w:rPr>
              <w:t>Index=</w:t>
            </w:r>
            <w:r w:rsidRPr="00AF0987">
              <w:rPr>
                <w:rFonts w:asciiTheme="majorBidi" w:hAnsiTheme="majorBidi" w:cstheme="majorBidi"/>
                <w:b/>
                <w:bCs/>
                <w:color w:val="000000"/>
                <w:sz w:val="20"/>
                <w:szCs w:val="20"/>
              </w:rPr>
              <w:t>27.204%</w:t>
            </w:r>
          </w:p>
        </w:tc>
      </w:tr>
    </w:tbl>
    <w:p w14:paraId="570A7185" w14:textId="5995AC5C" w:rsidR="00010025" w:rsidRPr="007957EA" w:rsidRDefault="007957EA" w:rsidP="00010025">
      <w:pPr>
        <w:rPr>
          <w:rFonts w:asciiTheme="majorBidi" w:hAnsiTheme="majorBidi" w:cstheme="majorBidi"/>
          <w:sz w:val="20"/>
          <w:szCs w:val="20"/>
        </w:rPr>
      </w:pPr>
      <w:r w:rsidRPr="007957EA">
        <w:rPr>
          <w:rFonts w:asciiTheme="majorBidi" w:hAnsiTheme="majorBidi" w:cstheme="majorBidi"/>
          <w:b/>
          <w:sz w:val="20"/>
          <w:szCs w:val="20"/>
        </w:rPr>
        <w:t>Note:</w:t>
      </w:r>
      <w:r w:rsidRPr="007957EA">
        <w:rPr>
          <w:rFonts w:asciiTheme="majorBidi" w:hAnsiTheme="majorBidi" w:cstheme="majorBidi"/>
          <w:sz w:val="20"/>
          <w:szCs w:val="20"/>
        </w:rPr>
        <w:t xml:space="preserve"> See Notes to Figure 1 and Figure A1. EMVID: is the equity market volatility index due to infectious diseases. The regime-specific </w:t>
      </w:r>
      <w:proofErr w:type="spellStart"/>
      <w:r w:rsidRPr="007957EA">
        <w:rPr>
          <w:rFonts w:asciiTheme="majorBidi" w:hAnsiTheme="majorBidi" w:cstheme="majorBidi"/>
          <w:sz w:val="20"/>
          <w:szCs w:val="20"/>
        </w:rPr>
        <w:t>spillover</w:t>
      </w:r>
      <w:proofErr w:type="spellEnd"/>
      <w:r w:rsidRPr="007957EA">
        <w:rPr>
          <w:rFonts w:asciiTheme="majorBidi" w:hAnsiTheme="majorBidi" w:cstheme="majorBidi"/>
          <w:sz w:val="20"/>
          <w:szCs w:val="20"/>
        </w:rPr>
        <w:t xml:space="preserve"> model follows </w:t>
      </w:r>
      <w:proofErr w:type="spellStart"/>
      <w:r w:rsidRPr="007957EA">
        <w:rPr>
          <w:rFonts w:asciiTheme="majorBidi" w:hAnsiTheme="majorBidi" w:cstheme="majorBidi"/>
          <w:sz w:val="20"/>
          <w:szCs w:val="20"/>
        </w:rPr>
        <w:t>Balcilar</w:t>
      </w:r>
      <w:proofErr w:type="spellEnd"/>
      <w:r w:rsidRPr="007957EA">
        <w:rPr>
          <w:rFonts w:asciiTheme="majorBidi" w:hAnsiTheme="majorBidi" w:cstheme="majorBidi"/>
          <w:sz w:val="20"/>
          <w:szCs w:val="20"/>
        </w:rPr>
        <w:t xml:space="preserve"> et al., (2020).</w:t>
      </w:r>
    </w:p>
    <w:p w14:paraId="4187ECDE" w14:textId="77777777" w:rsidR="00010025" w:rsidRPr="00010025" w:rsidRDefault="00010025" w:rsidP="00C26287">
      <w:pPr>
        <w:spacing w:after="0" w:line="240" w:lineRule="auto"/>
        <w:contextualSpacing/>
        <w:jc w:val="both"/>
        <w:rPr>
          <w:rFonts w:ascii="Times New Roman" w:hAnsi="Times New Roman" w:cs="Times New Roman"/>
          <w:b/>
          <w:sz w:val="24"/>
          <w:szCs w:val="24"/>
        </w:rPr>
      </w:pPr>
    </w:p>
    <w:sectPr w:rsidR="00010025" w:rsidRPr="0001002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5459" w14:textId="77777777" w:rsidR="005B7A7F" w:rsidRDefault="005B7A7F" w:rsidP="005425DA">
      <w:pPr>
        <w:spacing w:after="0" w:line="240" w:lineRule="auto"/>
      </w:pPr>
      <w:r>
        <w:separator/>
      </w:r>
    </w:p>
  </w:endnote>
  <w:endnote w:type="continuationSeparator" w:id="0">
    <w:p w14:paraId="3F5DBB09" w14:textId="77777777" w:rsidR="005B7A7F" w:rsidRDefault="005B7A7F" w:rsidP="0054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50566724"/>
      <w:docPartObj>
        <w:docPartGallery w:val="Page Numbers (Bottom of Page)"/>
        <w:docPartUnique/>
      </w:docPartObj>
    </w:sdtPr>
    <w:sdtEndPr>
      <w:rPr>
        <w:noProof/>
      </w:rPr>
    </w:sdtEndPr>
    <w:sdtContent>
      <w:p w14:paraId="4F10BD96" w14:textId="2D111771" w:rsidR="00705B15" w:rsidRPr="00705B15" w:rsidRDefault="00705B15">
        <w:pPr>
          <w:pStyle w:val="Footer"/>
          <w:jc w:val="right"/>
          <w:rPr>
            <w:rFonts w:ascii="Times New Roman" w:hAnsi="Times New Roman" w:cs="Times New Roman"/>
            <w:sz w:val="24"/>
            <w:szCs w:val="24"/>
          </w:rPr>
        </w:pPr>
        <w:r w:rsidRPr="00705B15">
          <w:rPr>
            <w:rFonts w:ascii="Times New Roman" w:hAnsi="Times New Roman" w:cs="Times New Roman"/>
            <w:sz w:val="24"/>
            <w:szCs w:val="24"/>
          </w:rPr>
          <w:fldChar w:fldCharType="begin"/>
        </w:r>
        <w:r w:rsidRPr="00705B15">
          <w:rPr>
            <w:rFonts w:ascii="Times New Roman" w:hAnsi="Times New Roman" w:cs="Times New Roman"/>
            <w:sz w:val="24"/>
            <w:szCs w:val="24"/>
          </w:rPr>
          <w:instrText xml:space="preserve"> PAGE   \* MERGEFORMAT </w:instrText>
        </w:r>
        <w:r w:rsidRPr="00705B15">
          <w:rPr>
            <w:rFonts w:ascii="Times New Roman" w:hAnsi="Times New Roman" w:cs="Times New Roman"/>
            <w:sz w:val="24"/>
            <w:szCs w:val="24"/>
          </w:rPr>
          <w:fldChar w:fldCharType="separate"/>
        </w:r>
        <w:r w:rsidR="007D10F6">
          <w:rPr>
            <w:rFonts w:ascii="Times New Roman" w:hAnsi="Times New Roman" w:cs="Times New Roman"/>
            <w:noProof/>
            <w:sz w:val="24"/>
            <w:szCs w:val="24"/>
          </w:rPr>
          <w:t>14</w:t>
        </w:r>
        <w:r w:rsidRPr="00705B15">
          <w:rPr>
            <w:rFonts w:ascii="Times New Roman" w:hAnsi="Times New Roman" w:cs="Times New Roman"/>
            <w:noProof/>
            <w:sz w:val="24"/>
            <w:szCs w:val="24"/>
          </w:rPr>
          <w:fldChar w:fldCharType="end"/>
        </w:r>
      </w:p>
    </w:sdtContent>
  </w:sdt>
  <w:p w14:paraId="2F87B73B" w14:textId="77777777" w:rsidR="00705B15" w:rsidRPr="00705B15" w:rsidRDefault="00705B1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99E7" w14:textId="77777777" w:rsidR="005B7A7F" w:rsidRDefault="005B7A7F" w:rsidP="005425DA">
      <w:pPr>
        <w:spacing w:after="0" w:line="240" w:lineRule="auto"/>
      </w:pPr>
      <w:r>
        <w:separator/>
      </w:r>
    </w:p>
  </w:footnote>
  <w:footnote w:type="continuationSeparator" w:id="0">
    <w:p w14:paraId="70EA8EE4" w14:textId="77777777" w:rsidR="005B7A7F" w:rsidRDefault="005B7A7F" w:rsidP="005425DA">
      <w:pPr>
        <w:spacing w:after="0" w:line="240" w:lineRule="auto"/>
      </w:pPr>
      <w:r>
        <w:continuationSeparator/>
      </w:r>
    </w:p>
  </w:footnote>
  <w:footnote w:id="1">
    <w:p w14:paraId="380CEBED" w14:textId="075EC2B6" w:rsidR="00A65F2F" w:rsidRPr="00706A32" w:rsidRDefault="00A65F2F" w:rsidP="00706A32">
      <w:pPr>
        <w:pStyle w:val="FootnoteText"/>
        <w:contextualSpacing/>
        <w:jc w:val="both"/>
        <w:rPr>
          <w:rFonts w:ascii="Times New Roman" w:hAnsi="Times New Roman" w:cs="Times New Roman"/>
          <w:lang w:val="en-ZA"/>
        </w:rPr>
      </w:pPr>
      <w:r w:rsidRPr="00706A32">
        <w:rPr>
          <w:rStyle w:val="FootnoteReference"/>
          <w:rFonts w:ascii="Times New Roman" w:hAnsi="Times New Roman" w:cs="Times New Roman"/>
        </w:rPr>
        <w:footnoteRef/>
      </w:r>
      <w:r w:rsidRPr="00706A32">
        <w:rPr>
          <w:rFonts w:ascii="Times New Roman" w:hAnsi="Times New Roman" w:cs="Times New Roman"/>
        </w:rPr>
        <w:t xml:space="preserve"> The reader is referred to Grossman et al., (2014) for further details. Data on 18 advanced (excluding the US, Japan, Germany, the United Kingdom (UK), France, Italy, Spain, Canada, South Korea, Australia, Taiwan, The Netherlands, Belgium, Sweden, Austria, Switzerland, Greece, Portugal, and Czech Republic, in order of Purchasing Power Parity (PPP)-adjusted GDP shares in 2005) and 21 emerging (China, India, Russia, Brazil, Mexico, Turkey, Indonesia, Poland, Thailand, Argentina, South Africa, Colombia, Malaysia, Venezuela, Philippines, Nigeria, Chile, Peru, Hungary, Bulgaria, and Costa Rica, in order of PPP-adjusted GDP shares in 2005) countries are used to compile the aggregates for these blocs, by using trade weights with the US in weighting the country-level data.</w:t>
      </w:r>
    </w:p>
  </w:footnote>
  <w:footnote w:id="2">
    <w:p w14:paraId="373B17B4" w14:textId="4E834CA3" w:rsidR="00A65F2F" w:rsidRPr="00706A32" w:rsidRDefault="00A65F2F" w:rsidP="00706A32">
      <w:pPr>
        <w:pStyle w:val="FootnoteText"/>
        <w:contextualSpacing/>
        <w:jc w:val="both"/>
        <w:rPr>
          <w:rFonts w:ascii="Times New Roman" w:hAnsi="Times New Roman" w:cs="Times New Roman"/>
        </w:rPr>
      </w:pPr>
      <w:r w:rsidRPr="00706A32">
        <w:rPr>
          <w:rStyle w:val="FootnoteReference"/>
          <w:rFonts w:ascii="Times New Roman" w:hAnsi="Times New Roman" w:cs="Times New Roman"/>
        </w:rPr>
        <w:footnoteRef/>
      </w:r>
      <w:r w:rsidRPr="00706A32">
        <w:rPr>
          <w:rFonts w:ascii="Times New Roman" w:hAnsi="Times New Roman" w:cs="Times New Roman"/>
        </w:rPr>
        <w:t xml:space="preserve"> In particular, a Gibbs sampling algorithm is used to approximate the posterior distribution. The number of replications is 10000 and the size of burn-in is 1000.</w:t>
      </w:r>
    </w:p>
  </w:footnote>
  <w:footnote w:id="3">
    <w:p w14:paraId="25F69E5C" w14:textId="749BF792" w:rsidR="00A65F2F" w:rsidRPr="00706A32" w:rsidRDefault="00A65F2F" w:rsidP="00706A32">
      <w:pPr>
        <w:pStyle w:val="FootnoteText"/>
        <w:contextualSpacing/>
        <w:jc w:val="both"/>
        <w:rPr>
          <w:rFonts w:ascii="Times New Roman" w:hAnsi="Times New Roman" w:cs="Times New Roman"/>
        </w:rPr>
      </w:pPr>
      <w:r w:rsidRPr="00706A32">
        <w:rPr>
          <w:rStyle w:val="FootnoteReference"/>
          <w:rFonts w:ascii="Times New Roman" w:hAnsi="Times New Roman" w:cs="Times New Roman"/>
        </w:rPr>
        <w:footnoteRef/>
      </w:r>
      <w:r w:rsidR="00D26615" w:rsidRPr="00706A32">
        <w:rPr>
          <w:rFonts w:ascii="Times New Roman" w:hAnsi="Times New Roman" w:cs="Times New Roman"/>
        </w:rPr>
        <w:t xml:space="preserve"> Akram and Mumtaz (2019</w:t>
      </w:r>
      <w:r w:rsidRPr="00706A32">
        <w:rPr>
          <w:rFonts w:ascii="Times New Roman" w:hAnsi="Times New Roman" w:cs="Times New Roman"/>
        </w:rPr>
        <w:t xml:space="preserve">) set </w:t>
      </w:r>
      <m:oMath>
        <m:r>
          <w:rPr>
            <w:rFonts w:ascii="Cambria Math" w:hAnsi="Cambria Math" w:cs="Times New Roman"/>
          </w:rPr>
          <m:t>L</m:t>
        </m:r>
      </m:oMath>
      <w:r w:rsidRPr="00706A32">
        <w:rPr>
          <w:rFonts w:ascii="Times New Roman" w:hAnsi="Times New Roman" w:cs="Times New Roman"/>
        </w:rPr>
        <w:t xml:space="preserve"> to 2 following the parsimony rule.</w:t>
      </w:r>
    </w:p>
  </w:footnote>
  <w:footnote w:id="4">
    <w:p w14:paraId="6C56B9D1" w14:textId="02076FF8" w:rsidR="00A65F2F" w:rsidRPr="00706A32" w:rsidRDefault="00A65F2F" w:rsidP="00706A32">
      <w:pPr>
        <w:pStyle w:val="FootnoteText"/>
        <w:contextualSpacing/>
        <w:jc w:val="both"/>
        <w:rPr>
          <w:rFonts w:ascii="Times New Roman" w:hAnsi="Times New Roman" w:cs="Times New Roman"/>
        </w:rPr>
      </w:pPr>
      <w:r w:rsidRPr="00706A32">
        <w:rPr>
          <w:rStyle w:val="FootnoteReference"/>
          <w:rFonts w:ascii="Times New Roman" w:hAnsi="Times New Roman" w:cs="Times New Roman"/>
        </w:rPr>
        <w:footnoteRef/>
      </w:r>
      <w:r w:rsidR="00D26615" w:rsidRPr="00706A32">
        <w:rPr>
          <w:rFonts w:ascii="Times New Roman" w:hAnsi="Times New Roman" w:cs="Times New Roman"/>
        </w:rPr>
        <w:t xml:space="preserve"> Akram and Mumtaz (2019</w:t>
      </w:r>
      <w:r w:rsidRPr="00706A32">
        <w:rPr>
          <w:rFonts w:ascii="Times New Roman" w:hAnsi="Times New Roman" w:cs="Times New Roman"/>
        </w:rPr>
        <w:t>) use initial 50 observations as a training sample, however they suggest the results are not sensitive to the length of this pre-sample used for calibrations.</w:t>
      </w:r>
    </w:p>
  </w:footnote>
  <w:footnote w:id="5">
    <w:p w14:paraId="41793E47" w14:textId="0E5AF07C" w:rsidR="00C52765" w:rsidRPr="00706A32" w:rsidRDefault="00C52765" w:rsidP="00706A32">
      <w:pPr>
        <w:pStyle w:val="FootnoteText"/>
        <w:jc w:val="both"/>
        <w:rPr>
          <w:rFonts w:ascii="Times New Roman" w:hAnsi="Times New Roman" w:cs="Times New Roman"/>
          <w:lang w:val="en-ZA"/>
        </w:rPr>
      </w:pPr>
      <w:r w:rsidRPr="00706A32">
        <w:rPr>
          <w:rStyle w:val="FootnoteReference"/>
          <w:rFonts w:ascii="Times New Roman" w:hAnsi="Times New Roman" w:cs="Times New Roman"/>
        </w:rPr>
        <w:footnoteRef/>
      </w:r>
      <w:r w:rsidRPr="00706A32">
        <w:rPr>
          <w:rFonts w:ascii="Times New Roman" w:hAnsi="Times New Roman" w:cs="Times New Roman"/>
        </w:rPr>
        <w:t xml:space="preserve"> Based on the suggestion of an anonymous referee, we delved further into this issue of comovement among the growth rate of the US, advanced economies excluding US, and emerging countries by relying on a regime-specific </w:t>
      </w:r>
      <w:r w:rsidR="007D10F6">
        <w:rPr>
          <w:rFonts w:ascii="Times New Roman" w:hAnsi="Times New Roman" w:cs="Times New Roman"/>
        </w:rPr>
        <w:t xml:space="preserve">extension of the </w:t>
      </w:r>
      <w:r w:rsidRPr="00706A32">
        <w:rPr>
          <w:rFonts w:ascii="Times New Roman" w:hAnsi="Times New Roman" w:cs="Times New Roman"/>
        </w:rPr>
        <w:t>spillover analysis</w:t>
      </w:r>
      <w:r w:rsidR="007D10F6">
        <w:rPr>
          <w:rFonts w:ascii="Times New Roman" w:hAnsi="Times New Roman" w:cs="Times New Roman"/>
        </w:rPr>
        <w:t xml:space="preserve"> of Diebold and Yilmaz (2009, 2012, 2014)</w:t>
      </w:r>
      <w:r w:rsidRPr="00706A32">
        <w:rPr>
          <w:rFonts w:ascii="Times New Roman" w:hAnsi="Times New Roman" w:cs="Times New Roman"/>
        </w:rPr>
        <w:t xml:space="preserve"> as outlined in Balcilar et al., (2020), with the regimes determined by the infectious diseases related equity market volatility index of Baker et al., (2020b), available at: </w:t>
      </w:r>
      <w:hyperlink r:id="rId1" w:history="1">
        <w:r w:rsidR="002B044C" w:rsidRPr="002B044C">
          <w:rPr>
            <w:rStyle w:val="Hyperlink"/>
            <w:rFonts w:ascii="Times New Roman" w:hAnsi="Times New Roman" w:cs="Times New Roman"/>
          </w:rPr>
          <w:t>http://policyuncertainty.com/infectious_EMV.html</w:t>
        </w:r>
      </w:hyperlink>
      <w:r w:rsidRPr="00706A32">
        <w:rPr>
          <w:rFonts w:ascii="Times New Roman" w:hAnsi="Times New Roman" w:cs="Times New Roman"/>
        </w:rPr>
        <w:t>.</w:t>
      </w:r>
      <w:r w:rsidR="00706A32">
        <w:rPr>
          <w:rFonts w:ascii="Times New Roman" w:hAnsi="Times New Roman" w:cs="Times New Roman"/>
        </w:rPr>
        <w:t xml:space="preserve"> This index is available daily, and we convert into quarterly values by taking averages.</w:t>
      </w:r>
      <w:r w:rsidRPr="00706A32">
        <w:rPr>
          <w:rFonts w:ascii="Times New Roman" w:hAnsi="Times New Roman" w:cs="Times New Roman"/>
        </w:rPr>
        <w:t xml:space="preserve"> Using</w:t>
      </w:r>
      <w:r w:rsidR="00706A32">
        <w:rPr>
          <w:rFonts w:ascii="Times New Roman" w:hAnsi="Times New Roman" w:cs="Times New Roman"/>
        </w:rPr>
        <w:t xml:space="preserve"> this index (EMVID), and the real GDP growth rates of the US, advanced economies excluding the US and emerging countries over the period of 1985:Q1 to 2020:Q2, we observe from Table</w:t>
      </w:r>
      <w:r w:rsidRPr="00706A32">
        <w:rPr>
          <w:rFonts w:ascii="Times New Roman" w:hAnsi="Times New Roman" w:cs="Times New Roman"/>
        </w:rPr>
        <w:t xml:space="preserve"> </w:t>
      </w:r>
      <w:r w:rsidR="00706A32">
        <w:rPr>
          <w:rFonts w:ascii="Times New Roman" w:hAnsi="Times New Roman" w:cs="Times New Roman"/>
        </w:rPr>
        <w:t>A1</w:t>
      </w:r>
      <w:r w:rsidR="00010025">
        <w:rPr>
          <w:rFonts w:ascii="Times New Roman" w:hAnsi="Times New Roman" w:cs="Times New Roman"/>
        </w:rPr>
        <w:t xml:space="preserve"> in the Appendix of the paper</w:t>
      </w:r>
      <w:r w:rsidRPr="00706A32">
        <w:rPr>
          <w:rFonts w:ascii="Times New Roman" w:hAnsi="Times New Roman" w:cs="Times New Roman"/>
        </w:rPr>
        <w:t xml:space="preserve"> </w:t>
      </w:r>
      <w:r w:rsidR="00706A32">
        <w:rPr>
          <w:rFonts w:ascii="Times New Roman" w:hAnsi="Times New Roman" w:cs="Times New Roman"/>
        </w:rPr>
        <w:t>that spillover is higher (69.482%) in the upper regime of the EMVID index than in the lower regime (27.204%)</w:t>
      </w:r>
      <w:r w:rsidR="002B044C">
        <w:rPr>
          <w:rFonts w:ascii="Times New Roman" w:hAnsi="Times New Roman" w:cs="Times New Roman"/>
        </w:rPr>
        <w:t>, i.e., connectedness between countries are higher when uncertainty due to infectious diseases is high – a result consistent with the time-varying correlations between the growth rates, derived from the TVP-SVAR</w:t>
      </w:r>
      <w:r w:rsidR="00706A32">
        <w:rPr>
          <w:rFonts w:ascii="Times New Roman" w:hAnsi="Times New Roman" w:cs="Times New Roman"/>
        </w:rPr>
        <w:t xml:space="preserve">. The results are based on </w:t>
      </w:r>
      <w:r w:rsidR="002B044C">
        <w:rPr>
          <w:rFonts w:ascii="Times New Roman" w:hAnsi="Times New Roman" w:cs="Times New Roman"/>
        </w:rPr>
        <w:t xml:space="preserve">2000 bootstrap replications and </w:t>
      </w:r>
      <w:r w:rsidR="00706A32">
        <w:rPr>
          <w:rFonts w:ascii="Times New Roman" w:hAnsi="Times New Roman" w:cs="Times New Roman"/>
        </w:rPr>
        <w:t xml:space="preserve">forecast error variance decomposition at horizon of 24 quarters, with 2 lags and a delay parameter of 1, yielding a threshold of 0.674 and </w:t>
      </w:r>
      <w:r w:rsidR="00010025">
        <w:rPr>
          <w:rFonts w:ascii="Times New Roman" w:hAnsi="Times New Roman" w:cs="Times New Roman"/>
        </w:rPr>
        <w:t>smoothness of 283.450.</w:t>
      </w:r>
      <w:r w:rsidR="00706A32">
        <w:rPr>
          <w:rFonts w:ascii="Times New Roman" w:hAnsi="Times New Roman" w:cs="Times New Roman"/>
        </w:rPr>
        <w:t xml:space="preserve">  </w:t>
      </w:r>
      <w:r w:rsidRPr="00706A32">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442C"/>
    <w:multiLevelType w:val="hybridMultilevel"/>
    <w:tmpl w:val="24B0DF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zO2NLO0tDQ3NTNW0lEKTi0uzszPAymwqAUAsE4QfCwAAAA="/>
  </w:docVars>
  <w:rsids>
    <w:rsidRoot w:val="00AB35AB"/>
    <w:rsid w:val="00003DEC"/>
    <w:rsid w:val="00005104"/>
    <w:rsid w:val="00010025"/>
    <w:rsid w:val="000177D1"/>
    <w:rsid w:val="00017C65"/>
    <w:rsid w:val="000221ED"/>
    <w:rsid w:val="00025837"/>
    <w:rsid w:val="00027B96"/>
    <w:rsid w:val="00031564"/>
    <w:rsid w:val="00034954"/>
    <w:rsid w:val="000362FE"/>
    <w:rsid w:val="00041971"/>
    <w:rsid w:val="0004345A"/>
    <w:rsid w:val="00061E9C"/>
    <w:rsid w:val="0007177E"/>
    <w:rsid w:val="00080191"/>
    <w:rsid w:val="00080528"/>
    <w:rsid w:val="0009158E"/>
    <w:rsid w:val="00096A84"/>
    <w:rsid w:val="000C36B4"/>
    <w:rsid w:val="000C7878"/>
    <w:rsid w:val="000D7DD3"/>
    <w:rsid w:val="000E1811"/>
    <w:rsid w:val="000F50FA"/>
    <w:rsid w:val="00100EB9"/>
    <w:rsid w:val="00100FF2"/>
    <w:rsid w:val="00103CDA"/>
    <w:rsid w:val="0010642B"/>
    <w:rsid w:val="00122BDF"/>
    <w:rsid w:val="0012323A"/>
    <w:rsid w:val="0013410D"/>
    <w:rsid w:val="00134A04"/>
    <w:rsid w:val="00152A21"/>
    <w:rsid w:val="00156C70"/>
    <w:rsid w:val="00166724"/>
    <w:rsid w:val="00184648"/>
    <w:rsid w:val="001D20D2"/>
    <w:rsid w:val="001D466A"/>
    <w:rsid w:val="001E61D6"/>
    <w:rsid w:val="001F42AC"/>
    <w:rsid w:val="0020200D"/>
    <w:rsid w:val="00210491"/>
    <w:rsid w:val="002106CB"/>
    <w:rsid w:val="00221ED6"/>
    <w:rsid w:val="002229AB"/>
    <w:rsid w:val="002274B6"/>
    <w:rsid w:val="00235F5D"/>
    <w:rsid w:val="00243781"/>
    <w:rsid w:val="00260B4A"/>
    <w:rsid w:val="002655C8"/>
    <w:rsid w:val="00271A97"/>
    <w:rsid w:val="002870D4"/>
    <w:rsid w:val="00296AA5"/>
    <w:rsid w:val="002A5D75"/>
    <w:rsid w:val="002B044C"/>
    <w:rsid w:val="002B1DA8"/>
    <w:rsid w:val="002B4AE8"/>
    <w:rsid w:val="002C50D3"/>
    <w:rsid w:val="002C56A5"/>
    <w:rsid w:val="002D08E5"/>
    <w:rsid w:val="002D0D54"/>
    <w:rsid w:val="002E3E64"/>
    <w:rsid w:val="002F13EF"/>
    <w:rsid w:val="002F3BBA"/>
    <w:rsid w:val="003000F0"/>
    <w:rsid w:val="00303084"/>
    <w:rsid w:val="00307EEF"/>
    <w:rsid w:val="00315A34"/>
    <w:rsid w:val="0032078B"/>
    <w:rsid w:val="00324D02"/>
    <w:rsid w:val="003325A1"/>
    <w:rsid w:val="0036354A"/>
    <w:rsid w:val="00363984"/>
    <w:rsid w:val="003678D9"/>
    <w:rsid w:val="00370224"/>
    <w:rsid w:val="00373106"/>
    <w:rsid w:val="00375B6E"/>
    <w:rsid w:val="00376A86"/>
    <w:rsid w:val="00385EFC"/>
    <w:rsid w:val="00390C7F"/>
    <w:rsid w:val="003B65FB"/>
    <w:rsid w:val="003E02D0"/>
    <w:rsid w:val="003E0831"/>
    <w:rsid w:val="003E64C6"/>
    <w:rsid w:val="003E75FD"/>
    <w:rsid w:val="003F0A24"/>
    <w:rsid w:val="003F3BD9"/>
    <w:rsid w:val="003F433C"/>
    <w:rsid w:val="003F66ED"/>
    <w:rsid w:val="00403F18"/>
    <w:rsid w:val="00405DD4"/>
    <w:rsid w:val="00412933"/>
    <w:rsid w:val="00421EDA"/>
    <w:rsid w:val="004419C9"/>
    <w:rsid w:val="00441CB2"/>
    <w:rsid w:val="00446E85"/>
    <w:rsid w:val="0045244F"/>
    <w:rsid w:val="0046628B"/>
    <w:rsid w:val="00480BCF"/>
    <w:rsid w:val="004846B8"/>
    <w:rsid w:val="00493D48"/>
    <w:rsid w:val="004960FE"/>
    <w:rsid w:val="004D0486"/>
    <w:rsid w:val="004D1D66"/>
    <w:rsid w:val="004E0B34"/>
    <w:rsid w:val="004E25DB"/>
    <w:rsid w:val="004E5936"/>
    <w:rsid w:val="004F46AD"/>
    <w:rsid w:val="00504E30"/>
    <w:rsid w:val="00524ADE"/>
    <w:rsid w:val="00525875"/>
    <w:rsid w:val="00526710"/>
    <w:rsid w:val="005425DA"/>
    <w:rsid w:val="00550F07"/>
    <w:rsid w:val="00552EE8"/>
    <w:rsid w:val="00561932"/>
    <w:rsid w:val="005851B7"/>
    <w:rsid w:val="005936D2"/>
    <w:rsid w:val="005940A2"/>
    <w:rsid w:val="005A119B"/>
    <w:rsid w:val="005B1AF6"/>
    <w:rsid w:val="005B58C3"/>
    <w:rsid w:val="005B7A7F"/>
    <w:rsid w:val="005C1B4E"/>
    <w:rsid w:val="005D35EC"/>
    <w:rsid w:val="005D4C2E"/>
    <w:rsid w:val="005D7799"/>
    <w:rsid w:val="0060426B"/>
    <w:rsid w:val="00607831"/>
    <w:rsid w:val="00611716"/>
    <w:rsid w:val="006124A2"/>
    <w:rsid w:val="0062114C"/>
    <w:rsid w:val="0062512E"/>
    <w:rsid w:val="00636349"/>
    <w:rsid w:val="00641D89"/>
    <w:rsid w:val="00646E9C"/>
    <w:rsid w:val="0065525B"/>
    <w:rsid w:val="006735FD"/>
    <w:rsid w:val="006771A7"/>
    <w:rsid w:val="00694E32"/>
    <w:rsid w:val="006A5E86"/>
    <w:rsid w:val="006A689E"/>
    <w:rsid w:val="006E2FC6"/>
    <w:rsid w:val="006E7297"/>
    <w:rsid w:val="006F0485"/>
    <w:rsid w:val="0070346D"/>
    <w:rsid w:val="00705B15"/>
    <w:rsid w:val="00706A32"/>
    <w:rsid w:val="007076F3"/>
    <w:rsid w:val="007120F9"/>
    <w:rsid w:val="0071655C"/>
    <w:rsid w:val="00727372"/>
    <w:rsid w:val="00727F74"/>
    <w:rsid w:val="007333A3"/>
    <w:rsid w:val="007464CF"/>
    <w:rsid w:val="00747EC9"/>
    <w:rsid w:val="007529E6"/>
    <w:rsid w:val="00755584"/>
    <w:rsid w:val="00774F1D"/>
    <w:rsid w:val="00780825"/>
    <w:rsid w:val="007827BE"/>
    <w:rsid w:val="00782B29"/>
    <w:rsid w:val="007836C4"/>
    <w:rsid w:val="00785B9D"/>
    <w:rsid w:val="0078618E"/>
    <w:rsid w:val="0078734A"/>
    <w:rsid w:val="00794C25"/>
    <w:rsid w:val="007957EA"/>
    <w:rsid w:val="007B6BE2"/>
    <w:rsid w:val="007D10F6"/>
    <w:rsid w:val="007D65CB"/>
    <w:rsid w:val="007E5BB4"/>
    <w:rsid w:val="007F24C1"/>
    <w:rsid w:val="0080219F"/>
    <w:rsid w:val="00810375"/>
    <w:rsid w:val="0081302A"/>
    <w:rsid w:val="00815D6D"/>
    <w:rsid w:val="008161FA"/>
    <w:rsid w:val="00823DDA"/>
    <w:rsid w:val="008269B4"/>
    <w:rsid w:val="0083788B"/>
    <w:rsid w:val="00847721"/>
    <w:rsid w:val="00850A5C"/>
    <w:rsid w:val="00851B25"/>
    <w:rsid w:val="00856273"/>
    <w:rsid w:val="00865A5B"/>
    <w:rsid w:val="008909F9"/>
    <w:rsid w:val="00895682"/>
    <w:rsid w:val="00897C0A"/>
    <w:rsid w:val="008A3525"/>
    <w:rsid w:val="008A38EF"/>
    <w:rsid w:val="008A4523"/>
    <w:rsid w:val="008D3CEB"/>
    <w:rsid w:val="008F66F1"/>
    <w:rsid w:val="008F7252"/>
    <w:rsid w:val="00901D3E"/>
    <w:rsid w:val="009166D6"/>
    <w:rsid w:val="009268C1"/>
    <w:rsid w:val="009314BD"/>
    <w:rsid w:val="009321B0"/>
    <w:rsid w:val="0093669B"/>
    <w:rsid w:val="00956947"/>
    <w:rsid w:val="0096289D"/>
    <w:rsid w:val="00967BE9"/>
    <w:rsid w:val="0097046A"/>
    <w:rsid w:val="00977B5E"/>
    <w:rsid w:val="0098438B"/>
    <w:rsid w:val="00990816"/>
    <w:rsid w:val="009A1754"/>
    <w:rsid w:val="009B28E8"/>
    <w:rsid w:val="009B706B"/>
    <w:rsid w:val="009D6F05"/>
    <w:rsid w:val="009E29B9"/>
    <w:rsid w:val="009F46D2"/>
    <w:rsid w:val="00A11F20"/>
    <w:rsid w:val="00A15888"/>
    <w:rsid w:val="00A17A58"/>
    <w:rsid w:val="00A20B8C"/>
    <w:rsid w:val="00A2682F"/>
    <w:rsid w:val="00A30E0C"/>
    <w:rsid w:val="00A44933"/>
    <w:rsid w:val="00A467F6"/>
    <w:rsid w:val="00A50970"/>
    <w:rsid w:val="00A64CA2"/>
    <w:rsid w:val="00A65F2F"/>
    <w:rsid w:val="00A74AF6"/>
    <w:rsid w:val="00A75584"/>
    <w:rsid w:val="00A863AC"/>
    <w:rsid w:val="00A962C7"/>
    <w:rsid w:val="00A973A3"/>
    <w:rsid w:val="00A976D3"/>
    <w:rsid w:val="00AB35AB"/>
    <w:rsid w:val="00AB40C6"/>
    <w:rsid w:val="00AC1C23"/>
    <w:rsid w:val="00AC2136"/>
    <w:rsid w:val="00AD09DB"/>
    <w:rsid w:val="00AD114E"/>
    <w:rsid w:val="00AE7F06"/>
    <w:rsid w:val="00AF25B5"/>
    <w:rsid w:val="00B1133F"/>
    <w:rsid w:val="00B144CA"/>
    <w:rsid w:val="00B17DA9"/>
    <w:rsid w:val="00B208D6"/>
    <w:rsid w:val="00B2616F"/>
    <w:rsid w:val="00B46791"/>
    <w:rsid w:val="00B518DA"/>
    <w:rsid w:val="00B55CCE"/>
    <w:rsid w:val="00B64FCC"/>
    <w:rsid w:val="00B75499"/>
    <w:rsid w:val="00B75A42"/>
    <w:rsid w:val="00B93477"/>
    <w:rsid w:val="00BA77A6"/>
    <w:rsid w:val="00BB0821"/>
    <w:rsid w:val="00BB2727"/>
    <w:rsid w:val="00BB3720"/>
    <w:rsid w:val="00BB6F38"/>
    <w:rsid w:val="00BD36D2"/>
    <w:rsid w:val="00BE361A"/>
    <w:rsid w:val="00BF0150"/>
    <w:rsid w:val="00BF2588"/>
    <w:rsid w:val="00C20CE0"/>
    <w:rsid w:val="00C26287"/>
    <w:rsid w:val="00C31024"/>
    <w:rsid w:val="00C52765"/>
    <w:rsid w:val="00C57CF2"/>
    <w:rsid w:val="00C76636"/>
    <w:rsid w:val="00C831BB"/>
    <w:rsid w:val="00CA42AE"/>
    <w:rsid w:val="00CA435E"/>
    <w:rsid w:val="00CB0C8F"/>
    <w:rsid w:val="00CB2343"/>
    <w:rsid w:val="00CB46F5"/>
    <w:rsid w:val="00CD3E30"/>
    <w:rsid w:val="00CD7F18"/>
    <w:rsid w:val="00CE03A0"/>
    <w:rsid w:val="00CE4E15"/>
    <w:rsid w:val="00CF08B2"/>
    <w:rsid w:val="00CF5859"/>
    <w:rsid w:val="00D15B05"/>
    <w:rsid w:val="00D21BD6"/>
    <w:rsid w:val="00D26615"/>
    <w:rsid w:val="00D64FE1"/>
    <w:rsid w:val="00D762CE"/>
    <w:rsid w:val="00D76760"/>
    <w:rsid w:val="00D87068"/>
    <w:rsid w:val="00D87875"/>
    <w:rsid w:val="00D92EB5"/>
    <w:rsid w:val="00D967B9"/>
    <w:rsid w:val="00DA065D"/>
    <w:rsid w:val="00DA1913"/>
    <w:rsid w:val="00DD04C4"/>
    <w:rsid w:val="00DE1E88"/>
    <w:rsid w:val="00DE7DD4"/>
    <w:rsid w:val="00DF1FA4"/>
    <w:rsid w:val="00E001ED"/>
    <w:rsid w:val="00E10A09"/>
    <w:rsid w:val="00E11085"/>
    <w:rsid w:val="00E16523"/>
    <w:rsid w:val="00E16B9C"/>
    <w:rsid w:val="00E46ECF"/>
    <w:rsid w:val="00E70698"/>
    <w:rsid w:val="00E73C27"/>
    <w:rsid w:val="00E80FEB"/>
    <w:rsid w:val="00E8158E"/>
    <w:rsid w:val="00E82048"/>
    <w:rsid w:val="00E86397"/>
    <w:rsid w:val="00EA3486"/>
    <w:rsid w:val="00EA70AA"/>
    <w:rsid w:val="00EB53C6"/>
    <w:rsid w:val="00EB7843"/>
    <w:rsid w:val="00EC037A"/>
    <w:rsid w:val="00ED4FC2"/>
    <w:rsid w:val="00EE222F"/>
    <w:rsid w:val="00EE72C7"/>
    <w:rsid w:val="00F02E26"/>
    <w:rsid w:val="00F04C56"/>
    <w:rsid w:val="00F05A5D"/>
    <w:rsid w:val="00F12190"/>
    <w:rsid w:val="00F14700"/>
    <w:rsid w:val="00F14799"/>
    <w:rsid w:val="00F2577F"/>
    <w:rsid w:val="00F273FB"/>
    <w:rsid w:val="00F308F3"/>
    <w:rsid w:val="00F41783"/>
    <w:rsid w:val="00F51F78"/>
    <w:rsid w:val="00F662F6"/>
    <w:rsid w:val="00F714F2"/>
    <w:rsid w:val="00F77F9C"/>
    <w:rsid w:val="00FA70A9"/>
    <w:rsid w:val="00FB22DB"/>
    <w:rsid w:val="00FD0390"/>
    <w:rsid w:val="00FD562C"/>
    <w:rsid w:val="00FE065D"/>
    <w:rsid w:val="00FE6E70"/>
    <w:rsid w:val="00FF0EA8"/>
    <w:rsid w:val="00FF1DB1"/>
    <w:rsid w:val="00FF2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9DE0"/>
  <w15:docId w15:val="{992AB9D7-FDEA-4B87-BAA1-A532EEF9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89D"/>
    <w:pPr>
      <w:keepNext/>
      <w:keepLines/>
      <w:spacing w:before="240" w:after="0" w:line="36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6289D"/>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F0"/>
    <w:rPr>
      <w:rFonts w:ascii="Tahoma" w:hAnsi="Tahoma" w:cs="Tahoma"/>
      <w:sz w:val="16"/>
      <w:szCs w:val="16"/>
    </w:rPr>
  </w:style>
  <w:style w:type="paragraph" w:styleId="FootnoteText">
    <w:name w:val="footnote text"/>
    <w:basedOn w:val="Normal"/>
    <w:link w:val="FootnoteTextChar"/>
    <w:uiPriority w:val="99"/>
    <w:unhideWhenUsed/>
    <w:rsid w:val="005425DA"/>
    <w:pPr>
      <w:spacing w:after="0" w:line="240" w:lineRule="auto"/>
    </w:pPr>
    <w:rPr>
      <w:sz w:val="20"/>
      <w:szCs w:val="20"/>
    </w:rPr>
  </w:style>
  <w:style w:type="character" w:customStyle="1" w:styleId="FootnoteTextChar">
    <w:name w:val="Footnote Text Char"/>
    <w:basedOn w:val="DefaultParagraphFont"/>
    <w:link w:val="FootnoteText"/>
    <w:uiPriority w:val="99"/>
    <w:rsid w:val="005425DA"/>
    <w:rPr>
      <w:sz w:val="20"/>
      <w:szCs w:val="20"/>
    </w:rPr>
  </w:style>
  <w:style w:type="character" w:styleId="FootnoteReference">
    <w:name w:val="footnote reference"/>
    <w:basedOn w:val="DefaultParagraphFont"/>
    <w:uiPriority w:val="99"/>
    <w:semiHidden/>
    <w:unhideWhenUsed/>
    <w:rsid w:val="005425DA"/>
    <w:rPr>
      <w:vertAlign w:val="superscript"/>
    </w:rPr>
  </w:style>
  <w:style w:type="character" w:styleId="PlaceholderText">
    <w:name w:val="Placeholder Text"/>
    <w:basedOn w:val="DefaultParagraphFont"/>
    <w:uiPriority w:val="99"/>
    <w:semiHidden/>
    <w:rsid w:val="00ED4FC2"/>
    <w:rPr>
      <w:color w:val="808080"/>
    </w:rPr>
  </w:style>
  <w:style w:type="table" w:styleId="TableGrid">
    <w:name w:val="Table Grid"/>
    <w:basedOn w:val="TableNormal"/>
    <w:uiPriority w:val="59"/>
    <w:rsid w:val="0078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6A5"/>
    <w:rPr>
      <w:color w:val="0000FF"/>
      <w:u w:val="single"/>
    </w:rPr>
  </w:style>
  <w:style w:type="character" w:customStyle="1" w:styleId="UnresolvedMention1">
    <w:name w:val="Unresolved Mention1"/>
    <w:basedOn w:val="DefaultParagraphFont"/>
    <w:uiPriority w:val="99"/>
    <w:semiHidden/>
    <w:unhideWhenUsed/>
    <w:rsid w:val="004F46AD"/>
    <w:rPr>
      <w:color w:val="605E5C"/>
      <w:shd w:val="clear" w:color="auto" w:fill="E1DFDD"/>
    </w:rPr>
  </w:style>
  <w:style w:type="paragraph" w:styleId="ListParagraph">
    <w:name w:val="List Paragraph"/>
    <w:basedOn w:val="Normal"/>
    <w:uiPriority w:val="34"/>
    <w:qFormat/>
    <w:rsid w:val="005B58C3"/>
    <w:pPr>
      <w:ind w:left="720"/>
      <w:contextualSpacing/>
    </w:pPr>
  </w:style>
  <w:style w:type="paragraph" w:styleId="Header">
    <w:name w:val="header"/>
    <w:basedOn w:val="Normal"/>
    <w:link w:val="HeaderChar"/>
    <w:uiPriority w:val="99"/>
    <w:unhideWhenUsed/>
    <w:rsid w:val="0070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15"/>
  </w:style>
  <w:style w:type="paragraph" w:styleId="Footer">
    <w:name w:val="footer"/>
    <w:basedOn w:val="Normal"/>
    <w:link w:val="FooterChar"/>
    <w:uiPriority w:val="99"/>
    <w:unhideWhenUsed/>
    <w:rsid w:val="0070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15"/>
  </w:style>
  <w:style w:type="character" w:customStyle="1" w:styleId="Heading1Char">
    <w:name w:val="Heading 1 Char"/>
    <w:basedOn w:val="DefaultParagraphFont"/>
    <w:link w:val="Heading1"/>
    <w:uiPriority w:val="9"/>
    <w:rsid w:val="0096289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6289D"/>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3302">
      <w:bodyDiv w:val="1"/>
      <w:marLeft w:val="0"/>
      <w:marRight w:val="0"/>
      <w:marTop w:val="0"/>
      <w:marBottom w:val="0"/>
      <w:divBdr>
        <w:top w:val="none" w:sz="0" w:space="0" w:color="auto"/>
        <w:left w:val="none" w:sz="0" w:space="0" w:color="auto"/>
        <w:bottom w:val="none" w:sz="0" w:space="0" w:color="auto"/>
        <w:right w:val="none" w:sz="0" w:space="0" w:color="auto"/>
      </w:divBdr>
    </w:div>
    <w:div w:id="570693966">
      <w:bodyDiv w:val="1"/>
      <w:marLeft w:val="0"/>
      <w:marRight w:val="0"/>
      <w:marTop w:val="0"/>
      <w:marBottom w:val="0"/>
      <w:divBdr>
        <w:top w:val="none" w:sz="0" w:space="0" w:color="auto"/>
        <w:left w:val="none" w:sz="0" w:space="0" w:color="auto"/>
        <w:bottom w:val="none" w:sz="0" w:space="0" w:color="auto"/>
        <w:right w:val="none" w:sz="0" w:space="0" w:color="auto"/>
      </w:divBdr>
    </w:div>
    <w:div w:id="1634285172">
      <w:bodyDiv w:val="1"/>
      <w:marLeft w:val="0"/>
      <w:marRight w:val="0"/>
      <w:marTop w:val="0"/>
      <w:marBottom w:val="0"/>
      <w:divBdr>
        <w:top w:val="none" w:sz="0" w:space="0" w:color="auto"/>
        <w:left w:val="none" w:sz="0" w:space="0" w:color="auto"/>
        <w:bottom w:val="none" w:sz="0" w:space="0" w:color="auto"/>
        <w:right w:val="none" w:sz="0" w:space="0" w:color="auto"/>
      </w:divBdr>
    </w:div>
    <w:div w:id="18554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fed.org/institute/dgei/gdp.aspx"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qref.2020.01.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ncertainty.com/wui_quarterl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orlduncertaintyindex.com"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policyuncertainty.com/infectious_EM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9040-A847-4ABC-8982-7F5CDA53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Blanshard, Lisa</cp:lastModifiedBy>
  <cp:revision>3</cp:revision>
  <dcterms:created xsi:type="dcterms:W3CDTF">2020-11-05T17:18:00Z</dcterms:created>
  <dcterms:modified xsi:type="dcterms:W3CDTF">2020-11-06T11:10:00Z</dcterms:modified>
</cp:coreProperties>
</file>