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A8D02" w14:textId="77777777" w:rsidR="00C6029B" w:rsidRDefault="00C9770B" w:rsidP="00C9770B">
      <w:pPr>
        <w:spacing w:line="480" w:lineRule="auto"/>
      </w:pPr>
      <w:r>
        <w:t>Running head: INTUITIVE EATING SCALE-2</w:t>
      </w:r>
    </w:p>
    <w:p w14:paraId="031071C7" w14:textId="77777777" w:rsidR="00C9770B" w:rsidRDefault="00C9770B" w:rsidP="00C9770B">
      <w:pPr>
        <w:spacing w:line="480" w:lineRule="auto"/>
      </w:pPr>
    </w:p>
    <w:p w14:paraId="28E99013" w14:textId="77777777" w:rsidR="00C9770B" w:rsidRDefault="00C9770B" w:rsidP="00C9770B">
      <w:pPr>
        <w:spacing w:line="480" w:lineRule="auto"/>
      </w:pPr>
    </w:p>
    <w:p w14:paraId="2348E5E6" w14:textId="77777777" w:rsidR="00C9770B" w:rsidRDefault="00C9770B" w:rsidP="00C9770B">
      <w:pPr>
        <w:spacing w:line="480" w:lineRule="auto"/>
      </w:pPr>
    </w:p>
    <w:p w14:paraId="3EA86D7D" w14:textId="4BFBCC1F" w:rsidR="00C9770B" w:rsidRDefault="006970A1" w:rsidP="00C9770B">
      <w:pPr>
        <w:spacing w:line="480" w:lineRule="auto"/>
        <w:jc w:val="center"/>
      </w:pPr>
      <w:r>
        <w:t>The</w:t>
      </w:r>
      <w:r w:rsidR="00C73495">
        <w:t xml:space="preserve"> Romanian Version of the</w:t>
      </w:r>
      <w:r w:rsidR="00C9770B">
        <w:t xml:space="preserve"> Intuitive Eating Scale-2: Assessment of its Psychometric Properties and Gender Invariance in </w:t>
      </w:r>
      <w:r w:rsidR="00CB24BB">
        <w:t xml:space="preserve">Romanian </w:t>
      </w:r>
      <w:r w:rsidR="00C9770B">
        <w:t>Adults</w:t>
      </w:r>
    </w:p>
    <w:p w14:paraId="5E7D3272" w14:textId="77777777" w:rsidR="00C9770B" w:rsidRDefault="00C9770B" w:rsidP="00C9770B">
      <w:pPr>
        <w:spacing w:line="480" w:lineRule="auto"/>
        <w:jc w:val="center"/>
      </w:pPr>
    </w:p>
    <w:p w14:paraId="040517AF" w14:textId="77777777" w:rsidR="00C9770B" w:rsidRPr="00C9770B" w:rsidRDefault="00C9770B" w:rsidP="00C9770B">
      <w:pPr>
        <w:spacing w:line="480" w:lineRule="auto"/>
        <w:jc w:val="center"/>
      </w:pPr>
    </w:p>
    <w:p w14:paraId="526A4700" w14:textId="2F250480" w:rsidR="00C9770B" w:rsidRPr="00C9770B" w:rsidRDefault="00C9770B" w:rsidP="00C9770B">
      <w:pPr>
        <w:spacing w:line="480" w:lineRule="auto"/>
        <w:jc w:val="center"/>
        <w:rPr>
          <w:color w:val="111111"/>
          <w:shd w:val="clear" w:color="auto" w:fill="FFFFFF"/>
        </w:rPr>
      </w:pPr>
      <w:r w:rsidRPr="00C9770B">
        <w:t>Mona Vintil</w:t>
      </w:r>
      <w:r w:rsidRPr="00C9770B">
        <w:rPr>
          <w:color w:val="111111"/>
          <w:shd w:val="clear" w:color="auto" w:fill="FFFFFF"/>
        </w:rPr>
        <w:t>ă</w:t>
      </w:r>
      <w:r w:rsidRPr="00C9770B">
        <w:rPr>
          <w:color w:val="111111"/>
          <w:shd w:val="clear" w:color="auto" w:fill="FFFFFF"/>
          <w:vertAlign w:val="superscript"/>
        </w:rPr>
        <w:t>1</w:t>
      </w:r>
      <w:r w:rsidRPr="00C9770B">
        <w:rPr>
          <w:color w:val="111111"/>
          <w:shd w:val="clear" w:color="auto" w:fill="FFFFFF"/>
        </w:rPr>
        <w:t>, Jennifer Todd</w:t>
      </w:r>
      <w:r w:rsidRPr="00C9770B">
        <w:rPr>
          <w:color w:val="111111"/>
          <w:shd w:val="clear" w:color="auto" w:fill="FFFFFF"/>
          <w:vertAlign w:val="superscript"/>
        </w:rPr>
        <w:t>2</w:t>
      </w:r>
      <w:r w:rsidRPr="00C9770B">
        <w:rPr>
          <w:color w:val="111111"/>
          <w:shd w:val="clear" w:color="auto" w:fill="FFFFFF"/>
        </w:rPr>
        <w:t>, Cosmin Goian</w:t>
      </w:r>
      <w:r w:rsidRPr="00C9770B">
        <w:rPr>
          <w:color w:val="111111"/>
          <w:shd w:val="clear" w:color="auto" w:fill="FFFFFF"/>
          <w:vertAlign w:val="superscript"/>
        </w:rPr>
        <w:t>3</w:t>
      </w:r>
      <w:r w:rsidRPr="00C9770B">
        <w:rPr>
          <w:color w:val="111111"/>
          <w:shd w:val="clear" w:color="auto" w:fill="FFFFFF"/>
        </w:rPr>
        <w:t xml:space="preserve">, </w:t>
      </w:r>
      <w:proofErr w:type="spellStart"/>
      <w:r w:rsidRPr="00C9770B">
        <w:rPr>
          <w:color w:val="111111"/>
          <w:shd w:val="clear" w:color="auto" w:fill="FFFFFF"/>
        </w:rPr>
        <w:t>Otilia</w:t>
      </w:r>
      <w:proofErr w:type="spellEnd"/>
      <w:r w:rsidRPr="00C9770B">
        <w:rPr>
          <w:color w:val="111111"/>
          <w:shd w:val="clear" w:color="auto" w:fill="FFFFFF"/>
        </w:rPr>
        <w:t xml:space="preserve"> Tudorel</w:t>
      </w:r>
      <w:r w:rsidRPr="00C9770B">
        <w:rPr>
          <w:color w:val="111111"/>
          <w:shd w:val="clear" w:color="auto" w:fill="FFFFFF"/>
          <w:vertAlign w:val="superscript"/>
        </w:rPr>
        <w:t>1</w:t>
      </w:r>
      <w:r w:rsidRPr="00C9770B">
        <w:rPr>
          <w:color w:val="111111"/>
          <w:shd w:val="clear" w:color="auto" w:fill="FFFFFF"/>
        </w:rPr>
        <w:t>,</w:t>
      </w:r>
      <w:r w:rsidR="00CA5C9F">
        <w:rPr>
          <w:color w:val="111111"/>
          <w:shd w:val="clear" w:color="auto" w:fill="FFFFFF"/>
        </w:rPr>
        <w:t xml:space="preserve"> C. A. Barbat</w:t>
      </w:r>
      <w:r w:rsidR="00CA5C9F">
        <w:rPr>
          <w:color w:val="111111"/>
          <w:shd w:val="clear" w:color="auto" w:fill="FFFFFF"/>
          <w:vertAlign w:val="superscript"/>
        </w:rPr>
        <w:t>3</w:t>
      </w:r>
      <w:r w:rsidR="00CA5C9F">
        <w:rPr>
          <w:color w:val="111111"/>
          <w:shd w:val="clear" w:color="auto" w:fill="FFFFFF"/>
        </w:rPr>
        <w:t>,</w:t>
      </w:r>
      <w:r w:rsidRPr="00C9770B">
        <w:rPr>
          <w:color w:val="111111"/>
          <w:shd w:val="clear" w:color="auto" w:fill="FFFFFF"/>
        </w:rPr>
        <w:t xml:space="preserve"> &amp; Viren Swami</w:t>
      </w:r>
      <w:r w:rsidRPr="00C9770B">
        <w:rPr>
          <w:color w:val="111111"/>
          <w:shd w:val="clear" w:color="auto" w:fill="FFFFFF"/>
          <w:vertAlign w:val="superscript"/>
        </w:rPr>
        <w:t>2,4</w:t>
      </w:r>
    </w:p>
    <w:p w14:paraId="5232AE34" w14:textId="77777777" w:rsidR="00C9770B" w:rsidRPr="00C9770B" w:rsidRDefault="00C9770B" w:rsidP="00C9770B">
      <w:pPr>
        <w:spacing w:line="480" w:lineRule="auto"/>
        <w:jc w:val="center"/>
        <w:rPr>
          <w:color w:val="111111"/>
          <w:shd w:val="clear" w:color="auto" w:fill="FFFFFF"/>
        </w:rPr>
      </w:pPr>
    </w:p>
    <w:p w14:paraId="7D51ED9C" w14:textId="77777777" w:rsidR="00C9770B" w:rsidRPr="00C9770B" w:rsidRDefault="00C9770B" w:rsidP="00C9770B">
      <w:pPr>
        <w:spacing w:line="480" w:lineRule="auto"/>
        <w:jc w:val="center"/>
        <w:rPr>
          <w:color w:val="000000" w:themeColor="text1"/>
          <w:shd w:val="clear" w:color="auto" w:fill="FFFFFF"/>
        </w:rPr>
      </w:pPr>
      <w:r w:rsidRPr="00C9770B">
        <w:rPr>
          <w:color w:val="111111"/>
          <w:shd w:val="clear" w:color="auto" w:fill="FFFFFF"/>
          <w:vertAlign w:val="superscript"/>
        </w:rPr>
        <w:t>1</w:t>
      </w:r>
      <w:r w:rsidRPr="00C9770B">
        <w:rPr>
          <w:color w:val="000000" w:themeColor="text1"/>
        </w:rPr>
        <w:t xml:space="preserve">Department of Psychology, West University of </w:t>
      </w:r>
      <w:proofErr w:type="spellStart"/>
      <w:r w:rsidRPr="00C9770B">
        <w:rPr>
          <w:color w:val="000000" w:themeColor="text1"/>
        </w:rPr>
        <w:t>Tim</w:t>
      </w:r>
      <w:r w:rsidRPr="00C9770B">
        <w:rPr>
          <w:color w:val="000000" w:themeColor="text1"/>
          <w:shd w:val="clear" w:color="auto" w:fill="FFFFFF"/>
        </w:rPr>
        <w:t>ișoara</w:t>
      </w:r>
      <w:proofErr w:type="spellEnd"/>
      <w:r w:rsidRPr="00C9770B">
        <w:rPr>
          <w:color w:val="000000" w:themeColor="text1"/>
          <w:shd w:val="clear" w:color="auto" w:fill="FFFFFF"/>
        </w:rPr>
        <w:t xml:space="preserve">, </w:t>
      </w:r>
      <w:proofErr w:type="spellStart"/>
      <w:r w:rsidRPr="00C9770B">
        <w:rPr>
          <w:color w:val="000000" w:themeColor="text1"/>
        </w:rPr>
        <w:t>Tim</w:t>
      </w:r>
      <w:r w:rsidRPr="00C9770B">
        <w:rPr>
          <w:color w:val="000000" w:themeColor="text1"/>
          <w:shd w:val="clear" w:color="auto" w:fill="FFFFFF"/>
        </w:rPr>
        <w:t>ișoara</w:t>
      </w:r>
      <w:proofErr w:type="spellEnd"/>
      <w:r w:rsidRPr="00C9770B">
        <w:rPr>
          <w:color w:val="000000" w:themeColor="text1"/>
          <w:shd w:val="clear" w:color="auto" w:fill="FFFFFF"/>
        </w:rPr>
        <w:t>, Romania</w:t>
      </w:r>
    </w:p>
    <w:p w14:paraId="4B156904" w14:textId="77777777" w:rsidR="00C9770B" w:rsidRPr="00C9770B" w:rsidRDefault="00C9770B" w:rsidP="00C9770B">
      <w:pPr>
        <w:spacing w:line="480" w:lineRule="auto"/>
        <w:jc w:val="center"/>
      </w:pPr>
      <w:r w:rsidRPr="00C9770B">
        <w:rPr>
          <w:color w:val="000000" w:themeColor="text1"/>
          <w:shd w:val="clear" w:color="auto" w:fill="FFFFFF"/>
          <w:vertAlign w:val="superscript"/>
        </w:rPr>
        <w:t>2</w:t>
      </w:r>
      <w:r w:rsidRPr="00C9770B">
        <w:t>School of Psychology and Sport Science, Anglia Ruskin University, Cambridge, UK</w:t>
      </w:r>
    </w:p>
    <w:p w14:paraId="0F6A954C" w14:textId="77777777" w:rsidR="00C9770B" w:rsidRPr="00C9770B" w:rsidRDefault="00C9770B" w:rsidP="00C9770B">
      <w:pPr>
        <w:spacing w:line="480" w:lineRule="auto"/>
        <w:jc w:val="center"/>
        <w:rPr>
          <w:color w:val="000000" w:themeColor="text1"/>
          <w:shd w:val="clear" w:color="auto" w:fill="FFFFFF"/>
        </w:rPr>
      </w:pPr>
      <w:r w:rsidRPr="00C9770B">
        <w:rPr>
          <w:vertAlign w:val="superscript"/>
        </w:rPr>
        <w:t>3</w:t>
      </w:r>
      <w:r w:rsidRPr="00C9770B">
        <w:rPr>
          <w:color w:val="000000" w:themeColor="text1"/>
          <w:shd w:val="clear" w:color="auto" w:fill="FFFFFF"/>
        </w:rPr>
        <w:t xml:space="preserve">Department of Social Work, </w:t>
      </w:r>
      <w:r w:rsidRPr="00C9770B">
        <w:rPr>
          <w:color w:val="000000" w:themeColor="text1"/>
        </w:rPr>
        <w:t xml:space="preserve">West University of </w:t>
      </w:r>
      <w:proofErr w:type="spellStart"/>
      <w:r w:rsidRPr="00C9770B">
        <w:rPr>
          <w:color w:val="000000" w:themeColor="text1"/>
        </w:rPr>
        <w:t>Tim</w:t>
      </w:r>
      <w:r w:rsidRPr="00C9770B">
        <w:rPr>
          <w:color w:val="000000" w:themeColor="text1"/>
          <w:shd w:val="clear" w:color="auto" w:fill="FFFFFF"/>
        </w:rPr>
        <w:t>ișoara</w:t>
      </w:r>
      <w:proofErr w:type="spellEnd"/>
      <w:r w:rsidRPr="00C9770B">
        <w:rPr>
          <w:color w:val="000000" w:themeColor="text1"/>
          <w:shd w:val="clear" w:color="auto" w:fill="FFFFFF"/>
        </w:rPr>
        <w:t xml:space="preserve">, </w:t>
      </w:r>
      <w:proofErr w:type="spellStart"/>
      <w:r w:rsidRPr="00C9770B">
        <w:rPr>
          <w:color w:val="000000" w:themeColor="text1"/>
        </w:rPr>
        <w:t>Tim</w:t>
      </w:r>
      <w:r w:rsidRPr="00C9770B">
        <w:rPr>
          <w:color w:val="000000" w:themeColor="text1"/>
          <w:shd w:val="clear" w:color="auto" w:fill="FFFFFF"/>
        </w:rPr>
        <w:t>ișoara</w:t>
      </w:r>
      <w:proofErr w:type="spellEnd"/>
      <w:r w:rsidRPr="00C9770B">
        <w:rPr>
          <w:color w:val="000000" w:themeColor="text1"/>
          <w:shd w:val="clear" w:color="auto" w:fill="FFFFFF"/>
        </w:rPr>
        <w:t>, Romania</w:t>
      </w:r>
    </w:p>
    <w:p w14:paraId="06EE4C18" w14:textId="77777777" w:rsidR="00C9770B" w:rsidRDefault="00C9770B" w:rsidP="00C9770B">
      <w:pPr>
        <w:spacing w:line="480" w:lineRule="auto"/>
        <w:jc w:val="center"/>
      </w:pPr>
      <w:r w:rsidRPr="00C9770B">
        <w:rPr>
          <w:vertAlign w:val="superscript"/>
        </w:rPr>
        <w:t>4</w:t>
      </w:r>
      <w:r w:rsidRPr="00C9770B">
        <w:t xml:space="preserve">Centre for Psychological Medicine, </w:t>
      </w:r>
      <w:proofErr w:type="spellStart"/>
      <w:r w:rsidRPr="00C9770B">
        <w:t>Perdana</w:t>
      </w:r>
      <w:proofErr w:type="spellEnd"/>
      <w:r w:rsidRPr="00C9770B">
        <w:t xml:space="preserve"> University, </w:t>
      </w:r>
      <w:proofErr w:type="spellStart"/>
      <w:r w:rsidRPr="00C9770B">
        <w:t>Serdang</w:t>
      </w:r>
      <w:proofErr w:type="spellEnd"/>
      <w:r w:rsidRPr="00C9770B">
        <w:t>, Malaysia</w:t>
      </w:r>
    </w:p>
    <w:p w14:paraId="7EE9F321" w14:textId="77777777" w:rsidR="00C9770B" w:rsidRDefault="00C9770B" w:rsidP="00C9770B">
      <w:pPr>
        <w:spacing w:line="480" w:lineRule="auto"/>
        <w:jc w:val="center"/>
      </w:pPr>
    </w:p>
    <w:p w14:paraId="702144F4" w14:textId="77777777" w:rsidR="00C9770B" w:rsidRDefault="00C9770B" w:rsidP="00C9770B">
      <w:pPr>
        <w:spacing w:line="480" w:lineRule="auto"/>
        <w:jc w:val="center"/>
      </w:pPr>
    </w:p>
    <w:p w14:paraId="475F2A2B" w14:textId="77777777" w:rsidR="00C9770B" w:rsidRDefault="00C9770B" w:rsidP="00C9770B">
      <w:pPr>
        <w:spacing w:line="480" w:lineRule="auto"/>
        <w:jc w:val="center"/>
      </w:pPr>
    </w:p>
    <w:p w14:paraId="28E19242" w14:textId="77777777" w:rsidR="00C9770B" w:rsidRDefault="00C9770B" w:rsidP="00C9770B">
      <w:pPr>
        <w:spacing w:line="480" w:lineRule="auto"/>
        <w:jc w:val="center"/>
      </w:pPr>
    </w:p>
    <w:p w14:paraId="70B4B142" w14:textId="77777777" w:rsidR="00C9770B" w:rsidRPr="00C9770B" w:rsidRDefault="00C9770B" w:rsidP="00C9770B">
      <w:pPr>
        <w:spacing w:line="480" w:lineRule="auto"/>
        <w:jc w:val="center"/>
      </w:pPr>
    </w:p>
    <w:p w14:paraId="5F013586" w14:textId="77777777" w:rsidR="00C9770B" w:rsidRPr="00C9770B" w:rsidRDefault="00C9770B" w:rsidP="00C9770B">
      <w:pPr>
        <w:spacing w:line="480" w:lineRule="auto"/>
        <w:jc w:val="center"/>
      </w:pPr>
    </w:p>
    <w:p w14:paraId="625BFD85" w14:textId="1CA35012" w:rsidR="00C9770B" w:rsidRDefault="00C9770B" w:rsidP="00C9770B">
      <w:pPr>
        <w:spacing w:line="480" w:lineRule="auto"/>
      </w:pPr>
      <w:r w:rsidRPr="00C9770B">
        <w:t xml:space="preserve">Address correspondence to: </w:t>
      </w:r>
      <w:proofErr w:type="spellStart"/>
      <w:r w:rsidR="004833B8">
        <w:t>Prof.</w:t>
      </w:r>
      <w:proofErr w:type="spellEnd"/>
      <w:r w:rsidR="004833B8">
        <w:t xml:space="preserve"> Viren Swami, School of Psychology and Sport Science, Anglia Ruskin University, East Road, Cambridge, Cambridgeshire CB1 1PT, United Kingdom. Email: </w:t>
      </w:r>
      <w:hyperlink r:id="rId7" w:history="1">
        <w:r w:rsidR="004833B8" w:rsidRPr="00B26354">
          <w:rPr>
            <w:rStyle w:val="Hyperlink"/>
          </w:rPr>
          <w:t>viren.swami@anglia.ac.uk</w:t>
        </w:r>
      </w:hyperlink>
    </w:p>
    <w:p w14:paraId="7E19B725" w14:textId="77777777" w:rsidR="00C9770B" w:rsidRDefault="00C9770B">
      <w:pPr>
        <w:rPr>
          <w:color w:val="000000" w:themeColor="text1"/>
          <w:shd w:val="clear" w:color="auto" w:fill="FFFFFF"/>
        </w:rPr>
      </w:pPr>
      <w:r>
        <w:rPr>
          <w:color w:val="000000" w:themeColor="text1"/>
          <w:shd w:val="clear" w:color="auto" w:fill="FFFFFF"/>
        </w:rPr>
        <w:br w:type="page"/>
      </w:r>
    </w:p>
    <w:p w14:paraId="3B9412DC" w14:textId="77777777" w:rsidR="00C9770B" w:rsidRDefault="00C9770B" w:rsidP="003D14E9">
      <w:pPr>
        <w:pStyle w:val="Heading1"/>
        <w:jc w:val="center"/>
        <w:rPr>
          <w:shd w:val="clear" w:color="auto" w:fill="FFFFFF"/>
        </w:rPr>
      </w:pPr>
      <w:r>
        <w:rPr>
          <w:shd w:val="clear" w:color="auto" w:fill="FFFFFF"/>
        </w:rPr>
        <w:lastRenderedPageBreak/>
        <w:t>Abstract</w:t>
      </w:r>
    </w:p>
    <w:p w14:paraId="4AEBC158" w14:textId="4860D1F9" w:rsidR="00C9770B" w:rsidRPr="00662054" w:rsidRDefault="00FA68AB" w:rsidP="00C9770B">
      <w:pPr>
        <w:spacing w:line="480" w:lineRule="auto"/>
        <w:rPr>
          <w:i/>
          <w:color w:val="000000" w:themeColor="text1"/>
          <w:shd w:val="clear" w:color="auto" w:fill="FFFFFF"/>
        </w:rPr>
      </w:pPr>
      <w:r>
        <w:rPr>
          <w:color w:val="000000" w:themeColor="text1"/>
          <w:shd w:val="clear" w:color="auto" w:fill="FFFFFF"/>
        </w:rPr>
        <w:t xml:space="preserve">The construct of intuitive eating </w:t>
      </w:r>
      <w:proofErr w:type="gramStart"/>
      <w:r>
        <w:rPr>
          <w:color w:val="000000" w:themeColor="text1"/>
          <w:shd w:val="clear" w:color="auto" w:fill="FFFFFF"/>
        </w:rPr>
        <w:t>is most often measured</w:t>
      </w:r>
      <w:proofErr w:type="gramEnd"/>
      <w:r>
        <w:rPr>
          <w:color w:val="000000" w:themeColor="text1"/>
          <w:shd w:val="clear" w:color="auto" w:fill="FFFFFF"/>
        </w:rPr>
        <w:t xml:space="preserve"> using the 23-item Intuitive Eating Scale-2 (IES-2). Here, </w:t>
      </w:r>
      <w:r w:rsidR="00307593">
        <w:rPr>
          <w:color w:val="000000" w:themeColor="text1"/>
          <w:shd w:val="clear" w:color="auto" w:fill="FFFFFF"/>
        </w:rPr>
        <w:t xml:space="preserve">we </w:t>
      </w:r>
      <w:r>
        <w:rPr>
          <w:color w:val="000000" w:themeColor="text1"/>
          <w:shd w:val="clear" w:color="auto" w:fill="FFFFFF"/>
        </w:rPr>
        <w:t xml:space="preserve">examined the psychometrics of a Romanian translation of the IES-2. </w:t>
      </w:r>
      <w:r w:rsidR="00662054">
        <w:rPr>
          <w:color w:val="000000" w:themeColor="text1"/>
          <w:shd w:val="clear" w:color="auto" w:fill="FFFFFF"/>
        </w:rPr>
        <w:t>Eight-hundred-and-thirty</w:t>
      </w:r>
      <w:r>
        <w:rPr>
          <w:color w:val="000000" w:themeColor="text1"/>
          <w:shd w:val="clear" w:color="auto" w:fill="FFFFFF"/>
        </w:rPr>
        <w:t xml:space="preserve"> Romanian adults completed the IES-2 along with measures of positive body image, symptoms of disordered eating, and psychological well-being. Exploratory factor analyses (EFAs) with a split-half subsample (</w:t>
      </w:r>
      <w:r>
        <w:rPr>
          <w:i/>
          <w:color w:val="000000" w:themeColor="text1"/>
          <w:shd w:val="clear" w:color="auto" w:fill="FFFFFF"/>
        </w:rPr>
        <w:t>n</w:t>
      </w:r>
      <w:r>
        <w:rPr>
          <w:color w:val="000000" w:themeColor="text1"/>
          <w:shd w:val="clear" w:color="auto" w:fill="FFFFFF"/>
        </w:rPr>
        <w:t xml:space="preserve"> = 420) indicated that IES-2 scores reduced to </w:t>
      </w:r>
      <w:r w:rsidR="000C4943">
        <w:rPr>
          <w:color w:val="000000" w:themeColor="text1"/>
          <w:shd w:val="clear" w:color="auto" w:fill="FFFFFF"/>
        </w:rPr>
        <w:t>three</w:t>
      </w:r>
      <w:r>
        <w:rPr>
          <w:color w:val="000000" w:themeColor="text1"/>
          <w:shd w:val="clear" w:color="auto" w:fill="FFFFFF"/>
        </w:rPr>
        <w:t xml:space="preserve"> factors in women and </w:t>
      </w:r>
      <w:r w:rsidR="000C4943">
        <w:rPr>
          <w:color w:val="000000" w:themeColor="text1"/>
          <w:shd w:val="clear" w:color="auto" w:fill="FFFFFF"/>
        </w:rPr>
        <w:t>four</w:t>
      </w:r>
      <w:r>
        <w:rPr>
          <w:color w:val="000000" w:themeColor="text1"/>
          <w:shd w:val="clear" w:color="auto" w:fill="FFFFFF"/>
        </w:rPr>
        <w:t xml:space="preserve"> in men, both of which diverged from the parent model. Confirmatory factor analysis with a second split-half sample (</w:t>
      </w:r>
      <w:r>
        <w:rPr>
          <w:i/>
          <w:color w:val="000000" w:themeColor="text1"/>
          <w:shd w:val="clear" w:color="auto" w:fill="FFFFFF"/>
        </w:rPr>
        <w:t>n</w:t>
      </w:r>
      <w:r>
        <w:rPr>
          <w:color w:val="000000" w:themeColor="text1"/>
          <w:shd w:val="clear" w:color="auto" w:fill="FFFFFF"/>
        </w:rPr>
        <w:t xml:space="preserve"> = 410) indicated that the parent model had poor fit indices, whereas </w:t>
      </w:r>
      <w:r w:rsidR="00662054">
        <w:rPr>
          <w:color w:val="000000" w:themeColor="text1"/>
          <w:shd w:val="clear" w:color="auto" w:fill="FFFFFF"/>
        </w:rPr>
        <w:t>fit of the EFA-derived models were acceptable but not uniformly ideal. Scores on the 3-factor model – which had comparatively better fit of the models</w:t>
      </w:r>
      <w:r w:rsidR="000C4943">
        <w:rPr>
          <w:color w:val="000000" w:themeColor="text1"/>
          <w:shd w:val="clear" w:color="auto" w:fill="FFFFFF"/>
        </w:rPr>
        <w:t xml:space="preserve"> tested</w:t>
      </w:r>
      <w:r w:rsidR="00662054">
        <w:rPr>
          <w:color w:val="000000" w:themeColor="text1"/>
          <w:shd w:val="clear" w:color="auto" w:fill="FFFFFF"/>
        </w:rPr>
        <w:t xml:space="preserve"> – had adequate internal consistency and evidenced scalar invariance across gender. However, evidence of test-retest reliability after four weeks (</w:t>
      </w:r>
      <w:r w:rsidR="00662054">
        <w:rPr>
          <w:i/>
          <w:color w:val="000000" w:themeColor="text1"/>
          <w:shd w:val="clear" w:color="auto" w:fill="FFFFFF"/>
        </w:rPr>
        <w:t>n</w:t>
      </w:r>
      <w:r w:rsidR="00662054">
        <w:rPr>
          <w:color w:val="000000" w:themeColor="text1"/>
          <w:shd w:val="clear" w:color="auto" w:fill="FFFFFF"/>
        </w:rPr>
        <w:t xml:space="preserve"> = 205) was </w:t>
      </w:r>
      <w:r w:rsidR="000C4943">
        <w:rPr>
          <w:color w:val="000000" w:themeColor="text1"/>
          <w:shd w:val="clear" w:color="auto" w:fill="FFFFFF"/>
        </w:rPr>
        <w:t>poor</w:t>
      </w:r>
      <w:r w:rsidR="00662054">
        <w:rPr>
          <w:color w:val="000000" w:themeColor="text1"/>
          <w:shd w:val="clear" w:color="auto" w:fill="FFFFFF"/>
        </w:rPr>
        <w:t xml:space="preserve"> and evidence of construct validity, assessed through correlations with additional measures included in the survey, was weak at best. Based on these results, we question the degree to which the construct of intuitive eating can be applied to nations undergoing nutrition transitions. </w:t>
      </w:r>
    </w:p>
    <w:p w14:paraId="516529A8" w14:textId="4649277C" w:rsidR="00C9770B" w:rsidRPr="00662054" w:rsidRDefault="00C9770B" w:rsidP="00662054">
      <w:pPr>
        <w:spacing w:line="480" w:lineRule="auto"/>
        <w:ind w:firstLine="720"/>
        <w:rPr>
          <w:color w:val="000000" w:themeColor="text1"/>
          <w:shd w:val="clear" w:color="auto" w:fill="FFFFFF"/>
        </w:rPr>
      </w:pPr>
      <w:r>
        <w:rPr>
          <w:b/>
          <w:color w:val="000000" w:themeColor="text1"/>
          <w:shd w:val="clear" w:color="auto" w:fill="FFFFFF"/>
        </w:rPr>
        <w:t>Keywords:</w:t>
      </w:r>
      <w:r w:rsidR="00662054">
        <w:rPr>
          <w:b/>
          <w:color w:val="000000" w:themeColor="text1"/>
          <w:shd w:val="clear" w:color="auto" w:fill="FFFFFF"/>
        </w:rPr>
        <w:t xml:space="preserve"> </w:t>
      </w:r>
      <w:r w:rsidR="00662054">
        <w:rPr>
          <w:color w:val="000000" w:themeColor="text1"/>
          <w:shd w:val="clear" w:color="auto" w:fill="FFFFFF"/>
        </w:rPr>
        <w:t>Intuitive eating; Psychometrics; Eating styles; Test adaptation; Romania</w:t>
      </w:r>
    </w:p>
    <w:p w14:paraId="30FBDFF5" w14:textId="77777777" w:rsidR="00C9770B" w:rsidRDefault="00C9770B">
      <w:pPr>
        <w:rPr>
          <w:b/>
          <w:color w:val="000000" w:themeColor="text1"/>
          <w:shd w:val="clear" w:color="auto" w:fill="FFFFFF"/>
        </w:rPr>
      </w:pPr>
      <w:r>
        <w:rPr>
          <w:b/>
          <w:color w:val="000000" w:themeColor="text1"/>
          <w:shd w:val="clear" w:color="auto" w:fill="FFFFFF"/>
        </w:rPr>
        <w:br w:type="page"/>
      </w:r>
    </w:p>
    <w:p w14:paraId="49CB903F" w14:textId="77777777" w:rsidR="00C9770B" w:rsidRDefault="00C9770B" w:rsidP="003D14E9">
      <w:pPr>
        <w:pStyle w:val="Heading1"/>
        <w:jc w:val="center"/>
        <w:rPr>
          <w:shd w:val="clear" w:color="auto" w:fill="FFFFFF"/>
        </w:rPr>
      </w:pPr>
      <w:r>
        <w:rPr>
          <w:shd w:val="clear" w:color="auto" w:fill="FFFFFF"/>
        </w:rPr>
        <w:lastRenderedPageBreak/>
        <w:t>1. Introduction</w:t>
      </w:r>
    </w:p>
    <w:p w14:paraId="21699D5A" w14:textId="77777777" w:rsidR="00C9770B" w:rsidRDefault="00C9770B" w:rsidP="00C9770B">
      <w:pPr>
        <w:spacing w:line="480" w:lineRule="auto"/>
      </w:pPr>
      <w:r>
        <w:rPr>
          <w:b/>
          <w:color w:val="000000" w:themeColor="text1"/>
          <w:shd w:val="clear" w:color="auto" w:fill="FFFFFF"/>
        </w:rPr>
        <w:tab/>
      </w:r>
      <w:r>
        <w:rPr>
          <w:i/>
          <w:color w:val="000000" w:themeColor="text1"/>
          <w:shd w:val="clear" w:color="auto" w:fill="FFFFFF"/>
        </w:rPr>
        <w:t>Intuitive eating</w:t>
      </w:r>
      <w:r>
        <w:rPr>
          <w:color w:val="000000" w:themeColor="text1"/>
          <w:shd w:val="clear" w:color="auto" w:fill="FFFFFF"/>
        </w:rPr>
        <w:t xml:space="preserve"> refers to a set of </w:t>
      </w:r>
      <w:r w:rsidR="000D67D2">
        <w:rPr>
          <w:color w:val="000000" w:themeColor="text1"/>
          <w:shd w:val="clear" w:color="auto" w:fill="FFFFFF"/>
        </w:rPr>
        <w:t>adaptive, healthy eating behaviours characterised by a reliance on internal hunger and satiety cues instead of situational and emotional cues (</w:t>
      </w:r>
      <w:proofErr w:type="spellStart"/>
      <w:r w:rsidR="000D67D2">
        <w:rPr>
          <w:color w:val="000000" w:themeColor="text1"/>
          <w:shd w:val="clear" w:color="auto" w:fill="FFFFFF"/>
        </w:rPr>
        <w:t>Tribole</w:t>
      </w:r>
      <w:proofErr w:type="spellEnd"/>
      <w:r w:rsidR="000D67D2">
        <w:rPr>
          <w:color w:val="000000" w:themeColor="text1"/>
          <w:shd w:val="clear" w:color="auto" w:fill="FFFFFF"/>
        </w:rPr>
        <w:t xml:space="preserve">, 2017; </w:t>
      </w:r>
      <w:proofErr w:type="spellStart"/>
      <w:r w:rsidR="000D67D2">
        <w:rPr>
          <w:color w:val="000000" w:themeColor="text1"/>
          <w:shd w:val="clear" w:color="auto" w:fill="FFFFFF"/>
        </w:rPr>
        <w:t>Tribole</w:t>
      </w:r>
      <w:proofErr w:type="spellEnd"/>
      <w:r w:rsidR="000D67D2">
        <w:rPr>
          <w:color w:val="000000" w:themeColor="text1"/>
          <w:shd w:val="clear" w:color="auto" w:fill="FFFFFF"/>
        </w:rPr>
        <w:t xml:space="preserve"> &amp; Resch, 2012; </w:t>
      </w:r>
      <w:proofErr w:type="spellStart"/>
      <w:r w:rsidR="000D67D2">
        <w:rPr>
          <w:color w:val="000000" w:themeColor="text1"/>
          <w:shd w:val="clear" w:color="auto" w:fill="FFFFFF"/>
        </w:rPr>
        <w:t>Tylka</w:t>
      </w:r>
      <w:proofErr w:type="spellEnd"/>
      <w:r w:rsidR="000D67D2">
        <w:rPr>
          <w:color w:val="000000" w:themeColor="text1"/>
          <w:shd w:val="clear" w:color="auto" w:fill="FFFFFF"/>
        </w:rPr>
        <w:t>, 2006). The construct is theoretically grounded on the distinction between physical and emotional hunger, with the former being linked to an intrinsic ability to self-regulate food intake (</w:t>
      </w:r>
      <w:proofErr w:type="spellStart"/>
      <w:r w:rsidR="000D67D2">
        <w:rPr>
          <w:color w:val="000000" w:themeColor="text1"/>
          <w:shd w:val="clear" w:color="auto" w:fill="FFFFFF"/>
        </w:rPr>
        <w:t>Tribole</w:t>
      </w:r>
      <w:proofErr w:type="spellEnd"/>
      <w:r w:rsidR="000D67D2">
        <w:rPr>
          <w:color w:val="000000" w:themeColor="text1"/>
          <w:shd w:val="clear" w:color="auto" w:fill="FFFFFF"/>
        </w:rPr>
        <w:t xml:space="preserve">, 2017). More specifically, individuals who eat intuitively are aware and trust their body’s </w:t>
      </w:r>
      <w:r>
        <w:t>physiological cues, give themselves unconditional permission to eat, are not preoccupied with food and dieting, and choose foods for the purpose of supporting or enhancing their body’s functioning (</w:t>
      </w:r>
      <w:proofErr w:type="spellStart"/>
      <w:r>
        <w:t>Tylka</w:t>
      </w:r>
      <w:proofErr w:type="spellEnd"/>
      <w:r>
        <w:t xml:space="preserve"> &amp; Kroon Van </w:t>
      </w:r>
      <w:proofErr w:type="spellStart"/>
      <w:r>
        <w:t>Diest</w:t>
      </w:r>
      <w:proofErr w:type="spellEnd"/>
      <w:r>
        <w:t xml:space="preserve">, 2013). </w:t>
      </w:r>
      <w:r w:rsidR="000D67D2">
        <w:t xml:space="preserve">A growing body of evidence indicates that intuitive eating is associated with lower body mass indices </w:t>
      </w:r>
      <w:r>
        <w:t xml:space="preserve">(e.g., </w:t>
      </w:r>
      <w:proofErr w:type="spellStart"/>
      <w:r>
        <w:t>Camilleri</w:t>
      </w:r>
      <w:proofErr w:type="spellEnd"/>
      <w:r>
        <w:t xml:space="preserve"> et al., 2016; </w:t>
      </w:r>
      <w:proofErr w:type="spellStart"/>
      <w:r>
        <w:t>Tylka</w:t>
      </w:r>
      <w:proofErr w:type="spellEnd"/>
      <w:r w:rsidR="000D67D2">
        <w:t xml:space="preserve"> et al.</w:t>
      </w:r>
      <w:r>
        <w:t>, 2015)</w:t>
      </w:r>
      <w:r w:rsidR="000D67D2">
        <w:t xml:space="preserve"> and </w:t>
      </w:r>
      <w:r>
        <w:t>weight stability (</w:t>
      </w:r>
      <w:proofErr w:type="spellStart"/>
      <w:r>
        <w:t>Tylka</w:t>
      </w:r>
      <w:proofErr w:type="spellEnd"/>
      <w:r w:rsidR="000D67D2">
        <w:t xml:space="preserve"> et al.</w:t>
      </w:r>
      <w:r>
        <w:t>, 20</w:t>
      </w:r>
      <w:r w:rsidR="00EB1ED2">
        <w:t>20</w:t>
      </w:r>
      <w:r>
        <w:t>)</w:t>
      </w:r>
      <w:r w:rsidR="000D67D2">
        <w:t xml:space="preserve">, as well as more positive psychological </w:t>
      </w:r>
      <w:r w:rsidR="00EB1ED2">
        <w:t>health</w:t>
      </w:r>
      <w:r>
        <w:t xml:space="preserve"> (e.g.</w:t>
      </w:r>
      <w:r w:rsidR="00EB1ED2">
        <w:t>,</w:t>
      </w:r>
      <w:r>
        <w:t xml:space="preserve"> Homan &amp; </w:t>
      </w:r>
      <w:proofErr w:type="spellStart"/>
      <w:r>
        <w:t>Tylka</w:t>
      </w:r>
      <w:proofErr w:type="spellEnd"/>
      <w:r>
        <w:t xml:space="preserve">, 2018; </w:t>
      </w:r>
      <w:r w:rsidR="000D67D2">
        <w:t xml:space="preserve">Hazzard et al., 2020; </w:t>
      </w:r>
      <w:proofErr w:type="spellStart"/>
      <w:r>
        <w:t>Keirns</w:t>
      </w:r>
      <w:proofErr w:type="spellEnd"/>
      <w:r>
        <w:t xml:space="preserve"> &amp; Hawkins, 2019; </w:t>
      </w:r>
      <w:proofErr w:type="spellStart"/>
      <w:r>
        <w:t>Tylka</w:t>
      </w:r>
      <w:proofErr w:type="spellEnd"/>
      <w:r>
        <w:t xml:space="preserve"> &amp; Kroon Van </w:t>
      </w:r>
      <w:proofErr w:type="spellStart"/>
      <w:r>
        <w:t>Diest</w:t>
      </w:r>
      <w:proofErr w:type="spellEnd"/>
      <w:r>
        <w:t xml:space="preserve">, 2013) and healthy eating behaviours (Barad et al., 2019; Craven &amp; </w:t>
      </w:r>
      <w:proofErr w:type="spellStart"/>
      <w:r>
        <w:t>Fekete</w:t>
      </w:r>
      <w:proofErr w:type="spellEnd"/>
      <w:r>
        <w:t xml:space="preserve">, 2019; </w:t>
      </w:r>
      <w:proofErr w:type="spellStart"/>
      <w:r>
        <w:t>Horwath</w:t>
      </w:r>
      <w:proofErr w:type="spellEnd"/>
      <w:r w:rsidR="000D67D2">
        <w:t xml:space="preserve"> et al.</w:t>
      </w:r>
      <w:r>
        <w:t xml:space="preserve">, 2019; </w:t>
      </w:r>
      <w:proofErr w:type="spellStart"/>
      <w:r>
        <w:t>Soulliard</w:t>
      </w:r>
      <w:proofErr w:type="spellEnd"/>
      <w:r>
        <w:t xml:space="preserve"> &amp; van der </w:t>
      </w:r>
      <w:proofErr w:type="spellStart"/>
      <w:r>
        <w:t>Wal</w:t>
      </w:r>
      <w:proofErr w:type="spellEnd"/>
      <w:r>
        <w:t xml:space="preserve">, 2019). </w:t>
      </w:r>
    </w:p>
    <w:p w14:paraId="6BC63EB7" w14:textId="4D6DD419" w:rsidR="008E155C" w:rsidRDefault="000D67D2" w:rsidP="000D67D2">
      <w:pPr>
        <w:spacing w:line="480" w:lineRule="auto"/>
      </w:pPr>
      <w:r>
        <w:tab/>
        <w:t xml:space="preserve">To operationalise the construct of intuitive eating, </w:t>
      </w:r>
      <w:proofErr w:type="spellStart"/>
      <w:r>
        <w:t>Tylka</w:t>
      </w:r>
      <w:proofErr w:type="spellEnd"/>
      <w:r>
        <w:t xml:space="preserve"> (2006) developed the Intuitive Eating Scale (IES). This is a 21-item instrument measuring three facets of intuitive eating, namely </w:t>
      </w:r>
      <w:r w:rsidRPr="000D67D2">
        <w:rPr>
          <w:i/>
        </w:rPr>
        <w:t>u</w:t>
      </w:r>
      <w:r w:rsidR="00C9770B" w:rsidRPr="000D67D2">
        <w:rPr>
          <w:i/>
        </w:rPr>
        <w:t xml:space="preserve">nconditional </w:t>
      </w:r>
      <w:r w:rsidRPr="000D67D2">
        <w:rPr>
          <w:i/>
        </w:rPr>
        <w:t>p</w:t>
      </w:r>
      <w:r w:rsidR="00C9770B" w:rsidRPr="000D67D2">
        <w:rPr>
          <w:i/>
        </w:rPr>
        <w:t xml:space="preserve">ermission to </w:t>
      </w:r>
      <w:r w:rsidRPr="000D67D2">
        <w:rPr>
          <w:i/>
        </w:rPr>
        <w:t>e</w:t>
      </w:r>
      <w:r w:rsidR="00C9770B" w:rsidRPr="000D67D2">
        <w:rPr>
          <w:i/>
        </w:rPr>
        <w:t>at</w:t>
      </w:r>
      <w:r w:rsidR="00C9770B">
        <w:t xml:space="preserve"> (</w:t>
      </w:r>
      <w:r>
        <w:t xml:space="preserve">i.e., </w:t>
      </w:r>
      <w:r w:rsidR="00C9770B">
        <w:t xml:space="preserve">an individual’s willingness to eat when hungry and a refusal to label certain foods as forbidden), </w:t>
      </w:r>
      <w:r w:rsidRPr="000D67D2">
        <w:rPr>
          <w:i/>
        </w:rPr>
        <w:t>e</w:t>
      </w:r>
      <w:r w:rsidR="00C9770B" w:rsidRPr="000D67D2">
        <w:rPr>
          <w:i/>
        </w:rPr>
        <w:t xml:space="preserve">ating for </w:t>
      </w:r>
      <w:r w:rsidRPr="000D67D2">
        <w:rPr>
          <w:i/>
        </w:rPr>
        <w:t>p</w:t>
      </w:r>
      <w:r w:rsidR="00C9770B" w:rsidRPr="000D67D2">
        <w:rPr>
          <w:i/>
        </w:rPr>
        <w:t xml:space="preserve">hysical </w:t>
      </w:r>
      <w:r w:rsidRPr="000D67D2">
        <w:rPr>
          <w:i/>
        </w:rPr>
        <w:t>r</w:t>
      </w:r>
      <w:r w:rsidR="00C9770B" w:rsidRPr="000D67D2">
        <w:rPr>
          <w:i/>
        </w:rPr>
        <w:t xml:space="preserve">ather </w:t>
      </w:r>
      <w:r w:rsidRPr="000D67D2">
        <w:rPr>
          <w:i/>
        </w:rPr>
        <w:t>t</w:t>
      </w:r>
      <w:r w:rsidR="00C9770B" w:rsidRPr="000D67D2">
        <w:rPr>
          <w:i/>
        </w:rPr>
        <w:t xml:space="preserve">han </w:t>
      </w:r>
      <w:r w:rsidRPr="000D67D2">
        <w:rPr>
          <w:i/>
        </w:rPr>
        <w:t>e</w:t>
      </w:r>
      <w:r w:rsidR="00C9770B" w:rsidRPr="000D67D2">
        <w:rPr>
          <w:i/>
        </w:rPr>
        <w:t xml:space="preserve">motional </w:t>
      </w:r>
      <w:r w:rsidRPr="000D67D2">
        <w:rPr>
          <w:i/>
        </w:rPr>
        <w:t>r</w:t>
      </w:r>
      <w:r w:rsidR="00C9770B" w:rsidRPr="000D67D2">
        <w:rPr>
          <w:i/>
        </w:rPr>
        <w:t>easons</w:t>
      </w:r>
      <w:r w:rsidR="00C9770B">
        <w:t xml:space="preserve"> (</w:t>
      </w:r>
      <w:r>
        <w:t xml:space="preserve">i.e., </w:t>
      </w:r>
      <w:r w:rsidR="00C9770B">
        <w:t xml:space="preserve">eating when one is physically hungry rather than to cope with emotional distress), and </w:t>
      </w:r>
      <w:r w:rsidRPr="000D67D2">
        <w:rPr>
          <w:i/>
        </w:rPr>
        <w:t>r</w:t>
      </w:r>
      <w:r w:rsidR="00C9770B" w:rsidRPr="000D67D2">
        <w:rPr>
          <w:i/>
        </w:rPr>
        <w:t xml:space="preserve">eliance on </w:t>
      </w:r>
      <w:r w:rsidRPr="000D67D2">
        <w:rPr>
          <w:i/>
        </w:rPr>
        <w:t>h</w:t>
      </w:r>
      <w:r w:rsidR="00C9770B" w:rsidRPr="000D67D2">
        <w:rPr>
          <w:i/>
        </w:rPr>
        <w:t xml:space="preserve">unger and </w:t>
      </w:r>
      <w:r w:rsidRPr="000D67D2">
        <w:rPr>
          <w:i/>
        </w:rPr>
        <w:t>s</w:t>
      </w:r>
      <w:r w:rsidR="00C9770B" w:rsidRPr="000D67D2">
        <w:rPr>
          <w:i/>
        </w:rPr>
        <w:t xml:space="preserve">atiety </w:t>
      </w:r>
      <w:r w:rsidRPr="000D67D2">
        <w:rPr>
          <w:i/>
        </w:rPr>
        <w:t>c</w:t>
      </w:r>
      <w:r w:rsidR="00C9770B" w:rsidRPr="000D67D2">
        <w:rPr>
          <w:i/>
        </w:rPr>
        <w:t>ues</w:t>
      </w:r>
      <w:r w:rsidR="00C9770B">
        <w:t xml:space="preserve"> (</w:t>
      </w:r>
      <w:r>
        <w:t xml:space="preserve">i.e., </w:t>
      </w:r>
      <w:r w:rsidR="00C9770B">
        <w:t xml:space="preserve">an individual’s trust in their internal hunger and satiety cues and reliance on these cues to guide eating behaviours). </w:t>
      </w:r>
      <w:r>
        <w:t xml:space="preserve">In college samples from the United States, </w:t>
      </w:r>
      <w:proofErr w:type="spellStart"/>
      <w:r>
        <w:t>Tylka</w:t>
      </w:r>
      <w:proofErr w:type="spellEnd"/>
      <w:r>
        <w:t xml:space="preserve"> (2006) reported that </w:t>
      </w:r>
      <w:r w:rsidR="008E155C">
        <w:t xml:space="preserve">– following exploratory and confirmatory factor analyses – </w:t>
      </w:r>
      <w:r>
        <w:t xml:space="preserve">IES scores </w:t>
      </w:r>
      <w:r w:rsidR="008E155C">
        <w:t xml:space="preserve">reduced to three factors with generally adequate psychometric properties. However, </w:t>
      </w:r>
      <w:proofErr w:type="spellStart"/>
      <w:r w:rsidR="008E155C">
        <w:t>Tylka</w:t>
      </w:r>
      <w:proofErr w:type="spellEnd"/>
      <w:r w:rsidR="008E155C">
        <w:t xml:space="preserve"> and Kroon Van </w:t>
      </w:r>
      <w:proofErr w:type="spellStart"/>
      <w:r w:rsidR="008E155C">
        <w:t>Diest</w:t>
      </w:r>
      <w:proofErr w:type="spellEnd"/>
      <w:r w:rsidR="008E155C">
        <w:t xml:space="preserve"> (2013) later </w:t>
      </w:r>
      <w:r w:rsidR="008E155C">
        <w:lastRenderedPageBreak/>
        <w:t>identified several limitations with the IES, the most important of which were the absence of items measuring</w:t>
      </w:r>
      <w:r w:rsidR="00CB24BB">
        <w:t xml:space="preserve"> the facet of</w:t>
      </w:r>
      <w:r w:rsidR="008E155C">
        <w:t xml:space="preserve"> </w:t>
      </w:r>
      <w:r w:rsidR="00C9770B">
        <w:rPr>
          <w:i/>
        </w:rPr>
        <w:t>gentle nutrition</w:t>
      </w:r>
      <w:r w:rsidR="00C9770B">
        <w:t xml:space="preserve"> (</w:t>
      </w:r>
      <w:r w:rsidR="008E155C">
        <w:t>i.e., a</w:t>
      </w:r>
      <w:r w:rsidR="00C9770B">
        <w:t xml:space="preserve"> tendency to make food choices that honour one’s health and body functioning)</w:t>
      </w:r>
      <w:r w:rsidR="008E155C">
        <w:t xml:space="preserve"> and the fact</w:t>
      </w:r>
      <w:r w:rsidR="00E34597">
        <w:t xml:space="preserve"> that</w:t>
      </w:r>
      <w:r w:rsidR="008E155C">
        <w:t xml:space="preserve"> most IES item reflect the absence of </w:t>
      </w:r>
      <w:r w:rsidR="00C9770B">
        <w:t xml:space="preserve">intuitive eating attitudes and behaviours </w:t>
      </w:r>
      <w:r w:rsidR="00CB24BB">
        <w:t>rather than</w:t>
      </w:r>
      <w:r w:rsidR="00C9770B">
        <w:t xml:space="preserve"> resistance to dieting and emotional eating</w:t>
      </w:r>
      <w:r w:rsidR="008E155C">
        <w:t>.</w:t>
      </w:r>
    </w:p>
    <w:p w14:paraId="2F60D516" w14:textId="438C6144" w:rsidR="00C9770B" w:rsidRDefault="008E155C" w:rsidP="00C9770B">
      <w:pPr>
        <w:spacing w:line="480" w:lineRule="auto"/>
      </w:pPr>
      <w:r>
        <w:tab/>
        <w:t xml:space="preserve">With these limitations in mind, </w:t>
      </w:r>
      <w:proofErr w:type="spellStart"/>
      <w:r>
        <w:t>Tylka</w:t>
      </w:r>
      <w:proofErr w:type="spellEnd"/>
      <w:r>
        <w:t xml:space="preserve"> and Kroon Van </w:t>
      </w:r>
      <w:proofErr w:type="spellStart"/>
      <w:r>
        <w:t>Diest</w:t>
      </w:r>
      <w:proofErr w:type="spellEnd"/>
      <w:r>
        <w:t xml:space="preserve"> (2013) developed a revised version of the IES, known as the IES-2. To do so, they designed 17 new intuitive items to complement the original 21 items. In exploratory factor analyses (EFAs) with college students from the United States, these authors extracted 23 items that clustered in four factors, namely </w:t>
      </w:r>
      <w:r w:rsidR="00C9770B">
        <w:t xml:space="preserve">Eating for Physical Rather Than Emotional Reasons (8 items), Unconditional Permission to Eat (6 items), Reliance on Hunger and Satiety Cues (6 items), and Body-Food Choice Congruence (3 items). </w:t>
      </w:r>
      <w:r>
        <w:t xml:space="preserve">A confirmatory factor analysis (CFA) with college students from the United States indicated that the 4-factor model with a higher-order IES-2 score had adequate fit. In addition, scores on this model were largely invariant across gender, with men having significantly higher scores than women. Finally, </w:t>
      </w:r>
      <w:proofErr w:type="spellStart"/>
      <w:r>
        <w:t>Tylka</w:t>
      </w:r>
      <w:proofErr w:type="spellEnd"/>
      <w:r>
        <w:t xml:space="preserve"> and Kroon Van </w:t>
      </w:r>
      <w:proofErr w:type="spellStart"/>
      <w:r>
        <w:t>Diest</w:t>
      </w:r>
      <w:proofErr w:type="spellEnd"/>
      <w:r>
        <w:t xml:space="preserve"> (2013) also reported that IES-2 scores had adequate internal consistency coefficients, good test-retest reliability across a 3-week period, and adequate construct validity as determined through </w:t>
      </w:r>
      <w:r w:rsidR="00C9770B">
        <w:t>positive associations with body appreciation, self-esteem, and life satisfaction, a</w:t>
      </w:r>
      <w:r>
        <w:t xml:space="preserve">s well as </w:t>
      </w:r>
      <w:r w:rsidR="00C9770B">
        <w:t xml:space="preserve">negative associations with eating disorder symptomatology, </w:t>
      </w:r>
      <w:proofErr w:type="spellStart"/>
      <w:r w:rsidR="00C9770B">
        <w:t>interoceptive</w:t>
      </w:r>
      <w:proofErr w:type="spellEnd"/>
      <w:r w:rsidR="00C9770B">
        <w:t xml:space="preserve"> awareness, body shame, and body mass index (BMI) (</w:t>
      </w:r>
      <w:proofErr w:type="spellStart"/>
      <w:r w:rsidR="00C9770B">
        <w:t>Tylka</w:t>
      </w:r>
      <w:proofErr w:type="spellEnd"/>
      <w:r w:rsidR="00C9770B">
        <w:t xml:space="preserve"> &amp; Kroon Van </w:t>
      </w:r>
      <w:proofErr w:type="spellStart"/>
      <w:r w:rsidR="00C9770B">
        <w:t>Diest</w:t>
      </w:r>
      <w:proofErr w:type="spellEnd"/>
      <w:r w:rsidR="00C9770B">
        <w:t>, 2013).</w:t>
      </w:r>
    </w:p>
    <w:p w14:paraId="30DB8855" w14:textId="61A43DC6" w:rsidR="00DA0079" w:rsidRDefault="001D39A4" w:rsidP="001D39A4">
      <w:pPr>
        <w:spacing w:line="480" w:lineRule="auto"/>
      </w:pPr>
      <w:r>
        <w:tab/>
        <w:t xml:space="preserve">One concern with the parent study reporting on the development of the IES-2 was the reliance on samples of college students. </w:t>
      </w:r>
      <w:r w:rsidR="001416B0">
        <w:t>To wit</w:t>
      </w:r>
      <w:r>
        <w:t xml:space="preserve">, </w:t>
      </w:r>
      <w:r w:rsidR="00CB24BB">
        <w:t>studies with Black (</w:t>
      </w:r>
      <w:proofErr w:type="spellStart"/>
      <w:r w:rsidR="00CB24BB">
        <w:t>Khalsa</w:t>
      </w:r>
      <w:proofErr w:type="spellEnd"/>
      <w:r w:rsidR="00CB24BB">
        <w:t xml:space="preserve"> et al., 2019) and Latina (</w:t>
      </w:r>
      <w:proofErr w:type="spellStart"/>
      <w:r w:rsidR="00CB24BB">
        <w:t>Madanat</w:t>
      </w:r>
      <w:proofErr w:type="spellEnd"/>
      <w:r w:rsidR="00CB24BB">
        <w:t xml:space="preserve"> et al., 2020; see also Saunders et al., 2018) participants from the community in the United States have suggested that IES-2 scores reduce to five or six dimensions</w:t>
      </w:r>
      <w:r>
        <w:t xml:space="preserve">. Other studies have examined the factor structure of IES-2 </w:t>
      </w:r>
      <w:r w:rsidR="00E34597">
        <w:t>outside the United States and</w:t>
      </w:r>
      <w:r>
        <w:t xml:space="preserve"> </w:t>
      </w:r>
      <w:r w:rsidR="001416B0">
        <w:t>likewise</w:t>
      </w:r>
      <w:r>
        <w:t xml:space="preserve"> </w:t>
      </w:r>
      <w:r w:rsidR="00DA0079">
        <w:lastRenderedPageBreak/>
        <w:t>indicat</w:t>
      </w:r>
      <w:r w:rsidR="00E34597">
        <w:t>e</w:t>
      </w:r>
      <w:r w:rsidR="00DA0079">
        <w:t xml:space="preserve"> difficulties confirming the 4-factor model of IES-2 scores. </w:t>
      </w:r>
      <w:r w:rsidR="009C4512">
        <w:t xml:space="preserve">For example, CFA results with data </w:t>
      </w:r>
      <w:r w:rsidR="00C9770B">
        <w:t>from an online sample of French adults failed to confirm the expected 4-factor structure (</w:t>
      </w:r>
      <w:proofErr w:type="spellStart"/>
      <w:r w:rsidR="00C9770B">
        <w:t>Camilleri</w:t>
      </w:r>
      <w:proofErr w:type="spellEnd"/>
      <w:r w:rsidR="00C9770B">
        <w:t xml:space="preserve"> et al., 2015)</w:t>
      </w:r>
      <w:r w:rsidR="009C4512">
        <w:t xml:space="preserve">, with EFA instead supporting the extraction of 18 items clustered in three factors that mapped those found in the IES. </w:t>
      </w:r>
      <w:r w:rsidR="00CB24BB">
        <w:t>Using</w:t>
      </w:r>
      <w:r w:rsidR="009C4512">
        <w:t xml:space="preserve"> CFA, </w:t>
      </w:r>
      <w:proofErr w:type="spellStart"/>
      <w:r w:rsidR="009C4512">
        <w:t>Camilleri</w:t>
      </w:r>
      <w:proofErr w:type="spellEnd"/>
      <w:r w:rsidR="009C4512">
        <w:t xml:space="preserve"> and colleagues (2015) reported that this 3-factor</w:t>
      </w:r>
      <w:r w:rsidR="00EE0806">
        <w:t xml:space="preserve"> model</w:t>
      </w:r>
      <w:r w:rsidR="009C4512">
        <w:t>, with an additional higher-order intuitive eating factor, had adequate fit. Similarly, in a sample of Malaysian adults, the results of EFAs indicated that IES-2 scores reduced to 4 factors (with 17 items) in women and 3 factors (with 15 items) in men, both of which diverged from the parent model</w:t>
      </w:r>
      <w:r w:rsidR="00FC7085">
        <w:t xml:space="preserve"> (Swami</w:t>
      </w:r>
      <w:r w:rsidR="0062287C">
        <w:t>, Todd</w:t>
      </w:r>
      <w:r w:rsidR="00FC7085">
        <w:t xml:space="preserve"> et al., 2020)</w:t>
      </w:r>
      <w:r w:rsidR="009C4512">
        <w:t>. The results of a CFA failed to confirm the parent 4-factor model and indices for the EFA-derived models were acceptable but not ideal. Of the models tested, the EFA-derived 3-factor model had the best fit indices</w:t>
      </w:r>
      <w:r w:rsidR="00FC7085">
        <w:t>, but it was not possible to fit a 3-factor model with a higher-order factor (Swami</w:t>
      </w:r>
      <w:r w:rsidR="0062287C">
        <w:t>, Todd</w:t>
      </w:r>
      <w:r w:rsidR="00FC7085">
        <w:t xml:space="preserve"> et al., 2020). </w:t>
      </w:r>
    </w:p>
    <w:p w14:paraId="7109E876" w14:textId="603C6EBC" w:rsidR="00DA0079" w:rsidRDefault="00DA0079" w:rsidP="001D39A4">
      <w:pPr>
        <w:spacing w:line="480" w:lineRule="auto"/>
      </w:pPr>
      <w:r>
        <w:tab/>
        <w:t xml:space="preserve">On the other hand, </w:t>
      </w:r>
      <w:r w:rsidR="00E34597">
        <w:t>several CFA-based studies</w:t>
      </w:r>
      <w:r>
        <w:t xml:space="preserve"> have indicated adequate fit of the parent 4-factor model in a German-speaking university sample from Luxembourg, Germany, and Switzerland (van </w:t>
      </w:r>
      <w:proofErr w:type="spellStart"/>
      <w:r>
        <w:t>Dyck</w:t>
      </w:r>
      <w:proofErr w:type="spellEnd"/>
      <w:r>
        <w:t xml:space="preserve"> et al., 2016), a German community sample (</w:t>
      </w:r>
      <w:proofErr w:type="spellStart"/>
      <w:r>
        <w:t>Ruzanska</w:t>
      </w:r>
      <w:proofErr w:type="spellEnd"/>
      <w:r>
        <w:t xml:space="preserve"> &amp; </w:t>
      </w:r>
      <w:proofErr w:type="spellStart"/>
      <w:r>
        <w:t>Warschburger</w:t>
      </w:r>
      <w:proofErr w:type="spellEnd"/>
      <w:r>
        <w:t>, 2017), Portuguese mixed student-and-community samples (Duarte et al., 2016), community samples of French-Canadian adults (</w:t>
      </w:r>
      <w:proofErr w:type="spellStart"/>
      <w:r>
        <w:t>Carbonneau</w:t>
      </w:r>
      <w:proofErr w:type="spellEnd"/>
      <w:r>
        <w:t xml:space="preserve"> et al., 2016), and a Turkish university sample (Bas et al., 2017). Similarly, </w:t>
      </w:r>
      <w:r w:rsidR="00FC7085">
        <w:t xml:space="preserve">studies with </w:t>
      </w:r>
      <w:r w:rsidR="009C4512">
        <w:t xml:space="preserve">a </w:t>
      </w:r>
      <w:r w:rsidR="00C9770B">
        <w:t xml:space="preserve">student-and-community sample from Brazil </w:t>
      </w:r>
      <w:r w:rsidR="00FC7085">
        <w:t>(da Silva et al., 20</w:t>
      </w:r>
      <w:r w:rsidR="00AA4B35">
        <w:t>20</w:t>
      </w:r>
      <w:r w:rsidR="00FC7085">
        <w:t>) and a Turkish university sample (</w:t>
      </w:r>
      <w:proofErr w:type="spellStart"/>
      <w:r w:rsidR="00FC7085">
        <w:t>Ak</w:t>
      </w:r>
      <w:r w:rsidR="00FC7085" w:rsidRPr="00055595">
        <w:rPr>
          <w:rStyle w:val="text"/>
          <w:color w:val="000000" w:themeColor="text1"/>
        </w:rPr>
        <w:t>ı</w:t>
      </w:r>
      <w:r w:rsidR="00FC7085">
        <w:rPr>
          <w:rStyle w:val="text"/>
          <w:color w:val="000000" w:themeColor="text1"/>
        </w:rPr>
        <w:t>rmak</w:t>
      </w:r>
      <w:proofErr w:type="spellEnd"/>
      <w:r w:rsidR="00FC7085">
        <w:rPr>
          <w:rStyle w:val="text"/>
          <w:color w:val="000000" w:themeColor="text1"/>
        </w:rPr>
        <w:t xml:space="preserve"> et al., 20</w:t>
      </w:r>
      <w:r w:rsidR="00AA4B35">
        <w:rPr>
          <w:rStyle w:val="text"/>
          <w:color w:val="000000" w:themeColor="text1"/>
        </w:rPr>
        <w:t>20</w:t>
      </w:r>
      <w:r w:rsidR="00FC7085">
        <w:rPr>
          <w:rStyle w:val="text"/>
          <w:color w:val="000000" w:themeColor="text1"/>
        </w:rPr>
        <w:t>) have supported the 4-factor model of IES-2 scores</w:t>
      </w:r>
      <w:r>
        <w:rPr>
          <w:rStyle w:val="text"/>
          <w:color w:val="000000" w:themeColor="text1"/>
        </w:rPr>
        <w:t>, albeit</w:t>
      </w:r>
      <w:r w:rsidR="00FC7085">
        <w:rPr>
          <w:rStyle w:val="text"/>
          <w:color w:val="000000" w:themeColor="text1"/>
        </w:rPr>
        <w:t xml:space="preserve"> following the removal of several items.</w:t>
      </w:r>
      <w:r>
        <w:rPr>
          <w:rStyle w:val="text"/>
          <w:color w:val="000000" w:themeColor="text1"/>
        </w:rPr>
        <w:t xml:space="preserve"> However, as discussed by Swami</w:t>
      </w:r>
      <w:r w:rsidR="0062287C">
        <w:rPr>
          <w:rStyle w:val="text"/>
          <w:color w:val="000000" w:themeColor="text1"/>
        </w:rPr>
        <w:t>, Todd</w:t>
      </w:r>
      <w:r>
        <w:rPr>
          <w:rStyle w:val="text"/>
          <w:color w:val="000000" w:themeColor="text1"/>
        </w:rPr>
        <w:t xml:space="preserve"> and colleagues (2020), </w:t>
      </w:r>
      <w:r w:rsidR="002B1642">
        <w:rPr>
          <w:rStyle w:val="text"/>
          <w:color w:val="000000" w:themeColor="text1"/>
        </w:rPr>
        <w:t>many</w:t>
      </w:r>
      <w:r>
        <w:rPr>
          <w:rStyle w:val="text"/>
          <w:color w:val="000000" w:themeColor="text1"/>
        </w:rPr>
        <w:t xml:space="preserve"> studies have </w:t>
      </w:r>
      <w:r w:rsidR="00E34597">
        <w:rPr>
          <w:rStyle w:val="text"/>
          <w:color w:val="000000" w:themeColor="text1"/>
        </w:rPr>
        <w:t xml:space="preserve">typically </w:t>
      </w:r>
      <w:r>
        <w:t xml:space="preserve">privileged CFA over EFA in their analytic strategies. </w:t>
      </w:r>
      <w:r w:rsidR="009F348F">
        <w:t>Given that CFA is not an appropriate tool for testing whether alternative models</w:t>
      </w:r>
      <w:r w:rsidR="002B1642">
        <w:t xml:space="preserve"> that have not been hypothesised</w:t>
      </w:r>
      <w:r w:rsidR="009F348F">
        <w:t xml:space="preserve"> </w:t>
      </w:r>
      <w:r w:rsidR="00E14B7E">
        <w:t>fit</w:t>
      </w:r>
      <w:r w:rsidR="009F348F">
        <w:t xml:space="preserve"> the data better (for a discussion, see Swami &amp; Barron, 2019), it is quite possible alternative</w:t>
      </w:r>
      <w:r w:rsidR="003445BD">
        <w:t>,</w:t>
      </w:r>
      <w:r w:rsidR="009F348F">
        <w:t xml:space="preserve"> </w:t>
      </w:r>
      <w:r w:rsidR="009F348F">
        <w:lastRenderedPageBreak/>
        <w:t xml:space="preserve">better-fitting models may exist for populations where the results of CFAs support the parent 4-factor model. </w:t>
      </w:r>
    </w:p>
    <w:p w14:paraId="2427F0ED" w14:textId="690D305C" w:rsidR="009F348F" w:rsidRDefault="009F348F" w:rsidP="00C9770B">
      <w:pPr>
        <w:spacing w:line="480" w:lineRule="auto"/>
      </w:pPr>
      <w:r>
        <w:tab/>
        <w:t xml:space="preserve">Beyond issues of dimensionality, other psychometric indices of the IES-2 are generally well-supported in diverse national groups. For example, </w:t>
      </w:r>
      <w:r w:rsidR="00C9770B">
        <w:rPr>
          <w:rStyle w:val="text"/>
          <w:color w:val="000000" w:themeColor="text1"/>
        </w:rPr>
        <w:t xml:space="preserve">internal consistency coefficients of total scores and/or IES-2 subscale scores </w:t>
      </w:r>
      <w:r>
        <w:rPr>
          <w:rStyle w:val="text"/>
          <w:color w:val="000000" w:themeColor="text1"/>
        </w:rPr>
        <w:t>have generally been adequate (but see Swami</w:t>
      </w:r>
      <w:r w:rsidR="0062287C">
        <w:rPr>
          <w:rStyle w:val="text"/>
          <w:color w:val="000000" w:themeColor="text1"/>
        </w:rPr>
        <w:t>, Todd</w:t>
      </w:r>
      <w:r>
        <w:rPr>
          <w:rStyle w:val="text"/>
          <w:color w:val="000000" w:themeColor="text1"/>
        </w:rPr>
        <w:t xml:space="preserve"> et al.</w:t>
      </w:r>
      <w:r w:rsidR="003445BD">
        <w:rPr>
          <w:rStyle w:val="text"/>
          <w:color w:val="000000" w:themeColor="text1"/>
        </w:rPr>
        <w:t>,</w:t>
      </w:r>
      <w:r>
        <w:rPr>
          <w:rStyle w:val="text"/>
          <w:color w:val="000000" w:themeColor="text1"/>
        </w:rPr>
        <w:t xml:space="preserve"> 2020) and, test-retest reliability has been adequate where assessed</w:t>
      </w:r>
      <w:r w:rsidR="00C9770B">
        <w:rPr>
          <w:rStyle w:val="text"/>
          <w:color w:val="000000" w:themeColor="text1"/>
        </w:rPr>
        <w:t xml:space="preserve"> (</w:t>
      </w:r>
      <w:proofErr w:type="spellStart"/>
      <w:r w:rsidR="00C9770B">
        <w:t>Ak</w:t>
      </w:r>
      <w:r w:rsidR="00C9770B" w:rsidRPr="00055595">
        <w:rPr>
          <w:rStyle w:val="text"/>
          <w:color w:val="000000" w:themeColor="text1"/>
        </w:rPr>
        <w:t>ı</w:t>
      </w:r>
      <w:r w:rsidR="00C9770B">
        <w:rPr>
          <w:rStyle w:val="text"/>
          <w:color w:val="000000" w:themeColor="text1"/>
        </w:rPr>
        <w:t>rmak</w:t>
      </w:r>
      <w:proofErr w:type="spellEnd"/>
      <w:r w:rsidR="00C9770B">
        <w:rPr>
          <w:rStyle w:val="text"/>
          <w:color w:val="000000" w:themeColor="text1"/>
        </w:rPr>
        <w:t xml:space="preserve"> et al., 20</w:t>
      </w:r>
      <w:r w:rsidR="00AA4B35">
        <w:rPr>
          <w:rStyle w:val="text"/>
          <w:color w:val="000000" w:themeColor="text1"/>
        </w:rPr>
        <w:t>20</w:t>
      </w:r>
      <w:r w:rsidR="00C9770B">
        <w:rPr>
          <w:rStyle w:val="text"/>
          <w:color w:val="000000" w:themeColor="text1"/>
        </w:rPr>
        <w:t xml:space="preserve">; </w:t>
      </w:r>
      <w:proofErr w:type="spellStart"/>
      <w:r w:rsidR="00C9770B">
        <w:rPr>
          <w:rStyle w:val="text"/>
          <w:color w:val="000000" w:themeColor="text1"/>
        </w:rPr>
        <w:t>Camilleri</w:t>
      </w:r>
      <w:proofErr w:type="spellEnd"/>
      <w:r w:rsidR="00C9770B">
        <w:rPr>
          <w:rStyle w:val="text"/>
          <w:color w:val="000000" w:themeColor="text1"/>
        </w:rPr>
        <w:t xml:space="preserve"> et al., 2015; </w:t>
      </w:r>
      <w:proofErr w:type="spellStart"/>
      <w:r w:rsidR="00C9770B">
        <w:rPr>
          <w:rStyle w:val="text"/>
          <w:color w:val="000000" w:themeColor="text1"/>
        </w:rPr>
        <w:t>Carbonneau</w:t>
      </w:r>
      <w:proofErr w:type="spellEnd"/>
      <w:r w:rsidR="00C9770B">
        <w:rPr>
          <w:rStyle w:val="text"/>
          <w:color w:val="000000" w:themeColor="text1"/>
        </w:rPr>
        <w:t xml:space="preserve"> et al., 2016; Duarte et al., 2016). </w:t>
      </w:r>
      <w:r>
        <w:rPr>
          <w:rStyle w:val="text"/>
          <w:color w:val="000000" w:themeColor="text1"/>
        </w:rPr>
        <w:t xml:space="preserve">Likewise, the available evidence generally supports the construct validity of IES-2 scores across national groups, with significant associations being reported between greater intuitive eating and lower </w:t>
      </w:r>
      <w:r w:rsidR="00C9770B">
        <w:t>eating disorder symptomatology (</w:t>
      </w:r>
      <w:r>
        <w:t xml:space="preserve">e.g., </w:t>
      </w:r>
      <w:proofErr w:type="spellStart"/>
      <w:r w:rsidR="00C9770B">
        <w:t>Ak</w:t>
      </w:r>
      <w:r w:rsidR="00C9770B" w:rsidRPr="00055595">
        <w:rPr>
          <w:rStyle w:val="text"/>
          <w:color w:val="000000" w:themeColor="text1"/>
        </w:rPr>
        <w:t>ı</w:t>
      </w:r>
      <w:r w:rsidR="00C9770B">
        <w:rPr>
          <w:rStyle w:val="text"/>
          <w:color w:val="000000" w:themeColor="text1"/>
        </w:rPr>
        <w:t>rmak</w:t>
      </w:r>
      <w:proofErr w:type="spellEnd"/>
      <w:r w:rsidR="00C9770B">
        <w:t xml:space="preserve"> et al., 20</w:t>
      </w:r>
      <w:r w:rsidR="00AA4B35">
        <w:t>20</w:t>
      </w:r>
      <w:r w:rsidR="00C9770B">
        <w:t xml:space="preserve">; </w:t>
      </w:r>
      <w:proofErr w:type="spellStart"/>
      <w:r w:rsidR="00C9770B">
        <w:t>Carbonneau</w:t>
      </w:r>
      <w:proofErr w:type="spellEnd"/>
      <w:r w:rsidR="00C9770B">
        <w:t xml:space="preserve"> et al., 2016; Duarte et al., 2016; </w:t>
      </w:r>
      <w:proofErr w:type="spellStart"/>
      <w:r w:rsidR="00C9770B">
        <w:t>Ruzanska</w:t>
      </w:r>
      <w:proofErr w:type="spellEnd"/>
      <w:r w:rsidR="00C9770B">
        <w:t xml:space="preserve"> &amp; </w:t>
      </w:r>
      <w:proofErr w:type="spellStart"/>
      <w:r w:rsidR="00C9770B">
        <w:t>Warschburger</w:t>
      </w:r>
      <w:proofErr w:type="spellEnd"/>
      <w:r w:rsidR="00C9770B">
        <w:t>, 2017)</w:t>
      </w:r>
      <w:r>
        <w:t xml:space="preserve">, lower BMIs </w:t>
      </w:r>
      <w:r w:rsidR="00C9770B">
        <w:t>(</w:t>
      </w:r>
      <w:r>
        <w:t xml:space="preserve">e.g., </w:t>
      </w:r>
      <w:r w:rsidR="00C9770B">
        <w:t>da Silva et al., 2019; Duarte et al., 2016),</w:t>
      </w:r>
      <w:r>
        <w:t xml:space="preserve"> more positive body image (e.g., </w:t>
      </w:r>
      <w:proofErr w:type="spellStart"/>
      <w:r w:rsidR="00C9770B">
        <w:t>Carbonneau</w:t>
      </w:r>
      <w:proofErr w:type="spellEnd"/>
      <w:r w:rsidR="00C9770B">
        <w:t xml:space="preserve"> et al., 2016; da Silva et al., 20</w:t>
      </w:r>
      <w:r w:rsidR="00AA4B35">
        <w:t>20</w:t>
      </w:r>
      <w:r w:rsidR="00C9770B">
        <w:t xml:space="preserve">; Duarte et al., 2016), </w:t>
      </w:r>
      <w:r>
        <w:t>and higher psychological well-being (e.g.,</w:t>
      </w:r>
      <w:r w:rsidR="00C9770B">
        <w:t xml:space="preserve"> </w:t>
      </w:r>
      <w:proofErr w:type="spellStart"/>
      <w:r w:rsidR="00C9770B">
        <w:t>Ak</w:t>
      </w:r>
      <w:r w:rsidR="00C9770B" w:rsidRPr="00055595">
        <w:rPr>
          <w:rStyle w:val="text"/>
          <w:color w:val="000000" w:themeColor="text1"/>
        </w:rPr>
        <w:t>ı</w:t>
      </w:r>
      <w:r w:rsidR="00C9770B">
        <w:rPr>
          <w:rStyle w:val="text"/>
          <w:color w:val="000000" w:themeColor="text1"/>
        </w:rPr>
        <w:t>rmak</w:t>
      </w:r>
      <w:proofErr w:type="spellEnd"/>
      <w:r w:rsidR="00C9770B">
        <w:t xml:space="preserve"> et al., 20</w:t>
      </w:r>
      <w:r w:rsidR="00AA4B35">
        <w:t>20</w:t>
      </w:r>
      <w:r w:rsidR="00C9770B">
        <w:t xml:space="preserve">; </w:t>
      </w:r>
      <w:proofErr w:type="spellStart"/>
      <w:r w:rsidR="00C9770B">
        <w:t>Camilleri</w:t>
      </w:r>
      <w:proofErr w:type="spellEnd"/>
      <w:r w:rsidR="00C9770B">
        <w:t xml:space="preserve"> et al., 2015; </w:t>
      </w:r>
      <w:proofErr w:type="spellStart"/>
      <w:r w:rsidR="00C9770B">
        <w:t>Carbonneau</w:t>
      </w:r>
      <w:proofErr w:type="spellEnd"/>
      <w:r w:rsidR="00C9770B">
        <w:t xml:space="preserve"> et al., 2016; </w:t>
      </w:r>
      <w:proofErr w:type="spellStart"/>
      <w:r w:rsidR="00C9770B">
        <w:t>Ruzanska</w:t>
      </w:r>
      <w:proofErr w:type="spellEnd"/>
      <w:r w:rsidR="00C9770B">
        <w:t xml:space="preserve"> &amp; </w:t>
      </w:r>
      <w:proofErr w:type="spellStart"/>
      <w:r w:rsidR="00C9770B">
        <w:t>Warschburger</w:t>
      </w:r>
      <w:proofErr w:type="spellEnd"/>
      <w:r w:rsidR="00C9770B">
        <w:t xml:space="preserve">, 2017). </w:t>
      </w:r>
      <w:r>
        <w:t>The one exception was the work of Swami</w:t>
      </w:r>
      <w:r w:rsidR="0062287C">
        <w:t>, Todd</w:t>
      </w:r>
      <w:r>
        <w:t xml:space="preserve"> and colleagues (2020)</w:t>
      </w:r>
      <w:r w:rsidR="003445BD">
        <w:t xml:space="preserve"> with Malaysian adults</w:t>
      </w:r>
      <w:r>
        <w:t xml:space="preserve">, where evidence of construct validity was weak, which led these authors to question whether </w:t>
      </w:r>
      <w:r w:rsidR="006514F7">
        <w:t xml:space="preserve">the construct of intuitive eating can be meaningfully applied to non-Western populations. </w:t>
      </w:r>
    </w:p>
    <w:p w14:paraId="2B5289E4" w14:textId="77777777" w:rsidR="006514F7" w:rsidRPr="006514F7" w:rsidRDefault="006514F7" w:rsidP="003D14E9">
      <w:pPr>
        <w:pStyle w:val="Heading2"/>
      </w:pPr>
      <w:r>
        <w:t xml:space="preserve">1.1. </w:t>
      </w:r>
      <w:r w:rsidR="003445BD">
        <w:t>The Romanian Context</w:t>
      </w:r>
    </w:p>
    <w:p w14:paraId="1880C8D8" w14:textId="0C0FD18F" w:rsidR="006514F7" w:rsidRDefault="006514F7" w:rsidP="00C9770B">
      <w:pPr>
        <w:spacing w:line="480" w:lineRule="auto"/>
      </w:pPr>
      <w:r>
        <w:tab/>
        <w:t>In the present study, we sought to contribute to the international literature on intuitive eatin</w:t>
      </w:r>
      <w:r w:rsidR="00A91D4E">
        <w:t>g</w:t>
      </w:r>
      <w:r>
        <w:t xml:space="preserve"> by examining the factor structure and psychometric properties of a Romanian translation of the IES-2. We suggest this is important for a number of reasons. First, from a practical point-of-view, the IES-2 appears to have</w:t>
      </w:r>
      <w:r w:rsidR="00E14B7E">
        <w:t xml:space="preserve"> been</w:t>
      </w:r>
      <w:r>
        <w:t xml:space="preserve"> previously used to operationalise the construct of intuitive eating in Romanian populations (</w:t>
      </w:r>
      <w:proofErr w:type="spellStart"/>
      <w:r>
        <w:t>Ivanoff</w:t>
      </w:r>
      <w:proofErr w:type="spellEnd"/>
      <w:r>
        <w:t xml:space="preserve">, 2018) without first establishing that scores on the instrument are reliable and valid for the target population. This </w:t>
      </w:r>
      <w:r>
        <w:lastRenderedPageBreak/>
        <w:t xml:space="preserve">is problematic </w:t>
      </w:r>
      <w:r w:rsidR="00A91D4E">
        <w:t>because</w:t>
      </w:r>
      <w:r>
        <w:t xml:space="preserve"> doing so risks introducing </w:t>
      </w:r>
      <w:proofErr w:type="spellStart"/>
      <w:r>
        <w:t>artefactual</w:t>
      </w:r>
      <w:proofErr w:type="spellEnd"/>
      <w:r>
        <w:t xml:space="preserve"> results into the body of research on intuitive eating (i.e</w:t>
      </w:r>
      <w:r w:rsidR="00BC7A89">
        <w:t>.,</w:t>
      </w:r>
      <w:r>
        <w:t xml:space="preserve"> results may not be support</w:t>
      </w:r>
      <w:r w:rsidR="003445BD">
        <w:t>ed</w:t>
      </w:r>
      <w:r>
        <w:t xml:space="preserve"> if future studies find that the IES-2 lacks robust estimates of validity and reliability for the target population</w:t>
      </w:r>
      <w:r w:rsidR="00BC7A89">
        <w:t>; Swami &amp; Barron, 2019). More generally, studies examining issues of intuitive eating have been heavily focused on North American and Western European samples, and the lack of population</w:t>
      </w:r>
      <w:r w:rsidR="003445BD">
        <w:t xml:space="preserve"> </w:t>
      </w:r>
      <w:r w:rsidR="00BC7A89">
        <w:t xml:space="preserve">diversity in the empirical literature risks privileging a culturally-limited perspective in terms of </w:t>
      </w:r>
      <w:r w:rsidR="00A91D4E">
        <w:t xml:space="preserve">future </w:t>
      </w:r>
      <w:r w:rsidR="00BC7A89">
        <w:t>theory development (Swami</w:t>
      </w:r>
      <w:r w:rsidR="0062287C">
        <w:t>, Todd</w:t>
      </w:r>
      <w:r w:rsidR="00BC7A89">
        <w:t xml:space="preserve"> et al., 2020). </w:t>
      </w:r>
    </w:p>
    <w:p w14:paraId="1FA5D838" w14:textId="108303ED" w:rsidR="00A91D4E" w:rsidRPr="001A541B" w:rsidRDefault="00A91D4E" w:rsidP="00C9770B">
      <w:pPr>
        <w:spacing w:line="480" w:lineRule="auto"/>
      </w:pPr>
      <w:r>
        <w:tab/>
        <w:t xml:space="preserve">Beyond these practical considerations, there </w:t>
      </w:r>
      <w:r w:rsidR="00E14B7E">
        <w:t>is</w:t>
      </w:r>
      <w:r>
        <w:t xml:space="preserve"> value </w:t>
      </w:r>
      <w:r w:rsidR="00E14B7E">
        <w:t>in</w:t>
      </w:r>
      <w:r>
        <w:t xml:space="preserve"> examining the construct of intuitive eating in Romania</w:t>
      </w:r>
      <w:r w:rsidR="00366FEC">
        <w:t xml:space="preserve"> for several reasons. </w:t>
      </w:r>
      <w:r w:rsidR="003445BD">
        <w:t>F</w:t>
      </w:r>
      <w:r w:rsidR="00366FEC">
        <w:t>ollowing the period of transition from centralised to a more market-oriented economy, Romania has experienced a rapid transformation in its food consumption practices: the food profile of the majority of Romanians now resembles that of Western Europeans (i.e., high intake of fat</w:t>
      </w:r>
      <w:r w:rsidR="00F052BF">
        <w:t>,</w:t>
      </w:r>
      <w:r w:rsidR="00366FEC">
        <w:t xml:space="preserve"> sugars</w:t>
      </w:r>
      <w:r w:rsidR="00F052BF">
        <w:t>, and processed foods</w:t>
      </w:r>
      <w:r w:rsidR="00366FEC">
        <w:t xml:space="preserve"> combined with low intake of fruits and vegetables)</w:t>
      </w:r>
      <w:r w:rsidR="00F74EFE">
        <w:t xml:space="preserve"> (</w:t>
      </w:r>
      <w:proofErr w:type="spellStart"/>
      <w:r w:rsidR="00F74EFE">
        <w:t>Lotrean</w:t>
      </w:r>
      <w:proofErr w:type="spellEnd"/>
      <w:r w:rsidR="00F74EFE">
        <w:t xml:space="preserve"> et al., 2018)</w:t>
      </w:r>
      <w:r w:rsidR="00366FEC">
        <w:t xml:space="preserve">. </w:t>
      </w:r>
      <w:r w:rsidR="007E57E0">
        <w:t xml:space="preserve">In contrast to Western European diets, however, </w:t>
      </w:r>
      <w:r w:rsidR="001D120D">
        <w:t xml:space="preserve">both </w:t>
      </w:r>
      <w:r w:rsidR="007E57E0">
        <w:t>food quality</w:t>
      </w:r>
      <w:r w:rsidR="001D120D">
        <w:t xml:space="preserve"> (</w:t>
      </w:r>
      <w:proofErr w:type="spellStart"/>
      <w:r w:rsidR="001D120D">
        <w:t>Voinea</w:t>
      </w:r>
      <w:proofErr w:type="spellEnd"/>
      <w:r w:rsidR="001D120D">
        <w:t xml:space="preserve"> et al., 2019) and nutritional knowledge (</w:t>
      </w:r>
      <w:proofErr w:type="spellStart"/>
      <w:r w:rsidR="001D120D">
        <w:t>Putnoky</w:t>
      </w:r>
      <w:proofErr w:type="spellEnd"/>
      <w:r w:rsidR="001D120D">
        <w:t xml:space="preserve"> et al., 2020)</w:t>
      </w:r>
      <w:r w:rsidR="007E57E0">
        <w:t xml:space="preserve"> in Romania remains relatively poorer (</w:t>
      </w:r>
      <w:proofErr w:type="spellStart"/>
      <w:r w:rsidR="007E57E0">
        <w:t>Voinea</w:t>
      </w:r>
      <w:proofErr w:type="spellEnd"/>
      <w:r w:rsidR="007E57E0">
        <w:t xml:space="preserve"> et al., 2019)</w:t>
      </w:r>
      <w:r w:rsidR="003445BD">
        <w:t>,</w:t>
      </w:r>
      <w:r w:rsidR="007E57E0">
        <w:t xml:space="preserve"> and depressed monthly incomes have meant that consumer </w:t>
      </w:r>
      <w:r w:rsidR="003445BD">
        <w:t>choice</w:t>
      </w:r>
      <w:r w:rsidR="007E57E0">
        <w:t xml:space="preserve"> </w:t>
      </w:r>
      <w:r w:rsidR="003445BD">
        <w:t>is</w:t>
      </w:r>
      <w:r w:rsidR="007E57E0">
        <w:t xml:space="preserve"> often funnelled toward unhealthy diets (</w:t>
      </w:r>
      <w:proofErr w:type="spellStart"/>
      <w:r w:rsidR="007E57E0">
        <w:t>Banu</w:t>
      </w:r>
      <w:proofErr w:type="spellEnd"/>
      <w:r w:rsidR="007E57E0">
        <w:t xml:space="preserve"> et al., 2010). This has contributed </w:t>
      </w:r>
      <w:r w:rsidR="003445BD">
        <w:t>to</w:t>
      </w:r>
      <w:r w:rsidR="007E57E0">
        <w:t xml:space="preserve"> a rapid increase in the prevalence of </w:t>
      </w:r>
      <w:r w:rsidR="00F052BF">
        <w:t xml:space="preserve">adult overweight (about 31%) and obesity (about 21%), particularly among middle-aged groups (Roman et al., 2015). </w:t>
      </w:r>
      <w:r w:rsidR="004249B4">
        <w:t>Some scholars have suggested that these changes can be traced back, in part at least, to the growth of a first “fast-food generation” in Romania following market liberalisation, for whom excess calorie intake and sedentary lifestyles are now the norm (</w:t>
      </w:r>
      <w:proofErr w:type="spellStart"/>
      <w:r w:rsidR="004249B4">
        <w:t>Pantea</w:t>
      </w:r>
      <w:proofErr w:type="spellEnd"/>
      <w:r w:rsidR="004249B4">
        <w:t xml:space="preserve"> </w:t>
      </w:r>
      <w:proofErr w:type="spellStart"/>
      <w:r w:rsidR="004249B4">
        <w:t>Stoian</w:t>
      </w:r>
      <w:proofErr w:type="spellEnd"/>
      <w:r w:rsidR="004249B4">
        <w:t xml:space="preserve"> et al., 2018)</w:t>
      </w:r>
      <w:r w:rsidR="001A541B">
        <w:t>.</w:t>
      </w:r>
      <w:r w:rsidR="004249B4">
        <w:t xml:space="preserve"> </w:t>
      </w:r>
      <w:r w:rsidR="001D120D">
        <w:t>More recently, however, it has been possible to identify the start of a possible new transition, with Romanian consumers increasingly concerned about what they eat and the health effects of food consumption (</w:t>
      </w:r>
      <w:proofErr w:type="spellStart"/>
      <w:r w:rsidR="003445BD">
        <w:t>Jit</w:t>
      </w:r>
      <w:r w:rsidR="003445BD" w:rsidRPr="00C9770B">
        <w:rPr>
          <w:color w:val="111111"/>
          <w:shd w:val="clear" w:color="auto" w:fill="FFFFFF"/>
        </w:rPr>
        <w:t>ă</w:t>
      </w:r>
      <w:r w:rsidR="003445BD">
        <w:rPr>
          <w:color w:val="111111"/>
          <w:shd w:val="clear" w:color="auto" w:fill="FFFFFF"/>
        </w:rPr>
        <w:t>reanu</w:t>
      </w:r>
      <w:proofErr w:type="spellEnd"/>
      <w:r w:rsidR="003445BD">
        <w:rPr>
          <w:color w:val="111111"/>
          <w:shd w:val="clear" w:color="auto" w:fill="FFFFFF"/>
        </w:rPr>
        <w:t xml:space="preserve"> et al., 2017)</w:t>
      </w:r>
      <w:r w:rsidR="001A541B">
        <w:rPr>
          <w:color w:val="111111"/>
          <w:shd w:val="clear" w:color="auto" w:fill="FFFFFF"/>
        </w:rPr>
        <w:t xml:space="preserve">, although Romanian mass media continue to over-emphasise </w:t>
      </w:r>
      <w:r w:rsidR="001A541B">
        <w:rPr>
          <w:color w:val="111111"/>
          <w:shd w:val="clear" w:color="auto" w:fill="FFFFFF"/>
        </w:rPr>
        <w:lastRenderedPageBreak/>
        <w:t>emotional aspects</w:t>
      </w:r>
      <w:r w:rsidR="00B4277B">
        <w:rPr>
          <w:color w:val="111111"/>
          <w:shd w:val="clear" w:color="auto" w:fill="FFFFFF"/>
        </w:rPr>
        <w:t xml:space="preserve"> (e.g., focusing on health and disease outcomes of eating, rather than scientific evidence of nutrition)</w:t>
      </w:r>
      <w:r w:rsidR="001A541B">
        <w:rPr>
          <w:color w:val="111111"/>
          <w:shd w:val="clear" w:color="auto" w:fill="FFFFFF"/>
        </w:rPr>
        <w:t xml:space="preserve"> of eating and food in advertising (</w:t>
      </w:r>
      <w:proofErr w:type="spellStart"/>
      <w:r w:rsidR="001A541B">
        <w:rPr>
          <w:color w:val="111111"/>
          <w:shd w:val="clear" w:color="auto" w:fill="FFFFFF"/>
        </w:rPr>
        <w:t>Marinescu</w:t>
      </w:r>
      <w:proofErr w:type="spellEnd"/>
      <w:r w:rsidR="001A541B">
        <w:rPr>
          <w:color w:val="111111"/>
          <w:shd w:val="clear" w:color="auto" w:fill="FFFFFF"/>
        </w:rPr>
        <w:t xml:space="preserve">, 2019). </w:t>
      </w:r>
    </w:p>
    <w:p w14:paraId="38649657" w14:textId="77777777" w:rsidR="003445BD" w:rsidRDefault="003445BD" w:rsidP="003D14E9">
      <w:pPr>
        <w:pStyle w:val="Heading2"/>
        <w:rPr>
          <w:shd w:val="clear" w:color="auto" w:fill="FFFFFF"/>
        </w:rPr>
      </w:pPr>
      <w:r>
        <w:rPr>
          <w:shd w:val="clear" w:color="auto" w:fill="FFFFFF"/>
        </w:rPr>
        <w:t>1.2. The Present Study</w:t>
      </w:r>
    </w:p>
    <w:p w14:paraId="05E851B7" w14:textId="3C66C055" w:rsidR="003445BD" w:rsidRDefault="003445BD" w:rsidP="00C9770B">
      <w:pPr>
        <w:spacing w:line="480" w:lineRule="auto"/>
        <w:rPr>
          <w:color w:val="111111"/>
          <w:shd w:val="clear" w:color="auto" w:fill="FFFFFF"/>
        </w:rPr>
      </w:pPr>
      <w:r>
        <w:rPr>
          <w:b/>
          <w:color w:val="111111"/>
          <w:shd w:val="clear" w:color="auto" w:fill="FFFFFF"/>
        </w:rPr>
        <w:tab/>
      </w:r>
      <w:r w:rsidR="00E14B7E">
        <w:rPr>
          <w:color w:val="111111"/>
          <w:shd w:val="clear" w:color="auto" w:fill="FFFFFF"/>
        </w:rPr>
        <w:t>In short, Romania offers a</w:t>
      </w:r>
      <w:r w:rsidR="00BA0737">
        <w:rPr>
          <w:color w:val="111111"/>
          <w:shd w:val="clear" w:color="auto" w:fill="FFFFFF"/>
        </w:rPr>
        <w:t>n interesting</w:t>
      </w:r>
      <w:r w:rsidR="00E14B7E">
        <w:rPr>
          <w:color w:val="111111"/>
          <w:shd w:val="clear" w:color="auto" w:fill="FFFFFF"/>
        </w:rPr>
        <w:t xml:space="preserve"> national context – one undergoing rapid transformation in its eating habits and behaviours – in which to examine the construct of intuitive eating</w:t>
      </w:r>
      <w:r>
        <w:rPr>
          <w:color w:val="111111"/>
          <w:shd w:val="clear" w:color="auto" w:fill="FFFFFF"/>
        </w:rPr>
        <w:t>. A</w:t>
      </w:r>
      <w:r w:rsidR="00E14B7E">
        <w:rPr>
          <w:color w:val="111111"/>
          <w:shd w:val="clear" w:color="auto" w:fill="FFFFFF"/>
        </w:rPr>
        <w:t>s such, a</w:t>
      </w:r>
      <w:r>
        <w:rPr>
          <w:color w:val="111111"/>
          <w:shd w:val="clear" w:color="auto" w:fill="FFFFFF"/>
        </w:rPr>
        <w:t xml:space="preserve"> first objective of the present study was to examine the factor structure of IES-2 scores in a sample of Romanian adults. Following best-practice recommendations </w:t>
      </w:r>
      <w:r>
        <w:t>(Swami &amp; Barron, 2019; Worthington &amp; Whittaker, 2006)</w:t>
      </w:r>
      <w:r>
        <w:rPr>
          <w:color w:val="111111"/>
          <w:shd w:val="clear" w:color="auto" w:fill="FFFFFF"/>
        </w:rPr>
        <w:t>, we adopted an EFA-to-CFA analytic strategy, which allowed us to explore and then confirm the best-fitting model of IES-2 scores for our target population. That is, unlike previous studies that have relied solely on CFA, the use of an EFA-to-CFA strategy allowed us to consider item behaviour in our sample and examine the fit of</w:t>
      </w:r>
      <w:r w:rsidR="00945CD0">
        <w:rPr>
          <w:color w:val="111111"/>
          <w:shd w:val="clear" w:color="auto" w:fill="FFFFFF"/>
        </w:rPr>
        <w:t xml:space="preserve"> all</w:t>
      </w:r>
      <w:r>
        <w:rPr>
          <w:color w:val="111111"/>
          <w:shd w:val="clear" w:color="auto" w:fill="FFFFFF"/>
        </w:rPr>
        <w:t xml:space="preserve"> hypothesised</w:t>
      </w:r>
      <w:r w:rsidR="00945CD0">
        <w:rPr>
          <w:color w:val="111111"/>
          <w:shd w:val="clear" w:color="auto" w:fill="FFFFFF"/>
        </w:rPr>
        <w:t xml:space="preserve"> and data-driven</w:t>
      </w:r>
      <w:r>
        <w:rPr>
          <w:color w:val="111111"/>
          <w:shd w:val="clear" w:color="auto" w:fill="FFFFFF"/>
        </w:rPr>
        <w:t xml:space="preserve"> models. </w:t>
      </w:r>
      <w:r w:rsidR="000F2EB4">
        <w:rPr>
          <w:color w:val="111111"/>
          <w:shd w:val="clear" w:color="auto" w:fill="FFFFFF"/>
        </w:rPr>
        <w:t>Following the results of all translational studies that have used EFA as a first analytic step (</w:t>
      </w:r>
      <w:proofErr w:type="spellStart"/>
      <w:r w:rsidR="000F2EB4">
        <w:rPr>
          <w:color w:val="111111"/>
          <w:shd w:val="clear" w:color="auto" w:fill="FFFFFF"/>
        </w:rPr>
        <w:t>Camilleri</w:t>
      </w:r>
      <w:proofErr w:type="spellEnd"/>
      <w:r w:rsidR="000F2EB4">
        <w:rPr>
          <w:color w:val="111111"/>
          <w:shd w:val="clear" w:color="auto" w:fill="FFFFFF"/>
        </w:rPr>
        <w:t xml:space="preserve"> et al., 2015; </w:t>
      </w:r>
      <w:proofErr w:type="spellStart"/>
      <w:r w:rsidR="000F2EB4">
        <w:rPr>
          <w:color w:val="111111"/>
          <w:shd w:val="clear" w:color="auto" w:fill="FFFFFF"/>
        </w:rPr>
        <w:t>Madanat</w:t>
      </w:r>
      <w:proofErr w:type="spellEnd"/>
      <w:r w:rsidR="000F2EB4">
        <w:rPr>
          <w:color w:val="111111"/>
          <w:shd w:val="clear" w:color="auto" w:fill="FFFFFF"/>
        </w:rPr>
        <w:t xml:space="preserve"> et al., 2020; Swami</w:t>
      </w:r>
      <w:r w:rsidR="0062287C">
        <w:rPr>
          <w:color w:val="111111"/>
          <w:shd w:val="clear" w:color="auto" w:fill="FFFFFF"/>
        </w:rPr>
        <w:t>, Todd</w:t>
      </w:r>
      <w:r w:rsidR="000F2EB4">
        <w:rPr>
          <w:color w:val="111111"/>
          <w:shd w:val="clear" w:color="auto" w:fill="FFFFFF"/>
        </w:rPr>
        <w:t xml:space="preserve"> et al., 2020), we were doubtful that we would find evidence of the parent 4-factor structure with a higher-order component, although we nevertheless intended to examine the fit of this model using CFA alongside any model derived through EFA. </w:t>
      </w:r>
    </w:p>
    <w:p w14:paraId="3C937F3F" w14:textId="45CB993D" w:rsidR="004418D3" w:rsidRDefault="000F2EB4" w:rsidP="003445BD">
      <w:pPr>
        <w:spacing w:line="480" w:lineRule="auto"/>
        <w:rPr>
          <w:color w:val="000000" w:themeColor="text1"/>
        </w:rPr>
      </w:pPr>
      <w:r>
        <w:rPr>
          <w:color w:val="111111"/>
          <w:shd w:val="clear" w:color="auto" w:fill="FFFFFF"/>
        </w:rPr>
        <w:tab/>
        <w:t xml:space="preserve">In addition, we also examined the extent to which our final model of IES-2 would be invariant at the </w:t>
      </w:r>
      <w:proofErr w:type="spellStart"/>
      <w:r w:rsidR="003445BD">
        <w:rPr>
          <w:color w:val="000000" w:themeColor="text1"/>
        </w:rPr>
        <w:t>configural</w:t>
      </w:r>
      <w:proofErr w:type="spellEnd"/>
      <w:r w:rsidR="003445BD">
        <w:rPr>
          <w:color w:val="000000" w:themeColor="text1"/>
        </w:rPr>
        <w:t>, metric, and scalar levels between women and men</w:t>
      </w:r>
      <w:r>
        <w:rPr>
          <w:color w:val="000000" w:themeColor="text1"/>
        </w:rPr>
        <w:t>. This is important, firstly, because multi-group scalar or partial scalar invariance is a precondition of between-group comparisons on latent scores (Chen, 2007) and, secondly, because only three previous translational studies have specifically examined multi-group invariance with mixed results: two studies have supported full scalar invariance across gender (Duarte et al., 2016; Swami</w:t>
      </w:r>
      <w:r w:rsidR="0062287C">
        <w:rPr>
          <w:color w:val="000000" w:themeColor="text1"/>
        </w:rPr>
        <w:t>, Todd</w:t>
      </w:r>
      <w:r>
        <w:rPr>
          <w:color w:val="000000" w:themeColor="text1"/>
        </w:rPr>
        <w:t xml:space="preserve"> et al., 2020), while a third reported only finding metric invariance (da Silva et al., 2020). </w:t>
      </w:r>
      <w:r w:rsidR="00BA0737">
        <w:rPr>
          <w:color w:val="000000" w:themeColor="text1"/>
        </w:rPr>
        <w:t>Here, we also examined test-retest reliability after four weeks and considered the</w:t>
      </w:r>
      <w:r>
        <w:rPr>
          <w:color w:val="000000" w:themeColor="text1"/>
        </w:rPr>
        <w:t xml:space="preserve"> </w:t>
      </w:r>
      <w:r>
        <w:rPr>
          <w:color w:val="000000" w:themeColor="text1"/>
        </w:rPr>
        <w:lastRenderedPageBreak/>
        <w:t xml:space="preserve">construct validity of IES-2 scores through associations with scores </w:t>
      </w:r>
      <w:r w:rsidR="004418D3">
        <w:rPr>
          <w:color w:val="000000" w:themeColor="text1"/>
        </w:rPr>
        <w:t xml:space="preserve">on </w:t>
      </w:r>
      <w:r>
        <w:rPr>
          <w:color w:val="000000" w:themeColor="text1"/>
        </w:rPr>
        <w:t xml:space="preserve">measures of positive body image (i.e., body appreciation), </w:t>
      </w:r>
      <w:r w:rsidR="004418D3">
        <w:rPr>
          <w:color w:val="000000" w:themeColor="text1"/>
        </w:rPr>
        <w:t>disordered eating,</w:t>
      </w:r>
      <w:r w:rsidR="007F599A">
        <w:rPr>
          <w:color w:val="000000" w:themeColor="text1"/>
        </w:rPr>
        <w:t xml:space="preserve"> and</w:t>
      </w:r>
      <w:r w:rsidR="004418D3">
        <w:rPr>
          <w:color w:val="000000" w:themeColor="text1"/>
        </w:rPr>
        <w:t xml:space="preserve"> psychological well-being (i.e., self-esteem and subjective happiness). These constructs were selected on the basis of significant associations reported in the parent study, as well as the availability of previously translated and validated measures in Romanian. Evidence of construct validity would be established through minimally moderate and significant positive correlations between IES-2 scores and measures of positive body image</w:t>
      </w:r>
      <w:r w:rsidR="007F599A">
        <w:rPr>
          <w:color w:val="000000" w:themeColor="text1"/>
        </w:rPr>
        <w:t xml:space="preserve"> and</w:t>
      </w:r>
      <w:r w:rsidR="004418D3">
        <w:rPr>
          <w:color w:val="000000" w:themeColor="text1"/>
        </w:rPr>
        <w:t xml:space="preserve"> psychological well-being, and significant negative correlations with indices of disordered eating. We also assessed convergent validity through associations with self-reported BMI, with the expectation that IES-2 scores would be significantly and negatively correlated with BMI. </w:t>
      </w:r>
    </w:p>
    <w:p w14:paraId="01855C59" w14:textId="77777777" w:rsidR="004418D3" w:rsidRDefault="004418D3" w:rsidP="003D14E9">
      <w:pPr>
        <w:pStyle w:val="Heading1"/>
        <w:jc w:val="center"/>
      </w:pPr>
      <w:r>
        <w:t>2.1. Method</w:t>
      </w:r>
    </w:p>
    <w:p w14:paraId="7434683E" w14:textId="77777777" w:rsidR="004418D3" w:rsidRDefault="004418D3" w:rsidP="003D14E9">
      <w:pPr>
        <w:pStyle w:val="Heading2"/>
      </w:pPr>
      <w:r>
        <w:t>2.1. Participants</w:t>
      </w:r>
    </w:p>
    <w:p w14:paraId="73BE4C80" w14:textId="77777777" w:rsidR="003D14E9" w:rsidRPr="003D14E9" w:rsidRDefault="0036723A" w:rsidP="003D14E9">
      <w:pPr>
        <w:pStyle w:val="Heading3"/>
      </w:pPr>
      <w:r>
        <w:tab/>
      </w:r>
      <w:r w:rsidRPr="003D14E9">
        <w:rPr>
          <w:rStyle w:val="Heading3Char"/>
          <w:b/>
        </w:rPr>
        <w:t>2.1.1. Main sample.</w:t>
      </w:r>
      <w:r w:rsidRPr="003D14E9">
        <w:t xml:space="preserve"> </w:t>
      </w:r>
    </w:p>
    <w:p w14:paraId="3C10C6DD" w14:textId="7B79339F" w:rsidR="00DB69A9" w:rsidRPr="0036723A" w:rsidRDefault="0036723A" w:rsidP="004418D3">
      <w:pPr>
        <w:spacing w:line="480" w:lineRule="auto"/>
      </w:pPr>
      <w:r>
        <w:t xml:space="preserve">Participants of the main study consisted of an online sample of </w:t>
      </w:r>
      <w:r w:rsidR="00DB69A9">
        <w:t>491</w:t>
      </w:r>
      <w:r>
        <w:t xml:space="preserve"> women and </w:t>
      </w:r>
      <w:r w:rsidR="00DB69A9">
        <w:t>339</w:t>
      </w:r>
      <w:r>
        <w:t xml:space="preserve"> men recruited from Romania. Participants ranged in age from </w:t>
      </w:r>
      <w:r w:rsidR="00DB69A9">
        <w:t>17</w:t>
      </w:r>
      <w:r>
        <w:t xml:space="preserve"> to </w:t>
      </w:r>
      <w:r w:rsidR="00DB69A9">
        <w:t>78</w:t>
      </w:r>
      <w:r>
        <w:t xml:space="preserve"> years (</w:t>
      </w:r>
      <w:r>
        <w:rPr>
          <w:i/>
        </w:rPr>
        <w:t>M</w:t>
      </w:r>
      <w:r>
        <w:t xml:space="preserve"> = </w:t>
      </w:r>
      <w:r w:rsidR="00DB69A9">
        <w:t>26.88</w:t>
      </w:r>
      <w:r>
        <w:t xml:space="preserve">, </w:t>
      </w:r>
      <w:r>
        <w:rPr>
          <w:i/>
        </w:rPr>
        <w:t>SD</w:t>
      </w:r>
      <w:r>
        <w:t xml:space="preserve"> = </w:t>
      </w:r>
      <w:r w:rsidR="00DB69A9">
        <w:t>10.88</w:t>
      </w:r>
      <w:r>
        <w:t xml:space="preserve">) and in self-reported BMI from </w:t>
      </w:r>
      <w:r w:rsidR="00DB69A9">
        <w:t>15.24</w:t>
      </w:r>
      <w:r>
        <w:t xml:space="preserve"> to </w:t>
      </w:r>
      <w:r w:rsidR="00DB69A9">
        <w:t>48.48</w:t>
      </w:r>
      <w:r>
        <w:t xml:space="preserve"> kg/m</w:t>
      </w:r>
      <w:r>
        <w:rPr>
          <w:vertAlign w:val="superscript"/>
        </w:rPr>
        <w:t>2</w:t>
      </w:r>
      <w:r>
        <w:t xml:space="preserve"> (</w:t>
      </w:r>
      <w:r>
        <w:rPr>
          <w:i/>
        </w:rPr>
        <w:t>M</w:t>
      </w:r>
      <w:r>
        <w:t xml:space="preserve"> = </w:t>
      </w:r>
      <w:r w:rsidR="00DB69A9">
        <w:t>23.63</w:t>
      </w:r>
      <w:r>
        <w:t xml:space="preserve">, </w:t>
      </w:r>
      <w:r>
        <w:rPr>
          <w:i/>
        </w:rPr>
        <w:t>SD</w:t>
      </w:r>
      <w:r>
        <w:t xml:space="preserve"> = </w:t>
      </w:r>
      <w:r w:rsidR="00DB69A9">
        <w:t>4.38</w:t>
      </w:r>
      <w:r>
        <w:t xml:space="preserve">). </w:t>
      </w:r>
      <w:r w:rsidR="00DB69A9">
        <w:t xml:space="preserve">All participants were ethnic Romanians and, in terms of educational qualifications, 20.2% had completed minimum secondary schooling, 50.7% had an undergraduate degree, 12.3% had a postgraduate degree, and 16.7% had some other qualification. In terms of religion, 76.0% reported being Eastern Orthodox, 7.2% were Catholic, 6.5% were atheists, and the remainder were of another denomination. </w:t>
      </w:r>
      <w:r>
        <w:t>These participants completed all the measures listed below.</w:t>
      </w:r>
    </w:p>
    <w:p w14:paraId="5A6C642B" w14:textId="77777777" w:rsidR="003D14E9" w:rsidRDefault="0036723A" w:rsidP="003D14E9">
      <w:pPr>
        <w:pStyle w:val="Heading3"/>
      </w:pPr>
      <w:r>
        <w:tab/>
        <w:t xml:space="preserve">2.1.2. Test-retest sample. </w:t>
      </w:r>
    </w:p>
    <w:p w14:paraId="06315398" w14:textId="10C46BE8" w:rsidR="00290330" w:rsidRPr="00290330" w:rsidRDefault="0036723A" w:rsidP="004418D3">
      <w:pPr>
        <w:spacing w:line="480" w:lineRule="auto"/>
      </w:pPr>
      <w:r>
        <w:t xml:space="preserve">The test-retest sample consisted of </w:t>
      </w:r>
      <w:r w:rsidR="00290330">
        <w:t>153</w:t>
      </w:r>
      <w:r>
        <w:t xml:space="preserve"> women and </w:t>
      </w:r>
      <w:r w:rsidR="00290330">
        <w:t>52</w:t>
      </w:r>
      <w:r>
        <w:t xml:space="preserve"> men. </w:t>
      </w:r>
      <w:r w:rsidR="00DB69A9">
        <w:t>These participants</w:t>
      </w:r>
      <w:r>
        <w:t xml:space="preserve"> ranged in age from </w:t>
      </w:r>
      <w:r w:rsidR="00290330">
        <w:t>18</w:t>
      </w:r>
      <w:r>
        <w:t xml:space="preserve"> to </w:t>
      </w:r>
      <w:r w:rsidR="00290330">
        <w:t>64</w:t>
      </w:r>
      <w:r>
        <w:t xml:space="preserve"> years (</w:t>
      </w:r>
      <w:r>
        <w:rPr>
          <w:rStyle w:val="Emphasis"/>
        </w:rPr>
        <w:t>M</w:t>
      </w:r>
      <w:r>
        <w:t> = </w:t>
      </w:r>
      <w:r w:rsidR="00290330">
        <w:t>24.98</w:t>
      </w:r>
      <w:r>
        <w:t>,</w:t>
      </w:r>
      <w:r>
        <w:rPr>
          <w:rStyle w:val="apple-converted-space"/>
        </w:rPr>
        <w:t> </w:t>
      </w:r>
      <w:r>
        <w:rPr>
          <w:rStyle w:val="Emphasis"/>
        </w:rPr>
        <w:t>SD</w:t>
      </w:r>
      <w:r>
        <w:t> = </w:t>
      </w:r>
      <w:r w:rsidR="00290330">
        <w:t>9.26</w:t>
      </w:r>
      <w:r>
        <w:t>)</w:t>
      </w:r>
      <w:r w:rsidR="00DB69A9">
        <w:t xml:space="preserve"> and in self-reported BMI from </w:t>
      </w:r>
      <w:r w:rsidR="00290330">
        <w:t>16.16</w:t>
      </w:r>
      <w:r w:rsidR="00DB69A9">
        <w:t xml:space="preserve"> to </w:t>
      </w:r>
      <w:r w:rsidR="00290330">
        <w:t>36.13</w:t>
      </w:r>
      <w:r w:rsidR="00DB69A9">
        <w:t xml:space="preserve"> kg/m</w:t>
      </w:r>
      <w:r w:rsidR="00DB69A9">
        <w:rPr>
          <w:vertAlign w:val="superscript"/>
        </w:rPr>
        <w:t>2</w:t>
      </w:r>
      <w:r w:rsidR="00DB69A9">
        <w:t xml:space="preserve"> (</w:t>
      </w:r>
      <w:r w:rsidR="00DB69A9">
        <w:rPr>
          <w:rStyle w:val="Emphasis"/>
        </w:rPr>
        <w:t>M</w:t>
      </w:r>
      <w:r w:rsidR="00DB69A9">
        <w:t> = </w:t>
      </w:r>
      <w:r w:rsidR="00290330">
        <w:t>23.12</w:t>
      </w:r>
      <w:r w:rsidR="00DB69A9">
        <w:t>,</w:t>
      </w:r>
      <w:r w:rsidR="00DB69A9">
        <w:rPr>
          <w:rStyle w:val="apple-converted-space"/>
        </w:rPr>
        <w:t> </w:t>
      </w:r>
      <w:r w:rsidR="00DB69A9">
        <w:rPr>
          <w:rStyle w:val="Emphasis"/>
        </w:rPr>
        <w:t>SD</w:t>
      </w:r>
      <w:r w:rsidR="00DB69A9">
        <w:t> = </w:t>
      </w:r>
      <w:r w:rsidR="00290330">
        <w:t>4.30</w:t>
      </w:r>
      <w:r w:rsidR="00DB69A9">
        <w:t>)</w:t>
      </w:r>
      <w:r>
        <w:t xml:space="preserve">. </w:t>
      </w:r>
      <w:r w:rsidR="00DB69A9">
        <w:t>T</w:t>
      </w:r>
      <w:r>
        <w:t xml:space="preserve">hese participants completed the IES-2 at two time-points </w:t>
      </w:r>
      <w:r w:rsidR="00931E83">
        <w:t>four</w:t>
      </w:r>
      <w:r>
        <w:t xml:space="preserve"> weeks apart.</w:t>
      </w:r>
    </w:p>
    <w:p w14:paraId="11A317E6" w14:textId="77777777" w:rsidR="004418D3" w:rsidRDefault="004418D3" w:rsidP="003D14E9">
      <w:pPr>
        <w:pStyle w:val="Heading2"/>
      </w:pPr>
      <w:r>
        <w:lastRenderedPageBreak/>
        <w:t>2.2. Measures</w:t>
      </w:r>
    </w:p>
    <w:p w14:paraId="755BC35D" w14:textId="77777777" w:rsidR="003D14E9" w:rsidRDefault="004418D3" w:rsidP="003D14E9">
      <w:pPr>
        <w:pStyle w:val="Heading3"/>
      </w:pPr>
      <w:r>
        <w:tab/>
        <w:t xml:space="preserve">2.2.1. Intuitive eating. </w:t>
      </w:r>
    </w:p>
    <w:p w14:paraId="38D89CF6" w14:textId="7B2C80F2" w:rsidR="004418D3" w:rsidRPr="009B6844" w:rsidRDefault="004418D3" w:rsidP="004418D3">
      <w:pPr>
        <w:spacing w:line="480" w:lineRule="auto"/>
      </w:pPr>
      <w:r>
        <w:t xml:space="preserve">Participants </w:t>
      </w:r>
      <w:proofErr w:type="gramStart"/>
      <w:r>
        <w:t>were asked</w:t>
      </w:r>
      <w:proofErr w:type="gramEnd"/>
      <w:r>
        <w:t xml:space="preserve"> to complete a Romanian translation of the 23-item IES-2 (</w:t>
      </w:r>
      <w:proofErr w:type="spellStart"/>
      <w:r>
        <w:t>Tylka</w:t>
      </w:r>
      <w:proofErr w:type="spellEnd"/>
      <w:r>
        <w:t xml:space="preserve"> &amp; Kroon Van </w:t>
      </w:r>
      <w:proofErr w:type="spellStart"/>
      <w:r>
        <w:t>Diest</w:t>
      </w:r>
      <w:proofErr w:type="spellEnd"/>
      <w:r>
        <w:t>, 2013). All items were rated on a 5-point scale, ranging from 1 (</w:t>
      </w:r>
      <w:r>
        <w:rPr>
          <w:i/>
        </w:rPr>
        <w:t>strongly disagree</w:t>
      </w:r>
      <w:r w:rsidR="003F3B1B">
        <w:t xml:space="preserve">; Romanian: </w:t>
      </w:r>
      <w:proofErr w:type="spellStart"/>
      <w:r w:rsidR="003F3B1B">
        <w:rPr>
          <w:i/>
        </w:rPr>
        <w:t>dezacord</w:t>
      </w:r>
      <w:proofErr w:type="spellEnd"/>
      <w:r w:rsidR="003F3B1B">
        <w:rPr>
          <w:i/>
        </w:rPr>
        <w:t xml:space="preserve"> </w:t>
      </w:r>
      <w:proofErr w:type="spellStart"/>
      <w:r w:rsidR="003F3B1B">
        <w:rPr>
          <w:i/>
        </w:rPr>
        <w:t>puternic</w:t>
      </w:r>
      <w:proofErr w:type="spellEnd"/>
      <w:r>
        <w:t>) to 5 (</w:t>
      </w:r>
      <w:r>
        <w:rPr>
          <w:i/>
        </w:rPr>
        <w:t>strongly agree</w:t>
      </w:r>
      <w:r w:rsidR="003F3B1B">
        <w:t xml:space="preserve">; Romanian: </w:t>
      </w:r>
      <w:proofErr w:type="spellStart"/>
      <w:r w:rsidR="003F3B1B">
        <w:rPr>
          <w:i/>
        </w:rPr>
        <w:t>acord</w:t>
      </w:r>
      <w:proofErr w:type="spellEnd"/>
      <w:r w:rsidR="003F3B1B">
        <w:rPr>
          <w:i/>
        </w:rPr>
        <w:t xml:space="preserve"> </w:t>
      </w:r>
      <w:proofErr w:type="spellStart"/>
      <w:r w:rsidR="003F3B1B">
        <w:rPr>
          <w:i/>
        </w:rPr>
        <w:t>puternic</w:t>
      </w:r>
      <w:proofErr w:type="spellEnd"/>
      <w:r>
        <w:t xml:space="preserve">). The translation procedure is described </w:t>
      </w:r>
      <w:r w:rsidR="008410E4">
        <w:t>in Section 2.3</w:t>
      </w:r>
      <w:r>
        <w:t xml:space="preserve"> and the IES-2 items in English and </w:t>
      </w:r>
      <w:r w:rsidR="0036723A">
        <w:t>Romanian</w:t>
      </w:r>
      <w:r>
        <w:t xml:space="preserve"> are reported in </w:t>
      </w:r>
      <w:r w:rsidR="0036723A">
        <w:t>Appendix 1</w:t>
      </w:r>
      <w:r>
        <w:t xml:space="preserve">. </w:t>
      </w:r>
    </w:p>
    <w:p w14:paraId="1C3025E2" w14:textId="77777777" w:rsidR="003D14E9" w:rsidRDefault="004418D3" w:rsidP="003D14E9">
      <w:pPr>
        <w:pStyle w:val="Heading3"/>
      </w:pPr>
      <w:r>
        <w:tab/>
        <w:t xml:space="preserve">2.2.2. Positive body image. </w:t>
      </w:r>
    </w:p>
    <w:p w14:paraId="690A4B01" w14:textId="0C9A72BB" w:rsidR="00931E83" w:rsidRDefault="004418D3" w:rsidP="004418D3">
      <w:pPr>
        <w:spacing w:line="480" w:lineRule="auto"/>
        <w:rPr>
          <w:bCs/>
          <w:color w:val="000000" w:themeColor="text1"/>
        </w:rPr>
      </w:pPr>
      <w:r>
        <w:t xml:space="preserve">To measure a facet of positive body image, we used the Body Appreciation Scale-2 (BAS-2; </w:t>
      </w:r>
      <w:proofErr w:type="spellStart"/>
      <w:r>
        <w:t>Tylka</w:t>
      </w:r>
      <w:proofErr w:type="spellEnd"/>
      <w:r>
        <w:t xml:space="preserve"> &amp; Wood-</w:t>
      </w:r>
      <w:proofErr w:type="spellStart"/>
      <w:r>
        <w:t>Barcalow</w:t>
      </w:r>
      <w:proofErr w:type="spellEnd"/>
      <w:r>
        <w:t xml:space="preserve">, 2015; </w:t>
      </w:r>
      <w:r w:rsidR="0036723A">
        <w:t>Romanian</w:t>
      </w:r>
      <w:r>
        <w:t xml:space="preserve"> translation: Swami</w:t>
      </w:r>
      <w:r w:rsidR="0036723A">
        <w:t xml:space="preserve"> et al., </w:t>
      </w:r>
      <w:r>
        <w:t>201</w:t>
      </w:r>
      <w:r w:rsidR="0036723A">
        <w:t>7</w:t>
      </w:r>
      <w:r>
        <w:t xml:space="preserve">). This is a 10-item scale </w:t>
      </w:r>
      <w:r w:rsidRPr="00AA39FB">
        <w:t>that assesses acceptance of one’s body, respect and care for one’s body, and protection of one’s body from unrealistic beauty standards. All items were rated on a 5-point scale, ranging from 1 (</w:t>
      </w:r>
      <w:r>
        <w:rPr>
          <w:i/>
        </w:rPr>
        <w:t>n</w:t>
      </w:r>
      <w:r w:rsidRPr="00AA39FB">
        <w:rPr>
          <w:i/>
        </w:rPr>
        <w:t>ever</w:t>
      </w:r>
      <w:r w:rsidRPr="00AA39FB">
        <w:t>) to 5 (</w:t>
      </w:r>
      <w:r>
        <w:rPr>
          <w:i/>
        </w:rPr>
        <w:t>a</w:t>
      </w:r>
      <w:r w:rsidRPr="00AA39FB">
        <w:rPr>
          <w:i/>
        </w:rPr>
        <w:t>lways</w:t>
      </w:r>
      <w:r w:rsidRPr="00AA39FB">
        <w:t>), and an overall score was computed as the mean of all items. Higher scores</w:t>
      </w:r>
      <w:r w:rsidR="0036723A">
        <w:t xml:space="preserve"> on this scale</w:t>
      </w:r>
      <w:r w:rsidRPr="00AA39FB">
        <w:t xml:space="preserve"> reflect greater body appreciation. </w:t>
      </w:r>
      <w:r>
        <w:t xml:space="preserve">Scores on the </w:t>
      </w:r>
      <w:r w:rsidR="0036723A">
        <w:t>Romanian</w:t>
      </w:r>
      <w:r>
        <w:t xml:space="preserve"> version of the BAS-2 have been shown to be </w:t>
      </w:r>
      <w:r w:rsidR="0036723A">
        <w:t>1-</w:t>
      </w:r>
      <w:r>
        <w:t xml:space="preserve">dimensional and to have adequate internal consistency, construct validity, </w:t>
      </w:r>
      <w:r w:rsidR="0036723A">
        <w:t xml:space="preserve">and test-retest reliability </w:t>
      </w:r>
      <w:r w:rsidR="00931E83">
        <w:t xml:space="preserve">across a 3-week period (Swami et al., 2017). In the present study, internal </w:t>
      </w:r>
      <w:r w:rsidRPr="006C645E">
        <w:rPr>
          <w:color w:val="000000" w:themeColor="text1"/>
          <w:shd w:val="clear" w:color="auto" w:fill="FFFFFF"/>
        </w:rPr>
        <w:t>consistency as assessed using McDonald’s omega (</w:t>
      </w:r>
      <w:r w:rsidRPr="006C645E">
        <w:rPr>
          <w:bCs/>
          <w:color w:val="000000" w:themeColor="text1"/>
          <w:shd w:val="clear" w:color="auto" w:fill="FFFFFF"/>
        </w:rPr>
        <w:t>ω)</w:t>
      </w:r>
      <w:r w:rsidRPr="006C645E">
        <w:rPr>
          <w:color w:val="000000" w:themeColor="text1"/>
        </w:rPr>
        <w:t xml:space="preserve"> for </w:t>
      </w:r>
      <w:r w:rsidRPr="006C645E">
        <w:rPr>
          <w:bCs/>
          <w:color w:val="000000" w:themeColor="text1"/>
        </w:rPr>
        <w:t>BAS-2 scores was .</w:t>
      </w:r>
      <w:r w:rsidR="00DB69A9">
        <w:rPr>
          <w:bCs/>
          <w:color w:val="000000" w:themeColor="text1"/>
        </w:rPr>
        <w:t>94</w:t>
      </w:r>
      <w:r>
        <w:rPr>
          <w:bCs/>
          <w:color w:val="000000" w:themeColor="text1"/>
        </w:rPr>
        <w:t xml:space="preserve"> (95% CI = .</w:t>
      </w:r>
      <w:r w:rsidR="00DB69A9">
        <w:rPr>
          <w:bCs/>
          <w:color w:val="000000" w:themeColor="text1"/>
        </w:rPr>
        <w:t>93</w:t>
      </w:r>
      <w:r>
        <w:rPr>
          <w:bCs/>
          <w:color w:val="000000" w:themeColor="text1"/>
        </w:rPr>
        <w:t>, .</w:t>
      </w:r>
      <w:r w:rsidR="00DB69A9">
        <w:rPr>
          <w:bCs/>
          <w:color w:val="000000" w:themeColor="text1"/>
        </w:rPr>
        <w:t>95</w:t>
      </w:r>
      <w:r>
        <w:rPr>
          <w:bCs/>
          <w:color w:val="000000" w:themeColor="text1"/>
        </w:rPr>
        <w:t>).</w:t>
      </w:r>
    </w:p>
    <w:p w14:paraId="54FC9BC7" w14:textId="77777777" w:rsidR="003D14E9" w:rsidRDefault="00931E83" w:rsidP="003D14E9">
      <w:pPr>
        <w:pStyle w:val="Heading3"/>
      </w:pPr>
      <w:r>
        <w:rPr>
          <w:bCs/>
          <w:color w:val="000000" w:themeColor="text1"/>
        </w:rPr>
        <w:tab/>
        <w:t xml:space="preserve">2.2.3. </w:t>
      </w:r>
      <w:r w:rsidRPr="007A49E1">
        <w:t xml:space="preserve">Symptoms of disordered eating. </w:t>
      </w:r>
    </w:p>
    <w:p w14:paraId="4AEC43B3" w14:textId="3ED38E08" w:rsidR="00931E83" w:rsidRDefault="00931E83" w:rsidP="00931E83">
      <w:pPr>
        <w:spacing w:line="480" w:lineRule="auto"/>
        <w:rPr>
          <w:bCs/>
        </w:rPr>
      </w:pPr>
      <w:r w:rsidRPr="007A49E1">
        <w:t>T</w:t>
      </w:r>
      <w:r>
        <w:t xml:space="preserve">o assess symptoms of disordered eating, we used the </w:t>
      </w:r>
      <w:r w:rsidRPr="007A49E1">
        <w:t xml:space="preserve">Body Image Screening Questionnaire for Eating Disorder Early Detection (BISQ; </w:t>
      </w:r>
      <w:proofErr w:type="spellStart"/>
      <w:r w:rsidRPr="007A49E1">
        <w:t>Jenaro</w:t>
      </w:r>
      <w:proofErr w:type="spellEnd"/>
      <w:r>
        <w:t xml:space="preserve"> et al.</w:t>
      </w:r>
      <w:r w:rsidRPr="007A49E1">
        <w:t xml:space="preserve">, 2011; Romanian translation: </w:t>
      </w:r>
      <w:proofErr w:type="spellStart"/>
      <w:r w:rsidRPr="007A49E1">
        <w:t>Tomsa</w:t>
      </w:r>
      <w:proofErr w:type="spellEnd"/>
      <w:r>
        <w:t xml:space="preserve"> et al.</w:t>
      </w:r>
      <w:r w:rsidRPr="007A49E1">
        <w:t>, 2012). Th</w:t>
      </w:r>
      <w:r>
        <w:t>e BISQ</w:t>
      </w:r>
      <w:r w:rsidRPr="007A49E1">
        <w:t xml:space="preserve"> is a 24-item scale that measures symptomatology of disordered eating along five dimensions, namely bulimia, anorexia, orthorexia, perception of obesity, and </w:t>
      </w:r>
      <w:r>
        <w:t xml:space="preserve">muscle </w:t>
      </w:r>
      <w:proofErr w:type="spellStart"/>
      <w:r>
        <w:t>dysmorphia</w:t>
      </w:r>
      <w:proofErr w:type="spellEnd"/>
      <w:r w:rsidRPr="007A49E1">
        <w:t xml:space="preserve">. </w:t>
      </w:r>
      <w:r>
        <w:t>All i</w:t>
      </w:r>
      <w:r w:rsidRPr="007A49E1">
        <w:t xml:space="preserve">tems were rated on a 6-point scale (1 = </w:t>
      </w:r>
      <w:r w:rsidRPr="007A49E1">
        <w:rPr>
          <w:i/>
        </w:rPr>
        <w:t>Never</w:t>
      </w:r>
      <w:r w:rsidRPr="007A49E1">
        <w:t xml:space="preserve">, 6 = </w:t>
      </w:r>
      <w:r w:rsidRPr="007A49E1">
        <w:rPr>
          <w:i/>
        </w:rPr>
        <w:t>Always</w:t>
      </w:r>
      <w:r w:rsidRPr="007A49E1">
        <w:t xml:space="preserve">). </w:t>
      </w:r>
      <w:r>
        <w:t>Internal consistency coefficients for subscale scores on the Romanian BISQ have been shown to be less-than-adequate, while total scores have adequate reliability and discriminant validity (</w:t>
      </w:r>
      <w:proofErr w:type="spellStart"/>
      <w:r>
        <w:t>Tomsa</w:t>
      </w:r>
      <w:proofErr w:type="spellEnd"/>
      <w:r>
        <w:t xml:space="preserve"> et al., 2012). We, therefore, computed a total score as the mean of all items</w:t>
      </w:r>
      <w:r w:rsidR="00A91E77">
        <w:t xml:space="preserve">, </w:t>
      </w:r>
      <w:r w:rsidR="00A91E77">
        <w:lastRenderedPageBreak/>
        <w:t>following reverse-coding of five items</w:t>
      </w:r>
      <w:r>
        <w:t xml:space="preserve">. </w:t>
      </w:r>
      <w:r w:rsidRPr="007A49E1">
        <w:rPr>
          <w:bCs/>
        </w:rPr>
        <w:t xml:space="preserve">Higher scores on this scale reflect greater eating disorder symptomatology. </w:t>
      </w:r>
      <w:r>
        <w:rPr>
          <w:bCs/>
        </w:rPr>
        <w:t xml:space="preserve">Omega </w:t>
      </w:r>
      <w:r w:rsidRPr="007A49E1">
        <w:rPr>
          <w:bCs/>
        </w:rPr>
        <w:t xml:space="preserve">for the </w:t>
      </w:r>
      <w:r>
        <w:rPr>
          <w:bCs/>
        </w:rPr>
        <w:t xml:space="preserve">total </w:t>
      </w:r>
      <w:r w:rsidRPr="007A49E1">
        <w:rPr>
          <w:bCs/>
        </w:rPr>
        <w:t xml:space="preserve">score in the present study was </w:t>
      </w:r>
      <w:r>
        <w:rPr>
          <w:bCs/>
        </w:rPr>
        <w:t>.</w:t>
      </w:r>
      <w:r w:rsidR="00A91E77">
        <w:rPr>
          <w:bCs/>
          <w:color w:val="000000" w:themeColor="text1"/>
        </w:rPr>
        <w:t>87</w:t>
      </w:r>
      <w:r>
        <w:rPr>
          <w:bCs/>
          <w:color w:val="000000" w:themeColor="text1"/>
        </w:rPr>
        <w:t xml:space="preserve"> (95% CI = .</w:t>
      </w:r>
      <w:r w:rsidR="00A91E77">
        <w:rPr>
          <w:bCs/>
          <w:color w:val="000000" w:themeColor="text1"/>
        </w:rPr>
        <w:t>86</w:t>
      </w:r>
      <w:r>
        <w:rPr>
          <w:bCs/>
          <w:color w:val="000000" w:themeColor="text1"/>
        </w:rPr>
        <w:t>, .</w:t>
      </w:r>
      <w:r w:rsidR="00A91E77">
        <w:rPr>
          <w:bCs/>
          <w:color w:val="000000" w:themeColor="text1"/>
        </w:rPr>
        <w:t>88</w:t>
      </w:r>
      <w:r>
        <w:rPr>
          <w:bCs/>
          <w:color w:val="000000" w:themeColor="text1"/>
        </w:rPr>
        <w:t>)</w:t>
      </w:r>
      <w:r w:rsidRPr="007A49E1">
        <w:rPr>
          <w:bCs/>
        </w:rPr>
        <w:t>.</w:t>
      </w:r>
    </w:p>
    <w:p w14:paraId="22AC35F3" w14:textId="77777777" w:rsidR="003D14E9" w:rsidRDefault="00931E83" w:rsidP="003D14E9">
      <w:pPr>
        <w:pStyle w:val="Heading3"/>
      </w:pPr>
      <w:r>
        <w:tab/>
        <w:t xml:space="preserve">2.2.4. Self-esteem. </w:t>
      </w:r>
    </w:p>
    <w:p w14:paraId="64EDF7CD" w14:textId="278B363B" w:rsidR="007F599A" w:rsidRDefault="00931E83" w:rsidP="00931E83">
      <w:pPr>
        <w:spacing w:line="480" w:lineRule="auto"/>
        <w:rPr>
          <w:bCs/>
        </w:rPr>
      </w:pPr>
      <w:r>
        <w:t xml:space="preserve">The survey package </w:t>
      </w:r>
      <w:r w:rsidRPr="007A49E1">
        <w:rPr>
          <w:bCs/>
        </w:rPr>
        <w:t xml:space="preserve">included the Rosenberg Self-Esteem Scale (RSES; Rosenberg, 1965; Romanian translation: Schmitt &amp; </w:t>
      </w:r>
      <w:proofErr w:type="spellStart"/>
      <w:r w:rsidRPr="007A49E1">
        <w:rPr>
          <w:bCs/>
        </w:rPr>
        <w:t>Allik</w:t>
      </w:r>
      <w:proofErr w:type="spellEnd"/>
      <w:r w:rsidRPr="007A49E1">
        <w:rPr>
          <w:bCs/>
        </w:rPr>
        <w:t xml:space="preserve">, 2005), a 10-item measure of global self-evaluations of worth as a human being. All items were rated on a </w:t>
      </w:r>
      <w:r>
        <w:rPr>
          <w:bCs/>
        </w:rPr>
        <w:t>4</w:t>
      </w:r>
      <w:r w:rsidRPr="007A49E1">
        <w:rPr>
          <w:bCs/>
        </w:rPr>
        <w:t xml:space="preserve">-point scale (1 = </w:t>
      </w:r>
      <w:r w:rsidRPr="007A49E1">
        <w:rPr>
          <w:bCs/>
          <w:i/>
        </w:rPr>
        <w:t>Definitely disagree</w:t>
      </w:r>
      <w:r w:rsidRPr="007A49E1">
        <w:rPr>
          <w:bCs/>
        </w:rPr>
        <w:t xml:space="preserve">, 4 = </w:t>
      </w:r>
      <w:r w:rsidRPr="007A49E1">
        <w:rPr>
          <w:bCs/>
          <w:i/>
        </w:rPr>
        <w:t>Definitely agree</w:t>
      </w:r>
      <w:r w:rsidRPr="007A49E1">
        <w:rPr>
          <w:bCs/>
        </w:rPr>
        <w:t>)</w:t>
      </w:r>
      <w:r>
        <w:rPr>
          <w:bCs/>
        </w:rPr>
        <w:t xml:space="preserve"> and</w:t>
      </w:r>
      <w:r w:rsidRPr="007A49E1">
        <w:rPr>
          <w:bCs/>
        </w:rPr>
        <w:t xml:space="preserve"> </w:t>
      </w:r>
      <w:r>
        <w:rPr>
          <w:bCs/>
        </w:rPr>
        <w:t>a</w:t>
      </w:r>
      <w:r w:rsidRPr="007A49E1">
        <w:rPr>
          <w:bCs/>
        </w:rPr>
        <w:t xml:space="preserve">n overall score was computed as the mean of all 10 items, following reverse-coding of </w:t>
      </w:r>
      <w:r>
        <w:rPr>
          <w:bCs/>
        </w:rPr>
        <w:t>five</w:t>
      </w:r>
      <w:r w:rsidRPr="007A49E1">
        <w:rPr>
          <w:bCs/>
        </w:rPr>
        <w:t xml:space="preserve"> items. Higher scores on this scale reflect greater self-esteem. The Romanian version of the RSES </w:t>
      </w:r>
      <w:r w:rsidRPr="007A49E1">
        <w:rPr>
          <w:bCs/>
          <w:color w:val="000000" w:themeColor="text1"/>
        </w:rPr>
        <w:t xml:space="preserve">has </w:t>
      </w:r>
      <w:r>
        <w:rPr>
          <w:bCs/>
          <w:color w:val="000000" w:themeColor="text1"/>
        </w:rPr>
        <w:t xml:space="preserve">evidenced </w:t>
      </w:r>
      <w:r w:rsidRPr="007A49E1">
        <w:rPr>
          <w:bCs/>
          <w:color w:val="000000" w:themeColor="text1"/>
        </w:rPr>
        <w:t xml:space="preserve">factorial validity (Schmitt &amp; </w:t>
      </w:r>
      <w:proofErr w:type="spellStart"/>
      <w:r w:rsidRPr="007A49E1">
        <w:rPr>
          <w:bCs/>
          <w:color w:val="000000" w:themeColor="text1"/>
        </w:rPr>
        <w:t>Allik</w:t>
      </w:r>
      <w:proofErr w:type="spellEnd"/>
      <w:r w:rsidRPr="007A49E1">
        <w:rPr>
          <w:bCs/>
          <w:color w:val="000000" w:themeColor="text1"/>
        </w:rPr>
        <w:t>, 2005) and patterns of convergent validity (e.g., Sava</w:t>
      </w:r>
      <w:r>
        <w:rPr>
          <w:bCs/>
          <w:color w:val="000000" w:themeColor="text1"/>
        </w:rPr>
        <w:t xml:space="preserve"> et </w:t>
      </w:r>
      <w:r w:rsidRPr="00931E83">
        <w:rPr>
          <w:bCs/>
          <w:color w:val="000000" w:themeColor="text1"/>
        </w:rPr>
        <w:t>al.</w:t>
      </w:r>
      <w:r>
        <w:rPr>
          <w:bCs/>
          <w:color w:val="000000" w:themeColor="text1"/>
        </w:rPr>
        <w:t>, 2011)</w:t>
      </w:r>
      <w:r>
        <w:rPr>
          <w:bCs/>
        </w:rPr>
        <w:t>. In</w:t>
      </w:r>
      <w:r w:rsidRPr="007A49E1">
        <w:rPr>
          <w:bCs/>
        </w:rPr>
        <w:t xml:space="preserve"> the present study, </w:t>
      </w:r>
      <w:r w:rsidRPr="006C645E">
        <w:rPr>
          <w:bCs/>
          <w:color w:val="000000" w:themeColor="text1"/>
          <w:shd w:val="clear" w:color="auto" w:fill="FFFFFF"/>
        </w:rPr>
        <w:t>ω</w:t>
      </w:r>
      <w:r w:rsidRPr="007A49E1">
        <w:rPr>
          <w:bCs/>
        </w:rPr>
        <w:t xml:space="preserve"> for this scale was </w:t>
      </w:r>
      <w:r>
        <w:rPr>
          <w:bCs/>
        </w:rPr>
        <w:t>.</w:t>
      </w:r>
      <w:r w:rsidR="00A91E77">
        <w:rPr>
          <w:bCs/>
          <w:color w:val="000000" w:themeColor="text1"/>
        </w:rPr>
        <w:t>87</w:t>
      </w:r>
      <w:r>
        <w:rPr>
          <w:bCs/>
          <w:color w:val="000000" w:themeColor="text1"/>
        </w:rPr>
        <w:t xml:space="preserve"> (95% CI = .</w:t>
      </w:r>
      <w:r w:rsidR="00A91E77">
        <w:rPr>
          <w:bCs/>
          <w:color w:val="000000" w:themeColor="text1"/>
        </w:rPr>
        <w:t>86</w:t>
      </w:r>
      <w:r>
        <w:rPr>
          <w:bCs/>
          <w:color w:val="000000" w:themeColor="text1"/>
        </w:rPr>
        <w:t>, .</w:t>
      </w:r>
      <w:r w:rsidR="00A91E77">
        <w:rPr>
          <w:bCs/>
          <w:color w:val="000000" w:themeColor="text1"/>
        </w:rPr>
        <w:t>88</w:t>
      </w:r>
      <w:r>
        <w:rPr>
          <w:bCs/>
          <w:color w:val="000000" w:themeColor="text1"/>
        </w:rPr>
        <w:t>)</w:t>
      </w:r>
      <w:r w:rsidRPr="007A49E1">
        <w:rPr>
          <w:bCs/>
        </w:rPr>
        <w:t>.</w:t>
      </w:r>
    </w:p>
    <w:p w14:paraId="7A4DCBEB" w14:textId="77777777" w:rsidR="003D14E9" w:rsidRDefault="007F599A" w:rsidP="003D14E9">
      <w:pPr>
        <w:pStyle w:val="Heading3"/>
      </w:pPr>
      <w:r>
        <w:tab/>
        <w:t xml:space="preserve">2.2.5. Subjective happiness. </w:t>
      </w:r>
    </w:p>
    <w:p w14:paraId="18486225" w14:textId="32D6ECF9" w:rsidR="007F599A" w:rsidRPr="007F599A" w:rsidRDefault="007F599A" w:rsidP="00931E83">
      <w:pPr>
        <w:spacing w:line="480" w:lineRule="auto"/>
        <w:rPr>
          <w:bCs/>
        </w:rPr>
      </w:pPr>
      <w:r>
        <w:rPr>
          <w:bCs/>
        </w:rPr>
        <w:t xml:space="preserve">To assess subjective happiness, we used the </w:t>
      </w:r>
      <w:r w:rsidRPr="007A49E1">
        <w:rPr>
          <w:bCs/>
        </w:rPr>
        <w:t xml:space="preserve">Subjective Happiness Scale (SHS; </w:t>
      </w:r>
      <w:proofErr w:type="spellStart"/>
      <w:r w:rsidRPr="007A49E1">
        <w:rPr>
          <w:bCs/>
        </w:rPr>
        <w:t>Lyubomirsky</w:t>
      </w:r>
      <w:proofErr w:type="spellEnd"/>
      <w:r w:rsidRPr="007A49E1">
        <w:rPr>
          <w:bCs/>
        </w:rPr>
        <w:t xml:space="preserve"> </w:t>
      </w:r>
      <w:r>
        <w:rPr>
          <w:bCs/>
        </w:rPr>
        <w:t>&amp;</w:t>
      </w:r>
      <w:r w:rsidRPr="007A49E1">
        <w:rPr>
          <w:bCs/>
        </w:rPr>
        <w:t xml:space="preserve"> </w:t>
      </w:r>
      <w:proofErr w:type="spellStart"/>
      <w:r w:rsidRPr="007A49E1">
        <w:rPr>
          <w:bCs/>
        </w:rPr>
        <w:t>Lepper</w:t>
      </w:r>
      <w:proofErr w:type="spellEnd"/>
      <w:r w:rsidRPr="007A49E1">
        <w:rPr>
          <w:bCs/>
        </w:rPr>
        <w:t>, 1999</w:t>
      </w:r>
      <w:r>
        <w:rPr>
          <w:bCs/>
        </w:rPr>
        <w:t>; Romanian translation: Swami et al., 2017</w:t>
      </w:r>
      <w:r w:rsidRPr="007A49E1">
        <w:rPr>
          <w:bCs/>
        </w:rPr>
        <w:t>)</w:t>
      </w:r>
      <w:r>
        <w:rPr>
          <w:bCs/>
        </w:rPr>
        <w:t>. This is</w:t>
      </w:r>
      <w:r w:rsidRPr="007A49E1">
        <w:rPr>
          <w:bCs/>
        </w:rPr>
        <w:t xml:space="preserve"> a 4-item measure that assesses the degree to which respondents consider themselves to be happy or unhappy persons. Items on the scale were rated on a 7-point scales with various anchors. </w:t>
      </w:r>
      <w:r>
        <w:rPr>
          <w:bCs/>
        </w:rPr>
        <w:t>A total score was computed as the mean of all items, with higher scores reflecting greater subjective happiness. Swami and colleagues (2017) reported that Romanian SHS scores are 1-dimensional, with adequate internal consistency coefficients. In</w:t>
      </w:r>
      <w:r w:rsidRPr="007A49E1">
        <w:rPr>
          <w:bCs/>
        </w:rPr>
        <w:t xml:space="preserve"> the present study, </w:t>
      </w:r>
      <w:r w:rsidRPr="006C645E">
        <w:rPr>
          <w:bCs/>
          <w:color w:val="000000" w:themeColor="text1"/>
          <w:shd w:val="clear" w:color="auto" w:fill="FFFFFF"/>
        </w:rPr>
        <w:t>ω</w:t>
      </w:r>
      <w:r w:rsidRPr="007A49E1">
        <w:rPr>
          <w:bCs/>
        </w:rPr>
        <w:t xml:space="preserve"> for this scale was </w:t>
      </w:r>
      <w:r>
        <w:rPr>
          <w:bCs/>
        </w:rPr>
        <w:t>.</w:t>
      </w:r>
      <w:r w:rsidR="00A91E77">
        <w:rPr>
          <w:bCs/>
          <w:color w:val="000000" w:themeColor="text1"/>
        </w:rPr>
        <w:t>83</w:t>
      </w:r>
      <w:r>
        <w:rPr>
          <w:bCs/>
          <w:color w:val="000000" w:themeColor="text1"/>
        </w:rPr>
        <w:t xml:space="preserve"> (95% CI = .</w:t>
      </w:r>
      <w:r w:rsidR="0050720C">
        <w:rPr>
          <w:bCs/>
          <w:color w:val="000000" w:themeColor="text1"/>
        </w:rPr>
        <w:t>79, .87</w:t>
      </w:r>
      <w:r>
        <w:rPr>
          <w:bCs/>
          <w:color w:val="000000" w:themeColor="text1"/>
        </w:rPr>
        <w:t>)</w:t>
      </w:r>
      <w:r w:rsidRPr="007A49E1">
        <w:rPr>
          <w:bCs/>
        </w:rPr>
        <w:t>.</w:t>
      </w:r>
    </w:p>
    <w:p w14:paraId="1C18017F" w14:textId="77777777" w:rsidR="003D14E9" w:rsidRDefault="004418D3" w:rsidP="003D14E9">
      <w:pPr>
        <w:pStyle w:val="Heading3"/>
        <w:ind w:firstLine="720"/>
      </w:pPr>
      <w:r>
        <w:t>2.2.</w:t>
      </w:r>
      <w:r w:rsidR="007F599A">
        <w:t>6</w:t>
      </w:r>
      <w:r>
        <w:t xml:space="preserve">. Body mass index. </w:t>
      </w:r>
    </w:p>
    <w:p w14:paraId="2BE9E3C9" w14:textId="38CFEF31" w:rsidR="007F599A" w:rsidRPr="007F599A" w:rsidRDefault="007F599A" w:rsidP="003D14E9">
      <w:pPr>
        <w:spacing w:line="480" w:lineRule="auto"/>
        <w:rPr>
          <w:color w:val="000000" w:themeColor="text1"/>
        </w:rPr>
      </w:pPr>
      <w:r>
        <w:rPr>
          <w:color w:val="000000" w:themeColor="text1"/>
        </w:rPr>
        <w:t xml:space="preserve">We asked participants to self-report their height and weight information, and these data </w:t>
      </w:r>
      <w:proofErr w:type="gramStart"/>
      <w:r>
        <w:rPr>
          <w:color w:val="000000" w:themeColor="text1"/>
        </w:rPr>
        <w:t>were used</w:t>
      </w:r>
      <w:proofErr w:type="gramEnd"/>
      <w:r>
        <w:rPr>
          <w:color w:val="000000" w:themeColor="text1"/>
        </w:rPr>
        <w:t xml:space="preserve"> to compute BMI as kg/m</w:t>
      </w:r>
      <w:r>
        <w:rPr>
          <w:color w:val="000000" w:themeColor="text1"/>
          <w:vertAlign w:val="superscript"/>
        </w:rPr>
        <w:t>2</w:t>
      </w:r>
      <w:r>
        <w:rPr>
          <w:color w:val="000000" w:themeColor="text1"/>
        </w:rPr>
        <w:t>.</w:t>
      </w:r>
    </w:p>
    <w:p w14:paraId="7925642D" w14:textId="77777777" w:rsidR="003D14E9" w:rsidRDefault="004418D3" w:rsidP="003D14E9">
      <w:pPr>
        <w:pStyle w:val="Heading3"/>
        <w:ind w:firstLine="720"/>
      </w:pPr>
      <w:r>
        <w:t>2.2.</w:t>
      </w:r>
      <w:r w:rsidR="007F599A">
        <w:t>7</w:t>
      </w:r>
      <w:r>
        <w:t xml:space="preserve">. Demographics. </w:t>
      </w:r>
    </w:p>
    <w:p w14:paraId="46D44E4A" w14:textId="1AA2F889" w:rsidR="004418D3" w:rsidRPr="003E2A90" w:rsidRDefault="004418D3" w:rsidP="003D14E9">
      <w:pPr>
        <w:spacing w:line="480" w:lineRule="auto"/>
      </w:pPr>
      <w:r>
        <w:rPr>
          <w:color w:val="000000" w:themeColor="text1"/>
        </w:rPr>
        <w:t xml:space="preserve">We requested demographic details consisting of </w:t>
      </w:r>
      <w:r w:rsidR="007F599A">
        <w:rPr>
          <w:color w:val="000000" w:themeColor="text1"/>
        </w:rPr>
        <w:t>gender identit</w:t>
      </w:r>
      <w:r w:rsidR="00867AA9">
        <w:rPr>
          <w:color w:val="000000" w:themeColor="text1"/>
        </w:rPr>
        <w:t>y</w:t>
      </w:r>
      <w:r>
        <w:rPr>
          <w:color w:val="000000" w:themeColor="text1"/>
        </w:rPr>
        <w:t xml:space="preserve">, age, </w:t>
      </w:r>
      <w:r w:rsidR="00DB69A9">
        <w:rPr>
          <w:color w:val="000000" w:themeColor="text1"/>
        </w:rPr>
        <w:t>educational qualifications</w:t>
      </w:r>
      <w:r>
        <w:rPr>
          <w:color w:val="000000" w:themeColor="text1"/>
        </w:rPr>
        <w:t>, and religion.</w:t>
      </w:r>
      <w:r>
        <w:t xml:space="preserve"> </w:t>
      </w:r>
    </w:p>
    <w:p w14:paraId="59CC5688" w14:textId="77777777" w:rsidR="004418D3" w:rsidRDefault="004418D3" w:rsidP="003D14E9">
      <w:pPr>
        <w:pStyle w:val="Heading2"/>
      </w:pPr>
      <w:r>
        <w:lastRenderedPageBreak/>
        <w:t>2.3. Test Adaptation</w:t>
      </w:r>
    </w:p>
    <w:p w14:paraId="0F207D98" w14:textId="00159097" w:rsidR="004418D3" w:rsidRPr="003E2A90" w:rsidRDefault="004418D3" w:rsidP="004418D3">
      <w:pPr>
        <w:spacing w:line="480" w:lineRule="auto"/>
        <w:rPr>
          <w:color w:val="000000" w:themeColor="text1"/>
        </w:rPr>
      </w:pPr>
      <w:r>
        <w:rPr>
          <w:b/>
          <w:color w:val="000000" w:themeColor="text1"/>
        </w:rPr>
        <w:tab/>
      </w:r>
      <w:r>
        <w:rPr>
          <w:color w:val="000000" w:themeColor="text1"/>
        </w:rPr>
        <w:t xml:space="preserve">The IES-2 was translated from English into </w:t>
      </w:r>
      <w:r w:rsidR="00867AA9">
        <w:rPr>
          <w:color w:val="000000" w:themeColor="text1"/>
        </w:rPr>
        <w:t>Romanian (</w:t>
      </w:r>
      <w:proofErr w:type="spellStart"/>
      <w:r w:rsidR="00867AA9" w:rsidRPr="007A49E1">
        <w:rPr>
          <w:i/>
          <w:iCs/>
          <w:color w:val="252525"/>
        </w:rPr>
        <w:t>limba</w:t>
      </w:r>
      <w:proofErr w:type="spellEnd"/>
      <w:r w:rsidR="00867AA9" w:rsidRPr="007A49E1">
        <w:rPr>
          <w:i/>
          <w:iCs/>
          <w:color w:val="252525"/>
        </w:rPr>
        <w:t xml:space="preserve"> </w:t>
      </w:r>
      <w:proofErr w:type="spellStart"/>
      <w:r w:rsidR="00867AA9" w:rsidRPr="007A49E1">
        <w:rPr>
          <w:i/>
          <w:iCs/>
          <w:color w:val="252525"/>
        </w:rPr>
        <w:t>română</w:t>
      </w:r>
      <w:proofErr w:type="spellEnd"/>
      <w:r w:rsidR="00867AA9" w:rsidRPr="007A49E1">
        <w:rPr>
          <w:color w:val="252525"/>
          <w:shd w:val="clear" w:color="auto" w:fill="FFFFFF"/>
        </w:rPr>
        <w:t xml:space="preserve"> or </w:t>
      </w:r>
      <w:proofErr w:type="spellStart"/>
      <w:r w:rsidR="00867AA9" w:rsidRPr="007A49E1">
        <w:rPr>
          <w:color w:val="252525"/>
          <w:shd w:val="clear" w:color="auto" w:fill="FFFFFF"/>
        </w:rPr>
        <w:t>лимба</w:t>
      </w:r>
      <w:proofErr w:type="spellEnd"/>
      <w:r w:rsidR="00867AA9" w:rsidRPr="007A49E1">
        <w:rPr>
          <w:color w:val="252525"/>
          <w:shd w:val="clear" w:color="auto" w:fill="FFFFFF"/>
        </w:rPr>
        <w:t xml:space="preserve"> </w:t>
      </w:r>
      <w:proofErr w:type="spellStart"/>
      <w:r w:rsidR="00867AA9" w:rsidRPr="007A49E1">
        <w:rPr>
          <w:color w:val="252525"/>
          <w:shd w:val="clear" w:color="auto" w:fill="FFFFFF"/>
        </w:rPr>
        <w:t>ромынэ</w:t>
      </w:r>
      <w:proofErr w:type="spellEnd"/>
      <w:r w:rsidR="00867AA9" w:rsidRPr="007A49E1">
        <w:rPr>
          <w:color w:val="252525"/>
          <w:shd w:val="clear" w:color="auto" w:fill="FFFFFF"/>
        </w:rPr>
        <w:t xml:space="preserve"> in</w:t>
      </w:r>
      <w:r w:rsidR="00867AA9" w:rsidRPr="007A49E1">
        <w:rPr>
          <w:rStyle w:val="apple-converted-space"/>
          <w:color w:val="252525"/>
          <w:shd w:val="clear" w:color="auto" w:fill="FFFFFF"/>
        </w:rPr>
        <w:t> </w:t>
      </w:r>
      <w:r w:rsidR="00867AA9" w:rsidRPr="007A49E1">
        <w:t>Moldovan Cyrillic</w:t>
      </w:r>
      <w:r w:rsidR="00867AA9">
        <w:t>)</w:t>
      </w:r>
      <w:r>
        <w:rPr>
          <w:color w:val="000000" w:themeColor="text1"/>
        </w:rPr>
        <w:t xml:space="preserve"> using the 5-stage procedure proposed by </w:t>
      </w:r>
      <w:r w:rsidRPr="009039D8">
        <w:rPr>
          <w:color w:val="000000" w:themeColor="text1"/>
        </w:rPr>
        <w:t xml:space="preserve">Beaton, Bombardier, Guillemin, and </w:t>
      </w:r>
      <w:proofErr w:type="spellStart"/>
      <w:r w:rsidRPr="009039D8">
        <w:rPr>
          <w:color w:val="000000" w:themeColor="text1"/>
        </w:rPr>
        <w:t>Ferraz</w:t>
      </w:r>
      <w:proofErr w:type="spellEnd"/>
      <w:r w:rsidRPr="009039D8">
        <w:rPr>
          <w:color w:val="000000" w:themeColor="text1"/>
        </w:rPr>
        <w:t xml:space="preserve"> (2000)</w:t>
      </w:r>
      <w:r>
        <w:rPr>
          <w:color w:val="000000" w:themeColor="text1"/>
        </w:rPr>
        <w:t xml:space="preserve">. </w:t>
      </w:r>
      <w:r w:rsidR="00867AA9">
        <w:rPr>
          <w:color w:val="000000" w:themeColor="text1"/>
        </w:rPr>
        <w:t xml:space="preserve">In a first step, two translators – one informed, the other uninformed – </w:t>
      </w:r>
      <w:r>
        <w:rPr>
          <w:color w:val="000000" w:themeColor="text1"/>
        </w:rPr>
        <w:t xml:space="preserve">independently forward-translated the IES-2 items from English to </w:t>
      </w:r>
      <w:r w:rsidR="00867AA9">
        <w:rPr>
          <w:color w:val="000000" w:themeColor="text1"/>
        </w:rPr>
        <w:t>Romanian</w:t>
      </w:r>
      <w:r>
        <w:rPr>
          <w:color w:val="000000" w:themeColor="text1"/>
        </w:rPr>
        <w:t xml:space="preserve">. In </w:t>
      </w:r>
      <w:r w:rsidR="00867AA9">
        <w:rPr>
          <w:color w:val="000000" w:themeColor="text1"/>
        </w:rPr>
        <w:t>a</w:t>
      </w:r>
      <w:r>
        <w:rPr>
          <w:color w:val="000000" w:themeColor="text1"/>
        </w:rPr>
        <w:t xml:space="preserve"> second step, the two translations were scrutinised by a third independent and blind translator, who resolved discrepancies between the translations and produced a synthesised translation. In </w:t>
      </w:r>
      <w:r w:rsidR="00867AA9">
        <w:rPr>
          <w:color w:val="000000" w:themeColor="text1"/>
        </w:rPr>
        <w:t>a</w:t>
      </w:r>
      <w:r>
        <w:rPr>
          <w:color w:val="000000" w:themeColor="text1"/>
        </w:rPr>
        <w:t xml:space="preserve"> third step, two new independent translators who were naïve to the IES-2 back-translated the synthesised translation into English (</w:t>
      </w:r>
      <w:proofErr w:type="spellStart"/>
      <w:r>
        <w:rPr>
          <w:color w:val="000000" w:themeColor="text1"/>
        </w:rPr>
        <w:t>Brislin</w:t>
      </w:r>
      <w:proofErr w:type="spellEnd"/>
      <w:r>
        <w:rPr>
          <w:color w:val="000000" w:themeColor="text1"/>
        </w:rPr>
        <w:t>, 1970). In a fourth step, the forward- and back-translations were examined by a bilingual committee comprising all the aforementioned translators</w:t>
      </w:r>
      <w:r w:rsidR="00867AA9">
        <w:rPr>
          <w:color w:val="000000" w:themeColor="text1"/>
        </w:rPr>
        <w:t xml:space="preserve"> and three bilingual authors of the present study. This step did not </w:t>
      </w:r>
      <w:r w:rsidR="008410E4">
        <w:rPr>
          <w:color w:val="000000" w:themeColor="text1"/>
        </w:rPr>
        <w:t>highlight</w:t>
      </w:r>
      <w:r w:rsidR="00867AA9">
        <w:rPr>
          <w:color w:val="000000" w:themeColor="text1"/>
        </w:rPr>
        <w:t xml:space="preserve"> any concerns with the translations, so we proceeded to the final step in which a pre-final version of the IES-2 was pre-tested in a sample of </w:t>
      </w:r>
      <w:r w:rsidR="00D1660A">
        <w:rPr>
          <w:color w:val="000000" w:themeColor="text1"/>
        </w:rPr>
        <w:t>31</w:t>
      </w:r>
      <w:r w:rsidR="00867AA9">
        <w:rPr>
          <w:color w:val="000000" w:themeColor="text1"/>
        </w:rPr>
        <w:t xml:space="preserve"> individuals (women </w:t>
      </w:r>
      <w:r w:rsidR="00D1660A">
        <w:rPr>
          <w:i/>
          <w:iCs/>
          <w:color w:val="000000" w:themeColor="text1"/>
        </w:rPr>
        <w:t>n</w:t>
      </w:r>
      <w:r w:rsidR="00D1660A">
        <w:rPr>
          <w:color w:val="000000" w:themeColor="text1"/>
        </w:rPr>
        <w:t xml:space="preserve"> = 15, men </w:t>
      </w:r>
      <w:r w:rsidR="00D1660A">
        <w:rPr>
          <w:i/>
          <w:iCs/>
          <w:color w:val="000000" w:themeColor="text1"/>
        </w:rPr>
        <w:t>n</w:t>
      </w:r>
      <w:r w:rsidR="00D1660A">
        <w:rPr>
          <w:color w:val="000000" w:themeColor="text1"/>
        </w:rPr>
        <w:t xml:space="preserve"> = 16</w:t>
      </w:r>
      <w:r w:rsidR="00867AA9">
        <w:rPr>
          <w:color w:val="000000" w:themeColor="text1"/>
        </w:rPr>
        <w:t xml:space="preserve">) who broadly matched the target sample. </w:t>
      </w:r>
      <w:r>
        <w:rPr>
          <w:color w:val="000000" w:themeColor="text1"/>
        </w:rPr>
        <w:t xml:space="preserve">These participants were asked to rate each item for understanding on </w:t>
      </w:r>
      <w:r w:rsidRPr="001E35CD">
        <w:rPr>
          <w:color w:val="000000" w:themeColor="text1"/>
        </w:rPr>
        <w:t xml:space="preserve">a 5-point scale (1 = </w:t>
      </w:r>
      <w:r w:rsidRPr="001E35CD">
        <w:rPr>
          <w:i/>
          <w:color w:val="000000" w:themeColor="text1"/>
        </w:rPr>
        <w:t>do not understand at all</w:t>
      </w:r>
      <w:r w:rsidRPr="001E35CD">
        <w:rPr>
          <w:color w:val="000000" w:themeColor="text1"/>
        </w:rPr>
        <w:t xml:space="preserve">, 5 = </w:t>
      </w:r>
      <w:r w:rsidRPr="001E35CD">
        <w:rPr>
          <w:i/>
          <w:color w:val="000000" w:themeColor="text1"/>
        </w:rPr>
        <w:t>understanding completely</w:t>
      </w:r>
      <w:r w:rsidRPr="001E35CD">
        <w:rPr>
          <w:color w:val="000000" w:themeColor="text1"/>
        </w:rPr>
        <w:t xml:space="preserve">). The mean responses per item were then assessed (overall </w:t>
      </w:r>
      <w:r w:rsidRPr="001E35CD">
        <w:rPr>
          <w:i/>
          <w:color w:val="000000" w:themeColor="text1"/>
        </w:rPr>
        <w:t xml:space="preserve">M </w:t>
      </w:r>
      <w:r w:rsidRPr="001E35CD">
        <w:rPr>
          <w:color w:val="000000" w:themeColor="text1"/>
        </w:rPr>
        <w:t xml:space="preserve">= </w:t>
      </w:r>
      <w:r w:rsidR="00D1660A">
        <w:rPr>
          <w:color w:val="000000" w:themeColor="text1"/>
        </w:rPr>
        <w:t>4.63</w:t>
      </w:r>
      <w:r w:rsidRPr="001E35CD">
        <w:rPr>
          <w:color w:val="000000" w:themeColor="text1"/>
        </w:rPr>
        <w:t xml:space="preserve">, </w:t>
      </w:r>
      <w:r w:rsidRPr="001E35CD">
        <w:rPr>
          <w:i/>
          <w:color w:val="000000" w:themeColor="text1"/>
        </w:rPr>
        <w:t>SD</w:t>
      </w:r>
      <w:r w:rsidRPr="001E35CD">
        <w:rPr>
          <w:color w:val="000000" w:themeColor="text1"/>
        </w:rPr>
        <w:t xml:space="preserve"> = </w:t>
      </w:r>
      <w:r w:rsidR="00D1660A">
        <w:rPr>
          <w:color w:val="000000" w:themeColor="text1"/>
        </w:rPr>
        <w:t>0.47</w:t>
      </w:r>
      <w:r w:rsidRPr="001E35CD">
        <w:rPr>
          <w:color w:val="000000" w:themeColor="text1"/>
        </w:rPr>
        <w:t xml:space="preserve">, range = </w:t>
      </w:r>
      <w:r w:rsidR="00D1660A">
        <w:rPr>
          <w:color w:val="000000" w:themeColor="text1"/>
        </w:rPr>
        <w:t>4.29</w:t>
      </w:r>
      <w:r w:rsidRPr="001E35CD">
        <w:rPr>
          <w:color w:val="000000" w:themeColor="text1"/>
        </w:rPr>
        <w:t>-</w:t>
      </w:r>
      <w:r w:rsidR="00D1660A">
        <w:rPr>
          <w:color w:val="000000" w:themeColor="text1"/>
        </w:rPr>
        <w:t>4.92</w:t>
      </w:r>
      <w:r w:rsidRPr="001E35CD">
        <w:rPr>
          <w:color w:val="000000" w:themeColor="text1"/>
        </w:rPr>
        <w:t>) and</w:t>
      </w:r>
      <w:r w:rsidR="00D1660A">
        <w:rPr>
          <w:color w:val="000000" w:themeColor="text1"/>
        </w:rPr>
        <w:t xml:space="preserve">, given the high ratings for all items, no further revisions were made to item content. </w:t>
      </w:r>
      <w:r>
        <w:rPr>
          <w:color w:val="000000" w:themeColor="text1"/>
        </w:rPr>
        <w:t xml:space="preserve">The items of the final translation used in the present study are reported in Appendix 1. </w:t>
      </w:r>
    </w:p>
    <w:p w14:paraId="6C7EF00E" w14:textId="77777777" w:rsidR="004418D3" w:rsidRDefault="004418D3" w:rsidP="003D14E9">
      <w:pPr>
        <w:pStyle w:val="Heading2"/>
      </w:pPr>
      <w:r>
        <w:t>2.4. Procedures</w:t>
      </w:r>
    </w:p>
    <w:p w14:paraId="1D5BFD19" w14:textId="14F7411C" w:rsidR="00620757" w:rsidRDefault="004418D3" w:rsidP="004418D3">
      <w:pPr>
        <w:spacing w:line="480" w:lineRule="auto"/>
      </w:pPr>
      <w:r>
        <w:rPr>
          <w:b/>
          <w:color w:val="000000" w:themeColor="text1"/>
        </w:rPr>
        <w:tab/>
      </w:r>
      <w:r>
        <w:rPr>
          <w:color w:val="000000" w:themeColor="text1"/>
        </w:rPr>
        <w:t xml:space="preserve">All research was conducted in accordance with the principles of the Declaration of Helsinki and ethics approval was obtained from </w:t>
      </w:r>
      <w:r w:rsidR="00867AA9">
        <w:rPr>
          <w:color w:val="000000" w:themeColor="text1"/>
        </w:rPr>
        <w:t>departmental ethics committee</w:t>
      </w:r>
      <w:r>
        <w:rPr>
          <w:color w:val="000000" w:themeColor="text1"/>
        </w:rPr>
        <w:t xml:space="preserve"> at </w:t>
      </w:r>
      <w:r w:rsidR="00342C77">
        <w:rPr>
          <w:color w:val="000000" w:themeColor="text1"/>
        </w:rPr>
        <w:t xml:space="preserve">the </w:t>
      </w:r>
      <w:r w:rsidR="00342C77" w:rsidRPr="00C9770B">
        <w:rPr>
          <w:color w:val="000000" w:themeColor="text1"/>
        </w:rPr>
        <w:t xml:space="preserve">West University of </w:t>
      </w:r>
      <w:proofErr w:type="spellStart"/>
      <w:r w:rsidR="00342C77" w:rsidRPr="00C9770B">
        <w:rPr>
          <w:color w:val="000000" w:themeColor="text1"/>
        </w:rPr>
        <w:t>Tim</w:t>
      </w:r>
      <w:r w:rsidR="00342C77" w:rsidRPr="00C9770B">
        <w:rPr>
          <w:color w:val="000000" w:themeColor="text1"/>
          <w:shd w:val="clear" w:color="auto" w:fill="FFFFFF"/>
        </w:rPr>
        <w:t>ișoara</w:t>
      </w:r>
      <w:proofErr w:type="spellEnd"/>
      <w:r w:rsidR="00342C77">
        <w:rPr>
          <w:color w:val="000000" w:themeColor="text1"/>
        </w:rPr>
        <w:t xml:space="preserve"> </w:t>
      </w:r>
      <w:r>
        <w:rPr>
          <w:color w:val="000000" w:themeColor="text1"/>
        </w:rPr>
        <w:t xml:space="preserve">(approval code: </w:t>
      </w:r>
      <w:r w:rsidR="003F3B1B">
        <w:rPr>
          <w:color w:val="000000" w:themeColor="text1"/>
        </w:rPr>
        <w:t>260/8.01.2020</w:t>
      </w:r>
      <w:r>
        <w:rPr>
          <w:color w:val="000000" w:themeColor="text1"/>
        </w:rPr>
        <w:t xml:space="preserve">). </w:t>
      </w:r>
      <w:r w:rsidR="003F3B1B">
        <w:rPr>
          <w:color w:val="000000" w:themeColor="text1"/>
        </w:rPr>
        <w:t xml:space="preserve">Participants were recruited via advertisements placed on social media sites and through word-of-mouth via the researchers’ social networks. </w:t>
      </w:r>
      <w:r w:rsidR="00620757">
        <w:rPr>
          <w:color w:val="000000" w:themeColor="text1"/>
        </w:rPr>
        <w:t>Inclusion criteria included being a Romanian citizen</w:t>
      </w:r>
      <w:r w:rsidR="00D1660A">
        <w:rPr>
          <w:color w:val="000000" w:themeColor="text1"/>
        </w:rPr>
        <w:t>, Romanian</w:t>
      </w:r>
      <w:r w:rsidR="00620757">
        <w:rPr>
          <w:color w:val="000000" w:themeColor="text1"/>
        </w:rPr>
        <w:t xml:space="preserve"> resident, </w:t>
      </w:r>
      <w:r w:rsidR="00620757">
        <w:rPr>
          <w:color w:val="000000" w:themeColor="text1"/>
        </w:rPr>
        <w:lastRenderedPageBreak/>
        <w:t xml:space="preserve">and being of Romanian ethnicity. </w:t>
      </w:r>
      <w:r w:rsidR="003F3B1B">
        <w:rPr>
          <w:color w:val="000000" w:themeColor="text1"/>
        </w:rPr>
        <w:t>The project was advertised as a study about “eating styles and behaviours” and all potential participants were provided with further information about the study requirements</w:t>
      </w:r>
      <w:r w:rsidR="00620757">
        <w:rPr>
          <w:color w:val="000000" w:themeColor="text1"/>
        </w:rPr>
        <w:t>, including an estimated duration of survey completion</w:t>
      </w:r>
      <w:r w:rsidR="003F3B1B">
        <w:rPr>
          <w:color w:val="000000" w:themeColor="text1"/>
        </w:rPr>
        <w:t>. Participants who agreed to take part provided digital informed consent before being asked to complete an online questionnaire containing the scales listed above in a predetermined order</w:t>
      </w:r>
      <w:r w:rsidR="00516ED3">
        <w:rPr>
          <w:color w:val="000000" w:themeColor="text1"/>
        </w:rPr>
        <w:t xml:space="preserve"> (IES-2, RSES, BISQ, SHS, BAS-2, and demographics last)</w:t>
      </w:r>
      <w:r w:rsidR="003F3B1B">
        <w:rPr>
          <w:color w:val="000000" w:themeColor="text1"/>
        </w:rPr>
        <w:t xml:space="preserve">. All data were collected between February </w:t>
      </w:r>
      <w:r w:rsidR="00620757">
        <w:rPr>
          <w:color w:val="000000" w:themeColor="text1"/>
        </w:rPr>
        <w:t xml:space="preserve">and April 2020. </w:t>
      </w:r>
      <w:r w:rsidR="00620757" w:rsidRPr="007A294B">
        <w:t>IP addresses were examined to ensure that no participant took the survey more than once.</w:t>
      </w:r>
      <w:r w:rsidR="00620757">
        <w:t xml:space="preserve"> The questionnaire was anonymous and participants took part on a voluntary basis and without remuneration. Upon completing the questionnaire, participants were asked to provide their email addresses if they were willing to be contact</w:t>
      </w:r>
      <w:r w:rsidR="008410E4">
        <w:t>ed</w:t>
      </w:r>
      <w:r w:rsidR="00620757">
        <w:t xml:space="preserve"> for a future study and were debriefed. </w:t>
      </w:r>
    </w:p>
    <w:p w14:paraId="17486D78" w14:textId="2C6AD737" w:rsidR="003F3B1B" w:rsidRPr="00620757" w:rsidRDefault="00620757" w:rsidP="004418D3">
      <w:pPr>
        <w:spacing w:line="480" w:lineRule="auto"/>
      </w:pPr>
      <w:r>
        <w:tab/>
        <w:t>Four weeks after initial testing, a randomly-selected subsample of 250 participants were invited to complete a follow-up questionnaire. Of these participants, 2</w:t>
      </w:r>
      <w:r w:rsidR="00662054">
        <w:t>0</w:t>
      </w:r>
      <w:r>
        <w:t xml:space="preserve">5 agreed and completed only the IES-2 following the same procedures as above. Unique codes were generated to link test and retest data, and these along with email addresses were destroyed prior to analyses. All retest participants took part on a voluntary basis and did not receive any remuneration. At the end of this testing session, participants were provided with debriefing information about this portion of the project. </w:t>
      </w:r>
    </w:p>
    <w:p w14:paraId="22BFFDAB" w14:textId="77777777" w:rsidR="004418D3" w:rsidRDefault="004418D3" w:rsidP="003D14E9">
      <w:pPr>
        <w:pStyle w:val="Heading2"/>
      </w:pPr>
      <w:r>
        <w:t>2.5. Analytic Strategy</w:t>
      </w:r>
    </w:p>
    <w:p w14:paraId="747F7815" w14:textId="77777777" w:rsidR="003D14E9" w:rsidRDefault="004418D3" w:rsidP="003D14E9">
      <w:pPr>
        <w:pStyle w:val="Heading3"/>
      </w:pPr>
      <w:r>
        <w:tab/>
        <w:t xml:space="preserve">2.5.1. Data treatment. </w:t>
      </w:r>
    </w:p>
    <w:p w14:paraId="3A734F68" w14:textId="4F225E10" w:rsidR="00867AA9" w:rsidRDefault="004418D3" w:rsidP="004418D3">
      <w:pPr>
        <w:spacing w:line="480" w:lineRule="auto"/>
        <w:rPr>
          <w:rFonts w:eastAsia="Arial Unicode MS"/>
        </w:rPr>
      </w:pPr>
      <w:r>
        <w:rPr>
          <w:color w:val="000000" w:themeColor="text1"/>
        </w:rPr>
        <w:t>There were no missing responses in the dataset</w:t>
      </w:r>
      <w:r w:rsidR="00867AA9">
        <w:rPr>
          <w:color w:val="000000" w:themeColor="text1"/>
        </w:rPr>
        <w:t xml:space="preserve"> and i</w:t>
      </w:r>
      <w:r>
        <w:rPr>
          <w:color w:val="000000" w:themeColor="text1"/>
        </w:rPr>
        <w:t>mprobable BMI values (&lt;</w:t>
      </w:r>
      <w:r w:rsidR="0026039E">
        <w:rPr>
          <w:color w:val="000000" w:themeColor="text1"/>
        </w:rPr>
        <w:t xml:space="preserve"> </w:t>
      </w:r>
      <w:r>
        <w:rPr>
          <w:color w:val="000000" w:themeColor="text1"/>
        </w:rPr>
        <w:t>12 and &gt; 50 kg/m</w:t>
      </w:r>
      <w:r>
        <w:rPr>
          <w:color w:val="000000" w:themeColor="text1"/>
          <w:vertAlign w:val="superscript"/>
        </w:rPr>
        <w:t>2</w:t>
      </w:r>
      <w:r>
        <w:rPr>
          <w:color w:val="000000" w:themeColor="text1"/>
        </w:rPr>
        <w:t xml:space="preserve">; </w:t>
      </w:r>
      <w:r>
        <w:rPr>
          <w:i/>
          <w:color w:val="000000" w:themeColor="text1"/>
        </w:rPr>
        <w:t>n</w:t>
      </w:r>
      <w:r>
        <w:rPr>
          <w:color w:val="000000" w:themeColor="text1"/>
        </w:rPr>
        <w:t xml:space="preserve"> = </w:t>
      </w:r>
      <w:r w:rsidR="0026039E">
        <w:rPr>
          <w:color w:val="000000" w:themeColor="text1"/>
        </w:rPr>
        <w:t>6</w:t>
      </w:r>
      <w:r>
        <w:rPr>
          <w:color w:val="000000" w:themeColor="text1"/>
        </w:rPr>
        <w:t xml:space="preserve">) were recoded as missing data and replaced using the </w:t>
      </w:r>
      <w:r w:rsidR="00867AA9">
        <w:rPr>
          <w:color w:val="000000" w:themeColor="text1"/>
        </w:rPr>
        <w:t>mean replacement technique</w:t>
      </w:r>
      <w:r w:rsidRPr="00C0113A">
        <w:rPr>
          <w:rFonts w:eastAsia="Arial Unicode MS"/>
        </w:rPr>
        <w:t xml:space="preserve">. </w:t>
      </w:r>
      <w:r>
        <w:rPr>
          <w:rFonts w:eastAsia="Arial Unicode MS"/>
        </w:rPr>
        <w:t xml:space="preserve">To examine the factor structure of the IES-2, we </w:t>
      </w:r>
      <w:r w:rsidR="00867AA9">
        <w:rPr>
          <w:rFonts w:eastAsia="Arial Unicode MS"/>
        </w:rPr>
        <w:t>use</w:t>
      </w:r>
      <w:r w:rsidR="008410E4">
        <w:rPr>
          <w:rFonts w:eastAsia="Arial Unicode MS"/>
        </w:rPr>
        <w:t>d</w:t>
      </w:r>
      <w:r w:rsidR="00867AA9">
        <w:rPr>
          <w:rFonts w:eastAsia="Arial Unicode MS"/>
        </w:rPr>
        <w:t xml:space="preserve"> the EFA-to-CFA analytic method recommended by Swami and Barron (2019). To ensure adequate sample sizes for both EFA and CFA, we first split the main sample using a computer-generated random seed, </w:t>
      </w:r>
      <w:r w:rsidR="00867AA9">
        <w:rPr>
          <w:rFonts w:eastAsia="Arial Unicode MS"/>
        </w:rPr>
        <w:lastRenderedPageBreak/>
        <w:t xml:space="preserve">resulting in one split-half for EFA (women </w:t>
      </w:r>
      <w:r w:rsidR="00867AA9">
        <w:rPr>
          <w:rFonts w:eastAsia="Arial Unicode MS"/>
          <w:i/>
        </w:rPr>
        <w:t>n</w:t>
      </w:r>
      <w:r w:rsidR="00867AA9">
        <w:rPr>
          <w:rFonts w:eastAsia="Arial Unicode MS"/>
        </w:rPr>
        <w:t xml:space="preserve"> = </w:t>
      </w:r>
      <w:r w:rsidR="0026039E">
        <w:rPr>
          <w:rFonts w:eastAsia="Arial Unicode MS"/>
        </w:rPr>
        <w:t>253</w:t>
      </w:r>
      <w:r w:rsidR="00867AA9">
        <w:rPr>
          <w:rFonts w:eastAsia="Arial Unicode MS"/>
        </w:rPr>
        <w:t xml:space="preserve">, men </w:t>
      </w:r>
      <w:r w:rsidR="00867AA9">
        <w:rPr>
          <w:rFonts w:eastAsia="Arial Unicode MS"/>
          <w:i/>
        </w:rPr>
        <w:t>n</w:t>
      </w:r>
      <w:r w:rsidR="00867AA9">
        <w:rPr>
          <w:rFonts w:eastAsia="Arial Unicode MS"/>
        </w:rPr>
        <w:t xml:space="preserve"> = </w:t>
      </w:r>
      <w:r w:rsidR="0026039E">
        <w:rPr>
          <w:rFonts w:eastAsia="Arial Unicode MS"/>
        </w:rPr>
        <w:t>167</w:t>
      </w:r>
      <w:r w:rsidR="00867AA9">
        <w:rPr>
          <w:rFonts w:eastAsia="Arial Unicode MS"/>
        </w:rPr>
        <w:t xml:space="preserve">) and a second split-half for CFA (women </w:t>
      </w:r>
      <w:r w:rsidR="00867AA9">
        <w:rPr>
          <w:rFonts w:eastAsia="Arial Unicode MS"/>
          <w:i/>
        </w:rPr>
        <w:t>n</w:t>
      </w:r>
      <w:r w:rsidR="00867AA9">
        <w:rPr>
          <w:rFonts w:eastAsia="Arial Unicode MS"/>
        </w:rPr>
        <w:t xml:space="preserve"> = </w:t>
      </w:r>
      <w:r w:rsidR="0026039E">
        <w:rPr>
          <w:rFonts w:eastAsia="Arial Unicode MS"/>
        </w:rPr>
        <w:t>238</w:t>
      </w:r>
      <w:r w:rsidR="00867AA9">
        <w:rPr>
          <w:rFonts w:eastAsia="Arial Unicode MS"/>
        </w:rPr>
        <w:t xml:space="preserve">, men </w:t>
      </w:r>
      <w:r w:rsidR="00867AA9">
        <w:rPr>
          <w:rFonts w:eastAsia="Arial Unicode MS"/>
          <w:i/>
        </w:rPr>
        <w:t>n</w:t>
      </w:r>
      <w:r w:rsidR="00867AA9">
        <w:rPr>
          <w:rFonts w:eastAsia="Arial Unicode MS"/>
        </w:rPr>
        <w:t xml:space="preserve"> = </w:t>
      </w:r>
      <w:r w:rsidR="0026039E">
        <w:rPr>
          <w:rFonts w:eastAsia="Arial Unicode MS"/>
        </w:rPr>
        <w:t>172</w:t>
      </w:r>
      <w:r w:rsidR="00867AA9">
        <w:rPr>
          <w:rFonts w:eastAsia="Arial Unicode MS"/>
        </w:rPr>
        <w:t xml:space="preserve">). There were no significant differences between the two subsamples in terms of mean age and BMI, as well as the distribution of genders, ethnic groups, and religious groups (all </w:t>
      </w:r>
      <w:proofErr w:type="spellStart"/>
      <w:r w:rsidR="00867AA9">
        <w:rPr>
          <w:rFonts w:eastAsia="Arial Unicode MS"/>
          <w:i/>
        </w:rPr>
        <w:t>p</w:t>
      </w:r>
      <w:r w:rsidR="00867AA9">
        <w:rPr>
          <w:rFonts w:eastAsia="Arial Unicode MS"/>
        </w:rPr>
        <w:t>s</w:t>
      </w:r>
      <w:proofErr w:type="spellEnd"/>
      <w:r w:rsidR="00867AA9">
        <w:rPr>
          <w:rFonts w:eastAsia="Arial Unicode MS"/>
        </w:rPr>
        <w:t xml:space="preserve"> &gt; .</w:t>
      </w:r>
      <w:r w:rsidR="0026039E">
        <w:rPr>
          <w:rFonts w:eastAsia="Arial Unicode MS"/>
        </w:rPr>
        <w:t>067</w:t>
      </w:r>
      <w:r w:rsidR="00867AA9">
        <w:rPr>
          <w:rFonts w:eastAsia="Arial Unicode MS"/>
        </w:rPr>
        <w:t>; full results are omitted here for brevity but are available from the corresponding author).</w:t>
      </w:r>
    </w:p>
    <w:p w14:paraId="11A75C8B" w14:textId="77777777" w:rsidR="003D14E9" w:rsidRDefault="004418D3" w:rsidP="003D14E9">
      <w:pPr>
        <w:pStyle w:val="Heading3"/>
      </w:pPr>
      <w:r>
        <w:tab/>
        <w:t xml:space="preserve">2.5.2. Exploratory factor analysis. </w:t>
      </w:r>
    </w:p>
    <w:p w14:paraId="74BA0ACA" w14:textId="7CD850F9" w:rsidR="004418D3" w:rsidRPr="00854F4B" w:rsidRDefault="004418D3" w:rsidP="004418D3">
      <w:pPr>
        <w:spacing w:line="480" w:lineRule="auto"/>
        <w:rPr>
          <w:color w:val="000000" w:themeColor="text1"/>
        </w:rPr>
      </w:pPr>
      <w:r>
        <w:rPr>
          <w:color w:val="000000" w:themeColor="text1"/>
        </w:rPr>
        <w:t xml:space="preserve">Data from the </w:t>
      </w:r>
      <w:r w:rsidR="00867AA9">
        <w:rPr>
          <w:color w:val="000000" w:themeColor="text1"/>
        </w:rPr>
        <w:t xml:space="preserve">first split-half were </w:t>
      </w:r>
      <w:r>
        <w:rPr>
          <w:color w:val="000000" w:themeColor="text1"/>
        </w:rPr>
        <w:t xml:space="preserve">subjected to principal-axis EFA using the </w:t>
      </w:r>
      <w:r w:rsidRPr="004D0539">
        <w:rPr>
          <w:i/>
          <w:color w:val="000000" w:themeColor="text1"/>
        </w:rPr>
        <w:t>psych</w:t>
      </w:r>
      <w:r w:rsidRPr="003E2A90">
        <w:rPr>
          <w:color w:val="FF0000"/>
        </w:rPr>
        <w:t xml:space="preserve"> </w:t>
      </w:r>
      <w:r>
        <w:rPr>
          <w:color w:val="000000" w:themeColor="text1"/>
        </w:rPr>
        <w:t>package (</w:t>
      </w:r>
      <w:proofErr w:type="spellStart"/>
      <w:r>
        <w:rPr>
          <w:color w:val="000000" w:themeColor="text1"/>
        </w:rPr>
        <w:t>Revelle</w:t>
      </w:r>
      <w:proofErr w:type="spellEnd"/>
      <w:r>
        <w:rPr>
          <w:color w:val="000000" w:themeColor="text1"/>
        </w:rPr>
        <w:t>, 2019) in</w:t>
      </w:r>
      <w:r>
        <w:rPr>
          <w:color w:val="000000" w:themeColor="text1"/>
          <w:shd w:val="clear" w:color="auto" w:fill="FFFFFF"/>
        </w:rPr>
        <w:t xml:space="preserve"> </w:t>
      </w:r>
      <w:r>
        <w:rPr>
          <w:i/>
          <w:color w:val="000000" w:themeColor="text1"/>
          <w:shd w:val="clear" w:color="auto" w:fill="FFFFFF"/>
        </w:rPr>
        <w:t>R</w:t>
      </w:r>
      <w:r>
        <w:rPr>
          <w:color w:val="000000" w:themeColor="text1"/>
          <w:shd w:val="clear" w:color="auto" w:fill="FFFFFF"/>
        </w:rPr>
        <w:t xml:space="preserve"> (</w:t>
      </w:r>
      <w:r>
        <w:rPr>
          <w:i/>
          <w:color w:val="000000" w:themeColor="text1"/>
          <w:shd w:val="clear" w:color="auto" w:fill="FFFFFF"/>
        </w:rPr>
        <w:t>R</w:t>
      </w:r>
      <w:r>
        <w:rPr>
          <w:color w:val="000000" w:themeColor="text1"/>
          <w:shd w:val="clear" w:color="auto" w:fill="FFFFFF"/>
        </w:rPr>
        <w:t xml:space="preserve"> Development Core Team, 2014). </w:t>
      </w:r>
      <w:r w:rsidR="007623FA">
        <w:rPr>
          <w:color w:val="000000" w:themeColor="text1"/>
          <w:shd w:val="clear" w:color="auto" w:fill="FFFFFF"/>
        </w:rPr>
        <w:t xml:space="preserve">Because we could not rule out the possibility of gendered differences in factor structure, the EFAs were run separately for women and men. This </w:t>
      </w:r>
      <w:r w:rsidR="00B4277B">
        <w:rPr>
          <w:color w:val="000000" w:themeColor="text1"/>
          <w:shd w:val="clear" w:color="auto" w:fill="FFFFFF"/>
        </w:rPr>
        <w:t>analytic strategy is also consistent with the EFAs run separately by gender in the parent study (</w:t>
      </w:r>
      <w:proofErr w:type="spellStart"/>
      <w:r>
        <w:rPr>
          <w:color w:val="000000" w:themeColor="text1"/>
          <w:shd w:val="clear" w:color="auto" w:fill="FFFFFF"/>
        </w:rPr>
        <w:t>Tylka</w:t>
      </w:r>
      <w:proofErr w:type="spellEnd"/>
      <w:r>
        <w:rPr>
          <w:color w:val="000000" w:themeColor="text1"/>
          <w:shd w:val="clear" w:color="auto" w:fill="FFFFFF"/>
        </w:rPr>
        <w:t xml:space="preserve"> </w:t>
      </w:r>
      <w:r w:rsidR="00B4277B">
        <w:rPr>
          <w:color w:val="000000" w:themeColor="text1"/>
          <w:shd w:val="clear" w:color="auto" w:fill="FFFFFF"/>
        </w:rPr>
        <w:t>&amp;</w:t>
      </w:r>
      <w:r>
        <w:rPr>
          <w:color w:val="000000" w:themeColor="text1"/>
          <w:shd w:val="clear" w:color="auto" w:fill="FFFFFF"/>
        </w:rPr>
        <w:t xml:space="preserve"> Kroon Van </w:t>
      </w:r>
      <w:proofErr w:type="spellStart"/>
      <w:r>
        <w:rPr>
          <w:color w:val="000000" w:themeColor="text1"/>
          <w:shd w:val="clear" w:color="auto" w:fill="FFFFFF"/>
        </w:rPr>
        <w:t>Diest</w:t>
      </w:r>
      <w:proofErr w:type="spellEnd"/>
      <w:r w:rsidR="00B4277B">
        <w:rPr>
          <w:color w:val="000000" w:themeColor="text1"/>
          <w:shd w:val="clear" w:color="auto" w:fill="FFFFFF"/>
        </w:rPr>
        <w:t xml:space="preserve">, </w:t>
      </w:r>
      <w:r>
        <w:rPr>
          <w:color w:val="000000" w:themeColor="text1"/>
          <w:shd w:val="clear" w:color="auto" w:fill="FFFFFF"/>
        </w:rPr>
        <w:t xml:space="preserve">2013). </w:t>
      </w:r>
      <w:r w:rsidR="00854F4B">
        <w:rPr>
          <w:color w:val="000000" w:themeColor="text1"/>
          <w:shd w:val="clear" w:color="auto" w:fill="FFFFFF"/>
        </w:rPr>
        <w:t xml:space="preserve">To assess subsample size adequacy, we used Worthington and Whittaker’s (2006) item-communality requirement, namely that sample sizes of 150-200 are adequate if </w:t>
      </w:r>
      <w:r w:rsidR="00854F4B" w:rsidRPr="00854F4B">
        <w:rPr>
          <w:color w:val="000000" w:themeColor="text1"/>
        </w:rPr>
        <w:t xml:space="preserve">item communalities are </w:t>
      </w:r>
      <w:r w:rsidR="00854F4B" w:rsidRPr="00854F4B">
        <w:rPr>
          <w:color w:val="000000" w:themeColor="text1"/>
          <w:shd w:val="clear" w:color="auto" w:fill="FFFFFF"/>
        </w:rPr>
        <w:t>≥ .50 or there are 10:1 items per factor with factor loadings of about .40</w:t>
      </w:r>
      <w:r w:rsidR="00854F4B">
        <w:rPr>
          <w:color w:val="000000" w:themeColor="text1"/>
          <w:shd w:val="clear" w:color="auto" w:fill="FFFFFF"/>
        </w:rPr>
        <w:t xml:space="preserve">. In the present study, item communalities were </w:t>
      </w:r>
      <w:r w:rsidR="00854F4B" w:rsidRPr="00854F4B">
        <w:rPr>
          <w:color w:val="000000" w:themeColor="text1"/>
          <w:shd w:val="clear" w:color="auto" w:fill="FFFFFF"/>
        </w:rPr>
        <w:t>≥ .5</w:t>
      </w:r>
      <w:r w:rsidR="00854F4B">
        <w:rPr>
          <w:color w:val="000000" w:themeColor="text1"/>
          <w:shd w:val="clear" w:color="auto" w:fill="FFFFFF"/>
        </w:rPr>
        <w:t xml:space="preserve">5 in women and </w:t>
      </w:r>
      <w:r w:rsidR="00854F4B" w:rsidRPr="00854F4B">
        <w:rPr>
          <w:color w:val="000000" w:themeColor="text1"/>
          <w:shd w:val="clear" w:color="auto" w:fill="FFFFFF"/>
        </w:rPr>
        <w:t>≥ .5</w:t>
      </w:r>
      <w:r w:rsidR="005A073F">
        <w:rPr>
          <w:color w:val="000000" w:themeColor="text1"/>
          <w:shd w:val="clear" w:color="auto" w:fill="FFFFFF"/>
        </w:rPr>
        <w:t>3</w:t>
      </w:r>
      <w:r w:rsidR="00854F4B">
        <w:rPr>
          <w:color w:val="000000" w:themeColor="text1"/>
          <w:shd w:val="clear" w:color="auto" w:fill="FFFFFF"/>
        </w:rPr>
        <w:t xml:space="preserve"> in men. </w:t>
      </w:r>
      <w:r>
        <w:rPr>
          <w:color w:val="000000" w:themeColor="text1"/>
          <w:shd w:val="clear" w:color="auto" w:fill="FFFFFF"/>
        </w:rPr>
        <w:t xml:space="preserve">To determine whether our data were factorable, we computed </w:t>
      </w:r>
      <w:r w:rsidRPr="000E1101">
        <w:rPr>
          <w:color w:val="000000" w:themeColor="text1"/>
        </w:rPr>
        <w:t>the Kaiser-Meyer-</w:t>
      </w:r>
      <w:proofErr w:type="spellStart"/>
      <w:r w:rsidRPr="000E1101">
        <w:rPr>
          <w:color w:val="000000" w:themeColor="text1"/>
        </w:rPr>
        <w:t>Olkin</w:t>
      </w:r>
      <w:proofErr w:type="spellEnd"/>
      <w:r w:rsidRPr="000E1101">
        <w:rPr>
          <w:color w:val="000000" w:themeColor="text1"/>
        </w:rPr>
        <w:t xml:space="preserve"> measure of sampling adequacy </w:t>
      </w:r>
      <w:r w:rsidRPr="000E1101">
        <w:rPr>
          <w:color w:val="000000" w:themeColor="text1"/>
          <w:shd w:val="clear" w:color="auto" w:fill="FFFFFF"/>
        </w:rPr>
        <w:t xml:space="preserve">and Bartlett’s test of </w:t>
      </w:r>
      <w:proofErr w:type="spellStart"/>
      <w:r w:rsidRPr="000E1101">
        <w:rPr>
          <w:color w:val="000000" w:themeColor="text1"/>
          <w:shd w:val="clear" w:color="auto" w:fill="FFFFFF"/>
        </w:rPr>
        <w:t>sphericit</w:t>
      </w:r>
      <w:r>
        <w:rPr>
          <w:color w:val="000000" w:themeColor="text1"/>
          <w:shd w:val="clear" w:color="auto" w:fill="FFFFFF"/>
        </w:rPr>
        <w:t>y</w:t>
      </w:r>
      <w:proofErr w:type="spellEnd"/>
      <w:r>
        <w:rPr>
          <w:color w:val="000000" w:themeColor="text1"/>
          <w:shd w:val="clear" w:color="auto" w:fill="FFFFFF"/>
        </w:rPr>
        <w:t>.</w:t>
      </w:r>
      <w:r w:rsidRPr="000E1101">
        <w:rPr>
          <w:color w:val="000000" w:themeColor="text1"/>
          <w:shd w:val="clear" w:color="auto" w:fill="FFFFFF"/>
        </w:rPr>
        <w:t xml:space="preserve"> </w:t>
      </w:r>
      <w:r>
        <w:rPr>
          <w:color w:val="000000" w:themeColor="text1"/>
          <w:shd w:val="clear" w:color="auto" w:fill="FFFFFF"/>
        </w:rPr>
        <w:t xml:space="preserve">For the EFAs, we followed </w:t>
      </w:r>
      <w:proofErr w:type="spellStart"/>
      <w:r>
        <w:rPr>
          <w:color w:val="000000" w:themeColor="text1"/>
          <w:shd w:val="clear" w:color="auto" w:fill="FFFFFF"/>
        </w:rPr>
        <w:t>Tylka</w:t>
      </w:r>
      <w:proofErr w:type="spellEnd"/>
      <w:r>
        <w:rPr>
          <w:color w:val="000000" w:themeColor="text1"/>
          <w:shd w:val="clear" w:color="auto" w:fill="FFFFFF"/>
        </w:rPr>
        <w:t xml:space="preserve"> and Kroon Van </w:t>
      </w:r>
      <w:proofErr w:type="spellStart"/>
      <w:r>
        <w:rPr>
          <w:color w:val="000000" w:themeColor="text1"/>
          <w:shd w:val="clear" w:color="auto" w:fill="FFFFFF"/>
        </w:rPr>
        <w:t>Diest</w:t>
      </w:r>
      <w:proofErr w:type="spellEnd"/>
      <w:r>
        <w:rPr>
          <w:color w:val="000000" w:themeColor="text1"/>
          <w:shd w:val="clear" w:color="auto" w:fill="FFFFFF"/>
        </w:rPr>
        <w:t xml:space="preserve"> (2013) in applying a direct </w:t>
      </w:r>
      <w:proofErr w:type="spellStart"/>
      <w:r>
        <w:rPr>
          <w:color w:val="000000" w:themeColor="text1"/>
          <w:shd w:val="clear" w:color="auto" w:fill="FFFFFF"/>
        </w:rPr>
        <w:t>oblimin</w:t>
      </w:r>
      <w:proofErr w:type="spellEnd"/>
      <w:r>
        <w:rPr>
          <w:color w:val="000000" w:themeColor="text1"/>
          <w:shd w:val="clear" w:color="auto" w:fill="FFFFFF"/>
        </w:rPr>
        <w:t xml:space="preserve"> rotation, with a delta weight of zero, so as to allow for moderate relationships between the factors. The number of factors to be extracted was determined using parallel analysis</w:t>
      </w:r>
      <w:r>
        <w:t xml:space="preserve"> (Hayton</w:t>
      </w:r>
      <w:r w:rsidR="00C82BD5">
        <w:t xml:space="preserve"> et al.</w:t>
      </w:r>
      <w:r>
        <w:t xml:space="preserve">, 2004), which works by creating </w:t>
      </w:r>
      <w:r w:rsidRPr="009433FC">
        <w:t>a random dataset with the same number of cases and variables</w:t>
      </w:r>
      <w:r>
        <w:t xml:space="preserve"> </w:t>
      </w:r>
      <w:r w:rsidRPr="009433FC">
        <w:t xml:space="preserve">as the actual </w:t>
      </w:r>
      <w:r w:rsidRPr="008B7798">
        <w:t>dataset. Factors in the actual data are only retained if their eigenvalues are greater than the eigenvalues from the random data (Hayton et al., 2004</w:t>
      </w:r>
      <w:r>
        <w:t>)</w:t>
      </w:r>
      <w:r>
        <w:rPr>
          <w:color w:val="000000" w:themeColor="text1"/>
        </w:rPr>
        <w:t xml:space="preserve">. Item retention was based on </w:t>
      </w:r>
      <w:proofErr w:type="spellStart"/>
      <w:r>
        <w:rPr>
          <w:color w:val="000000" w:themeColor="text1"/>
        </w:rPr>
        <w:t>Comrey</w:t>
      </w:r>
      <w:proofErr w:type="spellEnd"/>
      <w:r>
        <w:rPr>
          <w:color w:val="000000" w:themeColor="text1"/>
        </w:rPr>
        <w:t xml:space="preserve"> and Lee’s (1992) recommendation that items with “fair” loadings (</w:t>
      </w:r>
      <w:r w:rsidRPr="009039D8">
        <w:rPr>
          <w:color w:val="000000" w:themeColor="text1"/>
        </w:rPr>
        <w:t xml:space="preserve">i.e., </w:t>
      </w:r>
      <w:r w:rsidRPr="009039D8">
        <w:rPr>
          <w:color w:val="000000" w:themeColor="text1"/>
          <w:shd w:val="clear" w:color="auto" w:fill="FFFFFF"/>
        </w:rPr>
        <w:t>≥ .33)</w:t>
      </w:r>
      <w:r>
        <w:rPr>
          <w:color w:val="000000" w:themeColor="text1"/>
          <w:shd w:val="clear" w:color="auto" w:fill="FFFFFF"/>
        </w:rPr>
        <w:t xml:space="preserve"> should be retained and that cross-loading items (</w:t>
      </w:r>
      <w:r>
        <w:t xml:space="preserve">i.e., items that had loadings of </w:t>
      </w:r>
      <w:r w:rsidRPr="009039D8">
        <w:rPr>
          <w:color w:val="000000" w:themeColor="text1"/>
          <w:shd w:val="clear" w:color="auto" w:fill="FFFFFF"/>
        </w:rPr>
        <w:t>≥ .33</w:t>
      </w:r>
      <w:r>
        <w:rPr>
          <w:color w:val="000000" w:themeColor="text1"/>
          <w:shd w:val="clear" w:color="auto" w:fill="FFFFFF"/>
        </w:rPr>
        <w:t xml:space="preserve"> on more than one factor) should be omitted. Finally, the degree of factor similarity across women and men was assessed using Tucker’s (1951) </w:t>
      </w:r>
      <w:r w:rsidRPr="006A1E8E">
        <w:rPr>
          <w:color w:val="000000" w:themeColor="text1"/>
        </w:rPr>
        <w:lastRenderedPageBreak/>
        <w:t>congruence coefficient</w:t>
      </w:r>
      <w:r>
        <w:rPr>
          <w:color w:val="000000" w:themeColor="text1"/>
        </w:rPr>
        <w:t xml:space="preserve">, with values </w:t>
      </w:r>
      <w:r w:rsidRPr="006A1E8E">
        <w:rPr>
          <w:color w:val="000000" w:themeColor="text1"/>
        </w:rPr>
        <w:t>between .85 and .94 correspond</w:t>
      </w:r>
      <w:r>
        <w:rPr>
          <w:color w:val="000000" w:themeColor="text1"/>
        </w:rPr>
        <w:t>ing</w:t>
      </w:r>
      <w:r w:rsidRPr="006A1E8E">
        <w:rPr>
          <w:color w:val="000000" w:themeColor="text1"/>
        </w:rPr>
        <w:t xml:space="preserve"> to fair similarity across groups</w:t>
      </w:r>
      <w:r>
        <w:rPr>
          <w:color w:val="000000" w:themeColor="text1"/>
        </w:rPr>
        <w:t xml:space="preserve"> and </w:t>
      </w:r>
      <w:r w:rsidRPr="006A1E8E">
        <w:rPr>
          <w:color w:val="000000" w:themeColor="text1"/>
        </w:rPr>
        <w:t xml:space="preserve">values </w:t>
      </w:r>
      <w:r w:rsidRPr="006A1E8E">
        <w:rPr>
          <w:color w:val="000000" w:themeColor="text1"/>
          <w:shd w:val="clear" w:color="auto" w:fill="FFFFFF"/>
        </w:rPr>
        <w:t>≥ .95 suggest</w:t>
      </w:r>
      <w:r>
        <w:rPr>
          <w:color w:val="000000" w:themeColor="text1"/>
          <w:shd w:val="clear" w:color="auto" w:fill="FFFFFF"/>
        </w:rPr>
        <w:t>ing</w:t>
      </w:r>
      <w:r w:rsidRPr="006A1E8E">
        <w:rPr>
          <w:color w:val="000000" w:themeColor="text1"/>
          <w:shd w:val="clear" w:color="auto" w:fill="FFFFFF"/>
        </w:rPr>
        <w:t xml:space="preserve"> that factor structures can be considered equal across groups</w:t>
      </w:r>
      <w:r>
        <w:rPr>
          <w:color w:val="000000" w:themeColor="text1"/>
          <w:shd w:val="clear" w:color="auto" w:fill="FFFFFF"/>
        </w:rPr>
        <w:t xml:space="preserve"> (Lorenzo-</w:t>
      </w:r>
      <w:proofErr w:type="spellStart"/>
      <w:r>
        <w:rPr>
          <w:color w:val="000000" w:themeColor="text1"/>
          <w:shd w:val="clear" w:color="auto" w:fill="FFFFFF"/>
        </w:rPr>
        <w:t>Seva</w:t>
      </w:r>
      <w:proofErr w:type="spellEnd"/>
      <w:r>
        <w:rPr>
          <w:color w:val="000000" w:themeColor="text1"/>
          <w:shd w:val="clear" w:color="auto" w:fill="FFFFFF"/>
        </w:rPr>
        <w:t xml:space="preserve"> &amp; ten Berge, 2006). </w:t>
      </w:r>
    </w:p>
    <w:p w14:paraId="4107AA15" w14:textId="77777777" w:rsidR="003D14E9" w:rsidRDefault="004418D3" w:rsidP="003D14E9">
      <w:pPr>
        <w:pStyle w:val="Heading3"/>
        <w:rPr>
          <w:rFonts w:eastAsia="Arial Unicode MS"/>
        </w:rPr>
      </w:pPr>
      <w:r>
        <w:rPr>
          <w:rFonts w:eastAsia="Arial Unicode MS"/>
        </w:rPr>
        <w:tab/>
        <w:t xml:space="preserve">2.5.3. Confirmatory factor analysis. </w:t>
      </w:r>
    </w:p>
    <w:p w14:paraId="203CE890" w14:textId="524876F0" w:rsidR="004418D3" w:rsidRPr="004D0539" w:rsidRDefault="004D0539" w:rsidP="004418D3">
      <w:pPr>
        <w:spacing w:line="480" w:lineRule="auto"/>
        <w:rPr>
          <w:color w:val="000000" w:themeColor="text1"/>
          <w:shd w:val="clear" w:color="auto" w:fill="FFFFFF"/>
        </w:rPr>
      </w:pPr>
      <w:r>
        <w:rPr>
          <w:rFonts w:eastAsia="Arial Unicode MS"/>
        </w:rPr>
        <w:t xml:space="preserve">Data from the second split-half were subjected to </w:t>
      </w:r>
      <w:r w:rsidR="004418D3">
        <w:rPr>
          <w:color w:val="000000" w:themeColor="text1"/>
          <w:shd w:val="clear" w:color="auto" w:fill="FFFFFF"/>
        </w:rPr>
        <w:t xml:space="preserve">CFA using the </w:t>
      </w:r>
      <w:proofErr w:type="spellStart"/>
      <w:r w:rsidR="004418D3" w:rsidRPr="004D0539">
        <w:rPr>
          <w:i/>
          <w:color w:val="000000" w:themeColor="text1"/>
          <w:shd w:val="clear" w:color="auto" w:fill="FFFFFF"/>
        </w:rPr>
        <w:t>lavaan</w:t>
      </w:r>
      <w:proofErr w:type="spellEnd"/>
      <w:r w:rsidR="004418D3">
        <w:rPr>
          <w:color w:val="000000" w:themeColor="text1"/>
          <w:shd w:val="clear" w:color="auto" w:fill="FFFFFF"/>
        </w:rPr>
        <w:t xml:space="preserve"> (</w:t>
      </w:r>
      <w:proofErr w:type="spellStart"/>
      <w:r w:rsidR="004418D3">
        <w:rPr>
          <w:color w:val="000000" w:themeColor="text1"/>
          <w:shd w:val="clear" w:color="auto" w:fill="FFFFFF"/>
        </w:rPr>
        <w:t>Rosseel</w:t>
      </w:r>
      <w:proofErr w:type="spellEnd"/>
      <w:r w:rsidR="004418D3">
        <w:rPr>
          <w:color w:val="000000" w:themeColor="text1"/>
          <w:shd w:val="clear" w:color="auto" w:fill="FFFFFF"/>
        </w:rPr>
        <w:t xml:space="preserve">, 2012), </w:t>
      </w:r>
      <w:proofErr w:type="spellStart"/>
      <w:r w:rsidR="004418D3" w:rsidRPr="004D0539">
        <w:rPr>
          <w:i/>
          <w:color w:val="000000" w:themeColor="text1"/>
          <w:shd w:val="clear" w:color="auto" w:fill="FFFFFF"/>
        </w:rPr>
        <w:t>semTools</w:t>
      </w:r>
      <w:proofErr w:type="spellEnd"/>
      <w:r w:rsidR="004418D3">
        <w:rPr>
          <w:color w:val="000000" w:themeColor="text1"/>
          <w:shd w:val="clear" w:color="auto" w:fill="FFFFFF"/>
        </w:rPr>
        <w:t xml:space="preserve"> (Jorgensen</w:t>
      </w:r>
      <w:r>
        <w:rPr>
          <w:color w:val="000000" w:themeColor="text1"/>
          <w:shd w:val="clear" w:color="auto" w:fill="FFFFFF"/>
        </w:rPr>
        <w:t xml:space="preserve"> et al.</w:t>
      </w:r>
      <w:r w:rsidR="004418D3">
        <w:rPr>
          <w:color w:val="000000" w:themeColor="text1"/>
          <w:shd w:val="clear" w:color="auto" w:fill="FFFFFF"/>
        </w:rPr>
        <w:t xml:space="preserve">, 2018), and </w:t>
      </w:r>
      <w:r w:rsidR="004418D3" w:rsidRPr="004D0539">
        <w:rPr>
          <w:i/>
          <w:color w:val="000000" w:themeColor="text1"/>
          <w:shd w:val="clear" w:color="auto" w:fill="FFFFFF"/>
        </w:rPr>
        <w:t>MVN</w:t>
      </w:r>
      <w:r w:rsidR="004418D3">
        <w:rPr>
          <w:color w:val="000000" w:themeColor="text1"/>
          <w:shd w:val="clear" w:color="auto" w:fill="FFFFFF"/>
        </w:rPr>
        <w:t xml:space="preserve"> packages (</w:t>
      </w:r>
      <w:proofErr w:type="spellStart"/>
      <w:r w:rsidR="004418D3">
        <w:rPr>
          <w:color w:val="000000" w:themeColor="text1"/>
          <w:shd w:val="clear" w:color="auto" w:fill="FFFFFF"/>
        </w:rPr>
        <w:t>Korkmaz</w:t>
      </w:r>
      <w:proofErr w:type="spellEnd"/>
      <w:r>
        <w:rPr>
          <w:color w:val="000000" w:themeColor="text1"/>
          <w:shd w:val="clear" w:color="auto" w:fill="FFFFFF"/>
        </w:rPr>
        <w:t xml:space="preserve"> et al.</w:t>
      </w:r>
      <w:r w:rsidR="004418D3">
        <w:rPr>
          <w:color w:val="000000" w:themeColor="text1"/>
          <w:shd w:val="clear" w:color="auto" w:fill="FFFFFF"/>
        </w:rPr>
        <w:t xml:space="preserve">, 2014) with </w:t>
      </w:r>
      <w:r w:rsidR="004418D3">
        <w:rPr>
          <w:i/>
          <w:color w:val="000000" w:themeColor="text1"/>
          <w:shd w:val="clear" w:color="auto" w:fill="FFFFFF"/>
        </w:rPr>
        <w:t>R</w:t>
      </w:r>
      <w:r w:rsidR="004418D3">
        <w:rPr>
          <w:color w:val="000000" w:themeColor="text1"/>
          <w:shd w:val="clear" w:color="auto" w:fill="FFFFFF"/>
        </w:rPr>
        <w:t xml:space="preserve"> (</w:t>
      </w:r>
      <w:r w:rsidR="004418D3">
        <w:rPr>
          <w:i/>
          <w:color w:val="000000" w:themeColor="text1"/>
          <w:shd w:val="clear" w:color="auto" w:fill="FFFFFF"/>
        </w:rPr>
        <w:t>R</w:t>
      </w:r>
      <w:r w:rsidR="004418D3">
        <w:rPr>
          <w:color w:val="000000" w:themeColor="text1"/>
          <w:shd w:val="clear" w:color="auto" w:fill="FFFFFF"/>
        </w:rPr>
        <w:t xml:space="preserve"> Development Core Team, 2014). </w:t>
      </w:r>
      <w:r>
        <w:rPr>
          <w:color w:val="000000" w:themeColor="text1"/>
          <w:shd w:val="clear" w:color="auto" w:fill="FFFFFF"/>
        </w:rPr>
        <w:t>Based on a proactive Monte Carlo simulation, Swami</w:t>
      </w:r>
      <w:r w:rsidR="0062287C">
        <w:rPr>
          <w:color w:val="000000" w:themeColor="text1"/>
          <w:shd w:val="clear" w:color="auto" w:fill="FFFFFF"/>
        </w:rPr>
        <w:t>, Todd</w:t>
      </w:r>
      <w:r>
        <w:rPr>
          <w:color w:val="000000" w:themeColor="text1"/>
          <w:shd w:val="clear" w:color="auto" w:fill="FFFFFF"/>
        </w:rPr>
        <w:t xml:space="preserve"> and colleagues (2020) previously reported that a minimum sample size of 386 is required for CFA, which was surpassed in our study. Our analytic plan consisted of testing the fit of the </w:t>
      </w:r>
      <w:r w:rsidR="004418D3">
        <w:rPr>
          <w:color w:val="000000" w:themeColor="text1"/>
          <w:shd w:val="clear" w:color="auto" w:fill="FFFFFF"/>
        </w:rPr>
        <w:t xml:space="preserve">4-factor model with a higher-order factor proposed by </w:t>
      </w:r>
      <w:proofErr w:type="spellStart"/>
      <w:r w:rsidR="004418D3">
        <w:rPr>
          <w:color w:val="000000" w:themeColor="text1"/>
          <w:shd w:val="clear" w:color="auto" w:fill="FFFFFF"/>
        </w:rPr>
        <w:t>Tylka</w:t>
      </w:r>
      <w:proofErr w:type="spellEnd"/>
      <w:r w:rsidR="004418D3">
        <w:rPr>
          <w:color w:val="000000" w:themeColor="text1"/>
          <w:shd w:val="clear" w:color="auto" w:fill="FFFFFF"/>
        </w:rPr>
        <w:t xml:space="preserve"> and Kroon Van </w:t>
      </w:r>
      <w:proofErr w:type="spellStart"/>
      <w:r w:rsidR="004418D3">
        <w:rPr>
          <w:color w:val="000000" w:themeColor="text1"/>
          <w:shd w:val="clear" w:color="auto" w:fill="FFFFFF"/>
        </w:rPr>
        <w:t>Diest</w:t>
      </w:r>
      <w:proofErr w:type="spellEnd"/>
      <w:r w:rsidR="004418D3">
        <w:rPr>
          <w:color w:val="000000" w:themeColor="text1"/>
          <w:shd w:val="clear" w:color="auto" w:fill="FFFFFF"/>
        </w:rPr>
        <w:t xml:space="preserve"> (2013) and, if discrepant, the model(s) that emerged from our EFAs.</w:t>
      </w:r>
      <w:r w:rsidR="00B4277B">
        <w:rPr>
          <w:color w:val="000000" w:themeColor="text1"/>
          <w:shd w:val="clear" w:color="auto" w:fill="FFFFFF"/>
        </w:rPr>
        <w:t xml:space="preserve"> Analyses were conducted with the total sample and gender invariance examined separately (see Section 2.5.4).</w:t>
      </w:r>
      <w:r w:rsidR="004418D3">
        <w:rPr>
          <w:color w:val="000000" w:themeColor="text1"/>
          <w:shd w:val="clear" w:color="auto" w:fill="FFFFFF"/>
        </w:rPr>
        <w:t xml:space="preserve"> </w:t>
      </w:r>
      <w:r w:rsidR="004418D3" w:rsidRPr="00DA63A8">
        <w:rPr>
          <w:color w:val="000000" w:themeColor="text1"/>
          <w:shd w:val="clear" w:color="auto" w:fill="FFFFFF"/>
        </w:rPr>
        <w:t>Assessment of the present data for normality indicated that they were neither univariate (</w:t>
      </w:r>
      <w:proofErr w:type="spellStart"/>
      <w:r w:rsidR="004418D3" w:rsidRPr="003B4D5C">
        <w:rPr>
          <w:color w:val="000000" w:themeColor="text1"/>
          <w:shd w:val="clear" w:color="auto" w:fill="FFFFFF"/>
        </w:rPr>
        <w:t>Sharipo</w:t>
      </w:r>
      <w:proofErr w:type="spellEnd"/>
      <w:r w:rsidR="004418D3" w:rsidRPr="003B4D5C">
        <w:rPr>
          <w:color w:val="000000" w:themeColor="text1"/>
          <w:shd w:val="clear" w:color="auto" w:fill="FFFFFF"/>
        </w:rPr>
        <w:t xml:space="preserve">-Wilks </w:t>
      </w:r>
      <w:r w:rsidR="004418D3" w:rsidRPr="003B4D5C">
        <w:rPr>
          <w:i/>
          <w:color w:val="000000" w:themeColor="text1"/>
          <w:shd w:val="clear" w:color="auto" w:fill="FFFFFF"/>
        </w:rPr>
        <w:t>p</w:t>
      </w:r>
      <w:r w:rsidR="004418D3" w:rsidRPr="003B4D5C">
        <w:rPr>
          <w:color w:val="000000" w:themeColor="text1"/>
          <w:shd w:val="clear" w:color="auto" w:fill="FFFFFF"/>
        </w:rPr>
        <w:t xml:space="preserve"> &lt; .001</w:t>
      </w:r>
      <w:r w:rsidR="004418D3" w:rsidRPr="00DA63A8">
        <w:rPr>
          <w:color w:val="000000" w:themeColor="text1"/>
          <w:shd w:val="clear" w:color="auto" w:fill="FFFFFF"/>
        </w:rPr>
        <w:t>) nor multivariate normal (</w:t>
      </w:r>
      <w:proofErr w:type="spellStart"/>
      <w:r w:rsidR="004418D3" w:rsidRPr="003B4D5C">
        <w:rPr>
          <w:color w:val="000000" w:themeColor="text1"/>
          <w:shd w:val="clear" w:color="auto" w:fill="FFFFFF"/>
        </w:rPr>
        <w:t>Mardia’s</w:t>
      </w:r>
      <w:proofErr w:type="spellEnd"/>
      <w:r w:rsidR="004418D3" w:rsidRPr="003B4D5C">
        <w:rPr>
          <w:color w:val="000000" w:themeColor="text1"/>
          <w:shd w:val="clear" w:color="auto" w:fill="FFFFFF"/>
        </w:rPr>
        <w:t xml:space="preserve"> skewness =</w:t>
      </w:r>
      <w:r w:rsidR="00D16667">
        <w:rPr>
          <w:color w:val="000000" w:themeColor="text1"/>
          <w:shd w:val="clear" w:color="auto" w:fill="FFFFFF"/>
        </w:rPr>
        <w:t xml:space="preserve"> 5118.22</w:t>
      </w:r>
      <w:r w:rsidR="004418D3" w:rsidRPr="003B4D5C">
        <w:rPr>
          <w:color w:val="000000" w:themeColor="text1"/>
          <w:shd w:val="clear" w:color="auto" w:fill="FFFFFF"/>
        </w:rPr>
        <w:t xml:space="preserve">, </w:t>
      </w:r>
      <w:r w:rsidR="004418D3" w:rsidRPr="003B4D5C">
        <w:rPr>
          <w:i/>
          <w:color w:val="000000" w:themeColor="text1"/>
          <w:shd w:val="clear" w:color="auto" w:fill="FFFFFF"/>
        </w:rPr>
        <w:t>p</w:t>
      </w:r>
      <w:r w:rsidR="004418D3" w:rsidRPr="003B4D5C">
        <w:rPr>
          <w:color w:val="000000" w:themeColor="text1"/>
          <w:shd w:val="clear" w:color="auto" w:fill="FFFFFF"/>
        </w:rPr>
        <w:t xml:space="preserve"> &lt; .001, </w:t>
      </w:r>
      <w:proofErr w:type="spellStart"/>
      <w:r w:rsidR="004418D3" w:rsidRPr="003B4D5C">
        <w:rPr>
          <w:color w:val="000000" w:themeColor="text1"/>
          <w:shd w:val="clear" w:color="auto" w:fill="FFFFFF"/>
        </w:rPr>
        <w:t>Mardia’s</w:t>
      </w:r>
      <w:proofErr w:type="spellEnd"/>
      <w:r w:rsidR="004418D3" w:rsidRPr="003B4D5C">
        <w:rPr>
          <w:color w:val="000000" w:themeColor="text1"/>
          <w:shd w:val="clear" w:color="auto" w:fill="FFFFFF"/>
        </w:rPr>
        <w:t xml:space="preserve"> kurtosis = </w:t>
      </w:r>
      <w:r w:rsidR="00D16667">
        <w:rPr>
          <w:color w:val="000000" w:themeColor="text1"/>
          <w:shd w:val="clear" w:color="auto" w:fill="FFFFFF"/>
        </w:rPr>
        <w:t>36.03</w:t>
      </w:r>
      <w:r w:rsidR="004418D3" w:rsidRPr="003B4D5C">
        <w:rPr>
          <w:color w:val="000000" w:themeColor="text1"/>
          <w:shd w:val="clear" w:color="auto" w:fill="FFFFFF"/>
        </w:rPr>
        <w:t xml:space="preserve">, </w:t>
      </w:r>
      <w:r w:rsidR="004418D3" w:rsidRPr="003B4D5C">
        <w:rPr>
          <w:i/>
          <w:color w:val="000000" w:themeColor="text1"/>
          <w:shd w:val="clear" w:color="auto" w:fill="FFFFFF"/>
        </w:rPr>
        <w:t>p</w:t>
      </w:r>
      <w:r w:rsidR="004418D3" w:rsidRPr="003B4D5C">
        <w:rPr>
          <w:color w:val="000000" w:themeColor="text1"/>
          <w:shd w:val="clear" w:color="auto" w:fill="FFFFFF"/>
        </w:rPr>
        <w:t xml:space="preserve"> &lt; .001)</w:t>
      </w:r>
      <w:r w:rsidR="004418D3" w:rsidRPr="00DA63A8">
        <w:rPr>
          <w:color w:val="000000" w:themeColor="text1"/>
          <w:shd w:val="clear" w:color="auto" w:fill="FFFFFF"/>
        </w:rPr>
        <w:t xml:space="preserve">, so parameter estimates were obtained using the robust maximum likelihood method with </w:t>
      </w:r>
      <w:r w:rsidR="004418D3" w:rsidRPr="00DA63A8">
        <w:rPr>
          <w:rFonts w:asciiTheme="majorBidi" w:hAnsiTheme="majorBidi" w:cstheme="majorBidi"/>
          <w:color w:val="000000" w:themeColor="text1"/>
        </w:rPr>
        <w:t xml:space="preserve">the </w:t>
      </w:r>
      <w:proofErr w:type="spellStart"/>
      <w:r w:rsidR="004418D3" w:rsidRPr="00DA63A8">
        <w:rPr>
          <w:rFonts w:asciiTheme="majorBidi" w:hAnsiTheme="majorBidi" w:cstheme="majorBidi"/>
          <w:color w:val="000000" w:themeColor="text1"/>
        </w:rPr>
        <w:t>Satorra-Bentler</w:t>
      </w:r>
      <w:proofErr w:type="spellEnd"/>
      <w:r w:rsidR="004418D3" w:rsidRPr="00DA63A8">
        <w:rPr>
          <w:rFonts w:asciiTheme="majorBidi" w:hAnsiTheme="majorBidi" w:cstheme="majorBidi"/>
          <w:color w:val="000000" w:themeColor="text1"/>
        </w:rPr>
        <w:t xml:space="preserve"> correction </w:t>
      </w:r>
      <w:r w:rsidR="004418D3" w:rsidRPr="00DA63A8">
        <w:rPr>
          <w:color w:val="000000" w:themeColor="text1"/>
          <w:lang w:val="en-US"/>
        </w:rPr>
        <w:t>(</w:t>
      </w:r>
      <w:proofErr w:type="spellStart"/>
      <w:r w:rsidR="004418D3" w:rsidRPr="00DA63A8">
        <w:rPr>
          <w:color w:val="000000" w:themeColor="text1"/>
          <w:lang w:val="en-US"/>
        </w:rPr>
        <w:t>Satorra</w:t>
      </w:r>
      <w:proofErr w:type="spellEnd"/>
      <w:r w:rsidR="004418D3" w:rsidRPr="00DA63A8">
        <w:rPr>
          <w:color w:val="000000" w:themeColor="text1"/>
          <w:lang w:val="en-US"/>
        </w:rPr>
        <w:t xml:space="preserve"> &amp; </w:t>
      </w:r>
      <w:proofErr w:type="spellStart"/>
      <w:r w:rsidR="004418D3" w:rsidRPr="00DA63A8">
        <w:rPr>
          <w:color w:val="000000" w:themeColor="text1"/>
          <w:lang w:val="en-US"/>
        </w:rPr>
        <w:t>Bentler</w:t>
      </w:r>
      <w:proofErr w:type="spellEnd"/>
      <w:r w:rsidR="004418D3" w:rsidRPr="00DA63A8">
        <w:rPr>
          <w:color w:val="000000" w:themeColor="text1"/>
          <w:lang w:val="en-US"/>
        </w:rPr>
        <w:t xml:space="preserve">, 2001). </w:t>
      </w:r>
      <w:r w:rsidR="004418D3" w:rsidRPr="007F20B8">
        <w:rPr>
          <w:color w:val="000000" w:themeColor="text1"/>
          <w:lang w:val="en-US"/>
        </w:rPr>
        <w:t>To assess goodness-of-fit, we used the normed model chi-square (</w:t>
      </w:r>
      <w:r w:rsidR="004418D3" w:rsidRPr="007F20B8">
        <w:rPr>
          <w:bCs/>
          <w:iCs/>
          <w:color w:val="000000" w:themeColor="text1"/>
          <w:shd w:val="clear" w:color="auto" w:fill="FFFFFF"/>
        </w:rPr>
        <w:t>χ</w:t>
      </w:r>
      <w:r w:rsidR="004418D3" w:rsidRPr="007F20B8">
        <w:rPr>
          <w:bCs/>
          <w:color w:val="000000" w:themeColor="text1"/>
          <w:shd w:val="clear" w:color="auto" w:fill="FFFFFF"/>
        </w:rPr>
        <w:t>²</w:t>
      </w:r>
      <w:r w:rsidR="004418D3" w:rsidRPr="007F20B8">
        <w:rPr>
          <w:color w:val="000000" w:themeColor="text1"/>
        </w:rPr>
        <w:t>/</w:t>
      </w:r>
      <w:proofErr w:type="spellStart"/>
      <w:r w:rsidR="004418D3" w:rsidRPr="007F20B8">
        <w:rPr>
          <w:color w:val="000000" w:themeColor="text1"/>
        </w:rPr>
        <w:t>df</w:t>
      </w:r>
      <w:proofErr w:type="spellEnd"/>
      <w:r w:rsidR="004418D3" w:rsidRPr="007F20B8">
        <w:rPr>
          <w:color w:val="000000" w:themeColor="text1"/>
        </w:rPr>
        <w:t xml:space="preserve">; values &lt; 3.0 considered indicative of good fit; Hu &amp; </w:t>
      </w:r>
      <w:proofErr w:type="spellStart"/>
      <w:r w:rsidR="004418D3" w:rsidRPr="007F20B8">
        <w:rPr>
          <w:color w:val="000000" w:themeColor="text1"/>
        </w:rPr>
        <w:t>Bentler</w:t>
      </w:r>
      <w:proofErr w:type="spellEnd"/>
      <w:r w:rsidR="004418D3" w:rsidRPr="007F20B8">
        <w:rPr>
          <w:color w:val="000000" w:themeColor="text1"/>
        </w:rPr>
        <w:t xml:space="preserve">, 1999), the </w:t>
      </w:r>
      <w:proofErr w:type="spellStart"/>
      <w:r w:rsidR="004418D3" w:rsidRPr="007F20B8">
        <w:rPr>
          <w:rFonts w:asciiTheme="majorBidi" w:eastAsia="Arial Unicode MS" w:hAnsiTheme="majorBidi" w:cstheme="majorBidi"/>
          <w:color w:val="000000" w:themeColor="text1"/>
        </w:rPr>
        <w:t>Steiger</w:t>
      </w:r>
      <w:proofErr w:type="spellEnd"/>
      <w:r w:rsidR="004418D3" w:rsidRPr="007F20B8">
        <w:rPr>
          <w:rFonts w:asciiTheme="majorBidi" w:eastAsia="Arial Unicode MS" w:hAnsiTheme="majorBidi" w:cstheme="majorBidi"/>
          <w:color w:val="000000" w:themeColor="text1"/>
        </w:rPr>
        <w:t xml:space="preserve">-Lind root mean square error of approximation (RMSEA) and its 90% CI (values close to .06 considered to be indicative of good fit and up to .08 indicative of adequate fit; </w:t>
      </w:r>
      <w:proofErr w:type="spellStart"/>
      <w:r w:rsidR="004418D3" w:rsidRPr="007F20B8">
        <w:rPr>
          <w:rFonts w:asciiTheme="majorBidi" w:eastAsia="Arial Unicode MS" w:hAnsiTheme="majorBidi" w:cstheme="majorBidi"/>
          <w:color w:val="000000" w:themeColor="text1"/>
        </w:rPr>
        <w:t>Steiger</w:t>
      </w:r>
      <w:proofErr w:type="spellEnd"/>
      <w:r w:rsidR="004418D3" w:rsidRPr="007F20B8">
        <w:rPr>
          <w:rFonts w:asciiTheme="majorBidi" w:eastAsia="Arial Unicode MS" w:hAnsiTheme="majorBidi" w:cstheme="majorBidi"/>
          <w:color w:val="000000" w:themeColor="text1"/>
        </w:rPr>
        <w:t xml:space="preserve">, 2007), the standardised root mean square residual (SRMR; values &lt; .09 indicative of good fit; Hu &amp; </w:t>
      </w:r>
      <w:proofErr w:type="spellStart"/>
      <w:r w:rsidR="004418D3" w:rsidRPr="007F20B8">
        <w:rPr>
          <w:rFonts w:asciiTheme="majorBidi" w:eastAsia="Arial Unicode MS" w:hAnsiTheme="majorBidi" w:cstheme="majorBidi"/>
          <w:color w:val="000000" w:themeColor="text1"/>
        </w:rPr>
        <w:t>Bentler</w:t>
      </w:r>
      <w:proofErr w:type="spellEnd"/>
      <w:r w:rsidR="004418D3" w:rsidRPr="007F20B8">
        <w:rPr>
          <w:rFonts w:asciiTheme="majorBidi" w:eastAsia="Arial Unicode MS" w:hAnsiTheme="majorBidi" w:cstheme="majorBidi"/>
          <w:color w:val="000000" w:themeColor="text1"/>
        </w:rPr>
        <w:t xml:space="preserve">, 1999), the comparative fit index (CFI; values close to or &gt; .95 indicative of adequate fit; Hu &amp; </w:t>
      </w:r>
      <w:proofErr w:type="spellStart"/>
      <w:r w:rsidR="004418D3" w:rsidRPr="007F20B8">
        <w:rPr>
          <w:rFonts w:asciiTheme="majorBidi" w:eastAsia="Arial Unicode MS" w:hAnsiTheme="majorBidi" w:cstheme="majorBidi"/>
          <w:color w:val="000000" w:themeColor="text1"/>
        </w:rPr>
        <w:t>Bentler</w:t>
      </w:r>
      <w:proofErr w:type="spellEnd"/>
      <w:r w:rsidR="004418D3" w:rsidRPr="007F20B8">
        <w:rPr>
          <w:rFonts w:asciiTheme="majorBidi" w:eastAsia="Arial Unicode MS" w:hAnsiTheme="majorBidi" w:cstheme="majorBidi"/>
          <w:color w:val="000000" w:themeColor="text1"/>
        </w:rPr>
        <w:t xml:space="preserve">, 1999), the Tucker-Lewis index (TLI; values close to or &gt; .95 indicative of good fit; Hu &amp; </w:t>
      </w:r>
      <w:proofErr w:type="spellStart"/>
      <w:r w:rsidR="004418D3" w:rsidRPr="007F20B8">
        <w:rPr>
          <w:rFonts w:asciiTheme="majorBidi" w:eastAsia="Arial Unicode MS" w:hAnsiTheme="majorBidi" w:cstheme="majorBidi"/>
          <w:color w:val="000000" w:themeColor="text1"/>
        </w:rPr>
        <w:t>Bentler</w:t>
      </w:r>
      <w:proofErr w:type="spellEnd"/>
      <w:r w:rsidR="004418D3" w:rsidRPr="007F20B8">
        <w:rPr>
          <w:rFonts w:asciiTheme="majorBidi" w:eastAsia="Arial Unicode MS" w:hAnsiTheme="majorBidi" w:cstheme="majorBidi"/>
          <w:color w:val="000000" w:themeColor="text1"/>
        </w:rPr>
        <w:t xml:space="preserve">, 1999), and </w:t>
      </w:r>
      <w:proofErr w:type="spellStart"/>
      <w:r w:rsidR="004418D3" w:rsidRPr="007F20B8">
        <w:rPr>
          <w:color w:val="000000" w:themeColor="text1"/>
          <w:lang w:val="en-US"/>
        </w:rPr>
        <w:t>Bollen’s</w:t>
      </w:r>
      <w:proofErr w:type="spellEnd"/>
      <w:r w:rsidR="004418D3" w:rsidRPr="007F20B8">
        <w:rPr>
          <w:color w:val="000000" w:themeColor="text1"/>
          <w:lang w:val="en-US"/>
        </w:rPr>
        <w:t xml:space="preserve"> Incremental Fit Index (BL89; values close to or &gt; .95 indicative of good fit; </w:t>
      </w:r>
      <w:r w:rsidR="004418D3" w:rsidRPr="007F20B8">
        <w:rPr>
          <w:rFonts w:asciiTheme="majorBidi" w:eastAsia="Arial Unicode MS" w:hAnsiTheme="majorBidi" w:cstheme="majorBidi"/>
          <w:noProof/>
          <w:color w:val="000000" w:themeColor="text1"/>
        </w:rPr>
        <w:t>Hu &amp; Bentler</w:t>
      </w:r>
      <w:r w:rsidR="004418D3" w:rsidRPr="003E2A90">
        <w:rPr>
          <w:rFonts w:asciiTheme="majorBidi" w:eastAsia="Arial Unicode MS" w:hAnsiTheme="majorBidi" w:cstheme="majorBidi"/>
          <w:noProof/>
          <w:color w:val="000000" w:themeColor="text1"/>
        </w:rPr>
        <w:t xml:space="preserve">, 1999). </w:t>
      </w:r>
      <w:r w:rsidR="004418D3">
        <w:rPr>
          <w:rFonts w:asciiTheme="majorBidi" w:eastAsia="Arial Unicode MS" w:hAnsiTheme="majorBidi" w:cstheme="majorBidi"/>
          <w:noProof/>
          <w:color w:val="000000" w:themeColor="text1"/>
        </w:rPr>
        <w:t xml:space="preserve">Akaike’s Information Criterion (AIC) was used as an index of comparative fit, with lower values preferable. </w:t>
      </w:r>
    </w:p>
    <w:p w14:paraId="3477F2AC" w14:textId="77777777" w:rsidR="003D14E9" w:rsidRDefault="004418D3" w:rsidP="003D14E9">
      <w:pPr>
        <w:pStyle w:val="Heading3"/>
        <w:rPr>
          <w:rFonts w:eastAsia="Arial Unicode MS"/>
          <w:noProof/>
        </w:rPr>
      </w:pPr>
      <w:r>
        <w:rPr>
          <w:rFonts w:eastAsia="Arial Unicode MS"/>
          <w:noProof/>
        </w:rPr>
        <w:lastRenderedPageBreak/>
        <w:tab/>
        <w:t xml:space="preserve">2.5.4. Multi-group invariance. </w:t>
      </w:r>
    </w:p>
    <w:p w14:paraId="5BB2957B" w14:textId="2488F050" w:rsidR="004418D3" w:rsidRDefault="004418D3" w:rsidP="004418D3">
      <w:pPr>
        <w:spacing w:line="480" w:lineRule="auto"/>
        <w:rPr>
          <w:rFonts w:eastAsia="Arial Unicode MS"/>
          <w:color w:val="000000" w:themeColor="text1"/>
          <w:shd w:val="clear" w:color="auto" w:fill="FFFFFF"/>
        </w:rPr>
      </w:pPr>
      <w:r>
        <w:rPr>
          <w:rFonts w:asciiTheme="majorBidi" w:eastAsia="Arial Unicode MS" w:hAnsiTheme="majorBidi" w:cstheme="majorBidi"/>
          <w:noProof/>
          <w:color w:val="000000" w:themeColor="text1"/>
        </w:rPr>
        <w:t xml:space="preserve">Using data from the second split-half, we used </w:t>
      </w:r>
      <w:r w:rsidRPr="007F20B8">
        <w:rPr>
          <w:rFonts w:asciiTheme="majorBidi" w:eastAsia="Arial Unicode MS" w:hAnsiTheme="majorBidi" w:cstheme="majorBidi"/>
          <w:color w:val="000000" w:themeColor="text1"/>
        </w:rPr>
        <w:t xml:space="preserve">multi-group CFA (Chen, 2007) to assess measurement invariance at the </w:t>
      </w:r>
      <w:proofErr w:type="spellStart"/>
      <w:r w:rsidRPr="007F20B8">
        <w:rPr>
          <w:rFonts w:asciiTheme="majorBidi" w:eastAsia="Arial Unicode MS" w:hAnsiTheme="majorBidi" w:cstheme="majorBidi"/>
          <w:color w:val="000000" w:themeColor="text1"/>
        </w:rPr>
        <w:t>configural</w:t>
      </w:r>
      <w:proofErr w:type="spellEnd"/>
      <w:r w:rsidRPr="007F20B8">
        <w:rPr>
          <w:rFonts w:asciiTheme="majorBidi" w:eastAsia="Arial Unicode MS" w:hAnsiTheme="majorBidi" w:cstheme="majorBidi"/>
          <w:color w:val="000000" w:themeColor="text1"/>
        </w:rPr>
        <w:t xml:space="preserve">, metric, and scalar levels </w:t>
      </w:r>
      <w:r>
        <w:rPr>
          <w:rFonts w:asciiTheme="majorBidi" w:eastAsia="Arial Unicode MS" w:hAnsiTheme="majorBidi" w:cstheme="majorBidi"/>
          <w:color w:val="000000" w:themeColor="text1"/>
        </w:rPr>
        <w:t xml:space="preserve">for </w:t>
      </w:r>
      <w:r w:rsidR="004D0539">
        <w:rPr>
          <w:rFonts w:asciiTheme="majorBidi" w:eastAsia="Arial Unicode MS" w:hAnsiTheme="majorBidi" w:cstheme="majorBidi"/>
          <w:color w:val="000000" w:themeColor="text1"/>
        </w:rPr>
        <w:t>gender</w:t>
      </w:r>
      <w:r w:rsidRPr="007F20B8">
        <w:rPr>
          <w:rFonts w:asciiTheme="majorBidi" w:eastAsia="Arial Unicode MS" w:hAnsiTheme="majorBidi" w:cstheme="majorBidi"/>
          <w:color w:val="000000" w:themeColor="text1"/>
        </w:rPr>
        <w:t xml:space="preserve">. </w:t>
      </w:r>
      <w:proofErr w:type="spellStart"/>
      <w:r w:rsidRPr="007F20B8">
        <w:rPr>
          <w:color w:val="000000" w:themeColor="text1"/>
        </w:rPr>
        <w:t>Configural</w:t>
      </w:r>
      <w:proofErr w:type="spellEnd"/>
      <w:r w:rsidRPr="007F20B8">
        <w:rPr>
          <w:color w:val="000000" w:themeColor="text1"/>
        </w:rPr>
        <w:t xml:space="preserve"> invariance implies that the latent </w:t>
      </w:r>
      <w:r>
        <w:rPr>
          <w:color w:val="000000" w:themeColor="text1"/>
        </w:rPr>
        <w:t>IES-2</w:t>
      </w:r>
      <w:r w:rsidRPr="007F20B8">
        <w:rPr>
          <w:color w:val="000000" w:themeColor="text1"/>
        </w:rPr>
        <w:t xml:space="preserve"> variable</w:t>
      </w:r>
      <w:r>
        <w:rPr>
          <w:color w:val="000000" w:themeColor="text1"/>
        </w:rPr>
        <w:t>s</w:t>
      </w:r>
      <w:r w:rsidRPr="007F20B8">
        <w:rPr>
          <w:color w:val="000000" w:themeColor="text1"/>
        </w:rPr>
        <w:t xml:space="preserve"> and the pattern of loadings of the latent variables on indicators are similar across groups (i.e., the unconstrained latent model should fit the data well in all groups). Metric invariance implies that the magnitude of the loadings is similar across groups and is tested by comparing two nested models consisting of a baseline model and an invariance model. Because the </w:t>
      </w:r>
      <w:r w:rsidRPr="007F20B8">
        <w:rPr>
          <w:rFonts w:eastAsia="Arial Unicode MS"/>
          <w:color w:val="000000" w:themeColor="text1"/>
          <w:shd w:val="clear" w:color="auto" w:fill="FFFFFF"/>
        </w:rPr>
        <w:t>Δ</w:t>
      </w:r>
      <w:r w:rsidRPr="007F20B8">
        <w:rPr>
          <w:bCs/>
          <w:i/>
          <w:iCs/>
          <w:color w:val="000000" w:themeColor="text1"/>
          <w:shd w:val="clear" w:color="auto" w:fill="FFFFFF"/>
        </w:rPr>
        <w:t>χ</w:t>
      </w:r>
      <w:r w:rsidRPr="007F20B8">
        <w:rPr>
          <w:bCs/>
          <w:color w:val="000000" w:themeColor="text1"/>
          <w:shd w:val="clear" w:color="auto" w:fill="FFFFFF"/>
        </w:rPr>
        <w:t>² statistic is overly stringent criterion invariance (Meade</w:t>
      </w:r>
      <w:r w:rsidR="004D0539">
        <w:rPr>
          <w:bCs/>
          <w:color w:val="000000" w:themeColor="text1"/>
          <w:shd w:val="clear" w:color="auto" w:fill="FFFFFF"/>
        </w:rPr>
        <w:t xml:space="preserve"> et al.</w:t>
      </w:r>
      <w:r w:rsidRPr="007F20B8">
        <w:rPr>
          <w:bCs/>
          <w:color w:val="000000" w:themeColor="text1"/>
          <w:shd w:val="clear" w:color="auto" w:fill="FFFFFF"/>
        </w:rPr>
        <w:t xml:space="preserve">, 2008), we used </w:t>
      </w:r>
      <w:r w:rsidRPr="007F20B8">
        <w:rPr>
          <w:rFonts w:eastAsia="Arial Unicode MS"/>
          <w:color w:val="000000" w:themeColor="text1"/>
          <w:shd w:val="clear" w:color="auto" w:fill="FFFFFF"/>
        </w:rPr>
        <w:t>ΔCFI &lt; .01 as an indicator of metric invariance (</w:t>
      </w:r>
      <w:r w:rsidRPr="007F20B8">
        <w:rPr>
          <w:bCs/>
          <w:color w:val="000000" w:themeColor="text1"/>
          <w:shd w:val="clear" w:color="auto" w:fill="FFFFFF"/>
        </w:rPr>
        <w:t xml:space="preserve">Cheung &amp; </w:t>
      </w:r>
      <w:proofErr w:type="spellStart"/>
      <w:r w:rsidRPr="007F20B8">
        <w:rPr>
          <w:bCs/>
          <w:color w:val="000000" w:themeColor="text1"/>
          <w:shd w:val="clear" w:color="auto" w:fill="FFFFFF"/>
        </w:rPr>
        <w:t>Rensvold</w:t>
      </w:r>
      <w:proofErr w:type="spellEnd"/>
      <w:r w:rsidRPr="007F20B8">
        <w:rPr>
          <w:bCs/>
          <w:color w:val="000000" w:themeColor="text1"/>
          <w:shd w:val="clear" w:color="auto" w:fill="FFFFFF"/>
        </w:rPr>
        <w:t xml:space="preserve">, 2002). </w:t>
      </w:r>
      <w:r w:rsidRPr="007F20B8">
        <w:rPr>
          <w:color w:val="000000" w:themeColor="text1"/>
        </w:rPr>
        <w:t xml:space="preserve">Finally, scalar invariance implies that both the item loadings and item intercepts are similar across groups and is examined using the same nested-model comparison strategy as with metric invariance (Chen, 2007). </w:t>
      </w:r>
      <w:r w:rsidRPr="007F20B8">
        <w:rPr>
          <w:bCs/>
          <w:color w:val="000000" w:themeColor="text1"/>
          <w:shd w:val="clear" w:color="auto" w:fill="FFFFFF"/>
        </w:rPr>
        <w:t xml:space="preserve">For scalar invariance, Chen (2007) suggested that invariance is supported when </w:t>
      </w:r>
      <w:r w:rsidRPr="007F20B8">
        <w:rPr>
          <w:rFonts w:eastAsia="Arial Unicode MS"/>
          <w:color w:val="000000" w:themeColor="text1"/>
          <w:shd w:val="clear" w:color="auto" w:fill="FFFFFF"/>
        </w:rPr>
        <w:t xml:space="preserve">ΔCFI &lt; .01 </w:t>
      </w:r>
      <w:r w:rsidRPr="007F20B8">
        <w:rPr>
          <w:rFonts w:eastAsia="Arial Unicode MS"/>
          <w:i/>
          <w:color w:val="000000" w:themeColor="text1"/>
          <w:shd w:val="clear" w:color="auto" w:fill="FFFFFF"/>
        </w:rPr>
        <w:t>and</w:t>
      </w:r>
      <w:r w:rsidRPr="007F20B8">
        <w:rPr>
          <w:rFonts w:eastAsia="Arial Unicode MS"/>
          <w:color w:val="000000" w:themeColor="text1"/>
          <w:shd w:val="clear" w:color="auto" w:fill="FFFFFF"/>
        </w:rPr>
        <w:t xml:space="preserve"> ΔRMSEA &lt; .015 </w:t>
      </w:r>
      <w:r w:rsidRPr="007F20B8">
        <w:rPr>
          <w:rFonts w:eastAsia="Arial Unicode MS"/>
          <w:i/>
          <w:color w:val="000000" w:themeColor="text1"/>
          <w:shd w:val="clear" w:color="auto" w:fill="FFFFFF"/>
        </w:rPr>
        <w:t>or</w:t>
      </w:r>
      <w:r w:rsidRPr="007F20B8">
        <w:rPr>
          <w:rFonts w:eastAsia="Arial Unicode MS"/>
          <w:color w:val="000000" w:themeColor="text1"/>
          <w:shd w:val="clear" w:color="auto" w:fill="FFFFFF"/>
        </w:rPr>
        <w:t xml:space="preserve"> ΔSRMR &lt; .030, although other scholars suggest that ΔCFI &lt; .01 is sufficient (Cheung &amp; </w:t>
      </w:r>
      <w:proofErr w:type="spellStart"/>
      <w:r w:rsidRPr="007F20B8">
        <w:rPr>
          <w:rFonts w:eastAsia="Arial Unicode MS"/>
          <w:color w:val="000000" w:themeColor="text1"/>
          <w:shd w:val="clear" w:color="auto" w:fill="FFFFFF"/>
        </w:rPr>
        <w:t>Rensvold</w:t>
      </w:r>
      <w:proofErr w:type="spellEnd"/>
      <w:r w:rsidRPr="007F20B8">
        <w:rPr>
          <w:rFonts w:eastAsia="Arial Unicode MS"/>
          <w:color w:val="000000" w:themeColor="text1"/>
          <w:shd w:val="clear" w:color="auto" w:fill="FFFFFF"/>
        </w:rPr>
        <w:t xml:space="preserve">, 2002). </w:t>
      </w:r>
    </w:p>
    <w:p w14:paraId="5CA9F4E1" w14:textId="77777777" w:rsidR="003D14E9" w:rsidRDefault="004418D3" w:rsidP="003D14E9">
      <w:pPr>
        <w:pStyle w:val="Heading3"/>
        <w:rPr>
          <w:rFonts w:eastAsia="Arial Unicode MS"/>
          <w:noProof/>
        </w:rPr>
      </w:pPr>
      <w:r>
        <w:rPr>
          <w:rFonts w:eastAsia="Arial Unicode MS"/>
          <w:noProof/>
        </w:rPr>
        <w:tab/>
        <w:t xml:space="preserve">2.5.5. Further analyses. </w:t>
      </w:r>
    </w:p>
    <w:p w14:paraId="6D1D8039" w14:textId="6BDB71CF" w:rsidR="004418D3" w:rsidRPr="00014760" w:rsidRDefault="004418D3" w:rsidP="004418D3">
      <w:pPr>
        <w:spacing w:line="480" w:lineRule="auto"/>
        <w:rPr>
          <w:color w:val="000000" w:themeColor="text1"/>
        </w:rPr>
      </w:pPr>
      <w:r w:rsidRPr="007F20B8">
        <w:rPr>
          <w:rFonts w:eastAsia="Arial Unicode MS"/>
          <w:color w:val="000000" w:themeColor="text1"/>
          <w:shd w:val="clear" w:color="auto" w:fill="FFFFFF"/>
        </w:rPr>
        <w:t xml:space="preserve">To assess internal consistency, we computed </w:t>
      </w:r>
      <w:r w:rsidRPr="007F20B8">
        <w:rPr>
          <w:bCs/>
          <w:color w:val="000000" w:themeColor="text1"/>
        </w:rPr>
        <w:t>ω</w:t>
      </w:r>
      <w:r w:rsidRPr="007F20B8">
        <w:rPr>
          <w:rFonts w:eastAsia="Arial Unicode MS"/>
          <w:color w:val="000000" w:themeColor="text1"/>
          <w:shd w:val="clear" w:color="auto" w:fill="FFFFFF"/>
        </w:rPr>
        <w:t xml:space="preserve"> </w:t>
      </w:r>
      <w:r w:rsidRPr="007F20B8">
        <w:rPr>
          <w:rFonts w:asciiTheme="majorBidi" w:eastAsia="Arial Unicode MS" w:hAnsiTheme="majorBidi" w:cstheme="majorBidi"/>
          <w:color w:val="000000" w:themeColor="text1"/>
        </w:rPr>
        <w:t xml:space="preserve">and </w:t>
      </w:r>
      <w:proofErr w:type="gramStart"/>
      <w:r w:rsidRPr="007F20B8">
        <w:rPr>
          <w:rFonts w:asciiTheme="majorBidi" w:eastAsia="Arial Unicode MS" w:hAnsiTheme="majorBidi" w:cstheme="majorBidi"/>
          <w:color w:val="000000" w:themeColor="text1"/>
        </w:rPr>
        <w:t>its</w:t>
      </w:r>
      <w:proofErr w:type="gramEnd"/>
      <w:r w:rsidRPr="007F20B8">
        <w:rPr>
          <w:rFonts w:asciiTheme="majorBidi" w:eastAsia="Arial Unicode MS" w:hAnsiTheme="majorBidi" w:cstheme="majorBidi"/>
          <w:color w:val="000000" w:themeColor="text1"/>
        </w:rPr>
        <w:t xml:space="preserve"> associated 95% CI, with values greater than </w:t>
      </w:r>
      <w:r w:rsidRPr="007F20B8">
        <w:rPr>
          <w:rFonts w:asciiTheme="majorBidi" w:hAnsiTheme="majorBidi" w:cstheme="majorBidi"/>
          <w:color w:val="000000" w:themeColor="text1"/>
        </w:rPr>
        <w:t xml:space="preserve">.70 reflecting adequate internal reliability </w:t>
      </w:r>
      <w:r w:rsidRPr="007F20B8">
        <w:rPr>
          <w:rFonts w:asciiTheme="majorBidi" w:hAnsiTheme="majorBidi" w:cstheme="majorBidi"/>
          <w:noProof/>
          <w:color w:val="000000" w:themeColor="text1"/>
        </w:rPr>
        <w:t>(Dunn</w:t>
      </w:r>
      <w:r w:rsidR="004D0539">
        <w:rPr>
          <w:rFonts w:asciiTheme="majorBidi" w:hAnsiTheme="majorBidi" w:cstheme="majorBidi"/>
          <w:noProof/>
          <w:color w:val="000000" w:themeColor="text1"/>
        </w:rPr>
        <w:t xml:space="preserve"> et al.</w:t>
      </w:r>
      <w:r w:rsidRPr="007F20B8">
        <w:rPr>
          <w:rFonts w:asciiTheme="majorBidi" w:hAnsiTheme="majorBidi" w:cstheme="majorBidi"/>
          <w:noProof/>
          <w:color w:val="000000" w:themeColor="text1"/>
        </w:rPr>
        <w:t>, 2014).</w:t>
      </w:r>
      <w:r w:rsidRPr="007F20B8">
        <w:rPr>
          <w:rFonts w:asciiTheme="majorBidi" w:hAnsiTheme="majorBidi" w:cstheme="majorBidi"/>
          <w:color w:val="000000" w:themeColor="text1"/>
        </w:rPr>
        <w:t xml:space="preserve"> </w:t>
      </w:r>
      <w:r w:rsidRPr="005B27D0">
        <w:rPr>
          <w:rFonts w:asciiTheme="majorBidi" w:hAnsiTheme="majorBidi" w:cstheme="majorBidi"/>
          <w:color w:val="000000" w:themeColor="text1"/>
        </w:rPr>
        <w:t>In the CFA portion of the dataset</w:t>
      </w:r>
      <w:r w:rsidRPr="005B27D0">
        <w:rPr>
          <w:color w:val="000000" w:themeColor="text1"/>
        </w:rPr>
        <w:t xml:space="preserve">, evidence of convergent validity was assessed using the </w:t>
      </w:r>
      <w:proofErr w:type="spellStart"/>
      <w:r w:rsidRPr="005B27D0">
        <w:rPr>
          <w:color w:val="000000" w:themeColor="text1"/>
          <w:shd w:val="clear" w:color="auto" w:fill="FFFFFF"/>
        </w:rPr>
        <w:t>Fornell-Larcker</w:t>
      </w:r>
      <w:proofErr w:type="spellEnd"/>
      <w:r w:rsidRPr="005B27D0">
        <w:rPr>
          <w:color w:val="000000" w:themeColor="text1"/>
          <w:shd w:val="clear" w:color="auto" w:fill="FFFFFF"/>
        </w:rPr>
        <w:t xml:space="preserve"> criterion (</w:t>
      </w:r>
      <w:proofErr w:type="spellStart"/>
      <w:r w:rsidRPr="005B27D0">
        <w:rPr>
          <w:color w:val="000000" w:themeColor="text1"/>
          <w:shd w:val="clear" w:color="auto" w:fill="FFFFFF"/>
        </w:rPr>
        <w:t>Fornell</w:t>
      </w:r>
      <w:proofErr w:type="spellEnd"/>
      <w:r w:rsidRPr="005B27D0">
        <w:rPr>
          <w:color w:val="000000" w:themeColor="text1"/>
          <w:shd w:val="clear" w:color="auto" w:fill="FFFFFF"/>
        </w:rPr>
        <w:t xml:space="preserve"> &amp; </w:t>
      </w:r>
      <w:proofErr w:type="spellStart"/>
      <w:r w:rsidRPr="005B27D0">
        <w:rPr>
          <w:color w:val="000000" w:themeColor="text1"/>
          <w:shd w:val="clear" w:color="auto" w:fill="FFFFFF"/>
        </w:rPr>
        <w:t>Larcker</w:t>
      </w:r>
      <w:proofErr w:type="spellEnd"/>
      <w:r w:rsidRPr="005B27D0">
        <w:rPr>
          <w:color w:val="000000" w:themeColor="text1"/>
          <w:shd w:val="clear" w:color="auto" w:fill="FFFFFF"/>
        </w:rPr>
        <w:t>, 1981), with average variance extracted (AVE) values of ≥ .50 considered adequate (Malhotra &amp; Dash, 2011)</w:t>
      </w:r>
      <w:r>
        <w:rPr>
          <w:color w:val="000000" w:themeColor="text1"/>
          <w:shd w:val="clear" w:color="auto" w:fill="FFFFFF"/>
        </w:rPr>
        <w:t xml:space="preserve"> and meaning that a latent variable is able to explain more than half of the variance of its indicators on average. </w:t>
      </w:r>
      <w:r w:rsidR="004D0539">
        <w:rPr>
          <w:color w:val="000000" w:themeColor="text1"/>
          <w:shd w:val="clear" w:color="auto" w:fill="FFFFFF"/>
        </w:rPr>
        <w:t xml:space="preserve">We aimed to examine </w:t>
      </w:r>
      <w:r w:rsidR="004D0539">
        <w:rPr>
          <w:rFonts w:eastAsia="Arial Unicode MS"/>
          <w:color w:val="000000" w:themeColor="text1"/>
          <w:shd w:val="clear" w:color="auto" w:fill="FFFFFF"/>
        </w:rPr>
        <w:t>gender</w:t>
      </w:r>
      <w:r>
        <w:rPr>
          <w:rFonts w:eastAsia="Arial Unicode MS"/>
          <w:color w:val="000000" w:themeColor="text1"/>
          <w:shd w:val="clear" w:color="auto" w:fill="FFFFFF"/>
        </w:rPr>
        <w:t xml:space="preserve"> </w:t>
      </w:r>
      <w:r w:rsidRPr="007F20B8">
        <w:rPr>
          <w:rFonts w:eastAsia="Arial Unicode MS"/>
          <w:color w:val="000000" w:themeColor="text1"/>
          <w:shd w:val="clear" w:color="auto" w:fill="FFFFFF"/>
        </w:rPr>
        <w:t xml:space="preserve">differences in </w:t>
      </w:r>
      <w:r>
        <w:rPr>
          <w:rFonts w:eastAsia="Arial Unicode MS"/>
          <w:color w:val="000000" w:themeColor="text1"/>
          <w:shd w:val="clear" w:color="auto" w:fill="FFFFFF"/>
        </w:rPr>
        <w:t>IES-2</w:t>
      </w:r>
      <w:r w:rsidRPr="007F20B8">
        <w:rPr>
          <w:rFonts w:eastAsia="Arial Unicode MS"/>
          <w:color w:val="000000" w:themeColor="text1"/>
          <w:shd w:val="clear" w:color="auto" w:fill="FFFFFF"/>
        </w:rPr>
        <w:t xml:space="preserve"> scores </w:t>
      </w:r>
      <w:r>
        <w:rPr>
          <w:rFonts w:eastAsia="Arial Unicode MS"/>
          <w:color w:val="000000" w:themeColor="text1"/>
          <w:shd w:val="clear" w:color="auto" w:fill="FFFFFF"/>
        </w:rPr>
        <w:t>using a multivariate analysis of variance (MANOVA) with follow-up univariate ANOVAs</w:t>
      </w:r>
      <w:r w:rsidR="004D0539">
        <w:rPr>
          <w:rFonts w:eastAsia="Arial Unicode MS"/>
          <w:color w:val="000000" w:themeColor="text1"/>
          <w:shd w:val="clear" w:color="auto" w:fill="FFFFFF"/>
        </w:rPr>
        <w:t xml:space="preserve"> only if</w:t>
      </w:r>
      <w:r>
        <w:rPr>
          <w:rFonts w:eastAsia="Arial Unicode MS"/>
          <w:color w:val="000000" w:themeColor="text1"/>
          <w:shd w:val="clear" w:color="auto" w:fill="FFFFFF"/>
        </w:rPr>
        <w:t xml:space="preserve"> </w:t>
      </w:r>
      <w:r w:rsidRPr="007F20B8">
        <w:rPr>
          <w:rFonts w:eastAsia="Arial Unicode MS"/>
          <w:color w:val="000000" w:themeColor="text1"/>
          <w:shd w:val="clear" w:color="auto" w:fill="FFFFFF"/>
        </w:rPr>
        <w:t>scalar</w:t>
      </w:r>
      <w:r w:rsidR="004D0539">
        <w:rPr>
          <w:rFonts w:eastAsia="Arial Unicode MS"/>
          <w:color w:val="000000" w:themeColor="text1"/>
          <w:shd w:val="clear" w:color="auto" w:fill="FFFFFF"/>
        </w:rPr>
        <w:t xml:space="preserve"> or pa</w:t>
      </w:r>
      <w:r w:rsidR="00593A41">
        <w:rPr>
          <w:rFonts w:eastAsia="Arial Unicode MS"/>
          <w:color w:val="000000" w:themeColor="text1"/>
          <w:shd w:val="clear" w:color="auto" w:fill="FFFFFF"/>
        </w:rPr>
        <w:t>r</w:t>
      </w:r>
      <w:r w:rsidR="004D0539">
        <w:rPr>
          <w:rFonts w:eastAsia="Arial Unicode MS"/>
          <w:color w:val="000000" w:themeColor="text1"/>
          <w:shd w:val="clear" w:color="auto" w:fill="FFFFFF"/>
        </w:rPr>
        <w:t>tial scalar</w:t>
      </w:r>
      <w:r w:rsidRPr="007F20B8">
        <w:rPr>
          <w:rFonts w:eastAsia="Arial Unicode MS"/>
          <w:color w:val="000000" w:themeColor="text1"/>
          <w:shd w:val="clear" w:color="auto" w:fill="FFFFFF"/>
        </w:rPr>
        <w:t xml:space="preserve"> invariance </w:t>
      </w:r>
      <w:r w:rsidR="004D0539">
        <w:rPr>
          <w:rFonts w:eastAsia="Arial Unicode MS"/>
          <w:color w:val="000000" w:themeColor="text1"/>
          <w:shd w:val="clear" w:color="auto" w:fill="FFFFFF"/>
        </w:rPr>
        <w:t>were</w:t>
      </w:r>
      <w:r w:rsidRPr="007F20B8">
        <w:rPr>
          <w:rFonts w:eastAsia="Arial Unicode MS"/>
          <w:color w:val="000000" w:themeColor="text1"/>
          <w:shd w:val="clear" w:color="auto" w:fill="FFFFFF"/>
        </w:rPr>
        <w:t xml:space="preserve"> established</w:t>
      </w:r>
      <w:r w:rsidR="004D0539">
        <w:rPr>
          <w:rFonts w:eastAsia="Arial Unicode MS"/>
          <w:color w:val="000000" w:themeColor="text1"/>
          <w:shd w:val="clear" w:color="auto" w:fill="FFFFFF"/>
        </w:rPr>
        <w:t xml:space="preserve"> (see above)</w:t>
      </w:r>
      <w:r w:rsidRPr="007F20B8">
        <w:rPr>
          <w:color w:val="000000" w:themeColor="text1"/>
        </w:rPr>
        <w:t>.</w:t>
      </w:r>
      <w:r w:rsidR="00014760">
        <w:rPr>
          <w:color w:val="000000" w:themeColor="text1"/>
        </w:rPr>
        <w:t xml:space="preserve"> Test-retest was examined using </w:t>
      </w:r>
      <w:proofErr w:type="spellStart"/>
      <w:r w:rsidR="00014760">
        <w:rPr>
          <w:color w:val="000000" w:themeColor="text1"/>
        </w:rPr>
        <w:t>intraclass</w:t>
      </w:r>
      <w:proofErr w:type="spellEnd"/>
      <w:r w:rsidR="00014760">
        <w:rPr>
          <w:color w:val="000000" w:themeColor="text1"/>
        </w:rPr>
        <w:t xml:space="preserve"> correlation coefficients and paired-samples </w:t>
      </w:r>
      <w:r w:rsidR="00014760">
        <w:rPr>
          <w:i/>
          <w:iCs/>
          <w:color w:val="000000" w:themeColor="text1"/>
        </w:rPr>
        <w:t>t</w:t>
      </w:r>
      <w:r w:rsidR="00014760">
        <w:rPr>
          <w:color w:val="000000" w:themeColor="text1"/>
        </w:rPr>
        <w:t>-tests to estimate the stability of IES-2 scores. Finally, t</w:t>
      </w:r>
      <w:r w:rsidRPr="007F20B8">
        <w:rPr>
          <w:color w:val="000000" w:themeColor="text1"/>
        </w:rPr>
        <w:t>o assess con</w:t>
      </w:r>
      <w:r w:rsidR="004D0539">
        <w:rPr>
          <w:color w:val="000000" w:themeColor="text1"/>
        </w:rPr>
        <w:t>struct</w:t>
      </w:r>
      <w:r w:rsidRPr="007F20B8">
        <w:rPr>
          <w:color w:val="000000" w:themeColor="text1"/>
        </w:rPr>
        <w:t xml:space="preserve"> validity, we used </w:t>
      </w:r>
      <w:r w:rsidRPr="007F20B8">
        <w:rPr>
          <w:color w:val="000000" w:themeColor="text1"/>
        </w:rPr>
        <w:lastRenderedPageBreak/>
        <w:t xml:space="preserve">the total sample and examined bivariate correlations between </w:t>
      </w:r>
      <w:r>
        <w:rPr>
          <w:color w:val="000000" w:themeColor="text1"/>
        </w:rPr>
        <w:t>IES-2</w:t>
      </w:r>
      <w:r w:rsidRPr="007F20B8">
        <w:rPr>
          <w:color w:val="000000" w:themeColor="text1"/>
        </w:rPr>
        <w:t xml:space="preserve"> scores and </w:t>
      </w:r>
      <w:r w:rsidR="004D0539">
        <w:rPr>
          <w:color w:val="000000" w:themeColor="text1"/>
        </w:rPr>
        <w:t>scores for body appreciation, symptoms of disordered eating, self-esteem, subjective happiness, and BMI</w:t>
      </w:r>
      <w:r>
        <w:rPr>
          <w:color w:val="000000" w:themeColor="text1"/>
        </w:rPr>
        <w:t xml:space="preserve">. </w:t>
      </w:r>
    </w:p>
    <w:p w14:paraId="1FCD042B" w14:textId="77777777" w:rsidR="004D0539" w:rsidRDefault="004418D3" w:rsidP="003D14E9">
      <w:pPr>
        <w:pStyle w:val="Heading1"/>
        <w:jc w:val="center"/>
        <w:rPr>
          <w:rFonts w:eastAsia="Arial Unicode MS"/>
          <w:shd w:val="clear" w:color="auto" w:fill="FFFFFF"/>
        </w:rPr>
      </w:pPr>
      <w:r>
        <w:rPr>
          <w:rFonts w:eastAsia="Arial Unicode MS"/>
          <w:shd w:val="clear" w:color="auto" w:fill="FFFFFF"/>
        </w:rPr>
        <w:t>3. Results</w:t>
      </w:r>
    </w:p>
    <w:p w14:paraId="1725AA09" w14:textId="77777777" w:rsidR="004D0539" w:rsidRDefault="004D0539" w:rsidP="003D14E9">
      <w:pPr>
        <w:pStyle w:val="Heading2"/>
        <w:rPr>
          <w:rFonts w:eastAsia="Arial Unicode MS"/>
          <w:shd w:val="clear" w:color="auto" w:fill="FFFFFF"/>
        </w:rPr>
      </w:pPr>
      <w:r>
        <w:rPr>
          <w:rFonts w:eastAsia="Arial Unicode MS"/>
          <w:shd w:val="clear" w:color="auto" w:fill="FFFFFF"/>
        </w:rPr>
        <w:t>3.1. Exploratory Factor Analysis</w:t>
      </w:r>
    </w:p>
    <w:p w14:paraId="606A9478" w14:textId="77777777" w:rsidR="003D14E9" w:rsidRDefault="004D0539" w:rsidP="003D14E9">
      <w:pPr>
        <w:pStyle w:val="Heading3"/>
        <w:rPr>
          <w:rFonts w:eastAsia="Arial Unicode MS"/>
          <w:shd w:val="clear" w:color="auto" w:fill="FFFFFF"/>
        </w:rPr>
      </w:pPr>
      <w:r>
        <w:rPr>
          <w:rFonts w:eastAsia="Arial Unicode MS"/>
          <w:shd w:val="clear" w:color="auto" w:fill="FFFFFF"/>
        </w:rPr>
        <w:tab/>
        <w:t xml:space="preserve">3.1.1. Female subsample. </w:t>
      </w:r>
    </w:p>
    <w:p w14:paraId="1AF8C887" w14:textId="13849591" w:rsidR="004D0539" w:rsidRPr="009F4237" w:rsidRDefault="004D0539" w:rsidP="004D0539">
      <w:pPr>
        <w:spacing w:line="480" w:lineRule="auto"/>
        <w:rPr>
          <w:color w:val="FF0000"/>
        </w:rPr>
      </w:pPr>
      <w:r w:rsidRPr="00BA7C54">
        <w:rPr>
          <w:rFonts w:eastAsia="Arial Unicode MS"/>
          <w:shd w:val="clear" w:color="auto" w:fill="FFFFFF"/>
        </w:rPr>
        <w:t>For the female subsample from the first split-half (</w:t>
      </w:r>
      <w:r w:rsidRPr="00BA7C54">
        <w:rPr>
          <w:rFonts w:eastAsia="Arial Unicode MS"/>
          <w:i/>
          <w:shd w:val="clear" w:color="auto" w:fill="FFFFFF"/>
        </w:rPr>
        <w:t>n</w:t>
      </w:r>
      <w:r w:rsidRPr="00BA7C54">
        <w:rPr>
          <w:rFonts w:eastAsia="Arial Unicode MS"/>
          <w:shd w:val="clear" w:color="auto" w:fill="FFFFFF"/>
        </w:rPr>
        <w:t xml:space="preserve"> = </w:t>
      </w:r>
      <w:r w:rsidR="00BA7C54">
        <w:rPr>
          <w:rFonts w:eastAsia="Arial Unicode MS"/>
          <w:shd w:val="clear" w:color="auto" w:fill="FFFFFF"/>
        </w:rPr>
        <w:t>253</w:t>
      </w:r>
      <w:r w:rsidRPr="00BA7C54">
        <w:rPr>
          <w:rFonts w:eastAsia="Arial Unicode MS"/>
          <w:shd w:val="clear" w:color="auto" w:fill="FFFFFF"/>
        </w:rPr>
        <w:t xml:space="preserve">), </w:t>
      </w:r>
      <w:r w:rsidRPr="00BA7C54">
        <w:t xml:space="preserve">Bartlett’s test of </w:t>
      </w:r>
      <w:proofErr w:type="spellStart"/>
      <w:r w:rsidRPr="00BA7C54">
        <w:t>sphericity</w:t>
      </w:r>
      <w:proofErr w:type="spellEnd"/>
      <w:r w:rsidRPr="00BA7C54">
        <w:t xml:space="preserve">, </w:t>
      </w:r>
      <w:proofErr w:type="gramStart"/>
      <w:r w:rsidRPr="00BA7C54">
        <w:t>χ</w:t>
      </w:r>
      <w:r w:rsidRPr="00BA7C54">
        <w:rPr>
          <w:vertAlign w:val="superscript"/>
        </w:rPr>
        <w:t>2</w:t>
      </w:r>
      <w:r w:rsidR="00BA7C54" w:rsidRPr="00BA7C54">
        <w:t>(</w:t>
      </w:r>
      <w:proofErr w:type="gramEnd"/>
      <w:r w:rsidR="00BA7C54" w:rsidRPr="00BA7C54">
        <w:t>253</w:t>
      </w:r>
      <w:r w:rsidRPr="00BA7C54">
        <w:t xml:space="preserve">) = </w:t>
      </w:r>
      <w:r w:rsidR="00BA7C54" w:rsidRPr="00BA7C54">
        <w:t>3354.5</w:t>
      </w:r>
      <w:r w:rsidRPr="00BA7C54">
        <w:t xml:space="preserve">, </w:t>
      </w:r>
      <w:r w:rsidRPr="00BA7C54">
        <w:rPr>
          <w:i/>
        </w:rPr>
        <w:t>p</w:t>
      </w:r>
      <w:r w:rsidRPr="00BA7C54">
        <w:t xml:space="preserve"> &lt; .001, and the KMO measure of sampling adequacy, KMO = .</w:t>
      </w:r>
      <w:r w:rsidR="00BA7C54" w:rsidRPr="00BA7C54">
        <w:t>87</w:t>
      </w:r>
      <w:r w:rsidRPr="00BA7C54">
        <w:t xml:space="preserve">, </w:t>
      </w:r>
      <w:r w:rsidRPr="00447639">
        <w:t xml:space="preserve">indicated that the IES-2 items had adequate common variance for factor analysis. </w:t>
      </w:r>
      <w:r w:rsidRPr="00471892">
        <w:t xml:space="preserve">Parallel analysis indicated that </w:t>
      </w:r>
      <w:r w:rsidR="00BF090E">
        <w:t>three</w:t>
      </w:r>
      <w:r w:rsidRPr="00471892">
        <w:t xml:space="preserve"> factors from the actual data had λ greater than the criterion λ generated from the random data (i.e., λ</w:t>
      </w:r>
      <w:r w:rsidRPr="00471892">
        <w:rPr>
          <w:vertAlign w:val="subscript"/>
        </w:rPr>
        <w:t>1</w:t>
      </w:r>
      <w:r w:rsidRPr="00471892">
        <w:t xml:space="preserve"> </w:t>
      </w:r>
      <w:r w:rsidR="00471892" w:rsidRPr="00471892">
        <w:t>7.61</w:t>
      </w:r>
      <w:r w:rsidRPr="00471892">
        <w:t xml:space="preserve"> &gt; 1.</w:t>
      </w:r>
      <w:r w:rsidR="00471892" w:rsidRPr="00471892">
        <w:t>61</w:t>
      </w:r>
      <w:r w:rsidRPr="00471892">
        <w:t>, λ</w:t>
      </w:r>
      <w:r w:rsidRPr="00471892">
        <w:rPr>
          <w:vertAlign w:val="subscript"/>
        </w:rPr>
        <w:t>2</w:t>
      </w:r>
      <w:r w:rsidRPr="00471892">
        <w:t xml:space="preserve"> </w:t>
      </w:r>
      <w:r w:rsidR="00471892" w:rsidRPr="00471892">
        <w:t>3.16</w:t>
      </w:r>
      <w:r w:rsidRPr="00471892">
        <w:t xml:space="preserve"> &gt; 1.</w:t>
      </w:r>
      <w:r w:rsidR="00471892" w:rsidRPr="00471892">
        <w:t>49</w:t>
      </w:r>
      <w:r w:rsidRPr="00471892">
        <w:t>, λ</w:t>
      </w:r>
      <w:r w:rsidRPr="00471892">
        <w:rPr>
          <w:vertAlign w:val="subscript"/>
        </w:rPr>
        <w:t>3</w:t>
      </w:r>
      <w:r w:rsidRPr="00471892">
        <w:t xml:space="preserve"> </w:t>
      </w:r>
      <w:r w:rsidR="00471892" w:rsidRPr="00471892">
        <w:t>2.28</w:t>
      </w:r>
      <w:r w:rsidRPr="00471892">
        <w:t xml:space="preserve"> &gt; 1.4</w:t>
      </w:r>
      <w:r w:rsidR="00471892" w:rsidRPr="00471892">
        <w:t>2</w:t>
      </w:r>
      <w:r w:rsidRPr="00471892">
        <w:t xml:space="preserve">). </w:t>
      </w:r>
      <w:r w:rsidR="00471892" w:rsidRPr="00471892">
        <w:t>The two remaining</w:t>
      </w:r>
      <w:r w:rsidRPr="00471892">
        <w:t xml:space="preserve"> factor</w:t>
      </w:r>
      <w:r w:rsidR="00471892" w:rsidRPr="00471892">
        <w:t>s</w:t>
      </w:r>
      <w:r w:rsidRPr="00471892">
        <w:t xml:space="preserve"> derived from the actual data had an λ that was lower than the corresponding criterion λ generated from the random data (i.e.,</w:t>
      </w:r>
      <w:r w:rsidR="00471892" w:rsidRPr="00471892">
        <w:t xml:space="preserve"> λ</w:t>
      </w:r>
      <w:r w:rsidR="00471892" w:rsidRPr="00471892">
        <w:rPr>
          <w:vertAlign w:val="subscript"/>
        </w:rPr>
        <w:t xml:space="preserve">4 </w:t>
      </w:r>
      <w:r w:rsidR="00471892" w:rsidRPr="00471892">
        <w:t>1.27 &gt; 1.34, λ</w:t>
      </w:r>
      <w:r w:rsidR="00471892" w:rsidRPr="00471892">
        <w:rPr>
          <w:vertAlign w:val="subscript"/>
        </w:rPr>
        <w:t>5</w:t>
      </w:r>
      <w:r w:rsidR="00471892" w:rsidRPr="00471892">
        <w:t xml:space="preserve"> 1.15 &gt; 1.29</w:t>
      </w:r>
      <w:r w:rsidRPr="00471892">
        <w:t xml:space="preserve">). As such, we retained </w:t>
      </w:r>
      <w:r w:rsidR="00BF090E">
        <w:t>three</w:t>
      </w:r>
      <w:r w:rsidRPr="00471892">
        <w:t xml:space="preserve"> factors, </w:t>
      </w:r>
      <w:r w:rsidRPr="00EF0022">
        <w:t xml:space="preserve">which explained </w:t>
      </w:r>
      <w:r w:rsidR="00EF0022" w:rsidRPr="00EF0022">
        <w:t>50.0</w:t>
      </w:r>
      <w:r w:rsidRPr="00EF0022">
        <w:t>% of the common variance. The fit indices for this model were</w:t>
      </w:r>
      <w:r w:rsidR="00471892" w:rsidRPr="00EF0022">
        <w:t>:</w:t>
      </w:r>
      <w:r w:rsidRPr="00EF0022">
        <w:t xml:space="preserve"> </w:t>
      </w:r>
      <w:r w:rsidRPr="00471892">
        <w:t>χ</w:t>
      </w:r>
      <w:r w:rsidRPr="00471892">
        <w:rPr>
          <w:vertAlign w:val="superscript"/>
        </w:rPr>
        <w:t>2</w:t>
      </w:r>
      <w:r w:rsidRPr="00471892">
        <w:t>(</w:t>
      </w:r>
      <w:r w:rsidR="00471892" w:rsidRPr="00471892">
        <w:t>187</w:t>
      </w:r>
      <w:r w:rsidRPr="00471892">
        <w:t xml:space="preserve">) = </w:t>
      </w:r>
      <w:r w:rsidR="00471892" w:rsidRPr="00471892">
        <w:t>745.18</w:t>
      </w:r>
      <w:r w:rsidRPr="00471892">
        <w:t xml:space="preserve">, </w:t>
      </w:r>
      <w:r w:rsidRPr="00471892">
        <w:rPr>
          <w:i/>
        </w:rPr>
        <w:t>p</w:t>
      </w:r>
      <w:r w:rsidRPr="00471892">
        <w:t xml:space="preserve"> &lt; .001, </w:t>
      </w:r>
      <w:r w:rsidR="00471892" w:rsidRPr="00471892">
        <w:t xml:space="preserve">CFI = .820, </w:t>
      </w:r>
      <w:r w:rsidRPr="00471892">
        <w:t>TLI = .</w:t>
      </w:r>
      <w:r w:rsidR="00471892" w:rsidRPr="00471892">
        <w:t>754</w:t>
      </w:r>
      <w:r w:rsidRPr="00471892">
        <w:t>, RMSEA = .</w:t>
      </w:r>
      <w:r w:rsidR="00471892" w:rsidRPr="00471892">
        <w:t>109</w:t>
      </w:r>
      <w:r w:rsidRPr="00471892">
        <w:t xml:space="preserve"> (90% CI = .</w:t>
      </w:r>
      <w:r w:rsidR="00471892" w:rsidRPr="00471892">
        <w:t>101</w:t>
      </w:r>
      <w:r w:rsidRPr="00471892">
        <w:t>, .</w:t>
      </w:r>
      <w:r w:rsidR="00471892" w:rsidRPr="00471892">
        <w:t>117</w:t>
      </w:r>
      <w:r w:rsidRPr="00471892">
        <w:t xml:space="preserve">), </w:t>
      </w:r>
      <w:r w:rsidR="00471892" w:rsidRPr="00471892">
        <w:t xml:space="preserve">SRMR = .06, </w:t>
      </w:r>
      <w:r w:rsidRPr="00471892">
        <w:t>BIC = -</w:t>
      </w:r>
      <w:r w:rsidR="00471892" w:rsidRPr="00471892">
        <w:t>289.56</w:t>
      </w:r>
      <w:r w:rsidRPr="00471892">
        <w:t xml:space="preserve">. </w:t>
      </w:r>
      <w:r w:rsidRPr="004A2A1D">
        <w:t xml:space="preserve">As reported in Table 1, </w:t>
      </w:r>
      <w:r w:rsidR="006F31EB">
        <w:t>all 23</w:t>
      </w:r>
      <w:r w:rsidRPr="004A2A1D">
        <w:t xml:space="preserve"> items had minimally “fair” factor loadings based on </w:t>
      </w:r>
      <w:proofErr w:type="spellStart"/>
      <w:r w:rsidRPr="004A2A1D">
        <w:t>Comrey</w:t>
      </w:r>
      <w:proofErr w:type="spellEnd"/>
      <w:r w:rsidRPr="004A2A1D">
        <w:t xml:space="preserve"> and Lee’s (1992) standards</w:t>
      </w:r>
      <w:r w:rsidR="006F31EB">
        <w:t>.</w:t>
      </w:r>
    </w:p>
    <w:p w14:paraId="5531B1CB" w14:textId="4FDA37AC" w:rsidR="004D0539" w:rsidRPr="009F4237" w:rsidRDefault="004D0539" w:rsidP="004D0539">
      <w:pPr>
        <w:spacing w:line="480" w:lineRule="auto"/>
        <w:rPr>
          <w:color w:val="FF0000"/>
        </w:rPr>
      </w:pPr>
      <w:r>
        <w:rPr>
          <w:color w:val="000000" w:themeColor="text1"/>
        </w:rPr>
        <w:tab/>
      </w:r>
      <w:r w:rsidRPr="004A2A1D">
        <w:t xml:space="preserve">In this subsample, </w:t>
      </w:r>
      <w:r w:rsidR="004A2A1D" w:rsidRPr="004A2A1D">
        <w:t>Items #3, 18, 19</w:t>
      </w:r>
      <w:r w:rsidR="008410E4">
        <w:t>,</w:t>
      </w:r>
      <w:r w:rsidR="004A2A1D" w:rsidRPr="004A2A1D">
        <w:t xml:space="preserve"> and 20 </w:t>
      </w:r>
      <w:r w:rsidRPr="004A2A1D">
        <w:t>showed cross-loadings &gt;.33, which is indicative of item redundancy and so were eliminated from the model</w:t>
      </w:r>
      <w:r w:rsidR="008410E4">
        <w:t xml:space="preserve"> (</w:t>
      </w:r>
      <w:proofErr w:type="spellStart"/>
      <w:r w:rsidR="008410E4">
        <w:t>Tabachnick</w:t>
      </w:r>
      <w:proofErr w:type="spellEnd"/>
      <w:r w:rsidR="008410E4">
        <w:t xml:space="preserve"> &amp; </w:t>
      </w:r>
      <w:proofErr w:type="spellStart"/>
      <w:r w:rsidR="008410E4">
        <w:t>Fidell</w:t>
      </w:r>
      <w:proofErr w:type="spellEnd"/>
      <w:r w:rsidR="008410E4">
        <w:t>, 2007)</w:t>
      </w:r>
      <w:r w:rsidRPr="004A2A1D">
        <w:t xml:space="preserve">. </w:t>
      </w:r>
      <w:r w:rsidR="004A2A1D" w:rsidRPr="004A2A1D">
        <w:t xml:space="preserve">The first factor comprised </w:t>
      </w:r>
      <w:r w:rsidR="000B2876">
        <w:t>all i</w:t>
      </w:r>
      <w:r w:rsidR="004A2A1D" w:rsidRPr="004A2A1D">
        <w:t xml:space="preserve">tems from the Reliance on Hunger and Satiety Cues subscale </w:t>
      </w:r>
      <w:r w:rsidR="000B2876">
        <w:t xml:space="preserve">(Items </w:t>
      </w:r>
      <w:r w:rsidR="000B2876" w:rsidRPr="004A2A1D">
        <w:t>#6, 7, 8, 21, 22, and 23</w:t>
      </w:r>
      <w:r w:rsidR="000B2876">
        <w:t xml:space="preserve">) </w:t>
      </w:r>
      <w:r w:rsidR="004A2A1D" w:rsidRPr="004A2A1D">
        <w:t xml:space="preserve">and scores had adequate internal consistency </w:t>
      </w:r>
      <w:r w:rsidR="004A2A1D" w:rsidRPr="00F5682B">
        <w:t>(</w:t>
      </w:r>
      <w:r w:rsidR="004A2A1D" w:rsidRPr="00F5682B">
        <w:rPr>
          <w:bCs/>
        </w:rPr>
        <w:t>ω</w:t>
      </w:r>
      <w:r w:rsidR="004A2A1D" w:rsidRPr="00F5682B">
        <w:t xml:space="preserve"> = .</w:t>
      </w:r>
      <w:r w:rsidR="00F5682B" w:rsidRPr="00F5682B">
        <w:t>91</w:t>
      </w:r>
      <w:r w:rsidR="004A2A1D" w:rsidRPr="00F5682B">
        <w:t>, 95% CI = .</w:t>
      </w:r>
      <w:r w:rsidR="00F5682B" w:rsidRPr="00F5682B">
        <w:t>88</w:t>
      </w:r>
      <w:r w:rsidR="004A2A1D" w:rsidRPr="00F5682B">
        <w:t>, .</w:t>
      </w:r>
      <w:r w:rsidR="00F5682B" w:rsidRPr="00F5682B">
        <w:t>93</w:t>
      </w:r>
      <w:r w:rsidR="004A2A1D" w:rsidRPr="00F5682B">
        <w:t xml:space="preserve">). </w:t>
      </w:r>
      <w:r w:rsidR="004A2A1D" w:rsidRPr="004A2A1D">
        <w:t xml:space="preserve">The second factor comprised </w:t>
      </w:r>
      <w:r w:rsidR="000B2876">
        <w:t xml:space="preserve">all items </w:t>
      </w:r>
      <w:r w:rsidR="004A2A1D" w:rsidRPr="004A2A1D">
        <w:t xml:space="preserve">from the </w:t>
      </w:r>
      <w:r w:rsidRPr="004A2A1D">
        <w:t xml:space="preserve">Eating for Physical Rather Than Emotional Reasons </w:t>
      </w:r>
      <w:r w:rsidR="004A2A1D" w:rsidRPr="004A2A1D">
        <w:t xml:space="preserve">subscale </w:t>
      </w:r>
      <w:r w:rsidR="000B2876">
        <w:t>(</w:t>
      </w:r>
      <w:r w:rsidR="000B2876" w:rsidRPr="004A2A1D">
        <w:t>Items #2, 5, 10, 11, 12, 13, 14, and 15</w:t>
      </w:r>
      <w:r w:rsidR="000B2876">
        <w:t xml:space="preserve">) </w:t>
      </w:r>
      <w:r w:rsidRPr="004A2A1D">
        <w:t xml:space="preserve">and scores had adequate internal </w:t>
      </w:r>
      <w:r w:rsidRPr="003F340B">
        <w:t>consistency (</w:t>
      </w:r>
      <w:r w:rsidRPr="003F340B">
        <w:rPr>
          <w:bCs/>
        </w:rPr>
        <w:t>ω = .</w:t>
      </w:r>
      <w:r w:rsidR="003F340B" w:rsidRPr="003F340B">
        <w:rPr>
          <w:bCs/>
        </w:rPr>
        <w:t>91</w:t>
      </w:r>
      <w:r w:rsidRPr="003F340B">
        <w:rPr>
          <w:bCs/>
        </w:rPr>
        <w:t xml:space="preserve">, 95% </w:t>
      </w:r>
      <w:r w:rsidRPr="003F340B">
        <w:t>CI = .8</w:t>
      </w:r>
      <w:r w:rsidR="003F340B" w:rsidRPr="003F340B">
        <w:t>8</w:t>
      </w:r>
      <w:r w:rsidRPr="003F340B">
        <w:t>, .</w:t>
      </w:r>
      <w:r w:rsidR="003F340B" w:rsidRPr="003F340B">
        <w:t>92</w:t>
      </w:r>
      <w:r w:rsidRPr="003F340B">
        <w:t xml:space="preserve">). </w:t>
      </w:r>
      <w:r w:rsidR="000B2876" w:rsidRPr="000B2876">
        <w:t>Finally, f</w:t>
      </w:r>
      <w:r w:rsidR="003F340B">
        <w:t>ive</w:t>
      </w:r>
      <w:r w:rsidR="000B2876" w:rsidRPr="000B2876">
        <w:t xml:space="preserve"> of the</w:t>
      </w:r>
      <w:r w:rsidRPr="000B2876">
        <w:t xml:space="preserve"> </w:t>
      </w:r>
      <w:r w:rsidRPr="000B2876">
        <w:lastRenderedPageBreak/>
        <w:t>Unconditional Permission to Eat items</w:t>
      </w:r>
      <w:r w:rsidR="000B2876" w:rsidRPr="000B2876">
        <w:t xml:space="preserve"> loaded onto the third factor</w:t>
      </w:r>
      <w:r w:rsidRPr="000B2876">
        <w:t xml:space="preserve"> (Items #1, 4, </w:t>
      </w:r>
      <w:r w:rsidR="006F31EB">
        <w:t xml:space="preserve">9, </w:t>
      </w:r>
      <w:r w:rsidR="000B2876" w:rsidRPr="000B2876">
        <w:t>16, and 17</w:t>
      </w:r>
      <w:r w:rsidRPr="000B2876">
        <w:t xml:space="preserve">) and scores had adequate internal </w:t>
      </w:r>
      <w:r w:rsidRPr="003F340B">
        <w:t>consistency (</w:t>
      </w:r>
      <w:r w:rsidRPr="003F340B">
        <w:rPr>
          <w:bCs/>
        </w:rPr>
        <w:t>ω</w:t>
      </w:r>
      <w:r w:rsidRPr="003F340B">
        <w:t xml:space="preserve"> = .7</w:t>
      </w:r>
      <w:r w:rsidR="003F340B" w:rsidRPr="003F340B">
        <w:t>6</w:t>
      </w:r>
      <w:r w:rsidRPr="003F340B">
        <w:t>, 95% CI = .</w:t>
      </w:r>
      <w:r w:rsidR="003F340B" w:rsidRPr="003F340B">
        <w:t>70</w:t>
      </w:r>
      <w:r w:rsidRPr="003F340B">
        <w:t>, .</w:t>
      </w:r>
      <w:r w:rsidR="003F340B" w:rsidRPr="003F340B">
        <w:t>81</w:t>
      </w:r>
      <w:r w:rsidRPr="003F340B">
        <w:t xml:space="preserve">). </w:t>
      </w:r>
    </w:p>
    <w:p w14:paraId="29F633F2" w14:textId="77777777" w:rsidR="003D14E9" w:rsidRDefault="004D0539" w:rsidP="003D14E9">
      <w:pPr>
        <w:pStyle w:val="Heading3"/>
        <w:rPr>
          <w:rFonts w:eastAsia="Arial Unicode MS"/>
          <w:shd w:val="clear" w:color="auto" w:fill="FFFFFF"/>
        </w:rPr>
      </w:pPr>
      <w:r>
        <w:rPr>
          <w:rFonts w:eastAsia="Arial Unicode MS"/>
          <w:shd w:val="clear" w:color="auto" w:fill="FFFFFF"/>
        </w:rPr>
        <w:tab/>
        <w:t xml:space="preserve">3.1.2. Male subsample. </w:t>
      </w:r>
    </w:p>
    <w:p w14:paraId="6E7E8EE9" w14:textId="580A9B57" w:rsidR="004D0539" w:rsidRPr="009F4237" w:rsidRDefault="004D0539" w:rsidP="004D0539">
      <w:pPr>
        <w:spacing w:line="480" w:lineRule="auto"/>
        <w:rPr>
          <w:color w:val="FF0000"/>
        </w:rPr>
      </w:pPr>
      <w:r w:rsidRPr="00BA7C54">
        <w:rPr>
          <w:rFonts w:eastAsia="Arial Unicode MS"/>
          <w:shd w:val="clear" w:color="auto" w:fill="FFFFFF"/>
        </w:rPr>
        <w:t>For the male subsample from the first split-half of participants (</w:t>
      </w:r>
      <w:r w:rsidRPr="00BA7C54">
        <w:rPr>
          <w:rFonts w:eastAsia="Arial Unicode MS"/>
          <w:i/>
          <w:shd w:val="clear" w:color="auto" w:fill="FFFFFF"/>
        </w:rPr>
        <w:t>n</w:t>
      </w:r>
      <w:r w:rsidRPr="00BA7C54">
        <w:rPr>
          <w:rFonts w:eastAsia="Arial Unicode MS"/>
          <w:shd w:val="clear" w:color="auto" w:fill="FFFFFF"/>
        </w:rPr>
        <w:t xml:space="preserve"> = </w:t>
      </w:r>
      <w:r w:rsidR="00BA7C54" w:rsidRPr="00BA7C54">
        <w:rPr>
          <w:rFonts w:eastAsia="Arial Unicode MS"/>
          <w:shd w:val="clear" w:color="auto" w:fill="FFFFFF"/>
        </w:rPr>
        <w:t>167</w:t>
      </w:r>
      <w:r w:rsidRPr="00BA7C54">
        <w:rPr>
          <w:rFonts w:eastAsia="Arial Unicode MS"/>
          <w:shd w:val="clear" w:color="auto" w:fill="FFFFFF"/>
        </w:rPr>
        <w:t xml:space="preserve">), </w:t>
      </w:r>
      <w:r w:rsidRPr="00BA7C54">
        <w:t xml:space="preserve">Bartlett’s test of </w:t>
      </w:r>
      <w:proofErr w:type="spellStart"/>
      <w:r w:rsidRPr="00BA7C54">
        <w:t>sphericity</w:t>
      </w:r>
      <w:proofErr w:type="spellEnd"/>
      <w:r w:rsidRPr="00BA7C54">
        <w:t xml:space="preserve">, </w:t>
      </w:r>
      <w:proofErr w:type="gramStart"/>
      <w:r w:rsidRPr="00BA7C54">
        <w:t>χ</w:t>
      </w:r>
      <w:r w:rsidRPr="00BA7C54">
        <w:rPr>
          <w:vertAlign w:val="superscript"/>
        </w:rPr>
        <w:t>2</w:t>
      </w:r>
      <w:r w:rsidRPr="00BA7C54">
        <w:t>(</w:t>
      </w:r>
      <w:proofErr w:type="gramEnd"/>
      <w:r w:rsidRPr="00BA7C54">
        <w:t xml:space="preserve">253) = </w:t>
      </w:r>
      <w:r w:rsidR="00BA7C54" w:rsidRPr="00BA7C54">
        <w:t>1849.8</w:t>
      </w:r>
      <w:r w:rsidRPr="00BA7C54">
        <w:t xml:space="preserve">, </w:t>
      </w:r>
      <w:r w:rsidRPr="00BA7C54">
        <w:rPr>
          <w:i/>
        </w:rPr>
        <w:t>p</w:t>
      </w:r>
      <w:r w:rsidRPr="00BA7C54">
        <w:t xml:space="preserve"> &lt; .001, and the Kaiser-Meyer-</w:t>
      </w:r>
      <w:proofErr w:type="spellStart"/>
      <w:r w:rsidRPr="00BA7C54">
        <w:t>Olkin</w:t>
      </w:r>
      <w:proofErr w:type="spellEnd"/>
      <w:r w:rsidRPr="00BA7C54">
        <w:t xml:space="preserve"> (KMO) measure of sampling adequacy, KMO = .</w:t>
      </w:r>
      <w:r w:rsidR="00BA7C54" w:rsidRPr="00BA7C54">
        <w:t>80</w:t>
      </w:r>
      <w:r w:rsidRPr="00BA7C54">
        <w:t xml:space="preserve">, indicated that the IES-2 items had </w:t>
      </w:r>
      <w:r w:rsidR="00BA7C54" w:rsidRPr="00BA7C54">
        <w:t>adequate</w:t>
      </w:r>
      <w:r w:rsidRPr="00BA7C54">
        <w:t xml:space="preserve"> common variance for factor analysis. </w:t>
      </w:r>
      <w:r w:rsidRPr="00B84168">
        <w:t xml:space="preserve">The results of the EFA revealed </w:t>
      </w:r>
      <w:r w:rsidR="00B84168" w:rsidRPr="00B84168">
        <w:t>6</w:t>
      </w:r>
      <w:r w:rsidRPr="00B84168">
        <w:t xml:space="preserve"> factors with λ &gt; 1.0, but parallel analysis indicated that </w:t>
      </w:r>
      <w:r w:rsidR="00B84168" w:rsidRPr="00B84168">
        <w:t>4</w:t>
      </w:r>
      <w:r w:rsidRPr="00B84168">
        <w:t xml:space="preserve"> factors should be extracted: only the first </w:t>
      </w:r>
      <w:r w:rsidR="00B84168" w:rsidRPr="00B84168">
        <w:t>4</w:t>
      </w:r>
      <w:r w:rsidRPr="00B84168">
        <w:t xml:space="preserve"> factors from the actual data had λ greater than the criterion λ generated from the random data (i.e., λ</w:t>
      </w:r>
      <w:r w:rsidRPr="00B84168">
        <w:rPr>
          <w:vertAlign w:val="subscript"/>
        </w:rPr>
        <w:t>1</w:t>
      </w:r>
      <w:r w:rsidRPr="00B84168">
        <w:t xml:space="preserve"> </w:t>
      </w:r>
      <w:r w:rsidR="00B84168" w:rsidRPr="00B84168">
        <w:t>5.80</w:t>
      </w:r>
      <w:r w:rsidRPr="00B84168">
        <w:t xml:space="preserve"> &gt; 1.</w:t>
      </w:r>
      <w:r w:rsidR="00B84168" w:rsidRPr="00B84168">
        <w:t>75</w:t>
      </w:r>
      <w:r w:rsidRPr="00B84168">
        <w:t>, λ</w:t>
      </w:r>
      <w:r w:rsidRPr="00B84168">
        <w:rPr>
          <w:vertAlign w:val="subscript"/>
        </w:rPr>
        <w:t>2</w:t>
      </w:r>
      <w:r w:rsidRPr="00B84168">
        <w:t xml:space="preserve"> 3</w:t>
      </w:r>
      <w:r w:rsidR="00B84168" w:rsidRPr="00B84168">
        <w:t>.65</w:t>
      </w:r>
      <w:r w:rsidRPr="00B84168">
        <w:t xml:space="preserve"> &gt; 1.</w:t>
      </w:r>
      <w:r w:rsidR="00B84168" w:rsidRPr="00B84168">
        <w:t>62</w:t>
      </w:r>
      <w:r w:rsidRPr="00B84168">
        <w:t>, λ</w:t>
      </w:r>
      <w:r w:rsidRPr="00B84168">
        <w:rPr>
          <w:vertAlign w:val="subscript"/>
        </w:rPr>
        <w:t>3</w:t>
      </w:r>
      <w:r w:rsidRPr="00B84168">
        <w:t xml:space="preserve"> </w:t>
      </w:r>
      <w:r w:rsidR="00B84168" w:rsidRPr="00B84168">
        <w:t>2.35</w:t>
      </w:r>
      <w:r w:rsidRPr="00B84168">
        <w:t xml:space="preserve"> &gt; 1.</w:t>
      </w:r>
      <w:r w:rsidR="00B84168" w:rsidRPr="00B84168">
        <w:t>52</w:t>
      </w:r>
      <w:r w:rsidRPr="00B84168">
        <w:t>, λ</w:t>
      </w:r>
      <w:r w:rsidRPr="00B84168">
        <w:rPr>
          <w:vertAlign w:val="subscript"/>
        </w:rPr>
        <w:t xml:space="preserve">4 </w:t>
      </w:r>
      <w:r w:rsidRPr="00B84168">
        <w:t>1.</w:t>
      </w:r>
      <w:r w:rsidR="00B84168" w:rsidRPr="00B84168">
        <w:t>53</w:t>
      </w:r>
      <w:r w:rsidRPr="00B84168">
        <w:t xml:space="preserve"> &gt; 1.</w:t>
      </w:r>
      <w:r w:rsidR="00B84168" w:rsidRPr="00B84168">
        <w:t>42</w:t>
      </w:r>
      <w:r w:rsidRPr="00B84168">
        <w:t>). The remaining 2 factors derived from the actual data had an λ that was lower than the corresponding criterion λ generated from the random data (i.e., λ</w:t>
      </w:r>
      <w:r w:rsidR="00B84168" w:rsidRPr="00B84168">
        <w:rPr>
          <w:vertAlign w:val="subscript"/>
        </w:rPr>
        <w:t>5</w:t>
      </w:r>
      <w:r w:rsidRPr="00B84168">
        <w:rPr>
          <w:vertAlign w:val="subscript"/>
        </w:rPr>
        <w:t xml:space="preserve"> </w:t>
      </w:r>
      <w:r w:rsidRPr="00B84168">
        <w:t>1.</w:t>
      </w:r>
      <w:r w:rsidR="00B84168" w:rsidRPr="00B84168">
        <w:t>20</w:t>
      </w:r>
      <w:r w:rsidRPr="00B84168">
        <w:t xml:space="preserve"> &lt; 1.</w:t>
      </w:r>
      <w:r w:rsidR="00B84168" w:rsidRPr="00B84168">
        <w:t>36</w:t>
      </w:r>
      <w:r w:rsidRPr="00B84168">
        <w:t>, λ</w:t>
      </w:r>
      <w:r w:rsidR="00B84168" w:rsidRPr="00B84168">
        <w:rPr>
          <w:vertAlign w:val="subscript"/>
        </w:rPr>
        <w:t>6</w:t>
      </w:r>
      <w:r w:rsidRPr="00B84168">
        <w:rPr>
          <w:vertAlign w:val="subscript"/>
        </w:rPr>
        <w:t xml:space="preserve"> </w:t>
      </w:r>
      <w:r w:rsidRPr="00B84168">
        <w:t>1.</w:t>
      </w:r>
      <w:r w:rsidR="00B84168" w:rsidRPr="00B84168">
        <w:t>10</w:t>
      </w:r>
      <w:r w:rsidRPr="00B84168">
        <w:t xml:space="preserve"> &lt; 1.2</w:t>
      </w:r>
      <w:r w:rsidR="00B84168" w:rsidRPr="00B84168">
        <w:t>5</w:t>
      </w:r>
      <w:r w:rsidRPr="00B84168">
        <w:t xml:space="preserve">). As such, we retained </w:t>
      </w:r>
      <w:r w:rsidR="00B84168" w:rsidRPr="00B84168">
        <w:t>4</w:t>
      </w:r>
      <w:r w:rsidRPr="00B84168">
        <w:t xml:space="preserve"> factors, which explained </w:t>
      </w:r>
      <w:r w:rsidR="00B84168" w:rsidRPr="00B84168">
        <w:t>46.8</w:t>
      </w:r>
      <w:r w:rsidRPr="00B84168">
        <w:t>% of the common variance. The fi</w:t>
      </w:r>
      <w:r w:rsidR="00BA7C54" w:rsidRPr="00B84168">
        <w:t>t</w:t>
      </w:r>
      <w:r w:rsidRPr="00B84168">
        <w:t xml:space="preserve"> indices for this model were: χ</w:t>
      </w:r>
      <w:r w:rsidRPr="00B84168">
        <w:rPr>
          <w:vertAlign w:val="superscript"/>
        </w:rPr>
        <w:t>2</w:t>
      </w:r>
      <w:r w:rsidRPr="00B84168">
        <w:t>(</w:t>
      </w:r>
      <w:r w:rsidR="00B84168" w:rsidRPr="00B84168">
        <w:t>167</w:t>
      </w:r>
      <w:r w:rsidRPr="00B84168">
        <w:t xml:space="preserve">) = </w:t>
      </w:r>
      <w:r w:rsidR="00B84168" w:rsidRPr="00B84168">
        <w:t>442.35</w:t>
      </w:r>
      <w:r w:rsidRPr="00B84168">
        <w:t xml:space="preserve">, </w:t>
      </w:r>
      <w:r w:rsidRPr="00B84168">
        <w:rPr>
          <w:i/>
        </w:rPr>
        <w:t>p</w:t>
      </w:r>
      <w:r w:rsidRPr="00B84168">
        <w:t xml:space="preserve"> &lt; .001, </w:t>
      </w:r>
      <w:r w:rsidR="00B84168">
        <w:t xml:space="preserve">CFI = .828, </w:t>
      </w:r>
      <w:r w:rsidRPr="00B84168">
        <w:t>TLI = .</w:t>
      </w:r>
      <w:r w:rsidR="00B84168" w:rsidRPr="00B84168">
        <w:t>73</w:t>
      </w:r>
      <w:r w:rsidR="00B84168">
        <w:t>4</w:t>
      </w:r>
      <w:r w:rsidRPr="00B84168">
        <w:t>, RMSEA = .0</w:t>
      </w:r>
      <w:r w:rsidR="00B84168" w:rsidRPr="00B84168">
        <w:t>99</w:t>
      </w:r>
      <w:r w:rsidRPr="00B84168">
        <w:t xml:space="preserve"> (90% CI = .0</w:t>
      </w:r>
      <w:r w:rsidR="00B84168" w:rsidRPr="00B84168">
        <w:t>88</w:t>
      </w:r>
      <w:r w:rsidRPr="00B84168">
        <w:t>, .</w:t>
      </w:r>
      <w:r w:rsidR="00B84168" w:rsidRPr="00B84168">
        <w:t>111</w:t>
      </w:r>
      <w:r w:rsidRPr="00B84168">
        <w:t xml:space="preserve">), </w:t>
      </w:r>
      <w:r w:rsidR="00B84168">
        <w:t>SRMR = .06</w:t>
      </w:r>
      <w:r w:rsidR="00471892">
        <w:t xml:space="preserve">, </w:t>
      </w:r>
      <w:r w:rsidRPr="00B84168">
        <w:t>BIC = -4</w:t>
      </w:r>
      <w:r w:rsidR="00B84168" w:rsidRPr="00B84168">
        <w:t>12</w:t>
      </w:r>
      <w:r w:rsidRPr="00B84168">
        <w:t>.3</w:t>
      </w:r>
      <w:r w:rsidR="00B84168" w:rsidRPr="00B84168">
        <w:t>5</w:t>
      </w:r>
      <w:r w:rsidRPr="00B84168">
        <w:t xml:space="preserve">. </w:t>
      </w:r>
      <w:r w:rsidRPr="0016399B">
        <w:t>Twenty-</w:t>
      </w:r>
      <w:r w:rsidR="0016399B" w:rsidRPr="0016399B">
        <w:t>two</w:t>
      </w:r>
      <w:r w:rsidRPr="0016399B">
        <w:t xml:space="preserve"> of the 23 item had minimally “fair” factor loadings,</w:t>
      </w:r>
      <w:r w:rsidR="006F31EB">
        <w:t xml:space="preserve"> and</w:t>
      </w:r>
      <w:r w:rsidRPr="0016399B">
        <w:t xml:space="preserve"> </w:t>
      </w:r>
      <w:r w:rsidR="0016399B" w:rsidRPr="0016399B">
        <w:t>one</w:t>
      </w:r>
      <w:r w:rsidRPr="0016399B">
        <w:t xml:space="preserve"> item did not load onto any of the f</w:t>
      </w:r>
      <w:r w:rsidR="0016399B" w:rsidRPr="0016399B">
        <w:t>our</w:t>
      </w:r>
      <w:r w:rsidRPr="0016399B">
        <w:t xml:space="preserve"> factors (Item #15</w:t>
      </w:r>
      <w:r w:rsidR="006F31EB">
        <w:t>).</w:t>
      </w:r>
      <w:r w:rsidRPr="0016399B">
        <w:t xml:space="preserve"> </w:t>
      </w:r>
    </w:p>
    <w:p w14:paraId="083D7C81" w14:textId="26722284" w:rsidR="004D0539" w:rsidRPr="009F4237" w:rsidRDefault="004D0539" w:rsidP="00E7202C">
      <w:pPr>
        <w:spacing w:line="480" w:lineRule="auto"/>
        <w:ind w:firstLine="720"/>
        <w:rPr>
          <w:color w:val="FF0000"/>
        </w:rPr>
      </w:pPr>
      <w:r w:rsidRPr="00447639">
        <w:t>In this subsample, Item #</w:t>
      </w:r>
      <w:r w:rsidR="00447639" w:rsidRPr="00447639">
        <w:t>3</w:t>
      </w:r>
      <w:r w:rsidRPr="00447639">
        <w:t xml:space="preserve"> showed cross-loadings &gt;.33, and Item #15 did not load onto any of the </w:t>
      </w:r>
      <w:r w:rsidR="00447639" w:rsidRPr="00447639">
        <w:t>4</w:t>
      </w:r>
      <w:r w:rsidRPr="00447639">
        <w:t xml:space="preserve"> factors. </w:t>
      </w:r>
      <w:r w:rsidR="006F31EB" w:rsidRPr="004A2A1D">
        <w:t xml:space="preserve">The first factor comprised </w:t>
      </w:r>
      <w:r w:rsidR="006F31EB">
        <w:t>all i</w:t>
      </w:r>
      <w:r w:rsidR="006F31EB" w:rsidRPr="004A2A1D">
        <w:t xml:space="preserve">tems from the Reliance on Hunger and Satiety Cues subscale </w:t>
      </w:r>
      <w:r w:rsidR="006F31EB">
        <w:t xml:space="preserve">(Items </w:t>
      </w:r>
      <w:r w:rsidR="006F31EB" w:rsidRPr="004A2A1D">
        <w:t xml:space="preserve">#6, 7, </w:t>
      </w:r>
      <w:r w:rsidR="006F31EB">
        <w:t xml:space="preserve">8, </w:t>
      </w:r>
      <w:r w:rsidR="006F31EB" w:rsidRPr="004A2A1D">
        <w:t>21, 22, and 23</w:t>
      </w:r>
      <w:r w:rsidR="006F31EB">
        <w:t xml:space="preserve">) </w:t>
      </w:r>
      <w:r w:rsidR="006F31EB" w:rsidRPr="004A2A1D">
        <w:t xml:space="preserve">and scores had adequate internal </w:t>
      </w:r>
      <w:r w:rsidR="006F31EB" w:rsidRPr="008414A6">
        <w:t>consistency (</w:t>
      </w:r>
      <w:r w:rsidR="006F31EB" w:rsidRPr="008414A6">
        <w:rPr>
          <w:bCs/>
        </w:rPr>
        <w:t>ω</w:t>
      </w:r>
      <w:r w:rsidR="006F31EB" w:rsidRPr="008414A6">
        <w:t xml:space="preserve"> = .</w:t>
      </w:r>
      <w:r w:rsidR="008414A6" w:rsidRPr="008414A6">
        <w:t>88</w:t>
      </w:r>
      <w:r w:rsidR="006F31EB" w:rsidRPr="008414A6">
        <w:t>, 95% CI = .</w:t>
      </w:r>
      <w:r w:rsidR="008414A6" w:rsidRPr="008414A6">
        <w:t>84</w:t>
      </w:r>
      <w:r w:rsidR="006F31EB" w:rsidRPr="008414A6">
        <w:t>, .</w:t>
      </w:r>
      <w:r w:rsidR="008414A6" w:rsidRPr="008414A6">
        <w:t>92</w:t>
      </w:r>
      <w:r w:rsidR="006F31EB" w:rsidRPr="008414A6">
        <w:t xml:space="preserve">). </w:t>
      </w:r>
      <w:r w:rsidR="006F31EB" w:rsidRPr="004A2A1D">
        <w:t>The second factor com</w:t>
      </w:r>
      <w:r w:rsidR="006F31EB">
        <w:t>bined five</w:t>
      </w:r>
      <w:r w:rsidR="006F31EB" w:rsidRPr="000B2876">
        <w:t xml:space="preserve"> Unconditional Permission to Eat items</w:t>
      </w:r>
      <w:r w:rsidR="006F31EB" w:rsidRPr="004A2A1D">
        <w:t xml:space="preserve"> </w:t>
      </w:r>
      <w:r w:rsidR="006F31EB">
        <w:t>(</w:t>
      </w:r>
      <w:r w:rsidR="00E7202C">
        <w:t>Items #1, 4, 9, 16, and 17</w:t>
      </w:r>
      <w:r w:rsidR="006F31EB">
        <w:t xml:space="preserve">), and all items </w:t>
      </w:r>
      <w:r w:rsidR="006F31EB" w:rsidRPr="004A2A1D">
        <w:t xml:space="preserve">from the </w:t>
      </w:r>
      <w:r w:rsidR="006F31EB">
        <w:t xml:space="preserve">Body-Food Choice Congruence </w:t>
      </w:r>
      <w:r w:rsidR="006F31EB" w:rsidRPr="004A2A1D">
        <w:t xml:space="preserve">subscale </w:t>
      </w:r>
      <w:r w:rsidR="006F31EB">
        <w:t>(</w:t>
      </w:r>
      <w:r w:rsidR="006F31EB" w:rsidRPr="004A2A1D">
        <w:t>Items #</w:t>
      </w:r>
      <w:r w:rsidR="006F31EB">
        <w:t>18, 19, and 20)</w:t>
      </w:r>
      <w:r w:rsidR="00E7202C">
        <w:t>. As such, we considered this factor to be an amalgamation of the aforementioned subscales,</w:t>
      </w:r>
      <w:r w:rsidR="006F31EB">
        <w:t xml:space="preserve"> </w:t>
      </w:r>
      <w:r w:rsidR="006F31EB" w:rsidRPr="004A2A1D">
        <w:t xml:space="preserve">and scores had adequate internal </w:t>
      </w:r>
      <w:r w:rsidR="006F31EB" w:rsidRPr="003F340B">
        <w:t>consistency (</w:t>
      </w:r>
      <w:r w:rsidR="0032696B" w:rsidRPr="003F340B">
        <w:t>ω = .</w:t>
      </w:r>
      <w:r w:rsidR="003F340B" w:rsidRPr="003F340B">
        <w:t>70</w:t>
      </w:r>
      <w:r w:rsidR="0032696B" w:rsidRPr="003F340B">
        <w:t>, 95% CI = .</w:t>
      </w:r>
      <w:r w:rsidR="003F340B" w:rsidRPr="003F340B">
        <w:t>55</w:t>
      </w:r>
      <w:r w:rsidR="0032696B" w:rsidRPr="003F340B">
        <w:t>, .</w:t>
      </w:r>
      <w:r w:rsidR="003F340B" w:rsidRPr="003F340B">
        <w:t>81</w:t>
      </w:r>
      <w:r w:rsidR="006F31EB" w:rsidRPr="003F340B">
        <w:t xml:space="preserve">). </w:t>
      </w:r>
      <w:r w:rsidR="00E7202C" w:rsidRPr="00E7202C">
        <w:t xml:space="preserve">The third factor included four Eating for Physical Rather Than Emotional Reasons items (Items #2, 5, 10, and 11), and scores had adequate internal consistency </w:t>
      </w:r>
      <w:r w:rsidR="00E7202C" w:rsidRPr="0032696B">
        <w:t>(</w:t>
      </w:r>
      <w:r w:rsidR="0032696B" w:rsidRPr="00B27089">
        <w:rPr>
          <w:bCs/>
        </w:rPr>
        <w:t xml:space="preserve">ω = .83, 95% </w:t>
      </w:r>
      <w:r w:rsidR="0032696B" w:rsidRPr="00B27089">
        <w:t>CI = .76, .8</w:t>
      </w:r>
      <w:r w:rsidR="0032696B" w:rsidRPr="0032696B">
        <w:t>7</w:t>
      </w:r>
      <w:r w:rsidR="00E7202C" w:rsidRPr="0032696B">
        <w:t xml:space="preserve">). </w:t>
      </w:r>
      <w:r w:rsidR="006F31EB" w:rsidRPr="000B2876">
        <w:t xml:space="preserve">Finally, </w:t>
      </w:r>
      <w:r w:rsidR="00E7202C">
        <w:t>the fourth factor comprised</w:t>
      </w:r>
      <w:r w:rsidR="00E7202C" w:rsidRPr="00E7202C">
        <w:t xml:space="preserve"> </w:t>
      </w:r>
      <w:r w:rsidR="00E7202C">
        <w:t xml:space="preserve">three </w:t>
      </w:r>
      <w:r w:rsidR="00E7202C" w:rsidRPr="00E7202C">
        <w:lastRenderedPageBreak/>
        <w:t xml:space="preserve">Eating for Physical </w:t>
      </w:r>
      <w:proofErr w:type="gramStart"/>
      <w:r w:rsidR="00E7202C" w:rsidRPr="00E7202C">
        <w:t>Rather</w:t>
      </w:r>
      <w:proofErr w:type="gramEnd"/>
      <w:r w:rsidR="00E7202C" w:rsidRPr="00E7202C">
        <w:t xml:space="preserve"> Than Emotional Reasons items (Items #</w:t>
      </w:r>
      <w:r w:rsidR="00E7202C">
        <w:t>12, 13, and 14</w:t>
      </w:r>
      <w:r w:rsidR="00E7202C" w:rsidRPr="00E7202C">
        <w:t xml:space="preserve">), </w:t>
      </w:r>
      <w:r w:rsidR="006F31EB" w:rsidRPr="000B2876">
        <w:t xml:space="preserve">and scores had adequate internal consistency </w:t>
      </w:r>
      <w:r w:rsidR="006F31EB" w:rsidRPr="00B27089">
        <w:t>(</w:t>
      </w:r>
      <w:r w:rsidR="006F31EB" w:rsidRPr="00B27089">
        <w:rPr>
          <w:bCs/>
        </w:rPr>
        <w:t>ω</w:t>
      </w:r>
      <w:r w:rsidR="006F31EB" w:rsidRPr="00B27089">
        <w:t xml:space="preserve"> = .7</w:t>
      </w:r>
      <w:r w:rsidR="00B27089" w:rsidRPr="00B27089">
        <w:t>7</w:t>
      </w:r>
      <w:r w:rsidR="006F31EB" w:rsidRPr="00B27089">
        <w:t>, 95% CI = .6</w:t>
      </w:r>
      <w:r w:rsidR="00B27089" w:rsidRPr="00B27089">
        <w:t>8</w:t>
      </w:r>
      <w:r w:rsidR="006F31EB" w:rsidRPr="00B27089">
        <w:t>, .</w:t>
      </w:r>
      <w:r w:rsidR="00B27089" w:rsidRPr="00B27089">
        <w:t>83</w:t>
      </w:r>
      <w:r w:rsidR="006F31EB" w:rsidRPr="00B27089">
        <w:t>).</w:t>
      </w:r>
      <w:r w:rsidR="00854F4B">
        <w:rPr>
          <w:vertAlign w:val="superscript"/>
        </w:rPr>
        <w:t>1</w:t>
      </w:r>
      <w:r w:rsidR="006F31EB" w:rsidRPr="00B27089">
        <w:t xml:space="preserve"> </w:t>
      </w:r>
    </w:p>
    <w:p w14:paraId="3527E4AF" w14:textId="77777777" w:rsidR="003D14E9" w:rsidRDefault="004D0539" w:rsidP="003D14E9">
      <w:pPr>
        <w:pStyle w:val="Heading3"/>
        <w:ind w:firstLine="720"/>
      </w:pPr>
      <w:r>
        <w:t xml:space="preserve">3.1.3. Factor structure congruence and summary. </w:t>
      </w:r>
    </w:p>
    <w:p w14:paraId="39DE1E15" w14:textId="70BD9C73" w:rsidR="004D0539" w:rsidRPr="009F4237" w:rsidRDefault="004D0539" w:rsidP="003D14E9">
      <w:pPr>
        <w:spacing w:line="480" w:lineRule="auto"/>
        <w:rPr>
          <w:b/>
          <w:color w:val="FF0000"/>
        </w:rPr>
      </w:pPr>
      <w:r w:rsidRPr="00412DED">
        <w:t xml:space="preserve">The factor loadings reported in Table 1 for the female and male subsamples suggest </w:t>
      </w:r>
      <w:r w:rsidR="00627707" w:rsidRPr="00412DED">
        <w:t>a fair</w:t>
      </w:r>
      <w:r w:rsidRPr="00412DED">
        <w:t xml:space="preserve"> </w:t>
      </w:r>
      <w:r w:rsidR="008410E4">
        <w:t xml:space="preserve">degree </w:t>
      </w:r>
      <w:r w:rsidRPr="00412DED">
        <w:t xml:space="preserve">of similarity across factor structures. </w:t>
      </w:r>
      <w:r w:rsidR="00627707" w:rsidRPr="00412DED">
        <w:t>The first factor</w:t>
      </w:r>
      <w:r w:rsidR="004456BF" w:rsidRPr="00412DED">
        <w:t xml:space="preserve"> </w:t>
      </w:r>
      <w:r w:rsidR="00627707" w:rsidRPr="00412DED">
        <w:t xml:space="preserve">(the Reliance on Hunger and Satiety Cues subscale) </w:t>
      </w:r>
      <w:r w:rsidR="004456BF" w:rsidRPr="00412DED">
        <w:t xml:space="preserve">was consistent across both </w:t>
      </w:r>
      <w:r w:rsidR="00627707" w:rsidRPr="00412DED">
        <w:t xml:space="preserve">the male and female </w:t>
      </w:r>
      <w:r w:rsidR="004456BF" w:rsidRPr="00412DED">
        <w:t>subsamples in terms of the items retained (</w:t>
      </w:r>
      <w:r w:rsidRPr="00412DED">
        <w:t xml:space="preserve">Tucker’s congruence coefficient </w:t>
      </w:r>
      <w:r w:rsidR="004456BF" w:rsidRPr="00412DED">
        <w:t xml:space="preserve">= .95, indicating </w:t>
      </w:r>
      <w:r w:rsidR="00627707" w:rsidRPr="00412DED">
        <w:t>equivalent</w:t>
      </w:r>
      <w:r w:rsidR="004456BF" w:rsidRPr="00412DED">
        <w:t xml:space="preserve"> factor structure)</w:t>
      </w:r>
      <w:r w:rsidR="00412DED" w:rsidRPr="00412DED">
        <w:t>.</w:t>
      </w:r>
      <w:r w:rsidR="004456BF" w:rsidRPr="00412DED">
        <w:t xml:space="preserve"> Tucker’s congruence coefficient for t</w:t>
      </w:r>
      <w:r w:rsidR="00412DED" w:rsidRPr="00412DED">
        <w:t>he</w:t>
      </w:r>
      <w:r w:rsidR="004456BF" w:rsidRPr="00412DED">
        <w:t xml:space="preserve"> remaining factors in the</w:t>
      </w:r>
      <w:r w:rsidRPr="00412DED">
        <w:t xml:space="preserve"> EFA-derived models was</w:t>
      </w:r>
      <w:r w:rsidR="00556275" w:rsidRPr="00412DED">
        <w:t xml:space="preserve"> </w:t>
      </w:r>
      <w:r w:rsidRPr="00412DED">
        <w:t>suggestive of factor-structure divergence</w:t>
      </w:r>
      <w:r w:rsidR="00412DED" w:rsidRPr="00412DED">
        <w:t xml:space="preserve"> (.54 </w:t>
      </w:r>
      <w:r w:rsidR="00BF090E">
        <w:t>to</w:t>
      </w:r>
      <w:r w:rsidR="00412DED" w:rsidRPr="00412DED">
        <w:t xml:space="preserve"> .94)</w:t>
      </w:r>
      <w:r w:rsidRPr="00412DED">
        <w:t xml:space="preserve">. In short, the EFAs point to two models – a 4-factor model comprising </w:t>
      </w:r>
      <w:r w:rsidR="00627707" w:rsidRPr="00412DED">
        <w:t>21</w:t>
      </w:r>
      <w:r w:rsidRPr="00412DED">
        <w:t xml:space="preserve"> items for men and a 3-factor model comprising 1</w:t>
      </w:r>
      <w:r w:rsidR="00627707" w:rsidRPr="00412DED">
        <w:t>8</w:t>
      </w:r>
      <w:r w:rsidRPr="00412DED">
        <w:t xml:space="preserve"> items in </w:t>
      </w:r>
      <w:r w:rsidR="00627707" w:rsidRPr="00412DED">
        <w:t>wo</w:t>
      </w:r>
      <w:r w:rsidRPr="00412DED">
        <w:t xml:space="preserve">men – that differed substantially from the parent factor structure proposed by </w:t>
      </w:r>
      <w:proofErr w:type="spellStart"/>
      <w:r w:rsidRPr="00412DED">
        <w:t>Tylka</w:t>
      </w:r>
      <w:proofErr w:type="spellEnd"/>
      <w:r w:rsidRPr="00412DED">
        <w:t xml:space="preserve"> and Kroon Van </w:t>
      </w:r>
      <w:proofErr w:type="spellStart"/>
      <w:r w:rsidRPr="00412DED">
        <w:t>Diest</w:t>
      </w:r>
      <w:proofErr w:type="spellEnd"/>
      <w:r w:rsidRPr="00412DED">
        <w:t xml:space="preserve"> (2013). For this reason, we tested for model fit of both of these models alongside the parent model in our CFA analyses. </w:t>
      </w:r>
    </w:p>
    <w:p w14:paraId="1934CE78" w14:textId="77777777" w:rsidR="004D0539" w:rsidRDefault="004D0539" w:rsidP="003D14E9">
      <w:pPr>
        <w:pStyle w:val="Heading2"/>
        <w:rPr>
          <w:rFonts w:eastAsia="Arial Unicode MS"/>
          <w:shd w:val="clear" w:color="auto" w:fill="FFFFFF"/>
        </w:rPr>
      </w:pPr>
      <w:r>
        <w:rPr>
          <w:rFonts w:eastAsia="Arial Unicode MS"/>
          <w:shd w:val="clear" w:color="auto" w:fill="FFFFFF"/>
        </w:rPr>
        <w:t>3.3. Confirmatory Factor Analysis</w:t>
      </w:r>
    </w:p>
    <w:p w14:paraId="0A85276C" w14:textId="77777777" w:rsidR="003D14E9" w:rsidRDefault="004D0539" w:rsidP="003D14E9">
      <w:pPr>
        <w:pStyle w:val="Heading3"/>
        <w:rPr>
          <w:rFonts w:eastAsia="Arial Unicode MS"/>
          <w:shd w:val="clear" w:color="auto" w:fill="FFFFFF"/>
        </w:rPr>
      </w:pPr>
      <w:r w:rsidRPr="003B4D5C">
        <w:rPr>
          <w:rFonts w:eastAsia="Arial Unicode MS"/>
          <w:shd w:val="clear" w:color="auto" w:fill="FFFFFF"/>
        </w:rPr>
        <w:tab/>
      </w:r>
      <w:r>
        <w:rPr>
          <w:rFonts w:eastAsia="Arial Unicode MS"/>
          <w:shd w:val="clear" w:color="auto" w:fill="FFFFFF"/>
        </w:rPr>
        <w:t xml:space="preserve">3.3.1. Parent model. </w:t>
      </w:r>
    </w:p>
    <w:p w14:paraId="19E185F9" w14:textId="2A3D3E20" w:rsidR="004D0539" w:rsidRPr="00734B6E" w:rsidRDefault="004D0539" w:rsidP="004D0539">
      <w:pPr>
        <w:spacing w:line="480" w:lineRule="auto"/>
        <w:rPr>
          <w:rFonts w:eastAsia="Arial Unicode MS"/>
          <w:bCs/>
          <w:color w:val="FF0000"/>
          <w:shd w:val="clear" w:color="auto" w:fill="FFFFFF"/>
        </w:rPr>
      </w:pPr>
      <w:r w:rsidRPr="00734B6E">
        <w:rPr>
          <w:rFonts w:eastAsia="Arial Unicode MS"/>
          <w:bCs/>
          <w:shd w:val="clear" w:color="auto" w:fill="FFFFFF"/>
        </w:rPr>
        <w:t>In the second split-half sample (</w:t>
      </w:r>
      <w:r w:rsidRPr="00734B6E">
        <w:rPr>
          <w:rFonts w:eastAsia="Arial Unicode MS"/>
          <w:bCs/>
          <w:i/>
          <w:iCs/>
          <w:shd w:val="clear" w:color="auto" w:fill="FFFFFF"/>
        </w:rPr>
        <w:t xml:space="preserve">n </w:t>
      </w:r>
      <w:r w:rsidRPr="00734B6E">
        <w:rPr>
          <w:rFonts w:eastAsia="Arial Unicode MS"/>
          <w:bCs/>
          <w:shd w:val="clear" w:color="auto" w:fill="FFFFFF"/>
        </w:rPr>
        <w:t xml:space="preserve">= </w:t>
      </w:r>
      <w:r w:rsidR="00D16667" w:rsidRPr="00734B6E">
        <w:rPr>
          <w:rFonts w:eastAsia="Arial Unicode MS"/>
          <w:bCs/>
          <w:shd w:val="clear" w:color="auto" w:fill="FFFFFF"/>
        </w:rPr>
        <w:t>410</w:t>
      </w:r>
      <w:r w:rsidRPr="00734B6E">
        <w:rPr>
          <w:rFonts w:eastAsia="Arial Unicode MS"/>
          <w:bCs/>
          <w:shd w:val="clear" w:color="auto" w:fill="FFFFFF"/>
        </w:rPr>
        <w:t xml:space="preserve">), we first </w:t>
      </w:r>
      <w:r w:rsidR="00734B6E" w:rsidRPr="00734B6E">
        <w:rPr>
          <w:rFonts w:eastAsia="Arial Unicode MS"/>
          <w:bCs/>
          <w:shd w:val="clear" w:color="auto" w:fill="FFFFFF"/>
        </w:rPr>
        <w:t xml:space="preserve">attempted to </w:t>
      </w:r>
      <w:r w:rsidRPr="00734B6E">
        <w:rPr>
          <w:rFonts w:eastAsia="Arial Unicode MS"/>
          <w:bCs/>
          <w:shd w:val="clear" w:color="auto" w:fill="FFFFFF"/>
        </w:rPr>
        <w:t xml:space="preserve">examine the fit of </w:t>
      </w:r>
      <w:proofErr w:type="spellStart"/>
      <w:r w:rsidRPr="00734B6E">
        <w:rPr>
          <w:rFonts w:eastAsia="Arial Unicode MS"/>
          <w:bCs/>
          <w:shd w:val="clear" w:color="auto" w:fill="FFFFFF"/>
        </w:rPr>
        <w:t>Tylka</w:t>
      </w:r>
      <w:proofErr w:type="spellEnd"/>
      <w:r w:rsidRPr="00734B6E">
        <w:rPr>
          <w:rFonts w:eastAsia="Arial Unicode MS"/>
          <w:bCs/>
          <w:shd w:val="clear" w:color="auto" w:fill="FFFFFF"/>
        </w:rPr>
        <w:t xml:space="preserve"> and Kroon Van </w:t>
      </w:r>
      <w:proofErr w:type="spellStart"/>
      <w:r w:rsidRPr="00734B6E">
        <w:rPr>
          <w:rFonts w:eastAsia="Arial Unicode MS"/>
          <w:bCs/>
          <w:shd w:val="clear" w:color="auto" w:fill="FFFFFF"/>
        </w:rPr>
        <w:t>Diest’s</w:t>
      </w:r>
      <w:proofErr w:type="spellEnd"/>
      <w:r w:rsidRPr="00734B6E">
        <w:rPr>
          <w:rFonts w:eastAsia="Arial Unicode MS"/>
          <w:bCs/>
          <w:shd w:val="clear" w:color="auto" w:fill="FFFFFF"/>
        </w:rPr>
        <w:t xml:space="preserve"> (2013) 4-factor, multi-level model. </w:t>
      </w:r>
      <w:r w:rsidR="00734B6E" w:rsidRPr="00734B6E">
        <w:rPr>
          <w:bCs/>
          <w:shd w:val="clear" w:color="auto" w:fill="FFFFFF"/>
        </w:rPr>
        <w:t>However, after 5763 iterations, a stable CFA solution for the model was not achievable.</w:t>
      </w:r>
      <w:r w:rsidR="00734B6E">
        <w:rPr>
          <w:bCs/>
          <w:shd w:val="clear" w:color="auto" w:fill="FFFFFF"/>
        </w:rPr>
        <w:t xml:space="preserve"> Next, we examined the fit of the parent model without the higher-order intuitive eating factor. </w:t>
      </w:r>
      <w:r w:rsidR="00734B6E" w:rsidRPr="00734B6E">
        <w:t>For this model, fit i</w:t>
      </w:r>
      <w:r w:rsidRPr="00734B6E">
        <w:t>ndices were suggestive of poor fit to the data: SB</w:t>
      </w:r>
      <w:r w:rsidRPr="00734B6E">
        <w:rPr>
          <w:bCs/>
          <w:iCs/>
          <w:shd w:val="clear" w:color="auto" w:fill="FFFFFF"/>
        </w:rPr>
        <w:t>χ</w:t>
      </w:r>
      <w:r w:rsidRPr="00734B6E">
        <w:rPr>
          <w:bCs/>
          <w:shd w:val="clear" w:color="auto" w:fill="FFFFFF"/>
        </w:rPr>
        <w:t>²(2</w:t>
      </w:r>
      <w:r w:rsidR="00734B6E" w:rsidRPr="00734B6E">
        <w:rPr>
          <w:bCs/>
          <w:shd w:val="clear" w:color="auto" w:fill="FFFFFF"/>
        </w:rPr>
        <w:t>24</w:t>
      </w:r>
      <w:r w:rsidRPr="00734B6E">
        <w:rPr>
          <w:bCs/>
          <w:shd w:val="clear" w:color="auto" w:fill="FFFFFF"/>
        </w:rPr>
        <w:t xml:space="preserve">) = </w:t>
      </w:r>
      <w:r w:rsidR="00734B6E" w:rsidRPr="00734B6E">
        <w:rPr>
          <w:bCs/>
          <w:shd w:val="clear" w:color="auto" w:fill="FFFFFF"/>
        </w:rPr>
        <w:t>794.429</w:t>
      </w:r>
      <w:r w:rsidRPr="00734B6E">
        <w:rPr>
          <w:bCs/>
          <w:shd w:val="clear" w:color="auto" w:fill="FFFFFF"/>
        </w:rPr>
        <w:t>, SB</w:t>
      </w:r>
      <w:r w:rsidRPr="00734B6E">
        <w:rPr>
          <w:bCs/>
          <w:iCs/>
          <w:shd w:val="clear" w:color="auto" w:fill="FFFFFF"/>
        </w:rPr>
        <w:t>χ</w:t>
      </w:r>
      <w:r w:rsidRPr="00734B6E">
        <w:rPr>
          <w:bCs/>
          <w:shd w:val="clear" w:color="auto" w:fill="FFFFFF"/>
        </w:rPr>
        <w:t>²</w:t>
      </w:r>
      <w:r w:rsidRPr="00734B6E">
        <w:rPr>
          <w:bCs/>
          <w:shd w:val="clear" w:color="auto" w:fill="FFFFFF"/>
          <w:vertAlign w:val="subscript"/>
        </w:rPr>
        <w:t>normed</w:t>
      </w:r>
      <w:r w:rsidRPr="00734B6E">
        <w:rPr>
          <w:bCs/>
          <w:shd w:val="clear" w:color="auto" w:fill="FFFFFF"/>
        </w:rPr>
        <w:t xml:space="preserve"> = </w:t>
      </w:r>
      <w:r w:rsidR="00734B6E" w:rsidRPr="00734B6E">
        <w:rPr>
          <w:bCs/>
          <w:shd w:val="clear" w:color="auto" w:fill="FFFFFF"/>
        </w:rPr>
        <w:t>3.55</w:t>
      </w:r>
      <w:r w:rsidRPr="00734B6E">
        <w:rPr>
          <w:bCs/>
          <w:shd w:val="clear" w:color="auto" w:fill="FFFFFF"/>
        </w:rPr>
        <w:t>, robust RMSEA = .</w:t>
      </w:r>
      <w:r w:rsidR="00734B6E" w:rsidRPr="00734B6E">
        <w:rPr>
          <w:bCs/>
          <w:shd w:val="clear" w:color="auto" w:fill="FFFFFF"/>
        </w:rPr>
        <w:t>088</w:t>
      </w:r>
      <w:r w:rsidRPr="00734B6E">
        <w:rPr>
          <w:bCs/>
          <w:shd w:val="clear" w:color="auto" w:fill="FFFFFF"/>
        </w:rPr>
        <w:t xml:space="preserve"> (90% CI = .</w:t>
      </w:r>
      <w:r w:rsidR="00734B6E" w:rsidRPr="00734B6E">
        <w:rPr>
          <w:bCs/>
          <w:shd w:val="clear" w:color="auto" w:fill="FFFFFF"/>
        </w:rPr>
        <w:t>081</w:t>
      </w:r>
      <w:r w:rsidRPr="00734B6E">
        <w:rPr>
          <w:bCs/>
          <w:shd w:val="clear" w:color="auto" w:fill="FFFFFF"/>
        </w:rPr>
        <w:t>, .</w:t>
      </w:r>
      <w:r w:rsidR="00734B6E" w:rsidRPr="00734B6E">
        <w:rPr>
          <w:bCs/>
          <w:shd w:val="clear" w:color="auto" w:fill="FFFFFF"/>
        </w:rPr>
        <w:t>095</w:t>
      </w:r>
      <w:r w:rsidRPr="00734B6E">
        <w:rPr>
          <w:bCs/>
          <w:shd w:val="clear" w:color="auto" w:fill="FFFFFF"/>
        </w:rPr>
        <w:t>), SRMR = .</w:t>
      </w:r>
      <w:r w:rsidR="00734B6E" w:rsidRPr="00734B6E">
        <w:rPr>
          <w:bCs/>
          <w:shd w:val="clear" w:color="auto" w:fill="FFFFFF"/>
        </w:rPr>
        <w:t>076</w:t>
      </w:r>
      <w:r w:rsidRPr="00734B6E">
        <w:rPr>
          <w:bCs/>
          <w:shd w:val="clear" w:color="auto" w:fill="FFFFFF"/>
        </w:rPr>
        <w:t>, robust CFI = .</w:t>
      </w:r>
      <w:r w:rsidR="00734B6E" w:rsidRPr="00734B6E">
        <w:rPr>
          <w:bCs/>
          <w:shd w:val="clear" w:color="auto" w:fill="FFFFFF"/>
        </w:rPr>
        <w:t>853</w:t>
      </w:r>
      <w:r w:rsidRPr="00734B6E">
        <w:rPr>
          <w:bCs/>
          <w:shd w:val="clear" w:color="auto" w:fill="FFFFFF"/>
        </w:rPr>
        <w:t>, robust TLI = .</w:t>
      </w:r>
      <w:r w:rsidR="00734B6E" w:rsidRPr="00734B6E">
        <w:rPr>
          <w:bCs/>
          <w:shd w:val="clear" w:color="auto" w:fill="FFFFFF"/>
        </w:rPr>
        <w:t>834</w:t>
      </w:r>
      <w:r w:rsidRPr="00734B6E">
        <w:rPr>
          <w:bCs/>
          <w:shd w:val="clear" w:color="auto" w:fill="FFFFFF"/>
        </w:rPr>
        <w:t>, BL89 = .</w:t>
      </w:r>
      <w:r w:rsidR="00734B6E" w:rsidRPr="00734B6E">
        <w:rPr>
          <w:bCs/>
          <w:shd w:val="clear" w:color="auto" w:fill="FFFFFF"/>
        </w:rPr>
        <w:t>857</w:t>
      </w:r>
      <w:r w:rsidRPr="00734B6E">
        <w:rPr>
          <w:bCs/>
          <w:shd w:val="clear" w:color="auto" w:fill="FFFFFF"/>
        </w:rPr>
        <w:t>, AIC = 2</w:t>
      </w:r>
      <w:r w:rsidR="00734B6E" w:rsidRPr="00734B6E">
        <w:rPr>
          <w:bCs/>
          <w:shd w:val="clear" w:color="auto" w:fill="FFFFFF"/>
        </w:rPr>
        <w:t>5067</w:t>
      </w:r>
      <w:r w:rsidRPr="00734B6E">
        <w:rPr>
          <w:bCs/>
          <w:shd w:val="clear" w:color="auto" w:fill="FFFFFF"/>
        </w:rPr>
        <w:t>.</w:t>
      </w:r>
      <w:r w:rsidR="00734B6E" w:rsidRPr="00734B6E">
        <w:rPr>
          <w:bCs/>
          <w:shd w:val="clear" w:color="auto" w:fill="FFFFFF"/>
        </w:rPr>
        <w:t>27</w:t>
      </w:r>
      <w:r w:rsidRPr="00734B6E">
        <w:rPr>
          <w:bCs/>
          <w:shd w:val="clear" w:color="auto" w:fill="FFFFFF"/>
        </w:rPr>
        <w:t xml:space="preserve">. </w:t>
      </w:r>
      <w:r w:rsidRPr="00AB121D">
        <w:rPr>
          <w:bCs/>
          <w:shd w:val="clear" w:color="auto" w:fill="FFFFFF"/>
        </w:rPr>
        <w:t>Suggested modification indices were consulted to improve model fit, with modifications being based on correlations among like items from the same factor (</w:t>
      </w:r>
      <w:proofErr w:type="spellStart"/>
      <w:r w:rsidRPr="00AB121D">
        <w:rPr>
          <w:bCs/>
          <w:shd w:val="clear" w:color="auto" w:fill="FFFFFF"/>
        </w:rPr>
        <w:t>Schumacker</w:t>
      </w:r>
      <w:proofErr w:type="spellEnd"/>
      <w:r w:rsidRPr="00AB121D">
        <w:rPr>
          <w:bCs/>
          <w:shd w:val="clear" w:color="auto" w:fill="FFFFFF"/>
        </w:rPr>
        <w:t xml:space="preserve"> &amp; Lomax, 2004). Despite</w:t>
      </w:r>
      <w:r w:rsidR="00AB121D">
        <w:rPr>
          <w:bCs/>
          <w:shd w:val="clear" w:color="auto" w:fill="FFFFFF"/>
        </w:rPr>
        <w:t xml:space="preserve"> successively</w:t>
      </w:r>
      <w:r w:rsidRPr="00AB121D">
        <w:rPr>
          <w:bCs/>
          <w:shd w:val="clear" w:color="auto" w:fill="FFFFFF"/>
        </w:rPr>
        <w:t xml:space="preserve"> freeing up to 3 error </w:t>
      </w:r>
      <w:proofErr w:type="spellStart"/>
      <w:r w:rsidRPr="00AB121D">
        <w:rPr>
          <w:bCs/>
          <w:shd w:val="clear" w:color="auto" w:fill="FFFFFF"/>
        </w:rPr>
        <w:t>covariances</w:t>
      </w:r>
      <w:proofErr w:type="spellEnd"/>
      <w:r w:rsidRPr="00AB121D">
        <w:rPr>
          <w:bCs/>
          <w:shd w:val="clear" w:color="auto" w:fill="FFFFFF"/>
        </w:rPr>
        <w:t xml:space="preserve"> per subscale, in accordance with the results from likelihood ratio tests (see Table 2), the fit indices remained below acceptable levels on </w:t>
      </w:r>
      <w:r w:rsidR="00AB121D" w:rsidRPr="00AB121D">
        <w:rPr>
          <w:bCs/>
          <w:shd w:val="clear" w:color="auto" w:fill="FFFFFF"/>
        </w:rPr>
        <w:t xml:space="preserve">some </w:t>
      </w:r>
      <w:r w:rsidRPr="00AB121D">
        <w:rPr>
          <w:bCs/>
          <w:shd w:val="clear" w:color="auto" w:fill="FFFFFF"/>
        </w:rPr>
        <w:t xml:space="preserve">indices: </w:t>
      </w:r>
      <w:r w:rsidRPr="00AB121D">
        <w:t>SB</w:t>
      </w:r>
      <w:r w:rsidRPr="00AB121D">
        <w:rPr>
          <w:bCs/>
          <w:iCs/>
          <w:shd w:val="clear" w:color="auto" w:fill="FFFFFF"/>
        </w:rPr>
        <w:t>χ</w:t>
      </w:r>
      <w:r w:rsidRPr="00AB121D">
        <w:rPr>
          <w:bCs/>
          <w:shd w:val="clear" w:color="auto" w:fill="FFFFFF"/>
        </w:rPr>
        <w:t xml:space="preserve">²(217) = </w:t>
      </w:r>
      <w:r w:rsidR="00AB121D" w:rsidRPr="00AB121D">
        <w:rPr>
          <w:bCs/>
          <w:shd w:val="clear" w:color="auto" w:fill="FFFFFF"/>
        </w:rPr>
        <w:t>461.901</w:t>
      </w:r>
      <w:r w:rsidRPr="00AB121D">
        <w:rPr>
          <w:bCs/>
          <w:shd w:val="clear" w:color="auto" w:fill="FFFFFF"/>
        </w:rPr>
        <w:t>, SB</w:t>
      </w:r>
      <w:r w:rsidRPr="00AB121D">
        <w:rPr>
          <w:bCs/>
          <w:iCs/>
          <w:shd w:val="clear" w:color="auto" w:fill="FFFFFF"/>
        </w:rPr>
        <w:t>χ</w:t>
      </w:r>
      <w:r w:rsidRPr="00AB121D">
        <w:rPr>
          <w:bCs/>
          <w:shd w:val="clear" w:color="auto" w:fill="FFFFFF"/>
        </w:rPr>
        <w:t>²</w:t>
      </w:r>
      <w:r w:rsidRPr="00AB121D">
        <w:rPr>
          <w:bCs/>
          <w:shd w:val="clear" w:color="auto" w:fill="FFFFFF"/>
          <w:vertAlign w:val="subscript"/>
        </w:rPr>
        <w:t>normed</w:t>
      </w:r>
      <w:r w:rsidRPr="00AB121D">
        <w:rPr>
          <w:bCs/>
          <w:shd w:val="clear" w:color="auto" w:fill="FFFFFF"/>
        </w:rPr>
        <w:t xml:space="preserve"> = </w:t>
      </w:r>
      <w:r w:rsidR="00AB121D" w:rsidRPr="00AB121D">
        <w:rPr>
          <w:bCs/>
          <w:shd w:val="clear" w:color="auto" w:fill="FFFFFF"/>
        </w:rPr>
        <w:lastRenderedPageBreak/>
        <w:t>2.13</w:t>
      </w:r>
      <w:r w:rsidRPr="00AB121D">
        <w:rPr>
          <w:bCs/>
          <w:shd w:val="clear" w:color="auto" w:fill="FFFFFF"/>
        </w:rPr>
        <w:t>, robust RMSEA = .0</w:t>
      </w:r>
      <w:r w:rsidR="00AB121D" w:rsidRPr="00AB121D">
        <w:rPr>
          <w:bCs/>
          <w:shd w:val="clear" w:color="auto" w:fill="FFFFFF"/>
        </w:rPr>
        <w:t>57</w:t>
      </w:r>
      <w:r w:rsidRPr="00AB121D">
        <w:rPr>
          <w:bCs/>
          <w:shd w:val="clear" w:color="auto" w:fill="FFFFFF"/>
        </w:rPr>
        <w:t xml:space="preserve"> (90% CI = .0</w:t>
      </w:r>
      <w:r w:rsidR="00AB121D" w:rsidRPr="00AB121D">
        <w:rPr>
          <w:bCs/>
          <w:shd w:val="clear" w:color="auto" w:fill="FFFFFF"/>
        </w:rPr>
        <w:t>50</w:t>
      </w:r>
      <w:r w:rsidRPr="00AB121D">
        <w:rPr>
          <w:bCs/>
          <w:shd w:val="clear" w:color="auto" w:fill="FFFFFF"/>
        </w:rPr>
        <w:t>, .0</w:t>
      </w:r>
      <w:r w:rsidR="00AB121D" w:rsidRPr="00AB121D">
        <w:rPr>
          <w:bCs/>
          <w:shd w:val="clear" w:color="auto" w:fill="FFFFFF"/>
        </w:rPr>
        <w:t>64</w:t>
      </w:r>
      <w:r w:rsidRPr="00AB121D">
        <w:rPr>
          <w:bCs/>
          <w:shd w:val="clear" w:color="auto" w:fill="FFFFFF"/>
        </w:rPr>
        <w:t>), SRMR = .</w:t>
      </w:r>
      <w:r w:rsidR="00AB121D" w:rsidRPr="00AB121D">
        <w:rPr>
          <w:bCs/>
          <w:shd w:val="clear" w:color="auto" w:fill="FFFFFF"/>
        </w:rPr>
        <w:t>073</w:t>
      </w:r>
      <w:r w:rsidRPr="00AB121D">
        <w:rPr>
          <w:bCs/>
          <w:shd w:val="clear" w:color="auto" w:fill="FFFFFF"/>
        </w:rPr>
        <w:t>, robust CFI = .</w:t>
      </w:r>
      <w:r w:rsidR="00AB121D" w:rsidRPr="00AB121D">
        <w:rPr>
          <w:bCs/>
          <w:shd w:val="clear" w:color="auto" w:fill="FFFFFF"/>
        </w:rPr>
        <w:t>938</w:t>
      </w:r>
      <w:r w:rsidRPr="00AB121D">
        <w:rPr>
          <w:bCs/>
          <w:shd w:val="clear" w:color="auto" w:fill="FFFFFF"/>
        </w:rPr>
        <w:t>, robust TLI = .</w:t>
      </w:r>
      <w:r w:rsidR="00AB121D" w:rsidRPr="00AB121D">
        <w:rPr>
          <w:bCs/>
          <w:shd w:val="clear" w:color="auto" w:fill="FFFFFF"/>
        </w:rPr>
        <w:t>928</w:t>
      </w:r>
      <w:r w:rsidRPr="00AB121D">
        <w:rPr>
          <w:bCs/>
          <w:shd w:val="clear" w:color="auto" w:fill="FFFFFF"/>
        </w:rPr>
        <w:t>, BL89 = .9</w:t>
      </w:r>
      <w:r w:rsidR="00AB121D" w:rsidRPr="00AB121D">
        <w:rPr>
          <w:bCs/>
          <w:shd w:val="clear" w:color="auto" w:fill="FFFFFF"/>
        </w:rPr>
        <w:t>39</w:t>
      </w:r>
      <w:r w:rsidRPr="00AB121D">
        <w:rPr>
          <w:bCs/>
          <w:shd w:val="clear" w:color="auto" w:fill="FFFFFF"/>
        </w:rPr>
        <w:t>, AIC = 2</w:t>
      </w:r>
      <w:r w:rsidR="00AB121D" w:rsidRPr="00AB121D">
        <w:rPr>
          <w:bCs/>
          <w:shd w:val="clear" w:color="auto" w:fill="FFFFFF"/>
        </w:rPr>
        <w:t>4639</w:t>
      </w:r>
      <w:r w:rsidRPr="00AB121D">
        <w:rPr>
          <w:bCs/>
          <w:shd w:val="clear" w:color="auto" w:fill="FFFFFF"/>
        </w:rPr>
        <w:t>.</w:t>
      </w:r>
      <w:r w:rsidR="00AB121D" w:rsidRPr="00AB121D">
        <w:rPr>
          <w:bCs/>
          <w:shd w:val="clear" w:color="auto" w:fill="FFFFFF"/>
        </w:rPr>
        <w:t>4</w:t>
      </w:r>
      <w:r w:rsidR="008410E4">
        <w:rPr>
          <w:bCs/>
          <w:shd w:val="clear" w:color="auto" w:fill="FFFFFF"/>
        </w:rPr>
        <w:t>2</w:t>
      </w:r>
      <w:r w:rsidR="00AB121D" w:rsidRPr="00AB121D">
        <w:rPr>
          <w:bCs/>
          <w:shd w:val="clear" w:color="auto" w:fill="FFFFFF"/>
        </w:rPr>
        <w:t>.</w:t>
      </w:r>
    </w:p>
    <w:p w14:paraId="0A38A7D8" w14:textId="77777777" w:rsidR="003D14E9" w:rsidRDefault="004D0539" w:rsidP="003D14E9">
      <w:pPr>
        <w:pStyle w:val="Heading3"/>
        <w:rPr>
          <w:shd w:val="clear" w:color="auto" w:fill="FFFFFF"/>
        </w:rPr>
      </w:pPr>
      <w:r>
        <w:rPr>
          <w:shd w:val="clear" w:color="auto" w:fill="FFFFFF"/>
        </w:rPr>
        <w:tab/>
        <w:t>3.3.2. EFA-derived 4-factor model.</w:t>
      </w:r>
      <w:r>
        <w:rPr>
          <w:shd w:val="clear" w:color="auto" w:fill="FFFFFF"/>
        </w:rPr>
        <w:tab/>
      </w:r>
    </w:p>
    <w:p w14:paraId="7BDD53A8" w14:textId="3B14060B" w:rsidR="004D0539" w:rsidRPr="00E25662" w:rsidRDefault="004D0539" w:rsidP="004D0539">
      <w:pPr>
        <w:spacing w:line="480" w:lineRule="auto"/>
        <w:rPr>
          <w:bCs/>
          <w:shd w:val="clear" w:color="auto" w:fill="FFFFFF"/>
        </w:rPr>
      </w:pPr>
      <w:r w:rsidRPr="007B3101">
        <w:rPr>
          <w:bCs/>
          <w:shd w:val="clear" w:color="auto" w:fill="FFFFFF"/>
        </w:rPr>
        <w:t>Second, we examined the fit of the EFA-derived 4-factor model from the male subsample. Fit indices were</w:t>
      </w:r>
      <w:r w:rsidR="007B3101">
        <w:rPr>
          <w:bCs/>
          <w:shd w:val="clear" w:color="auto" w:fill="FFFFFF"/>
        </w:rPr>
        <w:t xml:space="preserve"> indicative of a poor model fit</w:t>
      </w:r>
      <w:r w:rsidRPr="007B3101">
        <w:rPr>
          <w:bCs/>
          <w:shd w:val="clear" w:color="auto" w:fill="FFFFFF"/>
        </w:rPr>
        <w:t xml:space="preserve">: </w:t>
      </w:r>
      <w:r w:rsidRPr="007B3101">
        <w:t>SB</w:t>
      </w:r>
      <w:r w:rsidRPr="007B3101">
        <w:rPr>
          <w:bCs/>
          <w:iCs/>
          <w:shd w:val="clear" w:color="auto" w:fill="FFFFFF"/>
        </w:rPr>
        <w:t>χ</w:t>
      </w:r>
      <w:r w:rsidRPr="007B3101">
        <w:rPr>
          <w:bCs/>
          <w:shd w:val="clear" w:color="auto" w:fill="FFFFFF"/>
        </w:rPr>
        <w:t>²(</w:t>
      </w:r>
      <w:r w:rsidR="007B3101" w:rsidRPr="007B3101">
        <w:rPr>
          <w:bCs/>
          <w:shd w:val="clear" w:color="auto" w:fill="FFFFFF"/>
        </w:rPr>
        <w:t>183</w:t>
      </w:r>
      <w:r w:rsidRPr="007B3101">
        <w:rPr>
          <w:bCs/>
          <w:shd w:val="clear" w:color="auto" w:fill="FFFFFF"/>
        </w:rPr>
        <w:t xml:space="preserve">) = </w:t>
      </w:r>
      <w:r w:rsidR="007B3101" w:rsidRPr="007B3101">
        <w:rPr>
          <w:bCs/>
          <w:shd w:val="clear" w:color="auto" w:fill="FFFFFF"/>
        </w:rPr>
        <w:t>926.171</w:t>
      </w:r>
      <w:r w:rsidRPr="007B3101">
        <w:rPr>
          <w:bCs/>
          <w:shd w:val="clear" w:color="auto" w:fill="FFFFFF"/>
        </w:rPr>
        <w:t>, SB</w:t>
      </w:r>
      <w:r w:rsidRPr="007B3101">
        <w:rPr>
          <w:bCs/>
          <w:iCs/>
          <w:shd w:val="clear" w:color="auto" w:fill="FFFFFF"/>
        </w:rPr>
        <w:t>χ</w:t>
      </w:r>
      <w:r w:rsidRPr="007B3101">
        <w:rPr>
          <w:bCs/>
          <w:shd w:val="clear" w:color="auto" w:fill="FFFFFF"/>
        </w:rPr>
        <w:t>²</w:t>
      </w:r>
      <w:r w:rsidRPr="007B3101">
        <w:rPr>
          <w:bCs/>
          <w:shd w:val="clear" w:color="auto" w:fill="FFFFFF"/>
          <w:vertAlign w:val="subscript"/>
        </w:rPr>
        <w:t>normed</w:t>
      </w:r>
      <w:r w:rsidRPr="007B3101">
        <w:rPr>
          <w:bCs/>
          <w:shd w:val="clear" w:color="auto" w:fill="FFFFFF"/>
        </w:rPr>
        <w:t xml:space="preserve"> = </w:t>
      </w:r>
      <w:r w:rsidR="007B3101" w:rsidRPr="007B3101">
        <w:rPr>
          <w:bCs/>
          <w:shd w:val="clear" w:color="auto" w:fill="FFFFFF"/>
        </w:rPr>
        <w:t>5.06</w:t>
      </w:r>
      <w:r w:rsidRPr="007B3101">
        <w:rPr>
          <w:bCs/>
          <w:shd w:val="clear" w:color="auto" w:fill="FFFFFF"/>
        </w:rPr>
        <w:t>, robust RMSEA = .</w:t>
      </w:r>
      <w:r w:rsidR="007B3101" w:rsidRPr="007B3101">
        <w:rPr>
          <w:bCs/>
          <w:shd w:val="clear" w:color="auto" w:fill="FFFFFF"/>
        </w:rPr>
        <w:t>110</w:t>
      </w:r>
      <w:r w:rsidRPr="007B3101">
        <w:rPr>
          <w:bCs/>
          <w:shd w:val="clear" w:color="auto" w:fill="FFFFFF"/>
        </w:rPr>
        <w:t xml:space="preserve"> (90% CI = .</w:t>
      </w:r>
      <w:r w:rsidR="007B3101" w:rsidRPr="007B3101">
        <w:rPr>
          <w:bCs/>
          <w:shd w:val="clear" w:color="auto" w:fill="FFFFFF"/>
        </w:rPr>
        <w:t>103</w:t>
      </w:r>
      <w:r w:rsidRPr="007B3101">
        <w:rPr>
          <w:bCs/>
          <w:shd w:val="clear" w:color="auto" w:fill="FFFFFF"/>
        </w:rPr>
        <w:t>, .</w:t>
      </w:r>
      <w:r w:rsidR="007B3101" w:rsidRPr="007B3101">
        <w:rPr>
          <w:bCs/>
          <w:shd w:val="clear" w:color="auto" w:fill="FFFFFF"/>
        </w:rPr>
        <w:t>117</w:t>
      </w:r>
      <w:r w:rsidRPr="007B3101">
        <w:rPr>
          <w:bCs/>
          <w:shd w:val="clear" w:color="auto" w:fill="FFFFFF"/>
        </w:rPr>
        <w:t>), SRMR = .</w:t>
      </w:r>
      <w:r w:rsidR="007B3101" w:rsidRPr="007B3101">
        <w:rPr>
          <w:bCs/>
          <w:shd w:val="clear" w:color="auto" w:fill="FFFFFF"/>
        </w:rPr>
        <w:t>115</w:t>
      </w:r>
      <w:r w:rsidRPr="007B3101">
        <w:rPr>
          <w:bCs/>
          <w:shd w:val="clear" w:color="auto" w:fill="FFFFFF"/>
        </w:rPr>
        <w:t>, robust CFI = .</w:t>
      </w:r>
      <w:r w:rsidR="007B3101" w:rsidRPr="007B3101">
        <w:rPr>
          <w:bCs/>
          <w:shd w:val="clear" w:color="auto" w:fill="FFFFFF"/>
        </w:rPr>
        <w:t>798</w:t>
      </w:r>
      <w:r w:rsidRPr="007B3101">
        <w:rPr>
          <w:bCs/>
          <w:shd w:val="clear" w:color="auto" w:fill="FFFFFF"/>
        </w:rPr>
        <w:t>, robust TLI = .</w:t>
      </w:r>
      <w:r w:rsidR="007B3101" w:rsidRPr="007B3101">
        <w:rPr>
          <w:bCs/>
          <w:shd w:val="clear" w:color="auto" w:fill="FFFFFF"/>
        </w:rPr>
        <w:t>768</w:t>
      </w:r>
      <w:r w:rsidRPr="007B3101">
        <w:rPr>
          <w:bCs/>
          <w:shd w:val="clear" w:color="auto" w:fill="FFFFFF"/>
        </w:rPr>
        <w:t>, BL89 = .8</w:t>
      </w:r>
      <w:r w:rsidR="007B3101" w:rsidRPr="007B3101">
        <w:rPr>
          <w:bCs/>
          <w:shd w:val="clear" w:color="auto" w:fill="FFFFFF"/>
        </w:rPr>
        <w:t>0</w:t>
      </w:r>
      <w:r w:rsidRPr="007B3101">
        <w:rPr>
          <w:bCs/>
          <w:shd w:val="clear" w:color="auto" w:fill="FFFFFF"/>
        </w:rPr>
        <w:t>0, AIC =</w:t>
      </w:r>
      <w:r w:rsidR="007B3101" w:rsidRPr="007B3101">
        <w:rPr>
          <w:bCs/>
          <w:shd w:val="clear" w:color="auto" w:fill="FFFFFF"/>
        </w:rPr>
        <w:t xml:space="preserve"> 23336.511</w:t>
      </w:r>
      <w:r w:rsidRPr="007B3101">
        <w:rPr>
          <w:bCs/>
          <w:shd w:val="clear" w:color="auto" w:fill="FFFFFF"/>
        </w:rPr>
        <w:t xml:space="preserve">. </w:t>
      </w:r>
      <w:r w:rsidR="007B3101" w:rsidRPr="00ED11DA">
        <w:rPr>
          <w:bCs/>
          <w:shd w:val="clear" w:color="auto" w:fill="FFFFFF"/>
        </w:rPr>
        <w:t>Therefore</w:t>
      </w:r>
      <w:r w:rsidRPr="00ED11DA">
        <w:rPr>
          <w:bCs/>
          <w:shd w:val="clear" w:color="auto" w:fill="FFFFFF"/>
        </w:rPr>
        <w:t xml:space="preserve">, modification indices were consulted to improve model fit (see Table 2). Error </w:t>
      </w:r>
      <w:proofErr w:type="spellStart"/>
      <w:r w:rsidRPr="00ED11DA">
        <w:rPr>
          <w:bCs/>
          <w:shd w:val="clear" w:color="auto" w:fill="FFFFFF"/>
        </w:rPr>
        <w:t>covariances</w:t>
      </w:r>
      <w:proofErr w:type="spellEnd"/>
      <w:r w:rsidRPr="00ED11DA">
        <w:rPr>
          <w:bCs/>
          <w:shd w:val="clear" w:color="auto" w:fill="FFFFFF"/>
        </w:rPr>
        <w:t xml:space="preserve"> were successively freed </w:t>
      </w:r>
      <w:r w:rsidRPr="00ED11DA">
        <w:rPr>
          <w:shd w:val="clear" w:color="auto" w:fill="FFFFFF"/>
        </w:rPr>
        <w:t>based on assumed correlations among like items from the same factor</w:t>
      </w:r>
      <w:r w:rsidR="00ED11DA">
        <w:rPr>
          <w:shd w:val="clear" w:color="auto" w:fill="FFFFFF"/>
        </w:rPr>
        <w:t xml:space="preserve">. </w:t>
      </w:r>
      <w:r w:rsidRPr="00E25662">
        <w:rPr>
          <w:bCs/>
          <w:shd w:val="clear" w:color="auto" w:fill="FFFFFF"/>
        </w:rPr>
        <w:t xml:space="preserve">These modifications resulted in an improved model fit, although values for </w:t>
      </w:r>
      <w:r w:rsidR="00E25662">
        <w:rPr>
          <w:bCs/>
          <w:shd w:val="clear" w:color="auto" w:fill="FFFFFF"/>
        </w:rPr>
        <w:t xml:space="preserve">SRMR, </w:t>
      </w:r>
      <w:r w:rsidRPr="00E25662">
        <w:rPr>
          <w:bCs/>
          <w:shd w:val="clear" w:color="auto" w:fill="FFFFFF"/>
        </w:rPr>
        <w:t xml:space="preserve">CFI, TLI, </w:t>
      </w:r>
      <w:r w:rsidR="00E25662">
        <w:rPr>
          <w:bCs/>
          <w:shd w:val="clear" w:color="auto" w:fill="FFFFFF"/>
        </w:rPr>
        <w:t xml:space="preserve">and </w:t>
      </w:r>
      <w:r w:rsidRPr="00E25662">
        <w:rPr>
          <w:bCs/>
          <w:shd w:val="clear" w:color="auto" w:fill="FFFFFF"/>
        </w:rPr>
        <w:t xml:space="preserve">BL89 were still less-than-adequate: </w:t>
      </w:r>
      <w:r w:rsidRPr="00E25662">
        <w:t>SB</w:t>
      </w:r>
      <w:r w:rsidRPr="00E25662">
        <w:rPr>
          <w:bCs/>
          <w:iCs/>
          <w:shd w:val="clear" w:color="auto" w:fill="FFFFFF"/>
        </w:rPr>
        <w:t>χ</w:t>
      </w:r>
      <w:r w:rsidRPr="00E25662">
        <w:rPr>
          <w:bCs/>
          <w:shd w:val="clear" w:color="auto" w:fill="FFFFFF"/>
        </w:rPr>
        <w:t>²(1</w:t>
      </w:r>
      <w:r w:rsidR="00E25662" w:rsidRPr="00E25662">
        <w:rPr>
          <w:bCs/>
          <w:shd w:val="clear" w:color="auto" w:fill="FFFFFF"/>
        </w:rPr>
        <w:t>78</w:t>
      </w:r>
      <w:r w:rsidRPr="00E25662">
        <w:rPr>
          <w:bCs/>
          <w:shd w:val="clear" w:color="auto" w:fill="FFFFFF"/>
        </w:rPr>
        <w:t xml:space="preserve">) = </w:t>
      </w:r>
      <w:r w:rsidR="00E25662" w:rsidRPr="00E25662">
        <w:rPr>
          <w:bCs/>
          <w:shd w:val="clear" w:color="auto" w:fill="FFFFFF"/>
        </w:rPr>
        <w:t>490.494</w:t>
      </w:r>
      <w:r w:rsidRPr="00E25662">
        <w:rPr>
          <w:bCs/>
          <w:shd w:val="clear" w:color="auto" w:fill="FFFFFF"/>
        </w:rPr>
        <w:t>, SB</w:t>
      </w:r>
      <w:r w:rsidRPr="00E25662">
        <w:rPr>
          <w:bCs/>
          <w:iCs/>
          <w:shd w:val="clear" w:color="auto" w:fill="FFFFFF"/>
        </w:rPr>
        <w:t>χ</w:t>
      </w:r>
      <w:r w:rsidRPr="00E25662">
        <w:rPr>
          <w:bCs/>
          <w:shd w:val="clear" w:color="auto" w:fill="FFFFFF"/>
        </w:rPr>
        <w:t>²</w:t>
      </w:r>
      <w:r w:rsidRPr="00E25662">
        <w:rPr>
          <w:bCs/>
          <w:shd w:val="clear" w:color="auto" w:fill="FFFFFF"/>
          <w:vertAlign w:val="subscript"/>
        </w:rPr>
        <w:t>normed</w:t>
      </w:r>
      <w:r w:rsidRPr="00E25662">
        <w:rPr>
          <w:bCs/>
          <w:shd w:val="clear" w:color="auto" w:fill="FFFFFF"/>
        </w:rPr>
        <w:t xml:space="preserve"> = </w:t>
      </w:r>
      <w:r w:rsidR="00E25662" w:rsidRPr="00E25662">
        <w:rPr>
          <w:bCs/>
          <w:shd w:val="clear" w:color="auto" w:fill="FFFFFF"/>
        </w:rPr>
        <w:t>2.76</w:t>
      </w:r>
      <w:r w:rsidRPr="00E25662">
        <w:rPr>
          <w:bCs/>
          <w:shd w:val="clear" w:color="auto" w:fill="FFFFFF"/>
        </w:rPr>
        <w:t>, robust RMSEA = .0</w:t>
      </w:r>
      <w:r w:rsidR="00E25662" w:rsidRPr="00E25662">
        <w:rPr>
          <w:bCs/>
          <w:shd w:val="clear" w:color="auto" w:fill="FFFFFF"/>
        </w:rPr>
        <w:t>71</w:t>
      </w:r>
      <w:r w:rsidRPr="00E25662">
        <w:rPr>
          <w:bCs/>
          <w:shd w:val="clear" w:color="auto" w:fill="FFFFFF"/>
        </w:rPr>
        <w:t xml:space="preserve"> (90% CI = .0</w:t>
      </w:r>
      <w:r w:rsidR="00E25662" w:rsidRPr="00E25662">
        <w:rPr>
          <w:bCs/>
          <w:shd w:val="clear" w:color="auto" w:fill="FFFFFF"/>
        </w:rPr>
        <w:t>63</w:t>
      </w:r>
      <w:r w:rsidRPr="00E25662">
        <w:rPr>
          <w:bCs/>
          <w:shd w:val="clear" w:color="auto" w:fill="FFFFFF"/>
        </w:rPr>
        <w:t>-.07</w:t>
      </w:r>
      <w:r w:rsidR="00E25662" w:rsidRPr="00E25662">
        <w:rPr>
          <w:bCs/>
          <w:shd w:val="clear" w:color="auto" w:fill="FFFFFF"/>
        </w:rPr>
        <w:t>8</w:t>
      </w:r>
      <w:r w:rsidRPr="00E25662">
        <w:rPr>
          <w:bCs/>
          <w:shd w:val="clear" w:color="auto" w:fill="FFFFFF"/>
        </w:rPr>
        <w:t>), SRMR = .</w:t>
      </w:r>
      <w:r w:rsidR="00E25662" w:rsidRPr="00E25662">
        <w:rPr>
          <w:bCs/>
          <w:shd w:val="clear" w:color="auto" w:fill="FFFFFF"/>
        </w:rPr>
        <w:t>105</w:t>
      </w:r>
      <w:r w:rsidRPr="00E25662">
        <w:rPr>
          <w:bCs/>
          <w:shd w:val="clear" w:color="auto" w:fill="FFFFFF"/>
        </w:rPr>
        <w:t>, robust CFI = .91</w:t>
      </w:r>
      <w:r w:rsidR="00E25662" w:rsidRPr="00E25662">
        <w:rPr>
          <w:bCs/>
          <w:shd w:val="clear" w:color="auto" w:fill="FFFFFF"/>
        </w:rPr>
        <w:t>8</w:t>
      </w:r>
      <w:r w:rsidRPr="00E25662">
        <w:rPr>
          <w:bCs/>
          <w:shd w:val="clear" w:color="auto" w:fill="FFFFFF"/>
        </w:rPr>
        <w:t>, robust TLI = .</w:t>
      </w:r>
      <w:r w:rsidR="00E25662" w:rsidRPr="00E25662">
        <w:rPr>
          <w:bCs/>
          <w:shd w:val="clear" w:color="auto" w:fill="FFFFFF"/>
        </w:rPr>
        <w:t>903</w:t>
      </w:r>
      <w:r w:rsidRPr="00E25662">
        <w:rPr>
          <w:bCs/>
          <w:shd w:val="clear" w:color="auto" w:fill="FFFFFF"/>
        </w:rPr>
        <w:t>, BL89 = .91</w:t>
      </w:r>
      <w:r w:rsidR="00E25662" w:rsidRPr="00E25662">
        <w:rPr>
          <w:bCs/>
          <w:shd w:val="clear" w:color="auto" w:fill="FFFFFF"/>
        </w:rPr>
        <w:t>6</w:t>
      </w:r>
      <w:r w:rsidRPr="00E25662">
        <w:rPr>
          <w:bCs/>
          <w:shd w:val="clear" w:color="auto" w:fill="FFFFFF"/>
        </w:rPr>
        <w:t>, AIC = 2</w:t>
      </w:r>
      <w:r w:rsidR="00E25662" w:rsidRPr="00E25662">
        <w:rPr>
          <w:bCs/>
          <w:shd w:val="clear" w:color="auto" w:fill="FFFFFF"/>
        </w:rPr>
        <w:t>2797.98</w:t>
      </w:r>
      <w:r w:rsidRPr="00E25662">
        <w:rPr>
          <w:bCs/>
          <w:shd w:val="clear" w:color="auto" w:fill="FFFFFF"/>
        </w:rPr>
        <w:t xml:space="preserve">. We also examined the fit of the EFA-derived 4-factor model with the additional constraint of a higher-order intuitive eating factor. </w:t>
      </w:r>
      <w:r w:rsidR="00E25662" w:rsidRPr="00E25662">
        <w:rPr>
          <w:bCs/>
          <w:shd w:val="clear" w:color="auto" w:fill="FFFFFF"/>
        </w:rPr>
        <w:t>However, after 1240 iterations, a stable CFA solution for the model was not achievable.</w:t>
      </w:r>
    </w:p>
    <w:p w14:paraId="6FCD1C53" w14:textId="77777777" w:rsidR="003D14E9" w:rsidRDefault="004D0539" w:rsidP="003D14E9">
      <w:pPr>
        <w:pStyle w:val="Heading3"/>
        <w:rPr>
          <w:shd w:val="clear" w:color="auto" w:fill="FFFFFF"/>
        </w:rPr>
      </w:pPr>
      <w:r w:rsidRPr="009F4237">
        <w:rPr>
          <w:color w:val="FF0000"/>
          <w:shd w:val="clear" w:color="auto" w:fill="FFFFFF"/>
        </w:rPr>
        <w:tab/>
      </w:r>
      <w:r w:rsidRPr="00224BA5">
        <w:rPr>
          <w:shd w:val="clear" w:color="auto" w:fill="FFFFFF"/>
        </w:rPr>
        <w:t xml:space="preserve">3.3.3. EFA-derived 3-factor model. </w:t>
      </w:r>
    </w:p>
    <w:p w14:paraId="74DF48B1" w14:textId="07EB7AA7" w:rsidR="004D0539" w:rsidRPr="009B427C" w:rsidRDefault="004D0539" w:rsidP="004D0539">
      <w:pPr>
        <w:spacing w:line="480" w:lineRule="auto"/>
        <w:rPr>
          <w:bCs/>
          <w:shd w:val="clear" w:color="auto" w:fill="FFFFFF"/>
        </w:rPr>
      </w:pPr>
      <w:r w:rsidRPr="00224BA5">
        <w:rPr>
          <w:bCs/>
          <w:shd w:val="clear" w:color="auto" w:fill="FFFFFF"/>
        </w:rPr>
        <w:t xml:space="preserve">Finally, we examined the fit of the EFA-derived 3-factor model. For this model, fit indices were: </w:t>
      </w:r>
      <w:proofErr w:type="gramStart"/>
      <w:r w:rsidRPr="00224BA5">
        <w:t>SB</w:t>
      </w:r>
      <w:r w:rsidRPr="00224BA5">
        <w:rPr>
          <w:bCs/>
          <w:iCs/>
          <w:shd w:val="clear" w:color="auto" w:fill="FFFFFF"/>
        </w:rPr>
        <w:t>χ</w:t>
      </w:r>
      <w:r w:rsidRPr="00224BA5">
        <w:rPr>
          <w:bCs/>
          <w:shd w:val="clear" w:color="auto" w:fill="FFFFFF"/>
        </w:rPr>
        <w:t>²(</w:t>
      </w:r>
      <w:proofErr w:type="gramEnd"/>
      <w:r w:rsidR="00224BA5" w:rsidRPr="00224BA5">
        <w:rPr>
          <w:bCs/>
          <w:shd w:val="clear" w:color="auto" w:fill="FFFFFF"/>
        </w:rPr>
        <w:t>132</w:t>
      </w:r>
      <w:r w:rsidRPr="00224BA5">
        <w:rPr>
          <w:bCs/>
          <w:shd w:val="clear" w:color="auto" w:fill="FFFFFF"/>
        </w:rPr>
        <w:t xml:space="preserve">) = </w:t>
      </w:r>
      <w:r w:rsidR="00224BA5" w:rsidRPr="00224BA5">
        <w:rPr>
          <w:bCs/>
          <w:shd w:val="clear" w:color="auto" w:fill="FFFFFF"/>
        </w:rPr>
        <w:t>578.874</w:t>
      </w:r>
      <w:r w:rsidRPr="00224BA5">
        <w:rPr>
          <w:bCs/>
          <w:shd w:val="clear" w:color="auto" w:fill="FFFFFF"/>
        </w:rPr>
        <w:t>, SB</w:t>
      </w:r>
      <w:r w:rsidRPr="00224BA5">
        <w:rPr>
          <w:bCs/>
          <w:iCs/>
          <w:shd w:val="clear" w:color="auto" w:fill="FFFFFF"/>
        </w:rPr>
        <w:t>χ</w:t>
      </w:r>
      <w:r w:rsidRPr="00224BA5">
        <w:rPr>
          <w:bCs/>
          <w:shd w:val="clear" w:color="auto" w:fill="FFFFFF"/>
        </w:rPr>
        <w:t>²</w:t>
      </w:r>
      <w:r w:rsidRPr="00224BA5">
        <w:rPr>
          <w:bCs/>
          <w:shd w:val="clear" w:color="auto" w:fill="FFFFFF"/>
          <w:vertAlign w:val="subscript"/>
        </w:rPr>
        <w:t>normed</w:t>
      </w:r>
      <w:r w:rsidRPr="00224BA5">
        <w:rPr>
          <w:bCs/>
          <w:shd w:val="clear" w:color="auto" w:fill="FFFFFF"/>
        </w:rPr>
        <w:t xml:space="preserve"> = </w:t>
      </w:r>
      <w:r w:rsidR="00224BA5" w:rsidRPr="00224BA5">
        <w:rPr>
          <w:bCs/>
          <w:shd w:val="clear" w:color="auto" w:fill="FFFFFF"/>
        </w:rPr>
        <w:t>4.39</w:t>
      </w:r>
      <w:r w:rsidRPr="00224BA5">
        <w:rPr>
          <w:bCs/>
          <w:shd w:val="clear" w:color="auto" w:fill="FFFFFF"/>
        </w:rPr>
        <w:t>, robust RMSEA = .</w:t>
      </w:r>
      <w:r w:rsidR="00224BA5" w:rsidRPr="00224BA5">
        <w:rPr>
          <w:bCs/>
          <w:shd w:val="clear" w:color="auto" w:fill="FFFFFF"/>
        </w:rPr>
        <w:t>103</w:t>
      </w:r>
      <w:r w:rsidRPr="00224BA5">
        <w:rPr>
          <w:bCs/>
          <w:shd w:val="clear" w:color="auto" w:fill="FFFFFF"/>
        </w:rPr>
        <w:t xml:space="preserve"> (90% CI = .0</w:t>
      </w:r>
      <w:r w:rsidR="00224BA5" w:rsidRPr="00224BA5">
        <w:rPr>
          <w:bCs/>
          <w:shd w:val="clear" w:color="auto" w:fill="FFFFFF"/>
        </w:rPr>
        <w:t>95</w:t>
      </w:r>
      <w:r w:rsidRPr="00224BA5">
        <w:rPr>
          <w:bCs/>
          <w:shd w:val="clear" w:color="auto" w:fill="FFFFFF"/>
        </w:rPr>
        <w:t>, .</w:t>
      </w:r>
      <w:r w:rsidR="00224BA5" w:rsidRPr="00224BA5">
        <w:rPr>
          <w:bCs/>
          <w:shd w:val="clear" w:color="auto" w:fill="FFFFFF"/>
        </w:rPr>
        <w:t>112</w:t>
      </w:r>
      <w:r w:rsidRPr="00224BA5">
        <w:rPr>
          <w:bCs/>
          <w:shd w:val="clear" w:color="auto" w:fill="FFFFFF"/>
        </w:rPr>
        <w:t>), SRMR = .07</w:t>
      </w:r>
      <w:r w:rsidR="00224BA5" w:rsidRPr="00224BA5">
        <w:rPr>
          <w:bCs/>
          <w:shd w:val="clear" w:color="auto" w:fill="FFFFFF"/>
        </w:rPr>
        <w:t>4</w:t>
      </w:r>
      <w:r w:rsidRPr="00224BA5">
        <w:rPr>
          <w:bCs/>
          <w:shd w:val="clear" w:color="auto" w:fill="FFFFFF"/>
        </w:rPr>
        <w:t>, robust CFI = .8</w:t>
      </w:r>
      <w:r w:rsidR="00224BA5" w:rsidRPr="00224BA5">
        <w:rPr>
          <w:bCs/>
          <w:shd w:val="clear" w:color="auto" w:fill="FFFFFF"/>
        </w:rPr>
        <w:t>52</w:t>
      </w:r>
      <w:r w:rsidRPr="00224BA5">
        <w:rPr>
          <w:bCs/>
          <w:shd w:val="clear" w:color="auto" w:fill="FFFFFF"/>
        </w:rPr>
        <w:t>, robust TLI = .8</w:t>
      </w:r>
      <w:r w:rsidR="00224BA5" w:rsidRPr="00224BA5">
        <w:rPr>
          <w:bCs/>
          <w:shd w:val="clear" w:color="auto" w:fill="FFFFFF"/>
        </w:rPr>
        <w:t>29</w:t>
      </w:r>
      <w:r w:rsidRPr="00224BA5">
        <w:rPr>
          <w:bCs/>
          <w:shd w:val="clear" w:color="auto" w:fill="FFFFFF"/>
        </w:rPr>
        <w:t>, BL89 = .8</w:t>
      </w:r>
      <w:r w:rsidR="00224BA5" w:rsidRPr="00224BA5">
        <w:rPr>
          <w:bCs/>
          <w:shd w:val="clear" w:color="auto" w:fill="FFFFFF"/>
        </w:rPr>
        <w:t>64</w:t>
      </w:r>
      <w:r w:rsidRPr="00224BA5">
        <w:rPr>
          <w:bCs/>
          <w:shd w:val="clear" w:color="auto" w:fill="FFFFFF"/>
        </w:rPr>
        <w:t xml:space="preserve">, AIC = </w:t>
      </w:r>
      <w:r w:rsidR="00224BA5" w:rsidRPr="00224BA5">
        <w:rPr>
          <w:bCs/>
          <w:shd w:val="clear" w:color="auto" w:fill="FFFFFF"/>
        </w:rPr>
        <w:t>20023.938</w:t>
      </w:r>
      <w:r w:rsidRPr="00224BA5">
        <w:rPr>
          <w:bCs/>
          <w:shd w:val="clear" w:color="auto" w:fill="FFFFFF"/>
        </w:rPr>
        <w:t xml:space="preserve">. </w:t>
      </w:r>
      <w:r w:rsidRPr="000625C6">
        <w:t>As indices were less-than-adequate</w:t>
      </w:r>
      <w:r w:rsidRPr="000625C6">
        <w:rPr>
          <w:bCs/>
          <w:shd w:val="clear" w:color="auto" w:fill="FFFFFF"/>
        </w:rPr>
        <w:t xml:space="preserve">, suggested modification indices were again considered to improve model fit. Error </w:t>
      </w:r>
      <w:proofErr w:type="spellStart"/>
      <w:r w:rsidRPr="000625C6">
        <w:rPr>
          <w:bCs/>
          <w:shd w:val="clear" w:color="auto" w:fill="FFFFFF"/>
        </w:rPr>
        <w:t>covariances</w:t>
      </w:r>
      <w:proofErr w:type="spellEnd"/>
      <w:r w:rsidRPr="000625C6">
        <w:rPr>
          <w:bCs/>
          <w:shd w:val="clear" w:color="auto" w:fill="FFFFFF"/>
        </w:rPr>
        <w:t xml:space="preserve"> were freed at a rate of up to three per subscale, in accordance with the results from likelihood ratio tests (see Table 2) and </w:t>
      </w:r>
      <w:r w:rsidRPr="000625C6">
        <w:rPr>
          <w:shd w:val="clear" w:color="auto" w:fill="FFFFFF"/>
        </w:rPr>
        <w:t>based on assumed correlations among like items from the same factor</w:t>
      </w:r>
      <w:r w:rsidRPr="000625C6">
        <w:rPr>
          <w:bCs/>
          <w:shd w:val="clear" w:color="auto" w:fill="FFFFFF"/>
        </w:rPr>
        <w:t xml:space="preserve">. </w:t>
      </w:r>
      <w:r w:rsidRPr="00604B7A">
        <w:rPr>
          <w:bCs/>
          <w:shd w:val="clear" w:color="auto" w:fill="FFFFFF"/>
        </w:rPr>
        <w:t xml:space="preserve">This resulted in an improved fit, although some indices remained below adequate thresholds: </w:t>
      </w:r>
      <w:r w:rsidRPr="00604B7A">
        <w:t>SB</w:t>
      </w:r>
      <w:r w:rsidRPr="00604B7A">
        <w:rPr>
          <w:bCs/>
          <w:iCs/>
          <w:shd w:val="clear" w:color="auto" w:fill="FFFFFF"/>
        </w:rPr>
        <w:t>χ</w:t>
      </w:r>
      <w:r w:rsidRPr="00604B7A">
        <w:rPr>
          <w:bCs/>
          <w:shd w:val="clear" w:color="auto" w:fill="FFFFFF"/>
        </w:rPr>
        <w:t>²(</w:t>
      </w:r>
      <w:r w:rsidR="00604B7A" w:rsidRPr="00604B7A">
        <w:rPr>
          <w:bCs/>
          <w:shd w:val="clear" w:color="auto" w:fill="FFFFFF"/>
        </w:rPr>
        <w:t>126</w:t>
      </w:r>
      <w:r w:rsidRPr="00604B7A">
        <w:rPr>
          <w:bCs/>
          <w:shd w:val="clear" w:color="auto" w:fill="FFFFFF"/>
        </w:rPr>
        <w:t>) = 2</w:t>
      </w:r>
      <w:r w:rsidR="00604B7A" w:rsidRPr="00604B7A">
        <w:rPr>
          <w:bCs/>
          <w:shd w:val="clear" w:color="auto" w:fill="FFFFFF"/>
        </w:rPr>
        <w:t>96.938</w:t>
      </w:r>
      <w:r w:rsidRPr="00604B7A">
        <w:rPr>
          <w:bCs/>
          <w:shd w:val="clear" w:color="auto" w:fill="FFFFFF"/>
        </w:rPr>
        <w:t>, SB</w:t>
      </w:r>
      <w:r w:rsidRPr="00604B7A">
        <w:rPr>
          <w:bCs/>
          <w:iCs/>
          <w:shd w:val="clear" w:color="auto" w:fill="FFFFFF"/>
        </w:rPr>
        <w:t>χ</w:t>
      </w:r>
      <w:r w:rsidRPr="00604B7A">
        <w:rPr>
          <w:bCs/>
          <w:shd w:val="clear" w:color="auto" w:fill="FFFFFF"/>
        </w:rPr>
        <w:t>²</w:t>
      </w:r>
      <w:r w:rsidRPr="00604B7A">
        <w:rPr>
          <w:bCs/>
          <w:shd w:val="clear" w:color="auto" w:fill="FFFFFF"/>
          <w:vertAlign w:val="subscript"/>
        </w:rPr>
        <w:t>normed</w:t>
      </w:r>
      <w:r w:rsidRPr="00604B7A">
        <w:rPr>
          <w:bCs/>
          <w:shd w:val="clear" w:color="auto" w:fill="FFFFFF"/>
        </w:rPr>
        <w:t xml:space="preserve"> = </w:t>
      </w:r>
      <w:r w:rsidR="00604B7A" w:rsidRPr="00604B7A">
        <w:rPr>
          <w:bCs/>
          <w:shd w:val="clear" w:color="auto" w:fill="FFFFFF"/>
        </w:rPr>
        <w:t>2.36</w:t>
      </w:r>
      <w:r w:rsidRPr="00604B7A">
        <w:rPr>
          <w:bCs/>
          <w:shd w:val="clear" w:color="auto" w:fill="FFFFFF"/>
        </w:rPr>
        <w:t>, robust RMSEA = .0</w:t>
      </w:r>
      <w:r w:rsidR="00604B7A" w:rsidRPr="00604B7A">
        <w:rPr>
          <w:bCs/>
          <w:shd w:val="clear" w:color="auto" w:fill="FFFFFF"/>
        </w:rPr>
        <w:t>63</w:t>
      </w:r>
      <w:r w:rsidRPr="00604B7A">
        <w:rPr>
          <w:bCs/>
          <w:shd w:val="clear" w:color="auto" w:fill="FFFFFF"/>
        </w:rPr>
        <w:t xml:space="preserve"> (90% CI = .0</w:t>
      </w:r>
      <w:r w:rsidR="00604B7A" w:rsidRPr="00604B7A">
        <w:rPr>
          <w:bCs/>
          <w:shd w:val="clear" w:color="auto" w:fill="FFFFFF"/>
        </w:rPr>
        <w:t>54</w:t>
      </w:r>
      <w:r w:rsidRPr="00604B7A">
        <w:rPr>
          <w:bCs/>
          <w:shd w:val="clear" w:color="auto" w:fill="FFFFFF"/>
        </w:rPr>
        <w:t>, .0</w:t>
      </w:r>
      <w:r w:rsidR="00604B7A" w:rsidRPr="00604B7A">
        <w:rPr>
          <w:bCs/>
          <w:shd w:val="clear" w:color="auto" w:fill="FFFFFF"/>
        </w:rPr>
        <w:t>73</w:t>
      </w:r>
      <w:r w:rsidRPr="00604B7A">
        <w:rPr>
          <w:bCs/>
          <w:shd w:val="clear" w:color="auto" w:fill="FFFFFF"/>
        </w:rPr>
        <w:t xml:space="preserve">), </w:t>
      </w:r>
      <w:r w:rsidRPr="0061248F">
        <w:rPr>
          <w:bCs/>
          <w:shd w:val="clear" w:color="auto" w:fill="FFFFFF"/>
        </w:rPr>
        <w:t>SRMR = .06</w:t>
      </w:r>
      <w:r w:rsidR="00604B7A" w:rsidRPr="0061248F">
        <w:rPr>
          <w:bCs/>
          <w:shd w:val="clear" w:color="auto" w:fill="FFFFFF"/>
        </w:rPr>
        <w:t>8</w:t>
      </w:r>
      <w:r w:rsidRPr="0061248F">
        <w:rPr>
          <w:bCs/>
          <w:shd w:val="clear" w:color="auto" w:fill="FFFFFF"/>
        </w:rPr>
        <w:t>, robust CFI = .</w:t>
      </w:r>
      <w:r w:rsidR="0061248F" w:rsidRPr="0061248F">
        <w:rPr>
          <w:bCs/>
          <w:shd w:val="clear" w:color="auto" w:fill="FFFFFF"/>
        </w:rPr>
        <w:t>947</w:t>
      </w:r>
      <w:r w:rsidRPr="0061248F">
        <w:rPr>
          <w:bCs/>
          <w:shd w:val="clear" w:color="auto" w:fill="FFFFFF"/>
        </w:rPr>
        <w:t>, robust TLI = .</w:t>
      </w:r>
      <w:r w:rsidR="0061248F" w:rsidRPr="0061248F">
        <w:rPr>
          <w:bCs/>
          <w:shd w:val="clear" w:color="auto" w:fill="FFFFFF"/>
        </w:rPr>
        <w:t>937</w:t>
      </w:r>
      <w:r w:rsidRPr="0061248F">
        <w:rPr>
          <w:bCs/>
          <w:shd w:val="clear" w:color="auto" w:fill="FFFFFF"/>
        </w:rPr>
        <w:t>, BL89 = .9</w:t>
      </w:r>
      <w:r w:rsidR="0061248F" w:rsidRPr="0061248F">
        <w:rPr>
          <w:bCs/>
          <w:shd w:val="clear" w:color="auto" w:fill="FFFFFF"/>
        </w:rPr>
        <w:t>48</w:t>
      </w:r>
      <w:r w:rsidRPr="0061248F">
        <w:rPr>
          <w:bCs/>
          <w:shd w:val="clear" w:color="auto" w:fill="FFFFFF"/>
        </w:rPr>
        <w:t>, AIC = 1</w:t>
      </w:r>
      <w:r w:rsidR="0061248F" w:rsidRPr="0061248F">
        <w:rPr>
          <w:bCs/>
          <w:shd w:val="clear" w:color="auto" w:fill="FFFFFF"/>
        </w:rPr>
        <w:t>9644.01</w:t>
      </w:r>
      <w:r w:rsidRPr="0061248F">
        <w:rPr>
          <w:bCs/>
          <w:shd w:val="clear" w:color="auto" w:fill="FFFFFF"/>
        </w:rPr>
        <w:t xml:space="preserve">. Finally, we examined the fit of the EFA-derived 3-factor </w:t>
      </w:r>
      <w:r w:rsidRPr="0061248F">
        <w:rPr>
          <w:bCs/>
          <w:shd w:val="clear" w:color="auto" w:fill="FFFFFF"/>
        </w:rPr>
        <w:lastRenderedPageBreak/>
        <w:t xml:space="preserve">model from the male subsample, with the additional constraint of a higher-order intuitive eating factor. However, after </w:t>
      </w:r>
      <w:r w:rsidR="0061248F" w:rsidRPr="0061248F">
        <w:rPr>
          <w:bCs/>
          <w:shd w:val="clear" w:color="auto" w:fill="FFFFFF"/>
        </w:rPr>
        <w:t>640</w:t>
      </w:r>
      <w:r w:rsidRPr="0061248F">
        <w:rPr>
          <w:bCs/>
          <w:shd w:val="clear" w:color="auto" w:fill="FFFFFF"/>
        </w:rPr>
        <w:t xml:space="preserve"> iterations, a </w:t>
      </w:r>
      <w:r w:rsidRPr="009B427C">
        <w:rPr>
          <w:bCs/>
          <w:shd w:val="clear" w:color="auto" w:fill="FFFFFF"/>
        </w:rPr>
        <w:t xml:space="preserve">stable solution was not achievable. </w:t>
      </w:r>
    </w:p>
    <w:p w14:paraId="0C70A993" w14:textId="77777777" w:rsidR="003D14E9" w:rsidRDefault="004D0539" w:rsidP="003D14E9">
      <w:pPr>
        <w:pStyle w:val="Heading3"/>
        <w:rPr>
          <w:rFonts w:eastAsia="Arial Unicode MS"/>
          <w:shd w:val="clear" w:color="auto" w:fill="FFFFFF"/>
        </w:rPr>
      </w:pPr>
      <w:r w:rsidRPr="009B427C">
        <w:rPr>
          <w:rFonts w:eastAsia="Arial Unicode MS"/>
          <w:shd w:val="clear" w:color="auto" w:fill="FFFFFF"/>
        </w:rPr>
        <w:tab/>
        <w:t xml:space="preserve">3.3.4. Summary and further analyses. </w:t>
      </w:r>
    </w:p>
    <w:p w14:paraId="34F4A776" w14:textId="2ACCC364" w:rsidR="004D0539" w:rsidRPr="00BF2AC6" w:rsidRDefault="004D0539" w:rsidP="004D0539">
      <w:pPr>
        <w:spacing w:line="480" w:lineRule="auto"/>
        <w:rPr>
          <w:bCs/>
          <w:shd w:val="clear" w:color="auto" w:fill="FFFFFF"/>
        </w:rPr>
      </w:pPr>
      <w:r w:rsidRPr="009B427C">
        <w:rPr>
          <w:bCs/>
          <w:shd w:val="clear" w:color="auto" w:fill="FFFFFF"/>
        </w:rPr>
        <w:t>The CFA analyses indicated that three models (</w:t>
      </w:r>
      <w:r w:rsidR="009B427C" w:rsidRPr="009B427C">
        <w:rPr>
          <w:bCs/>
          <w:shd w:val="clear" w:color="auto" w:fill="FFFFFF"/>
        </w:rPr>
        <w:t xml:space="preserve">the parent model without a higher-order factor, </w:t>
      </w:r>
      <w:r w:rsidRPr="009B427C">
        <w:rPr>
          <w:bCs/>
          <w:shd w:val="clear" w:color="auto" w:fill="FFFFFF"/>
        </w:rPr>
        <w:t xml:space="preserve">the EFA-derived 4-factor model, </w:t>
      </w:r>
      <w:r w:rsidR="009B427C" w:rsidRPr="009B427C">
        <w:rPr>
          <w:bCs/>
          <w:shd w:val="clear" w:color="auto" w:fill="FFFFFF"/>
        </w:rPr>
        <w:t xml:space="preserve">and </w:t>
      </w:r>
      <w:r w:rsidRPr="009B427C">
        <w:rPr>
          <w:bCs/>
          <w:shd w:val="clear" w:color="auto" w:fill="FFFFFF"/>
        </w:rPr>
        <w:t xml:space="preserve">the EFA-derived 3-factor model) had acceptable fit on some indices, but less-than-adequate fit on other indices. However, comparison of AIC values indicated that the 3-factor model </w:t>
      </w:r>
      <w:r w:rsidR="00BF2AC6">
        <w:rPr>
          <w:bCs/>
          <w:shd w:val="clear" w:color="auto" w:fill="FFFFFF"/>
        </w:rPr>
        <w:t>was the model that was least likely to be over- and under-fitted (Burnham &amp; Anderson, 2003).</w:t>
      </w:r>
      <w:r w:rsidRPr="009B427C">
        <w:rPr>
          <w:bCs/>
          <w:shd w:val="clear" w:color="auto" w:fill="FFFFFF"/>
        </w:rPr>
        <w:t xml:space="preserve"> Based on the suggestion that fit thresholds should not be applied rigidly (Swami &amp; Barron, 2019), we elected to use the 3-factor model in all further analyses (see Figure 1). Convergent validity for this model was </w:t>
      </w:r>
      <w:r w:rsidR="009B427C" w:rsidRPr="009B427C">
        <w:rPr>
          <w:bCs/>
          <w:shd w:val="clear" w:color="auto" w:fill="FFFFFF"/>
        </w:rPr>
        <w:t xml:space="preserve">slightly below </w:t>
      </w:r>
      <w:r w:rsidRPr="009B427C">
        <w:rPr>
          <w:bCs/>
          <w:shd w:val="clear" w:color="auto" w:fill="FFFFFF"/>
        </w:rPr>
        <w:t>adequate, as while AVE was .</w:t>
      </w:r>
      <w:r w:rsidR="009B427C" w:rsidRPr="009B427C">
        <w:rPr>
          <w:bCs/>
          <w:shd w:val="clear" w:color="auto" w:fill="FFFFFF"/>
        </w:rPr>
        <w:t>52</w:t>
      </w:r>
      <w:r w:rsidRPr="009B427C">
        <w:rPr>
          <w:bCs/>
          <w:shd w:val="clear" w:color="auto" w:fill="FFFFFF"/>
        </w:rPr>
        <w:t xml:space="preserve"> for </w:t>
      </w:r>
      <w:r w:rsidRPr="009B427C">
        <w:t>Eating for Physical Rather Than Emotional Reasons</w:t>
      </w:r>
      <w:r w:rsidRPr="009B427C">
        <w:rPr>
          <w:bCs/>
          <w:shd w:val="clear" w:color="auto" w:fill="FFFFFF"/>
        </w:rPr>
        <w:t xml:space="preserve">, </w:t>
      </w:r>
      <w:r w:rsidR="009B427C" w:rsidRPr="009B427C">
        <w:rPr>
          <w:bCs/>
          <w:shd w:val="clear" w:color="auto" w:fill="FFFFFF"/>
        </w:rPr>
        <w:t xml:space="preserve">and .59 for Unconditional Permission to Eat, </w:t>
      </w:r>
      <w:r w:rsidRPr="009B427C">
        <w:rPr>
          <w:bCs/>
          <w:shd w:val="clear" w:color="auto" w:fill="FFFFFF"/>
        </w:rPr>
        <w:t xml:space="preserve">it was &lt; .50 for </w:t>
      </w:r>
      <w:r w:rsidRPr="009B427C">
        <w:t>Reliance on Hunger and Satiety Cues</w:t>
      </w:r>
      <w:r w:rsidR="009B427C" w:rsidRPr="009B427C">
        <w:t xml:space="preserve"> (AVE </w:t>
      </w:r>
      <w:r w:rsidRPr="009B427C">
        <w:rPr>
          <w:bCs/>
          <w:shd w:val="clear" w:color="auto" w:fill="FFFFFF"/>
        </w:rPr>
        <w:t>= .</w:t>
      </w:r>
      <w:r w:rsidR="009B427C" w:rsidRPr="009B427C">
        <w:rPr>
          <w:bCs/>
          <w:shd w:val="clear" w:color="auto" w:fill="FFFFFF"/>
        </w:rPr>
        <w:t>44</w:t>
      </w:r>
      <w:r w:rsidRPr="009B427C">
        <w:rPr>
          <w:bCs/>
          <w:shd w:val="clear" w:color="auto" w:fill="FFFFFF"/>
        </w:rPr>
        <w:t xml:space="preserve">). </w:t>
      </w:r>
      <w:r w:rsidRPr="0052220A">
        <w:rPr>
          <w:bCs/>
          <w:shd w:val="clear" w:color="auto" w:fill="FFFFFF"/>
        </w:rPr>
        <w:t xml:space="preserve">In the second split-half sample, </w:t>
      </w:r>
      <w:r w:rsidRPr="0052220A">
        <w:rPr>
          <w:bCs/>
        </w:rPr>
        <w:t>ω</w:t>
      </w:r>
      <w:r w:rsidRPr="0052220A">
        <w:rPr>
          <w:bCs/>
          <w:shd w:val="clear" w:color="auto" w:fill="FFFFFF"/>
        </w:rPr>
        <w:t xml:space="preserve"> for </w:t>
      </w:r>
      <w:r w:rsidRPr="0052220A">
        <w:t>Eating for Physical Rather Than Emotional Reasons</w:t>
      </w:r>
      <w:r w:rsidRPr="0052220A">
        <w:rPr>
          <w:bCs/>
          <w:shd w:val="clear" w:color="auto" w:fill="FFFFFF"/>
        </w:rPr>
        <w:t xml:space="preserve"> scores was .8</w:t>
      </w:r>
      <w:r w:rsidR="0052220A" w:rsidRPr="0052220A">
        <w:rPr>
          <w:bCs/>
          <w:shd w:val="clear" w:color="auto" w:fill="FFFFFF"/>
        </w:rPr>
        <w:t>9</w:t>
      </w:r>
      <w:r w:rsidRPr="0052220A">
        <w:rPr>
          <w:bCs/>
          <w:shd w:val="clear" w:color="auto" w:fill="FFFFFF"/>
        </w:rPr>
        <w:t xml:space="preserve"> (95% CI = .</w:t>
      </w:r>
      <w:r w:rsidR="0052220A" w:rsidRPr="0052220A">
        <w:rPr>
          <w:bCs/>
          <w:shd w:val="clear" w:color="auto" w:fill="FFFFFF"/>
        </w:rPr>
        <w:t>86</w:t>
      </w:r>
      <w:r w:rsidRPr="0052220A">
        <w:rPr>
          <w:bCs/>
          <w:shd w:val="clear" w:color="auto" w:fill="FFFFFF"/>
        </w:rPr>
        <w:t>, .</w:t>
      </w:r>
      <w:r w:rsidR="0052220A" w:rsidRPr="0052220A">
        <w:rPr>
          <w:bCs/>
          <w:shd w:val="clear" w:color="auto" w:fill="FFFFFF"/>
        </w:rPr>
        <w:t>91</w:t>
      </w:r>
      <w:r w:rsidRPr="0052220A">
        <w:rPr>
          <w:bCs/>
          <w:shd w:val="clear" w:color="auto" w:fill="FFFFFF"/>
        </w:rPr>
        <w:t>) in women and .</w:t>
      </w:r>
      <w:r w:rsidR="0052220A" w:rsidRPr="0052220A">
        <w:rPr>
          <w:bCs/>
          <w:shd w:val="clear" w:color="auto" w:fill="FFFFFF"/>
        </w:rPr>
        <w:t>90</w:t>
      </w:r>
      <w:r w:rsidRPr="0052220A">
        <w:rPr>
          <w:bCs/>
          <w:shd w:val="clear" w:color="auto" w:fill="FFFFFF"/>
        </w:rPr>
        <w:t xml:space="preserve"> (95% CI = .8</w:t>
      </w:r>
      <w:r w:rsidR="0052220A" w:rsidRPr="0052220A">
        <w:rPr>
          <w:bCs/>
          <w:shd w:val="clear" w:color="auto" w:fill="FFFFFF"/>
        </w:rPr>
        <w:t>6</w:t>
      </w:r>
      <w:r w:rsidRPr="0052220A">
        <w:rPr>
          <w:bCs/>
          <w:shd w:val="clear" w:color="auto" w:fill="FFFFFF"/>
        </w:rPr>
        <w:t>, .</w:t>
      </w:r>
      <w:r w:rsidR="0052220A" w:rsidRPr="0052220A">
        <w:rPr>
          <w:bCs/>
          <w:shd w:val="clear" w:color="auto" w:fill="FFFFFF"/>
        </w:rPr>
        <w:t>92</w:t>
      </w:r>
      <w:r w:rsidRPr="0052220A">
        <w:rPr>
          <w:bCs/>
          <w:shd w:val="clear" w:color="auto" w:fill="FFFFFF"/>
        </w:rPr>
        <w:t xml:space="preserve">) in men. </w:t>
      </w:r>
      <w:r w:rsidRPr="009C6906">
        <w:rPr>
          <w:bCs/>
          <w:shd w:val="clear" w:color="auto" w:fill="FFFFFF"/>
        </w:rPr>
        <w:t xml:space="preserve">Omega for </w:t>
      </w:r>
      <w:r w:rsidR="009B427C" w:rsidRPr="009C6906">
        <w:t xml:space="preserve">Unconditional Permission to Eat </w:t>
      </w:r>
      <w:r w:rsidRPr="009C6906">
        <w:rPr>
          <w:bCs/>
          <w:shd w:val="clear" w:color="auto" w:fill="FFFFFF"/>
        </w:rPr>
        <w:t>scores was .7</w:t>
      </w:r>
      <w:r w:rsidR="009C6906" w:rsidRPr="009C6906">
        <w:rPr>
          <w:bCs/>
          <w:shd w:val="clear" w:color="auto" w:fill="FFFFFF"/>
        </w:rPr>
        <w:t>8</w:t>
      </w:r>
      <w:r w:rsidRPr="009C6906">
        <w:rPr>
          <w:bCs/>
          <w:shd w:val="clear" w:color="auto" w:fill="FFFFFF"/>
        </w:rPr>
        <w:t xml:space="preserve"> (95% CI = .</w:t>
      </w:r>
      <w:r w:rsidR="009C6906" w:rsidRPr="009C6906">
        <w:rPr>
          <w:bCs/>
          <w:shd w:val="clear" w:color="auto" w:fill="FFFFFF"/>
        </w:rPr>
        <w:t>73</w:t>
      </w:r>
      <w:r w:rsidRPr="009C6906">
        <w:rPr>
          <w:bCs/>
          <w:shd w:val="clear" w:color="auto" w:fill="FFFFFF"/>
        </w:rPr>
        <w:t>, .</w:t>
      </w:r>
      <w:r w:rsidR="009C6906" w:rsidRPr="009C6906">
        <w:rPr>
          <w:bCs/>
          <w:shd w:val="clear" w:color="auto" w:fill="FFFFFF"/>
        </w:rPr>
        <w:t>82)</w:t>
      </w:r>
      <w:r w:rsidRPr="009C6906">
        <w:rPr>
          <w:bCs/>
          <w:shd w:val="clear" w:color="auto" w:fill="FFFFFF"/>
        </w:rPr>
        <w:t xml:space="preserve"> in women and .7</w:t>
      </w:r>
      <w:r w:rsidR="009C6906" w:rsidRPr="009C6906">
        <w:rPr>
          <w:bCs/>
          <w:shd w:val="clear" w:color="auto" w:fill="FFFFFF"/>
        </w:rPr>
        <w:t>9</w:t>
      </w:r>
      <w:r w:rsidRPr="009C6906">
        <w:rPr>
          <w:bCs/>
          <w:shd w:val="clear" w:color="auto" w:fill="FFFFFF"/>
        </w:rPr>
        <w:t xml:space="preserve"> (95% CI = .</w:t>
      </w:r>
      <w:r w:rsidR="009C6906" w:rsidRPr="009C6906">
        <w:rPr>
          <w:bCs/>
          <w:shd w:val="clear" w:color="auto" w:fill="FFFFFF"/>
        </w:rPr>
        <w:t>72</w:t>
      </w:r>
      <w:r w:rsidRPr="009C6906">
        <w:rPr>
          <w:bCs/>
          <w:shd w:val="clear" w:color="auto" w:fill="FFFFFF"/>
        </w:rPr>
        <w:t>, .</w:t>
      </w:r>
      <w:r w:rsidR="009C6906" w:rsidRPr="009C6906">
        <w:rPr>
          <w:bCs/>
          <w:shd w:val="clear" w:color="auto" w:fill="FFFFFF"/>
        </w:rPr>
        <w:t>84</w:t>
      </w:r>
      <w:r w:rsidRPr="009C6906">
        <w:rPr>
          <w:bCs/>
          <w:shd w:val="clear" w:color="auto" w:fill="FFFFFF"/>
        </w:rPr>
        <w:t xml:space="preserve">) in men, </w:t>
      </w:r>
      <w:r w:rsidR="0052220A" w:rsidRPr="009C6906">
        <w:rPr>
          <w:bCs/>
          <w:shd w:val="clear" w:color="auto" w:fill="FFFFFF"/>
        </w:rPr>
        <w:t>and</w:t>
      </w:r>
      <w:r w:rsidRPr="009C6906">
        <w:rPr>
          <w:bCs/>
          <w:shd w:val="clear" w:color="auto" w:fill="FFFFFF"/>
        </w:rPr>
        <w:t xml:space="preserve"> </w:t>
      </w:r>
      <w:r w:rsidRPr="0052220A">
        <w:rPr>
          <w:bCs/>
        </w:rPr>
        <w:t>ω</w:t>
      </w:r>
      <w:r w:rsidRPr="0052220A">
        <w:rPr>
          <w:bCs/>
          <w:shd w:val="clear" w:color="auto" w:fill="FFFFFF"/>
        </w:rPr>
        <w:t xml:space="preserve"> for </w:t>
      </w:r>
      <w:r w:rsidRPr="0052220A">
        <w:t>Reliance on Hunger and Satiety Cues</w:t>
      </w:r>
      <w:r w:rsidRPr="0052220A">
        <w:rPr>
          <w:bCs/>
          <w:shd w:val="clear" w:color="auto" w:fill="FFFFFF"/>
        </w:rPr>
        <w:t xml:space="preserve"> scores was .</w:t>
      </w:r>
      <w:r w:rsidR="00DD489E" w:rsidRPr="0052220A">
        <w:rPr>
          <w:bCs/>
          <w:shd w:val="clear" w:color="auto" w:fill="FFFFFF"/>
        </w:rPr>
        <w:t>91</w:t>
      </w:r>
      <w:r w:rsidRPr="0052220A">
        <w:rPr>
          <w:bCs/>
          <w:shd w:val="clear" w:color="auto" w:fill="FFFFFF"/>
        </w:rPr>
        <w:t xml:space="preserve"> (95% CI = .</w:t>
      </w:r>
      <w:r w:rsidR="0052220A" w:rsidRPr="0052220A">
        <w:rPr>
          <w:bCs/>
          <w:shd w:val="clear" w:color="auto" w:fill="FFFFFF"/>
        </w:rPr>
        <w:t>88</w:t>
      </w:r>
      <w:r w:rsidRPr="0052220A">
        <w:rPr>
          <w:bCs/>
          <w:shd w:val="clear" w:color="auto" w:fill="FFFFFF"/>
        </w:rPr>
        <w:t>, .</w:t>
      </w:r>
      <w:r w:rsidR="0052220A" w:rsidRPr="0052220A">
        <w:rPr>
          <w:bCs/>
          <w:shd w:val="clear" w:color="auto" w:fill="FFFFFF"/>
        </w:rPr>
        <w:t>93</w:t>
      </w:r>
      <w:r w:rsidRPr="0052220A">
        <w:rPr>
          <w:bCs/>
          <w:shd w:val="clear" w:color="auto" w:fill="FFFFFF"/>
        </w:rPr>
        <w:t xml:space="preserve">) in </w:t>
      </w:r>
      <w:r w:rsidRPr="00DD489E">
        <w:rPr>
          <w:bCs/>
          <w:shd w:val="clear" w:color="auto" w:fill="FFFFFF"/>
        </w:rPr>
        <w:t>women and .</w:t>
      </w:r>
      <w:r w:rsidR="00DD489E" w:rsidRPr="00DD489E">
        <w:rPr>
          <w:bCs/>
          <w:shd w:val="clear" w:color="auto" w:fill="FFFFFF"/>
        </w:rPr>
        <w:t>89</w:t>
      </w:r>
      <w:r w:rsidRPr="00DD489E">
        <w:rPr>
          <w:bCs/>
          <w:shd w:val="clear" w:color="auto" w:fill="FFFFFF"/>
        </w:rPr>
        <w:t xml:space="preserve"> (95% CI = .</w:t>
      </w:r>
      <w:r w:rsidR="00DD489E" w:rsidRPr="00DD489E">
        <w:rPr>
          <w:bCs/>
          <w:shd w:val="clear" w:color="auto" w:fill="FFFFFF"/>
        </w:rPr>
        <w:t>85</w:t>
      </w:r>
      <w:r w:rsidRPr="00DD489E">
        <w:rPr>
          <w:bCs/>
          <w:shd w:val="clear" w:color="auto" w:fill="FFFFFF"/>
        </w:rPr>
        <w:t>, .</w:t>
      </w:r>
      <w:r w:rsidR="00DD489E" w:rsidRPr="00DD489E">
        <w:rPr>
          <w:bCs/>
          <w:shd w:val="clear" w:color="auto" w:fill="FFFFFF"/>
        </w:rPr>
        <w:t>9</w:t>
      </w:r>
      <w:r w:rsidRPr="00DD489E">
        <w:rPr>
          <w:bCs/>
          <w:shd w:val="clear" w:color="auto" w:fill="FFFFFF"/>
        </w:rPr>
        <w:t xml:space="preserve">2) in men. </w:t>
      </w:r>
    </w:p>
    <w:p w14:paraId="28C928C5" w14:textId="09833ABE" w:rsidR="004D0539" w:rsidRPr="009B427C" w:rsidRDefault="004D0539" w:rsidP="003D14E9">
      <w:pPr>
        <w:pStyle w:val="Heading2"/>
        <w:rPr>
          <w:rFonts w:eastAsia="Arial Unicode MS"/>
          <w:shd w:val="clear" w:color="auto" w:fill="FFFFFF"/>
        </w:rPr>
      </w:pPr>
      <w:r w:rsidRPr="009B427C">
        <w:rPr>
          <w:rFonts w:eastAsia="Arial Unicode MS"/>
          <w:shd w:val="clear" w:color="auto" w:fill="FFFFFF"/>
        </w:rPr>
        <w:t xml:space="preserve">3.4. </w:t>
      </w:r>
      <w:r w:rsidR="00BF090E">
        <w:rPr>
          <w:rFonts w:eastAsia="Arial Unicode MS"/>
          <w:shd w:val="clear" w:color="auto" w:fill="FFFFFF"/>
        </w:rPr>
        <w:t>Gender</w:t>
      </w:r>
      <w:r w:rsidRPr="009B427C">
        <w:rPr>
          <w:rFonts w:eastAsia="Arial Unicode MS"/>
          <w:shd w:val="clear" w:color="auto" w:fill="FFFFFF"/>
        </w:rPr>
        <w:t xml:space="preserve"> Invariance</w:t>
      </w:r>
    </w:p>
    <w:p w14:paraId="1257DE09" w14:textId="0A43524F" w:rsidR="00014760" w:rsidRDefault="004D0539" w:rsidP="00014760">
      <w:pPr>
        <w:spacing w:line="480" w:lineRule="auto"/>
        <w:ind w:firstLine="720"/>
        <w:rPr>
          <w:color w:val="FF0000"/>
          <w:shd w:val="clear" w:color="auto" w:fill="FFFFFF"/>
        </w:rPr>
      </w:pPr>
      <w:r w:rsidRPr="009C6906">
        <w:rPr>
          <w:bCs/>
          <w:shd w:val="clear" w:color="auto" w:fill="FFFFFF"/>
        </w:rPr>
        <w:t xml:space="preserve">Next, we tested for measurement invariance across </w:t>
      </w:r>
      <w:r w:rsidR="00BF090E">
        <w:rPr>
          <w:bCs/>
          <w:shd w:val="clear" w:color="auto" w:fill="FFFFFF"/>
        </w:rPr>
        <w:t>gender</w:t>
      </w:r>
      <w:r w:rsidRPr="009C6906">
        <w:rPr>
          <w:bCs/>
          <w:shd w:val="clear" w:color="auto" w:fill="FFFFFF"/>
        </w:rPr>
        <w:t xml:space="preserve"> for the second split-half subsample, based on the EFA-derived, 3-factor model. </w:t>
      </w:r>
      <w:r w:rsidRPr="00643A53">
        <w:rPr>
          <w:bCs/>
          <w:shd w:val="clear" w:color="auto" w:fill="FFFFFF"/>
        </w:rPr>
        <w:t xml:space="preserve">As reported in Table 3, all indices suggested that </w:t>
      </w:r>
      <w:proofErr w:type="spellStart"/>
      <w:r w:rsidRPr="00643A53">
        <w:rPr>
          <w:bCs/>
          <w:shd w:val="clear" w:color="auto" w:fill="FFFFFF"/>
        </w:rPr>
        <w:t>configural</w:t>
      </w:r>
      <w:proofErr w:type="spellEnd"/>
      <w:r w:rsidRPr="00643A53">
        <w:rPr>
          <w:bCs/>
          <w:shd w:val="clear" w:color="auto" w:fill="FFFFFF"/>
        </w:rPr>
        <w:t>, metric, and scalar invariance were supported across</w:t>
      </w:r>
      <w:r w:rsidR="00643A53" w:rsidRPr="00643A53">
        <w:rPr>
          <w:bCs/>
          <w:shd w:val="clear" w:color="auto" w:fill="FFFFFF"/>
        </w:rPr>
        <w:t xml:space="preserve"> </w:t>
      </w:r>
      <w:r w:rsidR="00BF2AC6">
        <w:rPr>
          <w:bCs/>
          <w:shd w:val="clear" w:color="auto" w:fill="FFFFFF"/>
        </w:rPr>
        <w:t>gender</w:t>
      </w:r>
      <w:r w:rsidR="00290330">
        <w:rPr>
          <w:bCs/>
          <w:shd w:val="clear" w:color="auto" w:fill="FFFFFF"/>
        </w:rPr>
        <w:t>. Based on the observa</w:t>
      </w:r>
      <w:r w:rsidR="00432872">
        <w:rPr>
          <w:bCs/>
          <w:shd w:val="clear" w:color="auto" w:fill="FFFFFF"/>
        </w:rPr>
        <w:t>tion</w:t>
      </w:r>
      <w:r w:rsidR="00290330">
        <w:rPr>
          <w:bCs/>
          <w:shd w:val="clear" w:color="auto" w:fill="FFFFFF"/>
        </w:rPr>
        <w:t xml:space="preserve"> of scalar invariance, we computed a MANOVA with gender as the independent variable and the three IES-2 factor scores as the dependent variable, using the total sample. The results indicated a significant main effect of gender, </w:t>
      </w:r>
      <w:proofErr w:type="gramStart"/>
      <w:r w:rsidRPr="00290330">
        <w:rPr>
          <w:rFonts w:eastAsia="Arial Unicode MS"/>
          <w:i/>
          <w:shd w:val="clear" w:color="auto" w:fill="FFFFFF"/>
        </w:rPr>
        <w:t>F</w:t>
      </w:r>
      <w:r w:rsidRPr="00290330">
        <w:rPr>
          <w:rFonts w:eastAsia="Arial Unicode MS"/>
          <w:shd w:val="clear" w:color="auto" w:fill="FFFFFF"/>
        </w:rPr>
        <w:t>(</w:t>
      </w:r>
      <w:proofErr w:type="gramEnd"/>
      <w:r w:rsidRPr="00290330">
        <w:rPr>
          <w:rFonts w:eastAsia="Arial Unicode MS"/>
          <w:shd w:val="clear" w:color="auto" w:fill="FFFFFF"/>
        </w:rPr>
        <w:t xml:space="preserve">3, </w:t>
      </w:r>
      <w:r w:rsidR="00290330">
        <w:rPr>
          <w:rFonts w:eastAsia="Arial Unicode MS"/>
          <w:shd w:val="clear" w:color="auto" w:fill="FFFFFF"/>
        </w:rPr>
        <w:t>826</w:t>
      </w:r>
      <w:r w:rsidRPr="00290330">
        <w:rPr>
          <w:rFonts w:eastAsia="Arial Unicode MS"/>
          <w:shd w:val="clear" w:color="auto" w:fill="FFFFFF"/>
        </w:rPr>
        <w:t xml:space="preserve">) = </w:t>
      </w:r>
      <w:r w:rsidR="00290330">
        <w:rPr>
          <w:rFonts w:eastAsia="Arial Unicode MS"/>
          <w:shd w:val="clear" w:color="auto" w:fill="FFFFFF"/>
        </w:rPr>
        <w:t>11.51</w:t>
      </w:r>
      <w:r w:rsidRPr="00290330">
        <w:rPr>
          <w:rFonts w:eastAsia="Arial Unicode MS"/>
          <w:shd w:val="clear" w:color="auto" w:fill="FFFFFF"/>
        </w:rPr>
        <w:t xml:space="preserve">, </w:t>
      </w:r>
      <w:r w:rsidRPr="00290330">
        <w:rPr>
          <w:rFonts w:eastAsia="Arial Unicode MS"/>
          <w:i/>
          <w:shd w:val="clear" w:color="auto" w:fill="FFFFFF"/>
        </w:rPr>
        <w:t>p</w:t>
      </w:r>
      <w:r w:rsidRPr="00290330">
        <w:rPr>
          <w:rFonts w:eastAsia="Arial Unicode MS"/>
          <w:shd w:val="clear" w:color="auto" w:fill="FFFFFF"/>
        </w:rPr>
        <w:t xml:space="preserve"> </w:t>
      </w:r>
      <w:r w:rsidR="00290330">
        <w:rPr>
          <w:rFonts w:eastAsia="Arial Unicode MS"/>
          <w:shd w:val="clear" w:color="auto" w:fill="FFFFFF"/>
        </w:rPr>
        <w:t>&lt; .001</w:t>
      </w:r>
      <w:r w:rsidRPr="00290330">
        <w:rPr>
          <w:rFonts w:eastAsia="Arial Unicode MS"/>
          <w:shd w:val="clear" w:color="auto" w:fill="FFFFFF"/>
        </w:rPr>
        <w:t xml:space="preserve">, Wilk’s </w:t>
      </w:r>
      <w:r w:rsidRPr="00290330">
        <w:rPr>
          <w:shd w:val="clear" w:color="auto" w:fill="FFFFFF"/>
        </w:rPr>
        <w:t>λ = .9</w:t>
      </w:r>
      <w:r w:rsidR="00290330">
        <w:rPr>
          <w:shd w:val="clear" w:color="auto" w:fill="FFFFFF"/>
        </w:rPr>
        <w:t>6</w:t>
      </w:r>
      <w:r w:rsidRPr="00290330">
        <w:rPr>
          <w:shd w:val="clear" w:color="auto" w:fill="FFFFFF"/>
        </w:rPr>
        <w:t>,</w:t>
      </w:r>
      <w:r w:rsidRPr="00290330">
        <w:rPr>
          <w:rFonts w:eastAsia="Arial Unicode MS"/>
          <w:shd w:val="clear" w:color="auto" w:fill="FFFFFF"/>
        </w:rPr>
        <w:t xml:space="preserve"> </w:t>
      </w:r>
      <w:r w:rsidRPr="00290330">
        <w:rPr>
          <w:shd w:val="clear" w:color="auto" w:fill="FFFFFF"/>
        </w:rPr>
        <w:t>η</w:t>
      </w:r>
      <w:r w:rsidRPr="00290330">
        <w:rPr>
          <w:shd w:val="clear" w:color="auto" w:fill="FFFFFF"/>
          <w:vertAlign w:val="subscript"/>
        </w:rPr>
        <w:t>p</w:t>
      </w:r>
      <w:r w:rsidRPr="00290330">
        <w:rPr>
          <w:shd w:val="clear" w:color="auto" w:fill="FFFFFF"/>
          <w:vertAlign w:val="superscript"/>
        </w:rPr>
        <w:t>2</w:t>
      </w:r>
      <w:r w:rsidRPr="00290330">
        <w:rPr>
          <w:shd w:val="clear" w:color="auto" w:fill="FFFFFF"/>
        </w:rPr>
        <w:t xml:space="preserve"> </w:t>
      </w:r>
      <w:r w:rsidR="00290330">
        <w:rPr>
          <w:shd w:val="clear" w:color="auto" w:fill="FFFFFF"/>
        </w:rPr>
        <w:t xml:space="preserve">= .04. </w:t>
      </w:r>
      <w:r w:rsidR="00014760">
        <w:rPr>
          <w:shd w:val="clear" w:color="auto" w:fill="FFFFFF"/>
        </w:rPr>
        <w:t xml:space="preserve">Inspection of the univariate resulted indicated that men had </w:t>
      </w:r>
      <w:r w:rsidR="00014760">
        <w:rPr>
          <w:shd w:val="clear" w:color="auto" w:fill="FFFFFF"/>
        </w:rPr>
        <w:lastRenderedPageBreak/>
        <w:t xml:space="preserve">significantly higher scores on </w:t>
      </w:r>
      <w:r w:rsidR="00014760" w:rsidRPr="00014760">
        <w:t xml:space="preserve">Reliance on Hunger and Satiety Cues </w:t>
      </w:r>
      <w:r w:rsidR="00014760" w:rsidRPr="00014760">
        <w:rPr>
          <w:shd w:val="clear" w:color="auto" w:fill="FFFFFF"/>
        </w:rPr>
        <w:t xml:space="preserve">than women (women </w:t>
      </w:r>
      <w:r w:rsidR="00014760" w:rsidRPr="00014760">
        <w:rPr>
          <w:i/>
          <w:iCs/>
          <w:shd w:val="clear" w:color="auto" w:fill="FFFFFF"/>
        </w:rPr>
        <w:t xml:space="preserve">M </w:t>
      </w:r>
      <w:r w:rsidR="00014760" w:rsidRPr="00014760">
        <w:rPr>
          <w:shd w:val="clear" w:color="auto" w:fill="FFFFFF"/>
        </w:rPr>
        <w:t xml:space="preserve">= 3.83, </w:t>
      </w:r>
      <w:r w:rsidR="00014760" w:rsidRPr="00014760">
        <w:rPr>
          <w:i/>
          <w:iCs/>
          <w:shd w:val="clear" w:color="auto" w:fill="FFFFFF"/>
        </w:rPr>
        <w:t>SD</w:t>
      </w:r>
      <w:r w:rsidR="00014760" w:rsidRPr="00014760">
        <w:rPr>
          <w:shd w:val="clear" w:color="auto" w:fill="FFFFFF"/>
        </w:rPr>
        <w:t xml:space="preserve"> = 0.87; men </w:t>
      </w:r>
      <w:r w:rsidR="00014760" w:rsidRPr="00014760">
        <w:rPr>
          <w:i/>
          <w:iCs/>
          <w:shd w:val="clear" w:color="auto" w:fill="FFFFFF"/>
        </w:rPr>
        <w:t>M</w:t>
      </w:r>
      <w:r w:rsidR="00014760" w:rsidRPr="00014760">
        <w:rPr>
          <w:shd w:val="clear" w:color="auto" w:fill="FFFFFF"/>
        </w:rPr>
        <w:t xml:space="preserve"> = 3.98, </w:t>
      </w:r>
      <w:r w:rsidR="00014760" w:rsidRPr="00014760">
        <w:rPr>
          <w:i/>
          <w:iCs/>
          <w:shd w:val="clear" w:color="auto" w:fill="FFFFFF"/>
        </w:rPr>
        <w:t>SD</w:t>
      </w:r>
      <w:r w:rsidR="00014760" w:rsidRPr="00014760">
        <w:rPr>
          <w:shd w:val="clear" w:color="auto" w:fill="FFFFFF"/>
        </w:rPr>
        <w:t xml:space="preserve"> = 0.82), </w:t>
      </w:r>
      <w:r w:rsidRPr="00014760">
        <w:rPr>
          <w:i/>
          <w:shd w:val="clear" w:color="auto" w:fill="FFFFFF"/>
        </w:rPr>
        <w:t>F</w:t>
      </w:r>
      <w:r w:rsidRPr="00014760">
        <w:rPr>
          <w:shd w:val="clear" w:color="auto" w:fill="FFFFFF"/>
        </w:rPr>
        <w:t>(</w:t>
      </w:r>
      <w:r w:rsidR="00014760" w:rsidRPr="00014760">
        <w:rPr>
          <w:shd w:val="clear" w:color="auto" w:fill="FFFFFF"/>
        </w:rPr>
        <w:t>1</w:t>
      </w:r>
      <w:r w:rsidRPr="00014760">
        <w:rPr>
          <w:shd w:val="clear" w:color="auto" w:fill="FFFFFF"/>
        </w:rPr>
        <w:t xml:space="preserve">, </w:t>
      </w:r>
      <w:r w:rsidR="00014760" w:rsidRPr="00014760">
        <w:rPr>
          <w:shd w:val="clear" w:color="auto" w:fill="FFFFFF"/>
        </w:rPr>
        <w:t>828</w:t>
      </w:r>
      <w:r w:rsidRPr="00014760">
        <w:rPr>
          <w:shd w:val="clear" w:color="auto" w:fill="FFFFFF"/>
        </w:rPr>
        <w:t xml:space="preserve">) = </w:t>
      </w:r>
      <w:r w:rsidR="00014760" w:rsidRPr="00014760">
        <w:rPr>
          <w:shd w:val="clear" w:color="auto" w:fill="FFFFFF"/>
        </w:rPr>
        <w:t>6.56</w:t>
      </w:r>
      <w:r w:rsidRPr="00014760">
        <w:rPr>
          <w:shd w:val="clear" w:color="auto" w:fill="FFFFFF"/>
        </w:rPr>
        <w:t xml:space="preserve">, </w:t>
      </w:r>
      <w:r w:rsidRPr="00014760">
        <w:rPr>
          <w:i/>
          <w:shd w:val="clear" w:color="auto" w:fill="FFFFFF"/>
        </w:rPr>
        <w:t>p</w:t>
      </w:r>
      <w:r w:rsidRPr="00014760">
        <w:rPr>
          <w:shd w:val="clear" w:color="auto" w:fill="FFFFFF"/>
        </w:rPr>
        <w:t xml:space="preserve"> = .0</w:t>
      </w:r>
      <w:r w:rsidR="00014760" w:rsidRPr="00014760">
        <w:rPr>
          <w:shd w:val="clear" w:color="auto" w:fill="FFFFFF"/>
        </w:rPr>
        <w:t>11</w:t>
      </w:r>
      <w:r w:rsidRPr="00014760">
        <w:rPr>
          <w:shd w:val="clear" w:color="auto" w:fill="FFFFFF"/>
        </w:rPr>
        <w:t>, η</w:t>
      </w:r>
      <w:r w:rsidRPr="00014760">
        <w:rPr>
          <w:shd w:val="clear" w:color="auto" w:fill="FFFFFF"/>
          <w:vertAlign w:val="subscript"/>
        </w:rPr>
        <w:t>p</w:t>
      </w:r>
      <w:r w:rsidRPr="00014760">
        <w:rPr>
          <w:shd w:val="clear" w:color="auto" w:fill="FFFFFF"/>
          <w:vertAlign w:val="superscript"/>
        </w:rPr>
        <w:t>2</w:t>
      </w:r>
      <w:r w:rsidRPr="00014760">
        <w:rPr>
          <w:shd w:val="clear" w:color="auto" w:fill="FFFFFF"/>
        </w:rPr>
        <w:t xml:space="preserve"> &lt; .01. </w:t>
      </w:r>
      <w:r w:rsidR="00014760" w:rsidRPr="00014760">
        <w:rPr>
          <w:shd w:val="clear" w:color="auto" w:fill="FFFFFF"/>
        </w:rPr>
        <w:t xml:space="preserve">On the other hand women had significantly higher scores than men on </w:t>
      </w:r>
      <w:r w:rsidR="00014760" w:rsidRPr="00014760">
        <w:t xml:space="preserve">Eating for Physical Rather Than Emotional Reasons </w:t>
      </w:r>
      <w:r w:rsidR="00014760" w:rsidRPr="00014760">
        <w:rPr>
          <w:shd w:val="clear" w:color="auto" w:fill="FFFFFF"/>
        </w:rPr>
        <w:t xml:space="preserve">(women </w:t>
      </w:r>
      <w:r w:rsidR="00014760" w:rsidRPr="00014760">
        <w:rPr>
          <w:i/>
          <w:iCs/>
          <w:shd w:val="clear" w:color="auto" w:fill="FFFFFF"/>
        </w:rPr>
        <w:t xml:space="preserve">M </w:t>
      </w:r>
      <w:r w:rsidR="00014760" w:rsidRPr="00014760">
        <w:rPr>
          <w:shd w:val="clear" w:color="auto" w:fill="FFFFFF"/>
        </w:rPr>
        <w:t xml:space="preserve">= 3.20, </w:t>
      </w:r>
      <w:r w:rsidR="00014760" w:rsidRPr="00014760">
        <w:rPr>
          <w:i/>
          <w:iCs/>
          <w:shd w:val="clear" w:color="auto" w:fill="FFFFFF"/>
        </w:rPr>
        <w:t>SD</w:t>
      </w:r>
      <w:r w:rsidR="00014760" w:rsidRPr="00014760">
        <w:rPr>
          <w:shd w:val="clear" w:color="auto" w:fill="FFFFFF"/>
        </w:rPr>
        <w:t xml:space="preserve"> = 0.49; men </w:t>
      </w:r>
      <w:r w:rsidR="00014760" w:rsidRPr="00014760">
        <w:rPr>
          <w:i/>
          <w:iCs/>
          <w:shd w:val="clear" w:color="auto" w:fill="FFFFFF"/>
        </w:rPr>
        <w:t>M</w:t>
      </w:r>
      <w:r w:rsidR="00014760" w:rsidRPr="00014760">
        <w:rPr>
          <w:shd w:val="clear" w:color="auto" w:fill="FFFFFF"/>
        </w:rPr>
        <w:t xml:space="preserve"> = 3.07, </w:t>
      </w:r>
      <w:r w:rsidR="00014760" w:rsidRPr="00014760">
        <w:rPr>
          <w:i/>
          <w:iCs/>
          <w:shd w:val="clear" w:color="auto" w:fill="FFFFFF"/>
        </w:rPr>
        <w:t>SD</w:t>
      </w:r>
      <w:r w:rsidR="00014760" w:rsidRPr="00014760">
        <w:rPr>
          <w:shd w:val="clear" w:color="auto" w:fill="FFFFFF"/>
        </w:rPr>
        <w:t xml:space="preserve"> = 0.47), </w:t>
      </w:r>
      <w:r w:rsidR="00014760" w:rsidRPr="00014760">
        <w:rPr>
          <w:i/>
          <w:shd w:val="clear" w:color="auto" w:fill="FFFFFF"/>
        </w:rPr>
        <w:t>F</w:t>
      </w:r>
      <w:r w:rsidR="00014760" w:rsidRPr="00014760">
        <w:rPr>
          <w:shd w:val="clear" w:color="auto" w:fill="FFFFFF"/>
        </w:rPr>
        <w:t xml:space="preserve">(1, 828) = 15.82, </w:t>
      </w:r>
      <w:r w:rsidR="00014760" w:rsidRPr="00014760">
        <w:rPr>
          <w:i/>
          <w:shd w:val="clear" w:color="auto" w:fill="FFFFFF"/>
        </w:rPr>
        <w:t>p</w:t>
      </w:r>
      <w:r w:rsidR="00014760" w:rsidRPr="00014760">
        <w:rPr>
          <w:shd w:val="clear" w:color="auto" w:fill="FFFFFF"/>
        </w:rPr>
        <w:t xml:space="preserve"> &lt; .001, η</w:t>
      </w:r>
      <w:r w:rsidR="00014760" w:rsidRPr="00014760">
        <w:rPr>
          <w:shd w:val="clear" w:color="auto" w:fill="FFFFFF"/>
          <w:vertAlign w:val="subscript"/>
        </w:rPr>
        <w:t>p</w:t>
      </w:r>
      <w:r w:rsidR="00014760" w:rsidRPr="00014760">
        <w:rPr>
          <w:shd w:val="clear" w:color="auto" w:fill="FFFFFF"/>
          <w:vertAlign w:val="superscript"/>
        </w:rPr>
        <w:t>2</w:t>
      </w:r>
      <w:r w:rsidR="00014760" w:rsidRPr="00014760">
        <w:rPr>
          <w:shd w:val="clear" w:color="auto" w:fill="FFFFFF"/>
        </w:rPr>
        <w:t xml:space="preserve"> = .02. Women also had significantly higher scores than men on </w:t>
      </w:r>
      <w:r w:rsidR="00014760" w:rsidRPr="00014760">
        <w:t xml:space="preserve">Unconditional Permission to Eat </w:t>
      </w:r>
      <w:r w:rsidR="00014760" w:rsidRPr="00014760">
        <w:rPr>
          <w:shd w:val="clear" w:color="auto" w:fill="FFFFFF"/>
        </w:rPr>
        <w:t xml:space="preserve">(women </w:t>
      </w:r>
      <w:r w:rsidR="00014760" w:rsidRPr="00014760">
        <w:rPr>
          <w:i/>
          <w:iCs/>
          <w:shd w:val="clear" w:color="auto" w:fill="FFFFFF"/>
        </w:rPr>
        <w:t xml:space="preserve">M </w:t>
      </w:r>
      <w:r w:rsidR="00014760" w:rsidRPr="00014760">
        <w:rPr>
          <w:shd w:val="clear" w:color="auto" w:fill="FFFFFF"/>
        </w:rPr>
        <w:t xml:space="preserve">= 3.20, </w:t>
      </w:r>
      <w:r w:rsidR="00014760" w:rsidRPr="00014760">
        <w:rPr>
          <w:i/>
          <w:iCs/>
          <w:shd w:val="clear" w:color="auto" w:fill="FFFFFF"/>
        </w:rPr>
        <w:t>SD</w:t>
      </w:r>
      <w:r w:rsidR="00014760" w:rsidRPr="00014760">
        <w:rPr>
          <w:shd w:val="clear" w:color="auto" w:fill="FFFFFF"/>
        </w:rPr>
        <w:t xml:space="preserve"> = 0.52; men </w:t>
      </w:r>
      <w:r w:rsidR="00014760" w:rsidRPr="00014760">
        <w:rPr>
          <w:i/>
          <w:iCs/>
          <w:shd w:val="clear" w:color="auto" w:fill="FFFFFF"/>
        </w:rPr>
        <w:t>M</w:t>
      </w:r>
      <w:r w:rsidR="00014760" w:rsidRPr="00014760">
        <w:rPr>
          <w:shd w:val="clear" w:color="auto" w:fill="FFFFFF"/>
        </w:rPr>
        <w:t xml:space="preserve"> = 3.05, </w:t>
      </w:r>
      <w:r w:rsidR="00014760" w:rsidRPr="00014760">
        <w:rPr>
          <w:i/>
          <w:iCs/>
          <w:shd w:val="clear" w:color="auto" w:fill="FFFFFF"/>
        </w:rPr>
        <w:t>SD</w:t>
      </w:r>
      <w:r w:rsidR="00014760" w:rsidRPr="00014760">
        <w:rPr>
          <w:shd w:val="clear" w:color="auto" w:fill="FFFFFF"/>
        </w:rPr>
        <w:t xml:space="preserve"> = 0.55), </w:t>
      </w:r>
      <w:proofErr w:type="gramStart"/>
      <w:r w:rsidR="00014760" w:rsidRPr="00014760">
        <w:rPr>
          <w:i/>
          <w:shd w:val="clear" w:color="auto" w:fill="FFFFFF"/>
        </w:rPr>
        <w:t>F</w:t>
      </w:r>
      <w:r w:rsidR="00014760" w:rsidRPr="00014760">
        <w:rPr>
          <w:shd w:val="clear" w:color="auto" w:fill="FFFFFF"/>
        </w:rPr>
        <w:t>(</w:t>
      </w:r>
      <w:proofErr w:type="gramEnd"/>
      <w:r w:rsidR="00014760" w:rsidRPr="00014760">
        <w:rPr>
          <w:shd w:val="clear" w:color="auto" w:fill="FFFFFF"/>
        </w:rPr>
        <w:t xml:space="preserve">1, 828) = 16.52, </w:t>
      </w:r>
      <w:r w:rsidR="00014760" w:rsidRPr="00014760">
        <w:rPr>
          <w:i/>
          <w:shd w:val="clear" w:color="auto" w:fill="FFFFFF"/>
        </w:rPr>
        <w:t>p</w:t>
      </w:r>
      <w:r w:rsidR="00014760" w:rsidRPr="00014760">
        <w:rPr>
          <w:shd w:val="clear" w:color="auto" w:fill="FFFFFF"/>
        </w:rPr>
        <w:t xml:space="preserve"> &lt; .001, η</w:t>
      </w:r>
      <w:r w:rsidR="00014760" w:rsidRPr="00014760">
        <w:rPr>
          <w:shd w:val="clear" w:color="auto" w:fill="FFFFFF"/>
          <w:vertAlign w:val="subscript"/>
        </w:rPr>
        <w:t>p</w:t>
      </w:r>
      <w:r w:rsidR="00014760" w:rsidRPr="00014760">
        <w:rPr>
          <w:shd w:val="clear" w:color="auto" w:fill="FFFFFF"/>
          <w:vertAlign w:val="superscript"/>
        </w:rPr>
        <w:t>2</w:t>
      </w:r>
      <w:r w:rsidR="00014760" w:rsidRPr="00014760">
        <w:rPr>
          <w:shd w:val="clear" w:color="auto" w:fill="FFFFFF"/>
        </w:rPr>
        <w:t xml:space="preserve"> = .02.</w:t>
      </w:r>
    </w:p>
    <w:p w14:paraId="3AAE3405" w14:textId="12F8D329" w:rsidR="00F1440D" w:rsidRDefault="00F1440D" w:rsidP="003D14E9">
      <w:pPr>
        <w:pStyle w:val="Heading2"/>
        <w:rPr>
          <w:shd w:val="clear" w:color="auto" w:fill="FFFFFF"/>
        </w:rPr>
      </w:pPr>
      <w:r w:rsidRPr="00014760">
        <w:rPr>
          <w:shd w:val="clear" w:color="auto" w:fill="FFFFFF"/>
        </w:rPr>
        <w:t>3.5. Test-Retest Reliability</w:t>
      </w:r>
    </w:p>
    <w:p w14:paraId="0F4A5F58" w14:textId="5B804D53" w:rsidR="00014760" w:rsidRPr="000266F4" w:rsidRDefault="00DD181C" w:rsidP="00F1440D">
      <w:pPr>
        <w:spacing w:line="480" w:lineRule="auto"/>
      </w:pPr>
      <w:r>
        <w:rPr>
          <w:b/>
          <w:bCs/>
          <w:color w:val="000000" w:themeColor="text1"/>
          <w:shd w:val="clear" w:color="auto" w:fill="FFFFFF"/>
        </w:rPr>
        <w:tab/>
      </w:r>
      <w:r>
        <w:rPr>
          <w:color w:val="000000" w:themeColor="text1"/>
          <w:shd w:val="clear" w:color="auto" w:fill="FFFFFF"/>
        </w:rPr>
        <w:t xml:space="preserve">For </w:t>
      </w:r>
      <w:r w:rsidRPr="00014760">
        <w:t>Reliance on Hunger and Satiety Cues</w:t>
      </w:r>
      <w:r>
        <w:t xml:space="preserve">, the </w:t>
      </w:r>
      <w:proofErr w:type="spellStart"/>
      <w:r>
        <w:t>intraclass</w:t>
      </w:r>
      <w:proofErr w:type="spellEnd"/>
      <w:r>
        <w:t xml:space="preserve"> correlation was .59 (CI = .46, .69) and mean scores were not significantly different across the first (</w:t>
      </w:r>
      <w:r>
        <w:rPr>
          <w:i/>
          <w:iCs/>
        </w:rPr>
        <w:t>M</w:t>
      </w:r>
      <w:r>
        <w:t xml:space="preserve"> = 3.77, </w:t>
      </w:r>
      <w:r>
        <w:rPr>
          <w:i/>
          <w:iCs/>
        </w:rPr>
        <w:t>SD</w:t>
      </w:r>
      <w:r>
        <w:t xml:space="preserve"> = 0.86) and second (</w:t>
      </w:r>
      <w:r>
        <w:rPr>
          <w:i/>
          <w:iCs/>
        </w:rPr>
        <w:t>M</w:t>
      </w:r>
      <w:r>
        <w:t xml:space="preserve"> = 3.84, </w:t>
      </w:r>
      <w:r>
        <w:rPr>
          <w:i/>
          <w:iCs/>
        </w:rPr>
        <w:t>SD</w:t>
      </w:r>
      <w:r>
        <w:t xml:space="preserve"> = 0.75) testing sessions, </w:t>
      </w:r>
      <w:proofErr w:type="gramStart"/>
      <w:r>
        <w:rPr>
          <w:i/>
          <w:iCs/>
        </w:rPr>
        <w:t>t</w:t>
      </w:r>
      <w:r>
        <w:t>(</w:t>
      </w:r>
      <w:proofErr w:type="gramEnd"/>
      <w:r>
        <w:t xml:space="preserve">203) = 1.03, </w:t>
      </w:r>
      <w:r>
        <w:rPr>
          <w:i/>
          <w:iCs/>
        </w:rPr>
        <w:t>p</w:t>
      </w:r>
      <w:r>
        <w:t xml:space="preserve"> = .303. </w:t>
      </w:r>
      <w:r w:rsidR="000266F4">
        <w:t xml:space="preserve">The </w:t>
      </w:r>
      <w:proofErr w:type="spellStart"/>
      <w:r w:rsidR="000266F4">
        <w:t>intraclass</w:t>
      </w:r>
      <w:proofErr w:type="spellEnd"/>
      <w:r w:rsidR="000266F4">
        <w:t xml:space="preserve"> coefficient for </w:t>
      </w:r>
      <w:r w:rsidR="000266F4" w:rsidRPr="00014760">
        <w:rPr>
          <w:shd w:val="clear" w:color="auto" w:fill="FFFFFF"/>
        </w:rPr>
        <w:t xml:space="preserve">on </w:t>
      </w:r>
      <w:r w:rsidR="000266F4" w:rsidRPr="00014760">
        <w:t>Eating for Physical Rather Than Emotional Reasons</w:t>
      </w:r>
      <w:r w:rsidR="000266F4">
        <w:t xml:space="preserve"> was .54 (CI = .39, .65) and mean scores were significantly different across the first (</w:t>
      </w:r>
      <w:r w:rsidR="000266F4" w:rsidRPr="000266F4">
        <w:rPr>
          <w:i/>
          <w:iCs/>
        </w:rPr>
        <w:t>M</w:t>
      </w:r>
      <w:r w:rsidR="000266F4">
        <w:t xml:space="preserve"> = </w:t>
      </w:r>
      <w:r w:rsidR="000266F4" w:rsidRPr="000266F4">
        <w:t>3</w:t>
      </w:r>
      <w:r w:rsidR="000266F4">
        <w:t xml:space="preserve">.19, </w:t>
      </w:r>
      <w:r w:rsidR="000266F4">
        <w:rPr>
          <w:i/>
          <w:iCs/>
        </w:rPr>
        <w:t>SD</w:t>
      </w:r>
      <w:r w:rsidR="000266F4">
        <w:t xml:space="preserve"> = .0.42) and second testing sessions (</w:t>
      </w:r>
      <w:r w:rsidR="000266F4" w:rsidRPr="000266F4">
        <w:rPr>
          <w:i/>
          <w:iCs/>
        </w:rPr>
        <w:t>M</w:t>
      </w:r>
      <w:r w:rsidR="000266F4">
        <w:t xml:space="preserve"> = </w:t>
      </w:r>
      <w:r w:rsidR="000266F4" w:rsidRPr="000266F4">
        <w:t>3</w:t>
      </w:r>
      <w:r w:rsidR="000266F4">
        <w:t xml:space="preserve">.11, </w:t>
      </w:r>
      <w:r w:rsidR="000266F4">
        <w:rPr>
          <w:i/>
          <w:iCs/>
        </w:rPr>
        <w:t>SD</w:t>
      </w:r>
      <w:r w:rsidR="000266F4">
        <w:t xml:space="preserve"> = .0.46), </w:t>
      </w:r>
      <w:r w:rsidR="000266F4">
        <w:rPr>
          <w:i/>
          <w:iCs/>
        </w:rPr>
        <w:t>t</w:t>
      </w:r>
      <w:r w:rsidR="000266F4">
        <w:t xml:space="preserve">(203) = 2.16, </w:t>
      </w:r>
      <w:r w:rsidR="000266F4">
        <w:rPr>
          <w:i/>
          <w:iCs/>
        </w:rPr>
        <w:t>p</w:t>
      </w:r>
      <w:r w:rsidR="000266F4">
        <w:t xml:space="preserve"> = 0.32. Finally, the </w:t>
      </w:r>
      <w:proofErr w:type="spellStart"/>
      <w:r w:rsidR="000266F4">
        <w:t>intraclass</w:t>
      </w:r>
      <w:proofErr w:type="spellEnd"/>
      <w:r w:rsidR="000266F4">
        <w:t xml:space="preserve"> coefficient for Unconditional Permission to Eat was .61 (CI = .53, .71) and there was no significant different in mean scores across the first (</w:t>
      </w:r>
      <w:r w:rsidR="000266F4" w:rsidRPr="000266F4">
        <w:rPr>
          <w:i/>
          <w:iCs/>
        </w:rPr>
        <w:t>M</w:t>
      </w:r>
      <w:r w:rsidR="000266F4">
        <w:t xml:space="preserve"> = </w:t>
      </w:r>
      <w:r w:rsidR="000266F4" w:rsidRPr="000266F4">
        <w:t>3</w:t>
      </w:r>
      <w:r w:rsidR="000266F4">
        <w:t xml:space="preserve">.14, </w:t>
      </w:r>
      <w:r w:rsidR="000266F4">
        <w:rPr>
          <w:i/>
          <w:iCs/>
        </w:rPr>
        <w:t>SD</w:t>
      </w:r>
      <w:r w:rsidR="000266F4">
        <w:t xml:space="preserve"> = .0.51) and second testing sessions (</w:t>
      </w:r>
      <w:r w:rsidR="000266F4" w:rsidRPr="000266F4">
        <w:rPr>
          <w:i/>
          <w:iCs/>
        </w:rPr>
        <w:t>M</w:t>
      </w:r>
      <w:r w:rsidR="000266F4">
        <w:t xml:space="preserve"> = </w:t>
      </w:r>
      <w:r w:rsidR="000266F4" w:rsidRPr="000266F4">
        <w:t>3</w:t>
      </w:r>
      <w:r w:rsidR="000266F4">
        <w:t xml:space="preserve">.08, </w:t>
      </w:r>
      <w:r w:rsidR="000266F4">
        <w:rPr>
          <w:i/>
          <w:iCs/>
        </w:rPr>
        <w:t>SD</w:t>
      </w:r>
      <w:r w:rsidR="000266F4">
        <w:t xml:space="preserve"> = .0.52), </w:t>
      </w:r>
      <w:r w:rsidR="000266F4">
        <w:rPr>
          <w:i/>
          <w:iCs/>
        </w:rPr>
        <w:t>t</w:t>
      </w:r>
      <w:r w:rsidR="000266F4">
        <w:t xml:space="preserve">(203) = 1.77, </w:t>
      </w:r>
      <w:r w:rsidR="000266F4">
        <w:rPr>
          <w:i/>
          <w:iCs/>
        </w:rPr>
        <w:t>p</w:t>
      </w:r>
      <w:r w:rsidR="000266F4">
        <w:t xml:space="preserve"> = 0.78. </w:t>
      </w:r>
    </w:p>
    <w:p w14:paraId="65DF3E76" w14:textId="77777777" w:rsidR="003D14E9" w:rsidRDefault="004D0539" w:rsidP="003D14E9">
      <w:pPr>
        <w:pStyle w:val="Heading2"/>
        <w:rPr>
          <w:rFonts w:eastAsia="Arial Unicode MS"/>
          <w:shd w:val="clear" w:color="auto" w:fill="FFFFFF"/>
        </w:rPr>
      </w:pPr>
      <w:r w:rsidRPr="000266F4">
        <w:rPr>
          <w:rFonts w:eastAsia="Arial Unicode MS"/>
          <w:shd w:val="clear" w:color="auto" w:fill="FFFFFF"/>
        </w:rPr>
        <w:t>3.</w:t>
      </w:r>
      <w:r w:rsidR="00F1440D" w:rsidRPr="000266F4">
        <w:rPr>
          <w:rFonts w:eastAsia="Arial Unicode MS"/>
          <w:shd w:val="clear" w:color="auto" w:fill="FFFFFF"/>
        </w:rPr>
        <w:t>6</w:t>
      </w:r>
      <w:r w:rsidRPr="000266F4">
        <w:rPr>
          <w:rFonts w:eastAsia="Arial Unicode MS"/>
          <w:shd w:val="clear" w:color="auto" w:fill="FFFFFF"/>
        </w:rPr>
        <w:t xml:space="preserve">. Construct validity. </w:t>
      </w:r>
    </w:p>
    <w:p w14:paraId="2A9DD67E" w14:textId="469BE64F" w:rsidR="00C72283" w:rsidRPr="004E6339" w:rsidRDefault="004D0539" w:rsidP="003D14E9">
      <w:pPr>
        <w:spacing w:line="480" w:lineRule="auto"/>
        <w:ind w:firstLine="720"/>
        <w:rPr>
          <w:rFonts w:eastAsia="Arial Unicode MS"/>
          <w:color w:val="000000" w:themeColor="text1"/>
          <w:shd w:val="clear" w:color="auto" w:fill="FFFFFF"/>
        </w:rPr>
      </w:pPr>
      <w:r w:rsidRPr="000266F4">
        <w:rPr>
          <w:rFonts w:eastAsia="Arial Unicode MS"/>
          <w:color w:val="000000" w:themeColor="text1"/>
          <w:shd w:val="clear" w:color="auto" w:fill="FFFFFF"/>
        </w:rPr>
        <w:t xml:space="preserve">We examined the construct validity of the 3-factor model of IES-2 scores through correlations with scores on additional measures included in the present study, using the total sample. Because the 3-factor model was derived from the EFA with </w:t>
      </w:r>
      <w:r w:rsidR="000266F4">
        <w:rPr>
          <w:rFonts w:eastAsia="Arial Unicode MS"/>
          <w:color w:val="000000" w:themeColor="text1"/>
          <w:shd w:val="clear" w:color="auto" w:fill="FFFFFF"/>
        </w:rPr>
        <w:t>wo</w:t>
      </w:r>
      <w:r w:rsidRPr="000266F4">
        <w:rPr>
          <w:rFonts w:eastAsia="Arial Unicode MS"/>
          <w:color w:val="000000" w:themeColor="text1"/>
          <w:shd w:val="clear" w:color="auto" w:fill="FFFFFF"/>
        </w:rPr>
        <w:t>men, we examined construct validity separately for women and men. The table of inter-correlations is reported in Table 4</w:t>
      </w:r>
      <w:r w:rsidR="00432872">
        <w:rPr>
          <w:rFonts w:eastAsia="Arial Unicode MS"/>
          <w:color w:val="000000" w:themeColor="text1"/>
          <w:shd w:val="clear" w:color="auto" w:fill="FFFFFF"/>
        </w:rPr>
        <w:t>.</w:t>
      </w:r>
      <w:r w:rsidR="00C72283">
        <w:rPr>
          <w:rFonts w:eastAsia="Arial Unicode MS"/>
          <w:color w:val="000000" w:themeColor="text1"/>
          <w:shd w:val="clear" w:color="auto" w:fill="FFFFFF"/>
        </w:rPr>
        <w:t xml:space="preserve"> </w:t>
      </w:r>
      <w:r w:rsidR="00432872">
        <w:rPr>
          <w:rFonts w:eastAsia="Arial Unicode MS"/>
          <w:color w:val="000000" w:themeColor="text1"/>
          <w:shd w:val="clear" w:color="auto" w:fill="FFFFFF"/>
        </w:rPr>
        <w:t>T</w:t>
      </w:r>
      <w:r w:rsidR="00C72283">
        <w:rPr>
          <w:rFonts w:eastAsia="Arial Unicode MS"/>
          <w:color w:val="000000" w:themeColor="text1"/>
          <w:shd w:val="clear" w:color="auto" w:fill="FFFFFF"/>
        </w:rPr>
        <w:t xml:space="preserve">he three IES-2 factors were only weakly </w:t>
      </w:r>
      <w:r w:rsidR="00432872">
        <w:rPr>
          <w:rFonts w:eastAsia="Arial Unicode MS"/>
          <w:color w:val="000000" w:themeColor="text1"/>
          <w:shd w:val="clear" w:color="auto" w:fill="FFFFFF"/>
        </w:rPr>
        <w:t>inter-</w:t>
      </w:r>
      <w:r w:rsidR="00C72283">
        <w:rPr>
          <w:rFonts w:eastAsia="Arial Unicode MS"/>
          <w:color w:val="000000" w:themeColor="text1"/>
          <w:shd w:val="clear" w:color="auto" w:fill="FFFFFF"/>
        </w:rPr>
        <w:t xml:space="preserve">correlated in both women and men. In addition, inter-correlations between the IES-2 factors and the additional variables included </w:t>
      </w:r>
      <w:r w:rsidR="00C72283">
        <w:rPr>
          <w:rFonts w:eastAsia="Arial Unicode MS"/>
          <w:color w:val="000000" w:themeColor="text1"/>
          <w:shd w:val="clear" w:color="auto" w:fill="FFFFFF"/>
        </w:rPr>
        <w:lastRenderedPageBreak/>
        <w:t xml:space="preserve">in the present study were generally weak in both women and men. Of particular note, most of the inter-correlations between the additional variables and Unconditional Permission to Eat in both genders and Eating for Physical Rather Than Emotional Reasons in men did not reach significance. </w:t>
      </w:r>
      <w:r w:rsidR="004E6339">
        <w:rPr>
          <w:rFonts w:eastAsia="Arial Unicode MS"/>
          <w:color w:val="000000" w:themeColor="text1"/>
          <w:shd w:val="clear" w:color="auto" w:fill="FFFFFF"/>
        </w:rPr>
        <w:t xml:space="preserve">For exploratory purposes, we also examined associations between the IES-2 factor scores and age, but – aside from the association between age and </w:t>
      </w:r>
      <w:r w:rsidR="004E6339">
        <w:t>Eating for Physical Rather Than Emotional Reasons in women (</w:t>
      </w:r>
      <w:r w:rsidR="004E6339">
        <w:rPr>
          <w:i/>
        </w:rPr>
        <w:t>r</w:t>
      </w:r>
      <w:r w:rsidR="004E6339">
        <w:t xml:space="preserve"> = -.10, </w:t>
      </w:r>
      <w:r w:rsidR="004E6339">
        <w:rPr>
          <w:i/>
        </w:rPr>
        <w:t>p</w:t>
      </w:r>
      <w:r w:rsidR="004E6339">
        <w:t xml:space="preserve"> = .026) – all </w:t>
      </w:r>
      <w:r w:rsidR="00296AEB">
        <w:t xml:space="preserve">associations did not reach significance. </w:t>
      </w:r>
    </w:p>
    <w:p w14:paraId="1019FA14" w14:textId="09428B1A" w:rsidR="000266F4" w:rsidRDefault="00C72283" w:rsidP="003D14E9">
      <w:pPr>
        <w:pStyle w:val="Heading1"/>
        <w:jc w:val="center"/>
        <w:rPr>
          <w:rFonts w:eastAsia="Arial Unicode MS"/>
          <w:shd w:val="clear" w:color="auto" w:fill="FFFFFF"/>
        </w:rPr>
      </w:pPr>
      <w:r>
        <w:rPr>
          <w:rFonts w:eastAsia="Arial Unicode MS"/>
          <w:shd w:val="clear" w:color="auto" w:fill="FFFFFF"/>
        </w:rPr>
        <w:t>4. Discussion</w:t>
      </w:r>
    </w:p>
    <w:p w14:paraId="58DF1AC4" w14:textId="02F5FCB4" w:rsidR="00C72283" w:rsidRDefault="00C72283" w:rsidP="00C72283">
      <w:pPr>
        <w:spacing w:line="480" w:lineRule="auto"/>
        <w:rPr>
          <w:rFonts w:eastAsia="Arial Unicode MS"/>
          <w:color w:val="000000" w:themeColor="text1"/>
          <w:shd w:val="clear" w:color="auto" w:fill="FFFFFF"/>
        </w:rPr>
      </w:pPr>
      <w:r>
        <w:rPr>
          <w:rFonts w:eastAsia="Arial Unicode MS"/>
          <w:b/>
          <w:color w:val="000000" w:themeColor="text1"/>
          <w:shd w:val="clear" w:color="auto" w:fill="FFFFFF"/>
        </w:rPr>
        <w:tab/>
      </w:r>
      <w:r>
        <w:rPr>
          <w:rFonts w:eastAsia="Arial Unicode MS"/>
          <w:color w:val="000000" w:themeColor="text1"/>
          <w:shd w:val="clear" w:color="auto" w:fill="FFFFFF"/>
        </w:rPr>
        <w:t xml:space="preserve">The IES-2 has emerged as </w:t>
      </w:r>
      <w:r w:rsidR="00FD436A">
        <w:rPr>
          <w:rFonts w:eastAsia="Arial Unicode MS"/>
          <w:color w:val="000000" w:themeColor="text1"/>
          <w:shd w:val="clear" w:color="auto" w:fill="FFFFFF"/>
        </w:rPr>
        <w:t xml:space="preserve">a </w:t>
      </w:r>
      <w:proofErr w:type="gramStart"/>
      <w:r w:rsidR="00FD436A">
        <w:rPr>
          <w:rFonts w:eastAsia="Arial Unicode MS"/>
          <w:color w:val="000000" w:themeColor="text1"/>
          <w:shd w:val="clear" w:color="auto" w:fill="FFFFFF"/>
        </w:rPr>
        <w:t>widely-used</w:t>
      </w:r>
      <w:proofErr w:type="gramEnd"/>
      <w:r w:rsidR="00FD436A">
        <w:rPr>
          <w:rFonts w:eastAsia="Arial Unicode MS"/>
          <w:color w:val="000000" w:themeColor="text1"/>
          <w:shd w:val="clear" w:color="auto" w:fill="FFFFFF"/>
        </w:rPr>
        <w:t xml:space="preserve"> instrument for operationalising the construct of intuitive eating in diverse social identity groups. As a contribution to extant knowledge, we examined the psychometric properties of a novel Romanian translation of the IES-2. Overall, the results of our work provide </w:t>
      </w:r>
      <w:r w:rsidR="007B53B3">
        <w:rPr>
          <w:rFonts w:eastAsia="Arial Unicode MS"/>
          <w:color w:val="000000" w:themeColor="text1"/>
          <w:shd w:val="clear" w:color="auto" w:fill="FFFFFF"/>
        </w:rPr>
        <w:t>limited</w:t>
      </w:r>
      <w:r w:rsidR="00FD436A">
        <w:rPr>
          <w:rFonts w:eastAsia="Arial Unicode MS"/>
          <w:color w:val="000000" w:themeColor="text1"/>
          <w:shd w:val="clear" w:color="auto" w:fill="FFFFFF"/>
        </w:rPr>
        <w:t xml:space="preserve"> support for the psychometric properties of this instrument in Romanian adults. Specifically, our factor analyses resulted in a factor structure that diverged from the parent 4-factor model, </w:t>
      </w:r>
      <w:r w:rsidR="007B53B3">
        <w:rPr>
          <w:rFonts w:eastAsia="Arial Unicode MS"/>
          <w:color w:val="000000" w:themeColor="text1"/>
          <w:shd w:val="clear" w:color="auto" w:fill="FFFFFF"/>
        </w:rPr>
        <w:t>with our</w:t>
      </w:r>
      <w:r w:rsidR="00FD436A">
        <w:rPr>
          <w:rFonts w:eastAsia="Arial Unicode MS"/>
          <w:color w:val="000000" w:themeColor="text1"/>
          <w:shd w:val="clear" w:color="auto" w:fill="FFFFFF"/>
        </w:rPr>
        <w:t xml:space="preserve"> final, 3-factor model also not </w:t>
      </w:r>
      <w:r w:rsidR="007B53B3">
        <w:rPr>
          <w:rFonts w:eastAsia="Arial Unicode MS"/>
          <w:color w:val="000000" w:themeColor="text1"/>
          <w:shd w:val="clear" w:color="auto" w:fill="FFFFFF"/>
        </w:rPr>
        <w:t>demonstrating</w:t>
      </w:r>
      <w:r w:rsidR="00FD436A">
        <w:rPr>
          <w:rFonts w:eastAsia="Arial Unicode MS"/>
          <w:color w:val="000000" w:themeColor="text1"/>
          <w:shd w:val="clear" w:color="auto" w:fill="FFFFFF"/>
        </w:rPr>
        <w:t xml:space="preserve"> adequate fit on all indices. In addition, evidence of test-retest reliability after four weeks was </w:t>
      </w:r>
      <w:r w:rsidR="00432872">
        <w:rPr>
          <w:rFonts w:eastAsia="Arial Unicode MS"/>
          <w:color w:val="000000" w:themeColor="text1"/>
          <w:shd w:val="clear" w:color="auto" w:fill="FFFFFF"/>
        </w:rPr>
        <w:t>poor</w:t>
      </w:r>
      <w:r w:rsidR="00FD436A">
        <w:rPr>
          <w:rFonts w:eastAsia="Arial Unicode MS"/>
          <w:color w:val="000000" w:themeColor="text1"/>
          <w:shd w:val="clear" w:color="auto" w:fill="FFFFFF"/>
        </w:rPr>
        <w:t xml:space="preserve"> and evidence of construct validity was limited. On a more positive note, we were able to demonstrate that scores on the 3-factor model of Romanian IES-2 scores had adequate internal consistency and evidenced scalar invariance across gender. We discuss each of these findings and their implications below. </w:t>
      </w:r>
    </w:p>
    <w:p w14:paraId="20213174" w14:textId="3387F8D1" w:rsidR="00FD436A" w:rsidRDefault="00FD436A" w:rsidP="00C72283">
      <w:pPr>
        <w:spacing w:line="480" w:lineRule="auto"/>
        <w:rPr>
          <w:rFonts w:eastAsia="Arial Unicode MS"/>
          <w:color w:val="000000" w:themeColor="text1"/>
          <w:shd w:val="clear" w:color="auto" w:fill="FFFFFF"/>
        </w:rPr>
      </w:pPr>
      <w:r>
        <w:rPr>
          <w:rFonts w:eastAsia="Arial Unicode MS"/>
          <w:color w:val="000000" w:themeColor="text1"/>
          <w:shd w:val="clear" w:color="auto" w:fill="FFFFFF"/>
        </w:rPr>
        <w:tab/>
        <w:t xml:space="preserve">First, in terms of factorial validity, we were unable to find support for the parent, 4-factor model of IES-2 scores as proposed by </w:t>
      </w:r>
      <w:proofErr w:type="spellStart"/>
      <w:r>
        <w:rPr>
          <w:rFonts w:eastAsia="Arial Unicode MS"/>
          <w:color w:val="000000" w:themeColor="text1"/>
          <w:shd w:val="clear" w:color="auto" w:fill="FFFFFF"/>
        </w:rPr>
        <w:t>Tylka</w:t>
      </w:r>
      <w:proofErr w:type="spellEnd"/>
      <w:r>
        <w:rPr>
          <w:rFonts w:eastAsia="Arial Unicode MS"/>
          <w:color w:val="000000" w:themeColor="text1"/>
          <w:shd w:val="clear" w:color="auto" w:fill="FFFFFF"/>
        </w:rPr>
        <w:t xml:space="preserve"> and Kroon </w:t>
      </w:r>
      <w:r w:rsidR="00F35C3B">
        <w:rPr>
          <w:rFonts w:eastAsia="Arial Unicode MS"/>
          <w:color w:val="000000" w:themeColor="text1"/>
          <w:shd w:val="clear" w:color="auto" w:fill="FFFFFF"/>
        </w:rPr>
        <w:t>V</w:t>
      </w:r>
      <w:r>
        <w:rPr>
          <w:rFonts w:eastAsia="Arial Unicode MS"/>
          <w:color w:val="000000" w:themeColor="text1"/>
          <w:shd w:val="clear" w:color="auto" w:fill="FFFFFF"/>
        </w:rPr>
        <w:t xml:space="preserve">an </w:t>
      </w:r>
      <w:proofErr w:type="spellStart"/>
      <w:r>
        <w:rPr>
          <w:rFonts w:eastAsia="Arial Unicode MS"/>
          <w:color w:val="000000" w:themeColor="text1"/>
          <w:shd w:val="clear" w:color="auto" w:fill="FFFFFF"/>
        </w:rPr>
        <w:t>Diest</w:t>
      </w:r>
      <w:proofErr w:type="spellEnd"/>
      <w:r>
        <w:rPr>
          <w:rFonts w:eastAsia="Arial Unicode MS"/>
          <w:color w:val="000000" w:themeColor="text1"/>
          <w:shd w:val="clear" w:color="auto" w:fill="FFFFFF"/>
        </w:rPr>
        <w:t xml:space="preserve"> (2013). Instead, based on our EFAs, we derived two gender-specific models </w:t>
      </w:r>
      <w:r w:rsidR="00593A41">
        <w:rPr>
          <w:rFonts w:eastAsia="Arial Unicode MS"/>
          <w:color w:val="000000" w:themeColor="text1"/>
          <w:shd w:val="clear" w:color="auto" w:fill="FFFFFF"/>
        </w:rPr>
        <w:t>–</w:t>
      </w:r>
      <w:r>
        <w:rPr>
          <w:rFonts w:eastAsia="Arial Unicode MS"/>
          <w:color w:val="000000" w:themeColor="text1"/>
          <w:shd w:val="clear" w:color="auto" w:fill="FFFFFF"/>
        </w:rPr>
        <w:t xml:space="preserve"> </w:t>
      </w:r>
      <w:r w:rsidR="00593A41">
        <w:rPr>
          <w:rFonts w:eastAsia="Arial Unicode MS"/>
          <w:color w:val="000000" w:themeColor="text1"/>
          <w:shd w:val="clear" w:color="auto" w:fill="FFFFFF"/>
        </w:rPr>
        <w:t>an 18-item model with 3 factors and a 21-item model with 4 factors</w:t>
      </w:r>
      <w:r w:rsidR="007B53B3">
        <w:rPr>
          <w:rFonts w:eastAsia="Arial Unicode MS"/>
          <w:color w:val="000000" w:themeColor="text1"/>
          <w:shd w:val="clear" w:color="auto" w:fill="FFFFFF"/>
        </w:rPr>
        <w:t>, both without a higher-order factor</w:t>
      </w:r>
      <w:r w:rsidR="00593A41">
        <w:rPr>
          <w:rFonts w:eastAsia="Arial Unicode MS"/>
          <w:color w:val="000000" w:themeColor="text1"/>
          <w:shd w:val="clear" w:color="auto" w:fill="FFFFFF"/>
        </w:rPr>
        <w:t xml:space="preserve"> – that showed better fit than the parent, 4-factor model. Of the two EFA-derived model</w:t>
      </w:r>
      <w:r w:rsidR="007B53B3">
        <w:rPr>
          <w:rFonts w:eastAsia="Arial Unicode MS"/>
          <w:color w:val="000000" w:themeColor="text1"/>
          <w:shd w:val="clear" w:color="auto" w:fill="FFFFFF"/>
        </w:rPr>
        <w:t>s</w:t>
      </w:r>
      <w:r w:rsidR="00593A41">
        <w:rPr>
          <w:rFonts w:eastAsia="Arial Unicode MS"/>
          <w:color w:val="000000" w:themeColor="text1"/>
          <w:shd w:val="clear" w:color="auto" w:fill="FFFFFF"/>
        </w:rPr>
        <w:t xml:space="preserve">, we proceeded with the 3-factor model based on its relatively better comparative fit (i.e., based on AIC values), </w:t>
      </w:r>
      <w:r w:rsidR="00593A41">
        <w:rPr>
          <w:rFonts w:eastAsia="Arial Unicode MS"/>
          <w:color w:val="000000" w:themeColor="text1"/>
          <w:shd w:val="clear" w:color="auto" w:fill="FFFFFF"/>
        </w:rPr>
        <w:lastRenderedPageBreak/>
        <w:t>although it should be noted that all three models that we tested did not evidence adequate fit along all dimensions. In broad outline, these findings are consistent with previous studies with French (</w:t>
      </w:r>
      <w:proofErr w:type="spellStart"/>
      <w:r w:rsidR="00593A41">
        <w:rPr>
          <w:rFonts w:eastAsia="Arial Unicode MS"/>
          <w:color w:val="000000" w:themeColor="text1"/>
          <w:shd w:val="clear" w:color="auto" w:fill="FFFFFF"/>
        </w:rPr>
        <w:t>Camilleri</w:t>
      </w:r>
      <w:proofErr w:type="spellEnd"/>
      <w:r w:rsidR="00593A41">
        <w:rPr>
          <w:rFonts w:eastAsia="Arial Unicode MS"/>
          <w:color w:val="000000" w:themeColor="text1"/>
          <w:shd w:val="clear" w:color="auto" w:fill="FFFFFF"/>
        </w:rPr>
        <w:t xml:space="preserve"> et al., 2015) and Malaysian adults (Swami</w:t>
      </w:r>
      <w:r w:rsidR="0062287C">
        <w:rPr>
          <w:rFonts w:eastAsia="Arial Unicode MS"/>
          <w:color w:val="000000" w:themeColor="text1"/>
          <w:shd w:val="clear" w:color="auto" w:fill="FFFFFF"/>
        </w:rPr>
        <w:t>, Todd</w:t>
      </w:r>
      <w:r w:rsidR="00593A41">
        <w:rPr>
          <w:rFonts w:eastAsia="Arial Unicode MS"/>
          <w:color w:val="000000" w:themeColor="text1"/>
          <w:shd w:val="clear" w:color="auto" w:fill="FFFFFF"/>
        </w:rPr>
        <w:t xml:space="preserve"> et al., 2020), as well as ethnic minority groups in the United States (</w:t>
      </w:r>
      <w:proofErr w:type="spellStart"/>
      <w:r w:rsidR="00593A41">
        <w:rPr>
          <w:rFonts w:eastAsia="Arial Unicode MS"/>
          <w:color w:val="000000" w:themeColor="text1"/>
          <w:shd w:val="clear" w:color="auto" w:fill="FFFFFF"/>
        </w:rPr>
        <w:t>Khalsa</w:t>
      </w:r>
      <w:proofErr w:type="spellEnd"/>
      <w:r w:rsidR="00593A41">
        <w:rPr>
          <w:rFonts w:eastAsia="Arial Unicode MS"/>
          <w:color w:val="000000" w:themeColor="text1"/>
          <w:shd w:val="clear" w:color="auto" w:fill="FFFFFF"/>
        </w:rPr>
        <w:t xml:space="preserve"> et al., 2019; </w:t>
      </w:r>
      <w:proofErr w:type="spellStart"/>
      <w:r w:rsidR="00593A41">
        <w:rPr>
          <w:rFonts w:eastAsia="Arial Unicode MS"/>
          <w:color w:val="000000" w:themeColor="text1"/>
          <w:shd w:val="clear" w:color="auto" w:fill="FFFFFF"/>
        </w:rPr>
        <w:t>Madanat</w:t>
      </w:r>
      <w:proofErr w:type="spellEnd"/>
      <w:r w:rsidR="00593A41">
        <w:rPr>
          <w:rFonts w:eastAsia="Arial Unicode MS"/>
          <w:color w:val="000000" w:themeColor="text1"/>
          <w:shd w:val="clear" w:color="auto" w:fill="FFFFFF"/>
        </w:rPr>
        <w:t xml:space="preserve"> et al., 2020; Saunders et al., 2018), which have reported difficulties replicating the parent model of IES-2 scores. Given these findings, a closer look at the specific factor structure of Romanian IES-2 scores is warranted. </w:t>
      </w:r>
    </w:p>
    <w:p w14:paraId="0551A92A" w14:textId="3A3EC5DD" w:rsidR="00593A41" w:rsidRDefault="00593A41" w:rsidP="00C72283">
      <w:pPr>
        <w:spacing w:line="480" w:lineRule="auto"/>
      </w:pPr>
      <w:r>
        <w:rPr>
          <w:rFonts w:eastAsia="Arial Unicode MS"/>
          <w:color w:val="000000" w:themeColor="text1"/>
          <w:shd w:val="clear" w:color="auto" w:fill="FFFFFF"/>
        </w:rPr>
        <w:tab/>
        <w:t xml:space="preserve">A first important point to note is that our 3-factor model appears to index three core intuitive constructs, namely </w:t>
      </w:r>
      <w:r w:rsidRPr="006203A3">
        <w:t>Reliance on Hunger and Satiety Cues</w:t>
      </w:r>
      <w:r>
        <w:t xml:space="preserve">, </w:t>
      </w:r>
      <w:r w:rsidRPr="006203A3">
        <w:t>Eating for Physical Rather Than Emotional Reasons</w:t>
      </w:r>
      <w:r>
        <w:t xml:space="preserve">, and Unconditional Permission to Eat. That is, similar to the findings of </w:t>
      </w:r>
      <w:proofErr w:type="spellStart"/>
      <w:r>
        <w:t>Camilleri</w:t>
      </w:r>
      <w:proofErr w:type="spellEnd"/>
      <w:r>
        <w:t xml:space="preserve"> and colleagues (2015), our findings appear to suggest that intuitive eating in Romanian adults may be best conceived as </w:t>
      </w:r>
      <w:r w:rsidR="00432872">
        <w:t>consisting of</w:t>
      </w:r>
      <w:r>
        <w:t xml:space="preserve"> the three original factors from the IES. </w:t>
      </w:r>
      <w:r w:rsidR="00F35C3B">
        <w:t>In our 3-factor model, the three Body-Food Choice Congruence items cross-loaded and were, therefore, eliminated. One might suggest that it is important to retain these items, given that they measure an important facet of intuitive eating (</w:t>
      </w:r>
      <w:proofErr w:type="spellStart"/>
      <w:r w:rsidR="00F35C3B">
        <w:t>Tylka</w:t>
      </w:r>
      <w:proofErr w:type="spellEnd"/>
      <w:r w:rsidR="00F35C3B">
        <w:t xml:space="preserve"> &amp; Kroon Van </w:t>
      </w:r>
      <w:proofErr w:type="spellStart"/>
      <w:r w:rsidR="00F35C3B">
        <w:t>Diest</w:t>
      </w:r>
      <w:proofErr w:type="spellEnd"/>
      <w:r w:rsidR="00F35C3B">
        <w:t>, 2013). Utilising the 4-factor model derived from the EFA with men might, therefore, seem preferable, although it should be remembered that the three Body-Food Choice Congruence items in this model in fact loaded onto a common factor with Unconditional Permission to Eat items. In short, Body-Food Choice Congruence items do not appear to reflect the existence of an independent construct in Romanian adults, similar to what was found with French (</w:t>
      </w:r>
      <w:proofErr w:type="spellStart"/>
      <w:r w:rsidR="00F35C3B">
        <w:t>Camilleri</w:t>
      </w:r>
      <w:proofErr w:type="spellEnd"/>
      <w:r w:rsidR="00F35C3B">
        <w:t xml:space="preserve"> et al., 2015) and Malaysian adults (Swami</w:t>
      </w:r>
      <w:r w:rsidR="0062287C">
        <w:t>, Todd</w:t>
      </w:r>
      <w:r w:rsidR="00F35C3B">
        <w:t xml:space="preserve"> et al., 2020). </w:t>
      </w:r>
    </w:p>
    <w:p w14:paraId="20C8B917" w14:textId="5CD1C87A" w:rsidR="00BC1B06" w:rsidRDefault="00F35C3B" w:rsidP="00C72283">
      <w:pPr>
        <w:spacing w:line="480" w:lineRule="auto"/>
      </w:pPr>
      <w:r>
        <w:tab/>
      </w:r>
      <w:r w:rsidR="00A82DA8">
        <w:t xml:space="preserve">Given the present results, it is worth considering what might help explain the discrepancy in factor structure with the parent study and, indeed, with studies that have been conducted in other national contexts. One possibility is that the IES-2 may not adequately operationalise the construct of intuitive eating in diverse national or social identity groups. </w:t>
      </w:r>
      <w:r w:rsidR="00A82DA8">
        <w:lastRenderedPageBreak/>
        <w:t>However, this does not seem an entirely cogent explanation, given that at least some translational studies have found that the parent 4-factor model has adequate fit (</w:t>
      </w:r>
      <w:proofErr w:type="spellStart"/>
      <w:r w:rsidR="00A82DA8">
        <w:t>Ak</w:t>
      </w:r>
      <w:r w:rsidR="00A82DA8" w:rsidRPr="00055595">
        <w:rPr>
          <w:rStyle w:val="text"/>
          <w:color w:val="000000" w:themeColor="text1"/>
        </w:rPr>
        <w:t>ı</w:t>
      </w:r>
      <w:r w:rsidR="00A82DA8">
        <w:rPr>
          <w:rStyle w:val="text"/>
          <w:color w:val="000000" w:themeColor="text1"/>
        </w:rPr>
        <w:t>rmak</w:t>
      </w:r>
      <w:proofErr w:type="spellEnd"/>
      <w:r w:rsidR="00A82DA8">
        <w:rPr>
          <w:rStyle w:val="text"/>
          <w:color w:val="000000" w:themeColor="text1"/>
        </w:rPr>
        <w:t xml:space="preserve"> et al., 2020; </w:t>
      </w:r>
      <w:r w:rsidR="00A82DA8">
        <w:t xml:space="preserve">Bas et al., 2017; </w:t>
      </w:r>
      <w:proofErr w:type="spellStart"/>
      <w:r w:rsidR="00A82DA8">
        <w:t>Carbonneau</w:t>
      </w:r>
      <w:proofErr w:type="spellEnd"/>
      <w:r w:rsidR="00A82DA8">
        <w:t xml:space="preserve"> et al., 2017; da Silva et al., 2020; </w:t>
      </w:r>
      <w:proofErr w:type="spellStart"/>
      <w:r w:rsidR="00A82DA8">
        <w:t>Ruzanka</w:t>
      </w:r>
      <w:proofErr w:type="spellEnd"/>
      <w:r w:rsidR="00A82DA8">
        <w:t xml:space="preserve"> &amp; </w:t>
      </w:r>
      <w:proofErr w:type="spellStart"/>
      <w:r w:rsidR="00A82DA8">
        <w:t>Warschburger</w:t>
      </w:r>
      <w:proofErr w:type="spellEnd"/>
      <w:r w:rsidR="00A82DA8">
        <w:t xml:space="preserve">, 2017; van </w:t>
      </w:r>
      <w:proofErr w:type="spellStart"/>
      <w:r w:rsidR="00A82DA8">
        <w:t>Dyck</w:t>
      </w:r>
      <w:proofErr w:type="spellEnd"/>
      <w:r w:rsidR="00A82DA8">
        <w:t xml:space="preserve"> et al., 2016), although – as we noted earlier – these studies have typically not examined whether better-fitting models may explain their data better than the parent, 4-factor model. An alternative explanation </w:t>
      </w:r>
      <w:proofErr w:type="spellStart"/>
      <w:r w:rsidR="00A82DA8">
        <w:t>problematises</w:t>
      </w:r>
      <w:proofErr w:type="spellEnd"/>
      <w:r w:rsidR="00A82DA8">
        <w:t xml:space="preserve"> not so much the IES-2 </w:t>
      </w:r>
      <w:r w:rsidR="00A82DA8">
        <w:rPr>
          <w:i/>
        </w:rPr>
        <w:t>per se</w:t>
      </w:r>
      <w:r w:rsidR="00A82DA8">
        <w:t>, but rather the construct of intuitive eating more generally. As discussed by Swami</w:t>
      </w:r>
      <w:r w:rsidR="0062287C">
        <w:t>, Todd</w:t>
      </w:r>
      <w:r w:rsidR="00A82DA8">
        <w:t xml:space="preserve"> and colleagues (2020), the construct of intuitive eating may represent a largely Western </w:t>
      </w:r>
      <w:r w:rsidR="00432872">
        <w:t>(</w:t>
      </w:r>
      <w:r w:rsidR="00A82DA8">
        <w:t>or Euro-American</w:t>
      </w:r>
      <w:r w:rsidR="00432872">
        <w:t>)</w:t>
      </w:r>
      <w:r w:rsidR="00A82DA8">
        <w:t xml:space="preserve"> definition of eating styles that does not adequately capture the meaning of adaptive eating styles in non-Western contexts. We might broaden this </w:t>
      </w:r>
      <w:r w:rsidR="00432872">
        <w:t xml:space="preserve">critique </w:t>
      </w:r>
      <w:r w:rsidR="00BC1B06">
        <w:t xml:space="preserve">to suggest that </w:t>
      </w:r>
      <w:r w:rsidR="00A82DA8">
        <w:t>the construct of intuitive eating may not adequately map eating styles in nations</w:t>
      </w:r>
      <w:r w:rsidR="00BC1B06">
        <w:t xml:space="preserve"> or sociocultural contexts</w:t>
      </w:r>
      <w:r w:rsidR="00A82DA8">
        <w:t xml:space="preserve"> undergoing rapid nutrition transitions</w:t>
      </w:r>
      <w:r w:rsidR="00BC1B06">
        <w:t xml:space="preserve">. </w:t>
      </w:r>
    </w:p>
    <w:p w14:paraId="391DFDFB" w14:textId="6C475A2D" w:rsidR="00F16D2C" w:rsidRDefault="00BC1B06" w:rsidP="00C72283">
      <w:pPr>
        <w:spacing w:line="480" w:lineRule="auto"/>
      </w:pPr>
      <w:r>
        <w:tab/>
        <w:t>More specifically, for populations in nations that are undergoing nutrition transitions, eating habits and styles may be in a state of flux. In the context of Romania specifically, food profiles and nutritional knowledge all remain relatively different compared to other European nations (</w:t>
      </w:r>
      <w:proofErr w:type="spellStart"/>
      <w:r>
        <w:t>Putnoky</w:t>
      </w:r>
      <w:proofErr w:type="spellEnd"/>
      <w:r>
        <w:t xml:space="preserve"> et </w:t>
      </w:r>
      <w:proofErr w:type="spellStart"/>
      <w:r>
        <w:t>akl</w:t>
      </w:r>
      <w:proofErr w:type="spellEnd"/>
      <w:r>
        <w:t xml:space="preserve">., 2020; </w:t>
      </w:r>
      <w:proofErr w:type="spellStart"/>
      <w:r>
        <w:t>Voinea</w:t>
      </w:r>
      <w:proofErr w:type="spellEnd"/>
      <w:r>
        <w:t xml:space="preserve"> et al., 2019)</w:t>
      </w:r>
      <w:r w:rsidR="00B4277B">
        <w:t>,</w:t>
      </w:r>
      <w:r>
        <w:t xml:space="preserve"> traditional eating styles may compete or operate in tandem with evolving food consumption practices (</w:t>
      </w:r>
      <w:proofErr w:type="spellStart"/>
      <w:r>
        <w:t>Banu</w:t>
      </w:r>
      <w:proofErr w:type="spellEnd"/>
      <w:r>
        <w:t xml:space="preserve"> et al., 2010)</w:t>
      </w:r>
      <w:r w:rsidR="00B4277B">
        <w:t>, and the focus may remain on emotional aspects of eating rather than the science of nutrition (</w:t>
      </w:r>
      <w:proofErr w:type="spellStart"/>
      <w:r w:rsidR="00B4277B">
        <w:t>Marinescu</w:t>
      </w:r>
      <w:proofErr w:type="spellEnd"/>
      <w:r w:rsidR="00B4277B">
        <w:t>, 2019).</w:t>
      </w:r>
      <w:r>
        <w:t xml:space="preserve"> In such a context, it is possible that adaptive eating styles that are reflective of the constructs operationalised by the IES-2 are only beginning to emerge. Of course, such an explanation assumes that</w:t>
      </w:r>
      <w:r w:rsidR="00432872">
        <w:t>,</w:t>
      </w:r>
      <w:r>
        <w:t xml:space="preserve"> as nutrition transitions progress, there will be a straightforward shift towards forms of intuitive eating that are captured in the IES-2 (an assumption that may be tested by re-examining the factorial validity of the IES-2 in Romanian adults at a later date).</w:t>
      </w:r>
      <w:r w:rsidR="00296AEB">
        <w:rPr>
          <w:vertAlign w:val="superscript"/>
        </w:rPr>
        <w:t>2</w:t>
      </w:r>
      <w:r>
        <w:t xml:space="preserve"> However, such an explanation may unnecessarily privilege Western forms of eating styles; that is, it is equally possible that </w:t>
      </w:r>
      <w:r w:rsidR="00F16D2C">
        <w:t xml:space="preserve">alternative forms and </w:t>
      </w:r>
      <w:r w:rsidR="00F16D2C">
        <w:lastRenderedPageBreak/>
        <w:t xml:space="preserve">patterns of adaptive eating may emerge in nations such as Romania (see </w:t>
      </w:r>
      <w:proofErr w:type="spellStart"/>
      <w:r w:rsidR="00F16D2C">
        <w:t>Barrada</w:t>
      </w:r>
      <w:proofErr w:type="spellEnd"/>
      <w:r w:rsidR="00F16D2C">
        <w:t xml:space="preserve"> et al., 2020). This speaks to a broader problem of relying on an instrument originally developed with participants from the United States: as Swami</w:t>
      </w:r>
      <w:r w:rsidR="0062287C">
        <w:t>, Todd</w:t>
      </w:r>
      <w:r w:rsidR="00F16D2C">
        <w:t xml:space="preserve"> and colleagues (2020) have suggested (see also Swami &amp; Barron, 2019), there may be some value in adopting an emic approach to understanding intuitive eating in the Romanian context. Such an approach might begin with qualitative research designed to fully capture the meaning(s) of intuitive eating in Romanian adults, which is then used to develop item content specific to this national setting. Such an approach will likely result in an instrument that lack generalisability, but the benefit is that it would offer a tool that more precisely taps current Romanian experiences. Theoretically, such an approach would also offer scholars internationally a fuller understanding of the possible ways in which the construct of intuitive eating differs across nations or cultures.</w:t>
      </w:r>
    </w:p>
    <w:p w14:paraId="07971AC6" w14:textId="24E84AF8" w:rsidR="00F16D2C" w:rsidRDefault="00F16D2C" w:rsidP="00F16D2C">
      <w:pPr>
        <w:spacing w:line="480" w:lineRule="auto"/>
      </w:pPr>
      <w:r>
        <w:rPr>
          <w:color w:val="000000" w:themeColor="text1"/>
        </w:rPr>
        <w:tab/>
        <w:t xml:space="preserve">A further problem with the Romanian IES-2 is that scores generally did not evidence adequate patterns of construct validity. Specifically, unlike previous studies (e.g., </w:t>
      </w:r>
      <w:proofErr w:type="spellStart"/>
      <w:r>
        <w:t>Ak</w:t>
      </w:r>
      <w:r w:rsidRPr="00055595">
        <w:rPr>
          <w:rStyle w:val="text"/>
          <w:color w:val="000000" w:themeColor="text1"/>
        </w:rPr>
        <w:t>ı</w:t>
      </w:r>
      <w:r>
        <w:rPr>
          <w:rStyle w:val="text"/>
          <w:color w:val="000000" w:themeColor="text1"/>
        </w:rPr>
        <w:t>rmak</w:t>
      </w:r>
      <w:proofErr w:type="spellEnd"/>
      <w:r>
        <w:t xml:space="preserve"> et al., 2020; </w:t>
      </w:r>
      <w:proofErr w:type="spellStart"/>
      <w:r>
        <w:t>Carbonneau</w:t>
      </w:r>
      <w:proofErr w:type="spellEnd"/>
      <w:r>
        <w:t xml:space="preserve"> et al., 2016; da Silva et al., 2019; Duarte et al., 2016; </w:t>
      </w:r>
      <w:proofErr w:type="spellStart"/>
      <w:r>
        <w:t>Ruzanska</w:t>
      </w:r>
      <w:proofErr w:type="spellEnd"/>
      <w:r>
        <w:t xml:space="preserve"> &amp; </w:t>
      </w:r>
      <w:proofErr w:type="spellStart"/>
      <w:r>
        <w:t>Warschburger</w:t>
      </w:r>
      <w:proofErr w:type="spellEnd"/>
      <w:r>
        <w:t>, 2017), though mirroring some of the findings of Swami</w:t>
      </w:r>
      <w:r w:rsidR="0062287C">
        <w:t>, Todd</w:t>
      </w:r>
      <w:r>
        <w:t xml:space="preserve"> and colleagues (2020) with Malaysian adults, </w:t>
      </w:r>
      <w:r w:rsidR="00B52B8E">
        <w:t xml:space="preserve">IES-2 factor scores – particularly on Eating for Physical Rather Than Emotional Reasons and Unconditional Permission to Eat –were only weakly or non-significantly associated with measures of positive body image, symptoms of disordered eating, psychological well-being, and self-reported BMI. The strongest evidence of construct validity was provided in relation to the </w:t>
      </w:r>
      <w:r w:rsidR="00B52B8E" w:rsidRPr="006203A3">
        <w:t>Reliance on Hunger and Satiety Cues</w:t>
      </w:r>
      <w:r w:rsidR="00B52B8E">
        <w:t xml:space="preserve">, but even here associations with additional variables included in the present study was weak. Further, convergent validity as assessed using the AVE criterion was also less-than-adequate. These findings raise questions about the extent to which the Romanian IES-2 measures eating styles that are truly adaptive and healthy. A further cause for concern was the weak evidence of test-retest reliability after four weeks: although the use of ICC cut-offs is discouraged </w:t>
      </w:r>
      <w:r w:rsidR="00B52B8E">
        <w:lastRenderedPageBreak/>
        <w:t xml:space="preserve">(Charter &amp; </w:t>
      </w:r>
      <w:proofErr w:type="spellStart"/>
      <w:r w:rsidR="00B52B8E">
        <w:t>Feldt</w:t>
      </w:r>
      <w:proofErr w:type="spellEnd"/>
      <w:r w:rsidR="00B52B8E">
        <w:t xml:space="preserve">, 2001; </w:t>
      </w:r>
      <w:proofErr w:type="spellStart"/>
      <w:r w:rsidR="00B52B8E">
        <w:t>Shrout</w:t>
      </w:r>
      <w:proofErr w:type="spellEnd"/>
      <w:r w:rsidR="00B52B8E">
        <w:t xml:space="preserve">, 1998), higher values are generally preferred. Our results indicated </w:t>
      </w:r>
      <w:r w:rsidR="00662DE6">
        <w:t xml:space="preserve">only middling ICC values and, furthermore, the results of paired comparisons indicated that scores on the </w:t>
      </w:r>
      <w:r w:rsidR="00662DE6" w:rsidRPr="00014760">
        <w:t>Eating for Physical Rather Than Emotional Reasons</w:t>
      </w:r>
      <w:r w:rsidR="00662DE6">
        <w:t xml:space="preserve"> factor were not temporally stable. </w:t>
      </w:r>
    </w:p>
    <w:p w14:paraId="66B95A67" w14:textId="0F50E5A7" w:rsidR="00A61C55" w:rsidRDefault="00662DE6" w:rsidP="00A61C55">
      <w:pPr>
        <w:spacing w:line="480" w:lineRule="auto"/>
        <w:ind w:firstLine="720"/>
      </w:pPr>
      <w:r>
        <w:t xml:space="preserve">For readers </w:t>
      </w:r>
      <w:r w:rsidR="007B53B3">
        <w:t>seeking</w:t>
      </w:r>
      <w:r>
        <w:t xml:space="preserve"> more positive news, the present results do indicate that scores on the 3-factor model of Romanian IES-2 scores </w:t>
      </w:r>
      <w:r w:rsidR="007B53B3">
        <w:t xml:space="preserve">had adequate internal consistency coefficients and </w:t>
      </w:r>
      <w:r>
        <w:t xml:space="preserve">evidenced scalar invariance across gender. </w:t>
      </w:r>
      <w:r w:rsidR="00A61C55">
        <w:t xml:space="preserve">The establishment of scalar invariance allowed us to compare IES-2 factor scores across gender, with men having significantly higher </w:t>
      </w:r>
      <w:r w:rsidR="00A61C55" w:rsidRPr="00014760">
        <w:t xml:space="preserve">Reliance on Hunger and Satiety Cues </w:t>
      </w:r>
      <w:r w:rsidR="00A61C55" w:rsidRPr="00014760">
        <w:rPr>
          <w:shd w:val="clear" w:color="auto" w:fill="FFFFFF"/>
        </w:rPr>
        <w:t>than women</w:t>
      </w:r>
      <w:r w:rsidR="00A61C55">
        <w:rPr>
          <w:shd w:val="clear" w:color="auto" w:fill="FFFFFF"/>
        </w:rPr>
        <w:t xml:space="preserve">, whereas women had significantly higher scores than men </w:t>
      </w:r>
      <w:r w:rsidR="00A61C55" w:rsidRPr="00014760">
        <w:t xml:space="preserve">Eating for Physical Rather Than Emotional Reasons </w:t>
      </w:r>
      <w:r w:rsidR="00A61C55">
        <w:t xml:space="preserve">and </w:t>
      </w:r>
      <w:r w:rsidR="00A61C55" w:rsidRPr="00014760">
        <w:t>Unconditional Permission to Eat</w:t>
      </w:r>
      <w:r w:rsidR="00A61C55">
        <w:t xml:space="preserve">. However, we caution against an interpretation that emphasises marked gender differences given that the effect sizes for these significant effects were negligible-to-small. In contrast, </w:t>
      </w:r>
      <w:proofErr w:type="spellStart"/>
      <w:r w:rsidR="00A61C55">
        <w:t>Tylka</w:t>
      </w:r>
      <w:proofErr w:type="spellEnd"/>
      <w:r w:rsidR="00A61C55">
        <w:t xml:space="preserve"> and Kroon Van </w:t>
      </w:r>
      <w:proofErr w:type="spellStart"/>
      <w:r w:rsidR="00A61C55">
        <w:t>Diest</w:t>
      </w:r>
      <w:proofErr w:type="spellEnd"/>
      <w:r w:rsidR="00A61C55">
        <w:t xml:space="preserve"> (2013) reported that men had significantly higher scores than women with comparatively larger effect sizes. Overall, then, the strongest evidence for the psychometric properties of the Romanian IES-2 comes from its indices of internal consistency and gender invariance, but this will need to be balanced with </w:t>
      </w:r>
      <w:r w:rsidR="00D73B14">
        <w:t>the weaker evidence of factorial and construct validity.</w:t>
      </w:r>
    </w:p>
    <w:p w14:paraId="4A6B142D" w14:textId="7EA993A3" w:rsidR="00D73B14" w:rsidRDefault="00D73B14" w:rsidP="00D73B14">
      <w:pPr>
        <w:spacing w:line="480" w:lineRule="auto"/>
        <w:ind w:firstLine="720"/>
      </w:pPr>
      <w:r>
        <w:t xml:space="preserve">Our findings raise an important practical question: on the basis of our findings, what should be done by scholars wishing to measure intuitive eating in Romanian-speaking populations? Depending on the specific aims and objectives of future studies, the Romanian IES-2 may offer a preliminary instrument with scores operationalised in terms of our EFA-derived 3-factor, or possibly, </w:t>
      </w:r>
      <w:r w:rsidR="00432872">
        <w:t xml:space="preserve">our EFA-derived </w:t>
      </w:r>
      <w:r>
        <w:t xml:space="preserve">4-factor model. The </w:t>
      </w:r>
      <w:r w:rsidRPr="006203A3">
        <w:t>Reliance on Hunger and Satiety Cues</w:t>
      </w:r>
      <w:r>
        <w:t xml:space="preserve"> factor specifically may offer the most robust conceptualisation of a core facet of intuitive eating as it is currently conceived. In contrast, we </w:t>
      </w:r>
      <w:r w:rsidR="00432872">
        <w:t>suggest avoiding</w:t>
      </w:r>
      <w:r>
        <w:t xml:space="preserve"> scoring Romanian IES-2 scores based on the parent 4-factor model and we actively discourage </w:t>
      </w:r>
      <w:r>
        <w:lastRenderedPageBreak/>
        <w:t>computation of total IES-2 scores for Romanian-speaking populations. More generally, the results of the present study, alongside those of previous research (</w:t>
      </w:r>
      <w:proofErr w:type="spellStart"/>
      <w:r>
        <w:t>Ak</w:t>
      </w:r>
      <w:r w:rsidRPr="00055595">
        <w:rPr>
          <w:rStyle w:val="text"/>
          <w:color w:val="000000" w:themeColor="text1"/>
        </w:rPr>
        <w:t>ı</w:t>
      </w:r>
      <w:r>
        <w:rPr>
          <w:rStyle w:val="text"/>
          <w:color w:val="000000" w:themeColor="text1"/>
        </w:rPr>
        <w:t>rmak</w:t>
      </w:r>
      <w:proofErr w:type="spellEnd"/>
      <w:r>
        <w:rPr>
          <w:rStyle w:val="text"/>
          <w:color w:val="000000" w:themeColor="text1"/>
        </w:rPr>
        <w:t xml:space="preserve"> et al., 2020; </w:t>
      </w:r>
      <w:proofErr w:type="spellStart"/>
      <w:r>
        <w:t>Camilleri</w:t>
      </w:r>
      <w:proofErr w:type="spellEnd"/>
      <w:r>
        <w:t xml:space="preserve"> et al., 2015; da Silva et al., 2020; Swami</w:t>
      </w:r>
      <w:r w:rsidR="0062287C">
        <w:t>, Todd</w:t>
      </w:r>
      <w:r>
        <w:t xml:space="preserve"> et al., 2020), suggest that cross-national invariance in IES-2 scores is unlikely to be obtained, which raises questions about the utility of the IES-2 as a</w:t>
      </w:r>
      <w:r w:rsidR="00FF11B9">
        <w:t xml:space="preserve">n index of intuitive eating internationally. More broadly, we suggest on the basis of the available research that the construct of intuitive eating is unlikely to be consistent across all nations, which in turn requires further research to better understand how the construct is similar and different in diverse national groups. </w:t>
      </w:r>
    </w:p>
    <w:p w14:paraId="0B29884B" w14:textId="65F70513" w:rsidR="00FF11B9" w:rsidRDefault="00FF11B9" w:rsidP="00D73B14">
      <w:pPr>
        <w:spacing w:line="480" w:lineRule="auto"/>
        <w:ind w:firstLine="720"/>
      </w:pPr>
      <w:r>
        <w:t xml:space="preserve">Several limitations restrict the conclusions that can be drawn from the present study. First, and perhaps most importantly, our recruitment methods mean that it is very unlikely that our sample is representative of the wider Romanian population. This is especially true given that there are large </w:t>
      </w:r>
      <w:r w:rsidR="00432872">
        <w:t>inter- and intra-</w:t>
      </w:r>
      <w:r w:rsidR="0062287C">
        <w:t>regional</w:t>
      </w:r>
      <w:r>
        <w:t xml:space="preserve"> differences in such factors as socioeconomic status, levels of education,</w:t>
      </w:r>
      <w:r w:rsidR="0062287C">
        <w:t xml:space="preserve"> urban-rural residence,</w:t>
      </w:r>
      <w:r>
        <w:t xml:space="preserve"> health literacy, and food consumption habits (e.g., </w:t>
      </w:r>
      <w:r w:rsidR="0062287C">
        <w:t xml:space="preserve">Sandu, 2011; Swami, </w:t>
      </w:r>
      <w:proofErr w:type="spellStart"/>
      <w:r w:rsidR="0062287C">
        <w:t>Vintila</w:t>
      </w:r>
      <w:proofErr w:type="spellEnd"/>
      <w:r w:rsidR="0062287C">
        <w:t xml:space="preserve"> et al., 2020; </w:t>
      </w:r>
      <w:proofErr w:type="spellStart"/>
      <w:r>
        <w:t>Voinea</w:t>
      </w:r>
      <w:proofErr w:type="spellEnd"/>
      <w:r>
        <w:t xml:space="preserve"> et al., 2019), all of which may affect </w:t>
      </w:r>
      <w:r w:rsidR="0062287C">
        <w:t xml:space="preserve">patterns of findings. Given these issues, it may be important to replicate our findings with more representative samples of Romanian adults and, where possible, we would also recommend reassessment of the factorial models derived here any time the Romanian IES-2 is used. Second, we were only able to conduct a preliminary examination of construct validity given the dearth of translated and psychometrically-validated tools that are available in Romanian. </w:t>
      </w:r>
      <w:r w:rsidR="009942AD">
        <w:t xml:space="preserve">As the database of available instruments in Romanian expands, it may be possible to re-assess issues of construct validity </w:t>
      </w:r>
      <w:r w:rsidR="009942AD" w:rsidRPr="009942AD">
        <w:rPr>
          <w:i/>
        </w:rPr>
        <w:t>vis-à-vis</w:t>
      </w:r>
      <w:r w:rsidR="009942AD">
        <w:t xml:space="preserve"> the Romanian IES-2.</w:t>
      </w:r>
      <w:r w:rsidR="00D1036A">
        <w:t xml:space="preserve"> We also did not counterbalance the order of presentation of scales, so cannot rule out order effects. </w:t>
      </w:r>
      <w:r w:rsidR="009942AD">
        <w:t xml:space="preserve">Finally, we note that our study was conducted just as the coronavirus (COVID-19) pandemic was unfolding, which may have affected our results in ways that are difficult to determine, particularly in terms of test-retest. </w:t>
      </w:r>
    </w:p>
    <w:p w14:paraId="1D635AC7" w14:textId="77777777" w:rsidR="00854F4B" w:rsidRDefault="009942AD" w:rsidP="009A1571">
      <w:pPr>
        <w:spacing w:line="480" w:lineRule="auto"/>
        <w:ind w:firstLine="720"/>
      </w:pPr>
      <w:r>
        <w:lastRenderedPageBreak/>
        <w:t xml:space="preserve">In conclusion, the results of the present study provide preliminary evidence that may support the use of a 3-factor model of intuitive eating in Romanian-speaking adults. However, we draw this conclusion very cautiously, particularly given that fit indices of the 3-factor model were not </w:t>
      </w:r>
      <w:r w:rsidR="009A1571">
        <w:t xml:space="preserve">entirely adequate and especially in the face of less-than-adequate construct validity. While these issues may be specific to scholars who have previously used the IES-2 in Romania (e.g., </w:t>
      </w:r>
      <w:proofErr w:type="spellStart"/>
      <w:r w:rsidR="009A1571">
        <w:t>Ivanoff</w:t>
      </w:r>
      <w:proofErr w:type="spellEnd"/>
      <w:r w:rsidR="009A1571">
        <w:t xml:space="preserve">, 2018) or who intend to do so in the future, we suggest that our findings also have important ramifications for scholars studying intuitive eating internationally. Given that the construct of intuitive eating was originally developed with North American populations in mind, it may have relatively limited applicability elsewhere, particularly in nations that are undergoing nutrition transitions. For scholars interested in the construct of intuitive eating, it will be important in future theoretical and empirical work to more fully consider how this construct is both similar and different across diverse social identity groups. This will be particularly important when faced with the growing obesity epidemic in nations undergoing nutrition transitions, which places a heavy socioeconomic burden on nations such as Romania (Andrei et al., 2018). </w:t>
      </w:r>
    </w:p>
    <w:p w14:paraId="2010967A" w14:textId="77777777" w:rsidR="00854F4B" w:rsidRDefault="00854F4B" w:rsidP="003D14E9">
      <w:pPr>
        <w:pStyle w:val="Heading1"/>
        <w:jc w:val="center"/>
      </w:pPr>
      <w:r>
        <w:t>Footnote</w:t>
      </w:r>
    </w:p>
    <w:p w14:paraId="365E69F4" w14:textId="77777777" w:rsidR="00296AEB" w:rsidRDefault="00854F4B" w:rsidP="00854F4B">
      <w:pPr>
        <w:spacing w:line="480" w:lineRule="auto"/>
      </w:pPr>
      <w:r>
        <w:rPr>
          <w:vertAlign w:val="superscript"/>
        </w:rPr>
        <w:t>1</w:t>
      </w:r>
      <w:r>
        <w:t xml:space="preserve">The fact that the items of the Eating for Physical Rather than Emotional Reasons </w:t>
      </w:r>
      <w:proofErr w:type="gramStart"/>
      <w:r>
        <w:t>were split</w:t>
      </w:r>
      <w:proofErr w:type="gramEnd"/>
      <w:r>
        <w:t xml:space="preserve"> across two factors in men may reflect a method artefact. Specifically, the </w:t>
      </w:r>
      <w:r w:rsidR="00713882">
        <w:t xml:space="preserve">items were split based on those that were reverse-coded and those that were not. </w:t>
      </w:r>
    </w:p>
    <w:p w14:paraId="4B5732FF" w14:textId="151004BF" w:rsidR="00AA4B35" w:rsidRDefault="00296AEB" w:rsidP="00854F4B">
      <w:pPr>
        <w:spacing w:line="480" w:lineRule="auto"/>
      </w:pPr>
      <w:r>
        <w:rPr>
          <w:vertAlign w:val="superscript"/>
        </w:rPr>
        <w:t>2</w:t>
      </w:r>
      <w:r>
        <w:t xml:space="preserve">We conducted a very preliminary assessment of this possibility in our study by examining associations between the IES-2 factor scores and participant age, but associations were weak and mainly non-significant. It should be noted, however, that these were exploratory analyses and our study is not ideally set up to examine generational differences. </w:t>
      </w:r>
      <w:r w:rsidR="00AA4B35">
        <w:br w:type="page"/>
      </w:r>
    </w:p>
    <w:p w14:paraId="6B4C2EC9" w14:textId="77777777" w:rsidR="00C9770B" w:rsidRDefault="00AA4B35" w:rsidP="003D14E9">
      <w:pPr>
        <w:pStyle w:val="Heading1"/>
        <w:jc w:val="center"/>
      </w:pPr>
      <w:r>
        <w:lastRenderedPageBreak/>
        <w:t>References</w:t>
      </w:r>
    </w:p>
    <w:p w14:paraId="64ABC02A" w14:textId="1B652FD4" w:rsidR="00AA4B35" w:rsidRDefault="00AA4B35" w:rsidP="00AA4B35">
      <w:pPr>
        <w:spacing w:line="480" w:lineRule="auto"/>
        <w:ind w:left="567" w:hanging="567"/>
        <w:rPr>
          <w:rStyle w:val="Hyperlink"/>
        </w:rPr>
      </w:pPr>
      <w:proofErr w:type="spellStart"/>
      <w:r>
        <w:t>Ak</w:t>
      </w:r>
      <w:r w:rsidRPr="00055595">
        <w:rPr>
          <w:rStyle w:val="text"/>
          <w:color w:val="000000" w:themeColor="text1"/>
        </w:rPr>
        <w:t>ı</w:t>
      </w:r>
      <w:r>
        <w:rPr>
          <w:rStyle w:val="text"/>
          <w:color w:val="000000" w:themeColor="text1"/>
        </w:rPr>
        <w:t>rmak</w:t>
      </w:r>
      <w:proofErr w:type="spellEnd"/>
      <w:r>
        <w:rPr>
          <w:rStyle w:val="text"/>
          <w:color w:val="000000" w:themeColor="text1"/>
        </w:rPr>
        <w:t xml:space="preserve">, </w:t>
      </w:r>
      <w:proofErr w:type="gramStart"/>
      <w:r>
        <w:rPr>
          <w:rStyle w:val="text"/>
          <w:color w:val="000000" w:themeColor="text1"/>
        </w:rPr>
        <w:t>Ü.,</w:t>
      </w:r>
      <w:proofErr w:type="gramEnd"/>
      <w:r>
        <w:rPr>
          <w:rStyle w:val="text"/>
          <w:color w:val="000000" w:themeColor="text1"/>
        </w:rPr>
        <w:t xml:space="preserve"> </w:t>
      </w:r>
      <w:proofErr w:type="spellStart"/>
      <w:r>
        <w:rPr>
          <w:rStyle w:val="text"/>
          <w:color w:val="000000" w:themeColor="text1"/>
        </w:rPr>
        <w:t>Bak</w:t>
      </w:r>
      <w:r w:rsidRPr="00055595">
        <w:rPr>
          <w:rStyle w:val="text"/>
          <w:color w:val="000000" w:themeColor="text1"/>
        </w:rPr>
        <w:t>ı</w:t>
      </w:r>
      <w:r>
        <w:rPr>
          <w:rStyle w:val="text"/>
          <w:color w:val="000000" w:themeColor="text1"/>
        </w:rPr>
        <w:t>ner</w:t>
      </w:r>
      <w:proofErr w:type="spellEnd"/>
      <w:r>
        <w:rPr>
          <w:rStyle w:val="text"/>
          <w:color w:val="000000" w:themeColor="text1"/>
        </w:rPr>
        <w:t xml:space="preserve">, E., </w:t>
      </w:r>
      <w:proofErr w:type="spellStart"/>
      <w:r>
        <w:rPr>
          <w:rStyle w:val="text"/>
          <w:color w:val="000000" w:themeColor="text1"/>
        </w:rPr>
        <w:t>Boratav</w:t>
      </w:r>
      <w:proofErr w:type="spellEnd"/>
      <w:r>
        <w:rPr>
          <w:rStyle w:val="text"/>
          <w:color w:val="000000" w:themeColor="text1"/>
        </w:rPr>
        <w:t xml:space="preserve">, H. B., &amp; </w:t>
      </w:r>
      <w:proofErr w:type="spellStart"/>
      <w:r>
        <w:rPr>
          <w:rStyle w:val="text"/>
          <w:color w:val="000000" w:themeColor="text1"/>
        </w:rPr>
        <w:t>Güneri</w:t>
      </w:r>
      <w:proofErr w:type="spellEnd"/>
      <w:r>
        <w:rPr>
          <w:rStyle w:val="text"/>
          <w:color w:val="000000" w:themeColor="text1"/>
        </w:rPr>
        <w:t xml:space="preserve">, G. (2020). Cross-cultural adaptation of the Intuitive Eating Scale-2: Psychometric evaluation in a sample in Turkey. </w:t>
      </w:r>
      <w:r>
        <w:rPr>
          <w:rStyle w:val="text"/>
          <w:i/>
          <w:color w:val="000000" w:themeColor="text1"/>
        </w:rPr>
        <w:t>Current Psychology</w:t>
      </w:r>
      <w:r>
        <w:rPr>
          <w:rStyle w:val="text"/>
          <w:color w:val="000000" w:themeColor="text1"/>
        </w:rPr>
        <w:t xml:space="preserve">. Advanced online publication. </w:t>
      </w:r>
      <w:hyperlink r:id="rId8" w:history="1">
        <w:r w:rsidRPr="00E53D67">
          <w:rPr>
            <w:rStyle w:val="Hyperlink"/>
          </w:rPr>
          <w:t>https://doi.org/10.1007/s12144-018-0024-3</w:t>
        </w:r>
      </w:hyperlink>
    </w:p>
    <w:p w14:paraId="6FF1C1CA" w14:textId="45613BA9" w:rsidR="009A1571" w:rsidRDefault="009A1571" w:rsidP="009A1571">
      <w:pPr>
        <w:spacing w:line="480" w:lineRule="auto"/>
        <w:ind w:left="567" w:hanging="567"/>
        <w:rPr>
          <w:color w:val="111111"/>
          <w:shd w:val="clear" w:color="auto" w:fill="FFFFFF"/>
        </w:rPr>
      </w:pPr>
      <w:r>
        <w:rPr>
          <w:rStyle w:val="text"/>
          <w:color w:val="000000" w:themeColor="text1"/>
        </w:rPr>
        <w:t xml:space="preserve">Andrei, C. L., </w:t>
      </w:r>
      <w:proofErr w:type="spellStart"/>
      <w:r>
        <w:rPr>
          <w:rStyle w:val="text"/>
          <w:color w:val="000000" w:themeColor="text1"/>
        </w:rPr>
        <w:t>Sinescu</w:t>
      </w:r>
      <w:proofErr w:type="spellEnd"/>
      <w:r w:rsidRPr="009A1571">
        <w:rPr>
          <w:rStyle w:val="text"/>
          <w:color w:val="000000" w:themeColor="text1"/>
        </w:rPr>
        <w:t xml:space="preserve">, R. D., </w:t>
      </w:r>
      <w:proofErr w:type="spellStart"/>
      <w:r w:rsidRPr="009A1571">
        <w:rPr>
          <w:rStyle w:val="text"/>
          <w:color w:val="000000" w:themeColor="text1"/>
        </w:rPr>
        <w:t>Her</w:t>
      </w:r>
      <w:r w:rsidRPr="009A1571">
        <w:rPr>
          <w:bCs/>
          <w:color w:val="000000" w:themeColor="text1"/>
        </w:rPr>
        <w:t>ṭ</w:t>
      </w:r>
      <w:r>
        <w:rPr>
          <w:bCs/>
          <w:color w:val="000000" w:themeColor="text1"/>
        </w:rPr>
        <w:t>eliu</w:t>
      </w:r>
      <w:proofErr w:type="spellEnd"/>
      <w:r>
        <w:rPr>
          <w:bCs/>
          <w:color w:val="000000" w:themeColor="text1"/>
        </w:rPr>
        <w:t xml:space="preserve">, C., </w:t>
      </w:r>
      <w:proofErr w:type="spellStart"/>
      <w:r>
        <w:rPr>
          <w:bCs/>
          <w:color w:val="000000" w:themeColor="text1"/>
        </w:rPr>
        <w:t>Miric</w:t>
      </w:r>
      <w:r w:rsidRPr="00C9770B">
        <w:rPr>
          <w:color w:val="111111"/>
          <w:shd w:val="clear" w:color="auto" w:fill="FFFFFF"/>
        </w:rPr>
        <w:t>ă</w:t>
      </w:r>
      <w:proofErr w:type="spellEnd"/>
      <w:r>
        <w:rPr>
          <w:color w:val="111111"/>
          <w:shd w:val="clear" w:color="auto" w:fill="FFFFFF"/>
        </w:rPr>
        <w:t xml:space="preserve">, A. (2018). Quantitative methods to </w:t>
      </w:r>
      <w:proofErr w:type="spellStart"/>
      <w:r>
        <w:rPr>
          <w:color w:val="111111"/>
          <w:shd w:val="clear" w:color="auto" w:fill="FFFFFF"/>
        </w:rPr>
        <w:t>analyze</w:t>
      </w:r>
      <w:proofErr w:type="spellEnd"/>
      <w:r>
        <w:rPr>
          <w:color w:val="111111"/>
          <w:shd w:val="clear" w:color="auto" w:fill="FFFFFF"/>
        </w:rPr>
        <w:t xml:space="preserve"> the severe obesity in Romania and its impact over public administration health expenditures. </w:t>
      </w:r>
      <w:r>
        <w:rPr>
          <w:i/>
          <w:color w:val="111111"/>
          <w:shd w:val="clear" w:color="auto" w:fill="FFFFFF"/>
        </w:rPr>
        <w:t>Transylvanian Review of Administrative Sciences</w:t>
      </w:r>
      <w:r>
        <w:rPr>
          <w:color w:val="111111"/>
          <w:shd w:val="clear" w:color="auto" w:fill="FFFFFF"/>
        </w:rPr>
        <w:t xml:space="preserve">, </w:t>
      </w:r>
      <w:r>
        <w:rPr>
          <w:i/>
          <w:color w:val="111111"/>
          <w:shd w:val="clear" w:color="auto" w:fill="FFFFFF"/>
        </w:rPr>
        <w:t>55</w:t>
      </w:r>
      <w:r>
        <w:rPr>
          <w:color w:val="111111"/>
          <w:shd w:val="clear" w:color="auto" w:fill="FFFFFF"/>
        </w:rPr>
        <w:t xml:space="preserve">, 5-17. </w:t>
      </w:r>
      <w:hyperlink r:id="rId9" w:history="1">
        <w:r w:rsidRPr="00B26354">
          <w:rPr>
            <w:rStyle w:val="Hyperlink"/>
            <w:shd w:val="clear" w:color="auto" w:fill="FFFFFF"/>
          </w:rPr>
          <w:t>https://doi.org/10.24193/tras.55E.1</w:t>
        </w:r>
      </w:hyperlink>
    </w:p>
    <w:p w14:paraId="2BF801DF" w14:textId="77777777" w:rsidR="007E57E0" w:rsidRDefault="007E57E0" w:rsidP="00AA4B35">
      <w:pPr>
        <w:spacing w:line="480" w:lineRule="auto"/>
        <w:ind w:left="567" w:hanging="567"/>
        <w:rPr>
          <w:rStyle w:val="text"/>
          <w:color w:val="000000" w:themeColor="text1"/>
        </w:rPr>
      </w:pPr>
      <w:proofErr w:type="spellStart"/>
      <w:r>
        <w:rPr>
          <w:rStyle w:val="text"/>
          <w:color w:val="000000" w:themeColor="text1"/>
        </w:rPr>
        <w:t>Banu</w:t>
      </w:r>
      <w:proofErr w:type="spellEnd"/>
      <w:r>
        <w:rPr>
          <w:rStyle w:val="text"/>
          <w:color w:val="000000" w:themeColor="text1"/>
        </w:rPr>
        <w:t xml:space="preserve">, C. P., </w:t>
      </w:r>
      <w:proofErr w:type="spellStart"/>
      <w:r>
        <w:rPr>
          <w:rStyle w:val="text"/>
          <w:color w:val="000000" w:themeColor="text1"/>
        </w:rPr>
        <w:t>Sahleanu</w:t>
      </w:r>
      <w:proofErr w:type="spellEnd"/>
      <w:r>
        <w:rPr>
          <w:rStyle w:val="text"/>
          <w:color w:val="000000" w:themeColor="text1"/>
        </w:rPr>
        <w:t xml:space="preserve">, E., &amp; </w:t>
      </w:r>
      <w:proofErr w:type="spellStart"/>
      <w:r>
        <w:rPr>
          <w:rStyle w:val="text"/>
          <w:color w:val="000000" w:themeColor="text1"/>
        </w:rPr>
        <w:t>Barascu</w:t>
      </w:r>
      <w:proofErr w:type="spellEnd"/>
      <w:r>
        <w:rPr>
          <w:rStyle w:val="text"/>
          <w:color w:val="000000" w:themeColor="text1"/>
        </w:rPr>
        <w:t xml:space="preserve">, E. (2010). </w:t>
      </w:r>
      <w:r>
        <w:rPr>
          <w:rStyle w:val="text"/>
          <w:i/>
          <w:color w:val="000000" w:themeColor="text1"/>
        </w:rPr>
        <w:t>Nutrition in digestive diseases</w:t>
      </w:r>
      <w:r>
        <w:rPr>
          <w:rStyle w:val="text"/>
          <w:color w:val="000000" w:themeColor="text1"/>
        </w:rPr>
        <w:t>. ASAB.</w:t>
      </w:r>
    </w:p>
    <w:p w14:paraId="646C9017" w14:textId="6ED11EE6" w:rsidR="00AA4B35" w:rsidRDefault="00AA4B35" w:rsidP="00AA4B35">
      <w:pPr>
        <w:spacing w:line="480" w:lineRule="auto"/>
        <w:ind w:left="567" w:hanging="567"/>
        <w:rPr>
          <w:rStyle w:val="Hyperlink"/>
        </w:rPr>
      </w:pPr>
      <w:r>
        <w:rPr>
          <w:color w:val="000000" w:themeColor="text1"/>
        </w:rPr>
        <w:t xml:space="preserve">Barad, A., </w:t>
      </w:r>
      <w:proofErr w:type="spellStart"/>
      <w:r>
        <w:rPr>
          <w:color w:val="000000" w:themeColor="text1"/>
        </w:rPr>
        <w:t>Cartledge</w:t>
      </w:r>
      <w:proofErr w:type="spellEnd"/>
      <w:r>
        <w:rPr>
          <w:color w:val="000000" w:themeColor="text1"/>
        </w:rPr>
        <w:t xml:space="preserve">, A., </w:t>
      </w:r>
      <w:proofErr w:type="spellStart"/>
      <w:r>
        <w:rPr>
          <w:color w:val="000000" w:themeColor="text1"/>
        </w:rPr>
        <w:t>Gemmill</w:t>
      </w:r>
      <w:proofErr w:type="spellEnd"/>
      <w:r>
        <w:rPr>
          <w:color w:val="000000" w:themeColor="text1"/>
        </w:rPr>
        <w:t xml:space="preserve">, K., </w:t>
      </w:r>
      <w:proofErr w:type="spellStart"/>
      <w:r>
        <w:rPr>
          <w:color w:val="000000" w:themeColor="text1"/>
        </w:rPr>
        <w:t>Misner</w:t>
      </w:r>
      <w:proofErr w:type="spellEnd"/>
      <w:r>
        <w:rPr>
          <w:color w:val="000000" w:themeColor="text1"/>
        </w:rPr>
        <w:t xml:space="preserve">, N. M., Santiago, C. E., </w:t>
      </w:r>
      <w:proofErr w:type="spellStart"/>
      <w:r>
        <w:rPr>
          <w:color w:val="000000" w:themeColor="text1"/>
        </w:rPr>
        <w:t>Yavelow</w:t>
      </w:r>
      <w:proofErr w:type="spellEnd"/>
      <w:r>
        <w:rPr>
          <w:color w:val="000000" w:themeColor="text1"/>
        </w:rPr>
        <w:t xml:space="preserve">, M., &amp; </w:t>
      </w:r>
      <w:proofErr w:type="spellStart"/>
      <w:r>
        <w:rPr>
          <w:color w:val="000000" w:themeColor="text1"/>
        </w:rPr>
        <w:t>Langkamp-Henken</w:t>
      </w:r>
      <w:proofErr w:type="spellEnd"/>
      <w:r>
        <w:rPr>
          <w:color w:val="000000" w:themeColor="text1"/>
        </w:rPr>
        <w:t xml:space="preserve">, B. (2019). Associations between intuitive eating </w:t>
      </w:r>
      <w:proofErr w:type="spellStart"/>
      <w:r>
        <w:rPr>
          <w:color w:val="000000" w:themeColor="text1"/>
        </w:rPr>
        <w:t>behaviors</w:t>
      </w:r>
      <w:proofErr w:type="spellEnd"/>
      <w:r>
        <w:rPr>
          <w:color w:val="000000" w:themeColor="text1"/>
        </w:rPr>
        <w:t xml:space="preserve"> and fruit and vegetable intake among college students. </w:t>
      </w:r>
      <w:r>
        <w:rPr>
          <w:i/>
          <w:color w:val="000000" w:themeColor="text1"/>
        </w:rPr>
        <w:t xml:space="preserve">Journal of Nutrition Education and </w:t>
      </w:r>
      <w:proofErr w:type="spellStart"/>
      <w:r>
        <w:rPr>
          <w:i/>
          <w:color w:val="000000" w:themeColor="text1"/>
        </w:rPr>
        <w:t>Behavior</w:t>
      </w:r>
      <w:proofErr w:type="spellEnd"/>
      <w:r>
        <w:rPr>
          <w:color w:val="000000" w:themeColor="text1"/>
        </w:rPr>
        <w:t xml:space="preserve">, </w:t>
      </w:r>
      <w:r>
        <w:rPr>
          <w:i/>
          <w:color w:val="000000" w:themeColor="text1"/>
        </w:rPr>
        <w:t>51</w:t>
      </w:r>
      <w:r>
        <w:rPr>
          <w:color w:val="000000" w:themeColor="text1"/>
        </w:rPr>
        <w:t xml:space="preserve">(6), 758-762. </w:t>
      </w:r>
      <w:hyperlink r:id="rId10" w:history="1">
        <w:r w:rsidRPr="00E53D67">
          <w:rPr>
            <w:rStyle w:val="Hyperlink"/>
          </w:rPr>
          <w:t>https://doi.org/10.1016/j.jneb.2019.03.01</w:t>
        </w:r>
      </w:hyperlink>
    </w:p>
    <w:p w14:paraId="10D237CE" w14:textId="22207EC8" w:rsidR="00F16D2C" w:rsidRDefault="00F16D2C" w:rsidP="00F16D2C">
      <w:pPr>
        <w:spacing w:line="480" w:lineRule="auto"/>
        <w:ind w:left="567" w:hanging="567"/>
        <w:rPr>
          <w:color w:val="000000" w:themeColor="text1"/>
        </w:rPr>
      </w:pPr>
      <w:proofErr w:type="spellStart"/>
      <w:r>
        <w:rPr>
          <w:color w:val="000000" w:themeColor="text1"/>
        </w:rPr>
        <w:t>Barrada</w:t>
      </w:r>
      <w:proofErr w:type="spellEnd"/>
      <w:r>
        <w:rPr>
          <w:color w:val="000000" w:themeColor="text1"/>
        </w:rPr>
        <w:t xml:space="preserve">, J. R., </w:t>
      </w:r>
      <w:proofErr w:type="spellStart"/>
      <w:r>
        <w:rPr>
          <w:color w:val="000000" w:themeColor="text1"/>
        </w:rPr>
        <w:t>Cativiela</w:t>
      </w:r>
      <w:proofErr w:type="spellEnd"/>
      <w:r>
        <w:rPr>
          <w:color w:val="000000" w:themeColor="text1"/>
        </w:rPr>
        <w:t xml:space="preserve">, B., van </w:t>
      </w:r>
      <w:proofErr w:type="spellStart"/>
      <w:r>
        <w:rPr>
          <w:color w:val="000000" w:themeColor="text1"/>
        </w:rPr>
        <w:t>Strien</w:t>
      </w:r>
      <w:proofErr w:type="spellEnd"/>
      <w:r>
        <w:rPr>
          <w:color w:val="000000" w:themeColor="text1"/>
        </w:rPr>
        <w:t xml:space="preserve">, T., &amp; </w:t>
      </w:r>
      <w:proofErr w:type="spellStart"/>
      <w:r>
        <w:rPr>
          <w:color w:val="000000" w:themeColor="text1"/>
        </w:rPr>
        <w:t>Cebolla</w:t>
      </w:r>
      <w:proofErr w:type="spellEnd"/>
      <w:r>
        <w:rPr>
          <w:color w:val="000000" w:themeColor="text1"/>
        </w:rPr>
        <w:t xml:space="preserve">, A. (2020). Intuitive eating: A novel eating style? Evidence from a Spanish sample. </w:t>
      </w:r>
      <w:r>
        <w:rPr>
          <w:i/>
          <w:color w:val="000000" w:themeColor="text1"/>
        </w:rPr>
        <w:t>European Journal of Psychological Assessment</w:t>
      </w:r>
      <w:r>
        <w:rPr>
          <w:color w:val="000000" w:themeColor="text1"/>
        </w:rPr>
        <w:t xml:space="preserve">, </w:t>
      </w:r>
      <w:r>
        <w:rPr>
          <w:i/>
          <w:color w:val="000000" w:themeColor="text1"/>
        </w:rPr>
        <w:t>36</w:t>
      </w:r>
      <w:r>
        <w:rPr>
          <w:color w:val="000000" w:themeColor="text1"/>
        </w:rPr>
        <w:t xml:space="preserve">, 19-31. </w:t>
      </w:r>
      <w:hyperlink r:id="rId11" w:history="1">
        <w:r w:rsidRPr="00B26354">
          <w:rPr>
            <w:rStyle w:val="Hyperlink"/>
          </w:rPr>
          <w:t>https://doi.org/10.1027/1015-5759/a000482</w:t>
        </w:r>
      </w:hyperlink>
    </w:p>
    <w:p w14:paraId="33E0B885" w14:textId="17CC39CD" w:rsidR="00AA4B35" w:rsidRPr="00F16D2C" w:rsidRDefault="00AA4B35" w:rsidP="00F16D2C">
      <w:pPr>
        <w:spacing w:line="480" w:lineRule="auto"/>
        <w:ind w:left="567" w:hanging="567"/>
        <w:rPr>
          <w:rStyle w:val="Hyperlink"/>
          <w:color w:val="000000" w:themeColor="text1"/>
          <w:u w:val="none"/>
        </w:rPr>
      </w:pPr>
      <w:r>
        <w:rPr>
          <w:color w:val="000000" w:themeColor="text1"/>
        </w:rPr>
        <w:t xml:space="preserve">Bas, M., </w:t>
      </w:r>
      <w:proofErr w:type="spellStart"/>
      <w:r>
        <w:rPr>
          <w:color w:val="000000" w:themeColor="text1"/>
        </w:rPr>
        <w:t>Esen</w:t>
      </w:r>
      <w:proofErr w:type="spellEnd"/>
      <w:r>
        <w:rPr>
          <w:color w:val="000000" w:themeColor="text1"/>
        </w:rPr>
        <w:t xml:space="preserve">, K., </w:t>
      </w:r>
      <w:proofErr w:type="spellStart"/>
      <w:r>
        <w:rPr>
          <w:color w:val="000000" w:themeColor="text1"/>
        </w:rPr>
        <w:t>Saglam</w:t>
      </w:r>
      <w:proofErr w:type="spellEnd"/>
      <w:r>
        <w:rPr>
          <w:color w:val="000000" w:themeColor="text1"/>
        </w:rPr>
        <w:t xml:space="preserve">, F., </w:t>
      </w:r>
      <w:proofErr w:type="spellStart"/>
      <w:r>
        <w:rPr>
          <w:color w:val="000000" w:themeColor="text1"/>
        </w:rPr>
        <w:t>A</w:t>
      </w:r>
      <w:r w:rsidRPr="00055595">
        <w:rPr>
          <w:rStyle w:val="text"/>
          <w:color w:val="000000" w:themeColor="text1"/>
        </w:rPr>
        <w:t>rıtıcı</w:t>
      </w:r>
      <w:proofErr w:type="spellEnd"/>
      <w:r>
        <w:rPr>
          <w:rStyle w:val="author-ref"/>
          <w:color w:val="000000" w:themeColor="text1"/>
        </w:rPr>
        <w:t xml:space="preserve">, G., </w:t>
      </w:r>
      <w:proofErr w:type="spellStart"/>
      <w:r>
        <w:rPr>
          <w:rStyle w:val="author-ref"/>
          <w:color w:val="000000" w:themeColor="text1"/>
        </w:rPr>
        <w:t>Cengiz</w:t>
      </w:r>
      <w:proofErr w:type="spellEnd"/>
      <w:r>
        <w:rPr>
          <w:rStyle w:val="author-ref"/>
          <w:color w:val="000000" w:themeColor="text1"/>
        </w:rPr>
        <w:t xml:space="preserve">, E., </w:t>
      </w:r>
      <w:proofErr w:type="spellStart"/>
      <w:r>
        <w:rPr>
          <w:rStyle w:val="author-ref"/>
          <w:color w:val="000000" w:themeColor="text1"/>
        </w:rPr>
        <w:t>Köksal</w:t>
      </w:r>
      <w:proofErr w:type="spellEnd"/>
      <w:r>
        <w:rPr>
          <w:rStyle w:val="author-ref"/>
          <w:color w:val="000000" w:themeColor="text1"/>
        </w:rPr>
        <w:t xml:space="preserve">, S.&amp; </w:t>
      </w:r>
      <w:proofErr w:type="spellStart"/>
      <w:r>
        <w:rPr>
          <w:rStyle w:val="author-ref"/>
          <w:color w:val="000000" w:themeColor="text1"/>
        </w:rPr>
        <w:t>Buyukkaragoz</w:t>
      </w:r>
      <w:proofErr w:type="spellEnd"/>
      <w:r>
        <w:rPr>
          <w:rStyle w:val="author-ref"/>
          <w:color w:val="000000" w:themeColor="text1"/>
        </w:rPr>
        <w:t xml:space="preserve">, H. (2017). Turkish version of the Intuitive Eating Scale-2: Validity and reliability among university students. </w:t>
      </w:r>
      <w:r>
        <w:rPr>
          <w:rStyle w:val="author-ref"/>
          <w:i/>
          <w:color w:val="000000" w:themeColor="text1"/>
        </w:rPr>
        <w:t>Appetite</w:t>
      </w:r>
      <w:r>
        <w:rPr>
          <w:rStyle w:val="author-ref"/>
          <w:color w:val="000000" w:themeColor="text1"/>
        </w:rPr>
        <w:t xml:space="preserve">, </w:t>
      </w:r>
      <w:r>
        <w:rPr>
          <w:rStyle w:val="author-ref"/>
          <w:i/>
          <w:color w:val="000000" w:themeColor="text1"/>
        </w:rPr>
        <w:t>114</w:t>
      </w:r>
      <w:r>
        <w:rPr>
          <w:rStyle w:val="author-ref"/>
          <w:color w:val="000000" w:themeColor="text1"/>
        </w:rPr>
        <w:t xml:space="preserve">, 391-397. </w:t>
      </w:r>
      <w:hyperlink r:id="rId12" w:history="1">
        <w:r w:rsidRPr="00E53D67">
          <w:rPr>
            <w:rStyle w:val="Hyperlink"/>
          </w:rPr>
          <w:t>https://doi.org/10.1016/j.appet.2017.04.017</w:t>
        </w:r>
      </w:hyperlink>
    </w:p>
    <w:p w14:paraId="4F138AF3" w14:textId="77777777" w:rsidR="00867AA9" w:rsidRDefault="00867AA9" w:rsidP="00867AA9">
      <w:pPr>
        <w:spacing w:line="480" w:lineRule="auto"/>
        <w:ind w:left="567" w:hanging="567"/>
        <w:rPr>
          <w:rStyle w:val="author-ref"/>
          <w:color w:val="000000" w:themeColor="text1"/>
        </w:rPr>
      </w:pPr>
      <w:r w:rsidRPr="009039D8">
        <w:rPr>
          <w:color w:val="000000" w:themeColor="text1"/>
        </w:rPr>
        <w:t xml:space="preserve">Beaton, D., Bombardier, C., Guillemin, F., &amp; </w:t>
      </w:r>
      <w:proofErr w:type="spellStart"/>
      <w:r w:rsidRPr="009039D8">
        <w:rPr>
          <w:color w:val="000000" w:themeColor="text1"/>
        </w:rPr>
        <w:t>Ferraz</w:t>
      </w:r>
      <w:proofErr w:type="spellEnd"/>
      <w:r w:rsidRPr="009039D8">
        <w:rPr>
          <w:color w:val="000000" w:themeColor="text1"/>
        </w:rPr>
        <w:t xml:space="preserve">, M. B. (2000). Guidelines for the process of cross-cultural adaptation of self-report measures. </w:t>
      </w:r>
      <w:r w:rsidRPr="009039D8">
        <w:rPr>
          <w:i/>
          <w:color w:val="000000" w:themeColor="text1"/>
        </w:rPr>
        <w:t>Spine</w:t>
      </w:r>
      <w:r w:rsidRPr="009039D8">
        <w:rPr>
          <w:color w:val="000000" w:themeColor="text1"/>
        </w:rPr>
        <w:t xml:space="preserve">, </w:t>
      </w:r>
      <w:r w:rsidRPr="009039D8">
        <w:rPr>
          <w:i/>
          <w:color w:val="000000" w:themeColor="text1"/>
        </w:rPr>
        <w:t>25</w:t>
      </w:r>
      <w:r>
        <w:rPr>
          <w:color w:val="000000" w:themeColor="text1"/>
        </w:rPr>
        <w:t>(24)</w:t>
      </w:r>
      <w:r w:rsidRPr="009039D8">
        <w:rPr>
          <w:color w:val="000000" w:themeColor="text1"/>
        </w:rPr>
        <w:t>, 3186-3191.</w:t>
      </w:r>
    </w:p>
    <w:p w14:paraId="3BC674CE" w14:textId="7C7FF704" w:rsidR="00AA4B35" w:rsidRDefault="00AA4B35" w:rsidP="00AA4B35">
      <w:pPr>
        <w:spacing w:line="480" w:lineRule="auto"/>
        <w:ind w:left="567" w:hanging="567"/>
        <w:rPr>
          <w:rStyle w:val="Hyperlink"/>
        </w:rPr>
      </w:pPr>
      <w:proofErr w:type="spellStart"/>
      <w:r w:rsidRPr="009039D8">
        <w:rPr>
          <w:color w:val="000000" w:themeColor="text1"/>
        </w:rPr>
        <w:t>Brislin</w:t>
      </w:r>
      <w:proofErr w:type="spellEnd"/>
      <w:r w:rsidRPr="009039D8">
        <w:rPr>
          <w:color w:val="000000" w:themeColor="text1"/>
        </w:rPr>
        <w:t xml:space="preserve">, R. W. (1970). Back-translation for cross-cultural research. </w:t>
      </w:r>
      <w:r w:rsidRPr="009039D8">
        <w:rPr>
          <w:i/>
          <w:color w:val="000000" w:themeColor="text1"/>
        </w:rPr>
        <w:t>Journal of Cross-Cultural Psychology</w:t>
      </w:r>
      <w:r w:rsidRPr="009039D8">
        <w:rPr>
          <w:color w:val="000000" w:themeColor="text1"/>
        </w:rPr>
        <w:t xml:space="preserve">, </w:t>
      </w:r>
      <w:r w:rsidRPr="009039D8">
        <w:rPr>
          <w:i/>
          <w:color w:val="000000" w:themeColor="text1"/>
        </w:rPr>
        <w:t>1</w:t>
      </w:r>
      <w:r>
        <w:rPr>
          <w:color w:val="000000" w:themeColor="text1"/>
        </w:rPr>
        <w:t>(3)</w:t>
      </w:r>
      <w:r w:rsidRPr="009039D8">
        <w:rPr>
          <w:color w:val="000000" w:themeColor="text1"/>
        </w:rPr>
        <w:t xml:space="preserve">, 185-216. </w:t>
      </w:r>
      <w:hyperlink r:id="rId13" w:history="1">
        <w:r w:rsidRPr="00E53D67">
          <w:rPr>
            <w:rStyle w:val="Hyperlink"/>
          </w:rPr>
          <w:t>https://doi.org/10.1177/135910457000100301</w:t>
        </w:r>
      </w:hyperlink>
    </w:p>
    <w:p w14:paraId="543446DE" w14:textId="6486F7DB" w:rsidR="00BF2AC6" w:rsidRPr="00BF2AC6" w:rsidRDefault="00BF2AC6" w:rsidP="00AA4B35">
      <w:pPr>
        <w:spacing w:line="480" w:lineRule="auto"/>
        <w:ind w:left="567" w:hanging="567"/>
        <w:rPr>
          <w:color w:val="000000" w:themeColor="text1"/>
        </w:rPr>
      </w:pPr>
      <w:r>
        <w:rPr>
          <w:color w:val="000000" w:themeColor="text1"/>
        </w:rPr>
        <w:t xml:space="preserve">Burnham, K. P., &amp; Anderson, D. R. (2003). </w:t>
      </w:r>
      <w:r>
        <w:rPr>
          <w:i/>
          <w:color w:val="000000" w:themeColor="text1"/>
        </w:rPr>
        <w:t xml:space="preserve">Model selection and </w:t>
      </w:r>
      <w:proofErr w:type="spellStart"/>
      <w:r>
        <w:rPr>
          <w:i/>
          <w:color w:val="000000" w:themeColor="text1"/>
        </w:rPr>
        <w:t>multimodel</w:t>
      </w:r>
      <w:proofErr w:type="spellEnd"/>
      <w:r>
        <w:rPr>
          <w:i/>
          <w:color w:val="000000" w:themeColor="text1"/>
        </w:rPr>
        <w:t xml:space="preserve"> inference: A practical information-theoretic approach</w:t>
      </w:r>
      <w:r>
        <w:rPr>
          <w:color w:val="000000" w:themeColor="text1"/>
        </w:rPr>
        <w:t xml:space="preserve">. Dordrecht: Springer. </w:t>
      </w:r>
    </w:p>
    <w:p w14:paraId="477BC539" w14:textId="77777777" w:rsidR="00AA4B35" w:rsidRDefault="00AA4B35" w:rsidP="00AA4B35">
      <w:pPr>
        <w:spacing w:line="480" w:lineRule="auto"/>
        <w:ind w:left="567" w:hanging="567"/>
        <w:rPr>
          <w:color w:val="000000" w:themeColor="text1"/>
        </w:rPr>
      </w:pPr>
      <w:proofErr w:type="spellStart"/>
      <w:r w:rsidRPr="003352EA">
        <w:rPr>
          <w:color w:val="000000" w:themeColor="text1"/>
        </w:rPr>
        <w:lastRenderedPageBreak/>
        <w:t>Camilleri</w:t>
      </w:r>
      <w:proofErr w:type="spellEnd"/>
      <w:r w:rsidRPr="003352EA">
        <w:rPr>
          <w:color w:val="000000" w:themeColor="text1"/>
        </w:rPr>
        <w:t xml:space="preserve">, G. M., </w:t>
      </w:r>
      <w:proofErr w:type="spellStart"/>
      <w:r w:rsidRPr="003352EA">
        <w:rPr>
          <w:color w:val="000000" w:themeColor="text1"/>
        </w:rPr>
        <w:t>Méjean</w:t>
      </w:r>
      <w:proofErr w:type="spellEnd"/>
      <w:r w:rsidRPr="003352EA">
        <w:rPr>
          <w:color w:val="000000" w:themeColor="text1"/>
        </w:rPr>
        <w:t xml:space="preserve">, C., </w:t>
      </w:r>
      <w:proofErr w:type="spellStart"/>
      <w:r w:rsidRPr="003352EA">
        <w:rPr>
          <w:color w:val="000000" w:themeColor="text1"/>
        </w:rPr>
        <w:t>Bellisle</w:t>
      </w:r>
      <w:proofErr w:type="spellEnd"/>
      <w:r w:rsidRPr="003352EA">
        <w:rPr>
          <w:color w:val="000000" w:themeColor="text1"/>
        </w:rPr>
        <w:t xml:space="preserve">, F., </w:t>
      </w:r>
      <w:proofErr w:type="spellStart"/>
      <w:r w:rsidRPr="003352EA">
        <w:rPr>
          <w:color w:val="000000" w:themeColor="text1"/>
        </w:rPr>
        <w:t>Andreeva</w:t>
      </w:r>
      <w:proofErr w:type="spellEnd"/>
      <w:r w:rsidRPr="003352EA">
        <w:rPr>
          <w:color w:val="000000" w:themeColor="text1"/>
        </w:rPr>
        <w:t>, V. A.,</w:t>
      </w:r>
      <w:r>
        <w:rPr>
          <w:color w:val="000000" w:themeColor="text1"/>
        </w:rPr>
        <w:t xml:space="preserve"> </w:t>
      </w:r>
      <w:proofErr w:type="spellStart"/>
      <w:r>
        <w:rPr>
          <w:color w:val="000000" w:themeColor="text1"/>
        </w:rPr>
        <w:t>Sautron</w:t>
      </w:r>
      <w:proofErr w:type="spellEnd"/>
      <w:r>
        <w:rPr>
          <w:color w:val="000000" w:themeColor="text1"/>
        </w:rPr>
        <w:t xml:space="preserve">, V., </w:t>
      </w:r>
      <w:proofErr w:type="spellStart"/>
      <w:r>
        <w:rPr>
          <w:color w:val="000000" w:themeColor="text1"/>
        </w:rPr>
        <w:t>Hercberg</w:t>
      </w:r>
      <w:proofErr w:type="spellEnd"/>
      <w:r>
        <w:rPr>
          <w:color w:val="000000" w:themeColor="text1"/>
        </w:rPr>
        <w:t xml:space="preserve">, S., &amp; </w:t>
      </w:r>
      <w:proofErr w:type="spellStart"/>
      <w:r>
        <w:rPr>
          <w:color w:val="000000" w:themeColor="text1"/>
        </w:rPr>
        <w:t>Péneau</w:t>
      </w:r>
      <w:proofErr w:type="spellEnd"/>
      <w:r>
        <w:rPr>
          <w:color w:val="000000" w:themeColor="text1"/>
        </w:rPr>
        <w:t xml:space="preserve">, S. (2015). Cross-cultural validity of the Intuitive Eating Scake-2: Psychometric evaluation in a sample of the general French population. </w:t>
      </w:r>
      <w:r>
        <w:rPr>
          <w:i/>
          <w:color w:val="000000" w:themeColor="text1"/>
        </w:rPr>
        <w:t>Appetite</w:t>
      </w:r>
      <w:r>
        <w:rPr>
          <w:color w:val="000000" w:themeColor="text1"/>
        </w:rPr>
        <w:t xml:space="preserve">, </w:t>
      </w:r>
      <w:r>
        <w:rPr>
          <w:i/>
          <w:color w:val="000000" w:themeColor="text1"/>
        </w:rPr>
        <w:t>84</w:t>
      </w:r>
      <w:r>
        <w:rPr>
          <w:color w:val="000000" w:themeColor="text1"/>
        </w:rPr>
        <w:t xml:space="preserve">, 34-42. </w:t>
      </w:r>
      <w:hyperlink r:id="rId14" w:history="1">
        <w:r w:rsidRPr="00E53D67">
          <w:rPr>
            <w:rStyle w:val="Hyperlink"/>
          </w:rPr>
          <w:t>https://doi.org/10.1016/j.appet.2014.09.009</w:t>
        </w:r>
      </w:hyperlink>
    </w:p>
    <w:p w14:paraId="7249F2FF" w14:textId="77777777" w:rsidR="00AA4B35" w:rsidRDefault="00AA4B35" w:rsidP="00AA4B35">
      <w:pPr>
        <w:spacing w:line="480" w:lineRule="auto"/>
        <w:ind w:left="567" w:hanging="567"/>
        <w:rPr>
          <w:color w:val="000000" w:themeColor="text1"/>
        </w:rPr>
      </w:pPr>
      <w:proofErr w:type="spellStart"/>
      <w:r w:rsidRPr="003352EA">
        <w:rPr>
          <w:color w:val="000000" w:themeColor="text1"/>
        </w:rPr>
        <w:t>Camilleri</w:t>
      </w:r>
      <w:proofErr w:type="spellEnd"/>
      <w:r w:rsidRPr="003352EA">
        <w:rPr>
          <w:color w:val="000000" w:themeColor="text1"/>
        </w:rPr>
        <w:t xml:space="preserve">, G. M., </w:t>
      </w:r>
      <w:proofErr w:type="spellStart"/>
      <w:r w:rsidRPr="003352EA">
        <w:rPr>
          <w:color w:val="000000" w:themeColor="text1"/>
        </w:rPr>
        <w:t>Méjean</w:t>
      </w:r>
      <w:proofErr w:type="spellEnd"/>
      <w:r w:rsidRPr="003352EA">
        <w:rPr>
          <w:color w:val="000000" w:themeColor="text1"/>
        </w:rPr>
        <w:t xml:space="preserve">, C., </w:t>
      </w:r>
      <w:proofErr w:type="spellStart"/>
      <w:r w:rsidRPr="003352EA">
        <w:rPr>
          <w:color w:val="000000" w:themeColor="text1"/>
        </w:rPr>
        <w:t>Bellisle</w:t>
      </w:r>
      <w:proofErr w:type="spellEnd"/>
      <w:r w:rsidRPr="003352EA">
        <w:rPr>
          <w:color w:val="000000" w:themeColor="text1"/>
        </w:rPr>
        <w:t xml:space="preserve">, F., </w:t>
      </w:r>
      <w:proofErr w:type="spellStart"/>
      <w:r w:rsidRPr="003352EA">
        <w:rPr>
          <w:color w:val="000000" w:themeColor="text1"/>
        </w:rPr>
        <w:t>Andreeva</w:t>
      </w:r>
      <w:proofErr w:type="spellEnd"/>
      <w:r w:rsidRPr="003352EA">
        <w:rPr>
          <w:color w:val="000000" w:themeColor="text1"/>
        </w:rPr>
        <w:t xml:space="preserve">, V. A., </w:t>
      </w:r>
      <w:proofErr w:type="spellStart"/>
      <w:r w:rsidRPr="003352EA">
        <w:rPr>
          <w:color w:val="000000" w:themeColor="text1"/>
        </w:rPr>
        <w:t>Kesse-Guyot</w:t>
      </w:r>
      <w:proofErr w:type="spellEnd"/>
      <w:r w:rsidRPr="003352EA">
        <w:rPr>
          <w:color w:val="000000" w:themeColor="text1"/>
        </w:rPr>
        <w:t xml:space="preserve">, E., </w:t>
      </w:r>
      <w:proofErr w:type="spellStart"/>
      <w:r w:rsidRPr="003352EA">
        <w:rPr>
          <w:color w:val="000000" w:themeColor="text1"/>
        </w:rPr>
        <w:t>Hercberg</w:t>
      </w:r>
      <w:proofErr w:type="spellEnd"/>
      <w:r w:rsidRPr="003352EA">
        <w:rPr>
          <w:color w:val="000000" w:themeColor="text1"/>
        </w:rPr>
        <w:t xml:space="preserve">, S., &amp; </w:t>
      </w:r>
      <w:proofErr w:type="spellStart"/>
      <w:r w:rsidRPr="003352EA">
        <w:rPr>
          <w:color w:val="000000" w:themeColor="text1"/>
        </w:rPr>
        <w:t>Péneau</w:t>
      </w:r>
      <w:proofErr w:type="spellEnd"/>
      <w:r w:rsidRPr="003352EA">
        <w:rPr>
          <w:color w:val="000000" w:themeColor="text1"/>
        </w:rPr>
        <w:t xml:space="preserve">, S. (2016). Intuitive eating is inversely associated with body weight status in the general population-based </w:t>
      </w:r>
      <w:proofErr w:type="spellStart"/>
      <w:r w:rsidRPr="003352EA">
        <w:rPr>
          <w:color w:val="000000" w:themeColor="text1"/>
        </w:rPr>
        <w:t>NutriNet-Sante</w:t>
      </w:r>
      <w:proofErr w:type="spellEnd"/>
      <w:r w:rsidRPr="003352EA">
        <w:rPr>
          <w:color w:val="000000" w:themeColor="text1"/>
        </w:rPr>
        <w:t xml:space="preserve">́ study. </w:t>
      </w:r>
      <w:r w:rsidRPr="003352EA">
        <w:rPr>
          <w:i/>
          <w:color w:val="000000" w:themeColor="text1"/>
        </w:rPr>
        <w:t>Obesity</w:t>
      </w:r>
      <w:r w:rsidRPr="003352EA">
        <w:rPr>
          <w:color w:val="000000" w:themeColor="text1"/>
        </w:rPr>
        <w:t xml:space="preserve">, </w:t>
      </w:r>
      <w:r w:rsidRPr="003352EA">
        <w:rPr>
          <w:i/>
          <w:color w:val="000000" w:themeColor="text1"/>
        </w:rPr>
        <w:t>24</w:t>
      </w:r>
      <w:r>
        <w:rPr>
          <w:color w:val="000000" w:themeColor="text1"/>
        </w:rPr>
        <w:t>(5)</w:t>
      </w:r>
      <w:r w:rsidRPr="003352EA">
        <w:rPr>
          <w:color w:val="000000" w:themeColor="text1"/>
        </w:rPr>
        <w:t>, 1154</w:t>
      </w:r>
      <w:r>
        <w:rPr>
          <w:color w:val="000000" w:themeColor="text1"/>
        </w:rPr>
        <w:t>-</w:t>
      </w:r>
      <w:r w:rsidRPr="003352EA">
        <w:rPr>
          <w:color w:val="000000" w:themeColor="text1"/>
        </w:rPr>
        <w:t xml:space="preserve">1161. </w:t>
      </w:r>
      <w:hyperlink r:id="rId15" w:history="1">
        <w:r w:rsidRPr="00E53D67">
          <w:rPr>
            <w:rStyle w:val="Hyperlink"/>
          </w:rPr>
          <w:t>https://doi/org/10.1002/oby.21440</w:t>
        </w:r>
      </w:hyperlink>
    </w:p>
    <w:p w14:paraId="19FC11EE" w14:textId="1CF3083E" w:rsidR="00AA4B35" w:rsidRDefault="00AA4B35" w:rsidP="00AA4B35">
      <w:pPr>
        <w:spacing w:line="480" w:lineRule="auto"/>
        <w:ind w:left="567" w:hanging="567"/>
        <w:rPr>
          <w:rStyle w:val="Hyperlink"/>
        </w:rPr>
      </w:pPr>
      <w:proofErr w:type="spellStart"/>
      <w:r>
        <w:rPr>
          <w:color w:val="000000" w:themeColor="text1"/>
        </w:rPr>
        <w:t>Carbonneau</w:t>
      </w:r>
      <w:proofErr w:type="spellEnd"/>
      <w:r>
        <w:rPr>
          <w:color w:val="000000" w:themeColor="text1"/>
        </w:rPr>
        <w:t xml:space="preserve">, E., </w:t>
      </w:r>
      <w:proofErr w:type="spellStart"/>
      <w:r>
        <w:rPr>
          <w:color w:val="000000" w:themeColor="text1"/>
        </w:rPr>
        <w:t>Carbonneau</w:t>
      </w:r>
      <w:proofErr w:type="spellEnd"/>
      <w:r>
        <w:rPr>
          <w:color w:val="000000" w:themeColor="text1"/>
        </w:rPr>
        <w:t xml:space="preserve">, N., </w:t>
      </w:r>
      <w:proofErr w:type="spellStart"/>
      <w:r>
        <w:rPr>
          <w:color w:val="000000" w:themeColor="text1"/>
        </w:rPr>
        <w:t>Lamarche</w:t>
      </w:r>
      <w:proofErr w:type="spellEnd"/>
      <w:r>
        <w:rPr>
          <w:color w:val="000000" w:themeColor="text1"/>
        </w:rPr>
        <w:t xml:space="preserve">, B., </w:t>
      </w:r>
      <w:proofErr w:type="spellStart"/>
      <w:r>
        <w:rPr>
          <w:color w:val="000000" w:themeColor="text1"/>
        </w:rPr>
        <w:t>Provencher</w:t>
      </w:r>
      <w:proofErr w:type="spellEnd"/>
      <w:r>
        <w:rPr>
          <w:color w:val="000000" w:themeColor="text1"/>
        </w:rPr>
        <w:t xml:space="preserve">, V., </w:t>
      </w:r>
      <w:proofErr w:type="spellStart"/>
      <w:r>
        <w:rPr>
          <w:color w:val="000000" w:themeColor="text1"/>
        </w:rPr>
        <w:t>Bégin</w:t>
      </w:r>
      <w:proofErr w:type="spellEnd"/>
      <w:r>
        <w:rPr>
          <w:color w:val="000000" w:themeColor="text1"/>
        </w:rPr>
        <w:t xml:space="preserve">, C., </w:t>
      </w:r>
      <w:proofErr w:type="spellStart"/>
      <w:r>
        <w:rPr>
          <w:color w:val="000000" w:themeColor="text1"/>
        </w:rPr>
        <w:t>Bradette-Laplante</w:t>
      </w:r>
      <w:proofErr w:type="spellEnd"/>
      <w:r>
        <w:rPr>
          <w:color w:val="000000" w:themeColor="text1"/>
        </w:rPr>
        <w:t xml:space="preserve">, M., </w:t>
      </w:r>
      <w:proofErr w:type="spellStart"/>
      <w:r>
        <w:rPr>
          <w:color w:val="000000" w:themeColor="text1"/>
        </w:rPr>
        <w:t>Lamerée</w:t>
      </w:r>
      <w:proofErr w:type="spellEnd"/>
      <w:r>
        <w:rPr>
          <w:color w:val="000000" w:themeColor="text1"/>
        </w:rPr>
        <w:t xml:space="preserve">, C., &amp; Lemieux, S. (2016). Validation of a French-Canadian adaptation of the Intuitive Eating Scale-2 for the adult population. </w:t>
      </w:r>
      <w:r>
        <w:rPr>
          <w:i/>
          <w:color w:val="000000" w:themeColor="text1"/>
        </w:rPr>
        <w:t>Appetite</w:t>
      </w:r>
      <w:r>
        <w:rPr>
          <w:color w:val="000000" w:themeColor="text1"/>
        </w:rPr>
        <w:t xml:space="preserve">, </w:t>
      </w:r>
      <w:r>
        <w:rPr>
          <w:i/>
          <w:color w:val="000000" w:themeColor="text1"/>
        </w:rPr>
        <w:t>105</w:t>
      </w:r>
      <w:r>
        <w:rPr>
          <w:color w:val="000000" w:themeColor="text1"/>
        </w:rPr>
        <w:t xml:space="preserve">, 37-45. </w:t>
      </w:r>
      <w:hyperlink r:id="rId16" w:history="1">
        <w:r w:rsidRPr="00E53D67">
          <w:rPr>
            <w:rStyle w:val="Hyperlink"/>
          </w:rPr>
          <w:t>https://doi.org/10.1016/j.appet.2016.05.001</w:t>
        </w:r>
      </w:hyperlink>
    </w:p>
    <w:p w14:paraId="6F44519E" w14:textId="6B979207" w:rsidR="00662DE6" w:rsidRDefault="00662DE6" w:rsidP="00662DE6">
      <w:pPr>
        <w:spacing w:line="480" w:lineRule="auto"/>
        <w:ind w:left="567" w:hanging="567"/>
        <w:rPr>
          <w:color w:val="000000" w:themeColor="text1"/>
        </w:rPr>
      </w:pPr>
      <w:r w:rsidRPr="009039D8">
        <w:rPr>
          <w:color w:val="000000" w:themeColor="text1"/>
        </w:rPr>
        <w:t xml:space="preserve">Charter, R. A., &amp; </w:t>
      </w:r>
      <w:proofErr w:type="spellStart"/>
      <w:r w:rsidRPr="009039D8">
        <w:rPr>
          <w:color w:val="000000" w:themeColor="text1"/>
        </w:rPr>
        <w:t>Feldt</w:t>
      </w:r>
      <w:proofErr w:type="spellEnd"/>
      <w:r w:rsidRPr="009039D8">
        <w:rPr>
          <w:color w:val="000000" w:themeColor="text1"/>
        </w:rPr>
        <w:t xml:space="preserve">, L. S. (2001). Meaning of reliability in terms of correct and incorrect clinical decisions: The art of decision making is still alive. </w:t>
      </w:r>
      <w:r w:rsidRPr="009039D8">
        <w:rPr>
          <w:i/>
          <w:color w:val="000000" w:themeColor="text1"/>
        </w:rPr>
        <w:t>Journal of Clinical and Experimental Neuropsychology</w:t>
      </w:r>
      <w:r w:rsidRPr="009039D8">
        <w:rPr>
          <w:color w:val="000000" w:themeColor="text1"/>
        </w:rPr>
        <w:t xml:space="preserve">, </w:t>
      </w:r>
      <w:r w:rsidRPr="009039D8">
        <w:rPr>
          <w:i/>
          <w:color w:val="000000" w:themeColor="text1"/>
        </w:rPr>
        <w:t>23</w:t>
      </w:r>
      <w:r>
        <w:rPr>
          <w:color w:val="000000" w:themeColor="text1"/>
        </w:rPr>
        <w:t>(4)</w:t>
      </w:r>
      <w:r w:rsidRPr="009039D8">
        <w:rPr>
          <w:color w:val="000000" w:themeColor="text1"/>
        </w:rPr>
        <w:t xml:space="preserve">, 530-537. </w:t>
      </w:r>
      <w:hyperlink r:id="rId17" w:history="1">
        <w:r w:rsidRPr="00B26354">
          <w:rPr>
            <w:rStyle w:val="Hyperlink"/>
          </w:rPr>
          <w:t>https://doi.org/10.1076/jcen.23.4.530.1227</w:t>
        </w:r>
      </w:hyperlink>
    </w:p>
    <w:p w14:paraId="7648A383" w14:textId="3AD0972C" w:rsidR="00AA4B35" w:rsidRDefault="00AA4B35" w:rsidP="00662DE6">
      <w:pPr>
        <w:spacing w:line="480" w:lineRule="auto"/>
        <w:ind w:left="567" w:hanging="567"/>
        <w:rPr>
          <w:color w:val="000000" w:themeColor="text1"/>
        </w:rPr>
      </w:pPr>
      <w:r w:rsidRPr="009039D8">
        <w:rPr>
          <w:color w:val="000000" w:themeColor="text1"/>
          <w:shd w:val="clear" w:color="auto" w:fill="FFFFFF"/>
        </w:rPr>
        <w:t xml:space="preserve">Chen, F. F. (2007). Sensitivity of goodness of fit indices to lack of measurement invariance. </w:t>
      </w:r>
      <w:r w:rsidRPr="009039D8">
        <w:rPr>
          <w:i/>
          <w:color w:val="000000" w:themeColor="text1"/>
          <w:shd w:val="clear" w:color="auto" w:fill="FFFFFF"/>
        </w:rPr>
        <w:t xml:space="preserve">Structural Equation </w:t>
      </w:r>
      <w:proofErr w:type="spellStart"/>
      <w:r w:rsidRPr="009039D8">
        <w:rPr>
          <w:i/>
          <w:color w:val="000000" w:themeColor="text1"/>
          <w:shd w:val="clear" w:color="auto" w:fill="FFFFFF"/>
        </w:rPr>
        <w:t>Modeling</w:t>
      </w:r>
      <w:proofErr w:type="spellEnd"/>
      <w:r w:rsidRPr="009039D8">
        <w:rPr>
          <w:color w:val="000000" w:themeColor="text1"/>
          <w:shd w:val="clear" w:color="auto" w:fill="FFFFFF"/>
        </w:rPr>
        <w:t xml:space="preserve">, </w:t>
      </w:r>
      <w:r w:rsidRPr="009039D8">
        <w:rPr>
          <w:i/>
          <w:color w:val="000000" w:themeColor="text1"/>
          <w:shd w:val="clear" w:color="auto" w:fill="FFFFFF"/>
        </w:rPr>
        <w:t>14</w:t>
      </w:r>
      <w:r>
        <w:rPr>
          <w:color w:val="000000" w:themeColor="text1"/>
          <w:shd w:val="clear" w:color="auto" w:fill="FFFFFF"/>
        </w:rPr>
        <w:t>(3)</w:t>
      </w:r>
      <w:r w:rsidRPr="009039D8">
        <w:rPr>
          <w:color w:val="000000" w:themeColor="text1"/>
          <w:shd w:val="clear" w:color="auto" w:fill="FFFFFF"/>
        </w:rPr>
        <w:t xml:space="preserve">, 464-504. </w:t>
      </w:r>
      <w:hyperlink r:id="rId18" w:history="1">
        <w:r w:rsidRPr="00E53D67">
          <w:rPr>
            <w:rStyle w:val="Hyperlink"/>
            <w:shd w:val="clear" w:color="auto" w:fill="FFFFFF"/>
          </w:rPr>
          <w:t>https://doi.org/10.1207/s15328007sem1203_7</w:t>
        </w:r>
      </w:hyperlink>
    </w:p>
    <w:p w14:paraId="5BB5C070" w14:textId="77777777" w:rsidR="00AA4B35" w:rsidRDefault="00AA4B35" w:rsidP="00AA4B35">
      <w:pPr>
        <w:spacing w:line="480" w:lineRule="auto"/>
        <w:ind w:left="567" w:hanging="567"/>
        <w:rPr>
          <w:color w:val="000000" w:themeColor="text1"/>
        </w:rPr>
      </w:pPr>
      <w:r w:rsidRPr="009039D8">
        <w:rPr>
          <w:color w:val="000000" w:themeColor="text1"/>
        </w:rPr>
        <w:t xml:space="preserve">Cheung, G. W., &amp; </w:t>
      </w:r>
      <w:proofErr w:type="spellStart"/>
      <w:r w:rsidRPr="009039D8">
        <w:rPr>
          <w:color w:val="000000" w:themeColor="text1"/>
        </w:rPr>
        <w:t>Rensvold</w:t>
      </w:r>
      <w:proofErr w:type="spellEnd"/>
      <w:r w:rsidRPr="009039D8">
        <w:rPr>
          <w:color w:val="000000" w:themeColor="text1"/>
        </w:rPr>
        <w:t xml:space="preserve">, R. B. (2002). Evaluating goodness-of-fit indexes for testing measurement invariance. </w:t>
      </w:r>
      <w:r w:rsidRPr="009039D8">
        <w:rPr>
          <w:i/>
          <w:iCs/>
          <w:color w:val="000000" w:themeColor="text1"/>
        </w:rPr>
        <w:t xml:space="preserve">Structural Equation </w:t>
      </w:r>
      <w:proofErr w:type="spellStart"/>
      <w:r w:rsidRPr="009039D8">
        <w:rPr>
          <w:i/>
          <w:iCs/>
          <w:color w:val="000000" w:themeColor="text1"/>
        </w:rPr>
        <w:t>Modeling</w:t>
      </w:r>
      <w:proofErr w:type="spellEnd"/>
      <w:r w:rsidRPr="009039D8">
        <w:rPr>
          <w:iCs/>
          <w:color w:val="000000" w:themeColor="text1"/>
        </w:rPr>
        <w:t>,</w:t>
      </w:r>
      <w:r w:rsidRPr="009039D8">
        <w:rPr>
          <w:i/>
          <w:iCs/>
          <w:color w:val="000000" w:themeColor="text1"/>
        </w:rPr>
        <w:t xml:space="preserve"> 9</w:t>
      </w:r>
      <w:r>
        <w:rPr>
          <w:iCs/>
          <w:color w:val="000000" w:themeColor="text1"/>
        </w:rPr>
        <w:t>(2)</w:t>
      </w:r>
      <w:r w:rsidRPr="009039D8">
        <w:rPr>
          <w:color w:val="000000" w:themeColor="text1"/>
        </w:rPr>
        <w:t xml:space="preserve">, 233-255. </w:t>
      </w:r>
      <w:hyperlink r:id="rId19" w:history="1">
        <w:r w:rsidRPr="00E53D67">
          <w:rPr>
            <w:rStyle w:val="Hyperlink"/>
          </w:rPr>
          <w:t>https://doi.org/10.1207/s15328007sem0902_5</w:t>
        </w:r>
      </w:hyperlink>
    </w:p>
    <w:p w14:paraId="4FBFF489" w14:textId="77777777" w:rsidR="00AA4B35" w:rsidRPr="003E2A90" w:rsidRDefault="00AA4B35" w:rsidP="00AA4B35">
      <w:pPr>
        <w:spacing w:line="480" w:lineRule="auto"/>
        <w:ind w:left="567" w:hanging="567"/>
        <w:rPr>
          <w:color w:val="000000" w:themeColor="text1"/>
        </w:rPr>
      </w:pPr>
      <w:proofErr w:type="spellStart"/>
      <w:r w:rsidRPr="009039D8">
        <w:rPr>
          <w:color w:val="000000" w:themeColor="text1"/>
        </w:rPr>
        <w:t>Comrey</w:t>
      </w:r>
      <w:proofErr w:type="spellEnd"/>
      <w:r w:rsidRPr="009039D8">
        <w:rPr>
          <w:color w:val="000000" w:themeColor="text1"/>
        </w:rPr>
        <w:t xml:space="preserve">, A. L., &amp; Lee, H. B. (1992). </w:t>
      </w:r>
      <w:r w:rsidRPr="009039D8">
        <w:rPr>
          <w:i/>
          <w:color w:val="000000" w:themeColor="text1"/>
        </w:rPr>
        <w:t>A first course in factor analysis</w:t>
      </w:r>
      <w:r w:rsidRPr="009039D8">
        <w:rPr>
          <w:color w:val="000000" w:themeColor="text1"/>
        </w:rPr>
        <w:t>. Lawrence Erlbaum.</w:t>
      </w:r>
    </w:p>
    <w:p w14:paraId="12151173" w14:textId="77777777" w:rsidR="00AA4B35" w:rsidRDefault="00AA4B35" w:rsidP="00AA4B35">
      <w:pPr>
        <w:spacing w:line="480" w:lineRule="auto"/>
        <w:ind w:left="567" w:hanging="567"/>
        <w:rPr>
          <w:color w:val="000000" w:themeColor="text1"/>
        </w:rPr>
      </w:pPr>
      <w:r>
        <w:rPr>
          <w:color w:val="000000" w:themeColor="text1"/>
        </w:rPr>
        <w:lastRenderedPageBreak/>
        <w:t xml:space="preserve">Craven, M. P., &amp; </w:t>
      </w:r>
      <w:proofErr w:type="spellStart"/>
      <w:r>
        <w:rPr>
          <w:color w:val="000000" w:themeColor="text1"/>
        </w:rPr>
        <w:t>Fekete</w:t>
      </w:r>
      <w:proofErr w:type="spellEnd"/>
      <w:r>
        <w:rPr>
          <w:color w:val="000000" w:themeColor="text1"/>
        </w:rPr>
        <w:t xml:space="preserve">, E. M. (2019). Weight-related shame and guilt, intuitive eating, and binge eating in female college students. </w:t>
      </w:r>
      <w:r>
        <w:rPr>
          <w:i/>
          <w:color w:val="000000" w:themeColor="text1"/>
        </w:rPr>
        <w:t xml:space="preserve">Eating </w:t>
      </w:r>
      <w:proofErr w:type="spellStart"/>
      <w:r>
        <w:rPr>
          <w:i/>
          <w:color w:val="000000" w:themeColor="text1"/>
        </w:rPr>
        <w:t>Behaviors</w:t>
      </w:r>
      <w:proofErr w:type="spellEnd"/>
      <w:r>
        <w:rPr>
          <w:color w:val="000000" w:themeColor="text1"/>
        </w:rPr>
        <w:t xml:space="preserve">, </w:t>
      </w:r>
      <w:r>
        <w:rPr>
          <w:i/>
          <w:color w:val="000000" w:themeColor="text1"/>
        </w:rPr>
        <w:t>33</w:t>
      </w:r>
      <w:r>
        <w:rPr>
          <w:color w:val="000000" w:themeColor="text1"/>
        </w:rPr>
        <w:t xml:space="preserve">, 44-48. </w:t>
      </w:r>
      <w:hyperlink r:id="rId20" w:history="1">
        <w:r w:rsidRPr="00E53D67">
          <w:rPr>
            <w:rStyle w:val="Hyperlink"/>
          </w:rPr>
          <w:t>https://doi.org/10.1016/j.eatbeh.2019.03.002</w:t>
        </w:r>
      </w:hyperlink>
    </w:p>
    <w:p w14:paraId="4D4B2EE9" w14:textId="77777777" w:rsidR="00630DC4" w:rsidRDefault="00AA4B35" w:rsidP="00630DC4">
      <w:pPr>
        <w:spacing w:line="480" w:lineRule="auto"/>
        <w:ind w:left="567" w:hanging="567"/>
        <w:rPr>
          <w:color w:val="000000" w:themeColor="text1"/>
        </w:rPr>
      </w:pPr>
      <w:r>
        <w:rPr>
          <w:color w:val="000000" w:themeColor="text1"/>
        </w:rPr>
        <w:t xml:space="preserve">da Silva, W. R., </w:t>
      </w:r>
      <w:proofErr w:type="spellStart"/>
      <w:r>
        <w:rPr>
          <w:color w:val="000000" w:themeColor="text1"/>
        </w:rPr>
        <w:t>Neves</w:t>
      </w:r>
      <w:proofErr w:type="spellEnd"/>
      <w:r>
        <w:rPr>
          <w:color w:val="000000" w:themeColor="text1"/>
        </w:rPr>
        <w:t xml:space="preserve">, A. N., Ferreira, L., Campos, J. A. D. B., &amp; Swami, V. (2019). A psychometric investigation of Brazilian Portuguese versions of the Caregiver Eating Messages Scale and the Intuitive Eating Scale-2. </w:t>
      </w:r>
      <w:r>
        <w:rPr>
          <w:i/>
          <w:color w:val="000000" w:themeColor="text1"/>
        </w:rPr>
        <w:t>Eating and Weight Disorders</w:t>
      </w:r>
      <w:r>
        <w:rPr>
          <w:color w:val="000000" w:themeColor="text1"/>
        </w:rPr>
        <w:t xml:space="preserve">, </w:t>
      </w:r>
      <w:r w:rsidRPr="00AA4B35">
        <w:rPr>
          <w:i/>
          <w:color w:val="000000" w:themeColor="text1"/>
        </w:rPr>
        <w:t>25</w:t>
      </w:r>
      <w:r>
        <w:rPr>
          <w:color w:val="000000" w:themeColor="text1"/>
        </w:rPr>
        <w:t xml:space="preserve">, </w:t>
      </w:r>
      <w:r w:rsidR="00630DC4">
        <w:rPr>
          <w:color w:val="000000" w:themeColor="text1"/>
        </w:rPr>
        <w:t xml:space="preserve">221-230. </w:t>
      </w:r>
      <w:hyperlink r:id="rId21" w:history="1">
        <w:r w:rsidR="00630DC4" w:rsidRPr="00E53D67">
          <w:rPr>
            <w:rStyle w:val="Hyperlink"/>
          </w:rPr>
          <w:t>https://doi.org/10.1007/s40519-018-0557-3</w:t>
        </w:r>
      </w:hyperlink>
    </w:p>
    <w:p w14:paraId="58537B15" w14:textId="77777777" w:rsidR="00AA4B35" w:rsidRDefault="00AA4B35" w:rsidP="00AA4B35">
      <w:pPr>
        <w:spacing w:line="480" w:lineRule="auto"/>
        <w:ind w:left="567" w:hanging="567"/>
        <w:rPr>
          <w:color w:val="000000" w:themeColor="text1"/>
        </w:rPr>
      </w:pPr>
      <w:r>
        <w:rPr>
          <w:color w:val="000000" w:themeColor="text1"/>
        </w:rPr>
        <w:t xml:space="preserve">Duarte, C., </w:t>
      </w:r>
      <w:proofErr w:type="spellStart"/>
      <w:r>
        <w:rPr>
          <w:color w:val="000000" w:themeColor="text1"/>
        </w:rPr>
        <w:t>Gouveia</w:t>
      </w:r>
      <w:proofErr w:type="spellEnd"/>
      <w:r>
        <w:rPr>
          <w:color w:val="000000" w:themeColor="text1"/>
        </w:rPr>
        <w:t xml:space="preserve">, J. P., &amp; Mendes, A. (2016). Psychometric properties of the Intuitive Eating Scale-2 and association with binge eating symptoms in a Portuguese community sample. </w:t>
      </w:r>
      <w:r>
        <w:rPr>
          <w:i/>
          <w:color w:val="000000" w:themeColor="text1"/>
        </w:rPr>
        <w:t>International Journal of Psychology and Psychological Therapy</w:t>
      </w:r>
      <w:r>
        <w:rPr>
          <w:color w:val="000000" w:themeColor="text1"/>
        </w:rPr>
        <w:t xml:space="preserve">, </w:t>
      </w:r>
      <w:r>
        <w:rPr>
          <w:i/>
          <w:color w:val="000000" w:themeColor="text1"/>
        </w:rPr>
        <w:t>16</w:t>
      </w:r>
      <w:r w:rsidR="00630DC4">
        <w:rPr>
          <w:color w:val="000000" w:themeColor="text1"/>
        </w:rPr>
        <w:t>(3)</w:t>
      </w:r>
      <w:r>
        <w:rPr>
          <w:color w:val="000000" w:themeColor="text1"/>
        </w:rPr>
        <w:t xml:space="preserve">, 329-341. </w:t>
      </w:r>
    </w:p>
    <w:p w14:paraId="15A5B7B0" w14:textId="77777777" w:rsidR="00630DC4" w:rsidRDefault="00AA4B35" w:rsidP="00630DC4">
      <w:pPr>
        <w:spacing w:line="480" w:lineRule="auto"/>
        <w:ind w:left="567" w:hanging="567"/>
        <w:rPr>
          <w:rStyle w:val="Hyperlink"/>
        </w:rPr>
      </w:pPr>
      <w:r w:rsidRPr="009039D8">
        <w:rPr>
          <w:color w:val="000000" w:themeColor="text1"/>
        </w:rPr>
        <w:t xml:space="preserve">Dunn, T. J., </w:t>
      </w:r>
      <w:proofErr w:type="spellStart"/>
      <w:r w:rsidRPr="009039D8">
        <w:rPr>
          <w:color w:val="000000" w:themeColor="text1"/>
        </w:rPr>
        <w:t>Baguley</w:t>
      </w:r>
      <w:proofErr w:type="spellEnd"/>
      <w:r w:rsidRPr="009039D8">
        <w:rPr>
          <w:color w:val="000000" w:themeColor="text1"/>
        </w:rPr>
        <w:t xml:space="preserve">, T., &amp; </w:t>
      </w:r>
      <w:proofErr w:type="spellStart"/>
      <w:r w:rsidRPr="009039D8">
        <w:rPr>
          <w:color w:val="000000" w:themeColor="text1"/>
        </w:rPr>
        <w:t>Brunsden</w:t>
      </w:r>
      <w:proofErr w:type="spellEnd"/>
      <w:r w:rsidRPr="009039D8">
        <w:rPr>
          <w:color w:val="000000" w:themeColor="text1"/>
        </w:rPr>
        <w:t xml:space="preserve">, V. (2014). From alpha to omega: A practical solution to the pervasive problem of internal consistency estimation. </w:t>
      </w:r>
      <w:r w:rsidRPr="009039D8">
        <w:rPr>
          <w:i/>
          <w:color w:val="000000" w:themeColor="text1"/>
        </w:rPr>
        <w:t>British Journal of Psychology</w:t>
      </w:r>
      <w:r w:rsidRPr="009039D8">
        <w:rPr>
          <w:color w:val="000000" w:themeColor="text1"/>
        </w:rPr>
        <w:t xml:space="preserve">, </w:t>
      </w:r>
      <w:r w:rsidRPr="009039D8">
        <w:rPr>
          <w:i/>
          <w:color w:val="000000" w:themeColor="text1"/>
        </w:rPr>
        <w:t>105</w:t>
      </w:r>
      <w:r w:rsidR="00630DC4">
        <w:rPr>
          <w:color w:val="000000" w:themeColor="text1"/>
        </w:rPr>
        <w:t>(3)</w:t>
      </w:r>
      <w:r w:rsidRPr="009039D8">
        <w:rPr>
          <w:color w:val="000000" w:themeColor="text1"/>
        </w:rPr>
        <w:t xml:space="preserve">, 399-412. </w:t>
      </w:r>
      <w:hyperlink r:id="rId22" w:history="1">
        <w:r w:rsidR="00630DC4" w:rsidRPr="00E53D67">
          <w:rPr>
            <w:rStyle w:val="Hyperlink"/>
          </w:rPr>
          <w:t>https://doi.org/10.1111/bjop.12046</w:t>
        </w:r>
      </w:hyperlink>
    </w:p>
    <w:p w14:paraId="1184935D" w14:textId="77777777" w:rsidR="004D0539" w:rsidRDefault="004D0539" w:rsidP="004D0539">
      <w:pPr>
        <w:spacing w:line="480" w:lineRule="auto"/>
        <w:ind w:left="567" w:hanging="567"/>
        <w:rPr>
          <w:color w:val="000000" w:themeColor="text1"/>
        </w:rPr>
      </w:pPr>
      <w:r w:rsidRPr="009039D8">
        <w:rPr>
          <w:color w:val="000000" w:themeColor="text1"/>
          <w:lang w:val="pt-BR"/>
        </w:rPr>
        <w:t xml:space="preserve">Fornell, C., &amp; Larcker, D. F. (1981). </w:t>
      </w:r>
      <w:r w:rsidRPr="009039D8">
        <w:rPr>
          <w:color w:val="000000" w:themeColor="text1"/>
        </w:rPr>
        <w:t xml:space="preserve">Evaluating structural equation models with unobservable variables and measurement error. </w:t>
      </w:r>
      <w:r w:rsidRPr="009039D8">
        <w:rPr>
          <w:i/>
          <w:color w:val="000000" w:themeColor="text1"/>
        </w:rPr>
        <w:t>Journal of Marketing Research</w:t>
      </w:r>
      <w:r w:rsidRPr="009039D8">
        <w:rPr>
          <w:color w:val="000000" w:themeColor="text1"/>
        </w:rPr>
        <w:t>,</w:t>
      </w:r>
      <w:r w:rsidRPr="009039D8">
        <w:rPr>
          <w:i/>
          <w:color w:val="000000" w:themeColor="text1"/>
        </w:rPr>
        <w:t xml:space="preserve"> 18</w:t>
      </w:r>
      <w:r>
        <w:rPr>
          <w:color w:val="000000" w:themeColor="text1"/>
        </w:rPr>
        <w:t>(1)</w:t>
      </w:r>
      <w:r w:rsidRPr="009039D8">
        <w:rPr>
          <w:color w:val="000000" w:themeColor="text1"/>
        </w:rPr>
        <w:t xml:space="preserve">, 39-50. </w:t>
      </w:r>
      <w:hyperlink r:id="rId23" w:history="1">
        <w:r w:rsidRPr="00E53D67">
          <w:rPr>
            <w:rStyle w:val="Hyperlink"/>
          </w:rPr>
          <w:t>https://doi.org/10.2307/3151312</w:t>
        </w:r>
      </w:hyperlink>
    </w:p>
    <w:p w14:paraId="261601A5" w14:textId="77777777" w:rsidR="00630DC4" w:rsidRDefault="00AA4B35" w:rsidP="004D0539">
      <w:pPr>
        <w:spacing w:line="480" w:lineRule="auto"/>
        <w:ind w:left="567" w:hanging="567"/>
        <w:rPr>
          <w:color w:val="000000" w:themeColor="text1"/>
        </w:rPr>
      </w:pPr>
      <w:r w:rsidRPr="009039D8">
        <w:rPr>
          <w:color w:val="000000" w:themeColor="text1"/>
        </w:rPr>
        <w:t xml:space="preserve">Hayton, J. C., Allen, D. G., &amp; Scarpello, V. (2004). Factor retention decisions in exploratory factor analysis: A tutorial on parallel analysis. </w:t>
      </w:r>
      <w:r w:rsidRPr="009039D8">
        <w:rPr>
          <w:i/>
          <w:color w:val="000000" w:themeColor="text1"/>
        </w:rPr>
        <w:t>Organizational Research Methods</w:t>
      </w:r>
      <w:r w:rsidRPr="009039D8">
        <w:rPr>
          <w:color w:val="000000" w:themeColor="text1"/>
        </w:rPr>
        <w:t xml:space="preserve">, </w:t>
      </w:r>
      <w:r w:rsidRPr="009039D8">
        <w:rPr>
          <w:i/>
          <w:color w:val="000000" w:themeColor="text1"/>
        </w:rPr>
        <w:t>7</w:t>
      </w:r>
      <w:r w:rsidR="00630DC4">
        <w:rPr>
          <w:color w:val="000000" w:themeColor="text1"/>
        </w:rPr>
        <w:t>(2)</w:t>
      </w:r>
      <w:r w:rsidRPr="009039D8">
        <w:rPr>
          <w:color w:val="000000" w:themeColor="text1"/>
        </w:rPr>
        <w:t xml:space="preserve">, 191-205. </w:t>
      </w:r>
      <w:hyperlink r:id="rId24" w:history="1">
        <w:r w:rsidR="00630DC4" w:rsidRPr="00E53D67">
          <w:rPr>
            <w:rStyle w:val="Hyperlink"/>
          </w:rPr>
          <w:t>https://doi.org/10.1177/1094428104263675</w:t>
        </w:r>
      </w:hyperlink>
    </w:p>
    <w:p w14:paraId="3549ECE3" w14:textId="77777777" w:rsidR="00EB1ED2" w:rsidRDefault="00EB1ED2" w:rsidP="00630DC4">
      <w:pPr>
        <w:spacing w:line="480" w:lineRule="auto"/>
        <w:ind w:left="567" w:hanging="567"/>
        <w:rPr>
          <w:color w:val="000000" w:themeColor="text1"/>
        </w:rPr>
      </w:pPr>
      <w:r>
        <w:rPr>
          <w:color w:val="000000" w:themeColor="text1"/>
        </w:rPr>
        <w:t xml:space="preserve">Hazzard, V. M., </w:t>
      </w:r>
      <w:proofErr w:type="spellStart"/>
      <w:r>
        <w:rPr>
          <w:color w:val="000000" w:themeColor="text1"/>
        </w:rPr>
        <w:t>Telke</w:t>
      </w:r>
      <w:proofErr w:type="spellEnd"/>
      <w:r>
        <w:rPr>
          <w:color w:val="000000" w:themeColor="text1"/>
        </w:rPr>
        <w:t xml:space="preserve">, S. E., Simone, M., Anderson, L. M., Larson, N. I., &amp; </w:t>
      </w:r>
      <w:proofErr w:type="spellStart"/>
      <w:r>
        <w:rPr>
          <w:color w:val="000000" w:themeColor="text1"/>
        </w:rPr>
        <w:t>Neumark-Sztainer</w:t>
      </w:r>
      <w:proofErr w:type="spellEnd"/>
      <w:r>
        <w:rPr>
          <w:color w:val="000000" w:themeColor="text1"/>
        </w:rPr>
        <w:t xml:space="preserve">, D. (2020). Intuitive eating longitudinally predicts better psychological health and lower use of disordered eating </w:t>
      </w:r>
      <w:proofErr w:type="spellStart"/>
      <w:r>
        <w:rPr>
          <w:color w:val="000000" w:themeColor="text1"/>
        </w:rPr>
        <w:t>behaviors</w:t>
      </w:r>
      <w:proofErr w:type="spellEnd"/>
      <w:r>
        <w:rPr>
          <w:color w:val="000000" w:themeColor="text1"/>
        </w:rPr>
        <w:t xml:space="preserve">: Findings from EAT 2010-2018. </w:t>
      </w:r>
      <w:r>
        <w:rPr>
          <w:i/>
          <w:color w:val="000000" w:themeColor="text1"/>
        </w:rPr>
        <w:t>Eating and Weight Disorders</w:t>
      </w:r>
      <w:r>
        <w:rPr>
          <w:color w:val="000000" w:themeColor="text1"/>
        </w:rPr>
        <w:t xml:space="preserve">. Advanced online publication. </w:t>
      </w:r>
      <w:hyperlink r:id="rId25" w:history="1">
        <w:r w:rsidRPr="00E53D67">
          <w:rPr>
            <w:rStyle w:val="Hyperlink"/>
          </w:rPr>
          <w:t>https://doi.org/10.1007/s40519-020-00852-4</w:t>
        </w:r>
      </w:hyperlink>
    </w:p>
    <w:p w14:paraId="7011810D" w14:textId="77777777" w:rsidR="00630DC4" w:rsidRDefault="00AA4B35" w:rsidP="00630DC4">
      <w:pPr>
        <w:spacing w:line="480" w:lineRule="auto"/>
        <w:ind w:left="567" w:hanging="567"/>
        <w:rPr>
          <w:color w:val="000000" w:themeColor="text1"/>
        </w:rPr>
      </w:pPr>
      <w:r>
        <w:rPr>
          <w:color w:val="000000" w:themeColor="text1"/>
        </w:rPr>
        <w:lastRenderedPageBreak/>
        <w:t xml:space="preserve">Homan, K. J., &amp; </w:t>
      </w:r>
      <w:proofErr w:type="spellStart"/>
      <w:r>
        <w:rPr>
          <w:color w:val="000000" w:themeColor="text1"/>
        </w:rPr>
        <w:t>Tylka</w:t>
      </w:r>
      <w:proofErr w:type="spellEnd"/>
      <w:r>
        <w:rPr>
          <w:color w:val="000000" w:themeColor="text1"/>
        </w:rPr>
        <w:t xml:space="preserve">, T. L. (2018). Development and exploration of the gratitude model of body appreciation in women. </w:t>
      </w:r>
      <w:r>
        <w:rPr>
          <w:i/>
          <w:color w:val="000000" w:themeColor="text1"/>
        </w:rPr>
        <w:t>Body Image</w:t>
      </w:r>
      <w:r>
        <w:rPr>
          <w:color w:val="000000" w:themeColor="text1"/>
        </w:rPr>
        <w:t xml:space="preserve">, </w:t>
      </w:r>
      <w:r>
        <w:rPr>
          <w:i/>
          <w:color w:val="000000" w:themeColor="text1"/>
        </w:rPr>
        <w:t>25</w:t>
      </w:r>
      <w:r>
        <w:rPr>
          <w:color w:val="000000" w:themeColor="text1"/>
        </w:rPr>
        <w:t xml:space="preserve">, 14-22. </w:t>
      </w:r>
      <w:hyperlink r:id="rId26" w:history="1">
        <w:r w:rsidR="00630DC4" w:rsidRPr="00E53D67">
          <w:rPr>
            <w:rStyle w:val="Hyperlink"/>
          </w:rPr>
          <w:t>https://doi.org/10.1016/j.bodyim.2018.01.008</w:t>
        </w:r>
      </w:hyperlink>
    </w:p>
    <w:p w14:paraId="6A90BF97" w14:textId="77777777" w:rsidR="00630DC4" w:rsidRDefault="00AA4B35" w:rsidP="00630DC4">
      <w:pPr>
        <w:spacing w:line="480" w:lineRule="auto"/>
        <w:ind w:left="567" w:hanging="567"/>
        <w:rPr>
          <w:color w:val="000000" w:themeColor="text1"/>
        </w:rPr>
      </w:pPr>
      <w:proofErr w:type="spellStart"/>
      <w:r>
        <w:rPr>
          <w:color w:val="000000" w:themeColor="text1"/>
        </w:rPr>
        <w:t>Horwath</w:t>
      </w:r>
      <w:proofErr w:type="spellEnd"/>
      <w:r>
        <w:rPr>
          <w:color w:val="000000" w:themeColor="text1"/>
        </w:rPr>
        <w:t xml:space="preserve">, C., </w:t>
      </w:r>
      <w:proofErr w:type="spellStart"/>
      <w:r>
        <w:rPr>
          <w:color w:val="000000" w:themeColor="text1"/>
        </w:rPr>
        <w:t>Hagmann</w:t>
      </w:r>
      <w:proofErr w:type="spellEnd"/>
      <w:r>
        <w:rPr>
          <w:color w:val="000000" w:themeColor="text1"/>
        </w:rPr>
        <w:t xml:space="preserve">, D., &amp; Hartmann, C. (2019). Intuitive eating and food intake in men and women: Results from the Swiss Food Panel Study. </w:t>
      </w:r>
      <w:r>
        <w:rPr>
          <w:i/>
          <w:color w:val="000000" w:themeColor="text1"/>
        </w:rPr>
        <w:t>Appetite</w:t>
      </w:r>
      <w:r>
        <w:rPr>
          <w:color w:val="000000" w:themeColor="text1"/>
        </w:rPr>
        <w:t xml:space="preserve">, </w:t>
      </w:r>
      <w:r>
        <w:rPr>
          <w:i/>
          <w:color w:val="000000" w:themeColor="text1"/>
        </w:rPr>
        <w:t>135</w:t>
      </w:r>
      <w:r>
        <w:rPr>
          <w:color w:val="000000" w:themeColor="text1"/>
        </w:rPr>
        <w:t xml:space="preserve">, 61-71. </w:t>
      </w:r>
      <w:hyperlink r:id="rId27" w:history="1">
        <w:r w:rsidR="00630DC4" w:rsidRPr="00E53D67">
          <w:rPr>
            <w:rStyle w:val="Hyperlink"/>
          </w:rPr>
          <w:t>https://doi.org/10.1016/j.appet.2018.12.036</w:t>
        </w:r>
      </w:hyperlink>
    </w:p>
    <w:p w14:paraId="4E12E509" w14:textId="77777777" w:rsidR="00630DC4" w:rsidRDefault="00AA4B35" w:rsidP="00630DC4">
      <w:pPr>
        <w:spacing w:line="480" w:lineRule="auto"/>
        <w:ind w:left="567" w:hanging="567"/>
        <w:rPr>
          <w:rStyle w:val="Hyperlink"/>
        </w:rPr>
      </w:pPr>
      <w:r w:rsidRPr="00B2121B">
        <w:t xml:space="preserve">Hu, L. T., &amp; </w:t>
      </w:r>
      <w:proofErr w:type="spellStart"/>
      <w:r w:rsidRPr="00B2121B">
        <w:t>Bentler</w:t>
      </w:r>
      <w:proofErr w:type="spellEnd"/>
      <w:r w:rsidRPr="00B2121B">
        <w:t xml:space="preserve">, P. M. (1999). </w:t>
      </w:r>
      <w:proofErr w:type="spellStart"/>
      <w:r w:rsidRPr="00B2121B">
        <w:t>Cutoff</w:t>
      </w:r>
      <w:proofErr w:type="spellEnd"/>
      <w:r w:rsidRPr="00B2121B">
        <w:t xml:space="preserve"> criteria for fit indexes in covariance structure analysis: Conventional criteria versus new alternatives. </w:t>
      </w:r>
      <w:r w:rsidRPr="00B2121B">
        <w:rPr>
          <w:i/>
        </w:rPr>
        <w:t xml:space="preserve">Structural Equation </w:t>
      </w:r>
      <w:proofErr w:type="spellStart"/>
      <w:r w:rsidRPr="00B2121B">
        <w:rPr>
          <w:i/>
        </w:rPr>
        <w:t>Modeling</w:t>
      </w:r>
      <w:proofErr w:type="spellEnd"/>
      <w:r w:rsidRPr="00B2121B">
        <w:rPr>
          <w:i/>
        </w:rPr>
        <w:t>, 6</w:t>
      </w:r>
      <w:r w:rsidR="00630DC4">
        <w:t>(1)</w:t>
      </w:r>
      <w:r w:rsidRPr="00B2121B">
        <w:t>, 1-55.</w:t>
      </w:r>
      <w:r>
        <w:t xml:space="preserve"> </w:t>
      </w:r>
      <w:hyperlink r:id="rId28" w:history="1">
        <w:r w:rsidR="00630DC4" w:rsidRPr="00E53D67">
          <w:rPr>
            <w:rStyle w:val="Hyperlink"/>
          </w:rPr>
          <w:t>https://doi.org/10.1080/10705519909540118</w:t>
        </w:r>
      </w:hyperlink>
    </w:p>
    <w:p w14:paraId="45E97AA9" w14:textId="77777777" w:rsidR="00931E83" w:rsidRPr="00931E83" w:rsidRDefault="00931E83" w:rsidP="00931E83">
      <w:pPr>
        <w:spacing w:line="480" w:lineRule="auto"/>
        <w:ind w:left="567" w:hanging="567"/>
        <w:rPr>
          <w:iCs/>
        </w:rPr>
      </w:pPr>
      <w:proofErr w:type="spellStart"/>
      <w:r w:rsidRPr="007A49E1">
        <w:t>Jenaro</w:t>
      </w:r>
      <w:proofErr w:type="spellEnd"/>
      <w:r w:rsidRPr="007A49E1">
        <w:t xml:space="preserve">, C., Flores, N., </w:t>
      </w:r>
      <w:proofErr w:type="spellStart"/>
      <w:r w:rsidRPr="007A49E1">
        <w:t>Tomsa</w:t>
      </w:r>
      <w:proofErr w:type="spellEnd"/>
      <w:r w:rsidRPr="007A49E1">
        <w:t xml:space="preserve">, R., &amp; Bermejo, M. B. (2011). Body Image Screening Questionnaire for Eating Disorder Early Detection. </w:t>
      </w:r>
      <w:r w:rsidRPr="007A49E1">
        <w:rPr>
          <w:i/>
        </w:rPr>
        <w:t>Journal of Experiential Psychotherapy</w:t>
      </w:r>
      <w:r w:rsidRPr="007A49E1">
        <w:t xml:space="preserve">, </w:t>
      </w:r>
      <w:r w:rsidRPr="007A49E1">
        <w:rPr>
          <w:i/>
        </w:rPr>
        <w:t>14</w:t>
      </w:r>
      <w:r>
        <w:t>(3)</w:t>
      </w:r>
      <w:r w:rsidRPr="007A49E1">
        <w:t>, 3-11.</w:t>
      </w:r>
    </w:p>
    <w:p w14:paraId="291390EB" w14:textId="77777777" w:rsidR="001D120D" w:rsidRDefault="001D120D" w:rsidP="00630DC4">
      <w:pPr>
        <w:spacing w:line="480" w:lineRule="auto"/>
        <w:ind w:left="567" w:hanging="567"/>
        <w:rPr>
          <w:color w:val="111111"/>
          <w:shd w:val="clear" w:color="auto" w:fill="FFFFFF"/>
        </w:rPr>
      </w:pPr>
      <w:proofErr w:type="spellStart"/>
      <w:r>
        <w:t>Jit</w:t>
      </w:r>
      <w:r w:rsidRPr="00C9770B">
        <w:rPr>
          <w:color w:val="111111"/>
          <w:shd w:val="clear" w:color="auto" w:fill="FFFFFF"/>
        </w:rPr>
        <w:t>ă</w:t>
      </w:r>
      <w:r>
        <w:rPr>
          <w:color w:val="111111"/>
          <w:shd w:val="clear" w:color="auto" w:fill="FFFFFF"/>
        </w:rPr>
        <w:t>reanu</w:t>
      </w:r>
      <w:proofErr w:type="spellEnd"/>
      <w:r>
        <w:rPr>
          <w:color w:val="111111"/>
          <w:shd w:val="clear" w:color="auto" w:fill="FFFFFF"/>
        </w:rPr>
        <w:t xml:space="preserve">, A. F., </w:t>
      </w:r>
      <w:proofErr w:type="spellStart"/>
      <w:r>
        <w:rPr>
          <w:color w:val="111111"/>
          <w:shd w:val="clear" w:color="auto" w:fill="FFFFFF"/>
        </w:rPr>
        <w:t>Leonte</w:t>
      </w:r>
      <w:proofErr w:type="spellEnd"/>
      <w:r>
        <w:rPr>
          <w:color w:val="111111"/>
          <w:shd w:val="clear" w:color="auto" w:fill="FFFFFF"/>
        </w:rPr>
        <w:t xml:space="preserve">, E., </w:t>
      </w:r>
      <w:proofErr w:type="spellStart"/>
      <w:r>
        <w:rPr>
          <w:color w:val="111111"/>
          <w:shd w:val="clear" w:color="auto" w:fill="FFFFFF"/>
        </w:rPr>
        <w:t>Chiran</w:t>
      </w:r>
      <w:proofErr w:type="spellEnd"/>
      <w:r>
        <w:rPr>
          <w:color w:val="111111"/>
          <w:shd w:val="clear" w:color="auto" w:fill="FFFFFF"/>
        </w:rPr>
        <w:t xml:space="preserve">, A., &amp; </w:t>
      </w:r>
      <w:proofErr w:type="spellStart"/>
      <w:r>
        <w:rPr>
          <w:color w:val="111111"/>
          <w:shd w:val="clear" w:color="auto" w:fill="FFFFFF"/>
        </w:rPr>
        <w:t>Drobot</w:t>
      </w:r>
      <w:r w:rsidRPr="00C9770B">
        <w:rPr>
          <w:color w:val="111111"/>
          <w:shd w:val="clear" w:color="auto" w:fill="FFFFFF"/>
        </w:rPr>
        <w:t>ă</w:t>
      </w:r>
      <w:proofErr w:type="spellEnd"/>
      <w:r>
        <w:rPr>
          <w:color w:val="111111"/>
          <w:shd w:val="clear" w:color="auto" w:fill="FFFFFF"/>
        </w:rPr>
        <w:t xml:space="preserve">, B. (2017). Transition from emotional to rational advertising for food products on the Romanian market. </w:t>
      </w:r>
      <w:proofErr w:type="spellStart"/>
      <w:r>
        <w:rPr>
          <w:i/>
          <w:color w:val="111111"/>
          <w:shd w:val="clear" w:color="auto" w:fill="FFFFFF"/>
        </w:rPr>
        <w:t>Cercetari</w:t>
      </w:r>
      <w:proofErr w:type="spellEnd"/>
      <w:r>
        <w:rPr>
          <w:i/>
          <w:color w:val="111111"/>
          <w:shd w:val="clear" w:color="auto" w:fill="FFFFFF"/>
        </w:rPr>
        <w:t xml:space="preserve"> </w:t>
      </w:r>
      <w:proofErr w:type="spellStart"/>
      <w:r>
        <w:rPr>
          <w:i/>
          <w:color w:val="111111"/>
          <w:shd w:val="clear" w:color="auto" w:fill="FFFFFF"/>
        </w:rPr>
        <w:t>Agronomice</w:t>
      </w:r>
      <w:proofErr w:type="spellEnd"/>
      <w:r>
        <w:rPr>
          <w:i/>
          <w:color w:val="111111"/>
          <w:shd w:val="clear" w:color="auto" w:fill="FFFFFF"/>
        </w:rPr>
        <w:t xml:space="preserve"> in Moldova</w:t>
      </w:r>
      <w:r>
        <w:rPr>
          <w:color w:val="111111"/>
          <w:shd w:val="clear" w:color="auto" w:fill="FFFFFF"/>
        </w:rPr>
        <w:t xml:space="preserve">, </w:t>
      </w:r>
      <w:r>
        <w:rPr>
          <w:i/>
          <w:color w:val="111111"/>
          <w:shd w:val="clear" w:color="auto" w:fill="FFFFFF"/>
        </w:rPr>
        <w:t>50</w:t>
      </w:r>
      <w:r>
        <w:rPr>
          <w:color w:val="111111"/>
          <w:shd w:val="clear" w:color="auto" w:fill="FFFFFF"/>
        </w:rPr>
        <w:t xml:space="preserve">(1), 101-108. </w:t>
      </w:r>
      <w:hyperlink r:id="rId29" w:history="1">
        <w:r w:rsidRPr="00E53D67">
          <w:rPr>
            <w:rStyle w:val="Hyperlink"/>
            <w:shd w:val="clear" w:color="auto" w:fill="FFFFFF"/>
          </w:rPr>
          <w:t>https://doi.org/10.1515/cerce-2017-0009</w:t>
        </w:r>
      </w:hyperlink>
    </w:p>
    <w:p w14:paraId="6EAB53F2" w14:textId="77777777" w:rsidR="00A91D4E" w:rsidRPr="00A91D4E" w:rsidRDefault="00A91D4E" w:rsidP="00630DC4">
      <w:pPr>
        <w:spacing w:line="480" w:lineRule="auto"/>
        <w:ind w:left="567" w:hanging="567"/>
        <w:rPr>
          <w:color w:val="000000" w:themeColor="text1"/>
        </w:rPr>
      </w:pPr>
      <w:proofErr w:type="spellStart"/>
      <w:r>
        <w:rPr>
          <w:color w:val="000000" w:themeColor="text1"/>
        </w:rPr>
        <w:t>Ivanoff</w:t>
      </w:r>
      <w:proofErr w:type="spellEnd"/>
      <w:r>
        <w:rPr>
          <w:color w:val="000000" w:themeColor="text1"/>
        </w:rPr>
        <w:t xml:space="preserve">, A. A. (2018). Adverse childhood experience mirrored in body appreciation and intuitive eating in adolescents and young adults. </w:t>
      </w:r>
      <w:r>
        <w:rPr>
          <w:i/>
          <w:color w:val="000000" w:themeColor="text1"/>
        </w:rPr>
        <w:t>Agora Psycho-</w:t>
      </w:r>
      <w:proofErr w:type="spellStart"/>
      <w:r>
        <w:rPr>
          <w:i/>
          <w:color w:val="000000" w:themeColor="text1"/>
        </w:rPr>
        <w:t>Pragmatica</w:t>
      </w:r>
      <w:proofErr w:type="spellEnd"/>
      <w:r>
        <w:rPr>
          <w:color w:val="000000" w:themeColor="text1"/>
        </w:rPr>
        <w:t xml:space="preserve">, </w:t>
      </w:r>
      <w:r>
        <w:rPr>
          <w:i/>
          <w:color w:val="000000" w:themeColor="text1"/>
        </w:rPr>
        <w:t>12</w:t>
      </w:r>
      <w:r>
        <w:rPr>
          <w:color w:val="000000" w:themeColor="text1"/>
        </w:rPr>
        <w:t xml:space="preserve">(2), 18. </w:t>
      </w:r>
    </w:p>
    <w:p w14:paraId="3DC05D2E" w14:textId="77777777" w:rsidR="00630DC4" w:rsidRDefault="00AA4B35" w:rsidP="00630DC4">
      <w:pPr>
        <w:spacing w:line="480" w:lineRule="auto"/>
        <w:ind w:left="567" w:hanging="567"/>
      </w:pPr>
      <w:r w:rsidRPr="00FE2246">
        <w:rPr>
          <w:color w:val="000000"/>
        </w:rPr>
        <w:t xml:space="preserve">Jorgensen, T. D., </w:t>
      </w:r>
      <w:proofErr w:type="spellStart"/>
      <w:r w:rsidRPr="00FE2246">
        <w:rPr>
          <w:color w:val="000000"/>
        </w:rPr>
        <w:t>Pornprasertmanit</w:t>
      </w:r>
      <w:proofErr w:type="spellEnd"/>
      <w:r w:rsidRPr="00FE2246">
        <w:rPr>
          <w:color w:val="000000"/>
        </w:rPr>
        <w:t xml:space="preserve">, S., </w:t>
      </w:r>
      <w:proofErr w:type="spellStart"/>
      <w:r w:rsidRPr="00FE2246">
        <w:rPr>
          <w:color w:val="000000"/>
        </w:rPr>
        <w:t>Schoemann</w:t>
      </w:r>
      <w:proofErr w:type="spellEnd"/>
      <w:r w:rsidRPr="00FE2246">
        <w:rPr>
          <w:color w:val="000000"/>
        </w:rPr>
        <w:t xml:space="preserve">, A. M., &amp; </w:t>
      </w:r>
      <w:proofErr w:type="spellStart"/>
      <w:r w:rsidRPr="00FE2246">
        <w:rPr>
          <w:color w:val="000000"/>
        </w:rPr>
        <w:t>Rosseel</w:t>
      </w:r>
      <w:proofErr w:type="spellEnd"/>
      <w:r w:rsidRPr="00FE2246">
        <w:rPr>
          <w:color w:val="000000"/>
        </w:rPr>
        <w:t xml:space="preserve">, Y. (2018). </w:t>
      </w:r>
      <w:proofErr w:type="spellStart"/>
      <w:r w:rsidRPr="00FE2246">
        <w:rPr>
          <w:color w:val="000000"/>
        </w:rPr>
        <w:t>semTools</w:t>
      </w:r>
      <w:proofErr w:type="spellEnd"/>
      <w:r w:rsidRPr="00FE2246">
        <w:rPr>
          <w:color w:val="000000"/>
        </w:rPr>
        <w:t xml:space="preserve">: Useful tools for structural equation </w:t>
      </w:r>
      <w:proofErr w:type="spellStart"/>
      <w:r w:rsidRPr="00FE2246">
        <w:rPr>
          <w:color w:val="000000"/>
        </w:rPr>
        <w:t>modeling</w:t>
      </w:r>
      <w:proofErr w:type="spellEnd"/>
      <w:r w:rsidRPr="00FE2246">
        <w:rPr>
          <w:color w:val="000000"/>
        </w:rPr>
        <w:t xml:space="preserve">. </w:t>
      </w:r>
      <w:r w:rsidRPr="00FE2246">
        <w:rPr>
          <w:i/>
          <w:color w:val="000000"/>
        </w:rPr>
        <w:t>R</w:t>
      </w:r>
      <w:r w:rsidRPr="00FE2246">
        <w:rPr>
          <w:color w:val="000000"/>
        </w:rPr>
        <w:t xml:space="preserve"> package version 0.5-1. </w:t>
      </w:r>
      <w:hyperlink r:id="rId30" w:history="1">
        <w:r w:rsidR="00630DC4" w:rsidRPr="00E53D67">
          <w:rPr>
            <w:rStyle w:val="Hyperlink"/>
          </w:rPr>
          <w:t>https://CRAN.R-project.org/package=semTools</w:t>
        </w:r>
      </w:hyperlink>
    </w:p>
    <w:p w14:paraId="17C387B4" w14:textId="77777777" w:rsidR="00630DC4" w:rsidRDefault="00AA4B35" w:rsidP="00630DC4">
      <w:pPr>
        <w:spacing w:line="480" w:lineRule="auto"/>
        <w:ind w:left="567" w:hanging="567"/>
        <w:rPr>
          <w:color w:val="000000" w:themeColor="text1"/>
        </w:rPr>
      </w:pPr>
      <w:proofErr w:type="spellStart"/>
      <w:r>
        <w:rPr>
          <w:color w:val="000000" w:themeColor="text1"/>
        </w:rPr>
        <w:t>Keirns</w:t>
      </w:r>
      <w:proofErr w:type="spellEnd"/>
      <w:r>
        <w:rPr>
          <w:color w:val="000000" w:themeColor="text1"/>
        </w:rPr>
        <w:t xml:space="preserve">, N. G., &amp; Hawkins, A. W. (2019). The relationship between intuitive eating and body image is moderated by measured body mass index. </w:t>
      </w:r>
      <w:r>
        <w:rPr>
          <w:i/>
          <w:color w:val="000000" w:themeColor="text1"/>
        </w:rPr>
        <w:t xml:space="preserve">Eating </w:t>
      </w:r>
      <w:proofErr w:type="spellStart"/>
      <w:r>
        <w:rPr>
          <w:i/>
          <w:color w:val="000000" w:themeColor="text1"/>
        </w:rPr>
        <w:t>Behaviors</w:t>
      </w:r>
      <w:proofErr w:type="spellEnd"/>
      <w:r>
        <w:rPr>
          <w:color w:val="000000" w:themeColor="text1"/>
        </w:rPr>
        <w:t xml:space="preserve">, </w:t>
      </w:r>
      <w:r>
        <w:rPr>
          <w:i/>
          <w:color w:val="000000" w:themeColor="text1"/>
        </w:rPr>
        <w:t>33</w:t>
      </w:r>
      <w:r>
        <w:rPr>
          <w:color w:val="000000" w:themeColor="text1"/>
        </w:rPr>
        <w:t xml:space="preserve">, 91-96. </w:t>
      </w:r>
      <w:hyperlink r:id="rId31" w:history="1">
        <w:r w:rsidR="00630DC4" w:rsidRPr="00E53D67">
          <w:rPr>
            <w:rStyle w:val="Hyperlink"/>
          </w:rPr>
          <w:t>https://doi.org/10.1016/j.eatbeh.2019.04.004</w:t>
        </w:r>
      </w:hyperlink>
    </w:p>
    <w:p w14:paraId="4339BDA3" w14:textId="77777777" w:rsidR="00630DC4" w:rsidRDefault="00AA4B35" w:rsidP="00630DC4">
      <w:pPr>
        <w:spacing w:line="480" w:lineRule="auto"/>
        <w:ind w:left="567" w:hanging="567"/>
        <w:rPr>
          <w:color w:val="000000" w:themeColor="text1"/>
        </w:rPr>
      </w:pPr>
      <w:proofErr w:type="spellStart"/>
      <w:r>
        <w:rPr>
          <w:color w:val="000000" w:themeColor="text1"/>
        </w:rPr>
        <w:lastRenderedPageBreak/>
        <w:t>Khalsa</w:t>
      </w:r>
      <w:proofErr w:type="spellEnd"/>
      <w:r>
        <w:rPr>
          <w:color w:val="000000" w:themeColor="text1"/>
        </w:rPr>
        <w:t xml:space="preserve">, A. S., </w:t>
      </w:r>
      <w:proofErr w:type="spellStart"/>
      <w:r>
        <w:rPr>
          <w:color w:val="000000" w:themeColor="text1"/>
        </w:rPr>
        <w:t>Stough</w:t>
      </w:r>
      <w:proofErr w:type="spellEnd"/>
      <w:r>
        <w:rPr>
          <w:color w:val="000000" w:themeColor="text1"/>
        </w:rPr>
        <w:t xml:space="preserve">, C. O., Garr, K., Copeland, K. A., </w:t>
      </w:r>
      <w:proofErr w:type="spellStart"/>
      <w:r>
        <w:rPr>
          <w:color w:val="000000" w:themeColor="text1"/>
        </w:rPr>
        <w:t>Kharofa</w:t>
      </w:r>
      <w:proofErr w:type="spellEnd"/>
      <w:r>
        <w:rPr>
          <w:color w:val="000000" w:themeColor="text1"/>
        </w:rPr>
        <w:t xml:space="preserve">, R. Y., &amp; Woo, J. G. (2019). Factor structure of the Intuitive Eating Scale-2 among a low-income and racial minority population. </w:t>
      </w:r>
      <w:r>
        <w:rPr>
          <w:i/>
          <w:color w:val="000000" w:themeColor="text1"/>
        </w:rPr>
        <w:t>Appetite</w:t>
      </w:r>
      <w:r>
        <w:rPr>
          <w:color w:val="000000" w:themeColor="text1"/>
        </w:rPr>
        <w:t xml:space="preserve">, </w:t>
      </w:r>
      <w:r>
        <w:rPr>
          <w:i/>
          <w:color w:val="000000" w:themeColor="text1"/>
        </w:rPr>
        <w:t>142</w:t>
      </w:r>
      <w:r>
        <w:rPr>
          <w:color w:val="000000" w:themeColor="text1"/>
        </w:rPr>
        <w:t xml:space="preserve">, 104390. </w:t>
      </w:r>
      <w:hyperlink r:id="rId32" w:history="1">
        <w:r w:rsidR="00630DC4" w:rsidRPr="00E53D67">
          <w:rPr>
            <w:rStyle w:val="Hyperlink"/>
          </w:rPr>
          <w:t>https://doi.org/10.1016/j.appet.2019.104390</w:t>
        </w:r>
      </w:hyperlink>
    </w:p>
    <w:p w14:paraId="192CE75D" w14:textId="77777777" w:rsidR="00AA4B35" w:rsidRPr="00630DC4" w:rsidRDefault="00AA4B35" w:rsidP="00630DC4">
      <w:pPr>
        <w:spacing w:line="480" w:lineRule="auto"/>
        <w:ind w:left="567" w:hanging="567"/>
        <w:rPr>
          <w:color w:val="000000" w:themeColor="text1"/>
        </w:rPr>
      </w:pPr>
      <w:proofErr w:type="spellStart"/>
      <w:r w:rsidRPr="00FE2246">
        <w:rPr>
          <w:color w:val="000000"/>
        </w:rPr>
        <w:t>Korkmaz</w:t>
      </w:r>
      <w:proofErr w:type="spellEnd"/>
      <w:r w:rsidRPr="00FE2246">
        <w:rPr>
          <w:color w:val="000000"/>
        </w:rPr>
        <w:t xml:space="preserve">, S., </w:t>
      </w:r>
      <w:proofErr w:type="spellStart"/>
      <w:r w:rsidRPr="00FE2246">
        <w:rPr>
          <w:color w:val="000000"/>
        </w:rPr>
        <w:t>Goksuluk</w:t>
      </w:r>
      <w:proofErr w:type="spellEnd"/>
      <w:r w:rsidRPr="00FE2246">
        <w:rPr>
          <w:color w:val="000000"/>
        </w:rPr>
        <w:t>, D.</w:t>
      </w:r>
      <w:r>
        <w:rPr>
          <w:color w:val="000000"/>
        </w:rPr>
        <w:t>,</w:t>
      </w:r>
      <w:r w:rsidRPr="00FE2246">
        <w:rPr>
          <w:color w:val="000000"/>
        </w:rPr>
        <w:t xml:space="preserve"> &amp; </w:t>
      </w:r>
      <w:proofErr w:type="spellStart"/>
      <w:r w:rsidRPr="00FE2246">
        <w:rPr>
          <w:color w:val="000000"/>
        </w:rPr>
        <w:t>Zararsiz</w:t>
      </w:r>
      <w:proofErr w:type="spellEnd"/>
      <w:r w:rsidRPr="00FE2246">
        <w:rPr>
          <w:color w:val="000000"/>
        </w:rPr>
        <w:t>, G. (2014)</w:t>
      </w:r>
      <w:r>
        <w:rPr>
          <w:color w:val="000000"/>
        </w:rPr>
        <w:t>.</w:t>
      </w:r>
      <w:r w:rsidRPr="00FE2246">
        <w:rPr>
          <w:color w:val="000000"/>
        </w:rPr>
        <w:t xml:space="preserve"> MVN: An </w:t>
      </w:r>
      <w:r w:rsidRPr="00FE2246">
        <w:rPr>
          <w:i/>
          <w:color w:val="000000"/>
        </w:rPr>
        <w:t>R</w:t>
      </w:r>
      <w:r>
        <w:rPr>
          <w:color w:val="000000"/>
        </w:rPr>
        <w:t xml:space="preserve"> package for assessing multivariate n</w:t>
      </w:r>
      <w:r w:rsidRPr="00FE2246">
        <w:rPr>
          <w:color w:val="000000"/>
        </w:rPr>
        <w:t>ormality. </w:t>
      </w:r>
      <w:r w:rsidRPr="00FE2246">
        <w:rPr>
          <w:i/>
          <w:iCs/>
          <w:color w:val="000000"/>
        </w:rPr>
        <w:t>The R Journal</w:t>
      </w:r>
      <w:r w:rsidRPr="00FE2246">
        <w:rPr>
          <w:iCs/>
          <w:color w:val="000000"/>
        </w:rPr>
        <w:t>,</w:t>
      </w:r>
      <w:r w:rsidRPr="00FE2246">
        <w:rPr>
          <w:color w:val="000000"/>
        </w:rPr>
        <w:t> </w:t>
      </w:r>
      <w:r w:rsidRPr="00FE2246">
        <w:rPr>
          <w:i/>
          <w:iCs/>
          <w:color w:val="000000"/>
        </w:rPr>
        <w:t>6</w:t>
      </w:r>
      <w:r w:rsidRPr="00FE2246">
        <w:rPr>
          <w:iCs/>
          <w:color w:val="000000"/>
        </w:rPr>
        <w:t>,</w:t>
      </w:r>
      <w:r w:rsidRPr="00FE2246">
        <w:rPr>
          <w:color w:val="000000"/>
        </w:rPr>
        <w:t> 151-162.</w:t>
      </w:r>
    </w:p>
    <w:p w14:paraId="6AB4A9C2" w14:textId="77777777" w:rsidR="00AA4B35" w:rsidRDefault="00AA4B35" w:rsidP="00AA4B35">
      <w:pPr>
        <w:spacing w:line="480" w:lineRule="auto"/>
        <w:ind w:left="720" w:hanging="720"/>
        <w:rPr>
          <w:color w:val="000000" w:themeColor="text1"/>
          <w:bdr w:val="none" w:sz="0" w:space="0" w:color="auto" w:frame="1"/>
        </w:rPr>
      </w:pPr>
      <w:r w:rsidRPr="009039D8">
        <w:rPr>
          <w:color w:val="000000" w:themeColor="text1"/>
          <w:bdr w:val="none" w:sz="0" w:space="0" w:color="auto" w:frame="1"/>
        </w:rPr>
        <w:t xml:space="preserve">Little, R. J. A. (1988). A test of missing completely at random for multivariate data with missing values. </w:t>
      </w:r>
      <w:r w:rsidRPr="009039D8">
        <w:rPr>
          <w:i/>
          <w:color w:val="000000" w:themeColor="text1"/>
          <w:bdr w:val="none" w:sz="0" w:space="0" w:color="auto" w:frame="1"/>
        </w:rPr>
        <w:t>Journal of the American Statistical Association</w:t>
      </w:r>
      <w:r w:rsidRPr="009039D8">
        <w:rPr>
          <w:color w:val="000000" w:themeColor="text1"/>
          <w:bdr w:val="none" w:sz="0" w:space="0" w:color="auto" w:frame="1"/>
        </w:rPr>
        <w:t xml:space="preserve">, </w:t>
      </w:r>
      <w:r w:rsidRPr="009039D8">
        <w:rPr>
          <w:i/>
          <w:color w:val="000000" w:themeColor="text1"/>
          <w:bdr w:val="none" w:sz="0" w:space="0" w:color="auto" w:frame="1"/>
        </w:rPr>
        <w:t>83</w:t>
      </w:r>
      <w:r w:rsidR="00630DC4">
        <w:rPr>
          <w:color w:val="000000" w:themeColor="text1"/>
          <w:bdr w:val="none" w:sz="0" w:space="0" w:color="auto" w:frame="1"/>
        </w:rPr>
        <w:t>(404)</w:t>
      </w:r>
      <w:r w:rsidRPr="009039D8">
        <w:rPr>
          <w:color w:val="000000" w:themeColor="text1"/>
          <w:bdr w:val="none" w:sz="0" w:space="0" w:color="auto" w:frame="1"/>
        </w:rPr>
        <w:t xml:space="preserve">, 1198-1202. </w:t>
      </w:r>
    </w:p>
    <w:p w14:paraId="2FE1628D" w14:textId="4797E1FD" w:rsidR="00630DC4" w:rsidRDefault="00AA4B35" w:rsidP="00630DC4">
      <w:pPr>
        <w:spacing w:line="480" w:lineRule="auto"/>
        <w:ind w:left="567" w:hanging="567"/>
        <w:rPr>
          <w:rStyle w:val="Hyperlink"/>
        </w:rPr>
      </w:pPr>
      <w:r w:rsidRPr="009039D8">
        <w:rPr>
          <w:color w:val="000000" w:themeColor="text1"/>
        </w:rPr>
        <w:t>Lorenzo-</w:t>
      </w:r>
      <w:proofErr w:type="spellStart"/>
      <w:r w:rsidRPr="009039D8">
        <w:rPr>
          <w:color w:val="000000" w:themeColor="text1"/>
        </w:rPr>
        <w:t>Seva</w:t>
      </w:r>
      <w:proofErr w:type="spellEnd"/>
      <w:r w:rsidRPr="009039D8">
        <w:rPr>
          <w:color w:val="000000" w:themeColor="text1"/>
        </w:rPr>
        <w:t xml:space="preserve">, U., &amp; ten Berge, J. M. F. (2006). Tucker’s congruence coefficient as a meaningful index of factor similarity. </w:t>
      </w:r>
      <w:r w:rsidRPr="009039D8">
        <w:rPr>
          <w:i/>
          <w:color w:val="000000" w:themeColor="text1"/>
        </w:rPr>
        <w:t>Methodology</w:t>
      </w:r>
      <w:r w:rsidRPr="009039D8">
        <w:rPr>
          <w:color w:val="000000" w:themeColor="text1"/>
        </w:rPr>
        <w:t xml:space="preserve">, </w:t>
      </w:r>
      <w:r w:rsidRPr="009039D8">
        <w:rPr>
          <w:i/>
          <w:color w:val="000000" w:themeColor="text1"/>
        </w:rPr>
        <w:t>2</w:t>
      </w:r>
      <w:r w:rsidR="00630DC4">
        <w:rPr>
          <w:color w:val="000000" w:themeColor="text1"/>
        </w:rPr>
        <w:t>(2)</w:t>
      </w:r>
      <w:r w:rsidRPr="009039D8">
        <w:rPr>
          <w:color w:val="000000" w:themeColor="text1"/>
        </w:rPr>
        <w:t xml:space="preserve">, 57-64. </w:t>
      </w:r>
      <w:hyperlink r:id="rId33" w:history="1">
        <w:r w:rsidR="00630DC4" w:rsidRPr="00E53D67">
          <w:rPr>
            <w:rStyle w:val="Hyperlink"/>
          </w:rPr>
          <w:t>https://doi.org/10.1027/1614-1881.2.2.57</w:t>
        </w:r>
      </w:hyperlink>
    </w:p>
    <w:p w14:paraId="28C59282" w14:textId="30DE8274" w:rsidR="00F74EFE" w:rsidRDefault="00F74EFE" w:rsidP="00630DC4">
      <w:pPr>
        <w:spacing w:line="480" w:lineRule="auto"/>
        <w:ind w:left="567" w:hanging="567"/>
        <w:rPr>
          <w:color w:val="000000" w:themeColor="text1"/>
        </w:rPr>
      </w:pPr>
      <w:proofErr w:type="spellStart"/>
      <w:r w:rsidRPr="007F599A">
        <w:rPr>
          <w:color w:val="000000" w:themeColor="text1"/>
        </w:rPr>
        <w:t>L</w:t>
      </w:r>
      <w:r>
        <w:rPr>
          <w:color w:val="000000" w:themeColor="text1"/>
        </w:rPr>
        <w:t>otrean</w:t>
      </w:r>
      <w:proofErr w:type="spellEnd"/>
      <w:r>
        <w:rPr>
          <w:color w:val="000000" w:themeColor="text1"/>
        </w:rPr>
        <w:t xml:space="preserve">, L.-M., </w:t>
      </w:r>
      <w:r w:rsidR="001A541B">
        <w:rPr>
          <w:color w:val="000000" w:themeColor="text1"/>
        </w:rPr>
        <w:t xml:space="preserve">Stan, O., </w:t>
      </w:r>
      <w:proofErr w:type="spellStart"/>
      <w:r w:rsidR="001A541B">
        <w:rPr>
          <w:color w:val="000000" w:themeColor="text1"/>
        </w:rPr>
        <w:t>Lencu</w:t>
      </w:r>
      <w:proofErr w:type="spellEnd"/>
      <w:r w:rsidR="001A541B">
        <w:rPr>
          <w:color w:val="000000" w:themeColor="text1"/>
        </w:rPr>
        <w:t xml:space="preserve">, C., &amp; </w:t>
      </w:r>
      <w:proofErr w:type="spellStart"/>
      <w:r w:rsidR="001A541B">
        <w:rPr>
          <w:color w:val="000000" w:themeColor="text1"/>
        </w:rPr>
        <w:t>Laza</w:t>
      </w:r>
      <w:proofErr w:type="spellEnd"/>
      <w:r w:rsidR="001A541B">
        <w:rPr>
          <w:color w:val="000000" w:themeColor="text1"/>
        </w:rPr>
        <w:t xml:space="preserve">, V. (2018). Dietary patterns, physical activity, body mass index, weight-related behaviours and their interrelationship among Romanian university students: Trends from 2003 to 2016. </w:t>
      </w:r>
      <w:proofErr w:type="spellStart"/>
      <w:r w:rsidR="001A541B">
        <w:rPr>
          <w:i/>
          <w:color w:val="000000" w:themeColor="text1"/>
        </w:rPr>
        <w:t>Nutrición</w:t>
      </w:r>
      <w:proofErr w:type="spellEnd"/>
      <w:r w:rsidR="001A541B">
        <w:rPr>
          <w:i/>
          <w:color w:val="000000" w:themeColor="text1"/>
        </w:rPr>
        <w:t xml:space="preserve"> </w:t>
      </w:r>
      <w:proofErr w:type="spellStart"/>
      <w:r w:rsidR="001A541B">
        <w:rPr>
          <w:i/>
          <w:color w:val="000000" w:themeColor="text1"/>
        </w:rPr>
        <w:t>Hospitalaria</w:t>
      </w:r>
      <w:proofErr w:type="spellEnd"/>
      <w:r w:rsidR="001A541B">
        <w:rPr>
          <w:color w:val="000000" w:themeColor="text1"/>
        </w:rPr>
        <w:t xml:space="preserve">, </w:t>
      </w:r>
      <w:r w:rsidR="001A541B">
        <w:rPr>
          <w:i/>
          <w:color w:val="000000" w:themeColor="text1"/>
        </w:rPr>
        <w:t>35</w:t>
      </w:r>
      <w:r w:rsidR="001A541B">
        <w:rPr>
          <w:color w:val="000000" w:themeColor="text1"/>
        </w:rPr>
        <w:t xml:space="preserve">(2), 375-383. </w:t>
      </w:r>
      <w:hyperlink r:id="rId34" w:history="1">
        <w:r w:rsidR="001A541B" w:rsidRPr="00785ED3">
          <w:rPr>
            <w:rStyle w:val="Hyperlink"/>
          </w:rPr>
          <w:t>https://doi.org/10.20960/nh.1296</w:t>
        </w:r>
      </w:hyperlink>
    </w:p>
    <w:p w14:paraId="748E845A" w14:textId="77777777" w:rsidR="007F599A" w:rsidRDefault="007F599A" w:rsidP="007F599A">
      <w:pPr>
        <w:spacing w:line="480" w:lineRule="auto"/>
        <w:ind w:left="567" w:hanging="567"/>
        <w:rPr>
          <w:color w:val="000000" w:themeColor="text1"/>
          <w:spacing w:val="4"/>
          <w:shd w:val="clear" w:color="auto" w:fill="FCFCFC"/>
        </w:rPr>
      </w:pPr>
      <w:proofErr w:type="spellStart"/>
      <w:r w:rsidRPr="007F599A">
        <w:rPr>
          <w:color w:val="000000" w:themeColor="text1"/>
        </w:rPr>
        <w:t>Lyubomirsky</w:t>
      </w:r>
      <w:proofErr w:type="spellEnd"/>
      <w:r w:rsidRPr="007F599A">
        <w:rPr>
          <w:color w:val="000000" w:themeColor="text1"/>
        </w:rPr>
        <w:t xml:space="preserve">, S., &amp; </w:t>
      </w:r>
      <w:proofErr w:type="spellStart"/>
      <w:r w:rsidRPr="007F599A">
        <w:rPr>
          <w:color w:val="000000" w:themeColor="text1"/>
        </w:rPr>
        <w:t>Lepper</w:t>
      </w:r>
      <w:proofErr w:type="spellEnd"/>
      <w:r w:rsidRPr="007F599A">
        <w:rPr>
          <w:color w:val="000000" w:themeColor="text1"/>
        </w:rPr>
        <w:t xml:space="preserve">, H. S. (1999). A measure of subjective happiness: Preliminary reliability and construct validation. </w:t>
      </w:r>
      <w:r w:rsidRPr="007F599A">
        <w:rPr>
          <w:i/>
          <w:color w:val="000000" w:themeColor="text1"/>
        </w:rPr>
        <w:t>Social Indicators Research</w:t>
      </w:r>
      <w:r w:rsidRPr="007F599A">
        <w:rPr>
          <w:color w:val="000000" w:themeColor="text1"/>
        </w:rPr>
        <w:t xml:space="preserve">, </w:t>
      </w:r>
      <w:r w:rsidRPr="007F599A">
        <w:rPr>
          <w:i/>
          <w:color w:val="000000" w:themeColor="text1"/>
        </w:rPr>
        <w:t>46</w:t>
      </w:r>
      <w:r w:rsidRPr="007F599A">
        <w:rPr>
          <w:color w:val="000000" w:themeColor="text1"/>
        </w:rPr>
        <w:t xml:space="preserve">, 137-155. </w:t>
      </w:r>
      <w:hyperlink r:id="rId35" w:history="1">
        <w:r w:rsidRPr="00E53D67">
          <w:rPr>
            <w:rStyle w:val="Hyperlink"/>
          </w:rPr>
          <w:t>https://doi.org/</w:t>
        </w:r>
        <w:r w:rsidRPr="00E53D67">
          <w:rPr>
            <w:rStyle w:val="Hyperlink"/>
            <w:spacing w:val="4"/>
            <w:shd w:val="clear" w:color="auto" w:fill="FCFCFC"/>
          </w:rPr>
          <w:t>10.1023/A:1006824100041</w:t>
        </w:r>
      </w:hyperlink>
    </w:p>
    <w:p w14:paraId="1A785554" w14:textId="77777777" w:rsidR="00CB24BB" w:rsidRPr="007F599A" w:rsidRDefault="00CB24BB" w:rsidP="007F599A">
      <w:pPr>
        <w:spacing w:line="480" w:lineRule="auto"/>
        <w:ind w:left="567" w:hanging="567"/>
        <w:rPr>
          <w:color w:val="000000" w:themeColor="text1"/>
          <w:spacing w:val="4"/>
          <w:shd w:val="clear" w:color="auto" w:fill="FCFCFC"/>
        </w:rPr>
      </w:pPr>
      <w:proofErr w:type="spellStart"/>
      <w:r>
        <w:rPr>
          <w:color w:val="000000" w:themeColor="text1"/>
        </w:rPr>
        <w:t>Madanat</w:t>
      </w:r>
      <w:proofErr w:type="spellEnd"/>
      <w:r>
        <w:rPr>
          <w:color w:val="000000" w:themeColor="text1"/>
        </w:rPr>
        <w:t>, H., Hawks, J., Gonzales, A., Miranda, E., Walsh-</w:t>
      </w:r>
      <w:proofErr w:type="spellStart"/>
      <w:r>
        <w:rPr>
          <w:color w:val="000000" w:themeColor="text1"/>
        </w:rPr>
        <w:t>Buhi</w:t>
      </w:r>
      <w:proofErr w:type="spellEnd"/>
      <w:r>
        <w:rPr>
          <w:color w:val="000000" w:themeColor="text1"/>
        </w:rPr>
        <w:t xml:space="preserve">, E. R., Takemoto, M., &amp; </w:t>
      </w:r>
      <w:proofErr w:type="spellStart"/>
      <w:r>
        <w:rPr>
          <w:color w:val="000000" w:themeColor="text1"/>
        </w:rPr>
        <w:t>Gaida</w:t>
      </w:r>
      <w:proofErr w:type="spellEnd"/>
      <w:r>
        <w:rPr>
          <w:color w:val="000000" w:themeColor="text1"/>
        </w:rPr>
        <w:t xml:space="preserve">, E. (2020). Assessing evidence of validity for the Intuitive Eating Scale-2 among adult Latina women. </w:t>
      </w:r>
      <w:r>
        <w:rPr>
          <w:i/>
          <w:color w:val="000000" w:themeColor="text1"/>
        </w:rPr>
        <w:t>Health</w:t>
      </w:r>
      <w:r>
        <w:rPr>
          <w:color w:val="000000" w:themeColor="text1"/>
        </w:rPr>
        <w:t xml:space="preserve">, </w:t>
      </w:r>
      <w:r>
        <w:rPr>
          <w:i/>
          <w:color w:val="000000" w:themeColor="text1"/>
        </w:rPr>
        <w:t>12</w:t>
      </w:r>
      <w:r>
        <w:rPr>
          <w:color w:val="000000" w:themeColor="text1"/>
        </w:rPr>
        <w:t xml:space="preserve">(4), 99310. </w:t>
      </w:r>
      <w:hyperlink r:id="rId36" w:history="1">
        <w:r w:rsidRPr="00E53D67">
          <w:rPr>
            <w:rStyle w:val="Hyperlink"/>
          </w:rPr>
          <w:t>https://doi.org/health.2020.124024</w:t>
        </w:r>
      </w:hyperlink>
    </w:p>
    <w:p w14:paraId="055FD727" w14:textId="77777777" w:rsidR="001A541B" w:rsidRDefault="00AA4B35" w:rsidP="00CB24BB">
      <w:pPr>
        <w:spacing w:line="480" w:lineRule="auto"/>
        <w:ind w:left="567" w:hanging="567"/>
        <w:rPr>
          <w:rFonts w:eastAsia="Hiragino Kaku Gothic StdN W8"/>
          <w:color w:val="000000" w:themeColor="text1"/>
          <w:shd w:val="clear" w:color="auto" w:fill="FFFFFF"/>
        </w:rPr>
      </w:pPr>
      <w:r w:rsidRPr="009039D8">
        <w:rPr>
          <w:rFonts w:eastAsia="Hiragino Kaku Gothic StdN W8"/>
          <w:color w:val="000000" w:themeColor="text1"/>
          <w:shd w:val="clear" w:color="auto" w:fill="FFFFFF"/>
        </w:rPr>
        <w:t xml:space="preserve">Malhotra, N. K., &amp; Dash, S. (2011). </w:t>
      </w:r>
      <w:r w:rsidRPr="009039D8">
        <w:rPr>
          <w:rFonts w:eastAsia="Hiragino Kaku Gothic StdN W8"/>
          <w:i/>
          <w:color w:val="000000" w:themeColor="text1"/>
          <w:shd w:val="clear" w:color="auto" w:fill="FFFFFF"/>
        </w:rPr>
        <w:t>Marketing research: An applied orientation</w:t>
      </w:r>
      <w:r w:rsidRPr="009039D8">
        <w:rPr>
          <w:rFonts w:eastAsia="Hiragino Kaku Gothic StdN W8"/>
          <w:color w:val="000000" w:themeColor="text1"/>
          <w:shd w:val="clear" w:color="auto" w:fill="FFFFFF"/>
        </w:rPr>
        <w:t>. Pearson.</w:t>
      </w:r>
    </w:p>
    <w:p w14:paraId="11AA85B4" w14:textId="16C3BFE6" w:rsidR="001A541B" w:rsidRPr="001A541B" w:rsidRDefault="001A541B" w:rsidP="00CB24BB">
      <w:pPr>
        <w:spacing w:line="480" w:lineRule="auto"/>
        <w:ind w:left="567" w:hanging="567"/>
        <w:rPr>
          <w:rFonts w:eastAsia="Hiragino Kaku Gothic StdN W8"/>
          <w:color w:val="000000" w:themeColor="text1"/>
          <w:shd w:val="clear" w:color="auto" w:fill="FFFFFF"/>
        </w:rPr>
      </w:pPr>
      <w:proofErr w:type="spellStart"/>
      <w:r>
        <w:rPr>
          <w:rFonts w:eastAsia="Hiragino Kaku Gothic StdN W8"/>
          <w:color w:val="000000" w:themeColor="text1"/>
          <w:shd w:val="clear" w:color="auto" w:fill="FFFFFF"/>
        </w:rPr>
        <w:t>Marinescu</w:t>
      </w:r>
      <w:proofErr w:type="spellEnd"/>
      <w:r>
        <w:rPr>
          <w:rFonts w:eastAsia="Hiragino Kaku Gothic StdN W8"/>
          <w:color w:val="000000" w:themeColor="text1"/>
          <w:shd w:val="clear" w:color="auto" w:fill="FFFFFF"/>
        </w:rPr>
        <w:t xml:space="preserve">, V. (2019). Romanian media coverage of food: Between emotional diets and rational </w:t>
      </w:r>
      <w:r w:rsidRPr="001A541B">
        <w:rPr>
          <w:rFonts w:eastAsia="Hiragino Kaku Gothic StdN W8"/>
          <w:color w:val="000000" w:themeColor="text1"/>
          <w:shd w:val="clear" w:color="auto" w:fill="FFFFFF"/>
        </w:rPr>
        <w:t xml:space="preserve">medical advices. </w:t>
      </w:r>
      <w:r w:rsidRPr="001A541B">
        <w:rPr>
          <w:i/>
          <w:color w:val="000000"/>
        </w:rPr>
        <w:t>ЮГОЗАПАДЕН УНИВЕРСИТЕТ</w:t>
      </w:r>
      <w:r>
        <w:rPr>
          <w:color w:val="000000"/>
        </w:rPr>
        <w:t xml:space="preserve">, </w:t>
      </w:r>
      <w:r>
        <w:rPr>
          <w:i/>
          <w:color w:val="000000"/>
        </w:rPr>
        <w:t>9</w:t>
      </w:r>
      <w:r>
        <w:rPr>
          <w:color w:val="000000"/>
        </w:rPr>
        <w:t xml:space="preserve">(2), 318-336. </w:t>
      </w:r>
    </w:p>
    <w:p w14:paraId="3E23A791" w14:textId="77777777" w:rsidR="00630DC4" w:rsidRDefault="00AA4B35" w:rsidP="00630DC4">
      <w:pPr>
        <w:spacing w:line="480" w:lineRule="auto"/>
        <w:ind w:left="567" w:hanging="567"/>
        <w:rPr>
          <w:color w:val="000000" w:themeColor="text1"/>
        </w:rPr>
      </w:pPr>
      <w:r w:rsidRPr="009361B1">
        <w:rPr>
          <w:color w:val="000000" w:themeColor="text1"/>
        </w:rPr>
        <w:lastRenderedPageBreak/>
        <w:t xml:space="preserve">Meade, A. W., Johnson, E. C., &amp; </w:t>
      </w:r>
      <w:proofErr w:type="spellStart"/>
      <w:r w:rsidRPr="009361B1">
        <w:rPr>
          <w:color w:val="000000" w:themeColor="text1"/>
        </w:rPr>
        <w:t>Braddy</w:t>
      </w:r>
      <w:proofErr w:type="spellEnd"/>
      <w:r w:rsidRPr="009361B1">
        <w:rPr>
          <w:color w:val="000000" w:themeColor="text1"/>
        </w:rPr>
        <w:t>, P. W. (2008). Power and sensitivity of alternative fit indices in tests of measurement invariance.</w:t>
      </w:r>
      <w:r w:rsidRPr="009361B1">
        <w:rPr>
          <w:rStyle w:val="apple-converted-space"/>
          <w:color w:val="000000" w:themeColor="text1"/>
        </w:rPr>
        <w:t> </w:t>
      </w:r>
      <w:r w:rsidRPr="009361B1">
        <w:rPr>
          <w:i/>
          <w:iCs/>
          <w:color w:val="000000" w:themeColor="text1"/>
        </w:rPr>
        <w:t>Journal of Applied Psychology</w:t>
      </w:r>
      <w:r w:rsidRPr="009361B1">
        <w:rPr>
          <w:iCs/>
          <w:color w:val="000000" w:themeColor="text1"/>
        </w:rPr>
        <w:t>,</w:t>
      </w:r>
      <w:r w:rsidRPr="009361B1">
        <w:rPr>
          <w:rStyle w:val="apple-converted-space"/>
          <w:i/>
          <w:iCs/>
          <w:color w:val="000000" w:themeColor="text1"/>
        </w:rPr>
        <w:t> </w:t>
      </w:r>
      <w:r w:rsidRPr="009361B1">
        <w:rPr>
          <w:rStyle w:val="vol"/>
          <w:i/>
          <w:iCs/>
          <w:color w:val="000000" w:themeColor="text1"/>
        </w:rPr>
        <w:t>93</w:t>
      </w:r>
      <w:r w:rsidR="00630DC4">
        <w:rPr>
          <w:rStyle w:val="vol"/>
          <w:iCs/>
          <w:color w:val="000000" w:themeColor="text1"/>
        </w:rPr>
        <w:t>(3)</w:t>
      </w:r>
      <w:r w:rsidRPr="009361B1">
        <w:rPr>
          <w:color w:val="000000" w:themeColor="text1"/>
        </w:rPr>
        <w:t xml:space="preserve">, 568-592. </w:t>
      </w:r>
      <w:hyperlink r:id="rId37" w:history="1">
        <w:r w:rsidR="00630DC4" w:rsidRPr="00E53D67">
          <w:rPr>
            <w:rStyle w:val="Hyperlink"/>
          </w:rPr>
          <w:t>https://doi.org/10.1037/0021-9010.93.3.568</w:t>
        </w:r>
      </w:hyperlink>
    </w:p>
    <w:p w14:paraId="78E03F5D" w14:textId="77777777" w:rsidR="004249B4" w:rsidRDefault="004249B4" w:rsidP="00630DC4">
      <w:pPr>
        <w:spacing w:line="480" w:lineRule="auto"/>
        <w:ind w:left="567" w:hanging="567"/>
        <w:rPr>
          <w:color w:val="000000" w:themeColor="text1"/>
        </w:rPr>
      </w:pPr>
      <w:proofErr w:type="spellStart"/>
      <w:r>
        <w:rPr>
          <w:color w:val="000000" w:themeColor="text1"/>
        </w:rPr>
        <w:t>Pantea</w:t>
      </w:r>
      <w:proofErr w:type="spellEnd"/>
      <w:r>
        <w:rPr>
          <w:color w:val="000000" w:themeColor="text1"/>
        </w:rPr>
        <w:t xml:space="preserve"> </w:t>
      </w:r>
      <w:proofErr w:type="spellStart"/>
      <w:r>
        <w:rPr>
          <w:color w:val="000000" w:themeColor="text1"/>
        </w:rPr>
        <w:t>Stoian</w:t>
      </w:r>
      <w:proofErr w:type="spellEnd"/>
      <w:r>
        <w:rPr>
          <w:color w:val="000000" w:themeColor="text1"/>
        </w:rPr>
        <w:t xml:space="preserve">, A., </w:t>
      </w:r>
      <w:proofErr w:type="spellStart"/>
      <w:r>
        <w:rPr>
          <w:color w:val="000000" w:themeColor="text1"/>
        </w:rPr>
        <w:t>Andronache</w:t>
      </w:r>
      <w:proofErr w:type="spellEnd"/>
      <w:r>
        <w:rPr>
          <w:color w:val="000000" w:themeColor="text1"/>
        </w:rPr>
        <w:t xml:space="preserve">, L. F., </w:t>
      </w:r>
      <w:proofErr w:type="spellStart"/>
      <w:r>
        <w:rPr>
          <w:color w:val="000000" w:themeColor="text1"/>
        </w:rPr>
        <w:t>Hainarosie</w:t>
      </w:r>
      <w:proofErr w:type="spellEnd"/>
      <w:r>
        <w:rPr>
          <w:color w:val="000000" w:themeColor="text1"/>
        </w:rPr>
        <w:t xml:space="preserve">, R., </w:t>
      </w:r>
      <w:proofErr w:type="spellStart"/>
      <w:r>
        <w:rPr>
          <w:color w:val="000000" w:themeColor="text1"/>
        </w:rPr>
        <w:t>Paduracu</w:t>
      </w:r>
      <w:proofErr w:type="spellEnd"/>
      <w:r>
        <w:rPr>
          <w:color w:val="000000" w:themeColor="text1"/>
        </w:rPr>
        <w:t xml:space="preserve">, D. N., </w:t>
      </w:r>
      <w:proofErr w:type="spellStart"/>
      <w:r>
        <w:rPr>
          <w:color w:val="000000" w:themeColor="text1"/>
        </w:rPr>
        <w:t>Badiu</w:t>
      </w:r>
      <w:proofErr w:type="spellEnd"/>
      <w:r>
        <w:rPr>
          <w:color w:val="000000" w:themeColor="text1"/>
        </w:rPr>
        <w:t xml:space="preserve">, C. D., </w:t>
      </w:r>
      <w:proofErr w:type="spellStart"/>
      <w:r>
        <w:rPr>
          <w:color w:val="000000" w:themeColor="text1"/>
        </w:rPr>
        <w:t>Arsene</w:t>
      </w:r>
      <w:proofErr w:type="spellEnd"/>
      <w:r>
        <w:rPr>
          <w:color w:val="000000" w:themeColor="text1"/>
        </w:rPr>
        <w:t xml:space="preserve">, A., </w:t>
      </w:r>
      <w:proofErr w:type="spellStart"/>
      <w:r>
        <w:rPr>
          <w:color w:val="000000" w:themeColor="text1"/>
        </w:rPr>
        <w:t>Mehedintu</w:t>
      </w:r>
      <w:proofErr w:type="spellEnd"/>
      <w:r>
        <w:rPr>
          <w:color w:val="000000" w:themeColor="text1"/>
        </w:rPr>
        <w:t xml:space="preserve">, C., </w:t>
      </w:r>
      <w:proofErr w:type="spellStart"/>
      <w:r>
        <w:rPr>
          <w:color w:val="000000" w:themeColor="text1"/>
        </w:rPr>
        <w:t>Ditu</w:t>
      </w:r>
      <w:proofErr w:type="spellEnd"/>
      <w:r>
        <w:rPr>
          <w:color w:val="000000" w:themeColor="text1"/>
        </w:rPr>
        <w:t xml:space="preserve">, G., </w:t>
      </w:r>
      <w:proofErr w:type="spellStart"/>
      <w:r>
        <w:rPr>
          <w:color w:val="000000" w:themeColor="text1"/>
        </w:rPr>
        <w:t>Pituru</w:t>
      </w:r>
      <w:proofErr w:type="spellEnd"/>
      <w:r>
        <w:rPr>
          <w:color w:val="000000" w:themeColor="text1"/>
        </w:rPr>
        <w:t xml:space="preserve">, S. M., </w:t>
      </w:r>
      <w:proofErr w:type="spellStart"/>
      <w:r>
        <w:rPr>
          <w:color w:val="000000" w:themeColor="text1"/>
        </w:rPr>
        <w:t>Orlov</w:t>
      </w:r>
      <w:proofErr w:type="spellEnd"/>
      <w:r>
        <w:rPr>
          <w:color w:val="000000" w:themeColor="text1"/>
        </w:rPr>
        <w:t xml:space="preserve">, C., </w:t>
      </w:r>
      <w:proofErr w:type="spellStart"/>
      <w:r>
        <w:rPr>
          <w:color w:val="000000" w:themeColor="text1"/>
        </w:rPr>
        <w:t>Oros</w:t>
      </w:r>
      <w:proofErr w:type="spellEnd"/>
      <w:r>
        <w:rPr>
          <w:color w:val="000000" w:themeColor="text1"/>
        </w:rPr>
        <w:t xml:space="preserve">, M., &amp; </w:t>
      </w:r>
      <w:proofErr w:type="spellStart"/>
      <w:r>
        <w:rPr>
          <w:color w:val="000000" w:themeColor="text1"/>
        </w:rPr>
        <w:t>Nitipir</w:t>
      </w:r>
      <w:proofErr w:type="spellEnd"/>
      <w:r>
        <w:rPr>
          <w:color w:val="000000" w:themeColor="text1"/>
        </w:rPr>
        <w:t xml:space="preserve">, C. (2018). Dietary habits and lifestyle in school-aged children from Bucharest, Romania. </w:t>
      </w:r>
      <w:r>
        <w:rPr>
          <w:i/>
          <w:color w:val="000000" w:themeColor="text1"/>
        </w:rPr>
        <w:t>Journal of Mind and Medical Sciences</w:t>
      </w:r>
      <w:r>
        <w:rPr>
          <w:color w:val="000000" w:themeColor="text1"/>
        </w:rPr>
        <w:t xml:space="preserve">, </w:t>
      </w:r>
      <w:r>
        <w:rPr>
          <w:i/>
          <w:color w:val="000000" w:themeColor="text1"/>
        </w:rPr>
        <w:t>5</w:t>
      </w:r>
      <w:r>
        <w:rPr>
          <w:color w:val="000000" w:themeColor="text1"/>
        </w:rPr>
        <w:t xml:space="preserve">(1), 14. </w:t>
      </w:r>
      <w:hyperlink r:id="rId38" w:history="1">
        <w:r w:rsidRPr="00E53D67">
          <w:rPr>
            <w:rStyle w:val="Hyperlink"/>
          </w:rPr>
          <w:t>https://doi.org/7674.51.P8592</w:t>
        </w:r>
      </w:hyperlink>
    </w:p>
    <w:p w14:paraId="4DEBBCE2" w14:textId="77777777" w:rsidR="001D120D" w:rsidRDefault="001D120D" w:rsidP="00630DC4">
      <w:pPr>
        <w:spacing w:line="480" w:lineRule="auto"/>
        <w:ind w:left="567" w:hanging="567"/>
        <w:rPr>
          <w:color w:val="222222"/>
        </w:rPr>
      </w:pPr>
      <w:proofErr w:type="spellStart"/>
      <w:r>
        <w:rPr>
          <w:color w:val="000000" w:themeColor="text1"/>
        </w:rPr>
        <w:t>Putnoky</w:t>
      </w:r>
      <w:proofErr w:type="spellEnd"/>
      <w:r>
        <w:rPr>
          <w:color w:val="000000" w:themeColor="text1"/>
        </w:rPr>
        <w:t xml:space="preserve">, S., </w:t>
      </w:r>
      <w:proofErr w:type="spellStart"/>
      <w:r>
        <w:rPr>
          <w:color w:val="000000" w:themeColor="text1"/>
        </w:rPr>
        <w:t>Banu</w:t>
      </w:r>
      <w:proofErr w:type="spellEnd"/>
      <w:r>
        <w:rPr>
          <w:color w:val="000000" w:themeColor="text1"/>
        </w:rPr>
        <w:t xml:space="preserve">, A. M., </w:t>
      </w:r>
      <w:proofErr w:type="spellStart"/>
      <w:r>
        <w:rPr>
          <w:color w:val="000000" w:themeColor="text1"/>
        </w:rPr>
        <w:t>Moleriu</w:t>
      </w:r>
      <w:proofErr w:type="spellEnd"/>
      <w:r>
        <w:rPr>
          <w:color w:val="000000" w:themeColor="text1"/>
        </w:rPr>
        <w:t xml:space="preserve">, L. C., </w:t>
      </w:r>
      <w:proofErr w:type="spellStart"/>
      <w:r w:rsidRPr="001D120D">
        <w:rPr>
          <w:color w:val="000000" w:themeColor="text1"/>
        </w:rPr>
        <w:t>Putnoky</w:t>
      </w:r>
      <w:proofErr w:type="spellEnd"/>
      <w:r w:rsidRPr="001D120D">
        <w:rPr>
          <w:color w:val="000000" w:themeColor="text1"/>
        </w:rPr>
        <w:t xml:space="preserve">, S., </w:t>
      </w:r>
      <w:proofErr w:type="spellStart"/>
      <w:r w:rsidRPr="001D120D">
        <w:rPr>
          <w:color w:val="222222"/>
        </w:rPr>
        <w:t>Ș</w:t>
      </w:r>
      <w:r>
        <w:rPr>
          <w:color w:val="222222"/>
        </w:rPr>
        <w:t>erban</w:t>
      </w:r>
      <w:proofErr w:type="spellEnd"/>
      <w:r>
        <w:rPr>
          <w:color w:val="222222"/>
        </w:rPr>
        <w:t xml:space="preserve">, D. M., </w:t>
      </w:r>
      <w:proofErr w:type="spellStart"/>
      <w:r>
        <w:rPr>
          <w:color w:val="222222"/>
        </w:rPr>
        <w:t>Niculescu</w:t>
      </w:r>
      <w:proofErr w:type="spellEnd"/>
      <w:r>
        <w:rPr>
          <w:color w:val="222222"/>
        </w:rPr>
        <w:t xml:space="preserve">, M. D., </w:t>
      </w:r>
      <w:proofErr w:type="spellStart"/>
      <w:r w:rsidRPr="001D120D">
        <w:rPr>
          <w:color w:val="222222"/>
        </w:rPr>
        <w:t>Ș</w:t>
      </w:r>
      <w:r>
        <w:rPr>
          <w:color w:val="222222"/>
        </w:rPr>
        <w:t>erban</w:t>
      </w:r>
      <w:proofErr w:type="spellEnd"/>
      <w:r>
        <w:rPr>
          <w:color w:val="222222"/>
        </w:rPr>
        <w:t xml:space="preserve">, L. S. (2020). Reliability and validity of a General Nutrition Knowledge Questionnaire for adults in a Romanian population. </w:t>
      </w:r>
      <w:r>
        <w:rPr>
          <w:i/>
          <w:color w:val="222222"/>
        </w:rPr>
        <w:t>European Journal of Clinical Nutrition</w:t>
      </w:r>
      <w:r>
        <w:rPr>
          <w:color w:val="222222"/>
        </w:rPr>
        <w:t xml:space="preserve">. Advanced online publication. </w:t>
      </w:r>
      <w:hyperlink r:id="rId39" w:history="1">
        <w:r w:rsidRPr="00E53D67">
          <w:rPr>
            <w:rStyle w:val="Hyperlink"/>
          </w:rPr>
          <w:t>https://doi.org/10.1038/s41439-020-0616-5</w:t>
        </w:r>
      </w:hyperlink>
    </w:p>
    <w:p w14:paraId="67BA0BBB" w14:textId="77777777" w:rsidR="00AA4B35" w:rsidRPr="008036D3" w:rsidRDefault="00AA4B35" w:rsidP="00AA4B35">
      <w:pPr>
        <w:pStyle w:val="EndNoteBibliography"/>
        <w:spacing w:line="480" w:lineRule="auto"/>
        <w:ind w:left="720" w:hanging="720"/>
        <w:rPr>
          <w:rFonts w:ascii="Times New Roman" w:hAnsi="Times New Roman" w:cs="Times New Roman"/>
        </w:rPr>
      </w:pPr>
      <w:r w:rsidRPr="006A1E8E">
        <w:rPr>
          <w:rFonts w:ascii="Times New Roman" w:hAnsi="Times New Roman" w:cs="Times New Roman"/>
          <w:i/>
        </w:rPr>
        <w:t>R</w:t>
      </w:r>
      <w:r w:rsidRPr="009E41EF">
        <w:rPr>
          <w:rFonts w:ascii="Times New Roman" w:hAnsi="Times New Roman" w:cs="Times New Roman"/>
        </w:rPr>
        <w:t xml:space="preserve"> Development Core Team</w:t>
      </w:r>
      <w:r>
        <w:rPr>
          <w:rFonts w:ascii="Times New Roman" w:hAnsi="Times New Roman" w:cs="Times New Roman"/>
        </w:rPr>
        <w:t>.</w:t>
      </w:r>
      <w:r w:rsidRPr="009E41EF">
        <w:rPr>
          <w:rFonts w:ascii="Times New Roman" w:hAnsi="Times New Roman" w:cs="Times New Roman"/>
        </w:rPr>
        <w:t xml:space="preserve"> (2014)</w:t>
      </w:r>
      <w:r>
        <w:rPr>
          <w:rFonts w:ascii="Times New Roman" w:hAnsi="Times New Roman" w:cs="Times New Roman"/>
        </w:rPr>
        <w:t>.</w:t>
      </w:r>
      <w:r w:rsidRPr="009E41EF">
        <w:rPr>
          <w:rFonts w:ascii="Times New Roman" w:hAnsi="Times New Roman" w:cs="Times New Roman"/>
        </w:rPr>
        <w:t xml:space="preserve"> </w:t>
      </w:r>
      <w:r w:rsidRPr="006A1E8E">
        <w:rPr>
          <w:rFonts w:ascii="Times New Roman" w:hAnsi="Times New Roman" w:cs="Times New Roman"/>
          <w:i/>
        </w:rPr>
        <w:t>R</w:t>
      </w:r>
      <w:r>
        <w:rPr>
          <w:rFonts w:ascii="Times New Roman" w:hAnsi="Times New Roman" w:cs="Times New Roman"/>
        </w:rPr>
        <w:t xml:space="preserve">: </w:t>
      </w:r>
      <w:r w:rsidRPr="006A1E8E">
        <w:rPr>
          <w:rFonts w:ascii="Times New Roman" w:hAnsi="Times New Roman" w:cs="Times New Roman"/>
          <w:i/>
        </w:rPr>
        <w:t>A language and environment for statistical c</w:t>
      </w:r>
      <w:r w:rsidRPr="008036D3">
        <w:rPr>
          <w:rFonts w:ascii="Times New Roman" w:hAnsi="Times New Roman" w:cs="Times New Roman"/>
          <w:i/>
        </w:rPr>
        <w:t>omputing</w:t>
      </w:r>
      <w:r w:rsidRPr="008036D3">
        <w:rPr>
          <w:rFonts w:ascii="Times New Roman" w:hAnsi="Times New Roman" w:cs="Times New Roman"/>
        </w:rPr>
        <w:t xml:space="preserve">. </w:t>
      </w:r>
      <w:r w:rsidRPr="008036D3">
        <w:rPr>
          <w:rFonts w:ascii="Times New Roman" w:hAnsi="Times New Roman" w:cs="Times New Roman"/>
          <w:i/>
        </w:rPr>
        <w:t>R</w:t>
      </w:r>
      <w:r w:rsidRPr="008036D3">
        <w:rPr>
          <w:rFonts w:ascii="Times New Roman" w:hAnsi="Times New Roman" w:cs="Times New Roman"/>
        </w:rPr>
        <w:t xml:space="preserve"> Foundation for Statistical Computing. </w:t>
      </w:r>
    </w:p>
    <w:p w14:paraId="6760F8C5" w14:textId="77777777" w:rsidR="00630DC4" w:rsidRDefault="00AA4B35" w:rsidP="00630DC4">
      <w:pPr>
        <w:pStyle w:val="EndNoteBibliography"/>
        <w:spacing w:line="480" w:lineRule="auto"/>
        <w:ind w:left="720" w:hanging="720"/>
        <w:rPr>
          <w:rFonts w:ascii="Times New Roman" w:hAnsi="Times New Roman" w:cs="Times New Roman"/>
        </w:rPr>
      </w:pPr>
      <w:r w:rsidRPr="008036D3">
        <w:rPr>
          <w:rFonts w:ascii="Times New Roman" w:hAnsi="Times New Roman" w:cs="Times New Roman"/>
          <w:color w:val="000000" w:themeColor="text1"/>
        </w:rPr>
        <w:t xml:space="preserve">Revelle, W. R. (2019). psych: Procedures for personality and psychological research. </w:t>
      </w:r>
      <w:hyperlink r:id="rId40" w:history="1">
        <w:r w:rsidR="00630DC4" w:rsidRPr="00E53D67">
          <w:rPr>
            <w:rStyle w:val="Hyperlink"/>
            <w:rFonts w:ascii="Times New Roman" w:hAnsi="Times New Roman" w:cs="Times New Roman"/>
          </w:rPr>
          <w:t>https://cran.r-project.org/web/packages/psych/index.html</w:t>
        </w:r>
      </w:hyperlink>
    </w:p>
    <w:p w14:paraId="0E3496BB" w14:textId="77777777" w:rsidR="00F052BF" w:rsidRDefault="00F052BF" w:rsidP="00630DC4">
      <w:pPr>
        <w:pStyle w:val="EndNoteBibliography"/>
        <w:spacing w:line="480" w:lineRule="auto"/>
        <w:ind w:left="720" w:hanging="720"/>
        <w:rPr>
          <w:rStyle w:val="Hyperlink"/>
          <w:rFonts w:ascii="Times New Roman" w:hAnsi="Times New Roman" w:cs="Times New Roman"/>
        </w:rPr>
      </w:pPr>
      <w:r>
        <w:rPr>
          <w:rFonts w:ascii="Times New Roman" w:hAnsi="Times New Roman" w:cs="Times New Roman"/>
          <w:color w:val="000000" w:themeColor="text1"/>
        </w:rPr>
        <w:t>Roman, G</w:t>
      </w:r>
      <w:r w:rsidRPr="00F052BF">
        <w:rPr>
          <w:rFonts w:ascii="Times New Roman" w:hAnsi="Times New Roman" w:cs="Times New Roman"/>
        </w:rPr>
        <w:t>.</w:t>
      </w:r>
      <w:r>
        <w:rPr>
          <w:rFonts w:ascii="Times New Roman" w:hAnsi="Times New Roman" w:cs="Times New Roman"/>
        </w:rPr>
        <w:t xml:space="preserve">, Bala, C., Creteanu, G., Graur, M., Morosanu, M., Amorin, P., Pîrcalaboiu, L., Radulian, G., Timar, R., &amp; Achimas Cadariu, A. (2015). Obesity and health-related lifestyle factos in the general population in Romania. A cross-sectional study. </w:t>
      </w:r>
      <w:r>
        <w:rPr>
          <w:rFonts w:ascii="Times New Roman" w:hAnsi="Times New Roman" w:cs="Times New Roman"/>
          <w:i/>
        </w:rPr>
        <w:t>Acta Endocrinologia</w:t>
      </w:r>
      <w:r>
        <w:rPr>
          <w:rFonts w:ascii="Times New Roman" w:hAnsi="Times New Roman" w:cs="Times New Roman"/>
        </w:rPr>
        <w:t xml:space="preserve">, </w:t>
      </w:r>
      <w:r>
        <w:rPr>
          <w:rFonts w:ascii="Times New Roman" w:hAnsi="Times New Roman" w:cs="Times New Roman"/>
          <w:i/>
        </w:rPr>
        <w:t>11</w:t>
      </w:r>
      <w:r>
        <w:rPr>
          <w:rFonts w:ascii="Times New Roman" w:hAnsi="Times New Roman" w:cs="Times New Roman"/>
        </w:rPr>
        <w:t xml:space="preserve">(1), 64-71. </w:t>
      </w:r>
      <w:hyperlink r:id="rId41" w:history="1">
        <w:r w:rsidRPr="00E53D67">
          <w:rPr>
            <w:rStyle w:val="Hyperlink"/>
            <w:rFonts w:ascii="Times New Roman" w:hAnsi="Times New Roman" w:cs="Times New Roman"/>
          </w:rPr>
          <w:t>https://doi.org/10.4183/aed.2015.64</w:t>
        </w:r>
      </w:hyperlink>
    </w:p>
    <w:p w14:paraId="3D9BD004" w14:textId="4E6D4396" w:rsidR="00662DE6" w:rsidRDefault="00931E83" w:rsidP="00662DE6">
      <w:pPr>
        <w:spacing w:line="480" w:lineRule="auto"/>
        <w:ind w:left="567" w:hanging="567"/>
      </w:pPr>
      <w:r w:rsidRPr="007A49E1">
        <w:t xml:space="preserve">Rosenberg, M. (1965). </w:t>
      </w:r>
      <w:r w:rsidRPr="007A49E1">
        <w:rPr>
          <w:i/>
        </w:rPr>
        <w:t>Society and the adolescent self-image</w:t>
      </w:r>
      <w:r w:rsidRPr="007A49E1">
        <w:t xml:space="preserve">. Princeton University Press. </w:t>
      </w:r>
    </w:p>
    <w:p w14:paraId="47CFC563" w14:textId="77777777" w:rsidR="00AA4B35" w:rsidRPr="00931E83" w:rsidRDefault="00AA4B35" w:rsidP="00931E83">
      <w:pPr>
        <w:spacing w:line="480" w:lineRule="auto"/>
        <w:ind w:left="567" w:hanging="567"/>
      </w:pPr>
      <w:proofErr w:type="spellStart"/>
      <w:r w:rsidRPr="008151A1">
        <w:t>Rosseel</w:t>
      </w:r>
      <w:proofErr w:type="spellEnd"/>
      <w:r w:rsidRPr="008151A1">
        <w:t xml:space="preserve">, Y. (2012). </w:t>
      </w:r>
      <w:proofErr w:type="spellStart"/>
      <w:r w:rsidRPr="008151A1">
        <w:t>lavaan</w:t>
      </w:r>
      <w:proofErr w:type="spellEnd"/>
      <w:r w:rsidRPr="008151A1">
        <w:t xml:space="preserve">: An R package for structural equation </w:t>
      </w:r>
      <w:proofErr w:type="spellStart"/>
      <w:r w:rsidRPr="008151A1">
        <w:t>modeling</w:t>
      </w:r>
      <w:proofErr w:type="spellEnd"/>
      <w:r w:rsidRPr="008151A1">
        <w:t xml:space="preserve">. </w:t>
      </w:r>
      <w:r w:rsidRPr="006A1E8E">
        <w:rPr>
          <w:i/>
        </w:rPr>
        <w:t>Journal of Statistical Software</w:t>
      </w:r>
      <w:r w:rsidRPr="008151A1">
        <w:t xml:space="preserve">, </w:t>
      </w:r>
      <w:r w:rsidRPr="006A1E8E">
        <w:rPr>
          <w:i/>
        </w:rPr>
        <w:t>48</w:t>
      </w:r>
      <w:r w:rsidRPr="008151A1">
        <w:t>, 1-36.</w:t>
      </w:r>
    </w:p>
    <w:p w14:paraId="08D44AD9" w14:textId="6EF875A3" w:rsidR="00630DC4" w:rsidRDefault="00AA4B35" w:rsidP="00630DC4">
      <w:pPr>
        <w:spacing w:line="480" w:lineRule="auto"/>
        <w:ind w:left="567" w:hanging="567"/>
        <w:rPr>
          <w:rStyle w:val="Hyperlink"/>
        </w:rPr>
      </w:pPr>
      <w:proofErr w:type="spellStart"/>
      <w:r>
        <w:rPr>
          <w:color w:val="000000" w:themeColor="text1"/>
        </w:rPr>
        <w:t>Ruzanska</w:t>
      </w:r>
      <w:proofErr w:type="spellEnd"/>
      <w:r>
        <w:rPr>
          <w:color w:val="000000" w:themeColor="text1"/>
        </w:rPr>
        <w:t xml:space="preserve">, U., &amp; </w:t>
      </w:r>
      <w:proofErr w:type="spellStart"/>
      <w:r>
        <w:rPr>
          <w:color w:val="000000" w:themeColor="text1"/>
        </w:rPr>
        <w:t>Warschburger</w:t>
      </w:r>
      <w:proofErr w:type="spellEnd"/>
      <w:r>
        <w:rPr>
          <w:color w:val="000000" w:themeColor="text1"/>
        </w:rPr>
        <w:t xml:space="preserve">, P. (2017). Psychometric evaluation of the German version of the Intuitive Eating-Scale-2 in a community sample. </w:t>
      </w:r>
      <w:r>
        <w:rPr>
          <w:i/>
          <w:color w:val="000000" w:themeColor="text1"/>
        </w:rPr>
        <w:t>Appetite</w:t>
      </w:r>
      <w:r>
        <w:rPr>
          <w:color w:val="000000" w:themeColor="text1"/>
        </w:rPr>
        <w:t xml:space="preserve">, </w:t>
      </w:r>
      <w:r>
        <w:rPr>
          <w:i/>
          <w:color w:val="000000" w:themeColor="text1"/>
        </w:rPr>
        <w:t>117</w:t>
      </w:r>
      <w:r>
        <w:rPr>
          <w:color w:val="000000" w:themeColor="text1"/>
        </w:rPr>
        <w:t xml:space="preserve">, 126-134. </w:t>
      </w:r>
      <w:hyperlink r:id="rId42" w:history="1">
        <w:r w:rsidR="00630DC4" w:rsidRPr="00E53D67">
          <w:rPr>
            <w:rStyle w:val="Hyperlink"/>
          </w:rPr>
          <w:t>https://doi.org/10.1016/j.appet.2017.06.018</w:t>
        </w:r>
      </w:hyperlink>
    </w:p>
    <w:p w14:paraId="22CA37A2" w14:textId="15A01D4C" w:rsidR="0062287C" w:rsidRDefault="0062287C" w:rsidP="0062287C">
      <w:pPr>
        <w:spacing w:line="480" w:lineRule="auto"/>
        <w:ind w:left="567" w:hanging="567"/>
        <w:rPr>
          <w:color w:val="000000" w:themeColor="text1"/>
        </w:rPr>
      </w:pPr>
      <w:r>
        <w:rPr>
          <w:color w:val="000000" w:themeColor="text1"/>
        </w:rPr>
        <w:lastRenderedPageBreak/>
        <w:t xml:space="preserve">Sandu, D. (2011). Social disparities in the regional development and policies of Romania. </w:t>
      </w:r>
      <w:r>
        <w:rPr>
          <w:i/>
          <w:color w:val="000000" w:themeColor="text1"/>
        </w:rPr>
        <w:t>International Review of Social Research</w:t>
      </w:r>
      <w:r>
        <w:rPr>
          <w:color w:val="000000" w:themeColor="text1"/>
        </w:rPr>
        <w:t xml:space="preserve">, </w:t>
      </w:r>
      <w:r>
        <w:rPr>
          <w:i/>
          <w:color w:val="000000" w:themeColor="text1"/>
        </w:rPr>
        <w:t>1</w:t>
      </w:r>
      <w:r>
        <w:rPr>
          <w:color w:val="000000" w:themeColor="text1"/>
        </w:rPr>
        <w:t xml:space="preserve">(1), 1-30. </w:t>
      </w:r>
      <w:hyperlink r:id="rId43" w:history="1">
        <w:r w:rsidRPr="00B26354">
          <w:rPr>
            <w:rStyle w:val="Hyperlink"/>
          </w:rPr>
          <w:t>https://doi.org/10.1515/irsr-2011-0001</w:t>
        </w:r>
      </w:hyperlink>
    </w:p>
    <w:p w14:paraId="53481F2D" w14:textId="7045047E" w:rsidR="00630DC4" w:rsidRDefault="00AA4B35" w:rsidP="0062287C">
      <w:pPr>
        <w:spacing w:line="480" w:lineRule="auto"/>
        <w:ind w:left="567" w:hanging="567"/>
        <w:rPr>
          <w:color w:val="000000" w:themeColor="text1"/>
        </w:rPr>
      </w:pPr>
      <w:proofErr w:type="spellStart"/>
      <w:r w:rsidRPr="009039D8">
        <w:rPr>
          <w:rFonts w:eastAsiaTheme="minorHAnsi"/>
          <w:color w:val="000000" w:themeColor="text1"/>
          <w:lang w:val="en-US"/>
        </w:rPr>
        <w:t>Satorra</w:t>
      </w:r>
      <w:proofErr w:type="spellEnd"/>
      <w:r w:rsidRPr="009039D8">
        <w:rPr>
          <w:rFonts w:eastAsiaTheme="minorHAnsi"/>
          <w:color w:val="000000" w:themeColor="text1"/>
          <w:lang w:val="en-US"/>
        </w:rPr>
        <w:t xml:space="preserve">, A., &amp; </w:t>
      </w:r>
      <w:proofErr w:type="spellStart"/>
      <w:r w:rsidRPr="009039D8">
        <w:rPr>
          <w:rFonts w:eastAsiaTheme="minorHAnsi"/>
          <w:color w:val="000000" w:themeColor="text1"/>
          <w:lang w:val="en-US"/>
        </w:rPr>
        <w:t>Bentler</w:t>
      </w:r>
      <w:proofErr w:type="spellEnd"/>
      <w:r w:rsidRPr="009039D8">
        <w:rPr>
          <w:rFonts w:eastAsiaTheme="minorHAnsi"/>
          <w:color w:val="000000" w:themeColor="text1"/>
          <w:lang w:val="en-US"/>
        </w:rPr>
        <w:t xml:space="preserve">, P. M. (2001). A scaled difference chi-square test statistic for moment structure analysis. </w:t>
      </w:r>
      <w:proofErr w:type="spellStart"/>
      <w:r w:rsidRPr="009039D8">
        <w:rPr>
          <w:rFonts w:eastAsiaTheme="minorHAnsi"/>
          <w:i/>
          <w:color w:val="000000" w:themeColor="text1"/>
          <w:lang w:val="en-US"/>
        </w:rPr>
        <w:t>Psychometrika</w:t>
      </w:r>
      <w:proofErr w:type="spellEnd"/>
      <w:r w:rsidRPr="009039D8">
        <w:rPr>
          <w:rFonts w:eastAsiaTheme="minorHAnsi"/>
          <w:color w:val="000000" w:themeColor="text1"/>
          <w:lang w:val="en-US"/>
        </w:rPr>
        <w:t xml:space="preserve">, </w:t>
      </w:r>
      <w:r w:rsidRPr="009039D8">
        <w:rPr>
          <w:rFonts w:eastAsiaTheme="minorHAnsi"/>
          <w:i/>
          <w:color w:val="000000" w:themeColor="text1"/>
          <w:lang w:val="en-US"/>
        </w:rPr>
        <w:t>66</w:t>
      </w:r>
      <w:r w:rsidRPr="009039D8">
        <w:rPr>
          <w:rFonts w:eastAsiaTheme="minorHAnsi"/>
          <w:color w:val="000000" w:themeColor="text1"/>
          <w:lang w:val="en-US"/>
        </w:rPr>
        <w:t xml:space="preserve">, 507-514. </w:t>
      </w:r>
      <w:hyperlink r:id="rId44" w:history="1">
        <w:r w:rsidR="00630DC4" w:rsidRPr="00E53D67">
          <w:rPr>
            <w:rStyle w:val="Hyperlink"/>
            <w:rFonts w:eastAsiaTheme="minorHAnsi"/>
            <w:lang w:val="en-US"/>
          </w:rPr>
          <w:t>https://doi.org/</w:t>
        </w:r>
        <w:r w:rsidR="00630DC4" w:rsidRPr="00E53D67">
          <w:rPr>
            <w:rStyle w:val="Hyperlink"/>
            <w:spacing w:val="4"/>
            <w:shd w:val="clear" w:color="auto" w:fill="FCFCFC"/>
          </w:rPr>
          <w:t>10.1007/BF02296192</w:t>
        </w:r>
      </w:hyperlink>
    </w:p>
    <w:p w14:paraId="10E0F1F8" w14:textId="77777777" w:rsidR="00630DC4" w:rsidRDefault="00AA4B35" w:rsidP="00630DC4">
      <w:pPr>
        <w:spacing w:line="480" w:lineRule="auto"/>
        <w:ind w:left="567" w:hanging="567"/>
        <w:rPr>
          <w:rStyle w:val="Hyperlink"/>
        </w:rPr>
      </w:pPr>
      <w:r>
        <w:rPr>
          <w:color w:val="000000" w:themeColor="text1"/>
        </w:rPr>
        <w:t xml:space="preserve">Saunders, J. F., Nichols-Lopez, K. A., &amp; Frazier, L. D. (2018). Psychometric properties of the Intuitive Eating Scale-2 (IES-2) in a culturally diverse Hispanic American sample. </w:t>
      </w:r>
      <w:r>
        <w:rPr>
          <w:i/>
          <w:color w:val="000000" w:themeColor="text1"/>
        </w:rPr>
        <w:t xml:space="preserve">Eating </w:t>
      </w:r>
      <w:proofErr w:type="spellStart"/>
      <w:r>
        <w:rPr>
          <w:i/>
          <w:color w:val="000000" w:themeColor="text1"/>
        </w:rPr>
        <w:t>Behaviors</w:t>
      </w:r>
      <w:proofErr w:type="spellEnd"/>
      <w:r>
        <w:rPr>
          <w:color w:val="000000" w:themeColor="text1"/>
        </w:rPr>
        <w:t xml:space="preserve">, </w:t>
      </w:r>
      <w:r>
        <w:rPr>
          <w:i/>
          <w:color w:val="000000" w:themeColor="text1"/>
        </w:rPr>
        <w:t>28</w:t>
      </w:r>
      <w:r>
        <w:rPr>
          <w:color w:val="000000" w:themeColor="text1"/>
        </w:rPr>
        <w:t xml:space="preserve">, 1-7. </w:t>
      </w:r>
      <w:hyperlink r:id="rId45" w:history="1">
        <w:r w:rsidR="00630DC4" w:rsidRPr="00E53D67">
          <w:rPr>
            <w:rStyle w:val="Hyperlink"/>
          </w:rPr>
          <w:t>https://doi.org/10.1016/j.eatbeh.2017.11.003</w:t>
        </w:r>
      </w:hyperlink>
    </w:p>
    <w:p w14:paraId="20AF6ACC" w14:textId="50C6BB97" w:rsidR="00931E83" w:rsidRDefault="00931E83" w:rsidP="00931E83">
      <w:pPr>
        <w:spacing w:line="480" w:lineRule="auto"/>
        <w:ind w:left="567" w:hanging="567"/>
        <w:rPr>
          <w:rStyle w:val="Emphasis"/>
          <w:bCs/>
          <w:color w:val="000000" w:themeColor="text1"/>
        </w:rPr>
      </w:pPr>
      <w:r w:rsidRPr="007A49E1">
        <w:rPr>
          <w:bCs/>
          <w:color w:val="000000" w:themeColor="text1"/>
        </w:rPr>
        <w:t xml:space="preserve">Sava, F. A., </w:t>
      </w:r>
      <w:proofErr w:type="spellStart"/>
      <w:r w:rsidRPr="00931E83">
        <w:rPr>
          <w:bCs/>
          <w:color w:val="000000" w:themeColor="text1"/>
        </w:rPr>
        <w:t>Maricu</w:t>
      </w:r>
      <w:r w:rsidRPr="00931E83">
        <w:rPr>
          <w:rStyle w:val="Emphasis"/>
          <w:bCs/>
          <w:i w:val="0"/>
          <w:color w:val="000000" w:themeColor="text1"/>
        </w:rPr>
        <w:t>țoiu</w:t>
      </w:r>
      <w:proofErr w:type="spellEnd"/>
      <w:r w:rsidRPr="00931E83">
        <w:rPr>
          <w:rStyle w:val="Emphasis"/>
          <w:bCs/>
          <w:i w:val="0"/>
          <w:color w:val="000000" w:themeColor="text1"/>
        </w:rPr>
        <w:t xml:space="preserve">, L. P., </w:t>
      </w:r>
      <w:proofErr w:type="spellStart"/>
      <w:r w:rsidRPr="00931E83">
        <w:rPr>
          <w:rStyle w:val="Emphasis"/>
          <w:bCs/>
          <w:i w:val="0"/>
          <w:color w:val="000000" w:themeColor="text1"/>
        </w:rPr>
        <w:t>Rusu</w:t>
      </w:r>
      <w:proofErr w:type="spellEnd"/>
      <w:r w:rsidRPr="00931E83">
        <w:rPr>
          <w:rStyle w:val="Emphasis"/>
          <w:bCs/>
          <w:i w:val="0"/>
          <w:color w:val="000000" w:themeColor="text1"/>
        </w:rPr>
        <w:t xml:space="preserve">, S., </w:t>
      </w:r>
      <w:proofErr w:type="spellStart"/>
      <w:r w:rsidRPr="00931E83">
        <w:rPr>
          <w:rStyle w:val="Emphasis"/>
          <w:bCs/>
          <w:i w:val="0"/>
          <w:color w:val="000000" w:themeColor="text1"/>
        </w:rPr>
        <w:t>Macsinga</w:t>
      </w:r>
      <w:proofErr w:type="spellEnd"/>
      <w:r w:rsidRPr="00931E83">
        <w:rPr>
          <w:rStyle w:val="Emphasis"/>
          <w:bCs/>
          <w:i w:val="0"/>
          <w:color w:val="000000" w:themeColor="text1"/>
        </w:rPr>
        <w:t xml:space="preserve">, I., &amp; </w:t>
      </w:r>
      <w:proofErr w:type="spellStart"/>
      <w:r w:rsidRPr="00931E83">
        <w:rPr>
          <w:rStyle w:val="Emphasis"/>
          <w:bCs/>
          <w:i w:val="0"/>
          <w:color w:val="000000" w:themeColor="text1"/>
        </w:rPr>
        <w:t>Vîrgā</w:t>
      </w:r>
      <w:proofErr w:type="spellEnd"/>
      <w:r w:rsidRPr="00931E83">
        <w:rPr>
          <w:rStyle w:val="Emphasis"/>
          <w:bCs/>
          <w:i w:val="0"/>
          <w:color w:val="000000" w:themeColor="text1"/>
        </w:rPr>
        <w:t>, D. (2011). Implicit and explicit self-esteem and irrational beliefs</w:t>
      </w:r>
      <w:r w:rsidRPr="007A49E1">
        <w:rPr>
          <w:rStyle w:val="Emphasis"/>
          <w:bCs/>
          <w:color w:val="000000" w:themeColor="text1"/>
        </w:rPr>
        <w:t xml:space="preserve">. Journal of Cognitive and </w:t>
      </w:r>
      <w:proofErr w:type="spellStart"/>
      <w:r w:rsidRPr="007A49E1">
        <w:rPr>
          <w:rStyle w:val="Emphasis"/>
          <w:bCs/>
          <w:color w:val="000000" w:themeColor="text1"/>
        </w:rPr>
        <w:t>Behavioral</w:t>
      </w:r>
      <w:proofErr w:type="spellEnd"/>
      <w:r w:rsidRPr="007A49E1">
        <w:rPr>
          <w:rStyle w:val="Emphasis"/>
          <w:bCs/>
          <w:color w:val="000000" w:themeColor="text1"/>
        </w:rPr>
        <w:t xml:space="preserve"> Psychotherapies</w:t>
      </w:r>
      <w:r w:rsidRPr="007F599A">
        <w:rPr>
          <w:rStyle w:val="Emphasis"/>
          <w:bCs/>
          <w:i w:val="0"/>
          <w:color w:val="000000" w:themeColor="text1"/>
        </w:rPr>
        <w:t>,</w:t>
      </w:r>
      <w:r w:rsidRPr="007A49E1">
        <w:rPr>
          <w:rStyle w:val="Emphasis"/>
          <w:bCs/>
          <w:color w:val="000000" w:themeColor="text1"/>
        </w:rPr>
        <w:t xml:space="preserve"> 11</w:t>
      </w:r>
      <w:r w:rsidRPr="007F599A">
        <w:rPr>
          <w:rStyle w:val="Emphasis"/>
          <w:bCs/>
          <w:i w:val="0"/>
          <w:color w:val="000000" w:themeColor="text1"/>
        </w:rPr>
        <w:t>,</w:t>
      </w:r>
      <w:r w:rsidRPr="007A49E1">
        <w:rPr>
          <w:rStyle w:val="Emphasis"/>
          <w:bCs/>
          <w:color w:val="000000" w:themeColor="text1"/>
        </w:rPr>
        <w:t xml:space="preserve"> 97-111. </w:t>
      </w:r>
    </w:p>
    <w:p w14:paraId="656995E2" w14:textId="5A2AE36E" w:rsidR="00662DE6" w:rsidRDefault="00662DE6" w:rsidP="00662DE6">
      <w:pPr>
        <w:spacing w:line="480" w:lineRule="auto"/>
        <w:ind w:left="567" w:hanging="567"/>
        <w:rPr>
          <w:rStyle w:val="Hyperlink"/>
        </w:rPr>
      </w:pPr>
      <w:r w:rsidRPr="007A49E1">
        <w:t xml:space="preserve">Schmitt, D. P., &amp; </w:t>
      </w:r>
      <w:proofErr w:type="spellStart"/>
      <w:r w:rsidRPr="007A49E1">
        <w:t>Allik</w:t>
      </w:r>
      <w:proofErr w:type="spellEnd"/>
      <w:r w:rsidRPr="007A49E1">
        <w:t xml:space="preserve">, J. (2005). Simultaneous administration of the Rosenberg Self-Esteem Scale in 53 nations: Exploring the universal and culture-specific features of global self-esteem. </w:t>
      </w:r>
      <w:r w:rsidRPr="007A49E1">
        <w:rPr>
          <w:i/>
        </w:rPr>
        <w:t>Journal of Personality and Social Psychology</w:t>
      </w:r>
      <w:r w:rsidRPr="007A49E1">
        <w:t xml:space="preserve">, </w:t>
      </w:r>
      <w:r w:rsidRPr="007A49E1">
        <w:rPr>
          <w:i/>
        </w:rPr>
        <w:t>89</w:t>
      </w:r>
      <w:r>
        <w:t>(4)</w:t>
      </w:r>
      <w:r w:rsidRPr="007A49E1">
        <w:t xml:space="preserve">, 623-642. </w:t>
      </w:r>
      <w:hyperlink r:id="rId46" w:history="1">
        <w:r w:rsidRPr="00E53D67">
          <w:rPr>
            <w:rStyle w:val="Hyperlink"/>
          </w:rPr>
          <w:t>https://doi.org/10.1037/0022-3514.89.3.623</w:t>
        </w:r>
      </w:hyperlink>
    </w:p>
    <w:p w14:paraId="3A63E8D3" w14:textId="2C948F71" w:rsidR="008410E4" w:rsidRPr="008410E4" w:rsidRDefault="008410E4" w:rsidP="008410E4">
      <w:pPr>
        <w:spacing w:line="480" w:lineRule="auto"/>
        <w:ind w:left="567" w:hanging="567"/>
        <w:rPr>
          <w:rStyle w:val="Hyperlink"/>
          <w:color w:val="000000" w:themeColor="text1"/>
          <w:u w:val="none"/>
        </w:rPr>
      </w:pPr>
      <w:proofErr w:type="spellStart"/>
      <w:r w:rsidRPr="009039D8">
        <w:rPr>
          <w:color w:val="000000" w:themeColor="text1"/>
        </w:rPr>
        <w:t>Schumacker</w:t>
      </w:r>
      <w:proofErr w:type="spellEnd"/>
      <w:r w:rsidRPr="009039D8">
        <w:rPr>
          <w:color w:val="000000" w:themeColor="text1"/>
        </w:rPr>
        <w:t xml:space="preserve">, R. E., &amp; Lomax, R. G. (2004). </w:t>
      </w:r>
      <w:r w:rsidRPr="009039D8">
        <w:rPr>
          <w:i/>
          <w:color w:val="000000" w:themeColor="text1"/>
        </w:rPr>
        <w:t xml:space="preserve">A beginner’s guide to structural equation </w:t>
      </w:r>
      <w:proofErr w:type="spellStart"/>
      <w:r w:rsidRPr="009039D8">
        <w:rPr>
          <w:i/>
          <w:color w:val="000000" w:themeColor="text1"/>
        </w:rPr>
        <w:t>modeling</w:t>
      </w:r>
      <w:proofErr w:type="spellEnd"/>
      <w:r w:rsidRPr="009039D8">
        <w:rPr>
          <w:color w:val="000000" w:themeColor="text1"/>
        </w:rPr>
        <w:t xml:space="preserve"> (3</w:t>
      </w:r>
      <w:r w:rsidRPr="009039D8">
        <w:rPr>
          <w:color w:val="000000" w:themeColor="text1"/>
          <w:vertAlign w:val="superscript"/>
        </w:rPr>
        <w:t>rd</w:t>
      </w:r>
      <w:r w:rsidRPr="009039D8">
        <w:rPr>
          <w:color w:val="000000" w:themeColor="text1"/>
        </w:rPr>
        <w:t xml:space="preserve"> ed.). Taylor and Francis. </w:t>
      </w:r>
    </w:p>
    <w:p w14:paraId="04465C8C" w14:textId="05CD29A8" w:rsidR="00662DE6" w:rsidRDefault="00662DE6" w:rsidP="00662DE6">
      <w:pPr>
        <w:spacing w:line="480" w:lineRule="auto"/>
        <w:ind w:left="567" w:hanging="567"/>
        <w:rPr>
          <w:color w:val="000000" w:themeColor="text1"/>
        </w:rPr>
      </w:pPr>
      <w:proofErr w:type="spellStart"/>
      <w:r w:rsidRPr="009039D8">
        <w:rPr>
          <w:color w:val="000000" w:themeColor="text1"/>
        </w:rPr>
        <w:t>Shrout</w:t>
      </w:r>
      <w:proofErr w:type="spellEnd"/>
      <w:r w:rsidRPr="009039D8">
        <w:rPr>
          <w:color w:val="000000" w:themeColor="text1"/>
        </w:rPr>
        <w:t xml:space="preserve">, P. E. (1998). Measurement reliability and agreement in psychiatry. </w:t>
      </w:r>
      <w:r w:rsidRPr="009039D8">
        <w:rPr>
          <w:i/>
          <w:color w:val="000000" w:themeColor="text1"/>
        </w:rPr>
        <w:t>Statistical Methods in Medical Research</w:t>
      </w:r>
      <w:r w:rsidRPr="009039D8">
        <w:rPr>
          <w:color w:val="000000" w:themeColor="text1"/>
        </w:rPr>
        <w:t xml:space="preserve">, </w:t>
      </w:r>
      <w:r w:rsidRPr="009039D8">
        <w:rPr>
          <w:i/>
          <w:color w:val="000000" w:themeColor="text1"/>
        </w:rPr>
        <w:t>7</w:t>
      </w:r>
      <w:r>
        <w:rPr>
          <w:color w:val="000000" w:themeColor="text1"/>
        </w:rPr>
        <w:t>(3)</w:t>
      </w:r>
      <w:r w:rsidRPr="009039D8">
        <w:rPr>
          <w:color w:val="000000" w:themeColor="text1"/>
        </w:rPr>
        <w:t xml:space="preserve">, 301-317. </w:t>
      </w:r>
      <w:hyperlink r:id="rId47" w:history="1">
        <w:r w:rsidRPr="00B26354">
          <w:rPr>
            <w:rStyle w:val="Hyperlink"/>
          </w:rPr>
          <w:t>https://doi.org/10.1177/096228029800700306</w:t>
        </w:r>
      </w:hyperlink>
    </w:p>
    <w:p w14:paraId="04A0D454" w14:textId="4B39D251" w:rsidR="00630DC4" w:rsidRDefault="00AA4B35" w:rsidP="00662DE6">
      <w:pPr>
        <w:spacing w:line="480" w:lineRule="auto"/>
        <w:ind w:left="567" w:hanging="567"/>
        <w:rPr>
          <w:color w:val="000000" w:themeColor="text1"/>
        </w:rPr>
      </w:pPr>
      <w:proofErr w:type="spellStart"/>
      <w:r w:rsidRPr="009039D8">
        <w:rPr>
          <w:color w:val="000000" w:themeColor="text1"/>
        </w:rPr>
        <w:t>Steiger</w:t>
      </w:r>
      <w:proofErr w:type="spellEnd"/>
      <w:r w:rsidRPr="009039D8">
        <w:rPr>
          <w:color w:val="000000" w:themeColor="text1"/>
        </w:rPr>
        <w:t xml:space="preserve">, J. H. (2007). Understanding the limitations of global fit assessment in structural equation </w:t>
      </w:r>
      <w:proofErr w:type="spellStart"/>
      <w:r w:rsidRPr="009039D8">
        <w:rPr>
          <w:color w:val="000000" w:themeColor="text1"/>
        </w:rPr>
        <w:t>modeling</w:t>
      </w:r>
      <w:proofErr w:type="spellEnd"/>
      <w:r w:rsidRPr="009039D8">
        <w:rPr>
          <w:color w:val="000000" w:themeColor="text1"/>
        </w:rPr>
        <w:t xml:space="preserve">. </w:t>
      </w:r>
      <w:r w:rsidRPr="009039D8">
        <w:rPr>
          <w:i/>
          <w:color w:val="000000" w:themeColor="text1"/>
        </w:rPr>
        <w:t>Personality and Individual Differences</w:t>
      </w:r>
      <w:r w:rsidRPr="009039D8">
        <w:rPr>
          <w:color w:val="000000" w:themeColor="text1"/>
        </w:rPr>
        <w:t xml:space="preserve">, </w:t>
      </w:r>
      <w:r w:rsidRPr="009039D8">
        <w:rPr>
          <w:i/>
          <w:color w:val="000000" w:themeColor="text1"/>
        </w:rPr>
        <w:t>42</w:t>
      </w:r>
      <w:r w:rsidR="00630DC4">
        <w:rPr>
          <w:color w:val="000000" w:themeColor="text1"/>
        </w:rPr>
        <w:t>(5)</w:t>
      </w:r>
      <w:r w:rsidRPr="009039D8">
        <w:rPr>
          <w:color w:val="000000" w:themeColor="text1"/>
        </w:rPr>
        <w:t xml:space="preserve">, 893-98. </w:t>
      </w:r>
      <w:hyperlink r:id="rId48" w:history="1">
        <w:r w:rsidR="00630DC4" w:rsidRPr="00E53D67">
          <w:rPr>
            <w:rStyle w:val="Hyperlink"/>
          </w:rPr>
          <w:t>https://doi.org/10.1016/j.paid.2006.09.017</w:t>
        </w:r>
      </w:hyperlink>
    </w:p>
    <w:p w14:paraId="28FE412E" w14:textId="77777777" w:rsidR="00630DC4" w:rsidRDefault="00AA4B35" w:rsidP="00630DC4">
      <w:pPr>
        <w:spacing w:line="480" w:lineRule="auto"/>
        <w:ind w:left="567" w:hanging="567"/>
        <w:rPr>
          <w:color w:val="000000" w:themeColor="text1"/>
        </w:rPr>
      </w:pPr>
      <w:r>
        <w:lastRenderedPageBreak/>
        <w:t xml:space="preserve">Swami, V., &amp; Barron, D. (2019). </w:t>
      </w:r>
      <w:r>
        <w:rPr>
          <w:color w:val="000000" w:themeColor="text1"/>
        </w:rPr>
        <w:t>Translation and validation of body i</w:t>
      </w:r>
      <w:r w:rsidRPr="009039D8">
        <w:rPr>
          <w:color w:val="000000" w:themeColor="text1"/>
        </w:rPr>
        <w:t>m</w:t>
      </w:r>
      <w:r>
        <w:rPr>
          <w:color w:val="000000" w:themeColor="text1"/>
        </w:rPr>
        <w:t>age i</w:t>
      </w:r>
      <w:r w:rsidRPr="009039D8">
        <w:rPr>
          <w:color w:val="000000" w:themeColor="text1"/>
        </w:rPr>
        <w:t>nstruments: Challenges</w:t>
      </w:r>
      <w:r>
        <w:rPr>
          <w:color w:val="000000" w:themeColor="text1"/>
        </w:rPr>
        <w:t>, good practice guidelines, and reporting recommendations for test a</w:t>
      </w:r>
      <w:r w:rsidRPr="009039D8">
        <w:rPr>
          <w:color w:val="000000" w:themeColor="text1"/>
        </w:rPr>
        <w:t>daptation</w:t>
      </w:r>
      <w:r>
        <w:rPr>
          <w:color w:val="000000" w:themeColor="text1"/>
        </w:rPr>
        <w:t xml:space="preserve">. </w:t>
      </w:r>
      <w:r>
        <w:rPr>
          <w:i/>
          <w:color w:val="000000" w:themeColor="text1"/>
        </w:rPr>
        <w:t>Body Image</w:t>
      </w:r>
      <w:r>
        <w:rPr>
          <w:color w:val="000000" w:themeColor="text1"/>
        </w:rPr>
        <w:t xml:space="preserve">, </w:t>
      </w:r>
      <w:r>
        <w:rPr>
          <w:i/>
          <w:color w:val="000000" w:themeColor="text1"/>
        </w:rPr>
        <w:t>31</w:t>
      </w:r>
      <w:r>
        <w:rPr>
          <w:color w:val="000000" w:themeColor="text1"/>
        </w:rPr>
        <w:t xml:space="preserve">, 204-220. </w:t>
      </w:r>
      <w:hyperlink r:id="rId49" w:history="1">
        <w:r w:rsidR="00630DC4" w:rsidRPr="00E53D67">
          <w:rPr>
            <w:rStyle w:val="Hyperlink"/>
          </w:rPr>
          <w:t>https://doi.org/10.1016/j.bodyim.2018.08.014</w:t>
        </w:r>
      </w:hyperlink>
    </w:p>
    <w:p w14:paraId="3D17510F" w14:textId="77777777" w:rsidR="00EB1ED2" w:rsidRDefault="00EB1ED2" w:rsidP="00EB1ED2">
      <w:pPr>
        <w:spacing w:line="480" w:lineRule="auto"/>
        <w:ind w:left="567" w:hanging="567"/>
        <w:rPr>
          <w:rStyle w:val="Hyperlink"/>
        </w:rPr>
      </w:pPr>
      <w:r>
        <w:rPr>
          <w:color w:val="000000" w:themeColor="text1"/>
        </w:rPr>
        <w:t xml:space="preserve">Swami, V., Todd, J., </w:t>
      </w:r>
      <w:proofErr w:type="spellStart"/>
      <w:r>
        <w:rPr>
          <w:color w:val="000000" w:themeColor="text1"/>
        </w:rPr>
        <w:t>Zahari</w:t>
      </w:r>
      <w:proofErr w:type="spellEnd"/>
      <w:r>
        <w:rPr>
          <w:color w:val="000000" w:themeColor="text1"/>
        </w:rPr>
        <w:t xml:space="preserve">, H. S., </w:t>
      </w:r>
      <w:proofErr w:type="spellStart"/>
      <w:r>
        <w:rPr>
          <w:color w:val="000000" w:themeColor="text1"/>
        </w:rPr>
        <w:t>Mohd</w:t>
      </w:r>
      <w:proofErr w:type="spellEnd"/>
      <w:r>
        <w:rPr>
          <w:color w:val="000000" w:themeColor="text1"/>
        </w:rPr>
        <w:t xml:space="preserve">. </w:t>
      </w:r>
      <w:proofErr w:type="spellStart"/>
      <w:r>
        <w:rPr>
          <w:color w:val="000000" w:themeColor="text1"/>
        </w:rPr>
        <w:t>Khatib</w:t>
      </w:r>
      <w:proofErr w:type="spellEnd"/>
      <w:r>
        <w:rPr>
          <w:color w:val="000000" w:themeColor="text1"/>
        </w:rPr>
        <w:t xml:space="preserve">, N. A., </w:t>
      </w:r>
      <w:proofErr w:type="spellStart"/>
      <w:r>
        <w:rPr>
          <w:color w:val="000000" w:themeColor="text1"/>
        </w:rPr>
        <w:t>Toh</w:t>
      </w:r>
      <w:proofErr w:type="spellEnd"/>
      <w:r>
        <w:rPr>
          <w:color w:val="000000" w:themeColor="text1"/>
        </w:rPr>
        <w:t xml:space="preserve">, E. K. L., &amp; Barron, D. (2020). Dimensional structure, psychometric properties, and sex and ethnic invariance of a Bahasa Malaysia (Malay) translation of the Intuitive Eating Scale (IES-2). </w:t>
      </w:r>
      <w:r>
        <w:rPr>
          <w:i/>
          <w:color w:val="000000" w:themeColor="text1"/>
        </w:rPr>
        <w:t>Body Image</w:t>
      </w:r>
      <w:r>
        <w:rPr>
          <w:color w:val="000000" w:themeColor="text1"/>
        </w:rPr>
        <w:t xml:space="preserve">, </w:t>
      </w:r>
      <w:r>
        <w:rPr>
          <w:i/>
          <w:color w:val="000000" w:themeColor="text1"/>
        </w:rPr>
        <w:t>32</w:t>
      </w:r>
      <w:r>
        <w:rPr>
          <w:color w:val="000000" w:themeColor="text1"/>
        </w:rPr>
        <w:t xml:space="preserve">, 167-179. </w:t>
      </w:r>
      <w:hyperlink r:id="rId50" w:history="1">
        <w:r w:rsidRPr="00E53D67">
          <w:rPr>
            <w:rStyle w:val="Hyperlink"/>
          </w:rPr>
          <w:t>https://doi.org/j.bodyim.2020.01.003</w:t>
        </w:r>
      </w:hyperlink>
    </w:p>
    <w:p w14:paraId="789F230C" w14:textId="77777777" w:rsidR="0062287C" w:rsidRDefault="0036723A" w:rsidP="0062287C">
      <w:pPr>
        <w:spacing w:line="480" w:lineRule="auto"/>
        <w:ind w:left="567" w:hanging="567"/>
        <w:rPr>
          <w:rStyle w:val="Hyperlink"/>
        </w:rPr>
      </w:pPr>
      <w:r>
        <w:rPr>
          <w:color w:val="000000" w:themeColor="text1"/>
        </w:rPr>
        <w:t xml:space="preserve">Swami, V., </w:t>
      </w:r>
      <w:proofErr w:type="spellStart"/>
      <w:r>
        <w:rPr>
          <w:color w:val="000000" w:themeColor="text1"/>
        </w:rPr>
        <w:t>Tudorel</w:t>
      </w:r>
      <w:proofErr w:type="spellEnd"/>
      <w:r>
        <w:rPr>
          <w:color w:val="000000" w:themeColor="text1"/>
        </w:rPr>
        <w:t xml:space="preserve">, O., </w:t>
      </w:r>
      <w:proofErr w:type="spellStart"/>
      <w:r>
        <w:rPr>
          <w:color w:val="000000" w:themeColor="text1"/>
        </w:rPr>
        <w:t>Goian</w:t>
      </w:r>
      <w:proofErr w:type="spellEnd"/>
      <w:r>
        <w:rPr>
          <w:color w:val="000000" w:themeColor="text1"/>
        </w:rPr>
        <w:t xml:space="preserve">, C., Barron, D., &amp; </w:t>
      </w:r>
      <w:proofErr w:type="spellStart"/>
      <w:r>
        <w:rPr>
          <w:color w:val="000000" w:themeColor="text1"/>
        </w:rPr>
        <w:t>Vintila</w:t>
      </w:r>
      <w:proofErr w:type="spellEnd"/>
      <w:r>
        <w:rPr>
          <w:color w:val="000000" w:themeColor="text1"/>
        </w:rPr>
        <w:t xml:space="preserve">, M. (2017). Factor structure and psychometric properties of a Romanian translation of the Body Appreciation Scale-2. </w:t>
      </w:r>
      <w:r>
        <w:rPr>
          <w:i/>
          <w:color w:val="000000" w:themeColor="text1"/>
        </w:rPr>
        <w:t>Body Image</w:t>
      </w:r>
      <w:r>
        <w:rPr>
          <w:color w:val="000000" w:themeColor="text1"/>
        </w:rPr>
        <w:t xml:space="preserve">, </w:t>
      </w:r>
      <w:r>
        <w:rPr>
          <w:i/>
          <w:color w:val="000000" w:themeColor="text1"/>
        </w:rPr>
        <w:t>23</w:t>
      </w:r>
      <w:r>
        <w:rPr>
          <w:color w:val="000000" w:themeColor="text1"/>
        </w:rPr>
        <w:t xml:space="preserve">, 61-68. </w:t>
      </w:r>
      <w:hyperlink r:id="rId51" w:history="1">
        <w:r w:rsidRPr="00E53D67">
          <w:rPr>
            <w:rStyle w:val="Hyperlink"/>
          </w:rPr>
          <w:t>https://doi.org/10.1016/j.bodyim.2017.08.001</w:t>
        </w:r>
      </w:hyperlink>
    </w:p>
    <w:p w14:paraId="25F84DF5" w14:textId="01969B07" w:rsidR="0062287C" w:rsidRDefault="0062287C" w:rsidP="0062287C">
      <w:pPr>
        <w:spacing w:line="480" w:lineRule="auto"/>
        <w:ind w:left="567" w:hanging="567"/>
      </w:pPr>
      <w:r w:rsidRPr="0062287C">
        <w:t xml:space="preserve">Swami, V., </w:t>
      </w:r>
      <w:proofErr w:type="spellStart"/>
      <w:r w:rsidRPr="0062287C">
        <w:t>Vintila</w:t>
      </w:r>
      <w:proofErr w:type="spellEnd"/>
      <w:r w:rsidRPr="0062287C">
        <w:t xml:space="preserve">, M., </w:t>
      </w:r>
      <w:proofErr w:type="spellStart"/>
      <w:r w:rsidRPr="0062287C">
        <w:t>Goian</w:t>
      </w:r>
      <w:proofErr w:type="spellEnd"/>
      <w:r w:rsidRPr="0062287C">
        <w:t xml:space="preserve">, C., </w:t>
      </w:r>
      <w:proofErr w:type="spellStart"/>
      <w:r w:rsidRPr="0062287C">
        <w:t>Tudorel</w:t>
      </w:r>
      <w:proofErr w:type="spellEnd"/>
      <w:r w:rsidRPr="0062287C">
        <w:t xml:space="preserve">, O., &amp; </w:t>
      </w:r>
      <w:proofErr w:type="spellStart"/>
      <w:r w:rsidRPr="0062287C">
        <w:t>Bucur</w:t>
      </w:r>
      <w:proofErr w:type="spellEnd"/>
      <w:r w:rsidRPr="0062287C">
        <w:t>, V. (</w:t>
      </w:r>
      <w:r>
        <w:t>2020</w:t>
      </w:r>
      <w:r w:rsidRPr="0062287C">
        <w:t xml:space="preserve">). Mental health literacy of maternal and paternal postnatal depression in a community sample of Romanian adults. </w:t>
      </w:r>
      <w:r w:rsidRPr="0062287C">
        <w:rPr>
          <w:i/>
        </w:rPr>
        <w:t>International Perspectives in Psychology.</w:t>
      </w:r>
      <w:r w:rsidRPr="0062287C">
        <w:t xml:space="preserve"> </w:t>
      </w:r>
      <w:r>
        <w:t>Advanced online publication.</w:t>
      </w:r>
    </w:p>
    <w:p w14:paraId="09C61158" w14:textId="63AEE6E9" w:rsidR="008410E4" w:rsidRPr="008410E4" w:rsidRDefault="008410E4" w:rsidP="008410E4">
      <w:pPr>
        <w:spacing w:line="480" w:lineRule="auto"/>
        <w:ind w:left="567" w:hanging="567"/>
      </w:pPr>
      <w:proofErr w:type="spellStart"/>
      <w:r w:rsidRPr="00857235">
        <w:t>Tabachnik</w:t>
      </w:r>
      <w:proofErr w:type="spellEnd"/>
      <w:r w:rsidRPr="00857235">
        <w:t xml:space="preserve">, B. G., &amp; </w:t>
      </w:r>
      <w:proofErr w:type="spellStart"/>
      <w:r w:rsidRPr="00857235">
        <w:t>Fidell</w:t>
      </w:r>
      <w:proofErr w:type="spellEnd"/>
      <w:r w:rsidRPr="00857235">
        <w:t xml:space="preserve">, L. S. (2007). </w:t>
      </w:r>
      <w:r w:rsidRPr="00857235">
        <w:rPr>
          <w:i/>
        </w:rPr>
        <w:t>Using multivariate statistics</w:t>
      </w:r>
      <w:r w:rsidRPr="00857235">
        <w:t xml:space="preserve"> (5</w:t>
      </w:r>
      <w:r w:rsidRPr="00857235">
        <w:rPr>
          <w:vertAlign w:val="superscript"/>
        </w:rPr>
        <w:t>th</w:t>
      </w:r>
      <w:r w:rsidRPr="00857235">
        <w:t xml:space="preserve"> ed.). Pearson.</w:t>
      </w:r>
    </w:p>
    <w:p w14:paraId="4C739EE3" w14:textId="77777777" w:rsidR="00931E83" w:rsidRDefault="00931E83" w:rsidP="00931E83">
      <w:pPr>
        <w:spacing w:line="480" w:lineRule="auto"/>
        <w:ind w:left="567" w:hanging="567"/>
      </w:pPr>
      <w:proofErr w:type="spellStart"/>
      <w:r w:rsidRPr="007A49E1">
        <w:rPr>
          <w:iCs/>
        </w:rPr>
        <w:t>Tomsa</w:t>
      </w:r>
      <w:proofErr w:type="spellEnd"/>
      <w:r w:rsidRPr="007A49E1">
        <w:rPr>
          <w:iCs/>
        </w:rPr>
        <w:t xml:space="preserve">, R., </w:t>
      </w:r>
      <w:proofErr w:type="spellStart"/>
      <w:r w:rsidRPr="007A49E1">
        <w:rPr>
          <w:iCs/>
        </w:rPr>
        <w:t>Istfan</w:t>
      </w:r>
      <w:proofErr w:type="spellEnd"/>
      <w:r w:rsidRPr="007A49E1">
        <w:rPr>
          <w:iCs/>
        </w:rPr>
        <w:t xml:space="preserve">, N., </w:t>
      </w:r>
      <w:proofErr w:type="spellStart"/>
      <w:r w:rsidRPr="007A49E1">
        <w:rPr>
          <w:iCs/>
        </w:rPr>
        <w:t>Jenaro</w:t>
      </w:r>
      <w:proofErr w:type="spellEnd"/>
      <w:r w:rsidRPr="007A49E1">
        <w:rPr>
          <w:iCs/>
        </w:rPr>
        <w:t xml:space="preserve"> C., Flores, N., &amp; Bermejo, M. B. (2012). </w:t>
      </w:r>
      <w:r w:rsidRPr="007A49E1">
        <w:t xml:space="preserve">Body Image Screening Questionnaire for eating disorder early detection: A Romanian replication. </w:t>
      </w:r>
      <w:r w:rsidRPr="007A49E1">
        <w:rPr>
          <w:i/>
        </w:rPr>
        <w:t>Procedia</w:t>
      </w:r>
      <w:r>
        <w:rPr>
          <w:i/>
        </w:rPr>
        <w:t xml:space="preserve"> – Social and </w:t>
      </w:r>
      <w:proofErr w:type="spellStart"/>
      <w:r>
        <w:rPr>
          <w:i/>
        </w:rPr>
        <w:t>Behavioral</w:t>
      </w:r>
      <w:proofErr w:type="spellEnd"/>
      <w:r>
        <w:rPr>
          <w:i/>
        </w:rPr>
        <w:t xml:space="preserve"> Sciences</w:t>
      </w:r>
      <w:r w:rsidRPr="007A49E1">
        <w:t xml:space="preserve">, </w:t>
      </w:r>
      <w:r w:rsidRPr="007A49E1">
        <w:rPr>
          <w:i/>
        </w:rPr>
        <w:t>33</w:t>
      </w:r>
      <w:r w:rsidRPr="007A49E1">
        <w:t xml:space="preserve">, 423-427. </w:t>
      </w:r>
      <w:hyperlink r:id="rId52" w:history="1">
        <w:r w:rsidRPr="00E53D67">
          <w:rPr>
            <w:rStyle w:val="Hyperlink"/>
          </w:rPr>
          <w:t>https://doi.org/10.1016/j.sbspro.2012.01.156</w:t>
        </w:r>
      </w:hyperlink>
    </w:p>
    <w:p w14:paraId="0AA350F8" w14:textId="77777777" w:rsidR="00AA4B35" w:rsidRPr="00931E83" w:rsidRDefault="00AA4B35" w:rsidP="00931E83">
      <w:pPr>
        <w:spacing w:line="480" w:lineRule="auto"/>
        <w:ind w:left="567" w:hanging="567"/>
      </w:pPr>
      <w:proofErr w:type="spellStart"/>
      <w:r>
        <w:rPr>
          <w:bCs/>
          <w:color w:val="000000" w:themeColor="text1"/>
        </w:rPr>
        <w:t>Tribole</w:t>
      </w:r>
      <w:proofErr w:type="spellEnd"/>
      <w:r>
        <w:rPr>
          <w:bCs/>
          <w:color w:val="000000" w:themeColor="text1"/>
        </w:rPr>
        <w:t>, E. (2017). Intu</w:t>
      </w:r>
      <w:r w:rsidR="00931E83">
        <w:rPr>
          <w:bCs/>
          <w:color w:val="000000" w:themeColor="text1"/>
        </w:rPr>
        <w:t>i</w:t>
      </w:r>
      <w:r>
        <w:rPr>
          <w:bCs/>
          <w:color w:val="000000" w:themeColor="text1"/>
        </w:rPr>
        <w:t xml:space="preserve">tive eating: Research update. </w:t>
      </w:r>
      <w:r>
        <w:rPr>
          <w:bCs/>
          <w:i/>
          <w:color w:val="000000" w:themeColor="text1"/>
        </w:rPr>
        <w:t>SCAN’s Pulse</w:t>
      </w:r>
      <w:r>
        <w:rPr>
          <w:bCs/>
          <w:color w:val="000000" w:themeColor="text1"/>
        </w:rPr>
        <w:t xml:space="preserve">, </w:t>
      </w:r>
      <w:r>
        <w:rPr>
          <w:bCs/>
          <w:i/>
          <w:color w:val="000000" w:themeColor="text1"/>
        </w:rPr>
        <w:t>36</w:t>
      </w:r>
      <w:r>
        <w:rPr>
          <w:bCs/>
          <w:color w:val="000000" w:themeColor="text1"/>
        </w:rPr>
        <w:t xml:space="preserve">, 1-5. </w:t>
      </w:r>
    </w:p>
    <w:p w14:paraId="36660027" w14:textId="77777777" w:rsidR="00AA4B35" w:rsidRDefault="00AA4B35" w:rsidP="00AA4B35">
      <w:pPr>
        <w:spacing w:line="480" w:lineRule="auto"/>
        <w:ind w:left="567" w:hanging="567"/>
      </w:pPr>
      <w:proofErr w:type="spellStart"/>
      <w:r>
        <w:t>Tribole</w:t>
      </w:r>
      <w:proofErr w:type="spellEnd"/>
      <w:r>
        <w:t xml:space="preserve">, E., &amp; Resch, E. (2012). </w:t>
      </w:r>
      <w:r>
        <w:rPr>
          <w:i/>
        </w:rPr>
        <w:t xml:space="preserve">Intuitive eating: A recovery book for the chronic dieter </w:t>
      </w:r>
      <w:r>
        <w:t>(2</w:t>
      </w:r>
      <w:r w:rsidRPr="003352EA">
        <w:rPr>
          <w:vertAlign w:val="superscript"/>
        </w:rPr>
        <w:t>nd</w:t>
      </w:r>
      <w:r>
        <w:t xml:space="preserve"> ed.). St. Martin’s Griffin.</w:t>
      </w:r>
    </w:p>
    <w:p w14:paraId="0220ABA4" w14:textId="77777777" w:rsidR="00AA4B35" w:rsidRPr="003E2A90" w:rsidRDefault="00AA4B35" w:rsidP="00AA4B35">
      <w:pPr>
        <w:tabs>
          <w:tab w:val="left" w:pos="284"/>
        </w:tabs>
        <w:spacing w:line="480" w:lineRule="auto"/>
        <w:ind w:left="567" w:hanging="567"/>
        <w:rPr>
          <w:color w:val="000000" w:themeColor="text1"/>
        </w:rPr>
      </w:pPr>
      <w:r w:rsidRPr="009039D8">
        <w:rPr>
          <w:color w:val="000000" w:themeColor="text1"/>
        </w:rPr>
        <w:t xml:space="preserve">Tucker, L. R. (1951). </w:t>
      </w:r>
      <w:r w:rsidRPr="009039D8">
        <w:rPr>
          <w:i/>
          <w:iCs/>
          <w:color w:val="000000" w:themeColor="text1"/>
        </w:rPr>
        <w:t xml:space="preserve">A method for synthesis of factor analysis studies </w:t>
      </w:r>
      <w:r w:rsidRPr="009039D8">
        <w:rPr>
          <w:color w:val="000000" w:themeColor="text1"/>
        </w:rPr>
        <w:t xml:space="preserve">(Personnel Research Section Report No. 984). Department of the Army. </w:t>
      </w:r>
    </w:p>
    <w:p w14:paraId="3A657364" w14:textId="77777777" w:rsidR="00630DC4" w:rsidRDefault="00AA4B35" w:rsidP="00630DC4">
      <w:pPr>
        <w:spacing w:line="480" w:lineRule="auto"/>
        <w:ind w:left="567" w:hanging="567"/>
        <w:rPr>
          <w:color w:val="000000" w:themeColor="text1"/>
        </w:rPr>
      </w:pPr>
      <w:proofErr w:type="spellStart"/>
      <w:r>
        <w:lastRenderedPageBreak/>
        <w:t>Tylka</w:t>
      </w:r>
      <w:proofErr w:type="spellEnd"/>
      <w:r>
        <w:t xml:space="preserve">, T. L. (2006). Development and psychometric evaluation of a measure of intuitive </w:t>
      </w:r>
      <w:r w:rsidRPr="003352EA">
        <w:rPr>
          <w:color w:val="000000" w:themeColor="text1"/>
        </w:rPr>
        <w:t xml:space="preserve">eating. </w:t>
      </w:r>
      <w:r w:rsidRPr="003352EA">
        <w:rPr>
          <w:i/>
          <w:color w:val="000000" w:themeColor="text1"/>
        </w:rPr>
        <w:t xml:space="preserve">Journal of </w:t>
      </w:r>
      <w:proofErr w:type="spellStart"/>
      <w:r w:rsidRPr="003352EA">
        <w:rPr>
          <w:i/>
          <w:color w:val="000000" w:themeColor="text1"/>
        </w:rPr>
        <w:t>Counseling</w:t>
      </w:r>
      <w:proofErr w:type="spellEnd"/>
      <w:r w:rsidRPr="003352EA">
        <w:rPr>
          <w:i/>
          <w:color w:val="000000" w:themeColor="text1"/>
        </w:rPr>
        <w:t xml:space="preserve"> Psychology</w:t>
      </w:r>
      <w:r w:rsidRPr="003352EA">
        <w:rPr>
          <w:color w:val="000000" w:themeColor="text1"/>
        </w:rPr>
        <w:t xml:space="preserve">, </w:t>
      </w:r>
      <w:r w:rsidRPr="003352EA">
        <w:rPr>
          <w:i/>
          <w:color w:val="000000" w:themeColor="text1"/>
        </w:rPr>
        <w:t>53</w:t>
      </w:r>
      <w:r w:rsidR="00630DC4">
        <w:rPr>
          <w:color w:val="000000" w:themeColor="text1"/>
        </w:rPr>
        <w:t>(2)</w:t>
      </w:r>
      <w:r w:rsidRPr="003352EA">
        <w:rPr>
          <w:color w:val="000000" w:themeColor="text1"/>
        </w:rPr>
        <w:t xml:space="preserve">, 226-240. </w:t>
      </w:r>
      <w:hyperlink r:id="rId53" w:history="1">
        <w:r w:rsidR="00630DC4" w:rsidRPr="00E53D67">
          <w:rPr>
            <w:rStyle w:val="Hyperlink"/>
          </w:rPr>
          <w:t>https://doi.org/10.1037/0022-0167.53.2.226</w:t>
        </w:r>
      </w:hyperlink>
    </w:p>
    <w:p w14:paraId="6108A1BD" w14:textId="77777777" w:rsidR="00630DC4" w:rsidRDefault="00AA4B35" w:rsidP="00630DC4">
      <w:pPr>
        <w:spacing w:line="480" w:lineRule="auto"/>
        <w:ind w:left="567" w:hanging="567"/>
        <w:rPr>
          <w:color w:val="000000" w:themeColor="text1"/>
        </w:rPr>
      </w:pPr>
      <w:proofErr w:type="spellStart"/>
      <w:r w:rsidRPr="003352EA">
        <w:rPr>
          <w:color w:val="000000" w:themeColor="text1"/>
        </w:rPr>
        <w:t>Tylka</w:t>
      </w:r>
      <w:proofErr w:type="spellEnd"/>
      <w:r w:rsidRPr="003352EA">
        <w:rPr>
          <w:color w:val="000000" w:themeColor="text1"/>
        </w:rPr>
        <w:t xml:space="preserve">, T. L., </w:t>
      </w:r>
      <w:proofErr w:type="spellStart"/>
      <w:r w:rsidRPr="003352EA">
        <w:rPr>
          <w:color w:val="000000" w:themeColor="text1"/>
        </w:rPr>
        <w:t>Calogero</w:t>
      </w:r>
      <w:proofErr w:type="spellEnd"/>
      <w:r w:rsidRPr="003352EA">
        <w:rPr>
          <w:color w:val="000000" w:themeColor="text1"/>
        </w:rPr>
        <w:t xml:space="preserve">, R. M., &amp; </w:t>
      </w:r>
      <w:proofErr w:type="spellStart"/>
      <w:r w:rsidRPr="003352EA">
        <w:rPr>
          <w:color w:val="000000" w:themeColor="text1"/>
        </w:rPr>
        <w:t>Daníelsdóttir</w:t>
      </w:r>
      <w:proofErr w:type="spellEnd"/>
      <w:r w:rsidRPr="003352EA">
        <w:rPr>
          <w:color w:val="000000" w:themeColor="text1"/>
        </w:rPr>
        <w:t xml:space="preserve">, S. (2015). Is intuitive eating the same as flexible dietary control? Their links to each other and well-being could provide an answer. </w:t>
      </w:r>
      <w:r w:rsidRPr="003352EA">
        <w:rPr>
          <w:i/>
          <w:color w:val="000000" w:themeColor="text1"/>
        </w:rPr>
        <w:t>Appetite</w:t>
      </w:r>
      <w:r w:rsidRPr="003352EA">
        <w:rPr>
          <w:color w:val="000000" w:themeColor="text1"/>
        </w:rPr>
        <w:t xml:space="preserve">, </w:t>
      </w:r>
      <w:r w:rsidRPr="003352EA">
        <w:rPr>
          <w:i/>
          <w:color w:val="000000" w:themeColor="text1"/>
        </w:rPr>
        <w:t>95</w:t>
      </w:r>
      <w:r w:rsidRPr="003352EA">
        <w:rPr>
          <w:color w:val="000000" w:themeColor="text1"/>
        </w:rPr>
        <w:t>, 166</w:t>
      </w:r>
      <w:r>
        <w:rPr>
          <w:color w:val="000000" w:themeColor="text1"/>
        </w:rPr>
        <w:t>-</w:t>
      </w:r>
      <w:r w:rsidRPr="003352EA">
        <w:rPr>
          <w:color w:val="000000" w:themeColor="text1"/>
        </w:rPr>
        <w:t xml:space="preserve">175. </w:t>
      </w:r>
      <w:r w:rsidR="00630DC4">
        <w:rPr>
          <w:color w:val="000000" w:themeColor="text1"/>
        </w:rPr>
        <w:t>https://doi.org/</w:t>
      </w:r>
      <w:r w:rsidRPr="003352EA">
        <w:rPr>
          <w:color w:val="000000" w:themeColor="text1"/>
        </w:rPr>
        <w:t xml:space="preserve">10.1016/j.appet.2015.07.004 </w:t>
      </w:r>
    </w:p>
    <w:p w14:paraId="2331BB69" w14:textId="77777777" w:rsidR="00630DC4" w:rsidRDefault="00AA4B35" w:rsidP="00630DC4">
      <w:pPr>
        <w:spacing w:line="480" w:lineRule="auto"/>
        <w:ind w:left="567" w:hanging="567"/>
        <w:rPr>
          <w:color w:val="000000" w:themeColor="text1"/>
        </w:rPr>
      </w:pPr>
      <w:proofErr w:type="spellStart"/>
      <w:r w:rsidRPr="003352EA">
        <w:rPr>
          <w:color w:val="000000" w:themeColor="text1"/>
        </w:rPr>
        <w:t>Tylka</w:t>
      </w:r>
      <w:proofErr w:type="spellEnd"/>
      <w:r w:rsidRPr="003352EA">
        <w:rPr>
          <w:color w:val="000000" w:themeColor="text1"/>
        </w:rPr>
        <w:t xml:space="preserve">, T. L., </w:t>
      </w:r>
      <w:proofErr w:type="spellStart"/>
      <w:r w:rsidRPr="003352EA">
        <w:rPr>
          <w:color w:val="000000" w:themeColor="text1"/>
        </w:rPr>
        <w:t>Calogero</w:t>
      </w:r>
      <w:proofErr w:type="spellEnd"/>
      <w:r w:rsidRPr="003352EA">
        <w:rPr>
          <w:color w:val="000000" w:themeColor="text1"/>
        </w:rPr>
        <w:t xml:space="preserve">, R. M., &amp; </w:t>
      </w:r>
      <w:proofErr w:type="spellStart"/>
      <w:r w:rsidRPr="003352EA">
        <w:rPr>
          <w:color w:val="000000" w:themeColor="text1"/>
        </w:rPr>
        <w:t>Daníelsdóttir</w:t>
      </w:r>
      <w:proofErr w:type="spellEnd"/>
      <w:r w:rsidRPr="003352EA">
        <w:rPr>
          <w:color w:val="000000" w:themeColor="text1"/>
        </w:rPr>
        <w:t>, S. (201</w:t>
      </w:r>
      <w:r>
        <w:rPr>
          <w:color w:val="000000" w:themeColor="text1"/>
        </w:rPr>
        <w:t>9</w:t>
      </w:r>
      <w:r w:rsidRPr="003352EA">
        <w:rPr>
          <w:color w:val="000000" w:themeColor="text1"/>
        </w:rPr>
        <w:t>).</w:t>
      </w:r>
      <w:r>
        <w:rPr>
          <w:color w:val="000000" w:themeColor="text1"/>
        </w:rPr>
        <w:t xml:space="preserve"> Intuitive eating is connected to self-reported weight stability in community women and men. </w:t>
      </w:r>
      <w:r>
        <w:rPr>
          <w:i/>
          <w:color w:val="000000" w:themeColor="text1"/>
        </w:rPr>
        <w:t>Eating Disorders</w:t>
      </w:r>
      <w:r>
        <w:rPr>
          <w:color w:val="000000" w:themeColor="text1"/>
        </w:rPr>
        <w:t xml:space="preserve">. Advanced online publication. </w:t>
      </w:r>
      <w:hyperlink r:id="rId54" w:history="1">
        <w:r w:rsidR="00630DC4" w:rsidRPr="00E53D67">
          <w:rPr>
            <w:rStyle w:val="Hyperlink"/>
          </w:rPr>
          <w:t>https://doi.org/10.1080/10640266.2019.1580126</w:t>
        </w:r>
      </w:hyperlink>
    </w:p>
    <w:p w14:paraId="45EF6643" w14:textId="77777777" w:rsidR="00EB1ED2" w:rsidRDefault="00AA4B35" w:rsidP="00EB1ED2">
      <w:pPr>
        <w:spacing w:line="480" w:lineRule="auto"/>
        <w:ind w:left="567" w:hanging="567"/>
        <w:rPr>
          <w:rStyle w:val="Hyperlink"/>
        </w:rPr>
      </w:pPr>
      <w:proofErr w:type="spellStart"/>
      <w:r w:rsidRPr="003352EA">
        <w:rPr>
          <w:color w:val="000000" w:themeColor="text1"/>
        </w:rPr>
        <w:t>Tylka</w:t>
      </w:r>
      <w:proofErr w:type="spellEnd"/>
      <w:r w:rsidRPr="003352EA">
        <w:rPr>
          <w:color w:val="000000" w:themeColor="text1"/>
        </w:rPr>
        <w:t xml:space="preserve">, T. L., &amp; Kroon Van </w:t>
      </w:r>
      <w:proofErr w:type="spellStart"/>
      <w:r w:rsidRPr="003352EA">
        <w:rPr>
          <w:color w:val="000000" w:themeColor="text1"/>
        </w:rPr>
        <w:t>Diest</w:t>
      </w:r>
      <w:proofErr w:type="spellEnd"/>
      <w:r w:rsidRPr="003352EA">
        <w:rPr>
          <w:color w:val="000000" w:themeColor="text1"/>
        </w:rPr>
        <w:t xml:space="preserve">, A. M. (2013). The Intuitive Eating Scale-2: Item refinement and psychometric evaluation with college women and men. </w:t>
      </w:r>
      <w:r w:rsidRPr="003352EA">
        <w:rPr>
          <w:i/>
          <w:color w:val="000000" w:themeColor="text1"/>
        </w:rPr>
        <w:t xml:space="preserve">Journal of </w:t>
      </w:r>
      <w:proofErr w:type="spellStart"/>
      <w:r w:rsidRPr="003352EA">
        <w:rPr>
          <w:i/>
          <w:color w:val="000000" w:themeColor="text1"/>
        </w:rPr>
        <w:t>Counseling</w:t>
      </w:r>
      <w:proofErr w:type="spellEnd"/>
      <w:r w:rsidRPr="003352EA">
        <w:rPr>
          <w:i/>
          <w:color w:val="000000" w:themeColor="text1"/>
        </w:rPr>
        <w:t xml:space="preserve"> Psychology</w:t>
      </w:r>
      <w:r w:rsidRPr="003352EA">
        <w:rPr>
          <w:color w:val="000000" w:themeColor="text1"/>
        </w:rPr>
        <w:t xml:space="preserve">, </w:t>
      </w:r>
      <w:r w:rsidRPr="003352EA">
        <w:rPr>
          <w:i/>
          <w:color w:val="000000" w:themeColor="text1"/>
        </w:rPr>
        <w:t>60</w:t>
      </w:r>
      <w:r w:rsidR="00EB1ED2">
        <w:rPr>
          <w:color w:val="000000" w:themeColor="text1"/>
        </w:rPr>
        <w:t>(1)</w:t>
      </w:r>
      <w:r w:rsidRPr="003352EA">
        <w:rPr>
          <w:color w:val="000000" w:themeColor="text1"/>
        </w:rPr>
        <w:t xml:space="preserve">, 137-153. </w:t>
      </w:r>
      <w:hyperlink r:id="rId55" w:history="1">
        <w:r w:rsidR="00EB1ED2" w:rsidRPr="00E53D67">
          <w:rPr>
            <w:rStyle w:val="Hyperlink"/>
          </w:rPr>
          <w:t>https://doi.org/10.1037/a0030893</w:t>
        </w:r>
      </w:hyperlink>
    </w:p>
    <w:p w14:paraId="0C32FE3F" w14:textId="77777777" w:rsidR="0036723A" w:rsidRDefault="0036723A" w:rsidP="0036723A">
      <w:pPr>
        <w:spacing w:line="480" w:lineRule="auto"/>
        <w:ind w:left="567" w:hanging="567"/>
      </w:pPr>
      <w:proofErr w:type="spellStart"/>
      <w:r w:rsidRPr="00BF27F6">
        <w:t>Tylka</w:t>
      </w:r>
      <w:proofErr w:type="spellEnd"/>
      <w:r w:rsidRPr="00BF27F6">
        <w:t>, T. L., &amp; Wood-</w:t>
      </w:r>
      <w:proofErr w:type="spellStart"/>
      <w:r w:rsidRPr="00BF27F6">
        <w:t>Barcalow</w:t>
      </w:r>
      <w:proofErr w:type="spellEnd"/>
      <w:r w:rsidRPr="00BF27F6">
        <w:t xml:space="preserve">, N. L. (2015). The Body Appreciation Scale-2: Item refinement and psychometric evaluation. </w:t>
      </w:r>
      <w:r w:rsidRPr="00BF27F6">
        <w:rPr>
          <w:i/>
        </w:rPr>
        <w:t>Body Image</w:t>
      </w:r>
      <w:r w:rsidRPr="00BF27F6">
        <w:t xml:space="preserve">, </w:t>
      </w:r>
      <w:r w:rsidRPr="00BF27F6">
        <w:rPr>
          <w:i/>
        </w:rPr>
        <w:t>12</w:t>
      </w:r>
      <w:r w:rsidRPr="00BF27F6">
        <w:t xml:space="preserve">, 53-67. </w:t>
      </w:r>
      <w:hyperlink r:id="rId56" w:history="1">
        <w:r w:rsidRPr="00E53D67">
          <w:rPr>
            <w:rStyle w:val="Hyperlink"/>
          </w:rPr>
          <w:t>https://doi.org/10.1016/j.bodyim.2014.09.006</w:t>
        </w:r>
      </w:hyperlink>
    </w:p>
    <w:p w14:paraId="1B506B90" w14:textId="77777777" w:rsidR="00EB1ED2" w:rsidRPr="0036723A" w:rsidRDefault="00AA4B35" w:rsidP="0036723A">
      <w:pPr>
        <w:spacing w:line="480" w:lineRule="auto"/>
        <w:ind w:left="567" w:hanging="567"/>
      </w:pPr>
      <w:r>
        <w:rPr>
          <w:color w:val="000000" w:themeColor="text1"/>
        </w:rPr>
        <w:t xml:space="preserve">van </w:t>
      </w:r>
      <w:proofErr w:type="spellStart"/>
      <w:r>
        <w:rPr>
          <w:color w:val="000000" w:themeColor="text1"/>
        </w:rPr>
        <w:t>Dyck</w:t>
      </w:r>
      <w:proofErr w:type="spellEnd"/>
      <w:r>
        <w:rPr>
          <w:color w:val="000000" w:themeColor="text1"/>
        </w:rPr>
        <w:t xml:space="preserve">, Z., Herbert, B. M., </w:t>
      </w:r>
      <w:proofErr w:type="spellStart"/>
      <w:r>
        <w:rPr>
          <w:color w:val="000000" w:themeColor="text1"/>
        </w:rPr>
        <w:t>Happ</w:t>
      </w:r>
      <w:proofErr w:type="spellEnd"/>
      <w:r>
        <w:rPr>
          <w:color w:val="000000" w:themeColor="text1"/>
        </w:rPr>
        <w:t xml:space="preserve">, C., </w:t>
      </w:r>
      <w:proofErr w:type="spellStart"/>
      <w:r>
        <w:rPr>
          <w:color w:val="000000" w:themeColor="text1"/>
        </w:rPr>
        <w:t>Kleveman</w:t>
      </w:r>
      <w:proofErr w:type="spellEnd"/>
      <w:r>
        <w:rPr>
          <w:color w:val="000000" w:themeColor="text1"/>
        </w:rPr>
        <w:t xml:space="preserve">, G. V., &amp; </w:t>
      </w:r>
      <w:proofErr w:type="spellStart"/>
      <w:r>
        <w:rPr>
          <w:color w:val="000000" w:themeColor="text1"/>
        </w:rPr>
        <w:t>Vögele</w:t>
      </w:r>
      <w:proofErr w:type="spellEnd"/>
      <w:r>
        <w:rPr>
          <w:color w:val="000000" w:themeColor="text1"/>
        </w:rPr>
        <w:t xml:space="preserve">, C. (2016). German version of the Intuitive Eating Scale: Psychometric evaluation and application to an eating disordered population. </w:t>
      </w:r>
      <w:r>
        <w:rPr>
          <w:i/>
          <w:color w:val="000000" w:themeColor="text1"/>
        </w:rPr>
        <w:t>Appetite</w:t>
      </w:r>
      <w:r>
        <w:rPr>
          <w:color w:val="000000" w:themeColor="text1"/>
        </w:rPr>
        <w:t xml:space="preserve">, </w:t>
      </w:r>
      <w:r>
        <w:rPr>
          <w:i/>
          <w:color w:val="000000" w:themeColor="text1"/>
        </w:rPr>
        <w:t>105</w:t>
      </w:r>
      <w:r>
        <w:rPr>
          <w:color w:val="000000" w:themeColor="text1"/>
        </w:rPr>
        <w:t xml:space="preserve">, 798-807. </w:t>
      </w:r>
      <w:hyperlink r:id="rId57" w:history="1">
        <w:r w:rsidR="00EB1ED2" w:rsidRPr="00E53D67">
          <w:rPr>
            <w:rStyle w:val="Hyperlink"/>
          </w:rPr>
          <w:t>https://doi.org/10.1016/j.appet.2016.07.019</w:t>
        </w:r>
      </w:hyperlink>
    </w:p>
    <w:p w14:paraId="773B4162" w14:textId="77777777" w:rsidR="007E57E0" w:rsidRDefault="007E57E0" w:rsidP="00EB1ED2">
      <w:pPr>
        <w:spacing w:line="480" w:lineRule="auto"/>
        <w:ind w:left="567" w:hanging="567"/>
        <w:rPr>
          <w:color w:val="000000" w:themeColor="text1"/>
        </w:rPr>
      </w:pPr>
      <w:proofErr w:type="spellStart"/>
      <w:r>
        <w:rPr>
          <w:color w:val="000000" w:themeColor="text1"/>
        </w:rPr>
        <w:t>Voinea</w:t>
      </w:r>
      <w:proofErr w:type="spellEnd"/>
      <w:r>
        <w:rPr>
          <w:color w:val="000000" w:themeColor="text1"/>
        </w:rPr>
        <w:t xml:space="preserve">, L., </w:t>
      </w:r>
      <w:proofErr w:type="spellStart"/>
      <w:r>
        <w:rPr>
          <w:color w:val="000000" w:themeColor="text1"/>
        </w:rPr>
        <w:t>Vrânceanu</w:t>
      </w:r>
      <w:proofErr w:type="spellEnd"/>
      <w:r>
        <w:rPr>
          <w:color w:val="000000" w:themeColor="text1"/>
        </w:rPr>
        <w:t xml:space="preserve">, D. M., Filip, A., </w:t>
      </w:r>
      <w:proofErr w:type="spellStart"/>
      <w:r>
        <w:rPr>
          <w:color w:val="000000" w:themeColor="text1"/>
        </w:rPr>
        <w:t>Popescu</w:t>
      </w:r>
      <w:proofErr w:type="spellEnd"/>
      <w:r>
        <w:rPr>
          <w:color w:val="000000" w:themeColor="text1"/>
        </w:rPr>
        <w:t xml:space="preserve">, D. V., </w:t>
      </w:r>
      <w:proofErr w:type="spellStart"/>
      <w:r>
        <w:rPr>
          <w:color w:val="000000" w:themeColor="text1"/>
        </w:rPr>
        <w:t>Negrea</w:t>
      </w:r>
      <w:proofErr w:type="spellEnd"/>
      <w:r>
        <w:rPr>
          <w:color w:val="000000" w:themeColor="text1"/>
        </w:rPr>
        <w:t xml:space="preserve">, T. M., &amp; Dina, R. (2019). Research on food behaviour in Romania from the perspective of supporting healthy eating. </w:t>
      </w:r>
      <w:r>
        <w:rPr>
          <w:i/>
          <w:color w:val="000000" w:themeColor="text1"/>
        </w:rPr>
        <w:t>Sustainability</w:t>
      </w:r>
      <w:r>
        <w:rPr>
          <w:color w:val="000000" w:themeColor="text1"/>
        </w:rPr>
        <w:t xml:space="preserve">, </w:t>
      </w:r>
      <w:r>
        <w:rPr>
          <w:i/>
          <w:color w:val="000000" w:themeColor="text1"/>
        </w:rPr>
        <w:t>11</w:t>
      </w:r>
      <w:r>
        <w:rPr>
          <w:color w:val="000000" w:themeColor="text1"/>
        </w:rPr>
        <w:t xml:space="preserve">(19), 5255. </w:t>
      </w:r>
      <w:hyperlink r:id="rId58" w:history="1">
        <w:r w:rsidRPr="00E53D67">
          <w:rPr>
            <w:rStyle w:val="Hyperlink"/>
          </w:rPr>
          <w:t>https://doi.org/10.3390/su11195255</w:t>
        </w:r>
      </w:hyperlink>
    </w:p>
    <w:p w14:paraId="52D89128" w14:textId="6866E383" w:rsidR="00513542" w:rsidRDefault="00AA4B35" w:rsidP="00513542">
      <w:pPr>
        <w:spacing w:line="480" w:lineRule="auto"/>
        <w:ind w:left="567" w:hanging="567"/>
        <w:rPr>
          <w:rStyle w:val="apple-converted-space"/>
          <w:color w:val="000000" w:themeColor="text1"/>
          <w:shd w:val="clear" w:color="auto" w:fill="FFFFFF"/>
        </w:rPr>
        <w:sectPr w:rsidR="00513542" w:rsidSect="00C9770B">
          <w:headerReference w:type="even" r:id="rId59"/>
          <w:headerReference w:type="default" r:id="rId60"/>
          <w:pgSz w:w="11900" w:h="16840"/>
          <w:pgMar w:top="1440" w:right="1440" w:bottom="1440" w:left="1440" w:header="720" w:footer="720" w:gutter="0"/>
          <w:cols w:space="720"/>
          <w:titlePg/>
          <w:docGrid w:linePitch="360"/>
        </w:sectPr>
      </w:pPr>
      <w:r w:rsidRPr="009039D8">
        <w:rPr>
          <w:rStyle w:val="apple-converted-space"/>
          <w:color w:val="000000" w:themeColor="text1"/>
          <w:shd w:val="clear" w:color="auto" w:fill="FFFFFF"/>
        </w:rPr>
        <w:t xml:space="preserve">Worthington, R., &amp; Whittaker, T. (2006). Scale development research: A content analysis and recommendations for best practice. </w:t>
      </w:r>
      <w:proofErr w:type="spellStart"/>
      <w:r w:rsidRPr="009039D8">
        <w:rPr>
          <w:rStyle w:val="apple-converted-space"/>
          <w:i/>
          <w:color w:val="000000" w:themeColor="text1"/>
          <w:shd w:val="clear" w:color="auto" w:fill="FFFFFF"/>
        </w:rPr>
        <w:t>Counseling</w:t>
      </w:r>
      <w:proofErr w:type="spellEnd"/>
      <w:r w:rsidRPr="009039D8">
        <w:rPr>
          <w:rStyle w:val="apple-converted-space"/>
          <w:i/>
          <w:color w:val="000000" w:themeColor="text1"/>
          <w:shd w:val="clear" w:color="auto" w:fill="FFFFFF"/>
        </w:rPr>
        <w:t xml:space="preserve"> Psychologist</w:t>
      </w:r>
      <w:r w:rsidRPr="009039D8">
        <w:rPr>
          <w:rStyle w:val="apple-converted-space"/>
          <w:color w:val="000000" w:themeColor="text1"/>
          <w:shd w:val="clear" w:color="auto" w:fill="FFFFFF"/>
        </w:rPr>
        <w:t xml:space="preserve">, </w:t>
      </w:r>
      <w:r w:rsidRPr="009039D8">
        <w:rPr>
          <w:rStyle w:val="apple-converted-space"/>
          <w:i/>
          <w:color w:val="000000" w:themeColor="text1"/>
          <w:shd w:val="clear" w:color="auto" w:fill="FFFFFF"/>
        </w:rPr>
        <w:t>34</w:t>
      </w:r>
      <w:r w:rsidR="00EB1ED2">
        <w:rPr>
          <w:rStyle w:val="apple-converted-space"/>
          <w:color w:val="000000" w:themeColor="text1"/>
          <w:shd w:val="clear" w:color="auto" w:fill="FFFFFF"/>
        </w:rPr>
        <w:t>(6)</w:t>
      </w:r>
      <w:r w:rsidRPr="009039D8">
        <w:rPr>
          <w:rStyle w:val="apple-converted-space"/>
          <w:color w:val="000000" w:themeColor="text1"/>
          <w:shd w:val="clear" w:color="auto" w:fill="FFFFFF"/>
        </w:rPr>
        <w:t>, 806-838.</w:t>
      </w:r>
      <w:r w:rsidR="00EB1ED2">
        <w:rPr>
          <w:rStyle w:val="apple-converted-space"/>
          <w:color w:val="000000" w:themeColor="text1"/>
          <w:shd w:val="clear" w:color="auto" w:fill="FFFFFF"/>
        </w:rPr>
        <w:t xml:space="preserve"> </w:t>
      </w:r>
      <w:hyperlink r:id="rId61" w:history="1">
        <w:r w:rsidR="00EB1ED2" w:rsidRPr="00E53D67">
          <w:rPr>
            <w:rStyle w:val="Hyperlink"/>
            <w:shd w:val="clear" w:color="auto" w:fill="FFFFFF"/>
          </w:rPr>
          <w:t>https://doi.org/10.1177/0011000006288127</w:t>
        </w:r>
      </w:hyperlink>
    </w:p>
    <w:p w14:paraId="68232791" w14:textId="00A3BC81" w:rsidR="00513542" w:rsidRPr="009C5663" w:rsidRDefault="00513542" w:rsidP="003D14E9">
      <w:pPr>
        <w:pStyle w:val="Heading1"/>
      </w:pPr>
      <w:r>
        <w:rPr>
          <w:color w:val="000000" w:themeColor="text1"/>
          <w:shd w:val="clear" w:color="auto" w:fill="FFFFFF"/>
        </w:rPr>
        <w:lastRenderedPageBreak/>
        <w:t>Table 1.</w:t>
      </w:r>
      <w:r>
        <w:t xml:space="preserve"> Item-Factor Loadings for Female and Male Participants from the First Split-Half Subsample.  </w:t>
      </w: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239"/>
        <w:gridCol w:w="1217"/>
        <w:gridCol w:w="1418"/>
        <w:gridCol w:w="1418"/>
        <w:gridCol w:w="1217"/>
        <w:gridCol w:w="1407"/>
        <w:gridCol w:w="1424"/>
        <w:gridCol w:w="1203"/>
      </w:tblGrid>
      <w:tr w:rsidR="006614F3" w14:paraId="52FEE81F" w14:textId="77777777" w:rsidTr="006614F3">
        <w:tc>
          <w:tcPr>
            <w:tcW w:w="507" w:type="pct"/>
            <w:vMerge w:val="restart"/>
            <w:tcBorders>
              <w:top w:val="single" w:sz="4" w:space="0" w:color="auto"/>
            </w:tcBorders>
          </w:tcPr>
          <w:p w14:paraId="27B1E162" w14:textId="77777777" w:rsidR="006614F3" w:rsidRPr="008036D3" w:rsidRDefault="006614F3" w:rsidP="00DF5CA5">
            <w:pPr>
              <w:spacing w:line="480" w:lineRule="auto"/>
            </w:pPr>
            <w:r w:rsidRPr="008036D3">
              <w:t>Item</w:t>
            </w:r>
          </w:p>
        </w:tc>
        <w:tc>
          <w:tcPr>
            <w:tcW w:w="1160" w:type="pct"/>
            <w:vMerge w:val="restart"/>
            <w:tcBorders>
              <w:top w:val="single" w:sz="4" w:space="0" w:color="auto"/>
            </w:tcBorders>
          </w:tcPr>
          <w:p w14:paraId="6E20422B" w14:textId="77777777" w:rsidR="006614F3" w:rsidRPr="008036D3" w:rsidRDefault="006614F3" w:rsidP="00DF5CA5">
            <w:pPr>
              <w:spacing w:line="276" w:lineRule="auto"/>
            </w:pPr>
            <w:r w:rsidRPr="008036D3">
              <w:t xml:space="preserve">Dimension in </w:t>
            </w:r>
            <w:proofErr w:type="spellStart"/>
            <w:r w:rsidRPr="008036D3">
              <w:t>Tylka</w:t>
            </w:r>
            <w:proofErr w:type="spellEnd"/>
            <w:r w:rsidRPr="008036D3">
              <w:t xml:space="preserve"> </w:t>
            </w:r>
            <w:r>
              <w:t>and</w:t>
            </w:r>
            <w:r w:rsidRPr="008036D3">
              <w:t xml:space="preserve"> Kroon </w:t>
            </w:r>
            <w:r>
              <w:t>V</w:t>
            </w:r>
            <w:r w:rsidRPr="008036D3">
              <w:t xml:space="preserve">an </w:t>
            </w:r>
            <w:proofErr w:type="spellStart"/>
            <w:r w:rsidRPr="008036D3">
              <w:t>Diest</w:t>
            </w:r>
            <w:proofErr w:type="spellEnd"/>
            <w:r w:rsidRPr="008036D3">
              <w:t xml:space="preserve"> (2013)</w:t>
            </w:r>
          </w:p>
        </w:tc>
        <w:tc>
          <w:tcPr>
            <w:tcW w:w="1452" w:type="pct"/>
            <w:gridSpan w:val="3"/>
            <w:tcBorders>
              <w:top w:val="single" w:sz="4" w:space="0" w:color="auto"/>
            </w:tcBorders>
          </w:tcPr>
          <w:p w14:paraId="470C1FEA" w14:textId="087F9F91" w:rsidR="006614F3" w:rsidRPr="008036D3" w:rsidRDefault="006614F3" w:rsidP="00DF5CA5">
            <w:pPr>
              <w:spacing w:line="480" w:lineRule="auto"/>
            </w:pPr>
            <w:r w:rsidRPr="008036D3">
              <w:t>Women (</w:t>
            </w:r>
            <w:r w:rsidRPr="008036D3">
              <w:rPr>
                <w:i/>
              </w:rPr>
              <w:t>n</w:t>
            </w:r>
            <w:r w:rsidRPr="008036D3">
              <w:t xml:space="preserve"> = 2</w:t>
            </w:r>
            <w:r>
              <w:t>53</w:t>
            </w:r>
            <w:r w:rsidRPr="008036D3">
              <w:t>)</w:t>
            </w:r>
          </w:p>
        </w:tc>
        <w:tc>
          <w:tcPr>
            <w:tcW w:w="1881" w:type="pct"/>
            <w:gridSpan w:val="4"/>
            <w:tcBorders>
              <w:top w:val="single" w:sz="4" w:space="0" w:color="auto"/>
            </w:tcBorders>
          </w:tcPr>
          <w:p w14:paraId="345F9C60" w14:textId="57E1B3BE" w:rsidR="006614F3" w:rsidRPr="008036D3" w:rsidRDefault="006614F3" w:rsidP="00DF5CA5">
            <w:pPr>
              <w:spacing w:line="480" w:lineRule="auto"/>
            </w:pPr>
            <w:r w:rsidRPr="008036D3">
              <w:t>Men (</w:t>
            </w:r>
            <w:r w:rsidRPr="008036D3">
              <w:rPr>
                <w:i/>
              </w:rPr>
              <w:t>n</w:t>
            </w:r>
            <w:r w:rsidRPr="008036D3">
              <w:t xml:space="preserve"> = </w:t>
            </w:r>
            <w:r>
              <w:t>167</w:t>
            </w:r>
            <w:r w:rsidRPr="008036D3">
              <w:t>)</w:t>
            </w:r>
          </w:p>
        </w:tc>
      </w:tr>
      <w:tr w:rsidR="006614F3" w14:paraId="69EF091A" w14:textId="77777777" w:rsidTr="006614F3">
        <w:tc>
          <w:tcPr>
            <w:tcW w:w="507" w:type="pct"/>
            <w:vMerge/>
            <w:tcBorders>
              <w:top w:val="nil"/>
              <w:bottom w:val="single" w:sz="4" w:space="0" w:color="auto"/>
            </w:tcBorders>
          </w:tcPr>
          <w:p w14:paraId="181BBDD0" w14:textId="77777777" w:rsidR="006614F3" w:rsidRPr="008036D3" w:rsidRDefault="006614F3" w:rsidP="00DF5CA5">
            <w:pPr>
              <w:spacing w:line="480" w:lineRule="auto"/>
            </w:pPr>
          </w:p>
        </w:tc>
        <w:tc>
          <w:tcPr>
            <w:tcW w:w="1160" w:type="pct"/>
            <w:vMerge/>
            <w:tcBorders>
              <w:top w:val="nil"/>
              <w:bottom w:val="single" w:sz="4" w:space="0" w:color="auto"/>
            </w:tcBorders>
          </w:tcPr>
          <w:p w14:paraId="7B4D9226" w14:textId="77777777" w:rsidR="006614F3" w:rsidRPr="008036D3" w:rsidRDefault="006614F3" w:rsidP="00DF5CA5">
            <w:pPr>
              <w:spacing w:line="480" w:lineRule="auto"/>
            </w:pPr>
          </w:p>
        </w:tc>
        <w:tc>
          <w:tcPr>
            <w:tcW w:w="436" w:type="pct"/>
            <w:tcBorders>
              <w:top w:val="nil"/>
              <w:bottom w:val="single" w:sz="4" w:space="0" w:color="auto"/>
            </w:tcBorders>
          </w:tcPr>
          <w:p w14:paraId="69ECC7D8" w14:textId="77777777" w:rsidR="006614F3" w:rsidRPr="006614F3" w:rsidRDefault="006614F3" w:rsidP="00DF5CA5">
            <w:pPr>
              <w:spacing w:line="480" w:lineRule="auto"/>
            </w:pPr>
            <w:r w:rsidRPr="006614F3">
              <w:t>F1</w:t>
            </w:r>
          </w:p>
        </w:tc>
        <w:tc>
          <w:tcPr>
            <w:tcW w:w="508" w:type="pct"/>
            <w:tcBorders>
              <w:top w:val="nil"/>
              <w:bottom w:val="single" w:sz="4" w:space="0" w:color="auto"/>
            </w:tcBorders>
          </w:tcPr>
          <w:p w14:paraId="3BBB960A" w14:textId="77777777" w:rsidR="006614F3" w:rsidRPr="006614F3" w:rsidRDefault="006614F3" w:rsidP="00DF5CA5">
            <w:pPr>
              <w:spacing w:line="480" w:lineRule="auto"/>
            </w:pPr>
            <w:r w:rsidRPr="006614F3">
              <w:t>F2</w:t>
            </w:r>
          </w:p>
        </w:tc>
        <w:tc>
          <w:tcPr>
            <w:tcW w:w="508" w:type="pct"/>
            <w:tcBorders>
              <w:top w:val="nil"/>
              <w:bottom w:val="single" w:sz="4" w:space="0" w:color="auto"/>
            </w:tcBorders>
          </w:tcPr>
          <w:p w14:paraId="2677DF0B" w14:textId="77777777" w:rsidR="006614F3" w:rsidRPr="006614F3" w:rsidRDefault="006614F3" w:rsidP="00DF5CA5">
            <w:pPr>
              <w:spacing w:line="480" w:lineRule="auto"/>
            </w:pPr>
            <w:r w:rsidRPr="006614F3">
              <w:t>F3</w:t>
            </w:r>
          </w:p>
        </w:tc>
        <w:tc>
          <w:tcPr>
            <w:tcW w:w="436" w:type="pct"/>
            <w:tcBorders>
              <w:top w:val="nil"/>
              <w:bottom w:val="single" w:sz="4" w:space="0" w:color="auto"/>
            </w:tcBorders>
          </w:tcPr>
          <w:p w14:paraId="48B19D71" w14:textId="77777777" w:rsidR="006614F3" w:rsidRPr="0019310A" w:rsidRDefault="006614F3" w:rsidP="00DF5CA5">
            <w:pPr>
              <w:spacing w:line="480" w:lineRule="auto"/>
            </w:pPr>
            <w:r w:rsidRPr="0019310A">
              <w:t>F1</w:t>
            </w:r>
          </w:p>
        </w:tc>
        <w:tc>
          <w:tcPr>
            <w:tcW w:w="504" w:type="pct"/>
            <w:tcBorders>
              <w:top w:val="nil"/>
              <w:bottom w:val="single" w:sz="4" w:space="0" w:color="auto"/>
            </w:tcBorders>
          </w:tcPr>
          <w:p w14:paraId="60F1DFC0" w14:textId="77777777" w:rsidR="006614F3" w:rsidRPr="0019310A" w:rsidRDefault="006614F3" w:rsidP="00DF5CA5">
            <w:pPr>
              <w:spacing w:line="480" w:lineRule="auto"/>
            </w:pPr>
            <w:r w:rsidRPr="0019310A">
              <w:t>F2</w:t>
            </w:r>
          </w:p>
        </w:tc>
        <w:tc>
          <w:tcPr>
            <w:tcW w:w="510" w:type="pct"/>
            <w:tcBorders>
              <w:top w:val="nil"/>
              <w:bottom w:val="single" w:sz="4" w:space="0" w:color="auto"/>
            </w:tcBorders>
          </w:tcPr>
          <w:p w14:paraId="3A21B193" w14:textId="77777777" w:rsidR="006614F3" w:rsidRPr="0019310A" w:rsidRDefault="006614F3" w:rsidP="00DF5CA5">
            <w:pPr>
              <w:spacing w:line="480" w:lineRule="auto"/>
            </w:pPr>
            <w:r w:rsidRPr="0019310A">
              <w:t>F3</w:t>
            </w:r>
          </w:p>
        </w:tc>
        <w:tc>
          <w:tcPr>
            <w:tcW w:w="431" w:type="pct"/>
            <w:tcBorders>
              <w:top w:val="nil"/>
              <w:bottom w:val="single" w:sz="4" w:space="0" w:color="auto"/>
            </w:tcBorders>
          </w:tcPr>
          <w:p w14:paraId="39A632AA" w14:textId="77777777" w:rsidR="006614F3" w:rsidRPr="0019310A" w:rsidRDefault="006614F3" w:rsidP="00DF5CA5">
            <w:pPr>
              <w:spacing w:line="480" w:lineRule="auto"/>
            </w:pPr>
            <w:r w:rsidRPr="0019310A">
              <w:t>F4</w:t>
            </w:r>
          </w:p>
        </w:tc>
      </w:tr>
      <w:tr w:rsidR="006614F3" w:rsidRPr="00FB087E" w14:paraId="3D0CA80A" w14:textId="77777777" w:rsidTr="006614F3">
        <w:tc>
          <w:tcPr>
            <w:tcW w:w="507" w:type="pct"/>
            <w:tcBorders>
              <w:top w:val="single" w:sz="4" w:space="0" w:color="auto"/>
            </w:tcBorders>
          </w:tcPr>
          <w:p w14:paraId="123D0EC7" w14:textId="77777777" w:rsidR="006614F3" w:rsidRPr="008036D3" w:rsidRDefault="006614F3" w:rsidP="00DF5CA5">
            <w:pPr>
              <w:spacing w:line="480" w:lineRule="auto"/>
            </w:pPr>
            <w:r w:rsidRPr="008036D3">
              <w:t>1</w:t>
            </w:r>
          </w:p>
        </w:tc>
        <w:tc>
          <w:tcPr>
            <w:tcW w:w="1160" w:type="pct"/>
            <w:tcBorders>
              <w:top w:val="single" w:sz="4" w:space="0" w:color="auto"/>
            </w:tcBorders>
          </w:tcPr>
          <w:p w14:paraId="4B6CA416" w14:textId="77777777" w:rsidR="006614F3" w:rsidRPr="008036D3" w:rsidRDefault="006614F3" w:rsidP="00DF5CA5">
            <w:pPr>
              <w:spacing w:line="480" w:lineRule="auto"/>
            </w:pPr>
            <w:r w:rsidRPr="008036D3">
              <w:t>UPE</w:t>
            </w:r>
          </w:p>
        </w:tc>
        <w:tc>
          <w:tcPr>
            <w:tcW w:w="436" w:type="pct"/>
            <w:tcBorders>
              <w:top w:val="single" w:sz="4" w:space="0" w:color="auto"/>
            </w:tcBorders>
          </w:tcPr>
          <w:p w14:paraId="21DFB7E3" w14:textId="6A2DFE9B" w:rsidR="006614F3" w:rsidRPr="006614F3" w:rsidRDefault="006614F3" w:rsidP="00DF5CA5">
            <w:pPr>
              <w:spacing w:line="480" w:lineRule="auto"/>
            </w:pPr>
            <w:r w:rsidRPr="006614F3">
              <w:t>.07</w:t>
            </w:r>
          </w:p>
        </w:tc>
        <w:tc>
          <w:tcPr>
            <w:tcW w:w="508" w:type="pct"/>
            <w:tcBorders>
              <w:top w:val="single" w:sz="4" w:space="0" w:color="auto"/>
            </w:tcBorders>
          </w:tcPr>
          <w:p w14:paraId="1E9E356A" w14:textId="1C05581F" w:rsidR="006614F3" w:rsidRPr="006614F3" w:rsidRDefault="006614F3" w:rsidP="00DF5CA5">
            <w:pPr>
              <w:spacing w:line="480" w:lineRule="auto"/>
            </w:pPr>
            <w:r w:rsidRPr="006614F3">
              <w:t>.07</w:t>
            </w:r>
          </w:p>
        </w:tc>
        <w:tc>
          <w:tcPr>
            <w:tcW w:w="508" w:type="pct"/>
            <w:tcBorders>
              <w:top w:val="single" w:sz="4" w:space="0" w:color="auto"/>
            </w:tcBorders>
          </w:tcPr>
          <w:p w14:paraId="3673F4F5" w14:textId="2E9C8667" w:rsidR="006614F3" w:rsidRPr="006614F3" w:rsidRDefault="006614F3" w:rsidP="00DF5CA5">
            <w:pPr>
              <w:spacing w:line="480" w:lineRule="auto"/>
              <w:rPr>
                <w:b/>
                <w:bCs/>
              </w:rPr>
            </w:pPr>
            <w:r w:rsidRPr="006614F3">
              <w:rPr>
                <w:b/>
                <w:bCs/>
              </w:rPr>
              <w:t>.67</w:t>
            </w:r>
          </w:p>
        </w:tc>
        <w:tc>
          <w:tcPr>
            <w:tcW w:w="436" w:type="pct"/>
            <w:tcBorders>
              <w:top w:val="single" w:sz="4" w:space="0" w:color="auto"/>
            </w:tcBorders>
          </w:tcPr>
          <w:p w14:paraId="0F569FA2" w14:textId="60360B48" w:rsidR="006614F3" w:rsidRPr="0016399B" w:rsidRDefault="006614F3" w:rsidP="00DF5CA5">
            <w:pPr>
              <w:spacing w:line="480" w:lineRule="auto"/>
            </w:pPr>
            <w:r w:rsidRPr="0016399B">
              <w:rPr>
                <w:b/>
                <w:bCs/>
              </w:rPr>
              <w:t>-</w:t>
            </w:r>
            <w:r w:rsidRPr="0016399B">
              <w:t>.27</w:t>
            </w:r>
          </w:p>
        </w:tc>
        <w:tc>
          <w:tcPr>
            <w:tcW w:w="504" w:type="pct"/>
            <w:tcBorders>
              <w:top w:val="single" w:sz="4" w:space="0" w:color="auto"/>
            </w:tcBorders>
          </w:tcPr>
          <w:p w14:paraId="0936BA09" w14:textId="1F76CD7F" w:rsidR="006614F3" w:rsidRPr="00DF5CA5" w:rsidRDefault="006614F3" w:rsidP="00DF5CA5">
            <w:pPr>
              <w:spacing w:line="480" w:lineRule="auto"/>
              <w:rPr>
                <w:b/>
                <w:bCs/>
              </w:rPr>
            </w:pPr>
            <w:r w:rsidRPr="00DF5CA5">
              <w:rPr>
                <w:b/>
                <w:bCs/>
              </w:rPr>
              <w:t>.57</w:t>
            </w:r>
          </w:p>
        </w:tc>
        <w:tc>
          <w:tcPr>
            <w:tcW w:w="510" w:type="pct"/>
            <w:tcBorders>
              <w:top w:val="single" w:sz="4" w:space="0" w:color="auto"/>
            </w:tcBorders>
          </w:tcPr>
          <w:p w14:paraId="138B96E1" w14:textId="5F39610D" w:rsidR="006614F3" w:rsidRPr="00DF5CA5" w:rsidRDefault="006614F3" w:rsidP="00DF5CA5">
            <w:pPr>
              <w:spacing w:line="480" w:lineRule="auto"/>
            </w:pPr>
            <w:r w:rsidRPr="00DF5CA5">
              <w:t>.20</w:t>
            </w:r>
          </w:p>
        </w:tc>
        <w:tc>
          <w:tcPr>
            <w:tcW w:w="431" w:type="pct"/>
            <w:tcBorders>
              <w:top w:val="single" w:sz="4" w:space="0" w:color="auto"/>
            </w:tcBorders>
          </w:tcPr>
          <w:p w14:paraId="6D2804A3" w14:textId="30F34D6E" w:rsidR="006614F3" w:rsidRPr="00DF5CA5" w:rsidRDefault="006614F3" w:rsidP="00DF5CA5">
            <w:pPr>
              <w:spacing w:line="480" w:lineRule="auto"/>
            </w:pPr>
            <w:r w:rsidRPr="00DF5CA5">
              <w:t>.24</w:t>
            </w:r>
          </w:p>
        </w:tc>
      </w:tr>
      <w:tr w:rsidR="006614F3" w:rsidRPr="00FB087E" w14:paraId="0B385157" w14:textId="77777777" w:rsidTr="006614F3">
        <w:tc>
          <w:tcPr>
            <w:tcW w:w="507" w:type="pct"/>
          </w:tcPr>
          <w:p w14:paraId="29976BE3" w14:textId="77777777" w:rsidR="006614F3" w:rsidRPr="008036D3" w:rsidRDefault="006614F3" w:rsidP="00513542">
            <w:pPr>
              <w:spacing w:line="480" w:lineRule="auto"/>
            </w:pPr>
            <w:r w:rsidRPr="008036D3">
              <w:t>2</w:t>
            </w:r>
          </w:p>
        </w:tc>
        <w:tc>
          <w:tcPr>
            <w:tcW w:w="1160" w:type="pct"/>
          </w:tcPr>
          <w:p w14:paraId="3112BEA7" w14:textId="77777777" w:rsidR="006614F3" w:rsidRPr="008036D3" w:rsidRDefault="006614F3" w:rsidP="00513542">
            <w:pPr>
              <w:spacing w:line="480" w:lineRule="auto"/>
            </w:pPr>
            <w:r w:rsidRPr="008036D3">
              <w:t>EPR</w:t>
            </w:r>
          </w:p>
        </w:tc>
        <w:tc>
          <w:tcPr>
            <w:tcW w:w="436" w:type="pct"/>
          </w:tcPr>
          <w:p w14:paraId="3728E8AE" w14:textId="36C67504" w:rsidR="006614F3" w:rsidRPr="006614F3" w:rsidRDefault="006614F3" w:rsidP="00513542">
            <w:pPr>
              <w:spacing w:line="480" w:lineRule="auto"/>
            </w:pPr>
            <w:r w:rsidRPr="006614F3">
              <w:t>.02</w:t>
            </w:r>
          </w:p>
        </w:tc>
        <w:tc>
          <w:tcPr>
            <w:tcW w:w="508" w:type="pct"/>
          </w:tcPr>
          <w:p w14:paraId="37733726" w14:textId="1602DEF8" w:rsidR="006614F3" w:rsidRPr="006614F3" w:rsidRDefault="006614F3" w:rsidP="00513542">
            <w:pPr>
              <w:spacing w:line="480" w:lineRule="auto"/>
              <w:rPr>
                <w:b/>
                <w:bCs/>
              </w:rPr>
            </w:pPr>
            <w:r w:rsidRPr="006614F3">
              <w:rPr>
                <w:b/>
                <w:bCs/>
              </w:rPr>
              <w:t>.82</w:t>
            </w:r>
          </w:p>
        </w:tc>
        <w:tc>
          <w:tcPr>
            <w:tcW w:w="508" w:type="pct"/>
          </w:tcPr>
          <w:p w14:paraId="5A1781C6" w14:textId="7EBA0C00" w:rsidR="006614F3" w:rsidRPr="006614F3" w:rsidRDefault="006614F3" w:rsidP="00513542">
            <w:pPr>
              <w:spacing w:line="480" w:lineRule="auto"/>
            </w:pPr>
            <w:r w:rsidRPr="006614F3">
              <w:t>.04</w:t>
            </w:r>
          </w:p>
        </w:tc>
        <w:tc>
          <w:tcPr>
            <w:tcW w:w="436" w:type="pct"/>
          </w:tcPr>
          <w:p w14:paraId="597267A4" w14:textId="114F3BA6" w:rsidR="006614F3" w:rsidRPr="00DF5CA5" w:rsidRDefault="006614F3" w:rsidP="00513542">
            <w:pPr>
              <w:spacing w:line="480" w:lineRule="auto"/>
            </w:pPr>
            <w:r w:rsidRPr="00DF5CA5">
              <w:t>.03</w:t>
            </w:r>
          </w:p>
        </w:tc>
        <w:tc>
          <w:tcPr>
            <w:tcW w:w="504" w:type="pct"/>
          </w:tcPr>
          <w:p w14:paraId="14FEEF6C" w14:textId="1961218D" w:rsidR="006614F3" w:rsidRPr="00DF5CA5" w:rsidRDefault="006614F3" w:rsidP="00513542">
            <w:pPr>
              <w:spacing w:line="480" w:lineRule="auto"/>
            </w:pPr>
            <w:r w:rsidRPr="00DF5CA5">
              <w:t>.02</w:t>
            </w:r>
          </w:p>
        </w:tc>
        <w:tc>
          <w:tcPr>
            <w:tcW w:w="510" w:type="pct"/>
          </w:tcPr>
          <w:p w14:paraId="1333CAD8" w14:textId="7E6CF096" w:rsidR="006614F3" w:rsidRPr="00DF5CA5" w:rsidRDefault="006614F3" w:rsidP="00513542">
            <w:pPr>
              <w:spacing w:line="480" w:lineRule="auto"/>
              <w:rPr>
                <w:b/>
                <w:bCs/>
              </w:rPr>
            </w:pPr>
            <w:r w:rsidRPr="00DF5CA5">
              <w:rPr>
                <w:b/>
                <w:bCs/>
              </w:rPr>
              <w:t>.84</w:t>
            </w:r>
          </w:p>
        </w:tc>
        <w:tc>
          <w:tcPr>
            <w:tcW w:w="431" w:type="pct"/>
          </w:tcPr>
          <w:p w14:paraId="44F97452" w14:textId="7DE085FB" w:rsidR="006614F3" w:rsidRPr="00DF5CA5" w:rsidRDefault="006614F3" w:rsidP="00513542">
            <w:pPr>
              <w:spacing w:line="480" w:lineRule="auto"/>
            </w:pPr>
            <w:r w:rsidRPr="00DF5CA5">
              <w:t>-.03</w:t>
            </w:r>
          </w:p>
        </w:tc>
      </w:tr>
      <w:tr w:rsidR="006614F3" w:rsidRPr="00FB087E" w14:paraId="69835CCD" w14:textId="77777777" w:rsidTr="006614F3">
        <w:tc>
          <w:tcPr>
            <w:tcW w:w="507" w:type="pct"/>
          </w:tcPr>
          <w:p w14:paraId="0A952058" w14:textId="77777777" w:rsidR="006614F3" w:rsidRPr="008036D3" w:rsidRDefault="006614F3" w:rsidP="00513542">
            <w:pPr>
              <w:spacing w:line="480" w:lineRule="auto"/>
            </w:pPr>
            <w:r w:rsidRPr="008036D3">
              <w:t>3</w:t>
            </w:r>
          </w:p>
        </w:tc>
        <w:tc>
          <w:tcPr>
            <w:tcW w:w="1160" w:type="pct"/>
          </w:tcPr>
          <w:p w14:paraId="16068A1E" w14:textId="77777777" w:rsidR="006614F3" w:rsidRPr="008036D3" w:rsidRDefault="006614F3" w:rsidP="00513542">
            <w:pPr>
              <w:spacing w:line="480" w:lineRule="auto"/>
            </w:pPr>
            <w:r w:rsidRPr="008036D3">
              <w:t>UPE</w:t>
            </w:r>
          </w:p>
        </w:tc>
        <w:tc>
          <w:tcPr>
            <w:tcW w:w="436" w:type="pct"/>
          </w:tcPr>
          <w:p w14:paraId="13ED5294" w14:textId="129C6B4E" w:rsidR="006614F3" w:rsidRPr="006614F3" w:rsidRDefault="006614F3" w:rsidP="00513542">
            <w:pPr>
              <w:spacing w:line="480" w:lineRule="auto"/>
              <w:rPr>
                <w:b/>
                <w:bCs/>
              </w:rPr>
            </w:pPr>
            <w:r w:rsidRPr="006614F3">
              <w:rPr>
                <w:b/>
                <w:bCs/>
              </w:rPr>
              <w:t>.36</w:t>
            </w:r>
          </w:p>
        </w:tc>
        <w:tc>
          <w:tcPr>
            <w:tcW w:w="508" w:type="pct"/>
          </w:tcPr>
          <w:p w14:paraId="1285BBA7" w14:textId="1DF9A70C" w:rsidR="006614F3" w:rsidRPr="006614F3" w:rsidRDefault="006614F3" w:rsidP="00513542">
            <w:pPr>
              <w:spacing w:line="480" w:lineRule="auto"/>
            </w:pPr>
            <w:r w:rsidRPr="006614F3">
              <w:t>.21</w:t>
            </w:r>
          </w:p>
        </w:tc>
        <w:tc>
          <w:tcPr>
            <w:tcW w:w="508" w:type="pct"/>
          </w:tcPr>
          <w:p w14:paraId="2F7CBEE0" w14:textId="66AD4249" w:rsidR="006614F3" w:rsidRPr="006614F3" w:rsidRDefault="006614F3" w:rsidP="00513542">
            <w:pPr>
              <w:spacing w:line="480" w:lineRule="auto"/>
              <w:rPr>
                <w:b/>
                <w:bCs/>
              </w:rPr>
            </w:pPr>
            <w:r w:rsidRPr="006614F3">
              <w:rPr>
                <w:b/>
                <w:bCs/>
              </w:rPr>
              <w:t>-.41</w:t>
            </w:r>
          </w:p>
        </w:tc>
        <w:tc>
          <w:tcPr>
            <w:tcW w:w="436" w:type="pct"/>
          </w:tcPr>
          <w:p w14:paraId="09B34C21" w14:textId="206AC70E" w:rsidR="006614F3" w:rsidRPr="00DF5CA5" w:rsidRDefault="006614F3" w:rsidP="00513542">
            <w:pPr>
              <w:spacing w:line="480" w:lineRule="auto"/>
            </w:pPr>
            <w:r w:rsidRPr="00DF5CA5">
              <w:t>.15</w:t>
            </w:r>
          </w:p>
        </w:tc>
        <w:tc>
          <w:tcPr>
            <w:tcW w:w="504" w:type="pct"/>
          </w:tcPr>
          <w:p w14:paraId="3E7C4210" w14:textId="285EDAB9" w:rsidR="006614F3" w:rsidRPr="0016399B" w:rsidRDefault="006614F3" w:rsidP="00513542">
            <w:pPr>
              <w:spacing w:line="480" w:lineRule="auto"/>
              <w:rPr>
                <w:b/>
                <w:bCs/>
              </w:rPr>
            </w:pPr>
            <w:r w:rsidRPr="0016399B">
              <w:t>-</w:t>
            </w:r>
            <w:r w:rsidRPr="0016399B">
              <w:rPr>
                <w:b/>
                <w:bCs/>
              </w:rPr>
              <w:t>.50</w:t>
            </w:r>
          </w:p>
        </w:tc>
        <w:tc>
          <w:tcPr>
            <w:tcW w:w="510" w:type="pct"/>
          </w:tcPr>
          <w:p w14:paraId="3FFF42DE" w14:textId="1BC89037" w:rsidR="006614F3" w:rsidRPr="00DF5CA5" w:rsidRDefault="006614F3" w:rsidP="00513542">
            <w:pPr>
              <w:spacing w:line="480" w:lineRule="auto"/>
            </w:pPr>
            <w:r w:rsidRPr="00DF5CA5">
              <w:t>.22</w:t>
            </w:r>
          </w:p>
        </w:tc>
        <w:tc>
          <w:tcPr>
            <w:tcW w:w="431" w:type="pct"/>
          </w:tcPr>
          <w:p w14:paraId="3EB51D6F" w14:textId="2358FA74" w:rsidR="006614F3" w:rsidRPr="00DF5CA5" w:rsidRDefault="006614F3" w:rsidP="00513542">
            <w:pPr>
              <w:spacing w:line="480" w:lineRule="auto"/>
              <w:rPr>
                <w:b/>
                <w:bCs/>
              </w:rPr>
            </w:pPr>
            <w:r w:rsidRPr="00DF5CA5">
              <w:rPr>
                <w:b/>
                <w:bCs/>
              </w:rPr>
              <w:t>.39</w:t>
            </w:r>
          </w:p>
        </w:tc>
      </w:tr>
      <w:tr w:rsidR="006614F3" w:rsidRPr="00FB087E" w14:paraId="0891E076" w14:textId="77777777" w:rsidTr="006614F3">
        <w:tc>
          <w:tcPr>
            <w:tcW w:w="507" w:type="pct"/>
          </w:tcPr>
          <w:p w14:paraId="6F8C0B6C" w14:textId="77777777" w:rsidR="006614F3" w:rsidRPr="008036D3" w:rsidRDefault="006614F3" w:rsidP="00513542">
            <w:pPr>
              <w:spacing w:line="480" w:lineRule="auto"/>
            </w:pPr>
            <w:r w:rsidRPr="008036D3">
              <w:t xml:space="preserve">4. </w:t>
            </w:r>
          </w:p>
        </w:tc>
        <w:tc>
          <w:tcPr>
            <w:tcW w:w="1160" w:type="pct"/>
          </w:tcPr>
          <w:p w14:paraId="6A9F1E1A" w14:textId="77777777" w:rsidR="006614F3" w:rsidRPr="008036D3" w:rsidRDefault="006614F3" w:rsidP="00513542">
            <w:pPr>
              <w:spacing w:line="480" w:lineRule="auto"/>
            </w:pPr>
            <w:r w:rsidRPr="008036D3">
              <w:t>UPE</w:t>
            </w:r>
          </w:p>
        </w:tc>
        <w:tc>
          <w:tcPr>
            <w:tcW w:w="436" w:type="pct"/>
          </w:tcPr>
          <w:p w14:paraId="7552ACA0" w14:textId="33C8FAF4" w:rsidR="006614F3" w:rsidRPr="006614F3" w:rsidRDefault="006614F3" w:rsidP="00513542">
            <w:pPr>
              <w:spacing w:line="480" w:lineRule="auto"/>
            </w:pPr>
            <w:r w:rsidRPr="006614F3">
              <w:t>-.15</w:t>
            </w:r>
          </w:p>
        </w:tc>
        <w:tc>
          <w:tcPr>
            <w:tcW w:w="508" w:type="pct"/>
          </w:tcPr>
          <w:p w14:paraId="7FB56684" w14:textId="0A9244AF" w:rsidR="006614F3" w:rsidRPr="006614F3" w:rsidRDefault="006614F3" w:rsidP="00513542">
            <w:pPr>
              <w:spacing w:line="480" w:lineRule="auto"/>
            </w:pPr>
            <w:r w:rsidRPr="006614F3">
              <w:t>.25</w:t>
            </w:r>
          </w:p>
        </w:tc>
        <w:tc>
          <w:tcPr>
            <w:tcW w:w="508" w:type="pct"/>
          </w:tcPr>
          <w:p w14:paraId="6D2AC179" w14:textId="0BE36136" w:rsidR="006614F3" w:rsidRPr="006614F3" w:rsidRDefault="006614F3" w:rsidP="00513542">
            <w:pPr>
              <w:spacing w:line="480" w:lineRule="auto"/>
              <w:rPr>
                <w:b/>
                <w:bCs/>
              </w:rPr>
            </w:pPr>
            <w:r w:rsidRPr="006614F3">
              <w:rPr>
                <w:b/>
                <w:bCs/>
              </w:rPr>
              <w:t>.50</w:t>
            </w:r>
          </w:p>
        </w:tc>
        <w:tc>
          <w:tcPr>
            <w:tcW w:w="436" w:type="pct"/>
          </w:tcPr>
          <w:p w14:paraId="324D7C2E" w14:textId="6C8E2461" w:rsidR="006614F3" w:rsidRPr="00DF5CA5" w:rsidRDefault="006614F3" w:rsidP="00513542">
            <w:pPr>
              <w:spacing w:line="480" w:lineRule="auto"/>
            </w:pPr>
            <w:r w:rsidRPr="00DF5CA5">
              <w:t>-.12</w:t>
            </w:r>
          </w:p>
        </w:tc>
        <w:tc>
          <w:tcPr>
            <w:tcW w:w="504" w:type="pct"/>
          </w:tcPr>
          <w:p w14:paraId="61A1C59A" w14:textId="39DDA7B0" w:rsidR="006614F3" w:rsidRPr="00DF5CA5" w:rsidRDefault="006614F3" w:rsidP="00513542">
            <w:pPr>
              <w:spacing w:line="480" w:lineRule="auto"/>
              <w:rPr>
                <w:b/>
                <w:bCs/>
              </w:rPr>
            </w:pPr>
            <w:r w:rsidRPr="00DF5CA5">
              <w:rPr>
                <w:b/>
                <w:bCs/>
              </w:rPr>
              <w:t>.52</w:t>
            </w:r>
          </w:p>
        </w:tc>
        <w:tc>
          <w:tcPr>
            <w:tcW w:w="510" w:type="pct"/>
          </w:tcPr>
          <w:p w14:paraId="16269D6F" w14:textId="7AB564E7" w:rsidR="006614F3" w:rsidRPr="00DF5CA5" w:rsidRDefault="006614F3" w:rsidP="00513542">
            <w:pPr>
              <w:spacing w:line="480" w:lineRule="auto"/>
            </w:pPr>
            <w:r w:rsidRPr="00DF5CA5">
              <w:t>.28</w:t>
            </w:r>
          </w:p>
        </w:tc>
        <w:tc>
          <w:tcPr>
            <w:tcW w:w="431" w:type="pct"/>
          </w:tcPr>
          <w:p w14:paraId="627261CC" w14:textId="35586ED3" w:rsidR="006614F3" w:rsidRPr="00DF5CA5" w:rsidRDefault="006614F3" w:rsidP="00513542">
            <w:pPr>
              <w:spacing w:line="480" w:lineRule="auto"/>
            </w:pPr>
            <w:r w:rsidRPr="00DF5CA5">
              <w:t>.11</w:t>
            </w:r>
          </w:p>
        </w:tc>
      </w:tr>
      <w:tr w:rsidR="006614F3" w:rsidRPr="00FB087E" w14:paraId="3C3E13AC" w14:textId="77777777" w:rsidTr="006614F3">
        <w:tc>
          <w:tcPr>
            <w:tcW w:w="507" w:type="pct"/>
          </w:tcPr>
          <w:p w14:paraId="5F5CC5B7" w14:textId="77777777" w:rsidR="006614F3" w:rsidRPr="008036D3" w:rsidRDefault="006614F3" w:rsidP="00513542">
            <w:pPr>
              <w:spacing w:line="480" w:lineRule="auto"/>
            </w:pPr>
            <w:r w:rsidRPr="008036D3">
              <w:t>5</w:t>
            </w:r>
          </w:p>
        </w:tc>
        <w:tc>
          <w:tcPr>
            <w:tcW w:w="1160" w:type="pct"/>
          </w:tcPr>
          <w:p w14:paraId="0519D5D3" w14:textId="77777777" w:rsidR="006614F3" w:rsidRPr="008036D3" w:rsidRDefault="006614F3" w:rsidP="00513542">
            <w:pPr>
              <w:spacing w:line="480" w:lineRule="auto"/>
            </w:pPr>
            <w:r w:rsidRPr="008036D3">
              <w:t>EPR</w:t>
            </w:r>
          </w:p>
        </w:tc>
        <w:tc>
          <w:tcPr>
            <w:tcW w:w="436" w:type="pct"/>
          </w:tcPr>
          <w:p w14:paraId="4B2CB90C" w14:textId="0F34567E" w:rsidR="006614F3" w:rsidRPr="006614F3" w:rsidRDefault="006614F3" w:rsidP="00513542">
            <w:pPr>
              <w:spacing w:line="480" w:lineRule="auto"/>
            </w:pPr>
            <w:r w:rsidRPr="006614F3">
              <w:t>-.04</w:t>
            </w:r>
          </w:p>
        </w:tc>
        <w:tc>
          <w:tcPr>
            <w:tcW w:w="508" w:type="pct"/>
          </w:tcPr>
          <w:p w14:paraId="0DC3E072" w14:textId="32A55E83" w:rsidR="006614F3" w:rsidRPr="006614F3" w:rsidRDefault="006614F3" w:rsidP="00513542">
            <w:pPr>
              <w:spacing w:line="480" w:lineRule="auto"/>
              <w:rPr>
                <w:b/>
                <w:bCs/>
              </w:rPr>
            </w:pPr>
            <w:r w:rsidRPr="006614F3">
              <w:rPr>
                <w:b/>
                <w:bCs/>
              </w:rPr>
              <w:t>.71</w:t>
            </w:r>
          </w:p>
        </w:tc>
        <w:tc>
          <w:tcPr>
            <w:tcW w:w="508" w:type="pct"/>
          </w:tcPr>
          <w:p w14:paraId="2E863C26" w14:textId="3E8E5AD3" w:rsidR="006614F3" w:rsidRPr="006614F3" w:rsidRDefault="006614F3" w:rsidP="00513542">
            <w:pPr>
              <w:spacing w:line="480" w:lineRule="auto"/>
            </w:pPr>
            <w:r w:rsidRPr="006614F3">
              <w:t>-.06</w:t>
            </w:r>
          </w:p>
        </w:tc>
        <w:tc>
          <w:tcPr>
            <w:tcW w:w="436" w:type="pct"/>
          </w:tcPr>
          <w:p w14:paraId="4246AC50" w14:textId="4252C59A" w:rsidR="006614F3" w:rsidRPr="00DF5CA5" w:rsidRDefault="006614F3" w:rsidP="00513542">
            <w:pPr>
              <w:spacing w:line="480" w:lineRule="auto"/>
            </w:pPr>
            <w:r w:rsidRPr="00DF5CA5">
              <w:t>-.08</w:t>
            </w:r>
          </w:p>
        </w:tc>
        <w:tc>
          <w:tcPr>
            <w:tcW w:w="504" w:type="pct"/>
          </w:tcPr>
          <w:p w14:paraId="2C4D626A" w14:textId="30D98A97" w:rsidR="006614F3" w:rsidRPr="00DF5CA5" w:rsidRDefault="006614F3" w:rsidP="00513542">
            <w:pPr>
              <w:spacing w:line="480" w:lineRule="auto"/>
            </w:pPr>
            <w:r w:rsidRPr="00DF5CA5">
              <w:t>.05</w:t>
            </w:r>
          </w:p>
        </w:tc>
        <w:tc>
          <w:tcPr>
            <w:tcW w:w="510" w:type="pct"/>
          </w:tcPr>
          <w:p w14:paraId="2FC53ED2" w14:textId="0D08CB72" w:rsidR="006614F3" w:rsidRPr="00DF5CA5" w:rsidRDefault="006614F3" w:rsidP="00513542">
            <w:pPr>
              <w:spacing w:line="480" w:lineRule="auto"/>
              <w:rPr>
                <w:b/>
                <w:bCs/>
              </w:rPr>
            </w:pPr>
            <w:r w:rsidRPr="00DF5CA5">
              <w:rPr>
                <w:b/>
                <w:bCs/>
              </w:rPr>
              <w:t>.55</w:t>
            </w:r>
          </w:p>
        </w:tc>
        <w:tc>
          <w:tcPr>
            <w:tcW w:w="431" w:type="pct"/>
          </w:tcPr>
          <w:p w14:paraId="3D07CE9D" w14:textId="3851EED5" w:rsidR="006614F3" w:rsidRPr="00DF5CA5" w:rsidRDefault="006614F3" w:rsidP="00513542">
            <w:pPr>
              <w:spacing w:line="480" w:lineRule="auto"/>
            </w:pPr>
            <w:r w:rsidRPr="00DF5CA5">
              <w:t>-.06</w:t>
            </w:r>
          </w:p>
        </w:tc>
      </w:tr>
      <w:tr w:rsidR="006614F3" w:rsidRPr="00FB087E" w14:paraId="4B7DD00B" w14:textId="77777777" w:rsidTr="006614F3">
        <w:tc>
          <w:tcPr>
            <w:tcW w:w="507" w:type="pct"/>
          </w:tcPr>
          <w:p w14:paraId="348572A5" w14:textId="77777777" w:rsidR="006614F3" w:rsidRPr="008036D3" w:rsidRDefault="006614F3" w:rsidP="00513542">
            <w:pPr>
              <w:spacing w:line="480" w:lineRule="auto"/>
            </w:pPr>
            <w:r w:rsidRPr="008036D3">
              <w:t>6</w:t>
            </w:r>
          </w:p>
        </w:tc>
        <w:tc>
          <w:tcPr>
            <w:tcW w:w="1160" w:type="pct"/>
          </w:tcPr>
          <w:p w14:paraId="7E8BF084" w14:textId="77777777" w:rsidR="006614F3" w:rsidRPr="008036D3" w:rsidRDefault="006614F3" w:rsidP="00513542">
            <w:pPr>
              <w:spacing w:line="480" w:lineRule="auto"/>
            </w:pPr>
            <w:r w:rsidRPr="008036D3">
              <w:t>RHSC</w:t>
            </w:r>
          </w:p>
        </w:tc>
        <w:tc>
          <w:tcPr>
            <w:tcW w:w="436" w:type="pct"/>
          </w:tcPr>
          <w:p w14:paraId="5996EA38" w14:textId="5CA2DF6A" w:rsidR="006614F3" w:rsidRPr="006614F3" w:rsidRDefault="006614F3" w:rsidP="00513542">
            <w:pPr>
              <w:spacing w:line="480" w:lineRule="auto"/>
              <w:rPr>
                <w:b/>
                <w:bCs/>
              </w:rPr>
            </w:pPr>
            <w:r w:rsidRPr="006614F3">
              <w:rPr>
                <w:b/>
                <w:bCs/>
              </w:rPr>
              <w:t>.69</w:t>
            </w:r>
          </w:p>
        </w:tc>
        <w:tc>
          <w:tcPr>
            <w:tcW w:w="508" w:type="pct"/>
          </w:tcPr>
          <w:p w14:paraId="0DA44056" w14:textId="757F4A66" w:rsidR="006614F3" w:rsidRPr="006614F3" w:rsidRDefault="006614F3" w:rsidP="00513542">
            <w:pPr>
              <w:spacing w:line="480" w:lineRule="auto"/>
            </w:pPr>
            <w:r w:rsidRPr="006614F3">
              <w:t>-.13</w:t>
            </w:r>
          </w:p>
        </w:tc>
        <w:tc>
          <w:tcPr>
            <w:tcW w:w="508" w:type="pct"/>
          </w:tcPr>
          <w:p w14:paraId="7144DC7C" w14:textId="4FFB2B81" w:rsidR="006614F3" w:rsidRPr="006614F3" w:rsidRDefault="006614F3" w:rsidP="00513542">
            <w:pPr>
              <w:spacing w:line="480" w:lineRule="auto"/>
            </w:pPr>
            <w:r w:rsidRPr="006614F3">
              <w:t>.08</w:t>
            </w:r>
          </w:p>
        </w:tc>
        <w:tc>
          <w:tcPr>
            <w:tcW w:w="436" w:type="pct"/>
          </w:tcPr>
          <w:p w14:paraId="6BE42CC0" w14:textId="7254C7FE" w:rsidR="006614F3" w:rsidRPr="00DF5CA5" w:rsidRDefault="006614F3" w:rsidP="00513542">
            <w:pPr>
              <w:spacing w:line="480" w:lineRule="auto"/>
              <w:rPr>
                <w:b/>
                <w:bCs/>
              </w:rPr>
            </w:pPr>
            <w:r w:rsidRPr="00DF5CA5">
              <w:rPr>
                <w:b/>
                <w:bCs/>
              </w:rPr>
              <w:t>.69</w:t>
            </w:r>
          </w:p>
        </w:tc>
        <w:tc>
          <w:tcPr>
            <w:tcW w:w="504" w:type="pct"/>
          </w:tcPr>
          <w:p w14:paraId="2B95B418" w14:textId="651CD8C0" w:rsidR="006614F3" w:rsidRPr="00DF5CA5" w:rsidRDefault="006614F3" w:rsidP="00513542">
            <w:pPr>
              <w:spacing w:line="480" w:lineRule="auto"/>
            </w:pPr>
            <w:r w:rsidRPr="00DF5CA5">
              <w:t>-.12</w:t>
            </w:r>
          </w:p>
        </w:tc>
        <w:tc>
          <w:tcPr>
            <w:tcW w:w="510" w:type="pct"/>
          </w:tcPr>
          <w:p w14:paraId="292AB764" w14:textId="690D987D" w:rsidR="006614F3" w:rsidRPr="00DF5CA5" w:rsidRDefault="006614F3" w:rsidP="00513542">
            <w:pPr>
              <w:spacing w:line="480" w:lineRule="auto"/>
            </w:pPr>
            <w:r w:rsidRPr="00DF5CA5">
              <w:t>-.04</w:t>
            </w:r>
          </w:p>
        </w:tc>
        <w:tc>
          <w:tcPr>
            <w:tcW w:w="431" w:type="pct"/>
          </w:tcPr>
          <w:p w14:paraId="66CA336B" w14:textId="4EA347FD" w:rsidR="006614F3" w:rsidRPr="00DF5CA5" w:rsidRDefault="006614F3" w:rsidP="00513542">
            <w:pPr>
              <w:spacing w:line="480" w:lineRule="auto"/>
            </w:pPr>
            <w:r w:rsidRPr="00DF5CA5">
              <w:t>.09</w:t>
            </w:r>
          </w:p>
        </w:tc>
      </w:tr>
      <w:tr w:rsidR="006614F3" w:rsidRPr="00FB087E" w14:paraId="1CA5F866" w14:textId="77777777" w:rsidTr="006614F3">
        <w:tc>
          <w:tcPr>
            <w:tcW w:w="507" w:type="pct"/>
          </w:tcPr>
          <w:p w14:paraId="34A308F1" w14:textId="77777777" w:rsidR="006614F3" w:rsidRPr="008036D3" w:rsidRDefault="006614F3" w:rsidP="00513542">
            <w:pPr>
              <w:spacing w:line="480" w:lineRule="auto"/>
            </w:pPr>
            <w:r w:rsidRPr="008036D3">
              <w:t>7</w:t>
            </w:r>
          </w:p>
        </w:tc>
        <w:tc>
          <w:tcPr>
            <w:tcW w:w="1160" w:type="pct"/>
          </w:tcPr>
          <w:p w14:paraId="6D9AE24F" w14:textId="77777777" w:rsidR="006614F3" w:rsidRPr="008036D3" w:rsidRDefault="006614F3" w:rsidP="00513542">
            <w:pPr>
              <w:spacing w:line="480" w:lineRule="auto"/>
            </w:pPr>
            <w:r w:rsidRPr="008036D3">
              <w:t>RHSC</w:t>
            </w:r>
          </w:p>
        </w:tc>
        <w:tc>
          <w:tcPr>
            <w:tcW w:w="436" w:type="pct"/>
          </w:tcPr>
          <w:p w14:paraId="69E8EBF4" w14:textId="2C235BDF" w:rsidR="006614F3" w:rsidRPr="006614F3" w:rsidRDefault="006614F3" w:rsidP="00513542">
            <w:pPr>
              <w:spacing w:line="480" w:lineRule="auto"/>
              <w:rPr>
                <w:b/>
                <w:bCs/>
              </w:rPr>
            </w:pPr>
            <w:r w:rsidRPr="006614F3">
              <w:rPr>
                <w:b/>
                <w:bCs/>
              </w:rPr>
              <w:t>.78</w:t>
            </w:r>
          </w:p>
        </w:tc>
        <w:tc>
          <w:tcPr>
            <w:tcW w:w="508" w:type="pct"/>
          </w:tcPr>
          <w:p w14:paraId="27B0E834" w14:textId="6F91056F" w:rsidR="006614F3" w:rsidRPr="006614F3" w:rsidRDefault="006614F3" w:rsidP="00513542">
            <w:pPr>
              <w:spacing w:line="480" w:lineRule="auto"/>
            </w:pPr>
            <w:r w:rsidRPr="006614F3">
              <w:t>-.01</w:t>
            </w:r>
          </w:p>
        </w:tc>
        <w:tc>
          <w:tcPr>
            <w:tcW w:w="508" w:type="pct"/>
          </w:tcPr>
          <w:p w14:paraId="48C8D055" w14:textId="10912B4C" w:rsidR="006614F3" w:rsidRPr="006614F3" w:rsidRDefault="006614F3" w:rsidP="00513542">
            <w:pPr>
              <w:spacing w:line="480" w:lineRule="auto"/>
            </w:pPr>
            <w:r w:rsidRPr="006614F3">
              <w:t>-.02</w:t>
            </w:r>
          </w:p>
        </w:tc>
        <w:tc>
          <w:tcPr>
            <w:tcW w:w="436" w:type="pct"/>
          </w:tcPr>
          <w:p w14:paraId="3B323668" w14:textId="4FF7BFB6" w:rsidR="006614F3" w:rsidRPr="00DF5CA5" w:rsidRDefault="006614F3" w:rsidP="00513542">
            <w:pPr>
              <w:spacing w:line="480" w:lineRule="auto"/>
              <w:rPr>
                <w:b/>
                <w:bCs/>
              </w:rPr>
            </w:pPr>
            <w:r w:rsidRPr="00DF5CA5">
              <w:rPr>
                <w:b/>
                <w:bCs/>
              </w:rPr>
              <w:t>.80</w:t>
            </w:r>
          </w:p>
        </w:tc>
        <w:tc>
          <w:tcPr>
            <w:tcW w:w="504" w:type="pct"/>
          </w:tcPr>
          <w:p w14:paraId="105DF785" w14:textId="650FF328" w:rsidR="006614F3" w:rsidRPr="00DF5CA5" w:rsidRDefault="006614F3" w:rsidP="00513542">
            <w:pPr>
              <w:spacing w:line="480" w:lineRule="auto"/>
            </w:pPr>
            <w:r w:rsidRPr="00DF5CA5">
              <w:t>-.01</w:t>
            </w:r>
          </w:p>
        </w:tc>
        <w:tc>
          <w:tcPr>
            <w:tcW w:w="510" w:type="pct"/>
          </w:tcPr>
          <w:p w14:paraId="7FED6495" w14:textId="41208059" w:rsidR="006614F3" w:rsidRPr="00DF5CA5" w:rsidRDefault="006614F3" w:rsidP="00513542">
            <w:pPr>
              <w:spacing w:line="480" w:lineRule="auto"/>
            </w:pPr>
            <w:r w:rsidRPr="00DF5CA5">
              <w:t>-.04</w:t>
            </w:r>
          </w:p>
        </w:tc>
        <w:tc>
          <w:tcPr>
            <w:tcW w:w="431" w:type="pct"/>
          </w:tcPr>
          <w:p w14:paraId="51389BF8" w14:textId="4EF134FA" w:rsidR="006614F3" w:rsidRPr="00DF5CA5" w:rsidRDefault="006614F3" w:rsidP="00513542">
            <w:pPr>
              <w:spacing w:line="480" w:lineRule="auto"/>
            </w:pPr>
            <w:r w:rsidRPr="00DF5CA5">
              <w:t>-.12</w:t>
            </w:r>
          </w:p>
        </w:tc>
      </w:tr>
      <w:tr w:rsidR="006614F3" w:rsidRPr="00FB087E" w14:paraId="3A94D8B2" w14:textId="77777777" w:rsidTr="006614F3">
        <w:tc>
          <w:tcPr>
            <w:tcW w:w="507" w:type="pct"/>
          </w:tcPr>
          <w:p w14:paraId="26370F96" w14:textId="77777777" w:rsidR="006614F3" w:rsidRPr="008036D3" w:rsidRDefault="006614F3" w:rsidP="00513542">
            <w:pPr>
              <w:spacing w:line="480" w:lineRule="auto"/>
            </w:pPr>
            <w:r w:rsidRPr="008036D3">
              <w:t>8</w:t>
            </w:r>
          </w:p>
        </w:tc>
        <w:tc>
          <w:tcPr>
            <w:tcW w:w="1160" w:type="pct"/>
          </w:tcPr>
          <w:p w14:paraId="295DBF9E" w14:textId="77777777" w:rsidR="006614F3" w:rsidRPr="008036D3" w:rsidRDefault="006614F3" w:rsidP="00513542">
            <w:pPr>
              <w:spacing w:line="480" w:lineRule="auto"/>
            </w:pPr>
            <w:r w:rsidRPr="008036D3">
              <w:t>RHSC</w:t>
            </w:r>
          </w:p>
        </w:tc>
        <w:tc>
          <w:tcPr>
            <w:tcW w:w="436" w:type="pct"/>
          </w:tcPr>
          <w:p w14:paraId="0C8CC6E0" w14:textId="729C4C9A" w:rsidR="006614F3" w:rsidRPr="006614F3" w:rsidRDefault="006614F3" w:rsidP="00513542">
            <w:pPr>
              <w:spacing w:line="480" w:lineRule="auto"/>
              <w:rPr>
                <w:b/>
                <w:bCs/>
              </w:rPr>
            </w:pPr>
            <w:r w:rsidRPr="006614F3">
              <w:rPr>
                <w:b/>
                <w:bCs/>
              </w:rPr>
              <w:t>.81</w:t>
            </w:r>
          </w:p>
        </w:tc>
        <w:tc>
          <w:tcPr>
            <w:tcW w:w="508" w:type="pct"/>
          </w:tcPr>
          <w:p w14:paraId="0FB634E1" w14:textId="2D6BC4D0" w:rsidR="006614F3" w:rsidRPr="006614F3" w:rsidRDefault="006614F3" w:rsidP="00513542">
            <w:pPr>
              <w:spacing w:line="480" w:lineRule="auto"/>
            </w:pPr>
            <w:r w:rsidRPr="006614F3">
              <w:t>-.05</w:t>
            </w:r>
          </w:p>
        </w:tc>
        <w:tc>
          <w:tcPr>
            <w:tcW w:w="508" w:type="pct"/>
          </w:tcPr>
          <w:p w14:paraId="5C174360" w14:textId="194CDC6C" w:rsidR="006614F3" w:rsidRPr="006614F3" w:rsidRDefault="006614F3" w:rsidP="00513542">
            <w:pPr>
              <w:spacing w:line="480" w:lineRule="auto"/>
            </w:pPr>
            <w:r w:rsidRPr="006614F3">
              <w:t>-.02</w:t>
            </w:r>
          </w:p>
        </w:tc>
        <w:tc>
          <w:tcPr>
            <w:tcW w:w="436" w:type="pct"/>
          </w:tcPr>
          <w:p w14:paraId="2DC03FA4" w14:textId="55A2A26C" w:rsidR="006614F3" w:rsidRPr="00DF5CA5" w:rsidRDefault="006614F3" w:rsidP="00513542">
            <w:pPr>
              <w:spacing w:line="480" w:lineRule="auto"/>
              <w:rPr>
                <w:b/>
                <w:bCs/>
              </w:rPr>
            </w:pPr>
            <w:r w:rsidRPr="00DF5CA5">
              <w:rPr>
                <w:b/>
                <w:bCs/>
              </w:rPr>
              <w:t>.77</w:t>
            </w:r>
          </w:p>
        </w:tc>
        <w:tc>
          <w:tcPr>
            <w:tcW w:w="504" w:type="pct"/>
          </w:tcPr>
          <w:p w14:paraId="43562F73" w14:textId="1F0E600E" w:rsidR="006614F3" w:rsidRPr="00DF5CA5" w:rsidRDefault="006614F3" w:rsidP="00513542">
            <w:pPr>
              <w:spacing w:line="480" w:lineRule="auto"/>
            </w:pPr>
            <w:r w:rsidRPr="00DF5CA5">
              <w:t>.06</w:t>
            </w:r>
          </w:p>
        </w:tc>
        <w:tc>
          <w:tcPr>
            <w:tcW w:w="510" w:type="pct"/>
          </w:tcPr>
          <w:p w14:paraId="5C672372" w14:textId="43951F51" w:rsidR="006614F3" w:rsidRPr="00DF5CA5" w:rsidRDefault="006614F3" w:rsidP="00513542">
            <w:pPr>
              <w:spacing w:line="480" w:lineRule="auto"/>
            </w:pPr>
            <w:r w:rsidRPr="00DF5CA5">
              <w:t>-.05</w:t>
            </w:r>
          </w:p>
        </w:tc>
        <w:tc>
          <w:tcPr>
            <w:tcW w:w="431" w:type="pct"/>
          </w:tcPr>
          <w:p w14:paraId="7BC7AFFE" w14:textId="6176B54C" w:rsidR="006614F3" w:rsidRPr="00DF5CA5" w:rsidRDefault="006614F3" w:rsidP="00513542">
            <w:pPr>
              <w:spacing w:line="480" w:lineRule="auto"/>
            </w:pPr>
            <w:r w:rsidRPr="00DF5CA5">
              <w:t>-.08</w:t>
            </w:r>
          </w:p>
        </w:tc>
      </w:tr>
      <w:tr w:rsidR="006614F3" w:rsidRPr="00FB087E" w14:paraId="317ADC20" w14:textId="77777777" w:rsidTr="006614F3">
        <w:tc>
          <w:tcPr>
            <w:tcW w:w="507" w:type="pct"/>
          </w:tcPr>
          <w:p w14:paraId="7B49FD3A" w14:textId="77777777" w:rsidR="006614F3" w:rsidRPr="008036D3" w:rsidRDefault="006614F3" w:rsidP="00513542">
            <w:pPr>
              <w:spacing w:line="480" w:lineRule="auto"/>
            </w:pPr>
            <w:r w:rsidRPr="008036D3">
              <w:t>9</w:t>
            </w:r>
          </w:p>
        </w:tc>
        <w:tc>
          <w:tcPr>
            <w:tcW w:w="1160" w:type="pct"/>
          </w:tcPr>
          <w:p w14:paraId="60848EBB" w14:textId="77777777" w:rsidR="006614F3" w:rsidRPr="008036D3" w:rsidRDefault="006614F3" w:rsidP="00513542">
            <w:pPr>
              <w:spacing w:line="480" w:lineRule="auto"/>
            </w:pPr>
            <w:r w:rsidRPr="008036D3">
              <w:t>UPE</w:t>
            </w:r>
          </w:p>
        </w:tc>
        <w:tc>
          <w:tcPr>
            <w:tcW w:w="436" w:type="pct"/>
          </w:tcPr>
          <w:p w14:paraId="58649517" w14:textId="7CB9C18B" w:rsidR="006614F3" w:rsidRPr="006614F3" w:rsidRDefault="006614F3" w:rsidP="00513542">
            <w:pPr>
              <w:spacing w:line="480" w:lineRule="auto"/>
            </w:pPr>
            <w:r w:rsidRPr="006614F3">
              <w:t>-.09</w:t>
            </w:r>
          </w:p>
        </w:tc>
        <w:tc>
          <w:tcPr>
            <w:tcW w:w="508" w:type="pct"/>
          </w:tcPr>
          <w:p w14:paraId="25B8888C" w14:textId="7692BE24" w:rsidR="006614F3" w:rsidRPr="006614F3" w:rsidRDefault="006614F3" w:rsidP="00513542">
            <w:pPr>
              <w:spacing w:line="480" w:lineRule="auto"/>
            </w:pPr>
            <w:r w:rsidRPr="006614F3">
              <w:t>-.01</w:t>
            </w:r>
          </w:p>
        </w:tc>
        <w:tc>
          <w:tcPr>
            <w:tcW w:w="508" w:type="pct"/>
          </w:tcPr>
          <w:p w14:paraId="335B19A2" w14:textId="3BEE9AD2" w:rsidR="006614F3" w:rsidRPr="006F31EB" w:rsidRDefault="006614F3" w:rsidP="00513542">
            <w:pPr>
              <w:spacing w:line="480" w:lineRule="auto"/>
              <w:rPr>
                <w:b/>
                <w:bCs/>
              </w:rPr>
            </w:pPr>
            <w:r w:rsidRPr="006F31EB">
              <w:rPr>
                <w:b/>
                <w:bCs/>
              </w:rPr>
              <w:t>.63</w:t>
            </w:r>
          </w:p>
        </w:tc>
        <w:tc>
          <w:tcPr>
            <w:tcW w:w="436" w:type="pct"/>
          </w:tcPr>
          <w:p w14:paraId="0267A435" w14:textId="405B63FB" w:rsidR="006614F3" w:rsidRPr="00DF5CA5" w:rsidRDefault="006614F3" w:rsidP="00513542">
            <w:pPr>
              <w:spacing w:line="480" w:lineRule="auto"/>
            </w:pPr>
            <w:r w:rsidRPr="00DF5CA5">
              <w:t>-.27</w:t>
            </w:r>
          </w:p>
        </w:tc>
        <w:tc>
          <w:tcPr>
            <w:tcW w:w="504" w:type="pct"/>
          </w:tcPr>
          <w:p w14:paraId="5D132925" w14:textId="2985F571" w:rsidR="006614F3" w:rsidRPr="00DF5CA5" w:rsidRDefault="006614F3" w:rsidP="00513542">
            <w:pPr>
              <w:spacing w:line="480" w:lineRule="auto"/>
              <w:rPr>
                <w:b/>
                <w:bCs/>
              </w:rPr>
            </w:pPr>
            <w:r w:rsidRPr="00DF5CA5">
              <w:rPr>
                <w:b/>
                <w:bCs/>
              </w:rPr>
              <w:t>.46</w:t>
            </w:r>
          </w:p>
        </w:tc>
        <w:tc>
          <w:tcPr>
            <w:tcW w:w="510" w:type="pct"/>
          </w:tcPr>
          <w:p w14:paraId="431E4A82" w14:textId="3710046B" w:rsidR="006614F3" w:rsidRPr="00DF5CA5" w:rsidRDefault="006614F3" w:rsidP="00513542">
            <w:pPr>
              <w:spacing w:line="480" w:lineRule="auto"/>
            </w:pPr>
            <w:r w:rsidRPr="00DF5CA5">
              <w:t>.16</w:t>
            </w:r>
          </w:p>
        </w:tc>
        <w:tc>
          <w:tcPr>
            <w:tcW w:w="431" w:type="pct"/>
          </w:tcPr>
          <w:p w14:paraId="7C1D3471" w14:textId="579EE89D" w:rsidR="006614F3" w:rsidRPr="00DF5CA5" w:rsidRDefault="006614F3" w:rsidP="00513542">
            <w:pPr>
              <w:spacing w:line="480" w:lineRule="auto"/>
            </w:pPr>
            <w:r w:rsidRPr="00DF5CA5">
              <w:t>.04</w:t>
            </w:r>
          </w:p>
        </w:tc>
      </w:tr>
      <w:tr w:rsidR="006614F3" w:rsidRPr="00FB087E" w14:paraId="1849640C" w14:textId="77777777" w:rsidTr="006614F3">
        <w:tc>
          <w:tcPr>
            <w:tcW w:w="507" w:type="pct"/>
          </w:tcPr>
          <w:p w14:paraId="515B7FB5" w14:textId="77777777" w:rsidR="006614F3" w:rsidRPr="008036D3" w:rsidRDefault="006614F3" w:rsidP="00513542">
            <w:pPr>
              <w:spacing w:line="480" w:lineRule="auto"/>
            </w:pPr>
            <w:r w:rsidRPr="008036D3">
              <w:t>10</w:t>
            </w:r>
          </w:p>
        </w:tc>
        <w:tc>
          <w:tcPr>
            <w:tcW w:w="1160" w:type="pct"/>
          </w:tcPr>
          <w:p w14:paraId="3E3F128E" w14:textId="77777777" w:rsidR="006614F3" w:rsidRPr="008036D3" w:rsidRDefault="006614F3" w:rsidP="00513542">
            <w:pPr>
              <w:spacing w:line="480" w:lineRule="auto"/>
            </w:pPr>
            <w:r w:rsidRPr="008036D3">
              <w:t>EPR</w:t>
            </w:r>
          </w:p>
        </w:tc>
        <w:tc>
          <w:tcPr>
            <w:tcW w:w="436" w:type="pct"/>
          </w:tcPr>
          <w:p w14:paraId="14B79639" w14:textId="727099C2" w:rsidR="006614F3" w:rsidRPr="006614F3" w:rsidRDefault="006614F3" w:rsidP="00513542">
            <w:pPr>
              <w:spacing w:line="480" w:lineRule="auto"/>
            </w:pPr>
            <w:r w:rsidRPr="006614F3">
              <w:t>.07</w:t>
            </w:r>
          </w:p>
        </w:tc>
        <w:tc>
          <w:tcPr>
            <w:tcW w:w="508" w:type="pct"/>
          </w:tcPr>
          <w:p w14:paraId="620ACADE" w14:textId="0984810E" w:rsidR="006614F3" w:rsidRPr="006614F3" w:rsidRDefault="006614F3" w:rsidP="00513542">
            <w:pPr>
              <w:spacing w:line="480" w:lineRule="auto"/>
              <w:rPr>
                <w:b/>
                <w:bCs/>
              </w:rPr>
            </w:pPr>
            <w:r w:rsidRPr="006614F3">
              <w:rPr>
                <w:b/>
                <w:bCs/>
              </w:rPr>
              <w:t>.89</w:t>
            </w:r>
          </w:p>
        </w:tc>
        <w:tc>
          <w:tcPr>
            <w:tcW w:w="508" w:type="pct"/>
          </w:tcPr>
          <w:p w14:paraId="53158F66" w14:textId="5B05F356" w:rsidR="006614F3" w:rsidRPr="006614F3" w:rsidRDefault="006614F3" w:rsidP="00513542">
            <w:pPr>
              <w:spacing w:line="480" w:lineRule="auto"/>
            </w:pPr>
            <w:r w:rsidRPr="006614F3">
              <w:t>.05</w:t>
            </w:r>
          </w:p>
        </w:tc>
        <w:tc>
          <w:tcPr>
            <w:tcW w:w="436" w:type="pct"/>
          </w:tcPr>
          <w:p w14:paraId="1553BE65" w14:textId="16933994" w:rsidR="006614F3" w:rsidRPr="00DF5CA5" w:rsidRDefault="006614F3" w:rsidP="00513542">
            <w:pPr>
              <w:spacing w:line="480" w:lineRule="auto"/>
            </w:pPr>
            <w:r w:rsidRPr="00DF5CA5">
              <w:t>-.14</w:t>
            </w:r>
          </w:p>
        </w:tc>
        <w:tc>
          <w:tcPr>
            <w:tcW w:w="504" w:type="pct"/>
          </w:tcPr>
          <w:p w14:paraId="48BBEA41" w14:textId="4495E7C5" w:rsidR="006614F3" w:rsidRPr="00DF5CA5" w:rsidRDefault="006614F3" w:rsidP="00513542">
            <w:pPr>
              <w:spacing w:line="480" w:lineRule="auto"/>
            </w:pPr>
            <w:r w:rsidRPr="00DF5CA5">
              <w:t>-.01</w:t>
            </w:r>
          </w:p>
        </w:tc>
        <w:tc>
          <w:tcPr>
            <w:tcW w:w="510" w:type="pct"/>
          </w:tcPr>
          <w:p w14:paraId="6C1696FA" w14:textId="28E6D1FC" w:rsidR="006614F3" w:rsidRPr="00DF5CA5" w:rsidRDefault="006614F3" w:rsidP="00513542">
            <w:pPr>
              <w:spacing w:line="480" w:lineRule="auto"/>
              <w:rPr>
                <w:b/>
                <w:bCs/>
              </w:rPr>
            </w:pPr>
            <w:r w:rsidRPr="00DF5CA5">
              <w:rPr>
                <w:b/>
                <w:bCs/>
              </w:rPr>
              <w:t>.58</w:t>
            </w:r>
          </w:p>
        </w:tc>
        <w:tc>
          <w:tcPr>
            <w:tcW w:w="431" w:type="pct"/>
          </w:tcPr>
          <w:p w14:paraId="39AAED15" w14:textId="7B7F8D3F" w:rsidR="006614F3" w:rsidRPr="00DF5CA5" w:rsidRDefault="006614F3" w:rsidP="00513542">
            <w:pPr>
              <w:spacing w:line="480" w:lineRule="auto"/>
            </w:pPr>
            <w:r w:rsidRPr="00DF5CA5">
              <w:t>-.13</w:t>
            </w:r>
          </w:p>
        </w:tc>
      </w:tr>
      <w:tr w:rsidR="006614F3" w:rsidRPr="00FB087E" w14:paraId="5CD67284" w14:textId="77777777" w:rsidTr="006614F3">
        <w:tc>
          <w:tcPr>
            <w:tcW w:w="507" w:type="pct"/>
          </w:tcPr>
          <w:p w14:paraId="528FE91D" w14:textId="77777777" w:rsidR="006614F3" w:rsidRPr="008036D3" w:rsidRDefault="006614F3" w:rsidP="00513542">
            <w:pPr>
              <w:spacing w:line="480" w:lineRule="auto"/>
            </w:pPr>
            <w:r w:rsidRPr="008036D3">
              <w:t>11</w:t>
            </w:r>
          </w:p>
        </w:tc>
        <w:tc>
          <w:tcPr>
            <w:tcW w:w="1160" w:type="pct"/>
          </w:tcPr>
          <w:p w14:paraId="75EEE5AF" w14:textId="77777777" w:rsidR="006614F3" w:rsidRPr="008036D3" w:rsidRDefault="006614F3" w:rsidP="00513542">
            <w:pPr>
              <w:spacing w:line="480" w:lineRule="auto"/>
            </w:pPr>
            <w:r w:rsidRPr="008036D3">
              <w:t>EPR</w:t>
            </w:r>
          </w:p>
        </w:tc>
        <w:tc>
          <w:tcPr>
            <w:tcW w:w="436" w:type="pct"/>
          </w:tcPr>
          <w:p w14:paraId="68EE56D8" w14:textId="6ACF0023" w:rsidR="006614F3" w:rsidRPr="006614F3" w:rsidRDefault="006614F3" w:rsidP="00513542">
            <w:pPr>
              <w:spacing w:line="480" w:lineRule="auto"/>
            </w:pPr>
            <w:r w:rsidRPr="006614F3">
              <w:t>-.01</w:t>
            </w:r>
          </w:p>
        </w:tc>
        <w:tc>
          <w:tcPr>
            <w:tcW w:w="508" w:type="pct"/>
          </w:tcPr>
          <w:p w14:paraId="1A868871" w14:textId="3705906B" w:rsidR="006614F3" w:rsidRPr="006614F3" w:rsidRDefault="006614F3" w:rsidP="00513542">
            <w:pPr>
              <w:spacing w:line="480" w:lineRule="auto"/>
              <w:rPr>
                <w:b/>
                <w:bCs/>
              </w:rPr>
            </w:pPr>
            <w:r w:rsidRPr="006614F3">
              <w:rPr>
                <w:b/>
                <w:bCs/>
              </w:rPr>
              <w:t>.82</w:t>
            </w:r>
          </w:p>
        </w:tc>
        <w:tc>
          <w:tcPr>
            <w:tcW w:w="508" w:type="pct"/>
          </w:tcPr>
          <w:p w14:paraId="362D2713" w14:textId="4A22863E" w:rsidR="006614F3" w:rsidRPr="006614F3" w:rsidRDefault="006614F3" w:rsidP="00513542">
            <w:pPr>
              <w:spacing w:line="480" w:lineRule="auto"/>
            </w:pPr>
            <w:r w:rsidRPr="006614F3">
              <w:t>.08</w:t>
            </w:r>
          </w:p>
        </w:tc>
        <w:tc>
          <w:tcPr>
            <w:tcW w:w="436" w:type="pct"/>
          </w:tcPr>
          <w:p w14:paraId="7F2045A3" w14:textId="344A77C7" w:rsidR="006614F3" w:rsidRPr="00DF5CA5" w:rsidRDefault="006614F3" w:rsidP="00513542">
            <w:pPr>
              <w:spacing w:line="480" w:lineRule="auto"/>
            </w:pPr>
            <w:r w:rsidRPr="00DF5CA5">
              <w:t>.01</w:t>
            </w:r>
          </w:p>
        </w:tc>
        <w:tc>
          <w:tcPr>
            <w:tcW w:w="504" w:type="pct"/>
          </w:tcPr>
          <w:p w14:paraId="141C7F3F" w14:textId="2B2B0662" w:rsidR="006614F3" w:rsidRPr="00DF5CA5" w:rsidRDefault="006614F3" w:rsidP="00513542">
            <w:pPr>
              <w:spacing w:line="480" w:lineRule="auto"/>
            </w:pPr>
            <w:r w:rsidRPr="00DF5CA5">
              <w:t>&lt;.01</w:t>
            </w:r>
          </w:p>
        </w:tc>
        <w:tc>
          <w:tcPr>
            <w:tcW w:w="510" w:type="pct"/>
          </w:tcPr>
          <w:p w14:paraId="244A3F46" w14:textId="1895CC2D" w:rsidR="006614F3" w:rsidRPr="00DF5CA5" w:rsidRDefault="006614F3" w:rsidP="00513542">
            <w:pPr>
              <w:spacing w:line="480" w:lineRule="auto"/>
              <w:rPr>
                <w:b/>
                <w:bCs/>
              </w:rPr>
            </w:pPr>
            <w:r w:rsidRPr="00DF5CA5">
              <w:rPr>
                <w:b/>
                <w:bCs/>
              </w:rPr>
              <w:t>.76</w:t>
            </w:r>
          </w:p>
        </w:tc>
        <w:tc>
          <w:tcPr>
            <w:tcW w:w="431" w:type="pct"/>
          </w:tcPr>
          <w:p w14:paraId="4F6A1A6C" w14:textId="25BE007C" w:rsidR="006614F3" w:rsidRPr="00DF5CA5" w:rsidRDefault="006614F3" w:rsidP="00513542">
            <w:pPr>
              <w:spacing w:line="480" w:lineRule="auto"/>
            </w:pPr>
            <w:r w:rsidRPr="00DF5CA5">
              <w:t>-.09</w:t>
            </w:r>
          </w:p>
        </w:tc>
      </w:tr>
      <w:tr w:rsidR="006614F3" w:rsidRPr="00FB087E" w14:paraId="0585D967" w14:textId="77777777" w:rsidTr="006614F3">
        <w:tc>
          <w:tcPr>
            <w:tcW w:w="507" w:type="pct"/>
          </w:tcPr>
          <w:p w14:paraId="29F420C6" w14:textId="77777777" w:rsidR="006614F3" w:rsidRPr="008036D3" w:rsidRDefault="006614F3" w:rsidP="00513542">
            <w:pPr>
              <w:spacing w:line="480" w:lineRule="auto"/>
            </w:pPr>
            <w:r w:rsidRPr="008036D3">
              <w:t>12</w:t>
            </w:r>
          </w:p>
        </w:tc>
        <w:tc>
          <w:tcPr>
            <w:tcW w:w="1160" w:type="pct"/>
          </w:tcPr>
          <w:p w14:paraId="159A1836" w14:textId="77777777" w:rsidR="006614F3" w:rsidRPr="008036D3" w:rsidRDefault="006614F3" w:rsidP="00513542">
            <w:pPr>
              <w:spacing w:line="480" w:lineRule="auto"/>
            </w:pPr>
            <w:r w:rsidRPr="008036D3">
              <w:t>EPR</w:t>
            </w:r>
          </w:p>
        </w:tc>
        <w:tc>
          <w:tcPr>
            <w:tcW w:w="436" w:type="pct"/>
          </w:tcPr>
          <w:p w14:paraId="539F7FA5" w14:textId="13B4A215" w:rsidR="006614F3" w:rsidRPr="006614F3" w:rsidRDefault="006614F3" w:rsidP="00513542">
            <w:pPr>
              <w:spacing w:line="480" w:lineRule="auto"/>
            </w:pPr>
            <w:r w:rsidRPr="006614F3">
              <w:t>.02</w:t>
            </w:r>
          </w:p>
        </w:tc>
        <w:tc>
          <w:tcPr>
            <w:tcW w:w="508" w:type="pct"/>
          </w:tcPr>
          <w:p w14:paraId="28F0C757" w14:textId="28391681" w:rsidR="006614F3" w:rsidRPr="006614F3" w:rsidRDefault="006614F3" w:rsidP="00513542">
            <w:pPr>
              <w:spacing w:line="480" w:lineRule="auto"/>
              <w:rPr>
                <w:b/>
                <w:bCs/>
              </w:rPr>
            </w:pPr>
            <w:r w:rsidRPr="006614F3">
              <w:rPr>
                <w:b/>
                <w:bCs/>
              </w:rPr>
              <w:t>-.71</w:t>
            </w:r>
          </w:p>
        </w:tc>
        <w:tc>
          <w:tcPr>
            <w:tcW w:w="508" w:type="pct"/>
          </w:tcPr>
          <w:p w14:paraId="381C2BBF" w14:textId="1818CC8F" w:rsidR="006614F3" w:rsidRPr="006614F3" w:rsidRDefault="006614F3" w:rsidP="00513542">
            <w:pPr>
              <w:spacing w:line="480" w:lineRule="auto"/>
            </w:pPr>
            <w:r w:rsidRPr="006614F3">
              <w:t>.04</w:t>
            </w:r>
          </w:p>
        </w:tc>
        <w:tc>
          <w:tcPr>
            <w:tcW w:w="436" w:type="pct"/>
          </w:tcPr>
          <w:p w14:paraId="1C3DEC88" w14:textId="2F54AE92" w:rsidR="006614F3" w:rsidRPr="00DF5CA5" w:rsidRDefault="006614F3" w:rsidP="00513542">
            <w:pPr>
              <w:spacing w:line="480" w:lineRule="auto"/>
            </w:pPr>
            <w:r w:rsidRPr="00DF5CA5">
              <w:t>-.04</w:t>
            </w:r>
          </w:p>
        </w:tc>
        <w:tc>
          <w:tcPr>
            <w:tcW w:w="504" w:type="pct"/>
          </w:tcPr>
          <w:p w14:paraId="0EA7CE7D" w14:textId="598FE618" w:rsidR="006614F3" w:rsidRPr="00DF5CA5" w:rsidRDefault="006614F3" w:rsidP="00513542">
            <w:pPr>
              <w:spacing w:line="480" w:lineRule="auto"/>
            </w:pPr>
            <w:r w:rsidRPr="00DF5CA5">
              <w:t>-.07</w:t>
            </w:r>
          </w:p>
        </w:tc>
        <w:tc>
          <w:tcPr>
            <w:tcW w:w="510" w:type="pct"/>
          </w:tcPr>
          <w:p w14:paraId="56A943E9" w14:textId="0A877240" w:rsidR="006614F3" w:rsidRPr="00DF5CA5" w:rsidRDefault="006614F3" w:rsidP="00513542">
            <w:pPr>
              <w:spacing w:line="480" w:lineRule="auto"/>
            </w:pPr>
            <w:r w:rsidRPr="00DF5CA5">
              <w:t>-.22</w:t>
            </w:r>
          </w:p>
        </w:tc>
        <w:tc>
          <w:tcPr>
            <w:tcW w:w="431" w:type="pct"/>
          </w:tcPr>
          <w:p w14:paraId="369F2BD2" w14:textId="540B0D03" w:rsidR="006614F3" w:rsidRPr="00DF5CA5" w:rsidRDefault="006614F3" w:rsidP="00513542">
            <w:pPr>
              <w:spacing w:line="480" w:lineRule="auto"/>
              <w:rPr>
                <w:b/>
                <w:bCs/>
              </w:rPr>
            </w:pPr>
            <w:r w:rsidRPr="00DF5CA5">
              <w:rPr>
                <w:b/>
                <w:bCs/>
              </w:rPr>
              <w:t>.57</w:t>
            </w:r>
          </w:p>
        </w:tc>
      </w:tr>
      <w:tr w:rsidR="006614F3" w:rsidRPr="00FB087E" w14:paraId="3ED33C7C" w14:textId="77777777" w:rsidTr="006614F3">
        <w:tc>
          <w:tcPr>
            <w:tcW w:w="507" w:type="pct"/>
          </w:tcPr>
          <w:p w14:paraId="7AF1F139" w14:textId="77777777" w:rsidR="006614F3" w:rsidRPr="008036D3" w:rsidRDefault="006614F3" w:rsidP="00513542">
            <w:pPr>
              <w:spacing w:line="480" w:lineRule="auto"/>
            </w:pPr>
            <w:r w:rsidRPr="008036D3">
              <w:t>13</w:t>
            </w:r>
          </w:p>
        </w:tc>
        <w:tc>
          <w:tcPr>
            <w:tcW w:w="1160" w:type="pct"/>
          </w:tcPr>
          <w:p w14:paraId="2EC00960" w14:textId="77777777" w:rsidR="006614F3" w:rsidRPr="008036D3" w:rsidRDefault="006614F3" w:rsidP="00513542">
            <w:pPr>
              <w:spacing w:line="480" w:lineRule="auto"/>
            </w:pPr>
            <w:r w:rsidRPr="008036D3">
              <w:t>EPR</w:t>
            </w:r>
          </w:p>
        </w:tc>
        <w:tc>
          <w:tcPr>
            <w:tcW w:w="436" w:type="pct"/>
          </w:tcPr>
          <w:p w14:paraId="1834707C" w14:textId="571AFF37" w:rsidR="006614F3" w:rsidRPr="006614F3" w:rsidRDefault="006614F3" w:rsidP="00513542">
            <w:pPr>
              <w:spacing w:line="480" w:lineRule="auto"/>
            </w:pPr>
            <w:r w:rsidRPr="006614F3">
              <w:t>.12</w:t>
            </w:r>
          </w:p>
        </w:tc>
        <w:tc>
          <w:tcPr>
            <w:tcW w:w="508" w:type="pct"/>
          </w:tcPr>
          <w:p w14:paraId="2ECBF8E6" w14:textId="13DF170D" w:rsidR="006614F3" w:rsidRPr="006614F3" w:rsidRDefault="006614F3" w:rsidP="00513542">
            <w:pPr>
              <w:spacing w:line="480" w:lineRule="auto"/>
              <w:rPr>
                <w:b/>
                <w:bCs/>
              </w:rPr>
            </w:pPr>
            <w:r w:rsidRPr="006614F3">
              <w:rPr>
                <w:b/>
                <w:bCs/>
              </w:rPr>
              <w:t>-.53</w:t>
            </w:r>
          </w:p>
        </w:tc>
        <w:tc>
          <w:tcPr>
            <w:tcW w:w="508" w:type="pct"/>
          </w:tcPr>
          <w:p w14:paraId="62185DB4" w14:textId="13F79B95" w:rsidR="006614F3" w:rsidRPr="006614F3" w:rsidRDefault="006614F3" w:rsidP="00513542">
            <w:pPr>
              <w:spacing w:line="480" w:lineRule="auto"/>
            </w:pPr>
            <w:r w:rsidRPr="006614F3">
              <w:t>.15</w:t>
            </w:r>
          </w:p>
        </w:tc>
        <w:tc>
          <w:tcPr>
            <w:tcW w:w="436" w:type="pct"/>
          </w:tcPr>
          <w:p w14:paraId="6ABC52F0" w14:textId="1AD96E2D" w:rsidR="006614F3" w:rsidRPr="00DF5CA5" w:rsidRDefault="006614F3" w:rsidP="00513542">
            <w:pPr>
              <w:spacing w:line="480" w:lineRule="auto"/>
            </w:pPr>
            <w:r w:rsidRPr="00DF5CA5">
              <w:t>.05</w:t>
            </w:r>
          </w:p>
        </w:tc>
        <w:tc>
          <w:tcPr>
            <w:tcW w:w="504" w:type="pct"/>
          </w:tcPr>
          <w:p w14:paraId="55C6BF97" w14:textId="0EA4BC9C" w:rsidR="006614F3" w:rsidRPr="00DF5CA5" w:rsidRDefault="006614F3" w:rsidP="00513542">
            <w:pPr>
              <w:spacing w:line="480" w:lineRule="auto"/>
            </w:pPr>
            <w:r w:rsidRPr="00DF5CA5">
              <w:t>.10</w:t>
            </w:r>
          </w:p>
        </w:tc>
        <w:tc>
          <w:tcPr>
            <w:tcW w:w="510" w:type="pct"/>
          </w:tcPr>
          <w:p w14:paraId="44B0EE1B" w14:textId="1EC08F91" w:rsidR="006614F3" w:rsidRPr="00DF5CA5" w:rsidRDefault="006614F3" w:rsidP="00513542">
            <w:pPr>
              <w:spacing w:line="480" w:lineRule="auto"/>
            </w:pPr>
            <w:r w:rsidRPr="00DF5CA5">
              <w:t>-.20</w:t>
            </w:r>
          </w:p>
        </w:tc>
        <w:tc>
          <w:tcPr>
            <w:tcW w:w="431" w:type="pct"/>
          </w:tcPr>
          <w:p w14:paraId="52AB4B03" w14:textId="5DA599A4" w:rsidR="006614F3" w:rsidRPr="00DF5CA5" w:rsidRDefault="006614F3" w:rsidP="00513542">
            <w:pPr>
              <w:spacing w:line="480" w:lineRule="auto"/>
              <w:rPr>
                <w:b/>
                <w:bCs/>
              </w:rPr>
            </w:pPr>
            <w:r w:rsidRPr="00DF5CA5">
              <w:rPr>
                <w:b/>
                <w:bCs/>
              </w:rPr>
              <w:t>.61</w:t>
            </w:r>
          </w:p>
        </w:tc>
      </w:tr>
      <w:tr w:rsidR="006614F3" w:rsidRPr="00FB087E" w14:paraId="24986658" w14:textId="77777777" w:rsidTr="006614F3">
        <w:tc>
          <w:tcPr>
            <w:tcW w:w="507" w:type="pct"/>
          </w:tcPr>
          <w:p w14:paraId="48C428D4" w14:textId="77777777" w:rsidR="006614F3" w:rsidRPr="008036D3" w:rsidRDefault="006614F3" w:rsidP="00513542">
            <w:pPr>
              <w:spacing w:line="480" w:lineRule="auto"/>
            </w:pPr>
            <w:r w:rsidRPr="008036D3">
              <w:t>14</w:t>
            </w:r>
          </w:p>
        </w:tc>
        <w:tc>
          <w:tcPr>
            <w:tcW w:w="1160" w:type="pct"/>
          </w:tcPr>
          <w:p w14:paraId="285F274E" w14:textId="77777777" w:rsidR="006614F3" w:rsidRPr="008036D3" w:rsidRDefault="006614F3" w:rsidP="00513542">
            <w:pPr>
              <w:spacing w:line="480" w:lineRule="auto"/>
            </w:pPr>
            <w:r w:rsidRPr="008036D3">
              <w:t>EPR</w:t>
            </w:r>
          </w:p>
        </w:tc>
        <w:tc>
          <w:tcPr>
            <w:tcW w:w="436" w:type="pct"/>
          </w:tcPr>
          <w:p w14:paraId="6573B074" w14:textId="3CD867CE" w:rsidR="006614F3" w:rsidRPr="006614F3" w:rsidRDefault="006614F3" w:rsidP="00513542">
            <w:pPr>
              <w:spacing w:line="480" w:lineRule="auto"/>
            </w:pPr>
            <w:r w:rsidRPr="006614F3">
              <w:t>.19</w:t>
            </w:r>
          </w:p>
        </w:tc>
        <w:tc>
          <w:tcPr>
            <w:tcW w:w="508" w:type="pct"/>
          </w:tcPr>
          <w:p w14:paraId="2245392B" w14:textId="6479A494" w:rsidR="006614F3" w:rsidRPr="006614F3" w:rsidRDefault="006614F3" w:rsidP="00513542">
            <w:pPr>
              <w:spacing w:line="480" w:lineRule="auto"/>
              <w:rPr>
                <w:b/>
                <w:bCs/>
              </w:rPr>
            </w:pPr>
            <w:r w:rsidRPr="006614F3">
              <w:rPr>
                <w:b/>
                <w:bCs/>
              </w:rPr>
              <w:t>-.58</w:t>
            </w:r>
          </w:p>
        </w:tc>
        <w:tc>
          <w:tcPr>
            <w:tcW w:w="508" w:type="pct"/>
          </w:tcPr>
          <w:p w14:paraId="54AEF718" w14:textId="0A651F44" w:rsidR="006614F3" w:rsidRPr="006614F3" w:rsidRDefault="006614F3" w:rsidP="00513542">
            <w:pPr>
              <w:spacing w:line="480" w:lineRule="auto"/>
            </w:pPr>
            <w:r w:rsidRPr="006614F3">
              <w:t>.04</w:t>
            </w:r>
          </w:p>
        </w:tc>
        <w:tc>
          <w:tcPr>
            <w:tcW w:w="436" w:type="pct"/>
          </w:tcPr>
          <w:p w14:paraId="02F34490" w14:textId="42A00B87" w:rsidR="006614F3" w:rsidRPr="00DF5CA5" w:rsidRDefault="006614F3" w:rsidP="00513542">
            <w:pPr>
              <w:spacing w:line="480" w:lineRule="auto"/>
            </w:pPr>
            <w:r w:rsidRPr="00DF5CA5">
              <w:t>-.03</w:t>
            </w:r>
          </w:p>
        </w:tc>
        <w:tc>
          <w:tcPr>
            <w:tcW w:w="504" w:type="pct"/>
          </w:tcPr>
          <w:p w14:paraId="4999FFE9" w14:textId="06C50DDC" w:rsidR="006614F3" w:rsidRPr="00DF5CA5" w:rsidRDefault="006614F3" w:rsidP="00513542">
            <w:pPr>
              <w:spacing w:line="480" w:lineRule="auto"/>
            </w:pPr>
            <w:r w:rsidRPr="00DF5CA5">
              <w:t>.09</w:t>
            </w:r>
          </w:p>
        </w:tc>
        <w:tc>
          <w:tcPr>
            <w:tcW w:w="510" w:type="pct"/>
          </w:tcPr>
          <w:p w14:paraId="33FB5EF2" w14:textId="02CDB102" w:rsidR="006614F3" w:rsidRPr="00DF5CA5" w:rsidRDefault="006614F3" w:rsidP="00513542">
            <w:pPr>
              <w:spacing w:line="480" w:lineRule="auto"/>
            </w:pPr>
            <w:r w:rsidRPr="00DF5CA5">
              <w:t>-.17</w:t>
            </w:r>
          </w:p>
        </w:tc>
        <w:tc>
          <w:tcPr>
            <w:tcW w:w="431" w:type="pct"/>
          </w:tcPr>
          <w:p w14:paraId="4D763777" w14:textId="29DFD8F3" w:rsidR="006614F3" w:rsidRPr="00DF5CA5" w:rsidRDefault="006614F3" w:rsidP="00513542">
            <w:pPr>
              <w:spacing w:line="480" w:lineRule="auto"/>
              <w:rPr>
                <w:b/>
                <w:bCs/>
              </w:rPr>
            </w:pPr>
            <w:r w:rsidRPr="00DF5CA5">
              <w:rPr>
                <w:b/>
                <w:bCs/>
              </w:rPr>
              <w:t>.65</w:t>
            </w:r>
          </w:p>
        </w:tc>
      </w:tr>
      <w:tr w:rsidR="006614F3" w:rsidRPr="00FB087E" w14:paraId="3053577A" w14:textId="77777777" w:rsidTr="006614F3">
        <w:tc>
          <w:tcPr>
            <w:tcW w:w="507" w:type="pct"/>
          </w:tcPr>
          <w:p w14:paraId="059AF51F" w14:textId="77777777" w:rsidR="006614F3" w:rsidRPr="008036D3" w:rsidRDefault="006614F3" w:rsidP="00513542">
            <w:pPr>
              <w:spacing w:line="480" w:lineRule="auto"/>
            </w:pPr>
            <w:r w:rsidRPr="008036D3">
              <w:lastRenderedPageBreak/>
              <w:t>15</w:t>
            </w:r>
          </w:p>
        </w:tc>
        <w:tc>
          <w:tcPr>
            <w:tcW w:w="1160" w:type="pct"/>
          </w:tcPr>
          <w:p w14:paraId="24BA4DC0" w14:textId="77777777" w:rsidR="006614F3" w:rsidRPr="008036D3" w:rsidRDefault="006614F3" w:rsidP="00513542">
            <w:pPr>
              <w:spacing w:line="480" w:lineRule="auto"/>
            </w:pPr>
            <w:r w:rsidRPr="008036D3">
              <w:t>EPR</w:t>
            </w:r>
          </w:p>
        </w:tc>
        <w:tc>
          <w:tcPr>
            <w:tcW w:w="436" w:type="pct"/>
          </w:tcPr>
          <w:p w14:paraId="1A458E07" w14:textId="7AA5FA60" w:rsidR="006614F3" w:rsidRPr="006614F3" w:rsidRDefault="006614F3" w:rsidP="00513542">
            <w:pPr>
              <w:spacing w:line="480" w:lineRule="auto"/>
            </w:pPr>
            <w:r w:rsidRPr="006614F3">
              <w:t>.19</w:t>
            </w:r>
          </w:p>
        </w:tc>
        <w:tc>
          <w:tcPr>
            <w:tcW w:w="508" w:type="pct"/>
          </w:tcPr>
          <w:p w14:paraId="79665CC2" w14:textId="6ECA56F4" w:rsidR="006614F3" w:rsidRPr="006614F3" w:rsidRDefault="006614F3" w:rsidP="00513542">
            <w:pPr>
              <w:spacing w:line="480" w:lineRule="auto"/>
              <w:rPr>
                <w:b/>
                <w:bCs/>
              </w:rPr>
            </w:pPr>
            <w:r w:rsidRPr="006614F3">
              <w:rPr>
                <w:b/>
                <w:bCs/>
              </w:rPr>
              <w:t>-.56</w:t>
            </w:r>
          </w:p>
        </w:tc>
        <w:tc>
          <w:tcPr>
            <w:tcW w:w="508" w:type="pct"/>
          </w:tcPr>
          <w:p w14:paraId="670183D9" w14:textId="3E4671A4" w:rsidR="006614F3" w:rsidRPr="006614F3" w:rsidRDefault="006614F3" w:rsidP="00513542">
            <w:pPr>
              <w:spacing w:line="480" w:lineRule="auto"/>
            </w:pPr>
            <w:r w:rsidRPr="006614F3">
              <w:t>.08</w:t>
            </w:r>
          </w:p>
        </w:tc>
        <w:tc>
          <w:tcPr>
            <w:tcW w:w="436" w:type="pct"/>
          </w:tcPr>
          <w:p w14:paraId="792842FC" w14:textId="54FFCCDC" w:rsidR="006614F3" w:rsidRPr="00DF5CA5" w:rsidRDefault="006614F3" w:rsidP="00513542">
            <w:pPr>
              <w:spacing w:line="480" w:lineRule="auto"/>
            </w:pPr>
            <w:r w:rsidRPr="00DF5CA5">
              <w:t>.27</w:t>
            </w:r>
          </w:p>
        </w:tc>
        <w:tc>
          <w:tcPr>
            <w:tcW w:w="504" w:type="pct"/>
          </w:tcPr>
          <w:p w14:paraId="189EC94A" w14:textId="7C03A533" w:rsidR="006614F3" w:rsidRPr="00DF5CA5" w:rsidRDefault="006614F3" w:rsidP="00513542">
            <w:pPr>
              <w:spacing w:line="480" w:lineRule="auto"/>
            </w:pPr>
            <w:r w:rsidRPr="00DF5CA5">
              <w:t>.05</w:t>
            </w:r>
          </w:p>
        </w:tc>
        <w:tc>
          <w:tcPr>
            <w:tcW w:w="510" w:type="pct"/>
          </w:tcPr>
          <w:p w14:paraId="1E9CEC95" w14:textId="34183BB9" w:rsidR="006614F3" w:rsidRPr="00DF5CA5" w:rsidRDefault="006614F3" w:rsidP="00513542">
            <w:pPr>
              <w:spacing w:line="480" w:lineRule="auto"/>
            </w:pPr>
            <w:r w:rsidRPr="00DF5CA5">
              <w:t>-.12</w:t>
            </w:r>
          </w:p>
        </w:tc>
        <w:tc>
          <w:tcPr>
            <w:tcW w:w="431" w:type="pct"/>
          </w:tcPr>
          <w:p w14:paraId="052CDBA9" w14:textId="44CDC0E1" w:rsidR="006614F3" w:rsidRPr="00DF5CA5" w:rsidRDefault="006614F3" w:rsidP="00513542">
            <w:pPr>
              <w:spacing w:line="480" w:lineRule="auto"/>
            </w:pPr>
            <w:r w:rsidRPr="00DF5CA5">
              <w:t>.32</w:t>
            </w:r>
          </w:p>
        </w:tc>
      </w:tr>
      <w:tr w:rsidR="006614F3" w:rsidRPr="00FB087E" w14:paraId="37EC55A5" w14:textId="77777777" w:rsidTr="006614F3">
        <w:tc>
          <w:tcPr>
            <w:tcW w:w="507" w:type="pct"/>
          </w:tcPr>
          <w:p w14:paraId="084FB6B8" w14:textId="77777777" w:rsidR="006614F3" w:rsidRPr="008036D3" w:rsidRDefault="006614F3" w:rsidP="00513542">
            <w:pPr>
              <w:spacing w:line="480" w:lineRule="auto"/>
            </w:pPr>
            <w:r w:rsidRPr="008036D3">
              <w:t>16</w:t>
            </w:r>
          </w:p>
        </w:tc>
        <w:tc>
          <w:tcPr>
            <w:tcW w:w="1160" w:type="pct"/>
          </w:tcPr>
          <w:p w14:paraId="75216AAF" w14:textId="77777777" w:rsidR="006614F3" w:rsidRPr="008036D3" w:rsidRDefault="006614F3" w:rsidP="00513542">
            <w:pPr>
              <w:spacing w:line="480" w:lineRule="auto"/>
            </w:pPr>
            <w:r w:rsidRPr="008036D3">
              <w:t>UPE</w:t>
            </w:r>
          </w:p>
        </w:tc>
        <w:tc>
          <w:tcPr>
            <w:tcW w:w="436" w:type="pct"/>
          </w:tcPr>
          <w:p w14:paraId="1E06C478" w14:textId="75F5A2B6" w:rsidR="006614F3" w:rsidRPr="006614F3" w:rsidRDefault="006614F3" w:rsidP="00513542">
            <w:pPr>
              <w:spacing w:line="480" w:lineRule="auto"/>
            </w:pPr>
            <w:r w:rsidRPr="006614F3">
              <w:t>.31</w:t>
            </w:r>
          </w:p>
        </w:tc>
        <w:tc>
          <w:tcPr>
            <w:tcW w:w="508" w:type="pct"/>
          </w:tcPr>
          <w:p w14:paraId="04AC040B" w14:textId="0723B5FD" w:rsidR="006614F3" w:rsidRPr="006614F3" w:rsidRDefault="006614F3" w:rsidP="00513542">
            <w:pPr>
              <w:spacing w:line="480" w:lineRule="auto"/>
            </w:pPr>
            <w:r w:rsidRPr="006614F3">
              <w:t>.09</w:t>
            </w:r>
          </w:p>
        </w:tc>
        <w:tc>
          <w:tcPr>
            <w:tcW w:w="508" w:type="pct"/>
          </w:tcPr>
          <w:p w14:paraId="5623C24E" w14:textId="46AA4C99" w:rsidR="006614F3" w:rsidRPr="006614F3" w:rsidRDefault="006614F3" w:rsidP="00513542">
            <w:pPr>
              <w:spacing w:line="480" w:lineRule="auto"/>
              <w:rPr>
                <w:b/>
                <w:bCs/>
              </w:rPr>
            </w:pPr>
            <w:r w:rsidRPr="006614F3">
              <w:rPr>
                <w:b/>
                <w:bCs/>
              </w:rPr>
              <w:t>-.54</w:t>
            </w:r>
          </w:p>
        </w:tc>
        <w:tc>
          <w:tcPr>
            <w:tcW w:w="436" w:type="pct"/>
          </w:tcPr>
          <w:p w14:paraId="18B718C1" w14:textId="2A01E683" w:rsidR="006614F3" w:rsidRPr="00DF5CA5" w:rsidRDefault="006614F3" w:rsidP="00513542">
            <w:pPr>
              <w:spacing w:line="480" w:lineRule="auto"/>
            </w:pPr>
            <w:r w:rsidRPr="00DF5CA5">
              <w:t>.24</w:t>
            </w:r>
          </w:p>
        </w:tc>
        <w:tc>
          <w:tcPr>
            <w:tcW w:w="504" w:type="pct"/>
          </w:tcPr>
          <w:p w14:paraId="433D6381" w14:textId="6E087BDF" w:rsidR="006614F3" w:rsidRPr="00DF5CA5" w:rsidRDefault="006614F3" w:rsidP="00513542">
            <w:pPr>
              <w:spacing w:line="480" w:lineRule="auto"/>
              <w:rPr>
                <w:b/>
                <w:bCs/>
              </w:rPr>
            </w:pPr>
            <w:r w:rsidRPr="00DF5CA5">
              <w:rPr>
                <w:b/>
                <w:bCs/>
              </w:rPr>
              <w:t>-.62</w:t>
            </w:r>
          </w:p>
        </w:tc>
        <w:tc>
          <w:tcPr>
            <w:tcW w:w="510" w:type="pct"/>
          </w:tcPr>
          <w:p w14:paraId="251F18F7" w14:textId="000E17A6" w:rsidR="006614F3" w:rsidRPr="00DF5CA5" w:rsidRDefault="006614F3" w:rsidP="00513542">
            <w:pPr>
              <w:spacing w:line="480" w:lineRule="auto"/>
            </w:pPr>
            <w:r w:rsidRPr="00DF5CA5">
              <w:t>.06</w:t>
            </w:r>
          </w:p>
        </w:tc>
        <w:tc>
          <w:tcPr>
            <w:tcW w:w="431" w:type="pct"/>
          </w:tcPr>
          <w:p w14:paraId="350D920D" w14:textId="3CDB46D4" w:rsidR="006614F3" w:rsidRPr="00DF5CA5" w:rsidRDefault="006614F3" w:rsidP="00513542">
            <w:pPr>
              <w:spacing w:line="480" w:lineRule="auto"/>
            </w:pPr>
            <w:r w:rsidRPr="00DF5CA5">
              <w:t>.23</w:t>
            </w:r>
          </w:p>
        </w:tc>
      </w:tr>
      <w:tr w:rsidR="006614F3" w:rsidRPr="00FB087E" w14:paraId="08F6432D" w14:textId="77777777" w:rsidTr="006614F3">
        <w:tc>
          <w:tcPr>
            <w:tcW w:w="507" w:type="pct"/>
          </w:tcPr>
          <w:p w14:paraId="009E7DED" w14:textId="77777777" w:rsidR="006614F3" w:rsidRPr="008036D3" w:rsidRDefault="006614F3" w:rsidP="00513542">
            <w:pPr>
              <w:spacing w:line="480" w:lineRule="auto"/>
            </w:pPr>
            <w:r w:rsidRPr="008036D3">
              <w:t>17</w:t>
            </w:r>
          </w:p>
        </w:tc>
        <w:tc>
          <w:tcPr>
            <w:tcW w:w="1160" w:type="pct"/>
          </w:tcPr>
          <w:p w14:paraId="5B519E8D" w14:textId="77777777" w:rsidR="006614F3" w:rsidRPr="008036D3" w:rsidRDefault="006614F3" w:rsidP="00513542">
            <w:pPr>
              <w:spacing w:line="480" w:lineRule="auto"/>
            </w:pPr>
            <w:r w:rsidRPr="008036D3">
              <w:t>UPE</w:t>
            </w:r>
          </w:p>
        </w:tc>
        <w:tc>
          <w:tcPr>
            <w:tcW w:w="436" w:type="pct"/>
          </w:tcPr>
          <w:p w14:paraId="653C5C91" w14:textId="61DC0F58" w:rsidR="006614F3" w:rsidRPr="006614F3" w:rsidRDefault="006614F3" w:rsidP="00513542">
            <w:pPr>
              <w:spacing w:line="480" w:lineRule="auto"/>
            </w:pPr>
            <w:r w:rsidRPr="006614F3">
              <w:t>.20</w:t>
            </w:r>
          </w:p>
        </w:tc>
        <w:tc>
          <w:tcPr>
            <w:tcW w:w="508" w:type="pct"/>
          </w:tcPr>
          <w:p w14:paraId="57B807B5" w14:textId="1F4FC825" w:rsidR="006614F3" w:rsidRPr="006614F3" w:rsidRDefault="006614F3" w:rsidP="00513542">
            <w:pPr>
              <w:spacing w:line="480" w:lineRule="auto"/>
            </w:pPr>
            <w:r w:rsidRPr="006614F3">
              <w:t>-.04</w:t>
            </w:r>
          </w:p>
        </w:tc>
        <w:tc>
          <w:tcPr>
            <w:tcW w:w="508" w:type="pct"/>
          </w:tcPr>
          <w:p w14:paraId="4A0C8D36" w14:textId="60ACE18B" w:rsidR="006614F3" w:rsidRPr="006614F3" w:rsidRDefault="006614F3" w:rsidP="00513542">
            <w:pPr>
              <w:spacing w:line="480" w:lineRule="auto"/>
              <w:rPr>
                <w:b/>
                <w:bCs/>
              </w:rPr>
            </w:pPr>
            <w:r w:rsidRPr="006614F3">
              <w:rPr>
                <w:b/>
                <w:bCs/>
              </w:rPr>
              <w:t>-.54</w:t>
            </w:r>
          </w:p>
        </w:tc>
        <w:tc>
          <w:tcPr>
            <w:tcW w:w="436" w:type="pct"/>
          </w:tcPr>
          <w:p w14:paraId="749299E2" w14:textId="481385E5" w:rsidR="006614F3" w:rsidRPr="00DF5CA5" w:rsidRDefault="006614F3" w:rsidP="00513542">
            <w:pPr>
              <w:spacing w:line="480" w:lineRule="auto"/>
            </w:pPr>
            <w:r w:rsidRPr="00DF5CA5">
              <w:t>.29</w:t>
            </w:r>
          </w:p>
        </w:tc>
        <w:tc>
          <w:tcPr>
            <w:tcW w:w="504" w:type="pct"/>
          </w:tcPr>
          <w:p w14:paraId="3726763A" w14:textId="224C8356" w:rsidR="006614F3" w:rsidRPr="00DF5CA5" w:rsidRDefault="006614F3" w:rsidP="00513542">
            <w:pPr>
              <w:spacing w:line="480" w:lineRule="auto"/>
              <w:rPr>
                <w:b/>
                <w:bCs/>
              </w:rPr>
            </w:pPr>
            <w:r w:rsidRPr="00DF5CA5">
              <w:rPr>
                <w:b/>
                <w:bCs/>
              </w:rPr>
              <w:t>-.41</w:t>
            </w:r>
          </w:p>
        </w:tc>
        <w:tc>
          <w:tcPr>
            <w:tcW w:w="510" w:type="pct"/>
          </w:tcPr>
          <w:p w14:paraId="5992641D" w14:textId="4E326DBE" w:rsidR="006614F3" w:rsidRPr="00DF5CA5" w:rsidRDefault="006614F3" w:rsidP="00513542">
            <w:pPr>
              <w:spacing w:line="480" w:lineRule="auto"/>
            </w:pPr>
            <w:r w:rsidRPr="00DF5CA5">
              <w:t>.12</w:t>
            </w:r>
          </w:p>
        </w:tc>
        <w:tc>
          <w:tcPr>
            <w:tcW w:w="431" w:type="pct"/>
          </w:tcPr>
          <w:p w14:paraId="60178C97" w14:textId="51A6918B" w:rsidR="006614F3" w:rsidRPr="00DF5CA5" w:rsidRDefault="006614F3" w:rsidP="00513542">
            <w:pPr>
              <w:spacing w:line="480" w:lineRule="auto"/>
            </w:pPr>
            <w:r w:rsidRPr="00DF5CA5">
              <w:t>.21</w:t>
            </w:r>
          </w:p>
        </w:tc>
      </w:tr>
      <w:tr w:rsidR="006614F3" w:rsidRPr="00FB087E" w14:paraId="2C48B8F0" w14:textId="77777777" w:rsidTr="006614F3">
        <w:tc>
          <w:tcPr>
            <w:tcW w:w="507" w:type="pct"/>
          </w:tcPr>
          <w:p w14:paraId="6A7BDC4E" w14:textId="77777777" w:rsidR="006614F3" w:rsidRPr="008036D3" w:rsidRDefault="006614F3" w:rsidP="00513542">
            <w:pPr>
              <w:spacing w:line="480" w:lineRule="auto"/>
            </w:pPr>
            <w:r w:rsidRPr="008036D3">
              <w:t>18</w:t>
            </w:r>
          </w:p>
        </w:tc>
        <w:tc>
          <w:tcPr>
            <w:tcW w:w="1160" w:type="pct"/>
          </w:tcPr>
          <w:p w14:paraId="2CBF8DB2" w14:textId="77777777" w:rsidR="006614F3" w:rsidRPr="008036D3" w:rsidRDefault="006614F3" w:rsidP="00513542">
            <w:pPr>
              <w:spacing w:line="480" w:lineRule="auto"/>
            </w:pPr>
            <w:r w:rsidRPr="008036D3">
              <w:t>B-FFC</w:t>
            </w:r>
          </w:p>
        </w:tc>
        <w:tc>
          <w:tcPr>
            <w:tcW w:w="436" w:type="pct"/>
          </w:tcPr>
          <w:p w14:paraId="4BABA966" w14:textId="7388D8D9" w:rsidR="006614F3" w:rsidRPr="006614F3" w:rsidRDefault="006614F3" w:rsidP="00513542">
            <w:pPr>
              <w:spacing w:line="480" w:lineRule="auto"/>
              <w:rPr>
                <w:b/>
                <w:bCs/>
              </w:rPr>
            </w:pPr>
            <w:r w:rsidRPr="006614F3">
              <w:rPr>
                <w:b/>
                <w:bCs/>
              </w:rPr>
              <w:t>.42</w:t>
            </w:r>
          </w:p>
        </w:tc>
        <w:tc>
          <w:tcPr>
            <w:tcW w:w="508" w:type="pct"/>
          </w:tcPr>
          <w:p w14:paraId="138E8FB0" w14:textId="7E963927" w:rsidR="006614F3" w:rsidRPr="006614F3" w:rsidRDefault="006614F3" w:rsidP="00513542">
            <w:pPr>
              <w:spacing w:line="480" w:lineRule="auto"/>
            </w:pPr>
            <w:r w:rsidRPr="006614F3">
              <w:t>.04</w:t>
            </w:r>
          </w:p>
        </w:tc>
        <w:tc>
          <w:tcPr>
            <w:tcW w:w="508" w:type="pct"/>
          </w:tcPr>
          <w:p w14:paraId="5F2B2069" w14:textId="12371B05" w:rsidR="006614F3" w:rsidRPr="006614F3" w:rsidRDefault="006614F3" w:rsidP="00513542">
            <w:pPr>
              <w:spacing w:line="480" w:lineRule="auto"/>
              <w:rPr>
                <w:b/>
                <w:bCs/>
              </w:rPr>
            </w:pPr>
            <w:r w:rsidRPr="006614F3">
              <w:rPr>
                <w:b/>
                <w:bCs/>
              </w:rPr>
              <w:t>.50</w:t>
            </w:r>
          </w:p>
        </w:tc>
        <w:tc>
          <w:tcPr>
            <w:tcW w:w="436" w:type="pct"/>
          </w:tcPr>
          <w:p w14:paraId="08D5E209" w14:textId="48DB6168" w:rsidR="006614F3" w:rsidRPr="00DF5CA5" w:rsidRDefault="006614F3" w:rsidP="00513542">
            <w:pPr>
              <w:spacing w:line="480" w:lineRule="auto"/>
            </w:pPr>
            <w:r w:rsidRPr="00DF5CA5">
              <w:t>.23</w:t>
            </w:r>
          </w:p>
        </w:tc>
        <w:tc>
          <w:tcPr>
            <w:tcW w:w="504" w:type="pct"/>
          </w:tcPr>
          <w:p w14:paraId="104D1E48" w14:textId="3D6EAF6A" w:rsidR="006614F3" w:rsidRPr="00DF5CA5" w:rsidRDefault="006614F3" w:rsidP="00513542">
            <w:pPr>
              <w:spacing w:line="480" w:lineRule="auto"/>
              <w:rPr>
                <w:b/>
                <w:bCs/>
              </w:rPr>
            </w:pPr>
            <w:r w:rsidRPr="00DF5CA5">
              <w:rPr>
                <w:b/>
                <w:bCs/>
              </w:rPr>
              <w:t>.71</w:t>
            </w:r>
          </w:p>
        </w:tc>
        <w:tc>
          <w:tcPr>
            <w:tcW w:w="510" w:type="pct"/>
          </w:tcPr>
          <w:p w14:paraId="798F6DAB" w14:textId="2DC94B3A" w:rsidR="006614F3" w:rsidRPr="00DF5CA5" w:rsidRDefault="006614F3" w:rsidP="00513542">
            <w:pPr>
              <w:spacing w:line="480" w:lineRule="auto"/>
            </w:pPr>
            <w:r w:rsidRPr="00DF5CA5">
              <w:t>.06</w:t>
            </w:r>
          </w:p>
        </w:tc>
        <w:tc>
          <w:tcPr>
            <w:tcW w:w="431" w:type="pct"/>
          </w:tcPr>
          <w:p w14:paraId="0E6F3E32" w14:textId="307DE31D" w:rsidR="006614F3" w:rsidRPr="00DF5CA5" w:rsidRDefault="006614F3" w:rsidP="00513542">
            <w:pPr>
              <w:spacing w:line="480" w:lineRule="auto"/>
            </w:pPr>
            <w:r w:rsidRPr="00DF5CA5">
              <w:t>.02</w:t>
            </w:r>
          </w:p>
        </w:tc>
      </w:tr>
      <w:tr w:rsidR="006614F3" w:rsidRPr="00FB087E" w14:paraId="49A50A1D" w14:textId="77777777" w:rsidTr="006614F3">
        <w:tc>
          <w:tcPr>
            <w:tcW w:w="507" w:type="pct"/>
          </w:tcPr>
          <w:p w14:paraId="7CEB8F66" w14:textId="77777777" w:rsidR="006614F3" w:rsidRPr="008036D3" w:rsidRDefault="006614F3" w:rsidP="00513542">
            <w:pPr>
              <w:spacing w:line="480" w:lineRule="auto"/>
            </w:pPr>
            <w:r w:rsidRPr="008036D3">
              <w:t>19</w:t>
            </w:r>
            <w:r w:rsidRPr="008036D3">
              <w:rPr>
                <w:i/>
              </w:rPr>
              <w:t xml:space="preserve"> </w:t>
            </w:r>
          </w:p>
        </w:tc>
        <w:tc>
          <w:tcPr>
            <w:tcW w:w="1160" w:type="pct"/>
          </w:tcPr>
          <w:p w14:paraId="73E92F71" w14:textId="77777777" w:rsidR="006614F3" w:rsidRPr="008036D3" w:rsidRDefault="006614F3" w:rsidP="00513542">
            <w:pPr>
              <w:spacing w:line="480" w:lineRule="auto"/>
            </w:pPr>
            <w:r w:rsidRPr="008036D3">
              <w:t>B-FFC</w:t>
            </w:r>
          </w:p>
        </w:tc>
        <w:tc>
          <w:tcPr>
            <w:tcW w:w="436" w:type="pct"/>
          </w:tcPr>
          <w:p w14:paraId="53CDF7C3" w14:textId="1AFB662B" w:rsidR="006614F3" w:rsidRPr="006614F3" w:rsidRDefault="006614F3" w:rsidP="00513542">
            <w:pPr>
              <w:spacing w:line="480" w:lineRule="auto"/>
              <w:rPr>
                <w:b/>
                <w:bCs/>
              </w:rPr>
            </w:pPr>
            <w:r w:rsidRPr="006614F3">
              <w:rPr>
                <w:b/>
                <w:bCs/>
              </w:rPr>
              <w:t>.45</w:t>
            </w:r>
          </w:p>
        </w:tc>
        <w:tc>
          <w:tcPr>
            <w:tcW w:w="508" w:type="pct"/>
          </w:tcPr>
          <w:p w14:paraId="1FA6DB78" w14:textId="0EA8E44A" w:rsidR="006614F3" w:rsidRPr="006614F3" w:rsidRDefault="006614F3" w:rsidP="00513542">
            <w:pPr>
              <w:spacing w:line="480" w:lineRule="auto"/>
            </w:pPr>
            <w:r w:rsidRPr="006614F3">
              <w:t>-.10</w:t>
            </w:r>
          </w:p>
        </w:tc>
        <w:tc>
          <w:tcPr>
            <w:tcW w:w="508" w:type="pct"/>
          </w:tcPr>
          <w:p w14:paraId="5F3E4616" w14:textId="3147F44E" w:rsidR="006614F3" w:rsidRPr="006614F3" w:rsidRDefault="006614F3" w:rsidP="00513542">
            <w:pPr>
              <w:spacing w:line="480" w:lineRule="auto"/>
              <w:rPr>
                <w:b/>
                <w:bCs/>
              </w:rPr>
            </w:pPr>
            <w:r w:rsidRPr="006614F3">
              <w:rPr>
                <w:b/>
                <w:bCs/>
              </w:rPr>
              <w:t>.46</w:t>
            </w:r>
          </w:p>
        </w:tc>
        <w:tc>
          <w:tcPr>
            <w:tcW w:w="436" w:type="pct"/>
          </w:tcPr>
          <w:p w14:paraId="349E07A6" w14:textId="7B743AAF" w:rsidR="006614F3" w:rsidRPr="00DF5CA5" w:rsidRDefault="006614F3" w:rsidP="00513542">
            <w:pPr>
              <w:spacing w:line="480" w:lineRule="auto"/>
            </w:pPr>
            <w:r w:rsidRPr="00DF5CA5">
              <w:t>.32</w:t>
            </w:r>
          </w:p>
        </w:tc>
        <w:tc>
          <w:tcPr>
            <w:tcW w:w="504" w:type="pct"/>
          </w:tcPr>
          <w:p w14:paraId="2D983DE1" w14:textId="1638F145" w:rsidR="006614F3" w:rsidRPr="00DF5CA5" w:rsidRDefault="006614F3" w:rsidP="00513542">
            <w:pPr>
              <w:spacing w:line="480" w:lineRule="auto"/>
              <w:rPr>
                <w:b/>
                <w:bCs/>
              </w:rPr>
            </w:pPr>
            <w:r w:rsidRPr="00DF5CA5">
              <w:rPr>
                <w:b/>
                <w:bCs/>
              </w:rPr>
              <w:t>.66</w:t>
            </w:r>
          </w:p>
        </w:tc>
        <w:tc>
          <w:tcPr>
            <w:tcW w:w="510" w:type="pct"/>
          </w:tcPr>
          <w:p w14:paraId="448A9AA8" w14:textId="7F2BF512" w:rsidR="006614F3" w:rsidRPr="00DF5CA5" w:rsidRDefault="006614F3" w:rsidP="00513542">
            <w:pPr>
              <w:spacing w:line="480" w:lineRule="auto"/>
            </w:pPr>
            <w:r w:rsidRPr="00DF5CA5">
              <w:t>-.03</w:t>
            </w:r>
          </w:p>
        </w:tc>
        <w:tc>
          <w:tcPr>
            <w:tcW w:w="431" w:type="pct"/>
          </w:tcPr>
          <w:p w14:paraId="145C0889" w14:textId="0F9C2DA7" w:rsidR="006614F3" w:rsidRPr="00DF5CA5" w:rsidRDefault="006614F3" w:rsidP="00513542">
            <w:pPr>
              <w:spacing w:line="480" w:lineRule="auto"/>
            </w:pPr>
            <w:r w:rsidRPr="00DF5CA5">
              <w:t>.12</w:t>
            </w:r>
          </w:p>
        </w:tc>
      </w:tr>
      <w:tr w:rsidR="006614F3" w:rsidRPr="00FB087E" w14:paraId="42578D85" w14:textId="77777777" w:rsidTr="006614F3">
        <w:tc>
          <w:tcPr>
            <w:tcW w:w="507" w:type="pct"/>
          </w:tcPr>
          <w:p w14:paraId="5B81CA55" w14:textId="77777777" w:rsidR="006614F3" w:rsidRPr="008036D3" w:rsidRDefault="006614F3" w:rsidP="00513542">
            <w:pPr>
              <w:spacing w:line="480" w:lineRule="auto"/>
            </w:pPr>
            <w:r w:rsidRPr="008036D3">
              <w:t>20</w:t>
            </w:r>
          </w:p>
        </w:tc>
        <w:tc>
          <w:tcPr>
            <w:tcW w:w="1160" w:type="pct"/>
          </w:tcPr>
          <w:p w14:paraId="1D3C09E1" w14:textId="77777777" w:rsidR="006614F3" w:rsidRPr="008036D3" w:rsidRDefault="006614F3" w:rsidP="00513542">
            <w:pPr>
              <w:spacing w:line="480" w:lineRule="auto"/>
            </w:pPr>
            <w:r w:rsidRPr="008036D3">
              <w:t>B-FFC</w:t>
            </w:r>
          </w:p>
        </w:tc>
        <w:tc>
          <w:tcPr>
            <w:tcW w:w="436" w:type="pct"/>
          </w:tcPr>
          <w:p w14:paraId="2353BEE7" w14:textId="46C87F17" w:rsidR="006614F3" w:rsidRPr="006614F3" w:rsidRDefault="006614F3" w:rsidP="00513542">
            <w:pPr>
              <w:spacing w:line="480" w:lineRule="auto"/>
              <w:rPr>
                <w:b/>
                <w:bCs/>
              </w:rPr>
            </w:pPr>
            <w:r w:rsidRPr="006614F3">
              <w:rPr>
                <w:b/>
                <w:bCs/>
              </w:rPr>
              <w:t>.44</w:t>
            </w:r>
          </w:p>
        </w:tc>
        <w:tc>
          <w:tcPr>
            <w:tcW w:w="508" w:type="pct"/>
          </w:tcPr>
          <w:p w14:paraId="5ECF664E" w14:textId="1D5E676F" w:rsidR="006614F3" w:rsidRPr="006614F3" w:rsidRDefault="006614F3" w:rsidP="00513542">
            <w:pPr>
              <w:spacing w:line="480" w:lineRule="auto"/>
            </w:pPr>
            <w:r w:rsidRPr="006614F3">
              <w:t>-.04</w:t>
            </w:r>
          </w:p>
        </w:tc>
        <w:tc>
          <w:tcPr>
            <w:tcW w:w="508" w:type="pct"/>
          </w:tcPr>
          <w:p w14:paraId="559495A0" w14:textId="2111A895" w:rsidR="006614F3" w:rsidRPr="006614F3" w:rsidRDefault="006614F3" w:rsidP="00513542">
            <w:pPr>
              <w:spacing w:line="480" w:lineRule="auto"/>
              <w:rPr>
                <w:b/>
                <w:bCs/>
              </w:rPr>
            </w:pPr>
            <w:r w:rsidRPr="006614F3">
              <w:rPr>
                <w:b/>
                <w:bCs/>
              </w:rPr>
              <w:t>.40</w:t>
            </w:r>
          </w:p>
        </w:tc>
        <w:tc>
          <w:tcPr>
            <w:tcW w:w="436" w:type="pct"/>
          </w:tcPr>
          <w:p w14:paraId="31EBB596" w14:textId="4E6506A4" w:rsidR="006614F3" w:rsidRPr="00DF5CA5" w:rsidRDefault="006614F3" w:rsidP="00513542">
            <w:pPr>
              <w:spacing w:line="480" w:lineRule="auto"/>
            </w:pPr>
            <w:r w:rsidRPr="00DF5CA5">
              <w:t>.29</w:t>
            </w:r>
          </w:p>
        </w:tc>
        <w:tc>
          <w:tcPr>
            <w:tcW w:w="504" w:type="pct"/>
          </w:tcPr>
          <w:p w14:paraId="3AA20BE4" w14:textId="2BB5404E" w:rsidR="006614F3" w:rsidRPr="00DF5CA5" w:rsidRDefault="006614F3" w:rsidP="00513542">
            <w:pPr>
              <w:spacing w:line="480" w:lineRule="auto"/>
              <w:rPr>
                <w:b/>
                <w:bCs/>
              </w:rPr>
            </w:pPr>
            <w:r w:rsidRPr="00DF5CA5">
              <w:rPr>
                <w:b/>
                <w:bCs/>
              </w:rPr>
              <w:t>.62</w:t>
            </w:r>
          </w:p>
        </w:tc>
        <w:tc>
          <w:tcPr>
            <w:tcW w:w="510" w:type="pct"/>
          </w:tcPr>
          <w:p w14:paraId="75AF0B58" w14:textId="28AE4FFE" w:rsidR="006614F3" w:rsidRPr="00DF5CA5" w:rsidRDefault="006614F3" w:rsidP="00513542">
            <w:pPr>
              <w:spacing w:line="480" w:lineRule="auto"/>
            </w:pPr>
            <w:r w:rsidRPr="00DF5CA5">
              <w:t>&lt;.01</w:t>
            </w:r>
          </w:p>
        </w:tc>
        <w:tc>
          <w:tcPr>
            <w:tcW w:w="431" w:type="pct"/>
          </w:tcPr>
          <w:p w14:paraId="57532B80" w14:textId="0CD9DAFC" w:rsidR="006614F3" w:rsidRPr="00DF5CA5" w:rsidRDefault="006614F3" w:rsidP="00513542">
            <w:pPr>
              <w:spacing w:line="480" w:lineRule="auto"/>
            </w:pPr>
            <w:r w:rsidRPr="00DF5CA5">
              <w:t>.10</w:t>
            </w:r>
          </w:p>
        </w:tc>
      </w:tr>
      <w:tr w:rsidR="006614F3" w:rsidRPr="00FB087E" w14:paraId="04C3794A" w14:textId="77777777" w:rsidTr="006614F3">
        <w:tc>
          <w:tcPr>
            <w:tcW w:w="507" w:type="pct"/>
          </w:tcPr>
          <w:p w14:paraId="33DD014E" w14:textId="77777777" w:rsidR="006614F3" w:rsidRPr="008036D3" w:rsidRDefault="006614F3" w:rsidP="00513542">
            <w:pPr>
              <w:spacing w:line="480" w:lineRule="auto"/>
            </w:pPr>
            <w:r w:rsidRPr="008036D3">
              <w:t>21</w:t>
            </w:r>
          </w:p>
        </w:tc>
        <w:tc>
          <w:tcPr>
            <w:tcW w:w="1160" w:type="pct"/>
          </w:tcPr>
          <w:p w14:paraId="4087ECF2" w14:textId="77777777" w:rsidR="006614F3" w:rsidRPr="008036D3" w:rsidRDefault="006614F3" w:rsidP="00513542">
            <w:pPr>
              <w:spacing w:line="480" w:lineRule="auto"/>
            </w:pPr>
            <w:r w:rsidRPr="008036D3">
              <w:t>RHSC</w:t>
            </w:r>
          </w:p>
        </w:tc>
        <w:tc>
          <w:tcPr>
            <w:tcW w:w="436" w:type="pct"/>
          </w:tcPr>
          <w:p w14:paraId="3999D110" w14:textId="1D6BA4A0" w:rsidR="006614F3" w:rsidRPr="006614F3" w:rsidRDefault="006614F3" w:rsidP="00513542">
            <w:pPr>
              <w:spacing w:line="480" w:lineRule="auto"/>
              <w:rPr>
                <w:b/>
                <w:bCs/>
              </w:rPr>
            </w:pPr>
            <w:r w:rsidRPr="006614F3">
              <w:rPr>
                <w:b/>
                <w:bCs/>
              </w:rPr>
              <w:t>.72</w:t>
            </w:r>
          </w:p>
        </w:tc>
        <w:tc>
          <w:tcPr>
            <w:tcW w:w="508" w:type="pct"/>
          </w:tcPr>
          <w:p w14:paraId="5CF621C9" w14:textId="3F91239A" w:rsidR="006614F3" w:rsidRPr="006614F3" w:rsidRDefault="006614F3" w:rsidP="00513542">
            <w:pPr>
              <w:spacing w:line="480" w:lineRule="auto"/>
            </w:pPr>
            <w:r w:rsidRPr="006614F3">
              <w:t>.02</w:t>
            </w:r>
          </w:p>
        </w:tc>
        <w:tc>
          <w:tcPr>
            <w:tcW w:w="508" w:type="pct"/>
          </w:tcPr>
          <w:p w14:paraId="697B0717" w14:textId="12EC0D60" w:rsidR="006614F3" w:rsidRPr="006614F3" w:rsidRDefault="006614F3" w:rsidP="00513542">
            <w:pPr>
              <w:spacing w:line="480" w:lineRule="auto"/>
            </w:pPr>
            <w:r w:rsidRPr="006614F3">
              <w:t>-.05</w:t>
            </w:r>
          </w:p>
        </w:tc>
        <w:tc>
          <w:tcPr>
            <w:tcW w:w="436" w:type="pct"/>
          </w:tcPr>
          <w:p w14:paraId="608BF788" w14:textId="05A9659B" w:rsidR="006614F3" w:rsidRPr="00DF5CA5" w:rsidRDefault="006614F3" w:rsidP="00513542">
            <w:pPr>
              <w:spacing w:line="480" w:lineRule="auto"/>
              <w:rPr>
                <w:b/>
                <w:bCs/>
              </w:rPr>
            </w:pPr>
            <w:r w:rsidRPr="00DF5CA5">
              <w:rPr>
                <w:b/>
                <w:bCs/>
              </w:rPr>
              <w:t>.68</w:t>
            </w:r>
          </w:p>
        </w:tc>
        <w:tc>
          <w:tcPr>
            <w:tcW w:w="504" w:type="pct"/>
          </w:tcPr>
          <w:p w14:paraId="74A40A2C" w14:textId="45BD6E03" w:rsidR="006614F3" w:rsidRPr="00DF5CA5" w:rsidRDefault="006614F3" w:rsidP="00513542">
            <w:pPr>
              <w:spacing w:line="480" w:lineRule="auto"/>
            </w:pPr>
            <w:r w:rsidRPr="00DF5CA5">
              <w:t>.04</w:t>
            </w:r>
          </w:p>
        </w:tc>
        <w:tc>
          <w:tcPr>
            <w:tcW w:w="510" w:type="pct"/>
          </w:tcPr>
          <w:p w14:paraId="54273E28" w14:textId="410C2A0B" w:rsidR="006614F3" w:rsidRPr="00DF5CA5" w:rsidRDefault="006614F3" w:rsidP="00513542">
            <w:pPr>
              <w:spacing w:line="480" w:lineRule="auto"/>
            </w:pPr>
            <w:r w:rsidRPr="00DF5CA5">
              <w:t>.01</w:t>
            </w:r>
          </w:p>
        </w:tc>
        <w:tc>
          <w:tcPr>
            <w:tcW w:w="431" w:type="pct"/>
          </w:tcPr>
          <w:p w14:paraId="00886E42" w14:textId="3B2F9ECA" w:rsidR="006614F3" w:rsidRPr="00DF5CA5" w:rsidRDefault="006614F3" w:rsidP="00513542">
            <w:pPr>
              <w:spacing w:line="480" w:lineRule="auto"/>
            </w:pPr>
            <w:r w:rsidRPr="00DF5CA5">
              <w:t>.11</w:t>
            </w:r>
          </w:p>
        </w:tc>
      </w:tr>
      <w:tr w:rsidR="006614F3" w:rsidRPr="00FB087E" w14:paraId="047C0BC2" w14:textId="77777777" w:rsidTr="006614F3">
        <w:tc>
          <w:tcPr>
            <w:tcW w:w="507" w:type="pct"/>
            <w:tcBorders>
              <w:bottom w:val="nil"/>
            </w:tcBorders>
          </w:tcPr>
          <w:p w14:paraId="5A10C1F1" w14:textId="77777777" w:rsidR="006614F3" w:rsidRPr="008036D3" w:rsidRDefault="006614F3" w:rsidP="00513542">
            <w:pPr>
              <w:spacing w:line="480" w:lineRule="auto"/>
            </w:pPr>
            <w:r w:rsidRPr="008036D3">
              <w:t>22</w:t>
            </w:r>
          </w:p>
        </w:tc>
        <w:tc>
          <w:tcPr>
            <w:tcW w:w="1160" w:type="pct"/>
            <w:tcBorders>
              <w:bottom w:val="nil"/>
            </w:tcBorders>
          </w:tcPr>
          <w:p w14:paraId="4FED29A2" w14:textId="77777777" w:rsidR="006614F3" w:rsidRPr="008036D3" w:rsidRDefault="006614F3" w:rsidP="00513542">
            <w:pPr>
              <w:spacing w:line="480" w:lineRule="auto"/>
            </w:pPr>
            <w:r w:rsidRPr="008036D3">
              <w:t>RHSC</w:t>
            </w:r>
          </w:p>
        </w:tc>
        <w:tc>
          <w:tcPr>
            <w:tcW w:w="436" w:type="pct"/>
            <w:tcBorders>
              <w:bottom w:val="nil"/>
            </w:tcBorders>
          </w:tcPr>
          <w:p w14:paraId="5862FD5F" w14:textId="1E7B9CDD" w:rsidR="006614F3" w:rsidRPr="006614F3" w:rsidRDefault="006614F3" w:rsidP="00513542">
            <w:pPr>
              <w:spacing w:line="480" w:lineRule="auto"/>
              <w:rPr>
                <w:b/>
                <w:bCs/>
              </w:rPr>
            </w:pPr>
            <w:r w:rsidRPr="006614F3">
              <w:rPr>
                <w:b/>
                <w:bCs/>
              </w:rPr>
              <w:t>.69</w:t>
            </w:r>
          </w:p>
        </w:tc>
        <w:tc>
          <w:tcPr>
            <w:tcW w:w="508" w:type="pct"/>
            <w:tcBorders>
              <w:bottom w:val="nil"/>
            </w:tcBorders>
          </w:tcPr>
          <w:p w14:paraId="689F1753" w14:textId="122513CE" w:rsidR="006614F3" w:rsidRPr="006614F3" w:rsidRDefault="006614F3" w:rsidP="00513542">
            <w:pPr>
              <w:spacing w:line="480" w:lineRule="auto"/>
            </w:pPr>
            <w:r w:rsidRPr="006614F3">
              <w:t>-.09</w:t>
            </w:r>
          </w:p>
        </w:tc>
        <w:tc>
          <w:tcPr>
            <w:tcW w:w="508" w:type="pct"/>
            <w:tcBorders>
              <w:bottom w:val="nil"/>
            </w:tcBorders>
          </w:tcPr>
          <w:p w14:paraId="3A4EC7FC" w14:textId="5834325E" w:rsidR="006614F3" w:rsidRPr="006614F3" w:rsidRDefault="006614F3" w:rsidP="00513542">
            <w:pPr>
              <w:spacing w:line="480" w:lineRule="auto"/>
            </w:pPr>
            <w:r w:rsidRPr="006614F3">
              <w:t>-.08</w:t>
            </w:r>
          </w:p>
        </w:tc>
        <w:tc>
          <w:tcPr>
            <w:tcW w:w="436" w:type="pct"/>
            <w:tcBorders>
              <w:bottom w:val="nil"/>
            </w:tcBorders>
          </w:tcPr>
          <w:p w14:paraId="542D3341" w14:textId="15F160D3" w:rsidR="006614F3" w:rsidRPr="005E284E" w:rsidRDefault="006614F3" w:rsidP="00513542">
            <w:pPr>
              <w:spacing w:line="480" w:lineRule="auto"/>
              <w:rPr>
                <w:b/>
                <w:bCs/>
              </w:rPr>
            </w:pPr>
            <w:r w:rsidRPr="005E284E">
              <w:rPr>
                <w:b/>
                <w:bCs/>
              </w:rPr>
              <w:t>.65</w:t>
            </w:r>
          </w:p>
        </w:tc>
        <w:tc>
          <w:tcPr>
            <w:tcW w:w="504" w:type="pct"/>
            <w:tcBorders>
              <w:bottom w:val="nil"/>
            </w:tcBorders>
          </w:tcPr>
          <w:p w14:paraId="65141562" w14:textId="13AF1AAF" w:rsidR="006614F3" w:rsidRPr="00DF5CA5" w:rsidRDefault="006614F3" w:rsidP="00513542">
            <w:pPr>
              <w:spacing w:line="480" w:lineRule="auto"/>
            </w:pPr>
            <w:r w:rsidRPr="00DF5CA5">
              <w:t>.04</w:t>
            </w:r>
          </w:p>
        </w:tc>
        <w:tc>
          <w:tcPr>
            <w:tcW w:w="510" w:type="pct"/>
            <w:tcBorders>
              <w:bottom w:val="nil"/>
            </w:tcBorders>
          </w:tcPr>
          <w:p w14:paraId="4E854976" w14:textId="61189B47" w:rsidR="006614F3" w:rsidRPr="00DF5CA5" w:rsidRDefault="006614F3" w:rsidP="00513542">
            <w:pPr>
              <w:spacing w:line="480" w:lineRule="auto"/>
            </w:pPr>
            <w:r w:rsidRPr="00DF5CA5">
              <w:t>-.03</w:t>
            </w:r>
          </w:p>
        </w:tc>
        <w:tc>
          <w:tcPr>
            <w:tcW w:w="431" w:type="pct"/>
            <w:tcBorders>
              <w:bottom w:val="nil"/>
            </w:tcBorders>
          </w:tcPr>
          <w:p w14:paraId="6A600D2E" w14:textId="40136253" w:rsidR="006614F3" w:rsidRPr="00DF5CA5" w:rsidRDefault="006614F3" w:rsidP="00513542">
            <w:pPr>
              <w:spacing w:line="480" w:lineRule="auto"/>
            </w:pPr>
            <w:r w:rsidRPr="00DF5CA5">
              <w:t>.09</w:t>
            </w:r>
          </w:p>
        </w:tc>
      </w:tr>
      <w:tr w:rsidR="006614F3" w:rsidRPr="00FB087E" w14:paraId="74EA88D3" w14:textId="77777777" w:rsidTr="006614F3">
        <w:tc>
          <w:tcPr>
            <w:tcW w:w="507" w:type="pct"/>
            <w:tcBorders>
              <w:top w:val="nil"/>
              <w:bottom w:val="single" w:sz="4" w:space="0" w:color="auto"/>
            </w:tcBorders>
          </w:tcPr>
          <w:p w14:paraId="25DBB6B8" w14:textId="77777777" w:rsidR="006614F3" w:rsidRPr="008036D3" w:rsidRDefault="006614F3" w:rsidP="00513542">
            <w:pPr>
              <w:spacing w:line="480" w:lineRule="auto"/>
            </w:pPr>
            <w:r w:rsidRPr="008036D3">
              <w:t>23</w:t>
            </w:r>
          </w:p>
        </w:tc>
        <w:tc>
          <w:tcPr>
            <w:tcW w:w="1160" w:type="pct"/>
            <w:tcBorders>
              <w:top w:val="nil"/>
              <w:bottom w:val="single" w:sz="4" w:space="0" w:color="auto"/>
            </w:tcBorders>
          </w:tcPr>
          <w:p w14:paraId="78FD85E0" w14:textId="77777777" w:rsidR="006614F3" w:rsidRPr="008036D3" w:rsidRDefault="006614F3" w:rsidP="00513542">
            <w:pPr>
              <w:spacing w:line="480" w:lineRule="auto"/>
            </w:pPr>
            <w:r w:rsidRPr="008036D3">
              <w:t>RHSC</w:t>
            </w:r>
          </w:p>
        </w:tc>
        <w:tc>
          <w:tcPr>
            <w:tcW w:w="436" w:type="pct"/>
            <w:tcBorders>
              <w:top w:val="nil"/>
              <w:bottom w:val="single" w:sz="4" w:space="0" w:color="auto"/>
            </w:tcBorders>
          </w:tcPr>
          <w:p w14:paraId="3105D98D" w14:textId="412BDBB0" w:rsidR="006614F3" w:rsidRPr="006614F3" w:rsidRDefault="006614F3" w:rsidP="00513542">
            <w:pPr>
              <w:spacing w:line="480" w:lineRule="auto"/>
              <w:rPr>
                <w:b/>
                <w:bCs/>
              </w:rPr>
            </w:pPr>
            <w:r w:rsidRPr="006614F3">
              <w:rPr>
                <w:b/>
                <w:bCs/>
              </w:rPr>
              <w:t>.78</w:t>
            </w:r>
          </w:p>
        </w:tc>
        <w:tc>
          <w:tcPr>
            <w:tcW w:w="508" w:type="pct"/>
            <w:tcBorders>
              <w:top w:val="nil"/>
              <w:bottom w:val="single" w:sz="4" w:space="0" w:color="auto"/>
            </w:tcBorders>
          </w:tcPr>
          <w:p w14:paraId="4877B922" w14:textId="30A4D765" w:rsidR="006614F3" w:rsidRPr="006614F3" w:rsidRDefault="006614F3" w:rsidP="00513542">
            <w:pPr>
              <w:spacing w:line="480" w:lineRule="auto"/>
            </w:pPr>
            <w:r w:rsidRPr="006614F3">
              <w:t>-.07</w:t>
            </w:r>
          </w:p>
        </w:tc>
        <w:tc>
          <w:tcPr>
            <w:tcW w:w="508" w:type="pct"/>
            <w:tcBorders>
              <w:top w:val="nil"/>
              <w:bottom w:val="single" w:sz="4" w:space="0" w:color="auto"/>
            </w:tcBorders>
          </w:tcPr>
          <w:p w14:paraId="34062F0F" w14:textId="0488B6F0" w:rsidR="006614F3" w:rsidRPr="006614F3" w:rsidRDefault="006614F3" w:rsidP="00513542">
            <w:pPr>
              <w:spacing w:line="480" w:lineRule="auto"/>
            </w:pPr>
            <w:r w:rsidRPr="006614F3">
              <w:t>-.09</w:t>
            </w:r>
          </w:p>
        </w:tc>
        <w:tc>
          <w:tcPr>
            <w:tcW w:w="436" w:type="pct"/>
            <w:tcBorders>
              <w:top w:val="nil"/>
              <w:bottom w:val="single" w:sz="4" w:space="0" w:color="auto"/>
            </w:tcBorders>
          </w:tcPr>
          <w:p w14:paraId="1C9A2D00" w14:textId="609D6B66" w:rsidR="006614F3" w:rsidRPr="005E284E" w:rsidRDefault="006614F3" w:rsidP="00513542">
            <w:pPr>
              <w:spacing w:line="480" w:lineRule="auto"/>
              <w:rPr>
                <w:b/>
                <w:bCs/>
              </w:rPr>
            </w:pPr>
            <w:r w:rsidRPr="005E284E">
              <w:rPr>
                <w:b/>
                <w:bCs/>
              </w:rPr>
              <w:t>.76</w:t>
            </w:r>
          </w:p>
        </w:tc>
        <w:tc>
          <w:tcPr>
            <w:tcW w:w="504" w:type="pct"/>
            <w:tcBorders>
              <w:top w:val="nil"/>
              <w:bottom w:val="single" w:sz="4" w:space="0" w:color="auto"/>
            </w:tcBorders>
          </w:tcPr>
          <w:p w14:paraId="61BD1A30" w14:textId="6E1D15FD" w:rsidR="006614F3" w:rsidRPr="00DF5CA5" w:rsidRDefault="006614F3" w:rsidP="00513542">
            <w:pPr>
              <w:spacing w:line="480" w:lineRule="auto"/>
            </w:pPr>
            <w:r w:rsidRPr="00DF5CA5">
              <w:t>.10</w:t>
            </w:r>
          </w:p>
        </w:tc>
        <w:tc>
          <w:tcPr>
            <w:tcW w:w="510" w:type="pct"/>
            <w:tcBorders>
              <w:top w:val="nil"/>
              <w:bottom w:val="single" w:sz="4" w:space="0" w:color="auto"/>
            </w:tcBorders>
          </w:tcPr>
          <w:p w14:paraId="2EA27E54" w14:textId="3854333B" w:rsidR="006614F3" w:rsidRPr="00DF5CA5" w:rsidRDefault="006614F3" w:rsidP="00513542">
            <w:pPr>
              <w:spacing w:line="480" w:lineRule="auto"/>
            </w:pPr>
            <w:r w:rsidRPr="00DF5CA5">
              <w:t>.04</w:t>
            </w:r>
          </w:p>
        </w:tc>
        <w:tc>
          <w:tcPr>
            <w:tcW w:w="431" w:type="pct"/>
            <w:tcBorders>
              <w:top w:val="nil"/>
              <w:bottom w:val="single" w:sz="4" w:space="0" w:color="auto"/>
            </w:tcBorders>
          </w:tcPr>
          <w:p w14:paraId="2AD51CA8" w14:textId="1F949E32" w:rsidR="006614F3" w:rsidRPr="00DF5CA5" w:rsidRDefault="006614F3" w:rsidP="00513542">
            <w:pPr>
              <w:spacing w:line="480" w:lineRule="auto"/>
            </w:pPr>
            <w:r w:rsidRPr="00DF5CA5">
              <w:t>.06</w:t>
            </w:r>
          </w:p>
        </w:tc>
      </w:tr>
    </w:tbl>
    <w:p w14:paraId="3C4A9E3C" w14:textId="1144D053" w:rsidR="00513542" w:rsidRDefault="00513542" w:rsidP="00513542">
      <w:pPr>
        <w:spacing w:line="480" w:lineRule="auto"/>
        <w:rPr>
          <w:rStyle w:val="apple-converted-space"/>
          <w:color w:val="000000" w:themeColor="text1"/>
          <w:shd w:val="clear" w:color="auto" w:fill="FFFFFF"/>
        </w:rPr>
      </w:pPr>
      <w:r>
        <w:rPr>
          <w:bCs/>
          <w:i/>
          <w:iCs/>
          <w:color w:val="000000" w:themeColor="text1"/>
        </w:rPr>
        <w:t xml:space="preserve">Note. </w:t>
      </w:r>
      <w:r>
        <w:t>Items in bold indicate items associated with each factor. UPE = Unconditional Permission to Eat, EPR = Eating for Physical Rather Than Emotional Reasons, RHSC = Reliance on Hunger and Satiety Cues, B-FCC = Body-Food Choice Congruence, F = Factor</w:t>
      </w:r>
      <w:r w:rsidR="004A2A1D">
        <w:t>.</w:t>
      </w:r>
    </w:p>
    <w:p w14:paraId="5E42DD35" w14:textId="77777777" w:rsidR="00513542" w:rsidRDefault="00513542">
      <w:pPr>
        <w:rPr>
          <w:rStyle w:val="apple-converted-space"/>
          <w:color w:val="000000" w:themeColor="text1"/>
          <w:shd w:val="clear" w:color="auto" w:fill="FFFFFF"/>
        </w:rPr>
      </w:pPr>
      <w:r>
        <w:rPr>
          <w:rStyle w:val="apple-converted-space"/>
          <w:color w:val="000000" w:themeColor="text1"/>
          <w:shd w:val="clear" w:color="auto" w:fill="FFFFFF"/>
        </w:rPr>
        <w:br w:type="page"/>
      </w:r>
    </w:p>
    <w:p w14:paraId="79825DA7" w14:textId="6A7D5100" w:rsidR="00513542" w:rsidRDefault="00513542" w:rsidP="003D14E9">
      <w:pPr>
        <w:pStyle w:val="Heading1"/>
      </w:pPr>
      <w:r>
        <w:lastRenderedPageBreak/>
        <w:t>Table 2. Modification Indices and Likelihood Ratio Test Results for Model Adjustments.</w:t>
      </w:r>
    </w:p>
    <w:tbl>
      <w:tblPr>
        <w:tblStyle w:val="TableGrid"/>
        <w:tblW w:w="5000" w:type="pct"/>
        <w:tblLook w:val="04A0" w:firstRow="1" w:lastRow="0" w:firstColumn="1" w:lastColumn="0" w:noHBand="0" w:noVBand="1"/>
      </w:tblPr>
      <w:tblGrid>
        <w:gridCol w:w="2324"/>
        <w:gridCol w:w="2324"/>
        <w:gridCol w:w="2324"/>
        <w:gridCol w:w="2327"/>
        <w:gridCol w:w="2324"/>
        <w:gridCol w:w="2327"/>
      </w:tblGrid>
      <w:tr w:rsidR="00811668" w14:paraId="3FC3A7BA" w14:textId="77777777" w:rsidTr="0061248F">
        <w:tc>
          <w:tcPr>
            <w:tcW w:w="1666" w:type="pct"/>
            <w:gridSpan w:val="2"/>
            <w:tcBorders>
              <w:left w:val="single" w:sz="4" w:space="0" w:color="FFFFFF" w:themeColor="background1"/>
              <w:right w:val="single" w:sz="4" w:space="0" w:color="FFFFFF" w:themeColor="background1"/>
            </w:tcBorders>
          </w:tcPr>
          <w:p w14:paraId="255D8621" w14:textId="77777777" w:rsidR="00811668" w:rsidRPr="00243C9D" w:rsidRDefault="00811668" w:rsidP="00DD489E">
            <w:pPr>
              <w:spacing w:before="120" w:line="360" w:lineRule="auto"/>
              <w:rPr>
                <w:color w:val="000000" w:themeColor="text1"/>
                <w:sz w:val="24"/>
                <w:szCs w:val="24"/>
              </w:rPr>
            </w:pPr>
            <w:r w:rsidRPr="00243C9D">
              <w:rPr>
                <w:color w:val="000000" w:themeColor="text1"/>
                <w:sz w:val="24"/>
                <w:szCs w:val="24"/>
              </w:rPr>
              <w:t>Parent Model</w:t>
            </w:r>
          </w:p>
        </w:tc>
        <w:tc>
          <w:tcPr>
            <w:tcW w:w="1667" w:type="pct"/>
            <w:gridSpan w:val="2"/>
            <w:tcBorders>
              <w:left w:val="single" w:sz="4" w:space="0" w:color="FFFFFF" w:themeColor="background1"/>
              <w:right w:val="single" w:sz="4" w:space="0" w:color="FFFFFF" w:themeColor="background1"/>
            </w:tcBorders>
          </w:tcPr>
          <w:p w14:paraId="0FEF720A" w14:textId="77777777" w:rsidR="00811668" w:rsidRPr="00243C9D" w:rsidRDefault="00811668" w:rsidP="00DD489E">
            <w:pPr>
              <w:spacing w:before="120" w:line="360" w:lineRule="auto"/>
              <w:rPr>
                <w:color w:val="000000" w:themeColor="text1"/>
                <w:sz w:val="24"/>
                <w:szCs w:val="24"/>
              </w:rPr>
            </w:pPr>
            <w:r w:rsidRPr="00243C9D">
              <w:rPr>
                <w:color w:val="000000" w:themeColor="text1"/>
                <w:sz w:val="24"/>
                <w:szCs w:val="24"/>
              </w:rPr>
              <w:t>4-factor, EFA-derived model</w:t>
            </w:r>
          </w:p>
        </w:tc>
        <w:tc>
          <w:tcPr>
            <w:tcW w:w="1667" w:type="pct"/>
            <w:gridSpan w:val="2"/>
            <w:tcBorders>
              <w:left w:val="single" w:sz="4" w:space="0" w:color="FFFFFF" w:themeColor="background1"/>
              <w:right w:val="single" w:sz="4" w:space="0" w:color="FFFFFF" w:themeColor="background1"/>
            </w:tcBorders>
          </w:tcPr>
          <w:p w14:paraId="625DB3B2" w14:textId="77777777" w:rsidR="00811668" w:rsidRPr="00243C9D" w:rsidRDefault="00811668" w:rsidP="00DD489E">
            <w:pPr>
              <w:spacing w:before="120" w:line="360" w:lineRule="auto"/>
              <w:rPr>
                <w:color w:val="000000" w:themeColor="text1"/>
                <w:sz w:val="24"/>
                <w:szCs w:val="24"/>
              </w:rPr>
            </w:pPr>
            <w:r w:rsidRPr="00243C9D">
              <w:rPr>
                <w:color w:val="000000" w:themeColor="text1"/>
                <w:sz w:val="24"/>
                <w:szCs w:val="24"/>
              </w:rPr>
              <w:t>3-factor EFA-derived model</w:t>
            </w:r>
          </w:p>
        </w:tc>
      </w:tr>
      <w:tr w:rsidR="00811668" w14:paraId="4FB1FD19" w14:textId="77777777" w:rsidTr="0061248F">
        <w:tc>
          <w:tcPr>
            <w:tcW w:w="833" w:type="pct"/>
            <w:tcBorders>
              <w:left w:val="single" w:sz="4" w:space="0" w:color="FFFFFF" w:themeColor="background1"/>
              <w:right w:val="single" w:sz="4" w:space="0" w:color="FFFFFF" w:themeColor="background1"/>
            </w:tcBorders>
          </w:tcPr>
          <w:p w14:paraId="50067245" w14:textId="77777777" w:rsidR="00811668" w:rsidRPr="00243C9D" w:rsidRDefault="00811668" w:rsidP="00DD489E">
            <w:pPr>
              <w:spacing w:before="120" w:line="360" w:lineRule="auto"/>
              <w:rPr>
                <w:color w:val="000000" w:themeColor="text1"/>
                <w:sz w:val="24"/>
                <w:szCs w:val="24"/>
              </w:rPr>
            </w:pPr>
            <w:r w:rsidRPr="00243C9D">
              <w:rPr>
                <w:color w:val="000000" w:themeColor="text1"/>
                <w:sz w:val="24"/>
                <w:szCs w:val="24"/>
              </w:rPr>
              <w:t>Modification Index</w:t>
            </w:r>
          </w:p>
        </w:tc>
        <w:tc>
          <w:tcPr>
            <w:tcW w:w="833" w:type="pct"/>
            <w:tcBorders>
              <w:left w:val="single" w:sz="4" w:space="0" w:color="FFFFFF" w:themeColor="background1"/>
              <w:right w:val="single" w:sz="4" w:space="0" w:color="FFFFFF" w:themeColor="background1"/>
            </w:tcBorders>
          </w:tcPr>
          <w:p w14:paraId="225AA9E5" w14:textId="77777777" w:rsidR="00811668" w:rsidRPr="00243C9D" w:rsidRDefault="00811668" w:rsidP="00DD489E">
            <w:pPr>
              <w:spacing w:before="120" w:line="360" w:lineRule="auto"/>
              <w:rPr>
                <w:color w:val="000000" w:themeColor="text1"/>
                <w:sz w:val="24"/>
                <w:szCs w:val="24"/>
              </w:rPr>
            </w:pPr>
            <w:r w:rsidRPr="00243C9D">
              <w:rPr>
                <w:color w:val="000000" w:themeColor="text1"/>
                <w:sz w:val="24"/>
                <w:szCs w:val="24"/>
              </w:rPr>
              <w:t>Likelihood ratio</w:t>
            </w:r>
          </w:p>
        </w:tc>
        <w:tc>
          <w:tcPr>
            <w:tcW w:w="833" w:type="pct"/>
            <w:tcBorders>
              <w:left w:val="single" w:sz="4" w:space="0" w:color="FFFFFF" w:themeColor="background1"/>
              <w:right w:val="single" w:sz="4" w:space="0" w:color="FFFFFF" w:themeColor="background1"/>
            </w:tcBorders>
          </w:tcPr>
          <w:p w14:paraId="0B346E17" w14:textId="77777777" w:rsidR="00811668" w:rsidRPr="00243C9D" w:rsidRDefault="00811668" w:rsidP="00DD489E">
            <w:pPr>
              <w:spacing w:before="120" w:line="360" w:lineRule="auto"/>
              <w:rPr>
                <w:color w:val="000000" w:themeColor="text1"/>
                <w:sz w:val="24"/>
                <w:szCs w:val="24"/>
              </w:rPr>
            </w:pPr>
            <w:r w:rsidRPr="00243C9D">
              <w:rPr>
                <w:color w:val="000000" w:themeColor="text1"/>
                <w:sz w:val="24"/>
                <w:szCs w:val="24"/>
              </w:rPr>
              <w:t>Modification Index</w:t>
            </w:r>
          </w:p>
        </w:tc>
        <w:tc>
          <w:tcPr>
            <w:tcW w:w="834" w:type="pct"/>
            <w:tcBorders>
              <w:left w:val="single" w:sz="4" w:space="0" w:color="FFFFFF" w:themeColor="background1"/>
              <w:right w:val="single" w:sz="4" w:space="0" w:color="FFFFFF" w:themeColor="background1"/>
            </w:tcBorders>
          </w:tcPr>
          <w:p w14:paraId="75702F29" w14:textId="77777777" w:rsidR="00811668" w:rsidRPr="00243C9D" w:rsidRDefault="00811668" w:rsidP="00DD489E">
            <w:pPr>
              <w:spacing w:before="120" w:line="360" w:lineRule="auto"/>
              <w:rPr>
                <w:color w:val="000000" w:themeColor="text1"/>
                <w:sz w:val="24"/>
                <w:szCs w:val="24"/>
              </w:rPr>
            </w:pPr>
            <w:r w:rsidRPr="00243C9D">
              <w:rPr>
                <w:color w:val="000000" w:themeColor="text1"/>
                <w:sz w:val="24"/>
                <w:szCs w:val="24"/>
              </w:rPr>
              <w:t>Likelihood ratio</w:t>
            </w:r>
          </w:p>
        </w:tc>
        <w:tc>
          <w:tcPr>
            <w:tcW w:w="833" w:type="pct"/>
            <w:tcBorders>
              <w:left w:val="single" w:sz="4" w:space="0" w:color="FFFFFF" w:themeColor="background1"/>
              <w:right w:val="single" w:sz="4" w:space="0" w:color="FFFFFF" w:themeColor="background1"/>
            </w:tcBorders>
          </w:tcPr>
          <w:p w14:paraId="76940325" w14:textId="77777777" w:rsidR="00811668" w:rsidRPr="00243C9D" w:rsidRDefault="00811668" w:rsidP="00DD489E">
            <w:pPr>
              <w:spacing w:before="120" w:line="360" w:lineRule="auto"/>
              <w:rPr>
                <w:color w:val="000000" w:themeColor="text1"/>
                <w:sz w:val="24"/>
                <w:szCs w:val="24"/>
              </w:rPr>
            </w:pPr>
            <w:r w:rsidRPr="00243C9D">
              <w:rPr>
                <w:color w:val="000000" w:themeColor="text1"/>
                <w:sz w:val="24"/>
                <w:szCs w:val="24"/>
              </w:rPr>
              <w:t>Modification Index</w:t>
            </w:r>
          </w:p>
        </w:tc>
        <w:tc>
          <w:tcPr>
            <w:tcW w:w="834" w:type="pct"/>
            <w:tcBorders>
              <w:left w:val="single" w:sz="4" w:space="0" w:color="FFFFFF" w:themeColor="background1"/>
              <w:right w:val="single" w:sz="4" w:space="0" w:color="FFFFFF" w:themeColor="background1"/>
            </w:tcBorders>
          </w:tcPr>
          <w:p w14:paraId="2749A7AA" w14:textId="77777777" w:rsidR="00811668" w:rsidRPr="00243C9D" w:rsidRDefault="00811668" w:rsidP="00DD489E">
            <w:pPr>
              <w:spacing w:before="120" w:line="360" w:lineRule="auto"/>
              <w:rPr>
                <w:color w:val="000000" w:themeColor="text1"/>
                <w:sz w:val="24"/>
                <w:szCs w:val="24"/>
              </w:rPr>
            </w:pPr>
            <w:r w:rsidRPr="00243C9D">
              <w:rPr>
                <w:color w:val="000000" w:themeColor="text1"/>
                <w:sz w:val="24"/>
                <w:szCs w:val="24"/>
              </w:rPr>
              <w:t>Likelihood ratio</w:t>
            </w:r>
          </w:p>
        </w:tc>
      </w:tr>
      <w:tr w:rsidR="00811668" w14:paraId="696E4407" w14:textId="77777777" w:rsidTr="0061248F">
        <w:tc>
          <w:tcPr>
            <w:tcW w:w="833" w:type="pct"/>
            <w:tcBorders>
              <w:left w:val="single" w:sz="4" w:space="0" w:color="FFFFFF" w:themeColor="background1"/>
              <w:bottom w:val="nil"/>
              <w:right w:val="single" w:sz="4" w:space="0" w:color="FFFFFF"/>
            </w:tcBorders>
          </w:tcPr>
          <w:p w14:paraId="7A4787D6" w14:textId="2FFA5B29" w:rsidR="00811668" w:rsidRPr="00243C9D" w:rsidRDefault="00811668" w:rsidP="00DD489E">
            <w:pPr>
              <w:spacing w:line="360" w:lineRule="auto"/>
              <w:rPr>
                <w:color w:val="000000" w:themeColor="text1"/>
                <w:sz w:val="24"/>
                <w:szCs w:val="24"/>
              </w:rPr>
            </w:pPr>
            <w:r w:rsidRPr="00243C9D">
              <w:rPr>
                <w:color w:val="000000" w:themeColor="text1"/>
                <w:sz w:val="24"/>
                <w:szCs w:val="24"/>
              </w:rPr>
              <w:t>22 + 23, MI = 161.68</w:t>
            </w:r>
          </w:p>
        </w:tc>
        <w:tc>
          <w:tcPr>
            <w:tcW w:w="833" w:type="pct"/>
            <w:tcBorders>
              <w:left w:val="single" w:sz="4" w:space="0" w:color="FFFFFF"/>
              <w:bottom w:val="nil"/>
              <w:right w:val="single" w:sz="4" w:space="0" w:color="FFFFFF"/>
            </w:tcBorders>
          </w:tcPr>
          <w:p w14:paraId="25332231" w14:textId="5707A7C3" w:rsidR="00811668" w:rsidRPr="00243C9D" w:rsidRDefault="00811668" w:rsidP="00DD489E">
            <w:pPr>
              <w:spacing w:line="360" w:lineRule="auto"/>
              <w:rPr>
                <w:rFonts w:eastAsiaTheme="minorEastAsia"/>
                <w:color w:val="000000" w:themeColor="text1"/>
                <w:sz w:val="24"/>
                <w:szCs w:val="24"/>
              </w:rPr>
            </w:pPr>
            <w:r w:rsidRPr="00243C9D">
              <w:rPr>
                <w:bCs/>
                <w:iCs/>
                <w:color w:val="000000" w:themeColor="text1"/>
                <w:sz w:val="24"/>
                <w:szCs w:val="24"/>
                <w:shd w:val="clear" w:color="auto" w:fill="FFFFFF"/>
              </w:rPr>
              <w:t>χ</w:t>
            </w:r>
            <w:r w:rsidRPr="00243C9D">
              <w:rPr>
                <w:bCs/>
                <w:color w:val="000000" w:themeColor="text1"/>
                <w:sz w:val="24"/>
                <w:szCs w:val="24"/>
                <w:shd w:val="clear" w:color="auto" w:fill="FFFFFF"/>
              </w:rPr>
              <w:t xml:space="preserve">²(1) </w:t>
            </w:r>
            <w:r w:rsidRPr="00243C9D">
              <w:rPr>
                <w:rFonts w:eastAsiaTheme="minorEastAsia"/>
                <w:color w:val="000000" w:themeColor="text1"/>
                <w:sz w:val="24"/>
                <w:szCs w:val="24"/>
              </w:rPr>
              <w:t xml:space="preserve">= 164.7, </w:t>
            </w:r>
            <w:r w:rsidRPr="00243C9D">
              <w:rPr>
                <w:rFonts w:eastAsiaTheme="minorEastAsia"/>
                <w:i/>
                <w:color w:val="000000" w:themeColor="text1"/>
                <w:sz w:val="24"/>
                <w:szCs w:val="24"/>
              </w:rPr>
              <w:t xml:space="preserve">p </w:t>
            </w:r>
            <w:r w:rsidRPr="00243C9D">
              <w:rPr>
                <w:rFonts w:eastAsiaTheme="minorEastAsia"/>
                <w:color w:val="000000" w:themeColor="text1"/>
                <w:sz w:val="24"/>
                <w:szCs w:val="24"/>
              </w:rPr>
              <w:t>&lt; .001</w:t>
            </w:r>
          </w:p>
        </w:tc>
        <w:tc>
          <w:tcPr>
            <w:tcW w:w="833" w:type="pct"/>
            <w:tcBorders>
              <w:left w:val="single" w:sz="4" w:space="0" w:color="FFFFFF"/>
              <w:bottom w:val="nil"/>
              <w:right w:val="single" w:sz="4" w:space="0" w:color="FFFFFF"/>
            </w:tcBorders>
          </w:tcPr>
          <w:p w14:paraId="35B3789C" w14:textId="47BA6C80" w:rsidR="00811668" w:rsidRPr="00243C9D" w:rsidRDefault="00811668" w:rsidP="00DD489E">
            <w:pPr>
              <w:spacing w:line="360" w:lineRule="auto"/>
              <w:rPr>
                <w:color w:val="000000" w:themeColor="text1"/>
                <w:sz w:val="24"/>
                <w:szCs w:val="24"/>
              </w:rPr>
            </w:pPr>
            <w:r w:rsidRPr="00243C9D">
              <w:rPr>
                <w:color w:val="000000" w:themeColor="text1"/>
                <w:sz w:val="24"/>
                <w:szCs w:val="24"/>
              </w:rPr>
              <w:t>19 + 20, MI = 224.319</w:t>
            </w:r>
          </w:p>
        </w:tc>
        <w:tc>
          <w:tcPr>
            <w:tcW w:w="834" w:type="pct"/>
            <w:tcBorders>
              <w:left w:val="single" w:sz="4" w:space="0" w:color="FFFFFF"/>
              <w:bottom w:val="nil"/>
              <w:right w:val="single" w:sz="4" w:space="0" w:color="FFFFFF"/>
            </w:tcBorders>
          </w:tcPr>
          <w:p w14:paraId="4126C519" w14:textId="5B61563F" w:rsidR="00811668" w:rsidRPr="00243C9D" w:rsidRDefault="00811668" w:rsidP="00DD489E">
            <w:pPr>
              <w:spacing w:line="360" w:lineRule="auto"/>
              <w:rPr>
                <w:color w:val="000000" w:themeColor="text1"/>
                <w:sz w:val="24"/>
                <w:szCs w:val="24"/>
              </w:rPr>
            </w:pPr>
            <w:r w:rsidRPr="00243C9D">
              <w:rPr>
                <w:bCs/>
                <w:iCs/>
                <w:color w:val="000000" w:themeColor="text1"/>
                <w:sz w:val="24"/>
                <w:szCs w:val="24"/>
                <w:shd w:val="clear" w:color="auto" w:fill="FFFFFF"/>
              </w:rPr>
              <w:t>χ</w:t>
            </w:r>
            <w:r w:rsidRPr="00243C9D">
              <w:rPr>
                <w:bCs/>
                <w:color w:val="000000" w:themeColor="text1"/>
                <w:sz w:val="24"/>
                <w:szCs w:val="24"/>
                <w:shd w:val="clear" w:color="auto" w:fill="FFFFFF"/>
              </w:rPr>
              <w:t xml:space="preserve">²(1) </w:t>
            </w:r>
            <w:r w:rsidRPr="00243C9D">
              <w:rPr>
                <w:rFonts w:eastAsiaTheme="minorEastAsia"/>
                <w:color w:val="000000" w:themeColor="text1"/>
                <w:sz w:val="24"/>
                <w:szCs w:val="24"/>
              </w:rPr>
              <w:t xml:space="preserve">= 302.25, </w:t>
            </w:r>
            <w:r w:rsidRPr="00243C9D">
              <w:rPr>
                <w:rFonts w:eastAsiaTheme="minorEastAsia"/>
                <w:i/>
                <w:color w:val="000000" w:themeColor="text1"/>
                <w:sz w:val="24"/>
                <w:szCs w:val="24"/>
              </w:rPr>
              <w:t xml:space="preserve">p </w:t>
            </w:r>
            <w:r w:rsidRPr="00243C9D">
              <w:rPr>
                <w:rFonts w:eastAsiaTheme="minorEastAsia"/>
                <w:color w:val="000000" w:themeColor="text1"/>
                <w:sz w:val="24"/>
                <w:szCs w:val="24"/>
              </w:rPr>
              <w:t>&lt; .001</w:t>
            </w:r>
          </w:p>
        </w:tc>
        <w:tc>
          <w:tcPr>
            <w:tcW w:w="833" w:type="pct"/>
            <w:tcBorders>
              <w:left w:val="single" w:sz="4" w:space="0" w:color="FFFFFF" w:themeColor="background1"/>
              <w:bottom w:val="nil"/>
              <w:right w:val="single" w:sz="4" w:space="0" w:color="FFFFFF" w:themeColor="background1"/>
            </w:tcBorders>
          </w:tcPr>
          <w:p w14:paraId="48029BDD" w14:textId="7324A99A" w:rsidR="00811668" w:rsidRPr="00243C9D" w:rsidRDefault="00811668" w:rsidP="00DD489E">
            <w:pPr>
              <w:spacing w:line="360" w:lineRule="auto"/>
              <w:rPr>
                <w:color w:val="000000" w:themeColor="text1"/>
                <w:sz w:val="24"/>
                <w:szCs w:val="24"/>
              </w:rPr>
            </w:pPr>
            <w:r w:rsidRPr="00243C9D">
              <w:rPr>
                <w:color w:val="000000" w:themeColor="text1"/>
                <w:sz w:val="24"/>
                <w:szCs w:val="24"/>
              </w:rPr>
              <w:t>2</w:t>
            </w:r>
            <w:r w:rsidR="000625C6" w:rsidRPr="00243C9D">
              <w:rPr>
                <w:color w:val="000000" w:themeColor="text1"/>
                <w:sz w:val="24"/>
                <w:szCs w:val="24"/>
              </w:rPr>
              <w:t>2</w:t>
            </w:r>
            <w:r w:rsidRPr="00243C9D">
              <w:rPr>
                <w:color w:val="000000" w:themeColor="text1"/>
                <w:sz w:val="24"/>
                <w:szCs w:val="24"/>
              </w:rPr>
              <w:t xml:space="preserve"> + 23, MI = </w:t>
            </w:r>
            <w:r w:rsidR="000625C6" w:rsidRPr="00243C9D">
              <w:rPr>
                <w:color w:val="000000" w:themeColor="text1"/>
                <w:sz w:val="24"/>
                <w:szCs w:val="24"/>
              </w:rPr>
              <w:t>159.97</w:t>
            </w:r>
          </w:p>
        </w:tc>
        <w:tc>
          <w:tcPr>
            <w:tcW w:w="834" w:type="pct"/>
            <w:tcBorders>
              <w:left w:val="single" w:sz="4" w:space="0" w:color="FFFFFF" w:themeColor="background1"/>
              <w:bottom w:val="nil"/>
              <w:right w:val="single" w:sz="4" w:space="0" w:color="FFFFFF" w:themeColor="background1"/>
            </w:tcBorders>
          </w:tcPr>
          <w:p w14:paraId="27224999" w14:textId="035619CA" w:rsidR="00811668" w:rsidRPr="00243C9D" w:rsidRDefault="00811668" w:rsidP="00DD489E">
            <w:pPr>
              <w:spacing w:line="360" w:lineRule="auto"/>
              <w:rPr>
                <w:color w:val="000000" w:themeColor="text1"/>
                <w:sz w:val="24"/>
                <w:szCs w:val="24"/>
              </w:rPr>
            </w:pPr>
            <w:r w:rsidRPr="00243C9D">
              <w:rPr>
                <w:bCs/>
                <w:iCs/>
                <w:color w:val="000000" w:themeColor="text1"/>
                <w:sz w:val="24"/>
                <w:szCs w:val="24"/>
                <w:shd w:val="clear" w:color="auto" w:fill="FFFFFF"/>
              </w:rPr>
              <w:t>χ</w:t>
            </w:r>
            <w:r w:rsidRPr="00243C9D">
              <w:rPr>
                <w:bCs/>
                <w:color w:val="000000" w:themeColor="text1"/>
                <w:sz w:val="24"/>
                <w:szCs w:val="24"/>
                <w:shd w:val="clear" w:color="auto" w:fill="FFFFFF"/>
              </w:rPr>
              <w:t xml:space="preserve">²(1) </w:t>
            </w:r>
            <w:r w:rsidRPr="00243C9D">
              <w:rPr>
                <w:rFonts w:eastAsiaTheme="minorEastAsia"/>
                <w:color w:val="000000" w:themeColor="text1"/>
                <w:sz w:val="24"/>
                <w:szCs w:val="24"/>
              </w:rPr>
              <w:t xml:space="preserve">= </w:t>
            </w:r>
            <w:r w:rsidR="000625C6" w:rsidRPr="00243C9D">
              <w:rPr>
                <w:rFonts w:eastAsiaTheme="minorEastAsia"/>
                <w:color w:val="000000" w:themeColor="text1"/>
                <w:sz w:val="24"/>
                <w:szCs w:val="24"/>
              </w:rPr>
              <w:t>160.6</w:t>
            </w:r>
            <w:r w:rsidRPr="00243C9D">
              <w:rPr>
                <w:rFonts w:eastAsiaTheme="minorEastAsia"/>
                <w:color w:val="000000" w:themeColor="text1"/>
                <w:sz w:val="24"/>
                <w:szCs w:val="24"/>
              </w:rPr>
              <w:t xml:space="preserve">, </w:t>
            </w:r>
            <w:r w:rsidRPr="00243C9D">
              <w:rPr>
                <w:rFonts w:eastAsiaTheme="minorEastAsia"/>
                <w:i/>
                <w:color w:val="000000" w:themeColor="text1"/>
                <w:sz w:val="24"/>
                <w:szCs w:val="24"/>
              </w:rPr>
              <w:t xml:space="preserve">p </w:t>
            </w:r>
            <w:r w:rsidRPr="00243C9D">
              <w:rPr>
                <w:rFonts w:eastAsiaTheme="minorEastAsia"/>
                <w:color w:val="000000" w:themeColor="text1"/>
                <w:sz w:val="24"/>
                <w:szCs w:val="24"/>
              </w:rPr>
              <w:t>&lt; .001</w:t>
            </w:r>
          </w:p>
        </w:tc>
      </w:tr>
      <w:tr w:rsidR="00811668" w14:paraId="1BD45BAB" w14:textId="77777777" w:rsidTr="0061248F">
        <w:tc>
          <w:tcPr>
            <w:tcW w:w="833" w:type="pct"/>
            <w:tcBorders>
              <w:top w:val="nil"/>
              <w:left w:val="nil"/>
              <w:bottom w:val="nil"/>
              <w:right w:val="nil"/>
            </w:tcBorders>
          </w:tcPr>
          <w:p w14:paraId="4634AB64" w14:textId="42BCC46B" w:rsidR="00811668" w:rsidRPr="00243C9D" w:rsidRDefault="00811668" w:rsidP="00DD489E">
            <w:pPr>
              <w:spacing w:line="360" w:lineRule="auto"/>
              <w:rPr>
                <w:color w:val="000000" w:themeColor="text1"/>
                <w:sz w:val="24"/>
                <w:szCs w:val="24"/>
              </w:rPr>
            </w:pPr>
            <w:r w:rsidRPr="00243C9D">
              <w:rPr>
                <w:color w:val="000000" w:themeColor="text1"/>
                <w:sz w:val="24"/>
                <w:szCs w:val="24"/>
              </w:rPr>
              <w:t>13 + 14, MI = 101.18</w:t>
            </w:r>
          </w:p>
        </w:tc>
        <w:tc>
          <w:tcPr>
            <w:tcW w:w="833" w:type="pct"/>
            <w:tcBorders>
              <w:top w:val="nil"/>
              <w:left w:val="nil"/>
              <w:bottom w:val="nil"/>
              <w:right w:val="nil"/>
            </w:tcBorders>
          </w:tcPr>
          <w:p w14:paraId="6D9FF5EA" w14:textId="2E4FE8E2" w:rsidR="00811668" w:rsidRPr="00243C9D" w:rsidRDefault="00811668" w:rsidP="00DD489E">
            <w:pPr>
              <w:spacing w:line="360" w:lineRule="auto"/>
              <w:rPr>
                <w:b/>
                <w:color w:val="000000" w:themeColor="text1"/>
                <w:sz w:val="24"/>
                <w:szCs w:val="24"/>
              </w:rPr>
            </w:pPr>
            <w:r w:rsidRPr="00243C9D">
              <w:rPr>
                <w:bCs/>
                <w:iCs/>
                <w:color w:val="000000" w:themeColor="text1"/>
                <w:sz w:val="24"/>
                <w:szCs w:val="24"/>
                <w:shd w:val="clear" w:color="auto" w:fill="FFFFFF"/>
              </w:rPr>
              <w:t>χ</w:t>
            </w:r>
            <w:r w:rsidRPr="00243C9D">
              <w:rPr>
                <w:bCs/>
                <w:color w:val="000000" w:themeColor="text1"/>
                <w:sz w:val="24"/>
                <w:szCs w:val="24"/>
                <w:shd w:val="clear" w:color="auto" w:fill="FFFFFF"/>
              </w:rPr>
              <w:t xml:space="preserve">²(1) </w:t>
            </w:r>
            <w:r w:rsidRPr="00243C9D">
              <w:rPr>
                <w:rFonts w:eastAsiaTheme="minorEastAsia"/>
                <w:color w:val="000000" w:themeColor="text1"/>
                <w:sz w:val="24"/>
                <w:szCs w:val="24"/>
              </w:rPr>
              <w:t xml:space="preserve">= 109.88, </w:t>
            </w:r>
            <w:r w:rsidRPr="00243C9D">
              <w:rPr>
                <w:rFonts w:eastAsiaTheme="minorEastAsia"/>
                <w:i/>
                <w:color w:val="000000" w:themeColor="text1"/>
                <w:sz w:val="24"/>
                <w:szCs w:val="24"/>
              </w:rPr>
              <w:t xml:space="preserve">p </w:t>
            </w:r>
            <w:r w:rsidRPr="00243C9D">
              <w:rPr>
                <w:rFonts w:eastAsiaTheme="minorEastAsia"/>
                <w:color w:val="000000" w:themeColor="text1"/>
                <w:sz w:val="24"/>
                <w:szCs w:val="24"/>
              </w:rPr>
              <w:t>&lt; .001</w:t>
            </w:r>
          </w:p>
        </w:tc>
        <w:tc>
          <w:tcPr>
            <w:tcW w:w="833" w:type="pct"/>
            <w:tcBorders>
              <w:top w:val="nil"/>
              <w:left w:val="nil"/>
              <w:bottom w:val="nil"/>
              <w:right w:val="nil"/>
            </w:tcBorders>
          </w:tcPr>
          <w:p w14:paraId="2CAA0300" w14:textId="64444BEA" w:rsidR="00811668" w:rsidRPr="00243C9D" w:rsidRDefault="00811668" w:rsidP="00DD489E">
            <w:pPr>
              <w:spacing w:line="360" w:lineRule="auto"/>
              <w:rPr>
                <w:bCs/>
                <w:color w:val="000000" w:themeColor="text1"/>
                <w:sz w:val="24"/>
                <w:szCs w:val="24"/>
              </w:rPr>
            </w:pPr>
            <w:r w:rsidRPr="00243C9D">
              <w:rPr>
                <w:bCs/>
                <w:color w:val="000000" w:themeColor="text1"/>
                <w:sz w:val="24"/>
                <w:szCs w:val="24"/>
              </w:rPr>
              <w:t>22 + 23 = 161.769</w:t>
            </w:r>
          </w:p>
        </w:tc>
        <w:tc>
          <w:tcPr>
            <w:tcW w:w="834" w:type="pct"/>
            <w:tcBorders>
              <w:top w:val="nil"/>
              <w:left w:val="nil"/>
              <w:bottom w:val="nil"/>
              <w:right w:val="nil"/>
            </w:tcBorders>
          </w:tcPr>
          <w:p w14:paraId="1141ED8C" w14:textId="62DBD07C" w:rsidR="00811668" w:rsidRPr="00243C9D" w:rsidRDefault="00811668" w:rsidP="00DD489E">
            <w:pPr>
              <w:spacing w:line="360" w:lineRule="auto"/>
              <w:rPr>
                <w:bCs/>
                <w:color w:val="000000" w:themeColor="text1"/>
                <w:sz w:val="24"/>
                <w:szCs w:val="24"/>
              </w:rPr>
            </w:pPr>
            <w:r w:rsidRPr="00243C9D">
              <w:rPr>
                <w:bCs/>
                <w:iCs/>
                <w:color w:val="000000" w:themeColor="text1"/>
                <w:sz w:val="24"/>
                <w:szCs w:val="24"/>
                <w:shd w:val="clear" w:color="auto" w:fill="FFFFFF"/>
              </w:rPr>
              <w:t>χ</w:t>
            </w:r>
            <w:r w:rsidRPr="00243C9D">
              <w:rPr>
                <w:bCs/>
                <w:color w:val="000000" w:themeColor="text1"/>
                <w:sz w:val="24"/>
                <w:szCs w:val="24"/>
                <w:shd w:val="clear" w:color="auto" w:fill="FFFFFF"/>
              </w:rPr>
              <w:t xml:space="preserve">²(1) </w:t>
            </w:r>
            <w:r w:rsidRPr="00243C9D">
              <w:rPr>
                <w:rFonts w:eastAsiaTheme="minorEastAsia"/>
                <w:color w:val="000000" w:themeColor="text1"/>
                <w:sz w:val="24"/>
                <w:szCs w:val="24"/>
              </w:rPr>
              <w:t xml:space="preserve">= 163.05, </w:t>
            </w:r>
            <w:r w:rsidRPr="00243C9D">
              <w:rPr>
                <w:rFonts w:eastAsiaTheme="minorEastAsia"/>
                <w:i/>
                <w:color w:val="000000" w:themeColor="text1"/>
                <w:sz w:val="24"/>
                <w:szCs w:val="24"/>
              </w:rPr>
              <w:t xml:space="preserve">p </w:t>
            </w:r>
            <w:r w:rsidRPr="00243C9D">
              <w:rPr>
                <w:rFonts w:eastAsiaTheme="minorEastAsia"/>
                <w:color w:val="000000" w:themeColor="text1"/>
                <w:sz w:val="24"/>
                <w:szCs w:val="24"/>
              </w:rPr>
              <w:t>&lt; .001</w:t>
            </w:r>
          </w:p>
        </w:tc>
        <w:tc>
          <w:tcPr>
            <w:tcW w:w="833" w:type="pct"/>
            <w:tcBorders>
              <w:top w:val="nil"/>
              <w:left w:val="nil"/>
              <w:bottom w:val="nil"/>
              <w:right w:val="nil"/>
            </w:tcBorders>
          </w:tcPr>
          <w:p w14:paraId="34B61EE1" w14:textId="76389122" w:rsidR="00811668" w:rsidRPr="00243C9D" w:rsidRDefault="000625C6" w:rsidP="00DD489E">
            <w:pPr>
              <w:spacing w:line="360" w:lineRule="auto"/>
              <w:rPr>
                <w:bCs/>
                <w:color w:val="000000" w:themeColor="text1"/>
                <w:sz w:val="24"/>
                <w:szCs w:val="24"/>
              </w:rPr>
            </w:pPr>
            <w:r w:rsidRPr="00243C9D">
              <w:rPr>
                <w:bCs/>
                <w:color w:val="000000" w:themeColor="text1"/>
                <w:sz w:val="24"/>
                <w:szCs w:val="24"/>
              </w:rPr>
              <w:t>13 + 14, MI = 101.31</w:t>
            </w:r>
          </w:p>
        </w:tc>
        <w:tc>
          <w:tcPr>
            <w:tcW w:w="834" w:type="pct"/>
            <w:tcBorders>
              <w:top w:val="nil"/>
              <w:left w:val="nil"/>
              <w:bottom w:val="nil"/>
              <w:right w:val="nil"/>
            </w:tcBorders>
          </w:tcPr>
          <w:p w14:paraId="49CB6AFE" w14:textId="285266A5" w:rsidR="00811668" w:rsidRPr="00243C9D" w:rsidRDefault="000625C6" w:rsidP="00DD489E">
            <w:pPr>
              <w:spacing w:line="360" w:lineRule="auto"/>
              <w:rPr>
                <w:b/>
                <w:iCs/>
                <w:color w:val="000000" w:themeColor="text1"/>
                <w:sz w:val="24"/>
                <w:szCs w:val="24"/>
              </w:rPr>
            </w:pPr>
            <w:r w:rsidRPr="00243C9D">
              <w:rPr>
                <w:bCs/>
                <w:iCs/>
                <w:color w:val="000000" w:themeColor="text1"/>
                <w:sz w:val="24"/>
                <w:szCs w:val="24"/>
                <w:shd w:val="clear" w:color="auto" w:fill="FFFFFF"/>
              </w:rPr>
              <w:t>χ</w:t>
            </w:r>
            <w:r w:rsidRPr="00243C9D">
              <w:rPr>
                <w:bCs/>
                <w:color w:val="000000" w:themeColor="text1"/>
                <w:sz w:val="24"/>
                <w:szCs w:val="24"/>
                <w:shd w:val="clear" w:color="auto" w:fill="FFFFFF"/>
              </w:rPr>
              <w:t xml:space="preserve">²(1) </w:t>
            </w:r>
            <w:r w:rsidRPr="00243C9D">
              <w:rPr>
                <w:rFonts w:eastAsiaTheme="minorEastAsia"/>
                <w:color w:val="000000" w:themeColor="text1"/>
                <w:sz w:val="24"/>
                <w:szCs w:val="24"/>
              </w:rPr>
              <w:t xml:space="preserve">= 110.0, </w:t>
            </w:r>
            <w:r w:rsidRPr="00243C9D">
              <w:rPr>
                <w:rFonts w:eastAsiaTheme="minorEastAsia"/>
                <w:i/>
                <w:color w:val="000000" w:themeColor="text1"/>
                <w:sz w:val="24"/>
                <w:szCs w:val="24"/>
              </w:rPr>
              <w:t xml:space="preserve">p </w:t>
            </w:r>
            <w:r w:rsidRPr="00243C9D">
              <w:rPr>
                <w:rFonts w:eastAsiaTheme="minorEastAsia"/>
                <w:color w:val="000000" w:themeColor="text1"/>
                <w:sz w:val="24"/>
                <w:szCs w:val="24"/>
              </w:rPr>
              <w:t>&lt; .001</w:t>
            </w:r>
          </w:p>
        </w:tc>
      </w:tr>
      <w:tr w:rsidR="00811668" w14:paraId="7E673FD5" w14:textId="77777777" w:rsidTr="0061248F">
        <w:tc>
          <w:tcPr>
            <w:tcW w:w="833" w:type="pct"/>
            <w:tcBorders>
              <w:top w:val="nil"/>
              <w:left w:val="nil"/>
              <w:bottom w:val="nil"/>
              <w:right w:val="nil"/>
            </w:tcBorders>
          </w:tcPr>
          <w:p w14:paraId="3CCD728F" w14:textId="220E2E10" w:rsidR="00811668" w:rsidRPr="00243C9D" w:rsidRDefault="00811668" w:rsidP="00DD489E">
            <w:pPr>
              <w:spacing w:line="360" w:lineRule="auto"/>
              <w:rPr>
                <w:color w:val="000000" w:themeColor="text1"/>
                <w:sz w:val="24"/>
                <w:szCs w:val="24"/>
              </w:rPr>
            </w:pPr>
            <w:r w:rsidRPr="00243C9D">
              <w:rPr>
                <w:color w:val="000000" w:themeColor="text1"/>
                <w:sz w:val="24"/>
                <w:szCs w:val="24"/>
              </w:rPr>
              <w:t>3 + 16, MI = 54.21</w:t>
            </w:r>
          </w:p>
        </w:tc>
        <w:tc>
          <w:tcPr>
            <w:tcW w:w="833" w:type="pct"/>
            <w:tcBorders>
              <w:top w:val="nil"/>
              <w:left w:val="nil"/>
              <w:bottom w:val="nil"/>
              <w:right w:val="nil"/>
            </w:tcBorders>
          </w:tcPr>
          <w:p w14:paraId="30B09DB5" w14:textId="25E05CF8" w:rsidR="00811668" w:rsidRPr="00243C9D" w:rsidRDefault="00811668" w:rsidP="00DD489E">
            <w:pPr>
              <w:spacing w:line="360" w:lineRule="auto"/>
              <w:rPr>
                <w:b/>
                <w:color w:val="000000" w:themeColor="text1"/>
                <w:sz w:val="24"/>
                <w:szCs w:val="24"/>
              </w:rPr>
            </w:pPr>
            <w:r w:rsidRPr="00243C9D">
              <w:rPr>
                <w:bCs/>
                <w:iCs/>
                <w:color w:val="000000" w:themeColor="text1"/>
                <w:sz w:val="24"/>
                <w:szCs w:val="24"/>
                <w:shd w:val="clear" w:color="auto" w:fill="FFFFFF"/>
              </w:rPr>
              <w:t>χ</w:t>
            </w:r>
            <w:r w:rsidRPr="00243C9D">
              <w:rPr>
                <w:bCs/>
                <w:color w:val="000000" w:themeColor="text1"/>
                <w:sz w:val="24"/>
                <w:szCs w:val="24"/>
                <w:shd w:val="clear" w:color="auto" w:fill="FFFFFF"/>
              </w:rPr>
              <w:t xml:space="preserve">²(1) </w:t>
            </w:r>
            <w:r w:rsidRPr="00243C9D">
              <w:rPr>
                <w:rFonts w:eastAsiaTheme="minorEastAsia"/>
                <w:color w:val="000000" w:themeColor="text1"/>
                <w:sz w:val="24"/>
                <w:szCs w:val="24"/>
              </w:rPr>
              <w:t xml:space="preserve">= 55.25, </w:t>
            </w:r>
            <w:r w:rsidRPr="00243C9D">
              <w:rPr>
                <w:rFonts w:eastAsiaTheme="minorEastAsia"/>
                <w:i/>
                <w:color w:val="000000" w:themeColor="text1"/>
                <w:sz w:val="24"/>
                <w:szCs w:val="24"/>
              </w:rPr>
              <w:t xml:space="preserve">p </w:t>
            </w:r>
            <w:r w:rsidRPr="00243C9D">
              <w:rPr>
                <w:rFonts w:eastAsiaTheme="minorEastAsia"/>
                <w:color w:val="000000" w:themeColor="text1"/>
                <w:sz w:val="24"/>
                <w:szCs w:val="24"/>
              </w:rPr>
              <w:t>&lt; .001</w:t>
            </w:r>
          </w:p>
        </w:tc>
        <w:tc>
          <w:tcPr>
            <w:tcW w:w="833" w:type="pct"/>
            <w:tcBorders>
              <w:top w:val="nil"/>
              <w:left w:val="nil"/>
              <w:bottom w:val="nil"/>
              <w:right w:val="nil"/>
            </w:tcBorders>
          </w:tcPr>
          <w:p w14:paraId="029F06B8" w14:textId="207A22FA" w:rsidR="00811668" w:rsidRPr="00243C9D" w:rsidRDefault="00811668" w:rsidP="00DD489E">
            <w:pPr>
              <w:spacing w:line="360" w:lineRule="auto"/>
              <w:rPr>
                <w:bCs/>
                <w:color w:val="000000" w:themeColor="text1"/>
                <w:sz w:val="24"/>
                <w:szCs w:val="24"/>
              </w:rPr>
            </w:pPr>
            <w:r w:rsidRPr="00243C9D">
              <w:rPr>
                <w:bCs/>
                <w:color w:val="000000" w:themeColor="text1"/>
                <w:sz w:val="24"/>
                <w:szCs w:val="24"/>
              </w:rPr>
              <w:t>16 + 17 = 52.47</w:t>
            </w:r>
          </w:p>
        </w:tc>
        <w:tc>
          <w:tcPr>
            <w:tcW w:w="834" w:type="pct"/>
            <w:tcBorders>
              <w:top w:val="nil"/>
              <w:left w:val="nil"/>
              <w:bottom w:val="nil"/>
              <w:right w:val="nil"/>
            </w:tcBorders>
          </w:tcPr>
          <w:p w14:paraId="29D16BC8" w14:textId="1ABD8BA0" w:rsidR="00811668" w:rsidRPr="00243C9D" w:rsidRDefault="00811668" w:rsidP="00DD489E">
            <w:pPr>
              <w:spacing w:line="360" w:lineRule="auto"/>
              <w:rPr>
                <w:bCs/>
                <w:color w:val="000000" w:themeColor="text1"/>
                <w:sz w:val="24"/>
                <w:szCs w:val="24"/>
              </w:rPr>
            </w:pPr>
            <w:r w:rsidRPr="00243C9D">
              <w:rPr>
                <w:bCs/>
                <w:iCs/>
                <w:color w:val="000000" w:themeColor="text1"/>
                <w:sz w:val="24"/>
                <w:szCs w:val="24"/>
                <w:shd w:val="clear" w:color="auto" w:fill="FFFFFF"/>
              </w:rPr>
              <w:t>χ</w:t>
            </w:r>
            <w:r w:rsidRPr="00243C9D">
              <w:rPr>
                <w:bCs/>
                <w:color w:val="000000" w:themeColor="text1"/>
                <w:sz w:val="24"/>
                <w:szCs w:val="24"/>
                <w:shd w:val="clear" w:color="auto" w:fill="FFFFFF"/>
              </w:rPr>
              <w:t xml:space="preserve">²(1) </w:t>
            </w:r>
            <w:r w:rsidRPr="00243C9D">
              <w:rPr>
                <w:rFonts w:eastAsiaTheme="minorEastAsia"/>
                <w:color w:val="000000" w:themeColor="text1"/>
                <w:sz w:val="24"/>
                <w:szCs w:val="24"/>
              </w:rPr>
              <w:t xml:space="preserve">= 51.08, </w:t>
            </w:r>
            <w:r w:rsidRPr="00243C9D">
              <w:rPr>
                <w:rFonts w:eastAsiaTheme="minorEastAsia"/>
                <w:i/>
                <w:color w:val="000000" w:themeColor="text1"/>
                <w:sz w:val="24"/>
                <w:szCs w:val="24"/>
              </w:rPr>
              <w:t xml:space="preserve">p </w:t>
            </w:r>
            <w:r w:rsidRPr="00243C9D">
              <w:rPr>
                <w:rFonts w:eastAsiaTheme="minorEastAsia"/>
                <w:color w:val="000000" w:themeColor="text1"/>
                <w:sz w:val="24"/>
                <w:szCs w:val="24"/>
              </w:rPr>
              <w:t>&lt; .001</w:t>
            </w:r>
          </w:p>
        </w:tc>
        <w:tc>
          <w:tcPr>
            <w:tcW w:w="833" w:type="pct"/>
            <w:tcBorders>
              <w:top w:val="nil"/>
              <w:left w:val="nil"/>
              <w:bottom w:val="nil"/>
              <w:right w:val="nil"/>
            </w:tcBorders>
          </w:tcPr>
          <w:p w14:paraId="0D315263" w14:textId="3DDDBD8D" w:rsidR="00811668" w:rsidRPr="00243C9D" w:rsidRDefault="000625C6" w:rsidP="00DD489E">
            <w:pPr>
              <w:rPr>
                <w:sz w:val="24"/>
                <w:szCs w:val="24"/>
              </w:rPr>
            </w:pPr>
            <w:r w:rsidRPr="00243C9D">
              <w:rPr>
                <w:sz w:val="24"/>
                <w:szCs w:val="24"/>
              </w:rPr>
              <w:t>12 + 15, MI = 45.67</w:t>
            </w:r>
          </w:p>
        </w:tc>
        <w:tc>
          <w:tcPr>
            <w:tcW w:w="834" w:type="pct"/>
            <w:tcBorders>
              <w:top w:val="nil"/>
              <w:left w:val="nil"/>
              <w:bottom w:val="nil"/>
              <w:right w:val="nil"/>
            </w:tcBorders>
          </w:tcPr>
          <w:p w14:paraId="38325803" w14:textId="71E89E4C" w:rsidR="00811668" w:rsidRPr="00243C9D" w:rsidRDefault="000625C6" w:rsidP="00DD489E">
            <w:pPr>
              <w:spacing w:line="360" w:lineRule="auto"/>
              <w:rPr>
                <w:b/>
                <w:color w:val="000000" w:themeColor="text1"/>
                <w:sz w:val="24"/>
                <w:szCs w:val="24"/>
              </w:rPr>
            </w:pPr>
            <w:r w:rsidRPr="00243C9D">
              <w:rPr>
                <w:bCs/>
                <w:iCs/>
                <w:color w:val="000000" w:themeColor="text1"/>
                <w:sz w:val="24"/>
                <w:szCs w:val="24"/>
                <w:shd w:val="clear" w:color="auto" w:fill="FFFFFF"/>
              </w:rPr>
              <w:t>χ</w:t>
            </w:r>
            <w:r w:rsidRPr="00243C9D">
              <w:rPr>
                <w:bCs/>
                <w:color w:val="000000" w:themeColor="text1"/>
                <w:sz w:val="24"/>
                <w:szCs w:val="24"/>
                <w:shd w:val="clear" w:color="auto" w:fill="FFFFFF"/>
              </w:rPr>
              <w:t xml:space="preserve">²(1) </w:t>
            </w:r>
            <w:r w:rsidRPr="00243C9D">
              <w:rPr>
                <w:rFonts w:eastAsiaTheme="minorEastAsia"/>
                <w:color w:val="000000" w:themeColor="text1"/>
                <w:sz w:val="24"/>
                <w:szCs w:val="24"/>
              </w:rPr>
              <w:t xml:space="preserve">= 47.39, </w:t>
            </w:r>
            <w:r w:rsidRPr="00243C9D">
              <w:rPr>
                <w:rFonts w:eastAsiaTheme="minorEastAsia"/>
                <w:i/>
                <w:color w:val="000000" w:themeColor="text1"/>
                <w:sz w:val="24"/>
                <w:szCs w:val="24"/>
              </w:rPr>
              <w:t xml:space="preserve">p </w:t>
            </w:r>
            <w:r w:rsidRPr="00243C9D">
              <w:rPr>
                <w:rFonts w:eastAsiaTheme="minorEastAsia"/>
                <w:color w:val="000000" w:themeColor="text1"/>
                <w:sz w:val="24"/>
                <w:szCs w:val="24"/>
              </w:rPr>
              <w:t>&lt; .001</w:t>
            </w:r>
          </w:p>
        </w:tc>
      </w:tr>
      <w:tr w:rsidR="00811668" w14:paraId="6DEF5667" w14:textId="77777777" w:rsidTr="0061248F">
        <w:trPr>
          <w:trHeight w:val="323"/>
        </w:trPr>
        <w:tc>
          <w:tcPr>
            <w:tcW w:w="833" w:type="pct"/>
            <w:tcBorders>
              <w:top w:val="nil"/>
              <w:left w:val="nil"/>
              <w:bottom w:val="nil"/>
              <w:right w:val="nil"/>
            </w:tcBorders>
          </w:tcPr>
          <w:p w14:paraId="5A08B8ED" w14:textId="29D3A204" w:rsidR="00811668" w:rsidRPr="00243C9D" w:rsidRDefault="00811668" w:rsidP="00DD489E">
            <w:pPr>
              <w:spacing w:line="360" w:lineRule="auto"/>
              <w:rPr>
                <w:color w:val="000000" w:themeColor="text1"/>
                <w:sz w:val="24"/>
                <w:szCs w:val="24"/>
              </w:rPr>
            </w:pPr>
            <w:r w:rsidRPr="00243C9D">
              <w:rPr>
                <w:color w:val="000000" w:themeColor="text1"/>
                <w:sz w:val="24"/>
                <w:szCs w:val="24"/>
              </w:rPr>
              <w:t>12 + 15, MI = 45.53</w:t>
            </w:r>
          </w:p>
        </w:tc>
        <w:tc>
          <w:tcPr>
            <w:tcW w:w="833" w:type="pct"/>
            <w:tcBorders>
              <w:top w:val="nil"/>
              <w:left w:val="nil"/>
              <w:bottom w:val="nil"/>
              <w:right w:val="nil"/>
            </w:tcBorders>
          </w:tcPr>
          <w:p w14:paraId="1BAB4154" w14:textId="186379EE" w:rsidR="00811668" w:rsidRPr="00243C9D" w:rsidRDefault="00811668" w:rsidP="00DD489E">
            <w:pPr>
              <w:spacing w:line="360" w:lineRule="auto"/>
              <w:rPr>
                <w:b/>
                <w:color w:val="000000" w:themeColor="text1"/>
                <w:sz w:val="24"/>
                <w:szCs w:val="24"/>
              </w:rPr>
            </w:pPr>
            <w:r w:rsidRPr="00243C9D">
              <w:rPr>
                <w:bCs/>
                <w:iCs/>
                <w:color w:val="000000" w:themeColor="text1"/>
                <w:sz w:val="24"/>
                <w:szCs w:val="24"/>
                <w:shd w:val="clear" w:color="auto" w:fill="FFFFFF"/>
              </w:rPr>
              <w:t>χ</w:t>
            </w:r>
            <w:r w:rsidRPr="00243C9D">
              <w:rPr>
                <w:bCs/>
                <w:color w:val="000000" w:themeColor="text1"/>
                <w:sz w:val="24"/>
                <w:szCs w:val="24"/>
                <w:shd w:val="clear" w:color="auto" w:fill="FFFFFF"/>
              </w:rPr>
              <w:t xml:space="preserve">²(1) </w:t>
            </w:r>
            <w:r w:rsidRPr="00243C9D">
              <w:rPr>
                <w:rFonts w:eastAsiaTheme="minorEastAsia"/>
                <w:color w:val="000000" w:themeColor="text1"/>
                <w:sz w:val="24"/>
                <w:szCs w:val="24"/>
              </w:rPr>
              <w:t xml:space="preserve">= 47.24, </w:t>
            </w:r>
            <w:r w:rsidRPr="00243C9D">
              <w:rPr>
                <w:rFonts w:eastAsiaTheme="minorEastAsia"/>
                <w:i/>
                <w:color w:val="000000" w:themeColor="text1"/>
                <w:sz w:val="24"/>
                <w:szCs w:val="24"/>
              </w:rPr>
              <w:t xml:space="preserve">p </w:t>
            </w:r>
            <w:r w:rsidRPr="00243C9D">
              <w:rPr>
                <w:rFonts w:eastAsiaTheme="minorEastAsia"/>
                <w:color w:val="000000" w:themeColor="text1"/>
                <w:sz w:val="24"/>
                <w:szCs w:val="24"/>
              </w:rPr>
              <w:t>&lt; .001</w:t>
            </w:r>
          </w:p>
        </w:tc>
        <w:tc>
          <w:tcPr>
            <w:tcW w:w="833" w:type="pct"/>
            <w:tcBorders>
              <w:top w:val="nil"/>
              <w:left w:val="nil"/>
              <w:bottom w:val="nil"/>
              <w:right w:val="nil"/>
            </w:tcBorders>
          </w:tcPr>
          <w:p w14:paraId="13F5F634" w14:textId="48B964E9" w:rsidR="00811668" w:rsidRPr="00243C9D" w:rsidRDefault="00811668" w:rsidP="00DD489E">
            <w:pPr>
              <w:spacing w:line="360" w:lineRule="auto"/>
              <w:rPr>
                <w:bCs/>
                <w:color w:val="000000" w:themeColor="text1"/>
                <w:sz w:val="24"/>
                <w:szCs w:val="24"/>
              </w:rPr>
            </w:pPr>
            <w:r w:rsidRPr="00243C9D">
              <w:rPr>
                <w:bCs/>
                <w:color w:val="000000" w:themeColor="text1"/>
                <w:sz w:val="24"/>
                <w:szCs w:val="24"/>
              </w:rPr>
              <w:t>6 + 7 = 16.10</w:t>
            </w:r>
          </w:p>
        </w:tc>
        <w:tc>
          <w:tcPr>
            <w:tcW w:w="834" w:type="pct"/>
            <w:tcBorders>
              <w:top w:val="nil"/>
              <w:left w:val="nil"/>
              <w:bottom w:val="nil"/>
              <w:right w:val="nil"/>
            </w:tcBorders>
          </w:tcPr>
          <w:p w14:paraId="5DF2F5B1" w14:textId="4CA56949" w:rsidR="00811668" w:rsidRPr="00243C9D" w:rsidRDefault="00811668" w:rsidP="00DD489E">
            <w:pPr>
              <w:spacing w:line="360" w:lineRule="auto"/>
              <w:rPr>
                <w:b/>
                <w:color w:val="000000" w:themeColor="text1"/>
                <w:sz w:val="24"/>
                <w:szCs w:val="24"/>
              </w:rPr>
            </w:pPr>
            <w:r w:rsidRPr="00243C9D">
              <w:rPr>
                <w:bCs/>
                <w:iCs/>
                <w:color w:val="000000" w:themeColor="text1"/>
                <w:sz w:val="24"/>
                <w:szCs w:val="24"/>
                <w:shd w:val="clear" w:color="auto" w:fill="FFFFFF"/>
              </w:rPr>
              <w:t>χ</w:t>
            </w:r>
            <w:r w:rsidRPr="00243C9D">
              <w:rPr>
                <w:bCs/>
                <w:color w:val="000000" w:themeColor="text1"/>
                <w:sz w:val="24"/>
                <w:szCs w:val="24"/>
                <w:shd w:val="clear" w:color="auto" w:fill="FFFFFF"/>
              </w:rPr>
              <w:t xml:space="preserve">²(1) </w:t>
            </w:r>
            <w:r w:rsidRPr="00243C9D">
              <w:rPr>
                <w:rFonts w:eastAsiaTheme="minorEastAsia"/>
                <w:color w:val="000000" w:themeColor="text1"/>
                <w:sz w:val="24"/>
                <w:szCs w:val="24"/>
              </w:rPr>
              <w:t xml:space="preserve">= 14.97, </w:t>
            </w:r>
            <w:r w:rsidRPr="00243C9D">
              <w:rPr>
                <w:rFonts w:eastAsiaTheme="minorEastAsia"/>
                <w:i/>
                <w:color w:val="000000" w:themeColor="text1"/>
                <w:sz w:val="24"/>
                <w:szCs w:val="24"/>
              </w:rPr>
              <w:t xml:space="preserve">p </w:t>
            </w:r>
            <w:r w:rsidRPr="00243C9D">
              <w:rPr>
                <w:rFonts w:eastAsiaTheme="minorEastAsia"/>
                <w:color w:val="000000" w:themeColor="text1"/>
                <w:sz w:val="24"/>
                <w:szCs w:val="24"/>
              </w:rPr>
              <w:t>&lt; .001</w:t>
            </w:r>
          </w:p>
        </w:tc>
        <w:tc>
          <w:tcPr>
            <w:tcW w:w="833" w:type="pct"/>
            <w:tcBorders>
              <w:top w:val="nil"/>
              <w:left w:val="nil"/>
              <w:bottom w:val="nil"/>
              <w:right w:val="nil"/>
            </w:tcBorders>
          </w:tcPr>
          <w:p w14:paraId="4C50DDF8" w14:textId="26DB35FD" w:rsidR="00811668" w:rsidRPr="00243C9D" w:rsidRDefault="000625C6" w:rsidP="00DD489E">
            <w:pPr>
              <w:spacing w:line="360" w:lineRule="auto"/>
              <w:rPr>
                <w:bCs/>
                <w:color w:val="000000" w:themeColor="text1"/>
                <w:sz w:val="24"/>
                <w:szCs w:val="24"/>
              </w:rPr>
            </w:pPr>
            <w:r w:rsidRPr="00243C9D">
              <w:rPr>
                <w:bCs/>
                <w:color w:val="000000" w:themeColor="text1"/>
                <w:sz w:val="24"/>
                <w:szCs w:val="24"/>
              </w:rPr>
              <w:t>1 + 4, MI = 37.60</w:t>
            </w:r>
          </w:p>
        </w:tc>
        <w:tc>
          <w:tcPr>
            <w:tcW w:w="834" w:type="pct"/>
            <w:tcBorders>
              <w:top w:val="nil"/>
              <w:left w:val="nil"/>
              <w:bottom w:val="nil"/>
              <w:right w:val="nil"/>
            </w:tcBorders>
          </w:tcPr>
          <w:p w14:paraId="55606429" w14:textId="7616C3E5" w:rsidR="00811668" w:rsidRPr="00243C9D" w:rsidRDefault="00807DDB" w:rsidP="00DD489E">
            <w:pPr>
              <w:spacing w:line="360" w:lineRule="auto"/>
              <w:rPr>
                <w:b/>
                <w:color w:val="000000" w:themeColor="text1"/>
                <w:sz w:val="24"/>
                <w:szCs w:val="24"/>
              </w:rPr>
            </w:pPr>
            <w:r w:rsidRPr="00243C9D">
              <w:rPr>
                <w:bCs/>
                <w:iCs/>
                <w:color w:val="000000" w:themeColor="text1"/>
                <w:sz w:val="24"/>
                <w:szCs w:val="24"/>
                <w:shd w:val="clear" w:color="auto" w:fill="FFFFFF"/>
              </w:rPr>
              <w:t>χ</w:t>
            </w:r>
            <w:r w:rsidRPr="00243C9D">
              <w:rPr>
                <w:bCs/>
                <w:color w:val="000000" w:themeColor="text1"/>
                <w:sz w:val="24"/>
                <w:szCs w:val="24"/>
                <w:shd w:val="clear" w:color="auto" w:fill="FFFFFF"/>
              </w:rPr>
              <w:t xml:space="preserve">²(1) </w:t>
            </w:r>
            <w:r w:rsidRPr="00243C9D">
              <w:rPr>
                <w:rFonts w:eastAsiaTheme="minorEastAsia"/>
                <w:color w:val="000000" w:themeColor="text1"/>
                <w:sz w:val="24"/>
                <w:szCs w:val="24"/>
              </w:rPr>
              <w:t xml:space="preserve">= 35.61, </w:t>
            </w:r>
            <w:r w:rsidRPr="00243C9D">
              <w:rPr>
                <w:rFonts w:eastAsiaTheme="minorEastAsia"/>
                <w:i/>
                <w:color w:val="000000" w:themeColor="text1"/>
                <w:sz w:val="24"/>
                <w:szCs w:val="24"/>
              </w:rPr>
              <w:t xml:space="preserve">p </w:t>
            </w:r>
            <w:r w:rsidRPr="00243C9D">
              <w:rPr>
                <w:rFonts w:eastAsiaTheme="minorEastAsia"/>
                <w:color w:val="000000" w:themeColor="text1"/>
                <w:sz w:val="24"/>
                <w:szCs w:val="24"/>
              </w:rPr>
              <w:t>&lt; .001</w:t>
            </w:r>
          </w:p>
        </w:tc>
      </w:tr>
      <w:tr w:rsidR="00807DDB" w14:paraId="144F2AB2" w14:textId="77777777" w:rsidTr="0061248F">
        <w:tc>
          <w:tcPr>
            <w:tcW w:w="833" w:type="pct"/>
            <w:tcBorders>
              <w:top w:val="nil"/>
              <w:left w:val="nil"/>
              <w:bottom w:val="nil"/>
              <w:right w:val="nil"/>
            </w:tcBorders>
          </w:tcPr>
          <w:p w14:paraId="11D2A1A3" w14:textId="6DA4476B" w:rsidR="00807DDB" w:rsidRPr="00243C9D" w:rsidRDefault="00807DDB" w:rsidP="00807DDB">
            <w:pPr>
              <w:spacing w:line="360" w:lineRule="auto"/>
              <w:rPr>
                <w:color w:val="000000" w:themeColor="text1"/>
                <w:sz w:val="24"/>
                <w:szCs w:val="24"/>
              </w:rPr>
            </w:pPr>
            <w:r w:rsidRPr="00243C9D">
              <w:rPr>
                <w:color w:val="000000" w:themeColor="text1"/>
                <w:sz w:val="24"/>
                <w:szCs w:val="24"/>
              </w:rPr>
              <w:t>16 + 17, MI = 26.09</w:t>
            </w:r>
          </w:p>
        </w:tc>
        <w:tc>
          <w:tcPr>
            <w:tcW w:w="833" w:type="pct"/>
            <w:tcBorders>
              <w:top w:val="nil"/>
              <w:left w:val="nil"/>
              <w:bottom w:val="nil"/>
              <w:right w:val="nil"/>
            </w:tcBorders>
          </w:tcPr>
          <w:p w14:paraId="588F9333" w14:textId="3DC56057" w:rsidR="00807DDB" w:rsidRPr="00243C9D" w:rsidRDefault="00807DDB" w:rsidP="00807DDB">
            <w:pPr>
              <w:spacing w:line="360" w:lineRule="auto"/>
              <w:rPr>
                <w:b/>
                <w:color w:val="000000" w:themeColor="text1"/>
                <w:sz w:val="24"/>
                <w:szCs w:val="24"/>
              </w:rPr>
            </w:pPr>
            <w:r w:rsidRPr="00243C9D">
              <w:rPr>
                <w:bCs/>
                <w:iCs/>
                <w:color w:val="000000" w:themeColor="text1"/>
                <w:sz w:val="24"/>
                <w:szCs w:val="24"/>
                <w:shd w:val="clear" w:color="auto" w:fill="FFFFFF"/>
              </w:rPr>
              <w:t>χ</w:t>
            </w:r>
            <w:r w:rsidRPr="00243C9D">
              <w:rPr>
                <w:bCs/>
                <w:color w:val="000000" w:themeColor="text1"/>
                <w:sz w:val="24"/>
                <w:szCs w:val="24"/>
                <w:shd w:val="clear" w:color="auto" w:fill="FFFFFF"/>
              </w:rPr>
              <w:t xml:space="preserve">²(1) </w:t>
            </w:r>
            <w:r w:rsidRPr="00243C9D">
              <w:rPr>
                <w:rFonts w:eastAsiaTheme="minorEastAsia"/>
                <w:color w:val="000000" w:themeColor="text1"/>
                <w:sz w:val="24"/>
                <w:szCs w:val="24"/>
              </w:rPr>
              <w:t xml:space="preserve">= 25.29, </w:t>
            </w:r>
            <w:r w:rsidRPr="00243C9D">
              <w:rPr>
                <w:rFonts w:eastAsiaTheme="minorEastAsia"/>
                <w:i/>
                <w:color w:val="000000" w:themeColor="text1"/>
                <w:sz w:val="24"/>
                <w:szCs w:val="24"/>
              </w:rPr>
              <w:t xml:space="preserve">p </w:t>
            </w:r>
            <w:r w:rsidRPr="00243C9D">
              <w:rPr>
                <w:rFonts w:eastAsiaTheme="minorEastAsia"/>
                <w:color w:val="000000" w:themeColor="text1"/>
                <w:sz w:val="24"/>
                <w:szCs w:val="24"/>
              </w:rPr>
              <w:t>&lt; .001</w:t>
            </w:r>
          </w:p>
        </w:tc>
        <w:tc>
          <w:tcPr>
            <w:tcW w:w="833" w:type="pct"/>
            <w:tcBorders>
              <w:top w:val="nil"/>
              <w:left w:val="nil"/>
              <w:bottom w:val="nil"/>
              <w:right w:val="nil"/>
            </w:tcBorders>
          </w:tcPr>
          <w:p w14:paraId="170EF315" w14:textId="691DCB09" w:rsidR="00807DDB" w:rsidRPr="00243C9D" w:rsidRDefault="00807DDB" w:rsidP="00807DDB">
            <w:pPr>
              <w:spacing w:line="360" w:lineRule="auto"/>
              <w:rPr>
                <w:bCs/>
                <w:color w:val="000000" w:themeColor="text1"/>
                <w:sz w:val="24"/>
                <w:szCs w:val="24"/>
              </w:rPr>
            </w:pPr>
            <w:r w:rsidRPr="00243C9D">
              <w:rPr>
                <w:bCs/>
                <w:color w:val="000000" w:themeColor="text1"/>
                <w:sz w:val="24"/>
                <w:szCs w:val="24"/>
              </w:rPr>
              <w:t>8 + 21 = 14.76</w:t>
            </w:r>
          </w:p>
        </w:tc>
        <w:tc>
          <w:tcPr>
            <w:tcW w:w="834" w:type="pct"/>
            <w:tcBorders>
              <w:top w:val="nil"/>
              <w:left w:val="nil"/>
              <w:bottom w:val="nil"/>
              <w:right w:val="nil"/>
            </w:tcBorders>
          </w:tcPr>
          <w:p w14:paraId="33902128" w14:textId="78E07EFB" w:rsidR="00807DDB" w:rsidRPr="00243C9D" w:rsidRDefault="00807DDB" w:rsidP="00807DDB">
            <w:pPr>
              <w:spacing w:line="360" w:lineRule="auto"/>
              <w:rPr>
                <w:b/>
                <w:color w:val="000000" w:themeColor="text1"/>
                <w:sz w:val="24"/>
                <w:szCs w:val="24"/>
              </w:rPr>
            </w:pPr>
            <w:r w:rsidRPr="00243C9D">
              <w:rPr>
                <w:bCs/>
                <w:iCs/>
                <w:color w:val="000000" w:themeColor="text1"/>
                <w:sz w:val="24"/>
                <w:szCs w:val="24"/>
                <w:shd w:val="clear" w:color="auto" w:fill="FFFFFF"/>
              </w:rPr>
              <w:t>χ</w:t>
            </w:r>
            <w:r w:rsidRPr="00243C9D">
              <w:rPr>
                <w:bCs/>
                <w:color w:val="000000" w:themeColor="text1"/>
                <w:sz w:val="24"/>
                <w:szCs w:val="24"/>
                <w:shd w:val="clear" w:color="auto" w:fill="FFFFFF"/>
              </w:rPr>
              <w:t xml:space="preserve">²(1) </w:t>
            </w:r>
            <w:r w:rsidRPr="00243C9D">
              <w:rPr>
                <w:rFonts w:eastAsiaTheme="minorEastAsia"/>
                <w:color w:val="000000" w:themeColor="text1"/>
                <w:sz w:val="24"/>
                <w:szCs w:val="24"/>
              </w:rPr>
              <w:t xml:space="preserve">= 12.18, </w:t>
            </w:r>
            <w:r w:rsidRPr="00243C9D">
              <w:rPr>
                <w:rFonts w:eastAsiaTheme="minorEastAsia"/>
                <w:i/>
                <w:color w:val="000000" w:themeColor="text1"/>
                <w:sz w:val="24"/>
                <w:szCs w:val="24"/>
              </w:rPr>
              <w:t>p =</w:t>
            </w:r>
            <w:r w:rsidRPr="00243C9D">
              <w:rPr>
                <w:rFonts w:eastAsiaTheme="minorEastAsia"/>
                <w:color w:val="000000" w:themeColor="text1"/>
                <w:sz w:val="24"/>
                <w:szCs w:val="24"/>
              </w:rPr>
              <w:t xml:space="preserve"> .001</w:t>
            </w:r>
          </w:p>
        </w:tc>
        <w:tc>
          <w:tcPr>
            <w:tcW w:w="833" w:type="pct"/>
            <w:tcBorders>
              <w:top w:val="nil"/>
              <w:left w:val="nil"/>
              <w:bottom w:val="nil"/>
              <w:right w:val="nil"/>
            </w:tcBorders>
          </w:tcPr>
          <w:p w14:paraId="598056F7" w14:textId="75DE0348" w:rsidR="00807DDB" w:rsidRPr="00243C9D" w:rsidRDefault="00807DDB" w:rsidP="00807DDB">
            <w:pPr>
              <w:spacing w:line="360" w:lineRule="auto"/>
              <w:rPr>
                <w:bCs/>
                <w:color w:val="000000" w:themeColor="text1"/>
                <w:sz w:val="24"/>
                <w:szCs w:val="24"/>
              </w:rPr>
            </w:pPr>
            <w:r w:rsidRPr="00243C9D">
              <w:rPr>
                <w:bCs/>
                <w:color w:val="000000" w:themeColor="text1"/>
                <w:sz w:val="24"/>
                <w:szCs w:val="24"/>
              </w:rPr>
              <w:t>14 + 15, MI = 22.20</w:t>
            </w:r>
          </w:p>
        </w:tc>
        <w:tc>
          <w:tcPr>
            <w:tcW w:w="834" w:type="pct"/>
            <w:tcBorders>
              <w:top w:val="nil"/>
              <w:left w:val="nil"/>
              <w:bottom w:val="nil"/>
              <w:right w:val="nil"/>
            </w:tcBorders>
          </w:tcPr>
          <w:p w14:paraId="2B9528E9" w14:textId="479011A4" w:rsidR="00807DDB" w:rsidRPr="00243C9D" w:rsidRDefault="00807DDB" w:rsidP="00807DDB">
            <w:pPr>
              <w:spacing w:line="360" w:lineRule="auto"/>
              <w:rPr>
                <w:b/>
                <w:color w:val="000000" w:themeColor="text1"/>
                <w:sz w:val="24"/>
                <w:szCs w:val="24"/>
              </w:rPr>
            </w:pPr>
            <w:r w:rsidRPr="00243C9D">
              <w:rPr>
                <w:bCs/>
                <w:iCs/>
                <w:color w:val="000000" w:themeColor="text1"/>
                <w:sz w:val="24"/>
                <w:szCs w:val="24"/>
                <w:shd w:val="clear" w:color="auto" w:fill="FFFFFF"/>
              </w:rPr>
              <w:t>χ</w:t>
            </w:r>
            <w:r w:rsidRPr="00243C9D">
              <w:rPr>
                <w:bCs/>
                <w:color w:val="000000" w:themeColor="text1"/>
                <w:sz w:val="24"/>
                <w:szCs w:val="24"/>
                <w:shd w:val="clear" w:color="auto" w:fill="FFFFFF"/>
              </w:rPr>
              <w:t xml:space="preserve">²(1) </w:t>
            </w:r>
            <w:r w:rsidRPr="00243C9D">
              <w:rPr>
                <w:rFonts w:eastAsiaTheme="minorEastAsia"/>
                <w:color w:val="000000" w:themeColor="text1"/>
                <w:sz w:val="24"/>
                <w:szCs w:val="24"/>
              </w:rPr>
              <w:t xml:space="preserve">= 21.96, </w:t>
            </w:r>
            <w:r w:rsidRPr="00243C9D">
              <w:rPr>
                <w:rFonts w:eastAsiaTheme="minorEastAsia"/>
                <w:i/>
                <w:color w:val="000000" w:themeColor="text1"/>
                <w:sz w:val="24"/>
                <w:szCs w:val="24"/>
              </w:rPr>
              <w:t xml:space="preserve">p </w:t>
            </w:r>
            <w:r w:rsidRPr="00243C9D">
              <w:rPr>
                <w:rFonts w:eastAsiaTheme="minorEastAsia"/>
                <w:color w:val="000000" w:themeColor="text1"/>
                <w:sz w:val="24"/>
                <w:szCs w:val="24"/>
              </w:rPr>
              <w:t>&lt; .001</w:t>
            </w:r>
          </w:p>
        </w:tc>
      </w:tr>
      <w:tr w:rsidR="00807DDB" w14:paraId="445B12D0" w14:textId="77777777" w:rsidTr="0061248F">
        <w:tc>
          <w:tcPr>
            <w:tcW w:w="833" w:type="pct"/>
            <w:tcBorders>
              <w:top w:val="nil"/>
              <w:left w:val="nil"/>
              <w:bottom w:val="nil"/>
              <w:right w:val="nil"/>
            </w:tcBorders>
          </w:tcPr>
          <w:p w14:paraId="3C259D0C" w14:textId="500B37F9" w:rsidR="00807DDB" w:rsidRPr="00243C9D" w:rsidRDefault="00807DDB" w:rsidP="00807DDB">
            <w:pPr>
              <w:spacing w:line="360" w:lineRule="auto"/>
              <w:rPr>
                <w:color w:val="000000" w:themeColor="text1"/>
                <w:sz w:val="24"/>
                <w:szCs w:val="24"/>
              </w:rPr>
            </w:pPr>
            <w:r w:rsidRPr="00243C9D">
              <w:rPr>
                <w:color w:val="000000" w:themeColor="text1"/>
                <w:sz w:val="24"/>
                <w:szCs w:val="24"/>
              </w:rPr>
              <w:t>14 + 15 = 19.90</w:t>
            </w:r>
          </w:p>
        </w:tc>
        <w:tc>
          <w:tcPr>
            <w:tcW w:w="833" w:type="pct"/>
            <w:tcBorders>
              <w:top w:val="nil"/>
              <w:left w:val="nil"/>
              <w:bottom w:val="nil"/>
              <w:right w:val="nil"/>
            </w:tcBorders>
          </w:tcPr>
          <w:p w14:paraId="0A06998C" w14:textId="417C664C" w:rsidR="00807DDB" w:rsidRPr="00243C9D" w:rsidRDefault="00807DDB" w:rsidP="00807DDB">
            <w:pPr>
              <w:spacing w:line="360" w:lineRule="auto"/>
              <w:rPr>
                <w:b/>
                <w:color w:val="000000" w:themeColor="text1"/>
                <w:sz w:val="24"/>
                <w:szCs w:val="24"/>
              </w:rPr>
            </w:pPr>
            <w:r w:rsidRPr="00243C9D">
              <w:rPr>
                <w:bCs/>
                <w:iCs/>
                <w:color w:val="000000" w:themeColor="text1"/>
                <w:sz w:val="24"/>
                <w:szCs w:val="24"/>
                <w:shd w:val="clear" w:color="auto" w:fill="FFFFFF"/>
              </w:rPr>
              <w:t>χ</w:t>
            </w:r>
            <w:r w:rsidRPr="00243C9D">
              <w:rPr>
                <w:bCs/>
                <w:color w:val="000000" w:themeColor="text1"/>
                <w:sz w:val="24"/>
                <w:szCs w:val="24"/>
                <w:shd w:val="clear" w:color="auto" w:fill="FFFFFF"/>
              </w:rPr>
              <w:t xml:space="preserve">²(1) </w:t>
            </w:r>
            <w:r w:rsidRPr="00243C9D">
              <w:rPr>
                <w:rFonts w:eastAsiaTheme="minorEastAsia"/>
                <w:color w:val="000000" w:themeColor="text1"/>
                <w:sz w:val="24"/>
                <w:szCs w:val="24"/>
              </w:rPr>
              <w:t xml:space="preserve">= 21.88, </w:t>
            </w:r>
            <w:r w:rsidRPr="00243C9D">
              <w:rPr>
                <w:rFonts w:eastAsiaTheme="minorEastAsia"/>
                <w:i/>
                <w:color w:val="000000" w:themeColor="text1"/>
                <w:sz w:val="24"/>
                <w:szCs w:val="24"/>
              </w:rPr>
              <w:t xml:space="preserve">p </w:t>
            </w:r>
            <w:r w:rsidRPr="00243C9D">
              <w:rPr>
                <w:rFonts w:eastAsiaTheme="minorEastAsia"/>
                <w:color w:val="000000" w:themeColor="text1"/>
                <w:sz w:val="24"/>
                <w:szCs w:val="24"/>
              </w:rPr>
              <w:t>&lt; .001</w:t>
            </w:r>
          </w:p>
        </w:tc>
        <w:tc>
          <w:tcPr>
            <w:tcW w:w="833" w:type="pct"/>
            <w:tcBorders>
              <w:top w:val="nil"/>
              <w:left w:val="nil"/>
              <w:bottom w:val="nil"/>
              <w:right w:val="nil"/>
            </w:tcBorders>
          </w:tcPr>
          <w:p w14:paraId="3A3D4E93" w14:textId="77777777" w:rsidR="00807DDB" w:rsidRPr="00243C9D" w:rsidRDefault="00807DDB" w:rsidP="00807DDB">
            <w:pPr>
              <w:spacing w:line="360" w:lineRule="auto"/>
              <w:rPr>
                <w:b/>
                <w:color w:val="000000" w:themeColor="text1"/>
                <w:sz w:val="24"/>
                <w:szCs w:val="24"/>
              </w:rPr>
            </w:pPr>
          </w:p>
        </w:tc>
        <w:tc>
          <w:tcPr>
            <w:tcW w:w="834" w:type="pct"/>
            <w:tcBorders>
              <w:top w:val="nil"/>
              <w:left w:val="nil"/>
              <w:bottom w:val="nil"/>
              <w:right w:val="nil"/>
            </w:tcBorders>
          </w:tcPr>
          <w:p w14:paraId="5CFC3884" w14:textId="77777777" w:rsidR="00807DDB" w:rsidRPr="00243C9D" w:rsidRDefault="00807DDB" w:rsidP="00807DDB">
            <w:pPr>
              <w:spacing w:line="360" w:lineRule="auto"/>
              <w:rPr>
                <w:b/>
                <w:color w:val="000000" w:themeColor="text1"/>
                <w:sz w:val="24"/>
                <w:szCs w:val="24"/>
              </w:rPr>
            </w:pPr>
          </w:p>
        </w:tc>
        <w:tc>
          <w:tcPr>
            <w:tcW w:w="833" w:type="pct"/>
            <w:tcBorders>
              <w:top w:val="nil"/>
              <w:left w:val="nil"/>
              <w:bottom w:val="nil"/>
              <w:right w:val="nil"/>
            </w:tcBorders>
          </w:tcPr>
          <w:p w14:paraId="5A6E1342" w14:textId="64DA98BC" w:rsidR="00807DDB" w:rsidRPr="00243C9D" w:rsidRDefault="00807DDB" w:rsidP="00807DDB">
            <w:pPr>
              <w:spacing w:line="360" w:lineRule="auto"/>
              <w:rPr>
                <w:bCs/>
                <w:color w:val="000000" w:themeColor="text1"/>
                <w:sz w:val="24"/>
                <w:szCs w:val="24"/>
              </w:rPr>
            </w:pPr>
            <w:r w:rsidRPr="00243C9D">
              <w:rPr>
                <w:bCs/>
                <w:color w:val="000000" w:themeColor="text1"/>
                <w:sz w:val="24"/>
                <w:szCs w:val="24"/>
              </w:rPr>
              <w:t>6 + 7, MI = 17.68</w:t>
            </w:r>
          </w:p>
        </w:tc>
        <w:tc>
          <w:tcPr>
            <w:tcW w:w="834" w:type="pct"/>
            <w:tcBorders>
              <w:top w:val="nil"/>
              <w:left w:val="nil"/>
              <w:bottom w:val="nil"/>
              <w:right w:val="nil"/>
            </w:tcBorders>
          </w:tcPr>
          <w:p w14:paraId="4BE5A796" w14:textId="755E349A" w:rsidR="00807DDB" w:rsidRPr="00243C9D" w:rsidRDefault="00807DDB" w:rsidP="00807DDB">
            <w:pPr>
              <w:spacing w:line="360" w:lineRule="auto"/>
              <w:rPr>
                <w:b/>
                <w:color w:val="000000" w:themeColor="text1"/>
                <w:sz w:val="24"/>
                <w:szCs w:val="24"/>
              </w:rPr>
            </w:pPr>
            <w:r w:rsidRPr="00243C9D">
              <w:rPr>
                <w:bCs/>
                <w:iCs/>
                <w:color w:val="000000" w:themeColor="text1"/>
                <w:sz w:val="24"/>
                <w:szCs w:val="24"/>
                <w:shd w:val="clear" w:color="auto" w:fill="FFFFFF"/>
              </w:rPr>
              <w:t>χ</w:t>
            </w:r>
            <w:r w:rsidRPr="00243C9D">
              <w:rPr>
                <w:bCs/>
                <w:color w:val="000000" w:themeColor="text1"/>
                <w:sz w:val="24"/>
                <w:szCs w:val="24"/>
                <w:shd w:val="clear" w:color="auto" w:fill="FFFFFF"/>
              </w:rPr>
              <w:t xml:space="preserve">²(1) </w:t>
            </w:r>
            <w:r w:rsidRPr="00243C9D">
              <w:rPr>
                <w:rFonts w:eastAsiaTheme="minorEastAsia"/>
                <w:color w:val="000000" w:themeColor="text1"/>
                <w:sz w:val="24"/>
                <w:szCs w:val="24"/>
              </w:rPr>
              <w:t xml:space="preserve">= 16.37, </w:t>
            </w:r>
            <w:r w:rsidRPr="00243C9D">
              <w:rPr>
                <w:rFonts w:eastAsiaTheme="minorEastAsia"/>
                <w:i/>
                <w:color w:val="000000" w:themeColor="text1"/>
                <w:sz w:val="24"/>
                <w:szCs w:val="24"/>
              </w:rPr>
              <w:t xml:space="preserve">p </w:t>
            </w:r>
            <w:r w:rsidRPr="00243C9D">
              <w:rPr>
                <w:rFonts w:eastAsiaTheme="minorEastAsia"/>
                <w:color w:val="000000" w:themeColor="text1"/>
                <w:sz w:val="24"/>
                <w:szCs w:val="24"/>
              </w:rPr>
              <w:t>&lt; .001</w:t>
            </w:r>
          </w:p>
        </w:tc>
      </w:tr>
      <w:tr w:rsidR="00807DDB" w14:paraId="61DEE4F0" w14:textId="77777777" w:rsidTr="0061248F">
        <w:trPr>
          <w:trHeight w:val="269"/>
        </w:trPr>
        <w:tc>
          <w:tcPr>
            <w:tcW w:w="833" w:type="pct"/>
            <w:tcBorders>
              <w:top w:val="nil"/>
              <w:left w:val="nil"/>
              <w:bottom w:val="single" w:sz="4" w:space="0" w:color="auto"/>
              <w:right w:val="nil"/>
            </w:tcBorders>
          </w:tcPr>
          <w:p w14:paraId="74ED8FEC" w14:textId="1C5EFFDC" w:rsidR="00807DDB" w:rsidRPr="00243C9D" w:rsidRDefault="00807DDB" w:rsidP="00807DDB">
            <w:pPr>
              <w:spacing w:line="360" w:lineRule="auto"/>
              <w:rPr>
                <w:color w:val="000000" w:themeColor="text1"/>
                <w:sz w:val="24"/>
                <w:szCs w:val="24"/>
              </w:rPr>
            </w:pPr>
            <w:r w:rsidRPr="00243C9D">
              <w:rPr>
                <w:color w:val="000000" w:themeColor="text1"/>
                <w:sz w:val="24"/>
                <w:szCs w:val="24"/>
              </w:rPr>
              <w:t>3 + 17 = 17.51</w:t>
            </w:r>
          </w:p>
        </w:tc>
        <w:tc>
          <w:tcPr>
            <w:tcW w:w="833" w:type="pct"/>
            <w:tcBorders>
              <w:top w:val="nil"/>
              <w:left w:val="nil"/>
              <w:bottom w:val="single" w:sz="4" w:space="0" w:color="auto"/>
              <w:right w:val="nil"/>
            </w:tcBorders>
          </w:tcPr>
          <w:p w14:paraId="58B7532F" w14:textId="7228ADE1" w:rsidR="00807DDB" w:rsidRPr="00243C9D" w:rsidRDefault="00807DDB" w:rsidP="00807DDB">
            <w:pPr>
              <w:spacing w:line="360" w:lineRule="auto"/>
              <w:rPr>
                <w:b/>
                <w:color w:val="000000" w:themeColor="text1"/>
                <w:sz w:val="24"/>
                <w:szCs w:val="24"/>
              </w:rPr>
            </w:pPr>
            <w:r w:rsidRPr="00243C9D">
              <w:rPr>
                <w:bCs/>
                <w:iCs/>
                <w:color w:val="000000" w:themeColor="text1"/>
                <w:sz w:val="24"/>
                <w:szCs w:val="24"/>
                <w:shd w:val="clear" w:color="auto" w:fill="FFFFFF"/>
              </w:rPr>
              <w:t>χ</w:t>
            </w:r>
            <w:r w:rsidRPr="00243C9D">
              <w:rPr>
                <w:bCs/>
                <w:color w:val="000000" w:themeColor="text1"/>
                <w:sz w:val="24"/>
                <w:szCs w:val="24"/>
                <w:shd w:val="clear" w:color="auto" w:fill="FFFFFF"/>
              </w:rPr>
              <w:t xml:space="preserve">²(1) </w:t>
            </w:r>
            <w:r w:rsidRPr="00243C9D">
              <w:rPr>
                <w:rFonts w:eastAsiaTheme="minorEastAsia"/>
                <w:color w:val="000000" w:themeColor="text1"/>
                <w:sz w:val="24"/>
                <w:szCs w:val="24"/>
              </w:rPr>
              <w:t xml:space="preserve">= 17.58, </w:t>
            </w:r>
            <w:r w:rsidRPr="00243C9D">
              <w:rPr>
                <w:rFonts w:eastAsiaTheme="minorEastAsia"/>
                <w:i/>
                <w:color w:val="000000" w:themeColor="text1"/>
                <w:sz w:val="24"/>
                <w:szCs w:val="24"/>
              </w:rPr>
              <w:t xml:space="preserve">p </w:t>
            </w:r>
            <w:r w:rsidRPr="00243C9D">
              <w:rPr>
                <w:rFonts w:eastAsiaTheme="minorEastAsia"/>
                <w:color w:val="000000" w:themeColor="text1"/>
                <w:sz w:val="24"/>
                <w:szCs w:val="24"/>
              </w:rPr>
              <w:t>&lt; .001</w:t>
            </w:r>
          </w:p>
        </w:tc>
        <w:tc>
          <w:tcPr>
            <w:tcW w:w="833" w:type="pct"/>
            <w:tcBorders>
              <w:top w:val="nil"/>
              <w:left w:val="nil"/>
              <w:bottom w:val="single" w:sz="4" w:space="0" w:color="auto"/>
              <w:right w:val="nil"/>
            </w:tcBorders>
          </w:tcPr>
          <w:p w14:paraId="0BFF150F" w14:textId="77777777" w:rsidR="00807DDB" w:rsidRPr="00243C9D" w:rsidRDefault="00807DDB" w:rsidP="00807DDB">
            <w:pPr>
              <w:spacing w:line="360" w:lineRule="auto"/>
              <w:rPr>
                <w:b/>
                <w:color w:val="000000" w:themeColor="text1"/>
                <w:sz w:val="24"/>
                <w:szCs w:val="24"/>
              </w:rPr>
            </w:pPr>
          </w:p>
        </w:tc>
        <w:tc>
          <w:tcPr>
            <w:tcW w:w="834" w:type="pct"/>
            <w:tcBorders>
              <w:top w:val="nil"/>
              <w:left w:val="nil"/>
              <w:bottom w:val="single" w:sz="4" w:space="0" w:color="auto"/>
              <w:right w:val="nil"/>
            </w:tcBorders>
          </w:tcPr>
          <w:p w14:paraId="53D791E7" w14:textId="77777777" w:rsidR="00807DDB" w:rsidRPr="00243C9D" w:rsidRDefault="00807DDB" w:rsidP="00807DDB">
            <w:pPr>
              <w:spacing w:line="360" w:lineRule="auto"/>
              <w:rPr>
                <w:b/>
                <w:color w:val="000000" w:themeColor="text1"/>
                <w:sz w:val="24"/>
                <w:szCs w:val="24"/>
              </w:rPr>
            </w:pPr>
          </w:p>
        </w:tc>
        <w:tc>
          <w:tcPr>
            <w:tcW w:w="833" w:type="pct"/>
            <w:tcBorders>
              <w:top w:val="nil"/>
              <w:left w:val="nil"/>
              <w:bottom w:val="single" w:sz="4" w:space="0" w:color="auto"/>
              <w:right w:val="nil"/>
            </w:tcBorders>
          </w:tcPr>
          <w:p w14:paraId="143ED1C2" w14:textId="77777777" w:rsidR="00807DDB" w:rsidRPr="00243C9D" w:rsidRDefault="00807DDB" w:rsidP="00807DDB">
            <w:pPr>
              <w:spacing w:line="360" w:lineRule="auto"/>
              <w:rPr>
                <w:b/>
                <w:color w:val="000000" w:themeColor="text1"/>
                <w:sz w:val="24"/>
                <w:szCs w:val="24"/>
              </w:rPr>
            </w:pPr>
          </w:p>
        </w:tc>
        <w:tc>
          <w:tcPr>
            <w:tcW w:w="834" w:type="pct"/>
            <w:tcBorders>
              <w:top w:val="nil"/>
              <w:left w:val="nil"/>
              <w:bottom w:val="single" w:sz="4" w:space="0" w:color="auto"/>
              <w:right w:val="nil"/>
            </w:tcBorders>
          </w:tcPr>
          <w:p w14:paraId="4901B739" w14:textId="77777777" w:rsidR="00807DDB" w:rsidRPr="00243C9D" w:rsidRDefault="00807DDB" w:rsidP="00807DDB">
            <w:pPr>
              <w:spacing w:line="360" w:lineRule="auto"/>
              <w:rPr>
                <w:b/>
                <w:color w:val="000000" w:themeColor="text1"/>
                <w:sz w:val="24"/>
                <w:szCs w:val="24"/>
              </w:rPr>
            </w:pPr>
          </w:p>
        </w:tc>
      </w:tr>
    </w:tbl>
    <w:p w14:paraId="4B2945BA" w14:textId="0AB831BC" w:rsidR="00513542" w:rsidRDefault="00243C9D">
      <w:pPr>
        <w:rPr>
          <w:rStyle w:val="apple-converted-space"/>
        </w:rPr>
      </w:pPr>
      <w:r>
        <w:rPr>
          <w:rStyle w:val="apple-converted-space"/>
          <w:i/>
          <w:iCs/>
        </w:rPr>
        <w:t xml:space="preserve">Note. </w:t>
      </w:r>
      <w:r>
        <w:rPr>
          <w:rStyle w:val="apple-converted-space"/>
        </w:rPr>
        <w:t>EFA = Exploratory Factor Analysis</w:t>
      </w:r>
      <w:r w:rsidR="00513542">
        <w:rPr>
          <w:rStyle w:val="apple-converted-space"/>
        </w:rPr>
        <w:br w:type="page"/>
      </w:r>
    </w:p>
    <w:p w14:paraId="080F80BA" w14:textId="771F96A1" w:rsidR="00513542" w:rsidRPr="00243C9D" w:rsidRDefault="00513542" w:rsidP="003D14E9">
      <w:pPr>
        <w:pStyle w:val="Heading1"/>
      </w:pPr>
      <w:r w:rsidRPr="00243C9D">
        <w:lastRenderedPageBreak/>
        <w:t xml:space="preserve">Table 3. Measurement Invariance </w:t>
      </w:r>
      <w:proofErr w:type="gramStart"/>
      <w:r w:rsidRPr="00243C9D">
        <w:t>Across</w:t>
      </w:r>
      <w:proofErr w:type="gramEnd"/>
      <w:r w:rsidRPr="00243C9D">
        <w:t xml:space="preserve"> </w:t>
      </w:r>
      <w:r w:rsidR="00BF2AC6">
        <w:t>Gender</w:t>
      </w:r>
      <w:r w:rsidRPr="00243C9D">
        <w:t xml:space="preserve"> in the Second Split-Half Subsample.</w:t>
      </w:r>
    </w:p>
    <w:tbl>
      <w:tblPr>
        <w:tblStyle w:val="TableGrid"/>
        <w:tblpPr w:leftFromText="180" w:rightFromText="180" w:vertAnchor="text" w:horzAnchor="margin" w:tblpY="12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8"/>
        <w:gridCol w:w="939"/>
        <w:gridCol w:w="626"/>
        <w:gridCol w:w="960"/>
        <w:gridCol w:w="1114"/>
        <w:gridCol w:w="946"/>
        <w:gridCol w:w="1477"/>
        <w:gridCol w:w="902"/>
        <w:gridCol w:w="606"/>
        <w:gridCol w:w="907"/>
        <w:gridCol w:w="1122"/>
        <w:gridCol w:w="1122"/>
        <w:gridCol w:w="1108"/>
        <w:gridCol w:w="793"/>
      </w:tblGrid>
      <w:tr w:rsidR="00243C9D" w:rsidRPr="00243C9D" w14:paraId="32FDF3AF" w14:textId="77777777" w:rsidTr="00243C9D">
        <w:tc>
          <w:tcPr>
            <w:tcW w:w="479" w:type="pct"/>
            <w:tcBorders>
              <w:top w:val="single" w:sz="4" w:space="0" w:color="auto"/>
              <w:bottom w:val="single" w:sz="4" w:space="0" w:color="auto"/>
            </w:tcBorders>
          </w:tcPr>
          <w:p w14:paraId="5DE50E95" w14:textId="77777777" w:rsidR="00243C9D" w:rsidRPr="00243C9D" w:rsidRDefault="00243C9D" w:rsidP="00290330">
            <w:pPr>
              <w:spacing w:line="480" w:lineRule="auto"/>
              <w:rPr>
                <w:sz w:val="24"/>
                <w:szCs w:val="24"/>
              </w:rPr>
            </w:pPr>
            <w:r w:rsidRPr="00243C9D">
              <w:rPr>
                <w:sz w:val="24"/>
                <w:szCs w:val="24"/>
              </w:rPr>
              <w:t>Model</w:t>
            </w:r>
          </w:p>
        </w:tc>
        <w:tc>
          <w:tcPr>
            <w:tcW w:w="336" w:type="pct"/>
            <w:tcBorders>
              <w:top w:val="single" w:sz="4" w:space="0" w:color="auto"/>
              <w:bottom w:val="single" w:sz="4" w:space="0" w:color="auto"/>
            </w:tcBorders>
          </w:tcPr>
          <w:p w14:paraId="376D4970" w14:textId="77777777" w:rsidR="00243C9D" w:rsidRPr="00243C9D" w:rsidRDefault="00243C9D" w:rsidP="00290330">
            <w:pPr>
              <w:spacing w:line="480" w:lineRule="auto"/>
              <w:rPr>
                <w:sz w:val="24"/>
                <w:szCs w:val="24"/>
              </w:rPr>
            </w:pPr>
            <w:r w:rsidRPr="00243C9D">
              <w:rPr>
                <w:bCs/>
                <w:iCs/>
                <w:color w:val="000000" w:themeColor="text1"/>
                <w:sz w:val="24"/>
                <w:szCs w:val="24"/>
                <w:shd w:val="clear" w:color="auto" w:fill="FFFFFF"/>
              </w:rPr>
              <w:t>SBχ</w:t>
            </w:r>
            <w:r w:rsidRPr="00243C9D">
              <w:rPr>
                <w:bCs/>
                <w:color w:val="000000" w:themeColor="text1"/>
                <w:sz w:val="24"/>
                <w:szCs w:val="24"/>
                <w:shd w:val="clear" w:color="auto" w:fill="FFFFFF"/>
              </w:rPr>
              <w:t>²</w:t>
            </w:r>
          </w:p>
        </w:tc>
        <w:tc>
          <w:tcPr>
            <w:tcW w:w="224" w:type="pct"/>
            <w:tcBorders>
              <w:top w:val="single" w:sz="4" w:space="0" w:color="auto"/>
              <w:bottom w:val="single" w:sz="4" w:space="0" w:color="auto"/>
            </w:tcBorders>
          </w:tcPr>
          <w:p w14:paraId="76A72952" w14:textId="77777777" w:rsidR="00243C9D" w:rsidRPr="00243C9D" w:rsidRDefault="00243C9D" w:rsidP="00290330">
            <w:pPr>
              <w:spacing w:line="480" w:lineRule="auto"/>
              <w:rPr>
                <w:i/>
                <w:sz w:val="24"/>
                <w:szCs w:val="24"/>
              </w:rPr>
            </w:pPr>
            <w:proofErr w:type="spellStart"/>
            <w:r w:rsidRPr="00243C9D">
              <w:rPr>
                <w:i/>
                <w:sz w:val="24"/>
                <w:szCs w:val="24"/>
              </w:rPr>
              <w:t>df</w:t>
            </w:r>
            <w:proofErr w:type="spellEnd"/>
          </w:p>
        </w:tc>
        <w:tc>
          <w:tcPr>
            <w:tcW w:w="344" w:type="pct"/>
            <w:tcBorders>
              <w:top w:val="single" w:sz="4" w:space="0" w:color="auto"/>
              <w:bottom w:val="single" w:sz="4" w:space="0" w:color="auto"/>
            </w:tcBorders>
          </w:tcPr>
          <w:p w14:paraId="05E9349D" w14:textId="77777777" w:rsidR="00243C9D" w:rsidRPr="00243C9D" w:rsidRDefault="00243C9D" w:rsidP="00290330">
            <w:pPr>
              <w:spacing w:line="480" w:lineRule="auto"/>
              <w:rPr>
                <w:sz w:val="24"/>
                <w:szCs w:val="24"/>
              </w:rPr>
            </w:pPr>
            <w:r w:rsidRPr="00243C9D">
              <w:rPr>
                <w:sz w:val="24"/>
                <w:szCs w:val="24"/>
              </w:rPr>
              <w:t>Robust CFI</w:t>
            </w:r>
          </w:p>
        </w:tc>
        <w:tc>
          <w:tcPr>
            <w:tcW w:w="399" w:type="pct"/>
            <w:tcBorders>
              <w:top w:val="single" w:sz="4" w:space="0" w:color="auto"/>
              <w:bottom w:val="single" w:sz="4" w:space="0" w:color="auto"/>
            </w:tcBorders>
          </w:tcPr>
          <w:p w14:paraId="5E942E65" w14:textId="77777777" w:rsidR="00243C9D" w:rsidRPr="00243C9D" w:rsidRDefault="00243C9D" w:rsidP="00290330">
            <w:pPr>
              <w:spacing w:line="480" w:lineRule="auto"/>
              <w:rPr>
                <w:sz w:val="24"/>
                <w:szCs w:val="24"/>
              </w:rPr>
            </w:pPr>
            <w:r w:rsidRPr="00243C9D">
              <w:rPr>
                <w:sz w:val="24"/>
                <w:szCs w:val="24"/>
              </w:rPr>
              <w:t>Robust RMSEA</w:t>
            </w:r>
          </w:p>
        </w:tc>
        <w:tc>
          <w:tcPr>
            <w:tcW w:w="339" w:type="pct"/>
            <w:tcBorders>
              <w:top w:val="single" w:sz="4" w:space="0" w:color="auto"/>
              <w:bottom w:val="single" w:sz="4" w:space="0" w:color="auto"/>
            </w:tcBorders>
          </w:tcPr>
          <w:p w14:paraId="75C4BDD7" w14:textId="77777777" w:rsidR="00243C9D" w:rsidRPr="00243C9D" w:rsidRDefault="00243C9D" w:rsidP="00290330">
            <w:pPr>
              <w:spacing w:line="480" w:lineRule="auto"/>
              <w:rPr>
                <w:sz w:val="24"/>
                <w:szCs w:val="24"/>
              </w:rPr>
            </w:pPr>
            <w:r w:rsidRPr="00243C9D">
              <w:rPr>
                <w:sz w:val="24"/>
                <w:szCs w:val="24"/>
              </w:rPr>
              <w:t>SRMR</w:t>
            </w:r>
          </w:p>
        </w:tc>
        <w:tc>
          <w:tcPr>
            <w:tcW w:w="529" w:type="pct"/>
            <w:tcBorders>
              <w:top w:val="single" w:sz="4" w:space="0" w:color="auto"/>
              <w:bottom w:val="single" w:sz="4" w:space="0" w:color="auto"/>
            </w:tcBorders>
          </w:tcPr>
          <w:p w14:paraId="17B3E98D" w14:textId="77777777" w:rsidR="00243C9D" w:rsidRPr="00243C9D" w:rsidRDefault="00243C9D" w:rsidP="00290330">
            <w:pPr>
              <w:spacing w:line="480" w:lineRule="auto"/>
              <w:rPr>
                <w:sz w:val="24"/>
                <w:szCs w:val="24"/>
              </w:rPr>
            </w:pPr>
            <w:r w:rsidRPr="00243C9D">
              <w:rPr>
                <w:sz w:val="24"/>
                <w:szCs w:val="24"/>
              </w:rPr>
              <w:t>Model Comparison</w:t>
            </w:r>
          </w:p>
        </w:tc>
        <w:tc>
          <w:tcPr>
            <w:tcW w:w="323" w:type="pct"/>
            <w:tcBorders>
              <w:top w:val="single" w:sz="4" w:space="0" w:color="auto"/>
              <w:bottom w:val="single" w:sz="4" w:space="0" w:color="auto"/>
            </w:tcBorders>
          </w:tcPr>
          <w:p w14:paraId="6C139738" w14:textId="77777777" w:rsidR="00243C9D" w:rsidRPr="00243C9D" w:rsidRDefault="00243C9D" w:rsidP="00290330">
            <w:pPr>
              <w:spacing w:line="480" w:lineRule="auto"/>
              <w:rPr>
                <w:sz w:val="24"/>
                <w:szCs w:val="24"/>
              </w:rPr>
            </w:pPr>
            <w:r w:rsidRPr="00243C9D">
              <w:rPr>
                <w:rFonts w:eastAsia="Arial Unicode MS"/>
                <w:color w:val="000000" w:themeColor="text1"/>
                <w:sz w:val="24"/>
                <w:szCs w:val="24"/>
                <w:shd w:val="clear" w:color="auto" w:fill="FFFFFF"/>
              </w:rPr>
              <w:t>ΔSB</w:t>
            </w:r>
            <w:r w:rsidRPr="00243C9D">
              <w:rPr>
                <w:bCs/>
                <w:i/>
                <w:iCs/>
                <w:color w:val="000000" w:themeColor="text1"/>
                <w:sz w:val="24"/>
                <w:szCs w:val="24"/>
                <w:shd w:val="clear" w:color="auto" w:fill="FFFFFF"/>
              </w:rPr>
              <w:t>χ</w:t>
            </w:r>
            <w:r w:rsidRPr="00243C9D">
              <w:rPr>
                <w:bCs/>
                <w:color w:val="000000" w:themeColor="text1"/>
                <w:sz w:val="24"/>
                <w:szCs w:val="24"/>
                <w:shd w:val="clear" w:color="auto" w:fill="FFFFFF"/>
              </w:rPr>
              <w:t>²</w:t>
            </w:r>
          </w:p>
        </w:tc>
        <w:tc>
          <w:tcPr>
            <w:tcW w:w="217" w:type="pct"/>
            <w:tcBorders>
              <w:top w:val="single" w:sz="4" w:space="0" w:color="auto"/>
              <w:bottom w:val="single" w:sz="4" w:space="0" w:color="auto"/>
            </w:tcBorders>
          </w:tcPr>
          <w:p w14:paraId="469D26BF" w14:textId="77777777" w:rsidR="00243C9D" w:rsidRPr="00243C9D" w:rsidRDefault="00243C9D" w:rsidP="00290330">
            <w:pPr>
              <w:spacing w:line="480" w:lineRule="auto"/>
              <w:rPr>
                <w:rFonts w:eastAsia="Arial Unicode MS"/>
                <w:color w:val="000000" w:themeColor="text1"/>
                <w:sz w:val="24"/>
                <w:szCs w:val="24"/>
                <w:shd w:val="clear" w:color="auto" w:fill="FFFFFF"/>
              </w:rPr>
            </w:pPr>
            <w:proofErr w:type="spellStart"/>
            <w:r w:rsidRPr="00243C9D">
              <w:rPr>
                <w:rFonts w:eastAsia="Arial Unicode MS"/>
                <w:color w:val="000000" w:themeColor="text1"/>
                <w:sz w:val="24"/>
                <w:szCs w:val="24"/>
                <w:shd w:val="clear" w:color="auto" w:fill="FFFFFF"/>
              </w:rPr>
              <w:t>Δ</w:t>
            </w:r>
            <w:r w:rsidRPr="00243C9D">
              <w:rPr>
                <w:rFonts w:eastAsia="Arial Unicode MS"/>
                <w:i/>
                <w:color w:val="000000" w:themeColor="text1"/>
                <w:sz w:val="24"/>
                <w:szCs w:val="24"/>
                <w:shd w:val="clear" w:color="auto" w:fill="FFFFFF"/>
              </w:rPr>
              <w:t>df</w:t>
            </w:r>
            <w:proofErr w:type="spellEnd"/>
          </w:p>
        </w:tc>
        <w:tc>
          <w:tcPr>
            <w:tcW w:w="325" w:type="pct"/>
            <w:tcBorders>
              <w:top w:val="single" w:sz="4" w:space="0" w:color="auto"/>
              <w:bottom w:val="single" w:sz="4" w:space="0" w:color="auto"/>
            </w:tcBorders>
          </w:tcPr>
          <w:p w14:paraId="15E43A57" w14:textId="77777777" w:rsidR="00243C9D" w:rsidRPr="00243C9D" w:rsidRDefault="00243C9D" w:rsidP="00290330">
            <w:pPr>
              <w:spacing w:line="480" w:lineRule="auto"/>
              <w:rPr>
                <w:rFonts w:eastAsia="Arial Unicode MS"/>
                <w:color w:val="000000" w:themeColor="text1"/>
                <w:sz w:val="24"/>
                <w:szCs w:val="24"/>
                <w:shd w:val="clear" w:color="auto" w:fill="FFFFFF"/>
              </w:rPr>
            </w:pPr>
            <w:r w:rsidRPr="00243C9D">
              <w:rPr>
                <w:i/>
                <w:sz w:val="24"/>
                <w:szCs w:val="24"/>
              </w:rPr>
              <w:t>p</w:t>
            </w:r>
          </w:p>
        </w:tc>
        <w:tc>
          <w:tcPr>
            <w:tcW w:w="402" w:type="pct"/>
            <w:tcBorders>
              <w:top w:val="single" w:sz="4" w:space="0" w:color="auto"/>
              <w:bottom w:val="single" w:sz="4" w:space="0" w:color="auto"/>
            </w:tcBorders>
          </w:tcPr>
          <w:p w14:paraId="6F9EE3FC" w14:textId="77777777" w:rsidR="00243C9D" w:rsidRPr="00243C9D" w:rsidRDefault="00243C9D" w:rsidP="00290330">
            <w:pPr>
              <w:spacing w:line="480" w:lineRule="auto"/>
              <w:rPr>
                <w:sz w:val="24"/>
                <w:szCs w:val="24"/>
              </w:rPr>
            </w:pPr>
            <w:proofErr w:type="spellStart"/>
            <w:r w:rsidRPr="00243C9D">
              <w:rPr>
                <w:rFonts w:eastAsia="Arial Unicode MS"/>
                <w:color w:val="000000" w:themeColor="text1"/>
                <w:sz w:val="24"/>
                <w:szCs w:val="24"/>
                <w:shd w:val="clear" w:color="auto" w:fill="FFFFFF"/>
              </w:rPr>
              <w:t>ΔRobust</w:t>
            </w:r>
            <w:proofErr w:type="spellEnd"/>
            <w:r w:rsidRPr="00243C9D">
              <w:rPr>
                <w:rFonts w:eastAsia="Arial Unicode MS"/>
                <w:color w:val="000000" w:themeColor="text1"/>
                <w:sz w:val="24"/>
                <w:szCs w:val="24"/>
                <w:shd w:val="clear" w:color="auto" w:fill="FFFFFF"/>
              </w:rPr>
              <w:t xml:space="preserve"> CFI</w:t>
            </w:r>
          </w:p>
        </w:tc>
        <w:tc>
          <w:tcPr>
            <w:tcW w:w="402" w:type="pct"/>
            <w:tcBorders>
              <w:top w:val="single" w:sz="4" w:space="0" w:color="auto"/>
              <w:bottom w:val="single" w:sz="4" w:space="0" w:color="auto"/>
            </w:tcBorders>
          </w:tcPr>
          <w:p w14:paraId="3D9D2638" w14:textId="77777777" w:rsidR="00243C9D" w:rsidRPr="00243C9D" w:rsidRDefault="00243C9D" w:rsidP="00290330">
            <w:pPr>
              <w:spacing w:line="480" w:lineRule="auto"/>
              <w:rPr>
                <w:sz w:val="24"/>
                <w:szCs w:val="24"/>
              </w:rPr>
            </w:pPr>
            <w:proofErr w:type="spellStart"/>
            <w:r w:rsidRPr="00243C9D">
              <w:rPr>
                <w:rFonts w:eastAsia="Arial Unicode MS"/>
                <w:color w:val="000000" w:themeColor="text1"/>
                <w:sz w:val="24"/>
                <w:szCs w:val="24"/>
                <w:shd w:val="clear" w:color="auto" w:fill="FFFFFF"/>
              </w:rPr>
              <w:t>ΔRobust</w:t>
            </w:r>
            <w:proofErr w:type="spellEnd"/>
            <w:r w:rsidRPr="00243C9D">
              <w:rPr>
                <w:rFonts w:eastAsia="Arial Unicode MS"/>
                <w:color w:val="000000" w:themeColor="text1"/>
                <w:sz w:val="24"/>
                <w:szCs w:val="24"/>
                <w:shd w:val="clear" w:color="auto" w:fill="FFFFFF"/>
              </w:rPr>
              <w:t xml:space="preserve"> RMSEA</w:t>
            </w:r>
          </w:p>
        </w:tc>
        <w:tc>
          <w:tcPr>
            <w:tcW w:w="397" w:type="pct"/>
            <w:tcBorders>
              <w:top w:val="single" w:sz="4" w:space="0" w:color="auto"/>
              <w:bottom w:val="single" w:sz="4" w:space="0" w:color="auto"/>
            </w:tcBorders>
          </w:tcPr>
          <w:p w14:paraId="50D00CEE" w14:textId="77777777" w:rsidR="00243C9D" w:rsidRPr="00243C9D" w:rsidRDefault="00243C9D" w:rsidP="00290330">
            <w:pPr>
              <w:spacing w:line="480" w:lineRule="auto"/>
              <w:rPr>
                <w:i/>
                <w:sz w:val="24"/>
                <w:szCs w:val="24"/>
              </w:rPr>
            </w:pPr>
            <w:r w:rsidRPr="00243C9D">
              <w:rPr>
                <w:rFonts w:eastAsia="Arial Unicode MS"/>
                <w:color w:val="000000" w:themeColor="text1"/>
                <w:sz w:val="24"/>
                <w:szCs w:val="24"/>
                <w:shd w:val="clear" w:color="auto" w:fill="FFFFFF"/>
              </w:rPr>
              <w:t>ΔSRMR</w:t>
            </w:r>
          </w:p>
        </w:tc>
        <w:tc>
          <w:tcPr>
            <w:tcW w:w="284" w:type="pct"/>
            <w:tcBorders>
              <w:top w:val="single" w:sz="4" w:space="0" w:color="auto"/>
              <w:bottom w:val="single" w:sz="4" w:space="0" w:color="auto"/>
            </w:tcBorders>
          </w:tcPr>
          <w:p w14:paraId="588CF774" w14:textId="77777777" w:rsidR="00243C9D" w:rsidRPr="00243C9D" w:rsidRDefault="00243C9D" w:rsidP="00290330">
            <w:pPr>
              <w:spacing w:line="480" w:lineRule="auto"/>
              <w:rPr>
                <w:sz w:val="24"/>
                <w:szCs w:val="24"/>
              </w:rPr>
            </w:pPr>
            <w:r w:rsidRPr="00243C9D">
              <w:rPr>
                <w:sz w:val="24"/>
                <w:szCs w:val="24"/>
              </w:rPr>
              <w:t>PGFI</w:t>
            </w:r>
          </w:p>
        </w:tc>
      </w:tr>
      <w:tr w:rsidR="00243C9D" w:rsidRPr="00243C9D" w14:paraId="7D7AEFB4" w14:textId="77777777" w:rsidTr="00243C9D">
        <w:tc>
          <w:tcPr>
            <w:tcW w:w="479" w:type="pct"/>
            <w:tcBorders>
              <w:top w:val="single" w:sz="4" w:space="0" w:color="auto"/>
            </w:tcBorders>
          </w:tcPr>
          <w:p w14:paraId="16BD93C3" w14:textId="77777777" w:rsidR="00243C9D" w:rsidRPr="00243C9D" w:rsidRDefault="00243C9D" w:rsidP="00290330">
            <w:pPr>
              <w:spacing w:line="480" w:lineRule="auto"/>
              <w:rPr>
                <w:sz w:val="24"/>
                <w:szCs w:val="24"/>
              </w:rPr>
            </w:pPr>
            <w:proofErr w:type="spellStart"/>
            <w:r w:rsidRPr="00243C9D">
              <w:rPr>
                <w:sz w:val="24"/>
                <w:szCs w:val="24"/>
              </w:rPr>
              <w:t>Configural</w:t>
            </w:r>
            <w:proofErr w:type="spellEnd"/>
          </w:p>
        </w:tc>
        <w:tc>
          <w:tcPr>
            <w:tcW w:w="336" w:type="pct"/>
            <w:tcBorders>
              <w:top w:val="single" w:sz="4" w:space="0" w:color="auto"/>
            </w:tcBorders>
          </w:tcPr>
          <w:p w14:paraId="01DA5D96" w14:textId="15BED6DC" w:rsidR="00243C9D" w:rsidRPr="00243C9D" w:rsidRDefault="00243C9D" w:rsidP="00290330">
            <w:pPr>
              <w:spacing w:line="480" w:lineRule="auto"/>
              <w:rPr>
                <w:sz w:val="24"/>
                <w:szCs w:val="24"/>
              </w:rPr>
            </w:pPr>
            <w:r>
              <w:rPr>
                <w:sz w:val="24"/>
                <w:szCs w:val="24"/>
              </w:rPr>
              <w:t>7</w:t>
            </w:r>
            <w:r>
              <w:t>20.43</w:t>
            </w:r>
          </w:p>
        </w:tc>
        <w:tc>
          <w:tcPr>
            <w:tcW w:w="224" w:type="pct"/>
            <w:tcBorders>
              <w:top w:val="single" w:sz="4" w:space="0" w:color="auto"/>
            </w:tcBorders>
          </w:tcPr>
          <w:p w14:paraId="3144EA62" w14:textId="13790383" w:rsidR="00243C9D" w:rsidRPr="00243C9D" w:rsidRDefault="00243C9D" w:rsidP="00290330">
            <w:pPr>
              <w:spacing w:line="480" w:lineRule="auto"/>
              <w:rPr>
                <w:sz w:val="24"/>
                <w:szCs w:val="24"/>
              </w:rPr>
            </w:pPr>
            <w:r>
              <w:rPr>
                <w:sz w:val="24"/>
                <w:szCs w:val="24"/>
              </w:rPr>
              <w:t>2</w:t>
            </w:r>
            <w:r>
              <w:t>64</w:t>
            </w:r>
          </w:p>
        </w:tc>
        <w:tc>
          <w:tcPr>
            <w:tcW w:w="344" w:type="pct"/>
            <w:tcBorders>
              <w:top w:val="single" w:sz="4" w:space="0" w:color="auto"/>
            </w:tcBorders>
          </w:tcPr>
          <w:p w14:paraId="3BE06F7F" w14:textId="4D037C52" w:rsidR="00243C9D" w:rsidRPr="00243C9D" w:rsidRDefault="00243C9D" w:rsidP="00290330">
            <w:pPr>
              <w:spacing w:line="480" w:lineRule="auto"/>
              <w:rPr>
                <w:sz w:val="24"/>
                <w:szCs w:val="24"/>
              </w:rPr>
            </w:pPr>
            <w:r>
              <w:rPr>
                <w:sz w:val="24"/>
                <w:szCs w:val="24"/>
              </w:rPr>
              <w:t>.</w:t>
            </w:r>
            <w:r>
              <w:t>848</w:t>
            </w:r>
          </w:p>
        </w:tc>
        <w:tc>
          <w:tcPr>
            <w:tcW w:w="399" w:type="pct"/>
            <w:tcBorders>
              <w:top w:val="single" w:sz="4" w:space="0" w:color="auto"/>
            </w:tcBorders>
          </w:tcPr>
          <w:p w14:paraId="2C2226F7" w14:textId="28A2244F" w:rsidR="00243C9D" w:rsidRPr="00243C9D" w:rsidRDefault="00243C9D" w:rsidP="00290330">
            <w:pPr>
              <w:spacing w:line="480" w:lineRule="auto"/>
              <w:rPr>
                <w:sz w:val="24"/>
                <w:szCs w:val="24"/>
              </w:rPr>
            </w:pPr>
            <w:r>
              <w:rPr>
                <w:sz w:val="24"/>
                <w:szCs w:val="24"/>
              </w:rPr>
              <w:t>.</w:t>
            </w:r>
            <w:r>
              <w:t>105</w:t>
            </w:r>
          </w:p>
        </w:tc>
        <w:tc>
          <w:tcPr>
            <w:tcW w:w="339" w:type="pct"/>
            <w:tcBorders>
              <w:top w:val="single" w:sz="4" w:space="0" w:color="auto"/>
            </w:tcBorders>
          </w:tcPr>
          <w:p w14:paraId="353DA4AD" w14:textId="22DDD4BB" w:rsidR="00243C9D" w:rsidRPr="00243C9D" w:rsidRDefault="00243C9D" w:rsidP="00290330">
            <w:pPr>
              <w:spacing w:line="480" w:lineRule="auto"/>
              <w:rPr>
                <w:sz w:val="24"/>
                <w:szCs w:val="24"/>
              </w:rPr>
            </w:pPr>
            <w:r>
              <w:rPr>
                <w:sz w:val="24"/>
                <w:szCs w:val="24"/>
              </w:rPr>
              <w:t>.</w:t>
            </w:r>
            <w:r>
              <w:t>081</w:t>
            </w:r>
          </w:p>
        </w:tc>
        <w:tc>
          <w:tcPr>
            <w:tcW w:w="529" w:type="pct"/>
            <w:tcBorders>
              <w:top w:val="single" w:sz="4" w:space="0" w:color="auto"/>
            </w:tcBorders>
          </w:tcPr>
          <w:p w14:paraId="18E35D9D" w14:textId="77777777" w:rsidR="00243C9D" w:rsidRPr="00243C9D" w:rsidRDefault="00243C9D" w:rsidP="00290330">
            <w:pPr>
              <w:spacing w:line="480" w:lineRule="auto"/>
              <w:rPr>
                <w:sz w:val="24"/>
                <w:szCs w:val="24"/>
              </w:rPr>
            </w:pPr>
          </w:p>
        </w:tc>
        <w:tc>
          <w:tcPr>
            <w:tcW w:w="323" w:type="pct"/>
            <w:tcBorders>
              <w:top w:val="single" w:sz="4" w:space="0" w:color="auto"/>
            </w:tcBorders>
          </w:tcPr>
          <w:p w14:paraId="658AFE90" w14:textId="77777777" w:rsidR="00243C9D" w:rsidRPr="00243C9D" w:rsidRDefault="00243C9D" w:rsidP="00290330">
            <w:pPr>
              <w:spacing w:line="480" w:lineRule="auto"/>
              <w:rPr>
                <w:sz w:val="24"/>
                <w:szCs w:val="24"/>
              </w:rPr>
            </w:pPr>
          </w:p>
        </w:tc>
        <w:tc>
          <w:tcPr>
            <w:tcW w:w="217" w:type="pct"/>
            <w:tcBorders>
              <w:top w:val="single" w:sz="4" w:space="0" w:color="auto"/>
            </w:tcBorders>
          </w:tcPr>
          <w:p w14:paraId="2054D2CD" w14:textId="77777777" w:rsidR="00243C9D" w:rsidRPr="00243C9D" w:rsidRDefault="00243C9D" w:rsidP="00290330">
            <w:pPr>
              <w:spacing w:line="480" w:lineRule="auto"/>
              <w:rPr>
                <w:sz w:val="24"/>
                <w:szCs w:val="24"/>
              </w:rPr>
            </w:pPr>
          </w:p>
        </w:tc>
        <w:tc>
          <w:tcPr>
            <w:tcW w:w="325" w:type="pct"/>
            <w:tcBorders>
              <w:top w:val="single" w:sz="4" w:space="0" w:color="auto"/>
            </w:tcBorders>
          </w:tcPr>
          <w:p w14:paraId="7127B8F1" w14:textId="77777777" w:rsidR="00243C9D" w:rsidRPr="00243C9D" w:rsidRDefault="00243C9D" w:rsidP="00290330">
            <w:pPr>
              <w:spacing w:line="480" w:lineRule="auto"/>
              <w:rPr>
                <w:sz w:val="24"/>
                <w:szCs w:val="24"/>
              </w:rPr>
            </w:pPr>
          </w:p>
        </w:tc>
        <w:tc>
          <w:tcPr>
            <w:tcW w:w="402" w:type="pct"/>
            <w:tcBorders>
              <w:top w:val="single" w:sz="4" w:space="0" w:color="auto"/>
            </w:tcBorders>
          </w:tcPr>
          <w:p w14:paraId="1BEEF7C7" w14:textId="77777777" w:rsidR="00243C9D" w:rsidRPr="00243C9D" w:rsidRDefault="00243C9D" w:rsidP="00290330">
            <w:pPr>
              <w:spacing w:line="480" w:lineRule="auto"/>
              <w:rPr>
                <w:sz w:val="24"/>
                <w:szCs w:val="24"/>
              </w:rPr>
            </w:pPr>
          </w:p>
        </w:tc>
        <w:tc>
          <w:tcPr>
            <w:tcW w:w="402" w:type="pct"/>
            <w:tcBorders>
              <w:top w:val="single" w:sz="4" w:space="0" w:color="auto"/>
            </w:tcBorders>
          </w:tcPr>
          <w:p w14:paraId="39A45B72" w14:textId="77777777" w:rsidR="00243C9D" w:rsidRPr="00243C9D" w:rsidRDefault="00243C9D" w:rsidP="00290330">
            <w:pPr>
              <w:spacing w:line="480" w:lineRule="auto"/>
              <w:rPr>
                <w:sz w:val="24"/>
                <w:szCs w:val="24"/>
              </w:rPr>
            </w:pPr>
          </w:p>
        </w:tc>
        <w:tc>
          <w:tcPr>
            <w:tcW w:w="397" w:type="pct"/>
            <w:tcBorders>
              <w:top w:val="single" w:sz="4" w:space="0" w:color="auto"/>
            </w:tcBorders>
          </w:tcPr>
          <w:p w14:paraId="7154E932" w14:textId="77777777" w:rsidR="00243C9D" w:rsidRPr="00243C9D" w:rsidRDefault="00243C9D" w:rsidP="00290330">
            <w:pPr>
              <w:spacing w:line="480" w:lineRule="auto"/>
              <w:rPr>
                <w:sz w:val="24"/>
                <w:szCs w:val="24"/>
              </w:rPr>
            </w:pPr>
          </w:p>
        </w:tc>
        <w:tc>
          <w:tcPr>
            <w:tcW w:w="284" w:type="pct"/>
            <w:tcBorders>
              <w:top w:val="single" w:sz="4" w:space="0" w:color="auto"/>
            </w:tcBorders>
          </w:tcPr>
          <w:p w14:paraId="618319A0" w14:textId="61A279EE" w:rsidR="00243C9D" w:rsidRPr="00243C9D" w:rsidRDefault="00243C9D" w:rsidP="00290330">
            <w:pPr>
              <w:spacing w:line="480" w:lineRule="auto"/>
              <w:rPr>
                <w:sz w:val="24"/>
                <w:szCs w:val="24"/>
              </w:rPr>
            </w:pPr>
            <w:r>
              <w:rPr>
                <w:sz w:val="24"/>
                <w:szCs w:val="24"/>
              </w:rPr>
              <w:t>.</w:t>
            </w:r>
            <w:r>
              <w:t>689</w:t>
            </w:r>
          </w:p>
        </w:tc>
      </w:tr>
      <w:tr w:rsidR="00243C9D" w:rsidRPr="00243C9D" w14:paraId="05C69765" w14:textId="77777777" w:rsidTr="00E5247E">
        <w:tc>
          <w:tcPr>
            <w:tcW w:w="479" w:type="pct"/>
          </w:tcPr>
          <w:p w14:paraId="015E0BF9" w14:textId="77777777" w:rsidR="00243C9D" w:rsidRPr="00243C9D" w:rsidRDefault="00243C9D" w:rsidP="00290330">
            <w:pPr>
              <w:spacing w:line="480" w:lineRule="auto"/>
              <w:rPr>
                <w:sz w:val="24"/>
                <w:szCs w:val="24"/>
              </w:rPr>
            </w:pPr>
            <w:r w:rsidRPr="00243C9D">
              <w:rPr>
                <w:sz w:val="24"/>
                <w:szCs w:val="24"/>
              </w:rPr>
              <w:t>Metric</w:t>
            </w:r>
          </w:p>
        </w:tc>
        <w:tc>
          <w:tcPr>
            <w:tcW w:w="336" w:type="pct"/>
          </w:tcPr>
          <w:p w14:paraId="0FFDF2C0" w14:textId="20807D7F" w:rsidR="00243C9D" w:rsidRPr="00243C9D" w:rsidRDefault="00243C9D" w:rsidP="00290330">
            <w:pPr>
              <w:spacing w:line="480" w:lineRule="auto"/>
              <w:rPr>
                <w:sz w:val="24"/>
                <w:szCs w:val="24"/>
              </w:rPr>
            </w:pPr>
            <w:r>
              <w:rPr>
                <w:sz w:val="24"/>
                <w:szCs w:val="24"/>
              </w:rPr>
              <w:t>7</w:t>
            </w:r>
            <w:r>
              <w:t>33.54</w:t>
            </w:r>
          </w:p>
        </w:tc>
        <w:tc>
          <w:tcPr>
            <w:tcW w:w="224" w:type="pct"/>
          </w:tcPr>
          <w:p w14:paraId="1C56786F" w14:textId="608FC0EB" w:rsidR="00243C9D" w:rsidRPr="00243C9D" w:rsidRDefault="00243C9D" w:rsidP="00290330">
            <w:pPr>
              <w:spacing w:line="480" w:lineRule="auto"/>
              <w:rPr>
                <w:sz w:val="24"/>
                <w:szCs w:val="24"/>
              </w:rPr>
            </w:pPr>
            <w:r>
              <w:rPr>
                <w:sz w:val="24"/>
                <w:szCs w:val="24"/>
              </w:rPr>
              <w:t>279</w:t>
            </w:r>
          </w:p>
        </w:tc>
        <w:tc>
          <w:tcPr>
            <w:tcW w:w="344" w:type="pct"/>
          </w:tcPr>
          <w:p w14:paraId="3C5700A5" w14:textId="4889E07E" w:rsidR="00243C9D" w:rsidRPr="00243C9D" w:rsidRDefault="00243C9D" w:rsidP="00290330">
            <w:pPr>
              <w:spacing w:line="480" w:lineRule="auto"/>
              <w:rPr>
                <w:sz w:val="24"/>
                <w:szCs w:val="24"/>
              </w:rPr>
            </w:pPr>
            <w:r>
              <w:rPr>
                <w:sz w:val="24"/>
                <w:szCs w:val="24"/>
              </w:rPr>
              <w:t>.850</w:t>
            </w:r>
          </w:p>
        </w:tc>
        <w:tc>
          <w:tcPr>
            <w:tcW w:w="399" w:type="pct"/>
          </w:tcPr>
          <w:p w14:paraId="70C0929E" w14:textId="070E5426" w:rsidR="00243C9D" w:rsidRPr="00243C9D" w:rsidRDefault="00243C9D" w:rsidP="00290330">
            <w:pPr>
              <w:spacing w:line="480" w:lineRule="auto"/>
              <w:rPr>
                <w:sz w:val="24"/>
                <w:szCs w:val="24"/>
              </w:rPr>
            </w:pPr>
            <w:r>
              <w:rPr>
                <w:sz w:val="24"/>
                <w:szCs w:val="24"/>
              </w:rPr>
              <w:t>.101</w:t>
            </w:r>
          </w:p>
        </w:tc>
        <w:tc>
          <w:tcPr>
            <w:tcW w:w="339" w:type="pct"/>
          </w:tcPr>
          <w:p w14:paraId="26C5A34C" w14:textId="4AA10EC0" w:rsidR="00243C9D" w:rsidRPr="00243C9D" w:rsidRDefault="00643A53" w:rsidP="00290330">
            <w:pPr>
              <w:spacing w:line="480" w:lineRule="auto"/>
              <w:rPr>
                <w:sz w:val="24"/>
                <w:szCs w:val="24"/>
              </w:rPr>
            </w:pPr>
            <w:r>
              <w:rPr>
                <w:sz w:val="24"/>
                <w:szCs w:val="24"/>
              </w:rPr>
              <w:t>.082</w:t>
            </w:r>
          </w:p>
        </w:tc>
        <w:tc>
          <w:tcPr>
            <w:tcW w:w="529" w:type="pct"/>
          </w:tcPr>
          <w:p w14:paraId="071663AB" w14:textId="77777777" w:rsidR="00243C9D" w:rsidRPr="00243C9D" w:rsidRDefault="00243C9D" w:rsidP="00290330">
            <w:pPr>
              <w:spacing w:line="480" w:lineRule="auto"/>
              <w:rPr>
                <w:sz w:val="24"/>
                <w:szCs w:val="24"/>
              </w:rPr>
            </w:pPr>
            <w:proofErr w:type="spellStart"/>
            <w:r w:rsidRPr="00243C9D">
              <w:rPr>
                <w:sz w:val="24"/>
                <w:szCs w:val="24"/>
              </w:rPr>
              <w:t>Configural</w:t>
            </w:r>
            <w:proofErr w:type="spellEnd"/>
            <w:r w:rsidRPr="00243C9D">
              <w:rPr>
                <w:sz w:val="24"/>
                <w:szCs w:val="24"/>
              </w:rPr>
              <w:t xml:space="preserve"> </w:t>
            </w:r>
            <w:r w:rsidRPr="00243C9D">
              <w:rPr>
                <w:i/>
                <w:sz w:val="24"/>
                <w:szCs w:val="24"/>
              </w:rPr>
              <w:t>vs</w:t>
            </w:r>
            <w:r w:rsidRPr="00243C9D">
              <w:rPr>
                <w:sz w:val="24"/>
                <w:szCs w:val="24"/>
              </w:rPr>
              <w:t>. metric</w:t>
            </w:r>
          </w:p>
        </w:tc>
        <w:tc>
          <w:tcPr>
            <w:tcW w:w="323" w:type="pct"/>
          </w:tcPr>
          <w:p w14:paraId="00FA4E6C" w14:textId="576ECE22" w:rsidR="00243C9D" w:rsidRPr="00243C9D" w:rsidRDefault="00643A53" w:rsidP="00290330">
            <w:pPr>
              <w:spacing w:line="480" w:lineRule="auto"/>
              <w:rPr>
                <w:sz w:val="24"/>
                <w:szCs w:val="24"/>
              </w:rPr>
            </w:pPr>
            <w:r>
              <w:rPr>
                <w:sz w:val="24"/>
                <w:szCs w:val="24"/>
              </w:rPr>
              <w:t>13.11</w:t>
            </w:r>
          </w:p>
        </w:tc>
        <w:tc>
          <w:tcPr>
            <w:tcW w:w="217" w:type="pct"/>
          </w:tcPr>
          <w:p w14:paraId="1D9F3AA9" w14:textId="647A904F" w:rsidR="00243C9D" w:rsidRPr="00243C9D" w:rsidRDefault="00643A53" w:rsidP="00290330">
            <w:pPr>
              <w:spacing w:line="480" w:lineRule="auto"/>
              <w:rPr>
                <w:sz w:val="24"/>
                <w:szCs w:val="24"/>
              </w:rPr>
            </w:pPr>
            <w:r>
              <w:rPr>
                <w:sz w:val="24"/>
                <w:szCs w:val="24"/>
              </w:rPr>
              <w:t>15</w:t>
            </w:r>
          </w:p>
        </w:tc>
        <w:tc>
          <w:tcPr>
            <w:tcW w:w="325" w:type="pct"/>
          </w:tcPr>
          <w:p w14:paraId="009A2C6F" w14:textId="7A72EE67" w:rsidR="00243C9D" w:rsidRPr="00243C9D" w:rsidRDefault="00643A53" w:rsidP="00290330">
            <w:pPr>
              <w:spacing w:line="480" w:lineRule="auto"/>
              <w:rPr>
                <w:sz w:val="24"/>
                <w:szCs w:val="24"/>
              </w:rPr>
            </w:pPr>
            <w:r>
              <w:rPr>
                <w:sz w:val="24"/>
                <w:szCs w:val="24"/>
              </w:rPr>
              <w:t>.891</w:t>
            </w:r>
          </w:p>
        </w:tc>
        <w:tc>
          <w:tcPr>
            <w:tcW w:w="402" w:type="pct"/>
          </w:tcPr>
          <w:p w14:paraId="35A73E6F" w14:textId="0105DA4F" w:rsidR="00243C9D" w:rsidRPr="00243C9D" w:rsidRDefault="00643A53" w:rsidP="00290330">
            <w:pPr>
              <w:spacing w:line="480" w:lineRule="auto"/>
              <w:rPr>
                <w:sz w:val="24"/>
                <w:szCs w:val="24"/>
              </w:rPr>
            </w:pPr>
            <w:r>
              <w:rPr>
                <w:sz w:val="24"/>
                <w:szCs w:val="24"/>
              </w:rPr>
              <w:t>.002</w:t>
            </w:r>
          </w:p>
        </w:tc>
        <w:tc>
          <w:tcPr>
            <w:tcW w:w="402" w:type="pct"/>
          </w:tcPr>
          <w:p w14:paraId="6C12E893" w14:textId="6AF62074" w:rsidR="00243C9D" w:rsidRPr="00243C9D" w:rsidRDefault="00643A53" w:rsidP="00290330">
            <w:pPr>
              <w:spacing w:line="480" w:lineRule="auto"/>
              <w:rPr>
                <w:sz w:val="24"/>
                <w:szCs w:val="24"/>
              </w:rPr>
            </w:pPr>
            <w:r>
              <w:rPr>
                <w:sz w:val="24"/>
                <w:szCs w:val="24"/>
              </w:rPr>
              <w:t>.004</w:t>
            </w:r>
          </w:p>
        </w:tc>
        <w:tc>
          <w:tcPr>
            <w:tcW w:w="397" w:type="pct"/>
          </w:tcPr>
          <w:p w14:paraId="2C713E99" w14:textId="611B9A73" w:rsidR="00243C9D" w:rsidRPr="00243C9D" w:rsidRDefault="00643A53" w:rsidP="00290330">
            <w:pPr>
              <w:spacing w:line="480" w:lineRule="auto"/>
              <w:rPr>
                <w:sz w:val="24"/>
                <w:szCs w:val="24"/>
              </w:rPr>
            </w:pPr>
            <w:r>
              <w:rPr>
                <w:sz w:val="24"/>
                <w:szCs w:val="24"/>
              </w:rPr>
              <w:t>.001</w:t>
            </w:r>
          </w:p>
        </w:tc>
        <w:tc>
          <w:tcPr>
            <w:tcW w:w="284" w:type="pct"/>
          </w:tcPr>
          <w:p w14:paraId="0F7B3C57" w14:textId="7B83B7D7" w:rsidR="00243C9D" w:rsidRPr="00243C9D" w:rsidRDefault="00643A53" w:rsidP="00290330">
            <w:pPr>
              <w:spacing w:line="480" w:lineRule="auto"/>
              <w:rPr>
                <w:sz w:val="24"/>
                <w:szCs w:val="24"/>
              </w:rPr>
            </w:pPr>
            <w:r>
              <w:rPr>
                <w:sz w:val="24"/>
                <w:szCs w:val="24"/>
              </w:rPr>
              <w:t>.728</w:t>
            </w:r>
          </w:p>
        </w:tc>
      </w:tr>
      <w:tr w:rsidR="00243C9D" w:rsidRPr="00243C9D" w14:paraId="661AACA8" w14:textId="77777777" w:rsidTr="00E5247E">
        <w:tc>
          <w:tcPr>
            <w:tcW w:w="479" w:type="pct"/>
            <w:tcBorders>
              <w:bottom w:val="single" w:sz="4" w:space="0" w:color="auto"/>
            </w:tcBorders>
          </w:tcPr>
          <w:p w14:paraId="681EB07A" w14:textId="77777777" w:rsidR="00243C9D" w:rsidRPr="00243C9D" w:rsidRDefault="00243C9D" w:rsidP="00290330">
            <w:pPr>
              <w:spacing w:line="480" w:lineRule="auto"/>
              <w:rPr>
                <w:sz w:val="24"/>
                <w:szCs w:val="24"/>
              </w:rPr>
            </w:pPr>
            <w:r w:rsidRPr="00243C9D">
              <w:rPr>
                <w:sz w:val="24"/>
                <w:szCs w:val="24"/>
              </w:rPr>
              <w:t>Scalar</w:t>
            </w:r>
          </w:p>
        </w:tc>
        <w:tc>
          <w:tcPr>
            <w:tcW w:w="336" w:type="pct"/>
            <w:tcBorders>
              <w:bottom w:val="single" w:sz="4" w:space="0" w:color="auto"/>
            </w:tcBorders>
          </w:tcPr>
          <w:p w14:paraId="7C6527BC" w14:textId="65ABAF7B" w:rsidR="00243C9D" w:rsidRPr="00243C9D" w:rsidRDefault="00643A53" w:rsidP="00290330">
            <w:pPr>
              <w:spacing w:line="480" w:lineRule="auto"/>
              <w:rPr>
                <w:sz w:val="24"/>
                <w:szCs w:val="24"/>
              </w:rPr>
            </w:pPr>
            <w:r>
              <w:rPr>
                <w:sz w:val="24"/>
                <w:szCs w:val="24"/>
              </w:rPr>
              <w:t>772.11</w:t>
            </w:r>
          </w:p>
        </w:tc>
        <w:tc>
          <w:tcPr>
            <w:tcW w:w="224" w:type="pct"/>
            <w:tcBorders>
              <w:bottom w:val="single" w:sz="4" w:space="0" w:color="auto"/>
            </w:tcBorders>
          </w:tcPr>
          <w:p w14:paraId="4FB25B52" w14:textId="49736051" w:rsidR="00243C9D" w:rsidRPr="00243C9D" w:rsidRDefault="00643A53" w:rsidP="00290330">
            <w:pPr>
              <w:spacing w:line="480" w:lineRule="auto"/>
              <w:rPr>
                <w:sz w:val="24"/>
                <w:szCs w:val="24"/>
              </w:rPr>
            </w:pPr>
            <w:r>
              <w:rPr>
                <w:sz w:val="24"/>
                <w:szCs w:val="24"/>
              </w:rPr>
              <w:t>294</w:t>
            </w:r>
          </w:p>
        </w:tc>
        <w:tc>
          <w:tcPr>
            <w:tcW w:w="344" w:type="pct"/>
            <w:tcBorders>
              <w:bottom w:val="single" w:sz="4" w:space="0" w:color="auto"/>
            </w:tcBorders>
          </w:tcPr>
          <w:p w14:paraId="086634BB" w14:textId="68490972" w:rsidR="00243C9D" w:rsidRPr="00243C9D" w:rsidRDefault="00643A53" w:rsidP="00290330">
            <w:pPr>
              <w:spacing w:line="480" w:lineRule="auto"/>
              <w:rPr>
                <w:sz w:val="24"/>
                <w:szCs w:val="24"/>
              </w:rPr>
            </w:pPr>
            <w:r>
              <w:rPr>
                <w:sz w:val="24"/>
                <w:szCs w:val="24"/>
              </w:rPr>
              <w:t>.845</w:t>
            </w:r>
          </w:p>
        </w:tc>
        <w:tc>
          <w:tcPr>
            <w:tcW w:w="399" w:type="pct"/>
            <w:tcBorders>
              <w:bottom w:val="single" w:sz="4" w:space="0" w:color="auto"/>
            </w:tcBorders>
          </w:tcPr>
          <w:p w14:paraId="5401988A" w14:textId="1C8516C1" w:rsidR="00243C9D" w:rsidRPr="00243C9D" w:rsidRDefault="00643A53" w:rsidP="00290330">
            <w:pPr>
              <w:spacing w:line="480" w:lineRule="auto"/>
              <w:rPr>
                <w:sz w:val="24"/>
                <w:szCs w:val="24"/>
              </w:rPr>
            </w:pPr>
            <w:r>
              <w:rPr>
                <w:sz w:val="24"/>
                <w:szCs w:val="24"/>
              </w:rPr>
              <w:t>.100</w:t>
            </w:r>
          </w:p>
        </w:tc>
        <w:tc>
          <w:tcPr>
            <w:tcW w:w="339" w:type="pct"/>
            <w:tcBorders>
              <w:bottom w:val="single" w:sz="4" w:space="0" w:color="auto"/>
            </w:tcBorders>
          </w:tcPr>
          <w:p w14:paraId="5C45BF39" w14:textId="74E69556" w:rsidR="00243C9D" w:rsidRPr="00243C9D" w:rsidRDefault="00643A53" w:rsidP="00290330">
            <w:pPr>
              <w:spacing w:line="480" w:lineRule="auto"/>
              <w:rPr>
                <w:sz w:val="24"/>
                <w:szCs w:val="24"/>
              </w:rPr>
            </w:pPr>
            <w:r>
              <w:rPr>
                <w:sz w:val="24"/>
                <w:szCs w:val="24"/>
              </w:rPr>
              <w:t>.083</w:t>
            </w:r>
          </w:p>
        </w:tc>
        <w:tc>
          <w:tcPr>
            <w:tcW w:w="529" w:type="pct"/>
            <w:tcBorders>
              <w:bottom w:val="single" w:sz="4" w:space="0" w:color="auto"/>
            </w:tcBorders>
          </w:tcPr>
          <w:p w14:paraId="7AC5C66B" w14:textId="77777777" w:rsidR="00243C9D" w:rsidRPr="00243C9D" w:rsidRDefault="00243C9D" w:rsidP="00290330">
            <w:pPr>
              <w:spacing w:line="480" w:lineRule="auto"/>
              <w:rPr>
                <w:sz w:val="24"/>
                <w:szCs w:val="24"/>
              </w:rPr>
            </w:pPr>
            <w:r w:rsidRPr="00243C9D">
              <w:rPr>
                <w:sz w:val="24"/>
                <w:szCs w:val="24"/>
              </w:rPr>
              <w:t xml:space="preserve">Metric </w:t>
            </w:r>
            <w:r w:rsidRPr="00243C9D">
              <w:rPr>
                <w:i/>
                <w:sz w:val="24"/>
                <w:szCs w:val="24"/>
              </w:rPr>
              <w:t>vs</w:t>
            </w:r>
            <w:r w:rsidRPr="00243C9D">
              <w:rPr>
                <w:sz w:val="24"/>
                <w:szCs w:val="24"/>
              </w:rPr>
              <w:t>. scalar</w:t>
            </w:r>
          </w:p>
        </w:tc>
        <w:tc>
          <w:tcPr>
            <w:tcW w:w="323" w:type="pct"/>
            <w:tcBorders>
              <w:bottom w:val="single" w:sz="4" w:space="0" w:color="auto"/>
            </w:tcBorders>
          </w:tcPr>
          <w:p w14:paraId="1059F979" w14:textId="79910818" w:rsidR="00243C9D" w:rsidRPr="00243C9D" w:rsidRDefault="00643A53" w:rsidP="00290330">
            <w:pPr>
              <w:spacing w:line="480" w:lineRule="auto"/>
              <w:rPr>
                <w:sz w:val="24"/>
                <w:szCs w:val="24"/>
              </w:rPr>
            </w:pPr>
            <w:r>
              <w:rPr>
                <w:sz w:val="24"/>
                <w:szCs w:val="24"/>
              </w:rPr>
              <w:t>38.57</w:t>
            </w:r>
          </w:p>
        </w:tc>
        <w:tc>
          <w:tcPr>
            <w:tcW w:w="217" w:type="pct"/>
            <w:tcBorders>
              <w:bottom w:val="single" w:sz="4" w:space="0" w:color="auto"/>
            </w:tcBorders>
          </w:tcPr>
          <w:p w14:paraId="66C46182" w14:textId="7205EECA" w:rsidR="00243C9D" w:rsidRPr="00243C9D" w:rsidRDefault="00643A53" w:rsidP="00290330">
            <w:pPr>
              <w:spacing w:line="480" w:lineRule="auto"/>
              <w:rPr>
                <w:sz w:val="24"/>
                <w:szCs w:val="24"/>
              </w:rPr>
            </w:pPr>
            <w:r>
              <w:rPr>
                <w:sz w:val="24"/>
                <w:szCs w:val="24"/>
              </w:rPr>
              <w:t>15</w:t>
            </w:r>
          </w:p>
        </w:tc>
        <w:tc>
          <w:tcPr>
            <w:tcW w:w="325" w:type="pct"/>
            <w:tcBorders>
              <w:bottom w:val="single" w:sz="4" w:space="0" w:color="auto"/>
            </w:tcBorders>
          </w:tcPr>
          <w:p w14:paraId="16DDAE2B" w14:textId="208D9069" w:rsidR="00243C9D" w:rsidRPr="00243C9D" w:rsidRDefault="00643A53" w:rsidP="00290330">
            <w:pPr>
              <w:spacing w:line="480" w:lineRule="auto"/>
              <w:rPr>
                <w:sz w:val="24"/>
                <w:szCs w:val="24"/>
              </w:rPr>
            </w:pPr>
            <w:r>
              <w:rPr>
                <w:sz w:val="24"/>
                <w:szCs w:val="24"/>
              </w:rPr>
              <w:t>.001</w:t>
            </w:r>
          </w:p>
        </w:tc>
        <w:tc>
          <w:tcPr>
            <w:tcW w:w="402" w:type="pct"/>
            <w:tcBorders>
              <w:bottom w:val="single" w:sz="4" w:space="0" w:color="auto"/>
            </w:tcBorders>
          </w:tcPr>
          <w:p w14:paraId="516F575A" w14:textId="6E810C73" w:rsidR="00243C9D" w:rsidRPr="00243C9D" w:rsidRDefault="00643A53" w:rsidP="00290330">
            <w:pPr>
              <w:spacing w:line="480" w:lineRule="auto"/>
              <w:rPr>
                <w:sz w:val="24"/>
                <w:szCs w:val="24"/>
              </w:rPr>
            </w:pPr>
            <w:r>
              <w:rPr>
                <w:sz w:val="24"/>
                <w:szCs w:val="24"/>
              </w:rPr>
              <w:t>.005</w:t>
            </w:r>
          </w:p>
        </w:tc>
        <w:tc>
          <w:tcPr>
            <w:tcW w:w="402" w:type="pct"/>
            <w:tcBorders>
              <w:bottom w:val="single" w:sz="4" w:space="0" w:color="auto"/>
            </w:tcBorders>
          </w:tcPr>
          <w:p w14:paraId="3776E639" w14:textId="0C3DFC8A" w:rsidR="00243C9D" w:rsidRPr="00243C9D" w:rsidRDefault="00643A53" w:rsidP="00290330">
            <w:pPr>
              <w:spacing w:line="480" w:lineRule="auto"/>
              <w:rPr>
                <w:sz w:val="24"/>
                <w:szCs w:val="24"/>
              </w:rPr>
            </w:pPr>
            <w:r>
              <w:rPr>
                <w:sz w:val="24"/>
                <w:szCs w:val="24"/>
              </w:rPr>
              <w:t>.001</w:t>
            </w:r>
          </w:p>
        </w:tc>
        <w:tc>
          <w:tcPr>
            <w:tcW w:w="397" w:type="pct"/>
            <w:tcBorders>
              <w:bottom w:val="single" w:sz="4" w:space="0" w:color="auto"/>
            </w:tcBorders>
          </w:tcPr>
          <w:p w14:paraId="676AD9F8" w14:textId="54C81320" w:rsidR="00243C9D" w:rsidRPr="00243C9D" w:rsidRDefault="00643A53" w:rsidP="00290330">
            <w:pPr>
              <w:spacing w:line="480" w:lineRule="auto"/>
              <w:rPr>
                <w:sz w:val="24"/>
                <w:szCs w:val="24"/>
              </w:rPr>
            </w:pPr>
            <w:r>
              <w:rPr>
                <w:sz w:val="24"/>
                <w:szCs w:val="24"/>
              </w:rPr>
              <w:t>.001</w:t>
            </w:r>
          </w:p>
        </w:tc>
        <w:tc>
          <w:tcPr>
            <w:tcW w:w="284" w:type="pct"/>
            <w:tcBorders>
              <w:bottom w:val="single" w:sz="4" w:space="0" w:color="auto"/>
            </w:tcBorders>
          </w:tcPr>
          <w:p w14:paraId="0938E0F4" w14:textId="25CD0C9B" w:rsidR="00243C9D" w:rsidRPr="00243C9D" w:rsidRDefault="00643A53" w:rsidP="00290330">
            <w:pPr>
              <w:spacing w:line="480" w:lineRule="auto"/>
              <w:rPr>
                <w:sz w:val="24"/>
                <w:szCs w:val="24"/>
              </w:rPr>
            </w:pPr>
            <w:r>
              <w:rPr>
                <w:sz w:val="24"/>
                <w:szCs w:val="24"/>
              </w:rPr>
              <w:t>.767</w:t>
            </w:r>
          </w:p>
        </w:tc>
      </w:tr>
    </w:tbl>
    <w:p w14:paraId="5AC0D855" w14:textId="1B23BE31" w:rsidR="00513542" w:rsidRDefault="00513542">
      <w:pPr>
        <w:rPr>
          <w:rStyle w:val="apple-converted-space"/>
        </w:rPr>
      </w:pPr>
      <w:r>
        <w:rPr>
          <w:rStyle w:val="apple-converted-space"/>
        </w:rPr>
        <w:br w:type="page"/>
      </w:r>
    </w:p>
    <w:p w14:paraId="14913938" w14:textId="6DE32CAC" w:rsidR="00513542" w:rsidRPr="00E5247E" w:rsidRDefault="00513542" w:rsidP="003D14E9">
      <w:pPr>
        <w:pStyle w:val="Heading1"/>
      </w:pPr>
      <w:r>
        <w:lastRenderedPageBreak/>
        <w:t xml:space="preserve">Table 4. </w:t>
      </w:r>
      <w:r w:rsidRPr="00E5247E">
        <w:t>Associations between Intuitive Eating and Additional Measures Included in the Study and for the Total Sample, Reported for Women (Upper Diagonal) and Men Separately.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1559"/>
        <w:gridCol w:w="1559"/>
        <w:gridCol w:w="1418"/>
        <w:gridCol w:w="1417"/>
        <w:gridCol w:w="1276"/>
        <w:gridCol w:w="1276"/>
        <w:gridCol w:w="1134"/>
        <w:gridCol w:w="1197"/>
      </w:tblGrid>
      <w:tr w:rsidR="000266F4" w:rsidRPr="00E5247E" w14:paraId="4AE7B16C" w14:textId="77777777" w:rsidTr="00E5247E">
        <w:tc>
          <w:tcPr>
            <w:tcW w:w="3114" w:type="dxa"/>
            <w:tcBorders>
              <w:top w:val="single" w:sz="4" w:space="0" w:color="auto"/>
              <w:bottom w:val="single" w:sz="4" w:space="0" w:color="auto"/>
            </w:tcBorders>
          </w:tcPr>
          <w:p w14:paraId="3DEA39F3" w14:textId="77777777" w:rsidR="000266F4" w:rsidRPr="00E5247E" w:rsidRDefault="000266F4" w:rsidP="00513542">
            <w:pPr>
              <w:spacing w:line="480" w:lineRule="auto"/>
              <w:rPr>
                <w:iCs/>
                <w:sz w:val="24"/>
                <w:szCs w:val="24"/>
              </w:rPr>
            </w:pPr>
          </w:p>
        </w:tc>
        <w:tc>
          <w:tcPr>
            <w:tcW w:w="1559" w:type="dxa"/>
            <w:tcBorders>
              <w:top w:val="single" w:sz="4" w:space="0" w:color="auto"/>
              <w:bottom w:val="single" w:sz="4" w:space="0" w:color="auto"/>
            </w:tcBorders>
          </w:tcPr>
          <w:p w14:paraId="5DBDFE96" w14:textId="7088148E" w:rsidR="000266F4" w:rsidRPr="00E5247E" w:rsidRDefault="00E5247E" w:rsidP="00513542">
            <w:pPr>
              <w:spacing w:line="480" w:lineRule="auto"/>
              <w:rPr>
                <w:iCs/>
                <w:sz w:val="24"/>
                <w:szCs w:val="24"/>
              </w:rPr>
            </w:pPr>
            <w:r>
              <w:rPr>
                <w:iCs/>
                <w:sz w:val="24"/>
                <w:szCs w:val="24"/>
              </w:rPr>
              <w:t>(1)</w:t>
            </w:r>
          </w:p>
        </w:tc>
        <w:tc>
          <w:tcPr>
            <w:tcW w:w="1559" w:type="dxa"/>
            <w:tcBorders>
              <w:top w:val="single" w:sz="4" w:space="0" w:color="auto"/>
              <w:bottom w:val="single" w:sz="4" w:space="0" w:color="auto"/>
            </w:tcBorders>
          </w:tcPr>
          <w:p w14:paraId="5CDC9C21" w14:textId="1E2F4404" w:rsidR="000266F4" w:rsidRPr="00E5247E" w:rsidRDefault="00E5247E" w:rsidP="00513542">
            <w:pPr>
              <w:spacing w:line="480" w:lineRule="auto"/>
              <w:rPr>
                <w:iCs/>
                <w:sz w:val="24"/>
                <w:szCs w:val="24"/>
              </w:rPr>
            </w:pPr>
            <w:r>
              <w:rPr>
                <w:iCs/>
                <w:sz w:val="24"/>
                <w:szCs w:val="24"/>
              </w:rPr>
              <w:t>(2)</w:t>
            </w:r>
          </w:p>
        </w:tc>
        <w:tc>
          <w:tcPr>
            <w:tcW w:w="1418" w:type="dxa"/>
            <w:tcBorders>
              <w:top w:val="single" w:sz="4" w:space="0" w:color="auto"/>
              <w:bottom w:val="single" w:sz="4" w:space="0" w:color="auto"/>
            </w:tcBorders>
          </w:tcPr>
          <w:p w14:paraId="165E7D73" w14:textId="3FBC8BB6" w:rsidR="000266F4" w:rsidRPr="00E5247E" w:rsidRDefault="00E5247E" w:rsidP="00513542">
            <w:pPr>
              <w:spacing w:line="480" w:lineRule="auto"/>
              <w:rPr>
                <w:iCs/>
                <w:sz w:val="24"/>
                <w:szCs w:val="24"/>
              </w:rPr>
            </w:pPr>
            <w:r>
              <w:rPr>
                <w:iCs/>
                <w:sz w:val="24"/>
                <w:szCs w:val="24"/>
              </w:rPr>
              <w:t>(3)</w:t>
            </w:r>
          </w:p>
        </w:tc>
        <w:tc>
          <w:tcPr>
            <w:tcW w:w="1417" w:type="dxa"/>
            <w:tcBorders>
              <w:top w:val="single" w:sz="4" w:space="0" w:color="auto"/>
              <w:bottom w:val="single" w:sz="4" w:space="0" w:color="auto"/>
            </w:tcBorders>
          </w:tcPr>
          <w:p w14:paraId="41FF67FD" w14:textId="3DFDE19D" w:rsidR="000266F4" w:rsidRPr="00E5247E" w:rsidRDefault="00E5247E" w:rsidP="00513542">
            <w:pPr>
              <w:spacing w:line="480" w:lineRule="auto"/>
              <w:rPr>
                <w:iCs/>
                <w:sz w:val="24"/>
                <w:szCs w:val="24"/>
              </w:rPr>
            </w:pPr>
            <w:r>
              <w:rPr>
                <w:iCs/>
                <w:sz w:val="24"/>
                <w:szCs w:val="24"/>
              </w:rPr>
              <w:t>(4)</w:t>
            </w:r>
          </w:p>
        </w:tc>
        <w:tc>
          <w:tcPr>
            <w:tcW w:w="1276" w:type="dxa"/>
            <w:tcBorders>
              <w:top w:val="single" w:sz="4" w:space="0" w:color="auto"/>
              <w:bottom w:val="single" w:sz="4" w:space="0" w:color="auto"/>
            </w:tcBorders>
          </w:tcPr>
          <w:p w14:paraId="7E452C20" w14:textId="09159171" w:rsidR="000266F4" w:rsidRPr="00E5247E" w:rsidRDefault="00E5247E" w:rsidP="00513542">
            <w:pPr>
              <w:spacing w:line="480" w:lineRule="auto"/>
              <w:rPr>
                <w:iCs/>
                <w:sz w:val="24"/>
                <w:szCs w:val="24"/>
              </w:rPr>
            </w:pPr>
            <w:r>
              <w:rPr>
                <w:iCs/>
                <w:sz w:val="24"/>
                <w:szCs w:val="24"/>
              </w:rPr>
              <w:t>(5)</w:t>
            </w:r>
          </w:p>
        </w:tc>
        <w:tc>
          <w:tcPr>
            <w:tcW w:w="1276" w:type="dxa"/>
            <w:tcBorders>
              <w:top w:val="single" w:sz="4" w:space="0" w:color="auto"/>
              <w:bottom w:val="single" w:sz="4" w:space="0" w:color="auto"/>
            </w:tcBorders>
          </w:tcPr>
          <w:p w14:paraId="3EBAB1F3" w14:textId="70456EA7" w:rsidR="000266F4" w:rsidRPr="00E5247E" w:rsidRDefault="00E5247E" w:rsidP="00513542">
            <w:pPr>
              <w:spacing w:line="480" w:lineRule="auto"/>
              <w:rPr>
                <w:iCs/>
                <w:sz w:val="24"/>
                <w:szCs w:val="24"/>
              </w:rPr>
            </w:pPr>
            <w:r>
              <w:rPr>
                <w:iCs/>
                <w:sz w:val="24"/>
                <w:szCs w:val="24"/>
              </w:rPr>
              <w:t>(6)</w:t>
            </w:r>
          </w:p>
        </w:tc>
        <w:tc>
          <w:tcPr>
            <w:tcW w:w="1134" w:type="dxa"/>
            <w:tcBorders>
              <w:top w:val="single" w:sz="4" w:space="0" w:color="auto"/>
              <w:bottom w:val="single" w:sz="4" w:space="0" w:color="auto"/>
            </w:tcBorders>
          </w:tcPr>
          <w:p w14:paraId="1B498787" w14:textId="7BC7728F" w:rsidR="000266F4" w:rsidRPr="00E5247E" w:rsidRDefault="00E5247E" w:rsidP="00513542">
            <w:pPr>
              <w:spacing w:line="480" w:lineRule="auto"/>
              <w:rPr>
                <w:iCs/>
                <w:sz w:val="24"/>
                <w:szCs w:val="24"/>
              </w:rPr>
            </w:pPr>
            <w:r>
              <w:rPr>
                <w:iCs/>
                <w:sz w:val="24"/>
                <w:szCs w:val="24"/>
              </w:rPr>
              <w:t>(7)</w:t>
            </w:r>
          </w:p>
        </w:tc>
        <w:tc>
          <w:tcPr>
            <w:tcW w:w="1197" w:type="dxa"/>
            <w:tcBorders>
              <w:top w:val="single" w:sz="4" w:space="0" w:color="auto"/>
              <w:bottom w:val="single" w:sz="4" w:space="0" w:color="auto"/>
            </w:tcBorders>
          </w:tcPr>
          <w:p w14:paraId="6EE10E1F" w14:textId="674DF9BE" w:rsidR="000266F4" w:rsidRPr="00E5247E" w:rsidRDefault="00E5247E" w:rsidP="00513542">
            <w:pPr>
              <w:spacing w:line="480" w:lineRule="auto"/>
              <w:rPr>
                <w:iCs/>
                <w:sz w:val="24"/>
                <w:szCs w:val="24"/>
              </w:rPr>
            </w:pPr>
            <w:r>
              <w:rPr>
                <w:iCs/>
                <w:sz w:val="24"/>
                <w:szCs w:val="24"/>
              </w:rPr>
              <w:t>(8)</w:t>
            </w:r>
          </w:p>
        </w:tc>
      </w:tr>
      <w:tr w:rsidR="000266F4" w:rsidRPr="00E5247E" w14:paraId="0B4A190B" w14:textId="77777777" w:rsidTr="00E5247E">
        <w:tc>
          <w:tcPr>
            <w:tcW w:w="3114" w:type="dxa"/>
            <w:tcBorders>
              <w:top w:val="single" w:sz="4" w:space="0" w:color="auto"/>
            </w:tcBorders>
          </w:tcPr>
          <w:p w14:paraId="358E674F" w14:textId="64EC48CB" w:rsidR="000266F4" w:rsidRPr="00E5247E" w:rsidRDefault="00E5247E" w:rsidP="00513542">
            <w:pPr>
              <w:spacing w:line="480" w:lineRule="auto"/>
              <w:rPr>
                <w:iCs/>
                <w:sz w:val="24"/>
                <w:szCs w:val="24"/>
              </w:rPr>
            </w:pPr>
            <w:r w:rsidRPr="00E5247E">
              <w:rPr>
                <w:iCs/>
                <w:sz w:val="24"/>
                <w:szCs w:val="24"/>
              </w:rPr>
              <w:t>(1) RHSC</w:t>
            </w:r>
          </w:p>
        </w:tc>
        <w:tc>
          <w:tcPr>
            <w:tcW w:w="1559" w:type="dxa"/>
            <w:tcBorders>
              <w:top w:val="single" w:sz="4" w:space="0" w:color="auto"/>
            </w:tcBorders>
          </w:tcPr>
          <w:p w14:paraId="331E0AD5" w14:textId="77777777" w:rsidR="000266F4" w:rsidRPr="00E5247E" w:rsidRDefault="000266F4" w:rsidP="00513542">
            <w:pPr>
              <w:spacing w:line="480" w:lineRule="auto"/>
              <w:rPr>
                <w:iCs/>
                <w:sz w:val="24"/>
                <w:szCs w:val="24"/>
              </w:rPr>
            </w:pPr>
          </w:p>
        </w:tc>
        <w:tc>
          <w:tcPr>
            <w:tcW w:w="1559" w:type="dxa"/>
            <w:tcBorders>
              <w:top w:val="single" w:sz="4" w:space="0" w:color="auto"/>
            </w:tcBorders>
          </w:tcPr>
          <w:p w14:paraId="22924BA5" w14:textId="22984179" w:rsidR="000266F4" w:rsidRPr="00E5247E" w:rsidRDefault="00E5247E" w:rsidP="00513542">
            <w:pPr>
              <w:spacing w:line="480" w:lineRule="auto"/>
              <w:rPr>
                <w:iCs/>
                <w:sz w:val="24"/>
                <w:szCs w:val="24"/>
              </w:rPr>
            </w:pPr>
            <w:r>
              <w:rPr>
                <w:iCs/>
                <w:sz w:val="24"/>
                <w:szCs w:val="24"/>
              </w:rPr>
              <w:t>-.09*</w:t>
            </w:r>
          </w:p>
        </w:tc>
        <w:tc>
          <w:tcPr>
            <w:tcW w:w="1418" w:type="dxa"/>
            <w:tcBorders>
              <w:top w:val="single" w:sz="4" w:space="0" w:color="auto"/>
            </w:tcBorders>
          </w:tcPr>
          <w:p w14:paraId="616CD09B" w14:textId="17DBD58B" w:rsidR="000266F4" w:rsidRPr="00E5247E" w:rsidRDefault="00E5247E" w:rsidP="00513542">
            <w:pPr>
              <w:spacing w:line="480" w:lineRule="auto"/>
              <w:rPr>
                <w:iCs/>
                <w:sz w:val="24"/>
                <w:szCs w:val="24"/>
              </w:rPr>
            </w:pPr>
            <w:r>
              <w:rPr>
                <w:iCs/>
                <w:sz w:val="24"/>
                <w:szCs w:val="24"/>
              </w:rPr>
              <w:t>.01</w:t>
            </w:r>
          </w:p>
        </w:tc>
        <w:tc>
          <w:tcPr>
            <w:tcW w:w="1417" w:type="dxa"/>
            <w:tcBorders>
              <w:top w:val="single" w:sz="4" w:space="0" w:color="auto"/>
            </w:tcBorders>
          </w:tcPr>
          <w:p w14:paraId="268BB815" w14:textId="29054848" w:rsidR="000266F4" w:rsidRPr="00E5247E" w:rsidRDefault="00E5247E" w:rsidP="00513542">
            <w:pPr>
              <w:spacing w:line="480" w:lineRule="auto"/>
              <w:rPr>
                <w:iCs/>
                <w:sz w:val="24"/>
                <w:szCs w:val="24"/>
              </w:rPr>
            </w:pPr>
            <w:r>
              <w:rPr>
                <w:iCs/>
                <w:sz w:val="24"/>
                <w:szCs w:val="24"/>
              </w:rPr>
              <w:t>.40**</w:t>
            </w:r>
          </w:p>
        </w:tc>
        <w:tc>
          <w:tcPr>
            <w:tcW w:w="1276" w:type="dxa"/>
            <w:tcBorders>
              <w:top w:val="single" w:sz="4" w:space="0" w:color="auto"/>
            </w:tcBorders>
          </w:tcPr>
          <w:p w14:paraId="5921B513" w14:textId="03829A5D" w:rsidR="000266F4" w:rsidRPr="00E5247E" w:rsidRDefault="00E5247E" w:rsidP="00513542">
            <w:pPr>
              <w:spacing w:line="480" w:lineRule="auto"/>
              <w:rPr>
                <w:iCs/>
                <w:sz w:val="24"/>
                <w:szCs w:val="24"/>
              </w:rPr>
            </w:pPr>
            <w:r>
              <w:rPr>
                <w:iCs/>
                <w:sz w:val="24"/>
                <w:szCs w:val="24"/>
              </w:rPr>
              <w:t>-.44**</w:t>
            </w:r>
          </w:p>
        </w:tc>
        <w:tc>
          <w:tcPr>
            <w:tcW w:w="1276" w:type="dxa"/>
            <w:tcBorders>
              <w:top w:val="single" w:sz="4" w:space="0" w:color="auto"/>
            </w:tcBorders>
          </w:tcPr>
          <w:p w14:paraId="7D2C839F" w14:textId="7B20643A" w:rsidR="000266F4" w:rsidRPr="00E5247E" w:rsidRDefault="00E5247E" w:rsidP="00513542">
            <w:pPr>
              <w:spacing w:line="480" w:lineRule="auto"/>
              <w:rPr>
                <w:iCs/>
                <w:sz w:val="24"/>
                <w:szCs w:val="24"/>
              </w:rPr>
            </w:pPr>
            <w:r>
              <w:rPr>
                <w:iCs/>
                <w:sz w:val="24"/>
                <w:szCs w:val="24"/>
              </w:rPr>
              <w:t>.35**</w:t>
            </w:r>
          </w:p>
        </w:tc>
        <w:tc>
          <w:tcPr>
            <w:tcW w:w="1134" w:type="dxa"/>
            <w:tcBorders>
              <w:top w:val="single" w:sz="4" w:space="0" w:color="auto"/>
            </w:tcBorders>
          </w:tcPr>
          <w:p w14:paraId="2FC27648" w14:textId="022DB48D" w:rsidR="000266F4" w:rsidRPr="00E5247E" w:rsidRDefault="00E5247E" w:rsidP="00513542">
            <w:pPr>
              <w:spacing w:line="480" w:lineRule="auto"/>
              <w:rPr>
                <w:iCs/>
                <w:sz w:val="24"/>
                <w:szCs w:val="24"/>
              </w:rPr>
            </w:pPr>
            <w:r>
              <w:rPr>
                <w:iCs/>
                <w:sz w:val="24"/>
                <w:szCs w:val="24"/>
              </w:rPr>
              <w:t>.16**</w:t>
            </w:r>
          </w:p>
        </w:tc>
        <w:tc>
          <w:tcPr>
            <w:tcW w:w="1197" w:type="dxa"/>
            <w:tcBorders>
              <w:top w:val="single" w:sz="4" w:space="0" w:color="auto"/>
            </w:tcBorders>
          </w:tcPr>
          <w:p w14:paraId="52406406" w14:textId="66BE2D54" w:rsidR="000266F4" w:rsidRPr="00E5247E" w:rsidRDefault="00E5247E" w:rsidP="00513542">
            <w:pPr>
              <w:spacing w:line="480" w:lineRule="auto"/>
              <w:rPr>
                <w:iCs/>
                <w:sz w:val="24"/>
                <w:szCs w:val="24"/>
              </w:rPr>
            </w:pPr>
            <w:r>
              <w:rPr>
                <w:iCs/>
                <w:sz w:val="24"/>
                <w:szCs w:val="24"/>
              </w:rPr>
              <w:t>-.11*</w:t>
            </w:r>
          </w:p>
        </w:tc>
      </w:tr>
      <w:tr w:rsidR="00E5247E" w:rsidRPr="00E5247E" w14:paraId="0C58DE13" w14:textId="77777777" w:rsidTr="00E5247E">
        <w:tc>
          <w:tcPr>
            <w:tcW w:w="3114" w:type="dxa"/>
          </w:tcPr>
          <w:p w14:paraId="63E5962E" w14:textId="411DAD5E" w:rsidR="00E5247E" w:rsidRPr="00E5247E" w:rsidRDefault="00E5247E" w:rsidP="00513542">
            <w:pPr>
              <w:spacing w:line="480" w:lineRule="auto"/>
              <w:rPr>
                <w:iCs/>
                <w:sz w:val="24"/>
                <w:szCs w:val="24"/>
              </w:rPr>
            </w:pPr>
            <w:r w:rsidRPr="00E5247E">
              <w:rPr>
                <w:iCs/>
                <w:sz w:val="24"/>
                <w:szCs w:val="24"/>
              </w:rPr>
              <w:t>(2) EPR</w:t>
            </w:r>
          </w:p>
        </w:tc>
        <w:tc>
          <w:tcPr>
            <w:tcW w:w="1559" w:type="dxa"/>
          </w:tcPr>
          <w:p w14:paraId="79BF42EA" w14:textId="17115006" w:rsidR="00E5247E" w:rsidRPr="00E5247E" w:rsidRDefault="00E5247E" w:rsidP="00513542">
            <w:pPr>
              <w:spacing w:line="480" w:lineRule="auto"/>
              <w:rPr>
                <w:iCs/>
                <w:sz w:val="24"/>
                <w:szCs w:val="24"/>
              </w:rPr>
            </w:pPr>
            <w:r>
              <w:rPr>
                <w:iCs/>
                <w:sz w:val="24"/>
                <w:szCs w:val="24"/>
              </w:rPr>
              <w:t>.09</w:t>
            </w:r>
          </w:p>
        </w:tc>
        <w:tc>
          <w:tcPr>
            <w:tcW w:w="1559" w:type="dxa"/>
          </w:tcPr>
          <w:p w14:paraId="397713E7" w14:textId="77777777" w:rsidR="00E5247E" w:rsidRPr="00E5247E" w:rsidRDefault="00E5247E" w:rsidP="00513542">
            <w:pPr>
              <w:spacing w:line="480" w:lineRule="auto"/>
              <w:rPr>
                <w:iCs/>
                <w:sz w:val="24"/>
                <w:szCs w:val="24"/>
              </w:rPr>
            </w:pPr>
          </w:p>
        </w:tc>
        <w:tc>
          <w:tcPr>
            <w:tcW w:w="1418" w:type="dxa"/>
          </w:tcPr>
          <w:p w14:paraId="2843595D" w14:textId="09F0A064" w:rsidR="00E5247E" w:rsidRPr="00E5247E" w:rsidRDefault="00E5247E" w:rsidP="00513542">
            <w:pPr>
              <w:spacing w:line="480" w:lineRule="auto"/>
              <w:rPr>
                <w:iCs/>
                <w:sz w:val="24"/>
                <w:szCs w:val="24"/>
              </w:rPr>
            </w:pPr>
            <w:r>
              <w:rPr>
                <w:iCs/>
                <w:sz w:val="24"/>
                <w:szCs w:val="24"/>
              </w:rPr>
              <w:t>.12*</w:t>
            </w:r>
          </w:p>
        </w:tc>
        <w:tc>
          <w:tcPr>
            <w:tcW w:w="1417" w:type="dxa"/>
          </w:tcPr>
          <w:p w14:paraId="3AC81376" w14:textId="3B4FDC84" w:rsidR="00E5247E" w:rsidRPr="00E5247E" w:rsidRDefault="00E5247E" w:rsidP="00513542">
            <w:pPr>
              <w:spacing w:line="480" w:lineRule="auto"/>
              <w:rPr>
                <w:iCs/>
                <w:sz w:val="24"/>
                <w:szCs w:val="24"/>
              </w:rPr>
            </w:pPr>
            <w:r>
              <w:rPr>
                <w:iCs/>
                <w:sz w:val="24"/>
                <w:szCs w:val="24"/>
              </w:rPr>
              <w:t>.20**</w:t>
            </w:r>
          </w:p>
        </w:tc>
        <w:tc>
          <w:tcPr>
            <w:tcW w:w="1276" w:type="dxa"/>
          </w:tcPr>
          <w:p w14:paraId="289F6511" w14:textId="73179A65" w:rsidR="00E5247E" w:rsidRPr="00E5247E" w:rsidRDefault="00E5247E" w:rsidP="00513542">
            <w:pPr>
              <w:spacing w:line="480" w:lineRule="auto"/>
              <w:rPr>
                <w:iCs/>
                <w:sz w:val="24"/>
                <w:szCs w:val="24"/>
              </w:rPr>
            </w:pPr>
            <w:r>
              <w:rPr>
                <w:iCs/>
                <w:sz w:val="24"/>
                <w:szCs w:val="24"/>
              </w:rPr>
              <w:t>-.30**</w:t>
            </w:r>
          </w:p>
        </w:tc>
        <w:tc>
          <w:tcPr>
            <w:tcW w:w="1276" w:type="dxa"/>
          </w:tcPr>
          <w:p w14:paraId="05F516CB" w14:textId="5406EF72" w:rsidR="00E5247E" w:rsidRPr="00E5247E" w:rsidRDefault="00E5247E" w:rsidP="00513542">
            <w:pPr>
              <w:spacing w:line="480" w:lineRule="auto"/>
              <w:rPr>
                <w:iCs/>
                <w:sz w:val="24"/>
                <w:szCs w:val="24"/>
              </w:rPr>
            </w:pPr>
            <w:r>
              <w:rPr>
                <w:iCs/>
                <w:sz w:val="24"/>
                <w:szCs w:val="24"/>
              </w:rPr>
              <w:t>.10*</w:t>
            </w:r>
          </w:p>
        </w:tc>
        <w:tc>
          <w:tcPr>
            <w:tcW w:w="1134" w:type="dxa"/>
          </w:tcPr>
          <w:p w14:paraId="26782684" w14:textId="0A0AD231" w:rsidR="00E5247E" w:rsidRPr="00E5247E" w:rsidRDefault="00E5247E" w:rsidP="00513542">
            <w:pPr>
              <w:spacing w:line="480" w:lineRule="auto"/>
              <w:rPr>
                <w:iCs/>
                <w:sz w:val="24"/>
                <w:szCs w:val="24"/>
              </w:rPr>
            </w:pPr>
            <w:r>
              <w:rPr>
                <w:iCs/>
                <w:sz w:val="24"/>
                <w:szCs w:val="24"/>
              </w:rPr>
              <w:t>.10*</w:t>
            </w:r>
          </w:p>
        </w:tc>
        <w:tc>
          <w:tcPr>
            <w:tcW w:w="1197" w:type="dxa"/>
          </w:tcPr>
          <w:p w14:paraId="6A6A5557" w14:textId="0D1DAC0E" w:rsidR="00E5247E" w:rsidRPr="00E5247E" w:rsidRDefault="00E5247E" w:rsidP="00513542">
            <w:pPr>
              <w:spacing w:line="480" w:lineRule="auto"/>
              <w:rPr>
                <w:iCs/>
                <w:sz w:val="24"/>
                <w:szCs w:val="24"/>
              </w:rPr>
            </w:pPr>
            <w:r>
              <w:rPr>
                <w:iCs/>
                <w:sz w:val="24"/>
                <w:szCs w:val="24"/>
              </w:rPr>
              <w:t>-.09*</w:t>
            </w:r>
          </w:p>
        </w:tc>
      </w:tr>
      <w:tr w:rsidR="00E5247E" w:rsidRPr="00E5247E" w14:paraId="19325DBB" w14:textId="77777777" w:rsidTr="00E5247E">
        <w:tc>
          <w:tcPr>
            <w:tcW w:w="3114" w:type="dxa"/>
          </w:tcPr>
          <w:p w14:paraId="72363150" w14:textId="2A9BF0E6" w:rsidR="00E5247E" w:rsidRPr="00E5247E" w:rsidRDefault="00E5247E" w:rsidP="00513542">
            <w:pPr>
              <w:spacing w:line="480" w:lineRule="auto"/>
              <w:rPr>
                <w:iCs/>
                <w:sz w:val="24"/>
                <w:szCs w:val="24"/>
              </w:rPr>
            </w:pPr>
            <w:r w:rsidRPr="00E5247E">
              <w:rPr>
                <w:iCs/>
                <w:sz w:val="24"/>
                <w:szCs w:val="24"/>
              </w:rPr>
              <w:t>(3) UPE</w:t>
            </w:r>
          </w:p>
        </w:tc>
        <w:tc>
          <w:tcPr>
            <w:tcW w:w="1559" w:type="dxa"/>
          </w:tcPr>
          <w:p w14:paraId="240EB3F0" w14:textId="095182BD" w:rsidR="00E5247E" w:rsidRPr="00E5247E" w:rsidRDefault="00E5247E" w:rsidP="00513542">
            <w:pPr>
              <w:spacing w:line="480" w:lineRule="auto"/>
              <w:rPr>
                <w:iCs/>
                <w:sz w:val="24"/>
                <w:szCs w:val="24"/>
              </w:rPr>
            </w:pPr>
            <w:r>
              <w:rPr>
                <w:iCs/>
                <w:sz w:val="24"/>
                <w:szCs w:val="24"/>
              </w:rPr>
              <w:t>.12*</w:t>
            </w:r>
          </w:p>
        </w:tc>
        <w:tc>
          <w:tcPr>
            <w:tcW w:w="1559" w:type="dxa"/>
          </w:tcPr>
          <w:p w14:paraId="6319CAFD" w14:textId="33D391A8" w:rsidR="00E5247E" w:rsidRPr="00E5247E" w:rsidRDefault="00E5247E" w:rsidP="00513542">
            <w:pPr>
              <w:spacing w:line="480" w:lineRule="auto"/>
              <w:rPr>
                <w:iCs/>
                <w:sz w:val="24"/>
                <w:szCs w:val="24"/>
              </w:rPr>
            </w:pPr>
            <w:r>
              <w:rPr>
                <w:iCs/>
                <w:sz w:val="24"/>
                <w:szCs w:val="24"/>
              </w:rPr>
              <w:t>.27**</w:t>
            </w:r>
          </w:p>
        </w:tc>
        <w:tc>
          <w:tcPr>
            <w:tcW w:w="1418" w:type="dxa"/>
          </w:tcPr>
          <w:p w14:paraId="6F8D2CB7" w14:textId="77777777" w:rsidR="00E5247E" w:rsidRPr="00E5247E" w:rsidRDefault="00E5247E" w:rsidP="00513542">
            <w:pPr>
              <w:spacing w:line="480" w:lineRule="auto"/>
              <w:rPr>
                <w:iCs/>
                <w:sz w:val="24"/>
                <w:szCs w:val="24"/>
              </w:rPr>
            </w:pPr>
          </w:p>
        </w:tc>
        <w:tc>
          <w:tcPr>
            <w:tcW w:w="1417" w:type="dxa"/>
          </w:tcPr>
          <w:p w14:paraId="15F95C66" w14:textId="3414F673" w:rsidR="00E5247E" w:rsidRPr="00E5247E" w:rsidRDefault="00E5247E" w:rsidP="00513542">
            <w:pPr>
              <w:spacing w:line="480" w:lineRule="auto"/>
              <w:rPr>
                <w:iCs/>
                <w:sz w:val="24"/>
                <w:szCs w:val="24"/>
              </w:rPr>
            </w:pPr>
            <w:r>
              <w:rPr>
                <w:iCs/>
                <w:sz w:val="24"/>
                <w:szCs w:val="24"/>
              </w:rPr>
              <w:t>.06</w:t>
            </w:r>
          </w:p>
        </w:tc>
        <w:tc>
          <w:tcPr>
            <w:tcW w:w="1276" w:type="dxa"/>
          </w:tcPr>
          <w:p w14:paraId="1A5A6888" w14:textId="4F226CC3" w:rsidR="00E5247E" w:rsidRPr="00E5247E" w:rsidRDefault="00E5247E" w:rsidP="00513542">
            <w:pPr>
              <w:spacing w:line="480" w:lineRule="auto"/>
              <w:rPr>
                <w:iCs/>
                <w:sz w:val="24"/>
                <w:szCs w:val="24"/>
              </w:rPr>
            </w:pPr>
            <w:r>
              <w:rPr>
                <w:iCs/>
                <w:sz w:val="24"/>
                <w:szCs w:val="24"/>
              </w:rPr>
              <w:t>.15*</w:t>
            </w:r>
          </w:p>
        </w:tc>
        <w:tc>
          <w:tcPr>
            <w:tcW w:w="1276" w:type="dxa"/>
          </w:tcPr>
          <w:p w14:paraId="1968FB15" w14:textId="044BA4CF" w:rsidR="00E5247E" w:rsidRPr="00E5247E" w:rsidRDefault="00E5247E" w:rsidP="00513542">
            <w:pPr>
              <w:spacing w:line="480" w:lineRule="auto"/>
              <w:rPr>
                <w:iCs/>
                <w:sz w:val="24"/>
                <w:szCs w:val="24"/>
              </w:rPr>
            </w:pPr>
            <w:r>
              <w:rPr>
                <w:iCs/>
                <w:sz w:val="24"/>
                <w:szCs w:val="24"/>
              </w:rPr>
              <w:t>.07</w:t>
            </w:r>
          </w:p>
        </w:tc>
        <w:tc>
          <w:tcPr>
            <w:tcW w:w="1134" w:type="dxa"/>
          </w:tcPr>
          <w:p w14:paraId="6B7507A7" w14:textId="65642670" w:rsidR="00E5247E" w:rsidRPr="00E5247E" w:rsidRDefault="00E5247E" w:rsidP="00513542">
            <w:pPr>
              <w:spacing w:line="480" w:lineRule="auto"/>
              <w:rPr>
                <w:iCs/>
                <w:sz w:val="24"/>
                <w:szCs w:val="24"/>
              </w:rPr>
            </w:pPr>
            <w:r>
              <w:rPr>
                <w:iCs/>
                <w:sz w:val="24"/>
                <w:szCs w:val="24"/>
              </w:rPr>
              <w:t>.14*</w:t>
            </w:r>
          </w:p>
        </w:tc>
        <w:tc>
          <w:tcPr>
            <w:tcW w:w="1197" w:type="dxa"/>
          </w:tcPr>
          <w:p w14:paraId="03B38643" w14:textId="030F0AE0" w:rsidR="00E5247E" w:rsidRPr="00E5247E" w:rsidRDefault="00E5247E" w:rsidP="00513542">
            <w:pPr>
              <w:spacing w:line="480" w:lineRule="auto"/>
              <w:rPr>
                <w:iCs/>
                <w:sz w:val="24"/>
                <w:szCs w:val="24"/>
              </w:rPr>
            </w:pPr>
            <w:r>
              <w:rPr>
                <w:iCs/>
                <w:sz w:val="24"/>
                <w:szCs w:val="24"/>
              </w:rPr>
              <w:t>.09</w:t>
            </w:r>
          </w:p>
        </w:tc>
      </w:tr>
      <w:tr w:rsidR="00E5247E" w:rsidRPr="00E5247E" w14:paraId="6FB62396" w14:textId="77777777" w:rsidTr="00E5247E">
        <w:tc>
          <w:tcPr>
            <w:tcW w:w="3114" w:type="dxa"/>
          </w:tcPr>
          <w:p w14:paraId="4F821521" w14:textId="1322BCF1" w:rsidR="00E5247E" w:rsidRPr="00E5247E" w:rsidRDefault="00E5247E" w:rsidP="00513542">
            <w:pPr>
              <w:spacing w:line="480" w:lineRule="auto"/>
              <w:rPr>
                <w:iCs/>
                <w:sz w:val="24"/>
                <w:szCs w:val="24"/>
              </w:rPr>
            </w:pPr>
            <w:r w:rsidRPr="00E5247E">
              <w:rPr>
                <w:iCs/>
                <w:sz w:val="24"/>
                <w:szCs w:val="24"/>
              </w:rPr>
              <w:t>(4) Body appreciation</w:t>
            </w:r>
          </w:p>
        </w:tc>
        <w:tc>
          <w:tcPr>
            <w:tcW w:w="1559" w:type="dxa"/>
          </w:tcPr>
          <w:p w14:paraId="4C7164BC" w14:textId="54E6DADD" w:rsidR="00E5247E" w:rsidRPr="00E5247E" w:rsidRDefault="00E5247E" w:rsidP="00513542">
            <w:pPr>
              <w:spacing w:line="480" w:lineRule="auto"/>
              <w:rPr>
                <w:iCs/>
                <w:sz w:val="24"/>
                <w:szCs w:val="24"/>
              </w:rPr>
            </w:pPr>
            <w:r>
              <w:rPr>
                <w:iCs/>
                <w:sz w:val="24"/>
                <w:szCs w:val="24"/>
              </w:rPr>
              <w:t>.45**</w:t>
            </w:r>
          </w:p>
        </w:tc>
        <w:tc>
          <w:tcPr>
            <w:tcW w:w="1559" w:type="dxa"/>
          </w:tcPr>
          <w:p w14:paraId="353260A8" w14:textId="61779510" w:rsidR="00E5247E" w:rsidRPr="00E5247E" w:rsidRDefault="00E5247E" w:rsidP="00513542">
            <w:pPr>
              <w:spacing w:line="480" w:lineRule="auto"/>
              <w:rPr>
                <w:iCs/>
                <w:sz w:val="24"/>
                <w:szCs w:val="24"/>
              </w:rPr>
            </w:pPr>
            <w:r>
              <w:rPr>
                <w:iCs/>
                <w:sz w:val="24"/>
                <w:szCs w:val="24"/>
              </w:rPr>
              <w:t>.08</w:t>
            </w:r>
          </w:p>
        </w:tc>
        <w:tc>
          <w:tcPr>
            <w:tcW w:w="1418" w:type="dxa"/>
          </w:tcPr>
          <w:p w14:paraId="68B2D722" w14:textId="76AA19C7" w:rsidR="00E5247E" w:rsidRPr="00E5247E" w:rsidRDefault="00E5247E" w:rsidP="00513542">
            <w:pPr>
              <w:spacing w:line="480" w:lineRule="auto"/>
              <w:rPr>
                <w:iCs/>
                <w:sz w:val="24"/>
                <w:szCs w:val="24"/>
              </w:rPr>
            </w:pPr>
            <w:r>
              <w:rPr>
                <w:iCs/>
                <w:sz w:val="24"/>
                <w:szCs w:val="24"/>
              </w:rPr>
              <w:t>.07</w:t>
            </w:r>
          </w:p>
        </w:tc>
        <w:tc>
          <w:tcPr>
            <w:tcW w:w="1417" w:type="dxa"/>
          </w:tcPr>
          <w:p w14:paraId="2FF425D8" w14:textId="77777777" w:rsidR="00E5247E" w:rsidRPr="00E5247E" w:rsidRDefault="00E5247E" w:rsidP="00513542">
            <w:pPr>
              <w:spacing w:line="480" w:lineRule="auto"/>
              <w:rPr>
                <w:iCs/>
                <w:sz w:val="24"/>
                <w:szCs w:val="24"/>
              </w:rPr>
            </w:pPr>
          </w:p>
        </w:tc>
        <w:tc>
          <w:tcPr>
            <w:tcW w:w="1276" w:type="dxa"/>
          </w:tcPr>
          <w:p w14:paraId="445C97ED" w14:textId="7CF312B5" w:rsidR="00E5247E" w:rsidRPr="00E5247E" w:rsidRDefault="00E5247E" w:rsidP="00513542">
            <w:pPr>
              <w:spacing w:line="480" w:lineRule="auto"/>
              <w:rPr>
                <w:iCs/>
                <w:sz w:val="24"/>
                <w:szCs w:val="24"/>
              </w:rPr>
            </w:pPr>
            <w:r>
              <w:rPr>
                <w:iCs/>
                <w:sz w:val="24"/>
                <w:szCs w:val="24"/>
              </w:rPr>
              <w:t>-.61**</w:t>
            </w:r>
          </w:p>
        </w:tc>
        <w:tc>
          <w:tcPr>
            <w:tcW w:w="1276" w:type="dxa"/>
          </w:tcPr>
          <w:p w14:paraId="2F3D2B60" w14:textId="02377D41" w:rsidR="00E5247E" w:rsidRPr="00E5247E" w:rsidRDefault="00E5247E" w:rsidP="00513542">
            <w:pPr>
              <w:spacing w:line="480" w:lineRule="auto"/>
              <w:rPr>
                <w:iCs/>
                <w:sz w:val="24"/>
                <w:szCs w:val="24"/>
              </w:rPr>
            </w:pPr>
            <w:r>
              <w:rPr>
                <w:iCs/>
                <w:sz w:val="24"/>
                <w:szCs w:val="24"/>
              </w:rPr>
              <w:t>.61**</w:t>
            </w:r>
          </w:p>
        </w:tc>
        <w:tc>
          <w:tcPr>
            <w:tcW w:w="1134" w:type="dxa"/>
          </w:tcPr>
          <w:p w14:paraId="58B5D844" w14:textId="71AE501E" w:rsidR="00E5247E" w:rsidRPr="00E5247E" w:rsidRDefault="00E5247E" w:rsidP="00513542">
            <w:pPr>
              <w:spacing w:line="480" w:lineRule="auto"/>
              <w:rPr>
                <w:iCs/>
                <w:sz w:val="24"/>
                <w:szCs w:val="24"/>
              </w:rPr>
            </w:pPr>
            <w:r>
              <w:rPr>
                <w:iCs/>
                <w:sz w:val="24"/>
                <w:szCs w:val="24"/>
              </w:rPr>
              <w:t>.56**</w:t>
            </w:r>
          </w:p>
        </w:tc>
        <w:tc>
          <w:tcPr>
            <w:tcW w:w="1197" w:type="dxa"/>
          </w:tcPr>
          <w:p w14:paraId="5336931A" w14:textId="456A4920" w:rsidR="00E5247E" w:rsidRPr="00E5247E" w:rsidRDefault="00E5247E" w:rsidP="00513542">
            <w:pPr>
              <w:spacing w:line="480" w:lineRule="auto"/>
              <w:rPr>
                <w:iCs/>
                <w:sz w:val="24"/>
                <w:szCs w:val="24"/>
              </w:rPr>
            </w:pPr>
            <w:r>
              <w:rPr>
                <w:iCs/>
                <w:sz w:val="24"/>
                <w:szCs w:val="24"/>
              </w:rPr>
              <w:t>-.24**</w:t>
            </w:r>
          </w:p>
        </w:tc>
      </w:tr>
      <w:tr w:rsidR="00E5247E" w:rsidRPr="00E5247E" w14:paraId="3E70FAAB" w14:textId="77777777" w:rsidTr="00E5247E">
        <w:tc>
          <w:tcPr>
            <w:tcW w:w="3114" w:type="dxa"/>
          </w:tcPr>
          <w:p w14:paraId="6E0893AC" w14:textId="059C769A" w:rsidR="00E5247E" w:rsidRPr="00E5247E" w:rsidRDefault="00E5247E" w:rsidP="00513542">
            <w:pPr>
              <w:spacing w:line="480" w:lineRule="auto"/>
              <w:rPr>
                <w:iCs/>
                <w:sz w:val="24"/>
                <w:szCs w:val="24"/>
              </w:rPr>
            </w:pPr>
            <w:r w:rsidRPr="00E5247E">
              <w:rPr>
                <w:iCs/>
                <w:sz w:val="24"/>
                <w:szCs w:val="24"/>
              </w:rPr>
              <w:t>(5) Disordered eating</w:t>
            </w:r>
          </w:p>
        </w:tc>
        <w:tc>
          <w:tcPr>
            <w:tcW w:w="1559" w:type="dxa"/>
          </w:tcPr>
          <w:p w14:paraId="5A1610EA" w14:textId="67FEFC97" w:rsidR="00E5247E" w:rsidRPr="00E5247E" w:rsidRDefault="00E5247E" w:rsidP="00513542">
            <w:pPr>
              <w:spacing w:line="480" w:lineRule="auto"/>
              <w:rPr>
                <w:iCs/>
                <w:sz w:val="24"/>
                <w:szCs w:val="24"/>
              </w:rPr>
            </w:pPr>
            <w:r>
              <w:rPr>
                <w:iCs/>
                <w:sz w:val="24"/>
                <w:szCs w:val="24"/>
              </w:rPr>
              <w:t>-.30**</w:t>
            </w:r>
          </w:p>
        </w:tc>
        <w:tc>
          <w:tcPr>
            <w:tcW w:w="1559" w:type="dxa"/>
          </w:tcPr>
          <w:p w14:paraId="1B93BC59" w14:textId="6342618A" w:rsidR="00E5247E" w:rsidRPr="00E5247E" w:rsidRDefault="00E5247E" w:rsidP="00513542">
            <w:pPr>
              <w:spacing w:line="480" w:lineRule="auto"/>
              <w:rPr>
                <w:iCs/>
                <w:sz w:val="24"/>
                <w:szCs w:val="24"/>
              </w:rPr>
            </w:pPr>
            <w:r>
              <w:rPr>
                <w:iCs/>
                <w:sz w:val="24"/>
                <w:szCs w:val="24"/>
              </w:rPr>
              <w:t>.22**</w:t>
            </w:r>
          </w:p>
        </w:tc>
        <w:tc>
          <w:tcPr>
            <w:tcW w:w="1418" w:type="dxa"/>
          </w:tcPr>
          <w:p w14:paraId="0DAD65EC" w14:textId="5BCB5E61" w:rsidR="00E5247E" w:rsidRPr="00E5247E" w:rsidRDefault="00E5247E" w:rsidP="00513542">
            <w:pPr>
              <w:spacing w:line="480" w:lineRule="auto"/>
              <w:rPr>
                <w:iCs/>
                <w:sz w:val="24"/>
                <w:szCs w:val="24"/>
              </w:rPr>
            </w:pPr>
            <w:r>
              <w:rPr>
                <w:iCs/>
                <w:sz w:val="24"/>
                <w:szCs w:val="24"/>
              </w:rPr>
              <w:t>.19*</w:t>
            </w:r>
          </w:p>
        </w:tc>
        <w:tc>
          <w:tcPr>
            <w:tcW w:w="1417" w:type="dxa"/>
          </w:tcPr>
          <w:p w14:paraId="502BBC11" w14:textId="7BF47B34" w:rsidR="00E5247E" w:rsidRPr="00E5247E" w:rsidRDefault="00E5247E" w:rsidP="00513542">
            <w:pPr>
              <w:spacing w:line="480" w:lineRule="auto"/>
              <w:rPr>
                <w:iCs/>
                <w:sz w:val="24"/>
                <w:szCs w:val="24"/>
              </w:rPr>
            </w:pPr>
            <w:r>
              <w:rPr>
                <w:iCs/>
                <w:sz w:val="24"/>
                <w:szCs w:val="24"/>
              </w:rPr>
              <w:t>-.35**</w:t>
            </w:r>
          </w:p>
        </w:tc>
        <w:tc>
          <w:tcPr>
            <w:tcW w:w="1276" w:type="dxa"/>
          </w:tcPr>
          <w:p w14:paraId="38DAADE5" w14:textId="77777777" w:rsidR="00E5247E" w:rsidRPr="00E5247E" w:rsidRDefault="00E5247E" w:rsidP="00513542">
            <w:pPr>
              <w:spacing w:line="480" w:lineRule="auto"/>
              <w:rPr>
                <w:iCs/>
                <w:sz w:val="24"/>
                <w:szCs w:val="24"/>
              </w:rPr>
            </w:pPr>
          </w:p>
        </w:tc>
        <w:tc>
          <w:tcPr>
            <w:tcW w:w="1276" w:type="dxa"/>
          </w:tcPr>
          <w:p w14:paraId="384DFC3D" w14:textId="3C735B91" w:rsidR="00E5247E" w:rsidRPr="00E5247E" w:rsidRDefault="00E5247E" w:rsidP="00513542">
            <w:pPr>
              <w:spacing w:line="480" w:lineRule="auto"/>
              <w:rPr>
                <w:iCs/>
                <w:sz w:val="24"/>
                <w:szCs w:val="24"/>
              </w:rPr>
            </w:pPr>
            <w:r>
              <w:rPr>
                <w:iCs/>
                <w:sz w:val="24"/>
                <w:szCs w:val="24"/>
              </w:rPr>
              <w:t>-.45**</w:t>
            </w:r>
          </w:p>
        </w:tc>
        <w:tc>
          <w:tcPr>
            <w:tcW w:w="1134" w:type="dxa"/>
          </w:tcPr>
          <w:p w14:paraId="22D28608" w14:textId="1F675DB2" w:rsidR="00E5247E" w:rsidRPr="00E5247E" w:rsidRDefault="00E5247E" w:rsidP="00513542">
            <w:pPr>
              <w:spacing w:line="480" w:lineRule="auto"/>
              <w:rPr>
                <w:iCs/>
                <w:sz w:val="24"/>
                <w:szCs w:val="24"/>
              </w:rPr>
            </w:pPr>
            <w:r>
              <w:rPr>
                <w:iCs/>
                <w:sz w:val="24"/>
                <w:szCs w:val="24"/>
              </w:rPr>
              <w:t>-.22**</w:t>
            </w:r>
          </w:p>
        </w:tc>
        <w:tc>
          <w:tcPr>
            <w:tcW w:w="1197" w:type="dxa"/>
          </w:tcPr>
          <w:p w14:paraId="016C9A88" w14:textId="77DCD77C" w:rsidR="00E5247E" w:rsidRPr="00E5247E" w:rsidRDefault="00E5247E" w:rsidP="00513542">
            <w:pPr>
              <w:spacing w:line="480" w:lineRule="auto"/>
              <w:rPr>
                <w:iCs/>
                <w:sz w:val="24"/>
                <w:szCs w:val="24"/>
              </w:rPr>
            </w:pPr>
            <w:r>
              <w:rPr>
                <w:iCs/>
                <w:sz w:val="24"/>
                <w:szCs w:val="24"/>
              </w:rPr>
              <w:t>.33**</w:t>
            </w:r>
          </w:p>
        </w:tc>
      </w:tr>
      <w:tr w:rsidR="00E5247E" w:rsidRPr="00E5247E" w14:paraId="2F1687B4" w14:textId="77777777" w:rsidTr="00E5247E">
        <w:tc>
          <w:tcPr>
            <w:tcW w:w="3114" w:type="dxa"/>
          </w:tcPr>
          <w:p w14:paraId="3C38D8C9" w14:textId="3EEAFE9B" w:rsidR="00E5247E" w:rsidRPr="00E5247E" w:rsidRDefault="00E5247E" w:rsidP="00513542">
            <w:pPr>
              <w:spacing w:line="480" w:lineRule="auto"/>
              <w:rPr>
                <w:iCs/>
                <w:sz w:val="24"/>
                <w:szCs w:val="24"/>
              </w:rPr>
            </w:pPr>
            <w:r w:rsidRPr="00E5247E">
              <w:rPr>
                <w:iCs/>
                <w:sz w:val="24"/>
                <w:szCs w:val="24"/>
              </w:rPr>
              <w:t>(6) Self-esteem</w:t>
            </w:r>
          </w:p>
        </w:tc>
        <w:tc>
          <w:tcPr>
            <w:tcW w:w="1559" w:type="dxa"/>
          </w:tcPr>
          <w:p w14:paraId="6BE15BE0" w14:textId="26E76CBD" w:rsidR="00E5247E" w:rsidRPr="00E5247E" w:rsidRDefault="00E5247E" w:rsidP="00513542">
            <w:pPr>
              <w:spacing w:line="480" w:lineRule="auto"/>
              <w:rPr>
                <w:iCs/>
                <w:sz w:val="24"/>
                <w:szCs w:val="24"/>
              </w:rPr>
            </w:pPr>
            <w:r>
              <w:rPr>
                <w:iCs/>
                <w:sz w:val="24"/>
                <w:szCs w:val="24"/>
              </w:rPr>
              <w:t>.21**</w:t>
            </w:r>
          </w:p>
        </w:tc>
        <w:tc>
          <w:tcPr>
            <w:tcW w:w="1559" w:type="dxa"/>
          </w:tcPr>
          <w:p w14:paraId="3F8E9DCE" w14:textId="2733A715" w:rsidR="00E5247E" w:rsidRPr="00E5247E" w:rsidRDefault="00E5247E" w:rsidP="00513542">
            <w:pPr>
              <w:spacing w:line="480" w:lineRule="auto"/>
              <w:rPr>
                <w:iCs/>
                <w:sz w:val="24"/>
                <w:szCs w:val="24"/>
              </w:rPr>
            </w:pPr>
            <w:r>
              <w:rPr>
                <w:iCs/>
                <w:sz w:val="24"/>
                <w:szCs w:val="24"/>
              </w:rPr>
              <w:t>-.04</w:t>
            </w:r>
          </w:p>
        </w:tc>
        <w:tc>
          <w:tcPr>
            <w:tcW w:w="1418" w:type="dxa"/>
          </w:tcPr>
          <w:p w14:paraId="5D48C45F" w14:textId="091C8295" w:rsidR="00E5247E" w:rsidRPr="00E5247E" w:rsidRDefault="00E5247E" w:rsidP="00513542">
            <w:pPr>
              <w:spacing w:line="480" w:lineRule="auto"/>
              <w:rPr>
                <w:iCs/>
                <w:sz w:val="24"/>
                <w:szCs w:val="24"/>
              </w:rPr>
            </w:pPr>
            <w:r>
              <w:rPr>
                <w:iCs/>
                <w:sz w:val="24"/>
                <w:szCs w:val="24"/>
              </w:rPr>
              <w:t>-.07</w:t>
            </w:r>
          </w:p>
        </w:tc>
        <w:tc>
          <w:tcPr>
            <w:tcW w:w="1417" w:type="dxa"/>
          </w:tcPr>
          <w:p w14:paraId="4BA256DD" w14:textId="5D2B7FD3" w:rsidR="00E5247E" w:rsidRPr="00E5247E" w:rsidRDefault="00E5247E" w:rsidP="00513542">
            <w:pPr>
              <w:spacing w:line="480" w:lineRule="auto"/>
              <w:rPr>
                <w:iCs/>
                <w:sz w:val="24"/>
                <w:szCs w:val="24"/>
              </w:rPr>
            </w:pPr>
            <w:r>
              <w:rPr>
                <w:iCs/>
                <w:sz w:val="24"/>
                <w:szCs w:val="24"/>
              </w:rPr>
              <w:t>.53**</w:t>
            </w:r>
          </w:p>
        </w:tc>
        <w:tc>
          <w:tcPr>
            <w:tcW w:w="1276" w:type="dxa"/>
          </w:tcPr>
          <w:p w14:paraId="2DEB3AC5" w14:textId="1E106FF5" w:rsidR="00E5247E" w:rsidRPr="00E5247E" w:rsidRDefault="00E5247E" w:rsidP="00513542">
            <w:pPr>
              <w:spacing w:line="480" w:lineRule="auto"/>
              <w:rPr>
                <w:iCs/>
                <w:sz w:val="24"/>
                <w:szCs w:val="24"/>
              </w:rPr>
            </w:pPr>
            <w:r>
              <w:rPr>
                <w:iCs/>
                <w:sz w:val="24"/>
                <w:szCs w:val="24"/>
              </w:rPr>
              <w:t>-.34**</w:t>
            </w:r>
          </w:p>
        </w:tc>
        <w:tc>
          <w:tcPr>
            <w:tcW w:w="1276" w:type="dxa"/>
          </w:tcPr>
          <w:p w14:paraId="343A7348" w14:textId="77777777" w:rsidR="00E5247E" w:rsidRPr="00E5247E" w:rsidRDefault="00E5247E" w:rsidP="00513542">
            <w:pPr>
              <w:spacing w:line="480" w:lineRule="auto"/>
              <w:rPr>
                <w:iCs/>
                <w:sz w:val="24"/>
                <w:szCs w:val="24"/>
              </w:rPr>
            </w:pPr>
          </w:p>
        </w:tc>
        <w:tc>
          <w:tcPr>
            <w:tcW w:w="1134" w:type="dxa"/>
          </w:tcPr>
          <w:p w14:paraId="41655138" w14:textId="1AD7A0CE" w:rsidR="00E5247E" w:rsidRPr="00E5247E" w:rsidRDefault="00E5247E" w:rsidP="00513542">
            <w:pPr>
              <w:spacing w:line="480" w:lineRule="auto"/>
              <w:rPr>
                <w:iCs/>
                <w:sz w:val="24"/>
                <w:szCs w:val="24"/>
              </w:rPr>
            </w:pPr>
            <w:r>
              <w:rPr>
                <w:iCs/>
                <w:sz w:val="24"/>
                <w:szCs w:val="24"/>
              </w:rPr>
              <w:t>.49**</w:t>
            </w:r>
          </w:p>
        </w:tc>
        <w:tc>
          <w:tcPr>
            <w:tcW w:w="1197" w:type="dxa"/>
          </w:tcPr>
          <w:p w14:paraId="66E9B6CB" w14:textId="315F81B3" w:rsidR="00E5247E" w:rsidRPr="00E5247E" w:rsidRDefault="00E5247E" w:rsidP="00513542">
            <w:pPr>
              <w:spacing w:line="480" w:lineRule="auto"/>
              <w:rPr>
                <w:iCs/>
                <w:sz w:val="24"/>
                <w:szCs w:val="24"/>
              </w:rPr>
            </w:pPr>
            <w:r>
              <w:rPr>
                <w:iCs/>
                <w:sz w:val="24"/>
                <w:szCs w:val="24"/>
              </w:rPr>
              <w:t>.03</w:t>
            </w:r>
          </w:p>
        </w:tc>
      </w:tr>
      <w:tr w:rsidR="00E5247E" w:rsidRPr="00E5247E" w14:paraId="5AC7358D" w14:textId="77777777" w:rsidTr="00E5247E">
        <w:tc>
          <w:tcPr>
            <w:tcW w:w="3114" w:type="dxa"/>
          </w:tcPr>
          <w:p w14:paraId="4505EADA" w14:textId="6EFA84B9" w:rsidR="00E5247E" w:rsidRPr="00E5247E" w:rsidRDefault="00E5247E" w:rsidP="00513542">
            <w:pPr>
              <w:spacing w:line="480" w:lineRule="auto"/>
              <w:rPr>
                <w:iCs/>
                <w:sz w:val="24"/>
                <w:szCs w:val="24"/>
              </w:rPr>
            </w:pPr>
            <w:r w:rsidRPr="00E5247E">
              <w:rPr>
                <w:iCs/>
                <w:sz w:val="24"/>
                <w:szCs w:val="24"/>
              </w:rPr>
              <w:t>(7) Subjective happiness</w:t>
            </w:r>
          </w:p>
        </w:tc>
        <w:tc>
          <w:tcPr>
            <w:tcW w:w="1559" w:type="dxa"/>
          </w:tcPr>
          <w:p w14:paraId="0F0F9965" w14:textId="7121941D" w:rsidR="00E5247E" w:rsidRPr="00E5247E" w:rsidRDefault="00E5247E" w:rsidP="00513542">
            <w:pPr>
              <w:spacing w:line="480" w:lineRule="auto"/>
              <w:rPr>
                <w:iCs/>
                <w:sz w:val="24"/>
                <w:szCs w:val="24"/>
              </w:rPr>
            </w:pPr>
            <w:r>
              <w:rPr>
                <w:iCs/>
                <w:sz w:val="24"/>
                <w:szCs w:val="24"/>
              </w:rPr>
              <w:t>.19**</w:t>
            </w:r>
          </w:p>
        </w:tc>
        <w:tc>
          <w:tcPr>
            <w:tcW w:w="1559" w:type="dxa"/>
          </w:tcPr>
          <w:p w14:paraId="647C7641" w14:textId="396DDA5B" w:rsidR="00E5247E" w:rsidRPr="00E5247E" w:rsidRDefault="00E5247E" w:rsidP="00513542">
            <w:pPr>
              <w:spacing w:line="480" w:lineRule="auto"/>
              <w:rPr>
                <w:iCs/>
                <w:sz w:val="24"/>
                <w:szCs w:val="24"/>
              </w:rPr>
            </w:pPr>
            <w:r>
              <w:rPr>
                <w:iCs/>
                <w:sz w:val="24"/>
                <w:szCs w:val="24"/>
              </w:rPr>
              <w:t>.08</w:t>
            </w:r>
          </w:p>
        </w:tc>
        <w:tc>
          <w:tcPr>
            <w:tcW w:w="1418" w:type="dxa"/>
          </w:tcPr>
          <w:p w14:paraId="15D18F28" w14:textId="0A5C6E36" w:rsidR="00E5247E" w:rsidRPr="00E5247E" w:rsidRDefault="00E5247E" w:rsidP="00513542">
            <w:pPr>
              <w:spacing w:line="480" w:lineRule="auto"/>
              <w:rPr>
                <w:iCs/>
                <w:sz w:val="24"/>
                <w:szCs w:val="24"/>
              </w:rPr>
            </w:pPr>
            <w:r>
              <w:rPr>
                <w:iCs/>
                <w:sz w:val="24"/>
                <w:szCs w:val="24"/>
              </w:rPr>
              <w:t>.14*</w:t>
            </w:r>
          </w:p>
        </w:tc>
        <w:tc>
          <w:tcPr>
            <w:tcW w:w="1417" w:type="dxa"/>
          </w:tcPr>
          <w:p w14:paraId="236DA875" w14:textId="67BD311D" w:rsidR="00E5247E" w:rsidRPr="00E5247E" w:rsidRDefault="00E5247E" w:rsidP="00513542">
            <w:pPr>
              <w:spacing w:line="480" w:lineRule="auto"/>
              <w:rPr>
                <w:iCs/>
                <w:sz w:val="24"/>
                <w:szCs w:val="24"/>
              </w:rPr>
            </w:pPr>
            <w:r>
              <w:rPr>
                <w:iCs/>
                <w:sz w:val="24"/>
                <w:szCs w:val="24"/>
              </w:rPr>
              <w:t>.51**</w:t>
            </w:r>
          </w:p>
        </w:tc>
        <w:tc>
          <w:tcPr>
            <w:tcW w:w="1276" w:type="dxa"/>
          </w:tcPr>
          <w:p w14:paraId="40E44973" w14:textId="01BBAF15" w:rsidR="00E5247E" w:rsidRPr="00E5247E" w:rsidRDefault="00E5247E" w:rsidP="00513542">
            <w:pPr>
              <w:spacing w:line="480" w:lineRule="auto"/>
              <w:rPr>
                <w:iCs/>
                <w:sz w:val="24"/>
                <w:szCs w:val="24"/>
              </w:rPr>
            </w:pPr>
            <w:r>
              <w:rPr>
                <w:iCs/>
                <w:sz w:val="24"/>
                <w:szCs w:val="24"/>
              </w:rPr>
              <w:t>-.07</w:t>
            </w:r>
          </w:p>
        </w:tc>
        <w:tc>
          <w:tcPr>
            <w:tcW w:w="1276" w:type="dxa"/>
          </w:tcPr>
          <w:p w14:paraId="10E29C6B" w14:textId="3536CFBD" w:rsidR="00E5247E" w:rsidRPr="00E5247E" w:rsidRDefault="00E5247E" w:rsidP="00513542">
            <w:pPr>
              <w:spacing w:line="480" w:lineRule="auto"/>
              <w:rPr>
                <w:iCs/>
                <w:sz w:val="24"/>
                <w:szCs w:val="24"/>
              </w:rPr>
            </w:pPr>
            <w:r>
              <w:rPr>
                <w:iCs/>
                <w:sz w:val="24"/>
                <w:szCs w:val="24"/>
              </w:rPr>
              <w:t>.41**</w:t>
            </w:r>
          </w:p>
        </w:tc>
        <w:tc>
          <w:tcPr>
            <w:tcW w:w="1134" w:type="dxa"/>
          </w:tcPr>
          <w:p w14:paraId="60976DF7" w14:textId="77777777" w:rsidR="00E5247E" w:rsidRPr="00E5247E" w:rsidRDefault="00E5247E" w:rsidP="00513542">
            <w:pPr>
              <w:spacing w:line="480" w:lineRule="auto"/>
              <w:rPr>
                <w:iCs/>
                <w:sz w:val="24"/>
                <w:szCs w:val="24"/>
              </w:rPr>
            </w:pPr>
          </w:p>
        </w:tc>
        <w:tc>
          <w:tcPr>
            <w:tcW w:w="1197" w:type="dxa"/>
          </w:tcPr>
          <w:p w14:paraId="2C62864E" w14:textId="1DD6B11E" w:rsidR="00E5247E" w:rsidRPr="00E5247E" w:rsidRDefault="00E5247E" w:rsidP="00513542">
            <w:pPr>
              <w:spacing w:line="480" w:lineRule="auto"/>
              <w:rPr>
                <w:iCs/>
                <w:sz w:val="24"/>
                <w:szCs w:val="24"/>
              </w:rPr>
            </w:pPr>
            <w:r>
              <w:rPr>
                <w:iCs/>
                <w:sz w:val="24"/>
                <w:szCs w:val="24"/>
              </w:rPr>
              <w:t>.01</w:t>
            </w:r>
          </w:p>
        </w:tc>
      </w:tr>
      <w:tr w:rsidR="00E5247E" w:rsidRPr="00E5247E" w14:paraId="0DFB855F" w14:textId="77777777" w:rsidTr="00E5247E">
        <w:tc>
          <w:tcPr>
            <w:tcW w:w="3114" w:type="dxa"/>
            <w:tcBorders>
              <w:bottom w:val="single" w:sz="4" w:space="0" w:color="auto"/>
            </w:tcBorders>
          </w:tcPr>
          <w:p w14:paraId="63438F3C" w14:textId="3EEC5C70" w:rsidR="00E5247E" w:rsidRPr="00E5247E" w:rsidRDefault="00E5247E" w:rsidP="00513542">
            <w:pPr>
              <w:spacing w:line="480" w:lineRule="auto"/>
              <w:rPr>
                <w:iCs/>
                <w:sz w:val="24"/>
                <w:szCs w:val="24"/>
              </w:rPr>
            </w:pPr>
            <w:r w:rsidRPr="00E5247E">
              <w:rPr>
                <w:iCs/>
                <w:sz w:val="24"/>
                <w:szCs w:val="24"/>
              </w:rPr>
              <w:t>(8) Body mass index</w:t>
            </w:r>
          </w:p>
        </w:tc>
        <w:tc>
          <w:tcPr>
            <w:tcW w:w="1559" w:type="dxa"/>
            <w:tcBorders>
              <w:bottom w:val="single" w:sz="4" w:space="0" w:color="auto"/>
            </w:tcBorders>
          </w:tcPr>
          <w:p w14:paraId="31DAE0AA" w14:textId="658C7B62" w:rsidR="00E5247E" w:rsidRPr="00E5247E" w:rsidRDefault="00E5247E" w:rsidP="00513542">
            <w:pPr>
              <w:spacing w:line="480" w:lineRule="auto"/>
              <w:rPr>
                <w:iCs/>
                <w:sz w:val="24"/>
                <w:szCs w:val="24"/>
              </w:rPr>
            </w:pPr>
            <w:r>
              <w:rPr>
                <w:iCs/>
                <w:sz w:val="24"/>
                <w:szCs w:val="24"/>
              </w:rPr>
              <w:t>-.16*</w:t>
            </w:r>
          </w:p>
        </w:tc>
        <w:tc>
          <w:tcPr>
            <w:tcW w:w="1559" w:type="dxa"/>
            <w:tcBorders>
              <w:bottom w:val="single" w:sz="4" w:space="0" w:color="auto"/>
            </w:tcBorders>
          </w:tcPr>
          <w:p w14:paraId="34E9BADE" w14:textId="383075A4" w:rsidR="00E5247E" w:rsidRPr="00E5247E" w:rsidRDefault="00E5247E" w:rsidP="00513542">
            <w:pPr>
              <w:spacing w:line="480" w:lineRule="auto"/>
              <w:rPr>
                <w:iCs/>
                <w:sz w:val="24"/>
                <w:szCs w:val="24"/>
              </w:rPr>
            </w:pPr>
            <w:r>
              <w:rPr>
                <w:iCs/>
                <w:sz w:val="24"/>
                <w:szCs w:val="24"/>
              </w:rPr>
              <w:t>.03</w:t>
            </w:r>
          </w:p>
        </w:tc>
        <w:tc>
          <w:tcPr>
            <w:tcW w:w="1418" w:type="dxa"/>
            <w:tcBorders>
              <w:bottom w:val="single" w:sz="4" w:space="0" w:color="auto"/>
            </w:tcBorders>
          </w:tcPr>
          <w:p w14:paraId="05B299B7" w14:textId="19403DC9" w:rsidR="00E5247E" w:rsidRPr="00E5247E" w:rsidRDefault="00E5247E" w:rsidP="00513542">
            <w:pPr>
              <w:spacing w:line="480" w:lineRule="auto"/>
              <w:rPr>
                <w:iCs/>
                <w:sz w:val="24"/>
                <w:szCs w:val="24"/>
              </w:rPr>
            </w:pPr>
            <w:r>
              <w:rPr>
                <w:iCs/>
                <w:sz w:val="24"/>
                <w:szCs w:val="24"/>
              </w:rPr>
              <w:t>.09</w:t>
            </w:r>
          </w:p>
        </w:tc>
        <w:tc>
          <w:tcPr>
            <w:tcW w:w="1417" w:type="dxa"/>
            <w:tcBorders>
              <w:bottom w:val="single" w:sz="4" w:space="0" w:color="auto"/>
            </w:tcBorders>
          </w:tcPr>
          <w:p w14:paraId="2FBFA466" w14:textId="0B2E1C2F" w:rsidR="00E5247E" w:rsidRPr="00E5247E" w:rsidRDefault="00E5247E" w:rsidP="00513542">
            <w:pPr>
              <w:spacing w:line="480" w:lineRule="auto"/>
              <w:rPr>
                <w:iCs/>
                <w:sz w:val="24"/>
                <w:szCs w:val="24"/>
              </w:rPr>
            </w:pPr>
            <w:r>
              <w:rPr>
                <w:iCs/>
                <w:sz w:val="24"/>
                <w:szCs w:val="24"/>
              </w:rPr>
              <w:t>-.09</w:t>
            </w:r>
          </w:p>
        </w:tc>
        <w:tc>
          <w:tcPr>
            <w:tcW w:w="1276" w:type="dxa"/>
            <w:tcBorders>
              <w:bottom w:val="single" w:sz="4" w:space="0" w:color="auto"/>
            </w:tcBorders>
          </w:tcPr>
          <w:p w14:paraId="6612A941" w14:textId="15B94EA1" w:rsidR="00E5247E" w:rsidRPr="00E5247E" w:rsidRDefault="00E5247E" w:rsidP="00513542">
            <w:pPr>
              <w:spacing w:line="480" w:lineRule="auto"/>
              <w:rPr>
                <w:iCs/>
                <w:sz w:val="24"/>
                <w:szCs w:val="24"/>
              </w:rPr>
            </w:pPr>
            <w:r>
              <w:rPr>
                <w:iCs/>
                <w:sz w:val="24"/>
                <w:szCs w:val="24"/>
              </w:rPr>
              <w:t>.27**</w:t>
            </w:r>
          </w:p>
        </w:tc>
        <w:tc>
          <w:tcPr>
            <w:tcW w:w="1276" w:type="dxa"/>
            <w:tcBorders>
              <w:bottom w:val="single" w:sz="4" w:space="0" w:color="auto"/>
            </w:tcBorders>
          </w:tcPr>
          <w:p w14:paraId="74F41866" w14:textId="03B450F0" w:rsidR="00E5247E" w:rsidRPr="00E5247E" w:rsidRDefault="00E5247E" w:rsidP="00513542">
            <w:pPr>
              <w:spacing w:line="480" w:lineRule="auto"/>
              <w:rPr>
                <w:iCs/>
                <w:sz w:val="24"/>
                <w:szCs w:val="24"/>
              </w:rPr>
            </w:pPr>
            <w:r>
              <w:rPr>
                <w:iCs/>
                <w:sz w:val="24"/>
                <w:szCs w:val="24"/>
              </w:rPr>
              <w:t>-.01</w:t>
            </w:r>
          </w:p>
        </w:tc>
        <w:tc>
          <w:tcPr>
            <w:tcW w:w="1134" w:type="dxa"/>
            <w:tcBorders>
              <w:bottom w:val="single" w:sz="4" w:space="0" w:color="auto"/>
            </w:tcBorders>
          </w:tcPr>
          <w:p w14:paraId="5358EF93" w14:textId="7F6C70F5" w:rsidR="00E5247E" w:rsidRPr="00E5247E" w:rsidRDefault="00E5247E" w:rsidP="00513542">
            <w:pPr>
              <w:spacing w:line="480" w:lineRule="auto"/>
              <w:rPr>
                <w:iCs/>
                <w:sz w:val="24"/>
                <w:szCs w:val="24"/>
              </w:rPr>
            </w:pPr>
            <w:r>
              <w:rPr>
                <w:iCs/>
                <w:sz w:val="24"/>
                <w:szCs w:val="24"/>
              </w:rPr>
              <w:t>.02</w:t>
            </w:r>
          </w:p>
        </w:tc>
        <w:tc>
          <w:tcPr>
            <w:tcW w:w="1197" w:type="dxa"/>
            <w:tcBorders>
              <w:bottom w:val="single" w:sz="4" w:space="0" w:color="auto"/>
            </w:tcBorders>
          </w:tcPr>
          <w:p w14:paraId="15EBB13F" w14:textId="77777777" w:rsidR="00E5247E" w:rsidRPr="00E5247E" w:rsidRDefault="00E5247E" w:rsidP="00513542">
            <w:pPr>
              <w:spacing w:line="480" w:lineRule="auto"/>
              <w:rPr>
                <w:iCs/>
                <w:sz w:val="24"/>
                <w:szCs w:val="24"/>
              </w:rPr>
            </w:pPr>
          </w:p>
        </w:tc>
      </w:tr>
    </w:tbl>
    <w:p w14:paraId="5C8E46B2" w14:textId="77777777" w:rsidR="00E5247E" w:rsidRDefault="00E5247E" w:rsidP="00E5247E">
      <w:pPr>
        <w:rPr>
          <w:i/>
        </w:rPr>
      </w:pPr>
    </w:p>
    <w:p w14:paraId="3F35A47E" w14:textId="2D6DFDB5" w:rsidR="000266F4" w:rsidRPr="00E5247E" w:rsidRDefault="00E5247E" w:rsidP="00E5247E">
      <w:pPr>
        <w:spacing w:line="480" w:lineRule="auto"/>
      </w:pPr>
      <w:r>
        <w:rPr>
          <w:i/>
        </w:rPr>
        <w:t>Note.</w:t>
      </w:r>
      <w:r>
        <w:rPr>
          <w:iCs/>
        </w:rPr>
        <w:t xml:space="preserve"> RHSC = </w:t>
      </w:r>
      <w:r>
        <w:t xml:space="preserve">RHSC = Reliance on Hunger and Satiety Cues, EPR = Eating for Physical Rather Than Emotional Reasons, UPE = Unconditional Permission to Eat. * </w:t>
      </w:r>
      <w:r>
        <w:rPr>
          <w:i/>
          <w:iCs/>
        </w:rPr>
        <w:t>p</w:t>
      </w:r>
      <w:r>
        <w:t xml:space="preserve"> &lt; .05, ** </w:t>
      </w:r>
      <w:r>
        <w:rPr>
          <w:i/>
          <w:iCs/>
        </w:rPr>
        <w:t>p</w:t>
      </w:r>
      <w:r>
        <w:t xml:space="preserve"> &lt; .001</w:t>
      </w:r>
    </w:p>
    <w:p w14:paraId="00394C04" w14:textId="097B7377" w:rsidR="00513542" w:rsidRDefault="00513542">
      <w:pPr>
        <w:rPr>
          <w:rStyle w:val="apple-converted-space"/>
        </w:rPr>
      </w:pPr>
      <w:r>
        <w:rPr>
          <w:rStyle w:val="apple-converted-space"/>
        </w:rPr>
        <w:br w:type="page"/>
      </w:r>
    </w:p>
    <w:p w14:paraId="2427AB36" w14:textId="77777777" w:rsidR="00513542" w:rsidRDefault="00513542" w:rsidP="00513542">
      <w:pPr>
        <w:spacing w:line="480" w:lineRule="auto"/>
        <w:rPr>
          <w:bCs/>
          <w:i/>
        </w:rPr>
      </w:pPr>
    </w:p>
    <w:p w14:paraId="4D62FB81" w14:textId="0A391992" w:rsidR="00513542" w:rsidRDefault="000568A7" w:rsidP="00513542">
      <w:pPr>
        <w:spacing w:line="480" w:lineRule="auto"/>
        <w:rPr>
          <w:bCs/>
          <w:i/>
        </w:rPr>
      </w:pPr>
      <w:r w:rsidRPr="000568A7">
        <w:rPr>
          <w:bCs/>
          <w:i/>
          <w:noProof/>
          <w:lang w:eastAsia="en-GB"/>
        </w:rPr>
        <w:drawing>
          <wp:inline distT="0" distB="0" distL="0" distR="0" wp14:anchorId="4B96B953" wp14:editId="4ECB8437">
            <wp:extent cx="7448393" cy="3773589"/>
            <wp:effectExtent l="0" t="0" r="635" b="0"/>
            <wp:docPr id="1" name="Picture 1" descr="Figure 1"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2"/>
                    <a:srcRect l="4375" t="11333" r="1376" b="3778"/>
                    <a:stretch/>
                  </pic:blipFill>
                  <pic:spPr bwMode="auto">
                    <a:xfrm>
                      <a:off x="0" y="0"/>
                      <a:ext cx="7555779" cy="3827994"/>
                    </a:xfrm>
                    <a:prstGeom prst="rect">
                      <a:avLst/>
                    </a:prstGeom>
                    <a:ln>
                      <a:noFill/>
                    </a:ln>
                    <a:extLst>
                      <a:ext uri="{53640926-AAD7-44D8-BBD7-CCE9431645EC}">
                        <a14:shadowObscured xmlns:a14="http://schemas.microsoft.com/office/drawing/2010/main"/>
                      </a:ext>
                    </a:extLst>
                  </pic:spPr>
                </pic:pic>
              </a:graphicData>
            </a:graphic>
          </wp:inline>
        </w:drawing>
      </w:r>
    </w:p>
    <w:p w14:paraId="033F0F2B" w14:textId="77777777" w:rsidR="003D14E9" w:rsidRDefault="00513542" w:rsidP="003D14E9">
      <w:pPr>
        <w:pStyle w:val="Heading1"/>
      </w:pPr>
      <w:r w:rsidRPr="00FE1FD3">
        <w:t>Figure 1</w:t>
      </w:r>
      <w:r>
        <w:t xml:space="preserve">. </w:t>
      </w:r>
    </w:p>
    <w:p w14:paraId="28413305" w14:textId="4353DC81" w:rsidR="00513542" w:rsidRPr="00513542" w:rsidRDefault="00513542" w:rsidP="00513542">
      <w:pPr>
        <w:spacing w:line="480" w:lineRule="auto"/>
      </w:pPr>
      <w:r w:rsidRPr="00B31D98">
        <w:t xml:space="preserve">Path diagram and estimates for the </w:t>
      </w:r>
      <w:r w:rsidR="004046FF" w:rsidRPr="004046FF">
        <w:t>3</w:t>
      </w:r>
      <w:r>
        <w:t>-factor model of Romanian Intuitive Eating Scale-2 scores. The large ovals</w:t>
      </w:r>
      <w:r w:rsidRPr="005055F7">
        <w:t xml:space="preserve"> </w:t>
      </w:r>
      <w:r>
        <w:t>are</w:t>
      </w:r>
      <w:r w:rsidRPr="005055F7">
        <w:t xml:space="preserve"> the latent construct</w:t>
      </w:r>
      <w:r>
        <w:t>s</w:t>
      </w:r>
      <w:r w:rsidRPr="005055F7">
        <w:t>, with the rectangles</w:t>
      </w:r>
      <w:r>
        <w:t xml:space="preserve"> representing measured variables</w:t>
      </w:r>
      <w:r w:rsidRPr="005055F7">
        <w:t xml:space="preserve">. </w:t>
      </w:r>
      <w:r>
        <w:t>The path</w:t>
      </w:r>
      <w:r w:rsidRPr="005055F7">
        <w:t xml:space="preserve"> factor loadings are standardised</w:t>
      </w:r>
      <w:r>
        <w:t xml:space="preserve"> with s</w:t>
      </w:r>
      <w:r w:rsidRPr="005055F7">
        <w:t>ignificance levels were determined by critical ratios (all</w:t>
      </w:r>
      <w:r w:rsidRPr="00FE75E4">
        <w:rPr>
          <w:i/>
        </w:rPr>
        <w:t xml:space="preserve"> </w:t>
      </w:r>
      <w:r w:rsidRPr="005055F7">
        <w:rPr>
          <w:i/>
          <w:iCs/>
        </w:rPr>
        <w:t>p</w:t>
      </w:r>
      <w:r>
        <w:t xml:space="preserve"> &lt; .001).</w:t>
      </w:r>
    </w:p>
    <w:p w14:paraId="6ECDE710" w14:textId="0B1BB6AC" w:rsidR="00513542" w:rsidRPr="00513542" w:rsidRDefault="00513542" w:rsidP="00513542">
      <w:pPr>
        <w:rPr>
          <w:rStyle w:val="apple-converted-space"/>
        </w:rPr>
        <w:sectPr w:rsidR="00513542" w:rsidRPr="00513542" w:rsidSect="00513542">
          <w:pgSz w:w="16840" w:h="11900" w:orient="landscape"/>
          <w:pgMar w:top="1440" w:right="1440" w:bottom="1440" w:left="1440" w:header="720" w:footer="720" w:gutter="0"/>
          <w:cols w:space="720"/>
          <w:titlePg/>
          <w:docGrid w:linePitch="360"/>
        </w:sectPr>
      </w:pPr>
    </w:p>
    <w:p w14:paraId="7B108B81" w14:textId="77777777" w:rsidR="00513542" w:rsidRPr="00BB05AA" w:rsidRDefault="00513542" w:rsidP="003D14E9">
      <w:pPr>
        <w:pStyle w:val="Heading1"/>
        <w:jc w:val="center"/>
      </w:pPr>
      <w:r>
        <w:lastRenderedPageBreak/>
        <w:t>Appendix 1</w:t>
      </w:r>
    </w:p>
    <w:p w14:paraId="44C4C59B" w14:textId="22A3E710" w:rsidR="00513542" w:rsidRDefault="00513542" w:rsidP="00513542">
      <w:pPr>
        <w:spacing w:line="480" w:lineRule="auto"/>
        <w:rPr>
          <w:i/>
        </w:rPr>
      </w:pPr>
      <w:r>
        <w:rPr>
          <w:i/>
        </w:rPr>
        <w:t xml:space="preserve">Intuitive Eating Scale-2 Items in </w:t>
      </w:r>
      <w:r w:rsidRPr="00204FB8">
        <w:rPr>
          <w:i/>
        </w:rPr>
        <w:t xml:space="preserve">English and (in Italics) </w:t>
      </w:r>
      <w:r>
        <w:rPr>
          <w:i/>
        </w:rPr>
        <w:t>Romanian.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22"/>
      </w:tblGrid>
      <w:tr w:rsidR="00513542" w14:paraId="69BA0494" w14:textId="77777777" w:rsidTr="00DF5CA5">
        <w:tc>
          <w:tcPr>
            <w:tcW w:w="988" w:type="dxa"/>
            <w:tcBorders>
              <w:top w:val="single" w:sz="4" w:space="0" w:color="auto"/>
              <w:bottom w:val="single" w:sz="4" w:space="0" w:color="auto"/>
            </w:tcBorders>
          </w:tcPr>
          <w:p w14:paraId="4BDD9AF5" w14:textId="77777777" w:rsidR="00513542" w:rsidRPr="00BB05AA" w:rsidRDefault="00513542" w:rsidP="00DF5CA5">
            <w:pPr>
              <w:spacing w:line="480" w:lineRule="auto"/>
              <w:rPr>
                <w:sz w:val="24"/>
                <w:szCs w:val="24"/>
              </w:rPr>
            </w:pPr>
            <w:r w:rsidRPr="00BB05AA">
              <w:rPr>
                <w:sz w:val="24"/>
                <w:szCs w:val="24"/>
              </w:rPr>
              <w:t>Item</w:t>
            </w:r>
          </w:p>
        </w:tc>
        <w:tc>
          <w:tcPr>
            <w:tcW w:w="8022" w:type="dxa"/>
            <w:tcBorders>
              <w:top w:val="single" w:sz="4" w:space="0" w:color="auto"/>
              <w:bottom w:val="single" w:sz="4" w:space="0" w:color="auto"/>
            </w:tcBorders>
          </w:tcPr>
          <w:p w14:paraId="0F8E8611" w14:textId="77777777" w:rsidR="00513542" w:rsidRPr="00BB05AA" w:rsidRDefault="00513542" w:rsidP="00DF5CA5">
            <w:pPr>
              <w:spacing w:line="480" w:lineRule="auto"/>
              <w:rPr>
                <w:sz w:val="24"/>
                <w:szCs w:val="24"/>
              </w:rPr>
            </w:pPr>
          </w:p>
        </w:tc>
      </w:tr>
      <w:tr w:rsidR="00513542" w14:paraId="4E5635E8" w14:textId="77777777" w:rsidTr="00DF5CA5">
        <w:tc>
          <w:tcPr>
            <w:tcW w:w="988" w:type="dxa"/>
            <w:tcBorders>
              <w:top w:val="single" w:sz="4" w:space="0" w:color="auto"/>
            </w:tcBorders>
          </w:tcPr>
          <w:p w14:paraId="204E89C5" w14:textId="77777777" w:rsidR="00513542" w:rsidRPr="00BB05AA" w:rsidRDefault="00513542" w:rsidP="00DF5CA5">
            <w:pPr>
              <w:spacing w:line="480" w:lineRule="auto"/>
              <w:rPr>
                <w:sz w:val="24"/>
                <w:szCs w:val="24"/>
              </w:rPr>
            </w:pPr>
            <w:r w:rsidRPr="00BB05AA">
              <w:rPr>
                <w:sz w:val="24"/>
                <w:szCs w:val="24"/>
              </w:rPr>
              <w:t>1</w:t>
            </w:r>
          </w:p>
        </w:tc>
        <w:tc>
          <w:tcPr>
            <w:tcW w:w="8022" w:type="dxa"/>
            <w:tcBorders>
              <w:top w:val="single" w:sz="4" w:space="0" w:color="auto"/>
            </w:tcBorders>
          </w:tcPr>
          <w:p w14:paraId="0008028B" w14:textId="3FF863EE" w:rsidR="00513542" w:rsidRPr="001A68FB" w:rsidRDefault="00513542" w:rsidP="001A68FB">
            <w:pPr>
              <w:pStyle w:val="NormalWeb"/>
              <w:spacing w:line="480" w:lineRule="auto"/>
              <w:rPr>
                <w:sz w:val="24"/>
                <w:szCs w:val="24"/>
              </w:rPr>
            </w:pPr>
            <w:r w:rsidRPr="001A68FB">
              <w:rPr>
                <w:sz w:val="24"/>
                <w:szCs w:val="24"/>
              </w:rPr>
              <w:t xml:space="preserve">I try to avoid certain foods high in fat, carbohydrates, or calories / </w:t>
            </w:r>
            <w:proofErr w:type="spellStart"/>
            <w:r w:rsidR="003F6FE9" w:rsidRPr="001A68FB">
              <w:rPr>
                <w:i/>
                <w:sz w:val="24"/>
                <w:szCs w:val="24"/>
              </w:rPr>
              <w:t>Incerc</w:t>
            </w:r>
            <w:proofErr w:type="spellEnd"/>
            <w:r w:rsidR="003F6FE9" w:rsidRPr="001A68FB">
              <w:rPr>
                <w:i/>
                <w:sz w:val="24"/>
                <w:szCs w:val="24"/>
              </w:rPr>
              <w:t xml:space="preserve"> </w:t>
            </w:r>
            <w:proofErr w:type="spellStart"/>
            <w:r w:rsidR="003F6FE9" w:rsidRPr="001A68FB">
              <w:rPr>
                <w:i/>
                <w:sz w:val="24"/>
                <w:szCs w:val="24"/>
              </w:rPr>
              <w:t>sa</w:t>
            </w:r>
            <w:proofErr w:type="spellEnd"/>
            <w:r w:rsidR="003F6FE9" w:rsidRPr="001A68FB">
              <w:rPr>
                <w:i/>
                <w:sz w:val="24"/>
                <w:szCs w:val="24"/>
              </w:rPr>
              <w:t xml:space="preserve"> </w:t>
            </w:r>
            <w:proofErr w:type="spellStart"/>
            <w:r w:rsidR="003F6FE9" w:rsidRPr="001A68FB">
              <w:rPr>
                <w:i/>
                <w:sz w:val="24"/>
                <w:szCs w:val="24"/>
              </w:rPr>
              <w:t>evit</w:t>
            </w:r>
            <w:proofErr w:type="spellEnd"/>
            <w:r w:rsidR="003F6FE9" w:rsidRPr="001A68FB">
              <w:rPr>
                <w:i/>
                <w:sz w:val="24"/>
                <w:szCs w:val="24"/>
              </w:rPr>
              <w:t xml:space="preserve"> </w:t>
            </w:r>
            <w:proofErr w:type="spellStart"/>
            <w:r w:rsidR="003F6FE9" w:rsidRPr="001A68FB">
              <w:rPr>
                <w:i/>
                <w:sz w:val="24"/>
                <w:szCs w:val="24"/>
              </w:rPr>
              <w:t>anumite</w:t>
            </w:r>
            <w:proofErr w:type="spellEnd"/>
            <w:r w:rsidR="003F6FE9" w:rsidRPr="001A68FB">
              <w:rPr>
                <w:i/>
                <w:sz w:val="24"/>
                <w:szCs w:val="24"/>
              </w:rPr>
              <w:t xml:space="preserve"> </w:t>
            </w:r>
            <w:proofErr w:type="spellStart"/>
            <w:r w:rsidR="003F6FE9" w:rsidRPr="001A68FB">
              <w:rPr>
                <w:i/>
                <w:sz w:val="24"/>
                <w:szCs w:val="24"/>
              </w:rPr>
              <w:t>alimente</w:t>
            </w:r>
            <w:proofErr w:type="spellEnd"/>
            <w:r w:rsidR="003F6FE9" w:rsidRPr="001A68FB">
              <w:rPr>
                <w:i/>
                <w:sz w:val="24"/>
                <w:szCs w:val="24"/>
              </w:rPr>
              <w:t xml:space="preserve"> cu </w:t>
            </w:r>
            <w:proofErr w:type="spellStart"/>
            <w:r w:rsidR="003F6FE9" w:rsidRPr="001A68FB">
              <w:rPr>
                <w:i/>
                <w:sz w:val="24"/>
                <w:szCs w:val="24"/>
              </w:rPr>
              <w:t>continut</w:t>
            </w:r>
            <w:proofErr w:type="spellEnd"/>
            <w:r w:rsidR="003F6FE9" w:rsidRPr="001A68FB">
              <w:rPr>
                <w:i/>
                <w:sz w:val="24"/>
                <w:szCs w:val="24"/>
              </w:rPr>
              <w:t xml:space="preserve"> </w:t>
            </w:r>
            <w:proofErr w:type="spellStart"/>
            <w:r w:rsidR="003F6FE9" w:rsidRPr="001A68FB">
              <w:rPr>
                <w:i/>
                <w:sz w:val="24"/>
                <w:szCs w:val="24"/>
              </w:rPr>
              <w:t>ridicat</w:t>
            </w:r>
            <w:proofErr w:type="spellEnd"/>
            <w:r w:rsidR="003F6FE9" w:rsidRPr="001A68FB">
              <w:rPr>
                <w:i/>
                <w:sz w:val="24"/>
                <w:szCs w:val="24"/>
              </w:rPr>
              <w:t xml:space="preserve"> in </w:t>
            </w:r>
            <w:proofErr w:type="spellStart"/>
            <w:r w:rsidR="003F6FE9" w:rsidRPr="001A68FB">
              <w:rPr>
                <w:i/>
                <w:sz w:val="24"/>
                <w:szCs w:val="24"/>
              </w:rPr>
              <w:t>grasimi</w:t>
            </w:r>
            <w:proofErr w:type="spellEnd"/>
            <w:r w:rsidR="003F6FE9" w:rsidRPr="001A68FB">
              <w:rPr>
                <w:i/>
                <w:sz w:val="24"/>
                <w:szCs w:val="24"/>
              </w:rPr>
              <w:t xml:space="preserve">, </w:t>
            </w:r>
            <w:proofErr w:type="spellStart"/>
            <w:r w:rsidR="003F6FE9" w:rsidRPr="001A68FB">
              <w:rPr>
                <w:i/>
                <w:sz w:val="24"/>
                <w:szCs w:val="24"/>
              </w:rPr>
              <w:t>carbohidrati</w:t>
            </w:r>
            <w:proofErr w:type="spellEnd"/>
            <w:r w:rsidR="003F6FE9" w:rsidRPr="001A68FB">
              <w:rPr>
                <w:i/>
                <w:sz w:val="24"/>
                <w:szCs w:val="24"/>
              </w:rPr>
              <w:t xml:space="preserve"> </w:t>
            </w:r>
            <w:proofErr w:type="spellStart"/>
            <w:r w:rsidR="003F6FE9" w:rsidRPr="001A68FB">
              <w:rPr>
                <w:i/>
                <w:sz w:val="24"/>
                <w:szCs w:val="24"/>
              </w:rPr>
              <w:t>sau</w:t>
            </w:r>
            <w:proofErr w:type="spellEnd"/>
            <w:r w:rsidR="003F6FE9" w:rsidRPr="001A68FB">
              <w:rPr>
                <w:i/>
                <w:sz w:val="24"/>
                <w:szCs w:val="24"/>
              </w:rPr>
              <w:t xml:space="preserve"> </w:t>
            </w:r>
            <w:proofErr w:type="spellStart"/>
            <w:r w:rsidR="003F6FE9" w:rsidRPr="001A68FB">
              <w:rPr>
                <w:i/>
                <w:sz w:val="24"/>
                <w:szCs w:val="24"/>
              </w:rPr>
              <w:t>calorii</w:t>
            </w:r>
            <w:proofErr w:type="spellEnd"/>
          </w:p>
        </w:tc>
      </w:tr>
      <w:tr w:rsidR="00513542" w14:paraId="3CAEC548" w14:textId="77777777" w:rsidTr="00DF5CA5">
        <w:tc>
          <w:tcPr>
            <w:tcW w:w="988" w:type="dxa"/>
          </w:tcPr>
          <w:p w14:paraId="5C5EF3F3" w14:textId="77777777" w:rsidR="00513542" w:rsidRPr="00BB05AA" w:rsidRDefault="00513542" w:rsidP="00DF5CA5">
            <w:pPr>
              <w:spacing w:line="480" w:lineRule="auto"/>
              <w:rPr>
                <w:sz w:val="24"/>
                <w:szCs w:val="24"/>
              </w:rPr>
            </w:pPr>
            <w:r w:rsidRPr="00BB05AA">
              <w:rPr>
                <w:sz w:val="24"/>
                <w:szCs w:val="24"/>
              </w:rPr>
              <w:t>2</w:t>
            </w:r>
          </w:p>
        </w:tc>
        <w:tc>
          <w:tcPr>
            <w:tcW w:w="8022" w:type="dxa"/>
          </w:tcPr>
          <w:p w14:paraId="41C1A39E" w14:textId="629785FD" w:rsidR="00513542" w:rsidRPr="001A68FB" w:rsidRDefault="00513542" w:rsidP="001A68FB">
            <w:pPr>
              <w:pStyle w:val="NormalWeb"/>
              <w:spacing w:line="480" w:lineRule="auto"/>
              <w:rPr>
                <w:sz w:val="24"/>
                <w:szCs w:val="24"/>
              </w:rPr>
            </w:pPr>
            <w:r w:rsidRPr="001A68FB">
              <w:rPr>
                <w:sz w:val="24"/>
                <w:szCs w:val="24"/>
              </w:rPr>
              <w:t xml:space="preserve">I find myself eating when I’m feeling emotional (e.g., anxious, depressed, sad), even when I’m not physically hungry / </w:t>
            </w:r>
            <w:r w:rsidR="003F6FE9" w:rsidRPr="001A68FB">
              <w:rPr>
                <w:i/>
                <w:sz w:val="24"/>
                <w:szCs w:val="24"/>
              </w:rPr>
              <w:t xml:space="preserve">Ma </w:t>
            </w:r>
            <w:proofErr w:type="spellStart"/>
            <w:r w:rsidR="003F6FE9" w:rsidRPr="001A68FB">
              <w:rPr>
                <w:i/>
                <w:sz w:val="24"/>
                <w:szCs w:val="24"/>
              </w:rPr>
              <w:t>surprind</w:t>
            </w:r>
            <w:proofErr w:type="spellEnd"/>
            <w:r w:rsidR="003F6FE9" w:rsidRPr="001A68FB">
              <w:rPr>
                <w:i/>
                <w:sz w:val="24"/>
                <w:szCs w:val="24"/>
              </w:rPr>
              <w:t xml:space="preserve"> </w:t>
            </w:r>
            <w:proofErr w:type="spellStart"/>
            <w:r w:rsidR="003F6FE9" w:rsidRPr="001A68FB">
              <w:rPr>
                <w:i/>
                <w:sz w:val="24"/>
                <w:szCs w:val="24"/>
              </w:rPr>
              <w:t>mancand</w:t>
            </w:r>
            <w:proofErr w:type="spellEnd"/>
            <w:r w:rsidR="003F6FE9" w:rsidRPr="001A68FB">
              <w:rPr>
                <w:i/>
                <w:sz w:val="24"/>
                <w:szCs w:val="24"/>
              </w:rPr>
              <w:t xml:space="preserve"> </w:t>
            </w:r>
            <w:proofErr w:type="spellStart"/>
            <w:r w:rsidR="003F6FE9" w:rsidRPr="001A68FB">
              <w:rPr>
                <w:i/>
                <w:sz w:val="24"/>
                <w:szCs w:val="24"/>
              </w:rPr>
              <w:t>atunci</w:t>
            </w:r>
            <w:proofErr w:type="spellEnd"/>
            <w:r w:rsidR="003F6FE9" w:rsidRPr="001A68FB">
              <w:rPr>
                <w:i/>
                <w:sz w:val="24"/>
                <w:szCs w:val="24"/>
              </w:rPr>
              <w:t xml:space="preserve"> </w:t>
            </w:r>
            <w:proofErr w:type="spellStart"/>
            <w:r w:rsidR="003F6FE9" w:rsidRPr="001A68FB">
              <w:rPr>
                <w:i/>
                <w:sz w:val="24"/>
                <w:szCs w:val="24"/>
              </w:rPr>
              <w:t>cand</w:t>
            </w:r>
            <w:proofErr w:type="spellEnd"/>
            <w:r w:rsidR="003F6FE9" w:rsidRPr="001A68FB">
              <w:rPr>
                <w:i/>
                <w:sz w:val="24"/>
                <w:szCs w:val="24"/>
              </w:rPr>
              <w:t xml:space="preserve"> ma </w:t>
            </w:r>
            <w:proofErr w:type="spellStart"/>
            <w:r w:rsidR="003F6FE9" w:rsidRPr="001A68FB">
              <w:rPr>
                <w:i/>
                <w:sz w:val="24"/>
                <w:szCs w:val="24"/>
              </w:rPr>
              <w:t>simt</w:t>
            </w:r>
            <w:proofErr w:type="spellEnd"/>
            <w:r w:rsidR="003F6FE9" w:rsidRPr="001A68FB">
              <w:rPr>
                <w:i/>
                <w:sz w:val="24"/>
                <w:szCs w:val="24"/>
              </w:rPr>
              <w:t xml:space="preserve"> emotional (ex. </w:t>
            </w:r>
            <w:proofErr w:type="spellStart"/>
            <w:r w:rsidR="003F6FE9" w:rsidRPr="001A68FB">
              <w:rPr>
                <w:i/>
                <w:sz w:val="24"/>
                <w:szCs w:val="24"/>
              </w:rPr>
              <w:t>anxios</w:t>
            </w:r>
            <w:proofErr w:type="spellEnd"/>
            <w:r w:rsidR="003F6FE9" w:rsidRPr="001A68FB">
              <w:rPr>
                <w:i/>
                <w:sz w:val="24"/>
                <w:szCs w:val="24"/>
              </w:rPr>
              <w:t xml:space="preserve">, </w:t>
            </w:r>
            <w:proofErr w:type="spellStart"/>
            <w:r w:rsidR="003F6FE9" w:rsidRPr="001A68FB">
              <w:rPr>
                <w:i/>
                <w:sz w:val="24"/>
                <w:szCs w:val="24"/>
              </w:rPr>
              <w:t>depresiv</w:t>
            </w:r>
            <w:proofErr w:type="spellEnd"/>
            <w:r w:rsidR="003F6FE9" w:rsidRPr="001A68FB">
              <w:rPr>
                <w:i/>
                <w:sz w:val="24"/>
                <w:szCs w:val="24"/>
              </w:rPr>
              <w:t xml:space="preserve"> </w:t>
            </w:r>
            <w:proofErr w:type="spellStart"/>
            <w:r w:rsidR="003F6FE9" w:rsidRPr="001A68FB">
              <w:rPr>
                <w:i/>
                <w:sz w:val="24"/>
                <w:szCs w:val="24"/>
              </w:rPr>
              <w:t>sau</w:t>
            </w:r>
            <w:proofErr w:type="spellEnd"/>
            <w:r w:rsidR="003F6FE9" w:rsidRPr="001A68FB">
              <w:rPr>
                <w:i/>
                <w:sz w:val="24"/>
                <w:szCs w:val="24"/>
              </w:rPr>
              <w:t xml:space="preserve"> </w:t>
            </w:r>
            <w:proofErr w:type="spellStart"/>
            <w:r w:rsidR="003F6FE9" w:rsidRPr="001A68FB">
              <w:rPr>
                <w:i/>
                <w:sz w:val="24"/>
                <w:szCs w:val="24"/>
              </w:rPr>
              <w:t>trist</w:t>
            </w:r>
            <w:proofErr w:type="spellEnd"/>
            <w:r w:rsidR="003F6FE9" w:rsidRPr="001A68FB">
              <w:rPr>
                <w:i/>
                <w:sz w:val="24"/>
                <w:szCs w:val="24"/>
              </w:rPr>
              <w:t xml:space="preserve">), </w:t>
            </w:r>
            <w:proofErr w:type="spellStart"/>
            <w:r w:rsidR="003F6FE9" w:rsidRPr="001A68FB">
              <w:rPr>
                <w:i/>
                <w:sz w:val="24"/>
                <w:szCs w:val="24"/>
              </w:rPr>
              <w:t>chiar</w:t>
            </w:r>
            <w:proofErr w:type="spellEnd"/>
            <w:r w:rsidR="003F6FE9" w:rsidRPr="001A68FB">
              <w:rPr>
                <w:i/>
                <w:sz w:val="24"/>
                <w:szCs w:val="24"/>
              </w:rPr>
              <w:t xml:space="preserve"> </w:t>
            </w:r>
            <w:proofErr w:type="spellStart"/>
            <w:r w:rsidR="003F6FE9" w:rsidRPr="001A68FB">
              <w:rPr>
                <w:i/>
                <w:sz w:val="24"/>
                <w:szCs w:val="24"/>
              </w:rPr>
              <w:t>daca</w:t>
            </w:r>
            <w:proofErr w:type="spellEnd"/>
            <w:r w:rsidR="003F6FE9" w:rsidRPr="001A68FB">
              <w:rPr>
                <w:i/>
                <w:sz w:val="24"/>
                <w:szCs w:val="24"/>
              </w:rPr>
              <w:t xml:space="preserve"> nu </w:t>
            </w:r>
            <w:proofErr w:type="spellStart"/>
            <w:r w:rsidR="003F6FE9" w:rsidRPr="001A68FB">
              <w:rPr>
                <w:i/>
                <w:sz w:val="24"/>
                <w:szCs w:val="24"/>
              </w:rPr>
              <w:t>imi</w:t>
            </w:r>
            <w:proofErr w:type="spellEnd"/>
            <w:r w:rsidR="003F6FE9" w:rsidRPr="001A68FB">
              <w:rPr>
                <w:i/>
                <w:sz w:val="24"/>
                <w:szCs w:val="24"/>
              </w:rPr>
              <w:t xml:space="preserve"> </w:t>
            </w:r>
            <w:proofErr w:type="spellStart"/>
            <w:r w:rsidR="003F6FE9" w:rsidRPr="001A68FB">
              <w:rPr>
                <w:i/>
                <w:sz w:val="24"/>
                <w:szCs w:val="24"/>
              </w:rPr>
              <w:t>este</w:t>
            </w:r>
            <w:proofErr w:type="spellEnd"/>
            <w:r w:rsidR="003F6FE9" w:rsidRPr="001A68FB">
              <w:rPr>
                <w:i/>
                <w:sz w:val="24"/>
                <w:szCs w:val="24"/>
              </w:rPr>
              <w:t xml:space="preserve"> </w:t>
            </w:r>
            <w:proofErr w:type="spellStart"/>
            <w:r w:rsidR="003F6FE9" w:rsidRPr="001A68FB">
              <w:rPr>
                <w:i/>
                <w:sz w:val="24"/>
                <w:szCs w:val="24"/>
              </w:rPr>
              <w:t>foame</w:t>
            </w:r>
            <w:proofErr w:type="spellEnd"/>
          </w:p>
        </w:tc>
      </w:tr>
      <w:tr w:rsidR="00513542" w14:paraId="68830DD9" w14:textId="77777777" w:rsidTr="00DF5CA5">
        <w:tc>
          <w:tcPr>
            <w:tcW w:w="988" w:type="dxa"/>
          </w:tcPr>
          <w:p w14:paraId="17D32FAE" w14:textId="77777777" w:rsidR="00513542" w:rsidRPr="00BB05AA" w:rsidRDefault="00513542" w:rsidP="00DF5CA5">
            <w:pPr>
              <w:spacing w:line="480" w:lineRule="auto"/>
              <w:rPr>
                <w:sz w:val="24"/>
                <w:szCs w:val="24"/>
              </w:rPr>
            </w:pPr>
            <w:r w:rsidRPr="00BB05AA">
              <w:rPr>
                <w:sz w:val="24"/>
                <w:szCs w:val="24"/>
              </w:rPr>
              <w:t>3</w:t>
            </w:r>
          </w:p>
        </w:tc>
        <w:tc>
          <w:tcPr>
            <w:tcW w:w="8022" w:type="dxa"/>
          </w:tcPr>
          <w:p w14:paraId="1BD8D57E" w14:textId="69FC168C" w:rsidR="00513542" w:rsidRPr="001A68FB" w:rsidRDefault="00513542" w:rsidP="001A68FB">
            <w:pPr>
              <w:pStyle w:val="NormalWeb"/>
              <w:spacing w:line="480" w:lineRule="auto"/>
              <w:rPr>
                <w:sz w:val="24"/>
                <w:szCs w:val="24"/>
              </w:rPr>
            </w:pPr>
            <w:r w:rsidRPr="001A68FB">
              <w:rPr>
                <w:sz w:val="24"/>
                <w:szCs w:val="24"/>
              </w:rPr>
              <w:t xml:space="preserve">If I am craving a certain food, I allow myself to have it / </w:t>
            </w:r>
            <w:proofErr w:type="spellStart"/>
            <w:r w:rsidR="003F6FE9" w:rsidRPr="001A68FB">
              <w:rPr>
                <w:i/>
                <w:sz w:val="24"/>
                <w:szCs w:val="24"/>
              </w:rPr>
              <w:t>Daca</w:t>
            </w:r>
            <w:proofErr w:type="spellEnd"/>
            <w:r w:rsidR="003F6FE9" w:rsidRPr="001A68FB">
              <w:rPr>
                <w:i/>
                <w:sz w:val="24"/>
                <w:szCs w:val="24"/>
              </w:rPr>
              <w:t xml:space="preserve"> </w:t>
            </w:r>
            <w:proofErr w:type="spellStart"/>
            <w:r w:rsidR="003F6FE9" w:rsidRPr="001A68FB">
              <w:rPr>
                <w:i/>
                <w:sz w:val="24"/>
                <w:szCs w:val="24"/>
              </w:rPr>
              <w:t>poftesc</w:t>
            </w:r>
            <w:proofErr w:type="spellEnd"/>
            <w:r w:rsidR="003F6FE9" w:rsidRPr="001A68FB">
              <w:rPr>
                <w:i/>
                <w:sz w:val="24"/>
                <w:szCs w:val="24"/>
              </w:rPr>
              <w:t xml:space="preserve"> </w:t>
            </w:r>
            <w:proofErr w:type="spellStart"/>
            <w:r w:rsidR="003F6FE9" w:rsidRPr="001A68FB">
              <w:rPr>
                <w:i/>
                <w:sz w:val="24"/>
                <w:szCs w:val="24"/>
              </w:rPr>
              <w:t>foarte</w:t>
            </w:r>
            <w:proofErr w:type="spellEnd"/>
            <w:r w:rsidR="003F6FE9" w:rsidRPr="001A68FB">
              <w:rPr>
                <w:i/>
                <w:sz w:val="24"/>
                <w:szCs w:val="24"/>
              </w:rPr>
              <w:t xml:space="preserve"> </w:t>
            </w:r>
            <w:proofErr w:type="spellStart"/>
            <w:r w:rsidR="003F6FE9" w:rsidRPr="001A68FB">
              <w:rPr>
                <w:i/>
                <w:sz w:val="24"/>
                <w:szCs w:val="24"/>
              </w:rPr>
              <w:t>mult</w:t>
            </w:r>
            <w:proofErr w:type="spellEnd"/>
            <w:r w:rsidR="003F6FE9" w:rsidRPr="001A68FB">
              <w:rPr>
                <w:i/>
                <w:sz w:val="24"/>
                <w:szCs w:val="24"/>
              </w:rPr>
              <w:t xml:space="preserve"> un </w:t>
            </w:r>
            <w:proofErr w:type="spellStart"/>
            <w:r w:rsidR="003F6FE9" w:rsidRPr="001A68FB">
              <w:rPr>
                <w:i/>
                <w:sz w:val="24"/>
                <w:szCs w:val="24"/>
              </w:rPr>
              <w:t>anumit</w:t>
            </w:r>
            <w:proofErr w:type="spellEnd"/>
            <w:r w:rsidR="003F6FE9" w:rsidRPr="001A68FB">
              <w:rPr>
                <w:i/>
                <w:sz w:val="24"/>
                <w:szCs w:val="24"/>
              </w:rPr>
              <w:t xml:space="preserve"> aliment, </w:t>
            </w:r>
            <w:proofErr w:type="spellStart"/>
            <w:r w:rsidR="003F6FE9" w:rsidRPr="001A68FB">
              <w:rPr>
                <w:i/>
                <w:sz w:val="24"/>
                <w:szCs w:val="24"/>
              </w:rPr>
              <w:t>imi</w:t>
            </w:r>
            <w:proofErr w:type="spellEnd"/>
            <w:r w:rsidR="003F6FE9" w:rsidRPr="001A68FB">
              <w:rPr>
                <w:i/>
                <w:sz w:val="24"/>
                <w:szCs w:val="24"/>
              </w:rPr>
              <w:t xml:space="preserve"> </w:t>
            </w:r>
            <w:proofErr w:type="spellStart"/>
            <w:r w:rsidR="003F6FE9" w:rsidRPr="001A68FB">
              <w:rPr>
                <w:i/>
                <w:sz w:val="24"/>
                <w:szCs w:val="24"/>
              </w:rPr>
              <w:t>dau</w:t>
            </w:r>
            <w:proofErr w:type="spellEnd"/>
            <w:r w:rsidR="003F6FE9" w:rsidRPr="001A68FB">
              <w:rPr>
                <w:i/>
                <w:sz w:val="24"/>
                <w:szCs w:val="24"/>
              </w:rPr>
              <w:t xml:space="preserve"> </w:t>
            </w:r>
            <w:proofErr w:type="spellStart"/>
            <w:r w:rsidR="003F6FE9" w:rsidRPr="001A68FB">
              <w:rPr>
                <w:i/>
                <w:sz w:val="24"/>
                <w:szCs w:val="24"/>
              </w:rPr>
              <w:t>voie</w:t>
            </w:r>
            <w:proofErr w:type="spellEnd"/>
            <w:r w:rsidR="003F6FE9" w:rsidRPr="001A68FB">
              <w:rPr>
                <w:i/>
                <w:sz w:val="24"/>
                <w:szCs w:val="24"/>
              </w:rPr>
              <w:t xml:space="preserve"> </w:t>
            </w:r>
            <w:proofErr w:type="spellStart"/>
            <w:r w:rsidR="003F6FE9" w:rsidRPr="001A68FB">
              <w:rPr>
                <w:i/>
                <w:sz w:val="24"/>
                <w:szCs w:val="24"/>
              </w:rPr>
              <w:t>sa</w:t>
            </w:r>
            <w:proofErr w:type="spellEnd"/>
            <w:r w:rsidR="003F6FE9" w:rsidRPr="001A68FB">
              <w:rPr>
                <w:i/>
                <w:sz w:val="24"/>
                <w:szCs w:val="24"/>
              </w:rPr>
              <w:t xml:space="preserve">-l </w:t>
            </w:r>
            <w:proofErr w:type="spellStart"/>
            <w:r w:rsidR="003F6FE9" w:rsidRPr="001A68FB">
              <w:rPr>
                <w:i/>
                <w:sz w:val="24"/>
                <w:szCs w:val="24"/>
              </w:rPr>
              <w:t>consum</w:t>
            </w:r>
            <w:proofErr w:type="spellEnd"/>
          </w:p>
        </w:tc>
      </w:tr>
      <w:tr w:rsidR="00513542" w14:paraId="36C4BAB9" w14:textId="77777777" w:rsidTr="00DF5CA5">
        <w:tc>
          <w:tcPr>
            <w:tcW w:w="988" w:type="dxa"/>
          </w:tcPr>
          <w:p w14:paraId="06B73E30" w14:textId="77777777" w:rsidR="00513542" w:rsidRPr="00BB05AA" w:rsidRDefault="00513542" w:rsidP="00DF5CA5">
            <w:pPr>
              <w:spacing w:line="480" w:lineRule="auto"/>
              <w:rPr>
                <w:sz w:val="24"/>
                <w:szCs w:val="24"/>
              </w:rPr>
            </w:pPr>
            <w:r w:rsidRPr="00BB05AA">
              <w:rPr>
                <w:sz w:val="24"/>
                <w:szCs w:val="24"/>
              </w:rPr>
              <w:t>4</w:t>
            </w:r>
          </w:p>
        </w:tc>
        <w:tc>
          <w:tcPr>
            <w:tcW w:w="8022" w:type="dxa"/>
          </w:tcPr>
          <w:p w14:paraId="3ED970AF" w14:textId="25CDD47E" w:rsidR="00513542" w:rsidRPr="001A68FB" w:rsidRDefault="00513542" w:rsidP="001A68FB">
            <w:pPr>
              <w:pStyle w:val="NormalWeb"/>
              <w:spacing w:line="480" w:lineRule="auto"/>
              <w:rPr>
                <w:sz w:val="24"/>
                <w:szCs w:val="24"/>
              </w:rPr>
            </w:pPr>
            <w:r w:rsidRPr="001A68FB">
              <w:rPr>
                <w:sz w:val="24"/>
                <w:szCs w:val="24"/>
              </w:rPr>
              <w:t xml:space="preserve">I get mad at myself for eating something unhealthy / </w:t>
            </w:r>
            <w:r w:rsidR="003F6FE9" w:rsidRPr="001A68FB">
              <w:rPr>
                <w:i/>
                <w:sz w:val="24"/>
                <w:szCs w:val="24"/>
              </w:rPr>
              <w:t xml:space="preserve">Ma </w:t>
            </w:r>
            <w:proofErr w:type="spellStart"/>
            <w:r w:rsidR="003F6FE9" w:rsidRPr="001A68FB">
              <w:rPr>
                <w:i/>
                <w:sz w:val="24"/>
                <w:szCs w:val="24"/>
              </w:rPr>
              <w:t>supar</w:t>
            </w:r>
            <w:proofErr w:type="spellEnd"/>
            <w:r w:rsidR="003F6FE9" w:rsidRPr="001A68FB">
              <w:rPr>
                <w:i/>
                <w:sz w:val="24"/>
                <w:szCs w:val="24"/>
              </w:rPr>
              <w:t xml:space="preserve"> </w:t>
            </w:r>
            <w:proofErr w:type="spellStart"/>
            <w:r w:rsidR="003F6FE9" w:rsidRPr="001A68FB">
              <w:rPr>
                <w:i/>
                <w:sz w:val="24"/>
                <w:szCs w:val="24"/>
              </w:rPr>
              <w:t>pe</w:t>
            </w:r>
            <w:proofErr w:type="spellEnd"/>
            <w:r w:rsidR="003F6FE9" w:rsidRPr="001A68FB">
              <w:rPr>
                <w:i/>
                <w:sz w:val="24"/>
                <w:szCs w:val="24"/>
              </w:rPr>
              <w:t xml:space="preserve"> mine </w:t>
            </w:r>
            <w:proofErr w:type="spellStart"/>
            <w:r w:rsidR="003F6FE9" w:rsidRPr="001A68FB">
              <w:rPr>
                <w:i/>
                <w:sz w:val="24"/>
                <w:szCs w:val="24"/>
              </w:rPr>
              <w:t>insami</w:t>
            </w:r>
            <w:proofErr w:type="spellEnd"/>
            <w:r w:rsidR="003F6FE9" w:rsidRPr="001A68FB">
              <w:rPr>
                <w:i/>
                <w:sz w:val="24"/>
                <w:szCs w:val="24"/>
              </w:rPr>
              <w:t xml:space="preserve"> </w:t>
            </w:r>
            <w:proofErr w:type="spellStart"/>
            <w:r w:rsidR="003F6FE9" w:rsidRPr="001A68FB">
              <w:rPr>
                <w:i/>
                <w:sz w:val="24"/>
                <w:szCs w:val="24"/>
              </w:rPr>
              <w:t>atunci</w:t>
            </w:r>
            <w:proofErr w:type="spellEnd"/>
            <w:r w:rsidR="003F6FE9" w:rsidRPr="001A68FB">
              <w:rPr>
                <w:i/>
                <w:sz w:val="24"/>
                <w:szCs w:val="24"/>
              </w:rPr>
              <w:t xml:space="preserve"> </w:t>
            </w:r>
            <w:proofErr w:type="spellStart"/>
            <w:r w:rsidR="003F6FE9" w:rsidRPr="001A68FB">
              <w:rPr>
                <w:i/>
                <w:sz w:val="24"/>
                <w:szCs w:val="24"/>
              </w:rPr>
              <w:t>cand</w:t>
            </w:r>
            <w:proofErr w:type="spellEnd"/>
            <w:r w:rsidR="003F6FE9" w:rsidRPr="001A68FB">
              <w:rPr>
                <w:i/>
                <w:sz w:val="24"/>
                <w:szCs w:val="24"/>
              </w:rPr>
              <w:t xml:space="preserve"> </w:t>
            </w:r>
            <w:proofErr w:type="spellStart"/>
            <w:r w:rsidR="003F6FE9" w:rsidRPr="001A68FB">
              <w:rPr>
                <w:i/>
                <w:sz w:val="24"/>
                <w:szCs w:val="24"/>
              </w:rPr>
              <w:t>mananc</w:t>
            </w:r>
            <w:proofErr w:type="spellEnd"/>
            <w:r w:rsidR="003F6FE9" w:rsidRPr="001A68FB">
              <w:rPr>
                <w:i/>
                <w:sz w:val="24"/>
                <w:szCs w:val="24"/>
              </w:rPr>
              <w:t xml:space="preserve"> </w:t>
            </w:r>
            <w:proofErr w:type="spellStart"/>
            <w:r w:rsidR="003F6FE9" w:rsidRPr="001A68FB">
              <w:rPr>
                <w:i/>
                <w:sz w:val="24"/>
                <w:szCs w:val="24"/>
              </w:rPr>
              <w:t>ceva</w:t>
            </w:r>
            <w:proofErr w:type="spellEnd"/>
            <w:r w:rsidR="003F6FE9" w:rsidRPr="001A68FB">
              <w:rPr>
                <w:i/>
                <w:sz w:val="24"/>
                <w:szCs w:val="24"/>
              </w:rPr>
              <w:t xml:space="preserve"> </w:t>
            </w:r>
            <w:proofErr w:type="spellStart"/>
            <w:r w:rsidR="003F6FE9" w:rsidRPr="001A68FB">
              <w:rPr>
                <w:i/>
                <w:sz w:val="24"/>
                <w:szCs w:val="24"/>
              </w:rPr>
              <w:t>nesanatos</w:t>
            </w:r>
            <w:proofErr w:type="spellEnd"/>
          </w:p>
        </w:tc>
      </w:tr>
      <w:tr w:rsidR="00513542" w14:paraId="2A798527" w14:textId="77777777" w:rsidTr="00DF5CA5">
        <w:tc>
          <w:tcPr>
            <w:tcW w:w="988" w:type="dxa"/>
          </w:tcPr>
          <w:p w14:paraId="343C1A2F" w14:textId="77777777" w:rsidR="00513542" w:rsidRPr="00BB05AA" w:rsidRDefault="00513542" w:rsidP="00DF5CA5">
            <w:pPr>
              <w:spacing w:line="480" w:lineRule="auto"/>
              <w:rPr>
                <w:sz w:val="24"/>
                <w:szCs w:val="24"/>
              </w:rPr>
            </w:pPr>
            <w:r w:rsidRPr="00BB05AA">
              <w:rPr>
                <w:sz w:val="24"/>
                <w:szCs w:val="24"/>
              </w:rPr>
              <w:t>5</w:t>
            </w:r>
          </w:p>
        </w:tc>
        <w:tc>
          <w:tcPr>
            <w:tcW w:w="8022" w:type="dxa"/>
          </w:tcPr>
          <w:p w14:paraId="00C541CA" w14:textId="06F9D852" w:rsidR="00513542" w:rsidRPr="001A68FB" w:rsidRDefault="00513542" w:rsidP="001A68FB">
            <w:pPr>
              <w:pStyle w:val="Header"/>
              <w:widowControl w:val="0"/>
              <w:spacing w:line="480" w:lineRule="auto"/>
              <w:rPr>
                <w:sz w:val="24"/>
                <w:szCs w:val="24"/>
              </w:rPr>
            </w:pPr>
            <w:r w:rsidRPr="001A68FB">
              <w:rPr>
                <w:sz w:val="24"/>
                <w:szCs w:val="24"/>
              </w:rPr>
              <w:t xml:space="preserve">I find myself eating when I am lonely, even when I’m not physically hungry / </w:t>
            </w:r>
            <w:r w:rsidR="003F6FE9" w:rsidRPr="001A68FB">
              <w:rPr>
                <w:i/>
                <w:sz w:val="24"/>
                <w:szCs w:val="24"/>
              </w:rPr>
              <w:t xml:space="preserve">Ma </w:t>
            </w:r>
            <w:proofErr w:type="spellStart"/>
            <w:r w:rsidR="003F6FE9" w:rsidRPr="001A68FB">
              <w:rPr>
                <w:i/>
                <w:sz w:val="24"/>
                <w:szCs w:val="24"/>
              </w:rPr>
              <w:t>surprind</w:t>
            </w:r>
            <w:proofErr w:type="spellEnd"/>
            <w:r w:rsidR="003F6FE9" w:rsidRPr="001A68FB">
              <w:rPr>
                <w:i/>
                <w:sz w:val="24"/>
                <w:szCs w:val="24"/>
              </w:rPr>
              <w:t xml:space="preserve"> </w:t>
            </w:r>
            <w:proofErr w:type="spellStart"/>
            <w:r w:rsidR="003F6FE9" w:rsidRPr="001A68FB">
              <w:rPr>
                <w:i/>
                <w:sz w:val="24"/>
                <w:szCs w:val="24"/>
              </w:rPr>
              <w:t>mancand</w:t>
            </w:r>
            <w:proofErr w:type="spellEnd"/>
            <w:r w:rsidR="003F6FE9" w:rsidRPr="001A68FB">
              <w:rPr>
                <w:i/>
                <w:sz w:val="24"/>
                <w:szCs w:val="24"/>
              </w:rPr>
              <w:t xml:space="preserve"> </w:t>
            </w:r>
            <w:proofErr w:type="spellStart"/>
            <w:r w:rsidR="003F6FE9" w:rsidRPr="001A68FB">
              <w:rPr>
                <w:i/>
                <w:sz w:val="24"/>
                <w:szCs w:val="24"/>
              </w:rPr>
              <w:t>atunci</w:t>
            </w:r>
            <w:proofErr w:type="spellEnd"/>
            <w:r w:rsidR="003F6FE9" w:rsidRPr="001A68FB">
              <w:rPr>
                <w:i/>
                <w:sz w:val="24"/>
                <w:szCs w:val="24"/>
              </w:rPr>
              <w:t xml:space="preserve"> </w:t>
            </w:r>
            <w:proofErr w:type="spellStart"/>
            <w:r w:rsidR="003F6FE9" w:rsidRPr="001A68FB">
              <w:rPr>
                <w:i/>
                <w:sz w:val="24"/>
                <w:szCs w:val="24"/>
              </w:rPr>
              <w:t>cand</w:t>
            </w:r>
            <w:proofErr w:type="spellEnd"/>
            <w:r w:rsidR="003F6FE9" w:rsidRPr="001A68FB">
              <w:rPr>
                <w:i/>
                <w:sz w:val="24"/>
                <w:szCs w:val="24"/>
              </w:rPr>
              <w:t xml:space="preserve"> </w:t>
            </w:r>
            <w:proofErr w:type="spellStart"/>
            <w:r w:rsidR="003F6FE9" w:rsidRPr="001A68FB">
              <w:rPr>
                <w:i/>
                <w:sz w:val="24"/>
                <w:szCs w:val="24"/>
              </w:rPr>
              <w:t>sunt</w:t>
            </w:r>
            <w:proofErr w:type="spellEnd"/>
            <w:r w:rsidR="003F6FE9" w:rsidRPr="001A68FB">
              <w:rPr>
                <w:i/>
                <w:sz w:val="24"/>
                <w:szCs w:val="24"/>
              </w:rPr>
              <w:t xml:space="preserve"> </w:t>
            </w:r>
            <w:proofErr w:type="spellStart"/>
            <w:r w:rsidR="003F6FE9" w:rsidRPr="001A68FB">
              <w:rPr>
                <w:i/>
                <w:sz w:val="24"/>
                <w:szCs w:val="24"/>
              </w:rPr>
              <w:t>singur</w:t>
            </w:r>
            <w:proofErr w:type="spellEnd"/>
            <w:r w:rsidR="003F6FE9" w:rsidRPr="001A68FB">
              <w:rPr>
                <w:i/>
                <w:sz w:val="24"/>
                <w:szCs w:val="24"/>
              </w:rPr>
              <w:t xml:space="preserve">, chair </w:t>
            </w:r>
            <w:proofErr w:type="spellStart"/>
            <w:r w:rsidR="003F6FE9" w:rsidRPr="001A68FB">
              <w:rPr>
                <w:i/>
                <w:sz w:val="24"/>
                <w:szCs w:val="24"/>
              </w:rPr>
              <w:t>daca</w:t>
            </w:r>
            <w:proofErr w:type="spellEnd"/>
            <w:r w:rsidR="003F6FE9" w:rsidRPr="001A68FB">
              <w:rPr>
                <w:i/>
                <w:sz w:val="24"/>
                <w:szCs w:val="24"/>
              </w:rPr>
              <w:t xml:space="preserve"> nu </w:t>
            </w:r>
            <w:proofErr w:type="spellStart"/>
            <w:r w:rsidR="003F6FE9" w:rsidRPr="001A68FB">
              <w:rPr>
                <w:i/>
                <w:sz w:val="24"/>
                <w:szCs w:val="24"/>
              </w:rPr>
              <w:t>imi</w:t>
            </w:r>
            <w:proofErr w:type="spellEnd"/>
            <w:r w:rsidR="003F6FE9" w:rsidRPr="001A68FB">
              <w:rPr>
                <w:i/>
                <w:sz w:val="24"/>
                <w:szCs w:val="24"/>
              </w:rPr>
              <w:t xml:space="preserve"> </w:t>
            </w:r>
            <w:proofErr w:type="spellStart"/>
            <w:r w:rsidR="003F6FE9" w:rsidRPr="001A68FB">
              <w:rPr>
                <w:i/>
                <w:sz w:val="24"/>
                <w:szCs w:val="24"/>
              </w:rPr>
              <w:t>este</w:t>
            </w:r>
            <w:proofErr w:type="spellEnd"/>
            <w:r w:rsidR="003F6FE9" w:rsidRPr="001A68FB">
              <w:rPr>
                <w:i/>
                <w:sz w:val="24"/>
                <w:szCs w:val="24"/>
              </w:rPr>
              <w:t xml:space="preserve"> </w:t>
            </w:r>
            <w:proofErr w:type="spellStart"/>
            <w:r w:rsidR="003F6FE9" w:rsidRPr="001A68FB">
              <w:rPr>
                <w:i/>
                <w:sz w:val="24"/>
                <w:szCs w:val="24"/>
              </w:rPr>
              <w:t>foame</w:t>
            </w:r>
            <w:proofErr w:type="spellEnd"/>
          </w:p>
        </w:tc>
      </w:tr>
      <w:tr w:rsidR="00513542" w14:paraId="1E3467D5" w14:textId="77777777" w:rsidTr="00DF5CA5">
        <w:tc>
          <w:tcPr>
            <w:tcW w:w="988" w:type="dxa"/>
          </w:tcPr>
          <w:p w14:paraId="12F5E770" w14:textId="77777777" w:rsidR="00513542" w:rsidRPr="00BB05AA" w:rsidRDefault="00513542" w:rsidP="00DF5CA5">
            <w:pPr>
              <w:spacing w:line="480" w:lineRule="auto"/>
              <w:rPr>
                <w:sz w:val="24"/>
                <w:szCs w:val="24"/>
              </w:rPr>
            </w:pPr>
            <w:r w:rsidRPr="00BB05AA">
              <w:rPr>
                <w:sz w:val="24"/>
                <w:szCs w:val="24"/>
              </w:rPr>
              <w:t>6</w:t>
            </w:r>
          </w:p>
        </w:tc>
        <w:tc>
          <w:tcPr>
            <w:tcW w:w="8022" w:type="dxa"/>
          </w:tcPr>
          <w:p w14:paraId="7EBC707D" w14:textId="39EC8500" w:rsidR="00513542" w:rsidRPr="001A68FB" w:rsidRDefault="00513542" w:rsidP="001A68FB">
            <w:pPr>
              <w:pStyle w:val="NormalWeb"/>
              <w:spacing w:line="480" w:lineRule="auto"/>
              <w:rPr>
                <w:sz w:val="24"/>
                <w:szCs w:val="24"/>
              </w:rPr>
            </w:pPr>
            <w:r w:rsidRPr="001A68FB">
              <w:rPr>
                <w:sz w:val="24"/>
                <w:szCs w:val="24"/>
              </w:rPr>
              <w:t xml:space="preserve">I trust my body to tell me when to eat / </w:t>
            </w:r>
            <w:r w:rsidR="001A68FB" w:rsidRPr="001A68FB">
              <w:rPr>
                <w:i/>
                <w:sz w:val="24"/>
                <w:szCs w:val="24"/>
              </w:rPr>
              <w:t xml:space="preserve">Am </w:t>
            </w:r>
            <w:proofErr w:type="spellStart"/>
            <w:r w:rsidR="001A68FB" w:rsidRPr="001A68FB">
              <w:rPr>
                <w:i/>
                <w:sz w:val="24"/>
                <w:szCs w:val="24"/>
              </w:rPr>
              <w:t>incredere</w:t>
            </w:r>
            <w:proofErr w:type="spellEnd"/>
            <w:r w:rsidR="001A68FB" w:rsidRPr="001A68FB">
              <w:rPr>
                <w:i/>
                <w:sz w:val="24"/>
                <w:szCs w:val="24"/>
              </w:rPr>
              <w:t xml:space="preserve"> in </w:t>
            </w:r>
            <w:proofErr w:type="spellStart"/>
            <w:r w:rsidR="001A68FB" w:rsidRPr="001A68FB">
              <w:rPr>
                <w:i/>
                <w:sz w:val="24"/>
                <w:szCs w:val="24"/>
              </w:rPr>
              <w:t>corpul</w:t>
            </w:r>
            <w:proofErr w:type="spellEnd"/>
            <w:r w:rsidR="001A68FB" w:rsidRPr="001A68FB">
              <w:rPr>
                <w:i/>
                <w:sz w:val="24"/>
                <w:szCs w:val="24"/>
              </w:rPr>
              <w:t xml:space="preserve"> meu in a-mi </w:t>
            </w:r>
            <w:proofErr w:type="spellStart"/>
            <w:r w:rsidR="001A68FB" w:rsidRPr="001A68FB">
              <w:rPr>
                <w:i/>
                <w:sz w:val="24"/>
                <w:szCs w:val="24"/>
              </w:rPr>
              <w:t>spune</w:t>
            </w:r>
            <w:proofErr w:type="spellEnd"/>
            <w:r w:rsidR="001A68FB" w:rsidRPr="001A68FB">
              <w:rPr>
                <w:i/>
                <w:sz w:val="24"/>
                <w:szCs w:val="24"/>
              </w:rPr>
              <w:t xml:space="preserve"> </w:t>
            </w:r>
            <w:proofErr w:type="spellStart"/>
            <w:r w:rsidR="001A68FB" w:rsidRPr="001A68FB">
              <w:rPr>
                <w:i/>
                <w:sz w:val="24"/>
                <w:szCs w:val="24"/>
              </w:rPr>
              <w:t>cand</w:t>
            </w:r>
            <w:proofErr w:type="spellEnd"/>
            <w:r w:rsidR="001A68FB" w:rsidRPr="001A68FB">
              <w:rPr>
                <w:i/>
                <w:sz w:val="24"/>
                <w:szCs w:val="24"/>
              </w:rPr>
              <w:t xml:space="preserve"> </w:t>
            </w:r>
            <w:proofErr w:type="spellStart"/>
            <w:r w:rsidR="001A68FB" w:rsidRPr="001A68FB">
              <w:rPr>
                <w:i/>
                <w:sz w:val="24"/>
                <w:szCs w:val="24"/>
              </w:rPr>
              <w:t>sa</w:t>
            </w:r>
            <w:proofErr w:type="spellEnd"/>
            <w:r w:rsidR="001A68FB" w:rsidRPr="001A68FB">
              <w:rPr>
                <w:i/>
                <w:sz w:val="24"/>
                <w:szCs w:val="24"/>
              </w:rPr>
              <w:t xml:space="preserve"> </w:t>
            </w:r>
            <w:proofErr w:type="spellStart"/>
            <w:r w:rsidR="001A68FB" w:rsidRPr="001A68FB">
              <w:rPr>
                <w:i/>
                <w:sz w:val="24"/>
                <w:szCs w:val="24"/>
              </w:rPr>
              <w:t>mananc</w:t>
            </w:r>
            <w:proofErr w:type="spellEnd"/>
          </w:p>
        </w:tc>
      </w:tr>
      <w:tr w:rsidR="00513542" w14:paraId="2E88CA44" w14:textId="77777777" w:rsidTr="00DF5CA5">
        <w:tc>
          <w:tcPr>
            <w:tcW w:w="988" w:type="dxa"/>
          </w:tcPr>
          <w:p w14:paraId="5B800E59" w14:textId="77777777" w:rsidR="00513542" w:rsidRPr="00BB05AA" w:rsidRDefault="00513542" w:rsidP="00DF5CA5">
            <w:pPr>
              <w:spacing w:line="480" w:lineRule="auto"/>
              <w:rPr>
                <w:sz w:val="24"/>
                <w:szCs w:val="24"/>
              </w:rPr>
            </w:pPr>
            <w:r w:rsidRPr="00BB05AA">
              <w:rPr>
                <w:sz w:val="24"/>
                <w:szCs w:val="24"/>
              </w:rPr>
              <w:t>7</w:t>
            </w:r>
          </w:p>
        </w:tc>
        <w:tc>
          <w:tcPr>
            <w:tcW w:w="8022" w:type="dxa"/>
          </w:tcPr>
          <w:p w14:paraId="5AB36078" w14:textId="5DA07F2A" w:rsidR="00513542" w:rsidRPr="001A68FB" w:rsidRDefault="00513542" w:rsidP="001A68FB">
            <w:pPr>
              <w:pStyle w:val="NormalWeb"/>
              <w:spacing w:line="480" w:lineRule="auto"/>
              <w:rPr>
                <w:sz w:val="24"/>
                <w:szCs w:val="24"/>
              </w:rPr>
            </w:pPr>
            <w:r w:rsidRPr="001A68FB">
              <w:rPr>
                <w:sz w:val="24"/>
                <w:szCs w:val="24"/>
              </w:rPr>
              <w:t xml:space="preserve">I trust my body to tell me what to eat / </w:t>
            </w:r>
            <w:r w:rsidR="003F6FE9" w:rsidRPr="001A68FB">
              <w:rPr>
                <w:i/>
                <w:sz w:val="24"/>
                <w:szCs w:val="24"/>
              </w:rPr>
              <w:t xml:space="preserve">Am I </w:t>
            </w:r>
            <w:proofErr w:type="spellStart"/>
            <w:r w:rsidR="003F6FE9" w:rsidRPr="001A68FB">
              <w:rPr>
                <w:i/>
                <w:sz w:val="24"/>
                <w:szCs w:val="24"/>
              </w:rPr>
              <w:t>ncredere</w:t>
            </w:r>
            <w:proofErr w:type="spellEnd"/>
            <w:r w:rsidR="003F6FE9" w:rsidRPr="001A68FB">
              <w:rPr>
                <w:i/>
                <w:sz w:val="24"/>
                <w:szCs w:val="24"/>
              </w:rPr>
              <w:t xml:space="preserve"> in </w:t>
            </w:r>
            <w:proofErr w:type="spellStart"/>
            <w:r w:rsidR="003F6FE9" w:rsidRPr="001A68FB">
              <w:rPr>
                <w:i/>
                <w:sz w:val="24"/>
                <w:szCs w:val="24"/>
              </w:rPr>
              <w:t>corpul</w:t>
            </w:r>
            <w:proofErr w:type="spellEnd"/>
            <w:r w:rsidR="003F6FE9" w:rsidRPr="001A68FB">
              <w:rPr>
                <w:i/>
                <w:sz w:val="24"/>
                <w:szCs w:val="24"/>
              </w:rPr>
              <w:t xml:space="preserve"> meu in a-mi </w:t>
            </w:r>
            <w:proofErr w:type="spellStart"/>
            <w:r w:rsidR="003F6FE9" w:rsidRPr="001A68FB">
              <w:rPr>
                <w:i/>
                <w:sz w:val="24"/>
                <w:szCs w:val="24"/>
              </w:rPr>
              <w:t>spune</w:t>
            </w:r>
            <w:proofErr w:type="spellEnd"/>
            <w:r w:rsidR="003F6FE9" w:rsidRPr="001A68FB">
              <w:rPr>
                <w:i/>
                <w:sz w:val="24"/>
                <w:szCs w:val="24"/>
              </w:rPr>
              <w:t xml:space="preserve"> </w:t>
            </w:r>
            <w:proofErr w:type="spellStart"/>
            <w:r w:rsidR="003F6FE9" w:rsidRPr="001A68FB">
              <w:rPr>
                <w:i/>
                <w:sz w:val="24"/>
                <w:szCs w:val="24"/>
              </w:rPr>
              <w:t>ce</w:t>
            </w:r>
            <w:proofErr w:type="spellEnd"/>
            <w:r w:rsidR="003F6FE9" w:rsidRPr="001A68FB">
              <w:rPr>
                <w:i/>
                <w:sz w:val="24"/>
                <w:szCs w:val="24"/>
              </w:rPr>
              <w:t xml:space="preserve"> </w:t>
            </w:r>
            <w:proofErr w:type="spellStart"/>
            <w:r w:rsidR="003F6FE9" w:rsidRPr="001A68FB">
              <w:rPr>
                <w:i/>
                <w:sz w:val="24"/>
                <w:szCs w:val="24"/>
              </w:rPr>
              <w:t>sa</w:t>
            </w:r>
            <w:proofErr w:type="spellEnd"/>
            <w:r w:rsidR="003F6FE9" w:rsidRPr="001A68FB">
              <w:rPr>
                <w:i/>
                <w:sz w:val="24"/>
                <w:szCs w:val="24"/>
              </w:rPr>
              <w:t xml:space="preserve"> </w:t>
            </w:r>
            <w:proofErr w:type="spellStart"/>
            <w:r w:rsidR="003F6FE9" w:rsidRPr="001A68FB">
              <w:rPr>
                <w:i/>
                <w:sz w:val="24"/>
                <w:szCs w:val="24"/>
              </w:rPr>
              <w:t>mananc</w:t>
            </w:r>
            <w:proofErr w:type="spellEnd"/>
          </w:p>
        </w:tc>
      </w:tr>
      <w:tr w:rsidR="00513542" w14:paraId="5FF39723" w14:textId="77777777" w:rsidTr="00DF5CA5">
        <w:tc>
          <w:tcPr>
            <w:tcW w:w="988" w:type="dxa"/>
          </w:tcPr>
          <w:p w14:paraId="50C4510B" w14:textId="77777777" w:rsidR="00513542" w:rsidRPr="00BB05AA" w:rsidRDefault="00513542" w:rsidP="00DF5CA5">
            <w:pPr>
              <w:spacing w:line="480" w:lineRule="auto"/>
              <w:rPr>
                <w:sz w:val="24"/>
                <w:szCs w:val="24"/>
              </w:rPr>
            </w:pPr>
            <w:r w:rsidRPr="00BB05AA">
              <w:rPr>
                <w:sz w:val="24"/>
                <w:szCs w:val="24"/>
              </w:rPr>
              <w:t>8</w:t>
            </w:r>
          </w:p>
        </w:tc>
        <w:tc>
          <w:tcPr>
            <w:tcW w:w="8022" w:type="dxa"/>
          </w:tcPr>
          <w:p w14:paraId="1665F1A2" w14:textId="2B499F26" w:rsidR="00513542" w:rsidRPr="001A68FB" w:rsidRDefault="00513542" w:rsidP="001A68FB">
            <w:pPr>
              <w:pStyle w:val="NormalWeb"/>
              <w:spacing w:line="480" w:lineRule="auto"/>
              <w:rPr>
                <w:sz w:val="24"/>
                <w:szCs w:val="24"/>
              </w:rPr>
            </w:pPr>
            <w:r w:rsidRPr="001A68FB">
              <w:rPr>
                <w:sz w:val="24"/>
                <w:szCs w:val="24"/>
              </w:rPr>
              <w:t xml:space="preserve">I trust my body to tell me how much to eat / </w:t>
            </w:r>
            <w:r w:rsidR="003F6FE9" w:rsidRPr="001A68FB">
              <w:rPr>
                <w:i/>
                <w:sz w:val="24"/>
                <w:szCs w:val="24"/>
              </w:rPr>
              <w:t xml:space="preserve">Am </w:t>
            </w:r>
            <w:proofErr w:type="spellStart"/>
            <w:r w:rsidR="003F6FE9" w:rsidRPr="001A68FB">
              <w:rPr>
                <w:i/>
                <w:sz w:val="24"/>
                <w:szCs w:val="24"/>
              </w:rPr>
              <w:t>incredere</w:t>
            </w:r>
            <w:proofErr w:type="spellEnd"/>
            <w:r w:rsidR="003F6FE9" w:rsidRPr="001A68FB">
              <w:rPr>
                <w:i/>
                <w:sz w:val="24"/>
                <w:szCs w:val="24"/>
              </w:rPr>
              <w:t xml:space="preserve"> in </w:t>
            </w:r>
            <w:proofErr w:type="spellStart"/>
            <w:r w:rsidR="003F6FE9" w:rsidRPr="001A68FB">
              <w:rPr>
                <w:i/>
                <w:sz w:val="24"/>
                <w:szCs w:val="24"/>
              </w:rPr>
              <w:t>corpul</w:t>
            </w:r>
            <w:proofErr w:type="spellEnd"/>
            <w:r w:rsidR="003F6FE9" w:rsidRPr="001A68FB">
              <w:rPr>
                <w:i/>
                <w:sz w:val="24"/>
                <w:szCs w:val="24"/>
              </w:rPr>
              <w:t xml:space="preserve"> meu in a-mi </w:t>
            </w:r>
            <w:proofErr w:type="spellStart"/>
            <w:r w:rsidR="003F6FE9" w:rsidRPr="001A68FB">
              <w:rPr>
                <w:i/>
                <w:sz w:val="24"/>
                <w:szCs w:val="24"/>
              </w:rPr>
              <w:t>spune</w:t>
            </w:r>
            <w:proofErr w:type="spellEnd"/>
            <w:r w:rsidR="003F6FE9" w:rsidRPr="001A68FB">
              <w:rPr>
                <w:i/>
                <w:sz w:val="24"/>
                <w:szCs w:val="24"/>
              </w:rPr>
              <w:t xml:space="preserve"> cat </w:t>
            </w:r>
            <w:proofErr w:type="spellStart"/>
            <w:r w:rsidR="003F6FE9" w:rsidRPr="001A68FB">
              <w:rPr>
                <w:i/>
                <w:sz w:val="24"/>
                <w:szCs w:val="24"/>
              </w:rPr>
              <w:t>sa</w:t>
            </w:r>
            <w:proofErr w:type="spellEnd"/>
            <w:r w:rsidR="003F6FE9" w:rsidRPr="001A68FB">
              <w:rPr>
                <w:i/>
                <w:sz w:val="24"/>
                <w:szCs w:val="24"/>
              </w:rPr>
              <w:t xml:space="preserve"> </w:t>
            </w:r>
            <w:proofErr w:type="spellStart"/>
            <w:r w:rsidR="003F6FE9" w:rsidRPr="001A68FB">
              <w:rPr>
                <w:i/>
                <w:sz w:val="24"/>
                <w:szCs w:val="24"/>
              </w:rPr>
              <w:t>mananc</w:t>
            </w:r>
            <w:proofErr w:type="spellEnd"/>
          </w:p>
        </w:tc>
      </w:tr>
      <w:tr w:rsidR="00513542" w14:paraId="29CA9B07" w14:textId="77777777" w:rsidTr="00DF5CA5">
        <w:tc>
          <w:tcPr>
            <w:tcW w:w="988" w:type="dxa"/>
          </w:tcPr>
          <w:p w14:paraId="1EF9F7E7" w14:textId="77777777" w:rsidR="00513542" w:rsidRPr="00BB05AA" w:rsidRDefault="00513542" w:rsidP="00DF5CA5">
            <w:pPr>
              <w:spacing w:line="480" w:lineRule="auto"/>
              <w:rPr>
                <w:sz w:val="24"/>
                <w:szCs w:val="24"/>
              </w:rPr>
            </w:pPr>
            <w:r w:rsidRPr="00BB05AA">
              <w:rPr>
                <w:sz w:val="24"/>
                <w:szCs w:val="24"/>
              </w:rPr>
              <w:t>9</w:t>
            </w:r>
          </w:p>
        </w:tc>
        <w:tc>
          <w:tcPr>
            <w:tcW w:w="8022" w:type="dxa"/>
          </w:tcPr>
          <w:p w14:paraId="76A818C1" w14:textId="41B72837" w:rsidR="00513542" w:rsidRPr="001A68FB" w:rsidRDefault="00513542" w:rsidP="001A68FB">
            <w:pPr>
              <w:pStyle w:val="NormalWeb"/>
              <w:spacing w:line="480" w:lineRule="auto"/>
              <w:rPr>
                <w:sz w:val="24"/>
                <w:szCs w:val="24"/>
              </w:rPr>
            </w:pPr>
            <w:r w:rsidRPr="001A68FB">
              <w:rPr>
                <w:sz w:val="24"/>
                <w:szCs w:val="24"/>
              </w:rPr>
              <w:t>I have forbidden foods that I don’t allow myself to eat /</w:t>
            </w:r>
            <w:r w:rsidRPr="001A68FB">
              <w:rPr>
                <w:i/>
                <w:sz w:val="24"/>
                <w:szCs w:val="24"/>
              </w:rPr>
              <w:t xml:space="preserve"> </w:t>
            </w:r>
            <w:proofErr w:type="spellStart"/>
            <w:r w:rsidR="003F6FE9" w:rsidRPr="001A68FB">
              <w:rPr>
                <w:i/>
                <w:sz w:val="24"/>
                <w:szCs w:val="24"/>
              </w:rPr>
              <w:t>Mi</w:t>
            </w:r>
            <w:proofErr w:type="spellEnd"/>
            <w:r w:rsidR="003F6FE9" w:rsidRPr="001A68FB">
              <w:rPr>
                <w:i/>
                <w:sz w:val="24"/>
                <w:szCs w:val="24"/>
              </w:rPr>
              <w:t xml:space="preserve">-am </w:t>
            </w:r>
            <w:proofErr w:type="spellStart"/>
            <w:r w:rsidR="003F6FE9" w:rsidRPr="001A68FB">
              <w:rPr>
                <w:i/>
                <w:sz w:val="24"/>
                <w:szCs w:val="24"/>
              </w:rPr>
              <w:t>interzis</w:t>
            </w:r>
            <w:proofErr w:type="spellEnd"/>
            <w:r w:rsidR="003F6FE9" w:rsidRPr="001A68FB">
              <w:rPr>
                <w:i/>
                <w:sz w:val="24"/>
                <w:szCs w:val="24"/>
              </w:rPr>
              <w:t xml:space="preserve"> </w:t>
            </w:r>
            <w:proofErr w:type="spellStart"/>
            <w:r w:rsidR="003F6FE9" w:rsidRPr="001A68FB">
              <w:rPr>
                <w:i/>
                <w:sz w:val="24"/>
                <w:szCs w:val="24"/>
              </w:rPr>
              <w:t>alimente</w:t>
            </w:r>
            <w:proofErr w:type="spellEnd"/>
            <w:r w:rsidR="003F6FE9" w:rsidRPr="001A68FB">
              <w:rPr>
                <w:i/>
                <w:sz w:val="24"/>
                <w:szCs w:val="24"/>
              </w:rPr>
              <w:t xml:space="preserve"> </w:t>
            </w:r>
            <w:proofErr w:type="spellStart"/>
            <w:r w:rsidR="003F6FE9" w:rsidRPr="001A68FB">
              <w:rPr>
                <w:i/>
                <w:sz w:val="24"/>
                <w:szCs w:val="24"/>
              </w:rPr>
              <w:t>pe</w:t>
            </w:r>
            <w:proofErr w:type="spellEnd"/>
            <w:r w:rsidR="003F6FE9" w:rsidRPr="001A68FB">
              <w:rPr>
                <w:i/>
                <w:sz w:val="24"/>
                <w:szCs w:val="24"/>
              </w:rPr>
              <w:t xml:space="preserve"> care nu-mi permit </w:t>
            </w:r>
            <w:proofErr w:type="spellStart"/>
            <w:r w:rsidR="003F6FE9" w:rsidRPr="001A68FB">
              <w:rPr>
                <w:i/>
                <w:sz w:val="24"/>
                <w:szCs w:val="24"/>
              </w:rPr>
              <w:t>sa</w:t>
            </w:r>
            <w:proofErr w:type="spellEnd"/>
            <w:r w:rsidR="003F6FE9" w:rsidRPr="001A68FB">
              <w:rPr>
                <w:i/>
                <w:sz w:val="24"/>
                <w:szCs w:val="24"/>
              </w:rPr>
              <w:t xml:space="preserve"> le </w:t>
            </w:r>
            <w:proofErr w:type="spellStart"/>
            <w:r w:rsidR="003F6FE9" w:rsidRPr="001A68FB">
              <w:rPr>
                <w:i/>
                <w:sz w:val="24"/>
                <w:szCs w:val="24"/>
              </w:rPr>
              <w:t>consum</w:t>
            </w:r>
            <w:proofErr w:type="spellEnd"/>
          </w:p>
        </w:tc>
      </w:tr>
      <w:tr w:rsidR="00513542" w14:paraId="079449EF" w14:textId="77777777" w:rsidTr="00DF5CA5">
        <w:tc>
          <w:tcPr>
            <w:tcW w:w="988" w:type="dxa"/>
          </w:tcPr>
          <w:p w14:paraId="5CAA1935" w14:textId="77777777" w:rsidR="00513542" w:rsidRPr="00BB05AA" w:rsidRDefault="00513542" w:rsidP="00DF5CA5">
            <w:pPr>
              <w:spacing w:line="480" w:lineRule="auto"/>
              <w:rPr>
                <w:sz w:val="24"/>
                <w:szCs w:val="24"/>
              </w:rPr>
            </w:pPr>
            <w:r w:rsidRPr="00BB05AA">
              <w:rPr>
                <w:sz w:val="24"/>
                <w:szCs w:val="24"/>
              </w:rPr>
              <w:t>10</w:t>
            </w:r>
          </w:p>
        </w:tc>
        <w:tc>
          <w:tcPr>
            <w:tcW w:w="8022" w:type="dxa"/>
          </w:tcPr>
          <w:p w14:paraId="0495F2E7" w14:textId="27FF12B4" w:rsidR="00513542" w:rsidRPr="001A68FB" w:rsidRDefault="00513542" w:rsidP="001A68FB">
            <w:pPr>
              <w:pStyle w:val="NormalWeb"/>
              <w:spacing w:line="480" w:lineRule="auto"/>
              <w:rPr>
                <w:sz w:val="24"/>
                <w:szCs w:val="24"/>
              </w:rPr>
            </w:pPr>
            <w:r w:rsidRPr="001A68FB">
              <w:rPr>
                <w:sz w:val="24"/>
                <w:szCs w:val="24"/>
              </w:rPr>
              <w:t xml:space="preserve">I use food to help me soothe my negative emotions / </w:t>
            </w:r>
            <w:proofErr w:type="spellStart"/>
            <w:r w:rsidR="003F6FE9" w:rsidRPr="001A68FB">
              <w:rPr>
                <w:i/>
                <w:sz w:val="24"/>
                <w:szCs w:val="24"/>
              </w:rPr>
              <w:t>Folosesc</w:t>
            </w:r>
            <w:proofErr w:type="spellEnd"/>
            <w:r w:rsidR="003F6FE9" w:rsidRPr="001A68FB">
              <w:rPr>
                <w:i/>
                <w:sz w:val="24"/>
                <w:szCs w:val="24"/>
              </w:rPr>
              <w:t xml:space="preserve"> </w:t>
            </w:r>
            <w:proofErr w:type="spellStart"/>
            <w:r w:rsidR="003F6FE9" w:rsidRPr="001A68FB">
              <w:rPr>
                <w:i/>
                <w:sz w:val="24"/>
                <w:szCs w:val="24"/>
              </w:rPr>
              <w:t>mancarea</w:t>
            </w:r>
            <w:proofErr w:type="spellEnd"/>
            <w:r w:rsidR="003F6FE9" w:rsidRPr="001A68FB">
              <w:rPr>
                <w:i/>
                <w:sz w:val="24"/>
                <w:szCs w:val="24"/>
              </w:rPr>
              <w:t xml:space="preserve"> </w:t>
            </w:r>
            <w:proofErr w:type="spellStart"/>
            <w:r w:rsidR="003F6FE9" w:rsidRPr="001A68FB">
              <w:rPr>
                <w:i/>
                <w:sz w:val="24"/>
                <w:szCs w:val="24"/>
              </w:rPr>
              <w:t>pentru</w:t>
            </w:r>
            <w:proofErr w:type="spellEnd"/>
            <w:r w:rsidR="003F6FE9" w:rsidRPr="001A68FB">
              <w:rPr>
                <w:i/>
                <w:sz w:val="24"/>
                <w:szCs w:val="24"/>
              </w:rPr>
              <w:t xml:space="preserve"> a ma </w:t>
            </w:r>
            <w:proofErr w:type="spellStart"/>
            <w:r w:rsidR="003F6FE9" w:rsidRPr="001A68FB">
              <w:rPr>
                <w:i/>
                <w:sz w:val="24"/>
                <w:szCs w:val="24"/>
              </w:rPr>
              <w:t>ajuta</w:t>
            </w:r>
            <w:proofErr w:type="spellEnd"/>
            <w:r w:rsidR="003F6FE9" w:rsidRPr="001A68FB">
              <w:rPr>
                <w:i/>
                <w:sz w:val="24"/>
                <w:szCs w:val="24"/>
              </w:rPr>
              <w:t xml:space="preserve"> </w:t>
            </w:r>
            <w:proofErr w:type="spellStart"/>
            <w:r w:rsidR="003F6FE9" w:rsidRPr="001A68FB">
              <w:rPr>
                <w:i/>
                <w:sz w:val="24"/>
                <w:szCs w:val="24"/>
              </w:rPr>
              <w:t>sa</w:t>
            </w:r>
            <w:proofErr w:type="spellEnd"/>
            <w:r w:rsidR="003F6FE9" w:rsidRPr="001A68FB">
              <w:rPr>
                <w:i/>
                <w:sz w:val="24"/>
                <w:szCs w:val="24"/>
              </w:rPr>
              <w:t xml:space="preserve">-mi </w:t>
            </w:r>
            <w:proofErr w:type="spellStart"/>
            <w:r w:rsidR="003F6FE9" w:rsidRPr="001A68FB">
              <w:rPr>
                <w:i/>
                <w:sz w:val="24"/>
                <w:szCs w:val="24"/>
              </w:rPr>
              <w:t>calmez</w:t>
            </w:r>
            <w:proofErr w:type="spellEnd"/>
            <w:r w:rsidR="003F6FE9" w:rsidRPr="001A68FB">
              <w:rPr>
                <w:i/>
                <w:sz w:val="24"/>
                <w:szCs w:val="24"/>
              </w:rPr>
              <w:t xml:space="preserve"> </w:t>
            </w:r>
            <w:proofErr w:type="spellStart"/>
            <w:r w:rsidR="003F6FE9" w:rsidRPr="001A68FB">
              <w:rPr>
                <w:i/>
                <w:sz w:val="24"/>
                <w:szCs w:val="24"/>
              </w:rPr>
              <w:t>emotiile</w:t>
            </w:r>
            <w:proofErr w:type="spellEnd"/>
            <w:r w:rsidR="003F6FE9" w:rsidRPr="001A68FB">
              <w:rPr>
                <w:i/>
                <w:sz w:val="24"/>
                <w:szCs w:val="24"/>
              </w:rPr>
              <w:t xml:space="preserve"> negativ</w:t>
            </w:r>
            <w:r w:rsidR="001A68FB" w:rsidRPr="001A68FB">
              <w:rPr>
                <w:i/>
                <w:sz w:val="24"/>
                <w:szCs w:val="24"/>
              </w:rPr>
              <w:t>e</w:t>
            </w:r>
          </w:p>
        </w:tc>
      </w:tr>
      <w:tr w:rsidR="00513542" w14:paraId="7A8D13E8" w14:textId="77777777" w:rsidTr="00DF5CA5">
        <w:tc>
          <w:tcPr>
            <w:tcW w:w="988" w:type="dxa"/>
          </w:tcPr>
          <w:p w14:paraId="5EE50A46" w14:textId="77777777" w:rsidR="00513542" w:rsidRPr="00BB05AA" w:rsidRDefault="00513542" w:rsidP="00DF5CA5">
            <w:pPr>
              <w:spacing w:line="480" w:lineRule="auto"/>
              <w:rPr>
                <w:sz w:val="24"/>
                <w:szCs w:val="24"/>
              </w:rPr>
            </w:pPr>
            <w:r w:rsidRPr="00BB05AA">
              <w:rPr>
                <w:sz w:val="24"/>
                <w:szCs w:val="24"/>
              </w:rPr>
              <w:lastRenderedPageBreak/>
              <w:t>11</w:t>
            </w:r>
          </w:p>
        </w:tc>
        <w:tc>
          <w:tcPr>
            <w:tcW w:w="8022" w:type="dxa"/>
          </w:tcPr>
          <w:p w14:paraId="13C7FEF7" w14:textId="32E974DE" w:rsidR="00513542" w:rsidRPr="001A68FB" w:rsidRDefault="00513542" w:rsidP="001A68FB">
            <w:pPr>
              <w:pStyle w:val="NormalWeb"/>
              <w:spacing w:line="480" w:lineRule="auto"/>
              <w:rPr>
                <w:sz w:val="24"/>
                <w:szCs w:val="24"/>
              </w:rPr>
            </w:pPr>
            <w:r w:rsidRPr="001A68FB">
              <w:rPr>
                <w:sz w:val="24"/>
                <w:szCs w:val="24"/>
              </w:rPr>
              <w:t xml:space="preserve">I find myself eating when I am stressed out, even when I’m not physically hungry / </w:t>
            </w:r>
            <w:r w:rsidR="003F6FE9" w:rsidRPr="001A68FB">
              <w:rPr>
                <w:i/>
                <w:sz w:val="24"/>
                <w:szCs w:val="24"/>
              </w:rPr>
              <w:t xml:space="preserve">Ma </w:t>
            </w:r>
            <w:proofErr w:type="spellStart"/>
            <w:r w:rsidR="003F6FE9" w:rsidRPr="001A68FB">
              <w:rPr>
                <w:i/>
                <w:sz w:val="24"/>
                <w:szCs w:val="24"/>
              </w:rPr>
              <w:t>surprind</w:t>
            </w:r>
            <w:proofErr w:type="spellEnd"/>
            <w:r w:rsidR="003F6FE9" w:rsidRPr="001A68FB">
              <w:rPr>
                <w:i/>
                <w:sz w:val="24"/>
                <w:szCs w:val="24"/>
              </w:rPr>
              <w:t xml:space="preserve"> </w:t>
            </w:r>
            <w:proofErr w:type="spellStart"/>
            <w:r w:rsidR="003F6FE9" w:rsidRPr="001A68FB">
              <w:rPr>
                <w:i/>
                <w:sz w:val="24"/>
                <w:szCs w:val="24"/>
              </w:rPr>
              <w:t>mancand</w:t>
            </w:r>
            <w:proofErr w:type="spellEnd"/>
            <w:r w:rsidR="003F6FE9" w:rsidRPr="001A68FB">
              <w:rPr>
                <w:i/>
                <w:sz w:val="24"/>
                <w:szCs w:val="24"/>
              </w:rPr>
              <w:t xml:space="preserve"> </w:t>
            </w:r>
            <w:proofErr w:type="spellStart"/>
            <w:r w:rsidR="003F6FE9" w:rsidRPr="001A68FB">
              <w:rPr>
                <w:i/>
                <w:sz w:val="24"/>
                <w:szCs w:val="24"/>
              </w:rPr>
              <w:t>atunci</w:t>
            </w:r>
            <w:proofErr w:type="spellEnd"/>
            <w:r w:rsidR="003F6FE9" w:rsidRPr="001A68FB">
              <w:rPr>
                <w:i/>
                <w:sz w:val="24"/>
                <w:szCs w:val="24"/>
              </w:rPr>
              <w:t xml:space="preserve"> </w:t>
            </w:r>
            <w:proofErr w:type="spellStart"/>
            <w:r w:rsidR="003F6FE9" w:rsidRPr="001A68FB">
              <w:rPr>
                <w:i/>
                <w:sz w:val="24"/>
                <w:szCs w:val="24"/>
              </w:rPr>
              <w:t>cand</w:t>
            </w:r>
            <w:proofErr w:type="spellEnd"/>
            <w:r w:rsidR="003F6FE9" w:rsidRPr="001A68FB">
              <w:rPr>
                <w:i/>
                <w:sz w:val="24"/>
                <w:szCs w:val="24"/>
              </w:rPr>
              <w:t xml:space="preserve"> </w:t>
            </w:r>
            <w:proofErr w:type="spellStart"/>
            <w:r w:rsidR="003F6FE9" w:rsidRPr="001A68FB">
              <w:rPr>
                <w:i/>
                <w:sz w:val="24"/>
                <w:szCs w:val="24"/>
              </w:rPr>
              <w:t>sunt</w:t>
            </w:r>
            <w:proofErr w:type="spellEnd"/>
            <w:r w:rsidR="003F6FE9" w:rsidRPr="001A68FB">
              <w:rPr>
                <w:i/>
                <w:sz w:val="24"/>
                <w:szCs w:val="24"/>
              </w:rPr>
              <w:t xml:space="preserve"> </w:t>
            </w:r>
            <w:proofErr w:type="spellStart"/>
            <w:r w:rsidR="003F6FE9" w:rsidRPr="001A68FB">
              <w:rPr>
                <w:i/>
                <w:sz w:val="24"/>
                <w:szCs w:val="24"/>
              </w:rPr>
              <w:t>stresat</w:t>
            </w:r>
            <w:proofErr w:type="spellEnd"/>
            <w:r w:rsidR="003F6FE9" w:rsidRPr="001A68FB">
              <w:rPr>
                <w:i/>
                <w:sz w:val="24"/>
                <w:szCs w:val="24"/>
              </w:rPr>
              <w:t xml:space="preserve">, </w:t>
            </w:r>
            <w:proofErr w:type="spellStart"/>
            <w:r w:rsidR="003F6FE9" w:rsidRPr="001A68FB">
              <w:rPr>
                <w:i/>
                <w:sz w:val="24"/>
                <w:szCs w:val="24"/>
              </w:rPr>
              <w:t>chiar</w:t>
            </w:r>
            <w:proofErr w:type="spellEnd"/>
            <w:r w:rsidR="003F6FE9" w:rsidRPr="001A68FB">
              <w:rPr>
                <w:i/>
                <w:sz w:val="24"/>
                <w:szCs w:val="24"/>
              </w:rPr>
              <w:t xml:space="preserve"> </w:t>
            </w:r>
            <w:proofErr w:type="spellStart"/>
            <w:r w:rsidR="003F6FE9" w:rsidRPr="001A68FB">
              <w:rPr>
                <w:i/>
                <w:sz w:val="24"/>
                <w:szCs w:val="24"/>
              </w:rPr>
              <w:t>daca</w:t>
            </w:r>
            <w:proofErr w:type="spellEnd"/>
            <w:r w:rsidR="003F6FE9" w:rsidRPr="001A68FB">
              <w:rPr>
                <w:i/>
                <w:sz w:val="24"/>
                <w:szCs w:val="24"/>
              </w:rPr>
              <w:t xml:space="preserve"> nu </w:t>
            </w:r>
            <w:proofErr w:type="spellStart"/>
            <w:r w:rsidR="003F6FE9" w:rsidRPr="001A68FB">
              <w:rPr>
                <w:i/>
                <w:sz w:val="24"/>
                <w:szCs w:val="24"/>
              </w:rPr>
              <w:t>imi</w:t>
            </w:r>
            <w:proofErr w:type="spellEnd"/>
            <w:r w:rsidR="003F6FE9" w:rsidRPr="001A68FB">
              <w:rPr>
                <w:i/>
                <w:sz w:val="24"/>
                <w:szCs w:val="24"/>
              </w:rPr>
              <w:t xml:space="preserve"> </w:t>
            </w:r>
            <w:proofErr w:type="spellStart"/>
            <w:r w:rsidR="003F6FE9" w:rsidRPr="001A68FB">
              <w:rPr>
                <w:i/>
                <w:sz w:val="24"/>
                <w:szCs w:val="24"/>
              </w:rPr>
              <w:t>este</w:t>
            </w:r>
            <w:proofErr w:type="spellEnd"/>
            <w:r w:rsidR="003F6FE9" w:rsidRPr="001A68FB">
              <w:rPr>
                <w:i/>
                <w:sz w:val="24"/>
                <w:szCs w:val="24"/>
              </w:rPr>
              <w:t xml:space="preserve"> </w:t>
            </w:r>
            <w:proofErr w:type="spellStart"/>
            <w:r w:rsidR="003F6FE9" w:rsidRPr="001A68FB">
              <w:rPr>
                <w:i/>
                <w:sz w:val="24"/>
                <w:szCs w:val="24"/>
              </w:rPr>
              <w:t>foame</w:t>
            </w:r>
            <w:proofErr w:type="spellEnd"/>
          </w:p>
        </w:tc>
      </w:tr>
      <w:tr w:rsidR="00513542" w14:paraId="76C462F1" w14:textId="77777777" w:rsidTr="00DF5CA5">
        <w:tc>
          <w:tcPr>
            <w:tcW w:w="988" w:type="dxa"/>
          </w:tcPr>
          <w:p w14:paraId="1141A4BE" w14:textId="77777777" w:rsidR="00513542" w:rsidRPr="00BB05AA" w:rsidRDefault="00513542" w:rsidP="00DF5CA5">
            <w:pPr>
              <w:spacing w:line="480" w:lineRule="auto"/>
              <w:rPr>
                <w:sz w:val="24"/>
                <w:szCs w:val="24"/>
              </w:rPr>
            </w:pPr>
            <w:r w:rsidRPr="00BB05AA">
              <w:rPr>
                <w:sz w:val="24"/>
                <w:szCs w:val="24"/>
              </w:rPr>
              <w:t>12</w:t>
            </w:r>
          </w:p>
        </w:tc>
        <w:tc>
          <w:tcPr>
            <w:tcW w:w="8022" w:type="dxa"/>
          </w:tcPr>
          <w:p w14:paraId="1E59D16F" w14:textId="55B41C9B" w:rsidR="00513542" w:rsidRPr="001A68FB" w:rsidRDefault="00513542" w:rsidP="001A68FB">
            <w:pPr>
              <w:pStyle w:val="NormalWeb"/>
              <w:spacing w:line="480" w:lineRule="auto"/>
              <w:rPr>
                <w:sz w:val="24"/>
                <w:szCs w:val="24"/>
              </w:rPr>
            </w:pPr>
            <w:r w:rsidRPr="001A68FB">
              <w:rPr>
                <w:sz w:val="24"/>
                <w:szCs w:val="24"/>
              </w:rPr>
              <w:t xml:space="preserve">I am able to cope with my negative emotions (e.g., anxiety, sadness) without turning to food for comfort / </w:t>
            </w:r>
            <w:proofErr w:type="spellStart"/>
            <w:r w:rsidR="003F6FE9" w:rsidRPr="001A68FB">
              <w:rPr>
                <w:i/>
                <w:sz w:val="24"/>
                <w:szCs w:val="24"/>
              </w:rPr>
              <w:t>Sunt</w:t>
            </w:r>
            <w:proofErr w:type="spellEnd"/>
            <w:r w:rsidR="003F6FE9" w:rsidRPr="001A68FB">
              <w:rPr>
                <w:i/>
                <w:sz w:val="24"/>
                <w:szCs w:val="24"/>
              </w:rPr>
              <w:t xml:space="preserve"> in stare </w:t>
            </w:r>
            <w:proofErr w:type="spellStart"/>
            <w:r w:rsidR="003F6FE9" w:rsidRPr="001A68FB">
              <w:rPr>
                <w:i/>
                <w:sz w:val="24"/>
                <w:szCs w:val="24"/>
              </w:rPr>
              <w:t>sa</w:t>
            </w:r>
            <w:proofErr w:type="spellEnd"/>
            <w:r w:rsidR="003F6FE9" w:rsidRPr="001A68FB">
              <w:rPr>
                <w:i/>
                <w:sz w:val="24"/>
                <w:szCs w:val="24"/>
              </w:rPr>
              <w:t xml:space="preserve"> </w:t>
            </w:r>
            <w:proofErr w:type="spellStart"/>
            <w:r w:rsidR="003F6FE9" w:rsidRPr="001A68FB">
              <w:rPr>
                <w:i/>
                <w:sz w:val="24"/>
                <w:szCs w:val="24"/>
              </w:rPr>
              <w:t>fac</w:t>
            </w:r>
            <w:proofErr w:type="spellEnd"/>
            <w:r w:rsidR="003F6FE9" w:rsidRPr="001A68FB">
              <w:rPr>
                <w:i/>
                <w:sz w:val="24"/>
                <w:szCs w:val="24"/>
              </w:rPr>
              <w:t xml:space="preserve"> fata </w:t>
            </w:r>
            <w:proofErr w:type="spellStart"/>
            <w:r w:rsidR="003F6FE9" w:rsidRPr="001A68FB">
              <w:rPr>
                <w:i/>
                <w:sz w:val="24"/>
                <w:szCs w:val="24"/>
              </w:rPr>
              <w:t>emotiilor</w:t>
            </w:r>
            <w:proofErr w:type="spellEnd"/>
            <w:r w:rsidR="003F6FE9" w:rsidRPr="001A68FB">
              <w:rPr>
                <w:i/>
                <w:sz w:val="24"/>
                <w:szCs w:val="24"/>
              </w:rPr>
              <w:t xml:space="preserve"> negative (ex. </w:t>
            </w:r>
            <w:proofErr w:type="spellStart"/>
            <w:r w:rsidR="003F6FE9" w:rsidRPr="001A68FB">
              <w:rPr>
                <w:i/>
                <w:sz w:val="24"/>
                <w:szCs w:val="24"/>
              </w:rPr>
              <w:t>anxietate</w:t>
            </w:r>
            <w:proofErr w:type="spellEnd"/>
            <w:r w:rsidR="003F6FE9" w:rsidRPr="001A68FB">
              <w:rPr>
                <w:i/>
                <w:sz w:val="24"/>
                <w:szCs w:val="24"/>
              </w:rPr>
              <w:t xml:space="preserve">, </w:t>
            </w:r>
            <w:proofErr w:type="spellStart"/>
            <w:r w:rsidR="003F6FE9" w:rsidRPr="001A68FB">
              <w:rPr>
                <w:i/>
                <w:sz w:val="24"/>
                <w:szCs w:val="24"/>
              </w:rPr>
              <w:t>tristete</w:t>
            </w:r>
            <w:proofErr w:type="spellEnd"/>
            <w:r w:rsidR="003F6FE9" w:rsidRPr="001A68FB">
              <w:rPr>
                <w:i/>
                <w:sz w:val="24"/>
                <w:szCs w:val="24"/>
              </w:rPr>
              <w:t xml:space="preserve">) </w:t>
            </w:r>
            <w:proofErr w:type="spellStart"/>
            <w:r w:rsidR="003F6FE9" w:rsidRPr="001A68FB">
              <w:rPr>
                <w:i/>
                <w:sz w:val="24"/>
                <w:szCs w:val="24"/>
              </w:rPr>
              <w:t>fara</w:t>
            </w:r>
            <w:proofErr w:type="spellEnd"/>
            <w:r w:rsidR="003F6FE9" w:rsidRPr="001A68FB">
              <w:rPr>
                <w:i/>
                <w:sz w:val="24"/>
                <w:szCs w:val="24"/>
              </w:rPr>
              <w:t xml:space="preserve"> </w:t>
            </w:r>
            <w:proofErr w:type="spellStart"/>
            <w:r w:rsidR="003F6FE9" w:rsidRPr="001A68FB">
              <w:rPr>
                <w:i/>
                <w:sz w:val="24"/>
                <w:szCs w:val="24"/>
              </w:rPr>
              <w:t>sa</w:t>
            </w:r>
            <w:proofErr w:type="spellEnd"/>
            <w:r w:rsidR="003F6FE9" w:rsidRPr="001A68FB">
              <w:rPr>
                <w:i/>
                <w:sz w:val="24"/>
                <w:szCs w:val="24"/>
              </w:rPr>
              <w:t xml:space="preserve"> </w:t>
            </w:r>
            <w:proofErr w:type="spellStart"/>
            <w:r w:rsidR="003F6FE9" w:rsidRPr="001A68FB">
              <w:rPr>
                <w:i/>
                <w:sz w:val="24"/>
                <w:szCs w:val="24"/>
              </w:rPr>
              <w:t>folosesc</w:t>
            </w:r>
            <w:proofErr w:type="spellEnd"/>
            <w:r w:rsidR="003F6FE9" w:rsidRPr="001A68FB">
              <w:rPr>
                <w:i/>
                <w:sz w:val="24"/>
                <w:szCs w:val="24"/>
              </w:rPr>
              <w:t xml:space="preserve"> </w:t>
            </w:r>
            <w:proofErr w:type="spellStart"/>
            <w:r w:rsidR="003F6FE9" w:rsidRPr="001A68FB">
              <w:rPr>
                <w:i/>
                <w:sz w:val="24"/>
                <w:szCs w:val="24"/>
              </w:rPr>
              <w:t>mancarea</w:t>
            </w:r>
            <w:proofErr w:type="spellEnd"/>
            <w:r w:rsidR="003F6FE9" w:rsidRPr="001A68FB">
              <w:rPr>
                <w:i/>
                <w:sz w:val="24"/>
                <w:szCs w:val="24"/>
              </w:rPr>
              <w:t xml:space="preserve"> </w:t>
            </w:r>
            <w:proofErr w:type="spellStart"/>
            <w:r w:rsidR="003F6FE9" w:rsidRPr="001A68FB">
              <w:rPr>
                <w:i/>
                <w:sz w:val="24"/>
                <w:szCs w:val="24"/>
              </w:rPr>
              <w:t>pentu</w:t>
            </w:r>
            <w:proofErr w:type="spellEnd"/>
            <w:r w:rsidR="003F6FE9" w:rsidRPr="001A68FB">
              <w:rPr>
                <w:i/>
                <w:sz w:val="24"/>
                <w:szCs w:val="24"/>
              </w:rPr>
              <w:t xml:space="preserve"> a ma </w:t>
            </w:r>
            <w:proofErr w:type="spellStart"/>
            <w:r w:rsidR="003F6FE9" w:rsidRPr="001A68FB">
              <w:rPr>
                <w:i/>
                <w:sz w:val="24"/>
                <w:szCs w:val="24"/>
              </w:rPr>
              <w:t>linisti</w:t>
            </w:r>
            <w:proofErr w:type="spellEnd"/>
          </w:p>
        </w:tc>
      </w:tr>
      <w:tr w:rsidR="00513542" w14:paraId="2E0EF877" w14:textId="77777777" w:rsidTr="00DF5CA5">
        <w:tc>
          <w:tcPr>
            <w:tcW w:w="988" w:type="dxa"/>
          </w:tcPr>
          <w:p w14:paraId="6714ACA9" w14:textId="77777777" w:rsidR="00513542" w:rsidRPr="00BB05AA" w:rsidRDefault="00513542" w:rsidP="00DF5CA5">
            <w:pPr>
              <w:spacing w:line="480" w:lineRule="auto"/>
              <w:rPr>
                <w:sz w:val="24"/>
                <w:szCs w:val="24"/>
              </w:rPr>
            </w:pPr>
            <w:r w:rsidRPr="00BB05AA">
              <w:rPr>
                <w:sz w:val="24"/>
                <w:szCs w:val="24"/>
              </w:rPr>
              <w:t>13</w:t>
            </w:r>
          </w:p>
        </w:tc>
        <w:tc>
          <w:tcPr>
            <w:tcW w:w="8022" w:type="dxa"/>
          </w:tcPr>
          <w:p w14:paraId="1F30CC01" w14:textId="79BA4337" w:rsidR="00513542" w:rsidRPr="001A68FB" w:rsidRDefault="00513542" w:rsidP="001A68FB">
            <w:pPr>
              <w:pStyle w:val="NormalWeb"/>
              <w:spacing w:line="480" w:lineRule="auto"/>
              <w:rPr>
                <w:sz w:val="24"/>
                <w:szCs w:val="24"/>
              </w:rPr>
            </w:pPr>
            <w:r w:rsidRPr="001A68FB">
              <w:rPr>
                <w:sz w:val="24"/>
                <w:szCs w:val="24"/>
              </w:rPr>
              <w:t xml:space="preserve">When I am bored, I do NOT eat just for something to do / </w:t>
            </w:r>
            <w:proofErr w:type="spellStart"/>
            <w:r w:rsidR="003F6FE9" w:rsidRPr="001A68FB">
              <w:rPr>
                <w:i/>
                <w:sz w:val="24"/>
                <w:szCs w:val="24"/>
              </w:rPr>
              <w:t>Cand</w:t>
            </w:r>
            <w:proofErr w:type="spellEnd"/>
            <w:r w:rsidR="003F6FE9" w:rsidRPr="001A68FB">
              <w:rPr>
                <w:i/>
                <w:sz w:val="24"/>
                <w:szCs w:val="24"/>
              </w:rPr>
              <w:t xml:space="preserve"> </w:t>
            </w:r>
            <w:proofErr w:type="spellStart"/>
            <w:r w:rsidR="003F6FE9" w:rsidRPr="001A68FB">
              <w:rPr>
                <w:i/>
                <w:sz w:val="24"/>
                <w:szCs w:val="24"/>
              </w:rPr>
              <w:t>sunt</w:t>
            </w:r>
            <w:proofErr w:type="spellEnd"/>
            <w:r w:rsidR="003F6FE9" w:rsidRPr="001A68FB">
              <w:rPr>
                <w:i/>
                <w:sz w:val="24"/>
                <w:szCs w:val="24"/>
              </w:rPr>
              <w:t xml:space="preserve"> </w:t>
            </w:r>
            <w:proofErr w:type="spellStart"/>
            <w:r w:rsidR="003F6FE9" w:rsidRPr="001A68FB">
              <w:rPr>
                <w:i/>
                <w:sz w:val="24"/>
                <w:szCs w:val="24"/>
              </w:rPr>
              <w:t>plictisit</w:t>
            </w:r>
            <w:proofErr w:type="spellEnd"/>
            <w:r w:rsidR="003F6FE9" w:rsidRPr="001A68FB">
              <w:rPr>
                <w:i/>
                <w:sz w:val="24"/>
                <w:szCs w:val="24"/>
              </w:rPr>
              <w:t xml:space="preserve"> NU </w:t>
            </w:r>
            <w:proofErr w:type="spellStart"/>
            <w:r w:rsidR="003F6FE9" w:rsidRPr="001A68FB">
              <w:rPr>
                <w:i/>
                <w:sz w:val="24"/>
                <w:szCs w:val="24"/>
              </w:rPr>
              <w:t>mananc</w:t>
            </w:r>
            <w:proofErr w:type="spellEnd"/>
            <w:r w:rsidR="003F6FE9" w:rsidRPr="001A68FB">
              <w:rPr>
                <w:i/>
                <w:sz w:val="24"/>
                <w:szCs w:val="24"/>
              </w:rPr>
              <w:t xml:space="preserve"> </w:t>
            </w:r>
            <w:proofErr w:type="spellStart"/>
            <w:r w:rsidR="003F6FE9" w:rsidRPr="001A68FB">
              <w:rPr>
                <w:i/>
                <w:sz w:val="24"/>
                <w:szCs w:val="24"/>
              </w:rPr>
              <w:t>doar</w:t>
            </w:r>
            <w:proofErr w:type="spellEnd"/>
            <w:r w:rsidR="003F6FE9" w:rsidRPr="001A68FB">
              <w:rPr>
                <w:i/>
                <w:sz w:val="24"/>
                <w:szCs w:val="24"/>
              </w:rPr>
              <w:t xml:space="preserve"> </w:t>
            </w:r>
            <w:proofErr w:type="spellStart"/>
            <w:r w:rsidR="003F6FE9" w:rsidRPr="001A68FB">
              <w:rPr>
                <w:i/>
                <w:sz w:val="24"/>
                <w:szCs w:val="24"/>
              </w:rPr>
              <w:t>pentru</w:t>
            </w:r>
            <w:proofErr w:type="spellEnd"/>
            <w:r w:rsidR="003F6FE9" w:rsidRPr="001A68FB">
              <w:rPr>
                <w:i/>
                <w:sz w:val="24"/>
                <w:szCs w:val="24"/>
              </w:rPr>
              <w:t xml:space="preserve"> a </w:t>
            </w:r>
            <w:proofErr w:type="spellStart"/>
            <w:r w:rsidR="003F6FE9" w:rsidRPr="001A68FB">
              <w:rPr>
                <w:i/>
                <w:sz w:val="24"/>
                <w:szCs w:val="24"/>
              </w:rPr>
              <w:t>avea</w:t>
            </w:r>
            <w:proofErr w:type="spellEnd"/>
            <w:r w:rsidR="003F6FE9" w:rsidRPr="001A68FB">
              <w:rPr>
                <w:i/>
                <w:sz w:val="24"/>
                <w:szCs w:val="24"/>
              </w:rPr>
              <w:t xml:space="preserve"> </w:t>
            </w:r>
            <w:proofErr w:type="spellStart"/>
            <w:r w:rsidR="003F6FE9" w:rsidRPr="001A68FB">
              <w:rPr>
                <w:i/>
                <w:sz w:val="24"/>
                <w:szCs w:val="24"/>
              </w:rPr>
              <w:t>ceva</w:t>
            </w:r>
            <w:proofErr w:type="spellEnd"/>
            <w:r w:rsidR="003F6FE9" w:rsidRPr="001A68FB">
              <w:rPr>
                <w:i/>
                <w:sz w:val="24"/>
                <w:szCs w:val="24"/>
              </w:rPr>
              <w:t xml:space="preserve"> de </w:t>
            </w:r>
            <w:proofErr w:type="spellStart"/>
            <w:r w:rsidR="003F6FE9" w:rsidRPr="001A68FB">
              <w:rPr>
                <w:i/>
                <w:sz w:val="24"/>
                <w:szCs w:val="24"/>
              </w:rPr>
              <w:t>facut</w:t>
            </w:r>
            <w:proofErr w:type="spellEnd"/>
          </w:p>
        </w:tc>
      </w:tr>
      <w:tr w:rsidR="00513542" w14:paraId="142BF7E6" w14:textId="77777777" w:rsidTr="00DF5CA5">
        <w:tc>
          <w:tcPr>
            <w:tcW w:w="988" w:type="dxa"/>
          </w:tcPr>
          <w:p w14:paraId="0F5EA641" w14:textId="77777777" w:rsidR="00513542" w:rsidRPr="00BB05AA" w:rsidRDefault="00513542" w:rsidP="00DF5CA5">
            <w:pPr>
              <w:spacing w:line="480" w:lineRule="auto"/>
              <w:rPr>
                <w:sz w:val="24"/>
                <w:szCs w:val="24"/>
              </w:rPr>
            </w:pPr>
            <w:r w:rsidRPr="00BB05AA">
              <w:rPr>
                <w:sz w:val="24"/>
                <w:szCs w:val="24"/>
              </w:rPr>
              <w:t>14</w:t>
            </w:r>
          </w:p>
        </w:tc>
        <w:tc>
          <w:tcPr>
            <w:tcW w:w="8022" w:type="dxa"/>
          </w:tcPr>
          <w:p w14:paraId="3D1CC7DB" w14:textId="79B19E2C" w:rsidR="00513542" w:rsidRPr="001A68FB" w:rsidRDefault="00513542" w:rsidP="001A68FB">
            <w:pPr>
              <w:pStyle w:val="NormalWeb"/>
              <w:spacing w:line="480" w:lineRule="auto"/>
              <w:rPr>
                <w:sz w:val="24"/>
                <w:szCs w:val="24"/>
              </w:rPr>
            </w:pPr>
            <w:r w:rsidRPr="001A68FB">
              <w:rPr>
                <w:sz w:val="24"/>
                <w:szCs w:val="24"/>
              </w:rPr>
              <w:t xml:space="preserve">When I am lonely, I do NOT turn to food for comfort / </w:t>
            </w:r>
            <w:proofErr w:type="spellStart"/>
            <w:r w:rsidR="003F6FE9" w:rsidRPr="001A68FB">
              <w:rPr>
                <w:i/>
                <w:sz w:val="24"/>
                <w:szCs w:val="24"/>
              </w:rPr>
              <w:t>Cand</w:t>
            </w:r>
            <w:proofErr w:type="spellEnd"/>
            <w:r w:rsidR="003F6FE9" w:rsidRPr="001A68FB">
              <w:rPr>
                <w:i/>
                <w:sz w:val="24"/>
                <w:szCs w:val="24"/>
              </w:rPr>
              <w:t xml:space="preserve"> ma </w:t>
            </w:r>
            <w:proofErr w:type="spellStart"/>
            <w:r w:rsidR="003F6FE9" w:rsidRPr="001A68FB">
              <w:rPr>
                <w:i/>
                <w:sz w:val="24"/>
                <w:szCs w:val="24"/>
              </w:rPr>
              <w:t>simt</w:t>
            </w:r>
            <w:proofErr w:type="spellEnd"/>
            <w:r w:rsidR="003F6FE9" w:rsidRPr="001A68FB">
              <w:rPr>
                <w:i/>
                <w:sz w:val="24"/>
                <w:szCs w:val="24"/>
              </w:rPr>
              <w:t xml:space="preserve"> </w:t>
            </w:r>
            <w:proofErr w:type="spellStart"/>
            <w:r w:rsidR="003F6FE9" w:rsidRPr="001A68FB">
              <w:rPr>
                <w:i/>
                <w:sz w:val="24"/>
                <w:szCs w:val="24"/>
              </w:rPr>
              <w:t>singur</w:t>
            </w:r>
            <w:proofErr w:type="spellEnd"/>
            <w:r w:rsidR="003F6FE9" w:rsidRPr="001A68FB">
              <w:rPr>
                <w:i/>
                <w:sz w:val="24"/>
                <w:szCs w:val="24"/>
              </w:rPr>
              <w:t xml:space="preserve">, NU </w:t>
            </w:r>
            <w:proofErr w:type="spellStart"/>
            <w:r w:rsidR="003F6FE9" w:rsidRPr="001A68FB">
              <w:rPr>
                <w:i/>
                <w:sz w:val="24"/>
                <w:szCs w:val="24"/>
              </w:rPr>
              <w:t>folosesc</w:t>
            </w:r>
            <w:proofErr w:type="spellEnd"/>
            <w:r w:rsidR="003F6FE9" w:rsidRPr="001A68FB">
              <w:rPr>
                <w:i/>
                <w:sz w:val="24"/>
                <w:szCs w:val="24"/>
              </w:rPr>
              <w:t xml:space="preserve"> </w:t>
            </w:r>
            <w:proofErr w:type="spellStart"/>
            <w:r w:rsidR="003F6FE9" w:rsidRPr="001A68FB">
              <w:rPr>
                <w:i/>
                <w:sz w:val="24"/>
                <w:szCs w:val="24"/>
              </w:rPr>
              <w:t>mancarea</w:t>
            </w:r>
            <w:proofErr w:type="spellEnd"/>
            <w:r w:rsidR="003F6FE9" w:rsidRPr="001A68FB">
              <w:rPr>
                <w:i/>
                <w:sz w:val="24"/>
                <w:szCs w:val="24"/>
              </w:rPr>
              <w:t xml:space="preserve"> </w:t>
            </w:r>
            <w:proofErr w:type="spellStart"/>
            <w:r w:rsidR="003F6FE9" w:rsidRPr="001A68FB">
              <w:rPr>
                <w:i/>
                <w:sz w:val="24"/>
                <w:szCs w:val="24"/>
              </w:rPr>
              <w:t>pentru</w:t>
            </w:r>
            <w:proofErr w:type="spellEnd"/>
            <w:r w:rsidR="003F6FE9" w:rsidRPr="001A68FB">
              <w:rPr>
                <w:i/>
                <w:sz w:val="24"/>
                <w:szCs w:val="24"/>
              </w:rPr>
              <w:t xml:space="preserve"> a ma </w:t>
            </w:r>
            <w:proofErr w:type="spellStart"/>
            <w:r w:rsidR="003F6FE9" w:rsidRPr="001A68FB">
              <w:rPr>
                <w:i/>
                <w:sz w:val="24"/>
                <w:szCs w:val="24"/>
              </w:rPr>
              <w:t>linisti</w:t>
            </w:r>
            <w:proofErr w:type="spellEnd"/>
          </w:p>
        </w:tc>
      </w:tr>
      <w:tr w:rsidR="00513542" w14:paraId="3390FFB9" w14:textId="77777777" w:rsidTr="00DF5CA5">
        <w:tc>
          <w:tcPr>
            <w:tcW w:w="988" w:type="dxa"/>
          </w:tcPr>
          <w:p w14:paraId="75D1F623" w14:textId="77777777" w:rsidR="00513542" w:rsidRPr="00BB05AA" w:rsidRDefault="00513542" w:rsidP="00DF5CA5">
            <w:pPr>
              <w:spacing w:line="480" w:lineRule="auto"/>
              <w:rPr>
                <w:sz w:val="24"/>
                <w:szCs w:val="24"/>
              </w:rPr>
            </w:pPr>
            <w:r w:rsidRPr="00BB05AA">
              <w:rPr>
                <w:sz w:val="24"/>
                <w:szCs w:val="24"/>
              </w:rPr>
              <w:t>15</w:t>
            </w:r>
          </w:p>
        </w:tc>
        <w:tc>
          <w:tcPr>
            <w:tcW w:w="8022" w:type="dxa"/>
          </w:tcPr>
          <w:p w14:paraId="12DC96C7" w14:textId="2E0DEE4E" w:rsidR="00513542" w:rsidRPr="001A68FB" w:rsidRDefault="00513542" w:rsidP="001A68FB">
            <w:pPr>
              <w:pStyle w:val="NormalWeb"/>
              <w:spacing w:line="480" w:lineRule="auto"/>
              <w:rPr>
                <w:sz w:val="24"/>
                <w:szCs w:val="24"/>
              </w:rPr>
            </w:pPr>
            <w:r w:rsidRPr="001A68FB">
              <w:rPr>
                <w:sz w:val="24"/>
                <w:szCs w:val="24"/>
              </w:rPr>
              <w:t xml:space="preserve">I find other ways to cope with stress and anxiety than by eating / </w:t>
            </w:r>
            <w:r w:rsidR="003F6FE9" w:rsidRPr="001A68FB">
              <w:rPr>
                <w:i/>
                <w:sz w:val="24"/>
                <w:szCs w:val="24"/>
              </w:rPr>
              <w:t xml:space="preserve">Am </w:t>
            </w:r>
            <w:proofErr w:type="spellStart"/>
            <w:r w:rsidR="003F6FE9" w:rsidRPr="001A68FB">
              <w:rPr>
                <w:i/>
                <w:sz w:val="24"/>
                <w:szCs w:val="24"/>
              </w:rPr>
              <w:t>gasit</w:t>
            </w:r>
            <w:proofErr w:type="spellEnd"/>
            <w:r w:rsidR="003F6FE9" w:rsidRPr="001A68FB">
              <w:rPr>
                <w:i/>
                <w:sz w:val="24"/>
                <w:szCs w:val="24"/>
              </w:rPr>
              <w:t xml:space="preserve"> </w:t>
            </w:r>
            <w:proofErr w:type="spellStart"/>
            <w:r w:rsidR="003F6FE9" w:rsidRPr="001A68FB">
              <w:rPr>
                <w:i/>
                <w:sz w:val="24"/>
                <w:szCs w:val="24"/>
              </w:rPr>
              <w:t>alte</w:t>
            </w:r>
            <w:proofErr w:type="spellEnd"/>
            <w:r w:rsidR="003F6FE9" w:rsidRPr="001A68FB">
              <w:rPr>
                <w:i/>
                <w:sz w:val="24"/>
                <w:szCs w:val="24"/>
              </w:rPr>
              <w:t xml:space="preserve"> </w:t>
            </w:r>
            <w:proofErr w:type="spellStart"/>
            <w:r w:rsidR="003F6FE9" w:rsidRPr="001A68FB">
              <w:rPr>
                <w:i/>
                <w:sz w:val="24"/>
                <w:szCs w:val="24"/>
              </w:rPr>
              <w:t>modalitati</w:t>
            </w:r>
            <w:proofErr w:type="spellEnd"/>
            <w:r w:rsidR="003F6FE9" w:rsidRPr="001A68FB">
              <w:rPr>
                <w:i/>
                <w:sz w:val="24"/>
                <w:szCs w:val="24"/>
              </w:rPr>
              <w:t xml:space="preserve"> de a face fata </w:t>
            </w:r>
            <w:proofErr w:type="spellStart"/>
            <w:r w:rsidR="003F6FE9" w:rsidRPr="001A68FB">
              <w:rPr>
                <w:i/>
                <w:sz w:val="24"/>
                <w:szCs w:val="24"/>
              </w:rPr>
              <w:t>stresului</w:t>
            </w:r>
            <w:proofErr w:type="spellEnd"/>
            <w:r w:rsidR="003F6FE9" w:rsidRPr="001A68FB">
              <w:rPr>
                <w:i/>
                <w:sz w:val="24"/>
                <w:szCs w:val="24"/>
              </w:rPr>
              <w:t xml:space="preserve"> </w:t>
            </w:r>
            <w:proofErr w:type="spellStart"/>
            <w:r w:rsidR="003F6FE9" w:rsidRPr="001A68FB">
              <w:rPr>
                <w:i/>
                <w:sz w:val="24"/>
                <w:szCs w:val="24"/>
              </w:rPr>
              <w:t>si</w:t>
            </w:r>
            <w:proofErr w:type="spellEnd"/>
            <w:r w:rsidR="003F6FE9" w:rsidRPr="001A68FB">
              <w:rPr>
                <w:i/>
                <w:sz w:val="24"/>
                <w:szCs w:val="24"/>
              </w:rPr>
              <w:t xml:space="preserve"> </w:t>
            </w:r>
            <w:proofErr w:type="spellStart"/>
            <w:r w:rsidR="003F6FE9" w:rsidRPr="001A68FB">
              <w:rPr>
                <w:i/>
                <w:sz w:val="24"/>
                <w:szCs w:val="24"/>
              </w:rPr>
              <w:t>anxietatii</w:t>
            </w:r>
            <w:proofErr w:type="spellEnd"/>
            <w:r w:rsidR="003F6FE9" w:rsidRPr="001A68FB">
              <w:rPr>
                <w:i/>
                <w:sz w:val="24"/>
                <w:szCs w:val="24"/>
              </w:rPr>
              <w:t xml:space="preserve"> </w:t>
            </w:r>
            <w:proofErr w:type="spellStart"/>
            <w:r w:rsidR="003F6FE9" w:rsidRPr="001A68FB">
              <w:rPr>
                <w:i/>
                <w:sz w:val="24"/>
                <w:szCs w:val="24"/>
              </w:rPr>
              <w:t>decat</w:t>
            </w:r>
            <w:proofErr w:type="spellEnd"/>
            <w:r w:rsidR="003F6FE9" w:rsidRPr="001A68FB">
              <w:rPr>
                <w:i/>
                <w:sz w:val="24"/>
                <w:szCs w:val="24"/>
              </w:rPr>
              <w:t xml:space="preserve"> </w:t>
            </w:r>
            <w:proofErr w:type="spellStart"/>
            <w:r w:rsidR="003F6FE9" w:rsidRPr="001A68FB">
              <w:rPr>
                <w:i/>
                <w:sz w:val="24"/>
                <w:szCs w:val="24"/>
              </w:rPr>
              <w:t>mancatul</w:t>
            </w:r>
            <w:proofErr w:type="spellEnd"/>
          </w:p>
        </w:tc>
      </w:tr>
      <w:tr w:rsidR="00513542" w14:paraId="483A4B80" w14:textId="77777777" w:rsidTr="00DF5CA5">
        <w:tc>
          <w:tcPr>
            <w:tcW w:w="988" w:type="dxa"/>
          </w:tcPr>
          <w:p w14:paraId="5CAF3538" w14:textId="77777777" w:rsidR="00513542" w:rsidRPr="00BB05AA" w:rsidRDefault="00513542" w:rsidP="00DF5CA5">
            <w:pPr>
              <w:spacing w:line="480" w:lineRule="auto"/>
              <w:rPr>
                <w:sz w:val="24"/>
                <w:szCs w:val="24"/>
              </w:rPr>
            </w:pPr>
            <w:r w:rsidRPr="00BB05AA">
              <w:rPr>
                <w:sz w:val="24"/>
                <w:szCs w:val="24"/>
              </w:rPr>
              <w:t>16</w:t>
            </w:r>
          </w:p>
        </w:tc>
        <w:tc>
          <w:tcPr>
            <w:tcW w:w="8022" w:type="dxa"/>
          </w:tcPr>
          <w:p w14:paraId="48999D74" w14:textId="677BE499" w:rsidR="00513542" w:rsidRPr="001A68FB" w:rsidRDefault="00513542" w:rsidP="001A68FB">
            <w:pPr>
              <w:pStyle w:val="NormalWeb"/>
              <w:spacing w:line="480" w:lineRule="auto"/>
              <w:rPr>
                <w:sz w:val="24"/>
                <w:szCs w:val="24"/>
              </w:rPr>
            </w:pPr>
            <w:r w:rsidRPr="001A68FB">
              <w:rPr>
                <w:sz w:val="24"/>
                <w:szCs w:val="24"/>
              </w:rPr>
              <w:t xml:space="preserve">I allow myself to eat what food I desire at the moment / </w:t>
            </w:r>
            <w:proofErr w:type="spellStart"/>
            <w:r w:rsidR="003F6FE9" w:rsidRPr="001A68FB">
              <w:rPr>
                <w:i/>
                <w:sz w:val="24"/>
                <w:szCs w:val="24"/>
              </w:rPr>
              <w:t>Imi</w:t>
            </w:r>
            <w:proofErr w:type="spellEnd"/>
            <w:r w:rsidR="003F6FE9" w:rsidRPr="001A68FB">
              <w:rPr>
                <w:i/>
                <w:sz w:val="24"/>
                <w:szCs w:val="24"/>
              </w:rPr>
              <w:t xml:space="preserve"> </w:t>
            </w:r>
            <w:proofErr w:type="spellStart"/>
            <w:r w:rsidR="003F6FE9" w:rsidRPr="001A68FB">
              <w:rPr>
                <w:i/>
                <w:sz w:val="24"/>
                <w:szCs w:val="24"/>
              </w:rPr>
              <w:t>dau</w:t>
            </w:r>
            <w:proofErr w:type="spellEnd"/>
            <w:r w:rsidR="003F6FE9" w:rsidRPr="001A68FB">
              <w:rPr>
                <w:i/>
                <w:sz w:val="24"/>
                <w:szCs w:val="24"/>
              </w:rPr>
              <w:t xml:space="preserve"> </w:t>
            </w:r>
            <w:proofErr w:type="spellStart"/>
            <w:r w:rsidR="003F6FE9" w:rsidRPr="001A68FB">
              <w:rPr>
                <w:i/>
                <w:sz w:val="24"/>
                <w:szCs w:val="24"/>
              </w:rPr>
              <w:t>voie</w:t>
            </w:r>
            <w:proofErr w:type="spellEnd"/>
            <w:r w:rsidR="003F6FE9" w:rsidRPr="001A68FB">
              <w:rPr>
                <w:i/>
                <w:sz w:val="24"/>
                <w:szCs w:val="24"/>
              </w:rPr>
              <w:t xml:space="preserve"> </w:t>
            </w:r>
            <w:proofErr w:type="spellStart"/>
            <w:r w:rsidR="003F6FE9" w:rsidRPr="001A68FB">
              <w:rPr>
                <w:i/>
                <w:sz w:val="24"/>
                <w:szCs w:val="24"/>
              </w:rPr>
              <w:t>sa</w:t>
            </w:r>
            <w:proofErr w:type="spellEnd"/>
            <w:r w:rsidR="003F6FE9" w:rsidRPr="001A68FB">
              <w:rPr>
                <w:i/>
                <w:sz w:val="24"/>
                <w:szCs w:val="24"/>
              </w:rPr>
              <w:t xml:space="preserve"> </w:t>
            </w:r>
            <w:proofErr w:type="spellStart"/>
            <w:r w:rsidR="003F6FE9" w:rsidRPr="001A68FB">
              <w:rPr>
                <w:i/>
                <w:sz w:val="24"/>
                <w:szCs w:val="24"/>
              </w:rPr>
              <w:t>mananc</w:t>
            </w:r>
            <w:proofErr w:type="spellEnd"/>
            <w:r w:rsidR="003F6FE9" w:rsidRPr="001A68FB">
              <w:rPr>
                <w:i/>
                <w:sz w:val="24"/>
                <w:szCs w:val="24"/>
              </w:rPr>
              <w:t xml:space="preserve"> </w:t>
            </w:r>
            <w:proofErr w:type="spellStart"/>
            <w:r w:rsidR="003F6FE9" w:rsidRPr="001A68FB">
              <w:rPr>
                <w:i/>
                <w:sz w:val="24"/>
                <w:szCs w:val="24"/>
              </w:rPr>
              <w:t>orice</w:t>
            </w:r>
            <w:proofErr w:type="spellEnd"/>
            <w:r w:rsidR="003F6FE9" w:rsidRPr="001A68FB">
              <w:rPr>
                <w:i/>
                <w:sz w:val="24"/>
                <w:szCs w:val="24"/>
              </w:rPr>
              <w:t xml:space="preserve"> </w:t>
            </w:r>
            <w:proofErr w:type="spellStart"/>
            <w:r w:rsidR="003F6FE9" w:rsidRPr="001A68FB">
              <w:rPr>
                <w:i/>
                <w:sz w:val="24"/>
                <w:szCs w:val="24"/>
              </w:rPr>
              <w:t>mancarea</w:t>
            </w:r>
            <w:proofErr w:type="spellEnd"/>
            <w:r w:rsidR="003F6FE9" w:rsidRPr="001A68FB">
              <w:rPr>
                <w:i/>
                <w:sz w:val="24"/>
                <w:szCs w:val="24"/>
              </w:rPr>
              <w:t xml:space="preserve"> </w:t>
            </w:r>
            <w:proofErr w:type="spellStart"/>
            <w:r w:rsidR="003F6FE9" w:rsidRPr="001A68FB">
              <w:rPr>
                <w:i/>
                <w:sz w:val="24"/>
                <w:szCs w:val="24"/>
              </w:rPr>
              <w:t>doresc</w:t>
            </w:r>
            <w:proofErr w:type="spellEnd"/>
            <w:r w:rsidR="003F6FE9" w:rsidRPr="001A68FB">
              <w:rPr>
                <w:i/>
                <w:sz w:val="24"/>
                <w:szCs w:val="24"/>
              </w:rPr>
              <w:t xml:space="preserve"> la </w:t>
            </w:r>
            <w:proofErr w:type="spellStart"/>
            <w:r w:rsidR="003F6FE9" w:rsidRPr="001A68FB">
              <w:rPr>
                <w:i/>
                <w:sz w:val="24"/>
                <w:szCs w:val="24"/>
              </w:rPr>
              <w:t>momentul</w:t>
            </w:r>
            <w:proofErr w:type="spellEnd"/>
            <w:r w:rsidR="003F6FE9" w:rsidRPr="001A68FB">
              <w:rPr>
                <w:i/>
                <w:sz w:val="24"/>
                <w:szCs w:val="24"/>
              </w:rPr>
              <w:t xml:space="preserve"> </w:t>
            </w:r>
            <w:proofErr w:type="spellStart"/>
            <w:r w:rsidR="003F6FE9" w:rsidRPr="001A68FB">
              <w:rPr>
                <w:i/>
                <w:sz w:val="24"/>
                <w:szCs w:val="24"/>
              </w:rPr>
              <w:t>respectiv</w:t>
            </w:r>
            <w:proofErr w:type="spellEnd"/>
          </w:p>
        </w:tc>
      </w:tr>
      <w:tr w:rsidR="00513542" w14:paraId="0304EE26" w14:textId="77777777" w:rsidTr="00DF5CA5">
        <w:tc>
          <w:tcPr>
            <w:tcW w:w="988" w:type="dxa"/>
          </w:tcPr>
          <w:p w14:paraId="7F6F379A" w14:textId="77777777" w:rsidR="00513542" w:rsidRPr="00BB05AA" w:rsidRDefault="00513542" w:rsidP="00DF5CA5">
            <w:pPr>
              <w:spacing w:line="480" w:lineRule="auto"/>
              <w:rPr>
                <w:sz w:val="24"/>
                <w:szCs w:val="24"/>
              </w:rPr>
            </w:pPr>
            <w:r w:rsidRPr="00BB05AA">
              <w:rPr>
                <w:sz w:val="24"/>
                <w:szCs w:val="24"/>
              </w:rPr>
              <w:t>17</w:t>
            </w:r>
          </w:p>
        </w:tc>
        <w:tc>
          <w:tcPr>
            <w:tcW w:w="8022" w:type="dxa"/>
          </w:tcPr>
          <w:p w14:paraId="68B5016F" w14:textId="16FDBF9D" w:rsidR="00513542" w:rsidRPr="001A68FB" w:rsidRDefault="00513542" w:rsidP="001A68FB">
            <w:pPr>
              <w:pStyle w:val="NormalWeb"/>
              <w:spacing w:line="480" w:lineRule="auto"/>
              <w:rPr>
                <w:sz w:val="24"/>
                <w:szCs w:val="24"/>
              </w:rPr>
            </w:pPr>
            <w:r w:rsidRPr="001A68FB">
              <w:rPr>
                <w:sz w:val="24"/>
                <w:szCs w:val="24"/>
              </w:rPr>
              <w:t xml:space="preserve">I do NOT follow eating rules or dieting plans that dictate what, when, and/or how much to eat / </w:t>
            </w:r>
            <w:r w:rsidR="003F6FE9" w:rsidRPr="001A68FB">
              <w:rPr>
                <w:i/>
                <w:sz w:val="24"/>
                <w:szCs w:val="24"/>
              </w:rPr>
              <w:t xml:space="preserve">NU </w:t>
            </w:r>
            <w:proofErr w:type="spellStart"/>
            <w:r w:rsidR="003F6FE9" w:rsidRPr="001A68FB">
              <w:rPr>
                <w:i/>
                <w:sz w:val="24"/>
                <w:szCs w:val="24"/>
              </w:rPr>
              <w:t>urmez</w:t>
            </w:r>
            <w:proofErr w:type="spellEnd"/>
            <w:r w:rsidR="003F6FE9" w:rsidRPr="001A68FB">
              <w:rPr>
                <w:i/>
                <w:sz w:val="24"/>
                <w:szCs w:val="24"/>
              </w:rPr>
              <w:t xml:space="preserve"> </w:t>
            </w:r>
            <w:proofErr w:type="spellStart"/>
            <w:r w:rsidR="003F6FE9" w:rsidRPr="001A68FB">
              <w:rPr>
                <w:i/>
                <w:sz w:val="24"/>
                <w:szCs w:val="24"/>
              </w:rPr>
              <w:t>reguli</w:t>
            </w:r>
            <w:proofErr w:type="spellEnd"/>
            <w:r w:rsidR="003F6FE9" w:rsidRPr="001A68FB">
              <w:rPr>
                <w:i/>
                <w:sz w:val="24"/>
                <w:szCs w:val="24"/>
              </w:rPr>
              <w:t xml:space="preserve"> de </w:t>
            </w:r>
            <w:proofErr w:type="spellStart"/>
            <w:r w:rsidR="003F6FE9" w:rsidRPr="001A68FB">
              <w:rPr>
                <w:i/>
                <w:sz w:val="24"/>
                <w:szCs w:val="24"/>
              </w:rPr>
              <w:t>mancare</w:t>
            </w:r>
            <w:proofErr w:type="spellEnd"/>
            <w:r w:rsidR="003F6FE9" w:rsidRPr="001A68FB">
              <w:rPr>
                <w:i/>
                <w:sz w:val="24"/>
                <w:szCs w:val="24"/>
              </w:rPr>
              <w:t xml:space="preserve"> </w:t>
            </w:r>
            <w:proofErr w:type="spellStart"/>
            <w:r w:rsidR="003F6FE9" w:rsidRPr="001A68FB">
              <w:rPr>
                <w:i/>
                <w:sz w:val="24"/>
                <w:szCs w:val="24"/>
              </w:rPr>
              <w:t>sau</w:t>
            </w:r>
            <w:proofErr w:type="spellEnd"/>
            <w:r w:rsidR="003F6FE9" w:rsidRPr="001A68FB">
              <w:rPr>
                <w:i/>
                <w:sz w:val="24"/>
                <w:szCs w:val="24"/>
              </w:rPr>
              <w:t xml:space="preserve"> </w:t>
            </w:r>
            <w:proofErr w:type="spellStart"/>
            <w:r w:rsidR="003F6FE9" w:rsidRPr="001A68FB">
              <w:rPr>
                <w:i/>
                <w:sz w:val="24"/>
                <w:szCs w:val="24"/>
              </w:rPr>
              <w:t>diete</w:t>
            </w:r>
            <w:proofErr w:type="spellEnd"/>
            <w:r w:rsidR="003F6FE9" w:rsidRPr="001A68FB">
              <w:rPr>
                <w:i/>
                <w:sz w:val="24"/>
                <w:szCs w:val="24"/>
              </w:rPr>
              <w:t xml:space="preserve"> care </w:t>
            </w:r>
            <w:proofErr w:type="spellStart"/>
            <w:r w:rsidR="003F6FE9" w:rsidRPr="001A68FB">
              <w:rPr>
                <w:i/>
                <w:sz w:val="24"/>
                <w:szCs w:val="24"/>
              </w:rPr>
              <w:t>imi</w:t>
            </w:r>
            <w:proofErr w:type="spellEnd"/>
            <w:r w:rsidR="003F6FE9" w:rsidRPr="001A68FB">
              <w:rPr>
                <w:i/>
                <w:sz w:val="24"/>
                <w:szCs w:val="24"/>
              </w:rPr>
              <w:t xml:space="preserve"> </w:t>
            </w:r>
            <w:proofErr w:type="spellStart"/>
            <w:r w:rsidR="003F6FE9" w:rsidRPr="001A68FB">
              <w:rPr>
                <w:i/>
                <w:sz w:val="24"/>
                <w:szCs w:val="24"/>
              </w:rPr>
              <w:t>impun</w:t>
            </w:r>
            <w:proofErr w:type="spellEnd"/>
            <w:r w:rsidR="003F6FE9" w:rsidRPr="001A68FB">
              <w:rPr>
                <w:i/>
                <w:sz w:val="24"/>
                <w:szCs w:val="24"/>
              </w:rPr>
              <w:t xml:space="preserve"> </w:t>
            </w:r>
            <w:proofErr w:type="spellStart"/>
            <w:r w:rsidR="003F6FE9" w:rsidRPr="001A68FB">
              <w:rPr>
                <w:i/>
                <w:sz w:val="24"/>
                <w:szCs w:val="24"/>
              </w:rPr>
              <w:t>ce</w:t>
            </w:r>
            <w:proofErr w:type="spellEnd"/>
            <w:r w:rsidR="003F6FE9" w:rsidRPr="001A68FB">
              <w:rPr>
                <w:i/>
                <w:sz w:val="24"/>
                <w:szCs w:val="24"/>
              </w:rPr>
              <w:t xml:space="preserve">, </w:t>
            </w:r>
            <w:proofErr w:type="spellStart"/>
            <w:r w:rsidR="003F6FE9" w:rsidRPr="001A68FB">
              <w:rPr>
                <w:i/>
                <w:sz w:val="24"/>
                <w:szCs w:val="24"/>
              </w:rPr>
              <w:t>cand</w:t>
            </w:r>
            <w:proofErr w:type="spellEnd"/>
            <w:r w:rsidR="003F6FE9" w:rsidRPr="001A68FB">
              <w:rPr>
                <w:i/>
                <w:sz w:val="24"/>
                <w:szCs w:val="24"/>
              </w:rPr>
              <w:t xml:space="preserve"> </w:t>
            </w:r>
            <w:proofErr w:type="spellStart"/>
            <w:r w:rsidR="003F6FE9" w:rsidRPr="001A68FB">
              <w:rPr>
                <w:i/>
                <w:sz w:val="24"/>
                <w:szCs w:val="24"/>
              </w:rPr>
              <w:t>si</w:t>
            </w:r>
            <w:proofErr w:type="spellEnd"/>
            <w:r w:rsidR="003F6FE9" w:rsidRPr="001A68FB">
              <w:rPr>
                <w:i/>
                <w:sz w:val="24"/>
                <w:szCs w:val="24"/>
              </w:rPr>
              <w:t>/</w:t>
            </w:r>
            <w:proofErr w:type="spellStart"/>
            <w:r w:rsidR="003F6FE9" w:rsidRPr="001A68FB">
              <w:rPr>
                <w:i/>
                <w:sz w:val="24"/>
                <w:szCs w:val="24"/>
              </w:rPr>
              <w:t>sau</w:t>
            </w:r>
            <w:proofErr w:type="spellEnd"/>
            <w:r w:rsidR="003F6FE9" w:rsidRPr="001A68FB">
              <w:rPr>
                <w:i/>
                <w:sz w:val="24"/>
                <w:szCs w:val="24"/>
              </w:rPr>
              <w:t xml:space="preserve"> cat de </w:t>
            </w:r>
            <w:proofErr w:type="spellStart"/>
            <w:r w:rsidR="003F6FE9" w:rsidRPr="001A68FB">
              <w:rPr>
                <w:i/>
                <w:sz w:val="24"/>
                <w:szCs w:val="24"/>
              </w:rPr>
              <w:t>mult</w:t>
            </w:r>
            <w:proofErr w:type="spellEnd"/>
            <w:r w:rsidR="003F6FE9" w:rsidRPr="001A68FB">
              <w:rPr>
                <w:i/>
                <w:sz w:val="24"/>
                <w:szCs w:val="24"/>
              </w:rPr>
              <w:t xml:space="preserve"> </w:t>
            </w:r>
            <w:proofErr w:type="spellStart"/>
            <w:r w:rsidR="003F6FE9" w:rsidRPr="001A68FB">
              <w:rPr>
                <w:i/>
                <w:sz w:val="24"/>
                <w:szCs w:val="24"/>
              </w:rPr>
              <w:t>sa</w:t>
            </w:r>
            <w:proofErr w:type="spellEnd"/>
            <w:r w:rsidR="003F6FE9" w:rsidRPr="001A68FB">
              <w:rPr>
                <w:i/>
                <w:sz w:val="24"/>
                <w:szCs w:val="24"/>
              </w:rPr>
              <w:t xml:space="preserve"> </w:t>
            </w:r>
            <w:proofErr w:type="spellStart"/>
            <w:r w:rsidR="003F6FE9" w:rsidRPr="001A68FB">
              <w:rPr>
                <w:i/>
                <w:sz w:val="24"/>
                <w:szCs w:val="24"/>
              </w:rPr>
              <w:t>mananc</w:t>
            </w:r>
            <w:proofErr w:type="spellEnd"/>
          </w:p>
        </w:tc>
      </w:tr>
      <w:tr w:rsidR="00513542" w14:paraId="40041933" w14:textId="77777777" w:rsidTr="00DF5CA5">
        <w:tc>
          <w:tcPr>
            <w:tcW w:w="988" w:type="dxa"/>
          </w:tcPr>
          <w:p w14:paraId="6F30CDB7" w14:textId="77777777" w:rsidR="00513542" w:rsidRPr="00BB05AA" w:rsidRDefault="00513542" w:rsidP="00DF5CA5">
            <w:pPr>
              <w:spacing w:line="480" w:lineRule="auto"/>
              <w:rPr>
                <w:sz w:val="24"/>
                <w:szCs w:val="24"/>
              </w:rPr>
            </w:pPr>
            <w:r w:rsidRPr="00BB05AA">
              <w:rPr>
                <w:sz w:val="24"/>
                <w:szCs w:val="24"/>
              </w:rPr>
              <w:t>18</w:t>
            </w:r>
          </w:p>
        </w:tc>
        <w:tc>
          <w:tcPr>
            <w:tcW w:w="8022" w:type="dxa"/>
          </w:tcPr>
          <w:p w14:paraId="3E50E23D" w14:textId="1FACB172" w:rsidR="00513542" w:rsidRPr="001A68FB" w:rsidRDefault="00513542" w:rsidP="001A68FB">
            <w:pPr>
              <w:pStyle w:val="NormalWeb"/>
              <w:spacing w:line="480" w:lineRule="auto"/>
              <w:rPr>
                <w:sz w:val="24"/>
                <w:szCs w:val="24"/>
              </w:rPr>
            </w:pPr>
            <w:r w:rsidRPr="001A68FB">
              <w:rPr>
                <w:sz w:val="24"/>
                <w:szCs w:val="24"/>
              </w:rPr>
              <w:t xml:space="preserve">Most of the time, I desire to eat nutritious foods / </w:t>
            </w:r>
            <w:r w:rsidR="001A68FB" w:rsidRPr="001A68FB">
              <w:rPr>
                <w:i/>
                <w:sz w:val="24"/>
                <w:szCs w:val="24"/>
              </w:rPr>
              <w:t xml:space="preserve">De </w:t>
            </w:r>
            <w:proofErr w:type="spellStart"/>
            <w:r w:rsidR="001A68FB" w:rsidRPr="001A68FB">
              <w:rPr>
                <w:i/>
                <w:sz w:val="24"/>
                <w:szCs w:val="24"/>
              </w:rPr>
              <w:t>cele</w:t>
            </w:r>
            <w:proofErr w:type="spellEnd"/>
            <w:r w:rsidR="001A68FB" w:rsidRPr="001A68FB">
              <w:rPr>
                <w:i/>
                <w:sz w:val="24"/>
                <w:szCs w:val="24"/>
              </w:rPr>
              <w:t xml:space="preserve"> </w:t>
            </w:r>
            <w:proofErr w:type="spellStart"/>
            <w:r w:rsidR="001A68FB" w:rsidRPr="001A68FB">
              <w:rPr>
                <w:i/>
                <w:sz w:val="24"/>
                <w:szCs w:val="24"/>
              </w:rPr>
              <w:t>mai</w:t>
            </w:r>
            <w:proofErr w:type="spellEnd"/>
            <w:r w:rsidR="001A68FB" w:rsidRPr="001A68FB">
              <w:rPr>
                <w:i/>
                <w:sz w:val="24"/>
                <w:szCs w:val="24"/>
              </w:rPr>
              <w:t xml:space="preserve"> </w:t>
            </w:r>
            <w:proofErr w:type="spellStart"/>
            <w:r w:rsidR="001A68FB" w:rsidRPr="001A68FB">
              <w:rPr>
                <w:i/>
                <w:sz w:val="24"/>
                <w:szCs w:val="24"/>
              </w:rPr>
              <w:t>multe</w:t>
            </w:r>
            <w:proofErr w:type="spellEnd"/>
            <w:r w:rsidR="001A68FB" w:rsidRPr="001A68FB">
              <w:rPr>
                <w:i/>
                <w:sz w:val="24"/>
                <w:szCs w:val="24"/>
              </w:rPr>
              <w:t xml:space="preserve"> </w:t>
            </w:r>
            <w:proofErr w:type="spellStart"/>
            <w:r w:rsidR="001A68FB" w:rsidRPr="001A68FB">
              <w:rPr>
                <w:i/>
                <w:sz w:val="24"/>
                <w:szCs w:val="24"/>
              </w:rPr>
              <w:t>ori</w:t>
            </w:r>
            <w:proofErr w:type="spellEnd"/>
            <w:r w:rsidR="001A68FB" w:rsidRPr="001A68FB">
              <w:rPr>
                <w:i/>
                <w:sz w:val="24"/>
                <w:szCs w:val="24"/>
              </w:rPr>
              <w:t xml:space="preserve">, </w:t>
            </w:r>
            <w:proofErr w:type="spellStart"/>
            <w:r w:rsidR="001A68FB" w:rsidRPr="001A68FB">
              <w:rPr>
                <w:i/>
                <w:sz w:val="24"/>
                <w:szCs w:val="24"/>
              </w:rPr>
              <w:t>doresc</w:t>
            </w:r>
            <w:proofErr w:type="spellEnd"/>
            <w:r w:rsidR="001A68FB" w:rsidRPr="001A68FB">
              <w:rPr>
                <w:i/>
                <w:sz w:val="24"/>
                <w:szCs w:val="24"/>
              </w:rPr>
              <w:t xml:space="preserve"> </w:t>
            </w:r>
            <w:proofErr w:type="spellStart"/>
            <w:r w:rsidR="001A68FB" w:rsidRPr="001A68FB">
              <w:rPr>
                <w:i/>
                <w:sz w:val="24"/>
                <w:szCs w:val="24"/>
              </w:rPr>
              <w:t>sa</w:t>
            </w:r>
            <w:proofErr w:type="spellEnd"/>
            <w:r w:rsidR="001A68FB" w:rsidRPr="001A68FB">
              <w:rPr>
                <w:i/>
                <w:sz w:val="24"/>
                <w:szCs w:val="24"/>
              </w:rPr>
              <w:t xml:space="preserve"> </w:t>
            </w:r>
            <w:proofErr w:type="spellStart"/>
            <w:r w:rsidR="001A68FB" w:rsidRPr="001A68FB">
              <w:rPr>
                <w:i/>
                <w:sz w:val="24"/>
                <w:szCs w:val="24"/>
              </w:rPr>
              <w:t>mananc</w:t>
            </w:r>
            <w:proofErr w:type="spellEnd"/>
            <w:r w:rsidR="001A68FB" w:rsidRPr="001A68FB">
              <w:rPr>
                <w:i/>
                <w:sz w:val="24"/>
                <w:szCs w:val="24"/>
              </w:rPr>
              <w:t xml:space="preserve"> </w:t>
            </w:r>
            <w:proofErr w:type="spellStart"/>
            <w:r w:rsidR="001A68FB" w:rsidRPr="001A68FB">
              <w:rPr>
                <w:i/>
                <w:sz w:val="24"/>
                <w:szCs w:val="24"/>
              </w:rPr>
              <w:t>alimente</w:t>
            </w:r>
            <w:proofErr w:type="spellEnd"/>
            <w:r w:rsidR="001A68FB" w:rsidRPr="001A68FB">
              <w:rPr>
                <w:i/>
                <w:sz w:val="24"/>
                <w:szCs w:val="24"/>
              </w:rPr>
              <w:t xml:space="preserve"> nutritive</w:t>
            </w:r>
          </w:p>
        </w:tc>
      </w:tr>
      <w:tr w:rsidR="00513542" w14:paraId="45C6B6EB" w14:textId="77777777" w:rsidTr="00DF5CA5">
        <w:tc>
          <w:tcPr>
            <w:tcW w:w="988" w:type="dxa"/>
          </w:tcPr>
          <w:p w14:paraId="78478799" w14:textId="77777777" w:rsidR="00513542" w:rsidRPr="00BB05AA" w:rsidRDefault="00513542" w:rsidP="00DF5CA5">
            <w:pPr>
              <w:spacing w:line="480" w:lineRule="auto"/>
              <w:rPr>
                <w:sz w:val="24"/>
                <w:szCs w:val="24"/>
              </w:rPr>
            </w:pPr>
            <w:r w:rsidRPr="00BB05AA">
              <w:rPr>
                <w:sz w:val="24"/>
                <w:szCs w:val="24"/>
              </w:rPr>
              <w:t>19</w:t>
            </w:r>
          </w:p>
        </w:tc>
        <w:tc>
          <w:tcPr>
            <w:tcW w:w="8022" w:type="dxa"/>
          </w:tcPr>
          <w:p w14:paraId="6B2A031F" w14:textId="3F2019DD" w:rsidR="00513542" w:rsidRPr="001A68FB" w:rsidRDefault="00513542" w:rsidP="001A68FB">
            <w:pPr>
              <w:pStyle w:val="NormalWeb"/>
              <w:spacing w:line="480" w:lineRule="auto"/>
              <w:rPr>
                <w:sz w:val="24"/>
                <w:szCs w:val="24"/>
              </w:rPr>
            </w:pPr>
            <w:r w:rsidRPr="001A68FB">
              <w:rPr>
                <w:sz w:val="24"/>
                <w:szCs w:val="24"/>
              </w:rPr>
              <w:t xml:space="preserve">I mostly eat foods that make my body perform efficiently (well) / </w:t>
            </w:r>
            <w:r w:rsidR="001A68FB" w:rsidRPr="001A68FB">
              <w:rPr>
                <w:i/>
                <w:sz w:val="24"/>
                <w:szCs w:val="24"/>
              </w:rPr>
              <w:t xml:space="preserve">De </w:t>
            </w:r>
            <w:proofErr w:type="spellStart"/>
            <w:r w:rsidR="001A68FB" w:rsidRPr="001A68FB">
              <w:rPr>
                <w:i/>
                <w:sz w:val="24"/>
                <w:szCs w:val="24"/>
              </w:rPr>
              <w:t>cele</w:t>
            </w:r>
            <w:proofErr w:type="spellEnd"/>
            <w:r w:rsidR="001A68FB" w:rsidRPr="001A68FB">
              <w:rPr>
                <w:i/>
                <w:sz w:val="24"/>
                <w:szCs w:val="24"/>
              </w:rPr>
              <w:t xml:space="preserve"> </w:t>
            </w:r>
            <w:proofErr w:type="spellStart"/>
            <w:r w:rsidR="001A68FB" w:rsidRPr="001A68FB">
              <w:rPr>
                <w:i/>
                <w:sz w:val="24"/>
                <w:szCs w:val="24"/>
              </w:rPr>
              <w:t>mai</w:t>
            </w:r>
            <w:proofErr w:type="spellEnd"/>
            <w:r w:rsidR="001A68FB" w:rsidRPr="001A68FB">
              <w:rPr>
                <w:i/>
                <w:sz w:val="24"/>
                <w:szCs w:val="24"/>
              </w:rPr>
              <w:t xml:space="preserve"> </w:t>
            </w:r>
            <w:proofErr w:type="spellStart"/>
            <w:r w:rsidR="001A68FB" w:rsidRPr="001A68FB">
              <w:rPr>
                <w:i/>
                <w:sz w:val="24"/>
                <w:szCs w:val="24"/>
              </w:rPr>
              <w:t>multe</w:t>
            </w:r>
            <w:proofErr w:type="spellEnd"/>
            <w:r w:rsidR="001A68FB" w:rsidRPr="001A68FB">
              <w:rPr>
                <w:i/>
                <w:sz w:val="24"/>
                <w:szCs w:val="24"/>
              </w:rPr>
              <w:t xml:space="preserve"> </w:t>
            </w:r>
            <w:proofErr w:type="spellStart"/>
            <w:r w:rsidR="001A68FB" w:rsidRPr="001A68FB">
              <w:rPr>
                <w:i/>
                <w:sz w:val="24"/>
                <w:szCs w:val="24"/>
              </w:rPr>
              <w:t>ori</w:t>
            </w:r>
            <w:proofErr w:type="spellEnd"/>
            <w:r w:rsidR="001A68FB" w:rsidRPr="001A68FB">
              <w:rPr>
                <w:i/>
                <w:sz w:val="24"/>
                <w:szCs w:val="24"/>
              </w:rPr>
              <w:t xml:space="preserve">, </w:t>
            </w:r>
            <w:proofErr w:type="spellStart"/>
            <w:r w:rsidR="001A68FB" w:rsidRPr="001A68FB">
              <w:rPr>
                <w:i/>
                <w:sz w:val="24"/>
                <w:szCs w:val="24"/>
              </w:rPr>
              <w:t>consum</w:t>
            </w:r>
            <w:proofErr w:type="spellEnd"/>
            <w:r w:rsidR="001A68FB" w:rsidRPr="001A68FB">
              <w:rPr>
                <w:i/>
                <w:sz w:val="24"/>
                <w:szCs w:val="24"/>
              </w:rPr>
              <w:t xml:space="preserve"> </w:t>
            </w:r>
            <w:proofErr w:type="spellStart"/>
            <w:r w:rsidR="001A68FB" w:rsidRPr="001A68FB">
              <w:rPr>
                <w:i/>
                <w:sz w:val="24"/>
                <w:szCs w:val="24"/>
              </w:rPr>
              <w:t>alimente</w:t>
            </w:r>
            <w:proofErr w:type="spellEnd"/>
            <w:r w:rsidR="001A68FB" w:rsidRPr="001A68FB">
              <w:rPr>
                <w:i/>
                <w:sz w:val="24"/>
                <w:szCs w:val="24"/>
              </w:rPr>
              <w:t xml:space="preserve"> care </w:t>
            </w:r>
            <w:proofErr w:type="spellStart"/>
            <w:r w:rsidR="001A68FB" w:rsidRPr="001A68FB">
              <w:rPr>
                <w:i/>
                <w:sz w:val="24"/>
                <w:szCs w:val="24"/>
              </w:rPr>
              <w:t>fac</w:t>
            </w:r>
            <w:proofErr w:type="spellEnd"/>
            <w:r w:rsidR="001A68FB" w:rsidRPr="001A68FB">
              <w:rPr>
                <w:i/>
                <w:sz w:val="24"/>
                <w:szCs w:val="24"/>
              </w:rPr>
              <w:t xml:space="preserve"> ca </w:t>
            </w:r>
            <w:proofErr w:type="spellStart"/>
            <w:r w:rsidR="001A68FB" w:rsidRPr="001A68FB">
              <w:rPr>
                <w:i/>
                <w:sz w:val="24"/>
                <w:szCs w:val="24"/>
              </w:rPr>
              <w:t>organismul</w:t>
            </w:r>
            <w:proofErr w:type="spellEnd"/>
            <w:r w:rsidR="001A68FB" w:rsidRPr="001A68FB">
              <w:rPr>
                <w:i/>
                <w:sz w:val="24"/>
                <w:szCs w:val="24"/>
              </w:rPr>
              <w:t xml:space="preserve"> meu </w:t>
            </w:r>
            <w:proofErr w:type="spellStart"/>
            <w:r w:rsidR="001A68FB" w:rsidRPr="001A68FB">
              <w:rPr>
                <w:i/>
                <w:sz w:val="24"/>
                <w:szCs w:val="24"/>
              </w:rPr>
              <w:t>sa</w:t>
            </w:r>
            <w:proofErr w:type="spellEnd"/>
            <w:r w:rsidR="001A68FB" w:rsidRPr="001A68FB">
              <w:rPr>
                <w:i/>
                <w:sz w:val="24"/>
                <w:szCs w:val="24"/>
              </w:rPr>
              <w:t xml:space="preserve"> </w:t>
            </w:r>
            <w:proofErr w:type="spellStart"/>
            <w:r w:rsidR="001A68FB" w:rsidRPr="001A68FB">
              <w:rPr>
                <w:i/>
                <w:sz w:val="24"/>
                <w:szCs w:val="24"/>
              </w:rPr>
              <w:t>functioneze</w:t>
            </w:r>
            <w:proofErr w:type="spellEnd"/>
            <w:r w:rsidR="001A68FB" w:rsidRPr="001A68FB">
              <w:rPr>
                <w:i/>
                <w:sz w:val="24"/>
                <w:szCs w:val="24"/>
              </w:rPr>
              <w:t xml:space="preserve"> efficient (bine)</w:t>
            </w:r>
          </w:p>
        </w:tc>
      </w:tr>
      <w:tr w:rsidR="00513542" w14:paraId="5A981CCF" w14:textId="77777777" w:rsidTr="00DF5CA5">
        <w:tc>
          <w:tcPr>
            <w:tcW w:w="988" w:type="dxa"/>
          </w:tcPr>
          <w:p w14:paraId="73643C8B" w14:textId="77777777" w:rsidR="00513542" w:rsidRPr="00BB05AA" w:rsidRDefault="00513542" w:rsidP="00DF5CA5">
            <w:pPr>
              <w:spacing w:line="480" w:lineRule="auto"/>
              <w:rPr>
                <w:sz w:val="24"/>
                <w:szCs w:val="24"/>
              </w:rPr>
            </w:pPr>
            <w:r w:rsidRPr="00BB05AA">
              <w:rPr>
                <w:sz w:val="24"/>
                <w:szCs w:val="24"/>
              </w:rPr>
              <w:t>20</w:t>
            </w:r>
          </w:p>
        </w:tc>
        <w:tc>
          <w:tcPr>
            <w:tcW w:w="8022" w:type="dxa"/>
          </w:tcPr>
          <w:p w14:paraId="6773A544" w14:textId="4D8CF6A5" w:rsidR="00513542" w:rsidRPr="001A68FB" w:rsidRDefault="00513542" w:rsidP="001A68FB">
            <w:pPr>
              <w:pStyle w:val="NormalWeb"/>
              <w:spacing w:line="480" w:lineRule="auto"/>
              <w:rPr>
                <w:sz w:val="24"/>
                <w:szCs w:val="24"/>
              </w:rPr>
            </w:pPr>
            <w:r w:rsidRPr="001A68FB">
              <w:rPr>
                <w:sz w:val="24"/>
                <w:szCs w:val="24"/>
              </w:rPr>
              <w:t xml:space="preserve">I mostly eat foods that give my body energy and stamina / </w:t>
            </w:r>
            <w:r w:rsidR="001A68FB" w:rsidRPr="001A68FB">
              <w:rPr>
                <w:i/>
                <w:sz w:val="24"/>
                <w:szCs w:val="24"/>
              </w:rPr>
              <w:t xml:space="preserve">De </w:t>
            </w:r>
            <w:proofErr w:type="spellStart"/>
            <w:r w:rsidR="001A68FB" w:rsidRPr="001A68FB">
              <w:rPr>
                <w:i/>
                <w:sz w:val="24"/>
                <w:szCs w:val="24"/>
              </w:rPr>
              <w:t>cele</w:t>
            </w:r>
            <w:proofErr w:type="spellEnd"/>
            <w:r w:rsidR="001A68FB" w:rsidRPr="001A68FB">
              <w:rPr>
                <w:i/>
                <w:sz w:val="24"/>
                <w:szCs w:val="24"/>
              </w:rPr>
              <w:t xml:space="preserve"> </w:t>
            </w:r>
            <w:proofErr w:type="spellStart"/>
            <w:r w:rsidR="001A68FB" w:rsidRPr="001A68FB">
              <w:rPr>
                <w:i/>
                <w:sz w:val="24"/>
                <w:szCs w:val="24"/>
              </w:rPr>
              <w:t>mai</w:t>
            </w:r>
            <w:proofErr w:type="spellEnd"/>
            <w:r w:rsidR="001A68FB" w:rsidRPr="001A68FB">
              <w:rPr>
                <w:i/>
                <w:sz w:val="24"/>
                <w:szCs w:val="24"/>
              </w:rPr>
              <w:t xml:space="preserve"> </w:t>
            </w:r>
            <w:proofErr w:type="spellStart"/>
            <w:r w:rsidR="001A68FB" w:rsidRPr="001A68FB">
              <w:rPr>
                <w:i/>
                <w:sz w:val="24"/>
                <w:szCs w:val="24"/>
              </w:rPr>
              <w:t>multe</w:t>
            </w:r>
            <w:proofErr w:type="spellEnd"/>
            <w:r w:rsidR="001A68FB" w:rsidRPr="001A68FB">
              <w:rPr>
                <w:i/>
                <w:sz w:val="24"/>
                <w:szCs w:val="24"/>
              </w:rPr>
              <w:t xml:space="preserve"> </w:t>
            </w:r>
            <w:proofErr w:type="spellStart"/>
            <w:r w:rsidR="001A68FB" w:rsidRPr="001A68FB">
              <w:rPr>
                <w:i/>
                <w:sz w:val="24"/>
                <w:szCs w:val="24"/>
              </w:rPr>
              <w:t>consum</w:t>
            </w:r>
            <w:proofErr w:type="spellEnd"/>
            <w:r w:rsidR="001A68FB" w:rsidRPr="001A68FB">
              <w:rPr>
                <w:i/>
                <w:sz w:val="24"/>
                <w:szCs w:val="24"/>
              </w:rPr>
              <w:t xml:space="preserve"> </w:t>
            </w:r>
            <w:proofErr w:type="spellStart"/>
            <w:r w:rsidR="001A68FB" w:rsidRPr="001A68FB">
              <w:rPr>
                <w:i/>
                <w:sz w:val="24"/>
                <w:szCs w:val="24"/>
              </w:rPr>
              <w:t>alimente</w:t>
            </w:r>
            <w:proofErr w:type="spellEnd"/>
            <w:r w:rsidR="001A68FB" w:rsidRPr="001A68FB">
              <w:rPr>
                <w:i/>
                <w:sz w:val="24"/>
                <w:szCs w:val="24"/>
              </w:rPr>
              <w:t xml:space="preserve"> care </w:t>
            </w:r>
            <w:proofErr w:type="spellStart"/>
            <w:r w:rsidR="001A68FB" w:rsidRPr="001A68FB">
              <w:rPr>
                <w:i/>
                <w:sz w:val="24"/>
                <w:szCs w:val="24"/>
              </w:rPr>
              <w:t>dau</w:t>
            </w:r>
            <w:proofErr w:type="spellEnd"/>
            <w:r w:rsidR="001A68FB" w:rsidRPr="001A68FB">
              <w:rPr>
                <w:i/>
                <w:sz w:val="24"/>
                <w:szCs w:val="24"/>
              </w:rPr>
              <w:t xml:space="preserve"> </w:t>
            </w:r>
            <w:proofErr w:type="spellStart"/>
            <w:r w:rsidR="001A68FB" w:rsidRPr="001A68FB">
              <w:rPr>
                <w:i/>
                <w:sz w:val="24"/>
                <w:szCs w:val="24"/>
              </w:rPr>
              <w:t>organismului</w:t>
            </w:r>
            <w:proofErr w:type="spellEnd"/>
            <w:r w:rsidR="001A68FB" w:rsidRPr="001A68FB">
              <w:rPr>
                <w:i/>
                <w:sz w:val="24"/>
                <w:szCs w:val="24"/>
              </w:rPr>
              <w:t xml:space="preserve"> meu </w:t>
            </w:r>
            <w:proofErr w:type="spellStart"/>
            <w:r w:rsidR="001A68FB" w:rsidRPr="001A68FB">
              <w:rPr>
                <w:i/>
                <w:sz w:val="24"/>
                <w:szCs w:val="24"/>
              </w:rPr>
              <w:t>energie</w:t>
            </w:r>
            <w:proofErr w:type="spellEnd"/>
            <w:r w:rsidR="001A68FB" w:rsidRPr="001A68FB">
              <w:rPr>
                <w:i/>
                <w:sz w:val="24"/>
                <w:szCs w:val="24"/>
              </w:rPr>
              <w:t xml:space="preserve"> </w:t>
            </w:r>
            <w:proofErr w:type="spellStart"/>
            <w:r w:rsidR="001A68FB" w:rsidRPr="001A68FB">
              <w:rPr>
                <w:i/>
                <w:sz w:val="24"/>
                <w:szCs w:val="24"/>
              </w:rPr>
              <w:t>si</w:t>
            </w:r>
            <w:proofErr w:type="spellEnd"/>
            <w:r w:rsidR="001A68FB" w:rsidRPr="001A68FB">
              <w:rPr>
                <w:i/>
                <w:sz w:val="24"/>
                <w:szCs w:val="24"/>
              </w:rPr>
              <w:t xml:space="preserve"> </w:t>
            </w:r>
            <w:proofErr w:type="spellStart"/>
            <w:r w:rsidR="001A68FB" w:rsidRPr="001A68FB">
              <w:rPr>
                <w:i/>
                <w:sz w:val="24"/>
                <w:szCs w:val="24"/>
              </w:rPr>
              <w:t>rezistenta</w:t>
            </w:r>
            <w:proofErr w:type="spellEnd"/>
          </w:p>
        </w:tc>
      </w:tr>
      <w:tr w:rsidR="00513542" w14:paraId="6795D757" w14:textId="77777777" w:rsidTr="00DF5CA5">
        <w:tc>
          <w:tcPr>
            <w:tcW w:w="988" w:type="dxa"/>
          </w:tcPr>
          <w:p w14:paraId="18961BC0" w14:textId="77777777" w:rsidR="00513542" w:rsidRPr="00BB05AA" w:rsidRDefault="00513542" w:rsidP="00DF5CA5">
            <w:pPr>
              <w:spacing w:line="480" w:lineRule="auto"/>
              <w:rPr>
                <w:sz w:val="24"/>
                <w:szCs w:val="24"/>
              </w:rPr>
            </w:pPr>
            <w:r w:rsidRPr="00BB05AA">
              <w:rPr>
                <w:sz w:val="24"/>
                <w:szCs w:val="24"/>
              </w:rPr>
              <w:lastRenderedPageBreak/>
              <w:t>21</w:t>
            </w:r>
          </w:p>
        </w:tc>
        <w:tc>
          <w:tcPr>
            <w:tcW w:w="8022" w:type="dxa"/>
          </w:tcPr>
          <w:p w14:paraId="51B35377" w14:textId="0C4E4D3B" w:rsidR="00513542" w:rsidRPr="001A68FB" w:rsidRDefault="00513542" w:rsidP="001A68FB">
            <w:pPr>
              <w:pStyle w:val="NormalWeb"/>
              <w:spacing w:line="480" w:lineRule="auto"/>
              <w:rPr>
                <w:sz w:val="24"/>
                <w:szCs w:val="24"/>
              </w:rPr>
            </w:pPr>
            <w:r w:rsidRPr="001A68FB">
              <w:rPr>
                <w:sz w:val="24"/>
                <w:szCs w:val="24"/>
              </w:rPr>
              <w:t xml:space="preserve">I rely on my hunger signals to tell me when to eat / </w:t>
            </w:r>
            <w:r w:rsidR="003F6FE9" w:rsidRPr="001A68FB">
              <w:rPr>
                <w:i/>
                <w:sz w:val="24"/>
                <w:szCs w:val="24"/>
              </w:rPr>
              <w:t xml:space="preserve">Ma </w:t>
            </w:r>
            <w:proofErr w:type="spellStart"/>
            <w:r w:rsidR="003F6FE9" w:rsidRPr="001A68FB">
              <w:rPr>
                <w:i/>
                <w:sz w:val="24"/>
                <w:szCs w:val="24"/>
              </w:rPr>
              <w:t>bazez</w:t>
            </w:r>
            <w:proofErr w:type="spellEnd"/>
            <w:r w:rsidR="003F6FE9" w:rsidRPr="001A68FB">
              <w:rPr>
                <w:i/>
                <w:sz w:val="24"/>
                <w:szCs w:val="24"/>
              </w:rPr>
              <w:t xml:space="preserve"> </w:t>
            </w:r>
            <w:proofErr w:type="spellStart"/>
            <w:r w:rsidR="003F6FE9" w:rsidRPr="001A68FB">
              <w:rPr>
                <w:i/>
                <w:sz w:val="24"/>
                <w:szCs w:val="24"/>
              </w:rPr>
              <w:t>pe</w:t>
            </w:r>
            <w:proofErr w:type="spellEnd"/>
            <w:r w:rsidR="003F6FE9" w:rsidRPr="001A68FB">
              <w:rPr>
                <w:i/>
                <w:sz w:val="24"/>
                <w:szCs w:val="24"/>
              </w:rPr>
              <w:t xml:space="preserve"> </w:t>
            </w:r>
            <w:proofErr w:type="spellStart"/>
            <w:r w:rsidR="003F6FE9" w:rsidRPr="001A68FB">
              <w:rPr>
                <w:i/>
                <w:sz w:val="24"/>
                <w:szCs w:val="24"/>
              </w:rPr>
              <w:t>semnalele</w:t>
            </w:r>
            <w:proofErr w:type="spellEnd"/>
            <w:r w:rsidR="003F6FE9" w:rsidRPr="001A68FB">
              <w:rPr>
                <w:i/>
                <w:sz w:val="24"/>
                <w:szCs w:val="24"/>
              </w:rPr>
              <w:t xml:space="preserve"> </w:t>
            </w:r>
            <w:proofErr w:type="spellStart"/>
            <w:r w:rsidR="003F6FE9" w:rsidRPr="001A68FB">
              <w:rPr>
                <w:i/>
                <w:sz w:val="24"/>
                <w:szCs w:val="24"/>
              </w:rPr>
              <w:t>mele</w:t>
            </w:r>
            <w:proofErr w:type="spellEnd"/>
            <w:r w:rsidR="003F6FE9" w:rsidRPr="001A68FB">
              <w:rPr>
                <w:i/>
                <w:sz w:val="24"/>
                <w:szCs w:val="24"/>
              </w:rPr>
              <w:t xml:space="preserve"> de </w:t>
            </w:r>
            <w:proofErr w:type="spellStart"/>
            <w:r w:rsidR="003F6FE9" w:rsidRPr="001A68FB">
              <w:rPr>
                <w:i/>
                <w:sz w:val="24"/>
                <w:szCs w:val="24"/>
              </w:rPr>
              <w:t>foame</w:t>
            </w:r>
            <w:proofErr w:type="spellEnd"/>
            <w:r w:rsidR="003F6FE9" w:rsidRPr="001A68FB">
              <w:rPr>
                <w:i/>
                <w:sz w:val="24"/>
                <w:szCs w:val="24"/>
              </w:rPr>
              <w:t xml:space="preserve"> </w:t>
            </w:r>
            <w:proofErr w:type="spellStart"/>
            <w:r w:rsidR="003F6FE9" w:rsidRPr="001A68FB">
              <w:rPr>
                <w:i/>
                <w:sz w:val="24"/>
                <w:szCs w:val="24"/>
              </w:rPr>
              <w:t>pentru</w:t>
            </w:r>
            <w:proofErr w:type="spellEnd"/>
            <w:r w:rsidR="003F6FE9" w:rsidRPr="001A68FB">
              <w:rPr>
                <w:i/>
                <w:sz w:val="24"/>
                <w:szCs w:val="24"/>
              </w:rPr>
              <w:t xml:space="preserve"> a-mi </w:t>
            </w:r>
            <w:proofErr w:type="spellStart"/>
            <w:r w:rsidR="003F6FE9" w:rsidRPr="001A68FB">
              <w:rPr>
                <w:i/>
                <w:sz w:val="24"/>
                <w:szCs w:val="24"/>
              </w:rPr>
              <w:t>spune</w:t>
            </w:r>
            <w:proofErr w:type="spellEnd"/>
            <w:r w:rsidR="003F6FE9" w:rsidRPr="001A68FB">
              <w:rPr>
                <w:i/>
                <w:sz w:val="24"/>
                <w:szCs w:val="24"/>
              </w:rPr>
              <w:t xml:space="preserve"> </w:t>
            </w:r>
            <w:proofErr w:type="spellStart"/>
            <w:r w:rsidR="003F6FE9" w:rsidRPr="001A68FB">
              <w:rPr>
                <w:i/>
                <w:sz w:val="24"/>
                <w:szCs w:val="24"/>
              </w:rPr>
              <w:t>cand</w:t>
            </w:r>
            <w:proofErr w:type="spellEnd"/>
            <w:r w:rsidR="003F6FE9" w:rsidRPr="001A68FB">
              <w:rPr>
                <w:i/>
                <w:sz w:val="24"/>
                <w:szCs w:val="24"/>
              </w:rPr>
              <w:t xml:space="preserve"> </w:t>
            </w:r>
            <w:proofErr w:type="spellStart"/>
            <w:r w:rsidR="003F6FE9" w:rsidRPr="001A68FB">
              <w:rPr>
                <w:i/>
                <w:sz w:val="24"/>
                <w:szCs w:val="24"/>
              </w:rPr>
              <w:t>sa</w:t>
            </w:r>
            <w:proofErr w:type="spellEnd"/>
            <w:r w:rsidR="003F6FE9" w:rsidRPr="001A68FB">
              <w:rPr>
                <w:i/>
                <w:sz w:val="24"/>
                <w:szCs w:val="24"/>
              </w:rPr>
              <w:t xml:space="preserve"> </w:t>
            </w:r>
            <w:proofErr w:type="spellStart"/>
            <w:r w:rsidR="003F6FE9" w:rsidRPr="001A68FB">
              <w:rPr>
                <w:i/>
                <w:sz w:val="24"/>
                <w:szCs w:val="24"/>
              </w:rPr>
              <w:t>mananc</w:t>
            </w:r>
            <w:proofErr w:type="spellEnd"/>
          </w:p>
        </w:tc>
      </w:tr>
      <w:tr w:rsidR="00513542" w14:paraId="6C3FCD8C" w14:textId="77777777" w:rsidTr="00DF5CA5">
        <w:tc>
          <w:tcPr>
            <w:tcW w:w="988" w:type="dxa"/>
          </w:tcPr>
          <w:p w14:paraId="7A732002" w14:textId="77777777" w:rsidR="00513542" w:rsidRPr="00BB05AA" w:rsidRDefault="00513542" w:rsidP="00DF5CA5">
            <w:pPr>
              <w:spacing w:line="480" w:lineRule="auto"/>
              <w:rPr>
                <w:sz w:val="24"/>
                <w:szCs w:val="24"/>
              </w:rPr>
            </w:pPr>
            <w:r w:rsidRPr="00BB05AA">
              <w:rPr>
                <w:sz w:val="24"/>
                <w:szCs w:val="24"/>
              </w:rPr>
              <w:t>22</w:t>
            </w:r>
          </w:p>
        </w:tc>
        <w:tc>
          <w:tcPr>
            <w:tcW w:w="8022" w:type="dxa"/>
          </w:tcPr>
          <w:p w14:paraId="2D9FF326" w14:textId="33DEFD18" w:rsidR="00513542" w:rsidRPr="001A68FB" w:rsidRDefault="00513542" w:rsidP="001A68FB">
            <w:pPr>
              <w:pStyle w:val="NormalWeb"/>
              <w:spacing w:line="480" w:lineRule="auto"/>
              <w:rPr>
                <w:sz w:val="24"/>
                <w:szCs w:val="24"/>
              </w:rPr>
            </w:pPr>
            <w:r w:rsidRPr="001A68FB">
              <w:rPr>
                <w:sz w:val="24"/>
                <w:szCs w:val="24"/>
              </w:rPr>
              <w:t xml:space="preserve">I rely on my fullness (satiety) signals to tell me when to stop eating / </w:t>
            </w:r>
            <w:r w:rsidR="003F6FE9" w:rsidRPr="001A68FB">
              <w:rPr>
                <w:i/>
                <w:sz w:val="24"/>
                <w:szCs w:val="24"/>
              </w:rPr>
              <w:t xml:space="preserve">Ma </w:t>
            </w:r>
            <w:proofErr w:type="spellStart"/>
            <w:r w:rsidR="003F6FE9" w:rsidRPr="001A68FB">
              <w:rPr>
                <w:i/>
                <w:sz w:val="24"/>
                <w:szCs w:val="24"/>
              </w:rPr>
              <w:t>bazez</w:t>
            </w:r>
            <w:proofErr w:type="spellEnd"/>
            <w:r w:rsidR="003F6FE9" w:rsidRPr="001A68FB">
              <w:rPr>
                <w:i/>
                <w:sz w:val="24"/>
                <w:szCs w:val="24"/>
              </w:rPr>
              <w:t xml:space="preserve"> </w:t>
            </w:r>
            <w:proofErr w:type="spellStart"/>
            <w:r w:rsidR="003F6FE9" w:rsidRPr="001A68FB">
              <w:rPr>
                <w:i/>
                <w:sz w:val="24"/>
                <w:szCs w:val="24"/>
              </w:rPr>
              <w:t>pe</w:t>
            </w:r>
            <w:proofErr w:type="spellEnd"/>
            <w:r w:rsidR="003F6FE9" w:rsidRPr="001A68FB">
              <w:rPr>
                <w:i/>
                <w:sz w:val="24"/>
                <w:szCs w:val="24"/>
              </w:rPr>
              <w:t xml:space="preserve"> </w:t>
            </w:r>
            <w:proofErr w:type="spellStart"/>
            <w:r w:rsidR="003F6FE9" w:rsidRPr="001A68FB">
              <w:rPr>
                <w:i/>
                <w:sz w:val="24"/>
                <w:szCs w:val="24"/>
              </w:rPr>
              <w:t>semnalele</w:t>
            </w:r>
            <w:proofErr w:type="spellEnd"/>
            <w:r w:rsidR="003F6FE9" w:rsidRPr="001A68FB">
              <w:rPr>
                <w:i/>
                <w:sz w:val="24"/>
                <w:szCs w:val="24"/>
              </w:rPr>
              <w:t xml:space="preserve"> </w:t>
            </w:r>
            <w:proofErr w:type="spellStart"/>
            <w:r w:rsidR="003F6FE9" w:rsidRPr="001A68FB">
              <w:rPr>
                <w:i/>
                <w:sz w:val="24"/>
                <w:szCs w:val="24"/>
              </w:rPr>
              <w:t>mele</w:t>
            </w:r>
            <w:proofErr w:type="spellEnd"/>
            <w:r w:rsidR="003F6FE9" w:rsidRPr="001A68FB">
              <w:rPr>
                <w:i/>
                <w:sz w:val="24"/>
                <w:szCs w:val="24"/>
              </w:rPr>
              <w:t xml:space="preserve"> de </w:t>
            </w:r>
            <w:proofErr w:type="spellStart"/>
            <w:r w:rsidR="003F6FE9" w:rsidRPr="001A68FB">
              <w:rPr>
                <w:i/>
                <w:sz w:val="24"/>
                <w:szCs w:val="24"/>
              </w:rPr>
              <w:t>satietatea</w:t>
            </w:r>
            <w:proofErr w:type="spellEnd"/>
            <w:r w:rsidR="003F6FE9" w:rsidRPr="001A68FB">
              <w:rPr>
                <w:i/>
                <w:sz w:val="24"/>
                <w:szCs w:val="24"/>
              </w:rPr>
              <w:t xml:space="preserve"> </w:t>
            </w:r>
            <w:proofErr w:type="spellStart"/>
            <w:r w:rsidR="003F6FE9" w:rsidRPr="001A68FB">
              <w:rPr>
                <w:i/>
                <w:sz w:val="24"/>
                <w:szCs w:val="24"/>
              </w:rPr>
              <w:t>pentru</w:t>
            </w:r>
            <w:proofErr w:type="spellEnd"/>
            <w:r w:rsidR="003F6FE9" w:rsidRPr="001A68FB">
              <w:rPr>
                <w:i/>
                <w:sz w:val="24"/>
                <w:szCs w:val="24"/>
              </w:rPr>
              <w:t xml:space="preserve"> a-mi </w:t>
            </w:r>
            <w:proofErr w:type="spellStart"/>
            <w:r w:rsidR="003F6FE9" w:rsidRPr="001A68FB">
              <w:rPr>
                <w:i/>
                <w:sz w:val="24"/>
                <w:szCs w:val="24"/>
              </w:rPr>
              <w:t>spune</w:t>
            </w:r>
            <w:proofErr w:type="spellEnd"/>
            <w:r w:rsidR="003F6FE9" w:rsidRPr="001A68FB">
              <w:rPr>
                <w:i/>
                <w:sz w:val="24"/>
                <w:szCs w:val="24"/>
              </w:rPr>
              <w:t xml:space="preserve"> </w:t>
            </w:r>
            <w:proofErr w:type="spellStart"/>
            <w:r w:rsidR="003F6FE9" w:rsidRPr="001A68FB">
              <w:rPr>
                <w:i/>
                <w:sz w:val="24"/>
                <w:szCs w:val="24"/>
              </w:rPr>
              <w:t>cand</w:t>
            </w:r>
            <w:proofErr w:type="spellEnd"/>
            <w:r w:rsidR="003F6FE9" w:rsidRPr="001A68FB">
              <w:rPr>
                <w:i/>
                <w:sz w:val="24"/>
                <w:szCs w:val="24"/>
              </w:rPr>
              <w:t xml:space="preserve"> </w:t>
            </w:r>
            <w:proofErr w:type="spellStart"/>
            <w:r w:rsidR="003F6FE9" w:rsidRPr="001A68FB">
              <w:rPr>
                <w:i/>
                <w:sz w:val="24"/>
                <w:szCs w:val="24"/>
              </w:rPr>
              <w:t>sa</w:t>
            </w:r>
            <w:proofErr w:type="spellEnd"/>
            <w:r w:rsidR="003F6FE9" w:rsidRPr="001A68FB">
              <w:rPr>
                <w:i/>
                <w:sz w:val="24"/>
                <w:szCs w:val="24"/>
              </w:rPr>
              <w:t xml:space="preserve"> ma </w:t>
            </w:r>
            <w:proofErr w:type="spellStart"/>
            <w:r w:rsidR="003F6FE9" w:rsidRPr="001A68FB">
              <w:rPr>
                <w:i/>
                <w:sz w:val="24"/>
                <w:szCs w:val="24"/>
              </w:rPr>
              <w:t>opresc</w:t>
            </w:r>
            <w:proofErr w:type="spellEnd"/>
            <w:r w:rsidR="003F6FE9" w:rsidRPr="001A68FB">
              <w:rPr>
                <w:i/>
                <w:sz w:val="24"/>
                <w:szCs w:val="24"/>
              </w:rPr>
              <w:t xml:space="preserve"> din </w:t>
            </w:r>
            <w:proofErr w:type="spellStart"/>
            <w:r w:rsidR="003F6FE9" w:rsidRPr="001A68FB">
              <w:rPr>
                <w:i/>
                <w:sz w:val="24"/>
                <w:szCs w:val="24"/>
              </w:rPr>
              <w:t>mancat</w:t>
            </w:r>
            <w:proofErr w:type="spellEnd"/>
          </w:p>
        </w:tc>
      </w:tr>
      <w:tr w:rsidR="00513542" w14:paraId="49BCB2C7" w14:textId="77777777" w:rsidTr="00DF5CA5">
        <w:tc>
          <w:tcPr>
            <w:tcW w:w="988" w:type="dxa"/>
            <w:tcBorders>
              <w:bottom w:val="single" w:sz="4" w:space="0" w:color="auto"/>
            </w:tcBorders>
          </w:tcPr>
          <w:p w14:paraId="66BD5E68" w14:textId="77777777" w:rsidR="00513542" w:rsidRPr="00BB05AA" w:rsidRDefault="00513542" w:rsidP="00DF5CA5">
            <w:pPr>
              <w:spacing w:line="480" w:lineRule="auto"/>
              <w:rPr>
                <w:sz w:val="24"/>
                <w:szCs w:val="24"/>
              </w:rPr>
            </w:pPr>
            <w:r w:rsidRPr="00BB05AA">
              <w:rPr>
                <w:sz w:val="24"/>
                <w:szCs w:val="24"/>
              </w:rPr>
              <w:t>23</w:t>
            </w:r>
          </w:p>
        </w:tc>
        <w:tc>
          <w:tcPr>
            <w:tcW w:w="8022" w:type="dxa"/>
            <w:tcBorders>
              <w:bottom w:val="single" w:sz="4" w:space="0" w:color="auto"/>
            </w:tcBorders>
          </w:tcPr>
          <w:p w14:paraId="09DBA103" w14:textId="55EE991D" w:rsidR="00513542" w:rsidRPr="001A68FB" w:rsidRDefault="00513542" w:rsidP="001A68FB">
            <w:pPr>
              <w:pStyle w:val="NormalWeb"/>
              <w:spacing w:line="480" w:lineRule="auto"/>
              <w:rPr>
                <w:sz w:val="24"/>
                <w:szCs w:val="24"/>
              </w:rPr>
            </w:pPr>
            <w:r w:rsidRPr="001A68FB">
              <w:rPr>
                <w:sz w:val="24"/>
                <w:szCs w:val="24"/>
              </w:rPr>
              <w:t xml:space="preserve">I trust my body to tell me when to stop eating / </w:t>
            </w:r>
            <w:r w:rsidR="003F6FE9" w:rsidRPr="001A68FB">
              <w:rPr>
                <w:i/>
                <w:sz w:val="24"/>
                <w:szCs w:val="24"/>
              </w:rPr>
              <w:t xml:space="preserve">Am </w:t>
            </w:r>
            <w:proofErr w:type="spellStart"/>
            <w:r w:rsidR="003F6FE9" w:rsidRPr="001A68FB">
              <w:rPr>
                <w:i/>
                <w:sz w:val="24"/>
                <w:szCs w:val="24"/>
              </w:rPr>
              <w:t>incredere</w:t>
            </w:r>
            <w:proofErr w:type="spellEnd"/>
            <w:r w:rsidR="003F6FE9" w:rsidRPr="001A68FB">
              <w:rPr>
                <w:i/>
                <w:sz w:val="24"/>
                <w:szCs w:val="24"/>
              </w:rPr>
              <w:t xml:space="preserve"> in </w:t>
            </w:r>
            <w:proofErr w:type="spellStart"/>
            <w:r w:rsidR="003F6FE9" w:rsidRPr="001A68FB">
              <w:rPr>
                <w:i/>
                <w:sz w:val="24"/>
                <w:szCs w:val="24"/>
              </w:rPr>
              <w:t>corpul</w:t>
            </w:r>
            <w:proofErr w:type="spellEnd"/>
            <w:r w:rsidR="003F6FE9" w:rsidRPr="001A68FB">
              <w:rPr>
                <w:i/>
                <w:sz w:val="24"/>
                <w:szCs w:val="24"/>
              </w:rPr>
              <w:t xml:space="preserve"> meu </w:t>
            </w:r>
            <w:proofErr w:type="spellStart"/>
            <w:r w:rsidR="003F6FE9" w:rsidRPr="001A68FB">
              <w:rPr>
                <w:i/>
                <w:sz w:val="24"/>
                <w:szCs w:val="24"/>
              </w:rPr>
              <w:t>pentru</w:t>
            </w:r>
            <w:proofErr w:type="spellEnd"/>
            <w:r w:rsidR="003F6FE9" w:rsidRPr="001A68FB">
              <w:rPr>
                <w:i/>
                <w:sz w:val="24"/>
                <w:szCs w:val="24"/>
              </w:rPr>
              <w:t xml:space="preserve"> a-mi </w:t>
            </w:r>
            <w:proofErr w:type="spellStart"/>
            <w:r w:rsidR="003F6FE9" w:rsidRPr="001A68FB">
              <w:rPr>
                <w:i/>
                <w:sz w:val="24"/>
                <w:szCs w:val="24"/>
              </w:rPr>
              <w:t>spune</w:t>
            </w:r>
            <w:proofErr w:type="spellEnd"/>
            <w:r w:rsidR="003F6FE9" w:rsidRPr="001A68FB">
              <w:rPr>
                <w:i/>
                <w:sz w:val="24"/>
                <w:szCs w:val="24"/>
              </w:rPr>
              <w:t xml:space="preserve"> </w:t>
            </w:r>
            <w:proofErr w:type="spellStart"/>
            <w:r w:rsidR="003F6FE9" w:rsidRPr="001A68FB">
              <w:rPr>
                <w:i/>
                <w:sz w:val="24"/>
                <w:szCs w:val="24"/>
              </w:rPr>
              <w:t>cand</w:t>
            </w:r>
            <w:proofErr w:type="spellEnd"/>
            <w:r w:rsidR="003F6FE9" w:rsidRPr="001A68FB">
              <w:rPr>
                <w:i/>
                <w:sz w:val="24"/>
                <w:szCs w:val="24"/>
              </w:rPr>
              <w:t xml:space="preserve"> </w:t>
            </w:r>
            <w:proofErr w:type="spellStart"/>
            <w:r w:rsidR="003F6FE9" w:rsidRPr="001A68FB">
              <w:rPr>
                <w:i/>
                <w:sz w:val="24"/>
                <w:szCs w:val="24"/>
              </w:rPr>
              <w:t>sa</w:t>
            </w:r>
            <w:proofErr w:type="spellEnd"/>
            <w:r w:rsidR="003F6FE9" w:rsidRPr="001A68FB">
              <w:rPr>
                <w:i/>
                <w:sz w:val="24"/>
                <w:szCs w:val="24"/>
              </w:rPr>
              <w:t xml:space="preserve"> ma </w:t>
            </w:r>
            <w:proofErr w:type="spellStart"/>
            <w:r w:rsidR="003F6FE9" w:rsidRPr="001A68FB">
              <w:rPr>
                <w:i/>
                <w:sz w:val="24"/>
                <w:szCs w:val="24"/>
              </w:rPr>
              <w:t>opresc</w:t>
            </w:r>
            <w:proofErr w:type="spellEnd"/>
            <w:r w:rsidR="003F6FE9" w:rsidRPr="001A68FB">
              <w:rPr>
                <w:i/>
                <w:sz w:val="24"/>
                <w:szCs w:val="24"/>
              </w:rPr>
              <w:t xml:space="preserve"> din </w:t>
            </w:r>
            <w:proofErr w:type="spellStart"/>
            <w:r w:rsidR="003F6FE9" w:rsidRPr="001A68FB">
              <w:rPr>
                <w:i/>
                <w:sz w:val="24"/>
                <w:szCs w:val="24"/>
              </w:rPr>
              <w:t>mancat</w:t>
            </w:r>
            <w:proofErr w:type="spellEnd"/>
          </w:p>
        </w:tc>
      </w:tr>
    </w:tbl>
    <w:p w14:paraId="7A8352A4" w14:textId="6637BFE9" w:rsidR="00C9770B" w:rsidRPr="00513542" w:rsidRDefault="00C9770B" w:rsidP="00513542">
      <w:pPr>
        <w:spacing w:line="480" w:lineRule="auto"/>
        <w:rPr>
          <w:color w:val="000000" w:themeColor="text1"/>
          <w:shd w:val="clear" w:color="auto" w:fill="FFFFFF"/>
        </w:rPr>
      </w:pPr>
      <w:bookmarkStart w:id="0" w:name="_GoBack"/>
      <w:bookmarkEnd w:id="0"/>
    </w:p>
    <w:sectPr w:rsidR="00C9770B" w:rsidRPr="00513542" w:rsidSect="00C9770B">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31415" w14:textId="77777777" w:rsidR="00CF25D9" w:rsidRDefault="00CF25D9" w:rsidP="00C9770B">
      <w:r>
        <w:separator/>
      </w:r>
    </w:p>
  </w:endnote>
  <w:endnote w:type="continuationSeparator" w:id="0">
    <w:p w14:paraId="28294772" w14:textId="77777777" w:rsidR="00CF25D9" w:rsidRDefault="00CF25D9" w:rsidP="00C97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iragino Kaku Gothic StdN W8">
    <w:charset w:val="80"/>
    <w:family w:val="swiss"/>
    <w:pitch w:val="variable"/>
    <w:sig w:usb0="800002CF" w:usb1="6AC7FCFC"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1B976" w14:textId="77777777" w:rsidR="00CF25D9" w:rsidRDefault="00CF25D9" w:rsidP="00C9770B">
      <w:r>
        <w:separator/>
      </w:r>
    </w:p>
  </w:footnote>
  <w:footnote w:type="continuationSeparator" w:id="0">
    <w:p w14:paraId="60C51D03" w14:textId="77777777" w:rsidR="00CF25D9" w:rsidRDefault="00CF25D9" w:rsidP="00C97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67821083"/>
      <w:docPartObj>
        <w:docPartGallery w:val="Page Numbers (Top of Page)"/>
        <w:docPartUnique/>
      </w:docPartObj>
    </w:sdtPr>
    <w:sdtEndPr>
      <w:rPr>
        <w:rStyle w:val="PageNumber"/>
      </w:rPr>
    </w:sdtEndPr>
    <w:sdtContent>
      <w:p w14:paraId="33EB07AE" w14:textId="77777777" w:rsidR="004E6339" w:rsidRDefault="004E6339" w:rsidP="00630DC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927378" w14:textId="77777777" w:rsidR="004E6339" w:rsidRDefault="004E6339" w:rsidP="00C9770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15825122"/>
      <w:docPartObj>
        <w:docPartGallery w:val="Page Numbers (Top of Page)"/>
        <w:docPartUnique/>
      </w:docPartObj>
    </w:sdtPr>
    <w:sdtEndPr>
      <w:rPr>
        <w:rStyle w:val="PageNumber"/>
      </w:rPr>
    </w:sdtEndPr>
    <w:sdtContent>
      <w:p w14:paraId="1399BB77" w14:textId="49224379" w:rsidR="004E6339" w:rsidRDefault="004E6339" w:rsidP="00630DC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D14E9">
          <w:rPr>
            <w:rStyle w:val="PageNumber"/>
            <w:noProof/>
          </w:rPr>
          <w:t>21</w:t>
        </w:r>
        <w:r>
          <w:rPr>
            <w:rStyle w:val="PageNumber"/>
          </w:rPr>
          <w:fldChar w:fldCharType="end"/>
        </w:r>
      </w:p>
    </w:sdtContent>
  </w:sdt>
  <w:p w14:paraId="0BB972C4" w14:textId="77777777" w:rsidR="004E6339" w:rsidRDefault="004E6339" w:rsidP="00C9770B">
    <w:pPr>
      <w:pStyle w:val="Header"/>
      <w:ind w:right="360"/>
    </w:pPr>
    <w:r>
      <w:t>Intuitive Eating Scale-2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C2639"/>
    <w:multiLevelType w:val="multilevel"/>
    <w:tmpl w:val="2FFC3F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213D87"/>
    <w:multiLevelType w:val="multilevel"/>
    <w:tmpl w:val="6B6A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DE178E"/>
    <w:multiLevelType w:val="multilevel"/>
    <w:tmpl w:val="9F02A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D17C13"/>
    <w:multiLevelType w:val="multilevel"/>
    <w:tmpl w:val="589A8F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AF041EC"/>
    <w:multiLevelType w:val="multilevel"/>
    <w:tmpl w:val="9F7A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D633CF"/>
    <w:multiLevelType w:val="multilevel"/>
    <w:tmpl w:val="AC884E8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01E"/>
    <w:rsid w:val="00013482"/>
    <w:rsid w:val="00014760"/>
    <w:rsid w:val="000266F4"/>
    <w:rsid w:val="00045D56"/>
    <w:rsid w:val="00047149"/>
    <w:rsid w:val="0005276D"/>
    <w:rsid w:val="000568A7"/>
    <w:rsid w:val="000625C6"/>
    <w:rsid w:val="00071F5C"/>
    <w:rsid w:val="00075271"/>
    <w:rsid w:val="000B2876"/>
    <w:rsid w:val="000C4943"/>
    <w:rsid w:val="000D67D2"/>
    <w:rsid w:val="000F2EB4"/>
    <w:rsid w:val="00104F70"/>
    <w:rsid w:val="00106312"/>
    <w:rsid w:val="001416B0"/>
    <w:rsid w:val="0016399B"/>
    <w:rsid w:val="0019310A"/>
    <w:rsid w:val="001A541B"/>
    <w:rsid w:val="001A68FB"/>
    <w:rsid w:val="001D120D"/>
    <w:rsid w:val="001D39A4"/>
    <w:rsid w:val="001E3575"/>
    <w:rsid w:val="00224BA5"/>
    <w:rsid w:val="00237843"/>
    <w:rsid w:val="00243C9D"/>
    <w:rsid w:val="0026039E"/>
    <w:rsid w:val="00290330"/>
    <w:rsid w:val="00296AEB"/>
    <w:rsid w:val="002B1642"/>
    <w:rsid w:val="00307593"/>
    <w:rsid w:val="00320D1D"/>
    <w:rsid w:val="003238D1"/>
    <w:rsid w:val="0032696B"/>
    <w:rsid w:val="00342C77"/>
    <w:rsid w:val="003445BD"/>
    <w:rsid w:val="00357A34"/>
    <w:rsid w:val="00366FEC"/>
    <w:rsid w:val="0036723A"/>
    <w:rsid w:val="00392018"/>
    <w:rsid w:val="003C2566"/>
    <w:rsid w:val="003D14E9"/>
    <w:rsid w:val="003F340B"/>
    <w:rsid w:val="003F3B1B"/>
    <w:rsid w:val="003F6FE9"/>
    <w:rsid w:val="004046FF"/>
    <w:rsid w:val="00404D0D"/>
    <w:rsid w:val="00412DED"/>
    <w:rsid w:val="004249B4"/>
    <w:rsid w:val="00432872"/>
    <w:rsid w:val="004418D3"/>
    <w:rsid w:val="004456BF"/>
    <w:rsid w:val="00447639"/>
    <w:rsid w:val="00454C22"/>
    <w:rsid w:val="00471892"/>
    <w:rsid w:val="004833B8"/>
    <w:rsid w:val="004A2A1D"/>
    <w:rsid w:val="004B1EAC"/>
    <w:rsid w:val="004D0539"/>
    <w:rsid w:val="004E6339"/>
    <w:rsid w:val="0050720C"/>
    <w:rsid w:val="00513542"/>
    <w:rsid w:val="00514E23"/>
    <w:rsid w:val="00516ED3"/>
    <w:rsid w:val="0052220A"/>
    <w:rsid w:val="00530991"/>
    <w:rsid w:val="00556275"/>
    <w:rsid w:val="0056701E"/>
    <w:rsid w:val="00584A9A"/>
    <w:rsid w:val="00593A41"/>
    <w:rsid w:val="005A073F"/>
    <w:rsid w:val="005A494D"/>
    <w:rsid w:val="005C15D1"/>
    <w:rsid w:val="005D38DB"/>
    <w:rsid w:val="005E284E"/>
    <w:rsid w:val="00604B7A"/>
    <w:rsid w:val="0061248F"/>
    <w:rsid w:val="00620757"/>
    <w:rsid w:val="0062287C"/>
    <w:rsid w:val="00624C37"/>
    <w:rsid w:val="00627707"/>
    <w:rsid w:val="00630DC4"/>
    <w:rsid w:val="00643A53"/>
    <w:rsid w:val="006514F7"/>
    <w:rsid w:val="006614F3"/>
    <w:rsid w:val="00662054"/>
    <w:rsid w:val="00662DE6"/>
    <w:rsid w:val="006970A1"/>
    <w:rsid w:val="006F31EB"/>
    <w:rsid w:val="00713882"/>
    <w:rsid w:val="00734B6E"/>
    <w:rsid w:val="007623FA"/>
    <w:rsid w:val="007845D6"/>
    <w:rsid w:val="007B3101"/>
    <w:rsid w:val="007B53B3"/>
    <w:rsid w:val="007E57E0"/>
    <w:rsid w:val="007F599A"/>
    <w:rsid w:val="00807DDB"/>
    <w:rsid w:val="00811668"/>
    <w:rsid w:val="008410E4"/>
    <w:rsid w:val="008414A6"/>
    <w:rsid w:val="00843358"/>
    <w:rsid w:val="0085240F"/>
    <w:rsid w:val="00854F4B"/>
    <w:rsid w:val="00867AA9"/>
    <w:rsid w:val="00873A96"/>
    <w:rsid w:val="008E155C"/>
    <w:rsid w:val="008E3DAA"/>
    <w:rsid w:val="008E4D23"/>
    <w:rsid w:val="00917957"/>
    <w:rsid w:val="00931E83"/>
    <w:rsid w:val="00935B7A"/>
    <w:rsid w:val="00945CD0"/>
    <w:rsid w:val="009942AD"/>
    <w:rsid w:val="009A1571"/>
    <w:rsid w:val="009B427C"/>
    <w:rsid w:val="009C4512"/>
    <w:rsid w:val="009C6906"/>
    <w:rsid w:val="009D3EA4"/>
    <w:rsid w:val="009F348F"/>
    <w:rsid w:val="009F4237"/>
    <w:rsid w:val="00A3606E"/>
    <w:rsid w:val="00A371F2"/>
    <w:rsid w:val="00A61C55"/>
    <w:rsid w:val="00A82DA8"/>
    <w:rsid w:val="00A91D4E"/>
    <w:rsid w:val="00A91E77"/>
    <w:rsid w:val="00A935D0"/>
    <w:rsid w:val="00AA4B35"/>
    <w:rsid w:val="00AB121D"/>
    <w:rsid w:val="00AB25E9"/>
    <w:rsid w:val="00AD64B5"/>
    <w:rsid w:val="00AE1723"/>
    <w:rsid w:val="00B27089"/>
    <w:rsid w:val="00B33F52"/>
    <w:rsid w:val="00B36822"/>
    <w:rsid w:val="00B4277B"/>
    <w:rsid w:val="00B52B8E"/>
    <w:rsid w:val="00B84168"/>
    <w:rsid w:val="00BA0737"/>
    <w:rsid w:val="00BA7C54"/>
    <w:rsid w:val="00BC1B06"/>
    <w:rsid w:val="00BC7A89"/>
    <w:rsid w:val="00BE6633"/>
    <w:rsid w:val="00BF090E"/>
    <w:rsid w:val="00BF2AC6"/>
    <w:rsid w:val="00C06961"/>
    <w:rsid w:val="00C6029B"/>
    <w:rsid w:val="00C72283"/>
    <w:rsid w:val="00C73495"/>
    <w:rsid w:val="00C82BD5"/>
    <w:rsid w:val="00C9770B"/>
    <w:rsid w:val="00CA5C9F"/>
    <w:rsid w:val="00CB24BB"/>
    <w:rsid w:val="00CF25D9"/>
    <w:rsid w:val="00D007B4"/>
    <w:rsid w:val="00D1036A"/>
    <w:rsid w:val="00D1660A"/>
    <w:rsid w:val="00D16667"/>
    <w:rsid w:val="00D52EF2"/>
    <w:rsid w:val="00D73B14"/>
    <w:rsid w:val="00DA0079"/>
    <w:rsid w:val="00DB69A9"/>
    <w:rsid w:val="00DD181C"/>
    <w:rsid w:val="00DD489E"/>
    <w:rsid w:val="00DF5CA5"/>
    <w:rsid w:val="00E14B7E"/>
    <w:rsid w:val="00E25662"/>
    <w:rsid w:val="00E34597"/>
    <w:rsid w:val="00E5247E"/>
    <w:rsid w:val="00E7202C"/>
    <w:rsid w:val="00E820F8"/>
    <w:rsid w:val="00E96FC8"/>
    <w:rsid w:val="00EB1ED2"/>
    <w:rsid w:val="00ED11DA"/>
    <w:rsid w:val="00EE0806"/>
    <w:rsid w:val="00EF0022"/>
    <w:rsid w:val="00EF6F24"/>
    <w:rsid w:val="00F003AC"/>
    <w:rsid w:val="00F052BF"/>
    <w:rsid w:val="00F1440D"/>
    <w:rsid w:val="00F16D2C"/>
    <w:rsid w:val="00F35C3B"/>
    <w:rsid w:val="00F5682B"/>
    <w:rsid w:val="00F61119"/>
    <w:rsid w:val="00F74EFE"/>
    <w:rsid w:val="00FA68AB"/>
    <w:rsid w:val="00FC7085"/>
    <w:rsid w:val="00FD436A"/>
    <w:rsid w:val="00FF1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1561D"/>
  <w14:defaultImageDpi w14:val="32767"/>
  <w15:chartTrackingRefBased/>
  <w15:docId w15:val="{79CB7144-3E05-A64F-B212-69D12966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20D"/>
    <w:rPr>
      <w:rFonts w:ascii="Times New Roman" w:eastAsia="Times New Roman" w:hAnsi="Times New Roman" w:cs="Times New Roman"/>
    </w:rPr>
  </w:style>
  <w:style w:type="paragraph" w:styleId="Heading1">
    <w:name w:val="heading 1"/>
    <w:basedOn w:val="Normal"/>
    <w:link w:val="Heading1Char"/>
    <w:uiPriority w:val="9"/>
    <w:qFormat/>
    <w:rsid w:val="003D14E9"/>
    <w:pPr>
      <w:spacing w:before="100" w:beforeAutospacing="1" w:after="100" w:afterAutospacing="1"/>
      <w:outlineLvl w:val="0"/>
    </w:pPr>
    <w:rPr>
      <w:b/>
      <w:bCs/>
      <w:kern w:val="36"/>
      <w:szCs w:val="48"/>
    </w:rPr>
  </w:style>
  <w:style w:type="paragraph" w:styleId="Heading2">
    <w:name w:val="heading 2"/>
    <w:basedOn w:val="Normal"/>
    <w:link w:val="Heading2Char"/>
    <w:uiPriority w:val="9"/>
    <w:qFormat/>
    <w:rsid w:val="003D14E9"/>
    <w:pPr>
      <w:spacing w:before="100" w:beforeAutospacing="1" w:after="100" w:afterAutospacing="1"/>
      <w:outlineLvl w:val="1"/>
    </w:pPr>
    <w:rPr>
      <w:b/>
      <w:bCs/>
      <w:szCs w:val="36"/>
    </w:rPr>
  </w:style>
  <w:style w:type="paragraph" w:styleId="Heading3">
    <w:name w:val="heading 3"/>
    <w:basedOn w:val="Normal"/>
    <w:next w:val="Normal"/>
    <w:link w:val="Heading3Char"/>
    <w:uiPriority w:val="9"/>
    <w:unhideWhenUsed/>
    <w:qFormat/>
    <w:rsid w:val="003D14E9"/>
    <w:pPr>
      <w:keepNext/>
      <w:keepLines/>
      <w:spacing w:before="40"/>
      <w:outlineLvl w:val="2"/>
    </w:pPr>
    <w:rPr>
      <w:rFonts w:eastAsiaTheme="majorEastAsia" w:cstheme="majorBidi"/>
      <w:b/>
    </w:rPr>
  </w:style>
  <w:style w:type="paragraph" w:styleId="Heading4">
    <w:name w:val="heading 4"/>
    <w:basedOn w:val="Normal"/>
    <w:next w:val="Normal"/>
    <w:link w:val="Heading4Char"/>
    <w:uiPriority w:val="9"/>
    <w:semiHidden/>
    <w:unhideWhenUsed/>
    <w:qFormat/>
    <w:rsid w:val="0036723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70B"/>
    <w:rPr>
      <w:color w:val="0563C1" w:themeColor="hyperlink"/>
      <w:u w:val="single"/>
    </w:rPr>
  </w:style>
  <w:style w:type="character" w:customStyle="1" w:styleId="UnresolvedMention">
    <w:name w:val="Unresolved Mention"/>
    <w:basedOn w:val="DefaultParagraphFont"/>
    <w:uiPriority w:val="99"/>
    <w:rsid w:val="00C9770B"/>
    <w:rPr>
      <w:color w:val="605E5C"/>
      <w:shd w:val="clear" w:color="auto" w:fill="E1DFDD"/>
    </w:rPr>
  </w:style>
  <w:style w:type="paragraph" w:styleId="Header">
    <w:name w:val="header"/>
    <w:basedOn w:val="Normal"/>
    <w:link w:val="HeaderChar"/>
    <w:unhideWhenUsed/>
    <w:rsid w:val="00C9770B"/>
    <w:pPr>
      <w:tabs>
        <w:tab w:val="center" w:pos="4513"/>
        <w:tab w:val="right" w:pos="9026"/>
      </w:tabs>
    </w:pPr>
  </w:style>
  <w:style w:type="character" w:customStyle="1" w:styleId="HeaderChar">
    <w:name w:val="Header Char"/>
    <w:basedOn w:val="DefaultParagraphFont"/>
    <w:link w:val="Header"/>
    <w:uiPriority w:val="99"/>
    <w:rsid w:val="00C9770B"/>
    <w:rPr>
      <w:rFonts w:ascii="Times New Roman" w:eastAsia="Times New Roman" w:hAnsi="Times New Roman" w:cs="Times New Roman"/>
    </w:rPr>
  </w:style>
  <w:style w:type="character" w:styleId="PageNumber">
    <w:name w:val="page number"/>
    <w:basedOn w:val="DefaultParagraphFont"/>
    <w:uiPriority w:val="99"/>
    <w:semiHidden/>
    <w:unhideWhenUsed/>
    <w:rsid w:val="00C9770B"/>
  </w:style>
  <w:style w:type="paragraph" w:styleId="Footer">
    <w:name w:val="footer"/>
    <w:basedOn w:val="Normal"/>
    <w:link w:val="FooterChar"/>
    <w:uiPriority w:val="99"/>
    <w:unhideWhenUsed/>
    <w:rsid w:val="00C9770B"/>
    <w:pPr>
      <w:tabs>
        <w:tab w:val="center" w:pos="4513"/>
        <w:tab w:val="right" w:pos="9026"/>
      </w:tabs>
    </w:pPr>
  </w:style>
  <w:style w:type="character" w:customStyle="1" w:styleId="FooterChar">
    <w:name w:val="Footer Char"/>
    <w:basedOn w:val="DefaultParagraphFont"/>
    <w:link w:val="Footer"/>
    <w:uiPriority w:val="99"/>
    <w:rsid w:val="00C9770B"/>
    <w:rPr>
      <w:rFonts w:ascii="Times New Roman" w:eastAsia="Times New Roman" w:hAnsi="Times New Roman" w:cs="Times New Roman"/>
    </w:rPr>
  </w:style>
  <w:style w:type="paragraph" w:styleId="ListParagraph">
    <w:name w:val="List Paragraph"/>
    <w:basedOn w:val="Normal"/>
    <w:uiPriority w:val="34"/>
    <w:qFormat/>
    <w:rsid w:val="00C9770B"/>
    <w:pPr>
      <w:ind w:left="720"/>
      <w:contextualSpacing/>
    </w:pPr>
  </w:style>
  <w:style w:type="character" w:customStyle="1" w:styleId="text">
    <w:name w:val="text"/>
    <w:basedOn w:val="DefaultParagraphFont"/>
    <w:rsid w:val="00C9770B"/>
  </w:style>
  <w:style w:type="character" w:customStyle="1" w:styleId="apple-converted-space">
    <w:name w:val="apple-converted-space"/>
    <w:basedOn w:val="DefaultParagraphFont"/>
    <w:rsid w:val="00C9770B"/>
  </w:style>
  <w:style w:type="character" w:customStyle="1" w:styleId="author-ref">
    <w:name w:val="author-ref"/>
    <w:basedOn w:val="DefaultParagraphFont"/>
    <w:rsid w:val="00AA4B35"/>
  </w:style>
  <w:style w:type="paragraph" w:customStyle="1" w:styleId="EndNoteBibliography">
    <w:name w:val="EndNote Bibliography"/>
    <w:basedOn w:val="Normal"/>
    <w:link w:val="EndNoteBibliographyChar"/>
    <w:rsid w:val="00AA4B35"/>
    <w:rPr>
      <w:rFonts w:ascii="Calibri" w:hAnsi="Calibri" w:cs="Calibri"/>
      <w:noProof/>
      <w:lang w:val="en-US"/>
    </w:rPr>
  </w:style>
  <w:style w:type="character" w:customStyle="1" w:styleId="EndNoteBibliographyChar">
    <w:name w:val="EndNote Bibliography Char"/>
    <w:basedOn w:val="DefaultParagraphFont"/>
    <w:link w:val="EndNoteBibliography"/>
    <w:rsid w:val="00AA4B35"/>
    <w:rPr>
      <w:rFonts w:ascii="Calibri" w:eastAsia="Times New Roman" w:hAnsi="Calibri" w:cs="Calibri"/>
      <w:noProof/>
      <w:lang w:val="en-US"/>
    </w:rPr>
  </w:style>
  <w:style w:type="character" w:customStyle="1" w:styleId="vol">
    <w:name w:val="vol"/>
    <w:basedOn w:val="DefaultParagraphFont"/>
    <w:rsid w:val="00AA4B35"/>
  </w:style>
  <w:style w:type="character" w:customStyle="1" w:styleId="Heading1Char">
    <w:name w:val="Heading 1 Char"/>
    <w:basedOn w:val="DefaultParagraphFont"/>
    <w:link w:val="Heading1"/>
    <w:uiPriority w:val="9"/>
    <w:rsid w:val="003D14E9"/>
    <w:rPr>
      <w:rFonts w:ascii="Times New Roman" w:eastAsia="Times New Roman" w:hAnsi="Times New Roman" w:cs="Times New Roman"/>
      <w:b/>
      <w:bCs/>
      <w:kern w:val="36"/>
      <w:szCs w:val="48"/>
    </w:rPr>
  </w:style>
  <w:style w:type="character" w:customStyle="1" w:styleId="Heading2Char">
    <w:name w:val="Heading 2 Char"/>
    <w:basedOn w:val="DefaultParagraphFont"/>
    <w:link w:val="Heading2"/>
    <w:uiPriority w:val="9"/>
    <w:rsid w:val="003D14E9"/>
    <w:rPr>
      <w:rFonts w:ascii="Times New Roman" w:eastAsia="Times New Roman" w:hAnsi="Times New Roman" w:cs="Times New Roman"/>
      <w:b/>
      <w:bCs/>
      <w:szCs w:val="36"/>
    </w:rPr>
  </w:style>
  <w:style w:type="character" w:customStyle="1" w:styleId="title-text">
    <w:name w:val="title-text"/>
    <w:basedOn w:val="DefaultParagraphFont"/>
    <w:rsid w:val="00EB1ED2"/>
  </w:style>
  <w:style w:type="character" w:customStyle="1" w:styleId="sr-only">
    <w:name w:val="sr-only"/>
    <w:basedOn w:val="DefaultParagraphFont"/>
    <w:rsid w:val="00EB1ED2"/>
  </w:style>
  <w:style w:type="paragraph" w:customStyle="1" w:styleId="c-author-listitem">
    <w:name w:val="c-author-list__item"/>
    <w:basedOn w:val="Normal"/>
    <w:rsid w:val="00EB1ED2"/>
    <w:pPr>
      <w:spacing w:before="100" w:beforeAutospacing="1" w:after="100" w:afterAutospacing="1"/>
    </w:pPr>
  </w:style>
  <w:style w:type="character" w:customStyle="1" w:styleId="inlineblock">
    <w:name w:val="inlineblock"/>
    <w:basedOn w:val="DefaultParagraphFont"/>
    <w:rsid w:val="007E57E0"/>
  </w:style>
  <w:style w:type="character" w:styleId="Emphasis">
    <w:name w:val="Emphasis"/>
    <w:basedOn w:val="DefaultParagraphFont"/>
    <w:uiPriority w:val="20"/>
    <w:qFormat/>
    <w:rsid w:val="007E57E0"/>
    <w:rPr>
      <w:i/>
      <w:iCs/>
    </w:rPr>
  </w:style>
  <w:style w:type="paragraph" w:styleId="NormalWeb">
    <w:name w:val="Normal (Web)"/>
    <w:basedOn w:val="Normal"/>
    <w:uiPriority w:val="99"/>
    <w:unhideWhenUsed/>
    <w:rsid w:val="00F052BF"/>
    <w:pPr>
      <w:spacing w:before="100" w:beforeAutospacing="1" w:after="100" w:afterAutospacing="1"/>
    </w:pPr>
  </w:style>
  <w:style w:type="paragraph" w:customStyle="1" w:styleId="affiliation">
    <w:name w:val="affiliation"/>
    <w:basedOn w:val="Normal"/>
    <w:rsid w:val="001D120D"/>
    <w:pPr>
      <w:spacing w:before="100" w:beforeAutospacing="1" w:after="100" w:afterAutospacing="1"/>
    </w:pPr>
  </w:style>
  <w:style w:type="paragraph" w:customStyle="1" w:styleId="cst0">
    <w:name w:val="cs_t0"/>
    <w:basedOn w:val="Normal"/>
    <w:rsid w:val="00CB24BB"/>
    <w:pPr>
      <w:spacing w:before="100" w:beforeAutospacing="1" w:after="100" w:afterAutospacing="1"/>
    </w:pPr>
  </w:style>
  <w:style w:type="paragraph" w:customStyle="1" w:styleId="cst1">
    <w:name w:val="cs_t1"/>
    <w:basedOn w:val="Normal"/>
    <w:rsid w:val="00CB24BB"/>
    <w:pPr>
      <w:spacing w:before="100" w:beforeAutospacing="1" w:after="100" w:afterAutospacing="1"/>
    </w:pPr>
  </w:style>
  <w:style w:type="paragraph" w:customStyle="1" w:styleId="tempc">
    <w:name w:val="temp_c"/>
    <w:basedOn w:val="Normal"/>
    <w:rsid w:val="00CB24BB"/>
    <w:pPr>
      <w:spacing w:before="100" w:beforeAutospacing="1" w:after="100" w:afterAutospacing="1"/>
    </w:pPr>
  </w:style>
  <w:style w:type="character" w:customStyle="1" w:styleId="Heading4Char">
    <w:name w:val="Heading 4 Char"/>
    <w:basedOn w:val="DefaultParagraphFont"/>
    <w:link w:val="Heading4"/>
    <w:uiPriority w:val="9"/>
    <w:semiHidden/>
    <w:rsid w:val="0036723A"/>
    <w:rPr>
      <w:rFonts w:asciiTheme="majorHAnsi" w:eastAsiaTheme="majorEastAsia" w:hAnsiTheme="majorHAnsi" w:cstheme="majorBidi"/>
      <w:i/>
      <w:iCs/>
      <w:color w:val="2F5496" w:themeColor="accent1" w:themeShade="BF"/>
    </w:rPr>
  </w:style>
  <w:style w:type="character" w:customStyle="1" w:styleId="texhtml">
    <w:name w:val="texhtml"/>
    <w:basedOn w:val="DefaultParagraphFont"/>
    <w:rsid w:val="007F599A"/>
  </w:style>
  <w:style w:type="character" w:styleId="Strong">
    <w:name w:val="Strong"/>
    <w:basedOn w:val="DefaultParagraphFont"/>
    <w:uiPriority w:val="22"/>
    <w:qFormat/>
    <w:rsid w:val="001A541B"/>
    <w:rPr>
      <w:b/>
      <w:bCs/>
    </w:rPr>
  </w:style>
  <w:style w:type="table" w:styleId="TableGrid">
    <w:name w:val="Table Grid"/>
    <w:basedOn w:val="TableNormal"/>
    <w:uiPriority w:val="59"/>
    <w:rsid w:val="005135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D14E9"/>
    <w:rPr>
      <w:rFonts w:ascii="Times New Roman" w:eastAsiaTheme="majorEastAsia" w:hAnsi="Times New Roman" w:cstheme="majorBid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4169">
      <w:bodyDiv w:val="1"/>
      <w:marLeft w:val="0"/>
      <w:marRight w:val="0"/>
      <w:marTop w:val="0"/>
      <w:marBottom w:val="0"/>
      <w:divBdr>
        <w:top w:val="none" w:sz="0" w:space="0" w:color="auto"/>
        <w:left w:val="none" w:sz="0" w:space="0" w:color="auto"/>
        <w:bottom w:val="none" w:sz="0" w:space="0" w:color="auto"/>
        <w:right w:val="none" w:sz="0" w:space="0" w:color="auto"/>
      </w:divBdr>
    </w:div>
    <w:div w:id="39667710">
      <w:bodyDiv w:val="1"/>
      <w:marLeft w:val="0"/>
      <w:marRight w:val="0"/>
      <w:marTop w:val="0"/>
      <w:marBottom w:val="0"/>
      <w:divBdr>
        <w:top w:val="none" w:sz="0" w:space="0" w:color="auto"/>
        <w:left w:val="none" w:sz="0" w:space="0" w:color="auto"/>
        <w:bottom w:val="none" w:sz="0" w:space="0" w:color="auto"/>
        <w:right w:val="none" w:sz="0" w:space="0" w:color="auto"/>
      </w:divBdr>
      <w:divsChild>
        <w:div w:id="1989240399">
          <w:marLeft w:val="0"/>
          <w:marRight w:val="0"/>
          <w:marTop w:val="0"/>
          <w:marBottom w:val="0"/>
          <w:divBdr>
            <w:top w:val="none" w:sz="0" w:space="0" w:color="auto"/>
            <w:left w:val="none" w:sz="0" w:space="0" w:color="auto"/>
            <w:bottom w:val="none" w:sz="0" w:space="0" w:color="auto"/>
            <w:right w:val="none" w:sz="0" w:space="0" w:color="auto"/>
          </w:divBdr>
        </w:div>
      </w:divsChild>
    </w:div>
    <w:div w:id="50934268">
      <w:bodyDiv w:val="1"/>
      <w:marLeft w:val="0"/>
      <w:marRight w:val="0"/>
      <w:marTop w:val="0"/>
      <w:marBottom w:val="0"/>
      <w:divBdr>
        <w:top w:val="none" w:sz="0" w:space="0" w:color="auto"/>
        <w:left w:val="none" w:sz="0" w:space="0" w:color="auto"/>
        <w:bottom w:val="none" w:sz="0" w:space="0" w:color="auto"/>
        <w:right w:val="none" w:sz="0" w:space="0" w:color="auto"/>
      </w:divBdr>
      <w:divsChild>
        <w:div w:id="2108649007">
          <w:marLeft w:val="0"/>
          <w:marRight w:val="0"/>
          <w:marTop w:val="0"/>
          <w:marBottom w:val="0"/>
          <w:divBdr>
            <w:top w:val="none" w:sz="0" w:space="0" w:color="auto"/>
            <w:left w:val="none" w:sz="0" w:space="0" w:color="auto"/>
            <w:bottom w:val="none" w:sz="0" w:space="0" w:color="auto"/>
            <w:right w:val="none" w:sz="0" w:space="0" w:color="auto"/>
          </w:divBdr>
        </w:div>
        <w:div w:id="148638536">
          <w:marLeft w:val="0"/>
          <w:marRight w:val="0"/>
          <w:marTop w:val="75"/>
          <w:marBottom w:val="225"/>
          <w:divBdr>
            <w:top w:val="none" w:sz="0" w:space="0" w:color="auto"/>
            <w:left w:val="none" w:sz="0" w:space="0" w:color="auto"/>
            <w:bottom w:val="none" w:sz="0" w:space="0" w:color="auto"/>
            <w:right w:val="none" w:sz="0" w:space="0" w:color="auto"/>
          </w:divBdr>
          <w:divsChild>
            <w:div w:id="57368026">
              <w:marLeft w:val="0"/>
              <w:marRight w:val="0"/>
              <w:marTop w:val="0"/>
              <w:marBottom w:val="0"/>
              <w:divBdr>
                <w:top w:val="none" w:sz="0" w:space="0" w:color="auto"/>
                <w:left w:val="none" w:sz="0" w:space="0" w:color="auto"/>
                <w:bottom w:val="none" w:sz="0" w:space="0" w:color="auto"/>
                <w:right w:val="none" w:sz="0" w:space="0" w:color="auto"/>
              </w:divBdr>
              <w:divsChild>
                <w:div w:id="1772772124">
                  <w:marLeft w:val="0"/>
                  <w:marRight w:val="0"/>
                  <w:marTop w:val="0"/>
                  <w:marBottom w:val="0"/>
                  <w:divBdr>
                    <w:top w:val="none" w:sz="0" w:space="0" w:color="auto"/>
                    <w:left w:val="none" w:sz="0" w:space="0" w:color="auto"/>
                    <w:bottom w:val="none" w:sz="0" w:space="0" w:color="auto"/>
                    <w:right w:val="none" w:sz="0" w:space="0" w:color="auto"/>
                  </w:divBdr>
                  <w:divsChild>
                    <w:div w:id="424114924">
                      <w:marLeft w:val="0"/>
                      <w:marRight w:val="0"/>
                      <w:marTop w:val="0"/>
                      <w:marBottom w:val="0"/>
                      <w:divBdr>
                        <w:top w:val="none" w:sz="0" w:space="0" w:color="auto"/>
                        <w:left w:val="none" w:sz="0" w:space="0" w:color="auto"/>
                        <w:bottom w:val="none" w:sz="0" w:space="0" w:color="auto"/>
                        <w:right w:val="none" w:sz="0" w:space="0" w:color="auto"/>
                      </w:divBdr>
                    </w:div>
                    <w:div w:id="1322583453">
                      <w:marLeft w:val="195"/>
                      <w:marRight w:val="0"/>
                      <w:marTop w:val="0"/>
                      <w:marBottom w:val="0"/>
                      <w:divBdr>
                        <w:top w:val="none" w:sz="0" w:space="0" w:color="auto"/>
                        <w:left w:val="none" w:sz="0" w:space="0" w:color="auto"/>
                        <w:bottom w:val="none" w:sz="0" w:space="0" w:color="auto"/>
                        <w:right w:val="none" w:sz="0" w:space="0" w:color="auto"/>
                      </w:divBdr>
                    </w:div>
                  </w:divsChild>
                </w:div>
                <w:div w:id="53547846">
                  <w:marLeft w:val="0"/>
                  <w:marRight w:val="0"/>
                  <w:marTop w:val="0"/>
                  <w:marBottom w:val="0"/>
                  <w:divBdr>
                    <w:top w:val="none" w:sz="0" w:space="0" w:color="auto"/>
                    <w:left w:val="none" w:sz="0" w:space="0" w:color="auto"/>
                    <w:bottom w:val="none" w:sz="0" w:space="0" w:color="auto"/>
                    <w:right w:val="none" w:sz="0" w:space="0" w:color="auto"/>
                  </w:divBdr>
                  <w:divsChild>
                    <w:div w:id="1444424807">
                      <w:marLeft w:val="0"/>
                      <w:marRight w:val="0"/>
                      <w:marTop w:val="0"/>
                      <w:marBottom w:val="0"/>
                      <w:divBdr>
                        <w:top w:val="none" w:sz="0" w:space="0" w:color="auto"/>
                        <w:left w:val="none" w:sz="0" w:space="0" w:color="auto"/>
                        <w:bottom w:val="none" w:sz="0" w:space="0" w:color="auto"/>
                        <w:right w:val="none" w:sz="0" w:space="0" w:color="auto"/>
                      </w:divBdr>
                    </w:div>
                    <w:div w:id="1893416694">
                      <w:marLeft w:val="195"/>
                      <w:marRight w:val="0"/>
                      <w:marTop w:val="0"/>
                      <w:marBottom w:val="0"/>
                      <w:divBdr>
                        <w:top w:val="none" w:sz="0" w:space="0" w:color="auto"/>
                        <w:left w:val="none" w:sz="0" w:space="0" w:color="auto"/>
                        <w:bottom w:val="none" w:sz="0" w:space="0" w:color="auto"/>
                        <w:right w:val="none" w:sz="0" w:space="0" w:color="auto"/>
                      </w:divBdr>
                    </w:div>
                  </w:divsChild>
                </w:div>
                <w:div w:id="539172216">
                  <w:marLeft w:val="0"/>
                  <w:marRight w:val="0"/>
                  <w:marTop w:val="0"/>
                  <w:marBottom w:val="0"/>
                  <w:divBdr>
                    <w:top w:val="none" w:sz="0" w:space="0" w:color="auto"/>
                    <w:left w:val="none" w:sz="0" w:space="0" w:color="auto"/>
                    <w:bottom w:val="none" w:sz="0" w:space="0" w:color="auto"/>
                    <w:right w:val="none" w:sz="0" w:space="0" w:color="auto"/>
                  </w:divBdr>
                  <w:divsChild>
                    <w:div w:id="1992440988">
                      <w:marLeft w:val="0"/>
                      <w:marRight w:val="0"/>
                      <w:marTop w:val="0"/>
                      <w:marBottom w:val="0"/>
                      <w:divBdr>
                        <w:top w:val="none" w:sz="0" w:space="0" w:color="auto"/>
                        <w:left w:val="none" w:sz="0" w:space="0" w:color="auto"/>
                        <w:bottom w:val="none" w:sz="0" w:space="0" w:color="auto"/>
                        <w:right w:val="none" w:sz="0" w:space="0" w:color="auto"/>
                      </w:divBdr>
                    </w:div>
                    <w:div w:id="1294674824">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146613">
          <w:marLeft w:val="0"/>
          <w:marRight w:val="0"/>
          <w:marTop w:val="0"/>
          <w:marBottom w:val="150"/>
          <w:divBdr>
            <w:top w:val="none" w:sz="0" w:space="0" w:color="auto"/>
            <w:left w:val="none" w:sz="0" w:space="0" w:color="auto"/>
            <w:bottom w:val="none" w:sz="0" w:space="0" w:color="auto"/>
            <w:right w:val="none" w:sz="0" w:space="0" w:color="auto"/>
          </w:divBdr>
        </w:div>
      </w:divsChild>
    </w:div>
    <w:div w:id="106512309">
      <w:bodyDiv w:val="1"/>
      <w:marLeft w:val="0"/>
      <w:marRight w:val="0"/>
      <w:marTop w:val="0"/>
      <w:marBottom w:val="0"/>
      <w:divBdr>
        <w:top w:val="none" w:sz="0" w:space="0" w:color="auto"/>
        <w:left w:val="none" w:sz="0" w:space="0" w:color="auto"/>
        <w:bottom w:val="none" w:sz="0" w:space="0" w:color="auto"/>
        <w:right w:val="none" w:sz="0" w:space="0" w:color="auto"/>
      </w:divBdr>
      <w:divsChild>
        <w:div w:id="626351056">
          <w:marLeft w:val="0"/>
          <w:marRight w:val="0"/>
          <w:marTop w:val="0"/>
          <w:marBottom w:val="240"/>
          <w:divBdr>
            <w:top w:val="none" w:sz="0" w:space="0" w:color="auto"/>
            <w:left w:val="none" w:sz="0" w:space="0" w:color="auto"/>
            <w:bottom w:val="none" w:sz="0" w:space="0" w:color="auto"/>
            <w:right w:val="none" w:sz="0" w:space="0" w:color="auto"/>
          </w:divBdr>
          <w:divsChild>
            <w:div w:id="723412767">
              <w:marLeft w:val="0"/>
              <w:marRight w:val="0"/>
              <w:marTop w:val="0"/>
              <w:marBottom w:val="0"/>
              <w:divBdr>
                <w:top w:val="none" w:sz="0" w:space="0" w:color="auto"/>
                <w:left w:val="none" w:sz="0" w:space="0" w:color="auto"/>
                <w:bottom w:val="none" w:sz="0" w:space="0" w:color="auto"/>
                <w:right w:val="none" w:sz="0" w:space="0" w:color="auto"/>
              </w:divBdr>
              <w:divsChild>
                <w:div w:id="2140804796">
                  <w:marLeft w:val="0"/>
                  <w:marRight w:val="0"/>
                  <w:marTop w:val="0"/>
                  <w:marBottom w:val="0"/>
                  <w:divBdr>
                    <w:top w:val="none" w:sz="0" w:space="0" w:color="auto"/>
                    <w:left w:val="none" w:sz="0" w:space="0" w:color="auto"/>
                    <w:bottom w:val="none" w:sz="0" w:space="0" w:color="auto"/>
                    <w:right w:val="none" w:sz="0" w:space="0" w:color="auto"/>
                  </w:divBdr>
                  <w:divsChild>
                    <w:div w:id="326373324">
                      <w:marLeft w:val="0"/>
                      <w:marRight w:val="0"/>
                      <w:marTop w:val="0"/>
                      <w:marBottom w:val="0"/>
                      <w:divBdr>
                        <w:top w:val="none" w:sz="0" w:space="0" w:color="auto"/>
                        <w:left w:val="none" w:sz="0" w:space="0" w:color="auto"/>
                        <w:bottom w:val="none" w:sz="0" w:space="0" w:color="auto"/>
                        <w:right w:val="none" w:sz="0" w:space="0" w:color="auto"/>
                      </w:divBdr>
                      <w:divsChild>
                        <w:div w:id="526481677">
                          <w:marLeft w:val="0"/>
                          <w:marRight w:val="0"/>
                          <w:marTop w:val="0"/>
                          <w:marBottom w:val="0"/>
                          <w:divBdr>
                            <w:top w:val="none" w:sz="0" w:space="0" w:color="auto"/>
                            <w:left w:val="none" w:sz="0" w:space="0" w:color="auto"/>
                            <w:bottom w:val="none" w:sz="0" w:space="0" w:color="auto"/>
                            <w:right w:val="none" w:sz="0" w:space="0" w:color="auto"/>
                          </w:divBdr>
                          <w:divsChild>
                            <w:div w:id="958994154">
                              <w:marLeft w:val="0"/>
                              <w:marRight w:val="0"/>
                              <w:marTop w:val="0"/>
                              <w:marBottom w:val="0"/>
                              <w:divBdr>
                                <w:top w:val="none" w:sz="0" w:space="0" w:color="auto"/>
                                <w:left w:val="none" w:sz="0" w:space="0" w:color="auto"/>
                                <w:bottom w:val="none" w:sz="0" w:space="0" w:color="auto"/>
                                <w:right w:val="none" w:sz="0" w:space="0" w:color="auto"/>
                              </w:divBdr>
                              <w:divsChild>
                                <w:div w:id="75925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459899">
          <w:marLeft w:val="0"/>
          <w:marRight w:val="0"/>
          <w:marTop w:val="0"/>
          <w:marBottom w:val="120"/>
          <w:divBdr>
            <w:top w:val="none" w:sz="0" w:space="0" w:color="auto"/>
            <w:left w:val="none" w:sz="0" w:space="0" w:color="auto"/>
            <w:bottom w:val="none" w:sz="0" w:space="0" w:color="auto"/>
            <w:right w:val="none" w:sz="0" w:space="0" w:color="auto"/>
          </w:divBdr>
          <w:divsChild>
            <w:div w:id="939681025">
              <w:marLeft w:val="0"/>
              <w:marRight w:val="0"/>
              <w:marTop w:val="0"/>
              <w:marBottom w:val="0"/>
              <w:divBdr>
                <w:top w:val="none" w:sz="0" w:space="0" w:color="auto"/>
                <w:left w:val="none" w:sz="0" w:space="0" w:color="auto"/>
                <w:bottom w:val="none" w:sz="0" w:space="0" w:color="auto"/>
                <w:right w:val="none" w:sz="0" w:space="0" w:color="auto"/>
              </w:divBdr>
              <w:divsChild>
                <w:div w:id="164396636">
                  <w:marLeft w:val="0"/>
                  <w:marRight w:val="0"/>
                  <w:marTop w:val="0"/>
                  <w:marBottom w:val="0"/>
                  <w:divBdr>
                    <w:top w:val="none" w:sz="0" w:space="0" w:color="auto"/>
                    <w:left w:val="none" w:sz="0" w:space="0" w:color="auto"/>
                    <w:bottom w:val="none" w:sz="0" w:space="0" w:color="auto"/>
                    <w:right w:val="none" w:sz="0" w:space="0" w:color="auto"/>
                  </w:divBdr>
                  <w:divsChild>
                    <w:div w:id="1206408875">
                      <w:marLeft w:val="0"/>
                      <w:marRight w:val="0"/>
                      <w:marTop w:val="0"/>
                      <w:marBottom w:val="0"/>
                      <w:divBdr>
                        <w:top w:val="none" w:sz="0" w:space="0" w:color="auto"/>
                        <w:left w:val="none" w:sz="0" w:space="0" w:color="auto"/>
                        <w:bottom w:val="none" w:sz="0" w:space="0" w:color="auto"/>
                        <w:right w:val="none" w:sz="0" w:space="0" w:color="auto"/>
                      </w:divBdr>
                      <w:divsChild>
                        <w:div w:id="1757248245">
                          <w:marLeft w:val="0"/>
                          <w:marRight w:val="0"/>
                          <w:marTop w:val="0"/>
                          <w:marBottom w:val="0"/>
                          <w:divBdr>
                            <w:top w:val="none" w:sz="0" w:space="0" w:color="auto"/>
                            <w:left w:val="none" w:sz="0" w:space="0" w:color="auto"/>
                            <w:bottom w:val="none" w:sz="0" w:space="0" w:color="auto"/>
                            <w:right w:val="none" w:sz="0" w:space="0" w:color="auto"/>
                          </w:divBdr>
                          <w:divsChild>
                            <w:div w:id="1242518446">
                              <w:marLeft w:val="0"/>
                              <w:marRight w:val="0"/>
                              <w:marTop w:val="0"/>
                              <w:marBottom w:val="0"/>
                              <w:divBdr>
                                <w:top w:val="none" w:sz="0" w:space="0" w:color="auto"/>
                                <w:left w:val="none" w:sz="0" w:space="0" w:color="auto"/>
                                <w:bottom w:val="none" w:sz="0" w:space="0" w:color="auto"/>
                                <w:right w:val="none" w:sz="0" w:space="0" w:color="auto"/>
                              </w:divBdr>
                              <w:divsChild>
                                <w:div w:id="1671711301">
                                  <w:marLeft w:val="0"/>
                                  <w:marRight w:val="0"/>
                                  <w:marTop w:val="0"/>
                                  <w:marBottom w:val="0"/>
                                  <w:divBdr>
                                    <w:top w:val="none" w:sz="0" w:space="0" w:color="auto"/>
                                    <w:left w:val="none" w:sz="0" w:space="0" w:color="auto"/>
                                    <w:bottom w:val="none" w:sz="0" w:space="0" w:color="auto"/>
                                    <w:right w:val="none" w:sz="0" w:space="0" w:color="auto"/>
                                  </w:divBdr>
                                  <w:divsChild>
                                    <w:div w:id="1602180655">
                                      <w:marLeft w:val="0"/>
                                      <w:marRight w:val="0"/>
                                      <w:marTop w:val="0"/>
                                      <w:marBottom w:val="0"/>
                                      <w:divBdr>
                                        <w:top w:val="none" w:sz="0" w:space="0" w:color="auto"/>
                                        <w:left w:val="none" w:sz="0" w:space="0" w:color="auto"/>
                                        <w:bottom w:val="none" w:sz="0" w:space="0" w:color="auto"/>
                                        <w:right w:val="none" w:sz="0" w:space="0" w:color="auto"/>
                                      </w:divBdr>
                                      <w:divsChild>
                                        <w:div w:id="1925529160">
                                          <w:marLeft w:val="0"/>
                                          <w:marRight w:val="0"/>
                                          <w:marTop w:val="0"/>
                                          <w:marBottom w:val="0"/>
                                          <w:divBdr>
                                            <w:top w:val="none" w:sz="0" w:space="0" w:color="auto"/>
                                            <w:left w:val="none" w:sz="0" w:space="0" w:color="auto"/>
                                            <w:bottom w:val="none" w:sz="0" w:space="0" w:color="auto"/>
                                            <w:right w:val="none" w:sz="0" w:space="0" w:color="auto"/>
                                          </w:divBdr>
                                          <w:divsChild>
                                            <w:div w:id="532765755">
                                              <w:marLeft w:val="0"/>
                                              <w:marRight w:val="0"/>
                                              <w:marTop w:val="0"/>
                                              <w:marBottom w:val="0"/>
                                              <w:divBdr>
                                                <w:top w:val="none" w:sz="0" w:space="0" w:color="auto"/>
                                                <w:left w:val="none" w:sz="0" w:space="0" w:color="auto"/>
                                                <w:bottom w:val="none" w:sz="0" w:space="0" w:color="auto"/>
                                                <w:right w:val="none" w:sz="0" w:space="0" w:color="auto"/>
                                              </w:divBdr>
                                              <w:divsChild>
                                                <w:div w:id="892883955">
                                                  <w:marLeft w:val="0"/>
                                                  <w:marRight w:val="0"/>
                                                  <w:marTop w:val="0"/>
                                                  <w:marBottom w:val="0"/>
                                                  <w:divBdr>
                                                    <w:top w:val="none" w:sz="0" w:space="0" w:color="auto"/>
                                                    <w:left w:val="none" w:sz="0" w:space="0" w:color="auto"/>
                                                    <w:bottom w:val="none" w:sz="0" w:space="0" w:color="auto"/>
                                                    <w:right w:val="none" w:sz="0" w:space="0" w:color="auto"/>
                                                  </w:divBdr>
                                                  <w:divsChild>
                                                    <w:div w:id="160499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1849920">
          <w:marLeft w:val="0"/>
          <w:marRight w:val="0"/>
          <w:marTop w:val="0"/>
          <w:marBottom w:val="0"/>
          <w:divBdr>
            <w:top w:val="none" w:sz="0" w:space="0" w:color="auto"/>
            <w:left w:val="none" w:sz="0" w:space="0" w:color="auto"/>
            <w:bottom w:val="none" w:sz="0" w:space="0" w:color="auto"/>
            <w:right w:val="none" w:sz="0" w:space="0" w:color="auto"/>
          </w:divBdr>
          <w:divsChild>
            <w:div w:id="246696675">
              <w:marLeft w:val="0"/>
              <w:marRight w:val="0"/>
              <w:marTop w:val="0"/>
              <w:marBottom w:val="0"/>
              <w:divBdr>
                <w:top w:val="none" w:sz="0" w:space="0" w:color="auto"/>
                <w:left w:val="none" w:sz="0" w:space="0" w:color="auto"/>
                <w:bottom w:val="none" w:sz="0" w:space="0" w:color="auto"/>
                <w:right w:val="none" w:sz="0" w:space="0" w:color="auto"/>
              </w:divBdr>
              <w:divsChild>
                <w:div w:id="1504660412">
                  <w:marLeft w:val="0"/>
                  <w:marRight w:val="0"/>
                  <w:marTop w:val="0"/>
                  <w:marBottom w:val="0"/>
                  <w:divBdr>
                    <w:top w:val="none" w:sz="0" w:space="0" w:color="auto"/>
                    <w:left w:val="none" w:sz="0" w:space="0" w:color="auto"/>
                    <w:bottom w:val="none" w:sz="0" w:space="0" w:color="auto"/>
                    <w:right w:val="none" w:sz="0" w:space="0" w:color="auto"/>
                  </w:divBdr>
                  <w:divsChild>
                    <w:div w:id="1175879354">
                      <w:marLeft w:val="0"/>
                      <w:marRight w:val="0"/>
                      <w:marTop w:val="0"/>
                      <w:marBottom w:val="0"/>
                      <w:divBdr>
                        <w:top w:val="none" w:sz="0" w:space="0" w:color="auto"/>
                        <w:left w:val="none" w:sz="0" w:space="0" w:color="auto"/>
                        <w:bottom w:val="none" w:sz="0" w:space="0" w:color="auto"/>
                        <w:right w:val="none" w:sz="0" w:space="0" w:color="auto"/>
                      </w:divBdr>
                      <w:divsChild>
                        <w:div w:id="80165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6942">
      <w:bodyDiv w:val="1"/>
      <w:marLeft w:val="0"/>
      <w:marRight w:val="0"/>
      <w:marTop w:val="0"/>
      <w:marBottom w:val="0"/>
      <w:divBdr>
        <w:top w:val="none" w:sz="0" w:space="0" w:color="auto"/>
        <w:left w:val="none" w:sz="0" w:space="0" w:color="auto"/>
        <w:bottom w:val="none" w:sz="0" w:space="0" w:color="auto"/>
        <w:right w:val="none" w:sz="0" w:space="0" w:color="auto"/>
      </w:divBdr>
    </w:div>
    <w:div w:id="249000844">
      <w:bodyDiv w:val="1"/>
      <w:marLeft w:val="0"/>
      <w:marRight w:val="0"/>
      <w:marTop w:val="0"/>
      <w:marBottom w:val="0"/>
      <w:divBdr>
        <w:top w:val="none" w:sz="0" w:space="0" w:color="auto"/>
        <w:left w:val="none" w:sz="0" w:space="0" w:color="auto"/>
        <w:bottom w:val="none" w:sz="0" w:space="0" w:color="auto"/>
        <w:right w:val="none" w:sz="0" w:space="0" w:color="auto"/>
      </w:divBdr>
    </w:div>
    <w:div w:id="321810452">
      <w:bodyDiv w:val="1"/>
      <w:marLeft w:val="0"/>
      <w:marRight w:val="0"/>
      <w:marTop w:val="0"/>
      <w:marBottom w:val="0"/>
      <w:divBdr>
        <w:top w:val="none" w:sz="0" w:space="0" w:color="auto"/>
        <w:left w:val="none" w:sz="0" w:space="0" w:color="auto"/>
        <w:bottom w:val="none" w:sz="0" w:space="0" w:color="auto"/>
        <w:right w:val="none" w:sz="0" w:space="0" w:color="auto"/>
      </w:divBdr>
    </w:div>
    <w:div w:id="504366626">
      <w:bodyDiv w:val="1"/>
      <w:marLeft w:val="0"/>
      <w:marRight w:val="0"/>
      <w:marTop w:val="0"/>
      <w:marBottom w:val="0"/>
      <w:divBdr>
        <w:top w:val="none" w:sz="0" w:space="0" w:color="auto"/>
        <w:left w:val="none" w:sz="0" w:space="0" w:color="auto"/>
        <w:bottom w:val="none" w:sz="0" w:space="0" w:color="auto"/>
        <w:right w:val="none" w:sz="0" w:space="0" w:color="auto"/>
      </w:divBdr>
    </w:div>
    <w:div w:id="543830577">
      <w:bodyDiv w:val="1"/>
      <w:marLeft w:val="0"/>
      <w:marRight w:val="0"/>
      <w:marTop w:val="0"/>
      <w:marBottom w:val="0"/>
      <w:divBdr>
        <w:top w:val="none" w:sz="0" w:space="0" w:color="auto"/>
        <w:left w:val="none" w:sz="0" w:space="0" w:color="auto"/>
        <w:bottom w:val="none" w:sz="0" w:space="0" w:color="auto"/>
        <w:right w:val="none" w:sz="0" w:space="0" w:color="auto"/>
      </w:divBdr>
    </w:div>
    <w:div w:id="677541590">
      <w:bodyDiv w:val="1"/>
      <w:marLeft w:val="0"/>
      <w:marRight w:val="0"/>
      <w:marTop w:val="0"/>
      <w:marBottom w:val="0"/>
      <w:divBdr>
        <w:top w:val="none" w:sz="0" w:space="0" w:color="auto"/>
        <w:left w:val="none" w:sz="0" w:space="0" w:color="auto"/>
        <w:bottom w:val="none" w:sz="0" w:space="0" w:color="auto"/>
        <w:right w:val="none" w:sz="0" w:space="0" w:color="auto"/>
      </w:divBdr>
      <w:divsChild>
        <w:div w:id="1952010100">
          <w:marLeft w:val="0"/>
          <w:marRight w:val="0"/>
          <w:marTop w:val="0"/>
          <w:marBottom w:val="0"/>
          <w:divBdr>
            <w:top w:val="none" w:sz="0" w:space="0" w:color="auto"/>
            <w:left w:val="none" w:sz="0" w:space="0" w:color="auto"/>
            <w:bottom w:val="none" w:sz="0" w:space="0" w:color="auto"/>
            <w:right w:val="none" w:sz="0" w:space="0" w:color="auto"/>
          </w:divBdr>
          <w:divsChild>
            <w:div w:id="1284775594">
              <w:marLeft w:val="0"/>
              <w:marRight w:val="0"/>
              <w:marTop w:val="0"/>
              <w:marBottom w:val="0"/>
              <w:divBdr>
                <w:top w:val="none" w:sz="0" w:space="0" w:color="auto"/>
                <w:left w:val="none" w:sz="0" w:space="0" w:color="auto"/>
                <w:bottom w:val="none" w:sz="0" w:space="0" w:color="auto"/>
                <w:right w:val="none" w:sz="0" w:space="0" w:color="auto"/>
              </w:divBdr>
              <w:divsChild>
                <w:div w:id="180646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13229">
      <w:bodyDiv w:val="1"/>
      <w:marLeft w:val="0"/>
      <w:marRight w:val="0"/>
      <w:marTop w:val="0"/>
      <w:marBottom w:val="0"/>
      <w:divBdr>
        <w:top w:val="none" w:sz="0" w:space="0" w:color="auto"/>
        <w:left w:val="none" w:sz="0" w:space="0" w:color="auto"/>
        <w:bottom w:val="none" w:sz="0" w:space="0" w:color="auto"/>
        <w:right w:val="none" w:sz="0" w:space="0" w:color="auto"/>
      </w:divBdr>
    </w:div>
    <w:div w:id="696084688">
      <w:bodyDiv w:val="1"/>
      <w:marLeft w:val="0"/>
      <w:marRight w:val="0"/>
      <w:marTop w:val="0"/>
      <w:marBottom w:val="0"/>
      <w:divBdr>
        <w:top w:val="none" w:sz="0" w:space="0" w:color="auto"/>
        <w:left w:val="none" w:sz="0" w:space="0" w:color="auto"/>
        <w:bottom w:val="none" w:sz="0" w:space="0" w:color="auto"/>
        <w:right w:val="none" w:sz="0" w:space="0" w:color="auto"/>
      </w:divBdr>
    </w:div>
    <w:div w:id="697194023">
      <w:bodyDiv w:val="1"/>
      <w:marLeft w:val="0"/>
      <w:marRight w:val="0"/>
      <w:marTop w:val="0"/>
      <w:marBottom w:val="0"/>
      <w:divBdr>
        <w:top w:val="none" w:sz="0" w:space="0" w:color="auto"/>
        <w:left w:val="none" w:sz="0" w:space="0" w:color="auto"/>
        <w:bottom w:val="none" w:sz="0" w:space="0" w:color="auto"/>
        <w:right w:val="none" w:sz="0" w:space="0" w:color="auto"/>
      </w:divBdr>
      <w:divsChild>
        <w:div w:id="1010369563">
          <w:marLeft w:val="0"/>
          <w:marRight w:val="0"/>
          <w:marTop w:val="0"/>
          <w:marBottom w:val="120"/>
          <w:divBdr>
            <w:top w:val="none" w:sz="0" w:space="0" w:color="auto"/>
            <w:left w:val="none" w:sz="0" w:space="0" w:color="auto"/>
            <w:bottom w:val="single" w:sz="12" w:space="9" w:color="EBEBEB"/>
            <w:right w:val="none" w:sz="0" w:space="0" w:color="auto"/>
          </w:divBdr>
          <w:divsChild>
            <w:div w:id="2098356009">
              <w:marLeft w:val="0"/>
              <w:marRight w:val="0"/>
              <w:marTop w:val="100"/>
              <w:marBottom w:val="100"/>
              <w:divBdr>
                <w:top w:val="none" w:sz="0" w:space="0" w:color="auto"/>
                <w:left w:val="none" w:sz="0" w:space="0" w:color="auto"/>
                <w:bottom w:val="none" w:sz="0" w:space="0" w:color="auto"/>
                <w:right w:val="none" w:sz="0" w:space="0" w:color="auto"/>
              </w:divBdr>
              <w:divsChild>
                <w:div w:id="121681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57916">
          <w:marLeft w:val="0"/>
          <w:marRight w:val="0"/>
          <w:marTop w:val="0"/>
          <w:marBottom w:val="120"/>
          <w:divBdr>
            <w:top w:val="none" w:sz="0" w:space="0" w:color="auto"/>
            <w:left w:val="none" w:sz="0" w:space="0" w:color="auto"/>
            <w:bottom w:val="none" w:sz="0" w:space="0" w:color="auto"/>
            <w:right w:val="none" w:sz="0" w:space="0" w:color="auto"/>
          </w:divBdr>
          <w:divsChild>
            <w:div w:id="1777210732">
              <w:marLeft w:val="0"/>
              <w:marRight w:val="0"/>
              <w:marTop w:val="0"/>
              <w:marBottom w:val="0"/>
              <w:divBdr>
                <w:top w:val="none" w:sz="0" w:space="0" w:color="auto"/>
                <w:left w:val="none" w:sz="0" w:space="0" w:color="auto"/>
                <w:bottom w:val="none" w:sz="0" w:space="0" w:color="auto"/>
                <w:right w:val="none" w:sz="0" w:space="0" w:color="auto"/>
              </w:divBdr>
              <w:divsChild>
                <w:div w:id="996958037">
                  <w:marLeft w:val="0"/>
                  <w:marRight w:val="0"/>
                  <w:marTop w:val="0"/>
                  <w:marBottom w:val="0"/>
                  <w:divBdr>
                    <w:top w:val="none" w:sz="0" w:space="0" w:color="auto"/>
                    <w:left w:val="none" w:sz="0" w:space="0" w:color="auto"/>
                    <w:bottom w:val="none" w:sz="0" w:space="0" w:color="auto"/>
                    <w:right w:val="none" w:sz="0" w:space="0" w:color="auto"/>
                  </w:divBdr>
                  <w:divsChild>
                    <w:div w:id="1129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862391">
          <w:marLeft w:val="0"/>
          <w:marRight w:val="0"/>
          <w:marTop w:val="0"/>
          <w:marBottom w:val="0"/>
          <w:divBdr>
            <w:top w:val="none" w:sz="0" w:space="0" w:color="auto"/>
            <w:left w:val="none" w:sz="0" w:space="0" w:color="auto"/>
            <w:bottom w:val="none" w:sz="0" w:space="0" w:color="auto"/>
            <w:right w:val="none" w:sz="0" w:space="0" w:color="auto"/>
          </w:divBdr>
        </w:div>
      </w:divsChild>
    </w:div>
    <w:div w:id="708333932">
      <w:bodyDiv w:val="1"/>
      <w:marLeft w:val="0"/>
      <w:marRight w:val="0"/>
      <w:marTop w:val="0"/>
      <w:marBottom w:val="0"/>
      <w:divBdr>
        <w:top w:val="none" w:sz="0" w:space="0" w:color="auto"/>
        <w:left w:val="none" w:sz="0" w:space="0" w:color="auto"/>
        <w:bottom w:val="none" w:sz="0" w:space="0" w:color="auto"/>
        <w:right w:val="none" w:sz="0" w:space="0" w:color="auto"/>
      </w:divBdr>
    </w:div>
    <w:div w:id="787312033">
      <w:bodyDiv w:val="1"/>
      <w:marLeft w:val="0"/>
      <w:marRight w:val="0"/>
      <w:marTop w:val="0"/>
      <w:marBottom w:val="0"/>
      <w:divBdr>
        <w:top w:val="none" w:sz="0" w:space="0" w:color="auto"/>
        <w:left w:val="none" w:sz="0" w:space="0" w:color="auto"/>
        <w:bottom w:val="none" w:sz="0" w:space="0" w:color="auto"/>
        <w:right w:val="none" w:sz="0" w:space="0" w:color="auto"/>
      </w:divBdr>
    </w:div>
    <w:div w:id="837159273">
      <w:bodyDiv w:val="1"/>
      <w:marLeft w:val="0"/>
      <w:marRight w:val="0"/>
      <w:marTop w:val="0"/>
      <w:marBottom w:val="0"/>
      <w:divBdr>
        <w:top w:val="none" w:sz="0" w:space="0" w:color="auto"/>
        <w:left w:val="none" w:sz="0" w:space="0" w:color="auto"/>
        <w:bottom w:val="none" w:sz="0" w:space="0" w:color="auto"/>
        <w:right w:val="none" w:sz="0" w:space="0" w:color="auto"/>
      </w:divBdr>
    </w:div>
    <w:div w:id="1079906354">
      <w:bodyDiv w:val="1"/>
      <w:marLeft w:val="0"/>
      <w:marRight w:val="0"/>
      <w:marTop w:val="0"/>
      <w:marBottom w:val="0"/>
      <w:divBdr>
        <w:top w:val="none" w:sz="0" w:space="0" w:color="auto"/>
        <w:left w:val="none" w:sz="0" w:space="0" w:color="auto"/>
        <w:bottom w:val="none" w:sz="0" w:space="0" w:color="auto"/>
        <w:right w:val="none" w:sz="0" w:space="0" w:color="auto"/>
      </w:divBdr>
    </w:div>
    <w:div w:id="1113131318">
      <w:bodyDiv w:val="1"/>
      <w:marLeft w:val="0"/>
      <w:marRight w:val="0"/>
      <w:marTop w:val="0"/>
      <w:marBottom w:val="0"/>
      <w:divBdr>
        <w:top w:val="none" w:sz="0" w:space="0" w:color="auto"/>
        <w:left w:val="none" w:sz="0" w:space="0" w:color="auto"/>
        <w:bottom w:val="none" w:sz="0" w:space="0" w:color="auto"/>
        <w:right w:val="none" w:sz="0" w:space="0" w:color="auto"/>
      </w:divBdr>
      <w:divsChild>
        <w:div w:id="1065227168">
          <w:marLeft w:val="0"/>
          <w:marRight w:val="0"/>
          <w:marTop w:val="0"/>
          <w:marBottom w:val="120"/>
          <w:divBdr>
            <w:top w:val="none" w:sz="0" w:space="0" w:color="auto"/>
            <w:left w:val="none" w:sz="0" w:space="0" w:color="auto"/>
            <w:bottom w:val="single" w:sz="12" w:space="9" w:color="EBEBEB"/>
            <w:right w:val="none" w:sz="0" w:space="0" w:color="auto"/>
          </w:divBdr>
          <w:divsChild>
            <w:div w:id="2107262802">
              <w:marLeft w:val="0"/>
              <w:marRight w:val="0"/>
              <w:marTop w:val="100"/>
              <w:marBottom w:val="100"/>
              <w:divBdr>
                <w:top w:val="none" w:sz="0" w:space="0" w:color="auto"/>
                <w:left w:val="none" w:sz="0" w:space="0" w:color="auto"/>
                <w:bottom w:val="none" w:sz="0" w:space="0" w:color="auto"/>
                <w:right w:val="none" w:sz="0" w:space="0" w:color="auto"/>
              </w:divBdr>
              <w:divsChild>
                <w:div w:id="176149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3750">
          <w:marLeft w:val="0"/>
          <w:marRight w:val="0"/>
          <w:marTop w:val="0"/>
          <w:marBottom w:val="120"/>
          <w:divBdr>
            <w:top w:val="none" w:sz="0" w:space="0" w:color="auto"/>
            <w:left w:val="none" w:sz="0" w:space="0" w:color="auto"/>
            <w:bottom w:val="none" w:sz="0" w:space="0" w:color="auto"/>
            <w:right w:val="none" w:sz="0" w:space="0" w:color="auto"/>
          </w:divBdr>
          <w:divsChild>
            <w:div w:id="962734649">
              <w:marLeft w:val="0"/>
              <w:marRight w:val="0"/>
              <w:marTop w:val="0"/>
              <w:marBottom w:val="0"/>
              <w:divBdr>
                <w:top w:val="none" w:sz="0" w:space="0" w:color="auto"/>
                <w:left w:val="none" w:sz="0" w:space="0" w:color="auto"/>
                <w:bottom w:val="none" w:sz="0" w:space="0" w:color="auto"/>
                <w:right w:val="none" w:sz="0" w:space="0" w:color="auto"/>
              </w:divBdr>
              <w:divsChild>
                <w:div w:id="1068186900">
                  <w:marLeft w:val="0"/>
                  <w:marRight w:val="0"/>
                  <w:marTop w:val="0"/>
                  <w:marBottom w:val="0"/>
                  <w:divBdr>
                    <w:top w:val="none" w:sz="0" w:space="0" w:color="auto"/>
                    <w:left w:val="none" w:sz="0" w:space="0" w:color="auto"/>
                    <w:bottom w:val="none" w:sz="0" w:space="0" w:color="auto"/>
                    <w:right w:val="none" w:sz="0" w:space="0" w:color="auto"/>
                  </w:divBdr>
                  <w:divsChild>
                    <w:div w:id="158074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998326">
          <w:marLeft w:val="0"/>
          <w:marRight w:val="0"/>
          <w:marTop w:val="0"/>
          <w:marBottom w:val="0"/>
          <w:divBdr>
            <w:top w:val="none" w:sz="0" w:space="0" w:color="auto"/>
            <w:left w:val="none" w:sz="0" w:space="0" w:color="auto"/>
            <w:bottom w:val="none" w:sz="0" w:space="0" w:color="auto"/>
            <w:right w:val="none" w:sz="0" w:space="0" w:color="auto"/>
          </w:divBdr>
        </w:div>
      </w:divsChild>
    </w:div>
    <w:div w:id="1135685644">
      <w:bodyDiv w:val="1"/>
      <w:marLeft w:val="0"/>
      <w:marRight w:val="0"/>
      <w:marTop w:val="0"/>
      <w:marBottom w:val="0"/>
      <w:divBdr>
        <w:top w:val="none" w:sz="0" w:space="0" w:color="auto"/>
        <w:left w:val="none" w:sz="0" w:space="0" w:color="auto"/>
        <w:bottom w:val="none" w:sz="0" w:space="0" w:color="auto"/>
        <w:right w:val="none" w:sz="0" w:space="0" w:color="auto"/>
      </w:divBdr>
    </w:div>
    <w:div w:id="1252855980">
      <w:bodyDiv w:val="1"/>
      <w:marLeft w:val="0"/>
      <w:marRight w:val="0"/>
      <w:marTop w:val="0"/>
      <w:marBottom w:val="0"/>
      <w:divBdr>
        <w:top w:val="none" w:sz="0" w:space="0" w:color="auto"/>
        <w:left w:val="none" w:sz="0" w:space="0" w:color="auto"/>
        <w:bottom w:val="none" w:sz="0" w:space="0" w:color="auto"/>
        <w:right w:val="none" w:sz="0" w:space="0" w:color="auto"/>
      </w:divBdr>
      <w:divsChild>
        <w:div w:id="1605336218">
          <w:marLeft w:val="0"/>
          <w:marRight w:val="0"/>
          <w:marTop w:val="0"/>
          <w:marBottom w:val="0"/>
          <w:divBdr>
            <w:top w:val="none" w:sz="0" w:space="0" w:color="auto"/>
            <w:left w:val="none" w:sz="0" w:space="0" w:color="auto"/>
            <w:bottom w:val="none" w:sz="0" w:space="0" w:color="auto"/>
            <w:right w:val="none" w:sz="0" w:space="0" w:color="auto"/>
          </w:divBdr>
          <w:divsChild>
            <w:div w:id="923416018">
              <w:marLeft w:val="0"/>
              <w:marRight w:val="0"/>
              <w:marTop w:val="0"/>
              <w:marBottom w:val="0"/>
              <w:divBdr>
                <w:top w:val="none" w:sz="0" w:space="0" w:color="auto"/>
                <w:left w:val="none" w:sz="0" w:space="0" w:color="auto"/>
                <w:bottom w:val="none" w:sz="0" w:space="0" w:color="auto"/>
                <w:right w:val="none" w:sz="0" w:space="0" w:color="auto"/>
              </w:divBdr>
              <w:divsChild>
                <w:div w:id="19080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23349">
      <w:bodyDiv w:val="1"/>
      <w:marLeft w:val="0"/>
      <w:marRight w:val="0"/>
      <w:marTop w:val="0"/>
      <w:marBottom w:val="0"/>
      <w:divBdr>
        <w:top w:val="none" w:sz="0" w:space="0" w:color="auto"/>
        <w:left w:val="none" w:sz="0" w:space="0" w:color="auto"/>
        <w:bottom w:val="none" w:sz="0" w:space="0" w:color="auto"/>
        <w:right w:val="none" w:sz="0" w:space="0" w:color="auto"/>
      </w:divBdr>
    </w:div>
    <w:div w:id="1342513445">
      <w:bodyDiv w:val="1"/>
      <w:marLeft w:val="0"/>
      <w:marRight w:val="0"/>
      <w:marTop w:val="0"/>
      <w:marBottom w:val="0"/>
      <w:divBdr>
        <w:top w:val="none" w:sz="0" w:space="0" w:color="auto"/>
        <w:left w:val="none" w:sz="0" w:space="0" w:color="auto"/>
        <w:bottom w:val="none" w:sz="0" w:space="0" w:color="auto"/>
        <w:right w:val="none" w:sz="0" w:space="0" w:color="auto"/>
      </w:divBdr>
    </w:div>
    <w:div w:id="1443721740">
      <w:bodyDiv w:val="1"/>
      <w:marLeft w:val="0"/>
      <w:marRight w:val="0"/>
      <w:marTop w:val="0"/>
      <w:marBottom w:val="0"/>
      <w:divBdr>
        <w:top w:val="none" w:sz="0" w:space="0" w:color="auto"/>
        <w:left w:val="none" w:sz="0" w:space="0" w:color="auto"/>
        <w:bottom w:val="none" w:sz="0" w:space="0" w:color="auto"/>
        <w:right w:val="none" w:sz="0" w:space="0" w:color="auto"/>
      </w:divBdr>
    </w:div>
    <w:div w:id="1465389728">
      <w:bodyDiv w:val="1"/>
      <w:marLeft w:val="0"/>
      <w:marRight w:val="0"/>
      <w:marTop w:val="0"/>
      <w:marBottom w:val="0"/>
      <w:divBdr>
        <w:top w:val="none" w:sz="0" w:space="0" w:color="auto"/>
        <w:left w:val="none" w:sz="0" w:space="0" w:color="auto"/>
        <w:bottom w:val="none" w:sz="0" w:space="0" w:color="auto"/>
        <w:right w:val="none" w:sz="0" w:space="0" w:color="auto"/>
      </w:divBdr>
    </w:div>
    <w:div w:id="1508786457">
      <w:bodyDiv w:val="1"/>
      <w:marLeft w:val="0"/>
      <w:marRight w:val="0"/>
      <w:marTop w:val="0"/>
      <w:marBottom w:val="0"/>
      <w:divBdr>
        <w:top w:val="none" w:sz="0" w:space="0" w:color="auto"/>
        <w:left w:val="none" w:sz="0" w:space="0" w:color="auto"/>
        <w:bottom w:val="none" w:sz="0" w:space="0" w:color="auto"/>
        <w:right w:val="none" w:sz="0" w:space="0" w:color="auto"/>
      </w:divBdr>
      <w:divsChild>
        <w:div w:id="989556836">
          <w:marLeft w:val="0"/>
          <w:marRight w:val="0"/>
          <w:marTop w:val="0"/>
          <w:marBottom w:val="0"/>
          <w:divBdr>
            <w:top w:val="none" w:sz="0" w:space="0" w:color="auto"/>
            <w:left w:val="none" w:sz="0" w:space="0" w:color="auto"/>
            <w:bottom w:val="none" w:sz="0" w:space="0" w:color="auto"/>
            <w:right w:val="none" w:sz="0" w:space="0" w:color="auto"/>
          </w:divBdr>
          <w:divsChild>
            <w:div w:id="707223323">
              <w:marLeft w:val="0"/>
              <w:marRight w:val="0"/>
              <w:marTop w:val="0"/>
              <w:marBottom w:val="0"/>
              <w:divBdr>
                <w:top w:val="none" w:sz="0" w:space="0" w:color="auto"/>
                <w:left w:val="none" w:sz="0" w:space="0" w:color="auto"/>
                <w:bottom w:val="none" w:sz="0" w:space="0" w:color="auto"/>
                <w:right w:val="none" w:sz="0" w:space="0" w:color="auto"/>
              </w:divBdr>
              <w:divsChild>
                <w:div w:id="36884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85380">
      <w:bodyDiv w:val="1"/>
      <w:marLeft w:val="0"/>
      <w:marRight w:val="0"/>
      <w:marTop w:val="0"/>
      <w:marBottom w:val="0"/>
      <w:divBdr>
        <w:top w:val="none" w:sz="0" w:space="0" w:color="auto"/>
        <w:left w:val="none" w:sz="0" w:space="0" w:color="auto"/>
        <w:bottom w:val="none" w:sz="0" w:space="0" w:color="auto"/>
        <w:right w:val="none" w:sz="0" w:space="0" w:color="auto"/>
      </w:divBdr>
      <w:divsChild>
        <w:div w:id="525141095">
          <w:marLeft w:val="0"/>
          <w:marRight w:val="0"/>
          <w:marTop w:val="0"/>
          <w:marBottom w:val="0"/>
          <w:divBdr>
            <w:top w:val="none" w:sz="0" w:space="0" w:color="auto"/>
            <w:left w:val="none" w:sz="0" w:space="0" w:color="auto"/>
            <w:bottom w:val="none" w:sz="0" w:space="0" w:color="auto"/>
            <w:right w:val="none" w:sz="0" w:space="0" w:color="auto"/>
          </w:divBdr>
          <w:divsChild>
            <w:div w:id="2036880317">
              <w:marLeft w:val="0"/>
              <w:marRight w:val="0"/>
              <w:marTop w:val="0"/>
              <w:marBottom w:val="0"/>
              <w:divBdr>
                <w:top w:val="none" w:sz="0" w:space="0" w:color="auto"/>
                <w:left w:val="none" w:sz="0" w:space="0" w:color="auto"/>
                <w:bottom w:val="none" w:sz="0" w:space="0" w:color="auto"/>
                <w:right w:val="none" w:sz="0" w:space="0" w:color="auto"/>
              </w:divBdr>
              <w:divsChild>
                <w:div w:id="91976442">
                  <w:marLeft w:val="0"/>
                  <w:marRight w:val="0"/>
                  <w:marTop w:val="0"/>
                  <w:marBottom w:val="0"/>
                  <w:divBdr>
                    <w:top w:val="none" w:sz="0" w:space="0" w:color="auto"/>
                    <w:left w:val="none" w:sz="0" w:space="0" w:color="auto"/>
                    <w:bottom w:val="none" w:sz="0" w:space="0" w:color="auto"/>
                    <w:right w:val="none" w:sz="0" w:space="0" w:color="auto"/>
                  </w:divBdr>
                  <w:divsChild>
                    <w:div w:id="146492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869663">
      <w:bodyDiv w:val="1"/>
      <w:marLeft w:val="0"/>
      <w:marRight w:val="0"/>
      <w:marTop w:val="0"/>
      <w:marBottom w:val="0"/>
      <w:divBdr>
        <w:top w:val="none" w:sz="0" w:space="0" w:color="auto"/>
        <w:left w:val="none" w:sz="0" w:space="0" w:color="auto"/>
        <w:bottom w:val="none" w:sz="0" w:space="0" w:color="auto"/>
        <w:right w:val="none" w:sz="0" w:space="0" w:color="auto"/>
      </w:divBdr>
      <w:divsChild>
        <w:div w:id="191040131">
          <w:marLeft w:val="0"/>
          <w:marRight w:val="0"/>
          <w:marTop w:val="0"/>
          <w:marBottom w:val="0"/>
          <w:divBdr>
            <w:top w:val="none" w:sz="0" w:space="0" w:color="auto"/>
            <w:left w:val="none" w:sz="0" w:space="0" w:color="auto"/>
            <w:bottom w:val="none" w:sz="0" w:space="0" w:color="auto"/>
            <w:right w:val="none" w:sz="0" w:space="0" w:color="auto"/>
          </w:divBdr>
          <w:divsChild>
            <w:div w:id="1873225584">
              <w:marLeft w:val="0"/>
              <w:marRight w:val="0"/>
              <w:marTop w:val="0"/>
              <w:marBottom w:val="0"/>
              <w:divBdr>
                <w:top w:val="none" w:sz="0" w:space="0" w:color="auto"/>
                <w:left w:val="none" w:sz="0" w:space="0" w:color="auto"/>
                <w:bottom w:val="none" w:sz="0" w:space="0" w:color="auto"/>
                <w:right w:val="none" w:sz="0" w:space="0" w:color="auto"/>
              </w:divBdr>
              <w:divsChild>
                <w:div w:id="130096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86087">
      <w:bodyDiv w:val="1"/>
      <w:marLeft w:val="0"/>
      <w:marRight w:val="0"/>
      <w:marTop w:val="0"/>
      <w:marBottom w:val="0"/>
      <w:divBdr>
        <w:top w:val="none" w:sz="0" w:space="0" w:color="auto"/>
        <w:left w:val="none" w:sz="0" w:space="0" w:color="auto"/>
        <w:bottom w:val="none" w:sz="0" w:space="0" w:color="auto"/>
        <w:right w:val="none" w:sz="0" w:space="0" w:color="auto"/>
      </w:divBdr>
    </w:div>
    <w:div w:id="2023970213">
      <w:bodyDiv w:val="1"/>
      <w:marLeft w:val="0"/>
      <w:marRight w:val="0"/>
      <w:marTop w:val="0"/>
      <w:marBottom w:val="0"/>
      <w:divBdr>
        <w:top w:val="none" w:sz="0" w:space="0" w:color="auto"/>
        <w:left w:val="none" w:sz="0" w:space="0" w:color="auto"/>
        <w:bottom w:val="none" w:sz="0" w:space="0" w:color="auto"/>
        <w:right w:val="none" w:sz="0" w:space="0" w:color="auto"/>
      </w:divBdr>
    </w:div>
    <w:div w:id="208286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77/135910457000100301" TargetMode="External"/><Relationship Id="rId18" Type="http://schemas.openxmlformats.org/officeDocument/2006/relationships/hyperlink" Target="https://doi.org/10.1207/s15328007sem1203_7" TargetMode="External"/><Relationship Id="rId26" Type="http://schemas.openxmlformats.org/officeDocument/2006/relationships/hyperlink" Target="https://doi.org/10.1016/j.bodyim.2018.01.008" TargetMode="External"/><Relationship Id="rId39" Type="http://schemas.openxmlformats.org/officeDocument/2006/relationships/hyperlink" Target="https://doi.org/10.1038/s41439-020-0616-5" TargetMode="External"/><Relationship Id="rId21" Type="http://schemas.openxmlformats.org/officeDocument/2006/relationships/hyperlink" Target="https://doi.org/10.1007/s40519-018-0557-3" TargetMode="External"/><Relationship Id="rId34" Type="http://schemas.openxmlformats.org/officeDocument/2006/relationships/hyperlink" Target="https://doi.org/10.20960/nh.1296" TargetMode="External"/><Relationship Id="rId42" Type="http://schemas.openxmlformats.org/officeDocument/2006/relationships/hyperlink" Target="https://doi.org/10.1016/j.appet.2017.06.018" TargetMode="External"/><Relationship Id="rId47" Type="http://schemas.openxmlformats.org/officeDocument/2006/relationships/hyperlink" Target="https://doi.org/10.1177/096228029800700306" TargetMode="External"/><Relationship Id="rId50" Type="http://schemas.openxmlformats.org/officeDocument/2006/relationships/hyperlink" Target="https://doi.org/j.bodyim.2020.01.003" TargetMode="External"/><Relationship Id="rId55" Type="http://schemas.openxmlformats.org/officeDocument/2006/relationships/hyperlink" Target="https://doi.org/10.1037/a0030893" TargetMode="External"/><Relationship Id="rId63" Type="http://schemas.openxmlformats.org/officeDocument/2006/relationships/fontTable" Target="fontTable.xml"/><Relationship Id="rId7" Type="http://schemas.openxmlformats.org/officeDocument/2006/relationships/hyperlink" Target="mailto:viren.swami@anglia.ac.uk" TargetMode="External"/><Relationship Id="rId2" Type="http://schemas.openxmlformats.org/officeDocument/2006/relationships/styles" Target="styles.xml"/><Relationship Id="rId16" Type="http://schemas.openxmlformats.org/officeDocument/2006/relationships/hyperlink" Target="https://doi.org/10.1016/j.appet.2016.05.001" TargetMode="External"/><Relationship Id="rId29" Type="http://schemas.openxmlformats.org/officeDocument/2006/relationships/hyperlink" Target="https://doi.org/10.1515/cerce-2017-0009" TargetMode="External"/><Relationship Id="rId11" Type="http://schemas.openxmlformats.org/officeDocument/2006/relationships/hyperlink" Target="https://doi.org/10.1027/1015-5759/a000482" TargetMode="External"/><Relationship Id="rId24" Type="http://schemas.openxmlformats.org/officeDocument/2006/relationships/hyperlink" Target="https://doi.org/10.1177/1094428104263675" TargetMode="External"/><Relationship Id="rId32" Type="http://schemas.openxmlformats.org/officeDocument/2006/relationships/hyperlink" Target="https://doi.org/10.1016/j.appet.2019.104390" TargetMode="External"/><Relationship Id="rId37" Type="http://schemas.openxmlformats.org/officeDocument/2006/relationships/hyperlink" Target="https://doi.org/10.1037/0021-9010.93.3.568" TargetMode="External"/><Relationship Id="rId40" Type="http://schemas.openxmlformats.org/officeDocument/2006/relationships/hyperlink" Target="https://cran.r-project.org/web/packages/psych/index.html" TargetMode="External"/><Relationship Id="rId45" Type="http://schemas.openxmlformats.org/officeDocument/2006/relationships/hyperlink" Target="https://doi.org/10.1016/j.eatbeh.2017.11.003" TargetMode="External"/><Relationship Id="rId53" Type="http://schemas.openxmlformats.org/officeDocument/2006/relationships/hyperlink" Target="https://doi.org/10.1037/0022-0167.53.2.226" TargetMode="External"/><Relationship Id="rId58" Type="http://schemas.openxmlformats.org/officeDocument/2006/relationships/hyperlink" Target="https://doi.org/10.3390/su11195255" TargetMode="External"/><Relationship Id="rId5" Type="http://schemas.openxmlformats.org/officeDocument/2006/relationships/footnotes" Target="footnotes.xml"/><Relationship Id="rId61" Type="http://schemas.openxmlformats.org/officeDocument/2006/relationships/hyperlink" Target="https://doi.org/10.1177/0011000006288127" TargetMode="External"/><Relationship Id="rId19" Type="http://schemas.openxmlformats.org/officeDocument/2006/relationships/hyperlink" Target="https://doi.org/10.1207/s15328007sem0902_5" TargetMode="External"/><Relationship Id="rId14" Type="http://schemas.openxmlformats.org/officeDocument/2006/relationships/hyperlink" Target="https://doi.org/10.1016/j.appet.2014.09.009" TargetMode="External"/><Relationship Id="rId22" Type="http://schemas.openxmlformats.org/officeDocument/2006/relationships/hyperlink" Target="https://doi.org/10.1111/bjop.12046" TargetMode="External"/><Relationship Id="rId27" Type="http://schemas.openxmlformats.org/officeDocument/2006/relationships/hyperlink" Target="https://doi.org/10.1016/j.appet.2018.12.036" TargetMode="External"/><Relationship Id="rId30" Type="http://schemas.openxmlformats.org/officeDocument/2006/relationships/hyperlink" Target="https://CRAN.R-project.org/package=semTools" TargetMode="External"/><Relationship Id="rId35" Type="http://schemas.openxmlformats.org/officeDocument/2006/relationships/hyperlink" Target="https://doi.org/10.1023/A:1006824100041" TargetMode="External"/><Relationship Id="rId43" Type="http://schemas.openxmlformats.org/officeDocument/2006/relationships/hyperlink" Target="https://doi.org/10.1515/irsr-2011-0001" TargetMode="External"/><Relationship Id="rId48" Type="http://schemas.openxmlformats.org/officeDocument/2006/relationships/hyperlink" Target="https://doi.org/10.1016/j.paid.2006.09.017" TargetMode="External"/><Relationship Id="rId56" Type="http://schemas.openxmlformats.org/officeDocument/2006/relationships/hyperlink" Target="https://doi.org/10.1016/j.bodyim.2014.09.006" TargetMode="External"/><Relationship Id="rId64" Type="http://schemas.openxmlformats.org/officeDocument/2006/relationships/theme" Target="theme/theme1.xml"/><Relationship Id="rId8" Type="http://schemas.openxmlformats.org/officeDocument/2006/relationships/hyperlink" Target="https://doi.org/10.1007/s12144-018-0024-3" TargetMode="External"/><Relationship Id="rId51" Type="http://schemas.openxmlformats.org/officeDocument/2006/relationships/hyperlink" Target="https://doi.org/10.1016/j.bodyim.2017.08.001" TargetMode="External"/><Relationship Id="rId3" Type="http://schemas.openxmlformats.org/officeDocument/2006/relationships/settings" Target="settings.xml"/><Relationship Id="rId12" Type="http://schemas.openxmlformats.org/officeDocument/2006/relationships/hyperlink" Target="https://doi.org/10.1016/j.appet.2017.04.017" TargetMode="External"/><Relationship Id="rId17" Type="http://schemas.openxmlformats.org/officeDocument/2006/relationships/hyperlink" Target="https://doi.org/10.1076/jcen.23.4.530.1227" TargetMode="External"/><Relationship Id="rId25" Type="http://schemas.openxmlformats.org/officeDocument/2006/relationships/hyperlink" Target="https://doi.org/10.1007/s40519-020-00852-4" TargetMode="External"/><Relationship Id="rId33" Type="http://schemas.openxmlformats.org/officeDocument/2006/relationships/hyperlink" Target="https://doi.org/10.1027/1614-1881.2.2.57" TargetMode="External"/><Relationship Id="rId38" Type="http://schemas.openxmlformats.org/officeDocument/2006/relationships/hyperlink" Target="https://doi.org/7674.51.P8592" TargetMode="External"/><Relationship Id="rId46" Type="http://schemas.openxmlformats.org/officeDocument/2006/relationships/hyperlink" Target="https://doi.org/10.1037/0022-3514.89.3.623" TargetMode="External"/><Relationship Id="rId59" Type="http://schemas.openxmlformats.org/officeDocument/2006/relationships/header" Target="header1.xml"/><Relationship Id="rId20" Type="http://schemas.openxmlformats.org/officeDocument/2006/relationships/hyperlink" Target="https://doi.org/10.1016/j.eatbeh.2019.03.002" TargetMode="External"/><Relationship Id="rId41" Type="http://schemas.openxmlformats.org/officeDocument/2006/relationships/hyperlink" Target="https://doi.org/10.4183/aed.2015.64" TargetMode="External"/><Relationship Id="rId54" Type="http://schemas.openxmlformats.org/officeDocument/2006/relationships/hyperlink" Target="https://doi.org/10.1080/10640266.2019.1580126" TargetMode="External"/><Relationship Id="rId62"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i/org/10.1002/oby.21440" TargetMode="External"/><Relationship Id="rId23" Type="http://schemas.openxmlformats.org/officeDocument/2006/relationships/hyperlink" Target="https://doi.org/10.2307/3151312" TargetMode="External"/><Relationship Id="rId28" Type="http://schemas.openxmlformats.org/officeDocument/2006/relationships/hyperlink" Target="https://doi.org/10.1080/10705519909540118" TargetMode="External"/><Relationship Id="rId36" Type="http://schemas.openxmlformats.org/officeDocument/2006/relationships/hyperlink" Target="https://doi.org/health.2020.124024" TargetMode="External"/><Relationship Id="rId49" Type="http://schemas.openxmlformats.org/officeDocument/2006/relationships/hyperlink" Target="https://doi.org/10.1016/j.bodyim.2018.08.014" TargetMode="External"/><Relationship Id="rId57" Type="http://schemas.openxmlformats.org/officeDocument/2006/relationships/hyperlink" Target="https://doi.org/10.1016/j.appet.2016.07.019" TargetMode="External"/><Relationship Id="rId10" Type="http://schemas.openxmlformats.org/officeDocument/2006/relationships/hyperlink" Target="https://doi.org/10.1016/j.jneb.2019.03.01" TargetMode="External"/><Relationship Id="rId31" Type="http://schemas.openxmlformats.org/officeDocument/2006/relationships/hyperlink" Target="https://doi.org/10.1016/j.eatbeh.2019.04.004" TargetMode="External"/><Relationship Id="rId44" Type="http://schemas.openxmlformats.org/officeDocument/2006/relationships/hyperlink" Target="https://doi.org/10.1007/BF02296192" TargetMode="External"/><Relationship Id="rId52" Type="http://schemas.openxmlformats.org/officeDocument/2006/relationships/hyperlink" Target="https://doi.org/10.1016/j.sbspro.2012.01.156" TargetMode="External"/><Relationship Id="rId6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doi.org/10.24193/tras.55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47</Pages>
  <Words>12729</Words>
  <Characters>72557</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Viren Swami</dc:creator>
  <cp:keywords/>
  <dc:description/>
  <cp:lastModifiedBy>Blanshard, Lisa</cp:lastModifiedBy>
  <cp:revision>7</cp:revision>
  <dcterms:created xsi:type="dcterms:W3CDTF">2020-09-13T04:57:00Z</dcterms:created>
  <dcterms:modified xsi:type="dcterms:W3CDTF">2020-09-29T11:57:00Z</dcterms:modified>
</cp:coreProperties>
</file>