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CEBCF" w14:textId="77777777" w:rsidR="00521DE0" w:rsidRPr="005D36B8" w:rsidRDefault="00521DE0" w:rsidP="004F51DA">
      <w:pPr>
        <w:pStyle w:val="Heading1"/>
        <w:rPr>
          <w:b w:val="0"/>
        </w:rPr>
      </w:pPr>
      <w:bookmarkStart w:id="0" w:name="_Hlk34866071"/>
      <w:bookmarkEnd w:id="0"/>
      <w:r w:rsidRPr="005D36B8">
        <w:t xml:space="preserve">The Impacts of Structural Oil Shocks on </w:t>
      </w:r>
      <w:bookmarkStart w:id="1" w:name="_Hlk35168070"/>
      <w:r w:rsidRPr="005D36B8">
        <w:t>Macroeconomic Uncertainty</w:t>
      </w:r>
      <w:bookmarkEnd w:id="1"/>
      <w:r w:rsidRPr="005D36B8">
        <w:t xml:space="preserve">: Evidence from a Large Panel of </w:t>
      </w:r>
      <w:r>
        <w:t>4</w:t>
      </w:r>
      <w:r w:rsidRPr="005D36B8">
        <w:t>5 Countries</w:t>
      </w:r>
      <w:r>
        <w:rPr>
          <w:rStyle w:val="FootnoteReference"/>
          <w:rFonts w:cs="Times New Roman"/>
          <w:bCs/>
          <w:szCs w:val="24"/>
        </w:rPr>
        <w:footnoteReference w:customMarkFollows="1" w:id="1"/>
        <w:t>#</w:t>
      </w:r>
    </w:p>
    <w:p w14:paraId="234F4203" w14:textId="77777777" w:rsidR="00521DE0" w:rsidRPr="00D14894" w:rsidRDefault="00521DE0" w:rsidP="00521DE0">
      <w:pPr>
        <w:spacing w:after="0" w:line="360" w:lineRule="auto"/>
        <w:jc w:val="center"/>
        <w:rPr>
          <w:rFonts w:ascii="Times New Roman" w:hAnsi="Times New Roman" w:cs="Times New Roman"/>
          <w:b/>
          <w:bCs/>
          <w:sz w:val="24"/>
          <w:szCs w:val="24"/>
        </w:rPr>
      </w:pPr>
      <w:r w:rsidRPr="0081344B">
        <w:rPr>
          <w:rFonts w:ascii="Times New Roman" w:hAnsi="Times New Roman" w:cs="Times New Roman"/>
          <w:b/>
          <w:sz w:val="24"/>
          <w:szCs w:val="24"/>
        </w:rPr>
        <w:t xml:space="preserve">Xin </w:t>
      </w:r>
      <w:proofErr w:type="spellStart"/>
      <w:r w:rsidRPr="0081344B">
        <w:rPr>
          <w:rFonts w:ascii="Times New Roman" w:hAnsi="Times New Roman" w:cs="Times New Roman"/>
          <w:b/>
          <w:sz w:val="24"/>
          <w:szCs w:val="24"/>
        </w:rPr>
        <w:t>Sheng</w:t>
      </w:r>
      <w:r w:rsidRPr="00D14894">
        <w:rPr>
          <w:rFonts w:ascii="Times New Roman" w:hAnsi="Times New Roman" w:cs="Times New Roman"/>
          <w:b/>
          <w:sz w:val="24"/>
          <w:szCs w:val="24"/>
          <w:vertAlign w:val="superscript"/>
        </w:rPr>
        <w:t>a</w:t>
      </w:r>
      <w:proofErr w:type="spellEnd"/>
      <w:r>
        <w:rPr>
          <w:rFonts w:ascii="Times New Roman" w:hAnsi="Times New Roman" w:cs="Times New Roman"/>
          <w:b/>
          <w:sz w:val="24"/>
          <w:szCs w:val="24"/>
        </w:rPr>
        <w:t xml:space="preserve">, </w:t>
      </w:r>
      <w:proofErr w:type="spellStart"/>
      <w:r w:rsidRPr="0081344B">
        <w:rPr>
          <w:rFonts w:ascii="Times New Roman" w:hAnsi="Times New Roman" w:cs="Times New Roman"/>
          <w:b/>
          <w:sz w:val="24"/>
          <w:szCs w:val="24"/>
        </w:rPr>
        <w:t>Rangan</w:t>
      </w:r>
      <w:proofErr w:type="spellEnd"/>
      <w:r w:rsidRPr="0081344B">
        <w:rPr>
          <w:rFonts w:ascii="Times New Roman" w:hAnsi="Times New Roman" w:cs="Times New Roman"/>
          <w:b/>
          <w:sz w:val="24"/>
          <w:szCs w:val="24"/>
        </w:rPr>
        <w:t xml:space="preserve"> </w:t>
      </w:r>
      <w:proofErr w:type="spellStart"/>
      <w:r w:rsidRPr="0081344B">
        <w:rPr>
          <w:rFonts w:ascii="Times New Roman" w:hAnsi="Times New Roman" w:cs="Times New Roman"/>
          <w:b/>
          <w:sz w:val="24"/>
          <w:szCs w:val="24"/>
        </w:rPr>
        <w:t>Gupta</w:t>
      </w:r>
      <w:r w:rsidRPr="00D14894">
        <w:rPr>
          <w:rFonts w:ascii="Times New Roman" w:hAnsi="Times New Roman" w:cs="Times New Roman"/>
          <w:b/>
          <w:sz w:val="24"/>
          <w:szCs w:val="24"/>
          <w:vertAlign w:val="superscript"/>
        </w:rPr>
        <w:t>b</w:t>
      </w:r>
      <w:proofErr w:type="spellEnd"/>
      <w:r>
        <w:rPr>
          <w:rFonts w:ascii="Times New Roman" w:hAnsi="Times New Roman" w:cs="Times New Roman"/>
          <w:b/>
          <w:sz w:val="24"/>
          <w:szCs w:val="24"/>
        </w:rPr>
        <w:t xml:space="preserve">, </w:t>
      </w:r>
      <w:proofErr w:type="spellStart"/>
      <w:r w:rsidRPr="00BF1B2B">
        <w:rPr>
          <w:rFonts w:ascii="Times New Roman" w:hAnsi="Times New Roman" w:cs="Times New Roman"/>
          <w:b/>
          <w:bCs/>
          <w:sz w:val="24"/>
          <w:szCs w:val="24"/>
        </w:rPr>
        <w:t>Qiang</w:t>
      </w:r>
      <w:proofErr w:type="spellEnd"/>
      <w:r w:rsidRPr="00BF1B2B">
        <w:rPr>
          <w:rFonts w:ascii="Times New Roman" w:hAnsi="Times New Roman" w:cs="Times New Roman"/>
          <w:b/>
          <w:bCs/>
          <w:sz w:val="24"/>
          <w:szCs w:val="24"/>
        </w:rPr>
        <w:t xml:space="preserve"> Ji</w:t>
      </w:r>
      <w:r>
        <w:rPr>
          <w:rStyle w:val="FootnoteReference"/>
          <w:rFonts w:ascii="Times New Roman" w:hAnsi="Times New Roman" w:cs="Times New Roman"/>
          <w:b/>
          <w:bCs/>
          <w:sz w:val="24"/>
          <w:szCs w:val="24"/>
        </w:rPr>
        <w:footnoteReference w:customMarkFollows="1" w:id="2"/>
        <w:t>*</w:t>
      </w:r>
      <w:r w:rsidRPr="00D14894">
        <w:rPr>
          <w:rFonts w:ascii="Times New Roman" w:hAnsi="Times New Roman" w:cs="Times New Roman"/>
          <w:b/>
          <w:bCs/>
          <w:sz w:val="24"/>
          <w:szCs w:val="24"/>
          <w:vertAlign w:val="superscript"/>
        </w:rPr>
        <w:t>c</w:t>
      </w:r>
    </w:p>
    <w:p w14:paraId="32A43074" w14:textId="77777777" w:rsidR="00521DE0" w:rsidRDefault="00521DE0" w:rsidP="00521DE0">
      <w:pPr>
        <w:spacing w:after="0" w:line="360" w:lineRule="auto"/>
        <w:jc w:val="center"/>
        <w:rPr>
          <w:rFonts w:ascii="Times New Roman" w:hAnsi="Times New Roman" w:cs="Times New Roman"/>
          <w:sz w:val="24"/>
          <w:szCs w:val="24"/>
        </w:rPr>
      </w:pPr>
      <w:r w:rsidRPr="00D14894">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81344B">
        <w:rPr>
          <w:rFonts w:ascii="Times New Roman" w:hAnsi="Times New Roman" w:cs="Times New Roman"/>
          <w:sz w:val="24"/>
          <w:szCs w:val="24"/>
        </w:rPr>
        <w:t xml:space="preserve">Lord Ashcroft International Business School, Anglia Ruskin University, Chelmsford, CM1 1SQ, United Kingdom. </w:t>
      </w:r>
    </w:p>
    <w:p w14:paraId="5FE390EE" w14:textId="77777777" w:rsidR="00521DE0" w:rsidRPr="0081344B" w:rsidRDefault="00521DE0" w:rsidP="00521DE0">
      <w:pPr>
        <w:spacing w:after="0" w:line="360" w:lineRule="auto"/>
        <w:jc w:val="center"/>
        <w:rPr>
          <w:rFonts w:ascii="Times New Roman" w:hAnsi="Times New Roman" w:cs="Times New Roman"/>
          <w:sz w:val="24"/>
          <w:szCs w:val="24"/>
        </w:rPr>
      </w:pPr>
      <w:r w:rsidRPr="00D14894">
        <w:rPr>
          <w:rFonts w:ascii="Times New Roman" w:hAnsi="Times New Roman" w:cs="Times New Roman"/>
          <w:bCs/>
          <w:sz w:val="24"/>
          <w:szCs w:val="24"/>
          <w:vertAlign w:val="superscript"/>
        </w:rPr>
        <w:t>b</w:t>
      </w:r>
      <w:r>
        <w:rPr>
          <w:rFonts w:ascii="Times New Roman" w:hAnsi="Times New Roman" w:cs="Times New Roman"/>
          <w:sz w:val="24"/>
          <w:szCs w:val="24"/>
        </w:rPr>
        <w:t xml:space="preserve"> </w:t>
      </w:r>
      <w:r w:rsidRPr="0081344B">
        <w:rPr>
          <w:rFonts w:ascii="Times New Roman" w:hAnsi="Times New Roman" w:cs="Times New Roman"/>
          <w:sz w:val="24"/>
          <w:szCs w:val="24"/>
        </w:rPr>
        <w:t xml:space="preserve">Department of Economics, University of Pretoria, Pretoria, 0002, South Africa. </w:t>
      </w:r>
    </w:p>
    <w:p w14:paraId="383BDC8B" w14:textId="77777777" w:rsidR="00521DE0" w:rsidRDefault="00521DE0" w:rsidP="00521DE0">
      <w:pPr>
        <w:spacing w:after="0" w:line="360" w:lineRule="auto"/>
        <w:jc w:val="center"/>
        <w:rPr>
          <w:rFonts w:ascii="Times New Roman" w:hAnsi="Times New Roman" w:cs="Times New Roman"/>
          <w:sz w:val="24"/>
          <w:szCs w:val="24"/>
        </w:rPr>
      </w:pPr>
      <w:r w:rsidRPr="00D14894">
        <w:rPr>
          <w:rFonts w:ascii="Times New Roman" w:hAnsi="Times New Roman" w:cs="Times New Roman"/>
          <w:sz w:val="24"/>
          <w:szCs w:val="24"/>
          <w:vertAlign w:val="superscript"/>
        </w:rPr>
        <w:t>c</w:t>
      </w:r>
      <w:r>
        <w:rPr>
          <w:rFonts w:ascii="Times New Roman" w:hAnsi="Times New Roman" w:cs="Times New Roman"/>
          <w:sz w:val="24"/>
          <w:szCs w:val="24"/>
        </w:rPr>
        <w:t xml:space="preserve"> </w:t>
      </w:r>
      <w:r w:rsidRPr="00BF1B2B">
        <w:rPr>
          <w:rFonts w:ascii="Times New Roman" w:hAnsi="Times New Roman" w:cs="Times New Roman"/>
          <w:sz w:val="24"/>
          <w:szCs w:val="24"/>
        </w:rPr>
        <w:t>Institutes of Science and Development, Chinese Academy of Sciences, Beijing 100190, China.</w:t>
      </w:r>
    </w:p>
    <w:p w14:paraId="6B88916B" w14:textId="77777777" w:rsidR="00521DE0" w:rsidRPr="00D14894" w:rsidRDefault="00521DE0" w:rsidP="00521DE0">
      <w:pPr>
        <w:snapToGrid w:val="0"/>
        <w:spacing w:after="0" w:line="480" w:lineRule="auto"/>
        <w:jc w:val="both"/>
        <w:rPr>
          <w:rFonts w:ascii="Times New Roman" w:hAnsi="Times New Roman" w:cs="Times New Roman"/>
          <w:b/>
          <w:sz w:val="24"/>
          <w:szCs w:val="24"/>
        </w:rPr>
      </w:pPr>
      <w:r w:rsidRPr="005D36B8">
        <w:rPr>
          <w:rFonts w:ascii="Times New Roman" w:hAnsi="Times New Roman" w:cs="Times New Roman"/>
          <w:b/>
          <w:sz w:val="24"/>
          <w:szCs w:val="24"/>
        </w:rPr>
        <w:t>Abstract</w:t>
      </w:r>
      <w:r>
        <w:rPr>
          <w:rFonts w:ascii="Times New Roman" w:hAnsi="Times New Roman" w:cs="Times New Roman" w:hint="eastAsia"/>
          <w:b/>
          <w:sz w:val="24"/>
          <w:szCs w:val="24"/>
        </w:rPr>
        <w:t xml:space="preserve">: </w:t>
      </w:r>
      <w:r w:rsidRPr="005D36B8">
        <w:rPr>
          <w:rFonts w:ascii="Times New Roman" w:hAnsi="Times New Roman" w:cs="Times New Roman"/>
          <w:sz w:val="24"/>
          <w:szCs w:val="24"/>
        </w:rPr>
        <w:t>Using local projection methods, this paper employs monthly panel data from 1989 to 2017 to examine both linear and nonlinear impulse responses of macroeconomic uncertainty to structural shocks to global oil production, aggregate demand, oil</w:t>
      </w:r>
      <w:r>
        <w:rPr>
          <w:rFonts w:ascii="Times New Roman" w:hAnsi="Times New Roman" w:cs="Times New Roman"/>
          <w:sz w:val="24"/>
          <w:szCs w:val="24"/>
        </w:rPr>
        <w:t>-</w:t>
      </w:r>
      <w:r w:rsidRPr="005D36B8">
        <w:rPr>
          <w:rFonts w:ascii="Times New Roman" w:hAnsi="Times New Roman" w:cs="Times New Roman"/>
          <w:sz w:val="24"/>
          <w:szCs w:val="24"/>
        </w:rPr>
        <w:t xml:space="preserve">market-specific demand and speculative demand in a large group of </w:t>
      </w:r>
      <w:r>
        <w:rPr>
          <w:rFonts w:ascii="Times New Roman" w:hAnsi="Times New Roman" w:cs="Times New Roman"/>
          <w:sz w:val="24"/>
          <w:szCs w:val="24"/>
        </w:rPr>
        <w:t>4</w:t>
      </w:r>
      <w:r w:rsidRPr="005D36B8">
        <w:rPr>
          <w:rFonts w:ascii="Times New Roman" w:hAnsi="Times New Roman" w:cs="Times New Roman"/>
          <w:sz w:val="24"/>
          <w:szCs w:val="24"/>
        </w:rPr>
        <w:t xml:space="preserve">5 economies. We find that both oil supply and demand shocks are important drivers of uncertainty. There is strong evidence that the impacts of oil price shocks on macroeconomic uncertainty are regime-dependent </w:t>
      </w:r>
      <w:bookmarkStart w:id="2" w:name="_Hlk45793671"/>
      <w:r w:rsidRPr="005D36B8">
        <w:rPr>
          <w:rFonts w:ascii="Times New Roman" w:hAnsi="Times New Roman" w:cs="Times New Roman"/>
          <w:sz w:val="24"/>
          <w:szCs w:val="24"/>
        </w:rPr>
        <w:t>and contingent on the states of investor sentiments and perceived volatility in financial markets</w:t>
      </w:r>
      <w:bookmarkEnd w:id="2"/>
      <w:r w:rsidRPr="005D36B8">
        <w:rPr>
          <w:rFonts w:ascii="Times New Roman" w:hAnsi="Times New Roman" w:cs="Times New Roman"/>
          <w:sz w:val="24"/>
          <w:szCs w:val="24"/>
        </w:rPr>
        <w:t>. The responses of economic uncertainty to oil shocks, especially demand-side shocks, appear to experience a dramatic change in the post-Global Financial Crisis period.</w:t>
      </w:r>
    </w:p>
    <w:p w14:paraId="713F964D"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2F75FF7C"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b/>
          <w:sz w:val="24"/>
          <w:szCs w:val="24"/>
        </w:rPr>
        <w:t>Keywords:</w:t>
      </w:r>
      <w:r w:rsidRPr="005D36B8">
        <w:rPr>
          <w:rFonts w:ascii="Times New Roman" w:hAnsi="Times New Roman" w:cs="Times New Roman"/>
          <w:sz w:val="24"/>
          <w:szCs w:val="24"/>
        </w:rPr>
        <w:t xml:space="preserve"> Oil shocks, uncertainty, local projections, regime-dependent</w:t>
      </w:r>
      <w:r>
        <w:rPr>
          <w:rFonts w:ascii="Times New Roman" w:hAnsi="Times New Roman" w:cs="Times New Roman"/>
          <w:sz w:val="24"/>
          <w:szCs w:val="24"/>
        </w:rPr>
        <w:t xml:space="preserve"> impulse responses</w:t>
      </w:r>
    </w:p>
    <w:p w14:paraId="5CD70718" w14:textId="77777777" w:rsidR="00521DE0"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b/>
          <w:sz w:val="24"/>
          <w:szCs w:val="24"/>
        </w:rPr>
        <w:t>JEL Codes:</w:t>
      </w:r>
      <w:r w:rsidRPr="005D36B8">
        <w:rPr>
          <w:rFonts w:ascii="Times New Roman" w:hAnsi="Times New Roman" w:cs="Times New Roman"/>
          <w:sz w:val="24"/>
          <w:szCs w:val="24"/>
        </w:rPr>
        <w:t xml:space="preserve"> C22, Q02</w:t>
      </w:r>
    </w:p>
    <w:p w14:paraId="403815C3" w14:textId="77777777" w:rsidR="00521DE0" w:rsidRDefault="00521DE0" w:rsidP="00521DE0">
      <w:pPr>
        <w:spacing w:after="0" w:line="360" w:lineRule="auto"/>
        <w:jc w:val="both"/>
        <w:rPr>
          <w:rFonts w:ascii="Times New Roman" w:hAnsi="Times New Roman" w:cs="Times New Roman"/>
          <w:sz w:val="24"/>
          <w:szCs w:val="24"/>
        </w:rPr>
      </w:pPr>
    </w:p>
    <w:p w14:paraId="42A79ED9" w14:textId="77777777" w:rsidR="00521DE0" w:rsidRDefault="00521DE0" w:rsidP="00521DE0">
      <w:pPr>
        <w:spacing w:after="0" w:line="360" w:lineRule="auto"/>
        <w:jc w:val="both"/>
        <w:rPr>
          <w:rFonts w:ascii="Times New Roman" w:hAnsi="Times New Roman" w:cs="Times New Roman"/>
          <w:sz w:val="24"/>
          <w:szCs w:val="24"/>
        </w:rPr>
      </w:pPr>
    </w:p>
    <w:p w14:paraId="3385CFD6" w14:textId="77777777" w:rsidR="00521DE0" w:rsidRDefault="00521DE0" w:rsidP="00521DE0">
      <w:pPr>
        <w:spacing w:after="0" w:line="360" w:lineRule="auto"/>
        <w:jc w:val="both"/>
        <w:rPr>
          <w:rFonts w:ascii="Times New Roman" w:hAnsi="Times New Roman" w:cs="Times New Roman"/>
          <w:sz w:val="24"/>
          <w:szCs w:val="24"/>
        </w:rPr>
      </w:pPr>
    </w:p>
    <w:p w14:paraId="2F8318E3" w14:textId="77777777" w:rsidR="00521DE0" w:rsidRDefault="00521DE0" w:rsidP="00521DE0">
      <w:pPr>
        <w:spacing w:after="0" w:line="360" w:lineRule="auto"/>
        <w:jc w:val="both"/>
        <w:rPr>
          <w:rFonts w:ascii="Times New Roman" w:hAnsi="Times New Roman" w:cs="Times New Roman"/>
          <w:sz w:val="24"/>
          <w:szCs w:val="24"/>
        </w:rPr>
      </w:pPr>
    </w:p>
    <w:p w14:paraId="535E95A1" w14:textId="77777777" w:rsidR="00521DE0" w:rsidRDefault="00521DE0" w:rsidP="00521DE0">
      <w:pPr>
        <w:spacing w:after="0" w:line="360" w:lineRule="auto"/>
        <w:jc w:val="both"/>
        <w:rPr>
          <w:rFonts w:ascii="Times New Roman" w:hAnsi="Times New Roman" w:cs="Times New Roman"/>
          <w:sz w:val="24"/>
          <w:szCs w:val="24"/>
        </w:rPr>
      </w:pPr>
    </w:p>
    <w:p w14:paraId="6E9F212B" w14:textId="77777777" w:rsidR="00521DE0" w:rsidRDefault="00521DE0" w:rsidP="00521DE0">
      <w:pPr>
        <w:spacing w:after="0" w:line="360" w:lineRule="auto"/>
        <w:jc w:val="both"/>
        <w:rPr>
          <w:rFonts w:ascii="Times New Roman" w:hAnsi="Times New Roman" w:cs="Times New Roman"/>
          <w:sz w:val="24"/>
          <w:szCs w:val="24"/>
        </w:rPr>
      </w:pPr>
    </w:p>
    <w:p w14:paraId="490E494C" w14:textId="77777777" w:rsidR="00521DE0" w:rsidRPr="005D36B8" w:rsidRDefault="00521DE0" w:rsidP="004F51DA">
      <w:pPr>
        <w:pStyle w:val="Heading1"/>
      </w:pPr>
      <w:r>
        <w:lastRenderedPageBreak/>
        <w:t xml:space="preserve">1. </w:t>
      </w:r>
      <w:r w:rsidRPr="005D36B8">
        <w:t>Introduction</w:t>
      </w:r>
    </w:p>
    <w:p w14:paraId="1BC94B1F" w14:textId="77777777" w:rsidR="00FC6120"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The macroeconomic effects of oil price shocks have been widely studied in the literature since the seminal work of Hamilton (1983). It is well established that oil shocks are closely associated with a number of macroeconomic and financial variables, including employment, aggregate output, inflation, stock returns</w:t>
      </w:r>
      <w:r>
        <w:rPr>
          <w:rFonts w:ascii="Times New Roman" w:hAnsi="Times New Roman" w:cs="Times New Roman"/>
          <w:sz w:val="24"/>
          <w:szCs w:val="24"/>
        </w:rPr>
        <w:t xml:space="preserve"> and</w:t>
      </w:r>
      <w:r w:rsidRPr="005D36B8">
        <w:rPr>
          <w:rFonts w:ascii="Times New Roman" w:hAnsi="Times New Roman" w:cs="Times New Roman"/>
          <w:sz w:val="24"/>
          <w:szCs w:val="24"/>
        </w:rPr>
        <w:t xml:space="preserve"> exchange rates (see, e.g., </w:t>
      </w:r>
      <w:proofErr w:type="spellStart"/>
      <w:r w:rsidRPr="005D36B8">
        <w:rPr>
          <w:rFonts w:ascii="Times New Roman" w:hAnsi="Times New Roman" w:cs="Times New Roman"/>
          <w:color w:val="222222"/>
          <w:sz w:val="24"/>
          <w:szCs w:val="24"/>
          <w:shd w:val="clear" w:color="auto" w:fill="FFFFFF"/>
        </w:rPr>
        <w:t>Antonakakis</w:t>
      </w:r>
      <w:proofErr w:type="spellEnd"/>
      <w:r>
        <w:rPr>
          <w:rFonts w:ascii="Times New Roman" w:hAnsi="Times New Roman" w:cs="Times New Roman"/>
          <w:color w:val="222222"/>
          <w:sz w:val="24"/>
          <w:szCs w:val="24"/>
          <w:shd w:val="clear" w:color="auto" w:fill="FFFFFF"/>
        </w:rPr>
        <w:t xml:space="preserve"> et al.</w:t>
      </w:r>
      <w:r w:rsidRPr="005D36B8">
        <w:rPr>
          <w:rFonts w:ascii="Times New Roman" w:hAnsi="Times New Roman" w:cs="Times New Roman"/>
          <w:color w:val="222222"/>
          <w:sz w:val="24"/>
          <w:szCs w:val="24"/>
          <w:shd w:val="clear" w:color="auto" w:fill="FFFFFF"/>
        </w:rPr>
        <w:t xml:space="preserve">, 2017; </w:t>
      </w:r>
      <w:proofErr w:type="spellStart"/>
      <w:r w:rsidRPr="005D36B8">
        <w:rPr>
          <w:rFonts w:ascii="Times New Roman" w:hAnsi="Times New Roman" w:cs="Times New Roman"/>
          <w:color w:val="222222"/>
          <w:sz w:val="24"/>
          <w:szCs w:val="24"/>
          <w:shd w:val="clear" w:color="auto" w:fill="FFFFFF"/>
        </w:rPr>
        <w:t>Chisadza</w:t>
      </w:r>
      <w:proofErr w:type="spellEnd"/>
      <w:r>
        <w:rPr>
          <w:rFonts w:ascii="Times New Roman" w:hAnsi="Times New Roman" w:cs="Times New Roman"/>
          <w:color w:val="222222"/>
          <w:sz w:val="24"/>
          <w:szCs w:val="24"/>
          <w:shd w:val="clear" w:color="auto" w:fill="FFFFFF"/>
        </w:rPr>
        <w:t xml:space="preserve"> et al.</w:t>
      </w:r>
      <w:r w:rsidRPr="005D36B8">
        <w:rPr>
          <w:rFonts w:ascii="Times New Roman" w:hAnsi="Times New Roman" w:cs="Times New Roman"/>
          <w:color w:val="222222"/>
          <w:sz w:val="24"/>
          <w:szCs w:val="24"/>
          <w:shd w:val="clear" w:color="auto" w:fill="FFFFFF"/>
        </w:rPr>
        <w:t>, 2016;</w:t>
      </w:r>
      <w:r w:rsidRPr="005D36B8">
        <w:rPr>
          <w:rFonts w:ascii="Times New Roman" w:hAnsi="Times New Roman" w:cs="Times New Roman"/>
          <w:sz w:val="24"/>
          <w:szCs w:val="24"/>
        </w:rPr>
        <w:t xml:space="preserve"> </w:t>
      </w:r>
      <w:proofErr w:type="spellStart"/>
      <w:r w:rsidRPr="005D36B8">
        <w:rPr>
          <w:rFonts w:ascii="Times New Roman" w:hAnsi="Times New Roman" w:cs="Times New Roman"/>
          <w:color w:val="222222"/>
          <w:sz w:val="24"/>
          <w:szCs w:val="24"/>
          <w:shd w:val="clear" w:color="auto" w:fill="FFFFFF"/>
        </w:rPr>
        <w:t>Gkillas</w:t>
      </w:r>
      <w:proofErr w:type="spellEnd"/>
      <w:r>
        <w:rPr>
          <w:rFonts w:ascii="Times New Roman" w:hAnsi="Times New Roman" w:cs="Times New Roman"/>
          <w:color w:val="222222"/>
          <w:sz w:val="24"/>
          <w:szCs w:val="24"/>
          <w:shd w:val="clear" w:color="auto" w:fill="FFFFFF"/>
        </w:rPr>
        <w:t xml:space="preserve"> et al., </w:t>
      </w:r>
      <w:r w:rsidRPr="005D36B8">
        <w:rPr>
          <w:rFonts w:ascii="Times New Roman" w:hAnsi="Times New Roman" w:cs="Times New Roman"/>
          <w:color w:val="222222"/>
          <w:sz w:val="24"/>
          <w:szCs w:val="24"/>
          <w:shd w:val="clear" w:color="auto" w:fill="FFFFFF"/>
        </w:rPr>
        <w:t>2020; Hollander</w:t>
      </w:r>
      <w:r>
        <w:rPr>
          <w:rFonts w:ascii="Times New Roman" w:hAnsi="Times New Roman" w:cs="Times New Roman"/>
          <w:color w:val="222222"/>
          <w:sz w:val="24"/>
          <w:szCs w:val="24"/>
          <w:shd w:val="clear" w:color="auto" w:fill="FFFFFF"/>
        </w:rPr>
        <w:t xml:space="preserve"> et al.</w:t>
      </w:r>
      <w:r w:rsidRPr="005D36B8">
        <w:rPr>
          <w:rFonts w:ascii="Times New Roman" w:hAnsi="Times New Roman" w:cs="Times New Roman"/>
          <w:color w:val="222222"/>
          <w:sz w:val="24"/>
          <w:szCs w:val="24"/>
          <w:shd w:val="clear" w:color="auto" w:fill="FFFFFF"/>
        </w:rPr>
        <w:t xml:space="preserve">, 2019; </w:t>
      </w:r>
      <w:r w:rsidRPr="005D36B8">
        <w:rPr>
          <w:rFonts w:ascii="Times New Roman" w:hAnsi="Times New Roman" w:cs="Times New Roman"/>
          <w:sz w:val="24"/>
          <w:szCs w:val="24"/>
        </w:rPr>
        <w:t xml:space="preserve">Kilian, 2009; </w:t>
      </w:r>
      <w:r w:rsidRPr="005D36B8">
        <w:rPr>
          <w:rFonts w:ascii="Times New Roman" w:hAnsi="Times New Roman" w:cs="Times New Roman"/>
          <w:color w:val="222222"/>
          <w:sz w:val="24"/>
          <w:szCs w:val="24"/>
          <w:shd w:val="clear" w:color="auto" w:fill="FFFFFF"/>
        </w:rPr>
        <w:t>Kang</w:t>
      </w:r>
      <w:r>
        <w:rPr>
          <w:rFonts w:ascii="Times New Roman" w:hAnsi="Times New Roman" w:cs="Times New Roman"/>
          <w:color w:val="222222"/>
          <w:sz w:val="24"/>
          <w:szCs w:val="24"/>
          <w:shd w:val="clear" w:color="auto" w:fill="FFFFFF"/>
        </w:rPr>
        <w:t xml:space="preserve"> et al.</w:t>
      </w:r>
      <w:r w:rsidRPr="005D36B8">
        <w:rPr>
          <w:rFonts w:ascii="Times New Roman" w:hAnsi="Times New Roman" w:cs="Times New Roman"/>
          <w:color w:val="222222"/>
          <w:sz w:val="24"/>
          <w:szCs w:val="24"/>
          <w:shd w:val="clear" w:color="auto" w:fill="FFFFFF"/>
        </w:rPr>
        <w:t xml:space="preserve">, </w:t>
      </w:r>
      <w:r w:rsidRPr="00D72361">
        <w:rPr>
          <w:rFonts w:ascii="Times New Roman" w:hAnsi="Times New Roman" w:cs="Times New Roman"/>
          <w:color w:val="222222"/>
          <w:sz w:val="24"/>
          <w:szCs w:val="24"/>
          <w:shd w:val="clear" w:color="auto" w:fill="FFFFFF"/>
        </w:rPr>
        <w:t>2015</w:t>
      </w:r>
      <w:r w:rsidRPr="00D72361">
        <w:rPr>
          <w:rFonts w:ascii="Times New Roman" w:hAnsi="Times New Roman" w:cs="Times New Roman"/>
          <w:sz w:val="24"/>
          <w:szCs w:val="24"/>
        </w:rPr>
        <w:t>).</w:t>
      </w:r>
      <w:r w:rsidR="003455B3">
        <w:rPr>
          <w:rFonts w:ascii="Times New Roman" w:hAnsi="Times New Roman" w:cs="Times New Roman"/>
          <w:sz w:val="24"/>
          <w:szCs w:val="24"/>
        </w:rPr>
        <w:t xml:space="preserve"> </w:t>
      </w:r>
      <w:r w:rsidRPr="00D72361">
        <w:rPr>
          <w:rFonts w:ascii="Times New Roman" w:hAnsi="Times New Roman" w:cs="Times New Roman"/>
          <w:sz w:val="24"/>
          <w:szCs w:val="24"/>
        </w:rPr>
        <w:t xml:space="preserve">In a recent paper, Hailemariam et al. (2019) point out that existing papers have largely focused on the negative effects of oil price shocks on macroeconomic performance as evidenced by business cycles. It may be of great interest for policymakers to investigate how macroeconomic uncertainty serves as a channel through which oil market shocks spill over to the economy and to better understand the information transmission mechanism between oil shocks and economic uncertainty. Hailemariam et al. (2019) suggest that changes in oil prices can be an important driver of macroeconomic uncertainty. This is an important question, since </w:t>
      </w:r>
    </w:p>
    <w:p w14:paraId="6DBA090E" w14:textId="6E10F3A6" w:rsidR="00521DE0" w:rsidRPr="00D72361" w:rsidRDefault="00FC612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C6120">
        <w:rPr>
          <w:rFonts w:ascii="Times New Roman" w:hAnsi="Times New Roman" w:cs="Times New Roman"/>
          <w:sz w:val="24"/>
          <w:szCs w:val="24"/>
        </w:rPr>
        <w:t>he role of uncertainty on macroeconomic variables has attracted significant attention among financial academics, practitioners and policymakers, especially in the wake of the Global Financial Crisis (GFC). Following Bloom’s (2009) influential paper, there has been a rising body of research documenting significant effect</w:t>
      </w:r>
      <w:r w:rsidR="00886E69">
        <w:rPr>
          <w:rFonts w:ascii="Times New Roman" w:hAnsi="Times New Roman" w:cs="Times New Roman"/>
          <w:sz w:val="24"/>
          <w:szCs w:val="24"/>
        </w:rPr>
        <w:t>s</w:t>
      </w:r>
      <w:r w:rsidRPr="00FC6120">
        <w:rPr>
          <w:rFonts w:ascii="Times New Roman" w:hAnsi="Times New Roman" w:cs="Times New Roman"/>
          <w:sz w:val="24"/>
          <w:szCs w:val="24"/>
        </w:rPr>
        <w:t xml:space="preserve"> of uncertainty on economic and financial activity (see, e.g., </w:t>
      </w:r>
      <w:proofErr w:type="spellStart"/>
      <w:r w:rsidRPr="00FC6120">
        <w:rPr>
          <w:rFonts w:ascii="Times New Roman" w:hAnsi="Times New Roman" w:cs="Times New Roman"/>
          <w:sz w:val="24"/>
          <w:szCs w:val="24"/>
        </w:rPr>
        <w:t>Antonakakis</w:t>
      </w:r>
      <w:proofErr w:type="spellEnd"/>
      <w:r w:rsidRPr="00FC6120">
        <w:rPr>
          <w:rFonts w:ascii="Times New Roman" w:hAnsi="Times New Roman" w:cs="Times New Roman"/>
          <w:sz w:val="24"/>
          <w:szCs w:val="24"/>
        </w:rPr>
        <w:t xml:space="preserve"> et al., 2017; </w:t>
      </w:r>
      <w:proofErr w:type="spellStart"/>
      <w:r w:rsidRPr="00FC6120">
        <w:rPr>
          <w:rFonts w:ascii="Times New Roman" w:hAnsi="Times New Roman" w:cs="Times New Roman"/>
          <w:sz w:val="24"/>
          <w:szCs w:val="24"/>
        </w:rPr>
        <w:t>Bouri</w:t>
      </w:r>
      <w:proofErr w:type="spellEnd"/>
      <w:r w:rsidRPr="00FC6120">
        <w:rPr>
          <w:rFonts w:ascii="Times New Roman" w:hAnsi="Times New Roman" w:cs="Times New Roman"/>
          <w:sz w:val="24"/>
          <w:szCs w:val="24"/>
        </w:rPr>
        <w:t xml:space="preserve"> and Gupta, 2019; Bloom, 2014; </w:t>
      </w:r>
      <w:proofErr w:type="spellStart"/>
      <w:r w:rsidRPr="00FC6120">
        <w:rPr>
          <w:rFonts w:ascii="Times New Roman" w:hAnsi="Times New Roman" w:cs="Times New Roman"/>
          <w:sz w:val="24"/>
          <w:szCs w:val="24"/>
        </w:rPr>
        <w:t>Chuliá</w:t>
      </w:r>
      <w:proofErr w:type="spellEnd"/>
      <w:r w:rsidRPr="00FC6120">
        <w:rPr>
          <w:rFonts w:ascii="Times New Roman" w:hAnsi="Times New Roman" w:cs="Times New Roman"/>
          <w:sz w:val="24"/>
          <w:szCs w:val="24"/>
        </w:rPr>
        <w:t xml:space="preserve"> et al., 2017; Gupta et al., 2014, 2016).</w:t>
      </w:r>
      <w:r>
        <w:rPr>
          <w:rFonts w:ascii="Times New Roman" w:hAnsi="Times New Roman" w:cs="Times New Roman"/>
          <w:sz w:val="24"/>
          <w:szCs w:val="24"/>
        </w:rPr>
        <w:t xml:space="preserve"> </w:t>
      </w:r>
      <w:r w:rsidR="00521DE0" w:rsidRPr="00D72361">
        <w:rPr>
          <w:rFonts w:ascii="Times New Roman" w:hAnsi="Times New Roman" w:cs="Times New Roman"/>
          <w:sz w:val="24"/>
          <w:szCs w:val="24"/>
        </w:rPr>
        <w:t>Naturally, what drives economic uncertainty is a question that is of relevance to policy authorities to devise monetary and fiscal policies to prevent recession</w:t>
      </w:r>
      <w:r w:rsidR="00886E69">
        <w:rPr>
          <w:rFonts w:ascii="Times New Roman" w:hAnsi="Times New Roman" w:cs="Times New Roman"/>
          <w:sz w:val="24"/>
          <w:szCs w:val="24"/>
        </w:rPr>
        <w:t>s</w:t>
      </w:r>
      <w:r w:rsidR="00521DE0" w:rsidRPr="00D72361">
        <w:rPr>
          <w:rFonts w:ascii="Times New Roman" w:hAnsi="Times New Roman" w:cs="Times New Roman"/>
          <w:sz w:val="24"/>
          <w:szCs w:val="24"/>
        </w:rPr>
        <w:t>. At the same time, uncertainty also affects investment decisions, and hence, is a pertinent factor in determining optimal portfolio allocations by investors.</w:t>
      </w:r>
    </w:p>
    <w:p w14:paraId="5E8E292E" w14:textId="77777777" w:rsidR="00F207B5" w:rsidRDefault="00F207B5" w:rsidP="00521DE0">
      <w:pPr>
        <w:snapToGrid w:val="0"/>
        <w:spacing w:after="0" w:line="480" w:lineRule="auto"/>
        <w:jc w:val="both"/>
        <w:rPr>
          <w:rFonts w:ascii="Times New Roman" w:hAnsi="Times New Roman" w:cs="Times New Roman"/>
          <w:sz w:val="24"/>
          <w:szCs w:val="24"/>
        </w:rPr>
      </w:pPr>
    </w:p>
    <w:p w14:paraId="14FA547A" w14:textId="174720E9" w:rsidR="00521DE0" w:rsidRDefault="00521DE0" w:rsidP="00521DE0">
      <w:pPr>
        <w:snapToGrid w:val="0"/>
        <w:spacing w:after="0" w:line="480" w:lineRule="auto"/>
        <w:jc w:val="both"/>
        <w:rPr>
          <w:rFonts w:ascii="Times New Roman" w:hAnsi="Times New Roman" w:cs="Times New Roman"/>
          <w:sz w:val="24"/>
          <w:szCs w:val="24"/>
        </w:rPr>
      </w:pPr>
      <w:r w:rsidRPr="00D72361">
        <w:rPr>
          <w:rFonts w:ascii="Times New Roman" w:hAnsi="Times New Roman" w:cs="Times New Roman"/>
          <w:sz w:val="24"/>
          <w:szCs w:val="24"/>
        </w:rPr>
        <w:t xml:space="preserve">Theoretically, there are multiple channels that oil shocks affect economic uncertainty. For example, the unexpected oil price changes can exert significant impacts on the volatility of macroeconomic and financial variables (Park and </w:t>
      </w:r>
      <w:proofErr w:type="spellStart"/>
      <w:r w:rsidRPr="00D72361">
        <w:rPr>
          <w:rFonts w:ascii="Times New Roman" w:hAnsi="Times New Roman" w:cs="Times New Roman"/>
          <w:iCs/>
          <w:color w:val="222222"/>
          <w:sz w:val="24"/>
          <w:szCs w:val="24"/>
          <w:shd w:val="clear" w:color="auto" w:fill="FFFFFF"/>
        </w:rPr>
        <w:t>Ratti</w:t>
      </w:r>
      <w:proofErr w:type="spellEnd"/>
      <w:r w:rsidRPr="00D72361">
        <w:rPr>
          <w:rFonts w:ascii="Times New Roman" w:hAnsi="Times New Roman" w:cs="Times New Roman"/>
          <w:iCs/>
          <w:color w:val="222222"/>
          <w:sz w:val="24"/>
          <w:szCs w:val="24"/>
          <w:shd w:val="clear" w:color="auto" w:fill="FFFFFF"/>
        </w:rPr>
        <w:t>, 2008)</w:t>
      </w:r>
      <w:r w:rsidRPr="00D72361">
        <w:rPr>
          <w:rFonts w:ascii="Times New Roman" w:hAnsi="Times New Roman" w:cs="Times New Roman"/>
          <w:sz w:val="24"/>
          <w:szCs w:val="24"/>
        </w:rPr>
        <w:t xml:space="preserve">. Oil price changes influence </w:t>
      </w:r>
      <w:r w:rsidRPr="00D72361">
        <w:rPr>
          <w:rFonts w:ascii="Times New Roman" w:hAnsi="Times New Roman" w:cs="Times New Roman"/>
          <w:sz w:val="24"/>
          <w:szCs w:val="24"/>
        </w:rPr>
        <w:lastRenderedPageBreak/>
        <w:t xml:space="preserve">relative prices and affect exceptions of inflation and the real interest rate. The unanticipated changes in oil prices may increase fluctuations of </w:t>
      </w:r>
      <w:r w:rsidR="00886E69">
        <w:rPr>
          <w:rFonts w:ascii="Times New Roman" w:hAnsi="Times New Roman" w:cs="Times New Roman"/>
          <w:sz w:val="24"/>
          <w:szCs w:val="24"/>
        </w:rPr>
        <w:t xml:space="preserve">the firm’s </w:t>
      </w:r>
      <w:r w:rsidRPr="00D72361">
        <w:rPr>
          <w:rFonts w:ascii="Times New Roman" w:hAnsi="Times New Roman" w:cs="Times New Roman"/>
          <w:sz w:val="24"/>
          <w:szCs w:val="24"/>
        </w:rPr>
        <w:t>expected cash flows, which lead to high uncertainty about future stock returns and economic performance. The consumption and investment decisions of economic agents are often influenced by oil shocks associated with uncertainty about future returns and growth perspectives, which can subsequently impact on economic uncertainty and activity</w:t>
      </w:r>
      <w:r w:rsidRPr="00D72361">
        <w:t xml:space="preserve"> (</w:t>
      </w:r>
      <w:r w:rsidRPr="00D72361">
        <w:rPr>
          <w:rFonts w:ascii="Times New Roman" w:hAnsi="Times New Roman" w:cs="Times New Roman"/>
          <w:sz w:val="24"/>
          <w:szCs w:val="24"/>
        </w:rPr>
        <w:t>Aye et al., 2014).</w:t>
      </w:r>
      <w:r>
        <w:rPr>
          <w:rFonts w:ascii="Times New Roman" w:hAnsi="Times New Roman" w:cs="Times New Roman"/>
          <w:sz w:val="24"/>
          <w:szCs w:val="24"/>
        </w:rPr>
        <w:t xml:space="preserve"> </w:t>
      </w:r>
    </w:p>
    <w:p w14:paraId="62877F7F" w14:textId="77777777" w:rsidR="00521DE0" w:rsidRDefault="00521DE0" w:rsidP="00521DE0">
      <w:pPr>
        <w:snapToGrid w:val="0"/>
        <w:spacing w:after="0" w:line="480" w:lineRule="auto"/>
        <w:jc w:val="both"/>
        <w:rPr>
          <w:rFonts w:ascii="Times New Roman" w:hAnsi="Times New Roman" w:cs="Times New Roman"/>
          <w:sz w:val="24"/>
          <w:szCs w:val="24"/>
        </w:rPr>
      </w:pPr>
    </w:p>
    <w:p w14:paraId="0333074D" w14:textId="77777777" w:rsidR="00521DE0" w:rsidRPr="005D36B8" w:rsidRDefault="00521DE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Given these theoretical linkages, there has been growing research interest </w:t>
      </w:r>
      <w:r w:rsidRPr="005D36B8">
        <w:rPr>
          <w:rFonts w:ascii="Times New Roman" w:hAnsi="Times New Roman" w:cs="Times New Roman"/>
          <w:sz w:val="24"/>
          <w:szCs w:val="24"/>
        </w:rPr>
        <w:t xml:space="preserve">in the energy economics literature about the impacts of oil market shocks on uncertainty. Kang and </w:t>
      </w:r>
      <w:proofErr w:type="spellStart"/>
      <w:r w:rsidRPr="005D36B8">
        <w:rPr>
          <w:rFonts w:ascii="Times New Roman" w:hAnsi="Times New Roman" w:cs="Times New Roman"/>
          <w:sz w:val="24"/>
          <w:szCs w:val="24"/>
        </w:rPr>
        <w:t>Ratti</w:t>
      </w:r>
      <w:proofErr w:type="spellEnd"/>
      <w:r w:rsidRPr="005D36B8">
        <w:rPr>
          <w:rFonts w:ascii="Times New Roman" w:hAnsi="Times New Roman" w:cs="Times New Roman"/>
          <w:sz w:val="24"/>
          <w:szCs w:val="24"/>
        </w:rPr>
        <w:t xml:space="preserve"> (2013a</w:t>
      </w:r>
      <w:r>
        <w:rPr>
          <w:rFonts w:ascii="Times New Roman" w:hAnsi="Times New Roman" w:cs="Times New Roman"/>
          <w:sz w:val="24"/>
          <w:szCs w:val="24"/>
        </w:rPr>
        <w:t>,</w:t>
      </w:r>
      <w:r w:rsidRPr="005D36B8">
        <w:rPr>
          <w:rFonts w:ascii="Times New Roman" w:hAnsi="Times New Roman" w:cs="Times New Roman"/>
          <w:sz w:val="24"/>
          <w:szCs w:val="24"/>
        </w:rPr>
        <w:t xml:space="preserve"> 2013b</w:t>
      </w:r>
      <w:r>
        <w:rPr>
          <w:rFonts w:ascii="Times New Roman" w:hAnsi="Times New Roman" w:cs="Times New Roman"/>
          <w:sz w:val="24"/>
          <w:szCs w:val="24"/>
        </w:rPr>
        <w:t>,</w:t>
      </w:r>
      <w:r w:rsidRPr="005D36B8">
        <w:rPr>
          <w:rFonts w:ascii="Times New Roman" w:hAnsi="Times New Roman" w:cs="Times New Roman"/>
          <w:sz w:val="24"/>
          <w:szCs w:val="24"/>
        </w:rPr>
        <w:t xml:space="preserve"> 2015) and </w:t>
      </w:r>
      <w:proofErr w:type="spellStart"/>
      <w:r w:rsidRPr="005D36B8">
        <w:rPr>
          <w:rFonts w:ascii="Times New Roman" w:hAnsi="Times New Roman" w:cs="Times New Roman"/>
          <w:sz w:val="24"/>
          <w:szCs w:val="24"/>
        </w:rPr>
        <w:t>Antonakakis</w:t>
      </w:r>
      <w:proofErr w:type="spellEnd"/>
      <w:r>
        <w:rPr>
          <w:rFonts w:ascii="Times New Roman" w:hAnsi="Times New Roman" w:cs="Times New Roman"/>
          <w:sz w:val="24"/>
          <w:szCs w:val="24"/>
        </w:rPr>
        <w:t xml:space="preserve"> et al. </w:t>
      </w:r>
      <w:r w:rsidRPr="005D36B8">
        <w:rPr>
          <w:rFonts w:ascii="Times New Roman" w:hAnsi="Times New Roman" w:cs="Times New Roman"/>
          <w:sz w:val="24"/>
          <w:szCs w:val="24"/>
        </w:rPr>
        <w:t xml:space="preserve">(2014) </w:t>
      </w:r>
      <w:r>
        <w:rPr>
          <w:rFonts w:ascii="Times New Roman" w:hAnsi="Times New Roman" w:cs="Times New Roman"/>
          <w:sz w:val="24"/>
          <w:szCs w:val="24"/>
        </w:rPr>
        <w:t>provide</w:t>
      </w:r>
      <w:r w:rsidRPr="005D36B8">
        <w:rPr>
          <w:rFonts w:ascii="Times New Roman" w:hAnsi="Times New Roman" w:cs="Times New Roman"/>
          <w:sz w:val="24"/>
          <w:szCs w:val="24"/>
        </w:rPr>
        <w:t xml:space="preserve"> empirical evidence that oil market demand shocks have long-term impacts on uncertainty</w:t>
      </w:r>
      <w:r>
        <w:rPr>
          <w:rFonts w:ascii="Times New Roman" w:hAnsi="Times New Roman" w:cs="Times New Roman"/>
          <w:sz w:val="24"/>
          <w:szCs w:val="24"/>
        </w:rPr>
        <w:t>,</w:t>
      </w:r>
      <w:r w:rsidRPr="005D36B8">
        <w:rPr>
          <w:rFonts w:ascii="Times New Roman" w:hAnsi="Times New Roman" w:cs="Times New Roman"/>
          <w:sz w:val="24"/>
          <w:szCs w:val="24"/>
        </w:rPr>
        <w:t xml:space="preserve"> while oil supply shocks play </w:t>
      </w:r>
      <w:r>
        <w:rPr>
          <w:rFonts w:ascii="Times New Roman" w:hAnsi="Times New Roman" w:cs="Times New Roman"/>
          <w:sz w:val="24"/>
          <w:szCs w:val="24"/>
        </w:rPr>
        <w:t>a small</w:t>
      </w:r>
      <w:r w:rsidRPr="005D36B8">
        <w:rPr>
          <w:rFonts w:ascii="Times New Roman" w:hAnsi="Times New Roman" w:cs="Times New Roman"/>
          <w:sz w:val="24"/>
          <w:szCs w:val="24"/>
        </w:rPr>
        <w:t xml:space="preserve"> role in affecting macroeconomic uncertainty. More recently, Kang</w:t>
      </w:r>
      <w:r>
        <w:rPr>
          <w:rFonts w:ascii="Times New Roman" w:hAnsi="Times New Roman" w:cs="Times New Roman"/>
          <w:sz w:val="24"/>
          <w:szCs w:val="24"/>
        </w:rPr>
        <w:t xml:space="preserve"> et al. </w:t>
      </w:r>
      <w:r w:rsidRPr="005D36B8">
        <w:rPr>
          <w:rFonts w:ascii="Times New Roman" w:hAnsi="Times New Roman" w:cs="Times New Roman"/>
          <w:sz w:val="24"/>
          <w:szCs w:val="24"/>
        </w:rPr>
        <w:t xml:space="preserve">(2017) and </w:t>
      </w:r>
      <w:proofErr w:type="spellStart"/>
      <w:r w:rsidRPr="005D36B8">
        <w:rPr>
          <w:rFonts w:ascii="Times New Roman" w:hAnsi="Times New Roman" w:cs="Times New Roman"/>
          <w:sz w:val="24"/>
          <w:szCs w:val="24"/>
        </w:rPr>
        <w:t>Su</w:t>
      </w:r>
      <w:proofErr w:type="spellEnd"/>
      <w:r>
        <w:rPr>
          <w:rFonts w:ascii="Times New Roman" w:hAnsi="Times New Roman" w:cs="Times New Roman"/>
          <w:sz w:val="24"/>
          <w:szCs w:val="24"/>
        </w:rPr>
        <w:t xml:space="preserve"> et al. </w:t>
      </w:r>
      <w:r w:rsidRPr="005D36B8">
        <w:rPr>
          <w:rFonts w:ascii="Times New Roman" w:hAnsi="Times New Roman" w:cs="Times New Roman"/>
          <w:sz w:val="24"/>
          <w:szCs w:val="24"/>
        </w:rPr>
        <w:t xml:space="preserve">(2018) </w:t>
      </w:r>
      <w:r>
        <w:rPr>
          <w:rFonts w:ascii="Times New Roman" w:hAnsi="Times New Roman" w:cs="Times New Roman"/>
          <w:sz w:val="24"/>
          <w:szCs w:val="24"/>
        </w:rPr>
        <w:t>present</w:t>
      </w:r>
      <w:r w:rsidRPr="005D36B8">
        <w:rPr>
          <w:rFonts w:ascii="Times New Roman" w:hAnsi="Times New Roman" w:cs="Times New Roman"/>
          <w:sz w:val="24"/>
          <w:szCs w:val="24"/>
        </w:rPr>
        <w:t xml:space="preserve"> new evidence that supply-side shocks can affect uncertainty. Focusing on the US economy, </w:t>
      </w:r>
      <w:proofErr w:type="spellStart"/>
      <w:r w:rsidRPr="005D36B8">
        <w:rPr>
          <w:rFonts w:ascii="Times New Roman" w:hAnsi="Times New Roman" w:cs="Times New Roman"/>
          <w:sz w:val="24"/>
          <w:szCs w:val="24"/>
        </w:rPr>
        <w:t>Degiannakis</w:t>
      </w:r>
      <w:proofErr w:type="spellEnd"/>
      <w:r>
        <w:rPr>
          <w:rFonts w:ascii="Times New Roman" w:hAnsi="Times New Roman" w:cs="Times New Roman"/>
          <w:sz w:val="24"/>
          <w:szCs w:val="24"/>
        </w:rPr>
        <w:t xml:space="preserve"> et al. </w:t>
      </w:r>
      <w:r w:rsidRPr="005D36B8">
        <w:rPr>
          <w:rFonts w:ascii="Times New Roman" w:hAnsi="Times New Roman" w:cs="Times New Roman"/>
          <w:sz w:val="24"/>
          <w:szCs w:val="24"/>
        </w:rPr>
        <w:t xml:space="preserve">(2018) document heterogeneous responses of economic uncertainty to oil price shocks during different time periods. </w:t>
      </w:r>
      <w:bookmarkStart w:id="3" w:name="_Hlk33630486"/>
      <w:r w:rsidRPr="005D36B8">
        <w:rPr>
          <w:rFonts w:ascii="Times New Roman" w:hAnsi="Times New Roman" w:cs="Times New Roman"/>
          <w:sz w:val="24"/>
          <w:szCs w:val="24"/>
        </w:rPr>
        <w:t>In addition, Hailemariam et al. (2019) examine the relationship between oil prices and uncertainty in G7 countries and find that oil price shocks show remarkably different patterns of impact on uncertainty before and after the GFC.</w:t>
      </w:r>
    </w:p>
    <w:bookmarkEnd w:id="3"/>
    <w:p w14:paraId="57ABD87B"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769CD9C6"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Motivated by recent developments in the field, this paper investigates the effects of structural oil shocks on macroeconomic uncertainty using a large panel dataset of </w:t>
      </w:r>
      <w:r>
        <w:rPr>
          <w:rFonts w:ascii="Times New Roman" w:hAnsi="Times New Roman" w:cs="Times New Roman"/>
          <w:sz w:val="24"/>
          <w:szCs w:val="24"/>
        </w:rPr>
        <w:t>4</w:t>
      </w:r>
      <w:r w:rsidRPr="005D36B8">
        <w:rPr>
          <w:rFonts w:ascii="Times New Roman" w:hAnsi="Times New Roman" w:cs="Times New Roman"/>
          <w:sz w:val="24"/>
          <w:szCs w:val="24"/>
        </w:rPr>
        <w:t xml:space="preserve">5 economies. </w:t>
      </w:r>
      <w:r>
        <w:rPr>
          <w:rFonts w:ascii="Times New Roman" w:hAnsi="Times New Roman" w:cs="Times New Roman"/>
          <w:sz w:val="24"/>
          <w:szCs w:val="24"/>
        </w:rPr>
        <w:t>O</w:t>
      </w:r>
      <w:r w:rsidRPr="005D36B8">
        <w:rPr>
          <w:rFonts w:ascii="Times New Roman" w:hAnsi="Times New Roman" w:cs="Times New Roman"/>
          <w:sz w:val="24"/>
          <w:szCs w:val="24"/>
        </w:rPr>
        <w:t xml:space="preserve">ur study is </w:t>
      </w:r>
      <w:r>
        <w:rPr>
          <w:rFonts w:ascii="Times New Roman" w:hAnsi="Times New Roman" w:cs="Times New Roman"/>
          <w:sz w:val="24"/>
          <w:szCs w:val="24"/>
        </w:rPr>
        <w:t xml:space="preserve">unique in </w:t>
      </w:r>
      <w:r w:rsidRPr="005D36B8">
        <w:rPr>
          <w:rFonts w:ascii="Times New Roman" w:hAnsi="Times New Roman" w:cs="Times New Roman"/>
          <w:sz w:val="24"/>
          <w:szCs w:val="24"/>
        </w:rPr>
        <w:t xml:space="preserve">that we analyse </w:t>
      </w:r>
      <w:r>
        <w:rPr>
          <w:rFonts w:ascii="Times New Roman" w:hAnsi="Times New Roman" w:cs="Times New Roman"/>
          <w:sz w:val="24"/>
          <w:szCs w:val="24"/>
        </w:rPr>
        <w:t xml:space="preserve">the effect of </w:t>
      </w:r>
      <w:r w:rsidRPr="005D36B8">
        <w:rPr>
          <w:rFonts w:ascii="Times New Roman" w:hAnsi="Times New Roman" w:cs="Times New Roman"/>
          <w:sz w:val="24"/>
          <w:szCs w:val="24"/>
        </w:rPr>
        <w:t xml:space="preserve">structural oil shocks on macroeconomic uncertainty </w:t>
      </w:r>
      <w:bookmarkStart w:id="4" w:name="_Hlk35165855"/>
      <w:r w:rsidRPr="005D36B8">
        <w:rPr>
          <w:rFonts w:ascii="Times New Roman" w:hAnsi="Times New Roman" w:cs="Times New Roman"/>
          <w:sz w:val="24"/>
          <w:szCs w:val="24"/>
        </w:rPr>
        <w:t xml:space="preserve">for a </w:t>
      </w:r>
      <w:r>
        <w:rPr>
          <w:rFonts w:ascii="Times New Roman" w:hAnsi="Times New Roman" w:cs="Times New Roman"/>
          <w:sz w:val="24"/>
          <w:szCs w:val="24"/>
        </w:rPr>
        <w:t>large</w:t>
      </w:r>
      <w:r w:rsidRPr="005D36B8">
        <w:rPr>
          <w:rFonts w:ascii="Times New Roman" w:hAnsi="Times New Roman" w:cs="Times New Roman"/>
          <w:sz w:val="24"/>
          <w:szCs w:val="24"/>
        </w:rPr>
        <w:t xml:space="preserve"> number of countries</w:t>
      </w:r>
      <w:r>
        <w:rPr>
          <w:rFonts w:ascii="Times New Roman" w:hAnsi="Times New Roman" w:cs="Times New Roman"/>
          <w:sz w:val="24"/>
          <w:szCs w:val="24"/>
        </w:rPr>
        <w:t xml:space="preserve">. Additionally, </w:t>
      </w:r>
      <w:r w:rsidRPr="005D36B8">
        <w:rPr>
          <w:rFonts w:ascii="Times New Roman" w:hAnsi="Times New Roman" w:cs="Times New Roman"/>
          <w:sz w:val="24"/>
          <w:szCs w:val="24"/>
        </w:rPr>
        <w:t xml:space="preserve">we disentangle the sources of oil price shocks and distinguish between post- </w:t>
      </w:r>
      <w:r>
        <w:rPr>
          <w:rFonts w:ascii="Times New Roman" w:hAnsi="Times New Roman" w:cs="Times New Roman"/>
          <w:sz w:val="24"/>
          <w:szCs w:val="24"/>
        </w:rPr>
        <w:t>and</w:t>
      </w:r>
      <w:r w:rsidRPr="005D36B8">
        <w:rPr>
          <w:rFonts w:ascii="Times New Roman" w:hAnsi="Times New Roman" w:cs="Times New Roman"/>
          <w:sz w:val="24"/>
          <w:szCs w:val="24"/>
        </w:rPr>
        <w:t xml:space="preserve"> pre-GFC periods, high </w:t>
      </w:r>
      <w:r>
        <w:rPr>
          <w:rFonts w:ascii="Times New Roman" w:hAnsi="Times New Roman" w:cs="Times New Roman"/>
          <w:sz w:val="24"/>
          <w:szCs w:val="24"/>
        </w:rPr>
        <w:t>and</w:t>
      </w:r>
      <w:r w:rsidRPr="005D36B8">
        <w:rPr>
          <w:rFonts w:ascii="Times New Roman" w:hAnsi="Times New Roman" w:cs="Times New Roman"/>
          <w:sz w:val="24"/>
          <w:szCs w:val="24"/>
        </w:rPr>
        <w:t xml:space="preserve"> low volatility regimes and net oil-importing </w:t>
      </w:r>
      <w:r>
        <w:rPr>
          <w:rFonts w:ascii="Times New Roman" w:hAnsi="Times New Roman" w:cs="Times New Roman"/>
          <w:sz w:val="24"/>
          <w:szCs w:val="24"/>
        </w:rPr>
        <w:t>and</w:t>
      </w:r>
      <w:r w:rsidRPr="005D36B8">
        <w:rPr>
          <w:rFonts w:ascii="Times New Roman" w:hAnsi="Times New Roman" w:cs="Times New Roman"/>
          <w:sz w:val="24"/>
          <w:szCs w:val="24"/>
        </w:rPr>
        <w:t xml:space="preserve"> net oil-exporting countries in our nonlinear and regime-</w:t>
      </w:r>
      <w:r w:rsidRPr="005D36B8">
        <w:rPr>
          <w:rFonts w:ascii="Times New Roman" w:hAnsi="Times New Roman" w:cs="Times New Roman"/>
          <w:sz w:val="24"/>
          <w:szCs w:val="24"/>
        </w:rPr>
        <w:lastRenderedPageBreak/>
        <w:t>switching models.</w:t>
      </w:r>
      <w:bookmarkEnd w:id="4"/>
      <w:r w:rsidRPr="005D36B8">
        <w:rPr>
          <w:rFonts w:ascii="Times New Roman" w:hAnsi="Times New Roman" w:cs="Times New Roman"/>
          <w:sz w:val="24"/>
          <w:szCs w:val="24"/>
        </w:rPr>
        <w:t xml:space="preserve"> We </w:t>
      </w:r>
      <w:r>
        <w:rPr>
          <w:rFonts w:ascii="Times New Roman" w:hAnsi="Times New Roman" w:cs="Times New Roman"/>
          <w:sz w:val="24"/>
          <w:szCs w:val="24"/>
        </w:rPr>
        <w:t>consider</w:t>
      </w:r>
      <w:r w:rsidRPr="005D36B8">
        <w:rPr>
          <w:rFonts w:ascii="Times New Roman" w:hAnsi="Times New Roman" w:cs="Times New Roman"/>
          <w:sz w:val="24"/>
          <w:szCs w:val="24"/>
        </w:rPr>
        <w:t xml:space="preserve"> the nonlinearity and threshold effects of oil shocks on uncertainty and examine </w:t>
      </w:r>
      <w:r>
        <w:rPr>
          <w:rFonts w:ascii="Times New Roman" w:hAnsi="Times New Roman" w:cs="Times New Roman"/>
          <w:sz w:val="24"/>
          <w:szCs w:val="24"/>
        </w:rPr>
        <w:t>whether</w:t>
      </w:r>
      <w:r w:rsidRPr="005D36B8">
        <w:rPr>
          <w:rFonts w:ascii="Times New Roman" w:hAnsi="Times New Roman" w:cs="Times New Roman"/>
          <w:sz w:val="24"/>
          <w:szCs w:val="24"/>
        </w:rPr>
        <w:t xml:space="preserve"> these effects are regime-dependent and contingent on structural changes. It is possible that </w:t>
      </w:r>
      <w:r>
        <w:rPr>
          <w:rFonts w:ascii="Times New Roman" w:hAnsi="Times New Roman" w:cs="Times New Roman"/>
          <w:sz w:val="24"/>
          <w:szCs w:val="24"/>
        </w:rPr>
        <w:t xml:space="preserve">there are </w:t>
      </w:r>
      <w:r w:rsidRPr="005D36B8">
        <w:rPr>
          <w:rFonts w:ascii="Times New Roman" w:hAnsi="Times New Roman" w:cs="Times New Roman"/>
          <w:sz w:val="24"/>
          <w:szCs w:val="24"/>
        </w:rPr>
        <w:t xml:space="preserve">substantial differences in the response patterns of uncertainty to oil shocks across different time periods and volatility regimes. </w:t>
      </w:r>
      <w:bookmarkStart w:id="5" w:name="_Hlk33639279"/>
      <w:r w:rsidRPr="005D36B8">
        <w:rPr>
          <w:rFonts w:ascii="Times New Roman" w:hAnsi="Times New Roman" w:cs="Times New Roman"/>
          <w:sz w:val="24"/>
          <w:szCs w:val="24"/>
        </w:rPr>
        <w:t>The distinction between oil importers and exporters is also considered in this study, given empirical evidence that oil price shocks affect the economies of oil-exporting countries differently than oil-exporting countries.</w:t>
      </w:r>
      <w:r w:rsidRPr="005D36B8">
        <w:rPr>
          <w:rStyle w:val="FootnoteReference"/>
          <w:rFonts w:ascii="Times New Roman" w:hAnsi="Times New Roman" w:cs="Times New Roman"/>
          <w:sz w:val="24"/>
          <w:szCs w:val="24"/>
        </w:rPr>
        <w:footnoteReference w:id="3"/>
      </w:r>
    </w:p>
    <w:bookmarkEnd w:id="5"/>
    <w:p w14:paraId="7A5B71C5"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212881B0"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To the best of our knowledge, </w:t>
      </w:r>
      <w:bookmarkStart w:id="6" w:name="_Hlk46093096"/>
      <w:r w:rsidRPr="005D36B8">
        <w:rPr>
          <w:rFonts w:ascii="Times New Roman" w:hAnsi="Times New Roman" w:cs="Times New Roman"/>
          <w:sz w:val="24"/>
          <w:szCs w:val="24"/>
        </w:rPr>
        <w:t xml:space="preserve">existing studies </w:t>
      </w:r>
      <w:bookmarkStart w:id="7" w:name="_Hlk45785526"/>
      <w:r w:rsidRPr="005D36B8">
        <w:rPr>
          <w:rFonts w:ascii="Times New Roman" w:hAnsi="Times New Roman" w:cs="Times New Roman"/>
          <w:sz w:val="24"/>
          <w:szCs w:val="24"/>
        </w:rPr>
        <w:t>only investigate the effects of certain types of oil shocks on uncertainty for a single economy or a small group of countries</w:t>
      </w:r>
      <w:bookmarkEnd w:id="6"/>
      <w:r w:rsidRPr="005D36B8">
        <w:rPr>
          <w:rFonts w:ascii="Times New Roman" w:hAnsi="Times New Roman" w:cs="Times New Roman"/>
          <w:sz w:val="24"/>
          <w:szCs w:val="24"/>
        </w:rPr>
        <w:t>, and most previous studies compute impulse response functions (IRFs) using a traditional method under the standard structural vector autoregression (</w:t>
      </w:r>
      <w:r>
        <w:rPr>
          <w:rFonts w:ascii="Times New Roman" w:hAnsi="Times New Roman" w:cs="Times New Roman"/>
          <w:sz w:val="24"/>
          <w:szCs w:val="24"/>
        </w:rPr>
        <w:t>S</w:t>
      </w:r>
      <w:r w:rsidRPr="005D36B8">
        <w:rPr>
          <w:rFonts w:ascii="Times New Roman" w:hAnsi="Times New Roman" w:cs="Times New Roman"/>
          <w:sz w:val="24"/>
          <w:szCs w:val="24"/>
        </w:rPr>
        <w:t xml:space="preserve">VAR) framework. </w:t>
      </w:r>
      <w:bookmarkStart w:id="8" w:name="_Hlk45785693"/>
      <w:bookmarkEnd w:id="7"/>
      <w:r>
        <w:rPr>
          <w:rFonts w:ascii="Times New Roman" w:hAnsi="Times New Roman" w:cs="Times New Roman"/>
          <w:sz w:val="24"/>
          <w:szCs w:val="24"/>
        </w:rPr>
        <w:t>To date,</w:t>
      </w:r>
      <w:r w:rsidRPr="005D36B8">
        <w:rPr>
          <w:rFonts w:ascii="Times New Roman" w:hAnsi="Times New Roman" w:cs="Times New Roman"/>
          <w:sz w:val="24"/>
          <w:szCs w:val="24"/>
        </w:rPr>
        <w:t xml:space="preserve"> no comprehensive study </w:t>
      </w:r>
      <w:r>
        <w:rPr>
          <w:rFonts w:ascii="Times New Roman" w:hAnsi="Times New Roman" w:cs="Times New Roman"/>
          <w:sz w:val="24"/>
          <w:szCs w:val="24"/>
        </w:rPr>
        <w:t xml:space="preserve">has </w:t>
      </w:r>
      <w:r w:rsidRPr="005D36B8">
        <w:rPr>
          <w:rFonts w:ascii="Times New Roman" w:hAnsi="Times New Roman" w:cs="Times New Roman"/>
          <w:sz w:val="24"/>
          <w:szCs w:val="24"/>
        </w:rPr>
        <w:t>examin</w:t>
      </w:r>
      <w:r>
        <w:rPr>
          <w:rFonts w:ascii="Times New Roman" w:hAnsi="Times New Roman" w:cs="Times New Roman"/>
          <w:sz w:val="24"/>
          <w:szCs w:val="24"/>
        </w:rPr>
        <w:t>ed</w:t>
      </w:r>
      <w:r w:rsidRPr="005D36B8">
        <w:rPr>
          <w:rFonts w:ascii="Times New Roman" w:hAnsi="Times New Roman" w:cs="Times New Roman"/>
          <w:sz w:val="24"/>
          <w:szCs w:val="24"/>
        </w:rPr>
        <w:t xml:space="preserve"> the structural effects of oil shocks on economic uncertainty for a large panel of economies using IRFs with local projections (LP IRFs). The conventional </w:t>
      </w:r>
      <w:r>
        <w:rPr>
          <w:rFonts w:ascii="Times New Roman" w:hAnsi="Times New Roman" w:cs="Times New Roman"/>
          <w:sz w:val="24"/>
          <w:szCs w:val="24"/>
        </w:rPr>
        <w:t>vector autoregression (</w:t>
      </w:r>
      <w:r w:rsidRPr="005D36B8">
        <w:rPr>
          <w:rFonts w:ascii="Times New Roman" w:hAnsi="Times New Roman" w:cs="Times New Roman"/>
          <w:sz w:val="24"/>
          <w:szCs w:val="24"/>
        </w:rPr>
        <w:t>VAR</w:t>
      </w:r>
      <w:r>
        <w:rPr>
          <w:rFonts w:ascii="Times New Roman" w:hAnsi="Times New Roman" w:cs="Times New Roman"/>
          <w:sz w:val="24"/>
          <w:szCs w:val="24"/>
        </w:rPr>
        <w:t>)</w:t>
      </w:r>
      <w:r w:rsidRPr="005D36B8">
        <w:rPr>
          <w:rFonts w:ascii="Times New Roman" w:hAnsi="Times New Roman" w:cs="Times New Roman"/>
          <w:sz w:val="24"/>
          <w:szCs w:val="24"/>
        </w:rPr>
        <w:t xml:space="preserve"> approach is often criticised for imposing implausible restrictions on the structure of the system and making strong assumptions about the underlying data</w:t>
      </w:r>
      <w:r>
        <w:rPr>
          <w:rFonts w:ascii="Times New Roman" w:hAnsi="Times New Roman" w:cs="Times New Roman"/>
          <w:sz w:val="24"/>
          <w:szCs w:val="24"/>
        </w:rPr>
        <w:t>-</w:t>
      </w:r>
      <w:r w:rsidRPr="005D36B8">
        <w:rPr>
          <w:rFonts w:ascii="Times New Roman" w:hAnsi="Times New Roman" w:cs="Times New Roman"/>
          <w:sz w:val="24"/>
          <w:szCs w:val="24"/>
        </w:rPr>
        <w:t xml:space="preserve">generating process. </w:t>
      </w:r>
      <w:bookmarkEnd w:id="8"/>
      <w:r w:rsidRPr="005D36B8">
        <w:rPr>
          <w:rFonts w:ascii="Times New Roman" w:hAnsi="Times New Roman" w:cs="Times New Roman"/>
          <w:sz w:val="24"/>
          <w:szCs w:val="24"/>
        </w:rPr>
        <w:t xml:space="preserve">As highlighted by </w:t>
      </w:r>
      <w:proofErr w:type="spellStart"/>
      <w:r w:rsidRPr="005D36B8">
        <w:rPr>
          <w:rFonts w:ascii="Times New Roman" w:hAnsi="Times New Roman" w:cs="Times New Roman"/>
          <w:sz w:val="24"/>
          <w:szCs w:val="24"/>
        </w:rPr>
        <w:t>Jaroda</w:t>
      </w:r>
      <w:proofErr w:type="spellEnd"/>
      <w:r w:rsidRPr="005D36B8">
        <w:rPr>
          <w:rFonts w:ascii="Times New Roman" w:hAnsi="Times New Roman" w:cs="Times New Roman"/>
          <w:sz w:val="24"/>
          <w:szCs w:val="24"/>
        </w:rPr>
        <w:t xml:space="preserve"> (2005), LPs </w:t>
      </w:r>
      <w:bookmarkStart w:id="9" w:name="_Hlk45787620"/>
      <w:r w:rsidRPr="005D36B8">
        <w:rPr>
          <w:rFonts w:ascii="Times New Roman" w:hAnsi="Times New Roman" w:cs="Times New Roman"/>
          <w:sz w:val="24"/>
          <w:szCs w:val="24"/>
        </w:rPr>
        <w:t xml:space="preserve">are more robust </w:t>
      </w:r>
      <w:r>
        <w:rPr>
          <w:rFonts w:ascii="Times New Roman" w:hAnsi="Times New Roman" w:cs="Times New Roman"/>
          <w:sz w:val="24"/>
          <w:szCs w:val="24"/>
        </w:rPr>
        <w:t>against</w:t>
      </w:r>
      <w:r w:rsidRPr="005D36B8">
        <w:rPr>
          <w:rFonts w:ascii="Times New Roman" w:hAnsi="Times New Roman" w:cs="Times New Roman"/>
          <w:sz w:val="24"/>
          <w:szCs w:val="24"/>
        </w:rPr>
        <w:t xml:space="preserve"> model misspecification and allow for weaker assumptions about the dynamics of </w:t>
      </w:r>
      <w:r>
        <w:rPr>
          <w:rFonts w:ascii="Times New Roman" w:hAnsi="Times New Roman" w:cs="Times New Roman"/>
          <w:sz w:val="24"/>
          <w:szCs w:val="24"/>
        </w:rPr>
        <w:t xml:space="preserve">the </w:t>
      </w:r>
      <w:r w:rsidRPr="005D36B8">
        <w:rPr>
          <w:rFonts w:ascii="Times New Roman" w:hAnsi="Times New Roman" w:cs="Times New Roman"/>
          <w:sz w:val="24"/>
          <w:szCs w:val="24"/>
        </w:rPr>
        <w:t>data</w:t>
      </w:r>
      <w:r>
        <w:rPr>
          <w:rFonts w:ascii="Times New Roman" w:hAnsi="Times New Roman" w:cs="Times New Roman"/>
          <w:sz w:val="24"/>
          <w:szCs w:val="24"/>
        </w:rPr>
        <w:t>-</w:t>
      </w:r>
      <w:r w:rsidRPr="005D36B8">
        <w:rPr>
          <w:rFonts w:ascii="Times New Roman" w:hAnsi="Times New Roman" w:cs="Times New Roman"/>
          <w:sz w:val="24"/>
          <w:szCs w:val="24"/>
        </w:rPr>
        <w:t>generating process</w:t>
      </w:r>
      <w:bookmarkEnd w:id="9"/>
      <w:r w:rsidRPr="005D36B8">
        <w:rPr>
          <w:rFonts w:ascii="Times New Roman" w:hAnsi="Times New Roman" w:cs="Times New Roman"/>
          <w:sz w:val="24"/>
          <w:szCs w:val="24"/>
        </w:rPr>
        <w:t xml:space="preserve">. </w:t>
      </w:r>
      <w:r>
        <w:rPr>
          <w:rFonts w:ascii="Times New Roman" w:hAnsi="Times New Roman" w:cs="Times New Roman"/>
          <w:sz w:val="24"/>
          <w:szCs w:val="24"/>
        </w:rPr>
        <w:t>Thus, they</w:t>
      </w:r>
      <w:r w:rsidRPr="005D36B8">
        <w:rPr>
          <w:rFonts w:ascii="Times New Roman" w:hAnsi="Times New Roman" w:cs="Times New Roman"/>
          <w:sz w:val="24"/>
          <w:szCs w:val="24"/>
        </w:rPr>
        <w:t xml:space="preserve"> have gained increasing popularity in empirical finance as an alternative to the VAR method for estimation of IRFs (</w:t>
      </w:r>
      <w:proofErr w:type="spellStart"/>
      <w:r w:rsidRPr="005D36B8">
        <w:rPr>
          <w:rFonts w:ascii="Times New Roman" w:hAnsi="Times New Roman" w:cs="Times New Roman"/>
          <w:sz w:val="24"/>
          <w:szCs w:val="24"/>
        </w:rPr>
        <w:t>Plagborg-Møller</w:t>
      </w:r>
      <w:proofErr w:type="spellEnd"/>
      <w:r w:rsidRPr="005D36B8">
        <w:rPr>
          <w:rFonts w:ascii="Times New Roman" w:hAnsi="Times New Roman" w:cs="Times New Roman"/>
          <w:sz w:val="24"/>
          <w:szCs w:val="24"/>
        </w:rPr>
        <w:t xml:space="preserve"> and Wolf, 2019). In this study, we calculate linear LP IRFs using the method </w:t>
      </w:r>
      <w:r>
        <w:rPr>
          <w:rFonts w:ascii="Times New Roman" w:hAnsi="Times New Roman" w:cs="Times New Roman"/>
          <w:sz w:val="24"/>
          <w:szCs w:val="24"/>
        </w:rPr>
        <w:t xml:space="preserve">proposed </w:t>
      </w:r>
      <w:r w:rsidRPr="005D36B8">
        <w:rPr>
          <w:rFonts w:ascii="Times New Roman" w:hAnsi="Times New Roman" w:cs="Times New Roman"/>
          <w:sz w:val="24"/>
          <w:szCs w:val="24"/>
        </w:rPr>
        <w:t xml:space="preserve">by </w:t>
      </w:r>
      <w:proofErr w:type="spellStart"/>
      <w:r w:rsidRPr="005D36B8">
        <w:rPr>
          <w:rFonts w:ascii="Times New Roman" w:hAnsi="Times New Roman" w:cs="Times New Roman"/>
          <w:sz w:val="24"/>
          <w:szCs w:val="24"/>
        </w:rPr>
        <w:t>Jaroda</w:t>
      </w:r>
      <w:proofErr w:type="spellEnd"/>
      <w:r w:rsidRPr="005D36B8">
        <w:rPr>
          <w:rFonts w:ascii="Times New Roman" w:hAnsi="Times New Roman" w:cs="Times New Roman"/>
          <w:sz w:val="24"/>
          <w:szCs w:val="24"/>
        </w:rPr>
        <w:t xml:space="preserve"> (2005) and nonlinear LP IRFs following Ahmed and </w:t>
      </w:r>
      <w:proofErr w:type="spellStart"/>
      <w:r w:rsidRPr="005D36B8">
        <w:rPr>
          <w:rFonts w:ascii="Times New Roman" w:hAnsi="Times New Roman" w:cs="Times New Roman"/>
          <w:sz w:val="24"/>
          <w:szCs w:val="24"/>
        </w:rPr>
        <w:t>Cassou</w:t>
      </w:r>
      <w:proofErr w:type="spellEnd"/>
      <w:r w:rsidRPr="005D36B8">
        <w:rPr>
          <w:rFonts w:ascii="Times New Roman" w:hAnsi="Times New Roman" w:cs="Times New Roman"/>
          <w:sz w:val="24"/>
          <w:szCs w:val="24"/>
        </w:rPr>
        <w:t xml:space="preserve"> (2016).</w:t>
      </w:r>
    </w:p>
    <w:p w14:paraId="2A03FECD"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7652CB59"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We also decompose oil shocks </w:t>
      </w:r>
      <w:r>
        <w:rPr>
          <w:rFonts w:ascii="Times New Roman" w:hAnsi="Times New Roman" w:cs="Times New Roman"/>
          <w:sz w:val="24"/>
          <w:szCs w:val="24"/>
        </w:rPr>
        <w:t>based on</w:t>
      </w:r>
      <w:r w:rsidRPr="005D36B8">
        <w:rPr>
          <w:rFonts w:ascii="Times New Roman" w:hAnsi="Times New Roman" w:cs="Times New Roman"/>
          <w:sz w:val="24"/>
          <w:szCs w:val="24"/>
        </w:rPr>
        <w:t xml:space="preserve"> their origin</w:t>
      </w:r>
      <w:r>
        <w:rPr>
          <w:rFonts w:ascii="Times New Roman" w:hAnsi="Times New Roman" w:cs="Times New Roman"/>
          <w:sz w:val="24"/>
          <w:szCs w:val="24"/>
        </w:rPr>
        <w:t>—</w:t>
      </w:r>
      <w:bookmarkStart w:id="10" w:name="_Hlk35167167"/>
      <w:r w:rsidRPr="005D36B8">
        <w:rPr>
          <w:rFonts w:ascii="Times New Roman" w:hAnsi="Times New Roman" w:cs="Times New Roman"/>
          <w:sz w:val="24"/>
          <w:szCs w:val="24"/>
        </w:rPr>
        <w:t xml:space="preserve">oil supply (production), economic activity (aggregate demand), oil inventory (speculative demand) </w:t>
      </w:r>
      <w:r>
        <w:rPr>
          <w:rFonts w:ascii="Times New Roman" w:hAnsi="Times New Roman" w:cs="Times New Roman"/>
          <w:sz w:val="24"/>
          <w:szCs w:val="24"/>
        </w:rPr>
        <w:t>and</w:t>
      </w:r>
      <w:r w:rsidRPr="005D36B8">
        <w:rPr>
          <w:rFonts w:ascii="Times New Roman" w:hAnsi="Times New Roman" w:cs="Times New Roman"/>
          <w:sz w:val="24"/>
          <w:szCs w:val="24"/>
        </w:rPr>
        <w:t xml:space="preserve"> oil</w:t>
      </w:r>
      <w:r>
        <w:rPr>
          <w:rFonts w:ascii="Times New Roman" w:hAnsi="Times New Roman" w:cs="Times New Roman"/>
          <w:sz w:val="24"/>
          <w:szCs w:val="24"/>
        </w:rPr>
        <w:t>-</w:t>
      </w:r>
      <w:r w:rsidRPr="005D36B8">
        <w:rPr>
          <w:rFonts w:ascii="Times New Roman" w:hAnsi="Times New Roman" w:cs="Times New Roman"/>
          <w:sz w:val="24"/>
          <w:szCs w:val="24"/>
        </w:rPr>
        <w:t>market-specific (consumption demand) shocks</w:t>
      </w:r>
      <w:bookmarkEnd w:id="10"/>
      <w:r>
        <w:rPr>
          <w:rFonts w:ascii="Times New Roman" w:hAnsi="Times New Roman" w:cs="Times New Roman"/>
          <w:sz w:val="24"/>
          <w:szCs w:val="24"/>
        </w:rPr>
        <w:t>—similar to</w:t>
      </w:r>
      <w:r w:rsidRPr="005D36B8">
        <w:rPr>
          <w:rFonts w:ascii="Times New Roman" w:hAnsi="Times New Roman" w:cs="Times New Roman"/>
          <w:sz w:val="24"/>
          <w:szCs w:val="24"/>
        </w:rPr>
        <w:t xml:space="preserve"> Baumeister and Hamilton (2018). From a Bayesian perspective, Baumeister and Hamilton (2018) revisit the role of oil market shocks by relaxing some implausible identification restrictions in traditional approaches to SVAR</w:t>
      </w:r>
      <w:r>
        <w:rPr>
          <w:rFonts w:ascii="Times New Roman" w:hAnsi="Times New Roman" w:cs="Times New Roman"/>
          <w:sz w:val="24"/>
          <w:szCs w:val="24"/>
        </w:rPr>
        <w:t>s</w:t>
      </w:r>
      <w:r w:rsidRPr="005D36B8">
        <w:rPr>
          <w:rFonts w:ascii="Times New Roman" w:hAnsi="Times New Roman" w:cs="Times New Roman"/>
          <w:sz w:val="24"/>
          <w:szCs w:val="24"/>
        </w:rPr>
        <w:t>. The study finds that short-</w:t>
      </w:r>
      <w:r>
        <w:rPr>
          <w:rFonts w:ascii="Times New Roman" w:hAnsi="Times New Roman" w:cs="Times New Roman"/>
          <w:sz w:val="24"/>
          <w:szCs w:val="24"/>
        </w:rPr>
        <w:t xml:space="preserve">term </w:t>
      </w:r>
      <w:r w:rsidRPr="005D36B8">
        <w:rPr>
          <w:rFonts w:ascii="Times New Roman" w:hAnsi="Times New Roman" w:cs="Times New Roman"/>
          <w:sz w:val="24"/>
          <w:szCs w:val="24"/>
        </w:rPr>
        <w:t>oil supply elasticity is considerably higher than suggested by previous studies (e.g. Kilian and Murphy</w:t>
      </w:r>
      <w:r>
        <w:rPr>
          <w:rFonts w:ascii="Times New Roman" w:hAnsi="Times New Roman" w:cs="Times New Roman"/>
          <w:sz w:val="24"/>
          <w:szCs w:val="24"/>
        </w:rPr>
        <w:t>,</w:t>
      </w:r>
      <w:r w:rsidRPr="005D36B8">
        <w:rPr>
          <w:rFonts w:ascii="Times New Roman" w:hAnsi="Times New Roman" w:cs="Times New Roman"/>
          <w:sz w:val="24"/>
          <w:szCs w:val="24"/>
        </w:rPr>
        <w:t xml:space="preserve"> 2012</w:t>
      </w:r>
      <w:r>
        <w:rPr>
          <w:rFonts w:ascii="Times New Roman" w:hAnsi="Times New Roman" w:cs="Times New Roman"/>
          <w:sz w:val="24"/>
          <w:szCs w:val="24"/>
        </w:rPr>
        <w:t>,</w:t>
      </w:r>
      <w:r w:rsidRPr="005D36B8">
        <w:rPr>
          <w:rFonts w:ascii="Times New Roman" w:hAnsi="Times New Roman" w:cs="Times New Roman"/>
          <w:sz w:val="24"/>
          <w:szCs w:val="24"/>
        </w:rPr>
        <w:t xml:space="preserve"> 2014). Supply shocks are important </w:t>
      </w:r>
      <w:r>
        <w:rPr>
          <w:rFonts w:ascii="Times New Roman" w:hAnsi="Times New Roman" w:cs="Times New Roman"/>
          <w:sz w:val="24"/>
          <w:szCs w:val="24"/>
        </w:rPr>
        <w:t>for</w:t>
      </w:r>
      <w:r w:rsidRPr="005D36B8">
        <w:rPr>
          <w:rFonts w:ascii="Times New Roman" w:hAnsi="Times New Roman" w:cs="Times New Roman"/>
          <w:sz w:val="24"/>
          <w:szCs w:val="24"/>
        </w:rPr>
        <w:t xml:space="preserve"> accounting for historical oil price movements</w:t>
      </w:r>
      <w:r>
        <w:rPr>
          <w:rFonts w:ascii="Times New Roman" w:hAnsi="Times New Roman" w:cs="Times New Roman"/>
          <w:sz w:val="24"/>
          <w:szCs w:val="24"/>
        </w:rPr>
        <w:t>,</w:t>
      </w:r>
      <w:r w:rsidRPr="005D36B8">
        <w:rPr>
          <w:rFonts w:ascii="Times New Roman" w:hAnsi="Times New Roman" w:cs="Times New Roman"/>
          <w:sz w:val="24"/>
          <w:szCs w:val="24"/>
        </w:rPr>
        <w:t xml:space="preserve"> and </w:t>
      </w:r>
      <w:r>
        <w:rPr>
          <w:rFonts w:ascii="Times New Roman" w:hAnsi="Times New Roman" w:cs="Times New Roman"/>
          <w:sz w:val="24"/>
          <w:szCs w:val="24"/>
        </w:rPr>
        <w:t xml:space="preserve">they </w:t>
      </w:r>
      <w:r w:rsidRPr="005D36B8">
        <w:rPr>
          <w:rFonts w:ascii="Times New Roman" w:hAnsi="Times New Roman" w:cs="Times New Roman"/>
          <w:sz w:val="24"/>
          <w:szCs w:val="24"/>
        </w:rPr>
        <w:t xml:space="preserve">can reduce economic activity after a significant lag. Baumeister and Hamilton (2018) also suggest that there is considerable measurement error </w:t>
      </w:r>
      <w:r>
        <w:rPr>
          <w:rFonts w:ascii="Times New Roman" w:hAnsi="Times New Roman" w:cs="Times New Roman"/>
          <w:sz w:val="24"/>
          <w:szCs w:val="24"/>
        </w:rPr>
        <w:t>when dealing with</w:t>
      </w:r>
      <w:r w:rsidRPr="005D36B8">
        <w:rPr>
          <w:rFonts w:ascii="Times New Roman" w:hAnsi="Times New Roman" w:cs="Times New Roman"/>
          <w:sz w:val="24"/>
          <w:szCs w:val="24"/>
        </w:rPr>
        <w:t xml:space="preserve"> oil inventory. When measurement error is considered, oil inventory demand shocks appear to be less important than </w:t>
      </w:r>
      <w:r>
        <w:rPr>
          <w:rFonts w:ascii="Times New Roman" w:hAnsi="Times New Roman" w:cs="Times New Roman"/>
          <w:sz w:val="24"/>
          <w:szCs w:val="24"/>
        </w:rPr>
        <w:t>indicated</w:t>
      </w:r>
      <w:r w:rsidRPr="005D36B8">
        <w:rPr>
          <w:rFonts w:ascii="Times New Roman" w:hAnsi="Times New Roman" w:cs="Times New Roman"/>
          <w:sz w:val="24"/>
          <w:szCs w:val="24"/>
        </w:rPr>
        <w:t xml:space="preserve"> by early research (e.g. Juvenal and Petrella</w:t>
      </w:r>
      <w:r>
        <w:rPr>
          <w:rFonts w:ascii="Times New Roman" w:hAnsi="Times New Roman" w:cs="Times New Roman"/>
          <w:sz w:val="24"/>
          <w:szCs w:val="24"/>
        </w:rPr>
        <w:t>,</w:t>
      </w:r>
      <w:r w:rsidRPr="005D36B8">
        <w:rPr>
          <w:rFonts w:ascii="Times New Roman" w:hAnsi="Times New Roman" w:cs="Times New Roman"/>
          <w:sz w:val="24"/>
          <w:szCs w:val="24"/>
        </w:rPr>
        <w:t xml:space="preserve"> 2015). As a result, it is important to </w:t>
      </w:r>
      <w:r>
        <w:rPr>
          <w:rFonts w:ascii="Times New Roman" w:hAnsi="Times New Roman" w:cs="Times New Roman"/>
          <w:sz w:val="24"/>
          <w:szCs w:val="24"/>
        </w:rPr>
        <w:t xml:space="preserve">take oil shocks’ origins into consideration when </w:t>
      </w:r>
      <w:r w:rsidRPr="005D36B8">
        <w:rPr>
          <w:rFonts w:ascii="Times New Roman" w:hAnsi="Times New Roman" w:cs="Times New Roman"/>
          <w:sz w:val="24"/>
          <w:szCs w:val="24"/>
        </w:rPr>
        <w:t>examin</w:t>
      </w:r>
      <w:r>
        <w:rPr>
          <w:rFonts w:ascii="Times New Roman" w:hAnsi="Times New Roman" w:cs="Times New Roman"/>
          <w:sz w:val="24"/>
          <w:szCs w:val="24"/>
        </w:rPr>
        <w:t>ing</w:t>
      </w:r>
      <w:r w:rsidRPr="005D36B8">
        <w:rPr>
          <w:rFonts w:ascii="Times New Roman" w:hAnsi="Times New Roman" w:cs="Times New Roman"/>
          <w:sz w:val="24"/>
          <w:szCs w:val="24"/>
        </w:rPr>
        <w:t xml:space="preserve"> the</w:t>
      </w:r>
      <w:r>
        <w:rPr>
          <w:rFonts w:ascii="Times New Roman" w:hAnsi="Times New Roman" w:cs="Times New Roman"/>
          <w:sz w:val="24"/>
          <w:szCs w:val="24"/>
        </w:rPr>
        <w:t>ir impacts</w:t>
      </w:r>
      <w:r w:rsidRPr="005D36B8">
        <w:rPr>
          <w:rFonts w:ascii="Times New Roman" w:hAnsi="Times New Roman" w:cs="Times New Roman"/>
          <w:sz w:val="24"/>
          <w:szCs w:val="24"/>
        </w:rPr>
        <w:t xml:space="preserve"> on economic uncertainty.</w:t>
      </w:r>
    </w:p>
    <w:p w14:paraId="614FFD1B"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54ADE4AD" w14:textId="77777777" w:rsidR="00521DE0" w:rsidRPr="005D36B8" w:rsidRDefault="00521DE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Pr="005D36B8">
        <w:rPr>
          <w:rFonts w:ascii="Times New Roman" w:hAnsi="Times New Roman" w:cs="Times New Roman"/>
          <w:sz w:val="24"/>
          <w:szCs w:val="24"/>
        </w:rPr>
        <w:t xml:space="preserve">xisting studies about oil prices and uncertainty mainly use news-based uncertainty measures, such as the economic policy uncertainty (EPU) index (e.g. </w:t>
      </w:r>
      <w:proofErr w:type="spellStart"/>
      <w:r w:rsidRPr="005D36B8">
        <w:rPr>
          <w:rFonts w:ascii="Times New Roman" w:hAnsi="Times New Roman" w:cs="Times New Roman"/>
          <w:sz w:val="24"/>
          <w:szCs w:val="24"/>
        </w:rPr>
        <w:t>Antonakakis</w:t>
      </w:r>
      <w:proofErr w:type="spellEnd"/>
      <w:r w:rsidRPr="005D36B8">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2014; Kang and </w:t>
      </w:r>
      <w:proofErr w:type="spellStart"/>
      <w:r w:rsidRPr="005D36B8">
        <w:rPr>
          <w:rFonts w:ascii="Times New Roman" w:hAnsi="Times New Roman" w:cs="Times New Roman"/>
          <w:sz w:val="24"/>
          <w:szCs w:val="24"/>
        </w:rPr>
        <w:t>Ratti</w:t>
      </w:r>
      <w:proofErr w:type="spellEnd"/>
      <w:r>
        <w:rPr>
          <w:rFonts w:ascii="Times New Roman" w:hAnsi="Times New Roman" w:cs="Times New Roman"/>
          <w:sz w:val="24"/>
          <w:szCs w:val="24"/>
        </w:rPr>
        <w:t xml:space="preserve">, </w:t>
      </w:r>
      <w:r w:rsidRPr="005D36B8">
        <w:rPr>
          <w:rFonts w:ascii="Times New Roman" w:hAnsi="Times New Roman" w:cs="Times New Roman"/>
          <w:sz w:val="24"/>
          <w:szCs w:val="24"/>
        </w:rPr>
        <w:t>2013a</w:t>
      </w:r>
      <w:r>
        <w:rPr>
          <w:rFonts w:ascii="Times New Roman" w:hAnsi="Times New Roman" w:cs="Times New Roman"/>
          <w:sz w:val="24"/>
          <w:szCs w:val="24"/>
        </w:rPr>
        <w:t>,</w:t>
      </w:r>
      <w:r w:rsidRPr="005D36B8">
        <w:rPr>
          <w:rFonts w:ascii="Times New Roman" w:hAnsi="Times New Roman" w:cs="Times New Roman"/>
          <w:sz w:val="24"/>
          <w:szCs w:val="24"/>
        </w:rPr>
        <w:t xml:space="preserve"> 2013b</w:t>
      </w:r>
      <w:r>
        <w:rPr>
          <w:rFonts w:ascii="Times New Roman" w:hAnsi="Times New Roman" w:cs="Times New Roman"/>
          <w:sz w:val="24"/>
          <w:szCs w:val="24"/>
        </w:rPr>
        <w:t>;</w:t>
      </w:r>
      <w:r w:rsidRPr="005D36B8">
        <w:rPr>
          <w:rFonts w:ascii="Times New Roman" w:hAnsi="Times New Roman" w:cs="Times New Roman"/>
          <w:sz w:val="24"/>
          <w:szCs w:val="24"/>
        </w:rPr>
        <w:t xml:space="preserve"> Kang et al.</w:t>
      </w:r>
      <w:r>
        <w:rPr>
          <w:rFonts w:ascii="Times New Roman" w:hAnsi="Times New Roman" w:cs="Times New Roman"/>
          <w:sz w:val="24"/>
          <w:szCs w:val="24"/>
        </w:rPr>
        <w:t xml:space="preserve">, </w:t>
      </w:r>
      <w:r w:rsidRPr="005D36B8">
        <w:rPr>
          <w:rFonts w:ascii="Times New Roman" w:hAnsi="Times New Roman" w:cs="Times New Roman"/>
          <w:sz w:val="24"/>
          <w:szCs w:val="24"/>
        </w:rPr>
        <w:t>2017</w:t>
      </w:r>
      <w:r>
        <w:rPr>
          <w:rFonts w:ascii="Times New Roman" w:hAnsi="Times New Roman" w:cs="Times New Roman"/>
          <w:sz w:val="24"/>
          <w:szCs w:val="24"/>
        </w:rPr>
        <w:t xml:space="preserve">; </w:t>
      </w:r>
      <w:r w:rsidRPr="005D36B8">
        <w:rPr>
          <w:rFonts w:ascii="Times New Roman" w:hAnsi="Times New Roman" w:cs="Times New Roman"/>
          <w:sz w:val="24"/>
          <w:szCs w:val="24"/>
        </w:rPr>
        <w:t>Hailemariam et al.</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2019). However, data </w:t>
      </w:r>
      <w:r>
        <w:rPr>
          <w:rFonts w:ascii="Times New Roman" w:hAnsi="Times New Roman" w:cs="Times New Roman"/>
          <w:sz w:val="24"/>
          <w:szCs w:val="24"/>
        </w:rPr>
        <w:t>regarding</w:t>
      </w:r>
      <w:r w:rsidRPr="005D36B8">
        <w:rPr>
          <w:rFonts w:ascii="Times New Roman" w:hAnsi="Times New Roman" w:cs="Times New Roman"/>
          <w:sz w:val="24"/>
          <w:szCs w:val="24"/>
        </w:rPr>
        <w:t xml:space="preserve"> EPU are available for only a relatively small group of countries. In addition, as suggested by Ozturk and Sheng (2018), this type of uncertainty measure</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sets a high bar for news media coverage, </w:t>
      </w:r>
      <w:r>
        <w:rPr>
          <w:rFonts w:ascii="Times New Roman" w:hAnsi="Times New Roman" w:cs="Times New Roman"/>
          <w:sz w:val="24"/>
          <w:szCs w:val="24"/>
        </w:rPr>
        <w:t>meaning that</w:t>
      </w:r>
      <w:r w:rsidRPr="005D36B8">
        <w:rPr>
          <w:rFonts w:ascii="Times New Roman" w:hAnsi="Times New Roman" w:cs="Times New Roman"/>
          <w:sz w:val="24"/>
          <w:szCs w:val="24"/>
        </w:rPr>
        <w:t xml:space="preserve"> uncertainty may not be </w:t>
      </w:r>
      <w:r>
        <w:rPr>
          <w:rFonts w:ascii="Times New Roman" w:hAnsi="Times New Roman" w:cs="Times New Roman"/>
          <w:sz w:val="24"/>
          <w:szCs w:val="24"/>
        </w:rPr>
        <w:t>sufficiently</w:t>
      </w:r>
      <w:r w:rsidRPr="005D36B8">
        <w:rPr>
          <w:rFonts w:ascii="Times New Roman" w:hAnsi="Times New Roman" w:cs="Times New Roman"/>
          <w:sz w:val="24"/>
          <w:szCs w:val="24"/>
        </w:rPr>
        <w:t xml:space="preserve"> captured if reporters or editors fail</w:t>
      </w:r>
      <w:r>
        <w:rPr>
          <w:rFonts w:ascii="Times New Roman" w:hAnsi="Times New Roman" w:cs="Times New Roman"/>
          <w:sz w:val="24"/>
          <w:szCs w:val="24"/>
        </w:rPr>
        <w:t xml:space="preserve"> or </w:t>
      </w:r>
      <w:r w:rsidRPr="005D36B8">
        <w:rPr>
          <w:rFonts w:ascii="Times New Roman" w:hAnsi="Times New Roman" w:cs="Times New Roman"/>
          <w:sz w:val="24"/>
          <w:szCs w:val="24"/>
        </w:rPr>
        <w:t xml:space="preserve">neglect to </w:t>
      </w:r>
      <w:r>
        <w:rPr>
          <w:rFonts w:ascii="Times New Roman" w:hAnsi="Times New Roman" w:cs="Times New Roman"/>
          <w:sz w:val="24"/>
          <w:szCs w:val="24"/>
        </w:rPr>
        <w:t>report on</w:t>
      </w:r>
      <w:r w:rsidRPr="005D36B8">
        <w:rPr>
          <w:rFonts w:ascii="Times New Roman" w:hAnsi="Times New Roman" w:cs="Times New Roman"/>
          <w:sz w:val="24"/>
          <w:szCs w:val="24"/>
        </w:rPr>
        <w:t xml:space="preserve"> relevant uncertainty events. In this paper, we use </w:t>
      </w:r>
      <w:bookmarkStart w:id="11" w:name="_Hlk33373051"/>
      <w:r w:rsidRPr="005D36B8">
        <w:rPr>
          <w:rFonts w:ascii="Times New Roman" w:hAnsi="Times New Roman" w:cs="Times New Roman"/>
          <w:sz w:val="24"/>
          <w:szCs w:val="24"/>
        </w:rPr>
        <w:t xml:space="preserve">the total economic uncertainty measure proposed by </w:t>
      </w:r>
      <w:bookmarkStart w:id="12" w:name="_Hlk35168191"/>
      <w:r w:rsidRPr="005D36B8">
        <w:rPr>
          <w:rFonts w:ascii="Times New Roman" w:hAnsi="Times New Roman" w:cs="Times New Roman"/>
          <w:sz w:val="24"/>
          <w:szCs w:val="24"/>
        </w:rPr>
        <w:t xml:space="preserve">Ozturk and Sheng (2018) </w:t>
      </w:r>
      <w:bookmarkEnd w:id="12"/>
      <w:r w:rsidRPr="005D36B8">
        <w:rPr>
          <w:rFonts w:ascii="Times New Roman" w:hAnsi="Times New Roman" w:cs="Times New Roman"/>
          <w:sz w:val="24"/>
          <w:szCs w:val="24"/>
        </w:rPr>
        <w:t xml:space="preserve">for a large group of </w:t>
      </w:r>
      <w:r>
        <w:rPr>
          <w:rFonts w:ascii="Times New Roman" w:hAnsi="Times New Roman" w:cs="Times New Roman"/>
          <w:sz w:val="24"/>
          <w:szCs w:val="24"/>
        </w:rPr>
        <w:t>4</w:t>
      </w:r>
      <w:r w:rsidRPr="005D36B8">
        <w:rPr>
          <w:rFonts w:ascii="Times New Roman" w:hAnsi="Times New Roman" w:cs="Times New Roman"/>
          <w:sz w:val="24"/>
          <w:szCs w:val="24"/>
        </w:rPr>
        <w:t xml:space="preserve">5 economies. </w:t>
      </w:r>
      <w:bookmarkEnd w:id="11"/>
      <w:r w:rsidRPr="005D36B8">
        <w:rPr>
          <w:rFonts w:ascii="Times New Roman" w:hAnsi="Times New Roman" w:cs="Times New Roman"/>
          <w:sz w:val="24"/>
          <w:szCs w:val="24"/>
        </w:rPr>
        <w:t xml:space="preserve">This </w:t>
      </w:r>
      <w:bookmarkStart w:id="13" w:name="_Hlk35167886"/>
      <w:r w:rsidRPr="005D36B8">
        <w:rPr>
          <w:rFonts w:ascii="Times New Roman" w:hAnsi="Times New Roman" w:cs="Times New Roman"/>
          <w:sz w:val="24"/>
          <w:szCs w:val="24"/>
        </w:rPr>
        <w:t xml:space="preserve">survey-based uncertainty measure provides a comprehensive measure of macroeconomic uncertainty </w:t>
      </w:r>
      <w:r>
        <w:rPr>
          <w:rFonts w:ascii="Times New Roman" w:hAnsi="Times New Roman" w:cs="Times New Roman"/>
          <w:sz w:val="24"/>
          <w:szCs w:val="24"/>
        </w:rPr>
        <w:t>that</w:t>
      </w:r>
      <w:r w:rsidRPr="005D36B8">
        <w:rPr>
          <w:rFonts w:ascii="Times New Roman" w:hAnsi="Times New Roman" w:cs="Times New Roman"/>
          <w:sz w:val="24"/>
          <w:szCs w:val="24"/>
        </w:rPr>
        <w:t xml:space="preserve"> includes a rich information set. The new measure captures perceived </w:t>
      </w:r>
      <w:r w:rsidRPr="005D36B8">
        <w:rPr>
          <w:rFonts w:ascii="Times New Roman" w:hAnsi="Times New Roman" w:cs="Times New Roman"/>
          <w:sz w:val="24"/>
          <w:szCs w:val="24"/>
        </w:rPr>
        <w:lastRenderedPageBreak/>
        <w:t>uncertainty based on forecasts of market participants and reflects disagreement amongst professional forecasters in surveys.</w:t>
      </w:r>
    </w:p>
    <w:bookmarkEnd w:id="13"/>
    <w:p w14:paraId="2E2AA1F5" w14:textId="77777777" w:rsidR="00521DE0" w:rsidRDefault="00521DE0" w:rsidP="00521DE0">
      <w:pPr>
        <w:spacing w:after="0" w:line="480" w:lineRule="auto"/>
        <w:jc w:val="both"/>
        <w:rPr>
          <w:rFonts w:ascii="Times New Roman" w:hAnsi="Times New Roman" w:cs="Times New Roman"/>
          <w:sz w:val="24"/>
          <w:szCs w:val="24"/>
        </w:rPr>
      </w:pPr>
    </w:p>
    <w:p w14:paraId="3493F711" w14:textId="50B017F4" w:rsidR="00521DE0" w:rsidRPr="003F37CA" w:rsidRDefault="00521DE0" w:rsidP="00521DE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main findings in the paper are as follows. First, our results show that t</w:t>
      </w:r>
      <w:r w:rsidRPr="003B3D8F">
        <w:rPr>
          <w:rFonts w:ascii="Times New Roman" w:hAnsi="Times New Roman" w:cs="Times New Roman"/>
          <w:sz w:val="24"/>
          <w:szCs w:val="24"/>
        </w:rPr>
        <w:t>he impacts of oil shocks on macroeconomic uncertainty are regime-dependent and contingent on the states of investor sentiments and perceived volatility in financial markets</w:t>
      </w:r>
      <w:r>
        <w:rPr>
          <w:rFonts w:ascii="Times New Roman" w:hAnsi="Times New Roman" w:cs="Times New Roman"/>
          <w:sz w:val="24"/>
          <w:szCs w:val="24"/>
        </w:rPr>
        <w:t>. Second, we find that m</w:t>
      </w:r>
      <w:r w:rsidRPr="003B3D8F">
        <w:rPr>
          <w:rFonts w:ascii="Times New Roman" w:hAnsi="Times New Roman" w:cs="Times New Roman"/>
          <w:sz w:val="24"/>
          <w:szCs w:val="24"/>
        </w:rPr>
        <w:t>acroeconomic uncertainty reacts positively to oil supply shocks during high-volatility periods.</w:t>
      </w:r>
      <w:r>
        <w:rPr>
          <w:rFonts w:ascii="Times New Roman" w:hAnsi="Times New Roman" w:cs="Times New Roman"/>
          <w:sz w:val="24"/>
          <w:szCs w:val="24"/>
        </w:rPr>
        <w:t xml:space="preserve"> Last, t</w:t>
      </w:r>
      <w:r w:rsidRPr="003B3D8F">
        <w:rPr>
          <w:rFonts w:ascii="Times New Roman" w:hAnsi="Times New Roman" w:cs="Times New Roman"/>
          <w:sz w:val="24"/>
          <w:szCs w:val="24"/>
        </w:rPr>
        <w:t>he impacts of oil shocks on uncertainties experience dramatic changes in the post-GFC period.</w:t>
      </w:r>
      <w:r>
        <w:rPr>
          <w:rFonts w:ascii="Times New Roman" w:hAnsi="Times New Roman" w:cs="Times New Roman"/>
          <w:sz w:val="24"/>
          <w:szCs w:val="24"/>
        </w:rPr>
        <w:t xml:space="preserve"> </w:t>
      </w:r>
      <w:r w:rsidRPr="003F37CA">
        <w:rPr>
          <w:rFonts w:ascii="Times New Roman" w:hAnsi="Times New Roman" w:cs="Times New Roman"/>
          <w:sz w:val="24"/>
          <w:szCs w:val="24"/>
        </w:rPr>
        <w:t>Note that, our results have important implications for policymakers</w:t>
      </w:r>
      <w:r>
        <w:rPr>
          <w:rFonts w:ascii="Times New Roman" w:hAnsi="Times New Roman" w:cs="Times New Roman"/>
          <w:sz w:val="24"/>
          <w:szCs w:val="24"/>
        </w:rPr>
        <w:t xml:space="preserve"> and investors in financial markets</w:t>
      </w:r>
      <w:r w:rsidRPr="003F37CA">
        <w:rPr>
          <w:rFonts w:ascii="Times New Roman" w:hAnsi="Times New Roman" w:cs="Times New Roman"/>
          <w:sz w:val="24"/>
          <w:szCs w:val="24"/>
        </w:rPr>
        <w:t xml:space="preserve">, given </w:t>
      </w:r>
      <w:r>
        <w:rPr>
          <w:rFonts w:ascii="Times New Roman" w:hAnsi="Times New Roman" w:cs="Times New Roman"/>
          <w:sz w:val="24"/>
          <w:szCs w:val="24"/>
        </w:rPr>
        <w:t>existing literature shows evidence that</w:t>
      </w:r>
      <w:r w:rsidRPr="003F37CA">
        <w:rPr>
          <w:rFonts w:ascii="Times New Roman" w:hAnsi="Times New Roman" w:cs="Times New Roman"/>
          <w:sz w:val="24"/>
          <w:szCs w:val="24"/>
        </w:rPr>
        <w:t xml:space="preserve"> macroeconomic uncertainty itself leads the macroeconomy, so the role of oil shocks, and which oil shocks can predict uncertainties and the macroeconomy is clearly very important information for the policymakers</w:t>
      </w:r>
      <w:r>
        <w:rPr>
          <w:rFonts w:ascii="Times New Roman" w:hAnsi="Times New Roman" w:cs="Times New Roman"/>
          <w:sz w:val="24"/>
          <w:szCs w:val="24"/>
        </w:rPr>
        <w:t xml:space="preserve"> and investors</w:t>
      </w:r>
      <w:r w:rsidRPr="003F37CA">
        <w:rPr>
          <w:rFonts w:ascii="Times New Roman" w:hAnsi="Times New Roman" w:cs="Times New Roman"/>
          <w:sz w:val="24"/>
          <w:szCs w:val="24"/>
        </w:rPr>
        <w:t>.</w:t>
      </w:r>
    </w:p>
    <w:p w14:paraId="2B7A1075" w14:textId="77777777" w:rsidR="00521DE0" w:rsidRPr="005D36B8" w:rsidRDefault="00521DE0" w:rsidP="00521DE0">
      <w:pPr>
        <w:spacing w:after="0" w:line="360" w:lineRule="auto"/>
        <w:jc w:val="both"/>
        <w:rPr>
          <w:rFonts w:ascii="Times New Roman" w:hAnsi="Times New Roman" w:cs="Times New Roman"/>
          <w:sz w:val="24"/>
          <w:szCs w:val="24"/>
        </w:rPr>
      </w:pPr>
    </w:p>
    <w:p w14:paraId="04D624B6" w14:textId="77777777" w:rsidR="00521DE0"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The remainder of this paper is organised as follows. Section 2 describes the data and methodology. Section 3 provides results and discussion. Section 4 concludes with summary remarks and policy implications.</w:t>
      </w:r>
    </w:p>
    <w:p w14:paraId="264B032E"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26C5C3DE" w14:textId="77777777" w:rsidR="00521DE0" w:rsidRPr="005D36B8" w:rsidRDefault="00521DE0" w:rsidP="004F51DA">
      <w:pPr>
        <w:pStyle w:val="Heading1"/>
      </w:pPr>
      <w:r w:rsidRPr="00D14894">
        <w:rPr>
          <w:rFonts w:hint="eastAsia"/>
        </w:rPr>
        <w:t>2.</w:t>
      </w:r>
      <w:r>
        <w:rPr>
          <w:rFonts w:hint="eastAsia"/>
        </w:rPr>
        <w:t xml:space="preserve"> </w:t>
      </w:r>
      <w:r w:rsidRPr="005D36B8">
        <w:t>Data and Methodology</w:t>
      </w:r>
    </w:p>
    <w:p w14:paraId="0BF7F26B" w14:textId="50E728F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The dataset used in this study consists of the macroeconomic uncertainty measures for Ozturk and Sheng (2018) for </w:t>
      </w:r>
      <w:r>
        <w:rPr>
          <w:rFonts w:ascii="Times New Roman" w:hAnsi="Times New Roman" w:cs="Times New Roman"/>
          <w:sz w:val="24"/>
          <w:szCs w:val="24"/>
        </w:rPr>
        <w:t>4</w:t>
      </w:r>
      <w:r w:rsidRPr="005D36B8">
        <w:rPr>
          <w:rFonts w:ascii="Times New Roman" w:hAnsi="Times New Roman" w:cs="Times New Roman"/>
          <w:sz w:val="24"/>
          <w:szCs w:val="24"/>
        </w:rPr>
        <w:t xml:space="preserve">5 economies, the volatility index (VIX) and oil market data at the monthly frequency. The sample period </w:t>
      </w:r>
      <w:bookmarkStart w:id="14" w:name="_Hlk35166301"/>
      <w:r w:rsidRPr="005D36B8">
        <w:rPr>
          <w:rFonts w:ascii="Times New Roman" w:hAnsi="Times New Roman" w:cs="Times New Roman"/>
          <w:sz w:val="24"/>
          <w:szCs w:val="24"/>
        </w:rPr>
        <w:t xml:space="preserve">covers </w:t>
      </w:r>
      <w:r>
        <w:rPr>
          <w:rFonts w:ascii="Times New Roman" w:hAnsi="Times New Roman" w:cs="Times New Roman"/>
          <w:sz w:val="24"/>
          <w:szCs w:val="24"/>
        </w:rPr>
        <w:t xml:space="preserve">October </w:t>
      </w:r>
      <w:r w:rsidRPr="005D36B8">
        <w:rPr>
          <w:rFonts w:ascii="Times New Roman" w:hAnsi="Times New Roman" w:cs="Times New Roman"/>
          <w:sz w:val="24"/>
          <w:szCs w:val="24"/>
        </w:rPr>
        <w:t xml:space="preserve">1989 to </w:t>
      </w:r>
      <w:r>
        <w:rPr>
          <w:rFonts w:ascii="Times New Roman" w:hAnsi="Times New Roman" w:cs="Times New Roman"/>
          <w:sz w:val="24"/>
          <w:szCs w:val="24"/>
        </w:rPr>
        <w:t xml:space="preserve">October </w:t>
      </w:r>
      <w:r w:rsidRPr="005D36B8">
        <w:rPr>
          <w:rFonts w:ascii="Times New Roman" w:hAnsi="Times New Roman" w:cs="Times New Roman"/>
          <w:sz w:val="24"/>
          <w:szCs w:val="24"/>
        </w:rPr>
        <w:t>2017</w:t>
      </w:r>
      <w:bookmarkEnd w:id="14"/>
      <w:r>
        <w:rPr>
          <w:rFonts w:ascii="Times New Roman" w:hAnsi="Times New Roman" w:cs="Times New Roman"/>
          <w:sz w:val="24"/>
          <w:szCs w:val="24"/>
        </w:rPr>
        <w:t xml:space="preserve">. </w:t>
      </w:r>
      <w:r w:rsidRPr="005D36B8">
        <w:rPr>
          <w:rFonts w:ascii="Times New Roman" w:hAnsi="Times New Roman" w:cs="Times New Roman"/>
          <w:sz w:val="24"/>
          <w:szCs w:val="24"/>
        </w:rPr>
        <w:t>The VIX index</w:t>
      </w:r>
      <w:r>
        <w:rPr>
          <w:rFonts w:ascii="Times New Roman" w:hAnsi="Times New Roman" w:cs="Times New Roman"/>
          <w:sz w:val="24"/>
          <w:szCs w:val="24"/>
        </w:rPr>
        <w:t xml:space="preserve">, which </w:t>
      </w:r>
      <w:r w:rsidRPr="005D36B8">
        <w:rPr>
          <w:rFonts w:ascii="Times New Roman" w:hAnsi="Times New Roman" w:cs="Times New Roman"/>
          <w:sz w:val="24"/>
          <w:szCs w:val="24"/>
        </w:rPr>
        <w:t>available from the Chicago Board Options Exchange</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is </w:t>
      </w:r>
      <w:r>
        <w:rPr>
          <w:rFonts w:ascii="Times New Roman" w:hAnsi="Times New Roman" w:cs="Times New Roman"/>
          <w:sz w:val="24"/>
          <w:szCs w:val="24"/>
        </w:rPr>
        <w:t>commonly</w:t>
      </w:r>
      <w:r w:rsidRPr="005D36B8">
        <w:rPr>
          <w:rFonts w:ascii="Times New Roman" w:hAnsi="Times New Roman" w:cs="Times New Roman"/>
          <w:sz w:val="24"/>
          <w:szCs w:val="24"/>
        </w:rPr>
        <w:t xml:space="preserve"> known as the fear index and is widely used in the literature as a proxy </w:t>
      </w:r>
      <w:r>
        <w:rPr>
          <w:rFonts w:ascii="Times New Roman" w:hAnsi="Times New Roman" w:cs="Times New Roman"/>
          <w:sz w:val="24"/>
          <w:szCs w:val="24"/>
        </w:rPr>
        <w:t>for</w:t>
      </w:r>
      <w:r w:rsidRPr="005D36B8">
        <w:rPr>
          <w:rFonts w:ascii="Times New Roman" w:hAnsi="Times New Roman" w:cs="Times New Roman"/>
          <w:sz w:val="24"/>
          <w:szCs w:val="24"/>
        </w:rPr>
        <w:t xml:space="preserve"> investor sentiment and perceived volatility in financial markets (e.g. </w:t>
      </w:r>
      <w:proofErr w:type="spellStart"/>
      <w:r w:rsidRPr="005D36B8">
        <w:rPr>
          <w:rFonts w:ascii="Times New Roman" w:hAnsi="Times New Roman" w:cs="Times New Roman"/>
          <w:sz w:val="24"/>
          <w:szCs w:val="24"/>
        </w:rPr>
        <w:t>Bouri</w:t>
      </w:r>
      <w:proofErr w:type="spellEnd"/>
      <w:r>
        <w:rPr>
          <w:rFonts w:ascii="Times New Roman" w:hAnsi="Times New Roman" w:cs="Times New Roman"/>
          <w:sz w:val="24"/>
          <w:szCs w:val="24"/>
        </w:rPr>
        <w:t xml:space="preserve"> et al., </w:t>
      </w:r>
      <w:r w:rsidRPr="005D36B8">
        <w:rPr>
          <w:rFonts w:ascii="Times New Roman" w:hAnsi="Times New Roman" w:cs="Times New Roman"/>
          <w:sz w:val="24"/>
          <w:szCs w:val="24"/>
        </w:rPr>
        <w:t>2018; Zhang</w:t>
      </w:r>
      <w:r>
        <w:rPr>
          <w:rFonts w:ascii="Times New Roman" w:hAnsi="Times New Roman" w:cs="Times New Roman"/>
          <w:sz w:val="24"/>
          <w:szCs w:val="24"/>
        </w:rPr>
        <w:t xml:space="preserve"> et al.</w:t>
      </w:r>
      <w:r w:rsidRPr="005D36B8">
        <w:rPr>
          <w:rFonts w:ascii="Times New Roman" w:hAnsi="Times New Roman" w:cs="Times New Roman"/>
          <w:sz w:val="24"/>
          <w:szCs w:val="24"/>
        </w:rPr>
        <w:t xml:space="preserve">, 2017). The country-specific measure of economic uncertainty is computed </w:t>
      </w:r>
      <w:r w:rsidRPr="005D36B8">
        <w:rPr>
          <w:rFonts w:ascii="Times New Roman" w:hAnsi="Times New Roman" w:cs="Times New Roman"/>
          <w:color w:val="2E2E2E"/>
          <w:sz w:val="24"/>
          <w:szCs w:val="24"/>
        </w:rPr>
        <w:t xml:space="preserve">based on forecasts of </w:t>
      </w:r>
      <w:bookmarkStart w:id="15" w:name="_Hlk35092387"/>
      <w:r>
        <w:rPr>
          <w:rFonts w:ascii="Times New Roman" w:hAnsi="Times New Roman" w:cs="Times New Roman"/>
          <w:color w:val="2E2E2E"/>
          <w:sz w:val="24"/>
          <w:szCs w:val="24"/>
        </w:rPr>
        <w:t xml:space="preserve">eight macroeconomic </w:t>
      </w:r>
      <w:r>
        <w:rPr>
          <w:rFonts w:ascii="Times New Roman" w:hAnsi="Times New Roman" w:cs="Times New Roman"/>
          <w:color w:val="2E2E2E"/>
          <w:sz w:val="24"/>
          <w:szCs w:val="24"/>
        </w:rPr>
        <w:lastRenderedPageBreak/>
        <w:t xml:space="preserve">variables related to </w:t>
      </w:r>
      <w:r w:rsidRPr="005D36B8">
        <w:rPr>
          <w:rFonts w:ascii="Times New Roman" w:hAnsi="Times New Roman" w:cs="Times New Roman"/>
          <w:color w:val="2E2E2E"/>
          <w:sz w:val="24"/>
          <w:szCs w:val="24"/>
        </w:rPr>
        <w:t xml:space="preserve">market participants </w:t>
      </w:r>
      <w:bookmarkEnd w:id="15"/>
      <w:r w:rsidRPr="005D36B8">
        <w:rPr>
          <w:rFonts w:ascii="Times New Roman" w:hAnsi="Times New Roman" w:cs="Times New Roman"/>
          <w:color w:val="2E2E2E"/>
          <w:sz w:val="24"/>
          <w:szCs w:val="24"/>
        </w:rPr>
        <w:t>in the</w:t>
      </w:r>
      <w:r>
        <w:rPr>
          <w:rFonts w:ascii="Times New Roman" w:hAnsi="Times New Roman" w:cs="Times New Roman"/>
          <w:color w:val="2E2E2E"/>
          <w:sz w:val="24"/>
          <w:szCs w:val="24"/>
        </w:rPr>
        <w:t>ir</w:t>
      </w:r>
      <w:r w:rsidRPr="005D36B8">
        <w:rPr>
          <w:rFonts w:ascii="Times New Roman" w:hAnsi="Times New Roman" w:cs="Times New Roman"/>
          <w:color w:val="2E2E2E"/>
          <w:sz w:val="24"/>
          <w:szCs w:val="24"/>
        </w:rPr>
        <w:t xml:space="preserve"> home countr</w:t>
      </w:r>
      <w:r>
        <w:rPr>
          <w:rFonts w:ascii="Times New Roman" w:hAnsi="Times New Roman" w:cs="Times New Roman"/>
          <w:color w:val="2E2E2E"/>
          <w:sz w:val="24"/>
          <w:szCs w:val="24"/>
        </w:rPr>
        <w:t>ies:</w:t>
      </w:r>
      <w:r w:rsidRPr="005D36B8">
        <w:rPr>
          <w:rFonts w:ascii="Times New Roman" w:hAnsi="Times New Roman" w:cs="Times New Roman"/>
          <w:color w:val="2E2E2E"/>
          <w:sz w:val="24"/>
          <w:szCs w:val="24"/>
        </w:rPr>
        <w:t xml:space="preserve"> the annual growth rate</w:t>
      </w:r>
      <w:r>
        <w:rPr>
          <w:rFonts w:ascii="Times New Roman" w:hAnsi="Times New Roman" w:cs="Times New Roman"/>
          <w:color w:val="2E2E2E"/>
          <w:sz w:val="24"/>
          <w:szCs w:val="24"/>
        </w:rPr>
        <w:t>s</w:t>
      </w:r>
      <w:r w:rsidRPr="005D36B8">
        <w:rPr>
          <w:rFonts w:ascii="Times New Roman" w:hAnsi="Times New Roman" w:cs="Times New Roman"/>
          <w:color w:val="2E2E2E"/>
          <w:sz w:val="24"/>
          <w:szCs w:val="24"/>
        </w:rPr>
        <w:t xml:space="preserve"> of GDP, investment, consumption, industrial (manufacturing) production, short- and long-term interest rates</w:t>
      </w:r>
      <w:r w:rsidRPr="005D36B8">
        <w:rPr>
          <w:rFonts w:ascii="Times New Roman" w:hAnsi="Times New Roman" w:cs="Times New Roman"/>
          <w:sz w:val="24"/>
          <w:szCs w:val="24"/>
        </w:rPr>
        <w:t xml:space="preserve"> and </w:t>
      </w:r>
      <w:r w:rsidRPr="005D36B8">
        <w:rPr>
          <w:rFonts w:ascii="Times New Roman" w:hAnsi="Times New Roman" w:cs="Times New Roman"/>
          <w:color w:val="2E2E2E"/>
          <w:sz w:val="24"/>
          <w:szCs w:val="24"/>
        </w:rPr>
        <w:t>unemployment and inflation rates. This survey-based uncertainty measure reflects professional forecasters</w:t>
      </w:r>
      <w:r>
        <w:rPr>
          <w:rFonts w:ascii="Times New Roman" w:hAnsi="Times New Roman" w:cs="Times New Roman"/>
          <w:color w:val="2E2E2E"/>
          <w:sz w:val="24"/>
          <w:szCs w:val="24"/>
        </w:rPr>
        <w:t>’ perceptions</w:t>
      </w:r>
      <w:r w:rsidRPr="005D36B8">
        <w:rPr>
          <w:rFonts w:ascii="Times New Roman" w:hAnsi="Times New Roman" w:cs="Times New Roman"/>
          <w:color w:val="2E2E2E"/>
          <w:sz w:val="24"/>
          <w:szCs w:val="24"/>
        </w:rPr>
        <w:t xml:space="preserve"> </w:t>
      </w:r>
      <w:r>
        <w:rPr>
          <w:rFonts w:ascii="Times New Roman" w:hAnsi="Times New Roman" w:cs="Times New Roman"/>
          <w:color w:val="2E2E2E"/>
          <w:sz w:val="24"/>
          <w:szCs w:val="24"/>
        </w:rPr>
        <w:t>of</w:t>
      </w:r>
      <w:r w:rsidRPr="005D36B8">
        <w:rPr>
          <w:rFonts w:ascii="Times New Roman" w:hAnsi="Times New Roman" w:cs="Times New Roman"/>
          <w:color w:val="2E2E2E"/>
          <w:sz w:val="24"/>
          <w:szCs w:val="24"/>
        </w:rPr>
        <w:t xml:space="preserve"> </w:t>
      </w:r>
      <w:r>
        <w:rPr>
          <w:rFonts w:ascii="Times New Roman" w:hAnsi="Times New Roman" w:cs="Times New Roman"/>
          <w:color w:val="2E2E2E"/>
          <w:sz w:val="24"/>
          <w:szCs w:val="24"/>
        </w:rPr>
        <w:t xml:space="preserve">future </w:t>
      </w:r>
      <w:r w:rsidRPr="005D36B8">
        <w:rPr>
          <w:rFonts w:ascii="Times New Roman" w:hAnsi="Times New Roman" w:cs="Times New Roman"/>
          <w:color w:val="2E2E2E"/>
          <w:sz w:val="24"/>
          <w:szCs w:val="24"/>
        </w:rPr>
        <w:t xml:space="preserve">economic developments and captures both common and idiosyncratic components of uncertainty in the whole economy. To measure oil market shocks, we employ the method proposed by Baumeister and Hamilton (2019) and disaggregate oil market shocks into </w:t>
      </w:r>
      <w:r>
        <w:rPr>
          <w:rFonts w:ascii="Times New Roman" w:hAnsi="Times New Roman" w:cs="Times New Roman"/>
          <w:color w:val="2E2E2E"/>
          <w:sz w:val="24"/>
          <w:szCs w:val="24"/>
        </w:rPr>
        <w:t>four</w:t>
      </w:r>
      <w:r w:rsidRPr="005D36B8">
        <w:rPr>
          <w:rFonts w:ascii="Times New Roman" w:hAnsi="Times New Roman" w:cs="Times New Roman"/>
          <w:color w:val="2E2E2E"/>
          <w:sz w:val="24"/>
          <w:szCs w:val="24"/>
        </w:rPr>
        <w:t xml:space="preserve"> components</w:t>
      </w:r>
      <w:r>
        <w:rPr>
          <w:rFonts w:ascii="Times New Roman" w:hAnsi="Times New Roman" w:cs="Times New Roman"/>
          <w:color w:val="2E2E2E"/>
          <w:sz w:val="24"/>
          <w:szCs w:val="24"/>
        </w:rPr>
        <w:t xml:space="preserve">, i.e., oil </w:t>
      </w:r>
      <w:r w:rsidRPr="00106227">
        <w:rPr>
          <w:rFonts w:ascii="Times New Roman" w:hAnsi="Times New Roman" w:cs="Times New Roman"/>
          <w:color w:val="2E2E2E"/>
          <w:sz w:val="24"/>
          <w:szCs w:val="24"/>
        </w:rPr>
        <w:t>supply</w:t>
      </w:r>
      <w:r>
        <w:rPr>
          <w:rFonts w:ascii="Times New Roman" w:hAnsi="Times New Roman" w:cs="Times New Roman"/>
          <w:color w:val="2E2E2E"/>
          <w:sz w:val="24"/>
          <w:szCs w:val="24"/>
        </w:rPr>
        <w:t xml:space="preserve"> shocks (OSS)</w:t>
      </w:r>
      <w:r w:rsidRPr="00106227">
        <w:rPr>
          <w:rFonts w:ascii="Times New Roman" w:hAnsi="Times New Roman" w:cs="Times New Roman"/>
          <w:color w:val="2E2E2E"/>
          <w:sz w:val="24"/>
          <w:szCs w:val="24"/>
        </w:rPr>
        <w:t>, economic activity</w:t>
      </w:r>
      <w:r>
        <w:rPr>
          <w:rFonts w:ascii="Times New Roman" w:hAnsi="Times New Roman" w:cs="Times New Roman"/>
          <w:color w:val="2E2E2E"/>
          <w:sz w:val="24"/>
          <w:szCs w:val="24"/>
        </w:rPr>
        <w:t xml:space="preserve"> shocks (EAS)</w:t>
      </w:r>
      <w:r w:rsidRPr="00106227">
        <w:rPr>
          <w:rFonts w:ascii="Times New Roman" w:hAnsi="Times New Roman" w:cs="Times New Roman"/>
          <w:color w:val="2E2E2E"/>
          <w:sz w:val="24"/>
          <w:szCs w:val="24"/>
        </w:rPr>
        <w:t xml:space="preserve">, oil consumption demand </w:t>
      </w:r>
      <w:r>
        <w:rPr>
          <w:rFonts w:ascii="Times New Roman" w:hAnsi="Times New Roman" w:cs="Times New Roman"/>
          <w:color w:val="2E2E2E"/>
          <w:sz w:val="24"/>
          <w:szCs w:val="24"/>
        </w:rPr>
        <w:t xml:space="preserve">shocks (OCDS) </w:t>
      </w:r>
      <w:r w:rsidRPr="00106227">
        <w:rPr>
          <w:rFonts w:ascii="Times New Roman" w:hAnsi="Times New Roman" w:cs="Times New Roman"/>
          <w:color w:val="2E2E2E"/>
          <w:sz w:val="24"/>
          <w:szCs w:val="24"/>
        </w:rPr>
        <w:t>and oil inventory demand</w:t>
      </w:r>
      <w:r>
        <w:rPr>
          <w:rFonts w:ascii="Times New Roman" w:hAnsi="Times New Roman" w:cs="Times New Roman"/>
          <w:color w:val="2E2E2E"/>
          <w:sz w:val="24"/>
          <w:szCs w:val="24"/>
        </w:rPr>
        <w:t xml:space="preserve"> shocks (OIDS)</w:t>
      </w:r>
      <w:r w:rsidRPr="005D36B8">
        <w:rPr>
          <w:rFonts w:ascii="Times New Roman" w:hAnsi="Times New Roman" w:cs="Times New Roman"/>
          <w:color w:val="2E2E2E"/>
          <w:sz w:val="24"/>
          <w:szCs w:val="24"/>
        </w:rPr>
        <w:t xml:space="preserve">. </w:t>
      </w:r>
      <w:r>
        <w:rPr>
          <w:rFonts w:ascii="Times New Roman" w:hAnsi="Times New Roman" w:cs="Times New Roman"/>
          <w:color w:val="2E2E2E"/>
          <w:sz w:val="24"/>
          <w:szCs w:val="24"/>
        </w:rPr>
        <w:t>These shocks are derived from</w:t>
      </w:r>
      <w:r w:rsidRPr="00106227">
        <w:t xml:space="preserve"> </w:t>
      </w:r>
      <w:r w:rsidRPr="00106227">
        <w:rPr>
          <w:rFonts w:ascii="Times New Roman" w:hAnsi="Times New Roman" w:cs="Times New Roman"/>
          <w:color w:val="2E2E2E"/>
          <w:sz w:val="24"/>
          <w:szCs w:val="24"/>
        </w:rPr>
        <w:t xml:space="preserve">the structural model of the oil market with each of them capturing distinct aspects </w:t>
      </w:r>
      <w:r>
        <w:rPr>
          <w:rFonts w:ascii="Times New Roman" w:hAnsi="Times New Roman" w:cs="Times New Roman"/>
          <w:color w:val="2E2E2E"/>
          <w:sz w:val="24"/>
          <w:szCs w:val="24"/>
        </w:rPr>
        <w:t>of</w:t>
      </w:r>
      <w:r w:rsidRPr="00106227">
        <w:rPr>
          <w:rFonts w:ascii="Times New Roman" w:hAnsi="Times New Roman" w:cs="Times New Roman"/>
          <w:color w:val="2E2E2E"/>
          <w:sz w:val="24"/>
          <w:szCs w:val="24"/>
        </w:rPr>
        <w:t xml:space="preserve"> the demand and supply sides of the oil market</w:t>
      </w:r>
      <w:r>
        <w:rPr>
          <w:rFonts w:ascii="Times New Roman" w:hAnsi="Times New Roman" w:cs="Times New Roman"/>
          <w:color w:val="2E2E2E"/>
          <w:sz w:val="24"/>
          <w:szCs w:val="24"/>
        </w:rPr>
        <w:t>.</w:t>
      </w:r>
      <w:r w:rsidRPr="00106227">
        <w:rPr>
          <w:rFonts w:ascii="Times New Roman" w:hAnsi="Times New Roman" w:cs="Times New Roman"/>
          <w:color w:val="2E2E2E"/>
          <w:sz w:val="24"/>
          <w:szCs w:val="24"/>
        </w:rPr>
        <w:t xml:space="preserve"> </w:t>
      </w:r>
      <w:r w:rsidRPr="005D36B8">
        <w:rPr>
          <w:rFonts w:ascii="Times New Roman" w:hAnsi="Times New Roman" w:cs="Times New Roman"/>
          <w:color w:val="2E2E2E"/>
          <w:sz w:val="24"/>
          <w:szCs w:val="24"/>
        </w:rPr>
        <w:t xml:space="preserve">We use the quantity of global crude oil produced, the real price of oil, real economic activity and crude oil inventories to describe the global oil market in a system and </w:t>
      </w:r>
      <w:r>
        <w:rPr>
          <w:rFonts w:ascii="Times New Roman" w:hAnsi="Times New Roman" w:cs="Times New Roman"/>
          <w:color w:val="2E2E2E"/>
          <w:sz w:val="24"/>
          <w:szCs w:val="24"/>
        </w:rPr>
        <w:t>identify</w:t>
      </w:r>
      <w:r w:rsidRPr="005D36B8">
        <w:rPr>
          <w:rFonts w:ascii="Times New Roman" w:hAnsi="Times New Roman" w:cs="Times New Roman"/>
          <w:color w:val="2E2E2E"/>
          <w:sz w:val="24"/>
          <w:szCs w:val="24"/>
        </w:rPr>
        <w:t xml:space="preserve"> oil market shocks. The production of world crude oil (</w:t>
      </w:r>
      <w:r>
        <w:rPr>
          <w:rFonts w:ascii="Times New Roman" w:hAnsi="Times New Roman" w:cs="Times New Roman"/>
          <w:color w:val="2E2E2E"/>
          <w:sz w:val="24"/>
          <w:szCs w:val="24"/>
        </w:rPr>
        <w:t xml:space="preserve">taken </w:t>
      </w:r>
      <w:r w:rsidRPr="005D36B8">
        <w:rPr>
          <w:rFonts w:ascii="Times New Roman" w:hAnsi="Times New Roman" w:cs="Times New Roman"/>
          <w:color w:val="2E2E2E"/>
          <w:sz w:val="24"/>
          <w:szCs w:val="24"/>
        </w:rPr>
        <w:t>from the US Energy Information Administration database) is used as a proxy for oil supply. The real price of oil is calculated by deflating the nominal spot prices of West Texas Intermediate crude oil (</w:t>
      </w:r>
      <w:r>
        <w:rPr>
          <w:rFonts w:ascii="Times New Roman" w:hAnsi="Times New Roman" w:cs="Times New Roman"/>
          <w:color w:val="2E2E2E"/>
          <w:sz w:val="24"/>
          <w:szCs w:val="24"/>
        </w:rPr>
        <w:t xml:space="preserve">taken </w:t>
      </w:r>
      <w:r w:rsidRPr="005D36B8">
        <w:rPr>
          <w:rFonts w:ascii="Times New Roman" w:hAnsi="Times New Roman" w:cs="Times New Roman"/>
          <w:color w:val="2E2E2E"/>
          <w:sz w:val="24"/>
          <w:szCs w:val="24"/>
        </w:rPr>
        <w:t>from the US Energy Information Administration database) using the US consumer price index (</w:t>
      </w:r>
      <w:r>
        <w:rPr>
          <w:rFonts w:ascii="Times New Roman" w:hAnsi="Times New Roman" w:cs="Times New Roman"/>
          <w:color w:val="2E2E2E"/>
          <w:sz w:val="24"/>
          <w:szCs w:val="24"/>
        </w:rPr>
        <w:t xml:space="preserve">taken </w:t>
      </w:r>
      <w:r w:rsidRPr="005D36B8">
        <w:rPr>
          <w:rFonts w:ascii="Times New Roman" w:hAnsi="Times New Roman" w:cs="Times New Roman"/>
          <w:color w:val="2E2E2E"/>
          <w:sz w:val="24"/>
          <w:szCs w:val="24"/>
        </w:rPr>
        <w:t>from the Federal Reserve Economic Data database). The industrial production index</w:t>
      </w:r>
      <w:r>
        <w:rPr>
          <w:rFonts w:ascii="Times New Roman" w:hAnsi="Times New Roman" w:cs="Times New Roman"/>
          <w:color w:val="2E2E2E"/>
          <w:sz w:val="24"/>
          <w:szCs w:val="24"/>
        </w:rPr>
        <w:t>,</w:t>
      </w:r>
      <w:r w:rsidRPr="005D36B8">
        <w:rPr>
          <w:rFonts w:ascii="Times New Roman" w:hAnsi="Times New Roman" w:cs="Times New Roman"/>
          <w:color w:val="2E2E2E"/>
          <w:sz w:val="24"/>
          <w:szCs w:val="24"/>
        </w:rPr>
        <w:t xml:space="preserve"> </w:t>
      </w:r>
      <w:r>
        <w:rPr>
          <w:rFonts w:ascii="Times New Roman" w:hAnsi="Times New Roman" w:cs="Times New Roman"/>
          <w:color w:val="2E2E2E"/>
          <w:sz w:val="24"/>
          <w:szCs w:val="24"/>
        </w:rPr>
        <w:t xml:space="preserve">which includes </w:t>
      </w:r>
      <w:r w:rsidRPr="005D36B8">
        <w:rPr>
          <w:rFonts w:ascii="Times New Roman" w:hAnsi="Times New Roman" w:cs="Times New Roman"/>
          <w:color w:val="2E2E2E"/>
          <w:sz w:val="24"/>
          <w:szCs w:val="24"/>
        </w:rPr>
        <w:t>the Organisation for Economic Co-operation and Development (OECD) countries</w:t>
      </w:r>
      <w:r>
        <w:rPr>
          <w:rFonts w:ascii="Times New Roman" w:hAnsi="Times New Roman" w:cs="Times New Roman"/>
          <w:color w:val="2E2E2E"/>
          <w:sz w:val="24"/>
          <w:szCs w:val="24"/>
        </w:rPr>
        <w:t xml:space="preserve">; </w:t>
      </w:r>
      <w:r w:rsidRPr="005D36B8">
        <w:rPr>
          <w:rFonts w:ascii="Times New Roman" w:hAnsi="Times New Roman" w:cs="Times New Roman"/>
          <w:color w:val="2E2E2E"/>
          <w:sz w:val="24"/>
          <w:szCs w:val="24"/>
        </w:rPr>
        <w:t>Brazil, Russia, India, China, and South Africa</w:t>
      </w:r>
      <w:r>
        <w:rPr>
          <w:rFonts w:ascii="Times New Roman" w:hAnsi="Times New Roman" w:cs="Times New Roman"/>
          <w:color w:val="2E2E2E"/>
          <w:sz w:val="24"/>
          <w:szCs w:val="24"/>
        </w:rPr>
        <w:t>;</w:t>
      </w:r>
      <w:r w:rsidRPr="005D36B8">
        <w:rPr>
          <w:rFonts w:ascii="Times New Roman" w:hAnsi="Times New Roman" w:cs="Times New Roman"/>
          <w:color w:val="2E2E2E"/>
          <w:sz w:val="24"/>
          <w:szCs w:val="24"/>
        </w:rPr>
        <w:t xml:space="preserve"> and Indonesia (</w:t>
      </w:r>
      <w:r>
        <w:rPr>
          <w:rFonts w:ascii="Times New Roman" w:hAnsi="Times New Roman" w:cs="Times New Roman"/>
          <w:color w:val="2E2E2E"/>
          <w:sz w:val="24"/>
          <w:szCs w:val="24"/>
        </w:rPr>
        <w:t xml:space="preserve">taken </w:t>
      </w:r>
      <w:r w:rsidRPr="005D36B8">
        <w:rPr>
          <w:rFonts w:ascii="Times New Roman" w:hAnsi="Times New Roman" w:cs="Times New Roman"/>
          <w:color w:val="2E2E2E"/>
          <w:sz w:val="24"/>
          <w:szCs w:val="24"/>
        </w:rPr>
        <w:t>from the Main Economic Indicators database of the OECD)</w:t>
      </w:r>
      <w:r>
        <w:rPr>
          <w:rFonts w:ascii="Times New Roman" w:hAnsi="Times New Roman" w:cs="Times New Roman"/>
          <w:color w:val="2E2E2E"/>
          <w:sz w:val="24"/>
          <w:szCs w:val="24"/>
        </w:rPr>
        <w:t>,</w:t>
      </w:r>
      <w:r w:rsidRPr="005D36B8">
        <w:rPr>
          <w:rFonts w:ascii="Times New Roman" w:hAnsi="Times New Roman" w:cs="Times New Roman"/>
          <w:color w:val="2E2E2E"/>
          <w:sz w:val="24"/>
          <w:szCs w:val="24"/>
        </w:rPr>
        <w:t xml:space="preserve"> is used as a proxy for real economic activity. An estimate </w:t>
      </w:r>
      <w:r>
        <w:rPr>
          <w:rFonts w:ascii="Times New Roman" w:hAnsi="Times New Roman" w:cs="Times New Roman"/>
          <w:color w:val="2E2E2E"/>
          <w:sz w:val="24"/>
          <w:szCs w:val="24"/>
        </w:rPr>
        <w:t xml:space="preserve">of </w:t>
      </w:r>
      <w:r w:rsidRPr="005D36B8">
        <w:rPr>
          <w:rFonts w:ascii="Times New Roman" w:hAnsi="Times New Roman" w:cs="Times New Roman"/>
          <w:color w:val="2E2E2E"/>
          <w:sz w:val="24"/>
          <w:szCs w:val="24"/>
        </w:rPr>
        <w:t>crude oil inventories (</w:t>
      </w:r>
      <w:r>
        <w:rPr>
          <w:rFonts w:ascii="Times New Roman" w:hAnsi="Times New Roman" w:cs="Times New Roman"/>
          <w:color w:val="2E2E2E"/>
          <w:sz w:val="24"/>
          <w:szCs w:val="24"/>
        </w:rPr>
        <w:t xml:space="preserve">i.e. the </w:t>
      </w:r>
      <w:r w:rsidRPr="005D36B8">
        <w:rPr>
          <w:rFonts w:ascii="Times New Roman" w:hAnsi="Times New Roman" w:cs="Times New Roman"/>
          <w:color w:val="2E2E2E"/>
          <w:sz w:val="24"/>
          <w:szCs w:val="24"/>
        </w:rPr>
        <w:t xml:space="preserve">quantity of oil </w:t>
      </w:r>
      <w:r>
        <w:rPr>
          <w:rFonts w:ascii="Times New Roman" w:hAnsi="Times New Roman" w:cs="Times New Roman"/>
          <w:color w:val="2E2E2E"/>
          <w:sz w:val="24"/>
          <w:szCs w:val="24"/>
        </w:rPr>
        <w:t xml:space="preserve">that is </w:t>
      </w:r>
      <w:r w:rsidRPr="005D36B8">
        <w:rPr>
          <w:rFonts w:ascii="Times New Roman" w:hAnsi="Times New Roman" w:cs="Times New Roman"/>
          <w:color w:val="2E2E2E"/>
          <w:sz w:val="24"/>
          <w:szCs w:val="24"/>
        </w:rPr>
        <w:t xml:space="preserve">produced but not consumed) is calculated by multiplying US crude oil stocks by the ratio of </w:t>
      </w:r>
      <w:r>
        <w:rPr>
          <w:rFonts w:ascii="Times New Roman" w:hAnsi="Times New Roman" w:cs="Times New Roman"/>
          <w:color w:val="2E2E2E"/>
          <w:sz w:val="24"/>
          <w:szCs w:val="24"/>
        </w:rPr>
        <w:t xml:space="preserve">the petroleum inventory of the </w:t>
      </w:r>
      <w:r w:rsidRPr="005D36B8">
        <w:rPr>
          <w:rFonts w:ascii="Times New Roman" w:hAnsi="Times New Roman" w:cs="Times New Roman"/>
          <w:color w:val="2E2E2E"/>
          <w:sz w:val="24"/>
          <w:szCs w:val="24"/>
        </w:rPr>
        <w:t xml:space="preserve">OECD to </w:t>
      </w:r>
      <w:r>
        <w:rPr>
          <w:rFonts w:ascii="Times New Roman" w:hAnsi="Times New Roman" w:cs="Times New Roman"/>
          <w:color w:val="2E2E2E"/>
          <w:sz w:val="24"/>
          <w:szCs w:val="24"/>
        </w:rPr>
        <w:t xml:space="preserve">that of the </w:t>
      </w:r>
      <w:r w:rsidRPr="005D36B8">
        <w:rPr>
          <w:rFonts w:ascii="Times New Roman" w:hAnsi="Times New Roman" w:cs="Times New Roman"/>
          <w:color w:val="2E2E2E"/>
          <w:sz w:val="24"/>
          <w:szCs w:val="24"/>
        </w:rPr>
        <w:t>US (</w:t>
      </w:r>
      <w:r>
        <w:rPr>
          <w:rFonts w:ascii="Times New Roman" w:hAnsi="Times New Roman" w:cs="Times New Roman"/>
          <w:color w:val="2E2E2E"/>
          <w:sz w:val="24"/>
          <w:szCs w:val="24"/>
        </w:rPr>
        <w:t xml:space="preserve">taken </w:t>
      </w:r>
      <w:r w:rsidRPr="005D36B8">
        <w:rPr>
          <w:rFonts w:ascii="Times New Roman" w:hAnsi="Times New Roman" w:cs="Times New Roman"/>
          <w:color w:val="2E2E2E"/>
          <w:sz w:val="24"/>
          <w:szCs w:val="24"/>
        </w:rPr>
        <w:t>from the EIA database).</w:t>
      </w:r>
    </w:p>
    <w:p w14:paraId="421BB362"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BBD9F80"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lastRenderedPageBreak/>
        <w:t xml:space="preserve">To examine the effects of oil shocks on uncertainty, we first employ </w:t>
      </w:r>
      <w:bookmarkStart w:id="16" w:name="_Hlk45705623"/>
      <w:r w:rsidRPr="005D36B8">
        <w:rPr>
          <w:rFonts w:ascii="Times New Roman" w:hAnsi="Times New Roman" w:cs="Times New Roman"/>
          <w:sz w:val="24"/>
          <w:szCs w:val="24"/>
        </w:rPr>
        <w:t xml:space="preserve">the LP method </w:t>
      </w:r>
      <w:bookmarkEnd w:id="16"/>
      <w:r w:rsidRPr="005D36B8">
        <w:rPr>
          <w:rFonts w:ascii="Times New Roman" w:hAnsi="Times New Roman" w:cs="Times New Roman"/>
          <w:sz w:val="24"/>
          <w:szCs w:val="24"/>
        </w:rPr>
        <w:t xml:space="preserve">proposed by </w:t>
      </w:r>
      <w:proofErr w:type="spellStart"/>
      <w:r w:rsidRPr="005D36B8">
        <w:rPr>
          <w:rFonts w:ascii="Times New Roman" w:hAnsi="Times New Roman" w:cs="Times New Roman"/>
          <w:sz w:val="24"/>
          <w:szCs w:val="24"/>
        </w:rPr>
        <w:t>Jorda</w:t>
      </w:r>
      <w:proofErr w:type="spellEnd"/>
      <w:r w:rsidRPr="005D36B8">
        <w:rPr>
          <w:rFonts w:ascii="Times New Roman" w:hAnsi="Times New Roman" w:cs="Times New Roman"/>
          <w:sz w:val="24"/>
          <w:szCs w:val="24"/>
        </w:rPr>
        <w:t xml:space="preserve"> (2005) as a benchmark model. The linear model for computing LP IRFs for panel data is as follows:</w:t>
      </w:r>
    </w:p>
    <w:p w14:paraId="749CD6BA"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FE6869F" w14:textId="77777777" w:rsidR="00521DE0" w:rsidRPr="005D36B8" w:rsidRDefault="004F51DA" w:rsidP="00521DE0">
      <w:pPr>
        <w:snapToGrid w:val="0"/>
        <w:spacing w:after="0" w:line="480" w:lineRule="auto"/>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  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Oil Shock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 t+s</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for </m:t>
        </m:r>
        <m:r>
          <w:rPr>
            <w:rFonts w:ascii="Cambria Math" w:hAnsi="Cambria Math" w:cs="Times New Roman"/>
            <w:sz w:val="24"/>
            <w:szCs w:val="24"/>
          </w:rPr>
          <m:t>s=0,1,2, …</m:t>
        </m:r>
        <m:r>
          <w:rPr>
            <w:rFonts w:ascii="Cambria Math" w:hAnsi="Cambria Math" w:cs="Times New Roman"/>
            <w:sz w:val="24"/>
            <w:szCs w:val="24"/>
          </w:rPr>
          <m:t>h</m:t>
        </m:r>
      </m:oMath>
      <w:r w:rsidR="00521DE0">
        <w:rPr>
          <w:rFonts w:ascii="Times New Roman" w:hAnsi="Times New Roman" w:cs="Times New Roman"/>
          <w:iCs/>
          <w:sz w:val="24"/>
          <w:szCs w:val="24"/>
        </w:rPr>
        <w:t>,</w:t>
      </w:r>
      <w:r w:rsidR="00521DE0" w:rsidRPr="005D36B8">
        <w:rPr>
          <w:rFonts w:ascii="Times New Roman" w:hAnsi="Times New Roman" w:cs="Times New Roman"/>
          <w:i/>
          <w:sz w:val="24"/>
          <w:szCs w:val="24"/>
        </w:rPr>
        <w:t xml:space="preserve"> </w:t>
      </w:r>
      <w:r w:rsidR="00521DE0" w:rsidRPr="005D36B8">
        <w:rPr>
          <w:rFonts w:ascii="Times New Roman" w:hAnsi="Times New Roman" w:cs="Times New Roman"/>
          <w:i/>
          <w:sz w:val="24"/>
          <w:szCs w:val="24"/>
        </w:rPr>
        <w:tab/>
      </w:r>
      <w:r w:rsidR="00521DE0" w:rsidRPr="005D36B8">
        <w:rPr>
          <w:rFonts w:ascii="Times New Roman" w:hAnsi="Times New Roman" w:cs="Times New Roman"/>
          <w:i/>
          <w:sz w:val="24"/>
          <w:szCs w:val="24"/>
        </w:rPr>
        <w:tab/>
      </w:r>
      <w:r w:rsidR="00521DE0" w:rsidRPr="005D36B8">
        <w:rPr>
          <w:rFonts w:ascii="Times New Roman" w:hAnsi="Times New Roman" w:cs="Times New Roman"/>
          <w:i/>
          <w:sz w:val="24"/>
          <w:szCs w:val="24"/>
        </w:rPr>
        <w:tab/>
      </w:r>
      <w:r w:rsidR="00521DE0" w:rsidRPr="005D36B8">
        <w:rPr>
          <w:rFonts w:ascii="Times New Roman" w:hAnsi="Times New Roman" w:cs="Times New Roman"/>
          <w:i/>
          <w:sz w:val="24"/>
          <w:szCs w:val="24"/>
        </w:rPr>
        <w:tab/>
      </w:r>
      <w:r w:rsidR="00521DE0">
        <w:rPr>
          <w:rFonts w:ascii="Times New Roman" w:hAnsi="Times New Roman" w:cs="Times New Roman"/>
          <w:i/>
          <w:sz w:val="24"/>
          <w:szCs w:val="24"/>
        </w:rPr>
        <w:tab/>
      </w:r>
      <w:r w:rsidR="00521DE0" w:rsidRPr="005D36B8">
        <w:rPr>
          <w:rFonts w:ascii="Times New Roman" w:hAnsi="Times New Roman" w:cs="Times New Roman"/>
          <w:i/>
          <w:sz w:val="24"/>
          <w:szCs w:val="24"/>
        </w:rPr>
        <w:t>(1)</w:t>
      </w:r>
    </w:p>
    <w:p w14:paraId="09C74EB7" w14:textId="77777777" w:rsidR="00521DE0" w:rsidRPr="005D36B8" w:rsidRDefault="00521DE0" w:rsidP="00521DE0">
      <w:pPr>
        <w:snapToGrid w:val="0"/>
        <w:spacing w:after="0" w:line="480" w:lineRule="auto"/>
        <w:contextualSpacing/>
        <w:jc w:val="both"/>
        <w:rPr>
          <w:rFonts w:ascii="Times New Roman" w:hAnsi="Times New Roman" w:cs="Times New Roman"/>
          <w:sz w:val="24"/>
          <w:szCs w:val="24"/>
        </w:rPr>
      </w:pPr>
      <w:r w:rsidRPr="005D36B8">
        <w:rPr>
          <w:rFonts w:ascii="Times New Roman" w:hAnsi="Times New Roman" w:cs="Times New Roman"/>
          <w:color w:val="333333"/>
          <w:sz w:val="24"/>
          <w:szCs w:val="24"/>
          <w:bdr w:val="none" w:sz="0" w:space="0" w:color="auto" w:frame="1"/>
          <w:shd w:val="clear" w:color="auto" w:fill="FFFFFF"/>
        </w:rPr>
        <w:br/>
      </w:r>
      <w:r w:rsidRPr="005D36B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  t</m:t>
            </m:r>
          </m:sub>
        </m:sSub>
      </m:oMath>
      <w:r w:rsidRPr="005D36B8">
        <w:rPr>
          <w:rFonts w:ascii="Times New Roman" w:hAnsi="Times New Roman" w:cs="Times New Roman"/>
          <w:sz w:val="24"/>
          <w:szCs w:val="24"/>
        </w:rPr>
        <w:t xml:space="preserve"> represents </w:t>
      </w:r>
      <w:r>
        <w:rPr>
          <w:rFonts w:ascii="Times New Roman" w:hAnsi="Times New Roman" w:cs="Times New Roman"/>
          <w:sz w:val="24"/>
          <w:szCs w:val="24"/>
        </w:rPr>
        <w:t xml:space="preserve">the </w:t>
      </w:r>
      <w:r w:rsidRPr="005D36B8">
        <w:rPr>
          <w:rFonts w:ascii="Times New Roman" w:hAnsi="Times New Roman" w:cs="Times New Roman"/>
          <w:sz w:val="24"/>
          <w:szCs w:val="24"/>
        </w:rPr>
        <w:t xml:space="preserve">total uncertainty of country </w:t>
      </w:r>
      <w:proofErr w:type="spellStart"/>
      <w:r w:rsidRPr="005D36B8">
        <w:rPr>
          <w:rFonts w:ascii="Times New Roman" w:hAnsi="Times New Roman" w:cs="Times New Roman"/>
          <w:i/>
          <w:iCs/>
          <w:sz w:val="24"/>
          <w:szCs w:val="24"/>
        </w:rPr>
        <w:t>i</w:t>
      </w:r>
      <w:proofErr w:type="spellEnd"/>
      <w:r w:rsidRPr="005D36B8">
        <w:rPr>
          <w:rFonts w:ascii="Times New Roman" w:hAnsi="Times New Roman" w:cs="Times New Roman"/>
          <w:sz w:val="24"/>
          <w:szCs w:val="24"/>
        </w:rPr>
        <w:t xml:space="preserve"> in period </w:t>
      </w:r>
      <w:r w:rsidRPr="005D36B8">
        <w:rPr>
          <w:rFonts w:ascii="Times New Roman" w:hAnsi="Times New Roman" w:cs="Times New Roman"/>
          <w:i/>
          <w:iCs/>
          <w:sz w:val="24"/>
          <w:szCs w:val="24"/>
        </w:rPr>
        <w:t>t</w:t>
      </w:r>
      <w:r>
        <w:rPr>
          <w:rFonts w:ascii="Times New Roman" w:hAnsi="Times New Roman" w:cs="Times New Roman"/>
          <w:sz w:val="24"/>
          <w:szCs w:val="24"/>
        </w:rPr>
        <w:t>,</w:t>
      </w:r>
      <w:r w:rsidRPr="005D36B8">
        <w:rPr>
          <w:rFonts w:ascii="Times New Roman" w:hAnsi="Times New Roman" w:cs="Times New Roman"/>
          <w:sz w:val="24"/>
          <w:szCs w:val="24"/>
        </w:rPr>
        <w:t xml:space="preserve"> </w:t>
      </w:r>
      <w:r w:rsidRPr="005D36B8">
        <w:rPr>
          <w:rFonts w:ascii="Times New Roman" w:hAnsi="Times New Roman" w:cs="Times New Roman"/>
          <w:i/>
          <w:iCs/>
          <w:sz w:val="24"/>
          <w:szCs w:val="24"/>
        </w:rPr>
        <w:t xml:space="preserve">s </w:t>
      </w:r>
      <w:r w:rsidRPr="005D36B8">
        <w:rPr>
          <w:rFonts w:ascii="Times New Roman" w:hAnsi="Times New Roman" w:cs="Times New Roman"/>
          <w:sz w:val="24"/>
          <w:szCs w:val="24"/>
        </w:rPr>
        <w:t>is the length of forecast horizons</w:t>
      </w:r>
      <w:r>
        <w:rPr>
          <w:rFonts w:ascii="Times New Roman" w:hAnsi="Times New Roman" w:cs="Times New Roman"/>
          <w:sz w:val="24"/>
          <w:szCs w:val="24"/>
        </w:rPr>
        <w:t>,</w:t>
      </w:r>
      <w:r w:rsidRPr="005D36B8">
        <w:rPr>
          <w:rFonts w:ascii="Times New Roman" w:hAnsi="Times New Roman" w:cs="Times New Roman"/>
          <w:sz w:val="24"/>
          <w:szCs w:val="24"/>
        </w:rPr>
        <w:t xml:space="preserve"> </w:t>
      </w:r>
      <w:r w:rsidRPr="005D36B8">
        <w:rPr>
          <w:rFonts w:ascii="Times New Roman" w:hAnsi="Times New Roman" w:cs="Times New Roman"/>
          <w:i/>
          <w:iCs/>
          <w:sz w:val="24"/>
          <w:szCs w:val="24"/>
        </w:rPr>
        <w:t>h</w:t>
      </w:r>
      <w:r w:rsidRPr="005D36B8">
        <w:rPr>
          <w:rFonts w:ascii="Times New Roman" w:hAnsi="Times New Roman" w:cs="Times New Roman"/>
          <w:sz w:val="24"/>
          <w:szCs w:val="24"/>
        </w:rPr>
        <w:t xml:space="preserve"> is the maximum length of forecast horizons</w:t>
      </w:r>
      <w:r>
        <w:rPr>
          <w:rFonts w:ascii="Times New Roman" w:hAnsi="Times New Roman" w:cs="Times New Roman"/>
          <w:sz w:val="24"/>
          <w:szCs w:val="24"/>
        </w:rPr>
        <w:t>,</w:t>
      </w:r>
      <w:r w:rsidRPr="005D36B8">
        <w:rPr>
          <w:rStyle w:val="FootnoteReference"/>
          <w:rFonts w:ascii="Times New Roman" w:hAnsi="Times New Roman" w:cs="Times New Roman"/>
          <w:sz w:val="24"/>
          <w:szCs w:val="24"/>
        </w:rPr>
        <w:footnoteReference w:id="4"/>
      </w:r>
      <w:r w:rsidRPr="005D36B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i,s</m:t>
            </m:r>
          </m:sub>
        </m:sSub>
      </m:oMath>
      <w:r w:rsidRPr="005D36B8">
        <w:rPr>
          <w:rFonts w:ascii="Times New Roman" w:hAnsi="Times New Roman" w:cs="Times New Roman"/>
          <w:sz w:val="24"/>
          <w:szCs w:val="24"/>
        </w:rPr>
        <w:t xml:space="preserve"> captures the country fixed effect</w:t>
      </w:r>
      <w:r>
        <w:rPr>
          <w:rFonts w:ascii="Times New Roman" w:hAnsi="Times New Roman" w:cs="Times New Roman"/>
          <w:sz w:val="24"/>
          <w:szCs w:val="24"/>
        </w:rPr>
        <w:t xml:space="preserve"> and</w:t>
      </w:r>
      <w:r w:rsidRPr="005D36B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m:t>
            </m:r>
          </m:sub>
        </m:sSub>
      </m:oMath>
      <w:r w:rsidRPr="005D36B8">
        <w:rPr>
          <w:rFonts w:ascii="Times New Roman" w:hAnsi="Times New Roman" w:cs="Times New Roman"/>
          <w:sz w:val="24"/>
          <w:szCs w:val="24"/>
        </w:rPr>
        <w:t xml:space="preserve"> measures responses of uncertainty at time </w:t>
      </w:r>
      <w:r w:rsidRPr="005D36B8">
        <w:rPr>
          <w:rFonts w:ascii="Times New Roman" w:hAnsi="Times New Roman" w:cs="Times New Roman"/>
          <w:i/>
          <w:iCs/>
          <w:sz w:val="24"/>
          <w:szCs w:val="24"/>
        </w:rPr>
        <w:t>t</w:t>
      </w:r>
      <w:r>
        <w:rPr>
          <w:rFonts w:ascii="Times New Roman" w:hAnsi="Times New Roman" w:cs="Times New Roman"/>
          <w:i/>
          <w:iCs/>
          <w:sz w:val="24"/>
          <w:szCs w:val="24"/>
        </w:rPr>
        <w:t xml:space="preserve"> </w:t>
      </w:r>
      <w:r w:rsidRPr="005D36B8">
        <w:rPr>
          <w:rFonts w:ascii="Times New Roman" w:hAnsi="Times New Roman" w:cs="Times New Roman"/>
          <w:i/>
          <w:iCs/>
          <w:sz w:val="24"/>
          <w:szCs w:val="24"/>
        </w:rPr>
        <w:t>+</w:t>
      </w:r>
      <w:r>
        <w:rPr>
          <w:rFonts w:ascii="Times New Roman" w:hAnsi="Times New Roman" w:cs="Times New Roman"/>
          <w:i/>
          <w:iCs/>
          <w:sz w:val="24"/>
          <w:szCs w:val="24"/>
        </w:rPr>
        <w:t xml:space="preserve"> </w:t>
      </w:r>
      <w:r w:rsidRPr="005D36B8">
        <w:rPr>
          <w:rFonts w:ascii="Times New Roman" w:hAnsi="Times New Roman" w:cs="Times New Roman"/>
          <w:i/>
          <w:iCs/>
          <w:sz w:val="24"/>
          <w:szCs w:val="24"/>
        </w:rPr>
        <w:t>s</w:t>
      </w:r>
      <w:r w:rsidRPr="005D36B8">
        <w:rPr>
          <w:rFonts w:ascii="Times New Roman" w:hAnsi="Times New Roman" w:cs="Times New Roman"/>
          <w:sz w:val="24"/>
          <w:szCs w:val="24"/>
        </w:rPr>
        <w:t xml:space="preserve"> to </w:t>
      </w:r>
      <w:r>
        <w:rPr>
          <w:rFonts w:ascii="Times New Roman" w:hAnsi="Times New Roman" w:cs="Times New Roman"/>
          <w:sz w:val="24"/>
          <w:szCs w:val="24"/>
        </w:rPr>
        <w:t>an</w:t>
      </w:r>
      <w:r w:rsidRPr="005D36B8">
        <w:rPr>
          <w:rFonts w:ascii="Times New Roman" w:hAnsi="Times New Roman" w:cs="Times New Roman"/>
          <w:sz w:val="24"/>
          <w:szCs w:val="24"/>
        </w:rPr>
        <w:t xml:space="preserve"> identified oil shock at time </w:t>
      </w:r>
      <w:r w:rsidRPr="005D36B8">
        <w:rPr>
          <w:rFonts w:ascii="Times New Roman" w:hAnsi="Times New Roman" w:cs="Times New Roman"/>
          <w:i/>
          <w:iCs/>
          <w:sz w:val="24"/>
          <w:szCs w:val="24"/>
        </w:rPr>
        <w:t>t</w:t>
      </w:r>
      <w:r w:rsidRPr="005D36B8">
        <w:rPr>
          <w:rFonts w:ascii="Times New Roman" w:hAnsi="Times New Roman" w:cs="Times New Roman"/>
          <w:sz w:val="24"/>
          <w:szCs w:val="24"/>
        </w:rPr>
        <w:t xml:space="preserve">. The LP IRFs can be constructed as a sequence of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m:t>
            </m:r>
          </m:sub>
        </m:sSub>
      </m:oMath>
      <w:r w:rsidRPr="005D36B8">
        <w:rPr>
          <w:rFonts w:ascii="Times New Roman" w:hAnsi="Times New Roman" w:cs="Times New Roman"/>
          <w:sz w:val="24"/>
          <w:szCs w:val="24"/>
        </w:rPr>
        <w:t xml:space="preserve"> separately estimated for each horizon </w:t>
      </w:r>
      <w:r>
        <w:rPr>
          <w:rFonts w:ascii="Times New Roman" w:hAnsi="Times New Roman" w:cs="Times New Roman"/>
          <w:sz w:val="24"/>
          <w:szCs w:val="24"/>
        </w:rPr>
        <w:t>(</w:t>
      </w:r>
      <w:r w:rsidRPr="005D36B8">
        <w:rPr>
          <w:rFonts w:ascii="Times New Roman" w:hAnsi="Times New Roman" w:cs="Times New Roman"/>
          <w:i/>
          <w:iCs/>
          <w:sz w:val="24"/>
          <w:szCs w:val="24"/>
        </w:rPr>
        <w:t>s</w:t>
      </w:r>
      <w:r>
        <w:rPr>
          <w:rFonts w:ascii="Times New Roman" w:hAnsi="Times New Roman" w:cs="Times New Roman"/>
          <w:sz w:val="24"/>
          <w:szCs w:val="24"/>
        </w:rPr>
        <w:t>) using simple least squares.</w:t>
      </w:r>
      <w:r w:rsidRPr="005D36B8">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Note that, the </w:t>
      </w:r>
      <w:r w:rsidRPr="00A22F44">
        <w:rPr>
          <w:rFonts w:ascii="Times New Roman" w:hAnsi="Times New Roman" w:cs="Times New Roman"/>
          <w:sz w:val="24"/>
          <w:szCs w:val="24"/>
        </w:rPr>
        <w:t>LP method</w:t>
      </w:r>
      <w:r>
        <w:rPr>
          <w:rFonts w:ascii="Times New Roman" w:hAnsi="Times New Roman" w:cs="Times New Roman"/>
          <w:sz w:val="24"/>
          <w:szCs w:val="24"/>
        </w:rPr>
        <w:t xml:space="preserve"> computes impulse responses that do not require specification and estimation of the underlying multivariate dynamic system itself.</w:t>
      </w:r>
      <w:r w:rsidRPr="00967291">
        <w:rPr>
          <w:rFonts w:ascii="Times New Roman" w:hAnsi="Times New Roman" w:cs="Times New Roman"/>
          <w:sz w:val="24"/>
          <w:szCs w:val="24"/>
        </w:rPr>
        <w:t xml:space="preserve"> The central idea consists in estimating local projections at each</w:t>
      </w:r>
      <w:r>
        <w:rPr>
          <w:rFonts w:ascii="Times New Roman" w:hAnsi="Times New Roman" w:cs="Times New Roman"/>
          <w:sz w:val="24"/>
          <w:szCs w:val="24"/>
        </w:rPr>
        <w:t xml:space="preserve"> </w:t>
      </w:r>
      <w:r w:rsidRPr="00967291">
        <w:rPr>
          <w:rFonts w:ascii="Times New Roman" w:hAnsi="Times New Roman" w:cs="Times New Roman"/>
          <w:sz w:val="24"/>
          <w:szCs w:val="24"/>
        </w:rPr>
        <w:t>period of interest rather than extrapolating into increasingly distant horizons from a given model, as it is</w:t>
      </w:r>
      <w:r>
        <w:rPr>
          <w:rFonts w:ascii="Times New Roman" w:hAnsi="Times New Roman" w:cs="Times New Roman"/>
          <w:sz w:val="24"/>
          <w:szCs w:val="24"/>
        </w:rPr>
        <w:t xml:space="preserve"> </w:t>
      </w:r>
      <w:r w:rsidRPr="00967291">
        <w:rPr>
          <w:rFonts w:ascii="Times New Roman" w:hAnsi="Times New Roman" w:cs="Times New Roman"/>
          <w:sz w:val="24"/>
          <w:szCs w:val="24"/>
        </w:rPr>
        <w:t>done wit</w:t>
      </w:r>
      <w:r>
        <w:rPr>
          <w:rFonts w:ascii="Times New Roman" w:hAnsi="Times New Roman" w:cs="Times New Roman"/>
          <w:sz w:val="24"/>
          <w:szCs w:val="24"/>
        </w:rPr>
        <w:t xml:space="preserve">h a VAR. In other words, the analysis of the responses of total uncertainty to oil shocks does not rely on rigid identifying assumptions used normally in the VAR literature, say for example, the </w:t>
      </w:r>
      <w:proofErr w:type="spellStart"/>
      <w:r>
        <w:rPr>
          <w:rFonts w:ascii="Times New Roman" w:hAnsi="Times New Roman" w:cs="Times New Roman"/>
          <w:sz w:val="24"/>
          <w:szCs w:val="24"/>
        </w:rPr>
        <w:t>Wold</w:t>
      </w:r>
      <w:proofErr w:type="spellEnd"/>
      <w:r>
        <w:rPr>
          <w:rFonts w:ascii="Times New Roman" w:hAnsi="Times New Roman" w:cs="Times New Roman"/>
          <w:sz w:val="24"/>
          <w:szCs w:val="24"/>
        </w:rPr>
        <w:t>-causal order and the Cholesky decomposition.</w:t>
      </w:r>
    </w:p>
    <w:p w14:paraId="3E238ADD"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74930597"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lastRenderedPageBreak/>
        <w:t xml:space="preserve">Following the work </w:t>
      </w:r>
      <w:r>
        <w:rPr>
          <w:rFonts w:ascii="Times New Roman" w:hAnsi="Times New Roman" w:cs="Times New Roman"/>
          <w:sz w:val="24"/>
          <w:szCs w:val="24"/>
        </w:rPr>
        <w:t>of</w:t>
      </w:r>
      <w:r w:rsidRPr="005D36B8">
        <w:rPr>
          <w:rFonts w:ascii="Times New Roman" w:hAnsi="Times New Roman" w:cs="Times New Roman"/>
          <w:sz w:val="24"/>
          <w:szCs w:val="24"/>
        </w:rPr>
        <w:t xml:space="preserve"> Ahmed and </w:t>
      </w:r>
      <w:proofErr w:type="spellStart"/>
      <w:r w:rsidRPr="005D36B8">
        <w:rPr>
          <w:rFonts w:ascii="Times New Roman" w:hAnsi="Times New Roman" w:cs="Times New Roman"/>
          <w:sz w:val="24"/>
          <w:szCs w:val="24"/>
        </w:rPr>
        <w:t>Cassou</w:t>
      </w:r>
      <w:proofErr w:type="spellEnd"/>
      <w:r w:rsidRPr="005D36B8">
        <w:rPr>
          <w:rFonts w:ascii="Times New Roman" w:hAnsi="Times New Roman" w:cs="Times New Roman"/>
          <w:sz w:val="24"/>
          <w:szCs w:val="24"/>
        </w:rPr>
        <w:t xml:space="preserve"> (2016), the linear model specified in </w:t>
      </w:r>
      <w:r w:rsidRPr="00863CC4">
        <w:rPr>
          <w:rFonts w:ascii="Times New Roman" w:hAnsi="Times New Roman" w:cs="Times New Roman"/>
          <w:sz w:val="24"/>
          <w:szCs w:val="24"/>
        </w:rPr>
        <w:t>E</w:t>
      </w:r>
      <w:r>
        <w:rPr>
          <w:rFonts w:ascii="Times New Roman" w:hAnsi="Times New Roman" w:cs="Times New Roman"/>
          <w:sz w:val="24"/>
          <w:szCs w:val="24"/>
        </w:rPr>
        <w:t xml:space="preserve">q. </w:t>
      </w:r>
      <w:r w:rsidRPr="00863CC4">
        <w:rPr>
          <w:rFonts w:ascii="Times New Roman" w:hAnsi="Times New Roman" w:cs="Times New Roman"/>
          <w:sz w:val="24"/>
          <w:szCs w:val="24"/>
        </w:rPr>
        <w:t>(1)</w:t>
      </w:r>
      <w:r w:rsidRPr="005D36B8">
        <w:rPr>
          <w:rFonts w:ascii="Times New Roman" w:hAnsi="Times New Roman" w:cs="Times New Roman"/>
          <w:sz w:val="24"/>
          <w:szCs w:val="24"/>
        </w:rPr>
        <w:t xml:space="preserve"> can be extended to the threshold model. Using the simple dummy variable approach, the nonlinear threshold model for calculating LP IRFs </w:t>
      </w:r>
      <w:r>
        <w:rPr>
          <w:rFonts w:ascii="Times New Roman" w:hAnsi="Times New Roman" w:cs="Times New Roman"/>
          <w:sz w:val="24"/>
          <w:szCs w:val="24"/>
        </w:rPr>
        <w:t>is as follows</w:t>
      </w:r>
      <w:r w:rsidRPr="005D36B8">
        <w:rPr>
          <w:rFonts w:ascii="Times New Roman" w:hAnsi="Times New Roman" w:cs="Times New Roman"/>
          <w:sz w:val="24"/>
          <w:szCs w:val="24"/>
        </w:rPr>
        <w:t>:</w:t>
      </w:r>
    </w:p>
    <w:p w14:paraId="474A72BB"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0E2059F6" w14:textId="77777777" w:rsidR="00521DE0" w:rsidRPr="005D36B8" w:rsidRDefault="004F51DA" w:rsidP="00521DE0">
      <w:pPr>
        <w:snapToGrid w:val="0"/>
        <w:spacing w:after="0" w:line="480" w:lineRule="auto"/>
        <w:jc w:val="both"/>
        <w:rPr>
          <w:rFonts w:ascii="Times New Roman" w:hAnsi="Times New Roman" w:cs="Times New Roman"/>
          <w:i/>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  t+s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t-1</m:t>
                </m:r>
              </m:sub>
            </m:sSub>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Oil Shock</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s</m:t>
                </m:r>
              </m:sub>
              <m:sup>
                <m:r>
                  <w:rPr>
                    <w:rFonts w:ascii="Cambria Math" w:hAnsi="Cambria Math" w:cs="Times New Roman"/>
                    <w:sz w:val="24"/>
                    <w:szCs w:val="24"/>
                  </w:rPr>
                  <m:t>1</m:t>
                </m:r>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t-1</m:t>
            </m:r>
          </m:sub>
        </m:sSub>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Oil Shock</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 t+s</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for </m:t>
        </m:r>
        <m:r>
          <w:rPr>
            <w:rFonts w:ascii="Cambria Math" w:hAnsi="Cambria Math" w:cs="Times New Roman"/>
            <w:sz w:val="24"/>
            <w:szCs w:val="24"/>
          </w:rPr>
          <m:t>s=0,1,2, …</m:t>
        </m:r>
        <m:r>
          <w:rPr>
            <w:rFonts w:ascii="Cambria Math" w:hAnsi="Cambria Math" w:cs="Times New Roman"/>
            <w:sz w:val="24"/>
            <w:szCs w:val="24"/>
          </w:rPr>
          <m:t>h</m:t>
        </m:r>
      </m:oMath>
      <w:r w:rsidR="00521DE0">
        <w:rPr>
          <w:rFonts w:ascii="Times New Roman" w:hAnsi="Times New Roman" w:cs="Times New Roman"/>
          <w:sz w:val="24"/>
          <w:szCs w:val="24"/>
        </w:rPr>
        <w:t>,</w:t>
      </w:r>
      <w:r w:rsidR="00521DE0" w:rsidRPr="005D36B8">
        <w:rPr>
          <w:rFonts w:ascii="Times New Roman" w:hAnsi="Times New Roman" w:cs="Times New Roman"/>
          <w:sz w:val="24"/>
          <w:szCs w:val="24"/>
        </w:rPr>
        <w:t xml:space="preserve"> </w:t>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Pr>
          <w:rFonts w:ascii="Times New Roman" w:hAnsi="Times New Roman" w:cs="Times New Roman"/>
          <w:sz w:val="24"/>
          <w:szCs w:val="24"/>
        </w:rPr>
        <w:tab/>
      </w:r>
      <w:r w:rsidR="00521DE0" w:rsidRPr="005D36B8">
        <w:rPr>
          <w:rFonts w:ascii="Times New Roman" w:hAnsi="Times New Roman" w:cs="Times New Roman"/>
          <w:i/>
          <w:iCs/>
          <w:sz w:val="24"/>
          <w:szCs w:val="24"/>
        </w:rPr>
        <w:t>(2)</w:t>
      </w:r>
    </w:p>
    <w:p w14:paraId="0A27E6AC"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7C8FFB8"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t-1</m:t>
            </m:r>
          </m:sub>
        </m:sSub>
      </m:oMath>
      <w:r w:rsidRPr="005D36B8">
        <w:rPr>
          <w:rFonts w:ascii="Times New Roman" w:hAnsi="Times New Roman" w:cs="Times New Roman"/>
          <w:sz w:val="24"/>
          <w:szCs w:val="24"/>
        </w:rPr>
        <w:t xml:space="preserve"> is a threshold dummy variable that indicates the status (regime) of economy </w:t>
      </w:r>
      <w:proofErr w:type="spellStart"/>
      <w:proofErr w:type="gramStart"/>
      <w:r w:rsidRPr="005D36B8">
        <w:rPr>
          <w:rFonts w:ascii="Times New Roman" w:hAnsi="Times New Roman" w:cs="Times New Roman"/>
          <w:i/>
          <w:iCs/>
          <w:sz w:val="24"/>
          <w:szCs w:val="24"/>
        </w:rPr>
        <w:t>i</w:t>
      </w:r>
      <w:proofErr w:type="spellEnd"/>
      <w:r w:rsidRPr="005D36B8">
        <w:rPr>
          <w:rFonts w:ascii="Times New Roman" w:hAnsi="Times New Roman" w:cs="Times New Roman"/>
          <w:sz w:val="24"/>
          <w:szCs w:val="24"/>
        </w:rPr>
        <w:t>.</w:t>
      </w:r>
      <w:proofErr w:type="gramEnd"/>
      <w:r w:rsidRPr="005D36B8">
        <w:rPr>
          <w:rFonts w:ascii="Times New Roman" w:hAnsi="Times New Roman" w:cs="Times New Roman"/>
          <w:sz w:val="24"/>
          <w:szCs w:val="24"/>
        </w:rPr>
        <w:t xml:space="preserve"> The variable takes </w:t>
      </w:r>
      <w:r>
        <w:rPr>
          <w:rFonts w:ascii="Times New Roman" w:hAnsi="Times New Roman" w:cs="Times New Roman"/>
          <w:sz w:val="24"/>
          <w:szCs w:val="24"/>
        </w:rPr>
        <w:t>a</w:t>
      </w:r>
      <w:r w:rsidRPr="005D36B8">
        <w:rPr>
          <w:rFonts w:ascii="Times New Roman" w:hAnsi="Times New Roman" w:cs="Times New Roman"/>
          <w:sz w:val="24"/>
          <w:szCs w:val="24"/>
        </w:rPr>
        <w:t xml:space="preserve"> value of 1 if the status of country </w:t>
      </w:r>
      <w:proofErr w:type="spellStart"/>
      <w:r w:rsidRPr="005D36B8">
        <w:rPr>
          <w:rFonts w:ascii="Times New Roman" w:hAnsi="Times New Roman" w:cs="Times New Roman"/>
          <w:i/>
          <w:iCs/>
          <w:sz w:val="24"/>
          <w:szCs w:val="24"/>
        </w:rPr>
        <w:t>i</w:t>
      </w:r>
      <w:proofErr w:type="spellEnd"/>
      <w:r w:rsidRPr="005D36B8">
        <w:rPr>
          <w:rFonts w:ascii="Times New Roman" w:hAnsi="Times New Roman" w:cs="Times New Roman"/>
          <w:i/>
          <w:iCs/>
          <w:sz w:val="24"/>
          <w:szCs w:val="24"/>
        </w:rPr>
        <w:t xml:space="preserve"> </w:t>
      </w:r>
      <w:r w:rsidRPr="005D36B8">
        <w:rPr>
          <w:rFonts w:ascii="Times New Roman" w:hAnsi="Times New Roman" w:cs="Times New Roman"/>
          <w:sz w:val="24"/>
          <w:szCs w:val="24"/>
        </w:rPr>
        <w:t xml:space="preserve">is </w:t>
      </w:r>
      <w:r>
        <w:rPr>
          <w:rFonts w:ascii="Times New Roman" w:hAnsi="Times New Roman" w:cs="Times New Roman"/>
          <w:sz w:val="24"/>
          <w:szCs w:val="24"/>
        </w:rPr>
        <w:t xml:space="preserve">that of </w:t>
      </w:r>
      <w:r w:rsidRPr="005D36B8">
        <w:rPr>
          <w:rFonts w:ascii="Times New Roman" w:hAnsi="Times New Roman" w:cs="Times New Roman"/>
          <w:sz w:val="24"/>
          <w:szCs w:val="24"/>
        </w:rPr>
        <w:t>regime 2</w:t>
      </w:r>
      <w:r>
        <w:rPr>
          <w:rFonts w:ascii="Times New Roman" w:hAnsi="Times New Roman" w:cs="Times New Roman"/>
          <w:sz w:val="24"/>
          <w:szCs w:val="24"/>
        </w:rPr>
        <w:t xml:space="preserve"> (</w:t>
      </w:r>
      <w:r w:rsidRPr="005D36B8">
        <w:rPr>
          <w:rFonts w:ascii="Times New Roman" w:hAnsi="Times New Roman" w:cs="Times New Roman"/>
          <w:sz w:val="24"/>
          <w:szCs w:val="24"/>
        </w:rPr>
        <w:t>e.g. a net oil importer</w:t>
      </w:r>
      <w:r>
        <w:rPr>
          <w:rFonts w:ascii="Times New Roman" w:hAnsi="Times New Roman" w:cs="Times New Roman"/>
          <w:sz w:val="24"/>
          <w:szCs w:val="24"/>
        </w:rPr>
        <w:t>)</w:t>
      </w:r>
      <w:r w:rsidRPr="005D36B8">
        <w:rPr>
          <w:rFonts w:ascii="Times New Roman" w:hAnsi="Times New Roman" w:cs="Times New Roman"/>
          <w:sz w:val="24"/>
          <w:szCs w:val="24"/>
        </w:rPr>
        <w:t xml:space="preserve"> or </w:t>
      </w:r>
      <w:r>
        <w:rPr>
          <w:rFonts w:ascii="Times New Roman" w:hAnsi="Times New Roman" w:cs="Times New Roman"/>
          <w:sz w:val="24"/>
          <w:szCs w:val="24"/>
        </w:rPr>
        <w:t xml:space="preserve">was </w:t>
      </w:r>
      <w:r w:rsidRPr="005D36B8">
        <w:rPr>
          <w:rFonts w:ascii="Times New Roman" w:hAnsi="Times New Roman" w:cs="Times New Roman"/>
          <w:sz w:val="24"/>
          <w:szCs w:val="24"/>
        </w:rPr>
        <w:t>before the GFC and 0 otherwise.</w:t>
      </w:r>
    </w:p>
    <w:p w14:paraId="35070844"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69D4EB0C" w14:textId="77777777" w:rsidR="00521DE0" w:rsidRPr="005D36B8" w:rsidRDefault="00521DE0" w:rsidP="00521DE0">
      <w:pPr>
        <w:snapToGrid w:val="0"/>
        <w:spacing w:after="0" w:line="480" w:lineRule="auto"/>
        <w:jc w:val="both"/>
        <w:rPr>
          <w:rFonts w:ascii="Times New Roman" w:hAnsi="Times New Roman" w:cs="Times New Roman"/>
          <w:i/>
          <w:iCs/>
          <w:sz w:val="24"/>
          <w:szCs w:val="24"/>
        </w:rPr>
      </w:pPr>
      <w:r w:rsidRPr="005D36B8">
        <w:rPr>
          <w:rFonts w:ascii="Times New Roman" w:hAnsi="Times New Roman" w:cs="Times New Roman"/>
          <w:sz w:val="24"/>
          <w:szCs w:val="24"/>
        </w:rPr>
        <w:t>We also use the smooth transition function approach to switch the VIX into high</w:t>
      </w:r>
      <w:r>
        <w:rPr>
          <w:rFonts w:ascii="Times New Roman" w:hAnsi="Times New Roman" w:cs="Times New Roman"/>
          <w:sz w:val="24"/>
          <w:szCs w:val="24"/>
        </w:rPr>
        <w:t>-</w:t>
      </w:r>
      <w:r w:rsidRPr="005D36B8">
        <w:rPr>
          <w:rFonts w:ascii="Times New Roman" w:hAnsi="Times New Roman" w:cs="Times New Roman"/>
          <w:sz w:val="24"/>
          <w:szCs w:val="24"/>
        </w:rPr>
        <w:t xml:space="preserve"> and low</w:t>
      </w:r>
      <w:r>
        <w:rPr>
          <w:rFonts w:ascii="Times New Roman" w:hAnsi="Times New Roman" w:cs="Times New Roman"/>
          <w:sz w:val="24"/>
          <w:szCs w:val="24"/>
        </w:rPr>
        <w:t>-</w:t>
      </w:r>
      <w:r w:rsidRPr="005D36B8">
        <w:rPr>
          <w:rFonts w:ascii="Times New Roman" w:hAnsi="Times New Roman" w:cs="Times New Roman"/>
          <w:sz w:val="24"/>
          <w:szCs w:val="24"/>
        </w:rPr>
        <w:t xml:space="preserve">volatility states. The dummy variable in </w:t>
      </w:r>
      <w:r w:rsidRPr="00105A9B">
        <w:rPr>
          <w:rFonts w:ascii="Times New Roman" w:hAnsi="Times New Roman" w:cs="Times New Roman"/>
          <w:sz w:val="24"/>
          <w:szCs w:val="24"/>
        </w:rPr>
        <w:t>Eq. (2)</w:t>
      </w:r>
      <w:r w:rsidRPr="005D36B8">
        <w:rPr>
          <w:rFonts w:ascii="Times New Roman" w:hAnsi="Times New Roman" w:cs="Times New Roman"/>
          <w:sz w:val="24"/>
          <w:szCs w:val="24"/>
        </w:rPr>
        <w:t xml:space="preserve"> can be replaced by the values of the logistic function</w:t>
      </w:r>
      <w:r>
        <w:rPr>
          <w:rFonts w:ascii="Times New Roman" w:hAnsi="Times New Roman" w:cs="Times New Roman"/>
          <w:sz w:val="24"/>
          <w:szCs w:val="24"/>
        </w:rPr>
        <w:t>,</w:t>
      </w:r>
      <w:r w:rsidRPr="005D36B8">
        <w:rPr>
          <w:rFonts w:ascii="Times New Roman" w:hAnsi="Times New Roman" w:cs="Times New Roman"/>
          <w:sz w:val="24"/>
          <w:szCs w:val="24"/>
        </w:rPr>
        <w:t xml:space="preserve">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oMath>
      <w:r>
        <w:rPr>
          <w:rFonts w:ascii="Times New Roman" w:hAnsi="Times New Roman" w:cs="Times New Roman"/>
          <w:sz w:val="24"/>
          <w:szCs w:val="24"/>
        </w:rPr>
        <w:t xml:space="preserve">, </w:t>
      </w:r>
      <w:r w:rsidRPr="005D36B8">
        <w:rPr>
          <w:rFonts w:ascii="Times New Roman" w:hAnsi="Times New Roman" w:cs="Times New Roman"/>
          <w:sz w:val="24"/>
          <w:szCs w:val="24"/>
        </w:rPr>
        <w:t xml:space="preserve">at </w:t>
      </w:r>
      <w:r w:rsidRPr="005D36B8">
        <w:rPr>
          <w:rFonts w:ascii="Times New Roman" w:hAnsi="Times New Roman" w:cs="Times New Roman"/>
          <w:i/>
          <w:iCs/>
          <w:sz w:val="24"/>
          <w:szCs w:val="24"/>
        </w:rPr>
        <w:t>t – 1</w:t>
      </w:r>
      <w:r w:rsidRPr="00105A9B">
        <w:rPr>
          <w:rFonts w:ascii="Times New Roman" w:hAnsi="Times New Roman" w:cs="Times New Roman"/>
          <w:sz w:val="24"/>
          <w:szCs w:val="24"/>
        </w:rPr>
        <w:t xml:space="preserve">. </w:t>
      </w:r>
      <w:r w:rsidRPr="005D36B8">
        <w:rPr>
          <w:rFonts w:ascii="Times New Roman" w:hAnsi="Times New Roman" w:cs="Times New Roman"/>
          <w:sz w:val="24"/>
          <w:szCs w:val="24"/>
        </w:rPr>
        <w:t>The regime-switching model</w:t>
      </w:r>
      <w:r>
        <w:rPr>
          <w:rFonts w:ascii="Times New Roman" w:hAnsi="Times New Roman" w:cs="Times New Roman"/>
          <w:sz w:val="24"/>
          <w:szCs w:val="24"/>
        </w:rPr>
        <w:t xml:space="preserve"> used</w:t>
      </w:r>
      <w:r w:rsidRPr="005D36B8">
        <w:rPr>
          <w:rFonts w:ascii="Times New Roman" w:hAnsi="Times New Roman" w:cs="Times New Roman"/>
          <w:sz w:val="24"/>
          <w:szCs w:val="24"/>
        </w:rPr>
        <w:t xml:space="preserve"> to distinguish the response of economic uncertainty to oil shocks during high</w:t>
      </w:r>
      <w:r>
        <w:rPr>
          <w:rFonts w:ascii="Times New Roman" w:hAnsi="Times New Roman" w:cs="Times New Roman"/>
          <w:sz w:val="24"/>
          <w:szCs w:val="24"/>
        </w:rPr>
        <w:t>-</w:t>
      </w:r>
      <w:r w:rsidRPr="005D36B8">
        <w:rPr>
          <w:rFonts w:ascii="Times New Roman" w:hAnsi="Times New Roman" w:cs="Times New Roman"/>
          <w:sz w:val="24"/>
          <w:szCs w:val="24"/>
        </w:rPr>
        <w:t xml:space="preserve">volatility periods from the response </w:t>
      </w:r>
      <w:r>
        <w:rPr>
          <w:rFonts w:ascii="Times New Roman" w:hAnsi="Times New Roman" w:cs="Times New Roman"/>
          <w:sz w:val="24"/>
          <w:szCs w:val="24"/>
        </w:rPr>
        <w:t>during</w:t>
      </w:r>
      <w:r w:rsidRPr="005D36B8">
        <w:rPr>
          <w:rFonts w:ascii="Times New Roman" w:hAnsi="Times New Roman" w:cs="Times New Roman"/>
          <w:sz w:val="24"/>
          <w:szCs w:val="24"/>
        </w:rPr>
        <w:t xml:space="preserve"> low</w:t>
      </w:r>
      <w:r>
        <w:rPr>
          <w:rFonts w:ascii="Times New Roman" w:hAnsi="Times New Roman" w:cs="Times New Roman"/>
          <w:sz w:val="24"/>
          <w:szCs w:val="24"/>
        </w:rPr>
        <w:t>-</w:t>
      </w:r>
      <w:r w:rsidRPr="005D36B8">
        <w:rPr>
          <w:rFonts w:ascii="Times New Roman" w:hAnsi="Times New Roman" w:cs="Times New Roman"/>
          <w:sz w:val="24"/>
          <w:szCs w:val="24"/>
        </w:rPr>
        <w:t>volatility periods is as follows</w:t>
      </w:r>
      <w:r>
        <w:rPr>
          <w:rFonts w:ascii="Times New Roman" w:hAnsi="Times New Roman" w:cs="Times New Roman"/>
          <w:sz w:val="24"/>
          <w:szCs w:val="24"/>
        </w:rPr>
        <w:t>:</w:t>
      </w:r>
    </w:p>
    <w:p w14:paraId="284A1D1A"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E4B3DF2" w14:textId="77777777" w:rsidR="00521DE0" w:rsidRPr="005D36B8" w:rsidRDefault="004F51DA" w:rsidP="00521DE0">
      <w:pPr>
        <w:snapToGrid w:val="0"/>
        <w:spacing w:after="0" w:line="480" w:lineRule="auto"/>
        <w:jc w:val="both"/>
        <w:rPr>
          <w:rFonts w:ascii="Times New Roman" w:hAnsi="Times New Roman" w:cs="Times New Roman"/>
          <w:i/>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  t+s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t-1</m:t>
                    </m:r>
                  </m:sub>
                </m:sSub>
              </m:e>
            </m:d>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Oil Shock</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sup>
            </m:sSubSup>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t-1</m:t>
                </m:r>
              </m:sub>
            </m:sSub>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L</m:t>
                    </m:r>
                  </m:sub>
                </m:sSub>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Oil Shock</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s</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L</m:t>
                    </m:r>
                  </m:sub>
                </m:sSub>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 t+s</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for </m:t>
        </m:r>
        <m:r>
          <w:rPr>
            <w:rFonts w:ascii="Cambria Math" w:hAnsi="Cambria Math" w:cs="Times New Roman"/>
            <w:sz w:val="24"/>
            <w:szCs w:val="24"/>
          </w:rPr>
          <m:t>s=0,1,2, …</m:t>
        </m:r>
        <m:r>
          <w:rPr>
            <w:rFonts w:ascii="Cambria Math" w:hAnsi="Cambria Math" w:cs="Times New Roman"/>
            <w:sz w:val="24"/>
            <w:szCs w:val="24"/>
          </w:rPr>
          <m:t>h</m:t>
        </m:r>
      </m:oMath>
      <w:r w:rsidR="00521DE0" w:rsidRPr="005D36B8">
        <w:rPr>
          <w:rFonts w:ascii="Times New Roman" w:hAnsi="Times New Roman" w:cs="Times New Roman"/>
          <w:sz w:val="24"/>
          <w:szCs w:val="24"/>
        </w:rPr>
        <w:t xml:space="preserve"> </w:t>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sidRPr="005D36B8">
        <w:rPr>
          <w:rFonts w:ascii="Times New Roman" w:hAnsi="Times New Roman" w:cs="Times New Roman"/>
          <w:sz w:val="24"/>
          <w:szCs w:val="24"/>
        </w:rPr>
        <w:tab/>
      </w:r>
      <w:r w:rsidR="00521DE0">
        <w:rPr>
          <w:rFonts w:ascii="Times New Roman" w:hAnsi="Times New Roman" w:cs="Times New Roman"/>
          <w:sz w:val="24"/>
          <w:szCs w:val="24"/>
        </w:rPr>
        <w:tab/>
      </w:r>
      <w:r w:rsidR="00521DE0" w:rsidRPr="005D36B8">
        <w:rPr>
          <w:rFonts w:ascii="Times New Roman" w:hAnsi="Times New Roman" w:cs="Times New Roman"/>
          <w:i/>
          <w:iCs/>
          <w:sz w:val="24"/>
          <w:szCs w:val="24"/>
        </w:rPr>
        <w:t>(3)</w:t>
      </w:r>
    </w:p>
    <w:p w14:paraId="67943C09" w14:textId="77777777" w:rsidR="00521DE0" w:rsidRPr="005D36B8" w:rsidRDefault="00521DE0" w:rsidP="00521DE0">
      <w:pPr>
        <w:snapToGrid w:val="0"/>
        <w:spacing w:after="0" w:line="48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e>
        </m:d>
        <m:r>
          <w:rPr>
            <w:rFonts w:ascii="Cambria Math" w:hAnsi="Cambria Math" w:cs="Times New Roman"/>
            <w:sz w:val="24"/>
            <w:szCs w:val="24"/>
          </w:rPr>
          <m:t>=</m:t>
        </m:r>
        <m:f>
          <m:fPr>
            <m:type m:val="lin"/>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e>
            </m:func>
          </m:den>
        </m:f>
        <m:r>
          <w:rPr>
            <w:rFonts w:ascii="Cambria Math" w:hAnsi="Cambria Math" w:cs="Times New Roman"/>
            <w:sz w:val="24"/>
            <w:szCs w:val="24"/>
          </w:rPr>
          <m:t>, γ&gt;0</m:t>
        </m:r>
      </m:oMath>
      <w:r>
        <w:rPr>
          <w:rFonts w:ascii="Times New Roman" w:hAnsi="Times New Roman" w:cs="Times New Roman"/>
          <w:sz w:val="24"/>
          <w:szCs w:val="24"/>
        </w:rPr>
        <w:t>,</w:t>
      </w:r>
      <w:r w:rsidRPr="005D36B8">
        <w:rPr>
          <w:rFonts w:ascii="Times New Roman" w:hAnsi="Times New Roman" w:cs="Times New Roman"/>
          <w:i/>
          <w:iCs/>
          <w:sz w:val="24"/>
          <w:szCs w:val="24"/>
        </w:rPr>
        <w:t xml:space="preserve"> </w:t>
      </w:r>
      <w:r w:rsidRPr="005D36B8">
        <w:rPr>
          <w:rFonts w:ascii="Times New Roman" w:hAnsi="Times New Roman" w:cs="Times New Roman"/>
          <w:i/>
          <w:iCs/>
          <w:sz w:val="24"/>
          <w:szCs w:val="24"/>
        </w:rPr>
        <w:tab/>
      </w:r>
      <w:r w:rsidRPr="005D36B8">
        <w:rPr>
          <w:rFonts w:ascii="Times New Roman" w:hAnsi="Times New Roman" w:cs="Times New Roman"/>
          <w:i/>
          <w:iCs/>
          <w:sz w:val="24"/>
          <w:szCs w:val="24"/>
        </w:rPr>
        <w:tab/>
      </w:r>
      <w:r w:rsidRPr="005D36B8">
        <w:rPr>
          <w:rFonts w:ascii="Times New Roman" w:hAnsi="Times New Roman" w:cs="Times New Roman"/>
          <w:i/>
          <w:iCs/>
          <w:sz w:val="24"/>
          <w:szCs w:val="24"/>
        </w:rPr>
        <w:tab/>
      </w:r>
      <w:r w:rsidRPr="005D36B8">
        <w:rPr>
          <w:rFonts w:ascii="Times New Roman" w:hAnsi="Times New Roman" w:cs="Times New Roman"/>
          <w:i/>
          <w:iCs/>
          <w:sz w:val="24"/>
          <w:szCs w:val="24"/>
        </w:rPr>
        <w:tab/>
      </w:r>
      <w:r w:rsidRPr="005D36B8">
        <w:rPr>
          <w:rFonts w:ascii="Times New Roman" w:hAnsi="Times New Roman" w:cs="Times New Roman"/>
          <w:i/>
          <w:iCs/>
          <w:sz w:val="24"/>
          <w:szCs w:val="24"/>
        </w:rPr>
        <w:tab/>
      </w:r>
      <w:r>
        <w:rPr>
          <w:rFonts w:ascii="Times New Roman" w:hAnsi="Times New Roman" w:cs="Times New Roman"/>
          <w:i/>
          <w:iCs/>
          <w:sz w:val="24"/>
          <w:szCs w:val="24"/>
        </w:rPr>
        <w:tab/>
      </w:r>
      <w:r w:rsidRPr="005D36B8">
        <w:rPr>
          <w:rFonts w:ascii="Times New Roman" w:hAnsi="Times New Roman" w:cs="Times New Roman"/>
          <w:i/>
          <w:iCs/>
          <w:sz w:val="24"/>
          <w:szCs w:val="24"/>
        </w:rPr>
        <w:t>(4)</w:t>
      </w:r>
    </w:p>
    <w:p w14:paraId="3CD01E47"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1726710C" w14:textId="77777777" w:rsidR="00521DE0" w:rsidRPr="005D36B8" w:rsidRDefault="00521DE0" w:rsidP="00521DE0">
      <w:pPr>
        <w:snapToGrid w:val="0"/>
        <w:spacing w:after="0" w:line="480" w:lineRule="auto"/>
        <w:jc w:val="both"/>
        <w:rPr>
          <w:rFonts w:ascii="Times New Roman" w:hAnsi="Times New Roman" w:cs="Times New Roman"/>
          <w:b/>
          <w:bCs/>
          <w:sz w:val="24"/>
          <w:szCs w:val="24"/>
        </w:rPr>
      </w:pPr>
      <w:r w:rsidRPr="005D36B8">
        <w:rPr>
          <w:rFonts w:ascii="Times New Roman" w:hAnsi="Times New Roman" w:cs="Times New Roman"/>
          <w:sz w:val="24"/>
          <w:szCs w:val="24"/>
        </w:rPr>
        <w:t>where</w:t>
      </w:r>
      <w:r w:rsidRPr="005D36B8">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Pr="005D36B8">
        <w:rPr>
          <w:rFonts w:ascii="Times New Roman" w:hAnsi="Times New Roman" w:cs="Times New Roman"/>
          <w:sz w:val="24"/>
          <w:szCs w:val="24"/>
        </w:rPr>
        <w:t xml:space="preserve"> is a switching variable (e.g. the VIX)</w:t>
      </w:r>
      <w:r>
        <w:rPr>
          <w:rFonts w:ascii="Times New Roman" w:hAnsi="Times New Roman" w:cs="Times New Roman"/>
          <w:sz w:val="24"/>
          <w:szCs w:val="24"/>
        </w:rPr>
        <w:t xml:space="preserve"> that</w:t>
      </w:r>
      <w:r w:rsidRPr="005D36B8">
        <w:rPr>
          <w:rFonts w:ascii="Times New Roman" w:hAnsi="Times New Roman" w:cs="Times New Roman"/>
          <w:sz w:val="24"/>
          <w:szCs w:val="24"/>
        </w:rPr>
        <w:t xml:space="preserve"> is normalised to have unit variance and zero </w:t>
      </w:r>
      <w:proofErr w:type="gramStart"/>
      <w:r w:rsidRPr="005D36B8">
        <w:rPr>
          <w:rFonts w:ascii="Times New Roman" w:hAnsi="Times New Roman" w:cs="Times New Roman"/>
          <w:sz w:val="24"/>
          <w:szCs w:val="24"/>
        </w:rPr>
        <w:t>mean.</w:t>
      </w:r>
      <w:proofErr w:type="gramEnd"/>
      <w:r w:rsidRPr="005D36B8">
        <w:t xml:space="preserve"> </w:t>
      </w:r>
      <w:r w:rsidRPr="005D36B8">
        <w:rPr>
          <w:rFonts w:ascii="Times New Roman" w:hAnsi="Times New Roman" w:cs="Times New Roman"/>
          <w:sz w:val="24"/>
          <w:szCs w:val="24"/>
        </w:rPr>
        <w:t>The smooth transition function</w:t>
      </w:r>
      <w:r>
        <w:rPr>
          <w:rFonts w:ascii="Times New Roman" w:hAnsi="Times New Roman" w:cs="Times New Roman"/>
          <w:sz w:val="24"/>
          <w:szCs w:val="24"/>
        </w:rPr>
        <w:t>,</w:t>
      </w:r>
      <w:r w:rsidRPr="005D36B8">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e>
        </m:d>
      </m:oMath>
      <w:r>
        <w:rPr>
          <w:rFonts w:ascii="Times New Roman" w:hAnsi="Times New Roman" w:cs="Times New Roman"/>
          <w:sz w:val="24"/>
          <w:szCs w:val="24"/>
        </w:rPr>
        <w:t xml:space="preserve">, </w:t>
      </w:r>
      <w:r w:rsidRPr="005D36B8">
        <w:rPr>
          <w:rFonts w:ascii="Times New Roman" w:hAnsi="Times New Roman" w:cs="Times New Roman"/>
          <w:sz w:val="24"/>
          <w:szCs w:val="24"/>
        </w:rPr>
        <w:t>var</w:t>
      </w:r>
      <w:r>
        <w:rPr>
          <w:rFonts w:ascii="Times New Roman" w:hAnsi="Times New Roman" w:cs="Times New Roman"/>
          <w:sz w:val="24"/>
          <w:szCs w:val="24"/>
        </w:rPr>
        <w:t>ies</w:t>
      </w:r>
      <w:r w:rsidRPr="005D36B8">
        <w:rPr>
          <w:rFonts w:ascii="Times New Roman" w:hAnsi="Times New Roman" w:cs="Times New Roman"/>
          <w:sz w:val="24"/>
          <w:szCs w:val="24"/>
        </w:rPr>
        <w:t xml:space="preserve"> between 0 and 1 and can be interpreted as the probability of being in a </w:t>
      </w:r>
      <w:r>
        <w:rPr>
          <w:rFonts w:ascii="Times New Roman" w:hAnsi="Times New Roman" w:cs="Times New Roman"/>
          <w:sz w:val="24"/>
          <w:szCs w:val="24"/>
        </w:rPr>
        <w:t>low-</w:t>
      </w:r>
      <w:r w:rsidRPr="005D36B8">
        <w:rPr>
          <w:rFonts w:ascii="Times New Roman" w:hAnsi="Times New Roman" w:cs="Times New Roman"/>
          <w:sz w:val="24"/>
          <w:szCs w:val="24"/>
        </w:rPr>
        <w:t xml:space="preserve">volatility regime when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Pr="005D36B8">
        <w:rPr>
          <w:rFonts w:ascii="Times New Roman" w:hAnsi="Times New Roman" w:cs="Times New Roman"/>
          <w:sz w:val="24"/>
          <w:szCs w:val="24"/>
        </w:rPr>
        <w:t xml:space="preserve"> is the VIX. </w:t>
      </w:r>
      <w:r>
        <w:rPr>
          <w:rFonts w:ascii="Times New Roman" w:hAnsi="Times New Roman" w:cs="Times New Roman"/>
          <w:sz w:val="24"/>
          <w:szCs w:val="24"/>
        </w:rPr>
        <w:t>V</w:t>
      </w:r>
      <w:r w:rsidRPr="005D36B8">
        <w:rPr>
          <w:rFonts w:ascii="Times New Roman" w:hAnsi="Times New Roman" w:cs="Times New Roman"/>
          <w:sz w:val="24"/>
          <w:szCs w:val="24"/>
        </w:rPr>
        <w:t xml:space="preserve">alues of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e>
        </m:d>
      </m:oMath>
      <w:r w:rsidRPr="005D36B8">
        <w:rPr>
          <w:rFonts w:ascii="Times New Roman" w:hAnsi="Times New Roman" w:cs="Times New Roman"/>
          <w:sz w:val="24"/>
          <w:szCs w:val="24"/>
        </w:rPr>
        <w:t xml:space="preserve"> close to 0 correspond to periods of </w:t>
      </w:r>
      <w:r>
        <w:rPr>
          <w:rFonts w:ascii="Times New Roman" w:hAnsi="Times New Roman" w:cs="Times New Roman"/>
          <w:sz w:val="24"/>
          <w:szCs w:val="24"/>
        </w:rPr>
        <w:t>high</w:t>
      </w:r>
      <w:r w:rsidRPr="005D36B8">
        <w:rPr>
          <w:rFonts w:ascii="Times New Roman" w:hAnsi="Times New Roman" w:cs="Times New Roman"/>
          <w:sz w:val="24"/>
          <w:szCs w:val="24"/>
        </w:rPr>
        <w:t xml:space="preserve"> uncertainty</w:t>
      </w:r>
      <w:r>
        <w:rPr>
          <w:rFonts w:ascii="Times New Roman" w:hAnsi="Times New Roman" w:cs="Times New Roman"/>
          <w:sz w:val="24"/>
          <w:szCs w:val="24"/>
        </w:rPr>
        <w:t>, i.e.,</w:t>
      </w:r>
      <w:r w:rsidRPr="005D36B8">
        <w:rPr>
          <w:rFonts w:ascii="Times New Roman" w:hAnsi="Times New Roman" w:cs="Times New Roman"/>
          <w:sz w:val="24"/>
          <w:szCs w:val="24"/>
        </w:rPr>
        <w:t xml:space="preserve"> </w:t>
      </w:r>
      <m:oMath>
        <m:r>
          <w:rPr>
            <w:rFonts w:ascii="Cambria Math" w:hAnsi="Cambria Math" w:cs="Times New Roman"/>
            <w:sz w:val="24"/>
            <w:szCs w:val="24"/>
          </w:rPr>
          <m:t>F</m:t>
        </m:r>
        <w:bookmarkStart w:id="17" w:name="_Hlk33004435"/>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e>
        </m:d>
        <m:r>
          <w:rPr>
            <w:rFonts w:ascii="Cambria Math" w:hAnsi="Cambria Math" w:cs="Times New Roman"/>
            <w:sz w:val="24"/>
            <w:szCs w:val="24"/>
          </w:rPr>
          <m:t>≈0</m:t>
        </m:r>
      </m:oMath>
      <w:r w:rsidRPr="005D36B8">
        <w:rPr>
          <w:rFonts w:ascii="Times New Roman" w:hAnsi="Times New Roman" w:cs="Times New Roman"/>
          <w:sz w:val="24"/>
          <w:szCs w:val="24"/>
        </w:rPr>
        <w:t xml:space="preserve"> </w:t>
      </w:r>
      <w:bookmarkEnd w:id="17"/>
      <w:r w:rsidRPr="005D36B8">
        <w:rPr>
          <w:rFonts w:ascii="Times New Roman" w:hAnsi="Times New Roman" w:cs="Times New Roman"/>
          <w:sz w:val="24"/>
          <w:szCs w:val="24"/>
        </w:rPr>
        <w:t>if the VIX is in a high</w:t>
      </w:r>
      <w:r>
        <w:rPr>
          <w:rFonts w:ascii="Times New Roman" w:hAnsi="Times New Roman" w:cs="Times New Roman"/>
          <w:sz w:val="24"/>
          <w:szCs w:val="24"/>
        </w:rPr>
        <w:t>-</w:t>
      </w:r>
      <w:r w:rsidRPr="005D36B8">
        <w:rPr>
          <w:rFonts w:ascii="Times New Roman" w:hAnsi="Times New Roman" w:cs="Times New Roman"/>
          <w:sz w:val="24"/>
          <w:szCs w:val="24"/>
        </w:rPr>
        <w:t xml:space="preserve">volatility </w:t>
      </w:r>
      <w:r w:rsidRPr="005D36B8">
        <w:rPr>
          <w:rFonts w:ascii="Times New Roman" w:hAnsi="Times New Roman" w:cs="Times New Roman"/>
          <w:sz w:val="24"/>
          <w:szCs w:val="24"/>
        </w:rPr>
        <w:lastRenderedPageBreak/>
        <w:t xml:space="preserve">regime (i.e. regime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oMath>
      <w:r w:rsidRPr="005D36B8">
        <w:rPr>
          <w:rFonts w:ascii="Times New Roman" w:hAnsi="Times New Roman" w:cs="Times New Roman"/>
          <w:sz w:val="24"/>
          <w:szCs w:val="24"/>
        </w:rPr>
        <w:t xml:space="preserve">). </w:t>
      </w:r>
      <w:r>
        <w:rPr>
          <w:rFonts w:ascii="Times New Roman" w:hAnsi="Times New Roman" w:cs="Times New Roman"/>
          <w:sz w:val="24"/>
          <w:szCs w:val="24"/>
        </w:rPr>
        <w:t>V</w:t>
      </w:r>
      <w:r w:rsidRPr="005D36B8">
        <w:rPr>
          <w:rFonts w:ascii="Times New Roman" w:hAnsi="Times New Roman" w:cs="Times New Roman"/>
          <w:sz w:val="24"/>
          <w:szCs w:val="24"/>
        </w:rPr>
        <w:t xml:space="preserve">alues close to 1 correspond to periods of </w:t>
      </w:r>
      <w:r>
        <w:rPr>
          <w:rFonts w:ascii="Times New Roman" w:hAnsi="Times New Roman" w:cs="Times New Roman"/>
          <w:sz w:val="24"/>
          <w:szCs w:val="24"/>
        </w:rPr>
        <w:t>low</w:t>
      </w:r>
      <w:r w:rsidRPr="005D36B8">
        <w:rPr>
          <w:rFonts w:ascii="Times New Roman" w:hAnsi="Times New Roman" w:cs="Times New Roman"/>
          <w:sz w:val="24"/>
          <w:szCs w:val="24"/>
        </w:rPr>
        <w:t xml:space="preserve"> uncertainty</w:t>
      </w:r>
      <w:r>
        <w:rPr>
          <w:rFonts w:ascii="Times New Roman" w:hAnsi="Times New Roman" w:cs="Times New Roman"/>
          <w:sz w:val="24"/>
          <w:szCs w:val="24"/>
        </w:rPr>
        <w:t>, i.e.,</w:t>
      </w:r>
      <w:r w:rsidRPr="005D36B8">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e>
        </m:d>
        <m:r>
          <w:rPr>
            <w:rFonts w:ascii="Cambria Math" w:hAnsi="Cambria Math" w:cs="Times New Roman"/>
            <w:sz w:val="24"/>
            <w:szCs w:val="24"/>
          </w:rPr>
          <m:t>≈1</m:t>
        </m:r>
      </m:oMath>
      <w:r w:rsidRPr="005D36B8">
        <w:rPr>
          <w:rFonts w:ascii="Times New Roman" w:hAnsi="Times New Roman" w:cs="Times New Roman"/>
          <w:sz w:val="24"/>
          <w:szCs w:val="24"/>
        </w:rPr>
        <w:t xml:space="preserve"> if the VIX is in a low</w:t>
      </w:r>
      <w:r>
        <w:rPr>
          <w:rFonts w:ascii="Times New Roman" w:hAnsi="Times New Roman" w:cs="Times New Roman"/>
          <w:sz w:val="24"/>
          <w:szCs w:val="24"/>
        </w:rPr>
        <w:t>-</w:t>
      </w:r>
      <w:r w:rsidRPr="005D36B8">
        <w:rPr>
          <w:rFonts w:ascii="Times New Roman" w:hAnsi="Times New Roman" w:cs="Times New Roman"/>
          <w:sz w:val="24"/>
          <w:szCs w:val="24"/>
        </w:rPr>
        <w:t xml:space="preserve">volatility regime (i.e. regime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L</m:t>
            </m:r>
          </m:sub>
        </m:sSub>
      </m:oMath>
      <w:r w:rsidRPr="005D36B8">
        <w:rPr>
          <w:rFonts w:ascii="Times New Roman" w:hAnsi="Times New Roman" w:cs="Times New Roman"/>
          <w:sz w:val="24"/>
          <w:szCs w:val="24"/>
        </w:rPr>
        <w:t>).</w:t>
      </w:r>
    </w:p>
    <w:p w14:paraId="38CB9860"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75A16B7F" w14:textId="77777777" w:rsidR="00521DE0" w:rsidRPr="005D36B8" w:rsidRDefault="00521DE0" w:rsidP="00521DE0">
      <w:pPr>
        <w:spacing w:after="0" w:line="360" w:lineRule="auto"/>
        <w:jc w:val="both"/>
        <w:rPr>
          <w:rFonts w:ascii="Times New Roman" w:hAnsi="Times New Roman" w:cs="Times New Roman"/>
          <w:sz w:val="24"/>
          <w:szCs w:val="24"/>
        </w:rPr>
      </w:pPr>
    </w:p>
    <w:p w14:paraId="4CA5D20F" w14:textId="77777777" w:rsidR="00521DE0" w:rsidRDefault="00521DE0" w:rsidP="004F51DA">
      <w:pPr>
        <w:pStyle w:val="Heading1"/>
      </w:pPr>
      <w:r>
        <w:t xml:space="preserve">3. </w:t>
      </w:r>
      <w:r w:rsidRPr="005D36B8">
        <w:t>Results and Analysis</w:t>
      </w:r>
      <w:bookmarkStart w:id="18" w:name="_Hlk33954810"/>
    </w:p>
    <w:p w14:paraId="10786B16" w14:textId="77777777" w:rsidR="00521DE0" w:rsidRPr="005D36B8" w:rsidRDefault="00521DE0" w:rsidP="004F51DA">
      <w:pPr>
        <w:pStyle w:val="Heading2"/>
        <w:rPr>
          <w:b w:val="0"/>
        </w:rPr>
      </w:pPr>
      <w:r>
        <w:t xml:space="preserve">3.1 </w:t>
      </w:r>
      <w:r w:rsidRPr="005D36B8">
        <w:t xml:space="preserve">Responses to structural shocks </w:t>
      </w:r>
    </w:p>
    <w:p w14:paraId="76B0D21A" w14:textId="1D12CC19"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Fig. 1 reports the estimated IRF of total economic uncertainty </w:t>
      </w:r>
      <w:r>
        <w:rPr>
          <w:rFonts w:ascii="Times New Roman" w:hAnsi="Times New Roman" w:cs="Times New Roman"/>
          <w:sz w:val="24"/>
          <w:szCs w:val="24"/>
        </w:rPr>
        <w:t>for a</w:t>
      </w:r>
      <w:r w:rsidRPr="005D36B8">
        <w:rPr>
          <w:rFonts w:ascii="Times New Roman" w:hAnsi="Times New Roman" w:cs="Times New Roman"/>
          <w:sz w:val="24"/>
          <w:szCs w:val="24"/>
        </w:rPr>
        <w:t xml:space="preserve"> </w:t>
      </w:r>
      <w:r w:rsidR="00E32104">
        <w:rPr>
          <w:rFonts w:ascii="Times New Roman" w:hAnsi="Times New Roman" w:cs="Times New Roman"/>
          <w:sz w:val="24"/>
          <w:szCs w:val="24"/>
        </w:rPr>
        <w:t>1-unit change</w:t>
      </w:r>
      <w:r w:rsidRPr="005D36B8">
        <w:rPr>
          <w:rFonts w:ascii="Times New Roman" w:hAnsi="Times New Roman" w:cs="Times New Roman"/>
          <w:sz w:val="24"/>
          <w:szCs w:val="24"/>
        </w:rPr>
        <w:t xml:space="preserve"> in oil shocks over a time period of 24 months for </w:t>
      </w:r>
      <w:r>
        <w:rPr>
          <w:rFonts w:ascii="Times New Roman" w:hAnsi="Times New Roman" w:cs="Times New Roman"/>
          <w:sz w:val="24"/>
          <w:szCs w:val="24"/>
        </w:rPr>
        <w:t xml:space="preserve">the </w:t>
      </w:r>
      <w:r w:rsidRPr="005D36B8">
        <w:rPr>
          <w:rFonts w:ascii="Times New Roman" w:hAnsi="Times New Roman" w:cs="Times New Roman"/>
          <w:sz w:val="24"/>
          <w:szCs w:val="24"/>
        </w:rPr>
        <w:t xml:space="preserve">linear model specified in </w:t>
      </w:r>
      <w:r w:rsidRPr="00105A9B">
        <w:rPr>
          <w:rFonts w:ascii="Times New Roman" w:hAnsi="Times New Roman" w:cs="Times New Roman"/>
          <w:sz w:val="24"/>
          <w:szCs w:val="24"/>
        </w:rPr>
        <w:t>E</w:t>
      </w:r>
      <w:r>
        <w:rPr>
          <w:rFonts w:ascii="Times New Roman" w:hAnsi="Times New Roman" w:cs="Times New Roman"/>
          <w:sz w:val="24"/>
          <w:szCs w:val="24"/>
        </w:rPr>
        <w:t xml:space="preserve">q. </w:t>
      </w:r>
      <w:r w:rsidRPr="00105A9B">
        <w:rPr>
          <w:rFonts w:ascii="Times New Roman" w:hAnsi="Times New Roman" w:cs="Times New Roman"/>
          <w:sz w:val="24"/>
          <w:szCs w:val="24"/>
        </w:rPr>
        <w:t>(1)</w:t>
      </w:r>
      <w:r w:rsidRPr="0055460D">
        <w:rPr>
          <w:rFonts w:ascii="Times New Roman" w:hAnsi="Times New Roman" w:cs="Times New Roman"/>
          <w:sz w:val="24"/>
          <w:szCs w:val="24"/>
        </w:rPr>
        <w:t>.</w:t>
      </w:r>
      <w:r w:rsidRPr="005D36B8">
        <w:rPr>
          <w:rFonts w:ascii="Times New Roman" w:hAnsi="Times New Roman" w:cs="Times New Roman"/>
          <w:sz w:val="24"/>
          <w:szCs w:val="24"/>
        </w:rPr>
        <w:t xml:space="preserve"> The two</w:t>
      </w:r>
      <w:r>
        <w:rPr>
          <w:rFonts w:ascii="Times New Roman" w:hAnsi="Times New Roman" w:cs="Times New Roman"/>
          <w:sz w:val="24"/>
          <w:szCs w:val="24"/>
        </w:rPr>
        <w:t xml:space="preserve"> </w:t>
      </w:r>
      <w:r w:rsidRPr="005D36B8">
        <w:rPr>
          <w:rFonts w:ascii="Times New Roman" w:hAnsi="Times New Roman" w:cs="Times New Roman"/>
          <w:sz w:val="24"/>
          <w:szCs w:val="24"/>
        </w:rPr>
        <w:t>standard error bands</w:t>
      </w:r>
      <w:r>
        <w:rPr>
          <w:rFonts w:ascii="Times New Roman" w:hAnsi="Times New Roman" w:cs="Times New Roman"/>
          <w:sz w:val="24"/>
          <w:szCs w:val="24"/>
        </w:rPr>
        <w:t>,</w:t>
      </w:r>
      <w:r w:rsidRPr="005D36B8">
        <w:rPr>
          <w:rFonts w:ascii="Times New Roman" w:hAnsi="Times New Roman" w:cs="Times New Roman"/>
          <w:sz w:val="24"/>
          <w:szCs w:val="24"/>
        </w:rPr>
        <w:t xml:space="preserve"> indicated by grey areas</w:t>
      </w:r>
      <w:r>
        <w:rPr>
          <w:rFonts w:ascii="Times New Roman" w:hAnsi="Times New Roman" w:cs="Times New Roman"/>
          <w:sz w:val="24"/>
          <w:szCs w:val="24"/>
        </w:rPr>
        <w:t>,</w:t>
      </w:r>
      <w:r w:rsidRPr="005D36B8">
        <w:rPr>
          <w:rFonts w:ascii="Times New Roman" w:hAnsi="Times New Roman" w:cs="Times New Roman"/>
          <w:sz w:val="24"/>
          <w:szCs w:val="24"/>
        </w:rPr>
        <w:t xml:space="preserve"> are computed b</w:t>
      </w:r>
      <w:r>
        <w:rPr>
          <w:rFonts w:ascii="Times New Roman" w:hAnsi="Times New Roman" w:cs="Times New Roman"/>
          <w:sz w:val="24"/>
          <w:szCs w:val="24"/>
        </w:rPr>
        <w:t>ased on</w:t>
      </w:r>
      <w:r w:rsidRPr="005D36B8">
        <w:rPr>
          <w:rFonts w:ascii="Times New Roman" w:hAnsi="Times New Roman" w:cs="Times New Roman"/>
          <w:sz w:val="24"/>
          <w:szCs w:val="24"/>
        </w:rPr>
        <w:t xml:space="preserve"> panel</w:t>
      </w:r>
      <w:r>
        <w:rPr>
          <w:rFonts w:ascii="Times New Roman" w:hAnsi="Times New Roman" w:cs="Times New Roman"/>
          <w:sz w:val="24"/>
          <w:szCs w:val="24"/>
        </w:rPr>
        <w:t>-</w:t>
      </w:r>
      <w:r w:rsidRPr="005D36B8">
        <w:rPr>
          <w:rFonts w:ascii="Times New Roman" w:hAnsi="Times New Roman" w:cs="Times New Roman"/>
          <w:sz w:val="24"/>
          <w:szCs w:val="24"/>
        </w:rPr>
        <w:t>corrected standard errors.</w:t>
      </w:r>
      <w:bookmarkEnd w:id="18"/>
      <w:r w:rsidRPr="005D36B8">
        <w:rPr>
          <w:rStyle w:val="FootnoteReference"/>
          <w:rFonts w:ascii="Times New Roman" w:hAnsi="Times New Roman" w:cs="Times New Roman"/>
          <w:sz w:val="24"/>
          <w:szCs w:val="24"/>
        </w:rPr>
        <w:footnoteReference w:id="6"/>
      </w:r>
      <w:r w:rsidRPr="005D36B8">
        <w:rPr>
          <w:rFonts w:ascii="Times New Roman" w:hAnsi="Times New Roman" w:cs="Times New Roman"/>
          <w:sz w:val="24"/>
          <w:szCs w:val="24"/>
        </w:rPr>
        <w:t xml:space="preserve"> </w:t>
      </w:r>
    </w:p>
    <w:p w14:paraId="7879289A"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5B179135" w14:textId="77777777" w:rsidR="00521DE0" w:rsidRPr="005D36B8" w:rsidRDefault="00521DE0" w:rsidP="00521DE0">
      <w:pPr>
        <w:snapToGrid w:val="0"/>
        <w:spacing w:after="0" w:line="480" w:lineRule="auto"/>
        <w:jc w:val="both"/>
        <w:rPr>
          <w:rFonts w:ascii="Times New Roman" w:hAnsi="Times New Roman" w:cs="Times New Roman"/>
          <w:b/>
          <w:bCs/>
          <w:sz w:val="24"/>
          <w:szCs w:val="24"/>
        </w:rPr>
      </w:pPr>
      <w:r w:rsidRPr="005D36B8">
        <w:rPr>
          <w:rFonts w:ascii="Times New Roman" w:hAnsi="Times New Roman" w:cs="Times New Roman"/>
          <w:b/>
          <w:bCs/>
          <w:sz w:val="24"/>
          <w:szCs w:val="24"/>
        </w:rPr>
        <w:t>[Insert Figure 1 about here]</w:t>
      </w:r>
    </w:p>
    <w:p w14:paraId="322A826F"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23DAB08C" w14:textId="6B136EE8" w:rsidR="00521DE0" w:rsidRPr="005D36B8" w:rsidRDefault="00521DE0" w:rsidP="00521DE0">
      <w:pPr>
        <w:snapToGrid w:val="0"/>
        <w:spacing w:after="0" w:line="480" w:lineRule="auto"/>
        <w:jc w:val="both"/>
        <w:rPr>
          <w:rFonts w:ascii="Times New Roman" w:hAnsi="Times New Roman" w:cs="Times New Roman"/>
          <w:b/>
          <w:bCs/>
          <w:sz w:val="24"/>
          <w:szCs w:val="24"/>
        </w:rPr>
      </w:pPr>
      <w:r w:rsidRPr="005D36B8">
        <w:rPr>
          <w:rFonts w:ascii="Times New Roman" w:hAnsi="Times New Roman" w:cs="Times New Roman"/>
          <w:sz w:val="24"/>
          <w:szCs w:val="24"/>
        </w:rPr>
        <w:t xml:space="preserve">We find that </w:t>
      </w:r>
      <w:bookmarkStart w:id="19" w:name="_Hlk25834058"/>
      <w:r w:rsidRPr="005D36B8">
        <w:rPr>
          <w:rFonts w:ascii="Times New Roman" w:hAnsi="Times New Roman" w:cs="Times New Roman"/>
          <w:sz w:val="24"/>
          <w:szCs w:val="24"/>
        </w:rPr>
        <w:t>an oil supply (production) shock has a persistent and positive effect on economic uncertainty.</w:t>
      </w:r>
      <w:bookmarkEnd w:id="19"/>
      <w:r w:rsidRPr="005D36B8">
        <w:rPr>
          <w:rFonts w:ascii="Times New Roman" w:hAnsi="Times New Roman" w:cs="Times New Roman"/>
          <w:sz w:val="24"/>
          <w:szCs w:val="24"/>
        </w:rPr>
        <w:t xml:space="preserve"> Our results show that a </w:t>
      </w:r>
      <w:r w:rsidR="00E32104">
        <w:rPr>
          <w:rFonts w:ascii="Times New Roman" w:hAnsi="Times New Roman" w:cs="Times New Roman"/>
          <w:sz w:val="24"/>
          <w:szCs w:val="24"/>
        </w:rPr>
        <w:t xml:space="preserve">1-unit </w:t>
      </w:r>
      <w:r w:rsidRPr="005D36B8">
        <w:rPr>
          <w:rFonts w:ascii="Times New Roman" w:hAnsi="Times New Roman" w:cs="Times New Roman"/>
          <w:sz w:val="24"/>
          <w:szCs w:val="24"/>
        </w:rPr>
        <w:t xml:space="preserve">increase in supply shocks raises economic uncertainty by </w:t>
      </w:r>
      <w:r>
        <w:rPr>
          <w:rFonts w:ascii="Times New Roman" w:hAnsi="Times New Roman" w:cs="Times New Roman"/>
          <w:sz w:val="24"/>
          <w:szCs w:val="24"/>
        </w:rPr>
        <w:t>0.001</w:t>
      </w:r>
      <w:r w:rsidRPr="005D36B8">
        <w:rPr>
          <w:rFonts w:ascii="Times New Roman" w:hAnsi="Times New Roman" w:cs="Times New Roman"/>
          <w:sz w:val="24"/>
          <w:szCs w:val="24"/>
        </w:rPr>
        <w:t xml:space="preserve"> after 2</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months and by </w:t>
      </w:r>
      <w:r>
        <w:rPr>
          <w:rFonts w:ascii="Times New Roman" w:hAnsi="Times New Roman" w:cs="Times New Roman"/>
          <w:sz w:val="24"/>
          <w:szCs w:val="24"/>
        </w:rPr>
        <w:t>0.002</w:t>
      </w:r>
      <w:r w:rsidRPr="005D36B8">
        <w:rPr>
          <w:rFonts w:ascii="Times New Roman" w:hAnsi="Times New Roman" w:cs="Times New Roman"/>
          <w:sz w:val="24"/>
          <w:szCs w:val="24"/>
        </w:rPr>
        <w:t xml:space="preserve"> after 6 months. This finding </w:t>
      </w:r>
      <w:r>
        <w:rPr>
          <w:rFonts w:ascii="Times New Roman" w:hAnsi="Times New Roman" w:cs="Times New Roman"/>
          <w:sz w:val="24"/>
          <w:szCs w:val="24"/>
        </w:rPr>
        <w:t>aligns</w:t>
      </w:r>
      <w:r w:rsidRPr="005D36B8">
        <w:rPr>
          <w:rFonts w:ascii="Times New Roman" w:hAnsi="Times New Roman" w:cs="Times New Roman"/>
          <w:sz w:val="24"/>
          <w:szCs w:val="24"/>
        </w:rPr>
        <w:t xml:space="preserve"> with </w:t>
      </w:r>
      <w:r>
        <w:rPr>
          <w:rFonts w:ascii="Times New Roman" w:hAnsi="Times New Roman" w:cs="Times New Roman"/>
          <w:sz w:val="24"/>
          <w:szCs w:val="24"/>
        </w:rPr>
        <w:t xml:space="preserve">the work of </w:t>
      </w:r>
      <w:r w:rsidRPr="005D36B8">
        <w:rPr>
          <w:rFonts w:ascii="Times New Roman" w:hAnsi="Times New Roman" w:cs="Times New Roman"/>
          <w:sz w:val="24"/>
          <w:szCs w:val="24"/>
        </w:rPr>
        <w:t xml:space="preserve">Baumeister and Hamilton (2018), </w:t>
      </w:r>
      <w:r>
        <w:rPr>
          <w:rFonts w:ascii="Times New Roman" w:hAnsi="Times New Roman" w:cs="Times New Roman"/>
          <w:sz w:val="24"/>
          <w:szCs w:val="24"/>
        </w:rPr>
        <w:t>who indicate</w:t>
      </w:r>
      <w:r w:rsidRPr="005D36B8">
        <w:rPr>
          <w:rFonts w:ascii="Times New Roman" w:hAnsi="Times New Roman" w:cs="Times New Roman"/>
          <w:sz w:val="24"/>
          <w:szCs w:val="24"/>
        </w:rPr>
        <w:t xml:space="preserve"> that a positive shock </w:t>
      </w:r>
      <w:r>
        <w:rPr>
          <w:rFonts w:ascii="Times New Roman" w:hAnsi="Times New Roman" w:cs="Times New Roman"/>
          <w:sz w:val="24"/>
          <w:szCs w:val="24"/>
        </w:rPr>
        <w:t>to</w:t>
      </w:r>
      <w:r w:rsidRPr="005D36B8">
        <w:rPr>
          <w:rFonts w:ascii="Times New Roman" w:hAnsi="Times New Roman" w:cs="Times New Roman"/>
          <w:sz w:val="24"/>
          <w:szCs w:val="24"/>
        </w:rPr>
        <w:t xml:space="preserve"> oil supply depresses oil production, increases oil prices and leads to a decline in economic activity after a significant lag. An upward oil supply shock captures bad news about the economic outlook and triggers a rise in uncertainty, which exerts negative effects on the economy.</w:t>
      </w:r>
      <w:r w:rsidRPr="005D36B8">
        <w:rPr>
          <w:rFonts w:ascii="Times New Roman" w:hAnsi="Times New Roman" w:cs="Times New Roman"/>
          <w:b/>
          <w:bCs/>
          <w:sz w:val="24"/>
          <w:szCs w:val="24"/>
        </w:rPr>
        <w:t xml:space="preserve"> </w:t>
      </w:r>
      <w:r w:rsidRPr="005D36B8">
        <w:rPr>
          <w:rFonts w:ascii="Times New Roman" w:hAnsi="Times New Roman" w:cs="Times New Roman"/>
          <w:sz w:val="24"/>
          <w:szCs w:val="24"/>
        </w:rPr>
        <w:t xml:space="preserve">Our results are consistent with </w:t>
      </w:r>
      <w:r>
        <w:rPr>
          <w:rFonts w:ascii="Times New Roman" w:hAnsi="Times New Roman" w:cs="Times New Roman"/>
          <w:sz w:val="24"/>
          <w:szCs w:val="24"/>
        </w:rPr>
        <w:t xml:space="preserve">those of </w:t>
      </w:r>
      <w:r w:rsidRPr="005D36B8">
        <w:rPr>
          <w:rFonts w:ascii="Times New Roman" w:hAnsi="Times New Roman" w:cs="Times New Roman"/>
          <w:sz w:val="24"/>
          <w:szCs w:val="24"/>
        </w:rPr>
        <w:t xml:space="preserve">Kang et al. (2017) and </w:t>
      </w:r>
      <w:proofErr w:type="spellStart"/>
      <w:r w:rsidRPr="005D36B8">
        <w:rPr>
          <w:rFonts w:ascii="Times New Roman" w:hAnsi="Times New Roman" w:cs="Times New Roman"/>
          <w:sz w:val="24"/>
          <w:szCs w:val="24"/>
        </w:rPr>
        <w:t>Su</w:t>
      </w:r>
      <w:proofErr w:type="spellEnd"/>
      <w:r w:rsidRPr="005D36B8">
        <w:rPr>
          <w:rFonts w:ascii="Times New Roman" w:hAnsi="Times New Roman" w:cs="Times New Roman"/>
          <w:sz w:val="24"/>
          <w:szCs w:val="24"/>
        </w:rPr>
        <w:t xml:space="preserve"> et al. (2018)</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who </w:t>
      </w:r>
      <w:r>
        <w:rPr>
          <w:rFonts w:ascii="Times New Roman" w:hAnsi="Times New Roman" w:cs="Times New Roman"/>
          <w:sz w:val="24"/>
          <w:szCs w:val="24"/>
        </w:rPr>
        <w:t xml:space="preserve">present </w:t>
      </w:r>
      <w:r w:rsidRPr="005D36B8">
        <w:rPr>
          <w:rFonts w:ascii="Times New Roman" w:hAnsi="Times New Roman" w:cs="Times New Roman"/>
          <w:sz w:val="24"/>
          <w:szCs w:val="24"/>
        </w:rPr>
        <w:t>new evidence that uncertainty rises with positive oil supply shocks.</w:t>
      </w:r>
      <w:r w:rsidRPr="005D36B8">
        <w:rPr>
          <w:rStyle w:val="FootnoteReference"/>
          <w:rFonts w:ascii="Times New Roman" w:hAnsi="Times New Roman" w:cs="Times New Roman"/>
          <w:sz w:val="24"/>
          <w:szCs w:val="24"/>
        </w:rPr>
        <w:footnoteReference w:id="7"/>
      </w:r>
    </w:p>
    <w:p w14:paraId="17B3A4A2"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61BF900D" w14:textId="752C9D51"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lastRenderedPageBreak/>
        <w:t xml:space="preserve">Our results reveal that economic uncertainty </w:t>
      </w:r>
      <w:r>
        <w:rPr>
          <w:rFonts w:ascii="Times New Roman" w:hAnsi="Times New Roman" w:cs="Times New Roman"/>
          <w:sz w:val="24"/>
          <w:szCs w:val="24"/>
        </w:rPr>
        <w:t xml:space="preserve">substantially </w:t>
      </w:r>
      <w:r w:rsidRPr="005D36B8">
        <w:rPr>
          <w:rFonts w:ascii="Times New Roman" w:hAnsi="Times New Roman" w:cs="Times New Roman"/>
          <w:sz w:val="24"/>
          <w:szCs w:val="24"/>
        </w:rPr>
        <w:t xml:space="preserve">declines in response to positive aggregate demand shocks that are driven by fluctuations in </w:t>
      </w:r>
      <w:r>
        <w:rPr>
          <w:rFonts w:ascii="Times New Roman" w:hAnsi="Times New Roman" w:cs="Times New Roman"/>
          <w:sz w:val="24"/>
          <w:szCs w:val="24"/>
        </w:rPr>
        <w:t>global</w:t>
      </w:r>
      <w:r w:rsidRPr="005D36B8">
        <w:rPr>
          <w:rFonts w:ascii="Times New Roman" w:hAnsi="Times New Roman" w:cs="Times New Roman"/>
          <w:sz w:val="24"/>
          <w:szCs w:val="24"/>
        </w:rPr>
        <w:t xml:space="preserve"> business cycles (i.e. higher economic activity shocks). An economic activity shock has a persistent and profound negative effect on economic uncertainty</w:t>
      </w:r>
      <w:r>
        <w:rPr>
          <w:rFonts w:ascii="Times New Roman" w:hAnsi="Times New Roman" w:cs="Times New Roman"/>
          <w:sz w:val="24"/>
          <w:szCs w:val="24"/>
        </w:rPr>
        <w:t>,</w:t>
      </w:r>
      <w:r w:rsidRPr="005D36B8">
        <w:rPr>
          <w:rFonts w:ascii="Times New Roman" w:hAnsi="Times New Roman" w:cs="Times New Roman"/>
          <w:sz w:val="24"/>
          <w:szCs w:val="24"/>
        </w:rPr>
        <w:t xml:space="preserve"> and its largest impact is expected to occur with a delay of 12 months. Our results show that a </w:t>
      </w:r>
      <w:r w:rsidR="00E32104">
        <w:rPr>
          <w:rFonts w:ascii="Times New Roman" w:hAnsi="Times New Roman" w:cs="Times New Roman"/>
          <w:sz w:val="24"/>
          <w:szCs w:val="24"/>
        </w:rPr>
        <w:t>1-unit</w:t>
      </w:r>
      <w:r w:rsidRPr="005D36B8">
        <w:rPr>
          <w:rFonts w:ascii="Times New Roman" w:hAnsi="Times New Roman" w:cs="Times New Roman"/>
          <w:sz w:val="24"/>
          <w:szCs w:val="24"/>
        </w:rPr>
        <w:t xml:space="preserve"> increase in the economic activity shock is associated with a </w:t>
      </w:r>
      <w:r>
        <w:rPr>
          <w:rFonts w:ascii="Times New Roman" w:hAnsi="Times New Roman" w:cs="Times New Roman"/>
          <w:sz w:val="24"/>
          <w:szCs w:val="24"/>
        </w:rPr>
        <w:t>decrease</w:t>
      </w:r>
      <w:r w:rsidRPr="005D36B8">
        <w:rPr>
          <w:rFonts w:ascii="Times New Roman" w:hAnsi="Times New Roman" w:cs="Times New Roman"/>
          <w:sz w:val="24"/>
          <w:szCs w:val="24"/>
        </w:rPr>
        <w:t xml:space="preserve"> in economic uncertainty of about </w:t>
      </w:r>
      <w:r>
        <w:rPr>
          <w:rFonts w:ascii="Times New Roman" w:hAnsi="Times New Roman" w:cs="Times New Roman"/>
          <w:sz w:val="24"/>
          <w:szCs w:val="24"/>
        </w:rPr>
        <w:t>0.005</w:t>
      </w:r>
      <w:r w:rsidRPr="005D36B8">
        <w:rPr>
          <w:rFonts w:ascii="Times New Roman" w:hAnsi="Times New Roman" w:cs="Times New Roman"/>
          <w:sz w:val="24"/>
          <w:szCs w:val="24"/>
        </w:rPr>
        <w:t xml:space="preserve"> after </w:t>
      </w:r>
      <w:r>
        <w:rPr>
          <w:rFonts w:ascii="Times New Roman" w:hAnsi="Times New Roman" w:cs="Times New Roman"/>
          <w:sz w:val="24"/>
          <w:szCs w:val="24"/>
        </w:rPr>
        <w:t>six</w:t>
      </w:r>
      <w:r w:rsidRPr="005D36B8">
        <w:rPr>
          <w:rFonts w:ascii="Times New Roman" w:hAnsi="Times New Roman" w:cs="Times New Roman"/>
          <w:sz w:val="24"/>
          <w:szCs w:val="24"/>
        </w:rPr>
        <w:t xml:space="preserve"> months. Th</w:t>
      </w:r>
      <w:r>
        <w:rPr>
          <w:rFonts w:ascii="Times New Roman" w:hAnsi="Times New Roman" w:cs="Times New Roman"/>
          <w:sz w:val="24"/>
          <w:szCs w:val="24"/>
        </w:rPr>
        <w:t>e</w:t>
      </w:r>
      <w:r w:rsidRPr="005D36B8">
        <w:rPr>
          <w:rFonts w:ascii="Times New Roman" w:hAnsi="Times New Roman" w:cs="Times New Roman"/>
          <w:sz w:val="24"/>
          <w:szCs w:val="24"/>
        </w:rPr>
        <w:t xml:space="preserve"> negative impact of economic activity shock on economic uncertainty can be explained by the surge in global aggregate demand</w:t>
      </w:r>
      <w:r>
        <w:rPr>
          <w:rFonts w:ascii="Times New Roman" w:hAnsi="Times New Roman" w:cs="Times New Roman"/>
          <w:sz w:val="24"/>
          <w:szCs w:val="24"/>
        </w:rPr>
        <w:t xml:space="preserve">, which </w:t>
      </w:r>
      <w:r w:rsidRPr="005D36B8">
        <w:rPr>
          <w:rFonts w:ascii="Times New Roman" w:hAnsi="Times New Roman" w:cs="Times New Roman"/>
          <w:sz w:val="24"/>
          <w:szCs w:val="24"/>
        </w:rPr>
        <w:t xml:space="preserve">creates a positive outlook for the economy and tends to reduce economic uncertainty. Our finding </w:t>
      </w:r>
      <w:r>
        <w:rPr>
          <w:rFonts w:ascii="Times New Roman" w:hAnsi="Times New Roman" w:cs="Times New Roman"/>
          <w:sz w:val="24"/>
          <w:szCs w:val="24"/>
        </w:rPr>
        <w:t>aligns</w:t>
      </w:r>
      <w:r w:rsidRPr="005D36B8">
        <w:rPr>
          <w:rFonts w:ascii="Times New Roman" w:hAnsi="Times New Roman" w:cs="Times New Roman"/>
          <w:sz w:val="24"/>
          <w:szCs w:val="24"/>
        </w:rPr>
        <w:t xml:space="preserve"> with existing literature that documents </w:t>
      </w:r>
      <w:r>
        <w:rPr>
          <w:rFonts w:ascii="Times New Roman" w:hAnsi="Times New Roman" w:cs="Times New Roman"/>
          <w:sz w:val="24"/>
          <w:szCs w:val="24"/>
        </w:rPr>
        <w:t xml:space="preserve">the </w:t>
      </w:r>
      <w:r w:rsidRPr="005D36B8">
        <w:rPr>
          <w:rFonts w:ascii="Times New Roman" w:hAnsi="Times New Roman" w:cs="Times New Roman"/>
          <w:sz w:val="24"/>
          <w:szCs w:val="24"/>
        </w:rPr>
        <w:t>negative responses of uncertainty to aggregate demand shocks (e.g.</w:t>
      </w:r>
      <w:r>
        <w:rPr>
          <w:rFonts w:ascii="Times New Roman" w:hAnsi="Times New Roman" w:cs="Times New Roman"/>
          <w:sz w:val="24"/>
          <w:szCs w:val="24"/>
        </w:rPr>
        <w:t xml:space="preserve"> </w:t>
      </w:r>
      <w:proofErr w:type="spellStart"/>
      <w:r w:rsidRPr="005D36B8">
        <w:rPr>
          <w:rFonts w:ascii="Times New Roman" w:hAnsi="Times New Roman" w:cs="Times New Roman"/>
          <w:sz w:val="24"/>
          <w:szCs w:val="24"/>
        </w:rPr>
        <w:t>Antonakakis</w:t>
      </w:r>
      <w:proofErr w:type="spellEnd"/>
      <w:r w:rsidRPr="005D36B8">
        <w:rPr>
          <w:rFonts w:ascii="Times New Roman" w:hAnsi="Times New Roman" w:cs="Times New Roman"/>
          <w:sz w:val="24"/>
          <w:szCs w:val="24"/>
        </w:rPr>
        <w:t xml:space="preserve"> et al., 2014;</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Kang and </w:t>
      </w:r>
      <w:proofErr w:type="spellStart"/>
      <w:r w:rsidRPr="005D36B8">
        <w:rPr>
          <w:rFonts w:ascii="Times New Roman" w:hAnsi="Times New Roman" w:cs="Times New Roman"/>
          <w:sz w:val="24"/>
          <w:szCs w:val="24"/>
        </w:rPr>
        <w:t>Ratti</w:t>
      </w:r>
      <w:proofErr w:type="spellEnd"/>
      <w:r w:rsidRPr="005D36B8">
        <w:rPr>
          <w:rFonts w:ascii="Times New Roman" w:hAnsi="Times New Roman" w:cs="Times New Roman"/>
          <w:sz w:val="24"/>
          <w:szCs w:val="24"/>
        </w:rPr>
        <w:t>, 2013a</w:t>
      </w:r>
      <w:r>
        <w:rPr>
          <w:rFonts w:ascii="Times New Roman" w:hAnsi="Times New Roman" w:cs="Times New Roman"/>
          <w:sz w:val="24"/>
          <w:szCs w:val="24"/>
        </w:rPr>
        <w:t>,</w:t>
      </w:r>
      <w:r w:rsidRPr="005D36B8">
        <w:rPr>
          <w:rFonts w:ascii="Times New Roman" w:hAnsi="Times New Roman" w:cs="Times New Roman"/>
          <w:sz w:val="24"/>
          <w:szCs w:val="24"/>
        </w:rPr>
        <w:t xml:space="preserve"> 2013b</w:t>
      </w:r>
      <w:r>
        <w:rPr>
          <w:rFonts w:ascii="Times New Roman" w:hAnsi="Times New Roman" w:cs="Times New Roman"/>
          <w:sz w:val="24"/>
          <w:szCs w:val="24"/>
        </w:rPr>
        <w:t>,</w:t>
      </w:r>
      <w:r w:rsidRPr="005D36B8">
        <w:rPr>
          <w:rFonts w:ascii="Times New Roman" w:hAnsi="Times New Roman" w:cs="Times New Roman"/>
          <w:sz w:val="24"/>
          <w:szCs w:val="24"/>
        </w:rPr>
        <w:t xml:space="preserve"> 2015; Kang et al.</w:t>
      </w:r>
      <w:r>
        <w:rPr>
          <w:rFonts w:ascii="Times New Roman" w:hAnsi="Times New Roman" w:cs="Times New Roman"/>
          <w:sz w:val="24"/>
          <w:szCs w:val="24"/>
        </w:rPr>
        <w:t>,</w:t>
      </w:r>
      <w:r w:rsidRPr="005D36B8">
        <w:rPr>
          <w:rFonts w:ascii="Times New Roman" w:hAnsi="Times New Roman" w:cs="Times New Roman"/>
          <w:sz w:val="24"/>
          <w:szCs w:val="24"/>
        </w:rPr>
        <w:t xml:space="preserve"> 2017).</w:t>
      </w:r>
    </w:p>
    <w:p w14:paraId="0D061B37"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E4ED450" w14:textId="1DDFF403"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We find that oil-market</w:t>
      </w:r>
      <w:r>
        <w:rPr>
          <w:rFonts w:ascii="Times New Roman" w:hAnsi="Times New Roman" w:cs="Times New Roman"/>
          <w:sz w:val="24"/>
          <w:szCs w:val="24"/>
        </w:rPr>
        <w:t>-</w:t>
      </w:r>
      <w:r w:rsidRPr="005D36B8">
        <w:rPr>
          <w:rFonts w:ascii="Times New Roman" w:hAnsi="Times New Roman" w:cs="Times New Roman"/>
          <w:sz w:val="24"/>
          <w:szCs w:val="24"/>
        </w:rPr>
        <w:t>specific demand (</w:t>
      </w:r>
      <w:r>
        <w:rPr>
          <w:rFonts w:ascii="Times New Roman" w:hAnsi="Times New Roman" w:cs="Times New Roman"/>
          <w:sz w:val="24"/>
          <w:szCs w:val="24"/>
        </w:rPr>
        <w:t xml:space="preserve">i.e. </w:t>
      </w:r>
      <w:r w:rsidRPr="005D36B8">
        <w:rPr>
          <w:rFonts w:ascii="Times New Roman" w:hAnsi="Times New Roman" w:cs="Times New Roman"/>
          <w:sz w:val="24"/>
          <w:szCs w:val="24"/>
        </w:rPr>
        <w:t>consumption) shocks play an important role in macroeconomic uncertainty in the medium</w:t>
      </w:r>
      <w:r>
        <w:rPr>
          <w:rFonts w:ascii="Times New Roman" w:hAnsi="Times New Roman" w:cs="Times New Roman"/>
          <w:sz w:val="24"/>
          <w:szCs w:val="24"/>
        </w:rPr>
        <w:t>-</w:t>
      </w:r>
      <w:r w:rsidRPr="005D36B8">
        <w:rPr>
          <w:rFonts w:ascii="Times New Roman" w:hAnsi="Times New Roman" w:cs="Times New Roman"/>
          <w:sz w:val="24"/>
          <w:szCs w:val="24"/>
        </w:rPr>
        <w:t xml:space="preserve"> to long</w:t>
      </w:r>
      <w:r>
        <w:rPr>
          <w:rFonts w:ascii="Times New Roman" w:hAnsi="Times New Roman" w:cs="Times New Roman"/>
          <w:sz w:val="24"/>
          <w:szCs w:val="24"/>
        </w:rPr>
        <w:t>-</w:t>
      </w:r>
      <w:r w:rsidRPr="005D36B8">
        <w:rPr>
          <w:rFonts w:ascii="Times New Roman" w:hAnsi="Times New Roman" w:cs="Times New Roman"/>
          <w:sz w:val="24"/>
          <w:szCs w:val="24"/>
        </w:rPr>
        <w:t xml:space="preserve">term. Our results show that, </w:t>
      </w:r>
      <w:r w:rsidRPr="005D36B8">
        <w:rPr>
          <w:rFonts w:ascii="Times New Roman" w:hAnsi="Times New Roman" w:cs="Times New Roman"/>
          <w:color w:val="000000" w:themeColor="text1"/>
          <w:sz w:val="24"/>
          <w:szCs w:val="24"/>
        </w:rPr>
        <w:t xml:space="preserve">with a delay of at least </w:t>
      </w:r>
      <w:r>
        <w:rPr>
          <w:rFonts w:ascii="Times New Roman" w:hAnsi="Times New Roman" w:cs="Times New Roman"/>
          <w:color w:val="000000" w:themeColor="text1"/>
          <w:sz w:val="24"/>
          <w:szCs w:val="24"/>
        </w:rPr>
        <w:t>5</w:t>
      </w:r>
      <w:r w:rsidRPr="005D36B8">
        <w:rPr>
          <w:rFonts w:ascii="Times New Roman" w:hAnsi="Times New Roman" w:cs="Times New Roman"/>
          <w:color w:val="000000" w:themeColor="text1"/>
          <w:sz w:val="24"/>
          <w:szCs w:val="24"/>
        </w:rPr>
        <w:t xml:space="preserve"> months, a positive shock to consumption demand leads to statistically significant reductions in economic uncertainty</w:t>
      </w:r>
      <w:r w:rsidRPr="005D36B8">
        <w:rPr>
          <w:rFonts w:ascii="Times New Roman" w:hAnsi="Times New Roman" w:cs="Times New Roman"/>
          <w:sz w:val="24"/>
          <w:szCs w:val="24"/>
        </w:rPr>
        <w:t xml:space="preserve">. This finding contributes to the mixed results of </w:t>
      </w:r>
      <w:r w:rsidR="00E903DB">
        <w:rPr>
          <w:rFonts w:ascii="Times New Roman" w:hAnsi="Times New Roman" w:cs="Times New Roman"/>
          <w:sz w:val="24"/>
          <w:szCs w:val="24"/>
        </w:rPr>
        <w:t xml:space="preserve">the </w:t>
      </w:r>
      <w:r w:rsidRPr="005D36B8">
        <w:rPr>
          <w:rFonts w:ascii="Times New Roman" w:hAnsi="Times New Roman" w:cs="Times New Roman"/>
          <w:sz w:val="24"/>
          <w:szCs w:val="24"/>
        </w:rPr>
        <w:t xml:space="preserve">existing literature. For example, </w:t>
      </w:r>
      <w:bookmarkStart w:id="20" w:name="_Hlk34750312"/>
      <w:r w:rsidRPr="005D36B8">
        <w:rPr>
          <w:rFonts w:ascii="Times New Roman" w:hAnsi="Times New Roman" w:cs="Times New Roman"/>
          <w:sz w:val="24"/>
          <w:szCs w:val="24"/>
        </w:rPr>
        <w:t xml:space="preserve">Kang and </w:t>
      </w:r>
      <w:proofErr w:type="spellStart"/>
      <w:r w:rsidRPr="005D36B8">
        <w:rPr>
          <w:rFonts w:ascii="Times New Roman" w:hAnsi="Times New Roman" w:cs="Times New Roman"/>
          <w:sz w:val="24"/>
          <w:szCs w:val="24"/>
        </w:rPr>
        <w:t>Ratti</w:t>
      </w:r>
      <w:proofErr w:type="spellEnd"/>
      <w:r w:rsidRPr="005D36B8">
        <w:rPr>
          <w:rFonts w:ascii="Times New Roman" w:hAnsi="Times New Roman" w:cs="Times New Roman"/>
          <w:sz w:val="24"/>
          <w:szCs w:val="24"/>
        </w:rPr>
        <w:t xml:space="preserve"> (2003a</w:t>
      </w:r>
      <w:r>
        <w:rPr>
          <w:rFonts w:ascii="Times New Roman" w:hAnsi="Times New Roman" w:cs="Times New Roman"/>
          <w:sz w:val="24"/>
          <w:szCs w:val="24"/>
        </w:rPr>
        <w:t>,</w:t>
      </w:r>
      <w:r w:rsidRPr="005D36B8">
        <w:rPr>
          <w:rFonts w:ascii="Times New Roman" w:hAnsi="Times New Roman" w:cs="Times New Roman"/>
          <w:sz w:val="24"/>
          <w:szCs w:val="24"/>
        </w:rPr>
        <w:t xml:space="preserve"> 2003b</w:t>
      </w:r>
      <w:r>
        <w:rPr>
          <w:rFonts w:ascii="Times New Roman" w:hAnsi="Times New Roman" w:cs="Times New Roman"/>
          <w:sz w:val="24"/>
          <w:szCs w:val="24"/>
        </w:rPr>
        <w:t>,</w:t>
      </w:r>
      <w:r w:rsidRPr="005D36B8">
        <w:rPr>
          <w:rFonts w:ascii="Times New Roman" w:hAnsi="Times New Roman" w:cs="Times New Roman"/>
          <w:sz w:val="24"/>
          <w:szCs w:val="24"/>
        </w:rPr>
        <w:t xml:space="preserve"> 2015) and Kang et al. (2017) report positive responses of uncertainty to oil-market</w:t>
      </w:r>
      <w:r>
        <w:rPr>
          <w:rFonts w:ascii="Times New Roman" w:hAnsi="Times New Roman" w:cs="Times New Roman"/>
          <w:sz w:val="24"/>
          <w:szCs w:val="24"/>
        </w:rPr>
        <w:t>-</w:t>
      </w:r>
      <w:r w:rsidRPr="005D36B8">
        <w:rPr>
          <w:rFonts w:ascii="Times New Roman" w:hAnsi="Times New Roman" w:cs="Times New Roman"/>
          <w:sz w:val="24"/>
          <w:szCs w:val="24"/>
        </w:rPr>
        <w:t>specific demand shocks</w:t>
      </w:r>
      <w:bookmarkEnd w:id="20"/>
      <w:r w:rsidRPr="005D36B8">
        <w:rPr>
          <w:rFonts w:ascii="Times New Roman" w:hAnsi="Times New Roman" w:cs="Times New Roman"/>
          <w:sz w:val="24"/>
          <w:szCs w:val="24"/>
        </w:rPr>
        <w:t xml:space="preserve">. In contrast, </w:t>
      </w:r>
      <w:proofErr w:type="spellStart"/>
      <w:r w:rsidRPr="005D36B8">
        <w:rPr>
          <w:rFonts w:ascii="Times New Roman" w:hAnsi="Times New Roman" w:cs="Times New Roman"/>
          <w:sz w:val="24"/>
          <w:szCs w:val="24"/>
        </w:rPr>
        <w:t>Antonakakis</w:t>
      </w:r>
      <w:proofErr w:type="spellEnd"/>
      <w:r w:rsidRPr="005D36B8">
        <w:rPr>
          <w:rFonts w:ascii="Times New Roman" w:hAnsi="Times New Roman" w:cs="Times New Roman"/>
          <w:sz w:val="24"/>
          <w:szCs w:val="24"/>
        </w:rPr>
        <w:t xml:space="preserve"> et al. (2014) conclude that </w:t>
      </w:r>
      <w:r w:rsidRPr="005D36B8">
        <w:rPr>
          <w:rFonts w:ascii="Times New Roman" w:hAnsi="Times New Roman" w:cs="Times New Roman"/>
          <w:color w:val="000000" w:themeColor="text1"/>
          <w:sz w:val="24"/>
          <w:szCs w:val="24"/>
        </w:rPr>
        <w:t xml:space="preserve">consumption demand shocks </w:t>
      </w:r>
      <w:r w:rsidRPr="005D36B8">
        <w:rPr>
          <w:rFonts w:ascii="Times New Roman" w:hAnsi="Times New Roman" w:cs="Times New Roman"/>
          <w:sz w:val="24"/>
          <w:szCs w:val="24"/>
        </w:rPr>
        <w:t>do not seem to trigger significant responses of uncertainty</w:t>
      </w:r>
      <w:r>
        <w:rPr>
          <w:rFonts w:ascii="Times New Roman" w:hAnsi="Times New Roman" w:cs="Times New Roman"/>
          <w:sz w:val="24"/>
          <w:szCs w:val="24"/>
        </w:rPr>
        <w:t>.</w:t>
      </w:r>
      <w:r w:rsidRPr="005D36B8">
        <w:rPr>
          <w:rStyle w:val="FootnoteReference"/>
          <w:rFonts w:ascii="Times New Roman" w:hAnsi="Times New Roman" w:cs="Times New Roman"/>
          <w:sz w:val="24"/>
          <w:szCs w:val="24"/>
        </w:rPr>
        <w:footnoteReference w:id="8"/>
      </w:r>
      <w:r w:rsidRPr="005D36B8">
        <w:rPr>
          <w:rFonts w:ascii="Times New Roman" w:hAnsi="Times New Roman" w:cs="Times New Roman"/>
          <w:sz w:val="24"/>
          <w:szCs w:val="24"/>
        </w:rPr>
        <w:t xml:space="preserve"> </w:t>
      </w:r>
      <w:r w:rsidRPr="005D36B8">
        <w:rPr>
          <w:rFonts w:ascii="Times New Roman" w:hAnsi="Times New Roman" w:cs="Times New Roman"/>
          <w:color w:val="000000" w:themeColor="text1"/>
          <w:sz w:val="24"/>
          <w:szCs w:val="24"/>
        </w:rPr>
        <w:t>Our results may appear counterintuitive and contradictory to</w:t>
      </w:r>
      <w:r>
        <w:rPr>
          <w:rFonts w:ascii="Times New Roman" w:hAnsi="Times New Roman" w:cs="Times New Roman"/>
          <w:color w:val="000000" w:themeColor="text1"/>
          <w:sz w:val="24"/>
          <w:szCs w:val="24"/>
        </w:rPr>
        <w:t xml:space="preserve"> the work of</w:t>
      </w:r>
      <w:r w:rsidRPr="005D36B8">
        <w:rPr>
          <w:rFonts w:ascii="Times New Roman" w:hAnsi="Times New Roman" w:cs="Times New Roman"/>
          <w:color w:val="000000" w:themeColor="text1"/>
          <w:sz w:val="24"/>
          <w:szCs w:val="24"/>
        </w:rPr>
        <w:t xml:space="preserve"> Baumeister and </w:t>
      </w:r>
      <w:proofErr w:type="spellStart"/>
      <w:r w:rsidRPr="005D36B8">
        <w:rPr>
          <w:rFonts w:ascii="Times New Roman" w:hAnsi="Times New Roman" w:cs="Times New Roman"/>
          <w:color w:val="000000" w:themeColor="text1"/>
          <w:sz w:val="24"/>
          <w:szCs w:val="24"/>
        </w:rPr>
        <w:t>Peersman</w:t>
      </w:r>
      <w:proofErr w:type="spellEnd"/>
      <w:r w:rsidRPr="005D36B8">
        <w:rPr>
          <w:rFonts w:ascii="Times New Roman" w:hAnsi="Times New Roman" w:cs="Times New Roman"/>
          <w:color w:val="000000" w:themeColor="text1"/>
          <w:sz w:val="24"/>
          <w:szCs w:val="24"/>
        </w:rPr>
        <w:t xml:space="preserve"> (2013) and Kilian and Murphy (2012), who suggest that a positive oil</w:t>
      </w:r>
      <w:r>
        <w:rPr>
          <w:rFonts w:ascii="Times New Roman" w:hAnsi="Times New Roman" w:cs="Times New Roman"/>
          <w:color w:val="000000" w:themeColor="text1"/>
          <w:sz w:val="24"/>
          <w:szCs w:val="24"/>
        </w:rPr>
        <w:t>-</w:t>
      </w:r>
      <w:r w:rsidRPr="005D36B8">
        <w:rPr>
          <w:rFonts w:ascii="Times New Roman" w:hAnsi="Times New Roman" w:cs="Times New Roman"/>
          <w:color w:val="000000" w:themeColor="text1"/>
          <w:sz w:val="24"/>
          <w:szCs w:val="24"/>
        </w:rPr>
        <w:t xml:space="preserve">specific demand shock leads to higher oil prices, higher oil production and lower macroeconomic economic activity. However, Kilian (2009) points out that the sharp rise </w:t>
      </w:r>
      <w:r w:rsidRPr="005D36B8">
        <w:rPr>
          <w:rFonts w:ascii="Times New Roman" w:hAnsi="Times New Roman" w:cs="Times New Roman"/>
          <w:color w:val="000000" w:themeColor="text1"/>
          <w:sz w:val="24"/>
          <w:szCs w:val="24"/>
        </w:rPr>
        <w:lastRenderedPageBreak/>
        <w:t xml:space="preserve">in oil prices since 2003 failed to cause a major recession in the US </w:t>
      </w:r>
      <w:r>
        <w:rPr>
          <w:rFonts w:ascii="Times New Roman" w:hAnsi="Times New Roman" w:cs="Times New Roman"/>
          <w:color w:val="000000" w:themeColor="text1"/>
          <w:sz w:val="24"/>
          <w:szCs w:val="24"/>
        </w:rPr>
        <w:t>since</w:t>
      </w:r>
      <w:r w:rsidRPr="005D36B8">
        <w:rPr>
          <w:rFonts w:ascii="Times New Roman" w:hAnsi="Times New Roman" w:cs="Times New Roman"/>
          <w:color w:val="000000" w:themeColor="text1"/>
          <w:sz w:val="24"/>
          <w:szCs w:val="24"/>
        </w:rPr>
        <w:t xml:space="preserve"> it was driven by strong demand shocks fuelled by a booming </w:t>
      </w:r>
      <w:r>
        <w:rPr>
          <w:rFonts w:ascii="Times New Roman" w:hAnsi="Times New Roman" w:cs="Times New Roman"/>
          <w:color w:val="000000" w:themeColor="text1"/>
          <w:sz w:val="24"/>
          <w:szCs w:val="24"/>
        </w:rPr>
        <w:t>global</w:t>
      </w:r>
      <w:r w:rsidRPr="005D36B8">
        <w:rPr>
          <w:rFonts w:ascii="Times New Roman" w:hAnsi="Times New Roman" w:cs="Times New Roman"/>
          <w:color w:val="000000" w:themeColor="text1"/>
          <w:sz w:val="24"/>
          <w:szCs w:val="24"/>
        </w:rPr>
        <w:t xml:space="preserve"> economy. In other words, a positive oil demand shock can </w:t>
      </w:r>
      <w:r>
        <w:rPr>
          <w:rFonts w:ascii="Times New Roman" w:hAnsi="Times New Roman" w:cs="Times New Roman"/>
          <w:color w:val="000000" w:themeColor="text1"/>
          <w:sz w:val="24"/>
          <w:szCs w:val="24"/>
        </w:rPr>
        <w:t xml:space="preserve">be </w:t>
      </w:r>
      <w:r w:rsidRPr="005D36B8">
        <w:rPr>
          <w:rFonts w:ascii="Times New Roman" w:hAnsi="Times New Roman" w:cs="Times New Roman"/>
          <w:color w:val="000000" w:themeColor="text1"/>
          <w:sz w:val="24"/>
          <w:szCs w:val="24"/>
        </w:rPr>
        <w:t xml:space="preserve">associated with higher oil prices and </w:t>
      </w:r>
      <w:r>
        <w:rPr>
          <w:rFonts w:ascii="Times New Roman" w:hAnsi="Times New Roman" w:cs="Times New Roman"/>
          <w:color w:val="000000" w:themeColor="text1"/>
          <w:sz w:val="24"/>
          <w:szCs w:val="24"/>
        </w:rPr>
        <w:t>greater</w:t>
      </w:r>
      <w:r w:rsidRPr="005D36B8">
        <w:rPr>
          <w:rFonts w:ascii="Times New Roman" w:hAnsi="Times New Roman" w:cs="Times New Roman"/>
          <w:color w:val="000000" w:themeColor="text1"/>
          <w:sz w:val="24"/>
          <w:szCs w:val="24"/>
        </w:rPr>
        <w:t xml:space="preserve"> macroeconomic activity. Furthermore, as pointed out by Baumeister and Hamilton (2018), the negative response of economic activity </w:t>
      </w:r>
      <w:r>
        <w:rPr>
          <w:rFonts w:ascii="Times New Roman" w:hAnsi="Times New Roman" w:cs="Times New Roman"/>
          <w:color w:val="000000" w:themeColor="text1"/>
          <w:sz w:val="24"/>
          <w:szCs w:val="24"/>
        </w:rPr>
        <w:t>to</w:t>
      </w:r>
      <w:r w:rsidRPr="005D36B8">
        <w:rPr>
          <w:rFonts w:ascii="Times New Roman" w:hAnsi="Times New Roman" w:cs="Times New Roman"/>
          <w:color w:val="000000" w:themeColor="text1"/>
          <w:sz w:val="24"/>
          <w:szCs w:val="24"/>
        </w:rPr>
        <w:t xml:space="preserve"> a positive demand shock is </w:t>
      </w:r>
      <w:r>
        <w:rPr>
          <w:rFonts w:ascii="Times New Roman" w:hAnsi="Times New Roman" w:cs="Times New Roman"/>
          <w:color w:val="000000" w:themeColor="text1"/>
          <w:sz w:val="24"/>
          <w:szCs w:val="24"/>
        </w:rPr>
        <w:t>dependent</w:t>
      </w:r>
      <w:r w:rsidRPr="005D36B8">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the</w:t>
      </w:r>
      <w:r w:rsidRPr="005D36B8">
        <w:rPr>
          <w:rFonts w:ascii="Times New Roman" w:hAnsi="Times New Roman" w:cs="Times New Roman"/>
          <w:color w:val="000000" w:themeColor="text1"/>
          <w:sz w:val="24"/>
          <w:szCs w:val="24"/>
        </w:rPr>
        <w:t xml:space="preserve"> primitive assumption that the feedback effect of oil production </w:t>
      </w:r>
      <w:r>
        <w:rPr>
          <w:rFonts w:ascii="Times New Roman" w:hAnsi="Times New Roman" w:cs="Times New Roman"/>
          <w:color w:val="000000" w:themeColor="text1"/>
          <w:sz w:val="24"/>
          <w:szCs w:val="24"/>
        </w:rPr>
        <w:t>on</w:t>
      </w:r>
      <w:r w:rsidRPr="005D36B8">
        <w:rPr>
          <w:rFonts w:ascii="Times New Roman" w:hAnsi="Times New Roman" w:cs="Times New Roman"/>
          <w:color w:val="000000" w:themeColor="text1"/>
          <w:sz w:val="24"/>
          <w:szCs w:val="24"/>
        </w:rPr>
        <w:t xml:space="preserve"> economic activity is small. The response of economic activity to an oil</w:t>
      </w:r>
      <w:r>
        <w:rPr>
          <w:rFonts w:ascii="Times New Roman" w:hAnsi="Times New Roman" w:cs="Times New Roman"/>
          <w:color w:val="000000" w:themeColor="text1"/>
          <w:sz w:val="24"/>
          <w:szCs w:val="24"/>
        </w:rPr>
        <w:t>-</w:t>
      </w:r>
      <w:r w:rsidRPr="005D36B8">
        <w:rPr>
          <w:rFonts w:ascii="Times New Roman" w:hAnsi="Times New Roman" w:cs="Times New Roman"/>
          <w:color w:val="000000" w:themeColor="text1"/>
          <w:sz w:val="24"/>
          <w:szCs w:val="24"/>
        </w:rPr>
        <w:t xml:space="preserve">specific demand shock could be positive if oil production increases sufficiently in response to higher oil demand and the price elasticity of </w:t>
      </w:r>
      <w:r>
        <w:rPr>
          <w:rFonts w:ascii="Times New Roman" w:hAnsi="Times New Roman" w:cs="Times New Roman"/>
          <w:color w:val="000000" w:themeColor="text1"/>
          <w:sz w:val="24"/>
          <w:szCs w:val="24"/>
        </w:rPr>
        <w:t xml:space="preserve">the </w:t>
      </w:r>
      <w:r w:rsidRPr="005D36B8">
        <w:rPr>
          <w:rFonts w:ascii="Times New Roman" w:hAnsi="Times New Roman" w:cs="Times New Roman"/>
          <w:color w:val="000000" w:themeColor="text1"/>
          <w:sz w:val="24"/>
          <w:szCs w:val="24"/>
        </w:rPr>
        <w:t>oil supply is considerably large. A positive oil demand shock can be associated with higher oil production, lower oil prices and higher economic activity in the future.</w:t>
      </w:r>
      <w:r w:rsidRPr="005D36B8">
        <w:rPr>
          <w:rStyle w:val="FootnoteReference"/>
          <w:rFonts w:ascii="Times New Roman" w:hAnsi="Times New Roman" w:cs="Times New Roman"/>
          <w:color w:val="000000" w:themeColor="text1"/>
          <w:sz w:val="24"/>
          <w:szCs w:val="24"/>
        </w:rPr>
        <w:footnoteReference w:id="9"/>
      </w:r>
      <w:r w:rsidRPr="005D36B8">
        <w:rPr>
          <w:rFonts w:ascii="Times New Roman" w:hAnsi="Times New Roman" w:cs="Times New Roman"/>
          <w:sz w:val="24"/>
          <w:szCs w:val="24"/>
        </w:rPr>
        <w:t xml:space="preserve"> Our finding can be interpreted as empirical evidence implying that the feedback effect arising from the direct (delayed) response of oil production to economic activity can be strong, </w:t>
      </w:r>
      <w:r>
        <w:rPr>
          <w:rFonts w:ascii="Times New Roman" w:hAnsi="Times New Roman" w:cs="Times New Roman"/>
          <w:sz w:val="24"/>
          <w:szCs w:val="24"/>
        </w:rPr>
        <w:t xml:space="preserve">and </w:t>
      </w:r>
      <w:r w:rsidRPr="005D36B8">
        <w:rPr>
          <w:rFonts w:ascii="Times New Roman" w:hAnsi="Times New Roman" w:cs="Times New Roman"/>
          <w:sz w:val="24"/>
          <w:szCs w:val="24"/>
        </w:rPr>
        <w:t>thus a positive oil demand shock can lead to higher oil production, lower oil prices and higher economic activity in subsequent periods. This finding support</w:t>
      </w:r>
      <w:r>
        <w:rPr>
          <w:rFonts w:ascii="Times New Roman" w:hAnsi="Times New Roman" w:cs="Times New Roman"/>
          <w:sz w:val="24"/>
          <w:szCs w:val="24"/>
        </w:rPr>
        <w:t>s the work</w:t>
      </w:r>
      <w:r w:rsidRPr="005D36B8">
        <w:rPr>
          <w:rFonts w:ascii="Times New Roman" w:hAnsi="Times New Roman" w:cs="Times New Roman"/>
          <w:sz w:val="24"/>
          <w:szCs w:val="24"/>
        </w:rPr>
        <w:t xml:space="preserve"> of Baumeister and Hamilton (2018), </w:t>
      </w:r>
      <w:r>
        <w:rPr>
          <w:rFonts w:ascii="Times New Roman" w:hAnsi="Times New Roman" w:cs="Times New Roman"/>
          <w:sz w:val="24"/>
          <w:szCs w:val="24"/>
        </w:rPr>
        <w:t xml:space="preserve">which </w:t>
      </w:r>
      <w:r w:rsidRPr="005D36B8">
        <w:rPr>
          <w:rFonts w:ascii="Times New Roman" w:hAnsi="Times New Roman" w:cs="Times New Roman"/>
          <w:sz w:val="24"/>
          <w:szCs w:val="24"/>
        </w:rPr>
        <w:t>indicat</w:t>
      </w:r>
      <w:r>
        <w:rPr>
          <w:rFonts w:ascii="Times New Roman" w:hAnsi="Times New Roman" w:cs="Times New Roman"/>
          <w:sz w:val="24"/>
          <w:szCs w:val="24"/>
        </w:rPr>
        <w:t>es</w:t>
      </w:r>
      <w:r w:rsidRPr="005D36B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D36B8">
        <w:rPr>
          <w:rFonts w:ascii="Times New Roman" w:hAnsi="Times New Roman" w:cs="Times New Roman"/>
          <w:sz w:val="24"/>
          <w:szCs w:val="24"/>
        </w:rPr>
        <w:t>oil-market</w:t>
      </w:r>
      <w:r>
        <w:rPr>
          <w:rFonts w:ascii="Times New Roman" w:hAnsi="Times New Roman" w:cs="Times New Roman"/>
          <w:sz w:val="24"/>
          <w:szCs w:val="24"/>
        </w:rPr>
        <w:t>-</w:t>
      </w:r>
      <w:r w:rsidRPr="005D36B8">
        <w:rPr>
          <w:rFonts w:ascii="Times New Roman" w:hAnsi="Times New Roman" w:cs="Times New Roman"/>
          <w:sz w:val="24"/>
          <w:szCs w:val="24"/>
        </w:rPr>
        <w:t>specific shocks can be regarded as good news</w:t>
      </w:r>
      <w:r>
        <w:rPr>
          <w:rFonts w:ascii="Times New Roman" w:hAnsi="Times New Roman" w:cs="Times New Roman"/>
          <w:sz w:val="24"/>
          <w:szCs w:val="24"/>
        </w:rPr>
        <w:t xml:space="preserve">, as they </w:t>
      </w:r>
      <w:r w:rsidRPr="005D36B8">
        <w:rPr>
          <w:rFonts w:ascii="Times New Roman" w:hAnsi="Times New Roman" w:cs="Times New Roman"/>
          <w:sz w:val="24"/>
          <w:szCs w:val="24"/>
        </w:rPr>
        <w:t>signal</w:t>
      </w:r>
      <w:r>
        <w:rPr>
          <w:rFonts w:ascii="Times New Roman" w:hAnsi="Times New Roman" w:cs="Times New Roman"/>
          <w:sz w:val="24"/>
          <w:szCs w:val="24"/>
        </w:rPr>
        <w:t xml:space="preserve"> a </w:t>
      </w:r>
      <w:r w:rsidRPr="005D36B8">
        <w:rPr>
          <w:rFonts w:ascii="Times New Roman" w:hAnsi="Times New Roman" w:cs="Times New Roman"/>
          <w:sz w:val="24"/>
          <w:szCs w:val="24"/>
        </w:rPr>
        <w:t>positive economic outlook and alleviate concerns about economic uncertainty.</w:t>
      </w:r>
    </w:p>
    <w:p w14:paraId="7133D7E7" w14:textId="77777777" w:rsidR="00521DE0" w:rsidRPr="005D36B8" w:rsidRDefault="00521DE0" w:rsidP="00521DE0">
      <w:pPr>
        <w:snapToGrid w:val="0"/>
        <w:spacing w:after="0" w:line="480" w:lineRule="auto"/>
        <w:jc w:val="both"/>
        <w:rPr>
          <w:rFonts w:ascii="Times New Roman" w:hAnsi="Times New Roman" w:cs="Times New Roman"/>
          <w:color w:val="000000" w:themeColor="text1"/>
          <w:sz w:val="24"/>
          <w:szCs w:val="24"/>
        </w:rPr>
      </w:pPr>
    </w:p>
    <w:p w14:paraId="6CEEA6C3" w14:textId="77777777" w:rsidR="00521DE0" w:rsidRPr="005D36B8" w:rsidRDefault="00521DE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Pr="005D36B8">
        <w:rPr>
          <w:rFonts w:ascii="Times New Roman" w:hAnsi="Times New Roman" w:cs="Times New Roman"/>
          <w:sz w:val="24"/>
          <w:szCs w:val="24"/>
        </w:rPr>
        <w:t xml:space="preserve">e </w:t>
      </w:r>
      <w:r>
        <w:rPr>
          <w:rFonts w:ascii="Times New Roman" w:hAnsi="Times New Roman" w:cs="Times New Roman"/>
          <w:sz w:val="24"/>
          <w:szCs w:val="24"/>
        </w:rPr>
        <w:t xml:space="preserve">also </w:t>
      </w:r>
      <w:r w:rsidRPr="005D36B8">
        <w:rPr>
          <w:rFonts w:ascii="Times New Roman" w:hAnsi="Times New Roman" w:cs="Times New Roman"/>
          <w:sz w:val="24"/>
          <w:szCs w:val="24"/>
        </w:rPr>
        <w:t xml:space="preserve">observe some negative responses of uncertainty to positive inventory demand shocks with a delay of at least </w:t>
      </w:r>
      <w:r>
        <w:rPr>
          <w:rFonts w:ascii="Times New Roman" w:hAnsi="Times New Roman" w:cs="Times New Roman"/>
          <w:sz w:val="24"/>
          <w:szCs w:val="24"/>
        </w:rPr>
        <w:t>7</w:t>
      </w:r>
      <w:r w:rsidRPr="005D36B8">
        <w:rPr>
          <w:rFonts w:ascii="Times New Roman" w:hAnsi="Times New Roman" w:cs="Times New Roman"/>
          <w:sz w:val="24"/>
          <w:szCs w:val="24"/>
        </w:rPr>
        <w:t xml:space="preserve"> months. The impacts of oil inventory demand shocks on economic uncertainty are rather short-lived and small in size, which partially </w:t>
      </w:r>
      <w:r>
        <w:rPr>
          <w:rFonts w:ascii="Times New Roman" w:hAnsi="Times New Roman" w:cs="Times New Roman"/>
          <w:sz w:val="24"/>
          <w:szCs w:val="24"/>
        </w:rPr>
        <w:t>aligns</w:t>
      </w:r>
      <w:r w:rsidRPr="005D36B8">
        <w:rPr>
          <w:rFonts w:ascii="Times New Roman" w:hAnsi="Times New Roman" w:cs="Times New Roman"/>
          <w:sz w:val="24"/>
          <w:szCs w:val="24"/>
        </w:rPr>
        <w:t xml:space="preserve"> with </w:t>
      </w:r>
      <w:r>
        <w:rPr>
          <w:rFonts w:ascii="Times New Roman" w:hAnsi="Times New Roman" w:cs="Times New Roman"/>
          <w:sz w:val="24"/>
          <w:szCs w:val="24"/>
        </w:rPr>
        <w:t xml:space="preserve">the findings of </w:t>
      </w:r>
      <w:r w:rsidRPr="005D36B8">
        <w:rPr>
          <w:rFonts w:ascii="Times New Roman" w:hAnsi="Times New Roman" w:cs="Times New Roman"/>
          <w:sz w:val="24"/>
          <w:szCs w:val="24"/>
        </w:rPr>
        <w:t>Baumeister and Hamilton (2018)</w:t>
      </w:r>
      <w:r>
        <w:rPr>
          <w:rFonts w:ascii="Times New Roman" w:hAnsi="Times New Roman" w:cs="Times New Roman"/>
          <w:sz w:val="24"/>
          <w:szCs w:val="24"/>
        </w:rPr>
        <w:t xml:space="preserve">, </w:t>
      </w:r>
      <w:r w:rsidRPr="005D36B8">
        <w:rPr>
          <w:rFonts w:ascii="Times New Roman" w:hAnsi="Times New Roman" w:cs="Times New Roman"/>
          <w:sz w:val="24"/>
          <w:szCs w:val="24"/>
        </w:rPr>
        <w:t>who suggest that oil inventory demand shocks seem to be less important than found by early research (e.g. Juvenal and Petrella</w:t>
      </w:r>
      <w:r>
        <w:rPr>
          <w:rFonts w:ascii="Times New Roman" w:hAnsi="Times New Roman" w:cs="Times New Roman"/>
          <w:sz w:val="24"/>
          <w:szCs w:val="24"/>
        </w:rPr>
        <w:t>,</w:t>
      </w:r>
      <w:r w:rsidRPr="005D36B8">
        <w:rPr>
          <w:rFonts w:ascii="Times New Roman" w:hAnsi="Times New Roman" w:cs="Times New Roman"/>
          <w:sz w:val="24"/>
          <w:szCs w:val="24"/>
        </w:rPr>
        <w:t xml:space="preserve"> 2015). However, Baumeister and Hamilton (2018) suggest that a positive inventory demand shock has a negative </w:t>
      </w:r>
      <w:r w:rsidRPr="005D36B8">
        <w:rPr>
          <w:rFonts w:ascii="Times New Roman" w:hAnsi="Times New Roman" w:cs="Times New Roman"/>
          <w:sz w:val="24"/>
          <w:szCs w:val="24"/>
        </w:rPr>
        <w:lastRenderedPageBreak/>
        <w:t xml:space="preserve">effect on economic activity due to its speculative nature, which tends to increase economic uncertainty. This seems to contradict our result that uncertainty responds negatively to a positive inventory demand shock. </w:t>
      </w:r>
      <w:bookmarkStart w:id="22" w:name="_Hlk35075062"/>
      <w:r>
        <w:rPr>
          <w:rFonts w:ascii="Times New Roman" w:hAnsi="Times New Roman" w:cs="Times New Roman"/>
          <w:sz w:val="24"/>
          <w:szCs w:val="24"/>
        </w:rPr>
        <w:t>This</w:t>
      </w:r>
      <w:r w:rsidRPr="005D36B8">
        <w:rPr>
          <w:rFonts w:ascii="Times New Roman" w:hAnsi="Times New Roman" w:cs="Times New Roman"/>
          <w:sz w:val="24"/>
          <w:szCs w:val="24"/>
        </w:rPr>
        <w:t xml:space="preserve"> peculiar effect </w:t>
      </w:r>
      <w:bookmarkEnd w:id="22"/>
      <w:r w:rsidRPr="005D36B8">
        <w:rPr>
          <w:rFonts w:ascii="Times New Roman" w:hAnsi="Times New Roman" w:cs="Times New Roman"/>
          <w:sz w:val="24"/>
          <w:szCs w:val="24"/>
        </w:rPr>
        <w:t xml:space="preserve">highlights the importance of using nonlinear models in the </w:t>
      </w:r>
      <w:r>
        <w:rPr>
          <w:rFonts w:ascii="Times New Roman" w:hAnsi="Times New Roman" w:cs="Times New Roman"/>
          <w:sz w:val="24"/>
          <w:szCs w:val="24"/>
        </w:rPr>
        <w:t>following</w:t>
      </w:r>
      <w:r w:rsidRPr="005D36B8">
        <w:rPr>
          <w:rFonts w:ascii="Times New Roman" w:hAnsi="Times New Roman" w:cs="Times New Roman"/>
          <w:sz w:val="24"/>
          <w:szCs w:val="24"/>
        </w:rPr>
        <w:t xml:space="preserve"> subsections to examine </w:t>
      </w:r>
      <w:r>
        <w:rPr>
          <w:rFonts w:ascii="Times New Roman" w:hAnsi="Times New Roman" w:cs="Times New Roman"/>
          <w:sz w:val="24"/>
          <w:szCs w:val="24"/>
        </w:rPr>
        <w:t>whether</w:t>
      </w:r>
      <w:r w:rsidRPr="005D36B8">
        <w:rPr>
          <w:rFonts w:ascii="Times New Roman" w:hAnsi="Times New Roman" w:cs="Times New Roman"/>
          <w:sz w:val="24"/>
          <w:szCs w:val="24"/>
        </w:rPr>
        <w:t xml:space="preserve"> the results </w:t>
      </w:r>
      <w:r>
        <w:rPr>
          <w:rFonts w:ascii="Times New Roman" w:hAnsi="Times New Roman" w:cs="Times New Roman"/>
          <w:sz w:val="24"/>
          <w:szCs w:val="24"/>
        </w:rPr>
        <w:t>of</w:t>
      </w:r>
      <w:r w:rsidRPr="005D36B8">
        <w:rPr>
          <w:rFonts w:ascii="Times New Roman" w:hAnsi="Times New Roman" w:cs="Times New Roman"/>
          <w:sz w:val="24"/>
          <w:szCs w:val="24"/>
        </w:rPr>
        <w:t xml:space="preserve"> the linear model are robust </w:t>
      </w:r>
      <w:r>
        <w:rPr>
          <w:rFonts w:ascii="Times New Roman" w:hAnsi="Times New Roman" w:cs="Times New Roman"/>
          <w:sz w:val="24"/>
          <w:szCs w:val="24"/>
        </w:rPr>
        <w:t>or</w:t>
      </w:r>
      <w:r w:rsidRPr="005D36B8">
        <w:rPr>
          <w:rFonts w:ascii="Times New Roman" w:hAnsi="Times New Roman" w:cs="Times New Roman"/>
          <w:sz w:val="24"/>
          <w:szCs w:val="24"/>
        </w:rPr>
        <w:t xml:space="preserve"> contingent on any structural changes </w:t>
      </w:r>
      <w:r>
        <w:rPr>
          <w:rFonts w:ascii="Times New Roman" w:hAnsi="Times New Roman" w:cs="Times New Roman"/>
          <w:sz w:val="24"/>
          <w:szCs w:val="24"/>
        </w:rPr>
        <w:t>or</w:t>
      </w:r>
      <w:r w:rsidRPr="005D36B8">
        <w:rPr>
          <w:rFonts w:ascii="Times New Roman" w:hAnsi="Times New Roman" w:cs="Times New Roman"/>
          <w:sz w:val="24"/>
          <w:szCs w:val="24"/>
        </w:rPr>
        <w:t xml:space="preserve"> regime shifts.</w:t>
      </w:r>
    </w:p>
    <w:p w14:paraId="1A806BC5" w14:textId="77777777" w:rsidR="00521DE0" w:rsidRPr="005D36B8" w:rsidRDefault="00521DE0" w:rsidP="00521DE0">
      <w:pPr>
        <w:spacing w:after="0" w:line="360" w:lineRule="auto"/>
        <w:jc w:val="both"/>
        <w:rPr>
          <w:rFonts w:ascii="Times New Roman" w:hAnsi="Times New Roman" w:cs="Times New Roman"/>
          <w:sz w:val="24"/>
          <w:szCs w:val="24"/>
        </w:rPr>
      </w:pPr>
    </w:p>
    <w:p w14:paraId="4BB331D1" w14:textId="77777777" w:rsidR="00521DE0" w:rsidRPr="005D36B8" w:rsidRDefault="00521DE0" w:rsidP="004F51DA">
      <w:pPr>
        <w:pStyle w:val="Heading2"/>
      </w:pPr>
      <w:r>
        <w:t xml:space="preserve">3.2 </w:t>
      </w:r>
      <w:r w:rsidRPr="005D36B8">
        <w:t xml:space="preserve">A sensitivity test: Pre- versus </w:t>
      </w:r>
      <w:r>
        <w:t>p</w:t>
      </w:r>
      <w:r w:rsidRPr="005D36B8">
        <w:t>ost-GFC periods</w:t>
      </w:r>
    </w:p>
    <w:p w14:paraId="348B032E" w14:textId="4B9C1C25"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To examine </w:t>
      </w:r>
      <w:r>
        <w:rPr>
          <w:rFonts w:ascii="Times New Roman" w:hAnsi="Times New Roman" w:cs="Times New Roman"/>
          <w:sz w:val="24"/>
          <w:szCs w:val="24"/>
        </w:rPr>
        <w:t>whether</w:t>
      </w:r>
      <w:r w:rsidRPr="005D36B8">
        <w:rPr>
          <w:rFonts w:ascii="Times New Roman" w:hAnsi="Times New Roman" w:cs="Times New Roman"/>
          <w:sz w:val="24"/>
          <w:szCs w:val="24"/>
        </w:rPr>
        <w:t xml:space="preserve"> our results</w:t>
      </w:r>
      <w:r>
        <w:rPr>
          <w:rFonts w:ascii="Times New Roman" w:hAnsi="Times New Roman" w:cs="Times New Roman"/>
          <w:sz w:val="24"/>
          <w:szCs w:val="24"/>
        </w:rPr>
        <w:t xml:space="preserve">, which are </w:t>
      </w:r>
      <w:r w:rsidRPr="005D36B8">
        <w:rPr>
          <w:rFonts w:ascii="Times New Roman" w:hAnsi="Times New Roman" w:cs="Times New Roman"/>
          <w:sz w:val="24"/>
          <w:szCs w:val="24"/>
        </w:rPr>
        <w:t>reported in the last subsection</w:t>
      </w:r>
      <w:r>
        <w:rPr>
          <w:rFonts w:ascii="Times New Roman" w:hAnsi="Times New Roman" w:cs="Times New Roman"/>
          <w:sz w:val="24"/>
          <w:szCs w:val="24"/>
        </w:rPr>
        <w:t>,</w:t>
      </w:r>
      <w:r w:rsidRPr="005D36B8">
        <w:rPr>
          <w:rFonts w:ascii="Times New Roman" w:hAnsi="Times New Roman" w:cs="Times New Roman"/>
          <w:sz w:val="24"/>
          <w:szCs w:val="24"/>
        </w:rPr>
        <w:t xml:space="preserve"> are sensitive to a structural change and to capture any potential difference </w:t>
      </w:r>
      <w:r>
        <w:rPr>
          <w:rFonts w:ascii="Times New Roman" w:hAnsi="Times New Roman" w:cs="Times New Roman"/>
          <w:sz w:val="24"/>
          <w:szCs w:val="24"/>
        </w:rPr>
        <w:t>in</w:t>
      </w:r>
      <w:r w:rsidRPr="005D36B8">
        <w:rPr>
          <w:rFonts w:ascii="Times New Roman" w:hAnsi="Times New Roman" w:cs="Times New Roman"/>
          <w:sz w:val="24"/>
          <w:szCs w:val="24"/>
        </w:rPr>
        <w:t xml:space="preserve"> impacts before and after the GFC, we introduce a dummy variable that equals 1 for the pre- GFC period (i.e. before </w:t>
      </w:r>
      <w:r>
        <w:rPr>
          <w:rFonts w:ascii="Times New Roman" w:hAnsi="Times New Roman" w:cs="Times New Roman"/>
          <w:sz w:val="24"/>
          <w:szCs w:val="24"/>
        </w:rPr>
        <w:t xml:space="preserve">September </w:t>
      </w:r>
      <w:r w:rsidRPr="005D36B8">
        <w:rPr>
          <w:rFonts w:ascii="Times New Roman" w:hAnsi="Times New Roman" w:cs="Times New Roman"/>
          <w:sz w:val="24"/>
          <w:szCs w:val="24"/>
        </w:rPr>
        <w:t>2009) and 0 otherwise into the threshold nonlinear model specified in E</w:t>
      </w:r>
      <w:r>
        <w:rPr>
          <w:rFonts w:ascii="Times New Roman" w:hAnsi="Times New Roman" w:cs="Times New Roman"/>
          <w:sz w:val="24"/>
          <w:szCs w:val="24"/>
        </w:rPr>
        <w:t xml:space="preserve">q. </w:t>
      </w:r>
      <w:r w:rsidRPr="005D36B8">
        <w:rPr>
          <w:rFonts w:ascii="Times New Roman" w:hAnsi="Times New Roman" w:cs="Times New Roman"/>
          <w:sz w:val="24"/>
          <w:szCs w:val="24"/>
        </w:rPr>
        <w:t xml:space="preserve">(2). Figure 2 reports </w:t>
      </w:r>
      <w:r>
        <w:rPr>
          <w:rFonts w:ascii="Times New Roman" w:hAnsi="Times New Roman" w:cs="Times New Roman"/>
          <w:sz w:val="24"/>
          <w:szCs w:val="24"/>
        </w:rPr>
        <w:t xml:space="preserve">the </w:t>
      </w:r>
      <w:r w:rsidRPr="005D36B8">
        <w:rPr>
          <w:rFonts w:ascii="Times New Roman" w:hAnsi="Times New Roman" w:cs="Times New Roman"/>
          <w:sz w:val="24"/>
          <w:szCs w:val="24"/>
        </w:rPr>
        <w:t xml:space="preserve">IRFs of economic uncertainty </w:t>
      </w:r>
      <w:r>
        <w:rPr>
          <w:rFonts w:ascii="Times New Roman" w:hAnsi="Times New Roman" w:cs="Times New Roman"/>
          <w:sz w:val="24"/>
          <w:szCs w:val="24"/>
        </w:rPr>
        <w:t>after a</w:t>
      </w:r>
      <w:r w:rsidRPr="005D36B8">
        <w:rPr>
          <w:rFonts w:ascii="Times New Roman" w:hAnsi="Times New Roman" w:cs="Times New Roman"/>
          <w:sz w:val="24"/>
          <w:szCs w:val="24"/>
        </w:rPr>
        <w:t xml:space="preserve"> </w:t>
      </w:r>
      <w:r w:rsidR="00E32104">
        <w:rPr>
          <w:rFonts w:ascii="Times New Roman" w:hAnsi="Times New Roman" w:cs="Times New Roman"/>
          <w:sz w:val="24"/>
          <w:szCs w:val="24"/>
        </w:rPr>
        <w:t>1-unit</w:t>
      </w:r>
      <w:r w:rsidRPr="005D36B8">
        <w:rPr>
          <w:rFonts w:ascii="Times New Roman" w:hAnsi="Times New Roman" w:cs="Times New Roman"/>
          <w:sz w:val="24"/>
          <w:szCs w:val="24"/>
        </w:rPr>
        <w:t xml:space="preserve"> increase in oil shocks </w:t>
      </w:r>
      <w:r>
        <w:rPr>
          <w:rFonts w:ascii="Times New Roman" w:hAnsi="Times New Roman" w:cs="Times New Roman"/>
          <w:sz w:val="24"/>
          <w:szCs w:val="24"/>
        </w:rPr>
        <w:t>over</w:t>
      </w:r>
      <w:r w:rsidRPr="005D36B8">
        <w:rPr>
          <w:rFonts w:ascii="Times New Roman" w:hAnsi="Times New Roman" w:cs="Times New Roman"/>
          <w:sz w:val="24"/>
          <w:szCs w:val="24"/>
        </w:rPr>
        <w:t xml:space="preserve"> a period of 24 months during the post-GFC period (</w:t>
      </w:r>
      <w:r>
        <w:rPr>
          <w:rFonts w:ascii="Times New Roman" w:hAnsi="Times New Roman" w:cs="Times New Roman"/>
          <w:sz w:val="24"/>
          <w:szCs w:val="24"/>
        </w:rPr>
        <w:t xml:space="preserve">first </w:t>
      </w:r>
      <w:r w:rsidRPr="005D36B8">
        <w:rPr>
          <w:rFonts w:ascii="Times New Roman" w:hAnsi="Times New Roman" w:cs="Times New Roman"/>
          <w:sz w:val="24"/>
          <w:szCs w:val="24"/>
        </w:rPr>
        <w:t>column) and pre-GFC period (</w:t>
      </w:r>
      <w:r>
        <w:rPr>
          <w:rFonts w:ascii="Times New Roman" w:hAnsi="Times New Roman" w:cs="Times New Roman"/>
          <w:sz w:val="24"/>
          <w:szCs w:val="24"/>
        </w:rPr>
        <w:t xml:space="preserve">second </w:t>
      </w:r>
      <w:r w:rsidRPr="005D36B8">
        <w:rPr>
          <w:rFonts w:ascii="Times New Roman" w:hAnsi="Times New Roman" w:cs="Times New Roman"/>
          <w:sz w:val="24"/>
          <w:szCs w:val="24"/>
        </w:rPr>
        <w:t>column).</w:t>
      </w:r>
    </w:p>
    <w:p w14:paraId="5405D6E6"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7F121190" w14:textId="77777777" w:rsidR="00521DE0" w:rsidRPr="005D36B8" w:rsidRDefault="00521DE0" w:rsidP="00521DE0">
      <w:pPr>
        <w:snapToGrid w:val="0"/>
        <w:spacing w:after="0" w:line="480" w:lineRule="auto"/>
        <w:jc w:val="both"/>
        <w:rPr>
          <w:rFonts w:ascii="Times New Roman" w:hAnsi="Times New Roman" w:cs="Times New Roman"/>
          <w:b/>
          <w:bCs/>
          <w:sz w:val="24"/>
          <w:szCs w:val="24"/>
        </w:rPr>
      </w:pPr>
      <w:r w:rsidRPr="005D36B8">
        <w:rPr>
          <w:rFonts w:ascii="Times New Roman" w:hAnsi="Times New Roman" w:cs="Times New Roman"/>
          <w:b/>
          <w:bCs/>
          <w:sz w:val="24"/>
          <w:szCs w:val="24"/>
        </w:rPr>
        <w:t>[Insert Figure 2 about here]</w:t>
      </w:r>
    </w:p>
    <w:p w14:paraId="7338C39C"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63B53314"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We find that compared to an instant positive response of economic uncertainty to a positive oil supply shock during the pre-GFC period, economic uncertainty is particularly unresponsive to oil supply shocks immediately after a shock during the period after the GFC. However, there is clear evidence that positive responses of uncertainty to oil supply shocks are persistent and strong during both pre- and post-GFC periods, which provides empirical evidence in support of Kang et al. (2017), Baumeister and Hamilton (2018) and </w:t>
      </w:r>
      <w:proofErr w:type="spellStart"/>
      <w:r w:rsidRPr="005D36B8">
        <w:rPr>
          <w:rFonts w:ascii="Times New Roman" w:hAnsi="Times New Roman" w:cs="Times New Roman"/>
          <w:sz w:val="24"/>
          <w:szCs w:val="24"/>
        </w:rPr>
        <w:t>Su</w:t>
      </w:r>
      <w:proofErr w:type="spellEnd"/>
      <w:r w:rsidRPr="005D36B8">
        <w:rPr>
          <w:rFonts w:ascii="Times New Roman" w:hAnsi="Times New Roman" w:cs="Times New Roman"/>
          <w:sz w:val="24"/>
          <w:szCs w:val="24"/>
        </w:rPr>
        <w:t xml:space="preserve"> et al. (2018).</w:t>
      </w:r>
    </w:p>
    <w:p w14:paraId="39756666"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67E6329D"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Furthermore, our results show that the negative effects of</w:t>
      </w:r>
      <w:r w:rsidRPr="005D36B8">
        <w:t xml:space="preserve"> </w:t>
      </w:r>
      <w:r w:rsidRPr="005D36B8">
        <w:rPr>
          <w:rFonts w:ascii="Times New Roman" w:hAnsi="Times New Roman" w:cs="Times New Roman"/>
          <w:sz w:val="24"/>
          <w:szCs w:val="24"/>
        </w:rPr>
        <w:t xml:space="preserve">aggregate demand shocks on uncertainty are more persistent and profound before the GFC. As shown in Figure 2, an economic activity shock has statistically significant and negative impacts on uncertainty from </w:t>
      </w:r>
      <w:r w:rsidRPr="005D36B8">
        <w:rPr>
          <w:rFonts w:ascii="Times New Roman" w:hAnsi="Times New Roman" w:cs="Times New Roman"/>
          <w:sz w:val="24"/>
          <w:szCs w:val="24"/>
        </w:rPr>
        <w:lastRenderedPageBreak/>
        <w:t>the 4</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to the 24</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in the pre-GFC period, </w:t>
      </w:r>
      <w:r>
        <w:rPr>
          <w:rFonts w:ascii="Times New Roman" w:hAnsi="Times New Roman" w:cs="Times New Roman"/>
          <w:sz w:val="24"/>
          <w:szCs w:val="24"/>
        </w:rPr>
        <w:t>and</w:t>
      </w:r>
      <w:r w:rsidRPr="005D36B8">
        <w:rPr>
          <w:rFonts w:ascii="Times New Roman" w:hAnsi="Times New Roman" w:cs="Times New Roman"/>
          <w:sz w:val="24"/>
          <w:szCs w:val="24"/>
        </w:rPr>
        <w:t xml:space="preserve"> these statistically significant and negative impacts are short-lived in the post-GFC period. Our finding resonates with </w:t>
      </w:r>
      <w:r>
        <w:rPr>
          <w:rFonts w:ascii="Times New Roman" w:hAnsi="Times New Roman" w:cs="Times New Roman"/>
          <w:sz w:val="24"/>
          <w:szCs w:val="24"/>
        </w:rPr>
        <w:t xml:space="preserve">the work of </w:t>
      </w:r>
      <w:r w:rsidRPr="005D36B8">
        <w:rPr>
          <w:rFonts w:ascii="Times New Roman" w:hAnsi="Times New Roman" w:cs="Times New Roman"/>
          <w:sz w:val="24"/>
          <w:szCs w:val="24"/>
        </w:rPr>
        <w:t>Hailemariam et al. (2019)</w:t>
      </w:r>
      <w:r>
        <w:rPr>
          <w:rFonts w:ascii="Times New Roman" w:hAnsi="Times New Roman" w:cs="Times New Roman"/>
          <w:sz w:val="24"/>
          <w:szCs w:val="24"/>
        </w:rPr>
        <w:t xml:space="preserve">, </w:t>
      </w:r>
      <w:r w:rsidRPr="005D36B8">
        <w:rPr>
          <w:rFonts w:ascii="Times New Roman" w:hAnsi="Times New Roman" w:cs="Times New Roman"/>
          <w:sz w:val="24"/>
          <w:szCs w:val="24"/>
        </w:rPr>
        <w:t xml:space="preserve">who suggest that the rise in oil prices during periods of </w:t>
      </w:r>
      <w:r>
        <w:rPr>
          <w:rFonts w:ascii="Times New Roman" w:hAnsi="Times New Roman" w:cs="Times New Roman"/>
          <w:sz w:val="24"/>
          <w:szCs w:val="24"/>
        </w:rPr>
        <w:t xml:space="preserve">pre-GFC </w:t>
      </w:r>
      <w:r w:rsidRPr="005D36B8">
        <w:rPr>
          <w:rFonts w:ascii="Times New Roman" w:hAnsi="Times New Roman" w:cs="Times New Roman"/>
          <w:sz w:val="24"/>
          <w:szCs w:val="24"/>
        </w:rPr>
        <w:t xml:space="preserve">economic booms can create a conducive environment for the economy and </w:t>
      </w:r>
      <w:r>
        <w:rPr>
          <w:rFonts w:ascii="Times New Roman" w:hAnsi="Times New Roman" w:cs="Times New Roman"/>
          <w:sz w:val="24"/>
          <w:szCs w:val="24"/>
        </w:rPr>
        <w:t>decrease</w:t>
      </w:r>
      <w:r w:rsidRPr="005D36B8">
        <w:rPr>
          <w:rFonts w:ascii="Times New Roman" w:hAnsi="Times New Roman" w:cs="Times New Roman"/>
          <w:sz w:val="24"/>
          <w:szCs w:val="24"/>
        </w:rPr>
        <w:t xml:space="preserve"> uncertainty.</w:t>
      </w:r>
    </w:p>
    <w:p w14:paraId="0530AFE5"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7D88529" w14:textId="44576D5C" w:rsidR="00521DE0" w:rsidRPr="005D36B8" w:rsidRDefault="00521DE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Pr="005D36B8">
        <w:rPr>
          <w:rFonts w:ascii="Times New Roman" w:hAnsi="Times New Roman" w:cs="Times New Roman"/>
          <w:sz w:val="24"/>
          <w:szCs w:val="24"/>
        </w:rPr>
        <w:t xml:space="preserve">ith a delay of </w:t>
      </w:r>
      <w:r>
        <w:rPr>
          <w:rFonts w:ascii="Times New Roman" w:hAnsi="Times New Roman" w:cs="Times New Roman"/>
          <w:sz w:val="24"/>
          <w:szCs w:val="24"/>
        </w:rPr>
        <w:t>three</w:t>
      </w:r>
      <w:r w:rsidRPr="005D36B8">
        <w:rPr>
          <w:rFonts w:ascii="Times New Roman" w:hAnsi="Times New Roman" w:cs="Times New Roman"/>
          <w:sz w:val="24"/>
          <w:szCs w:val="24"/>
        </w:rPr>
        <w:t xml:space="preserve"> months, statistically significant and negative impacts of oil-market</w:t>
      </w:r>
      <w:r>
        <w:rPr>
          <w:rFonts w:ascii="Times New Roman" w:hAnsi="Times New Roman" w:cs="Times New Roman"/>
          <w:sz w:val="24"/>
          <w:szCs w:val="24"/>
        </w:rPr>
        <w:t>-</w:t>
      </w:r>
      <w:r w:rsidRPr="005D36B8">
        <w:rPr>
          <w:rFonts w:ascii="Times New Roman" w:hAnsi="Times New Roman" w:cs="Times New Roman"/>
          <w:sz w:val="24"/>
          <w:szCs w:val="24"/>
        </w:rPr>
        <w:t xml:space="preserve">specific demand shocks on economic uncertainty are observed </w:t>
      </w:r>
      <w:r>
        <w:rPr>
          <w:rFonts w:ascii="Times New Roman" w:hAnsi="Times New Roman" w:cs="Times New Roman"/>
          <w:sz w:val="24"/>
          <w:szCs w:val="24"/>
        </w:rPr>
        <w:t>in</w:t>
      </w:r>
      <w:r w:rsidRPr="005D36B8">
        <w:rPr>
          <w:rFonts w:ascii="Times New Roman" w:hAnsi="Times New Roman" w:cs="Times New Roman"/>
          <w:sz w:val="24"/>
          <w:szCs w:val="24"/>
        </w:rPr>
        <w:t xml:space="preserve"> the pre-GFC period. </w:t>
      </w:r>
      <w:r>
        <w:rPr>
          <w:rFonts w:ascii="Times New Roman" w:hAnsi="Times New Roman" w:cs="Times New Roman"/>
          <w:sz w:val="24"/>
          <w:szCs w:val="24"/>
        </w:rPr>
        <w:t>However</w:t>
      </w:r>
      <w:r w:rsidRPr="005D36B8">
        <w:rPr>
          <w:rFonts w:ascii="Times New Roman" w:hAnsi="Times New Roman" w:cs="Times New Roman"/>
          <w:sz w:val="24"/>
          <w:szCs w:val="24"/>
        </w:rPr>
        <w:t>, there are swings in the responses of macroeconomic uncertainty to oil-market</w:t>
      </w:r>
      <w:r>
        <w:rPr>
          <w:rFonts w:ascii="Times New Roman" w:hAnsi="Times New Roman" w:cs="Times New Roman"/>
          <w:sz w:val="24"/>
          <w:szCs w:val="24"/>
        </w:rPr>
        <w:t>-</w:t>
      </w:r>
      <w:r w:rsidRPr="005D36B8">
        <w:rPr>
          <w:rFonts w:ascii="Times New Roman" w:hAnsi="Times New Roman" w:cs="Times New Roman"/>
          <w:sz w:val="24"/>
          <w:szCs w:val="24"/>
        </w:rPr>
        <w:t>specific demand shocks during the post-GFC period. The statistically significant effects of consumption demand shocks on economic uncertainty are negative from the 6</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to the 10</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and positive from the 2</w:t>
      </w:r>
      <w:r w:rsidRPr="005D36B8">
        <w:rPr>
          <w:rFonts w:ascii="Times New Roman" w:hAnsi="Times New Roman" w:cs="Times New Roman"/>
          <w:sz w:val="24"/>
          <w:szCs w:val="24"/>
          <w:vertAlign w:val="superscript"/>
        </w:rPr>
        <w:t>nd</w:t>
      </w:r>
      <w:r w:rsidRPr="005D36B8">
        <w:rPr>
          <w:rFonts w:ascii="Times New Roman" w:hAnsi="Times New Roman" w:cs="Times New Roman"/>
          <w:sz w:val="24"/>
          <w:szCs w:val="24"/>
        </w:rPr>
        <w:t xml:space="preserve"> month to the 5</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and from the 18</w:t>
      </w:r>
      <w:r w:rsidRPr="005D36B8">
        <w:rPr>
          <w:rFonts w:ascii="Times New Roman" w:hAnsi="Times New Roman" w:cs="Times New Roman"/>
          <w:sz w:val="24"/>
          <w:szCs w:val="24"/>
          <w:vertAlign w:val="superscript"/>
        </w:rPr>
        <w:t>th</w:t>
      </w:r>
      <w:r w:rsidRPr="005D36B8">
        <w:rPr>
          <w:rFonts w:ascii="Times New Roman" w:hAnsi="Times New Roman" w:cs="Times New Roman"/>
          <w:sz w:val="24"/>
          <w:szCs w:val="24"/>
        </w:rPr>
        <w:t xml:space="preserve"> month to the 22</w:t>
      </w:r>
      <w:r w:rsidRPr="005D36B8">
        <w:rPr>
          <w:rFonts w:ascii="Times New Roman" w:hAnsi="Times New Roman" w:cs="Times New Roman"/>
          <w:sz w:val="24"/>
          <w:szCs w:val="24"/>
          <w:vertAlign w:val="superscript"/>
        </w:rPr>
        <w:t>nd</w:t>
      </w:r>
      <w:r w:rsidRPr="005D36B8">
        <w:rPr>
          <w:rFonts w:ascii="Times New Roman" w:hAnsi="Times New Roman" w:cs="Times New Roman"/>
          <w:sz w:val="24"/>
          <w:szCs w:val="24"/>
        </w:rPr>
        <w:t xml:space="preserve"> month. The observed positive influences of the oil-market</w:t>
      </w:r>
      <w:r>
        <w:rPr>
          <w:rFonts w:ascii="Times New Roman" w:hAnsi="Times New Roman" w:cs="Times New Roman"/>
          <w:sz w:val="24"/>
          <w:szCs w:val="24"/>
        </w:rPr>
        <w:t>-</w:t>
      </w:r>
      <w:r w:rsidRPr="005D36B8">
        <w:rPr>
          <w:rFonts w:ascii="Times New Roman" w:hAnsi="Times New Roman" w:cs="Times New Roman"/>
          <w:sz w:val="24"/>
          <w:szCs w:val="24"/>
        </w:rPr>
        <w:t xml:space="preserve">specific demand shock on uncertainty coincide with </w:t>
      </w:r>
      <w:r>
        <w:rPr>
          <w:rFonts w:ascii="Times New Roman" w:hAnsi="Times New Roman" w:cs="Times New Roman"/>
          <w:sz w:val="24"/>
          <w:szCs w:val="24"/>
        </w:rPr>
        <w:t xml:space="preserve">the findings of </w:t>
      </w:r>
      <w:r w:rsidRPr="005D36B8">
        <w:rPr>
          <w:rFonts w:ascii="Times New Roman" w:hAnsi="Times New Roman" w:cs="Times New Roman"/>
          <w:sz w:val="24"/>
          <w:szCs w:val="24"/>
        </w:rPr>
        <w:t xml:space="preserve">Kang and </w:t>
      </w:r>
      <w:proofErr w:type="spellStart"/>
      <w:r w:rsidRPr="005D36B8">
        <w:rPr>
          <w:rFonts w:ascii="Times New Roman" w:hAnsi="Times New Roman" w:cs="Times New Roman"/>
          <w:sz w:val="24"/>
          <w:szCs w:val="24"/>
        </w:rPr>
        <w:t>Ratti</w:t>
      </w:r>
      <w:proofErr w:type="spellEnd"/>
      <w:r w:rsidRPr="005D36B8">
        <w:rPr>
          <w:rFonts w:ascii="Times New Roman" w:hAnsi="Times New Roman" w:cs="Times New Roman"/>
          <w:sz w:val="24"/>
          <w:szCs w:val="24"/>
        </w:rPr>
        <w:t xml:space="preserve"> (2003a</w:t>
      </w:r>
      <w:r>
        <w:rPr>
          <w:rFonts w:ascii="Times New Roman" w:hAnsi="Times New Roman" w:cs="Times New Roman"/>
          <w:sz w:val="24"/>
          <w:szCs w:val="24"/>
        </w:rPr>
        <w:t>,</w:t>
      </w:r>
      <w:r w:rsidRPr="005D36B8">
        <w:rPr>
          <w:rFonts w:ascii="Times New Roman" w:hAnsi="Times New Roman" w:cs="Times New Roman"/>
          <w:sz w:val="24"/>
          <w:szCs w:val="24"/>
        </w:rPr>
        <w:t xml:space="preserve"> 2003b</w:t>
      </w:r>
      <w:r>
        <w:rPr>
          <w:rFonts w:ascii="Times New Roman" w:hAnsi="Times New Roman" w:cs="Times New Roman"/>
          <w:sz w:val="24"/>
          <w:szCs w:val="24"/>
        </w:rPr>
        <w:t>,</w:t>
      </w:r>
      <w:r w:rsidRPr="005D36B8">
        <w:rPr>
          <w:rFonts w:ascii="Times New Roman" w:hAnsi="Times New Roman" w:cs="Times New Roman"/>
          <w:sz w:val="24"/>
          <w:szCs w:val="24"/>
        </w:rPr>
        <w:t xml:space="preserve"> 2015) and Kang et al. (2017)</w:t>
      </w:r>
      <w:r>
        <w:rPr>
          <w:rFonts w:ascii="Times New Roman" w:hAnsi="Times New Roman" w:cs="Times New Roman"/>
          <w:sz w:val="24"/>
          <w:szCs w:val="24"/>
        </w:rPr>
        <w:t xml:space="preserve">, according to which </w:t>
      </w:r>
      <w:r w:rsidRPr="005D36B8">
        <w:rPr>
          <w:rFonts w:ascii="Times New Roman" w:hAnsi="Times New Roman" w:cs="Times New Roman"/>
          <w:sz w:val="24"/>
          <w:szCs w:val="24"/>
        </w:rPr>
        <w:t>a positive oil</w:t>
      </w:r>
      <w:r>
        <w:rPr>
          <w:rFonts w:ascii="Times New Roman" w:hAnsi="Times New Roman" w:cs="Times New Roman"/>
          <w:sz w:val="24"/>
          <w:szCs w:val="24"/>
        </w:rPr>
        <w:t>-</w:t>
      </w:r>
      <w:r w:rsidRPr="005D36B8">
        <w:rPr>
          <w:rFonts w:ascii="Times New Roman" w:hAnsi="Times New Roman" w:cs="Times New Roman"/>
          <w:sz w:val="24"/>
          <w:szCs w:val="24"/>
        </w:rPr>
        <w:t xml:space="preserve">specific demand shock </w:t>
      </w:r>
      <w:r>
        <w:rPr>
          <w:rFonts w:ascii="Times New Roman" w:hAnsi="Times New Roman" w:cs="Times New Roman"/>
          <w:sz w:val="24"/>
          <w:szCs w:val="24"/>
        </w:rPr>
        <w:t>indicates</w:t>
      </w:r>
      <w:r w:rsidRPr="005D36B8">
        <w:rPr>
          <w:rFonts w:ascii="Times New Roman" w:hAnsi="Times New Roman" w:cs="Times New Roman"/>
          <w:sz w:val="24"/>
          <w:szCs w:val="24"/>
        </w:rPr>
        <w:t xml:space="preserve"> greater concern </w:t>
      </w:r>
      <w:r>
        <w:rPr>
          <w:rFonts w:ascii="Times New Roman" w:hAnsi="Times New Roman" w:cs="Times New Roman"/>
          <w:sz w:val="24"/>
          <w:szCs w:val="24"/>
        </w:rPr>
        <w:t xml:space="preserve">about </w:t>
      </w:r>
      <w:r w:rsidRPr="005D36B8">
        <w:rPr>
          <w:rFonts w:ascii="Times New Roman" w:hAnsi="Times New Roman" w:cs="Times New Roman"/>
          <w:sz w:val="24"/>
          <w:szCs w:val="24"/>
        </w:rPr>
        <w:t xml:space="preserve">the shortage of future oil supplies </w:t>
      </w:r>
      <w:r>
        <w:rPr>
          <w:rFonts w:ascii="Times New Roman" w:hAnsi="Times New Roman" w:cs="Times New Roman"/>
          <w:sz w:val="24"/>
          <w:szCs w:val="24"/>
        </w:rPr>
        <w:t>i</w:t>
      </w:r>
      <w:r w:rsidRPr="005D36B8">
        <w:rPr>
          <w:rFonts w:ascii="Times New Roman" w:hAnsi="Times New Roman" w:cs="Times New Roman"/>
          <w:sz w:val="24"/>
          <w:szCs w:val="24"/>
        </w:rPr>
        <w:t xml:space="preserve">n the market and raises uncertainty. On the other hand, the observed negative influences of </w:t>
      </w:r>
      <w:r w:rsidR="00886E69">
        <w:rPr>
          <w:rFonts w:ascii="Times New Roman" w:hAnsi="Times New Roman" w:cs="Times New Roman"/>
          <w:sz w:val="24"/>
          <w:szCs w:val="24"/>
        </w:rPr>
        <w:t xml:space="preserve">the </w:t>
      </w:r>
      <w:r w:rsidRPr="005D36B8">
        <w:rPr>
          <w:rFonts w:ascii="Times New Roman" w:hAnsi="Times New Roman" w:cs="Times New Roman"/>
          <w:sz w:val="24"/>
          <w:szCs w:val="24"/>
        </w:rPr>
        <w:t>oil</w:t>
      </w:r>
      <w:r>
        <w:rPr>
          <w:rFonts w:ascii="Times New Roman" w:hAnsi="Times New Roman" w:cs="Times New Roman"/>
          <w:sz w:val="24"/>
          <w:szCs w:val="24"/>
        </w:rPr>
        <w:t>-</w:t>
      </w:r>
      <w:r w:rsidRPr="005D36B8">
        <w:rPr>
          <w:rFonts w:ascii="Times New Roman" w:hAnsi="Times New Roman" w:cs="Times New Roman"/>
          <w:sz w:val="24"/>
          <w:szCs w:val="24"/>
        </w:rPr>
        <w:t xml:space="preserve">specific demand shock on uncertainty may indicate the presence of a strong feedback effect </w:t>
      </w:r>
      <w:r>
        <w:rPr>
          <w:rFonts w:ascii="Times New Roman" w:hAnsi="Times New Roman" w:cs="Times New Roman"/>
          <w:sz w:val="24"/>
          <w:szCs w:val="24"/>
        </w:rPr>
        <w:t>that</w:t>
      </w:r>
      <w:r w:rsidRPr="005D36B8">
        <w:rPr>
          <w:rFonts w:ascii="Times New Roman" w:hAnsi="Times New Roman" w:cs="Times New Roman"/>
          <w:sz w:val="24"/>
          <w:szCs w:val="24"/>
        </w:rPr>
        <w:t xml:space="preserve"> leads to higher oil production, better economic conditions and lower uncertainty.</w:t>
      </w:r>
    </w:p>
    <w:p w14:paraId="08794CBD"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3081B625"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In addition, the post-GFC period analysis indicates an increase in oil inventory demand shocks</w:t>
      </w:r>
      <w:r>
        <w:rPr>
          <w:rFonts w:ascii="Times New Roman" w:hAnsi="Times New Roman" w:cs="Times New Roman"/>
          <w:sz w:val="24"/>
          <w:szCs w:val="24"/>
        </w:rPr>
        <w:t>,</w:t>
      </w:r>
      <w:r w:rsidRPr="005D36B8">
        <w:rPr>
          <w:rFonts w:ascii="Times New Roman" w:hAnsi="Times New Roman" w:cs="Times New Roman"/>
          <w:sz w:val="24"/>
          <w:szCs w:val="24"/>
        </w:rPr>
        <w:t xml:space="preserve"> lead</w:t>
      </w:r>
      <w:r>
        <w:rPr>
          <w:rFonts w:ascii="Times New Roman" w:hAnsi="Times New Roman" w:cs="Times New Roman"/>
          <w:sz w:val="24"/>
          <w:szCs w:val="24"/>
        </w:rPr>
        <w:t>ing</w:t>
      </w:r>
      <w:r w:rsidRPr="005D36B8">
        <w:rPr>
          <w:rFonts w:ascii="Times New Roman" w:hAnsi="Times New Roman" w:cs="Times New Roman"/>
          <w:sz w:val="24"/>
          <w:szCs w:val="24"/>
        </w:rPr>
        <w:t xml:space="preserve"> to higher economic uncertainty after 12 months. This </w:t>
      </w:r>
      <w:r>
        <w:rPr>
          <w:rFonts w:ascii="Times New Roman" w:hAnsi="Times New Roman" w:cs="Times New Roman"/>
          <w:sz w:val="24"/>
          <w:szCs w:val="24"/>
        </w:rPr>
        <w:t>contradicts</w:t>
      </w:r>
      <w:r w:rsidRPr="005D36B8">
        <w:rPr>
          <w:rFonts w:ascii="Times New Roman" w:hAnsi="Times New Roman" w:cs="Times New Roman"/>
          <w:sz w:val="24"/>
          <w:szCs w:val="24"/>
        </w:rPr>
        <w:t xml:space="preserve"> the results </w:t>
      </w:r>
      <w:r>
        <w:rPr>
          <w:rFonts w:ascii="Times New Roman" w:hAnsi="Times New Roman" w:cs="Times New Roman"/>
          <w:sz w:val="24"/>
          <w:szCs w:val="24"/>
        </w:rPr>
        <w:t xml:space="preserve">for </w:t>
      </w:r>
      <w:r w:rsidRPr="005D36B8">
        <w:rPr>
          <w:rFonts w:ascii="Times New Roman" w:hAnsi="Times New Roman" w:cs="Times New Roman"/>
          <w:sz w:val="24"/>
          <w:szCs w:val="24"/>
        </w:rPr>
        <w:t xml:space="preserve">the pre-GFC period, </w:t>
      </w:r>
      <w:r>
        <w:rPr>
          <w:rFonts w:ascii="Times New Roman" w:hAnsi="Times New Roman" w:cs="Times New Roman"/>
          <w:sz w:val="24"/>
          <w:szCs w:val="24"/>
        </w:rPr>
        <w:t>which reveal</w:t>
      </w:r>
      <w:r w:rsidRPr="005D36B8">
        <w:rPr>
          <w:rFonts w:ascii="Times New Roman" w:hAnsi="Times New Roman" w:cs="Times New Roman"/>
          <w:sz w:val="24"/>
          <w:szCs w:val="24"/>
        </w:rPr>
        <w:t xml:space="preserve"> </w:t>
      </w:r>
      <w:r>
        <w:rPr>
          <w:rFonts w:ascii="Times New Roman" w:hAnsi="Times New Roman" w:cs="Times New Roman"/>
          <w:sz w:val="24"/>
          <w:szCs w:val="24"/>
        </w:rPr>
        <w:t>that</w:t>
      </w:r>
      <w:r w:rsidRPr="005D36B8">
        <w:rPr>
          <w:rFonts w:ascii="Times New Roman" w:hAnsi="Times New Roman" w:cs="Times New Roman"/>
          <w:sz w:val="24"/>
          <w:szCs w:val="24"/>
        </w:rPr>
        <w:t xml:space="preserve"> oil inventory demand shocks </w:t>
      </w:r>
      <w:r>
        <w:rPr>
          <w:rFonts w:ascii="Times New Roman" w:hAnsi="Times New Roman" w:cs="Times New Roman"/>
          <w:sz w:val="24"/>
          <w:szCs w:val="24"/>
        </w:rPr>
        <w:t xml:space="preserve">have </w:t>
      </w:r>
      <w:r w:rsidRPr="005D36B8">
        <w:rPr>
          <w:rFonts w:ascii="Times New Roman" w:hAnsi="Times New Roman" w:cs="Times New Roman"/>
          <w:sz w:val="24"/>
          <w:szCs w:val="24"/>
        </w:rPr>
        <w:t xml:space="preserve">negative impacts on uncertainty after </w:t>
      </w:r>
      <w:r>
        <w:rPr>
          <w:rFonts w:ascii="Times New Roman" w:hAnsi="Times New Roman" w:cs="Times New Roman"/>
          <w:sz w:val="24"/>
          <w:szCs w:val="24"/>
        </w:rPr>
        <w:t>seven</w:t>
      </w:r>
      <w:r w:rsidRPr="005D36B8">
        <w:rPr>
          <w:rFonts w:ascii="Times New Roman" w:hAnsi="Times New Roman" w:cs="Times New Roman"/>
          <w:sz w:val="24"/>
          <w:szCs w:val="24"/>
        </w:rPr>
        <w:t xml:space="preserve"> months. Our finding that a positive speculative demand shock (inventory demand shock) leads to a</w:t>
      </w:r>
      <w:r>
        <w:rPr>
          <w:rFonts w:ascii="Times New Roman" w:hAnsi="Times New Roman" w:cs="Times New Roman"/>
          <w:sz w:val="24"/>
          <w:szCs w:val="24"/>
        </w:rPr>
        <w:t xml:space="preserve"> post-GFC</w:t>
      </w:r>
      <w:r w:rsidRPr="005D36B8">
        <w:rPr>
          <w:rFonts w:ascii="Times New Roman" w:hAnsi="Times New Roman" w:cs="Times New Roman"/>
          <w:sz w:val="24"/>
          <w:szCs w:val="24"/>
        </w:rPr>
        <w:t xml:space="preserve"> increase in economic uncertainty </w:t>
      </w:r>
      <w:r>
        <w:rPr>
          <w:rFonts w:ascii="Times New Roman" w:hAnsi="Times New Roman" w:cs="Times New Roman"/>
          <w:sz w:val="24"/>
          <w:szCs w:val="24"/>
        </w:rPr>
        <w:t>aligns</w:t>
      </w:r>
      <w:r w:rsidRPr="005D36B8">
        <w:rPr>
          <w:rFonts w:ascii="Times New Roman" w:hAnsi="Times New Roman" w:cs="Times New Roman"/>
          <w:sz w:val="24"/>
          <w:szCs w:val="24"/>
        </w:rPr>
        <w:t xml:space="preserve"> with </w:t>
      </w:r>
      <w:r>
        <w:rPr>
          <w:rFonts w:ascii="Times New Roman" w:hAnsi="Times New Roman" w:cs="Times New Roman"/>
          <w:sz w:val="24"/>
          <w:szCs w:val="24"/>
        </w:rPr>
        <w:lastRenderedPageBreak/>
        <w:t xml:space="preserve">the work of </w:t>
      </w:r>
      <w:r w:rsidRPr="005D36B8">
        <w:rPr>
          <w:rFonts w:ascii="Times New Roman" w:hAnsi="Times New Roman" w:cs="Times New Roman"/>
          <w:sz w:val="24"/>
          <w:szCs w:val="24"/>
        </w:rPr>
        <w:t>Baumeister and Hamilton (2018), who suggest that a positive inventory demand shock has a negative effect on economic activity.</w:t>
      </w:r>
    </w:p>
    <w:p w14:paraId="7B3567DA" w14:textId="77777777" w:rsidR="00521DE0" w:rsidRPr="005D36B8" w:rsidRDefault="00521DE0" w:rsidP="00521DE0">
      <w:pPr>
        <w:snapToGrid w:val="0"/>
        <w:spacing w:after="0" w:line="480" w:lineRule="auto"/>
        <w:jc w:val="both"/>
        <w:rPr>
          <w:rFonts w:ascii="Times New Roman" w:hAnsi="Times New Roman" w:cs="Times New Roman"/>
          <w:sz w:val="24"/>
          <w:szCs w:val="24"/>
        </w:rPr>
      </w:pPr>
    </w:p>
    <w:p w14:paraId="4ADE2229" w14:textId="77777777"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In summary, we find that the responses of economic uncertainty to oil shocks, especially demand-side shocks, appear to experience a dramatic change in the post-GFC period. Our findings are </w:t>
      </w:r>
      <w:r w:rsidRPr="001E46F2">
        <w:rPr>
          <w:rFonts w:ascii="Times New Roman" w:hAnsi="Times New Roman" w:cs="Times New Roman"/>
          <w:sz w:val="24"/>
          <w:szCs w:val="24"/>
        </w:rPr>
        <w:t>consistent with</w:t>
      </w:r>
      <w:r w:rsidRPr="0087410B">
        <w:rPr>
          <w:rFonts w:ascii="Times New Roman" w:hAnsi="Times New Roman" w:cs="Times New Roman"/>
          <w:sz w:val="24"/>
          <w:szCs w:val="24"/>
        </w:rPr>
        <w:t xml:space="preserve"> those of </w:t>
      </w:r>
      <w:proofErr w:type="spellStart"/>
      <w:r w:rsidRPr="001E46F2">
        <w:rPr>
          <w:rFonts w:ascii="Times New Roman" w:hAnsi="Times New Roman" w:cs="Times New Roman"/>
          <w:sz w:val="24"/>
          <w:szCs w:val="24"/>
        </w:rPr>
        <w:t>Degiannakis</w:t>
      </w:r>
      <w:proofErr w:type="spellEnd"/>
      <w:r w:rsidRPr="005D36B8">
        <w:rPr>
          <w:rFonts w:ascii="Times New Roman" w:hAnsi="Times New Roman" w:cs="Times New Roman"/>
          <w:sz w:val="24"/>
          <w:szCs w:val="24"/>
        </w:rPr>
        <w:t xml:space="preserve"> et al. (2018) and Hailemariam et al. (2019), who report heterogeneous responses of uncertainty to </w:t>
      </w:r>
      <w:r>
        <w:rPr>
          <w:rFonts w:ascii="Times New Roman" w:hAnsi="Times New Roman" w:cs="Times New Roman"/>
          <w:sz w:val="24"/>
          <w:szCs w:val="24"/>
        </w:rPr>
        <w:t>pre- and post-</w:t>
      </w:r>
      <w:r w:rsidRPr="005D36B8">
        <w:rPr>
          <w:rFonts w:ascii="Times New Roman" w:hAnsi="Times New Roman" w:cs="Times New Roman"/>
          <w:sz w:val="24"/>
          <w:szCs w:val="24"/>
        </w:rPr>
        <w:t>GFC</w:t>
      </w:r>
      <w:r>
        <w:rPr>
          <w:rFonts w:ascii="Times New Roman" w:hAnsi="Times New Roman" w:cs="Times New Roman"/>
          <w:sz w:val="24"/>
          <w:szCs w:val="24"/>
        </w:rPr>
        <w:t xml:space="preserve"> </w:t>
      </w:r>
      <w:r w:rsidRPr="005D36B8">
        <w:rPr>
          <w:rFonts w:ascii="Times New Roman" w:hAnsi="Times New Roman" w:cs="Times New Roman"/>
          <w:sz w:val="24"/>
          <w:szCs w:val="24"/>
        </w:rPr>
        <w:t>oil shocks.</w:t>
      </w:r>
    </w:p>
    <w:p w14:paraId="46D1646C" w14:textId="77777777" w:rsidR="00521DE0" w:rsidRPr="005D36B8" w:rsidRDefault="00521DE0" w:rsidP="004F51DA">
      <w:pPr>
        <w:pStyle w:val="Heading2"/>
      </w:pPr>
      <w:r w:rsidRPr="00D14894">
        <w:t>3.3</w:t>
      </w:r>
      <w:r>
        <w:t xml:space="preserve"> </w:t>
      </w:r>
      <w:r w:rsidRPr="005D36B8">
        <w:t xml:space="preserve">A sensitivity test: </w:t>
      </w:r>
      <w:r>
        <w:t>H</w:t>
      </w:r>
      <w:r w:rsidRPr="005D36B8">
        <w:t>igh</w:t>
      </w:r>
      <w:r>
        <w:t>-</w:t>
      </w:r>
      <w:r w:rsidRPr="005D36B8">
        <w:t xml:space="preserve"> versus low</w:t>
      </w:r>
      <w:r>
        <w:t>-</w:t>
      </w:r>
      <w:r w:rsidRPr="005D36B8">
        <w:t>volatility regimes</w:t>
      </w:r>
    </w:p>
    <w:p w14:paraId="6A0661CB" w14:textId="3EF08AB0" w:rsidR="00521DE0" w:rsidRPr="005D36B8" w:rsidRDefault="00521DE0" w:rsidP="00521DE0">
      <w:pPr>
        <w:snapToGrid w:val="0"/>
        <w:spacing w:after="0" w:line="480" w:lineRule="auto"/>
        <w:jc w:val="both"/>
        <w:rPr>
          <w:rFonts w:ascii="Times New Roman" w:hAnsi="Times New Roman" w:cs="Times New Roman"/>
          <w:sz w:val="24"/>
          <w:szCs w:val="24"/>
        </w:rPr>
      </w:pPr>
      <w:r w:rsidRPr="005D36B8">
        <w:rPr>
          <w:rFonts w:ascii="Times New Roman" w:hAnsi="Times New Roman" w:cs="Times New Roman"/>
          <w:sz w:val="24"/>
          <w:szCs w:val="24"/>
        </w:rPr>
        <w:t xml:space="preserve">In Figure 3, we present the estimated state-contingent IRFs of uncertainty </w:t>
      </w:r>
      <w:r>
        <w:rPr>
          <w:rFonts w:ascii="Times New Roman" w:hAnsi="Times New Roman" w:cs="Times New Roman"/>
          <w:sz w:val="24"/>
          <w:szCs w:val="24"/>
        </w:rPr>
        <w:t>for</w:t>
      </w:r>
      <w:r w:rsidRPr="005D36B8">
        <w:rPr>
          <w:rFonts w:ascii="Times New Roman" w:hAnsi="Times New Roman" w:cs="Times New Roman"/>
          <w:sz w:val="24"/>
          <w:szCs w:val="24"/>
        </w:rPr>
        <w:t xml:space="preserve"> a </w:t>
      </w:r>
      <w:r w:rsidR="00E32104">
        <w:rPr>
          <w:rFonts w:ascii="Times New Roman" w:hAnsi="Times New Roman" w:cs="Times New Roman"/>
          <w:sz w:val="24"/>
          <w:szCs w:val="24"/>
        </w:rPr>
        <w:t xml:space="preserve">1-unit </w:t>
      </w:r>
      <w:r w:rsidRPr="005D36B8">
        <w:rPr>
          <w:rFonts w:ascii="Times New Roman" w:hAnsi="Times New Roman" w:cs="Times New Roman"/>
          <w:sz w:val="24"/>
          <w:szCs w:val="24"/>
        </w:rPr>
        <w:t>increase in oil shocks over 24 months in</w:t>
      </w:r>
      <w:r>
        <w:rPr>
          <w:rFonts w:ascii="Times New Roman" w:hAnsi="Times New Roman" w:cs="Times New Roman"/>
          <w:sz w:val="24"/>
          <w:szCs w:val="24"/>
        </w:rPr>
        <w:t xml:space="preserve"> a</w:t>
      </w:r>
      <w:r w:rsidRPr="005D36B8">
        <w:rPr>
          <w:rFonts w:ascii="Times New Roman" w:hAnsi="Times New Roman" w:cs="Times New Roman"/>
          <w:sz w:val="24"/>
          <w:szCs w:val="24"/>
        </w:rPr>
        <w:t xml:space="preserve"> high</w:t>
      </w:r>
      <w:r>
        <w:rPr>
          <w:rFonts w:ascii="Times New Roman" w:hAnsi="Times New Roman" w:cs="Times New Roman"/>
          <w:sz w:val="24"/>
          <w:szCs w:val="24"/>
        </w:rPr>
        <w:t>-</w:t>
      </w:r>
      <w:r w:rsidRPr="005D36B8">
        <w:rPr>
          <w:rFonts w:ascii="Times New Roman" w:hAnsi="Times New Roman" w:cs="Times New Roman"/>
          <w:sz w:val="24"/>
          <w:szCs w:val="24"/>
        </w:rPr>
        <w:t>volatility regime (</w:t>
      </w:r>
      <w:r>
        <w:rPr>
          <w:rFonts w:ascii="Times New Roman" w:hAnsi="Times New Roman" w:cs="Times New Roman"/>
          <w:sz w:val="24"/>
          <w:szCs w:val="24"/>
        </w:rPr>
        <w:t>first</w:t>
      </w:r>
      <w:r w:rsidRPr="005D36B8">
        <w:rPr>
          <w:rFonts w:ascii="Times New Roman" w:hAnsi="Times New Roman" w:cs="Times New Roman"/>
          <w:sz w:val="24"/>
          <w:szCs w:val="24"/>
        </w:rPr>
        <w:t xml:space="preserve"> column) and low</w:t>
      </w:r>
      <w:r>
        <w:rPr>
          <w:rFonts w:ascii="Times New Roman" w:hAnsi="Times New Roman" w:cs="Times New Roman"/>
          <w:sz w:val="24"/>
          <w:szCs w:val="24"/>
        </w:rPr>
        <w:t>-</w:t>
      </w:r>
      <w:r w:rsidRPr="005D36B8">
        <w:rPr>
          <w:rFonts w:ascii="Times New Roman" w:hAnsi="Times New Roman" w:cs="Times New Roman"/>
          <w:sz w:val="24"/>
          <w:szCs w:val="24"/>
        </w:rPr>
        <w:t>volatility regime</w:t>
      </w:r>
      <w:r>
        <w:rPr>
          <w:rFonts w:ascii="Times New Roman" w:hAnsi="Times New Roman" w:cs="Times New Roman"/>
          <w:sz w:val="24"/>
          <w:szCs w:val="24"/>
        </w:rPr>
        <w:t xml:space="preserve"> </w:t>
      </w:r>
      <w:r w:rsidRPr="005D36B8">
        <w:rPr>
          <w:rFonts w:ascii="Times New Roman" w:hAnsi="Times New Roman" w:cs="Times New Roman"/>
          <w:sz w:val="24"/>
          <w:szCs w:val="24"/>
        </w:rPr>
        <w:t>(</w:t>
      </w:r>
      <w:r>
        <w:rPr>
          <w:rFonts w:ascii="Times New Roman" w:hAnsi="Times New Roman" w:cs="Times New Roman"/>
          <w:sz w:val="24"/>
          <w:szCs w:val="24"/>
        </w:rPr>
        <w:t>second</w:t>
      </w:r>
      <w:r w:rsidRPr="005D36B8">
        <w:rPr>
          <w:rFonts w:ascii="Times New Roman" w:hAnsi="Times New Roman" w:cs="Times New Roman"/>
          <w:sz w:val="24"/>
          <w:szCs w:val="24"/>
        </w:rPr>
        <w:t xml:space="preserve"> column)</w:t>
      </w:r>
      <w:r>
        <w:rPr>
          <w:rFonts w:ascii="Times New Roman" w:hAnsi="Times New Roman" w:cs="Times New Roman"/>
          <w:sz w:val="24"/>
          <w:szCs w:val="24"/>
        </w:rPr>
        <w:t xml:space="preserve">. We use </w:t>
      </w:r>
      <w:r w:rsidRPr="005D36B8">
        <w:rPr>
          <w:rFonts w:ascii="Times New Roman" w:hAnsi="Times New Roman" w:cs="Times New Roman"/>
          <w:sz w:val="24"/>
          <w:szCs w:val="24"/>
        </w:rPr>
        <w:t>the</w:t>
      </w:r>
      <w:r w:rsidRPr="005D36B8">
        <w:t xml:space="preserve"> </w:t>
      </w:r>
      <w:r w:rsidRPr="005D36B8">
        <w:rPr>
          <w:rFonts w:ascii="Times New Roman" w:hAnsi="Times New Roman" w:cs="Times New Roman"/>
          <w:sz w:val="24"/>
          <w:szCs w:val="24"/>
        </w:rPr>
        <w:t>regime-switching model specified in E</w:t>
      </w:r>
      <w:r>
        <w:rPr>
          <w:rFonts w:ascii="Times New Roman" w:hAnsi="Times New Roman" w:cs="Times New Roman"/>
          <w:sz w:val="24"/>
          <w:szCs w:val="24"/>
        </w:rPr>
        <w:t>q.</w:t>
      </w:r>
      <w:r w:rsidRPr="005D36B8">
        <w:rPr>
          <w:rFonts w:ascii="Times New Roman" w:hAnsi="Times New Roman" w:cs="Times New Roman"/>
          <w:sz w:val="24"/>
          <w:szCs w:val="24"/>
        </w:rPr>
        <w:t xml:space="preserve"> (3) and E</w:t>
      </w:r>
      <w:r>
        <w:rPr>
          <w:rFonts w:ascii="Times New Roman" w:hAnsi="Times New Roman" w:cs="Times New Roman"/>
          <w:sz w:val="24"/>
          <w:szCs w:val="24"/>
        </w:rPr>
        <w:t>q.</w:t>
      </w:r>
      <w:r w:rsidRPr="005D36B8">
        <w:rPr>
          <w:rFonts w:ascii="Times New Roman" w:hAnsi="Times New Roman" w:cs="Times New Roman"/>
          <w:sz w:val="24"/>
          <w:szCs w:val="24"/>
        </w:rPr>
        <w:t xml:space="preserve"> (4).</w:t>
      </w:r>
    </w:p>
    <w:p w14:paraId="11E28B6E" w14:textId="77777777" w:rsidR="00521DE0" w:rsidRPr="005D36B8" w:rsidRDefault="00521DE0" w:rsidP="00521DE0">
      <w:pPr>
        <w:snapToGrid w:val="0"/>
        <w:spacing w:after="0" w:line="480" w:lineRule="auto"/>
        <w:jc w:val="both"/>
        <w:rPr>
          <w:rFonts w:ascii="Times New Roman" w:hAnsi="Times New Roman" w:cs="Times New Roman"/>
          <w:b/>
          <w:bCs/>
          <w:sz w:val="24"/>
          <w:szCs w:val="24"/>
        </w:rPr>
      </w:pPr>
    </w:p>
    <w:p w14:paraId="3B0BB6E7" w14:textId="77777777" w:rsidR="00521DE0" w:rsidRPr="004437B2" w:rsidRDefault="00521DE0" w:rsidP="00521DE0">
      <w:pPr>
        <w:snapToGrid w:val="0"/>
        <w:spacing w:after="0" w:line="480" w:lineRule="auto"/>
        <w:jc w:val="both"/>
        <w:rPr>
          <w:rFonts w:ascii="Times New Roman" w:hAnsi="Times New Roman" w:cs="Times New Roman"/>
          <w:b/>
          <w:bCs/>
          <w:sz w:val="24"/>
          <w:szCs w:val="24"/>
        </w:rPr>
      </w:pPr>
      <w:r w:rsidRPr="004437B2">
        <w:rPr>
          <w:rFonts w:ascii="Times New Roman" w:hAnsi="Times New Roman" w:cs="Times New Roman"/>
          <w:b/>
          <w:bCs/>
          <w:sz w:val="24"/>
          <w:szCs w:val="24"/>
        </w:rPr>
        <w:t>[Insert Figure 3 about here]</w:t>
      </w:r>
    </w:p>
    <w:p w14:paraId="4B74A1BF" w14:textId="77777777" w:rsidR="00521DE0" w:rsidRPr="004437B2" w:rsidRDefault="00521DE0" w:rsidP="00521DE0">
      <w:pPr>
        <w:snapToGrid w:val="0"/>
        <w:spacing w:after="0" w:line="480" w:lineRule="auto"/>
        <w:jc w:val="both"/>
        <w:rPr>
          <w:rFonts w:ascii="Times New Roman" w:hAnsi="Times New Roman" w:cs="Times New Roman"/>
          <w:sz w:val="24"/>
          <w:szCs w:val="24"/>
        </w:rPr>
      </w:pPr>
    </w:p>
    <w:p w14:paraId="546DF075" w14:textId="2EEEECDE" w:rsidR="00521DE0" w:rsidRPr="004437B2" w:rsidRDefault="00521DE0" w:rsidP="00521DE0">
      <w:pPr>
        <w:snapToGrid w:val="0"/>
        <w:spacing w:after="0" w:line="480" w:lineRule="auto"/>
        <w:jc w:val="both"/>
        <w:rPr>
          <w:rFonts w:ascii="Times New Roman" w:hAnsi="Times New Roman" w:cs="Times New Roman"/>
          <w:sz w:val="24"/>
          <w:szCs w:val="24"/>
        </w:rPr>
      </w:pPr>
      <w:r w:rsidRPr="004437B2">
        <w:rPr>
          <w:rFonts w:ascii="Times New Roman" w:hAnsi="Times New Roman" w:cs="Times New Roman"/>
          <w:sz w:val="24"/>
          <w:szCs w:val="24"/>
        </w:rPr>
        <w:t>We find strong evidence that the impacts of oil supply-side shocks on macroeconomic uncertainty are regime-dependent and contingent on the states of investor sentiments and volatility in financial markets. The results show that macroeconomic uncertainty reacts positively to oil supply shocks during high</w:t>
      </w:r>
      <w:r>
        <w:rPr>
          <w:rFonts w:ascii="Times New Roman" w:hAnsi="Times New Roman" w:cs="Times New Roman"/>
          <w:sz w:val="24"/>
          <w:szCs w:val="24"/>
        </w:rPr>
        <w:t>-</w:t>
      </w:r>
      <w:r w:rsidRPr="004437B2">
        <w:rPr>
          <w:rFonts w:ascii="Times New Roman" w:hAnsi="Times New Roman" w:cs="Times New Roman"/>
          <w:sz w:val="24"/>
          <w:szCs w:val="24"/>
        </w:rPr>
        <w:t xml:space="preserve">volatility periods. The positive response of uncertainty to oil supply-side shocks is consistent with our reported </w:t>
      </w:r>
      <w:r w:rsidR="00CA244E">
        <w:rPr>
          <w:rFonts w:ascii="Times New Roman" w:hAnsi="Times New Roman" w:cs="Times New Roman"/>
          <w:sz w:val="24"/>
          <w:szCs w:val="24"/>
        </w:rPr>
        <w:t xml:space="preserve">results </w:t>
      </w:r>
      <w:r w:rsidRPr="004437B2">
        <w:rPr>
          <w:rFonts w:ascii="Times New Roman" w:hAnsi="Times New Roman" w:cs="Times New Roman"/>
          <w:sz w:val="24"/>
          <w:szCs w:val="24"/>
        </w:rPr>
        <w:t xml:space="preserve">in the previous subsections and with </w:t>
      </w:r>
      <w:r>
        <w:rPr>
          <w:rFonts w:ascii="Times New Roman" w:hAnsi="Times New Roman" w:cs="Times New Roman"/>
          <w:sz w:val="24"/>
          <w:szCs w:val="24"/>
        </w:rPr>
        <w:t xml:space="preserve">the </w:t>
      </w:r>
      <w:r w:rsidRPr="004437B2">
        <w:rPr>
          <w:rFonts w:ascii="Times New Roman" w:hAnsi="Times New Roman" w:cs="Times New Roman"/>
          <w:sz w:val="24"/>
          <w:szCs w:val="24"/>
        </w:rPr>
        <w:t xml:space="preserve">economic explanations provided by Baumeister and Hamilton (2018) and recent empirical evidence reported by Kang et al. (2017) and </w:t>
      </w:r>
      <w:proofErr w:type="spellStart"/>
      <w:r w:rsidRPr="004437B2">
        <w:rPr>
          <w:rFonts w:ascii="Times New Roman" w:hAnsi="Times New Roman" w:cs="Times New Roman"/>
          <w:sz w:val="24"/>
          <w:szCs w:val="24"/>
        </w:rPr>
        <w:t>Su</w:t>
      </w:r>
      <w:proofErr w:type="spellEnd"/>
      <w:r w:rsidRPr="004437B2">
        <w:rPr>
          <w:rFonts w:ascii="Times New Roman" w:hAnsi="Times New Roman" w:cs="Times New Roman"/>
          <w:sz w:val="24"/>
          <w:szCs w:val="24"/>
        </w:rPr>
        <w:t xml:space="preserve"> et al. (2018). However, we find that uncertainty is not particularly responsive to oil supply shocks in low</w:t>
      </w:r>
      <w:r>
        <w:rPr>
          <w:rFonts w:ascii="Times New Roman" w:hAnsi="Times New Roman" w:cs="Times New Roman"/>
          <w:sz w:val="24"/>
          <w:szCs w:val="24"/>
        </w:rPr>
        <w:t>-</w:t>
      </w:r>
      <w:r w:rsidRPr="004437B2">
        <w:rPr>
          <w:rFonts w:ascii="Times New Roman" w:hAnsi="Times New Roman" w:cs="Times New Roman"/>
          <w:sz w:val="24"/>
          <w:szCs w:val="24"/>
        </w:rPr>
        <w:t xml:space="preserve">volatility periods. </w:t>
      </w:r>
      <w:bookmarkStart w:id="23" w:name="_Hlk46247251"/>
      <w:r w:rsidRPr="004437B2">
        <w:rPr>
          <w:rFonts w:ascii="Times New Roman" w:hAnsi="Times New Roman" w:cs="Times New Roman"/>
          <w:sz w:val="24"/>
          <w:szCs w:val="24"/>
        </w:rPr>
        <w:t xml:space="preserve">Our novel results offer new insights </w:t>
      </w:r>
      <w:r>
        <w:rPr>
          <w:rFonts w:ascii="Times New Roman" w:hAnsi="Times New Roman" w:cs="Times New Roman"/>
          <w:sz w:val="24"/>
          <w:szCs w:val="24"/>
        </w:rPr>
        <w:t>into</w:t>
      </w:r>
      <w:r w:rsidRPr="004437B2">
        <w:rPr>
          <w:rFonts w:ascii="Times New Roman" w:hAnsi="Times New Roman" w:cs="Times New Roman"/>
          <w:sz w:val="24"/>
          <w:szCs w:val="24"/>
        </w:rPr>
        <w:t xml:space="preserve"> the macroeconomic effect of oil supply-side shocks </w:t>
      </w:r>
      <w:r>
        <w:rPr>
          <w:rFonts w:ascii="Times New Roman" w:hAnsi="Times New Roman" w:cs="Times New Roman"/>
          <w:sz w:val="24"/>
          <w:szCs w:val="24"/>
        </w:rPr>
        <w:t>on</w:t>
      </w:r>
      <w:r w:rsidRPr="004437B2">
        <w:rPr>
          <w:rFonts w:ascii="Times New Roman" w:hAnsi="Times New Roman" w:cs="Times New Roman"/>
          <w:sz w:val="24"/>
          <w:szCs w:val="24"/>
        </w:rPr>
        <w:t xml:space="preserve"> the economy</w:t>
      </w:r>
      <w:r>
        <w:rPr>
          <w:rFonts w:ascii="Times New Roman" w:hAnsi="Times New Roman" w:cs="Times New Roman"/>
          <w:sz w:val="24"/>
          <w:szCs w:val="24"/>
        </w:rPr>
        <w:t xml:space="preserve">. They </w:t>
      </w:r>
      <w:r w:rsidRPr="004437B2">
        <w:rPr>
          <w:rFonts w:ascii="Times New Roman" w:hAnsi="Times New Roman" w:cs="Times New Roman"/>
          <w:sz w:val="24"/>
          <w:szCs w:val="24"/>
        </w:rPr>
        <w:t>consolidate the results from recent research that highlight the important role of oil supply shocks with early literature that indicates the opposite. The intuition is that oil supply shocks tend to raise uncertainty</w:t>
      </w:r>
      <w:r>
        <w:rPr>
          <w:rFonts w:ascii="Times New Roman" w:hAnsi="Times New Roman" w:cs="Times New Roman"/>
          <w:sz w:val="24"/>
          <w:szCs w:val="24"/>
        </w:rPr>
        <w:t>,</w:t>
      </w:r>
      <w:r w:rsidRPr="004437B2">
        <w:rPr>
          <w:rFonts w:ascii="Times New Roman" w:hAnsi="Times New Roman" w:cs="Times New Roman"/>
          <w:sz w:val="24"/>
          <w:szCs w:val="24"/>
        </w:rPr>
        <w:t xml:space="preserve"> especially during the periods when there </w:t>
      </w:r>
      <w:r>
        <w:rPr>
          <w:rFonts w:ascii="Times New Roman" w:hAnsi="Times New Roman" w:cs="Times New Roman"/>
          <w:sz w:val="24"/>
          <w:szCs w:val="24"/>
        </w:rPr>
        <w:t>is</w:t>
      </w:r>
      <w:r w:rsidRPr="004437B2">
        <w:rPr>
          <w:rFonts w:ascii="Times New Roman" w:hAnsi="Times New Roman" w:cs="Times New Roman"/>
          <w:sz w:val="24"/>
          <w:szCs w:val="24"/>
        </w:rPr>
        <w:t xml:space="preserve"> </w:t>
      </w:r>
      <w:r w:rsidRPr="004437B2">
        <w:rPr>
          <w:rFonts w:ascii="Times New Roman" w:hAnsi="Times New Roman" w:cs="Times New Roman"/>
          <w:sz w:val="24"/>
          <w:szCs w:val="24"/>
        </w:rPr>
        <w:lastRenderedPageBreak/>
        <w:t xml:space="preserve">strong fear among investors and the perceived volatility </w:t>
      </w:r>
      <w:r>
        <w:rPr>
          <w:rFonts w:ascii="Times New Roman" w:hAnsi="Times New Roman" w:cs="Times New Roman"/>
          <w:sz w:val="24"/>
          <w:szCs w:val="24"/>
        </w:rPr>
        <w:t>of</w:t>
      </w:r>
      <w:r w:rsidRPr="004437B2">
        <w:rPr>
          <w:rFonts w:ascii="Times New Roman" w:hAnsi="Times New Roman" w:cs="Times New Roman"/>
          <w:sz w:val="24"/>
          <w:szCs w:val="24"/>
        </w:rPr>
        <w:t xml:space="preserve"> financial markets is high. In contrast, when the perceived volatility </w:t>
      </w:r>
      <w:r>
        <w:rPr>
          <w:rFonts w:ascii="Times New Roman" w:hAnsi="Times New Roman" w:cs="Times New Roman"/>
          <w:sz w:val="24"/>
          <w:szCs w:val="24"/>
        </w:rPr>
        <w:t>of</w:t>
      </w:r>
      <w:r w:rsidRPr="004437B2">
        <w:rPr>
          <w:rFonts w:ascii="Times New Roman" w:hAnsi="Times New Roman" w:cs="Times New Roman"/>
          <w:sz w:val="24"/>
          <w:szCs w:val="24"/>
        </w:rPr>
        <w:t xml:space="preserve"> financial markets is low and investors are calm, oil supply shocks are less likely to raise concerns from investors and the market about the economic outlook and thus </w:t>
      </w:r>
      <w:r>
        <w:rPr>
          <w:rFonts w:ascii="Times New Roman" w:hAnsi="Times New Roman" w:cs="Times New Roman"/>
          <w:sz w:val="24"/>
          <w:szCs w:val="24"/>
        </w:rPr>
        <w:t xml:space="preserve">are </w:t>
      </w:r>
      <w:r w:rsidRPr="004437B2">
        <w:rPr>
          <w:rFonts w:ascii="Times New Roman" w:hAnsi="Times New Roman" w:cs="Times New Roman"/>
          <w:sz w:val="24"/>
          <w:szCs w:val="24"/>
        </w:rPr>
        <w:t xml:space="preserve">less likely to cause a rise in uncertainty. The results are </w:t>
      </w:r>
      <w:r>
        <w:rPr>
          <w:rFonts w:ascii="Times New Roman" w:hAnsi="Times New Roman" w:cs="Times New Roman"/>
          <w:sz w:val="24"/>
          <w:szCs w:val="24"/>
        </w:rPr>
        <w:t>plausible,</w:t>
      </w:r>
      <w:r w:rsidRPr="004437B2">
        <w:rPr>
          <w:rFonts w:ascii="Times New Roman" w:hAnsi="Times New Roman" w:cs="Times New Roman"/>
          <w:sz w:val="24"/>
          <w:szCs w:val="24"/>
        </w:rPr>
        <w:t xml:space="preserve"> especially in light of the evidence </w:t>
      </w:r>
      <w:r>
        <w:rPr>
          <w:rFonts w:ascii="Times New Roman" w:hAnsi="Times New Roman" w:cs="Times New Roman"/>
          <w:sz w:val="24"/>
          <w:szCs w:val="24"/>
        </w:rPr>
        <w:t>of the</w:t>
      </w:r>
      <w:r w:rsidRPr="004437B2">
        <w:rPr>
          <w:rFonts w:ascii="Times New Roman" w:hAnsi="Times New Roman" w:cs="Times New Roman"/>
          <w:sz w:val="24"/>
          <w:szCs w:val="24"/>
        </w:rPr>
        <w:t xml:space="preserve"> growing </w:t>
      </w:r>
      <w:proofErr w:type="spellStart"/>
      <w:r w:rsidRPr="004437B2">
        <w:rPr>
          <w:rFonts w:ascii="Times New Roman" w:hAnsi="Times New Roman" w:cs="Times New Roman"/>
          <w:sz w:val="24"/>
          <w:szCs w:val="24"/>
        </w:rPr>
        <w:t>financialisation</w:t>
      </w:r>
      <w:proofErr w:type="spellEnd"/>
      <w:r w:rsidRPr="004437B2">
        <w:rPr>
          <w:rFonts w:ascii="Times New Roman" w:hAnsi="Times New Roman" w:cs="Times New Roman"/>
          <w:sz w:val="24"/>
          <w:szCs w:val="24"/>
        </w:rPr>
        <w:t xml:space="preserve"> of oil markets (e.g. Fattouh</w:t>
      </w:r>
      <w:r>
        <w:rPr>
          <w:rFonts w:ascii="Times New Roman" w:hAnsi="Times New Roman" w:cs="Times New Roman"/>
          <w:sz w:val="24"/>
          <w:szCs w:val="24"/>
        </w:rPr>
        <w:t xml:space="preserve"> et al.</w:t>
      </w:r>
      <w:r w:rsidRPr="004437B2">
        <w:rPr>
          <w:rFonts w:ascii="Times New Roman" w:hAnsi="Times New Roman" w:cs="Times New Roman"/>
          <w:sz w:val="24"/>
          <w:szCs w:val="24"/>
        </w:rPr>
        <w:t xml:space="preserve">, 2013) and contagion and integration between oil and financial markets (e.g. </w:t>
      </w:r>
      <w:proofErr w:type="spellStart"/>
      <w:r w:rsidRPr="004437B2">
        <w:rPr>
          <w:rFonts w:ascii="Times New Roman" w:hAnsi="Times New Roman" w:cs="Times New Roman"/>
          <w:sz w:val="24"/>
          <w:szCs w:val="24"/>
        </w:rPr>
        <w:t>Antonakakis</w:t>
      </w:r>
      <w:proofErr w:type="spellEnd"/>
      <w:r w:rsidRPr="004437B2">
        <w:rPr>
          <w:rFonts w:ascii="Times New Roman" w:hAnsi="Times New Roman" w:cs="Times New Roman"/>
          <w:sz w:val="24"/>
          <w:szCs w:val="24"/>
        </w:rPr>
        <w:t xml:space="preserve"> et al.</w:t>
      </w:r>
      <w:r>
        <w:rPr>
          <w:rFonts w:ascii="Times New Roman" w:hAnsi="Times New Roman" w:cs="Times New Roman"/>
          <w:sz w:val="24"/>
          <w:szCs w:val="24"/>
        </w:rPr>
        <w:t>,</w:t>
      </w:r>
      <w:r w:rsidRPr="004437B2">
        <w:rPr>
          <w:rFonts w:ascii="Times New Roman" w:hAnsi="Times New Roman" w:cs="Times New Roman"/>
          <w:sz w:val="24"/>
          <w:szCs w:val="24"/>
        </w:rPr>
        <w:t xml:space="preserve"> 2017; </w:t>
      </w:r>
      <w:proofErr w:type="spellStart"/>
      <w:r w:rsidRPr="004437B2">
        <w:rPr>
          <w:rFonts w:ascii="Times New Roman" w:hAnsi="Times New Roman" w:cs="Times New Roman"/>
          <w:sz w:val="24"/>
          <w:szCs w:val="24"/>
        </w:rPr>
        <w:t>Nazlioglu</w:t>
      </w:r>
      <w:proofErr w:type="spellEnd"/>
      <w:r>
        <w:rPr>
          <w:rFonts w:ascii="Times New Roman" w:hAnsi="Times New Roman" w:cs="Times New Roman"/>
          <w:sz w:val="24"/>
          <w:szCs w:val="24"/>
        </w:rPr>
        <w:t xml:space="preserve"> et al.</w:t>
      </w:r>
      <w:r w:rsidRPr="004437B2">
        <w:rPr>
          <w:rFonts w:ascii="Times New Roman" w:hAnsi="Times New Roman" w:cs="Times New Roman"/>
          <w:sz w:val="24"/>
          <w:szCs w:val="24"/>
        </w:rPr>
        <w:t>, 2015).</w:t>
      </w:r>
    </w:p>
    <w:bookmarkEnd w:id="23"/>
    <w:p w14:paraId="18AE8AB4" w14:textId="77777777" w:rsidR="00521DE0" w:rsidRPr="004437B2" w:rsidRDefault="00521DE0" w:rsidP="00521DE0">
      <w:pPr>
        <w:snapToGrid w:val="0"/>
        <w:spacing w:after="0" w:line="480" w:lineRule="auto"/>
        <w:jc w:val="both"/>
        <w:rPr>
          <w:rFonts w:ascii="Times New Roman" w:hAnsi="Times New Roman" w:cs="Times New Roman"/>
          <w:sz w:val="24"/>
          <w:szCs w:val="24"/>
        </w:rPr>
      </w:pPr>
    </w:p>
    <w:p w14:paraId="7B0BD8D4" w14:textId="072CF4E7" w:rsidR="00521DE0" w:rsidRPr="004437B2" w:rsidRDefault="00521DE0" w:rsidP="00521DE0">
      <w:pPr>
        <w:snapToGrid w:val="0"/>
        <w:spacing w:after="0" w:line="480" w:lineRule="auto"/>
        <w:jc w:val="both"/>
        <w:rPr>
          <w:rFonts w:ascii="Times New Roman" w:hAnsi="Times New Roman" w:cs="Times New Roman"/>
          <w:sz w:val="24"/>
          <w:szCs w:val="24"/>
        </w:rPr>
      </w:pPr>
      <w:r w:rsidRPr="004437B2">
        <w:rPr>
          <w:rFonts w:ascii="Times New Roman" w:hAnsi="Times New Roman" w:cs="Times New Roman"/>
          <w:sz w:val="24"/>
          <w:szCs w:val="24"/>
        </w:rPr>
        <w:t>It is also evident that the impacts of demand-side shocks on economic uncertainty are dramatically different between the high</w:t>
      </w:r>
      <w:r>
        <w:rPr>
          <w:rFonts w:ascii="Times New Roman" w:hAnsi="Times New Roman" w:cs="Times New Roman"/>
          <w:sz w:val="24"/>
          <w:szCs w:val="24"/>
        </w:rPr>
        <w:t>-</w:t>
      </w:r>
      <w:r w:rsidRPr="004437B2">
        <w:rPr>
          <w:rFonts w:ascii="Times New Roman" w:hAnsi="Times New Roman" w:cs="Times New Roman"/>
          <w:sz w:val="24"/>
          <w:szCs w:val="24"/>
        </w:rPr>
        <w:t xml:space="preserve"> and low</w:t>
      </w:r>
      <w:r>
        <w:rPr>
          <w:rFonts w:ascii="Times New Roman" w:hAnsi="Times New Roman" w:cs="Times New Roman"/>
          <w:sz w:val="24"/>
          <w:szCs w:val="24"/>
        </w:rPr>
        <w:t>-</w:t>
      </w:r>
      <w:r w:rsidRPr="004437B2">
        <w:rPr>
          <w:rFonts w:ascii="Times New Roman" w:hAnsi="Times New Roman" w:cs="Times New Roman"/>
          <w:sz w:val="24"/>
          <w:szCs w:val="24"/>
        </w:rPr>
        <w:t xml:space="preserve">volatility regimes and </w:t>
      </w:r>
      <w:r>
        <w:rPr>
          <w:rFonts w:ascii="Times New Roman" w:hAnsi="Times New Roman" w:cs="Times New Roman"/>
          <w:sz w:val="24"/>
          <w:szCs w:val="24"/>
        </w:rPr>
        <w:t xml:space="preserve">that </w:t>
      </w:r>
      <w:r w:rsidRPr="004437B2">
        <w:rPr>
          <w:rFonts w:ascii="Times New Roman" w:hAnsi="Times New Roman" w:cs="Times New Roman"/>
          <w:sz w:val="24"/>
          <w:szCs w:val="24"/>
        </w:rPr>
        <w:t>these effects are asymmetric</w:t>
      </w:r>
      <w:r>
        <w:rPr>
          <w:rFonts w:ascii="Times New Roman" w:hAnsi="Times New Roman" w:cs="Times New Roman"/>
          <w:sz w:val="24"/>
          <w:szCs w:val="24"/>
        </w:rPr>
        <w:t>al</w:t>
      </w:r>
      <w:r w:rsidRPr="004437B2">
        <w:rPr>
          <w:rFonts w:ascii="Times New Roman" w:hAnsi="Times New Roman" w:cs="Times New Roman"/>
          <w:sz w:val="24"/>
          <w:szCs w:val="24"/>
        </w:rPr>
        <w:t xml:space="preserve"> in terms of the size and direction of the uncertainty responses to oil shocks in the two regimes. The estimated IRFs (reported in the 2</w:t>
      </w:r>
      <w:r w:rsidRPr="004437B2">
        <w:rPr>
          <w:rFonts w:ascii="Times New Roman" w:hAnsi="Times New Roman" w:cs="Times New Roman"/>
          <w:sz w:val="24"/>
          <w:szCs w:val="24"/>
          <w:vertAlign w:val="superscript"/>
        </w:rPr>
        <w:t>nd</w:t>
      </w:r>
      <w:r w:rsidRPr="004437B2">
        <w:rPr>
          <w:rFonts w:ascii="Times New Roman" w:hAnsi="Times New Roman" w:cs="Times New Roman"/>
          <w:sz w:val="24"/>
          <w:szCs w:val="24"/>
        </w:rPr>
        <w:t xml:space="preserve"> row in Figure 4) show that economic activity shock has a persistent and profound negative impact on economic uncertainty and a u</w:t>
      </w:r>
      <w:r>
        <w:rPr>
          <w:rFonts w:ascii="Times New Roman" w:hAnsi="Times New Roman" w:cs="Times New Roman"/>
          <w:sz w:val="24"/>
          <w:szCs w:val="24"/>
        </w:rPr>
        <w:t>nit</w:t>
      </w:r>
      <w:r w:rsidRPr="004437B2">
        <w:rPr>
          <w:rFonts w:ascii="Times New Roman" w:hAnsi="Times New Roman" w:cs="Times New Roman"/>
          <w:sz w:val="24"/>
          <w:szCs w:val="24"/>
        </w:rPr>
        <w:t xml:space="preserve"> increase in the economic activity shock is associated with a fall in economic uncertainty of about </w:t>
      </w:r>
      <w:r>
        <w:rPr>
          <w:rFonts w:ascii="Times New Roman" w:hAnsi="Times New Roman" w:cs="Times New Roman"/>
          <w:sz w:val="24"/>
          <w:szCs w:val="24"/>
        </w:rPr>
        <w:t>0.02</w:t>
      </w:r>
      <w:r w:rsidRPr="004437B2">
        <w:rPr>
          <w:rFonts w:ascii="Times New Roman" w:hAnsi="Times New Roman" w:cs="Times New Roman"/>
          <w:sz w:val="24"/>
          <w:szCs w:val="24"/>
        </w:rPr>
        <w:t xml:space="preserve"> after 12 months in turbulent periods. This is in contrast with a statistically significant positive impact during the calm periods, e.g., a 1</w:t>
      </w:r>
      <w:r w:rsidR="003B0891">
        <w:rPr>
          <w:rFonts w:ascii="Times New Roman" w:hAnsi="Times New Roman" w:cs="Times New Roman"/>
          <w:sz w:val="24"/>
          <w:szCs w:val="24"/>
        </w:rPr>
        <w:t>-</w:t>
      </w:r>
      <w:r>
        <w:rPr>
          <w:rFonts w:ascii="Times New Roman" w:hAnsi="Times New Roman" w:cs="Times New Roman"/>
          <w:sz w:val="24"/>
          <w:szCs w:val="24"/>
        </w:rPr>
        <w:t>unit</w:t>
      </w:r>
      <w:r w:rsidRPr="004437B2">
        <w:rPr>
          <w:rFonts w:ascii="Times New Roman" w:hAnsi="Times New Roman" w:cs="Times New Roman"/>
          <w:sz w:val="24"/>
          <w:szCs w:val="24"/>
        </w:rPr>
        <w:t xml:space="preserve"> increase in the economic activity shock leads to a rise in economic uncertainty of about </w:t>
      </w:r>
      <w:r>
        <w:rPr>
          <w:rFonts w:ascii="Times New Roman" w:hAnsi="Times New Roman" w:cs="Times New Roman"/>
          <w:sz w:val="24"/>
          <w:szCs w:val="24"/>
        </w:rPr>
        <w:t>0.004</w:t>
      </w:r>
      <w:r w:rsidRPr="004437B2">
        <w:rPr>
          <w:rFonts w:ascii="Times New Roman" w:hAnsi="Times New Roman" w:cs="Times New Roman"/>
          <w:sz w:val="24"/>
          <w:szCs w:val="24"/>
        </w:rPr>
        <w:t xml:space="preserve"> after 1 year. Furthermore, we find new evidence that uncertainty responds positively to inventory demand shocks during the high</w:t>
      </w:r>
      <w:r>
        <w:rPr>
          <w:rFonts w:ascii="Times New Roman" w:hAnsi="Times New Roman" w:cs="Times New Roman"/>
          <w:sz w:val="24"/>
          <w:szCs w:val="24"/>
        </w:rPr>
        <w:t>-</w:t>
      </w:r>
      <w:r w:rsidRPr="004437B2">
        <w:rPr>
          <w:rFonts w:ascii="Times New Roman" w:hAnsi="Times New Roman" w:cs="Times New Roman"/>
          <w:sz w:val="24"/>
          <w:szCs w:val="24"/>
        </w:rPr>
        <w:t xml:space="preserve">volatility periods. There is a positive and statistically significant response of uncertainty to inventory demand shocks </w:t>
      </w:r>
      <w:r>
        <w:rPr>
          <w:rFonts w:ascii="Times New Roman" w:hAnsi="Times New Roman" w:cs="Times New Roman"/>
          <w:sz w:val="24"/>
          <w:szCs w:val="24"/>
        </w:rPr>
        <w:t>after</w:t>
      </w:r>
      <w:r w:rsidRPr="004437B2">
        <w:rPr>
          <w:rFonts w:ascii="Times New Roman" w:hAnsi="Times New Roman" w:cs="Times New Roman"/>
          <w:sz w:val="24"/>
          <w:szCs w:val="24"/>
        </w:rPr>
        <w:t xml:space="preserve"> 16 months</w:t>
      </w:r>
      <w:r>
        <w:rPr>
          <w:rFonts w:ascii="Times New Roman" w:hAnsi="Times New Roman" w:cs="Times New Roman"/>
          <w:sz w:val="24"/>
          <w:szCs w:val="24"/>
        </w:rPr>
        <w:t>,</w:t>
      </w:r>
      <w:r w:rsidRPr="004437B2">
        <w:rPr>
          <w:rFonts w:ascii="Times New Roman" w:hAnsi="Times New Roman" w:cs="Times New Roman"/>
          <w:sz w:val="24"/>
          <w:szCs w:val="24"/>
        </w:rPr>
        <w:t xml:space="preserve"> </w:t>
      </w:r>
      <w:r>
        <w:rPr>
          <w:rFonts w:ascii="Times New Roman" w:hAnsi="Times New Roman" w:cs="Times New Roman"/>
          <w:sz w:val="24"/>
          <w:szCs w:val="24"/>
        </w:rPr>
        <w:t>although</w:t>
      </w:r>
      <w:r w:rsidRPr="004437B2">
        <w:rPr>
          <w:rFonts w:ascii="Times New Roman" w:hAnsi="Times New Roman" w:cs="Times New Roman"/>
          <w:sz w:val="24"/>
          <w:szCs w:val="24"/>
        </w:rPr>
        <w:t xml:space="preserve"> the size of the response is relatively small</w:t>
      </w:r>
      <w:r>
        <w:rPr>
          <w:rFonts w:ascii="Times New Roman" w:hAnsi="Times New Roman" w:cs="Times New Roman"/>
          <w:sz w:val="24"/>
          <w:szCs w:val="24"/>
        </w:rPr>
        <w:t xml:space="preserve">; </w:t>
      </w:r>
      <w:r w:rsidRPr="004437B2">
        <w:rPr>
          <w:rFonts w:ascii="Times New Roman" w:hAnsi="Times New Roman" w:cs="Times New Roman"/>
          <w:sz w:val="24"/>
          <w:szCs w:val="24"/>
        </w:rPr>
        <w:t>a 1</w:t>
      </w:r>
      <w:r w:rsidR="003B0891">
        <w:rPr>
          <w:rFonts w:ascii="Times New Roman" w:hAnsi="Times New Roman" w:cs="Times New Roman"/>
          <w:sz w:val="24"/>
          <w:szCs w:val="24"/>
        </w:rPr>
        <w:t>-</w:t>
      </w:r>
      <w:r>
        <w:rPr>
          <w:rFonts w:ascii="Times New Roman" w:hAnsi="Times New Roman" w:cs="Times New Roman"/>
          <w:sz w:val="24"/>
          <w:szCs w:val="24"/>
        </w:rPr>
        <w:t>unit</w:t>
      </w:r>
      <w:r w:rsidRPr="004437B2">
        <w:rPr>
          <w:rFonts w:ascii="Times New Roman" w:hAnsi="Times New Roman" w:cs="Times New Roman"/>
          <w:sz w:val="24"/>
          <w:szCs w:val="24"/>
        </w:rPr>
        <w:t xml:space="preserve"> increase in inventory demand shock </w:t>
      </w:r>
      <w:r>
        <w:rPr>
          <w:rFonts w:ascii="Times New Roman" w:hAnsi="Times New Roman" w:cs="Times New Roman"/>
          <w:sz w:val="24"/>
          <w:szCs w:val="24"/>
        </w:rPr>
        <w:t>leads to</w:t>
      </w:r>
      <w:r w:rsidRPr="004437B2">
        <w:rPr>
          <w:rFonts w:ascii="Times New Roman" w:hAnsi="Times New Roman" w:cs="Times New Roman"/>
          <w:sz w:val="24"/>
          <w:szCs w:val="24"/>
        </w:rPr>
        <w:t xml:space="preserve"> a</w:t>
      </w:r>
      <w:r>
        <w:rPr>
          <w:rFonts w:ascii="Times New Roman" w:hAnsi="Times New Roman" w:cs="Times New Roman"/>
          <w:sz w:val="24"/>
          <w:szCs w:val="24"/>
        </w:rPr>
        <w:t xml:space="preserve"> 0.002</w:t>
      </w:r>
      <w:r w:rsidRPr="004437B2">
        <w:rPr>
          <w:rFonts w:ascii="Times New Roman" w:hAnsi="Times New Roman" w:cs="Times New Roman"/>
          <w:sz w:val="24"/>
          <w:szCs w:val="24"/>
        </w:rPr>
        <w:t xml:space="preserve"> rise </w:t>
      </w:r>
      <w:r>
        <w:rPr>
          <w:rFonts w:ascii="Times New Roman" w:hAnsi="Times New Roman" w:cs="Times New Roman"/>
          <w:sz w:val="24"/>
          <w:szCs w:val="24"/>
        </w:rPr>
        <w:t>in</w:t>
      </w:r>
      <w:r w:rsidRPr="004437B2">
        <w:rPr>
          <w:rFonts w:ascii="Times New Roman" w:hAnsi="Times New Roman" w:cs="Times New Roman"/>
          <w:sz w:val="24"/>
          <w:szCs w:val="24"/>
        </w:rPr>
        <w:t xml:space="preserve"> uncertainty. This empirical result lends support to Baumeister and Hamilton (2018), who suggest </w:t>
      </w:r>
      <w:r>
        <w:rPr>
          <w:rFonts w:ascii="Times New Roman" w:hAnsi="Times New Roman" w:cs="Times New Roman"/>
          <w:sz w:val="24"/>
          <w:szCs w:val="24"/>
        </w:rPr>
        <w:t xml:space="preserve">that </w:t>
      </w:r>
      <w:r w:rsidRPr="004437B2">
        <w:rPr>
          <w:rFonts w:ascii="Times New Roman" w:hAnsi="Times New Roman" w:cs="Times New Roman"/>
          <w:sz w:val="24"/>
          <w:szCs w:val="24"/>
        </w:rPr>
        <w:t xml:space="preserve">changes in oil inventory demand appear to </w:t>
      </w:r>
      <w:r>
        <w:rPr>
          <w:rFonts w:ascii="Times New Roman" w:hAnsi="Times New Roman" w:cs="Times New Roman"/>
          <w:sz w:val="24"/>
          <w:szCs w:val="24"/>
        </w:rPr>
        <w:t>have</w:t>
      </w:r>
      <w:r w:rsidRPr="004437B2">
        <w:rPr>
          <w:rFonts w:ascii="Times New Roman" w:hAnsi="Times New Roman" w:cs="Times New Roman"/>
          <w:sz w:val="24"/>
          <w:szCs w:val="24"/>
        </w:rPr>
        <w:t xml:space="preserve"> a smaller </w:t>
      </w:r>
      <w:r>
        <w:rPr>
          <w:rFonts w:ascii="Times New Roman" w:hAnsi="Times New Roman" w:cs="Times New Roman"/>
          <w:sz w:val="24"/>
          <w:szCs w:val="24"/>
        </w:rPr>
        <w:t>effect on</w:t>
      </w:r>
      <w:r w:rsidRPr="004437B2">
        <w:rPr>
          <w:rFonts w:ascii="Times New Roman" w:hAnsi="Times New Roman" w:cs="Times New Roman"/>
          <w:sz w:val="24"/>
          <w:szCs w:val="24"/>
        </w:rPr>
        <w:t xml:space="preserve"> oil price movements than implied by early literature. The result also </w:t>
      </w:r>
      <w:r>
        <w:rPr>
          <w:rFonts w:ascii="Times New Roman" w:hAnsi="Times New Roman" w:cs="Times New Roman"/>
          <w:sz w:val="24"/>
          <w:szCs w:val="24"/>
        </w:rPr>
        <w:t>aligns</w:t>
      </w:r>
      <w:r w:rsidRPr="004437B2">
        <w:rPr>
          <w:rFonts w:ascii="Times New Roman" w:hAnsi="Times New Roman" w:cs="Times New Roman"/>
          <w:sz w:val="24"/>
          <w:szCs w:val="24"/>
        </w:rPr>
        <w:t xml:space="preserve"> with existing studies (e.g. Baumeister and Hamilton, 2018; Juvenal and Petrella, 2015) that </w:t>
      </w:r>
      <w:r>
        <w:rPr>
          <w:rFonts w:ascii="Times New Roman" w:hAnsi="Times New Roman" w:cs="Times New Roman"/>
          <w:sz w:val="24"/>
          <w:szCs w:val="24"/>
        </w:rPr>
        <w:t xml:space="preserve">demonstrate </w:t>
      </w:r>
      <w:r w:rsidRPr="004437B2">
        <w:rPr>
          <w:rFonts w:ascii="Times New Roman" w:hAnsi="Times New Roman" w:cs="Times New Roman"/>
          <w:sz w:val="24"/>
          <w:szCs w:val="24"/>
        </w:rPr>
        <w:t xml:space="preserve">the negative </w:t>
      </w:r>
      <w:r w:rsidRPr="004437B2">
        <w:rPr>
          <w:rFonts w:ascii="Times New Roman" w:hAnsi="Times New Roman" w:cs="Times New Roman"/>
          <w:sz w:val="24"/>
          <w:szCs w:val="24"/>
        </w:rPr>
        <w:lastRenderedPageBreak/>
        <w:t>impacts of oil inventory (speculative) demand shock on economic activity. However, during high</w:t>
      </w:r>
      <w:r>
        <w:rPr>
          <w:rFonts w:ascii="Times New Roman" w:hAnsi="Times New Roman" w:cs="Times New Roman"/>
          <w:sz w:val="24"/>
          <w:szCs w:val="24"/>
        </w:rPr>
        <w:t>-</w:t>
      </w:r>
      <w:r w:rsidRPr="004437B2">
        <w:rPr>
          <w:rFonts w:ascii="Times New Roman" w:hAnsi="Times New Roman" w:cs="Times New Roman"/>
          <w:sz w:val="24"/>
          <w:szCs w:val="24"/>
        </w:rPr>
        <w:t>volatility periods, we still observe a peculiar effect of negative responses of uncertainty to a positive inventory demand shock</w:t>
      </w:r>
      <w:r>
        <w:rPr>
          <w:rFonts w:ascii="Times New Roman" w:hAnsi="Times New Roman" w:cs="Times New Roman"/>
          <w:sz w:val="24"/>
          <w:szCs w:val="24"/>
        </w:rPr>
        <w:t>. F</w:t>
      </w:r>
      <w:r w:rsidRPr="004437B2">
        <w:rPr>
          <w:rFonts w:ascii="Times New Roman" w:hAnsi="Times New Roman" w:cs="Times New Roman"/>
          <w:sz w:val="24"/>
          <w:szCs w:val="24"/>
        </w:rPr>
        <w:t xml:space="preserve">urther work </w:t>
      </w:r>
      <w:r>
        <w:rPr>
          <w:rFonts w:ascii="Times New Roman" w:hAnsi="Times New Roman" w:cs="Times New Roman"/>
          <w:sz w:val="24"/>
          <w:szCs w:val="24"/>
        </w:rPr>
        <w:t>is required to</w:t>
      </w:r>
      <w:r w:rsidRPr="004437B2">
        <w:rPr>
          <w:rFonts w:ascii="Times New Roman" w:hAnsi="Times New Roman" w:cs="Times New Roman"/>
          <w:sz w:val="24"/>
          <w:szCs w:val="24"/>
        </w:rPr>
        <w:t xml:space="preserve"> explain the underlying transmission mechanism. Last, we find statistically significant and positive impacts of oil-market</w:t>
      </w:r>
      <w:r>
        <w:rPr>
          <w:rFonts w:ascii="Times New Roman" w:hAnsi="Times New Roman" w:cs="Times New Roman"/>
          <w:sz w:val="24"/>
          <w:szCs w:val="24"/>
        </w:rPr>
        <w:t>-</w:t>
      </w:r>
      <w:r w:rsidRPr="004437B2">
        <w:rPr>
          <w:rFonts w:ascii="Times New Roman" w:hAnsi="Times New Roman" w:cs="Times New Roman"/>
          <w:sz w:val="24"/>
          <w:szCs w:val="24"/>
        </w:rPr>
        <w:t xml:space="preserve">specific demand shocks on uncertainty after </w:t>
      </w:r>
      <w:r>
        <w:rPr>
          <w:rFonts w:ascii="Times New Roman" w:hAnsi="Times New Roman" w:cs="Times New Roman"/>
          <w:sz w:val="24"/>
          <w:szCs w:val="24"/>
        </w:rPr>
        <w:t>six</w:t>
      </w:r>
      <w:r w:rsidRPr="004437B2">
        <w:rPr>
          <w:rFonts w:ascii="Times New Roman" w:hAnsi="Times New Roman" w:cs="Times New Roman"/>
          <w:sz w:val="24"/>
          <w:szCs w:val="24"/>
        </w:rPr>
        <w:t xml:space="preserve"> months</w:t>
      </w:r>
      <w:r w:rsidRPr="004437B2">
        <w:t xml:space="preserve"> </w:t>
      </w:r>
      <w:r w:rsidRPr="004437B2">
        <w:rPr>
          <w:rFonts w:ascii="Times New Roman" w:hAnsi="Times New Roman" w:cs="Times New Roman"/>
          <w:sz w:val="24"/>
          <w:szCs w:val="24"/>
        </w:rPr>
        <w:t xml:space="preserve">in </w:t>
      </w:r>
      <w:r>
        <w:rPr>
          <w:rFonts w:ascii="Times New Roman" w:hAnsi="Times New Roman" w:cs="Times New Roman"/>
          <w:sz w:val="24"/>
          <w:szCs w:val="24"/>
        </w:rPr>
        <w:t xml:space="preserve">low-volatility </w:t>
      </w:r>
      <w:r w:rsidRPr="004437B2">
        <w:rPr>
          <w:rFonts w:ascii="Times New Roman" w:hAnsi="Times New Roman" w:cs="Times New Roman"/>
          <w:sz w:val="24"/>
          <w:szCs w:val="24"/>
        </w:rPr>
        <w:t xml:space="preserve">periods, </w:t>
      </w:r>
      <w:r>
        <w:rPr>
          <w:rFonts w:ascii="Times New Roman" w:hAnsi="Times New Roman" w:cs="Times New Roman"/>
          <w:sz w:val="24"/>
          <w:szCs w:val="24"/>
        </w:rPr>
        <w:t>corroborating</w:t>
      </w:r>
      <w:r w:rsidRPr="004437B2">
        <w:rPr>
          <w:rFonts w:ascii="Times New Roman" w:hAnsi="Times New Roman" w:cs="Times New Roman"/>
          <w:sz w:val="24"/>
          <w:szCs w:val="24"/>
        </w:rPr>
        <w:t xml:space="preserve"> previous findings (e.g. Kang and </w:t>
      </w:r>
      <w:proofErr w:type="spellStart"/>
      <w:r w:rsidRPr="004437B2">
        <w:rPr>
          <w:rFonts w:ascii="Times New Roman" w:hAnsi="Times New Roman" w:cs="Times New Roman"/>
          <w:sz w:val="24"/>
          <w:szCs w:val="24"/>
        </w:rPr>
        <w:t>Ratti</w:t>
      </w:r>
      <w:proofErr w:type="spellEnd"/>
      <w:r>
        <w:rPr>
          <w:rFonts w:ascii="Times New Roman" w:hAnsi="Times New Roman" w:cs="Times New Roman"/>
          <w:sz w:val="24"/>
          <w:szCs w:val="24"/>
        </w:rPr>
        <w:t>,</w:t>
      </w:r>
      <w:r w:rsidRPr="004437B2">
        <w:rPr>
          <w:rFonts w:ascii="Times New Roman" w:hAnsi="Times New Roman" w:cs="Times New Roman"/>
          <w:sz w:val="24"/>
          <w:szCs w:val="24"/>
        </w:rPr>
        <w:t xml:space="preserve"> 2003a</w:t>
      </w:r>
      <w:r>
        <w:rPr>
          <w:rFonts w:ascii="Times New Roman" w:hAnsi="Times New Roman" w:cs="Times New Roman"/>
          <w:sz w:val="24"/>
          <w:szCs w:val="24"/>
        </w:rPr>
        <w:t>,</w:t>
      </w:r>
      <w:r w:rsidRPr="004437B2">
        <w:rPr>
          <w:rFonts w:ascii="Times New Roman" w:hAnsi="Times New Roman" w:cs="Times New Roman"/>
          <w:sz w:val="24"/>
          <w:szCs w:val="24"/>
        </w:rPr>
        <w:t xml:space="preserve"> 2003b</w:t>
      </w:r>
      <w:r>
        <w:rPr>
          <w:rFonts w:ascii="Times New Roman" w:hAnsi="Times New Roman" w:cs="Times New Roman"/>
          <w:sz w:val="24"/>
          <w:szCs w:val="24"/>
        </w:rPr>
        <w:t>,</w:t>
      </w:r>
      <w:r w:rsidRPr="004437B2">
        <w:rPr>
          <w:rFonts w:ascii="Times New Roman" w:hAnsi="Times New Roman" w:cs="Times New Roman"/>
          <w:sz w:val="24"/>
          <w:szCs w:val="24"/>
        </w:rPr>
        <w:t xml:space="preserve"> 2015; Kang et al.</w:t>
      </w:r>
      <w:r>
        <w:rPr>
          <w:rFonts w:ascii="Times New Roman" w:hAnsi="Times New Roman" w:cs="Times New Roman"/>
          <w:sz w:val="24"/>
          <w:szCs w:val="24"/>
        </w:rPr>
        <w:t>,</w:t>
      </w:r>
      <w:r w:rsidRPr="004437B2">
        <w:rPr>
          <w:rFonts w:ascii="Times New Roman" w:hAnsi="Times New Roman" w:cs="Times New Roman"/>
          <w:sz w:val="24"/>
          <w:szCs w:val="24"/>
        </w:rPr>
        <w:t xml:space="preserve"> 2017) that positive responses of uncertainty to oil-market</w:t>
      </w:r>
      <w:r>
        <w:rPr>
          <w:rFonts w:ascii="Times New Roman" w:hAnsi="Times New Roman" w:cs="Times New Roman"/>
          <w:sz w:val="24"/>
          <w:szCs w:val="24"/>
        </w:rPr>
        <w:t>-</w:t>
      </w:r>
      <w:r w:rsidRPr="004437B2">
        <w:rPr>
          <w:rFonts w:ascii="Times New Roman" w:hAnsi="Times New Roman" w:cs="Times New Roman"/>
          <w:sz w:val="24"/>
          <w:szCs w:val="24"/>
        </w:rPr>
        <w:t>specific demand shocks. Our results also show statistically significant and negative impacts of oil-market</w:t>
      </w:r>
      <w:r>
        <w:rPr>
          <w:rFonts w:ascii="Times New Roman" w:hAnsi="Times New Roman" w:cs="Times New Roman"/>
          <w:sz w:val="24"/>
          <w:szCs w:val="24"/>
        </w:rPr>
        <w:t>-</w:t>
      </w:r>
      <w:r w:rsidRPr="004437B2">
        <w:rPr>
          <w:rFonts w:ascii="Times New Roman" w:hAnsi="Times New Roman" w:cs="Times New Roman"/>
          <w:sz w:val="24"/>
          <w:szCs w:val="24"/>
        </w:rPr>
        <w:t xml:space="preserve">specific demand shocks on uncertainty after </w:t>
      </w:r>
      <w:r>
        <w:rPr>
          <w:rFonts w:ascii="Times New Roman" w:hAnsi="Times New Roman" w:cs="Times New Roman"/>
          <w:sz w:val="24"/>
          <w:szCs w:val="24"/>
        </w:rPr>
        <w:t>five</w:t>
      </w:r>
      <w:r w:rsidRPr="004437B2">
        <w:rPr>
          <w:rFonts w:ascii="Times New Roman" w:hAnsi="Times New Roman" w:cs="Times New Roman"/>
          <w:sz w:val="24"/>
          <w:szCs w:val="24"/>
        </w:rPr>
        <w:t xml:space="preserve"> months during high</w:t>
      </w:r>
      <w:r>
        <w:rPr>
          <w:rFonts w:ascii="Times New Roman" w:hAnsi="Times New Roman" w:cs="Times New Roman"/>
          <w:sz w:val="24"/>
          <w:szCs w:val="24"/>
        </w:rPr>
        <w:t>-</w:t>
      </w:r>
      <w:r w:rsidRPr="004437B2">
        <w:rPr>
          <w:rFonts w:ascii="Times New Roman" w:hAnsi="Times New Roman" w:cs="Times New Roman"/>
          <w:sz w:val="24"/>
          <w:szCs w:val="24"/>
        </w:rPr>
        <w:t>volatility periods, which indicate</w:t>
      </w:r>
      <w:r>
        <w:rPr>
          <w:rFonts w:ascii="Times New Roman" w:hAnsi="Times New Roman" w:cs="Times New Roman"/>
          <w:sz w:val="24"/>
          <w:szCs w:val="24"/>
        </w:rPr>
        <w:t>s</w:t>
      </w:r>
      <w:r w:rsidRPr="004437B2">
        <w:rPr>
          <w:rFonts w:ascii="Times New Roman" w:hAnsi="Times New Roman" w:cs="Times New Roman"/>
          <w:sz w:val="24"/>
          <w:szCs w:val="24"/>
        </w:rPr>
        <w:t xml:space="preserve"> that oil consumption demand shocks can be interpreted as good news and reduce economic uncertainty during turbulent periods when market participants are extremely nervous about the economic outlook.</w:t>
      </w:r>
    </w:p>
    <w:p w14:paraId="108A3B20" w14:textId="77777777" w:rsidR="00521DE0" w:rsidRPr="004437B2" w:rsidRDefault="00521DE0" w:rsidP="00521DE0">
      <w:pPr>
        <w:spacing w:after="0" w:line="360" w:lineRule="auto"/>
        <w:jc w:val="both"/>
        <w:rPr>
          <w:rFonts w:ascii="Times New Roman" w:hAnsi="Times New Roman" w:cs="Times New Roman"/>
          <w:sz w:val="24"/>
          <w:szCs w:val="24"/>
        </w:rPr>
      </w:pPr>
    </w:p>
    <w:p w14:paraId="220AE2B7" w14:textId="77777777" w:rsidR="00521DE0" w:rsidRPr="004437B2" w:rsidRDefault="00521DE0" w:rsidP="004F51DA">
      <w:pPr>
        <w:pStyle w:val="Heading2"/>
      </w:pPr>
      <w:r>
        <w:t xml:space="preserve">3.4 </w:t>
      </w:r>
      <w:r w:rsidRPr="004437B2">
        <w:t>Oil</w:t>
      </w:r>
      <w:r>
        <w:t>-</w:t>
      </w:r>
      <w:r w:rsidRPr="004437B2">
        <w:t xml:space="preserve">importing versus </w:t>
      </w:r>
      <w:r>
        <w:t>o</w:t>
      </w:r>
      <w:r w:rsidRPr="004437B2">
        <w:t>il</w:t>
      </w:r>
      <w:r>
        <w:t>-</w:t>
      </w:r>
      <w:r w:rsidRPr="004437B2">
        <w:t>exporting countries</w:t>
      </w:r>
    </w:p>
    <w:p w14:paraId="16A840C7" w14:textId="3B2866F1" w:rsidR="00521DE0" w:rsidRPr="004437B2" w:rsidRDefault="00521DE0" w:rsidP="00521DE0">
      <w:pPr>
        <w:snapToGrid w:val="0"/>
        <w:spacing w:after="0" w:line="480" w:lineRule="auto"/>
        <w:jc w:val="both"/>
        <w:rPr>
          <w:rFonts w:ascii="Times New Roman" w:hAnsi="Times New Roman" w:cs="Times New Roman"/>
          <w:sz w:val="24"/>
          <w:szCs w:val="24"/>
        </w:rPr>
      </w:pPr>
      <w:r w:rsidRPr="004437B2">
        <w:rPr>
          <w:rFonts w:ascii="Times New Roman" w:hAnsi="Times New Roman" w:cs="Times New Roman"/>
          <w:sz w:val="24"/>
          <w:szCs w:val="24"/>
        </w:rPr>
        <w:t xml:space="preserve">To examine </w:t>
      </w:r>
      <w:r>
        <w:rPr>
          <w:rFonts w:ascii="Times New Roman" w:hAnsi="Times New Roman" w:cs="Times New Roman"/>
          <w:sz w:val="24"/>
          <w:szCs w:val="24"/>
        </w:rPr>
        <w:t>whether</w:t>
      </w:r>
      <w:r w:rsidRPr="004437B2">
        <w:rPr>
          <w:rFonts w:ascii="Times New Roman" w:hAnsi="Times New Roman" w:cs="Times New Roman"/>
          <w:sz w:val="24"/>
          <w:szCs w:val="24"/>
        </w:rPr>
        <w:t xml:space="preserve"> oil shocks </w:t>
      </w:r>
      <w:r>
        <w:rPr>
          <w:rFonts w:ascii="Times New Roman" w:hAnsi="Times New Roman" w:cs="Times New Roman"/>
          <w:sz w:val="24"/>
          <w:szCs w:val="24"/>
        </w:rPr>
        <w:t>have a differential e</w:t>
      </w:r>
      <w:r w:rsidRPr="004437B2">
        <w:rPr>
          <w:rFonts w:ascii="Times New Roman" w:hAnsi="Times New Roman" w:cs="Times New Roman"/>
          <w:sz w:val="24"/>
          <w:szCs w:val="24"/>
        </w:rPr>
        <w:t xml:space="preserve">ffect </w:t>
      </w:r>
      <w:r>
        <w:rPr>
          <w:rFonts w:ascii="Times New Roman" w:hAnsi="Times New Roman" w:cs="Times New Roman"/>
          <w:sz w:val="24"/>
          <w:szCs w:val="24"/>
        </w:rPr>
        <w:t xml:space="preserve">on </w:t>
      </w:r>
      <w:r w:rsidRPr="004437B2">
        <w:rPr>
          <w:rFonts w:ascii="Times New Roman" w:hAnsi="Times New Roman" w:cs="Times New Roman"/>
          <w:sz w:val="24"/>
          <w:szCs w:val="24"/>
        </w:rPr>
        <w:t xml:space="preserve">macroeconomic uncertainty </w:t>
      </w:r>
      <w:r>
        <w:rPr>
          <w:rFonts w:ascii="Times New Roman" w:hAnsi="Times New Roman" w:cs="Times New Roman"/>
          <w:sz w:val="24"/>
          <w:szCs w:val="24"/>
        </w:rPr>
        <w:t>in</w:t>
      </w:r>
      <w:r w:rsidRPr="004437B2">
        <w:rPr>
          <w:rFonts w:ascii="Times New Roman" w:hAnsi="Times New Roman" w:cs="Times New Roman"/>
          <w:sz w:val="24"/>
          <w:szCs w:val="24"/>
        </w:rPr>
        <w:t xml:space="preserve"> net oil-importing and oil-exporting countries, we introduce a dummy variable that equals 1 for net oil exporters and 0 otherwise into the model specified in E</w:t>
      </w:r>
      <w:r>
        <w:rPr>
          <w:rFonts w:ascii="Times New Roman" w:hAnsi="Times New Roman" w:cs="Times New Roman"/>
          <w:sz w:val="24"/>
          <w:szCs w:val="24"/>
        </w:rPr>
        <w:t xml:space="preserve">q. </w:t>
      </w:r>
      <w:r w:rsidRPr="004437B2">
        <w:rPr>
          <w:rFonts w:ascii="Times New Roman" w:hAnsi="Times New Roman" w:cs="Times New Roman"/>
          <w:sz w:val="24"/>
          <w:szCs w:val="24"/>
        </w:rPr>
        <w:t xml:space="preserve">(2). Figure 4 reports </w:t>
      </w:r>
      <w:r>
        <w:rPr>
          <w:rFonts w:ascii="Times New Roman" w:hAnsi="Times New Roman" w:cs="Times New Roman"/>
          <w:sz w:val="24"/>
          <w:szCs w:val="24"/>
        </w:rPr>
        <w:t xml:space="preserve">the </w:t>
      </w:r>
      <w:r w:rsidRPr="004437B2">
        <w:rPr>
          <w:rFonts w:ascii="Times New Roman" w:hAnsi="Times New Roman" w:cs="Times New Roman"/>
          <w:sz w:val="24"/>
          <w:szCs w:val="24"/>
        </w:rPr>
        <w:t xml:space="preserve">IRFs of economic uncertainty </w:t>
      </w:r>
      <w:r>
        <w:rPr>
          <w:rFonts w:ascii="Times New Roman" w:hAnsi="Times New Roman" w:cs="Times New Roman"/>
          <w:sz w:val="24"/>
          <w:szCs w:val="24"/>
        </w:rPr>
        <w:t>for</w:t>
      </w:r>
      <w:r w:rsidRPr="004437B2">
        <w:rPr>
          <w:rFonts w:ascii="Times New Roman" w:hAnsi="Times New Roman" w:cs="Times New Roman"/>
          <w:sz w:val="24"/>
          <w:szCs w:val="24"/>
        </w:rPr>
        <w:t xml:space="preserve"> a 1</w:t>
      </w:r>
      <w:r w:rsidR="00AA480E">
        <w:rPr>
          <w:rFonts w:ascii="Times New Roman" w:hAnsi="Times New Roman" w:cs="Times New Roman"/>
          <w:sz w:val="24"/>
          <w:szCs w:val="24"/>
        </w:rPr>
        <w:t>-</w:t>
      </w:r>
      <w:r>
        <w:rPr>
          <w:rFonts w:ascii="Times New Roman" w:hAnsi="Times New Roman" w:cs="Times New Roman"/>
          <w:sz w:val="24"/>
          <w:szCs w:val="24"/>
        </w:rPr>
        <w:t>unit</w:t>
      </w:r>
      <w:r w:rsidRPr="004437B2">
        <w:rPr>
          <w:rFonts w:ascii="Times New Roman" w:hAnsi="Times New Roman" w:cs="Times New Roman"/>
          <w:sz w:val="24"/>
          <w:szCs w:val="24"/>
        </w:rPr>
        <w:t xml:space="preserve"> increase in oil shocks </w:t>
      </w:r>
      <w:r>
        <w:rPr>
          <w:rFonts w:ascii="Times New Roman" w:hAnsi="Times New Roman" w:cs="Times New Roman"/>
          <w:sz w:val="24"/>
          <w:szCs w:val="24"/>
        </w:rPr>
        <w:t>with</w:t>
      </w:r>
      <w:r w:rsidRPr="004437B2">
        <w:rPr>
          <w:rFonts w:ascii="Times New Roman" w:hAnsi="Times New Roman" w:cs="Times New Roman"/>
          <w:sz w:val="24"/>
          <w:szCs w:val="24"/>
        </w:rPr>
        <w:t>in 24 months for net oil-exporting countries (</w:t>
      </w:r>
      <w:r>
        <w:rPr>
          <w:rFonts w:ascii="Times New Roman" w:hAnsi="Times New Roman" w:cs="Times New Roman"/>
          <w:sz w:val="24"/>
          <w:szCs w:val="24"/>
        </w:rPr>
        <w:t>first</w:t>
      </w:r>
      <w:r w:rsidRPr="004437B2">
        <w:rPr>
          <w:rFonts w:ascii="Times New Roman" w:hAnsi="Times New Roman" w:cs="Times New Roman"/>
          <w:sz w:val="24"/>
          <w:szCs w:val="24"/>
        </w:rPr>
        <w:t xml:space="preserve"> column) and oil-importing countries (</w:t>
      </w:r>
      <w:r>
        <w:rPr>
          <w:rFonts w:ascii="Times New Roman" w:hAnsi="Times New Roman" w:cs="Times New Roman"/>
          <w:sz w:val="24"/>
          <w:szCs w:val="24"/>
        </w:rPr>
        <w:t>second</w:t>
      </w:r>
      <w:r w:rsidRPr="004437B2">
        <w:rPr>
          <w:rFonts w:ascii="Times New Roman" w:hAnsi="Times New Roman" w:cs="Times New Roman"/>
          <w:sz w:val="24"/>
          <w:szCs w:val="24"/>
        </w:rPr>
        <w:t xml:space="preserve"> column).</w:t>
      </w:r>
    </w:p>
    <w:p w14:paraId="4FC9D1E8" w14:textId="77777777" w:rsidR="00521DE0" w:rsidRPr="004437B2" w:rsidRDefault="00521DE0" w:rsidP="00521DE0">
      <w:pPr>
        <w:snapToGrid w:val="0"/>
        <w:spacing w:after="0" w:line="480" w:lineRule="auto"/>
        <w:jc w:val="both"/>
        <w:rPr>
          <w:rFonts w:ascii="Times New Roman" w:hAnsi="Times New Roman" w:cs="Times New Roman"/>
          <w:sz w:val="24"/>
          <w:szCs w:val="24"/>
        </w:rPr>
      </w:pPr>
    </w:p>
    <w:p w14:paraId="0C86934A" w14:textId="77777777" w:rsidR="00521DE0" w:rsidRPr="004437B2" w:rsidRDefault="00521DE0" w:rsidP="00521DE0">
      <w:pPr>
        <w:snapToGrid w:val="0"/>
        <w:spacing w:after="0" w:line="480" w:lineRule="auto"/>
        <w:jc w:val="both"/>
        <w:rPr>
          <w:rFonts w:ascii="Times New Roman" w:hAnsi="Times New Roman" w:cs="Times New Roman"/>
          <w:b/>
          <w:bCs/>
          <w:sz w:val="24"/>
          <w:szCs w:val="24"/>
        </w:rPr>
      </w:pPr>
      <w:r w:rsidRPr="004437B2">
        <w:rPr>
          <w:rFonts w:ascii="Times New Roman" w:hAnsi="Times New Roman" w:cs="Times New Roman"/>
          <w:b/>
          <w:bCs/>
          <w:sz w:val="24"/>
          <w:szCs w:val="24"/>
        </w:rPr>
        <w:t>[Insert Figure 4 about here]</w:t>
      </w:r>
    </w:p>
    <w:p w14:paraId="21CD47D7" w14:textId="77777777" w:rsidR="00521DE0" w:rsidRPr="004437B2" w:rsidRDefault="00521DE0" w:rsidP="00521DE0">
      <w:pPr>
        <w:snapToGrid w:val="0"/>
        <w:spacing w:after="0" w:line="480" w:lineRule="auto"/>
        <w:jc w:val="both"/>
        <w:rPr>
          <w:rFonts w:ascii="Times New Roman" w:hAnsi="Times New Roman" w:cs="Times New Roman"/>
          <w:sz w:val="24"/>
          <w:szCs w:val="24"/>
        </w:rPr>
      </w:pPr>
    </w:p>
    <w:p w14:paraId="5B49C14B" w14:textId="77777777" w:rsidR="00521DE0" w:rsidRPr="004437B2" w:rsidRDefault="00521DE0" w:rsidP="00521DE0">
      <w:pPr>
        <w:snapToGrid w:val="0"/>
        <w:spacing w:after="0" w:line="480" w:lineRule="auto"/>
        <w:jc w:val="both"/>
        <w:rPr>
          <w:rFonts w:ascii="Times New Roman" w:hAnsi="Times New Roman" w:cs="Times New Roman"/>
          <w:sz w:val="24"/>
          <w:szCs w:val="24"/>
        </w:rPr>
      </w:pPr>
      <w:r w:rsidRPr="004437B2">
        <w:rPr>
          <w:rFonts w:ascii="Times New Roman" w:hAnsi="Times New Roman" w:cs="Times New Roman"/>
          <w:sz w:val="24"/>
          <w:szCs w:val="24"/>
        </w:rPr>
        <w:t xml:space="preserve">Figure 4 shows that the estimated IRFs </w:t>
      </w:r>
      <w:r>
        <w:rPr>
          <w:rFonts w:ascii="Times New Roman" w:hAnsi="Times New Roman" w:cs="Times New Roman"/>
          <w:sz w:val="24"/>
          <w:szCs w:val="24"/>
        </w:rPr>
        <w:t xml:space="preserve">derived </w:t>
      </w:r>
      <w:r w:rsidRPr="004437B2">
        <w:rPr>
          <w:rFonts w:ascii="Times New Roman" w:hAnsi="Times New Roman" w:cs="Times New Roman"/>
          <w:sz w:val="24"/>
          <w:szCs w:val="24"/>
        </w:rPr>
        <w:t>from the nonlinear model are qualitatively similar to those from the linear model (reported in Figure 1). However, there are some differences in the strength and statistical significance of the IRFs between net oil-importing and exporting countries</w:t>
      </w:r>
      <w:r>
        <w:rPr>
          <w:rFonts w:ascii="Times New Roman" w:hAnsi="Times New Roman" w:cs="Times New Roman"/>
          <w:sz w:val="24"/>
          <w:szCs w:val="24"/>
        </w:rPr>
        <w:t>; w</w:t>
      </w:r>
      <w:r w:rsidRPr="004437B2">
        <w:rPr>
          <w:rFonts w:ascii="Times New Roman" w:hAnsi="Times New Roman" w:cs="Times New Roman"/>
          <w:sz w:val="24"/>
          <w:szCs w:val="24"/>
        </w:rPr>
        <w:t xml:space="preserve">e find that economic uncertainty in oil-importing countries tends to </w:t>
      </w:r>
      <w:r w:rsidRPr="004437B2">
        <w:rPr>
          <w:rFonts w:ascii="Times New Roman" w:hAnsi="Times New Roman" w:cs="Times New Roman"/>
          <w:sz w:val="24"/>
          <w:szCs w:val="24"/>
        </w:rPr>
        <w:lastRenderedPageBreak/>
        <w:t xml:space="preserve">be </w:t>
      </w:r>
      <w:r>
        <w:rPr>
          <w:rFonts w:ascii="Times New Roman" w:hAnsi="Times New Roman" w:cs="Times New Roman"/>
          <w:sz w:val="24"/>
          <w:szCs w:val="24"/>
        </w:rPr>
        <w:t xml:space="preserve">more </w:t>
      </w:r>
      <w:r w:rsidRPr="004437B2">
        <w:rPr>
          <w:rFonts w:ascii="Times New Roman" w:hAnsi="Times New Roman" w:cs="Times New Roman"/>
          <w:sz w:val="24"/>
          <w:szCs w:val="24"/>
        </w:rPr>
        <w:t>affected by oil price shocks than oil-exporting countries.</w:t>
      </w:r>
      <w:r>
        <w:rPr>
          <w:rStyle w:val="FootnoteReference"/>
          <w:rFonts w:ascii="Times New Roman" w:hAnsi="Times New Roman" w:cs="Times New Roman"/>
          <w:sz w:val="24"/>
          <w:szCs w:val="24"/>
        </w:rPr>
        <w:footnoteReference w:id="10"/>
      </w:r>
      <w:r w:rsidRPr="004437B2">
        <w:rPr>
          <w:rFonts w:ascii="Times New Roman" w:hAnsi="Times New Roman" w:cs="Times New Roman"/>
          <w:sz w:val="24"/>
          <w:szCs w:val="24"/>
        </w:rPr>
        <w:t xml:space="preserve"> This finding </w:t>
      </w:r>
      <w:r>
        <w:rPr>
          <w:rFonts w:ascii="Times New Roman" w:hAnsi="Times New Roman" w:cs="Times New Roman"/>
          <w:sz w:val="24"/>
          <w:szCs w:val="24"/>
        </w:rPr>
        <w:t>aligns</w:t>
      </w:r>
      <w:r w:rsidRPr="004437B2">
        <w:rPr>
          <w:rFonts w:ascii="Times New Roman" w:hAnsi="Times New Roman" w:cs="Times New Roman"/>
          <w:sz w:val="24"/>
          <w:szCs w:val="24"/>
        </w:rPr>
        <w:t xml:space="preserve"> with the existing literature (e.g. </w:t>
      </w:r>
      <w:proofErr w:type="spellStart"/>
      <w:r w:rsidRPr="004437B2">
        <w:rPr>
          <w:rFonts w:ascii="Times New Roman" w:hAnsi="Times New Roman" w:cs="Times New Roman"/>
          <w:sz w:val="24"/>
          <w:szCs w:val="24"/>
        </w:rPr>
        <w:t>Cunado</w:t>
      </w:r>
      <w:proofErr w:type="spellEnd"/>
      <w:r w:rsidRPr="004437B2">
        <w:rPr>
          <w:rFonts w:ascii="Times New Roman" w:hAnsi="Times New Roman" w:cs="Times New Roman"/>
          <w:sz w:val="24"/>
          <w:szCs w:val="24"/>
        </w:rPr>
        <w:t xml:space="preserve"> and De </w:t>
      </w:r>
      <w:proofErr w:type="spellStart"/>
      <w:r w:rsidRPr="004437B2">
        <w:rPr>
          <w:rFonts w:ascii="Times New Roman" w:hAnsi="Times New Roman" w:cs="Times New Roman"/>
          <w:sz w:val="24"/>
          <w:szCs w:val="24"/>
        </w:rPr>
        <w:t>Gracia</w:t>
      </w:r>
      <w:proofErr w:type="spellEnd"/>
      <w:r w:rsidRPr="004437B2">
        <w:rPr>
          <w:rFonts w:ascii="Times New Roman" w:hAnsi="Times New Roman" w:cs="Times New Roman"/>
          <w:sz w:val="24"/>
          <w:szCs w:val="24"/>
        </w:rPr>
        <w:t>, 2005)</w:t>
      </w:r>
      <w:r>
        <w:rPr>
          <w:rFonts w:ascii="Times New Roman" w:hAnsi="Times New Roman" w:cs="Times New Roman"/>
          <w:sz w:val="24"/>
          <w:szCs w:val="24"/>
        </w:rPr>
        <w:t xml:space="preserve">, </w:t>
      </w:r>
      <w:r w:rsidRPr="004437B2">
        <w:rPr>
          <w:rFonts w:ascii="Times New Roman" w:hAnsi="Times New Roman" w:cs="Times New Roman"/>
          <w:sz w:val="24"/>
          <w:szCs w:val="24"/>
        </w:rPr>
        <w:t>which shows that the macroeconomic response of oil importers to oil price shocks differs from that of oil-exporting countries.</w:t>
      </w:r>
      <w:bookmarkStart w:id="25" w:name="_Hlk34809555"/>
      <w:r w:rsidRPr="005D36B8">
        <w:rPr>
          <w:rStyle w:val="FootnoteReference"/>
          <w:rFonts w:ascii="Times New Roman" w:hAnsi="Times New Roman" w:cs="Times New Roman"/>
          <w:sz w:val="24"/>
          <w:szCs w:val="24"/>
        </w:rPr>
        <w:footnoteReference w:id="11"/>
      </w:r>
      <w:r w:rsidRPr="005D36B8">
        <w:rPr>
          <w:rFonts w:ascii="Times New Roman" w:hAnsi="Times New Roman" w:cs="Times New Roman"/>
          <w:sz w:val="24"/>
          <w:szCs w:val="24"/>
        </w:rPr>
        <w:t xml:space="preserve"> </w:t>
      </w:r>
      <w:bookmarkEnd w:id="25"/>
    </w:p>
    <w:p w14:paraId="3789514F" w14:textId="77777777" w:rsidR="00521DE0" w:rsidRPr="004437B2" w:rsidRDefault="00521DE0" w:rsidP="00521DE0">
      <w:pPr>
        <w:spacing w:after="0" w:line="360" w:lineRule="auto"/>
        <w:jc w:val="both"/>
        <w:rPr>
          <w:rFonts w:ascii="Times New Roman" w:hAnsi="Times New Roman" w:cs="Times New Roman"/>
          <w:sz w:val="24"/>
          <w:szCs w:val="24"/>
        </w:rPr>
      </w:pPr>
    </w:p>
    <w:p w14:paraId="2A010F3B" w14:textId="77777777" w:rsidR="00521DE0" w:rsidRPr="004437B2" w:rsidRDefault="00521DE0" w:rsidP="004F51DA">
      <w:pPr>
        <w:pStyle w:val="Heading1"/>
      </w:pPr>
      <w:r w:rsidRPr="00D14894">
        <w:rPr>
          <w:rFonts w:hint="eastAsia"/>
        </w:rPr>
        <w:t xml:space="preserve">4. </w:t>
      </w:r>
      <w:r w:rsidRPr="004437B2">
        <w:t>Conclusion</w:t>
      </w:r>
    </w:p>
    <w:p w14:paraId="05B20183" w14:textId="77777777" w:rsidR="00521DE0" w:rsidRPr="004437B2" w:rsidRDefault="00521DE0" w:rsidP="00521DE0">
      <w:pPr>
        <w:snapToGrid w:val="0"/>
        <w:spacing w:after="0" w:line="480" w:lineRule="auto"/>
        <w:jc w:val="both"/>
        <w:rPr>
          <w:rFonts w:ascii="Times New Roman" w:hAnsi="Times New Roman" w:cs="Times New Roman"/>
          <w:b/>
          <w:bCs/>
          <w:sz w:val="24"/>
          <w:szCs w:val="24"/>
        </w:rPr>
      </w:pPr>
      <w:r w:rsidRPr="004437B2">
        <w:rPr>
          <w:rFonts w:ascii="Times New Roman" w:hAnsi="Times New Roman" w:cs="Times New Roman"/>
          <w:sz w:val="24"/>
          <w:szCs w:val="24"/>
        </w:rPr>
        <w:t>This paper analyses the responses of economic uncertainty to structural shocks to global oil supply</w:t>
      </w:r>
      <w:r>
        <w:rPr>
          <w:rFonts w:ascii="Times New Roman" w:hAnsi="Times New Roman" w:cs="Times New Roman"/>
          <w:sz w:val="24"/>
          <w:szCs w:val="24"/>
        </w:rPr>
        <w:t xml:space="preserve"> </w:t>
      </w:r>
      <w:r w:rsidRPr="004437B2">
        <w:rPr>
          <w:rFonts w:ascii="Times New Roman" w:hAnsi="Times New Roman" w:cs="Times New Roman"/>
          <w:sz w:val="24"/>
          <w:szCs w:val="24"/>
        </w:rPr>
        <w:t>(production), aggregate (economic activity) demand, oil</w:t>
      </w:r>
      <w:r>
        <w:rPr>
          <w:rFonts w:ascii="Times New Roman" w:hAnsi="Times New Roman" w:cs="Times New Roman"/>
          <w:sz w:val="24"/>
          <w:szCs w:val="24"/>
        </w:rPr>
        <w:t>-</w:t>
      </w:r>
      <w:r w:rsidRPr="004437B2">
        <w:rPr>
          <w:rFonts w:ascii="Times New Roman" w:hAnsi="Times New Roman" w:cs="Times New Roman"/>
          <w:sz w:val="24"/>
          <w:szCs w:val="24"/>
        </w:rPr>
        <w:t xml:space="preserve">market-specific (consumption) demand and speculative (oil inventory) demand. The paper contributes to the literature by analysing both linear and nonlinear impulse responses of economic uncertainty to oil price shocks in a large panel of </w:t>
      </w:r>
      <w:r>
        <w:rPr>
          <w:rFonts w:ascii="Times New Roman" w:hAnsi="Times New Roman" w:cs="Times New Roman"/>
          <w:sz w:val="24"/>
          <w:szCs w:val="24"/>
        </w:rPr>
        <w:t>4</w:t>
      </w:r>
      <w:r w:rsidRPr="004437B2">
        <w:rPr>
          <w:rFonts w:ascii="Times New Roman" w:hAnsi="Times New Roman" w:cs="Times New Roman"/>
          <w:sz w:val="24"/>
          <w:szCs w:val="24"/>
        </w:rPr>
        <w:t xml:space="preserve">5 economies using LP methods. We employ a survey-based uncertainty measure recently developed by Ozturk and Sheng (2018), which captures perceived uncertainty based on </w:t>
      </w:r>
      <w:r>
        <w:rPr>
          <w:rFonts w:ascii="Times New Roman" w:hAnsi="Times New Roman" w:cs="Times New Roman"/>
          <w:sz w:val="24"/>
          <w:szCs w:val="24"/>
        </w:rPr>
        <w:t xml:space="preserve">the </w:t>
      </w:r>
      <w:r w:rsidRPr="004437B2">
        <w:rPr>
          <w:rFonts w:ascii="Times New Roman" w:hAnsi="Times New Roman" w:cs="Times New Roman"/>
          <w:sz w:val="24"/>
          <w:szCs w:val="24"/>
        </w:rPr>
        <w:t>forecasts of market participants. We disentangle the origins of oil price shocks and consider the impacts of the GFC, perceived market volatility</w:t>
      </w:r>
      <w:r>
        <w:rPr>
          <w:rFonts w:ascii="Times New Roman" w:hAnsi="Times New Roman" w:cs="Times New Roman"/>
          <w:sz w:val="24"/>
          <w:szCs w:val="24"/>
        </w:rPr>
        <w:t>,</w:t>
      </w:r>
      <w:r w:rsidRPr="004437B2">
        <w:rPr>
          <w:rFonts w:ascii="Times New Roman" w:hAnsi="Times New Roman" w:cs="Times New Roman"/>
          <w:sz w:val="24"/>
          <w:szCs w:val="24"/>
        </w:rPr>
        <w:t xml:space="preserve"> investor sentiments in financial markets (as captured by the </w:t>
      </w:r>
      <w:r>
        <w:rPr>
          <w:rFonts w:ascii="Times New Roman" w:hAnsi="Times New Roman" w:cs="Times New Roman"/>
          <w:sz w:val="24"/>
          <w:szCs w:val="24"/>
        </w:rPr>
        <w:t>VIX</w:t>
      </w:r>
      <w:r w:rsidRPr="004437B2">
        <w:rPr>
          <w:rFonts w:ascii="Times New Roman" w:hAnsi="Times New Roman" w:cs="Times New Roman"/>
          <w:sz w:val="24"/>
          <w:szCs w:val="24"/>
        </w:rPr>
        <w:t xml:space="preserve">) and the net oil-importing/exporting position of economies. </w:t>
      </w:r>
      <w:r>
        <w:rPr>
          <w:rFonts w:ascii="Times New Roman" w:hAnsi="Times New Roman" w:cs="Times New Roman"/>
          <w:sz w:val="24"/>
          <w:szCs w:val="24"/>
        </w:rPr>
        <w:t xml:space="preserve">Following </w:t>
      </w:r>
      <w:r w:rsidRPr="004437B2">
        <w:rPr>
          <w:rFonts w:ascii="Times New Roman" w:hAnsi="Times New Roman" w:cs="Times New Roman"/>
          <w:sz w:val="24"/>
          <w:szCs w:val="24"/>
        </w:rPr>
        <w:t xml:space="preserve">Ahmed and </w:t>
      </w:r>
      <w:proofErr w:type="spellStart"/>
      <w:r w:rsidRPr="004437B2">
        <w:rPr>
          <w:rFonts w:ascii="Times New Roman" w:hAnsi="Times New Roman" w:cs="Times New Roman"/>
          <w:sz w:val="24"/>
          <w:szCs w:val="24"/>
        </w:rPr>
        <w:t>Cassou</w:t>
      </w:r>
      <w:proofErr w:type="spellEnd"/>
      <w:r w:rsidRPr="004437B2">
        <w:rPr>
          <w:rFonts w:ascii="Times New Roman" w:hAnsi="Times New Roman" w:cs="Times New Roman"/>
          <w:sz w:val="24"/>
          <w:szCs w:val="24"/>
        </w:rPr>
        <w:t xml:space="preserve"> (2016), we </w:t>
      </w:r>
      <w:r>
        <w:rPr>
          <w:rFonts w:ascii="Times New Roman" w:hAnsi="Times New Roman" w:cs="Times New Roman"/>
          <w:sz w:val="24"/>
          <w:szCs w:val="24"/>
        </w:rPr>
        <w:t>apply</w:t>
      </w:r>
      <w:r w:rsidRPr="004437B2">
        <w:rPr>
          <w:rFonts w:ascii="Times New Roman" w:hAnsi="Times New Roman" w:cs="Times New Roman"/>
          <w:sz w:val="24"/>
          <w:szCs w:val="24"/>
        </w:rPr>
        <w:t xml:space="preserve"> the simple dummy variable approach to split the data into oil exporters </w:t>
      </w:r>
      <w:r>
        <w:rPr>
          <w:rFonts w:ascii="Times New Roman" w:hAnsi="Times New Roman" w:cs="Times New Roman"/>
          <w:sz w:val="24"/>
          <w:szCs w:val="24"/>
        </w:rPr>
        <w:t>and</w:t>
      </w:r>
      <w:r w:rsidRPr="004437B2">
        <w:rPr>
          <w:rFonts w:ascii="Times New Roman" w:hAnsi="Times New Roman" w:cs="Times New Roman"/>
          <w:sz w:val="24"/>
          <w:szCs w:val="24"/>
        </w:rPr>
        <w:t xml:space="preserve"> importers and pre- </w:t>
      </w:r>
      <w:r>
        <w:rPr>
          <w:rFonts w:ascii="Times New Roman" w:hAnsi="Times New Roman" w:cs="Times New Roman"/>
          <w:sz w:val="24"/>
          <w:szCs w:val="24"/>
        </w:rPr>
        <w:t>and</w:t>
      </w:r>
      <w:r w:rsidRPr="004437B2">
        <w:rPr>
          <w:rFonts w:ascii="Times New Roman" w:hAnsi="Times New Roman" w:cs="Times New Roman"/>
          <w:sz w:val="24"/>
          <w:szCs w:val="24"/>
        </w:rPr>
        <w:t xml:space="preserve"> post-GFC </w:t>
      </w:r>
      <w:r w:rsidRPr="004437B2">
        <w:rPr>
          <w:rFonts w:ascii="Times New Roman" w:hAnsi="Times New Roman" w:cs="Times New Roman"/>
          <w:sz w:val="24"/>
          <w:szCs w:val="24"/>
        </w:rPr>
        <w:lastRenderedPageBreak/>
        <w:t xml:space="preserve">periods. We also use the smooth transition function to switch the </w:t>
      </w:r>
      <w:r>
        <w:rPr>
          <w:rFonts w:ascii="Times New Roman" w:hAnsi="Times New Roman" w:cs="Times New Roman"/>
          <w:sz w:val="24"/>
          <w:szCs w:val="24"/>
        </w:rPr>
        <w:t>VIX</w:t>
      </w:r>
      <w:r w:rsidRPr="004437B2">
        <w:rPr>
          <w:rFonts w:ascii="Times New Roman" w:hAnsi="Times New Roman" w:cs="Times New Roman"/>
          <w:sz w:val="24"/>
          <w:szCs w:val="24"/>
        </w:rPr>
        <w:t xml:space="preserve"> into high and low states.</w:t>
      </w:r>
      <w:r w:rsidRPr="004437B2">
        <w:t xml:space="preserve"> </w:t>
      </w:r>
      <w:r w:rsidRPr="004437B2">
        <w:rPr>
          <w:rFonts w:ascii="Times New Roman" w:hAnsi="Times New Roman" w:cs="Times New Roman"/>
          <w:sz w:val="24"/>
          <w:szCs w:val="24"/>
        </w:rPr>
        <w:t xml:space="preserve">To the best of our knowledge, this paper is the first </w:t>
      </w:r>
      <w:bookmarkStart w:id="26" w:name="_Hlk46091316"/>
      <w:r w:rsidRPr="004437B2">
        <w:rPr>
          <w:rFonts w:ascii="Times New Roman" w:hAnsi="Times New Roman" w:cs="Times New Roman"/>
          <w:sz w:val="24"/>
          <w:szCs w:val="24"/>
        </w:rPr>
        <w:t xml:space="preserve">comprehensive study of the impacts of structural oil price shocks on macroeconomic uncertainty </w:t>
      </w:r>
      <w:r>
        <w:rPr>
          <w:rFonts w:ascii="Times New Roman" w:hAnsi="Times New Roman" w:cs="Times New Roman"/>
          <w:sz w:val="24"/>
          <w:szCs w:val="24"/>
        </w:rPr>
        <w:t xml:space="preserve">to </w:t>
      </w:r>
      <w:r w:rsidRPr="004437B2">
        <w:rPr>
          <w:rFonts w:ascii="Times New Roman" w:hAnsi="Times New Roman" w:cs="Times New Roman"/>
          <w:sz w:val="24"/>
          <w:szCs w:val="24"/>
        </w:rPr>
        <w:t>us</w:t>
      </w:r>
      <w:r>
        <w:rPr>
          <w:rFonts w:ascii="Times New Roman" w:hAnsi="Times New Roman" w:cs="Times New Roman"/>
          <w:sz w:val="24"/>
          <w:szCs w:val="24"/>
        </w:rPr>
        <w:t>e</w:t>
      </w:r>
      <w:r w:rsidRPr="004437B2">
        <w:rPr>
          <w:rFonts w:ascii="Times New Roman" w:hAnsi="Times New Roman" w:cs="Times New Roman"/>
          <w:sz w:val="24"/>
          <w:szCs w:val="24"/>
        </w:rPr>
        <w:t xml:space="preserve"> both linear and nonlinear methods for a large group of countries. In this paper, we present several novel results, reconcile previously published results and provide economic explanations </w:t>
      </w:r>
      <w:r>
        <w:rPr>
          <w:rFonts w:ascii="Times New Roman" w:hAnsi="Times New Roman" w:cs="Times New Roman"/>
          <w:sz w:val="24"/>
          <w:szCs w:val="24"/>
        </w:rPr>
        <w:t xml:space="preserve">for </w:t>
      </w:r>
      <w:r w:rsidRPr="004437B2">
        <w:rPr>
          <w:rFonts w:ascii="Times New Roman" w:hAnsi="Times New Roman" w:cs="Times New Roman"/>
          <w:sz w:val="24"/>
          <w:szCs w:val="24"/>
        </w:rPr>
        <w:t>our results.</w:t>
      </w:r>
    </w:p>
    <w:bookmarkEnd w:id="26"/>
    <w:p w14:paraId="18F09F1D" w14:textId="77777777" w:rsidR="00521DE0" w:rsidRPr="004437B2" w:rsidRDefault="00521DE0" w:rsidP="00521DE0">
      <w:pPr>
        <w:snapToGrid w:val="0"/>
        <w:spacing w:after="0" w:line="480" w:lineRule="auto"/>
        <w:jc w:val="both"/>
        <w:rPr>
          <w:rFonts w:ascii="Times New Roman" w:hAnsi="Times New Roman" w:cs="Times New Roman"/>
          <w:sz w:val="24"/>
          <w:szCs w:val="24"/>
        </w:rPr>
      </w:pPr>
    </w:p>
    <w:p w14:paraId="6214C891" w14:textId="5C31B1FF" w:rsidR="00521DE0" w:rsidRDefault="00521DE0" w:rsidP="00521DE0">
      <w:pPr>
        <w:snapToGrid w:val="0"/>
        <w:spacing w:after="0" w:line="480" w:lineRule="auto"/>
        <w:jc w:val="both"/>
        <w:rPr>
          <w:rFonts w:ascii="Times New Roman" w:hAnsi="Times New Roman" w:cs="Times New Roman"/>
          <w:sz w:val="24"/>
          <w:szCs w:val="24"/>
        </w:rPr>
      </w:pPr>
      <w:r w:rsidRPr="004437B2">
        <w:rPr>
          <w:rFonts w:ascii="Times New Roman" w:hAnsi="Times New Roman" w:cs="Times New Roman"/>
          <w:sz w:val="24"/>
          <w:szCs w:val="24"/>
        </w:rPr>
        <w:t>Our results show that both oil supply and demand shocks are important drivers of economic uncertainty</w:t>
      </w:r>
      <w:r>
        <w:rPr>
          <w:rFonts w:ascii="Times New Roman" w:hAnsi="Times New Roman" w:cs="Times New Roman"/>
          <w:sz w:val="24"/>
          <w:szCs w:val="24"/>
        </w:rPr>
        <w:t xml:space="preserve">, </w:t>
      </w:r>
      <w:r w:rsidRPr="004437B2">
        <w:rPr>
          <w:rFonts w:ascii="Times New Roman" w:hAnsi="Times New Roman" w:cs="Times New Roman"/>
          <w:sz w:val="24"/>
          <w:szCs w:val="24"/>
        </w:rPr>
        <w:t>and there is strong evidence that the impacts of oil price shocks on macroeconomic uncertainty are regime-dependent and contingent on the states of investor sentiments and volatility in financial markets. The responses of economic uncertainty to oil shocks, especially demand-side shocks, appear to experience a dramatic change in the post-GFC period. We find that oil consumption demand shocks can be interpreted as good news and reduce economic uncertainty, especially during turbulent periods when market participants are extremely nervous about the economic outlook. We argue that the observed negative influences of</w:t>
      </w:r>
      <w:r w:rsidR="00E903DB">
        <w:rPr>
          <w:rFonts w:ascii="Times New Roman" w:hAnsi="Times New Roman" w:cs="Times New Roman"/>
          <w:sz w:val="24"/>
          <w:szCs w:val="24"/>
        </w:rPr>
        <w:t xml:space="preserve"> the</w:t>
      </w:r>
      <w:r w:rsidRPr="004437B2">
        <w:rPr>
          <w:rFonts w:ascii="Times New Roman" w:hAnsi="Times New Roman" w:cs="Times New Roman"/>
          <w:sz w:val="24"/>
          <w:szCs w:val="24"/>
        </w:rPr>
        <w:t xml:space="preserve"> oil</w:t>
      </w:r>
      <w:r>
        <w:rPr>
          <w:rFonts w:ascii="Times New Roman" w:hAnsi="Times New Roman" w:cs="Times New Roman"/>
          <w:sz w:val="24"/>
          <w:szCs w:val="24"/>
        </w:rPr>
        <w:t>-</w:t>
      </w:r>
      <w:r w:rsidRPr="004437B2">
        <w:rPr>
          <w:rFonts w:ascii="Times New Roman" w:hAnsi="Times New Roman" w:cs="Times New Roman"/>
          <w:sz w:val="24"/>
          <w:szCs w:val="24"/>
        </w:rPr>
        <w:t xml:space="preserve">specific demand shock on uncertainty may indicate the presence of a strong feedback effect arising from the direct (delayed) response of oil production to economic activity, which leads to higher oil production, better economic conditions and lower macroeconomic uncertainty. We </w:t>
      </w:r>
      <w:r>
        <w:rPr>
          <w:rFonts w:ascii="Times New Roman" w:hAnsi="Times New Roman" w:cs="Times New Roman"/>
          <w:sz w:val="24"/>
          <w:szCs w:val="24"/>
        </w:rPr>
        <w:t xml:space="preserve">also </w:t>
      </w:r>
      <w:r w:rsidRPr="004437B2">
        <w:rPr>
          <w:rFonts w:ascii="Times New Roman" w:hAnsi="Times New Roman" w:cs="Times New Roman"/>
          <w:sz w:val="24"/>
          <w:szCs w:val="24"/>
        </w:rPr>
        <w:t>report new evidence that the impacts of oil inventory demand shocks on economic uncertainty are rather short-lived and small in size</w:t>
      </w:r>
      <w:r>
        <w:rPr>
          <w:rFonts w:ascii="Times New Roman" w:hAnsi="Times New Roman" w:cs="Times New Roman"/>
          <w:sz w:val="24"/>
          <w:szCs w:val="24"/>
        </w:rPr>
        <w:t xml:space="preserve">, and we </w:t>
      </w:r>
      <w:r w:rsidRPr="004437B2">
        <w:rPr>
          <w:rFonts w:ascii="Times New Roman" w:hAnsi="Times New Roman" w:cs="Times New Roman"/>
          <w:sz w:val="24"/>
          <w:szCs w:val="24"/>
        </w:rPr>
        <w:t xml:space="preserve">find that economic uncertainty in oil-importing countries tends to be affected more by oil price shocks than oil-exporting countries. </w:t>
      </w:r>
      <w:r>
        <w:rPr>
          <w:rFonts w:ascii="Times New Roman" w:hAnsi="Times New Roman" w:cs="Times New Roman"/>
          <w:sz w:val="24"/>
          <w:szCs w:val="24"/>
        </w:rPr>
        <w:t>Further, o</w:t>
      </w:r>
      <w:r w:rsidRPr="004437B2">
        <w:rPr>
          <w:rFonts w:ascii="Times New Roman" w:hAnsi="Times New Roman" w:cs="Times New Roman"/>
          <w:sz w:val="24"/>
          <w:szCs w:val="24"/>
        </w:rPr>
        <w:t xml:space="preserve">ur results </w:t>
      </w:r>
      <w:r>
        <w:rPr>
          <w:rFonts w:ascii="Times New Roman" w:hAnsi="Times New Roman" w:cs="Times New Roman"/>
          <w:sz w:val="24"/>
          <w:szCs w:val="24"/>
        </w:rPr>
        <w:t>s</w:t>
      </w:r>
      <w:r w:rsidRPr="004437B2">
        <w:rPr>
          <w:rFonts w:ascii="Times New Roman" w:hAnsi="Times New Roman" w:cs="Times New Roman"/>
          <w:sz w:val="24"/>
          <w:szCs w:val="24"/>
        </w:rPr>
        <w:t>how that macroeconomic uncertainty reacts positively to oil supply shocks during high</w:t>
      </w:r>
      <w:r>
        <w:rPr>
          <w:rFonts w:ascii="Times New Roman" w:hAnsi="Times New Roman" w:cs="Times New Roman"/>
          <w:sz w:val="24"/>
          <w:szCs w:val="24"/>
        </w:rPr>
        <w:t>-</w:t>
      </w:r>
      <w:r w:rsidRPr="004437B2">
        <w:rPr>
          <w:rFonts w:ascii="Times New Roman" w:hAnsi="Times New Roman" w:cs="Times New Roman"/>
          <w:sz w:val="24"/>
          <w:szCs w:val="24"/>
        </w:rPr>
        <w:t xml:space="preserve">volatility periods </w:t>
      </w:r>
      <w:r>
        <w:rPr>
          <w:rFonts w:ascii="Times New Roman" w:hAnsi="Times New Roman" w:cs="Times New Roman"/>
          <w:sz w:val="24"/>
          <w:szCs w:val="24"/>
        </w:rPr>
        <w:t>but</w:t>
      </w:r>
      <w:r w:rsidRPr="004437B2">
        <w:rPr>
          <w:rFonts w:ascii="Times New Roman" w:hAnsi="Times New Roman" w:cs="Times New Roman"/>
          <w:sz w:val="24"/>
          <w:szCs w:val="24"/>
        </w:rPr>
        <w:t xml:space="preserve"> is not particularly responsive in low</w:t>
      </w:r>
      <w:r>
        <w:rPr>
          <w:rFonts w:ascii="Times New Roman" w:hAnsi="Times New Roman" w:cs="Times New Roman"/>
          <w:sz w:val="24"/>
          <w:szCs w:val="24"/>
        </w:rPr>
        <w:t>-</w:t>
      </w:r>
      <w:r w:rsidRPr="004437B2">
        <w:rPr>
          <w:rFonts w:ascii="Times New Roman" w:hAnsi="Times New Roman" w:cs="Times New Roman"/>
          <w:sz w:val="24"/>
          <w:szCs w:val="24"/>
        </w:rPr>
        <w:t xml:space="preserve">volatility periods. These novel results provide new insights </w:t>
      </w:r>
      <w:r>
        <w:rPr>
          <w:rFonts w:ascii="Times New Roman" w:hAnsi="Times New Roman" w:cs="Times New Roman"/>
          <w:sz w:val="24"/>
          <w:szCs w:val="24"/>
        </w:rPr>
        <w:t>into</w:t>
      </w:r>
      <w:r w:rsidRPr="004437B2">
        <w:rPr>
          <w:rFonts w:ascii="Times New Roman" w:hAnsi="Times New Roman" w:cs="Times New Roman"/>
          <w:sz w:val="24"/>
          <w:szCs w:val="24"/>
        </w:rPr>
        <w:t xml:space="preserve"> the macroeconomic effect of oil supply-side shock, indicating that positive oil supply shocks that depress oil production and raise oil prices in subsequent periods tend to dramatically increase macroeconomic uncertainty</w:t>
      </w:r>
      <w:r>
        <w:rPr>
          <w:rFonts w:ascii="Times New Roman" w:hAnsi="Times New Roman" w:cs="Times New Roman"/>
          <w:sz w:val="24"/>
          <w:szCs w:val="24"/>
        </w:rPr>
        <w:t>,</w:t>
      </w:r>
      <w:r w:rsidRPr="004437B2">
        <w:rPr>
          <w:rFonts w:ascii="Times New Roman" w:hAnsi="Times New Roman" w:cs="Times New Roman"/>
          <w:sz w:val="24"/>
          <w:szCs w:val="24"/>
        </w:rPr>
        <w:t xml:space="preserve"> </w:t>
      </w:r>
      <w:r w:rsidRPr="004437B2">
        <w:rPr>
          <w:rFonts w:ascii="Times New Roman" w:hAnsi="Times New Roman" w:cs="Times New Roman"/>
          <w:sz w:val="24"/>
          <w:szCs w:val="24"/>
        </w:rPr>
        <w:lastRenderedPageBreak/>
        <w:t>especially during periods when there are strong fears among investors and the perceived volatility in financial markets is high.</w:t>
      </w:r>
      <w:r>
        <w:rPr>
          <w:rFonts w:ascii="Times New Roman" w:hAnsi="Times New Roman" w:cs="Times New Roman"/>
          <w:sz w:val="24"/>
          <w:szCs w:val="24"/>
        </w:rPr>
        <w:t xml:space="preserve"> </w:t>
      </w:r>
    </w:p>
    <w:p w14:paraId="525F42E2" w14:textId="77777777" w:rsidR="00521DE0" w:rsidRDefault="00521DE0" w:rsidP="00521DE0">
      <w:pPr>
        <w:snapToGrid w:val="0"/>
        <w:spacing w:after="0" w:line="480" w:lineRule="auto"/>
        <w:jc w:val="both"/>
        <w:rPr>
          <w:rFonts w:ascii="Times New Roman" w:hAnsi="Times New Roman" w:cs="Times New Roman"/>
          <w:sz w:val="24"/>
          <w:szCs w:val="24"/>
        </w:rPr>
      </w:pPr>
    </w:p>
    <w:p w14:paraId="2B95BAA2" w14:textId="77777777" w:rsidR="00521DE0" w:rsidRDefault="00521DE0" w:rsidP="00521DE0">
      <w:pPr>
        <w:snapToGri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findings in this paper</w:t>
      </w:r>
      <w:r w:rsidRPr="00AE3F7B">
        <w:rPr>
          <w:rFonts w:ascii="Times New Roman" w:hAnsi="Times New Roman" w:cs="Times New Roman"/>
          <w:sz w:val="24"/>
          <w:szCs w:val="24"/>
        </w:rPr>
        <w:t xml:space="preserve"> have important implications for policymakers</w:t>
      </w:r>
      <w:r>
        <w:rPr>
          <w:rFonts w:ascii="Times New Roman" w:hAnsi="Times New Roman" w:cs="Times New Roman"/>
          <w:sz w:val="24"/>
          <w:szCs w:val="24"/>
        </w:rPr>
        <w:t xml:space="preserve"> and </w:t>
      </w:r>
      <w:r w:rsidRPr="00AE3F7B">
        <w:rPr>
          <w:rFonts w:ascii="Times New Roman" w:hAnsi="Times New Roman" w:cs="Times New Roman"/>
          <w:sz w:val="24"/>
          <w:szCs w:val="24"/>
        </w:rPr>
        <w:t>investors in financial markets</w:t>
      </w:r>
      <w:r>
        <w:rPr>
          <w:rFonts w:ascii="Times New Roman" w:hAnsi="Times New Roman" w:cs="Times New Roman"/>
          <w:sz w:val="24"/>
          <w:szCs w:val="24"/>
          <w:shd w:val="clear" w:color="auto" w:fill="FFFFFF"/>
        </w:rPr>
        <w:t xml:space="preserve">. In addition, </w:t>
      </w:r>
      <w:r>
        <w:rPr>
          <w:rFonts w:ascii="Times New Roman" w:hAnsi="Times New Roman" w:cs="Times New Roman"/>
          <w:sz w:val="24"/>
          <w:szCs w:val="24"/>
        </w:rPr>
        <w:t>o</w:t>
      </w:r>
      <w:r w:rsidRPr="003F37CA">
        <w:rPr>
          <w:rFonts w:ascii="Times New Roman" w:hAnsi="Times New Roman" w:cs="Times New Roman"/>
          <w:sz w:val="24"/>
          <w:szCs w:val="24"/>
        </w:rPr>
        <w:t xml:space="preserve">ur results are also important from </w:t>
      </w:r>
      <w:r>
        <w:rPr>
          <w:rFonts w:ascii="Times New Roman" w:hAnsi="Times New Roman" w:cs="Times New Roman"/>
          <w:sz w:val="24"/>
          <w:szCs w:val="24"/>
        </w:rPr>
        <w:t xml:space="preserve">the perspective of </w:t>
      </w:r>
      <w:r w:rsidRPr="003F37CA">
        <w:rPr>
          <w:rFonts w:ascii="Times New Roman" w:hAnsi="Times New Roman" w:cs="Times New Roman"/>
          <w:sz w:val="24"/>
          <w:szCs w:val="24"/>
        </w:rPr>
        <w:t xml:space="preserve">structural modelling, where uncertainty is often considered as purely exogenous. Our results highlight the endogeneity of uncertainty, and hence its treatment in </w:t>
      </w:r>
      <w:r w:rsidRPr="002F1E78">
        <w:rPr>
          <w:rFonts w:ascii="Times New Roman" w:hAnsi="Times New Roman" w:cs="Times New Roman"/>
          <w:color w:val="000000" w:themeColor="text1"/>
          <w:sz w:val="24"/>
          <w:szCs w:val="24"/>
        </w:rPr>
        <w:t xml:space="preserve">structural vector autoregression (SVAR) models as exogenous could lead to incorrect inferences. </w:t>
      </w:r>
      <w:r w:rsidRPr="002F1E78">
        <w:rPr>
          <w:rFonts w:ascii="Times New Roman" w:eastAsia="Times New Roman" w:hAnsi="Times New Roman" w:cs="Times New Roman"/>
          <w:color w:val="000000" w:themeColor="text1"/>
          <w:sz w:val="24"/>
          <w:szCs w:val="24"/>
        </w:rPr>
        <w:t xml:space="preserve">It is also important to take both linearity and nonlinearity in models into consideration. </w:t>
      </w:r>
      <w:r w:rsidRPr="002F1E78">
        <w:rPr>
          <w:rFonts w:ascii="Times New Roman" w:hAnsi="Times New Roman" w:cs="Times New Roman"/>
          <w:color w:val="000000" w:themeColor="text1"/>
          <w:sz w:val="24"/>
          <w:szCs w:val="24"/>
          <w:shd w:val="clear" w:color="auto" w:fill="FFFFFF"/>
        </w:rPr>
        <w:t xml:space="preserve">Note that, this study uses the LP </w:t>
      </w:r>
      <w:r>
        <w:rPr>
          <w:rFonts w:ascii="Times New Roman" w:hAnsi="Times New Roman" w:cs="Times New Roman"/>
          <w:sz w:val="24"/>
          <w:szCs w:val="24"/>
          <w:shd w:val="clear" w:color="auto" w:fill="FFFFFF"/>
        </w:rPr>
        <w:t>method for the in-sample analysis. For</w:t>
      </w:r>
      <w:r w:rsidRPr="00A07ACE">
        <w:rPr>
          <w:rFonts w:ascii="Times New Roman" w:hAnsi="Times New Roman" w:cs="Times New Roman"/>
          <w:sz w:val="24"/>
          <w:szCs w:val="24"/>
          <w:shd w:val="clear" w:color="auto" w:fill="FFFFFF"/>
        </w:rPr>
        <w:t xml:space="preserve"> future research, it would </w:t>
      </w:r>
      <w:r>
        <w:rPr>
          <w:rFonts w:ascii="Times New Roman" w:hAnsi="Times New Roman" w:cs="Times New Roman"/>
          <w:sz w:val="24"/>
          <w:szCs w:val="24"/>
          <w:shd w:val="clear" w:color="auto" w:fill="FFFFFF"/>
        </w:rPr>
        <w:t xml:space="preserve">be </w:t>
      </w:r>
      <w:r w:rsidRPr="00A07ACE">
        <w:rPr>
          <w:rFonts w:ascii="Times New Roman" w:hAnsi="Times New Roman" w:cs="Times New Roman"/>
          <w:sz w:val="24"/>
          <w:szCs w:val="24"/>
          <w:shd w:val="clear" w:color="auto" w:fill="FFFFFF"/>
        </w:rPr>
        <w:t>interesting to extend our analysis to an out-of-sample forecasting exercise, given that in-sample pr</w:t>
      </w:r>
      <w:r>
        <w:rPr>
          <w:rFonts w:ascii="Times New Roman" w:hAnsi="Times New Roman" w:cs="Times New Roman"/>
          <w:sz w:val="24"/>
          <w:szCs w:val="24"/>
          <w:shd w:val="clear" w:color="auto" w:fill="FFFFFF"/>
        </w:rPr>
        <w:t>edictability of the macroeconomic uncertainty does not guarantee</w:t>
      </w:r>
      <w:r w:rsidRPr="00A07ACE">
        <w:rPr>
          <w:rFonts w:ascii="Times New Roman" w:hAnsi="Times New Roman" w:cs="Times New Roman"/>
          <w:sz w:val="24"/>
          <w:szCs w:val="24"/>
          <w:shd w:val="clear" w:color="auto" w:fill="FFFFFF"/>
        </w:rPr>
        <w:t xml:space="preserve"> out-of-sample forecasting gains</w:t>
      </w:r>
      <w:r>
        <w:rPr>
          <w:rFonts w:ascii="Times New Roman" w:hAnsi="Times New Roman" w:cs="Times New Roman"/>
          <w:sz w:val="24"/>
          <w:szCs w:val="24"/>
          <w:shd w:val="clear" w:color="auto" w:fill="FFFFFF"/>
        </w:rPr>
        <w:t xml:space="preserve"> emanating from oil shocks</w:t>
      </w:r>
      <w:r w:rsidRPr="00A07ACE">
        <w:rPr>
          <w:rFonts w:ascii="Times New Roman" w:hAnsi="Times New Roman" w:cs="Times New Roman"/>
          <w:sz w:val="24"/>
          <w:szCs w:val="24"/>
          <w:shd w:val="clear" w:color="auto" w:fill="FFFFFF"/>
        </w:rPr>
        <w:t>.</w:t>
      </w:r>
    </w:p>
    <w:p w14:paraId="2A25AD39" w14:textId="77777777" w:rsidR="00521DE0" w:rsidRDefault="00521DE0" w:rsidP="00521DE0">
      <w:pPr>
        <w:snapToGrid w:val="0"/>
        <w:spacing w:after="0" w:line="480" w:lineRule="auto"/>
        <w:jc w:val="both"/>
        <w:rPr>
          <w:rFonts w:ascii="Times New Roman" w:hAnsi="Times New Roman" w:cs="Times New Roman"/>
          <w:b/>
          <w:bCs/>
          <w:sz w:val="24"/>
          <w:szCs w:val="24"/>
        </w:rPr>
      </w:pPr>
    </w:p>
    <w:p w14:paraId="02732B6B" w14:textId="77777777" w:rsidR="00521DE0" w:rsidRPr="00854902" w:rsidRDefault="00521DE0" w:rsidP="004F51DA">
      <w:pPr>
        <w:pStyle w:val="Heading1"/>
      </w:pPr>
      <w:r w:rsidRPr="00854902">
        <w:t>References</w:t>
      </w:r>
    </w:p>
    <w:p w14:paraId="175554D5"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bookmarkStart w:id="27" w:name="_Hlk32762694"/>
      <w:proofErr w:type="spellStart"/>
      <w:r w:rsidRPr="004D248B">
        <w:rPr>
          <w:rFonts w:ascii="Times New Roman" w:hAnsi="Times New Roman" w:cs="Times New Roman"/>
          <w:iCs/>
          <w:color w:val="222222"/>
          <w:sz w:val="24"/>
          <w:szCs w:val="24"/>
          <w:shd w:val="clear" w:color="auto" w:fill="FFFFFF"/>
        </w:rPr>
        <w:t>Antonakakis</w:t>
      </w:r>
      <w:bookmarkEnd w:id="27"/>
      <w:proofErr w:type="spellEnd"/>
      <w:r w:rsidRPr="004D248B">
        <w:rPr>
          <w:rFonts w:ascii="Times New Roman" w:hAnsi="Times New Roman" w:cs="Times New Roman"/>
          <w:iCs/>
          <w:color w:val="222222"/>
          <w:sz w:val="24"/>
          <w:szCs w:val="24"/>
          <w:shd w:val="clear" w:color="auto" w:fill="FFFFFF"/>
        </w:rPr>
        <w:t xml:space="preserve">, N., </w:t>
      </w:r>
      <w:proofErr w:type="spellStart"/>
      <w:r w:rsidRPr="004D248B">
        <w:rPr>
          <w:rFonts w:ascii="Times New Roman" w:hAnsi="Times New Roman" w:cs="Times New Roman"/>
          <w:iCs/>
          <w:color w:val="222222"/>
          <w:sz w:val="24"/>
          <w:szCs w:val="24"/>
          <w:shd w:val="clear" w:color="auto" w:fill="FFFFFF"/>
        </w:rPr>
        <w:t>Balcilar</w:t>
      </w:r>
      <w:proofErr w:type="spellEnd"/>
      <w:r w:rsidRPr="004D248B">
        <w:rPr>
          <w:rFonts w:ascii="Times New Roman" w:hAnsi="Times New Roman" w:cs="Times New Roman"/>
          <w:iCs/>
          <w:color w:val="222222"/>
          <w:sz w:val="24"/>
          <w:szCs w:val="24"/>
          <w:shd w:val="clear" w:color="auto" w:fill="FFFFFF"/>
        </w:rPr>
        <w:t xml:space="preserve">, M., Gupta, R., &amp; </w:t>
      </w:r>
      <w:proofErr w:type="spellStart"/>
      <w:r w:rsidRPr="004D248B">
        <w:rPr>
          <w:rFonts w:ascii="Times New Roman" w:hAnsi="Times New Roman" w:cs="Times New Roman"/>
          <w:iCs/>
          <w:color w:val="222222"/>
          <w:sz w:val="24"/>
          <w:szCs w:val="24"/>
          <w:shd w:val="clear" w:color="auto" w:fill="FFFFFF"/>
        </w:rPr>
        <w:t>Kyei</w:t>
      </w:r>
      <w:proofErr w:type="spellEnd"/>
      <w:r w:rsidRPr="004D248B">
        <w:rPr>
          <w:rFonts w:ascii="Times New Roman" w:hAnsi="Times New Roman" w:cs="Times New Roman"/>
          <w:iCs/>
          <w:color w:val="222222"/>
          <w:sz w:val="24"/>
          <w:szCs w:val="24"/>
          <w:shd w:val="clear" w:color="auto" w:fill="FFFFFF"/>
        </w:rPr>
        <w:t>, C. (2017). Components of economic policy uncertainty and predictability of US stock returns and volatility: evidence from a nonparametric causality-in-quantile approach. Frontiers in Finance and Economics, 14(2), 20-49.</w:t>
      </w:r>
    </w:p>
    <w:p w14:paraId="3FA42242"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Antonakakis</w:t>
      </w:r>
      <w:proofErr w:type="spellEnd"/>
      <w:r w:rsidRPr="004D248B">
        <w:rPr>
          <w:rFonts w:ascii="Times New Roman" w:hAnsi="Times New Roman" w:cs="Times New Roman"/>
          <w:iCs/>
          <w:color w:val="222222"/>
          <w:sz w:val="24"/>
          <w:szCs w:val="24"/>
          <w:shd w:val="clear" w:color="auto" w:fill="FFFFFF"/>
        </w:rPr>
        <w:t xml:space="preserve">, N., </w:t>
      </w:r>
      <w:proofErr w:type="spellStart"/>
      <w:r w:rsidRPr="004D248B">
        <w:rPr>
          <w:rFonts w:ascii="Times New Roman" w:hAnsi="Times New Roman" w:cs="Times New Roman"/>
          <w:iCs/>
          <w:color w:val="222222"/>
          <w:sz w:val="24"/>
          <w:szCs w:val="24"/>
          <w:shd w:val="clear" w:color="auto" w:fill="FFFFFF"/>
        </w:rPr>
        <w:t>Chatziantoniou</w:t>
      </w:r>
      <w:proofErr w:type="spellEnd"/>
      <w:r w:rsidRPr="004D248B">
        <w:rPr>
          <w:rFonts w:ascii="Times New Roman" w:hAnsi="Times New Roman" w:cs="Times New Roman"/>
          <w:iCs/>
          <w:color w:val="222222"/>
          <w:sz w:val="24"/>
          <w:szCs w:val="24"/>
          <w:shd w:val="clear" w:color="auto" w:fill="FFFFFF"/>
        </w:rPr>
        <w:t xml:space="preserve">, I., &amp; </w:t>
      </w:r>
      <w:proofErr w:type="spellStart"/>
      <w:r w:rsidRPr="004D248B">
        <w:rPr>
          <w:rFonts w:ascii="Times New Roman" w:hAnsi="Times New Roman" w:cs="Times New Roman"/>
          <w:iCs/>
          <w:color w:val="222222"/>
          <w:sz w:val="24"/>
          <w:szCs w:val="24"/>
          <w:shd w:val="clear" w:color="auto" w:fill="FFFFFF"/>
        </w:rPr>
        <w:t>Filis</w:t>
      </w:r>
      <w:proofErr w:type="spellEnd"/>
      <w:r w:rsidRPr="004D248B">
        <w:rPr>
          <w:rFonts w:ascii="Times New Roman" w:hAnsi="Times New Roman" w:cs="Times New Roman"/>
          <w:iCs/>
          <w:color w:val="222222"/>
          <w:sz w:val="24"/>
          <w:szCs w:val="24"/>
          <w:shd w:val="clear" w:color="auto" w:fill="FFFFFF"/>
        </w:rPr>
        <w:t xml:space="preserve">, G. (2014). Dynamic </w:t>
      </w:r>
      <w:proofErr w:type="spellStart"/>
      <w:r w:rsidRPr="004D248B">
        <w:rPr>
          <w:rFonts w:ascii="Times New Roman" w:hAnsi="Times New Roman" w:cs="Times New Roman"/>
          <w:iCs/>
          <w:color w:val="222222"/>
          <w:sz w:val="24"/>
          <w:szCs w:val="24"/>
          <w:shd w:val="clear" w:color="auto" w:fill="FFFFFF"/>
        </w:rPr>
        <w:t>spillovers</w:t>
      </w:r>
      <w:proofErr w:type="spellEnd"/>
      <w:r w:rsidRPr="004D248B">
        <w:rPr>
          <w:rFonts w:ascii="Times New Roman" w:hAnsi="Times New Roman" w:cs="Times New Roman"/>
          <w:iCs/>
          <w:color w:val="222222"/>
          <w:sz w:val="24"/>
          <w:szCs w:val="24"/>
          <w:shd w:val="clear" w:color="auto" w:fill="FFFFFF"/>
        </w:rPr>
        <w:t xml:space="preserve"> of oil price shocks and economic policy uncertainty. Energy Economics, 44, 433-447.</w:t>
      </w:r>
    </w:p>
    <w:p w14:paraId="7B21B4C6" w14:textId="77777777" w:rsidR="000C5997" w:rsidRDefault="00521DE0" w:rsidP="00521DE0">
      <w:pPr>
        <w:snapToGrid w:val="0"/>
        <w:spacing w:after="0" w:line="480" w:lineRule="auto"/>
        <w:jc w:val="both"/>
      </w:pPr>
      <w:proofErr w:type="spellStart"/>
      <w:r w:rsidRPr="004D248B">
        <w:rPr>
          <w:rFonts w:ascii="Times New Roman" w:hAnsi="Times New Roman" w:cs="Times New Roman"/>
          <w:iCs/>
          <w:color w:val="222222"/>
          <w:sz w:val="24"/>
          <w:szCs w:val="24"/>
          <w:shd w:val="clear" w:color="auto" w:fill="FFFFFF"/>
        </w:rPr>
        <w:t>Antonakakis</w:t>
      </w:r>
      <w:proofErr w:type="spellEnd"/>
      <w:r w:rsidRPr="004D248B">
        <w:rPr>
          <w:rFonts w:ascii="Times New Roman" w:hAnsi="Times New Roman" w:cs="Times New Roman"/>
          <w:iCs/>
          <w:color w:val="222222"/>
          <w:sz w:val="24"/>
          <w:szCs w:val="24"/>
          <w:shd w:val="clear" w:color="auto" w:fill="FFFFFF"/>
        </w:rPr>
        <w:t xml:space="preserve">, N., </w:t>
      </w:r>
      <w:proofErr w:type="spellStart"/>
      <w:r w:rsidRPr="004D248B">
        <w:rPr>
          <w:rFonts w:ascii="Times New Roman" w:hAnsi="Times New Roman" w:cs="Times New Roman"/>
          <w:iCs/>
          <w:color w:val="222222"/>
          <w:sz w:val="24"/>
          <w:szCs w:val="24"/>
          <w:shd w:val="clear" w:color="auto" w:fill="FFFFFF"/>
        </w:rPr>
        <w:t>Chatziantoniou</w:t>
      </w:r>
      <w:proofErr w:type="spellEnd"/>
      <w:r w:rsidRPr="004D248B">
        <w:rPr>
          <w:rFonts w:ascii="Times New Roman" w:hAnsi="Times New Roman" w:cs="Times New Roman"/>
          <w:iCs/>
          <w:color w:val="222222"/>
          <w:sz w:val="24"/>
          <w:szCs w:val="24"/>
          <w:shd w:val="clear" w:color="auto" w:fill="FFFFFF"/>
        </w:rPr>
        <w:t xml:space="preserve">, I., &amp; </w:t>
      </w:r>
      <w:proofErr w:type="spellStart"/>
      <w:r w:rsidRPr="004D248B">
        <w:rPr>
          <w:rFonts w:ascii="Times New Roman" w:hAnsi="Times New Roman" w:cs="Times New Roman"/>
          <w:iCs/>
          <w:color w:val="222222"/>
          <w:sz w:val="24"/>
          <w:szCs w:val="24"/>
          <w:shd w:val="clear" w:color="auto" w:fill="FFFFFF"/>
        </w:rPr>
        <w:t>Filis</w:t>
      </w:r>
      <w:proofErr w:type="spellEnd"/>
      <w:r w:rsidRPr="004D248B">
        <w:rPr>
          <w:rFonts w:ascii="Times New Roman" w:hAnsi="Times New Roman" w:cs="Times New Roman"/>
          <w:iCs/>
          <w:color w:val="222222"/>
          <w:sz w:val="24"/>
          <w:szCs w:val="24"/>
          <w:shd w:val="clear" w:color="auto" w:fill="FFFFFF"/>
        </w:rPr>
        <w:t>, G. (2017). Oil shocks and stock markets: Dynamic connectedness under the prism of recent geopolitical and economic unrest. International Review of Financial Analysis</w:t>
      </w:r>
      <w:r w:rsidR="000C5997" w:rsidRPr="000C5997">
        <w:t xml:space="preserve"> </w:t>
      </w:r>
    </w:p>
    <w:p w14:paraId="16C31545" w14:textId="7F18F2A6" w:rsidR="00521DE0" w:rsidRDefault="000C5997" w:rsidP="00521DE0">
      <w:pPr>
        <w:snapToGrid w:val="0"/>
        <w:spacing w:after="0" w:line="480" w:lineRule="auto"/>
        <w:jc w:val="both"/>
        <w:rPr>
          <w:rFonts w:ascii="Times New Roman" w:hAnsi="Times New Roman" w:cs="Times New Roman"/>
          <w:iCs/>
          <w:color w:val="222222"/>
          <w:sz w:val="24"/>
          <w:szCs w:val="24"/>
          <w:shd w:val="clear" w:color="auto" w:fill="FFFFFF"/>
        </w:rPr>
      </w:pPr>
      <w:r w:rsidRPr="000C5997">
        <w:rPr>
          <w:rFonts w:ascii="Times New Roman" w:hAnsi="Times New Roman" w:cs="Times New Roman"/>
          <w:iCs/>
          <w:color w:val="222222"/>
          <w:sz w:val="24"/>
          <w:szCs w:val="24"/>
          <w:shd w:val="clear" w:color="auto" w:fill="FFFFFF"/>
        </w:rPr>
        <w:t xml:space="preserve">Aye, G. C., </w:t>
      </w:r>
      <w:proofErr w:type="spellStart"/>
      <w:r w:rsidRPr="000C5997">
        <w:rPr>
          <w:rFonts w:ascii="Times New Roman" w:hAnsi="Times New Roman" w:cs="Times New Roman"/>
          <w:iCs/>
          <w:color w:val="222222"/>
          <w:sz w:val="24"/>
          <w:szCs w:val="24"/>
          <w:shd w:val="clear" w:color="auto" w:fill="FFFFFF"/>
        </w:rPr>
        <w:t>Dadam</w:t>
      </w:r>
      <w:proofErr w:type="spellEnd"/>
      <w:r w:rsidRPr="000C5997">
        <w:rPr>
          <w:rFonts w:ascii="Times New Roman" w:hAnsi="Times New Roman" w:cs="Times New Roman"/>
          <w:iCs/>
          <w:color w:val="222222"/>
          <w:sz w:val="24"/>
          <w:szCs w:val="24"/>
          <w:shd w:val="clear" w:color="auto" w:fill="FFFFFF"/>
        </w:rPr>
        <w:t>, V., Gupta, R., &amp; Mamba, B. (2014). Oil price uncertainty and manufacturing production. Energy Economics, 43, 41-47.</w:t>
      </w:r>
      <w:r w:rsidR="00521DE0" w:rsidRPr="004D248B">
        <w:rPr>
          <w:rFonts w:ascii="Times New Roman" w:hAnsi="Times New Roman" w:cs="Times New Roman"/>
          <w:iCs/>
          <w:color w:val="222222"/>
          <w:sz w:val="24"/>
          <w:szCs w:val="24"/>
          <w:shd w:val="clear" w:color="auto" w:fill="FFFFFF"/>
        </w:rPr>
        <w:t>, 50, 1-26.</w:t>
      </w:r>
    </w:p>
    <w:p w14:paraId="5513C2FE"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bookmarkStart w:id="28" w:name="_Hlk32133821"/>
      <w:proofErr w:type="spellStart"/>
      <w:r w:rsidRPr="004D248B">
        <w:rPr>
          <w:rFonts w:ascii="Times New Roman" w:hAnsi="Times New Roman" w:cs="Times New Roman"/>
          <w:color w:val="222222"/>
          <w:sz w:val="24"/>
          <w:szCs w:val="24"/>
          <w:shd w:val="clear" w:color="auto" w:fill="FFFFFF"/>
        </w:rPr>
        <w:lastRenderedPageBreak/>
        <w:t>Balcilar</w:t>
      </w:r>
      <w:proofErr w:type="spellEnd"/>
      <w:r w:rsidRPr="004D248B">
        <w:rPr>
          <w:rFonts w:ascii="Times New Roman" w:hAnsi="Times New Roman" w:cs="Times New Roman"/>
          <w:color w:val="222222"/>
          <w:sz w:val="24"/>
          <w:szCs w:val="24"/>
          <w:shd w:val="clear" w:color="auto" w:fill="FFFFFF"/>
        </w:rPr>
        <w:t xml:space="preserve">, M., </w:t>
      </w:r>
      <w:proofErr w:type="spellStart"/>
      <w:r w:rsidRPr="004D248B">
        <w:rPr>
          <w:rFonts w:ascii="Times New Roman" w:hAnsi="Times New Roman" w:cs="Times New Roman"/>
          <w:color w:val="222222"/>
          <w:sz w:val="24"/>
          <w:szCs w:val="24"/>
          <w:shd w:val="clear" w:color="auto" w:fill="FFFFFF"/>
        </w:rPr>
        <w:t>Ozdemir</w:t>
      </w:r>
      <w:proofErr w:type="spellEnd"/>
      <w:r w:rsidRPr="004D248B">
        <w:rPr>
          <w:rFonts w:ascii="Times New Roman" w:hAnsi="Times New Roman" w:cs="Times New Roman"/>
          <w:color w:val="222222"/>
          <w:sz w:val="24"/>
          <w:szCs w:val="24"/>
          <w:shd w:val="clear" w:color="auto" w:fill="FFFFFF"/>
        </w:rPr>
        <w:t>, Z. A., &amp; Shahbaz, M. (2019). On the time</w:t>
      </w:r>
      <w:r w:rsidRPr="004D248B">
        <w:rPr>
          <w:rFonts w:ascii="Cambria Math" w:hAnsi="Cambria Math" w:cs="Cambria Math"/>
          <w:color w:val="222222"/>
          <w:sz w:val="24"/>
          <w:szCs w:val="24"/>
          <w:shd w:val="clear" w:color="auto" w:fill="FFFFFF"/>
        </w:rPr>
        <w:t>‐</w:t>
      </w:r>
      <w:r w:rsidRPr="004D248B">
        <w:rPr>
          <w:rFonts w:ascii="Times New Roman" w:hAnsi="Times New Roman" w:cs="Times New Roman"/>
          <w:color w:val="222222"/>
          <w:sz w:val="24"/>
          <w:szCs w:val="24"/>
          <w:shd w:val="clear" w:color="auto" w:fill="FFFFFF"/>
        </w:rPr>
        <w:t xml:space="preserve">varying links between oil </w:t>
      </w:r>
      <w:r w:rsidRPr="004D248B">
        <w:rPr>
          <w:rFonts w:ascii="Times New Roman" w:hAnsi="Times New Roman" w:cs="Times New Roman"/>
          <w:iCs/>
          <w:color w:val="222222"/>
          <w:sz w:val="24"/>
          <w:szCs w:val="24"/>
          <w:shd w:val="clear" w:color="auto" w:fill="FFFFFF"/>
        </w:rPr>
        <w:t>and gold: New insights from the rolling and recursive rolling approaches. International Journal of Finance &amp; Economics, 24(3), 1047-1065.</w:t>
      </w:r>
    </w:p>
    <w:p w14:paraId="722C7CB0"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Barrero</w:t>
      </w:r>
      <w:proofErr w:type="spellEnd"/>
      <w:r w:rsidRPr="004D248B">
        <w:rPr>
          <w:rFonts w:ascii="Times New Roman" w:hAnsi="Times New Roman" w:cs="Times New Roman"/>
          <w:iCs/>
          <w:color w:val="222222"/>
          <w:sz w:val="24"/>
          <w:szCs w:val="24"/>
          <w:shd w:val="clear" w:color="auto" w:fill="FFFFFF"/>
        </w:rPr>
        <w:t>, J. M., Bloom, N., &amp; Wright, I. (2017). Short and long run uncertainty (No. w23676). National Bureau of Economic Research.</w:t>
      </w:r>
    </w:p>
    <w:p w14:paraId="2FB853CA" w14:textId="77777777" w:rsidR="00521DE0"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Basher</w:t>
      </w:r>
      <w:bookmarkEnd w:id="28"/>
      <w:r w:rsidRPr="004D248B">
        <w:rPr>
          <w:rFonts w:ascii="Times New Roman" w:hAnsi="Times New Roman" w:cs="Times New Roman"/>
          <w:iCs/>
          <w:color w:val="222222"/>
          <w:sz w:val="24"/>
          <w:szCs w:val="24"/>
          <w:shd w:val="clear" w:color="auto" w:fill="FFFFFF"/>
        </w:rPr>
        <w:t xml:space="preserve">, S. A., </w:t>
      </w:r>
      <w:proofErr w:type="spellStart"/>
      <w:r w:rsidRPr="004D248B">
        <w:rPr>
          <w:rFonts w:ascii="Times New Roman" w:hAnsi="Times New Roman" w:cs="Times New Roman"/>
          <w:iCs/>
          <w:color w:val="222222"/>
          <w:sz w:val="24"/>
          <w:szCs w:val="24"/>
          <w:shd w:val="clear" w:color="auto" w:fill="FFFFFF"/>
        </w:rPr>
        <w:t>Haug</w:t>
      </w:r>
      <w:proofErr w:type="spellEnd"/>
      <w:r w:rsidRPr="004D248B">
        <w:rPr>
          <w:rFonts w:ascii="Times New Roman" w:hAnsi="Times New Roman" w:cs="Times New Roman"/>
          <w:iCs/>
          <w:color w:val="222222"/>
          <w:sz w:val="24"/>
          <w:szCs w:val="24"/>
          <w:shd w:val="clear" w:color="auto" w:fill="FFFFFF"/>
        </w:rPr>
        <w:t xml:space="preserve">, A. A., &amp; </w:t>
      </w:r>
      <w:proofErr w:type="spellStart"/>
      <w:r w:rsidRPr="004D248B">
        <w:rPr>
          <w:rFonts w:ascii="Times New Roman" w:hAnsi="Times New Roman" w:cs="Times New Roman"/>
          <w:iCs/>
          <w:color w:val="222222"/>
          <w:sz w:val="24"/>
          <w:szCs w:val="24"/>
          <w:shd w:val="clear" w:color="auto" w:fill="FFFFFF"/>
        </w:rPr>
        <w:t>Sadorsky</w:t>
      </w:r>
      <w:proofErr w:type="spellEnd"/>
      <w:r w:rsidRPr="004D248B">
        <w:rPr>
          <w:rFonts w:ascii="Times New Roman" w:hAnsi="Times New Roman" w:cs="Times New Roman"/>
          <w:iCs/>
          <w:color w:val="222222"/>
          <w:sz w:val="24"/>
          <w:szCs w:val="24"/>
          <w:shd w:val="clear" w:color="auto" w:fill="FFFFFF"/>
        </w:rPr>
        <w:t>, P. (2016). The impact of oil shocks on exchange rates: A Markov-switching approach. Energy Economics, 54, 11-23.</w:t>
      </w:r>
    </w:p>
    <w:p w14:paraId="4D733CEE"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EA1EC3">
        <w:rPr>
          <w:rFonts w:ascii="Times New Roman" w:hAnsi="Times New Roman" w:cs="Times New Roman" w:hint="eastAsia"/>
          <w:iCs/>
          <w:color w:val="222222"/>
          <w:sz w:val="24"/>
          <w:szCs w:val="24"/>
          <w:shd w:val="clear" w:color="auto" w:fill="FFFFFF"/>
        </w:rPr>
        <w:t xml:space="preserve">Baumeister, C., &amp; </w:t>
      </w:r>
      <w:proofErr w:type="spellStart"/>
      <w:r w:rsidRPr="00EA1EC3">
        <w:rPr>
          <w:rFonts w:ascii="Times New Roman" w:hAnsi="Times New Roman" w:cs="Times New Roman" w:hint="eastAsia"/>
          <w:iCs/>
          <w:color w:val="222222"/>
          <w:sz w:val="24"/>
          <w:szCs w:val="24"/>
          <w:shd w:val="clear" w:color="auto" w:fill="FFFFFF"/>
        </w:rPr>
        <w:t>Peersman</w:t>
      </w:r>
      <w:proofErr w:type="spellEnd"/>
      <w:r w:rsidRPr="00EA1EC3">
        <w:rPr>
          <w:rFonts w:ascii="Times New Roman" w:hAnsi="Times New Roman" w:cs="Times New Roman" w:hint="eastAsia"/>
          <w:iCs/>
          <w:color w:val="222222"/>
          <w:sz w:val="24"/>
          <w:szCs w:val="24"/>
          <w:shd w:val="clear" w:color="auto" w:fill="FFFFFF"/>
        </w:rPr>
        <w:t>, G. (2013). The role of time</w:t>
      </w:r>
      <w:r w:rsidRPr="00EA1EC3">
        <w:rPr>
          <w:rFonts w:ascii="Cambria Math" w:hAnsi="Cambria Math" w:cs="Cambria Math"/>
          <w:iCs/>
          <w:color w:val="222222"/>
          <w:sz w:val="24"/>
          <w:szCs w:val="24"/>
          <w:shd w:val="clear" w:color="auto" w:fill="FFFFFF"/>
        </w:rPr>
        <w:t>‐</w:t>
      </w:r>
      <w:r w:rsidRPr="00EA1EC3">
        <w:rPr>
          <w:rFonts w:ascii="Times New Roman" w:hAnsi="Times New Roman" w:cs="Times New Roman" w:hint="eastAsia"/>
          <w:iCs/>
          <w:color w:val="222222"/>
          <w:sz w:val="24"/>
          <w:szCs w:val="24"/>
          <w:shd w:val="clear" w:color="auto" w:fill="FFFFFF"/>
        </w:rPr>
        <w:t>varying price elasticities in accounting for volatility changes in the crude oil market. Journal of Applied Econometrics, 28(7), 1087-1109.</w:t>
      </w:r>
    </w:p>
    <w:p w14:paraId="58F55A6A"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Bloom, N. (2009). The impact of uncertainty shocks. </w:t>
      </w:r>
      <w:proofErr w:type="spellStart"/>
      <w:r w:rsidRPr="004D248B">
        <w:rPr>
          <w:rFonts w:ascii="Times New Roman" w:hAnsi="Times New Roman" w:cs="Times New Roman"/>
          <w:iCs/>
          <w:color w:val="222222"/>
          <w:sz w:val="24"/>
          <w:szCs w:val="24"/>
          <w:shd w:val="clear" w:color="auto" w:fill="FFFFFF"/>
        </w:rPr>
        <w:t>econometrica</w:t>
      </w:r>
      <w:proofErr w:type="spellEnd"/>
      <w:r w:rsidRPr="004D248B">
        <w:rPr>
          <w:rFonts w:ascii="Times New Roman" w:hAnsi="Times New Roman" w:cs="Times New Roman"/>
          <w:iCs/>
          <w:color w:val="222222"/>
          <w:sz w:val="24"/>
          <w:szCs w:val="24"/>
          <w:shd w:val="clear" w:color="auto" w:fill="FFFFFF"/>
        </w:rPr>
        <w:t>, 77(3), 623-685.</w:t>
      </w:r>
    </w:p>
    <w:p w14:paraId="579A7A2F"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Bouri</w:t>
      </w:r>
      <w:proofErr w:type="spellEnd"/>
      <w:r w:rsidRPr="004D248B">
        <w:rPr>
          <w:rFonts w:ascii="Times New Roman" w:hAnsi="Times New Roman" w:cs="Times New Roman"/>
          <w:iCs/>
          <w:color w:val="222222"/>
          <w:sz w:val="24"/>
          <w:szCs w:val="24"/>
          <w:shd w:val="clear" w:color="auto" w:fill="FFFFFF"/>
        </w:rPr>
        <w:t>, E., Gupta, R., Hosseini, S., &amp; Lau, C. K. M. (2018). Does global fear predict fear in BRICS stock markets? Evidence from a Bayesian Graphical Structural VAR model. Emerging Markets Review, 34, 124-142.</w:t>
      </w:r>
    </w:p>
    <w:p w14:paraId="5C4E4992"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Bouri</w:t>
      </w:r>
      <w:proofErr w:type="spellEnd"/>
      <w:r w:rsidRPr="004D248B">
        <w:rPr>
          <w:rFonts w:ascii="Times New Roman" w:hAnsi="Times New Roman" w:cs="Times New Roman"/>
          <w:iCs/>
          <w:color w:val="222222"/>
          <w:sz w:val="24"/>
          <w:szCs w:val="24"/>
          <w:shd w:val="clear" w:color="auto" w:fill="FFFFFF"/>
        </w:rPr>
        <w:t>, E., &amp; Gupta, R. (2019). Predicting Bitcoin returns: Comparing the roles of newspaper-and internet search-based measures of uncertainty. Finance Research Letters, 101398.</w:t>
      </w:r>
    </w:p>
    <w:p w14:paraId="4269407A"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Berument</w:t>
      </w:r>
      <w:proofErr w:type="spellEnd"/>
      <w:r w:rsidRPr="004D248B">
        <w:rPr>
          <w:rFonts w:ascii="Times New Roman" w:hAnsi="Times New Roman" w:cs="Times New Roman"/>
          <w:iCs/>
          <w:color w:val="222222"/>
          <w:sz w:val="24"/>
          <w:szCs w:val="24"/>
          <w:shd w:val="clear" w:color="auto" w:fill="FFFFFF"/>
        </w:rPr>
        <w:t xml:space="preserve">, M. H., </w:t>
      </w:r>
      <w:proofErr w:type="spellStart"/>
      <w:r w:rsidRPr="004D248B">
        <w:rPr>
          <w:rFonts w:ascii="Times New Roman" w:hAnsi="Times New Roman" w:cs="Times New Roman"/>
          <w:iCs/>
          <w:color w:val="222222"/>
          <w:sz w:val="24"/>
          <w:szCs w:val="24"/>
          <w:shd w:val="clear" w:color="auto" w:fill="FFFFFF"/>
        </w:rPr>
        <w:t>Ceylan</w:t>
      </w:r>
      <w:proofErr w:type="spellEnd"/>
      <w:r w:rsidRPr="004D248B">
        <w:rPr>
          <w:rFonts w:ascii="Times New Roman" w:hAnsi="Times New Roman" w:cs="Times New Roman"/>
          <w:iCs/>
          <w:color w:val="222222"/>
          <w:sz w:val="24"/>
          <w:szCs w:val="24"/>
          <w:shd w:val="clear" w:color="auto" w:fill="FFFFFF"/>
        </w:rPr>
        <w:t>, N. B., &amp; Dogan, N. (2010). The impact of oil price shocks on the economic growth of selected MENA1 countries. The Energy Journal, 31(1).</w:t>
      </w:r>
    </w:p>
    <w:p w14:paraId="5ADB6B60"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Chisadza</w:t>
      </w:r>
      <w:proofErr w:type="spellEnd"/>
      <w:r w:rsidRPr="004D248B">
        <w:rPr>
          <w:rFonts w:ascii="Times New Roman" w:hAnsi="Times New Roman" w:cs="Times New Roman"/>
          <w:iCs/>
          <w:color w:val="222222"/>
          <w:sz w:val="24"/>
          <w:szCs w:val="24"/>
          <w:shd w:val="clear" w:color="auto" w:fill="FFFFFF"/>
        </w:rPr>
        <w:t xml:space="preserve">, C., Dlamini, J., Gupta, R., &amp; </w:t>
      </w:r>
      <w:proofErr w:type="spellStart"/>
      <w:r w:rsidRPr="004D248B">
        <w:rPr>
          <w:rFonts w:ascii="Times New Roman" w:hAnsi="Times New Roman" w:cs="Times New Roman"/>
          <w:iCs/>
          <w:color w:val="222222"/>
          <w:sz w:val="24"/>
          <w:szCs w:val="24"/>
          <w:shd w:val="clear" w:color="auto" w:fill="FFFFFF"/>
        </w:rPr>
        <w:t>Modise</w:t>
      </w:r>
      <w:proofErr w:type="spellEnd"/>
      <w:r w:rsidRPr="004D248B">
        <w:rPr>
          <w:rFonts w:ascii="Times New Roman" w:hAnsi="Times New Roman" w:cs="Times New Roman"/>
          <w:iCs/>
          <w:color w:val="222222"/>
          <w:sz w:val="24"/>
          <w:szCs w:val="24"/>
          <w:shd w:val="clear" w:color="auto" w:fill="FFFFFF"/>
        </w:rPr>
        <w:t>, M. P. (2016). The impact of oil shocks on the South African economy. Energy Sources, Part B: Economics, Planning, and Policy, 11(8), 739-745.</w:t>
      </w:r>
    </w:p>
    <w:p w14:paraId="2EB320A9"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bookmarkStart w:id="29" w:name="_Hlk32762792"/>
      <w:proofErr w:type="spellStart"/>
      <w:r w:rsidRPr="004D248B">
        <w:rPr>
          <w:rFonts w:ascii="Times New Roman" w:hAnsi="Times New Roman" w:cs="Times New Roman"/>
          <w:iCs/>
          <w:color w:val="222222"/>
          <w:sz w:val="24"/>
          <w:szCs w:val="24"/>
          <w:shd w:val="clear" w:color="auto" w:fill="FFFFFF"/>
        </w:rPr>
        <w:t>Chuliá</w:t>
      </w:r>
      <w:bookmarkEnd w:id="29"/>
      <w:proofErr w:type="spellEnd"/>
      <w:r w:rsidRPr="004D248B">
        <w:rPr>
          <w:rFonts w:ascii="Times New Roman" w:hAnsi="Times New Roman" w:cs="Times New Roman"/>
          <w:iCs/>
          <w:color w:val="222222"/>
          <w:sz w:val="24"/>
          <w:szCs w:val="24"/>
          <w:shd w:val="clear" w:color="auto" w:fill="FFFFFF"/>
        </w:rPr>
        <w:t xml:space="preserve">, H., Gupta, R., Uribe, J. M., &amp; </w:t>
      </w:r>
      <w:proofErr w:type="spellStart"/>
      <w:r w:rsidRPr="004D248B">
        <w:rPr>
          <w:rFonts w:ascii="Times New Roman" w:hAnsi="Times New Roman" w:cs="Times New Roman"/>
          <w:iCs/>
          <w:color w:val="222222"/>
          <w:sz w:val="24"/>
          <w:szCs w:val="24"/>
          <w:shd w:val="clear" w:color="auto" w:fill="FFFFFF"/>
        </w:rPr>
        <w:t>Wohar</w:t>
      </w:r>
      <w:proofErr w:type="spellEnd"/>
      <w:r w:rsidRPr="004D248B">
        <w:rPr>
          <w:rFonts w:ascii="Times New Roman" w:hAnsi="Times New Roman" w:cs="Times New Roman"/>
          <w:iCs/>
          <w:color w:val="222222"/>
          <w:sz w:val="24"/>
          <w:szCs w:val="24"/>
          <w:shd w:val="clear" w:color="auto" w:fill="FFFFFF"/>
        </w:rPr>
        <w:t>, M. E. (2017). Impact of US uncertainties on emerging and mature markets: Evidence from a quantile-vector autoregressive approach. Journal of International Financial Markets, Institutions and Money, 48, 178-191.</w:t>
      </w:r>
    </w:p>
    <w:p w14:paraId="28F8C49E"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lastRenderedPageBreak/>
        <w:t>Cunado</w:t>
      </w:r>
      <w:proofErr w:type="spellEnd"/>
      <w:r w:rsidRPr="004D248B">
        <w:rPr>
          <w:rFonts w:ascii="Times New Roman" w:hAnsi="Times New Roman" w:cs="Times New Roman"/>
          <w:iCs/>
          <w:color w:val="222222"/>
          <w:sz w:val="24"/>
          <w:szCs w:val="24"/>
          <w:shd w:val="clear" w:color="auto" w:fill="FFFFFF"/>
        </w:rPr>
        <w:t xml:space="preserve">, J., &amp; De </w:t>
      </w:r>
      <w:proofErr w:type="spellStart"/>
      <w:r w:rsidRPr="004D248B">
        <w:rPr>
          <w:rFonts w:ascii="Times New Roman" w:hAnsi="Times New Roman" w:cs="Times New Roman"/>
          <w:iCs/>
          <w:color w:val="222222"/>
          <w:sz w:val="24"/>
          <w:szCs w:val="24"/>
          <w:shd w:val="clear" w:color="auto" w:fill="FFFFFF"/>
        </w:rPr>
        <w:t>Gracia</w:t>
      </w:r>
      <w:proofErr w:type="spellEnd"/>
      <w:r w:rsidRPr="004D248B">
        <w:rPr>
          <w:rFonts w:ascii="Times New Roman" w:hAnsi="Times New Roman" w:cs="Times New Roman"/>
          <w:iCs/>
          <w:color w:val="222222"/>
          <w:sz w:val="24"/>
          <w:szCs w:val="24"/>
          <w:shd w:val="clear" w:color="auto" w:fill="FFFFFF"/>
        </w:rPr>
        <w:t>, F. P. (2005). Oil prices, economic activity and inflation: evidence for some Asian countries. The Quarterly Review of Economics and Finance, 45(1), 65-83.</w:t>
      </w:r>
    </w:p>
    <w:p w14:paraId="6A9BB757"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Degiannakis</w:t>
      </w:r>
      <w:proofErr w:type="spellEnd"/>
      <w:r w:rsidRPr="004D248B">
        <w:rPr>
          <w:rFonts w:ascii="Times New Roman" w:hAnsi="Times New Roman" w:cs="Times New Roman"/>
          <w:iCs/>
          <w:color w:val="222222"/>
          <w:sz w:val="24"/>
          <w:szCs w:val="24"/>
          <w:shd w:val="clear" w:color="auto" w:fill="FFFFFF"/>
        </w:rPr>
        <w:t xml:space="preserve">, S., </w:t>
      </w:r>
      <w:proofErr w:type="spellStart"/>
      <w:r w:rsidRPr="004D248B">
        <w:rPr>
          <w:rFonts w:ascii="Times New Roman" w:hAnsi="Times New Roman" w:cs="Times New Roman"/>
          <w:iCs/>
          <w:color w:val="222222"/>
          <w:sz w:val="24"/>
          <w:szCs w:val="24"/>
          <w:shd w:val="clear" w:color="auto" w:fill="FFFFFF"/>
        </w:rPr>
        <w:t>Filis</w:t>
      </w:r>
      <w:proofErr w:type="spellEnd"/>
      <w:r w:rsidRPr="004D248B">
        <w:rPr>
          <w:rFonts w:ascii="Times New Roman" w:hAnsi="Times New Roman" w:cs="Times New Roman"/>
          <w:iCs/>
          <w:color w:val="222222"/>
          <w:sz w:val="24"/>
          <w:szCs w:val="24"/>
          <w:shd w:val="clear" w:color="auto" w:fill="FFFFFF"/>
        </w:rPr>
        <w:t xml:space="preserve">, G., &amp; </w:t>
      </w:r>
      <w:proofErr w:type="spellStart"/>
      <w:r w:rsidRPr="004D248B">
        <w:rPr>
          <w:rFonts w:ascii="Times New Roman" w:hAnsi="Times New Roman" w:cs="Times New Roman"/>
          <w:iCs/>
          <w:color w:val="222222"/>
          <w:sz w:val="24"/>
          <w:szCs w:val="24"/>
          <w:shd w:val="clear" w:color="auto" w:fill="FFFFFF"/>
        </w:rPr>
        <w:t>Panagiotakopoulou</w:t>
      </w:r>
      <w:proofErr w:type="spellEnd"/>
      <w:r w:rsidRPr="004D248B">
        <w:rPr>
          <w:rFonts w:ascii="Times New Roman" w:hAnsi="Times New Roman" w:cs="Times New Roman"/>
          <w:iCs/>
          <w:color w:val="222222"/>
          <w:sz w:val="24"/>
          <w:szCs w:val="24"/>
          <w:shd w:val="clear" w:color="auto" w:fill="FFFFFF"/>
        </w:rPr>
        <w:t xml:space="preserve">, S. (2018). Oil Price Shocks and Uncertainty: How stable </w:t>
      </w:r>
      <w:proofErr w:type="spellStart"/>
      <w:r w:rsidRPr="004D248B">
        <w:rPr>
          <w:rFonts w:ascii="Times New Roman" w:hAnsi="Times New Roman" w:cs="Times New Roman"/>
          <w:iCs/>
          <w:color w:val="222222"/>
          <w:sz w:val="24"/>
          <w:szCs w:val="24"/>
          <w:shd w:val="clear" w:color="auto" w:fill="FFFFFF"/>
        </w:rPr>
        <w:t>i</w:t>
      </w:r>
      <w:proofErr w:type="spellEnd"/>
      <w:r w:rsidRPr="004D248B">
        <w:rPr>
          <w:rFonts w:ascii="Times New Roman" w:hAnsi="Times New Roman" w:cs="Times New Roman"/>
          <w:iCs/>
          <w:color w:val="222222"/>
          <w:sz w:val="24"/>
          <w:szCs w:val="24"/>
          <w:shd w:val="clear" w:color="auto" w:fill="FFFFFF"/>
        </w:rPr>
        <w:t xml:space="preserve"> s their relationship over </w:t>
      </w:r>
      <w:proofErr w:type="gramStart"/>
      <w:r w:rsidRPr="004D248B">
        <w:rPr>
          <w:rFonts w:ascii="Times New Roman" w:hAnsi="Times New Roman" w:cs="Times New Roman"/>
          <w:iCs/>
          <w:color w:val="222222"/>
          <w:sz w:val="24"/>
          <w:szCs w:val="24"/>
          <w:shd w:val="clear" w:color="auto" w:fill="FFFFFF"/>
        </w:rPr>
        <w:t>time?.</w:t>
      </w:r>
      <w:proofErr w:type="gramEnd"/>
      <w:r w:rsidRPr="004D248B">
        <w:rPr>
          <w:rFonts w:ascii="Times New Roman" w:hAnsi="Times New Roman" w:cs="Times New Roman"/>
          <w:iCs/>
          <w:color w:val="222222"/>
          <w:sz w:val="24"/>
          <w:szCs w:val="24"/>
          <w:shd w:val="clear" w:color="auto" w:fill="FFFFFF"/>
        </w:rPr>
        <w:t> Economic Modelling, 72, 42-53.</w:t>
      </w:r>
    </w:p>
    <w:p w14:paraId="72D56B8E"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Fattouh, B., Kilian, L., &amp; Mahadeva, L. (2013). The role of speculation in oil markets: What have we learned so </w:t>
      </w:r>
      <w:proofErr w:type="gramStart"/>
      <w:r w:rsidRPr="004D248B">
        <w:rPr>
          <w:rFonts w:ascii="Times New Roman" w:hAnsi="Times New Roman" w:cs="Times New Roman"/>
          <w:iCs/>
          <w:color w:val="222222"/>
          <w:sz w:val="24"/>
          <w:szCs w:val="24"/>
          <w:shd w:val="clear" w:color="auto" w:fill="FFFFFF"/>
        </w:rPr>
        <w:t>far?.</w:t>
      </w:r>
      <w:proofErr w:type="gramEnd"/>
      <w:r w:rsidRPr="004D248B">
        <w:rPr>
          <w:rFonts w:ascii="Times New Roman" w:hAnsi="Times New Roman" w:cs="Times New Roman"/>
          <w:iCs/>
          <w:color w:val="222222"/>
          <w:sz w:val="24"/>
          <w:szCs w:val="24"/>
          <w:shd w:val="clear" w:color="auto" w:fill="FFFFFF"/>
        </w:rPr>
        <w:t xml:space="preserve"> The Energy Journal, 34(3).</w:t>
      </w:r>
    </w:p>
    <w:p w14:paraId="008C1675"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Gupta, R., Lau, C. K. M., &amp; </w:t>
      </w:r>
      <w:proofErr w:type="spellStart"/>
      <w:r w:rsidRPr="004D248B">
        <w:rPr>
          <w:rFonts w:ascii="Times New Roman" w:hAnsi="Times New Roman" w:cs="Times New Roman"/>
          <w:iCs/>
          <w:color w:val="222222"/>
          <w:sz w:val="24"/>
          <w:szCs w:val="24"/>
          <w:shd w:val="clear" w:color="auto" w:fill="FFFFFF"/>
        </w:rPr>
        <w:t>Wohar</w:t>
      </w:r>
      <w:proofErr w:type="spellEnd"/>
      <w:r w:rsidRPr="004D248B">
        <w:rPr>
          <w:rFonts w:ascii="Times New Roman" w:hAnsi="Times New Roman" w:cs="Times New Roman"/>
          <w:iCs/>
          <w:color w:val="222222"/>
          <w:sz w:val="24"/>
          <w:szCs w:val="24"/>
          <w:shd w:val="clear" w:color="auto" w:fill="FFFFFF"/>
        </w:rPr>
        <w:t xml:space="preserve">, M. E. (2016). The impact of US uncertainty on the Euro area in good and bad times: evidence from a quantile structural vector autoregressive model. </w:t>
      </w:r>
      <w:proofErr w:type="spellStart"/>
      <w:r w:rsidRPr="004D248B">
        <w:rPr>
          <w:rFonts w:ascii="Times New Roman" w:hAnsi="Times New Roman" w:cs="Times New Roman"/>
          <w:iCs/>
          <w:color w:val="222222"/>
          <w:sz w:val="24"/>
          <w:szCs w:val="24"/>
          <w:shd w:val="clear" w:color="auto" w:fill="FFFFFF"/>
        </w:rPr>
        <w:t>Empirica</w:t>
      </w:r>
      <w:proofErr w:type="spellEnd"/>
      <w:r w:rsidRPr="004D248B">
        <w:rPr>
          <w:rFonts w:ascii="Times New Roman" w:hAnsi="Times New Roman" w:cs="Times New Roman"/>
          <w:iCs/>
          <w:color w:val="222222"/>
          <w:sz w:val="24"/>
          <w:szCs w:val="24"/>
          <w:shd w:val="clear" w:color="auto" w:fill="FFFFFF"/>
        </w:rPr>
        <w:t>, 1-16.</w:t>
      </w:r>
    </w:p>
    <w:p w14:paraId="19464153"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Gupta, R., </w:t>
      </w:r>
      <w:proofErr w:type="spellStart"/>
      <w:r w:rsidRPr="004D248B">
        <w:rPr>
          <w:rFonts w:ascii="Times New Roman" w:hAnsi="Times New Roman" w:cs="Times New Roman"/>
          <w:iCs/>
          <w:color w:val="222222"/>
          <w:sz w:val="24"/>
          <w:szCs w:val="24"/>
          <w:shd w:val="clear" w:color="auto" w:fill="FFFFFF"/>
        </w:rPr>
        <w:t>Hammoudeh</w:t>
      </w:r>
      <w:proofErr w:type="spellEnd"/>
      <w:r w:rsidRPr="004D248B">
        <w:rPr>
          <w:rFonts w:ascii="Times New Roman" w:hAnsi="Times New Roman" w:cs="Times New Roman"/>
          <w:iCs/>
          <w:color w:val="222222"/>
          <w:sz w:val="24"/>
          <w:szCs w:val="24"/>
          <w:shd w:val="clear" w:color="auto" w:fill="FFFFFF"/>
        </w:rPr>
        <w:t xml:space="preserve">, S., </w:t>
      </w:r>
      <w:proofErr w:type="spellStart"/>
      <w:r w:rsidRPr="004D248B">
        <w:rPr>
          <w:rFonts w:ascii="Times New Roman" w:hAnsi="Times New Roman" w:cs="Times New Roman"/>
          <w:iCs/>
          <w:color w:val="222222"/>
          <w:sz w:val="24"/>
          <w:szCs w:val="24"/>
          <w:shd w:val="clear" w:color="auto" w:fill="FFFFFF"/>
        </w:rPr>
        <w:t>Modise</w:t>
      </w:r>
      <w:proofErr w:type="spellEnd"/>
      <w:r w:rsidRPr="004D248B">
        <w:rPr>
          <w:rFonts w:ascii="Times New Roman" w:hAnsi="Times New Roman" w:cs="Times New Roman"/>
          <w:iCs/>
          <w:color w:val="222222"/>
          <w:sz w:val="24"/>
          <w:szCs w:val="24"/>
          <w:shd w:val="clear" w:color="auto" w:fill="FFFFFF"/>
        </w:rPr>
        <w:t xml:space="preserve">, M. P., &amp; Nguyen, D. K. (2014). Can economic uncertainty, financial stress and consumer sentiments predict US equity </w:t>
      </w:r>
      <w:proofErr w:type="gramStart"/>
      <w:r w:rsidRPr="004D248B">
        <w:rPr>
          <w:rFonts w:ascii="Times New Roman" w:hAnsi="Times New Roman" w:cs="Times New Roman"/>
          <w:iCs/>
          <w:color w:val="222222"/>
          <w:sz w:val="24"/>
          <w:szCs w:val="24"/>
          <w:shd w:val="clear" w:color="auto" w:fill="FFFFFF"/>
        </w:rPr>
        <w:t>premium?.</w:t>
      </w:r>
      <w:proofErr w:type="gramEnd"/>
      <w:r w:rsidRPr="004D248B">
        <w:rPr>
          <w:rFonts w:ascii="Times New Roman" w:hAnsi="Times New Roman" w:cs="Times New Roman"/>
          <w:iCs/>
          <w:color w:val="222222"/>
          <w:sz w:val="24"/>
          <w:szCs w:val="24"/>
          <w:shd w:val="clear" w:color="auto" w:fill="FFFFFF"/>
        </w:rPr>
        <w:t xml:space="preserve"> Journal of International Financial Markets, Institutions and Money, 33, 367-378.</w:t>
      </w:r>
    </w:p>
    <w:p w14:paraId="3744D72F"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Gkillas</w:t>
      </w:r>
      <w:proofErr w:type="spellEnd"/>
      <w:r w:rsidRPr="004D248B">
        <w:rPr>
          <w:rFonts w:ascii="Times New Roman" w:hAnsi="Times New Roman" w:cs="Times New Roman"/>
          <w:iCs/>
          <w:color w:val="222222"/>
          <w:sz w:val="24"/>
          <w:szCs w:val="24"/>
          <w:shd w:val="clear" w:color="auto" w:fill="FFFFFF"/>
        </w:rPr>
        <w:t xml:space="preserve">, K., Gupta, R., &amp; </w:t>
      </w:r>
      <w:proofErr w:type="spellStart"/>
      <w:r w:rsidRPr="004D248B">
        <w:rPr>
          <w:rFonts w:ascii="Times New Roman" w:hAnsi="Times New Roman" w:cs="Times New Roman"/>
          <w:iCs/>
          <w:color w:val="222222"/>
          <w:sz w:val="24"/>
          <w:szCs w:val="24"/>
          <w:shd w:val="clear" w:color="auto" w:fill="FFFFFF"/>
        </w:rPr>
        <w:t>Wohar</w:t>
      </w:r>
      <w:proofErr w:type="spellEnd"/>
      <w:r w:rsidRPr="004D248B">
        <w:rPr>
          <w:rFonts w:ascii="Times New Roman" w:hAnsi="Times New Roman" w:cs="Times New Roman"/>
          <w:iCs/>
          <w:color w:val="222222"/>
          <w:sz w:val="24"/>
          <w:szCs w:val="24"/>
          <w:shd w:val="clear" w:color="auto" w:fill="FFFFFF"/>
        </w:rPr>
        <w:t>, M. E. (2020). Oil shocks and volatility jumps. Review of Quantitative Finance and Accounting, 54(1), 247-272.</w:t>
      </w:r>
    </w:p>
    <w:p w14:paraId="66FFF6BC"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Hailemariam, A., Smyth, R., &amp; Zhang, X. (2019). Oil prices and economic policy uncertainty: Evidence from a nonparametric panel data model. Energy Economics, 83, 40-51.</w:t>
      </w:r>
    </w:p>
    <w:p w14:paraId="04A96590"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Hollander, H., Gupta, R., &amp; </w:t>
      </w:r>
      <w:proofErr w:type="spellStart"/>
      <w:r w:rsidRPr="004D248B">
        <w:rPr>
          <w:rFonts w:ascii="Times New Roman" w:hAnsi="Times New Roman" w:cs="Times New Roman"/>
          <w:iCs/>
          <w:color w:val="222222"/>
          <w:sz w:val="24"/>
          <w:szCs w:val="24"/>
          <w:shd w:val="clear" w:color="auto" w:fill="FFFFFF"/>
        </w:rPr>
        <w:t>Wohar</w:t>
      </w:r>
      <w:proofErr w:type="spellEnd"/>
      <w:r w:rsidRPr="004D248B">
        <w:rPr>
          <w:rFonts w:ascii="Times New Roman" w:hAnsi="Times New Roman" w:cs="Times New Roman"/>
          <w:iCs/>
          <w:color w:val="222222"/>
          <w:sz w:val="24"/>
          <w:szCs w:val="24"/>
          <w:shd w:val="clear" w:color="auto" w:fill="FFFFFF"/>
        </w:rPr>
        <w:t>, M. E. (2019). The impact of oil shocks in a small open economy New-Keynesian dynamic stochastic general equilibrium model for an oil-importing country: The case of South Africa. Emerging Markets Finance and Trade, 55(7), 1593-1618.</w:t>
      </w:r>
    </w:p>
    <w:p w14:paraId="71AA01ED" w14:textId="77777777" w:rsidR="00521DE0"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2E67AB">
        <w:rPr>
          <w:rFonts w:ascii="Times New Roman" w:hAnsi="Times New Roman" w:cs="Times New Roman"/>
          <w:iCs/>
          <w:color w:val="222222"/>
          <w:sz w:val="24"/>
          <w:szCs w:val="24"/>
          <w:shd w:val="clear" w:color="auto" w:fill="FFFFFF"/>
        </w:rPr>
        <w:t>Jordà</w:t>
      </w:r>
      <w:proofErr w:type="spellEnd"/>
      <w:r w:rsidRPr="002E67AB">
        <w:rPr>
          <w:rFonts w:ascii="Times New Roman" w:hAnsi="Times New Roman" w:cs="Times New Roman"/>
          <w:iCs/>
          <w:color w:val="222222"/>
          <w:sz w:val="24"/>
          <w:szCs w:val="24"/>
          <w:shd w:val="clear" w:color="auto" w:fill="FFFFFF"/>
        </w:rPr>
        <w:t>, Ò. (2005). Estimation and inference of impulse responses by local projections. American economic review, 95(1), 161-182.</w:t>
      </w:r>
    </w:p>
    <w:p w14:paraId="2218DF47"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Juvenal, L., &amp; Petrella, I. (2015). Speculation in the oil market. Journal of Applied Econometrics, 30(4), 621-649.</w:t>
      </w:r>
    </w:p>
    <w:p w14:paraId="2F3A7C23"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Kilian, L. (2009). Not all oil price shocks are alike: Disentangling demand and supply shocks in the crude oil market. American Economic Review, 99(3), 1053-69.</w:t>
      </w:r>
    </w:p>
    <w:p w14:paraId="71B92048"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lastRenderedPageBreak/>
        <w:t>Kilian, L., &amp; Murphy, D. P. (2012). Why agnostic sign restrictions are not enough: understanding the dynamics of oil market VAR models. Journal of the European Economic Association, 10(5), 1166-1188.</w:t>
      </w:r>
    </w:p>
    <w:p w14:paraId="661854A1"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Kilian, L., &amp; Murphy, D. P. (2014). The role of inventories and speculative trading in the global market for crude oil. Journal of Applied Econometrics, 29(3), 454-478.</w:t>
      </w:r>
    </w:p>
    <w:p w14:paraId="4E7382AC"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&amp;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R. A. (2013a). Oil shocks, policy uncertainty and stock market return. Journal of International Financial Markets, Institutions and Money, 26, 305-318.</w:t>
      </w:r>
    </w:p>
    <w:p w14:paraId="4068E6B0"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&amp;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R. A. (2013b). Structural oil price shocks and policy uncertainty. Economic Modelling, 35, 314-319.</w:t>
      </w:r>
    </w:p>
    <w:p w14:paraId="1366BE7D"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&amp;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R. A. (2015). Oil shocks, policy uncertainty and stock returns in China. Economics of Transition, 23(4), 657-676.</w:t>
      </w:r>
    </w:p>
    <w:p w14:paraId="67A67F00"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xml:space="preserve">, R. A., &amp; </w:t>
      </w:r>
      <w:proofErr w:type="spellStart"/>
      <w:r w:rsidRPr="004D248B">
        <w:rPr>
          <w:rFonts w:ascii="Times New Roman" w:hAnsi="Times New Roman" w:cs="Times New Roman"/>
          <w:iCs/>
          <w:color w:val="222222"/>
          <w:sz w:val="24"/>
          <w:szCs w:val="24"/>
          <w:shd w:val="clear" w:color="auto" w:fill="FFFFFF"/>
        </w:rPr>
        <w:t>Vespignani</w:t>
      </w:r>
      <w:proofErr w:type="spellEnd"/>
      <w:r w:rsidRPr="004D248B">
        <w:rPr>
          <w:rFonts w:ascii="Times New Roman" w:hAnsi="Times New Roman" w:cs="Times New Roman"/>
          <w:iCs/>
          <w:color w:val="222222"/>
          <w:sz w:val="24"/>
          <w:szCs w:val="24"/>
          <w:shd w:val="clear" w:color="auto" w:fill="FFFFFF"/>
        </w:rPr>
        <w:t>, J. (2016). The impact of oil price shocks on the US stock market: A note on the roles of US and non-US oil production. Economics Letters, 145, 176-181.</w:t>
      </w:r>
    </w:p>
    <w:p w14:paraId="796308AD"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xml:space="preserve">, R. A., &amp; </w:t>
      </w:r>
      <w:proofErr w:type="spellStart"/>
      <w:r w:rsidRPr="004D248B">
        <w:rPr>
          <w:rFonts w:ascii="Times New Roman" w:hAnsi="Times New Roman" w:cs="Times New Roman"/>
          <w:iCs/>
          <w:color w:val="222222"/>
          <w:sz w:val="24"/>
          <w:szCs w:val="24"/>
          <w:shd w:val="clear" w:color="auto" w:fill="FFFFFF"/>
        </w:rPr>
        <w:t>Vespignani</w:t>
      </w:r>
      <w:proofErr w:type="spellEnd"/>
      <w:r w:rsidRPr="004D248B">
        <w:rPr>
          <w:rFonts w:ascii="Times New Roman" w:hAnsi="Times New Roman" w:cs="Times New Roman"/>
          <w:iCs/>
          <w:color w:val="222222"/>
          <w:sz w:val="24"/>
          <w:szCs w:val="24"/>
          <w:shd w:val="clear" w:color="auto" w:fill="FFFFFF"/>
        </w:rPr>
        <w:t>, J. L. (2017). Oil price shocks and policy uncertainty: New evidence on the effects of US and non-US oil production. Energy Economics, 66, 536-546.</w:t>
      </w:r>
    </w:p>
    <w:p w14:paraId="6750C157" w14:textId="77777777" w:rsidR="00521DE0" w:rsidRPr="004D248B" w:rsidRDefault="00521DE0" w:rsidP="00521DE0">
      <w:pPr>
        <w:snapToGrid w:val="0"/>
        <w:spacing w:after="0" w:line="480" w:lineRule="auto"/>
        <w:jc w:val="both"/>
        <w:rPr>
          <w:rFonts w:ascii="Times New Roman" w:hAnsi="Times New Roman" w:cs="Times New Roman"/>
          <w:iCs/>
          <w:sz w:val="28"/>
          <w:szCs w:val="28"/>
        </w:rPr>
      </w:pPr>
      <w:bookmarkStart w:id="30" w:name="_Hlk32081491"/>
      <w:r w:rsidRPr="004D248B">
        <w:rPr>
          <w:rFonts w:ascii="Times New Roman" w:hAnsi="Times New Roman" w:cs="Times New Roman"/>
          <w:iCs/>
          <w:color w:val="222222"/>
          <w:sz w:val="24"/>
          <w:szCs w:val="24"/>
          <w:shd w:val="clear" w:color="auto" w:fill="FFFFFF"/>
        </w:rPr>
        <w:t>Kang</w:t>
      </w:r>
      <w:bookmarkEnd w:id="30"/>
      <w:r w:rsidRPr="004D248B">
        <w:rPr>
          <w:rFonts w:ascii="Times New Roman" w:hAnsi="Times New Roman" w:cs="Times New Roman"/>
          <w:iCs/>
          <w:color w:val="222222"/>
          <w:sz w:val="24"/>
          <w:szCs w:val="24"/>
          <w:shd w:val="clear" w:color="auto" w:fill="FFFFFF"/>
        </w:rPr>
        <w:t xml:space="preserve">, W.,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R. A., &amp; Yoon, K. H. (2015). Time-varying effect of oil market shocks on the stock market. Journal of Banking &amp; Finance, 61, S150-S163.</w:t>
      </w:r>
    </w:p>
    <w:p w14:paraId="20162769"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Kang, W., </w:t>
      </w:r>
      <w:proofErr w:type="spellStart"/>
      <w:r w:rsidRPr="004D248B">
        <w:rPr>
          <w:rFonts w:ascii="Times New Roman" w:hAnsi="Times New Roman" w:cs="Times New Roman"/>
          <w:iCs/>
          <w:color w:val="222222"/>
          <w:sz w:val="24"/>
          <w:szCs w:val="24"/>
          <w:shd w:val="clear" w:color="auto" w:fill="FFFFFF"/>
        </w:rPr>
        <w:t>Ratti</w:t>
      </w:r>
      <w:proofErr w:type="spellEnd"/>
      <w:r w:rsidRPr="004D248B">
        <w:rPr>
          <w:rFonts w:ascii="Times New Roman" w:hAnsi="Times New Roman" w:cs="Times New Roman"/>
          <w:iCs/>
          <w:color w:val="222222"/>
          <w:sz w:val="24"/>
          <w:szCs w:val="24"/>
          <w:shd w:val="clear" w:color="auto" w:fill="FFFFFF"/>
        </w:rPr>
        <w:t xml:space="preserve">, R. A., &amp; </w:t>
      </w:r>
      <w:proofErr w:type="spellStart"/>
      <w:r w:rsidRPr="004D248B">
        <w:rPr>
          <w:rFonts w:ascii="Times New Roman" w:hAnsi="Times New Roman" w:cs="Times New Roman"/>
          <w:iCs/>
          <w:color w:val="222222"/>
          <w:sz w:val="24"/>
          <w:szCs w:val="24"/>
          <w:shd w:val="clear" w:color="auto" w:fill="FFFFFF"/>
        </w:rPr>
        <w:t>Vespignani</w:t>
      </w:r>
      <w:proofErr w:type="spellEnd"/>
      <w:r w:rsidRPr="004D248B">
        <w:rPr>
          <w:rFonts w:ascii="Times New Roman" w:hAnsi="Times New Roman" w:cs="Times New Roman"/>
          <w:iCs/>
          <w:color w:val="222222"/>
          <w:sz w:val="24"/>
          <w:szCs w:val="24"/>
          <w:shd w:val="clear" w:color="auto" w:fill="FFFFFF"/>
        </w:rPr>
        <w:t>, J. (2019). Impact of global uncertainty on the global economy and large developed and developing economies. Applied Economics, 1-16.</w:t>
      </w:r>
      <w:bookmarkStart w:id="31" w:name="_Hlk32134739"/>
    </w:p>
    <w:bookmarkEnd w:id="31"/>
    <w:p w14:paraId="0CF2A3D7"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Nazlioglu</w:t>
      </w:r>
      <w:proofErr w:type="spellEnd"/>
      <w:r w:rsidRPr="004D248B">
        <w:rPr>
          <w:rFonts w:ascii="Times New Roman" w:hAnsi="Times New Roman" w:cs="Times New Roman"/>
          <w:iCs/>
          <w:color w:val="222222"/>
          <w:sz w:val="24"/>
          <w:szCs w:val="24"/>
          <w:shd w:val="clear" w:color="auto" w:fill="FFFFFF"/>
        </w:rPr>
        <w:t xml:space="preserve">, S., </w:t>
      </w:r>
      <w:proofErr w:type="spellStart"/>
      <w:r w:rsidRPr="004D248B">
        <w:rPr>
          <w:rFonts w:ascii="Times New Roman" w:hAnsi="Times New Roman" w:cs="Times New Roman"/>
          <w:iCs/>
          <w:color w:val="222222"/>
          <w:sz w:val="24"/>
          <w:szCs w:val="24"/>
          <w:shd w:val="clear" w:color="auto" w:fill="FFFFFF"/>
        </w:rPr>
        <w:t>Soytas</w:t>
      </w:r>
      <w:proofErr w:type="spellEnd"/>
      <w:r w:rsidRPr="004D248B">
        <w:rPr>
          <w:rFonts w:ascii="Times New Roman" w:hAnsi="Times New Roman" w:cs="Times New Roman"/>
          <w:iCs/>
          <w:color w:val="222222"/>
          <w:sz w:val="24"/>
          <w:szCs w:val="24"/>
          <w:shd w:val="clear" w:color="auto" w:fill="FFFFFF"/>
        </w:rPr>
        <w:t xml:space="preserve">, U., &amp; Gupta, R. (2015). Oil prices and financial stress: A volatility </w:t>
      </w:r>
      <w:proofErr w:type="spellStart"/>
      <w:r w:rsidRPr="004D248B">
        <w:rPr>
          <w:rFonts w:ascii="Times New Roman" w:hAnsi="Times New Roman" w:cs="Times New Roman"/>
          <w:iCs/>
          <w:color w:val="222222"/>
          <w:sz w:val="24"/>
          <w:szCs w:val="24"/>
          <w:shd w:val="clear" w:color="auto" w:fill="FFFFFF"/>
        </w:rPr>
        <w:t>spillover</w:t>
      </w:r>
      <w:proofErr w:type="spellEnd"/>
      <w:r w:rsidRPr="004D248B">
        <w:rPr>
          <w:rFonts w:ascii="Times New Roman" w:hAnsi="Times New Roman" w:cs="Times New Roman"/>
          <w:iCs/>
          <w:color w:val="222222"/>
          <w:sz w:val="24"/>
          <w:szCs w:val="24"/>
          <w:shd w:val="clear" w:color="auto" w:fill="FFFFFF"/>
        </w:rPr>
        <w:t xml:space="preserve"> analysis. Energy Policy, 82, 278-288.</w:t>
      </w:r>
    </w:p>
    <w:p w14:paraId="53842787" w14:textId="77777777" w:rsidR="00521DE0"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2E67AB">
        <w:rPr>
          <w:rFonts w:ascii="Times New Roman" w:hAnsi="Times New Roman" w:cs="Times New Roman"/>
          <w:iCs/>
          <w:color w:val="222222"/>
          <w:sz w:val="24"/>
          <w:szCs w:val="24"/>
          <w:shd w:val="clear" w:color="auto" w:fill="FFFFFF"/>
        </w:rPr>
        <w:t>Ozturk, E. O., &amp; Sheng, X. S. (2018). Measuring global and country-specific uncertainty. Journal of international money and finance, 88, 276-295.</w:t>
      </w:r>
    </w:p>
    <w:p w14:paraId="0FED3745"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A02322">
        <w:rPr>
          <w:rFonts w:ascii="Times New Roman" w:hAnsi="Times New Roman" w:cs="Times New Roman"/>
          <w:iCs/>
          <w:color w:val="222222"/>
          <w:sz w:val="24"/>
          <w:szCs w:val="24"/>
          <w:shd w:val="clear" w:color="auto" w:fill="FFFFFF"/>
        </w:rPr>
        <w:lastRenderedPageBreak/>
        <w:t xml:space="preserve">Park, J., &amp; </w:t>
      </w:r>
      <w:proofErr w:type="spellStart"/>
      <w:r w:rsidRPr="00A02322">
        <w:rPr>
          <w:rFonts w:ascii="Times New Roman" w:hAnsi="Times New Roman" w:cs="Times New Roman"/>
          <w:iCs/>
          <w:color w:val="222222"/>
          <w:sz w:val="24"/>
          <w:szCs w:val="24"/>
          <w:shd w:val="clear" w:color="auto" w:fill="FFFFFF"/>
        </w:rPr>
        <w:t>Ratti</w:t>
      </w:r>
      <w:proofErr w:type="spellEnd"/>
      <w:r w:rsidRPr="00A02322">
        <w:rPr>
          <w:rFonts w:ascii="Times New Roman" w:hAnsi="Times New Roman" w:cs="Times New Roman"/>
          <w:iCs/>
          <w:color w:val="222222"/>
          <w:sz w:val="24"/>
          <w:szCs w:val="24"/>
          <w:shd w:val="clear" w:color="auto" w:fill="FFFFFF"/>
        </w:rPr>
        <w:t>, R. A. (2008). Oil price shocks and stock markets in the US and 13 European countries. Energy economics, 30(5), 2587-2608.</w:t>
      </w:r>
    </w:p>
    <w:p w14:paraId="1A6E01A6"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Plagborg-Møller</w:t>
      </w:r>
      <w:proofErr w:type="spellEnd"/>
      <w:r w:rsidRPr="004D248B">
        <w:rPr>
          <w:rFonts w:ascii="Times New Roman" w:hAnsi="Times New Roman" w:cs="Times New Roman"/>
          <w:iCs/>
          <w:color w:val="222222"/>
          <w:sz w:val="24"/>
          <w:szCs w:val="24"/>
          <w:shd w:val="clear" w:color="auto" w:fill="FFFFFF"/>
        </w:rPr>
        <w:t>, M., &amp; Wolf, C. K. (2019). Local projections and VARs estimate the same impulse responses. Unpublished paper: Department of Economics, Princeton University, 1.</w:t>
      </w:r>
    </w:p>
    <w:p w14:paraId="0941FDE6" w14:textId="77777777" w:rsidR="00521DE0"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proofErr w:type="spellStart"/>
      <w:r w:rsidRPr="004D248B">
        <w:rPr>
          <w:rFonts w:ascii="Times New Roman" w:hAnsi="Times New Roman" w:cs="Times New Roman"/>
          <w:iCs/>
          <w:color w:val="222222"/>
          <w:sz w:val="24"/>
          <w:szCs w:val="24"/>
          <w:shd w:val="clear" w:color="auto" w:fill="FFFFFF"/>
        </w:rPr>
        <w:t>Su</w:t>
      </w:r>
      <w:proofErr w:type="spellEnd"/>
      <w:r w:rsidRPr="004D248B">
        <w:rPr>
          <w:rFonts w:ascii="Times New Roman" w:hAnsi="Times New Roman" w:cs="Times New Roman"/>
          <w:iCs/>
          <w:color w:val="222222"/>
          <w:sz w:val="24"/>
          <w:szCs w:val="24"/>
          <w:shd w:val="clear" w:color="auto" w:fill="FFFFFF"/>
        </w:rPr>
        <w:t>, Z., Lu, M., &amp; Yin, L. (2018). Oil prices and news-based uncertainty: novel evidence. Energy Economics, 72, 331-340.</w:t>
      </w:r>
    </w:p>
    <w:p w14:paraId="43B603B2"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Wang, Y., Wu, C., &amp; Yang, L. (2013). Oil price shocks and stock market activities: Evidence from oil-importing and oil-exporting countries. Journal of Comparative Economics, 41(4), 1220-1239.</w:t>
      </w:r>
    </w:p>
    <w:p w14:paraId="38B8A4C6" w14:textId="77777777" w:rsidR="00521DE0" w:rsidRPr="004D248B" w:rsidRDefault="00521DE0" w:rsidP="00521DE0">
      <w:pPr>
        <w:snapToGrid w:val="0"/>
        <w:spacing w:after="0" w:line="480" w:lineRule="auto"/>
        <w:jc w:val="both"/>
        <w:rPr>
          <w:rFonts w:ascii="Times New Roman" w:hAnsi="Times New Roman" w:cs="Times New Roman"/>
          <w:iCs/>
          <w:color w:val="222222"/>
          <w:sz w:val="24"/>
          <w:szCs w:val="24"/>
          <w:shd w:val="clear" w:color="auto" w:fill="FFFFFF"/>
        </w:rPr>
      </w:pPr>
      <w:r w:rsidRPr="004D248B">
        <w:rPr>
          <w:rFonts w:ascii="Times New Roman" w:hAnsi="Times New Roman" w:cs="Times New Roman"/>
          <w:iCs/>
          <w:color w:val="222222"/>
          <w:sz w:val="24"/>
          <w:szCs w:val="24"/>
          <w:shd w:val="clear" w:color="auto" w:fill="FFFFFF"/>
        </w:rPr>
        <w:t xml:space="preserve">Zhang, Y. J., </w:t>
      </w:r>
      <w:proofErr w:type="spellStart"/>
      <w:r w:rsidRPr="004D248B">
        <w:rPr>
          <w:rFonts w:ascii="Times New Roman" w:hAnsi="Times New Roman" w:cs="Times New Roman"/>
          <w:iCs/>
          <w:color w:val="222222"/>
          <w:sz w:val="24"/>
          <w:szCs w:val="24"/>
          <w:shd w:val="clear" w:color="auto" w:fill="FFFFFF"/>
        </w:rPr>
        <w:t>Chevallier</w:t>
      </w:r>
      <w:proofErr w:type="spellEnd"/>
      <w:r w:rsidRPr="004D248B">
        <w:rPr>
          <w:rFonts w:ascii="Times New Roman" w:hAnsi="Times New Roman" w:cs="Times New Roman"/>
          <w:iCs/>
          <w:color w:val="222222"/>
          <w:sz w:val="24"/>
          <w:szCs w:val="24"/>
          <w:shd w:val="clear" w:color="auto" w:fill="FFFFFF"/>
        </w:rPr>
        <w:t xml:space="preserve">, J., &amp; </w:t>
      </w:r>
      <w:proofErr w:type="spellStart"/>
      <w:r w:rsidRPr="004D248B">
        <w:rPr>
          <w:rFonts w:ascii="Times New Roman" w:hAnsi="Times New Roman" w:cs="Times New Roman"/>
          <w:iCs/>
          <w:color w:val="222222"/>
          <w:sz w:val="24"/>
          <w:szCs w:val="24"/>
          <w:shd w:val="clear" w:color="auto" w:fill="FFFFFF"/>
        </w:rPr>
        <w:t>Guesmi</w:t>
      </w:r>
      <w:proofErr w:type="spellEnd"/>
      <w:r w:rsidRPr="004D248B">
        <w:rPr>
          <w:rFonts w:ascii="Times New Roman" w:hAnsi="Times New Roman" w:cs="Times New Roman"/>
          <w:iCs/>
          <w:color w:val="222222"/>
          <w:sz w:val="24"/>
          <w:szCs w:val="24"/>
          <w:shd w:val="clear" w:color="auto" w:fill="FFFFFF"/>
        </w:rPr>
        <w:t>, K. (2017). “De-financialization” of commodities? Evidence from stock, crude oil and natural gas markets. Energy Economics, 68, 228-239.</w:t>
      </w:r>
    </w:p>
    <w:p w14:paraId="1E9602FE" w14:textId="77777777" w:rsidR="00521DE0" w:rsidRDefault="00521DE0" w:rsidP="00521DE0">
      <w:pPr>
        <w:rPr>
          <w:rFonts w:ascii="Times New Roman" w:hAnsi="Times New Roman" w:cs="Times New Roman"/>
          <w:sz w:val="24"/>
          <w:szCs w:val="24"/>
        </w:rPr>
      </w:pPr>
      <w:r>
        <w:rPr>
          <w:rFonts w:ascii="Times New Roman" w:hAnsi="Times New Roman" w:cs="Times New Roman"/>
          <w:sz w:val="24"/>
          <w:szCs w:val="24"/>
        </w:rPr>
        <w:br w:type="page"/>
      </w:r>
    </w:p>
    <w:p w14:paraId="7BFD938D" w14:textId="77777777" w:rsidR="00521DE0" w:rsidRDefault="00521DE0" w:rsidP="004F51DA">
      <w:pPr>
        <w:pStyle w:val="Heading1"/>
        <w:rPr>
          <w:noProof/>
          <w:lang w:val="en-US"/>
        </w:rPr>
      </w:pPr>
      <w:r w:rsidRPr="00802472">
        <w:lastRenderedPageBreak/>
        <w:t>Figure 1: Responses to structural shocks</w:t>
      </w:r>
    </w:p>
    <w:p w14:paraId="4A127ACA" w14:textId="77777777" w:rsidR="00521DE0" w:rsidRDefault="00521DE0" w:rsidP="00521DE0">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ZA" w:eastAsia="en-ZA"/>
        </w:rPr>
        <w:drawing>
          <wp:inline distT="0" distB="0" distL="0" distR="0" wp14:anchorId="245AA701" wp14:editId="1BC993F5">
            <wp:extent cx="5725795" cy="3024505"/>
            <wp:effectExtent l="0" t="0" r="8255" b="4445"/>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p>
    <w:p w14:paraId="41FD66E2" w14:textId="77777777" w:rsidR="00521DE0" w:rsidRPr="005F2417" w:rsidRDefault="00521DE0" w:rsidP="00521DE0">
      <w:pPr>
        <w:spacing w:after="0" w:line="360" w:lineRule="auto"/>
        <w:jc w:val="both"/>
        <w:rPr>
          <w:rFonts w:ascii="Times New Roman" w:hAnsi="Times New Roman" w:cs="Times New Roman"/>
          <w:sz w:val="20"/>
          <w:szCs w:val="20"/>
        </w:rPr>
      </w:pPr>
      <w:r w:rsidRPr="005F2417">
        <w:rPr>
          <w:rFonts w:ascii="Times New Roman" w:hAnsi="Times New Roman" w:cs="Times New Roman"/>
          <w:b/>
          <w:sz w:val="20"/>
          <w:szCs w:val="20"/>
        </w:rPr>
        <w:t>Note:</w:t>
      </w:r>
      <w:r w:rsidRPr="005F2417">
        <w:rPr>
          <w:rFonts w:ascii="Times New Roman" w:hAnsi="Times New Roman" w:cs="Times New Roman"/>
          <w:sz w:val="20"/>
          <w:szCs w:val="20"/>
        </w:rPr>
        <w:t xml:space="preserve"> </w:t>
      </w:r>
      <w:r w:rsidRPr="006D4BB3">
        <w:rPr>
          <w:rFonts w:ascii="Times New Roman" w:hAnsi="Times New Roman" w:cs="Times New Roman"/>
          <w:sz w:val="20"/>
          <w:szCs w:val="20"/>
        </w:rPr>
        <w:t xml:space="preserve">The figures show impulse responses to </w:t>
      </w:r>
      <w:r>
        <w:rPr>
          <w:rFonts w:ascii="Times New Roman" w:hAnsi="Times New Roman" w:cs="Times New Roman"/>
          <w:sz w:val="20"/>
          <w:szCs w:val="20"/>
        </w:rPr>
        <w:t xml:space="preserve">a </w:t>
      </w:r>
      <w:r w:rsidRPr="006D4BB3">
        <w:rPr>
          <w:rFonts w:ascii="Times New Roman" w:hAnsi="Times New Roman" w:cs="Times New Roman"/>
          <w:sz w:val="20"/>
          <w:szCs w:val="20"/>
        </w:rPr>
        <w:t xml:space="preserve">1-unit increase in disaggregated oil shock </w:t>
      </w:r>
      <w:r w:rsidRPr="005F2417">
        <w:rPr>
          <w:rFonts w:ascii="Times New Roman" w:hAnsi="Times New Roman" w:cs="Times New Roman"/>
          <w:sz w:val="20"/>
          <w:szCs w:val="20"/>
        </w:rPr>
        <w:t>up to 24 months into the future</w:t>
      </w:r>
      <w:r w:rsidRPr="006D4BB3">
        <w:rPr>
          <w:rFonts w:ascii="Times New Roman" w:hAnsi="Times New Roman" w:cs="Times New Roman"/>
          <w:sz w:val="20"/>
          <w:szCs w:val="20"/>
        </w:rPr>
        <w:t xml:space="preserve">. The shaded areas represent the </w:t>
      </w:r>
      <w:r>
        <w:rPr>
          <w:rFonts w:ascii="Times New Roman" w:hAnsi="Times New Roman" w:cs="Times New Roman"/>
          <w:sz w:val="20"/>
          <w:szCs w:val="20"/>
        </w:rPr>
        <w:t>95</w:t>
      </w:r>
      <w:r w:rsidRPr="006D4BB3">
        <w:rPr>
          <w:rFonts w:ascii="Times New Roman" w:hAnsi="Times New Roman" w:cs="Times New Roman"/>
          <w:sz w:val="20"/>
          <w:szCs w:val="20"/>
        </w:rPr>
        <w:t xml:space="preserve"> % confidence </w:t>
      </w:r>
      <w:r>
        <w:rPr>
          <w:rFonts w:ascii="Times New Roman" w:hAnsi="Times New Roman" w:cs="Times New Roman"/>
          <w:sz w:val="20"/>
          <w:szCs w:val="20"/>
        </w:rPr>
        <w:t>intervals</w:t>
      </w:r>
      <w:r w:rsidRPr="006D4BB3">
        <w:rPr>
          <w:rFonts w:ascii="Times New Roman" w:hAnsi="Times New Roman" w:cs="Times New Roman"/>
          <w:sz w:val="20"/>
          <w:szCs w:val="20"/>
        </w:rPr>
        <w:t xml:space="preserve"> </w:t>
      </w:r>
      <w:r w:rsidRPr="005F2417">
        <w:rPr>
          <w:rFonts w:ascii="Times New Roman" w:hAnsi="Times New Roman" w:cs="Times New Roman"/>
          <w:sz w:val="20"/>
          <w:szCs w:val="20"/>
        </w:rPr>
        <w:t xml:space="preserve">and are </w:t>
      </w:r>
      <w:r>
        <w:rPr>
          <w:rFonts w:ascii="Times New Roman" w:hAnsi="Times New Roman" w:cs="Times New Roman"/>
          <w:sz w:val="20"/>
          <w:szCs w:val="20"/>
        </w:rPr>
        <w:t xml:space="preserve">calculated </w:t>
      </w:r>
      <w:r w:rsidRPr="005F2417">
        <w:rPr>
          <w:rFonts w:ascii="Times New Roman" w:hAnsi="Times New Roman" w:cs="Times New Roman"/>
          <w:sz w:val="20"/>
          <w:szCs w:val="20"/>
        </w:rPr>
        <w:t>based on panel corrected standard errors</w:t>
      </w:r>
      <w:r>
        <w:rPr>
          <w:rFonts w:ascii="Times New Roman" w:hAnsi="Times New Roman" w:cs="Times New Roman"/>
          <w:sz w:val="20"/>
          <w:szCs w:val="20"/>
        </w:rPr>
        <w:t>.</w:t>
      </w:r>
      <w:r w:rsidRPr="006D4BB3">
        <w:rPr>
          <w:rFonts w:ascii="Times New Roman" w:hAnsi="Times New Roman" w:cs="Times New Roman"/>
          <w:sz w:val="20"/>
          <w:szCs w:val="20"/>
        </w:rPr>
        <w:t xml:space="preserve"> OSS: oil supply shock; EAS: economic activity shock; OCDS: oil-specific consumption demand shock; OIDS: oil inventory demand shock.</w:t>
      </w:r>
    </w:p>
    <w:p w14:paraId="3160BB3A" w14:textId="77777777" w:rsidR="00521DE0" w:rsidRDefault="00521DE0" w:rsidP="00521DE0">
      <w:pPr>
        <w:spacing w:after="0" w:line="360" w:lineRule="auto"/>
        <w:jc w:val="both"/>
        <w:rPr>
          <w:rFonts w:ascii="Times New Roman" w:hAnsi="Times New Roman" w:cs="Times New Roman"/>
          <w:sz w:val="24"/>
          <w:szCs w:val="24"/>
        </w:rPr>
      </w:pPr>
    </w:p>
    <w:p w14:paraId="66FB72B7" w14:textId="77777777" w:rsidR="00521DE0" w:rsidRDefault="00521DE0" w:rsidP="00521DE0">
      <w:pPr>
        <w:spacing w:after="0" w:line="360" w:lineRule="auto"/>
        <w:jc w:val="both"/>
        <w:rPr>
          <w:rFonts w:ascii="Times New Roman" w:hAnsi="Times New Roman" w:cs="Times New Roman"/>
          <w:sz w:val="24"/>
          <w:szCs w:val="24"/>
        </w:rPr>
      </w:pPr>
    </w:p>
    <w:p w14:paraId="576CBDBB" w14:textId="77777777" w:rsidR="00521DE0" w:rsidRDefault="00521DE0" w:rsidP="004F51DA">
      <w:pPr>
        <w:pStyle w:val="Heading1"/>
      </w:pPr>
      <w:r w:rsidRPr="00802472">
        <w:t xml:space="preserve">Figure </w:t>
      </w:r>
      <w:r>
        <w:t>2</w:t>
      </w:r>
      <w:r w:rsidRPr="00802472">
        <w:t>: Responses to structural shocks</w:t>
      </w:r>
      <w:r>
        <w:t xml:space="preserve"> (Post- vs Pre- GFC)</w:t>
      </w:r>
    </w:p>
    <w:p w14:paraId="01B79451" w14:textId="71563F08" w:rsidR="00521DE0" w:rsidRPr="00927568" w:rsidRDefault="004F51DA" w:rsidP="00521DE0">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en-ZA" w:eastAsia="en-ZA"/>
        </w:rPr>
        <w:t>Figure 2</w:t>
      </w:r>
      <w:r w:rsidR="00521DE0">
        <w:rPr>
          <w:rFonts w:ascii="Times New Roman" w:hAnsi="Times New Roman" w:cs="Times New Roman"/>
          <w:b/>
          <w:bCs/>
          <w:noProof/>
          <w:sz w:val="24"/>
          <w:szCs w:val="24"/>
          <w:lang w:val="en-ZA" w:eastAsia="en-ZA"/>
        </w:rPr>
        <w:drawing>
          <wp:inline distT="0" distB="0" distL="0" distR="0" wp14:anchorId="6B601CED" wp14:editId="7C0EBFD8">
            <wp:extent cx="5725795" cy="3024505"/>
            <wp:effectExtent l="0" t="0" r="8255" b="4445"/>
            <wp:docPr id="8" name="Picture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p>
    <w:p w14:paraId="7AC191AF" w14:textId="77777777" w:rsidR="00521DE0" w:rsidRDefault="00521DE0" w:rsidP="00521DE0">
      <w:pPr>
        <w:spacing w:after="0" w:line="360" w:lineRule="auto"/>
        <w:jc w:val="both"/>
        <w:rPr>
          <w:rFonts w:ascii="Times New Roman" w:hAnsi="Times New Roman" w:cs="Times New Roman"/>
          <w:sz w:val="20"/>
          <w:szCs w:val="20"/>
        </w:rPr>
      </w:pPr>
      <w:r w:rsidRPr="005F2417">
        <w:rPr>
          <w:rFonts w:ascii="Times New Roman" w:hAnsi="Times New Roman" w:cs="Times New Roman"/>
          <w:b/>
          <w:sz w:val="20"/>
          <w:szCs w:val="20"/>
        </w:rPr>
        <w:t>Note:</w:t>
      </w:r>
      <w:r>
        <w:rPr>
          <w:rFonts w:ascii="Times New Roman" w:hAnsi="Times New Roman" w:cs="Times New Roman"/>
          <w:b/>
          <w:sz w:val="20"/>
          <w:szCs w:val="20"/>
        </w:rPr>
        <w:t xml:space="preserve"> </w:t>
      </w:r>
      <w:r w:rsidRPr="005F2417">
        <w:rPr>
          <w:rFonts w:ascii="Times New Roman" w:hAnsi="Times New Roman" w:cs="Times New Roman"/>
          <w:sz w:val="20"/>
          <w:szCs w:val="20"/>
        </w:rPr>
        <w:t>See Notes to Figure 1.</w:t>
      </w:r>
    </w:p>
    <w:p w14:paraId="6EFED17F" w14:textId="77777777" w:rsidR="00521DE0" w:rsidRDefault="00521DE0" w:rsidP="00521DE0">
      <w:pPr>
        <w:spacing w:after="0" w:line="360" w:lineRule="auto"/>
        <w:jc w:val="both"/>
        <w:rPr>
          <w:rFonts w:ascii="Times New Roman" w:hAnsi="Times New Roman" w:cs="Times New Roman"/>
          <w:sz w:val="20"/>
          <w:szCs w:val="20"/>
        </w:rPr>
      </w:pPr>
    </w:p>
    <w:p w14:paraId="40B7EDB2" w14:textId="77777777" w:rsidR="00521DE0" w:rsidRPr="0081344B" w:rsidRDefault="00521DE0" w:rsidP="00521DE0">
      <w:pPr>
        <w:spacing w:after="0" w:line="360" w:lineRule="auto"/>
        <w:jc w:val="both"/>
        <w:rPr>
          <w:rFonts w:ascii="Times New Roman" w:hAnsi="Times New Roman" w:cs="Times New Roman"/>
          <w:sz w:val="24"/>
          <w:szCs w:val="24"/>
        </w:rPr>
      </w:pPr>
    </w:p>
    <w:p w14:paraId="6B26A98B" w14:textId="77777777" w:rsidR="00521DE0" w:rsidRDefault="00521DE0" w:rsidP="004F51DA">
      <w:pPr>
        <w:pStyle w:val="Heading1"/>
      </w:pPr>
      <w:r w:rsidRPr="00802472">
        <w:t xml:space="preserve">Figure </w:t>
      </w:r>
      <w:r>
        <w:t>3</w:t>
      </w:r>
      <w:r w:rsidRPr="00802472">
        <w:t>: Responses to structural shocks</w:t>
      </w:r>
      <w:r>
        <w:t xml:space="preserve"> (h</w:t>
      </w:r>
      <w:r w:rsidRPr="00725DDA">
        <w:t>igh versus low</w:t>
      </w:r>
      <w:r>
        <w:t xml:space="preserve"> volatility</w:t>
      </w:r>
      <w:r w:rsidRPr="00725DDA">
        <w:t xml:space="preserve"> regimes</w:t>
      </w:r>
      <w:r>
        <w:t>)</w:t>
      </w:r>
    </w:p>
    <w:p w14:paraId="45431835" w14:textId="77777777" w:rsidR="00521DE0" w:rsidRPr="00F14DFB" w:rsidRDefault="00521DE0" w:rsidP="00521DE0">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en-ZA" w:eastAsia="en-ZA"/>
        </w:rPr>
        <w:drawing>
          <wp:inline distT="0" distB="0" distL="0" distR="0" wp14:anchorId="54BD5F60" wp14:editId="076042EB">
            <wp:extent cx="5725795" cy="3024505"/>
            <wp:effectExtent l="0" t="0" r="8255" b="4445"/>
            <wp:docPr id="9" name="Picture 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p>
    <w:p w14:paraId="3A047382" w14:textId="77777777" w:rsidR="00521DE0" w:rsidRPr="0081344B" w:rsidRDefault="00521DE0" w:rsidP="00521DE0">
      <w:pPr>
        <w:spacing w:after="0" w:line="360" w:lineRule="auto"/>
        <w:jc w:val="both"/>
        <w:rPr>
          <w:rFonts w:ascii="Times New Roman" w:hAnsi="Times New Roman" w:cs="Times New Roman"/>
          <w:sz w:val="24"/>
          <w:szCs w:val="24"/>
        </w:rPr>
      </w:pPr>
      <w:r w:rsidRPr="005F2417">
        <w:rPr>
          <w:rFonts w:ascii="Times New Roman" w:hAnsi="Times New Roman" w:cs="Times New Roman"/>
          <w:b/>
          <w:sz w:val="20"/>
          <w:szCs w:val="20"/>
        </w:rPr>
        <w:t>Note:</w:t>
      </w:r>
      <w:r>
        <w:rPr>
          <w:rFonts w:ascii="Times New Roman" w:hAnsi="Times New Roman" w:cs="Times New Roman"/>
          <w:b/>
          <w:sz w:val="20"/>
          <w:szCs w:val="20"/>
        </w:rPr>
        <w:t xml:space="preserve"> </w:t>
      </w:r>
      <w:r w:rsidRPr="005F2417">
        <w:rPr>
          <w:rFonts w:ascii="Times New Roman" w:hAnsi="Times New Roman" w:cs="Times New Roman"/>
          <w:sz w:val="20"/>
          <w:szCs w:val="20"/>
        </w:rPr>
        <w:t>See Notes to Figure 1.</w:t>
      </w:r>
    </w:p>
    <w:p w14:paraId="57D01C4A" w14:textId="77777777" w:rsidR="00521DE0" w:rsidRDefault="00521DE0" w:rsidP="00521DE0">
      <w:pPr>
        <w:spacing w:after="0" w:line="360" w:lineRule="auto"/>
        <w:rPr>
          <w:rFonts w:ascii="Times New Roman" w:hAnsi="Times New Roman" w:cs="Times New Roman"/>
          <w:b/>
          <w:bCs/>
          <w:sz w:val="24"/>
          <w:szCs w:val="24"/>
        </w:rPr>
      </w:pPr>
    </w:p>
    <w:p w14:paraId="65DA2975" w14:textId="77777777" w:rsidR="00521DE0" w:rsidRDefault="00521DE0" w:rsidP="004F51DA">
      <w:pPr>
        <w:pStyle w:val="Heading1"/>
      </w:pPr>
      <w:r w:rsidRPr="00802472">
        <w:t xml:space="preserve">Figure </w:t>
      </w:r>
      <w:r>
        <w:t>4</w:t>
      </w:r>
      <w:r w:rsidRPr="00802472">
        <w:t>: Responses to structural shock</w:t>
      </w:r>
      <w:r>
        <w:t>s (net oil exporters vs net oil importers)</w:t>
      </w:r>
    </w:p>
    <w:p w14:paraId="7D7560E4" w14:textId="77777777" w:rsidR="00521DE0" w:rsidRPr="00F43C77" w:rsidRDefault="00521DE0" w:rsidP="00521DE0">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en-ZA" w:eastAsia="en-ZA"/>
        </w:rPr>
        <w:drawing>
          <wp:inline distT="0" distB="0" distL="0" distR="0" wp14:anchorId="3AA4A02D" wp14:editId="40A28809">
            <wp:extent cx="5725795" cy="3024505"/>
            <wp:effectExtent l="0" t="0" r="8255" b="4445"/>
            <wp:docPr id="10" name="Picture 1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p>
    <w:p w14:paraId="1B13008B" w14:textId="77777777" w:rsidR="00521DE0" w:rsidRPr="0081344B" w:rsidRDefault="00521DE0" w:rsidP="00521DE0">
      <w:pPr>
        <w:spacing w:after="0" w:line="360" w:lineRule="auto"/>
        <w:jc w:val="both"/>
        <w:rPr>
          <w:rFonts w:ascii="Times New Roman" w:hAnsi="Times New Roman" w:cs="Times New Roman"/>
          <w:sz w:val="24"/>
          <w:szCs w:val="24"/>
        </w:rPr>
      </w:pPr>
      <w:r w:rsidRPr="005F2417">
        <w:rPr>
          <w:rFonts w:ascii="Times New Roman" w:hAnsi="Times New Roman" w:cs="Times New Roman"/>
          <w:b/>
          <w:sz w:val="20"/>
          <w:szCs w:val="20"/>
        </w:rPr>
        <w:t>Note:</w:t>
      </w:r>
      <w:r>
        <w:rPr>
          <w:rFonts w:ascii="Times New Roman" w:hAnsi="Times New Roman" w:cs="Times New Roman"/>
          <w:b/>
          <w:sz w:val="20"/>
          <w:szCs w:val="20"/>
        </w:rPr>
        <w:t xml:space="preserve"> </w:t>
      </w:r>
      <w:r w:rsidRPr="005F2417">
        <w:rPr>
          <w:rFonts w:ascii="Times New Roman" w:hAnsi="Times New Roman" w:cs="Times New Roman"/>
          <w:sz w:val="20"/>
          <w:szCs w:val="20"/>
        </w:rPr>
        <w:t>See Notes to Figure 1.</w:t>
      </w:r>
    </w:p>
    <w:p w14:paraId="430895C2" w14:textId="77777777" w:rsidR="00521DE0" w:rsidRDefault="00521DE0" w:rsidP="00521DE0">
      <w:pPr>
        <w:spacing w:after="0" w:line="360" w:lineRule="auto"/>
        <w:rPr>
          <w:rFonts w:ascii="Times New Roman" w:hAnsi="Times New Roman" w:cs="Times New Roman"/>
          <w:b/>
          <w:bCs/>
          <w:sz w:val="24"/>
          <w:szCs w:val="24"/>
        </w:rPr>
      </w:pPr>
    </w:p>
    <w:p w14:paraId="3B661555" w14:textId="77777777" w:rsidR="00521DE0" w:rsidRDefault="00521DE0" w:rsidP="00521DE0">
      <w:pPr>
        <w:spacing w:after="0" w:line="360" w:lineRule="auto"/>
        <w:rPr>
          <w:rFonts w:ascii="Times New Roman" w:hAnsi="Times New Roman" w:cs="Times New Roman"/>
          <w:b/>
          <w:bCs/>
          <w:sz w:val="24"/>
          <w:szCs w:val="24"/>
        </w:rPr>
      </w:pPr>
    </w:p>
    <w:p w14:paraId="564D4042" w14:textId="77777777" w:rsidR="00521DE0" w:rsidRDefault="00521DE0" w:rsidP="00521DE0">
      <w:pPr>
        <w:spacing w:after="0" w:line="360" w:lineRule="auto"/>
        <w:rPr>
          <w:rFonts w:ascii="Times New Roman" w:hAnsi="Times New Roman" w:cs="Times New Roman"/>
          <w:b/>
          <w:bCs/>
          <w:sz w:val="24"/>
          <w:szCs w:val="24"/>
        </w:rPr>
      </w:pPr>
    </w:p>
    <w:p w14:paraId="6CA710C5" w14:textId="77777777" w:rsidR="00521DE0" w:rsidRDefault="00521DE0" w:rsidP="00521DE0">
      <w:pPr>
        <w:spacing w:after="0" w:line="360" w:lineRule="auto"/>
        <w:rPr>
          <w:rFonts w:ascii="Times New Roman" w:hAnsi="Times New Roman" w:cs="Times New Roman"/>
          <w:b/>
          <w:bCs/>
          <w:sz w:val="24"/>
          <w:szCs w:val="24"/>
        </w:rPr>
      </w:pPr>
    </w:p>
    <w:p w14:paraId="603B4BE0" w14:textId="77777777" w:rsidR="00521DE0" w:rsidRDefault="00521DE0" w:rsidP="00521DE0">
      <w:pPr>
        <w:spacing w:after="0" w:line="360" w:lineRule="auto"/>
        <w:rPr>
          <w:rFonts w:ascii="Times New Roman" w:hAnsi="Times New Roman" w:cs="Times New Roman"/>
          <w:b/>
          <w:bCs/>
          <w:sz w:val="24"/>
          <w:szCs w:val="24"/>
        </w:rPr>
      </w:pPr>
    </w:p>
    <w:p w14:paraId="5DDAC962" w14:textId="77777777" w:rsidR="00521DE0" w:rsidRDefault="00521DE0" w:rsidP="004F51DA">
      <w:pPr>
        <w:pStyle w:val="Heading1"/>
      </w:pPr>
      <w:r w:rsidRPr="005A4364">
        <w:t>Appendix</w:t>
      </w:r>
    </w:p>
    <w:p w14:paraId="2D6C9BDB" w14:textId="77777777" w:rsidR="00521DE0" w:rsidRPr="00927568" w:rsidRDefault="00521DE0" w:rsidP="00521DE0">
      <w:pPr>
        <w:spacing w:after="0" w:line="360" w:lineRule="auto"/>
        <w:rPr>
          <w:rFonts w:ascii="Times New Roman" w:hAnsi="Times New Roman" w:cs="Times New Roman"/>
          <w:sz w:val="24"/>
          <w:szCs w:val="24"/>
        </w:rPr>
      </w:pPr>
      <w:r w:rsidRPr="00802472">
        <w:rPr>
          <w:rFonts w:ascii="Times New Roman" w:hAnsi="Times New Roman" w:cs="Times New Roman"/>
          <w:b/>
          <w:bCs/>
          <w:sz w:val="24"/>
          <w:szCs w:val="24"/>
        </w:rPr>
        <w:t>Responses to structural shock</w:t>
      </w:r>
      <w:r>
        <w:rPr>
          <w:rFonts w:ascii="Times New Roman" w:hAnsi="Times New Roman" w:cs="Times New Roman"/>
          <w:b/>
          <w:bCs/>
          <w:sz w:val="24"/>
          <w:szCs w:val="24"/>
        </w:rPr>
        <w:t>s (common vs idiosyncratic uncertainty)</w:t>
      </w:r>
    </w:p>
    <w:p w14:paraId="3AA3DF93" w14:textId="77777777" w:rsidR="00521DE0" w:rsidRDefault="00521DE0" w:rsidP="00521DE0">
      <w:pPr>
        <w:spacing w:after="0" w:line="360" w:lineRule="auto"/>
        <w:rPr>
          <w:rFonts w:ascii="Times New Roman" w:hAnsi="Times New Roman" w:cs="Times New Roman"/>
          <w:b/>
          <w:sz w:val="24"/>
        </w:rPr>
      </w:pPr>
      <w:r>
        <w:rPr>
          <w:rFonts w:ascii="Times New Roman" w:hAnsi="Times New Roman" w:cs="Times New Roman"/>
          <w:b/>
          <w:noProof/>
          <w:sz w:val="24"/>
          <w:lang w:val="en-ZA" w:eastAsia="en-ZA"/>
        </w:rPr>
        <w:drawing>
          <wp:inline distT="0" distB="0" distL="0" distR="0" wp14:anchorId="4CD0E3AB" wp14:editId="6570CB5D">
            <wp:extent cx="5725795" cy="3024505"/>
            <wp:effectExtent l="0" t="0" r="8255" b="4445"/>
            <wp:docPr id="11" name="Picture 11"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endi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r>
        <w:rPr>
          <w:rFonts w:ascii="Times New Roman" w:hAnsi="Times New Roman" w:cs="Times New Roman"/>
          <w:b/>
          <w:noProof/>
          <w:sz w:val="24"/>
          <w:lang w:val="en-ZA" w:eastAsia="en-ZA"/>
        </w:rPr>
        <w:drawing>
          <wp:inline distT="0" distB="0" distL="0" distR="0" wp14:anchorId="10B29673" wp14:editId="27A7CAC9">
            <wp:extent cx="5725795" cy="3024505"/>
            <wp:effectExtent l="0" t="0" r="8255" b="4445"/>
            <wp:docPr id="12" name="Picture 12"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end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3024505"/>
                    </a:xfrm>
                    <a:prstGeom prst="rect">
                      <a:avLst/>
                    </a:prstGeom>
                    <a:noFill/>
                    <a:ln>
                      <a:noFill/>
                    </a:ln>
                  </pic:spPr>
                </pic:pic>
              </a:graphicData>
            </a:graphic>
          </wp:inline>
        </w:drawing>
      </w:r>
    </w:p>
    <w:p w14:paraId="3BC4DB07" w14:textId="77777777" w:rsidR="00521DE0" w:rsidRPr="00D14894" w:rsidRDefault="00521DE0" w:rsidP="00521DE0">
      <w:pPr>
        <w:spacing w:after="0" w:line="360" w:lineRule="auto"/>
        <w:jc w:val="both"/>
        <w:rPr>
          <w:rFonts w:ascii="Times New Roman" w:hAnsi="Times New Roman" w:cs="Times New Roman"/>
          <w:sz w:val="24"/>
          <w:szCs w:val="24"/>
        </w:rPr>
      </w:pPr>
      <w:r w:rsidRPr="005F2417">
        <w:rPr>
          <w:rFonts w:ascii="Times New Roman" w:hAnsi="Times New Roman" w:cs="Times New Roman"/>
          <w:b/>
          <w:sz w:val="20"/>
          <w:szCs w:val="20"/>
        </w:rPr>
        <w:t>Note:</w:t>
      </w:r>
      <w:r>
        <w:rPr>
          <w:rFonts w:ascii="Times New Roman" w:hAnsi="Times New Roman" w:cs="Times New Roman"/>
          <w:b/>
          <w:sz w:val="20"/>
          <w:szCs w:val="20"/>
        </w:rPr>
        <w:t xml:space="preserve"> </w:t>
      </w:r>
      <w:r w:rsidRPr="005F2417">
        <w:rPr>
          <w:rFonts w:ascii="Times New Roman" w:hAnsi="Times New Roman" w:cs="Times New Roman"/>
          <w:sz w:val="20"/>
          <w:szCs w:val="20"/>
        </w:rPr>
        <w:t>See Notes to Figure 1.</w:t>
      </w:r>
      <w:r>
        <w:rPr>
          <w:rFonts w:ascii="Times New Roman" w:hAnsi="Times New Roman" w:cs="Times New Roman"/>
          <w:sz w:val="20"/>
          <w:szCs w:val="20"/>
        </w:rPr>
        <w:t xml:space="preserve"> S</w:t>
      </w:r>
      <w:r w:rsidRPr="006D4BB3">
        <w:rPr>
          <w:rFonts w:ascii="Times New Roman" w:hAnsi="Times New Roman" w:cs="Times New Roman"/>
          <w:sz w:val="20"/>
          <w:szCs w:val="20"/>
        </w:rPr>
        <w:t>ubscrip</w:t>
      </w:r>
      <w:r>
        <w:rPr>
          <w:rFonts w:ascii="Times New Roman" w:hAnsi="Times New Roman" w:cs="Times New Roman"/>
          <w:sz w:val="20"/>
          <w:szCs w:val="20"/>
        </w:rPr>
        <w:t>ts “cu” and “</w:t>
      </w:r>
      <w:proofErr w:type="spellStart"/>
      <w:r>
        <w:rPr>
          <w:rFonts w:ascii="Times New Roman" w:hAnsi="Times New Roman" w:cs="Times New Roman"/>
          <w:sz w:val="20"/>
          <w:szCs w:val="20"/>
        </w:rPr>
        <w:t>iu</w:t>
      </w:r>
      <w:proofErr w:type="spellEnd"/>
      <w:r>
        <w:rPr>
          <w:rFonts w:ascii="Times New Roman" w:hAnsi="Times New Roman" w:cs="Times New Roman"/>
          <w:sz w:val="20"/>
          <w:szCs w:val="20"/>
        </w:rPr>
        <w:t xml:space="preserve">” represent </w:t>
      </w:r>
      <w:r w:rsidRPr="006D4BB3">
        <w:rPr>
          <w:rFonts w:ascii="Times New Roman" w:hAnsi="Times New Roman" w:cs="Times New Roman"/>
          <w:sz w:val="20"/>
          <w:szCs w:val="20"/>
        </w:rPr>
        <w:t>common uncertainty</w:t>
      </w:r>
      <w:r>
        <w:rPr>
          <w:rFonts w:ascii="Times New Roman" w:hAnsi="Times New Roman" w:cs="Times New Roman"/>
          <w:sz w:val="20"/>
          <w:szCs w:val="20"/>
        </w:rPr>
        <w:t xml:space="preserve"> and</w:t>
      </w:r>
      <w:r w:rsidRPr="006D4BB3">
        <w:rPr>
          <w:rFonts w:ascii="Times New Roman" w:hAnsi="Times New Roman" w:cs="Times New Roman"/>
          <w:sz w:val="20"/>
          <w:szCs w:val="20"/>
        </w:rPr>
        <w:t xml:space="preserve"> idiosyncratic uncertainty</w:t>
      </w:r>
      <w:r>
        <w:rPr>
          <w:rFonts w:ascii="Times New Roman" w:hAnsi="Times New Roman" w:cs="Times New Roman"/>
          <w:sz w:val="20"/>
          <w:szCs w:val="20"/>
        </w:rPr>
        <w:t>, respectively.</w:t>
      </w:r>
    </w:p>
    <w:p w14:paraId="0A13601B" w14:textId="77777777" w:rsidR="005E5024" w:rsidRDefault="005E5024"/>
    <w:sectPr w:rsidR="005E502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FD2B2" w14:textId="77777777" w:rsidR="00260031" w:rsidRDefault="00260031" w:rsidP="00521DE0">
      <w:pPr>
        <w:spacing w:after="0" w:line="240" w:lineRule="auto"/>
      </w:pPr>
      <w:r>
        <w:separator/>
      </w:r>
    </w:p>
  </w:endnote>
  <w:endnote w:type="continuationSeparator" w:id="0">
    <w:p w14:paraId="2E6D4896" w14:textId="77777777" w:rsidR="00260031" w:rsidRDefault="00260031" w:rsidP="00521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589425834"/>
      <w:docPartObj>
        <w:docPartGallery w:val="Page Numbers (Bottom of Page)"/>
        <w:docPartUnique/>
      </w:docPartObj>
    </w:sdtPr>
    <w:sdtEndPr>
      <w:rPr>
        <w:noProof/>
      </w:rPr>
    </w:sdtEndPr>
    <w:sdtContent>
      <w:p w14:paraId="45B9AA6D" w14:textId="77777777" w:rsidR="00176054" w:rsidRPr="005F2417" w:rsidRDefault="00376599">
        <w:pPr>
          <w:pStyle w:val="Footer"/>
          <w:jc w:val="right"/>
          <w:rPr>
            <w:rFonts w:ascii="Times New Roman" w:hAnsi="Times New Roman" w:cs="Times New Roman"/>
            <w:sz w:val="24"/>
            <w:szCs w:val="24"/>
          </w:rPr>
        </w:pPr>
        <w:r w:rsidRPr="005F2417">
          <w:rPr>
            <w:rFonts w:ascii="Times New Roman" w:hAnsi="Times New Roman" w:cs="Times New Roman"/>
            <w:sz w:val="24"/>
            <w:szCs w:val="24"/>
          </w:rPr>
          <w:fldChar w:fldCharType="begin"/>
        </w:r>
        <w:r w:rsidRPr="005F2417">
          <w:rPr>
            <w:rFonts w:ascii="Times New Roman" w:hAnsi="Times New Roman" w:cs="Times New Roman"/>
            <w:sz w:val="24"/>
            <w:szCs w:val="24"/>
          </w:rPr>
          <w:instrText xml:space="preserve"> PAGE   \* MERGEFORMAT </w:instrText>
        </w:r>
        <w:r w:rsidRPr="005F2417">
          <w:rPr>
            <w:rFonts w:ascii="Times New Roman" w:hAnsi="Times New Roman" w:cs="Times New Roman"/>
            <w:sz w:val="24"/>
            <w:szCs w:val="24"/>
          </w:rPr>
          <w:fldChar w:fldCharType="separate"/>
        </w:r>
        <w:r w:rsidR="008A2DB0">
          <w:rPr>
            <w:rFonts w:ascii="Times New Roman" w:hAnsi="Times New Roman" w:cs="Times New Roman"/>
            <w:noProof/>
            <w:sz w:val="24"/>
            <w:szCs w:val="24"/>
          </w:rPr>
          <w:t>21</w:t>
        </w:r>
        <w:r w:rsidRPr="005F2417">
          <w:rPr>
            <w:rFonts w:ascii="Times New Roman" w:hAnsi="Times New Roman" w:cs="Times New Roman"/>
            <w:noProof/>
            <w:sz w:val="24"/>
            <w:szCs w:val="24"/>
          </w:rPr>
          <w:fldChar w:fldCharType="end"/>
        </w:r>
      </w:p>
    </w:sdtContent>
  </w:sdt>
  <w:p w14:paraId="7ECBEDB0" w14:textId="77777777" w:rsidR="00176054" w:rsidRPr="005F2417" w:rsidRDefault="004F51D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520F1" w14:textId="77777777" w:rsidR="00260031" w:rsidRDefault="00260031" w:rsidP="00521DE0">
      <w:pPr>
        <w:spacing w:after="0" w:line="240" w:lineRule="auto"/>
      </w:pPr>
      <w:r>
        <w:separator/>
      </w:r>
    </w:p>
  </w:footnote>
  <w:footnote w:type="continuationSeparator" w:id="0">
    <w:p w14:paraId="2A3B9E60" w14:textId="77777777" w:rsidR="00260031" w:rsidRDefault="00260031" w:rsidP="00521DE0">
      <w:pPr>
        <w:spacing w:after="0" w:line="240" w:lineRule="auto"/>
      </w:pPr>
      <w:r>
        <w:continuationSeparator/>
      </w:r>
    </w:p>
  </w:footnote>
  <w:footnote w:id="1">
    <w:p w14:paraId="3F30C8BA" w14:textId="77777777" w:rsidR="00521DE0" w:rsidRPr="00506389" w:rsidRDefault="00521DE0" w:rsidP="00521DE0">
      <w:pPr>
        <w:pStyle w:val="FootnoteText"/>
        <w:jc w:val="both"/>
        <w:rPr>
          <w:rFonts w:ascii="Times New Roman" w:hAnsi="Times New Roman" w:cs="Times New Roman"/>
          <w:lang w:val="en-ZA"/>
        </w:rPr>
      </w:pPr>
      <w:r w:rsidRPr="00506389">
        <w:rPr>
          <w:rStyle w:val="FootnoteReference"/>
          <w:rFonts w:ascii="Times New Roman" w:hAnsi="Times New Roman" w:cs="Times New Roman"/>
        </w:rPr>
        <w:t>#</w:t>
      </w:r>
      <w:r w:rsidRPr="00506389">
        <w:rPr>
          <w:rFonts w:ascii="Times New Roman" w:hAnsi="Times New Roman" w:cs="Times New Roman"/>
        </w:rPr>
        <w:t xml:space="preserve"> </w:t>
      </w:r>
      <w:r w:rsidRPr="00506389">
        <w:rPr>
          <w:rFonts w:ascii="Times New Roman" w:hAnsi="Times New Roman" w:cs="Times New Roman"/>
          <w:lang w:val="en-ZA"/>
        </w:rPr>
        <w:t xml:space="preserve">We would like to thank two anonymous </w:t>
      </w:r>
      <w:proofErr w:type="gramStart"/>
      <w:r w:rsidRPr="00506389">
        <w:rPr>
          <w:rFonts w:ascii="Times New Roman" w:hAnsi="Times New Roman" w:cs="Times New Roman"/>
          <w:lang w:val="en-ZA"/>
        </w:rPr>
        <w:t>referee</w:t>
      </w:r>
      <w:proofErr w:type="gramEnd"/>
      <w:r w:rsidRPr="00506389">
        <w:rPr>
          <w:rFonts w:ascii="Times New Roman" w:hAnsi="Times New Roman" w:cs="Times New Roman"/>
          <w:lang w:val="en-ZA"/>
        </w:rPr>
        <w:t xml:space="preserve"> for many helpful comments. However, any remaining errors are solely ours.</w:t>
      </w:r>
    </w:p>
  </w:footnote>
  <w:footnote w:id="2">
    <w:p w14:paraId="4D914A8E" w14:textId="77777777" w:rsidR="00521DE0" w:rsidRPr="00667A52"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t>*</w:t>
      </w:r>
      <w:r w:rsidRPr="00667A52">
        <w:rPr>
          <w:rFonts w:ascii="Times New Roman" w:hAnsi="Times New Roman" w:cs="Times New Roman"/>
        </w:rPr>
        <w:t xml:space="preserve"> </w:t>
      </w:r>
      <w:r w:rsidRPr="00667A52">
        <w:rPr>
          <w:rFonts w:ascii="Times New Roman" w:hAnsi="Times New Roman" w:cs="Times New Roman"/>
          <w:lang w:val="en-ZA"/>
        </w:rPr>
        <w:t xml:space="preserve">Corresponding author. </w:t>
      </w:r>
      <w:r w:rsidRPr="00667A52">
        <w:rPr>
          <w:rFonts w:ascii="Times New Roman" w:hAnsi="Times New Roman" w:cs="Times New Roman"/>
        </w:rPr>
        <w:t>Associate professor at Institutes of Science and Development, Chinese Academy of Sciences. Email: jqwxnjq@163.com; jqwxnjq@casipm.ac.cn.</w:t>
      </w:r>
    </w:p>
    <w:p w14:paraId="59E61242" w14:textId="77777777" w:rsidR="00521DE0" w:rsidRPr="00D82EF4" w:rsidRDefault="00521DE0" w:rsidP="00521DE0">
      <w:pPr>
        <w:pStyle w:val="FootnoteText"/>
        <w:jc w:val="both"/>
        <w:rPr>
          <w:rFonts w:ascii="Times New Roman" w:hAnsi="Times New Roman" w:cs="Times New Roman"/>
          <w:lang w:val="en-ZA"/>
        </w:rPr>
      </w:pPr>
    </w:p>
  </w:footnote>
  <w:footnote w:id="3">
    <w:p w14:paraId="6A5764A9" w14:textId="77777777" w:rsidR="00521DE0" w:rsidRPr="00506389"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Existing literature provides evidence that oil price shocks affect, for example, countries’ economic growth, wealth, terms of trade, economic policies, stock returns</w:t>
      </w:r>
      <w:r w:rsidRPr="00506389">
        <w:rPr>
          <w:rFonts w:ascii="Times New Roman" w:hAnsi="Times New Roman" w:cs="Times New Roman"/>
        </w:rPr>
        <w:t xml:space="preserve"> and exchange rates in different ways for oil-importing and oil-exporting countries (e.g. </w:t>
      </w:r>
      <w:proofErr w:type="spellStart"/>
      <w:r w:rsidRPr="00506389">
        <w:rPr>
          <w:rFonts w:ascii="Times New Roman" w:hAnsi="Times New Roman" w:cs="Times New Roman"/>
        </w:rPr>
        <w:t>Antonakakis</w:t>
      </w:r>
      <w:proofErr w:type="spellEnd"/>
      <w:r w:rsidRPr="00506389">
        <w:rPr>
          <w:rFonts w:ascii="Times New Roman" w:hAnsi="Times New Roman" w:cs="Times New Roman"/>
        </w:rPr>
        <w:t xml:space="preserve"> et al., 2014, 2017; Basher et al., 2016; </w:t>
      </w:r>
      <w:proofErr w:type="spellStart"/>
      <w:r w:rsidRPr="00506389">
        <w:rPr>
          <w:rFonts w:ascii="Times New Roman" w:hAnsi="Times New Roman" w:cs="Times New Roman"/>
        </w:rPr>
        <w:t>Berument</w:t>
      </w:r>
      <w:proofErr w:type="spellEnd"/>
      <w:r w:rsidRPr="00506389">
        <w:rPr>
          <w:rFonts w:ascii="Times New Roman" w:hAnsi="Times New Roman" w:cs="Times New Roman"/>
        </w:rPr>
        <w:t xml:space="preserve"> et al., 2010; </w:t>
      </w:r>
      <w:proofErr w:type="spellStart"/>
      <w:r w:rsidRPr="00506389">
        <w:rPr>
          <w:rFonts w:ascii="Times New Roman" w:hAnsi="Times New Roman" w:cs="Times New Roman"/>
        </w:rPr>
        <w:t>Cunado</w:t>
      </w:r>
      <w:proofErr w:type="spellEnd"/>
      <w:r w:rsidRPr="00506389">
        <w:rPr>
          <w:rFonts w:ascii="Times New Roman" w:hAnsi="Times New Roman" w:cs="Times New Roman"/>
        </w:rPr>
        <w:t xml:space="preserve"> and De </w:t>
      </w:r>
      <w:proofErr w:type="spellStart"/>
      <w:r w:rsidRPr="00506389">
        <w:rPr>
          <w:rFonts w:ascii="Times New Roman" w:hAnsi="Times New Roman" w:cs="Times New Roman"/>
        </w:rPr>
        <w:t>Gracia</w:t>
      </w:r>
      <w:proofErr w:type="spellEnd"/>
      <w:r w:rsidRPr="00506389">
        <w:rPr>
          <w:rFonts w:ascii="Times New Roman" w:hAnsi="Times New Roman" w:cs="Times New Roman"/>
        </w:rPr>
        <w:t xml:space="preserve">, 2005; Wang et al., 2013). </w:t>
      </w:r>
    </w:p>
    <w:p w14:paraId="35BD9CCF" w14:textId="77777777" w:rsidR="00521DE0" w:rsidRPr="00506389" w:rsidRDefault="00521DE0" w:rsidP="00521DE0">
      <w:pPr>
        <w:pStyle w:val="FootnoteText"/>
        <w:jc w:val="both"/>
        <w:rPr>
          <w:rFonts w:ascii="Times New Roman" w:hAnsi="Times New Roman" w:cs="Times New Roman"/>
        </w:rPr>
      </w:pPr>
    </w:p>
  </w:footnote>
  <w:footnote w:id="4">
    <w:p w14:paraId="01FEEC65" w14:textId="77777777" w:rsidR="00521DE0" w:rsidRPr="00667A52"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The maximum length of forecast horizons is set to 24 in this study, which corresponds to 24-month forecast horizons.</w:t>
      </w:r>
    </w:p>
  </w:footnote>
  <w:footnote w:id="5">
    <w:p w14:paraId="2BBF8C79" w14:textId="16F12CB4" w:rsidR="00521DE0" w:rsidRPr="00506389"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w:t>
      </w:r>
      <w:r w:rsidRPr="00506389">
        <w:rPr>
          <w:rFonts w:ascii="Times New Roman" w:hAnsi="Times New Roman" w:cs="Times New Roman"/>
        </w:rPr>
        <w:t xml:space="preserve"> For a simple illustration, let us consider an univariate process, where we want to calculate LP IRFs of variable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to a shock </w:t>
      </w:r>
      <w:r w:rsidRPr="00506389">
        <w:rPr>
          <w:rFonts w:ascii="Times New Roman" w:hAnsi="Times New Roman" w:cs="Times New Roman"/>
          <w:i/>
        </w:rPr>
        <w:t>u</w:t>
      </w:r>
      <w:r w:rsidRPr="00506389">
        <w:rPr>
          <w:rFonts w:ascii="Times New Roman" w:hAnsi="Times New Roman" w:cs="Times New Roman"/>
        </w:rPr>
        <w:t xml:space="preserve"> at time period </w:t>
      </w:r>
      <w:r w:rsidRPr="00506389">
        <w:rPr>
          <w:rFonts w:ascii="Times New Roman" w:hAnsi="Times New Roman" w:cs="Times New Roman"/>
          <w:i/>
        </w:rPr>
        <w:t>t</w:t>
      </w:r>
      <w:r w:rsidRPr="00506389">
        <w:rPr>
          <w:rFonts w:ascii="Times New Roman" w:hAnsi="Times New Roman" w:cs="Times New Roman"/>
        </w:rPr>
        <w:t xml:space="preserve">. </w:t>
      </w:r>
      <w:r w:rsidRPr="00506389">
        <w:rPr>
          <w:rFonts w:ascii="Times New Roman" w:hAnsi="Times New Roman" w:cs="Times New Roman"/>
          <w:i/>
        </w:rPr>
        <w:t>E</w:t>
      </w:r>
      <w:r w:rsidRPr="00506389">
        <w:rPr>
          <w:rFonts w:ascii="Times New Roman" w:hAnsi="Times New Roman" w:cs="Times New Roman"/>
        </w:rPr>
        <w:t>[</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the point estimate of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upon the impact of the shock at time </w:t>
      </w:r>
      <w:proofErr w:type="spellStart"/>
      <w:r w:rsidRPr="00506389">
        <w:rPr>
          <w:rFonts w:ascii="Times New Roman" w:hAnsi="Times New Roman" w:cs="Times New Roman"/>
          <w:i/>
        </w:rPr>
        <w:t>t</w:t>
      </w:r>
      <w:proofErr w:type="spellEnd"/>
      <w:r w:rsidRPr="00506389">
        <w:rPr>
          <w:rFonts w:ascii="Times New Roman" w:hAnsi="Times New Roman" w:cs="Times New Roman"/>
        </w:rPr>
        <w:t xml:space="preserve"> is simply </w:t>
      </w:r>
      <w:r w:rsidRPr="00506389">
        <w:rPr>
          <w:rFonts w:ascii="Times New Roman" w:hAnsi="Times New Roman" w:cs="Times New Roman"/>
          <w:i/>
        </w:rPr>
        <w:t>y</w:t>
      </w:r>
      <w:r w:rsidRPr="00506389">
        <w:rPr>
          <w:rFonts w:ascii="Times New Roman" w:hAnsi="Times New Roman" w:cs="Times New Roman"/>
        </w:rPr>
        <w:t xml:space="preserve"> + </w:t>
      </w:r>
      <w:r w:rsidRPr="00506389">
        <w:rPr>
          <w:rFonts w:ascii="Times New Roman" w:hAnsi="Times New Roman" w:cs="Times New Roman"/>
          <w:i/>
        </w:rPr>
        <w:t>u</w:t>
      </w:r>
      <w:r w:rsidRPr="00506389">
        <w:rPr>
          <w:rFonts w:ascii="Times New Roman" w:hAnsi="Times New Roman" w:cs="Times New Roman"/>
        </w:rPr>
        <w:t xml:space="preserve">, where </w:t>
      </w:r>
      <w:r w:rsidRPr="00506389">
        <w:rPr>
          <w:rFonts w:ascii="Times New Roman" w:hAnsi="Times New Roman" w:cs="Times New Roman"/>
          <w:i/>
        </w:rPr>
        <w:t>y</w:t>
      </w:r>
      <w:r w:rsidRPr="00506389">
        <w:rPr>
          <w:rFonts w:ascii="Times New Roman" w:hAnsi="Times New Roman" w:cs="Times New Roman"/>
        </w:rPr>
        <w:t xml:space="preserve"> is typically the mean. Assuming that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follows an </w:t>
      </w:r>
      <w:proofErr w:type="gramStart"/>
      <w:r w:rsidRPr="00506389">
        <w:rPr>
          <w:rFonts w:ascii="Times New Roman" w:hAnsi="Times New Roman" w:cs="Times New Roman"/>
        </w:rPr>
        <w:t>AR(</w:t>
      </w:r>
      <w:proofErr w:type="gramEnd"/>
      <w:r w:rsidRPr="00506389">
        <w:rPr>
          <w:rFonts w:ascii="Times New Roman" w:hAnsi="Times New Roman" w:cs="Times New Roman"/>
        </w:rPr>
        <w:t xml:space="preserve">2) process, the next period of the IRF can be then obtained by regressing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on two lags of itself, i.e.,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i/>
          <w:vertAlign w:val="subscript"/>
        </w:rPr>
        <w:t xml:space="preserve"> </w:t>
      </w:r>
      <w:r w:rsidRPr="00506389">
        <w:rPr>
          <w:rFonts w:ascii="Times New Roman" w:hAnsi="Times New Roman" w:cs="Times New Roman"/>
        </w:rPr>
        <w:t>=</w:t>
      </w:r>
      <w:r w:rsidRPr="00506389">
        <w:rPr>
          <w:rFonts w:ascii="Times New Roman" w:hAnsi="Times New Roman" w:cs="Times New Roman"/>
          <w:i/>
        </w:rPr>
        <w:t>α+β</w:t>
      </w:r>
      <w:r w:rsidRPr="00506389">
        <w:rPr>
          <w:rFonts w:ascii="Times New Roman" w:hAnsi="Times New Roman" w:cs="Times New Roman"/>
          <w:i/>
          <w:vertAlign w:val="subscript"/>
        </w:rPr>
        <w:t>1</w:t>
      </w:r>
      <w:r w:rsidRPr="00506389">
        <w:rPr>
          <w:rFonts w:ascii="Times New Roman" w:hAnsi="Times New Roman" w:cs="Times New Roman"/>
          <w:i/>
        </w:rPr>
        <w:t>y</w:t>
      </w:r>
      <w:r w:rsidRPr="00506389">
        <w:rPr>
          <w:rFonts w:ascii="Times New Roman" w:hAnsi="Times New Roman" w:cs="Times New Roman"/>
          <w:i/>
          <w:vertAlign w:val="subscript"/>
        </w:rPr>
        <w:t>t-1</w:t>
      </w:r>
      <w:r w:rsidRPr="00506389">
        <w:rPr>
          <w:rFonts w:ascii="Times New Roman" w:hAnsi="Times New Roman" w:cs="Times New Roman"/>
          <w:i/>
        </w:rPr>
        <w:t>+β</w:t>
      </w:r>
      <w:r w:rsidRPr="00506389">
        <w:rPr>
          <w:rFonts w:ascii="Times New Roman" w:hAnsi="Times New Roman" w:cs="Times New Roman"/>
          <w:i/>
          <w:vertAlign w:val="subscript"/>
        </w:rPr>
        <w:t>2</w:t>
      </w:r>
      <w:r w:rsidRPr="00506389">
        <w:rPr>
          <w:rFonts w:ascii="Times New Roman" w:hAnsi="Times New Roman" w:cs="Times New Roman"/>
          <w:i/>
        </w:rPr>
        <w:t>y</w:t>
      </w:r>
      <w:r w:rsidRPr="00506389">
        <w:rPr>
          <w:rFonts w:ascii="Times New Roman" w:hAnsi="Times New Roman" w:cs="Times New Roman"/>
          <w:i/>
          <w:vertAlign w:val="subscript"/>
        </w:rPr>
        <w:t>t-2</w:t>
      </w:r>
      <w:r w:rsidRPr="00506389">
        <w:rPr>
          <w:rFonts w:ascii="Times New Roman" w:hAnsi="Times New Roman" w:cs="Times New Roman"/>
          <w:i/>
        </w:rPr>
        <w:t>+u</w:t>
      </w:r>
      <w:r w:rsidRPr="00506389">
        <w:rPr>
          <w:rFonts w:ascii="Times New Roman" w:hAnsi="Times New Roman" w:cs="Times New Roman"/>
          <w:i/>
          <w:vertAlign w:val="subscript"/>
        </w:rPr>
        <w:t>t</w:t>
      </w:r>
      <w:r w:rsidRPr="00506389">
        <w:rPr>
          <w:rFonts w:ascii="Times New Roman" w:hAnsi="Times New Roman" w:cs="Times New Roman"/>
        </w:rPr>
        <w:t>.</w:t>
      </w:r>
      <w:r w:rsidRPr="00506389">
        <w:rPr>
          <w:rFonts w:ascii="Times New Roman" w:hAnsi="Times New Roman" w:cs="Times New Roman"/>
          <w:vertAlign w:val="subscript"/>
        </w:rPr>
        <w:t xml:space="preserve"> </w:t>
      </w:r>
      <w:r w:rsidRPr="00506389">
        <w:rPr>
          <w:rFonts w:ascii="Times New Roman" w:hAnsi="Times New Roman" w:cs="Times New Roman"/>
        </w:rPr>
        <w:t xml:space="preserve">The IRF estimate for the period after the shock is then: </w:t>
      </w:r>
      <w:r w:rsidRPr="00506389">
        <w:rPr>
          <w:rFonts w:ascii="Times New Roman" w:hAnsi="Times New Roman" w:cs="Times New Roman"/>
          <w:i/>
        </w:rPr>
        <w:t>E[y</w:t>
      </w:r>
      <w:r w:rsidRPr="00506389">
        <w:rPr>
          <w:rFonts w:ascii="Times New Roman" w:hAnsi="Times New Roman" w:cs="Times New Roman"/>
          <w:i/>
          <w:vertAlign w:val="subscript"/>
        </w:rPr>
        <w:t>t+1</w:t>
      </w:r>
      <w:r w:rsidRPr="00506389">
        <w:rPr>
          <w:rFonts w:ascii="Times New Roman" w:hAnsi="Times New Roman" w:cs="Times New Roman"/>
          <w:i/>
        </w:rPr>
        <w:t>]=α</w:t>
      </w:r>
      <w:r w:rsidRPr="00506389">
        <w:rPr>
          <w:rFonts w:ascii="Times New Roman" w:hAnsi="Times New Roman" w:cs="Times New Roman"/>
        </w:rPr>
        <w:t>+</w:t>
      </w:r>
      <w:r w:rsidRPr="00506389">
        <w:rPr>
          <w:rFonts w:ascii="Times New Roman" w:hAnsi="Times New Roman" w:cs="Times New Roman"/>
          <w:i/>
        </w:rPr>
        <w:t>β</w:t>
      </w:r>
      <w:r w:rsidRPr="00506389">
        <w:rPr>
          <w:rFonts w:ascii="Times New Roman" w:hAnsi="Times New Roman" w:cs="Times New Roman"/>
          <w:i/>
          <w:vertAlign w:val="subscript"/>
        </w:rPr>
        <w:t>1</w:t>
      </w:r>
      <w:r w:rsidRPr="00506389">
        <w:rPr>
          <w:rFonts w:ascii="Times New Roman" w:hAnsi="Times New Roman" w:cs="Times New Roman"/>
          <w:i/>
        </w:rPr>
        <w:t>(</w:t>
      </w:r>
      <m:oMath>
        <m:acc>
          <m:accPr>
            <m:chr m:val="̅"/>
            <m:ctrlPr>
              <w:rPr>
                <w:rFonts w:ascii="Cambria Math" w:eastAsiaTheme="minorHAnsi" w:hAnsi="Cambria Math" w:cs="Times New Roman"/>
                <w:i/>
                <w:lang w:val="en-ZA" w:eastAsia="en-US"/>
              </w:rPr>
            </m:ctrlPr>
          </m:accPr>
          <m:e>
            <m:r>
              <w:rPr>
                <w:rFonts w:ascii="Cambria Math" w:eastAsiaTheme="minorHAnsi" w:hAnsi="Cambria Math" w:cs="Times New Roman"/>
                <w:lang w:val="en-ZA" w:eastAsia="en-US"/>
              </w:rPr>
              <m:t>y</m:t>
            </m:r>
          </m:e>
        </m:acc>
        <m:r>
          <w:rPr>
            <w:rFonts w:ascii="Cambria Math" w:hAnsi="Cambria Math" w:cs="Times New Roman"/>
          </w:rPr>
          <m:t>+</m:t>
        </m:r>
        <m:acc>
          <m:accPr>
            <m:chr m:val="̅"/>
            <m:ctrlPr>
              <w:rPr>
                <w:rFonts w:ascii="Cambria Math" w:eastAsiaTheme="minorHAnsi" w:hAnsi="Cambria Math" w:cs="Times New Roman"/>
                <w:i/>
                <w:lang w:val="en-ZA" w:eastAsia="en-US"/>
              </w:rPr>
            </m:ctrlPr>
          </m:accPr>
          <m:e>
            <m:r>
              <w:rPr>
                <w:rFonts w:ascii="Cambria Math" w:hAnsi="Cambria Math" w:cs="Times New Roman"/>
              </w:rPr>
              <m:t>u</m:t>
            </m:r>
          </m:e>
        </m:acc>
      </m:oMath>
      <w:r w:rsidRPr="00667A52">
        <w:rPr>
          <w:rFonts w:ascii="Times New Roman" w:hAnsi="Times New Roman" w:cs="Times New Roman"/>
          <w:i/>
        </w:rPr>
        <w:t>)+β</w:t>
      </w:r>
      <w:r w:rsidRPr="00667A52">
        <w:rPr>
          <w:rFonts w:ascii="Times New Roman" w:hAnsi="Times New Roman" w:cs="Times New Roman"/>
          <w:i/>
          <w:vertAlign w:val="subscript"/>
        </w:rPr>
        <w:t>2</w:t>
      </w:r>
      <m:oMath>
        <m:acc>
          <m:accPr>
            <m:chr m:val="̅"/>
            <m:ctrlPr>
              <w:rPr>
                <w:rFonts w:ascii="Cambria Math" w:eastAsiaTheme="minorHAnsi" w:hAnsi="Cambria Math" w:cs="Times New Roman"/>
                <w:i/>
                <w:lang w:val="en-ZA" w:eastAsia="en-US"/>
              </w:rPr>
            </m:ctrlPr>
          </m:accPr>
          <m:e>
            <m:r>
              <w:rPr>
                <w:rFonts w:ascii="Cambria Math" w:hAnsi="Cambria Math" w:cs="Times New Roman"/>
              </w:rPr>
              <m:t>y</m:t>
            </m:r>
          </m:e>
        </m:acc>
      </m:oMath>
      <w:r w:rsidRPr="00667A52">
        <w:rPr>
          <w:rFonts w:ascii="Times New Roman" w:hAnsi="Times New Roman" w:cs="Times New Roman"/>
        </w:rPr>
        <w:t xml:space="preserve">, and the confidence interval will be computed using the standard errors of the regression coefficients. At this point, the LP method deviates from the traditional </w:t>
      </w:r>
      <w:r w:rsidRPr="00506389">
        <w:rPr>
          <w:rFonts w:ascii="Times New Roman" w:hAnsi="Times New Roman" w:cs="Times New Roman"/>
        </w:rPr>
        <w:t xml:space="preserve">method used in a VAR (as it avoids the cause of the biases due to model </w:t>
      </w:r>
      <w:r w:rsidR="00123B14" w:rsidRPr="00506389">
        <w:rPr>
          <w:rFonts w:ascii="Times New Roman" w:hAnsi="Times New Roman" w:cs="Times New Roman"/>
        </w:rPr>
        <w:t>restrictions</w:t>
      </w:r>
      <w:r w:rsidRPr="00506389">
        <w:rPr>
          <w:rFonts w:ascii="Times New Roman" w:hAnsi="Times New Roman" w:cs="Times New Roman"/>
        </w:rPr>
        <w:t xml:space="preserve"> and </w:t>
      </w:r>
      <w:r w:rsidR="00BF021C" w:rsidRPr="00506389">
        <w:rPr>
          <w:rFonts w:ascii="Times New Roman" w:hAnsi="Times New Roman" w:cs="Times New Roman"/>
        </w:rPr>
        <w:t>misspecifications</w:t>
      </w:r>
      <w:r w:rsidRPr="00506389">
        <w:rPr>
          <w:rFonts w:ascii="Times New Roman" w:hAnsi="Times New Roman" w:cs="Times New Roman"/>
        </w:rPr>
        <w:t xml:space="preserve"> in the VAR approach by estimating the model locally to each forecast horizon). It forms </w:t>
      </w:r>
      <w:r w:rsidRPr="00506389">
        <w:rPr>
          <w:rFonts w:ascii="Times New Roman" w:hAnsi="Times New Roman" w:cs="Times New Roman"/>
          <w:i/>
        </w:rPr>
        <w:t>E</w:t>
      </w:r>
      <w:r w:rsidRPr="00506389">
        <w:rPr>
          <w:rFonts w:ascii="Times New Roman" w:hAnsi="Times New Roman" w:cs="Times New Roman"/>
        </w:rPr>
        <w:t>[</w:t>
      </w:r>
      <w:r w:rsidRPr="00506389">
        <w:rPr>
          <w:rFonts w:ascii="Times New Roman" w:hAnsi="Times New Roman" w:cs="Times New Roman"/>
          <w:i/>
        </w:rPr>
        <w:t>y</w:t>
      </w:r>
      <w:r w:rsidRPr="00506389">
        <w:rPr>
          <w:rFonts w:ascii="Times New Roman" w:hAnsi="Times New Roman" w:cs="Times New Roman"/>
          <w:i/>
          <w:vertAlign w:val="subscript"/>
        </w:rPr>
        <w:t>t</w:t>
      </w:r>
      <w:r w:rsidRPr="00506389">
        <w:rPr>
          <w:rFonts w:ascii="Times New Roman" w:hAnsi="Times New Roman" w:cs="Times New Roman"/>
        </w:rPr>
        <w:t xml:space="preserve">+2] and subsequent periods using a sequence of separate OLS regressions. In order to obtain the IRF for </w:t>
      </w:r>
      <w:r w:rsidRPr="00506389">
        <w:rPr>
          <w:rFonts w:ascii="Times New Roman" w:hAnsi="Times New Roman" w:cs="Times New Roman"/>
          <w:i/>
        </w:rPr>
        <w:t>t</w:t>
      </w:r>
      <w:r w:rsidRPr="00506389">
        <w:rPr>
          <w:rFonts w:ascii="Times New Roman" w:hAnsi="Times New Roman" w:cs="Times New Roman"/>
        </w:rPr>
        <w:t xml:space="preserve">+ 2 the method needs to regress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rPr>
        <w:t xml:space="preserve"> on </w:t>
      </w:r>
      <w:r w:rsidRPr="00506389">
        <w:rPr>
          <w:rFonts w:ascii="Times New Roman" w:hAnsi="Times New Roman" w:cs="Times New Roman"/>
          <w:i/>
        </w:rPr>
        <w:t>y</w:t>
      </w:r>
      <w:r w:rsidRPr="00506389">
        <w:rPr>
          <w:rFonts w:ascii="Times New Roman" w:hAnsi="Times New Roman" w:cs="Times New Roman"/>
          <w:i/>
          <w:vertAlign w:val="subscript"/>
        </w:rPr>
        <w:t xml:space="preserve">t−2 </w:t>
      </w:r>
      <w:r w:rsidRPr="00506389">
        <w:rPr>
          <w:rFonts w:ascii="Times New Roman" w:hAnsi="Times New Roman" w:cs="Times New Roman"/>
        </w:rPr>
        <w:t xml:space="preserve">and </w:t>
      </w:r>
      <w:r w:rsidRPr="00506389">
        <w:rPr>
          <w:rFonts w:ascii="Times New Roman" w:hAnsi="Times New Roman" w:cs="Times New Roman"/>
          <w:i/>
        </w:rPr>
        <w:t>y</w:t>
      </w:r>
      <w:r w:rsidRPr="00506389">
        <w:rPr>
          <w:rFonts w:ascii="Times New Roman" w:hAnsi="Times New Roman" w:cs="Times New Roman"/>
          <w:i/>
          <w:vertAlign w:val="subscript"/>
        </w:rPr>
        <w:t>t−3</w:t>
      </w:r>
      <w:r w:rsidRPr="00506389">
        <w:rPr>
          <w:rFonts w:ascii="Times New Roman" w:hAnsi="Times New Roman" w:cs="Times New Roman"/>
        </w:rPr>
        <w:t xml:space="preserve">, i.e., </w:t>
      </w:r>
      <w:proofErr w:type="spellStart"/>
      <w:r w:rsidRPr="00506389">
        <w:rPr>
          <w:rFonts w:ascii="Times New Roman" w:hAnsi="Times New Roman" w:cs="Times New Roman"/>
          <w:i/>
        </w:rPr>
        <w:t>y</w:t>
      </w:r>
      <w:r w:rsidRPr="00506389">
        <w:rPr>
          <w:rFonts w:ascii="Times New Roman" w:hAnsi="Times New Roman" w:cs="Times New Roman"/>
          <w:i/>
          <w:vertAlign w:val="subscript"/>
        </w:rPr>
        <w:t>t</w:t>
      </w:r>
      <w:proofErr w:type="spellEnd"/>
      <w:r w:rsidRPr="00506389">
        <w:rPr>
          <w:rFonts w:ascii="Times New Roman" w:hAnsi="Times New Roman" w:cs="Times New Roman"/>
          <w:i/>
          <w:vertAlign w:val="subscript"/>
        </w:rPr>
        <w:t xml:space="preserve"> </w:t>
      </w:r>
      <w:r w:rsidRPr="00506389">
        <w:rPr>
          <w:rFonts w:ascii="Times New Roman" w:hAnsi="Times New Roman" w:cs="Times New Roman"/>
        </w:rPr>
        <w:t>=</w:t>
      </w:r>
      <w:r w:rsidRPr="00506389">
        <w:rPr>
          <w:rFonts w:ascii="Times New Roman" w:hAnsi="Times New Roman" w:cs="Times New Roman"/>
          <w:i/>
        </w:rPr>
        <w:t>α+β</w:t>
      </w:r>
      <w:r w:rsidRPr="00506389">
        <w:rPr>
          <w:rFonts w:ascii="Times New Roman" w:hAnsi="Times New Roman" w:cs="Times New Roman"/>
          <w:i/>
          <w:vertAlign w:val="subscript"/>
        </w:rPr>
        <w:t>1</w:t>
      </w:r>
      <w:r w:rsidRPr="00506389">
        <w:rPr>
          <w:rFonts w:ascii="Times New Roman" w:hAnsi="Times New Roman" w:cs="Times New Roman"/>
          <w:i/>
        </w:rPr>
        <w:t>y</w:t>
      </w:r>
      <w:r w:rsidRPr="00506389">
        <w:rPr>
          <w:rFonts w:ascii="Times New Roman" w:hAnsi="Times New Roman" w:cs="Times New Roman"/>
          <w:i/>
          <w:vertAlign w:val="subscript"/>
        </w:rPr>
        <w:t>t-2</w:t>
      </w:r>
      <w:r w:rsidRPr="00506389">
        <w:rPr>
          <w:rFonts w:ascii="Times New Roman" w:hAnsi="Times New Roman" w:cs="Times New Roman"/>
          <w:i/>
        </w:rPr>
        <w:t>+β</w:t>
      </w:r>
      <w:r w:rsidRPr="00506389">
        <w:rPr>
          <w:rFonts w:ascii="Times New Roman" w:hAnsi="Times New Roman" w:cs="Times New Roman"/>
          <w:i/>
          <w:vertAlign w:val="subscript"/>
        </w:rPr>
        <w:t>2</w:t>
      </w:r>
      <w:r w:rsidRPr="00506389">
        <w:rPr>
          <w:rFonts w:ascii="Times New Roman" w:hAnsi="Times New Roman" w:cs="Times New Roman"/>
          <w:i/>
        </w:rPr>
        <w:t>y</w:t>
      </w:r>
      <w:r w:rsidRPr="00506389">
        <w:rPr>
          <w:rFonts w:ascii="Times New Roman" w:hAnsi="Times New Roman" w:cs="Times New Roman"/>
          <w:i/>
          <w:vertAlign w:val="subscript"/>
        </w:rPr>
        <w:t>t-3</w:t>
      </w:r>
      <w:r w:rsidRPr="00506389">
        <w:rPr>
          <w:rFonts w:ascii="Times New Roman" w:hAnsi="Times New Roman" w:cs="Times New Roman"/>
          <w:i/>
        </w:rPr>
        <w:t>+u</w:t>
      </w:r>
      <w:r w:rsidRPr="00506389">
        <w:rPr>
          <w:rFonts w:ascii="Times New Roman" w:hAnsi="Times New Roman" w:cs="Times New Roman"/>
          <w:i/>
          <w:vertAlign w:val="subscript"/>
        </w:rPr>
        <w:t>t</w:t>
      </w:r>
      <w:r w:rsidRPr="00506389">
        <w:rPr>
          <w:rFonts w:ascii="Times New Roman" w:hAnsi="Times New Roman" w:cs="Times New Roman"/>
        </w:rPr>
        <w:t xml:space="preserve">, and again </w:t>
      </w:r>
      <w:r w:rsidRPr="00506389">
        <w:rPr>
          <w:rFonts w:ascii="Times New Roman" w:hAnsi="Times New Roman" w:cs="Times New Roman"/>
          <w:i/>
        </w:rPr>
        <w:t>E[y</w:t>
      </w:r>
      <w:r w:rsidRPr="00506389">
        <w:rPr>
          <w:rFonts w:ascii="Times New Roman" w:hAnsi="Times New Roman" w:cs="Times New Roman"/>
          <w:i/>
          <w:vertAlign w:val="subscript"/>
        </w:rPr>
        <w:t>t+2</w:t>
      </w:r>
      <w:r w:rsidRPr="00506389">
        <w:rPr>
          <w:rFonts w:ascii="Times New Roman" w:hAnsi="Times New Roman" w:cs="Times New Roman"/>
          <w:i/>
        </w:rPr>
        <w:t>]=α</w:t>
      </w:r>
      <w:r w:rsidRPr="00506389">
        <w:rPr>
          <w:rFonts w:ascii="Times New Roman" w:hAnsi="Times New Roman" w:cs="Times New Roman"/>
        </w:rPr>
        <w:t>+</w:t>
      </w:r>
      <w:r w:rsidRPr="00506389">
        <w:rPr>
          <w:rFonts w:ascii="Times New Roman" w:hAnsi="Times New Roman" w:cs="Times New Roman"/>
          <w:i/>
        </w:rPr>
        <w:t>β</w:t>
      </w:r>
      <w:r w:rsidRPr="00506389">
        <w:rPr>
          <w:rFonts w:ascii="Times New Roman" w:hAnsi="Times New Roman" w:cs="Times New Roman"/>
          <w:i/>
          <w:vertAlign w:val="subscript"/>
        </w:rPr>
        <w:t>1</w:t>
      </w:r>
      <w:r w:rsidRPr="00506389">
        <w:rPr>
          <w:rFonts w:ascii="Times New Roman" w:hAnsi="Times New Roman" w:cs="Times New Roman"/>
          <w:i/>
        </w:rPr>
        <w:t>(</w:t>
      </w:r>
      <m:oMath>
        <m:acc>
          <m:accPr>
            <m:chr m:val="̅"/>
            <m:ctrlPr>
              <w:rPr>
                <w:rFonts w:ascii="Cambria Math" w:eastAsiaTheme="minorHAnsi" w:hAnsi="Cambria Math" w:cs="Times New Roman"/>
                <w:i/>
                <w:lang w:val="en-ZA" w:eastAsia="en-US"/>
              </w:rPr>
            </m:ctrlPr>
          </m:accPr>
          <m:e>
            <m:r>
              <w:rPr>
                <w:rFonts w:ascii="Cambria Math" w:hAnsi="Cambria Math" w:cs="Times New Roman"/>
                <w:lang w:val="en-ZA"/>
              </w:rPr>
              <m:t>y</m:t>
            </m:r>
          </m:e>
        </m:acc>
        <m:r>
          <w:rPr>
            <w:rFonts w:ascii="Cambria Math" w:hAnsi="Cambria Math" w:cs="Times New Roman"/>
          </w:rPr>
          <m:t>+</m:t>
        </m:r>
        <m:acc>
          <m:accPr>
            <m:chr m:val="̅"/>
            <m:ctrlPr>
              <w:rPr>
                <w:rFonts w:ascii="Cambria Math" w:eastAsiaTheme="minorHAnsi" w:hAnsi="Cambria Math" w:cs="Times New Roman"/>
                <w:i/>
                <w:lang w:val="en-ZA" w:eastAsia="en-US"/>
              </w:rPr>
            </m:ctrlPr>
          </m:accPr>
          <m:e>
            <m:r>
              <w:rPr>
                <w:rFonts w:ascii="Cambria Math" w:hAnsi="Cambria Math" w:cs="Times New Roman"/>
              </w:rPr>
              <m:t>u</m:t>
            </m:r>
          </m:e>
        </m:acc>
      </m:oMath>
      <w:r w:rsidRPr="00667A52">
        <w:rPr>
          <w:rFonts w:ascii="Times New Roman" w:hAnsi="Times New Roman" w:cs="Times New Roman"/>
          <w:i/>
        </w:rPr>
        <w:t>)+β</w:t>
      </w:r>
      <w:r w:rsidRPr="00667A52">
        <w:rPr>
          <w:rFonts w:ascii="Times New Roman" w:hAnsi="Times New Roman" w:cs="Times New Roman"/>
          <w:i/>
          <w:vertAlign w:val="subscript"/>
        </w:rPr>
        <w:t>2</w:t>
      </w:r>
      <m:oMath>
        <m:acc>
          <m:accPr>
            <m:chr m:val="̅"/>
            <m:ctrlPr>
              <w:rPr>
                <w:rFonts w:ascii="Cambria Math" w:eastAsiaTheme="minorHAnsi" w:hAnsi="Cambria Math" w:cs="Times New Roman"/>
                <w:i/>
                <w:lang w:val="en-ZA" w:eastAsia="en-US"/>
              </w:rPr>
            </m:ctrlPr>
          </m:accPr>
          <m:e>
            <m:r>
              <w:rPr>
                <w:rFonts w:ascii="Cambria Math" w:hAnsi="Cambria Math" w:cs="Times New Roman"/>
                <w:lang w:val="en-ZA"/>
              </w:rPr>
              <m:t>y</m:t>
            </m:r>
          </m:e>
        </m:acc>
      </m:oMath>
      <w:r w:rsidRPr="00667A52">
        <w:rPr>
          <w:rFonts w:ascii="Times New Roman" w:hAnsi="Times New Roman" w:cs="Times New Roman"/>
        </w:rPr>
        <w:t xml:space="preserve">. However, the coefficients now take different values, with each period getting its own regression. Further </w:t>
      </w:r>
      <w:r w:rsidRPr="00506389">
        <w:rPr>
          <w:rFonts w:ascii="Times New Roman" w:hAnsi="Times New Roman" w:cs="Times New Roman"/>
        </w:rPr>
        <w:t xml:space="preserve">details about LP IRFs techniques can be found in </w:t>
      </w:r>
      <w:proofErr w:type="spellStart"/>
      <w:r w:rsidRPr="00506389">
        <w:rPr>
          <w:rFonts w:ascii="Times New Roman" w:hAnsi="Times New Roman" w:cs="Times New Roman"/>
        </w:rPr>
        <w:t>Jordà</w:t>
      </w:r>
      <w:proofErr w:type="spellEnd"/>
      <w:r w:rsidRPr="00506389">
        <w:rPr>
          <w:rFonts w:ascii="Times New Roman" w:hAnsi="Times New Roman" w:cs="Times New Roman"/>
        </w:rPr>
        <w:t xml:space="preserve"> (2005) and Ahmed and </w:t>
      </w:r>
      <w:proofErr w:type="spellStart"/>
      <w:r w:rsidRPr="00506389">
        <w:rPr>
          <w:rFonts w:ascii="Times New Roman" w:hAnsi="Times New Roman" w:cs="Times New Roman"/>
        </w:rPr>
        <w:t>Cassou</w:t>
      </w:r>
      <w:proofErr w:type="spellEnd"/>
      <w:r w:rsidRPr="00506389">
        <w:rPr>
          <w:rFonts w:ascii="Times New Roman" w:hAnsi="Times New Roman" w:cs="Times New Roman"/>
        </w:rPr>
        <w:t xml:space="preserve"> (2016), but due to space considerations, they are not presented in this paper.</w:t>
      </w:r>
    </w:p>
  </w:footnote>
  <w:footnote w:id="6">
    <w:p w14:paraId="6E7CD71F" w14:textId="77777777" w:rsidR="00521DE0" w:rsidRPr="00506389"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Ozturk and Sheng (2018) propose a method to decompose economic uncertainty into common and idiosyncratic components. Using this method, we compute the IRFs of both common and idiosyncratic uncertainty to oil shocks and find that IRFs for idiosyncratic and total uncertainty are similar. We report the results in the </w:t>
      </w:r>
      <w:r w:rsidRPr="00506389">
        <w:rPr>
          <w:rFonts w:ascii="Times New Roman" w:hAnsi="Times New Roman" w:cs="Times New Roman"/>
        </w:rPr>
        <w:t>appendix.</w:t>
      </w:r>
    </w:p>
  </w:footnote>
  <w:footnote w:id="7">
    <w:p w14:paraId="4655B6F3" w14:textId="77777777" w:rsidR="00521DE0" w:rsidRPr="00667A52" w:rsidRDefault="00521DE0" w:rsidP="00521DE0">
      <w:pPr>
        <w:spacing w:after="0" w:line="240" w:lineRule="auto"/>
        <w:jc w:val="both"/>
        <w:rPr>
          <w:rFonts w:ascii="Times New Roman" w:hAnsi="Times New Roman" w:cs="Times New Roman"/>
          <w:sz w:val="20"/>
          <w:szCs w:val="20"/>
        </w:rPr>
      </w:pPr>
      <w:r w:rsidRPr="00667A52">
        <w:rPr>
          <w:rStyle w:val="FootnoteReference"/>
          <w:rFonts w:ascii="Times New Roman" w:hAnsi="Times New Roman" w:cs="Times New Roman"/>
          <w:sz w:val="20"/>
          <w:szCs w:val="20"/>
        </w:rPr>
        <w:footnoteRef/>
      </w:r>
      <w:r w:rsidRPr="00667A52">
        <w:rPr>
          <w:rFonts w:ascii="Times New Roman" w:hAnsi="Times New Roman" w:cs="Times New Roman"/>
          <w:sz w:val="20"/>
          <w:szCs w:val="20"/>
        </w:rPr>
        <w:t xml:space="preserve"> Kang et al. (2017) find that the response of uncertainty (measured by the EPU) is positive and statistically significant to US oil supply shocks. </w:t>
      </w:r>
      <w:proofErr w:type="spellStart"/>
      <w:r w:rsidRPr="00667A52">
        <w:rPr>
          <w:rFonts w:ascii="Times New Roman" w:hAnsi="Times New Roman" w:cs="Times New Roman"/>
          <w:sz w:val="20"/>
          <w:szCs w:val="20"/>
        </w:rPr>
        <w:t>Su</w:t>
      </w:r>
      <w:proofErr w:type="spellEnd"/>
      <w:r w:rsidRPr="00667A52">
        <w:rPr>
          <w:rFonts w:ascii="Times New Roman" w:hAnsi="Times New Roman" w:cs="Times New Roman"/>
          <w:sz w:val="20"/>
          <w:szCs w:val="20"/>
        </w:rPr>
        <w:t xml:space="preserve"> et al. (2018) report a positive relationship between oil supply shocks and a news-based uncertainty measure: news implied volatility.</w:t>
      </w:r>
    </w:p>
  </w:footnote>
  <w:footnote w:id="8">
    <w:p w14:paraId="61585753" w14:textId="77777777" w:rsidR="00521DE0" w:rsidRPr="00506389"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w:t>
      </w:r>
      <w:bookmarkStart w:id="21" w:name="_Hlk34588907"/>
      <w:proofErr w:type="spellStart"/>
      <w:r w:rsidRPr="00667A52">
        <w:rPr>
          <w:rFonts w:ascii="Times New Roman" w:hAnsi="Times New Roman" w:cs="Times New Roman"/>
        </w:rPr>
        <w:t>Antonakakis</w:t>
      </w:r>
      <w:proofErr w:type="spellEnd"/>
      <w:r w:rsidRPr="00667A52">
        <w:rPr>
          <w:rFonts w:ascii="Times New Roman" w:hAnsi="Times New Roman" w:cs="Times New Roman"/>
        </w:rPr>
        <w:t xml:space="preserve"> et al. (2014) report some evidence of negative impacts of oil-specific demand shocks </w:t>
      </w:r>
      <w:r w:rsidRPr="00506389">
        <w:rPr>
          <w:rFonts w:ascii="Times New Roman" w:hAnsi="Times New Roman" w:cs="Times New Roman"/>
        </w:rPr>
        <w:t>on uncertainty, but they do not provide sound economic explanations for this finding.</w:t>
      </w:r>
      <w:bookmarkEnd w:id="21"/>
    </w:p>
  </w:footnote>
  <w:footnote w:id="9">
    <w:p w14:paraId="151AFD32" w14:textId="77777777" w:rsidR="00521DE0" w:rsidRPr="00506389" w:rsidRDefault="00521DE0" w:rsidP="00521DE0">
      <w:pPr>
        <w:pStyle w:val="FootnoteText"/>
        <w:jc w:val="both"/>
        <w:rPr>
          <w:rFonts w:ascii="Times New Roman" w:hAnsi="Times New Roman" w:cs="Times New Roman"/>
        </w:rPr>
      </w:pPr>
      <w:r w:rsidRPr="00667A52">
        <w:rPr>
          <w:rStyle w:val="FootnoteReference"/>
          <w:rFonts w:ascii="Times New Roman" w:hAnsi="Times New Roman" w:cs="Times New Roman"/>
        </w:rPr>
        <w:footnoteRef/>
      </w:r>
      <w:r w:rsidRPr="00667A52">
        <w:rPr>
          <w:rFonts w:ascii="Times New Roman" w:hAnsi="Times New Roman" w:cs="Times New Roman"/>
        </w:rPr>
        <w:t xml:space="preserve"> </w:t>
      </w:r>
      <w:r w:rsidRPr="00667A52">
        <w:rPr>
          <w:rFonts w:ascii="Times New Roman" w:hAnsi="Times New Roman" w:cs="Times New Roman"/>
          <w:color w:val="000000" w:themeColor="text1"/>
        </w:rPr>
        <w:t>Kilian (2009) suggests that oil producers are slow to respond to demand shocks given the cost of changes to</w:t>
      </w:r>
      <w:r w:rsidRPr="00667A52">
        <w:rPr>
          <w:rFonts w:ascii="Times New Roman" w:hAnsi="Times New Roman" w:cs="Times New Roman"/>
        </w:rPr>
        <w:t xml:space="preserve"> oil production. As a result, oil supply responds to demand shocks with a delay. </w:t>
      </w:r>
    </w:p>
  </w:footnote>
  <w:footnote w:id="10">
    <w:p w14:paraId="47702C2C" w14:textId="0DE8A4DA" w:rsidR="00521DE0" w:rsidRPr="00E32104" w:rsidRDefault="00521DE0" w:rsidP="00E32104">
      <w:pPr>
        <w:pStyle w:val="FootnoteText"/>
        <w:jc w:val="both"/>
        <w:rPr>
          <w:rFonts w:ascii="Times New Roman" w:hAnsi="Times New Roman" w:cs="Times New Roman"/>
        </w:rPr>
      </w:pPr>
      <w:r w:rsidRPr="00E32104">
        <w:rPr>
          <w:rStyle w:val="FootnoteReference"/>
          <w:rFonts w:ascii="Times New Roman" w:hAnsi="Times New Roman" w:cs="Times New Roman"/>
        </w:rPr>
        <w:footnoteRef/>
      </w:r>
      <w:r w:rsidRPr="00E32104">
        <w:rPr>
          <w:rFonts w:ascii="Times New Roman" w:hAnsi="Times New Roman" w:cs="Times New Roman"/>
        </w:rPr>
        <w:t xml:space="preserve"> The country-specific uncertainty measures are derived from unpredictable components (forecast errors) of wide data of macroeconomic variables including the growth rates of GDP, investment, consumption, industrial (manufacturing) production, the levels of short- and long-term interest rates and unemployment and inflation rates, so our results have indirectly controlled for the impact of these factors. </w:t>
      </w:r>
      <w:bookmarkStart w:id="24" w:name="_Hlk46440748"/>
      <w:r w:rsidRPr="00E32104">
        <w:rPr>
          <w:rFonts w:ascii="Times New Roman" w:hAnsi="Times New Roman" w:cs="Times New Roman"/>
        </w:rPr>
        <w:t>However, based on the suggestion of an anonymous referee, we also test the robustness of our results by controlling for the principal component of a group of variables including inflation rates, foreign exchange rates, short- and long-term interest rates and industrial production of the US, developed and emerging economies</w:t>
      </w:r>
      <w:bookmarkEnd w:id="24"/>
      <w:r w:rsidRPr="00E32104">
        <w:rPr>
          <w:rFonts w:ascii="Times New Roman" w:hAnsi="Times New Roman" w:cs="Times New Roman"/>
        </w:rPr>
        <w:t>, with data derived from the Database of Global Economic</w:t>
      </w:r>
      <w:r w:rsidR="00E32104">
        <w:rPr>
          <w:rFonts w:ascii="Times New Roman" w:hAnsi="Times New Roman" w:cs="Times New Roman"/>
        </w:rPr>
        <w:t xml:space="preserve"> </w:t>
      </w:r>
      <w:r w:rsidRPr="00E32104">
        <w:rPr>
          <w:rFonts w:ascii="Times New Roman" w:hAnsi="Times New Roman" w:cs="Times New Roman"/>
        </w:rPr>
        <w:t xml:space="preserve">Indicators maintained by the Federal </w:t>
      </w:r>
      <w:r w:rsidR="00E32104">
        <w:rPr>
          <w:rFonts w:ascii="Times New Roman" w:hAnsi="Times New Roman" w:cs="Times New Roman"/>
        </w:rPr>
        <w:t>R</w:t>
      </w:r>
      <w:r w:rsidRPr="00E32104">
        <w:rPr>
          <w:rFonts w:ascii="Times New Roman" w:hAnsi="Times New Roman" w:cs="Times New Roman"/>
        </w:rPr>
        <w:t>eserve Bank of Dallas</w:t>
      </w:r>
      <w:r w:rsidR="00E32104">
        <w:rPr>
          <w:rFonts w:ascii="Times New Roman" w:hAnsi="Times New Roman" w:cs="Times New Roman"/>
        </w:rPr>
        <w:t xml:space="preserve"> </w:t>
      </w:r>
      <w:r w:rsidRPr="00E32104">
        <w:rPr>
          <w:rFonts w:ascii="Times New Roman" w:hAnsi="Times New Roman" w:cs="Times New Roman"/>
        </w:rPr>
        <w:t xml:space="preserve">at: </w:t>
      </w:r>
      <w:hyperlink r:id="rId1" w:history="1">
        <w:r w:rsidRPr="00E32104">
          <w:rPr>
            <w:rStyle w:val="Hyperlink"/>
            <w:rFonts w:ascii="Times New Roman" w:hAnsi="Times New Roman" w:cs="Times New Roman"/>
          </w:rPr>
          <w:t>https://www.dallasfed.org/institute/dgei</w:t>
        </w:r>
      </w:hyperlink>
      <w:r w:rsidRPr="00E32104">
        <w:rPr>
          <w:rFonts w:ascii="Times New Roman" w:hAnsi="Times New Roman" w:cs="Times New Roman"/>
        </w:rPr>
        <w:t>. The obtained results are qualitatively similar, and are available upon request from the authors.</w:t>
      </w:r>
    </w:p>
  </w:footnote>
  <w:footnote w:id="11">
    <w:p w14:paraId="355B78FD" w14:textId="77777777" w:rsidR="00521DE0" w:rsidRPr="00506389" w:rsidRDefault="00521DE0" w:rsidP="00521DE0">
      <w:pPr>
        <w:pStyle w:val="FootnoteText"/>
        <w:jc w:val="both"/>
        <w:rPr>
          <w:rFonts w:ascii="Times New Roman" w:hAnsi="Times New Roman" w:cs="Times New Roman"/>
        </w:rPr>
      </w:pPr>
      <w:r w:rsidRPr="00E32104">
        <w:rPr>
          <w:rStyle w:val="FootnoteReference"/>
          <w:rFonts w:ascii="Times New Roman" w:hAnsi="Times New Roman" w:cs="Times New Roman"/>
        </w:rPr>
        <w:footnoteRef/>
      </w:r>
      <w:r w:rsidRPr="00E32104">
        <w:rPr>
          <w:rFonts w:ascii="Times New Roman" w:hAnsi="Times New Roman" w:cs="Times New Roman"/>
        </w:rPr>
        <w:t xml:space="preserve"> There are few studies focusing</w:t>
      </w:r>
      <w:r w:rsidRPr="00667A52">
        <w:rPr>
          <w:rFonts w:ascii="Times New Roman" w:hAnsi="Times New Roman" w:cs="Times New Roman"/>
        </w:rPr>
        <w:t xml:space="preserve"> on the heterogeneous response of macroeconomic variables to oil price shocks between oil</w:t>
      </w:r>
      <w:r w:rsidRPr="00506389">
        <w:rPr>
          <w:rFonts w:ascii="Times New Roman" w:hAnsi="Times New Roman" w:cs="Times New Roman"/>
        </w:rPr>
        <w:t xml:space="preserve">-importing and -exporting countries, and the results are inconclusive. For example, to examine the impacts of oil prices on economic activity in six Asian countries, </w:t>
      </w:r>
      <w:proofErr w:type="spellStart"/>
      <w:r w:rsidRPr="00506389">
        <w:rPr>
          <w:rFonts w:ascii="Times New Roman" w:hAnsi="Times New Roman" w:cs="Times New Roman"/>
        </w:rPr>
        <w:t>Cunado</w:t>
      </w:r>
      <w:proofErr w:type="spellEnd"/>
      <w:r w:rsidRPr="00506389">
        <w:rPr>
          <w:rFonts w:ascii="Times New Roman" w:hAnsi="Times New Roman" w:cs="Times New Roman"/>
        </w:rPr>
        <w:t xml:space="preserve"> and De </w:t>
      </w:r>
      <w:proofErr w:type="spellStart"/>
      <w:r w:rsidRPr="00506389">
        <w:rPr>
          <w:rFonts w:ascii="Times New Roman" w:hAnsi="Times New Roman" w:cs="Times New Roman"/>
        </w:rPr>
        <w:t>Gracia</w:t>
      </w:r>
      <w:proofErr w:type="spellEnd"/>
      <w:r w:rsidRPr="00506389">
        <w:rPr>
          <w:rFonts w:ascii="Times New Roman" w:hAnsi="Times New Roman" w:cs="Times New Roman"/>
        </w:rPr>
        <w:t xml:space="preserve"> (2005) use a small sample of countries that includes only one net oil exporter and five importers in Asia. They find that the relationship between oil prices and economic activity seems to be less significant for net oil exporters, although they indicate that further research is required to reach a general conclusion given the small sample size (</w:t>
      </w:r>
      <w:proofErr w:type="spellStart"/>
      <w:r w:rsidRPr="00506389">
        <w:rPr>
          <w:rFonts w:ascii="Times New Roman" w:hAnsi="Times New Roman" w:cs="Times New Roman"/>
        </w:rPr>
        <w:t>Cunado</w:t>
      </w:r>
      <w:proofErr w:type="spellEnd"/>
      <w:r w:rsidRPr="00506389">
        <w:rPr>
          <w:rFonts w:ascii="Times New Roman" w:hAnsi="Times New Roman" w:cs="Times New Roman"/>
        </w:rPr>
        <w:t xml:space="preserve"> and De </w:t>
      </w:r>
      <w:proofErr w:type="spellStart"/>
      <w:r w:rsidRPr="00506389">
        <w:rPr>
          <w:rFonts w:ascii="Times New Roman" w:hAnsi="Times New Roman" w:cs="Times New Roman"/>
        </w:rPr>
        <w:t>Gracia</w:t>
      </w:r>
      <w:proofErr w:type="spellEnd"/>
      <w:r w:rsidRPr="00506389">
        <w:rPr>
          <w:rFonts w:ascii="Times New Roman" w:hAnsi="Times New Roman" w:cs="Times New Roman"/>
        </w:rPr>
        <w:t xml:space="preserve">, 2005). In contrast, using a sample of nine oil-importing and seven oil-exporting countries, Wang et al. (2013) find the impacts of aggregate oil demand shocks on stock markets in oil-exporting economies are stronger and more persistent than in oil-importing economies. Further, </w:t>
      </w:r>
      <w:proofErr w:type="spellStart"/>
      <w:r w:rsidRPr="00506389">
        <w:rPr>
          <w:rFonts w:ascii="Times New Roman" w:hAnsi="Times New Roman" w:cs="Times New Roman"/>
        </w:rPr>
        <w:t>Berument</w:t>
      </w:r>
      <w:proofErr w:type="spellEnd"/>
      <w:r w:rsidRPr="00506389">
        <w:rPr>
          <w:rFonts w:ascii="Times New Roman" w:hAnsi="Times New Roman" w:cs="Times New Roman"/>
        </w:rPr>
        <w:t xml:space="preserve"> et al. (2010) suggest that economic output increases with positive oil demand shocks but decreases with positive oil supply shocks for oil importers, while the output of oil exporters increases with both demand and supply shocks in 16 Middle East and North Africa countries.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108C"/>
    <w:multiLevelType w:val="multilevel"/>
    <w:tmpl w:val="E6ACE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E9532A"/>
    <w:multiLevelType w:val="multilevel"/>
    <w:tmpl w:val="E6ACE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B22BF9"/>
    <w:multiLevelType w:val="multilevel"/>
    <w:tmpl w:val="E6ACE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xNDczNrEwNrS0NDBV0lEKTi0uzszPAykwqgUAu/wvRSwAAAA="/>
  </w:docVars>
  <w:rsids>
    <w:rsidRoot w:val="00521DE0"/>
    <w:rsid w:val="000C5997"/>
    <w:rsid w:val="00123B14"/>
    <w:rsid w:val="00260031"/>
    <w:rsid w:val="003455B3"/>
    <w:rsid w:val="00376599"/>
    <w:rsid w:val="003B0891"/>
    <w:rsid w:val="00400D86"/>
    <w:rsid w:val="004F51DA"/>
    <w:rsid w:val="00500A22"/>
    <w:rsid w:val="00521DE0"/>
    <w:rsid w:val="005E5024"/>
    <w:rsid w:val="006948CD"/>
    <w:rsid w:val="00886E69"/>
    <w:rsid w:val="008A2DB0"/>
    <w:rsid w:val="00996088"/>
    <w:rsid w:val="00A12E9F"/>
    <w:rsid w:val="00AA480E"/>
    <w:rsid w:val="00BF021C"/>
    <w:rsid w:val="00CA244E"/>
    <w:rsid w:val="00D72361"/>
    <w:rsid w:val="00E32104"/>
    <w:rsid w:val="00E846DF"/>
    <w:rsid w:val="00E903DB"/>
    <w:rsid w:val="00F207B5"/>
    <w:rsid w:val="00FC6120"/>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6E6EF"/>
  <w15:chartTrackingRefBased/>
  <w15:docId w15:val="{994F4972-823A-4AB9-BAB9-B6A4D0F6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DE0"/>
    <w:rPr>
      <w:rFonts w:eastAsiaTheme="minorEastAsia"/>
      <w:lang w:val="en-GB" w:eastAsia="zh-CN"/>
    </w:rPr>
  </w:style>
  <w:style w:type="paragraph" w:styleId="Heading1">
    <w:name w:val="heading 1"/>
    <w:basedOn w:val="Normal"/>
    <w:next w:val="Normal"/>
    <w:link w:val="Heading1Char"/>
    <w:uiPriority w:val="9"/>
    <w:qFormat/>
    <w:rsid w:val="004F51DA"/>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4F51DA"/>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DE0"/>
    <w:rPr>
      <w:rFonts w:eastAsiaTheme="minorEastAsia"/>
      <w:lang w:val="en-GB" w:eastAsia="zh-CN"/>
    </w:rPr>
  </w:style>
  <w:style w:type="paragraph" w:styleId="Footer">
    <w:name w:val="footer"/>
    <w:basedOn w:val="Normal"/>
    <w:link w:val="FooterChar"/>
    <w:uiPriority w:val="99"/>
    <w:unhideWhenUsed/>
    <w:rsid w:val="00521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DE0"/>
    <w:rPr>
      <w:rFonts w:eastAsiaTheme="minorEastAsia"/>
      <w:lang w:val="en-GB" w:eastAsia="zh-CN"/>
    </w:rPr>
  </w:style>
  <w:style w:type="paragraph" w:styleId="Revision">
    <w:name w:val="Revision"/>
    <w:hidden/>
    <w:uiPriority w:val="99"/>
    <w:semiHidden/>
    <w:rsid w:val="00521DE0"/>
    <w:pPr>
      <w:spacing w:after="0" w:line="240" w:lineRule="auto"/>
    </w:pPr>
    <w:rPr>
      <w:rFonts w:eastAsiaTheme="minorEastAsia"/>
      <w:lang w:val="en-GB" w:eastAsia="zh-CN"/>
    </w:rPr>
  </w:style>
  <w:style w:type="paragraph" w:styleId="BalloonText">
    <w:name w:val="Balloon Text"/>
    <w:basedOn w:val="Normal"/>
    <w:link w:val="BalloonTextChar"/>
    <w:uiPriority w:val="99"/>
    <w:semiHidden/>
    <w:unhideWhenUsed/>
    <w:rsid w:val="00521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DE0"/>
    <w:rPr>
      <w:rFonts w:ascii="Segoe UI" w:eastAsiaTheme="minorEastAsia" w:hAnsi="Segoe UI" w:cs="Segoe UI"/>
      <w:sz w:val="18"/>
      <w:szCs w:val="18"/>
      <w:lang w:val="en-GB" w:eastAsia="zh-CN"/>
    </w:rPr>
  </w:style>
  <w:style w:type="paragraph" w:styleId="FootnoteText">
    <w:name w:val="footnote text"/>
    <w:basedOn w:val="Normal"/>
    <w:link w:val="FootnoteTextChar"/>
    <w:uiPriority w:val="99"/>
    <w:semiHidden/>
    <w:unhideWhenUsed/>
    <w:rsid w:val="00521D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1DE0"/>
    <w:rPr>
      <w:rFonts w:eastAsiaTheme="minorEastAsia"/>
      <w:sz w:val="20"/>
      <w:szCs w:val="20"/>
      <w:lang w:val="en-GB" w:eastAsia="zh-CN"/>
    </w:rPr>
  </w:style>
  <w:style w:type="character" w:styleId="FootnoteReference">
    <w:name w:val="footnote reference"/>
    <w:basedOn w:val="DefaultParagraphFont"/>
    <w:uiPriority w:val="99"/>
    <w:semiHidden/>
    <w:unhideWhenUsed/>
    <w:rsid w:val="00521DE0"/>
    <w:rPr>
      <w:vertAlign w:val="superscript"/>
    </w:rPr>
  </w:style>
  <w:style w:type="character" w:customStyle="1" w:styleId="mi">
    <w:name w:val="mi"/>
    <w:basedOn w:val="DefaultParagraphFont"/>
    <w:rsid w:val="00521DE0"/>
  </w:style>
  <w:style w:type="character" w:customStyle="1" w:styleId="mo">
    <w:name w:val="mo"/>
    <w:basedOn w:val="DefaultParagraphFont"/>
    <w:rsid w:val="00521DE0"/>
  </w:style>
  <w:style w:type="character" w:styleId="PlaceholderText">
    <w:name w:val="Placeholder Text"/>
    <w:basedOn w:val="DefaultParagraphFont"/>
    <w:uiPriority w:val="99"/>
    <w:semiHidden/>
    <w:rsid w:val="00521DE0"/>
    <w:rPr>
      <w:color w:val="808080"/>
    </w:rPr>
  </w:style>
  <w:style w:type="character" w:styleId="Hyperlink">
    <w:name w:val="Hyperlink"/>
    <w:basedOn w:val="DefaultParagraphFont"/>
    <w:uiPriority w:val="99"/>
    <w:unhideWhenUsed/>
    <w:rsid w:val="00521DE0"/>
    <w:rPr>
      <w:color w:val="0563C1" w:themeColor="hyperlink"/>
      <w:u w:val="single"/>
    </w:rPr>
  </w:style>
  <w:style w:type="character" w:customStyle="1" w:styleId="UnresolvedMention1">
    <w:name w:val="Unresolved Mention1"/>
    <w:basedOn w:val="DefaultParagraphFont"/>
    <w:uiPriority w:val="99"/>
    <w:semiHidden/>
    <w:unhideWhenUsed/>
    <w:rsid w:val="00521DE0"/>
    <w:rPr>
      <w:color w:val="605E5C"/>
      <w:shd w:val="clear" w:color="auto" w:fill="E1DFDD"/>
    </w:rPr>
  </w:style>
  <w:style w:type="paragraph" w:styleId="ListParagraph">
    <w:name w:val="List Paragraph"/>
    <w:basedOn w:val="Normal"/>
    <w:uiPriority w:val="34"/>
    <w:qFormat/>
    <w:rsid w:val="00521DE0"/>
    <w:pPr>
      <w:ind w:left="720"/>
      <w:contextualSpacing/>
    </w:pPr>
  </w:style>
  <w:style w:type="character" w:customStyle="1" w:styleId="UnresolvedMention2">
    <w:name w:val="Unresolved Mention2"/>
    <w:basedOn w:val="DefaultParagraphFont"/>
    <w:uiPriority w:val="99"/>
    <w:semiHidden/>
    <w:unhideWhenUsed/>
    <w:rsid w:val="00521DE0"/>
    <w:rPr>
      <w:color w:val="605E5C"/>
      <w:shd w:val="clear" w:color="auto" w:fill="E1DFDD"/>
    </w:rPr>
  </w:style>
  <w:style w:type="character" w:styleId="CommentReference">
    <w:name w:val="annotation reference"/>
    <w:basedOn w:val="DefaultParagraphFont"/>
    <w:uiPriority w:val="99"/>
    <w:semiHidden/>
    <w:unhideWhenUsed/>
    <w:rsid w:val="00521DE0"/>
    <w:rPr>
      <w:sz w:val="16"/>
      <w:szCs w:val="16"/>
    </w:rPr>
  </w:style>
  <w:style w:type="paragraph" w:styleId="CommentText">
    <w:name w:val="annotation text"/>
    <w:basedOn w:val="Normal"/>
    <w:link w:val="CommentTextChar"/>
    <w:uiPriority w:val="99"/>
    <w:semiHidden/>
    <w:unhideWhenUsed/>
    <w:rsid w:val="00521DE0"/>
    <w:pPr>
      <w:spacing w:line="240" w:lineRule="auto"/>
    </w:pPr>
    <w:rPr>
      <w:sz w:val="20"/>
      <w:szCs w:val="20"/>
    </w:rPr>
  </w:style>
  <w:style w:type="character" w:customStyle="1" w:styleId="CommentTextChar">
    <w:name w:val="Comment Text Char"/>
    <w:basedOn w:val="DefaultParagraphFont"/>
    <w:link w:val="CommentText"/>
    <w:uiPriority w:val="99"/>
    <w:semiHidden/>
    <w:rsid w:val="00521DE0"/>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521DE0"/>
    <w:rPr>
      <w:b/>
      <w:bCs/>
    </w:rPr>
  </w:style>
  <w:style w:type="character" w:customStyle="1" w:styleId="CommentSubjectChar">
    <w:name w:val="Comment Subject Char"/>
    <w:basedOn w:val="CommentTextChar"/>
    <w:link w:val="CommentSubject"/>
    <w:uiPriority w:val="99"/>
    <w:semiHidden/>
    <w:rsid w:val="00521DE0"/>
    <w:rPr>
      <w:rFonts w:eastAsiaTheme="minorEastAsia"/>
      <w:b/>
      <w:bCs/>
      <w:sz w:val="20"/>
      <w:szCs w:val="20"/>
      <w:lang w:val="en-GB" w:eastAsia="zh-CN"/>
    </w:rPr>
  </w:style>
  <w:style w:type="character" w:customStyle="1" w:styleId="Heading1Char">
    <w:name w:val="Heading 1 Char"/>
    <w:basedOn w:val="DefaultParagraphFont"/>
    <w:link w:val="Heading1"/>
    <w:uiPriority w:val="9"/>
    <w:rsid w:val="004F51DA"/>
    <w:rPr>
      <w:rFonts w:ascii="Times New Roman" w:eastAsiaTheme="majorEastAsia" w:hAnsi="Times New Roman" w:cstheme="majorBidi"/>
      <w:b/>
      <w:sz w:val="24"/>
      <w:szCs w:val="32"/>
      <w:lang w:val="en-GB" w:eastAsia="zh-CN"/>
    </w:rPr>
  </w:style>
  <w:style w:type="character" w:customStyle="1" w:styleId="Heading2Char">
    <w:name w:val="Heading 2 Char"/>
    <w:basedOn w:val="DefaultParagraphFont"/>
    <w:link w:val="Heading2"/>
    <w:uiPriority w:val="9"/>
    <w:rsid w:val="004F51DA"/>
    <w:rPr>
      <w:rFonts w:ascii="Times New Roman" w:eastAsiaTheme="majorEastAsia" w:hAnsi="Times New Roman" w:cstheme="majorBidi"/>
      <w:b/>
      <w:sz w:val="24"/>
      <w:szCs w:val="2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allasfed.org/institute/dg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6587</Words>
  <Characters>37546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44045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R Gupta</dc:creator>
  <cp:keywords/>
  <dc:description/>
  <cp:lastModifiedBy>Blanshard, Lisa</cp:lastModifiedBy>
  <cp:revision>21</cp:revision>
  <dcterms:created xsi:type="dcterms:W3CDTF">2020-07-29T06:21:00Z</dcterms:created>
  <dcterms:modified xsi:type="dcterms:W3CDTF">2020-09-24T08:55:00Z</dcterms:modified>
</cp:coreProperties>
</file>