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3BC10" w14:textId="77777777" w:rsidR="00D9324C" w:rsidRPr="00CC2174" w:rsidRDefault="00D9324C" w:rsidP="00CC2174">
      <w:pPr>
        <w:pStyle w:val="Heading1"/>
        <w:rPr>
          <w:rFonts w:cs="Times New Roman"/>
          <w:b w:val="0"/>
        </w:rPr>
      </w:pPr>
      <w:r w:rsidRPr="00CC2174">
        <w:rPr>
          <w:rFonts w:cs="Times New Roman"/>
        </w:rPr>
        <w:t>Exploring the relationship between intimate partner violence and contraception use by Tanzanian women</w:t>
      </w:r>
    </w:p>
    <w:p w14:paraId="64F82DE0" w14:textId="4D0CE4EA" w:rsidR="00903E0C" w:rsidRPr="006D6937" w:rsidRDefault="00903E0C" w:rsidP="00B83EC3">
      <w:pPr>
        <w:spacing w:line="480" w:lineRule="auto"/>
        <w:rPr>
          <w:b/>
          <w:bCs/>
        </w:rPr>
      </w:pPr>
    </w:p>
    <w:p w14:paraId="3A7188C2" w14:textId="77777777" w:rsidR="004B098A" w:rsidRPr="006D6937" w:rsidRDefault="004B098A" w:rsidP="00CC2174">
      <w:pPr>
        <w:pStyle w:val="Heading1"/>
      </w:pPr>
      <w:r w:rsidRPr="006D6937">
        <w:t>Abstract</w:t>
      </w:r>
    </w:p>
    <w:p w14:paraId="309858E3" w14:textId="77777777" w:rsidR="004B098A" w:rsidRPr="006D6937" w:rsidRDefault="004B098A" w:rsidP="00B83EC3">
      <w:pPr>
        <w:spacing w:line="480" w:lineRule="auto"/>
        <w:rPr>
          <w:b/>
          <w:bCs/>
        </w:rPr>
      </w:pPr>
    </w:p>
    <w:p w14:paraId="5CB32B3B" w14:textId="74601C24" w:rsidR="004B098A" w:rsidRPr="009463CF" w:rsidRDefault="004B098A" w:rsidP="00B83EC3">
      <w:pPr>
        <w:spacing w:line="480" w:lineRule="auto"/>
        <w:jc w:val="both"/>
        <w:rPr>
          <w:iCs/>
        </w:rPr>
      </w:pPr>
      <w:r w:rsidRPr="006D6937">
        <w:t xml:space="preserve">Intimate Partner Violence (IPV) </w:t>
      </w:r>
      <w:r w:rsidR="00336C5C" w:rsidRPr="006D6937">
        <w:t xml:space="preserve">can be </w:t>
      </w:r>
      <w:r w:rsidR="009463CF">
        <w:t>described as</w:t>
      </w:r>
      <w:r w:rsidR="00336C5C" w:rsidRPr="006D6937">
        <w:t xml:space="preserve"> a </w:t>
      </w:r>
      <w:r w:rsidRPr="006D6937">
        <w:t xml:space="preserve">global epidemic which has long term effects on numerous aspects of life. The effect of IPV on contraception </w:t>
      </w:r>
      <w:r w:rsidR="00336C5C" w:rsidRPr="006D6937">
        <w:t xml:space="preserve">use </w:t>
      </w:r>
      <w:r w:rsidRPr="006D6937">
        <w:t xml:space="preserve">is also wide-ranging and culturally bound. Among the continents, Africa has the highest IPV prevalence. </w:t>
      </w:r>
      <w:r w:rsidR="003D0793">
        <w:t>The</w:t>
      </w:r>
      <w:r w:rsidRPr="006D6937">
        <w:rPr>
          <w:iCs/>
        </w:rPr>
        <w:t xml:space="preserve"> relationship between intimate partner violence on contraception use by Tanzanian women</w:t>
      </w:r>
      <w:r w:rsidR="00C257A9">
        <w:rPr>
          <w:iCs/>
        </w:rPr>
        <w:t xml:space="preserve"> is explored in this study</w:t>
      </w:r>
      <w:r w:rsidR="00487E6D">
        <w:rPr>
          <w:iCs/>
        </w:rPr>
        <w:t xml:space="preserve"> as an illustrative case of this relationship</w:t>
      </w:r>
      <w:r w:rsidRPr="006D6937">
        <w:rPr>
          <w:iCs/>
        </w:rPr>
        <w:t>.</w:t>
      </w:r>
      <w:r w:rsidR="00C46FAF">
        <w:rPr>
          <w:iCs/>
        </w:rPr>
        <w:t xml:space="preserve"> </w:t>
      </w:r>
      <w:r w:rsidRPr="006D6937">
        <w:rPr>
          <w:bCs/>
        </w:rPr>
        <w:t>This is a descriptive cross-sectional design</w:t>
      </w:r>
      <w:r w:rsidR="00404B37">
        <w:rPr>
          <w:bCs/>
        </w:rPr>
        <w:t xml:space="preserve"> study, for which we</w:t>
      </w:r>
      <w:r w:rsidRPr="006D6937">
        <w:rPr>
          <w:bCs/>
        </w:rPr>
        <w:t xml:space="preserve"> </w:t>
      </w:r>
      <w:r w:rsidR="00404B37">
        <w:t>utilised</w:t>
      </w:r>
      <w:r w:rsidR="00404B37" w:rsidRPr="006D6937">
        <w:t xml:space="preserve"> </w:t>
      </w:r>
      <w:r w:rsidRPr="006D6937">
        <w:t>the Tanzania Demographic and Health Survey Data 2015-16.  Data from the responses of 13,266 ever-partnered women were used in this study.</w:t>
      </w:r>
      <w:r w:rsidR="009463CF">
        <w:rPr>
          <w:iCs/>
        </w:rPr>
        <w:t xml:space="preserve"> </w:t>
      </w:r>
      <w:r w:rsidRPr="006D6937">
        <w:rPr>
          <w:bCs/>
        </w:rPr>
        <w:t>The mean age of the respondents was 28.69 years</w:t>
      </w:r>
      <w:r w:rsidR="000A07A7" w:rsidRPr="006D6937">
        <w:rPr>
          <w:bCs/>
        </w:rPr>
        <w:t>, median 27</w:t>
      </w:r>
      <w:r w:rsidRPr="006D6937">
        <w:rPr>
          <w:bCs/>
        </w:rPr>
        <w:t>.</w:t>
      </w:r>
      <w:r w:rsidRPr="006D6937">
        <w:rPr>
          <w:b/>
          <w:bCs/>
        </w:rPr>
        <w:t xml:space="preserve"> </w:t>
      </w:r>
      <w:r w:rsidRPr="006D6937">
        <w:t xml:space="preserve">63% </w:t>
      </w:r>
      <w:r w:rsidR="00336C5C" w:rsidRPr="006D6937">
        <w:t xml:space="preserve">of </w:t>
      </w:r>
      <w:r w:rsidRPr="006D6937">
        <w:t xml:space="preserve">respondents used contraceptives. Women with more than three pregnancies were more likely to use contraceptives (OR:1.56, 95% CI, p&lt;0.001). Education levels also correlated with contraceptive use. Notably, contraceptive use was also significantly lower among the Tanzanian women who were exposed to intimate partner violence, suggesting a need for appropriately tailored social interventions and support. </w:t>
      </w:r>
      <w:r w:rsidR="00A6757E">
        <w:rPr>
          <w:bCs/>
        </w:rPr>
        <w:t>The</w:t>
      </w:r>
      <w:r w:rsidRPr="006D6937">
        <w:rPr>
          <w:bCs/>
        </w:rPr>
        <w:t xml:space="preserve"> need for interventions relating to intimate partner violence to take into account the multi-factorial nature of a woman’s uptake of contraceptive methods</w:t>
      </w:r>
      <w:r w:rsidR="00A6757E">
        <w:rPr>
          <w:bCs/>
        </w:rPr>
        <w:t xml:space="preserve"> is underlined</w:t>
      </w:r>
      <w:r w:rsidRPr="006D6937">
        <w:rPr>
          <w:bCs/>
        </w:rPr>
        <w:t>.</w:t>
      </w:r>
    </w:p>
    <w:p w14:paraId="61AEE767" w14:textId="77777777" w:rsidR="00903E0C" w:rsidRPr="006D6937" w:rsidRDefault="00903E0C" w:rsidP="00B83EC3">
      <w:pPr>
        <w:spacing w:line="480" w:lineRule="auto"/>
        <w:rPr>
          <w:b/>
          <w:bCs/>
        </w:rPr>
      </w:pPr>
    </w:p>
    <w:p w14:paraId="657B6500" w14:textId="2AE0F017" w:rsidR="00597537" w:rsidRPr="006D6937" w:rsidRDefault="00903E0C" w:rsidP="00B83EC3">
      <w:pPr>
        <w:spacing w:line="480" w:lineRule="auto"/>
        <w:rPr>
          <w:b/>
          <w:bCs/>
        </w:rPr>
      </w:pPr>
      <w:r w:rsidRPr="006D6937">
        <w:rPr>
          <w:b/>
          <w:bCs/>
        </w:rPr>
        <w:t xml:space="preserve">Keywords: </w:t>
      </w:r>
      <w:r w:rsidRPr="006D6937">
        <w:rPr>
          <w:bCs/>
          <w:i/>
        </w:rPr>
        <w:t>Intimate partner violence, Contraception, Women, Gender, Tanzania.</w:t>
      </w:r>
      <w:r w:rsidRPr="006D6937">
        <w:rPr>
          <w:b/>
          <w:bCs/>
        </w:rPr>
        <w:t xml:space="preserve"> </w:t>
      </w:r>
    </w:p>
    <w:p w14:paraId="6D4A5267" w14:textId="77777777" w:rsidR="009463CF" w:rsidRDefault="009463CF" w:rsidP="00B83EC3">
      <w:pPr>
        <w:spacing w:line="480" w:lineRule="auto"/>
        <w:rPr>
          <w:b/>
          <w:bCs/>
        </w:rPr>
      </w:pPr>
    </w:p>
    <w:p w14:paraId="2C988445" w14:textId="26247569" w:rsidR="00A37992" w:rsidRPr="006D6937" w:rsidRDefault="00EF1632" w:rsidP="00CC2174">
      <w:pPr>
        <w:pStyle w:val="Heading1"/>
      </w:pPr>
      <w:r>
        <w:t>Background</w:t>
      </w:r>
    </w:p>
    <w:p w14:paraId="3962B7CF" w14:textId="77777777" w:rsidR="0048265D" w:rsidRPr="006D6937" w:rsidRDefault="0048265D" w:rsidP="00B83EC3">
      <w:pPr>
        <w:spacing w:line="480" w:lineRule="auto"/>
        <w:rPr>
          <w:b/>
          <w:bCs/>
        </w:rPr>
      </w:pPr>
    </w:p>
    <w:p w14:paraId="4C3035AF" w14:textId="77777777" w:rsidR="00DB2347" w:rsidRDefault="004F5FBC" w:rsidP="00B83EC3">
      <w:pPr>
        <w:spacing w:line="480" w:lineRule="auto"/>
        <w:jc w:val="both"/>
      </w:pPr>
      <w:r w:rsidRPr="006D6937">
        <w:lastRenderedPageBreak/>
        <w:t>T</w:t>
      </w:r>
      <w:r w:rsidR="004B098A" w:rsidRPr="006D6937">
        <w:t xml:space="preserve">he enactment of violence by </w:t>
      </w:r>
      <w:r w:rsidRPr="006D6937">
        <w:t>intimate partners is a ma</w:t>
      </w:r>
      <w:r w:rsidR="004B098A" w:rsidRPr="006D6937">
        <w:t>jor human rights concern for</w:t>
      </w:r>
      <w:r w:rsidRPr="006D6937">
        <w:t xml:space="preserve"> women </w:t>
      </w:r>
      <w:r w:rsidR="004B098A" w:rsidRPr="006D6937">
        <w:t>globally</w:t>
      </w:r>
      <w:r w:rsidR="00EF55D0" w:rsidRPr="006D6937">
        <w:t xml:space="preserve"> (Tsai, 2016)</w:t>
      </w:r>
      <w:r w:rsidRPr="006D6937">
        <w:t>.</w:t>
      </w:r>
      <w:r w:rsidR="00401559" w:rsidRPr="006D6937">
        <w:t xml:space="preserve"> </w:t>
      </w:r>
      <w:r w:rsidR="00521E3A" w:rsidRPr="006D6937">
        <w:t xml:space="preserve">Violence against </w:t>
      </w:r>
      <w:r w:rsidR="004B098A" w:rsidRPr="006D6937">
        <w:t>partners</w:t>
      </w:r>
      <w:r w:rsidR="00834E60" w:rsidRPr="006D6937">
        <w:t xml:space="preserve"> in a relationship is mostly</w:t>
      </w:r>
      <w:r w:rsidR="00521E3A" w:rsidRPr="006D6937">
        <w:t xml:space="preserve"> referred to as intimate partner violence (IPV) which can be in the form of </w:t>
      </w:r>
      <w:r w:rsidR="008659AF" w:rsidRPr="006D6937">
        <w:t xml:space="preserve">threats and/or </w:t>
      </w:r>
      <w:r w:rsidR="00521E3A" w:rsidRPr="006D6937">
        <w:t>physical, sexual</w:t>
      </w:r>
      <w:r w:rsidR="008659AF" w:rsidRPr="006D6937">
        <w:t xml:space="preserve"> and</w:t>
      </w:r>
      <w:r w:rsidR="00521E3A" w:rsidRPr="006D6937">
        <w:t xml:space="preserve"> emotional </w:t>
      </w:r>
      <w:r w:rsidR="008659AF" w:rsidRPr="006D6937">
        <w:t>abuse</w:t>
      </w:r>
      <w:r w:rsidR="00B52246" w:rsidRPr="006D6937">
        <w:t xml:space="preserve"> </w:t>
      </w:r>
      <w:r w:rsidR="00521E3A" w:rsidRPr="006D6937">
        <w:t>to</w:t>
      </w:r>
      <w:r w:rsidR="00514211" w:rsidRPr="006D6937">
        <w:t>wards</w:t>
      </w:r>
      <w:r w:rsidR="00521E3A" w:rsidRPr="006D6937">
        <w:t xml:space="preserve"> </w:t>
      </w:r>
      <w:r w:rsidR="004B098A" w:rsidRPr="006D6937">
        <w:t>a person by</w:t>
      </w:r>
      <w:r w:rsidR="00DE0F88" w:rsidRPr="006D6937">
        <w:t xml:space="preserve"> a partner or a former partner (Murshid, 2017</w:t>
      </w:r>
      <w:r w:rsidR="00644CD6" w:rsidRPr="006D6937">
        <w:t>; Öberg et al., 2014</w:t>
      </w:r>
      <w:r w:rsidR="00DE0F88" w:rsidRPr="006D6937">
        <w:t>)</w:t>
      </w:r>
      <w:r w:rsidR="00521E3A" w:rsidRPr="006D6937">
        <w:t xml:space="preserve">.  </w:t>
      </w:r>
    </w:p>
    <w:p w14:paraId="08981D5B" w14:textId="4EAAF3FD" w:rsidR="009463CF" w:rsidRDefault="009463CF" w:rsidP="00B83EC3">
      <w:pPr>
        <w:spacing w:line="480" w:lineRule="auto"/>
        <w:jc w:val="both"/>
      </w:pPr>
    </w:p>
    <w:p w14:paraId="3C8E7176" w14:textId="560E3152" w:rsidR="008659AF" w:rsidRPr="006D6937" w:rsidRDefault="00521E3A" w:rsidP="00B83EC3">
      <w:pPr>
        <w:spacing w:line="480" w:lineRule="auto"/>
        <w:jc w:val="both"/>
      </w:pPr>
      <w:r w:rsidRPr="006D6937">
        <w:t xml:space="preserve">The World Health Organization (WHO) defines IPV as </w:t>
      </w:r>
      <w:r w:rsidR="008659AF" w:rsidRPr="006D6937">
        <w:t>‘</w:t>
      </w:r>
      <w:r w:rsidRPr="006D6937">
        <w:t>behaviours by an intimate partner that cause physical, sexual or psychological harm, including acts of physical aggression, sexual coercion, psychological abuse and controlling behaviours</w:t>
      </w:r>
      <w:r w:rsidR="008659AF" w:rsidRPr="006D6937">
        <w:t>’</w:t>
      </w:r>
      <w:r w:rsidRPr="006D6937">
        <w:t xml:space="preserve">. </w:t>
      </w:r>
      <w:r w:rsidR="004703EC" w:rsidRPr="006D6937">
        <w:t xml:space="preserve"> It </w:t>
      </w:r>
      <w:r w:rsidRPr="006D6937">
        <w:t xml:space="preserve">is </w:t>
      </w:r>
      <w:r w:rsidR="00834E60" w:rsidRPr="006D6937">
        <w:t xml:space="preserve">a </w:t>
      </w:r>
      <w:r w:rsidRPr="006D6937">
        <w:t>public he</w:t>
      </w:r>
      <w:r w:rsidR="00EF55D0" w:rsidRPr="006D6937">
        <w:t xml:space="preserve">alth problem across the </w:t>
      </w:r>
      <w:r w:rsidR="00DB2347">
        <w:t>worldwide</w:t>
      </w:r>
      <w:r w:rsidR="00DB2347" w:rsidRPr="006D6937">
        <w:t xml:space="preserve"> </w:t>
      </w:r>
      <w:r w:rsidR="00EF55D0" w:rsidRPr="006D6937">
        <w:t>(Tsai, 2016</w:t>
      </w:r>
      <w:r w:rsidRPr="006D6937">
        <w:t xml:space="preserve">, </w:t>
      </w:r>
      <w:r w:rsidR="00644CD6" w:rsidRPr="006D6937">
        <w:t>Öberg et al., 2014;</w:t>
      </w:r>
      <w:r w:rsidR="00881689" w:rsidRPr="006D6937">
        <w:t xml:space="preserve"> Dalal et al., 2012</w:t>
      </w:r>
      <w:r w:rsidR="003C1994" w:rsidRPr="006D6937">
        <w:t>, Forrest et al., 2017</w:t>
      </w:r>
      <w:r w:rsidR="00C43C7A" w:rsidRPr="006D6937">
        <w:t>, Gilles, 2015;</w:t>
      </w:r>
      <w:r w:rsidR="00DC6F3C" w:rsidRPr="006D6937">
        <w:t xml:space="preserve"> Maxwell et al., 2015</w:t>
      </w:r>
      <w:r w:rsidR="00EF55D0" w:rsidRPr="006D6937">
        <w:t>)</w:t>
      </w:r>
      <w:r w:rsidRPr="006D6937">
        <w:t xml:space="preserve">. It is estimated that about </w:t>
      </w:r>
      <w:r w:rsidR="00834E60" w:rsidRPr="006D6937">
        <w:t>one third</w:t>
      </w:r>
      <w:r w:rsidRPr="006D6937">
        <w:t xml:space="preserve"> of </w:t>
      </w:r>
      <w:r w:rsidR="00B52246" w:rsidRPr="006D6937">
        <w:t>women experience</w:t>
      </w:r>
      <w:r w:rsidRPr="006D6937">
        <w:t xml:space="preserve"> </w:t>
      </w:r>
      <w:r w:rsidR="00B52246" w:rsidRPr="006D6937">
        <w:t>a form violence at</w:t>
      </w:r>
      <w:r w:rsidR="00834E60" w:rsidRPr="006D6937">
        <w:t xml:space="preserve"> </w:t>
      </w:r>
      <w:r w:rsidR="00B52246" w:rsidRPr="006D6937">
        <w:t>least once</w:t>
      </w:r>
      <w:r w:rsidR="00834E60" w:rsidRPr="006D6937">
        <w:t xml:space="preserve"> in </w:t>
      </w:r>
      <w:r w:rsidR="00B52246" w:rsidRPr="006D6937">
        <w:t>their lifetime</w:t>
      </w:r>
      <w:r w:rsidR="00DE0F88" w:rsidRPr="006D6937">
        <w:t xml:space="preserve"> (Murshid, 2017;</w:t>
      </w:r>
      <w:r w:rsidR="006E0ED3" w:rsidRPr="006D6937">
        <w:t xml:space="preserve"> </w:t>
      </w:r>
      <w:r w:rsidR="00C77C4F" w:rsidRPr="006D6937">
        <w:t>Chalachala et al., 2016</w:t>
      </w:r>
      <w:r w:rsidR="00644CD6" w:rsidRPr="006D6937">
        <w:t>;</w:t>
      </w:r>
      <w:r w:rsidR="003C1994" w:rsidRPr="006D6937">
        <w:t xml:space="preserve"> Forrest et al., 2017</w:t>
      </w:r>
      <w:r w:rsidR="00C43C7A" w:rsidRPr="006D6937">
        <w:t>, Gilles, 2015;</w:t>
      </w:r>
      <w:r w:rsidR="00DC6F3C" w:rsidRPr="006D6937">
        <w:t xml:space="preserve"> Swan &amp; O’Connell, 2012, Reed et al., 2016</w:t>
      </w:r>
      <w:r w:rsidR="00DE0F88" w:rsidRPr="006D6937">
        <w:t>)</w:t>
      </w:r>
      <w:r w:rsidRPr="006D6937">
        <w:t xml:space="preserve"> </w:t>
      </w:r>
      <w:r w:rsidR="00B52246" w:rsidRPr="006D6937">
        <w:t>and one</w:t>
      </w:r>
      <w:r w:rsidRPr="006D6937">
        <w:t xml:space="preserve"> in three </w:t>
      </w:r>
      <w:r w:rsidR="004703EC" w:rsidRPr="006D6937">
        <w:t xml:space="preserve">of ever -partnered </w:t>
      </w:r>
      <w:r w:rsidRPr="006D6937">
        <w:t xml:space="preserve">adolescent </w:t>
      </w:r>
      <w:r w:rsidR="006D6937" w:rsidRPr="006D6937">
        <w:t>women</w:t>
      </w:r>
      <w:r w:rsidR="004B098A" w:rsidRPr="006D6937">
        <w:t xml:space="preserve"> aged 15 to 19 worldwide had</w:t>
      </w:r>
      <w:r w:rsidRPr="006D6937">
        <w:t xml:space="preserve"> experienced emotiona</w:t>
      </w:r>
      <w:r w:rsidR="004B098A" w:rsidRPr="006D6937">
        <w:t xml:space="preserve">l, physical or sexual forms of </w:t>
      </w:r>
      <w:r w:rsidR="004703EC" w:rsidRPr="006D6937">
        <w:t xml:space="preserve">violence </w:t>
      </w:r>
      <w:r w:rsidRPr="006D6937">
        <w:t xml:space="preserve">from their </w:t>
      </w:r>
      <w:r w:rsidR="00414B50">
        <w:t>spouse</w:t>
      </w:r>
      <w:r w:rsidRPr="006D6937">
        <w:t xml:space="preserve"> or</w:t>
      </w:r>
      <w:r w:rsidR="00E36880" w:rsidRPr="006D6937">
        <w:t xml:space="preserve"> pa</w:t>
      </w:r>
      <w:r w:rsidR="004B098A" w:rsidRPr="006D6937">
        <w:t>rtners</w:t>
      </w:r>
      <w:r w:rsidR="00EF55D0" w:rsidRPr="006D6937">
        <w:t xml:space="preserve"> (Tsai, 2016; </w:t>
      </w:r>
      <w:r w:rsidR="00DC6F3C" w:rsidRPr="006D6937">
        <w:t>Maxwell et al., 2015</w:t>
      </w:r>
      <w:r w:rsidR="00EF55D0" w:rsidRPr="006D6937">
        <w:t>)</w:t>
      </w:r>
      <w:r w:rsidRPr="006D6937">
        <w:t xml:space="preserve">. </w:t>
      </w:r>
      <w:r w:rsidR="00AC3187" w:rsidRPr="006D6937">
        <w:t>Although women can be perpetrators of IPV, and violence can occur in same-sex relationships, the most common perpetrators are male intimate partners or former partners (Öberg et al., 2014; Chalachala et al., 2016).</w:t>
      </w:r>
    </w:p>
    <w:p w14:paraId="6E5B1F75" w14:textId="77777777" w:rsidR="004B098A" w:rsidRPr="006D6937" w:rsidRDefault="004B098A" w:rsidP="00B83EC3">
      <w:pPr>
        <w:spacing w:line="480" w:lineRule="auto"/>
        <w:jc w:val="both"/>
      </w:pPr>
    </w:p>
    <w:p w14:paraId="37FC57FB" w14:textId="77777777" w:rsidR="004B098A" w:rsidRPr="006D6937" w:rsidRDefault="004B098A" w:rsidP="00B83EC3">
      <w:pPr>
        <w:autoSpaceDE w:val="0"/>
        <w:autoSpaceDN w:val="0"/>
        <w:adjustRightInd w:val="0"/>
        <w:spacing w:line="480" w:lineRule="auto"/>
        <w:jc w:val="both"/>
      </w:pPr>
    </w:p>
    <w:p w14:paraId="0505C31F" w14:textId="491B215A" w:rsidR="00DB2347" w:rsidRDefault="00DB2347" w:rsidP="00DB2347">
      <w:pPr>
        <w:spacing w:line="480" w:lineRule="auto"/>
        <w:jc w:val="both"/>
      </w:pPr>
      <w:r w:rsidRPr="006D6937">
        <w:t xml:space="preserve">IPV can have a lifelong negative impact on the health, wellbeing and development of adolescents and young people (Tsai, 2016; Murshid, 2017; Öberg et al., 2014). It has been associated with depression (Tsai, 2016; Dalal et al., 2012, Gilles, 2015), anxiety (Tsai, 2016; Dalal et al., 2012), post-traumatic stress disorder, suicidality (Tsai, 2016; Dalal et al., 2012; Gilles, 2015), and heightened risk behaviour, such as substance abuse and high-risk sexual </w:t>
      </w:r>
      <w:r w:rsidRPr="006D6937">
        <w:lastRenderedPageBreak/>
        <w:t xml:space="preserve">behaviour (Tsai, 2016). It can also be detrimental to the reproductive and sexual health of adolescents and young women, resulting in unwanted pregnancies (Tsai, 2016; Murshid, 2017; Öberg et al., 2014; Maxwell et al., 2015) induced abortion (Tsai, 2016; Maxwell et al, 2015), unhealthy eating  habits (Dalal et al. 2012),   substance  abuse (Tsai, 2016; Chalachala et al., 2016; Dalal et al., 2012),  alcoholism (Dalal et al., 2012, Gilles, 2015), sexually transmitted infections (Tsai, 2016; Murshid, 2017; Chalachala et al., 2016; Reed et al., 2016), increased risk of HIV infection (Gilles, 2015; Maxwell et al., 2015), injury (Gilles, 2015), gastrointestinal problems (Gilles, 2015), chronic pain (Chalachala et al., 2016; Gilles, 2015) and maternal morbidity and mortality, among others (Tsai, 2016). </w:t>
      </w:r>
    </w:p>
    <w:p w14:paraId="30DB502A" w14:textId="77777777" w:rsidR="00DB2347" w:rsidRPr="006D6937" w:rsidRDefault="00DB2347" w:rsidP="00DB2347">
      <w:pPr>
        <w:spacing w:line="480" w:lineRule="auto"/>
        <w:jc w:val="both"/>
      </w:pPr>
    </w:p>
    <w:p w14:paraId="42344946" w14:textId="7B6A7FEF" w:rsidR="00487E6D" w:rsidRDefault="00DB2347" w:rsidP="00487E6D">
      <w:pPr>
        <w:spacing w:line="480" w:lineRule="auto"/>
        <w:jc w:val="both"/>
      </w:pPr>
      <w:r w:rsidRPr="006D6937">
        <w:t xml:space="preserve">Notably, </w:t>
      </w:r>
      <w:r>
        <w:t xml:space="preserve">it has been revealed through </w:t>
      </w:r>
      <w:r w:rsidRPr="006D6937">
        <w:t xml:space="preserve">studies of adult </w:t>
      </w:r>
      <w:r>
        <w:t>women</w:t>
      </w:r>
      <w:r w:rsidRPr="006D6937">
        <w:t xml:space="preserve"> from several countries that women who experience IPV perceive themselves to have less control over their own fertility (Tsai, 2016). Women in the United States and Colombia who experience violence have been found more likely to report difficulties negotiating contraceptive use, as well as unintended pregnancies, and less likely to select their preferred method of contraception (Tsai, 2016). In contrast, a positive association between IPV and contraceptive use</w:t>
      </w:r>
      <w:r>
        <w:t xml:space="preserve"> has been found in other studies</w:t>
      </w:r>
      <w:r w:rsidRPr="006D6937">
        <w:t xml:space="preserve">. For instance, </w:t>
      </w:r>
      <w:r>
        <w:t>it was discovered in one</w:t>
      </w:r>
      <w:r w:rsidRPr="006D6937">
        <w:t xml:space="preserve"> study of married adult women in the Cebu province in the Philippines that current or previous use of modern contraception was positively associated with experiences of physical partner violence among adult women (Tsai, 2016). A</w:t>
      </w:r>
      <w:r>
        <w:t>uthors of a</w:t>
      </w:r>
      <w:r w:rsidRPr="006D6937">
        <w:t xml:space="preserve">nother study of six Sub-Saharan African countries found that women who had experienced some form of IPV used contraception at a significantly higher rate than women who did not report IPV (Tsai, 2016). </w:t>
      </w:r>
      <w:r w:rsidR="00487E6D">
        <w:t xml:space="preserve"> Further, it has been also documented</w:t>
      </w:r>
      <w:r w:rsidR="00487E6D" w:rsidRPr="006D6937">
        <w:t xml:space="preserve"> that women exposed to intimate partner violence were less likely to use contraception, but the evidence that violence consistently constrains contraceptive use is inconclusive (Forrest et al., 2017). These mixed </w:t>
      </w:r>
      <w:r w:rsidR="00487E6D" w:rsidRPr="006D6937">
        <w:lastRenderedPageBreak/>
        <w:t xml:space="preserve">findings underscore a general uncertainty in the literature regarding the relationship between IPV and contraception use (Tsai, 2016). </w:t>
      </w:r>
    </w:p>
    <w:p w14:paraId="76512A85" w14:textId="77777777" w:rsidR="00487E6D" w:rsidRDefault="00487E6D" w:rsidP="00487E6D">
      <w:pPr>
        <w:spacing w:line="480" w:lineRule="auto"/>
        <w:jc w:val="both"/>
      </w:pPr>
    </w:p>
    <w:p w14:paraId="7E4D10E9" w14:textId="77777777" w:rsidR="00487E6D" w:rsidRDefault="00487E6D" w:rsidP="00487E6D">
      <w:pPr>
        <w:spacing w:line="480" w:lineRule="auto"/>
        <w:jc w:val="both"/>
      </w:pPr>
    </w:p>
    <w:p w14:paraId="1480EC97" w14:textId="77777777" w:rsidR="00487E6D" w:rsidRDefault="00487E6D" w:rsidP="00487E6D">
      <w:pPr>
        <w:spacing w:line="480" w:lineRule="auto"/>
        <w:jc w:val="both"/>
      </w:pPr>
    </w:p>
    <w:p w14:paraId="10A2E124" w14:textId="77777777" w:rsidR="00487E6D" w:rsidRDefault="00487E6D" w:rsidP="00487E6D">
      <w:pPr>
        <w:spacing w:line="480" w:lineRule="auto"/>
        <w:jc w:val="both"/>
      </w:pPr>
    </w:p>
    <w:p w14:paraId="500DB134" w14:textId="77777777" w:rsidR="00487E6D" w:rsidRDefault="00487E6D" w:rsidP="00487E6D">
      <w:pPr>
        <w:spacing w:line="480" w:lineRule="auto"/>
        <w:jc w:val="both"/>
      </w:pPr>
    </w:p>
    <w:p w14:paraId="52D98E62" w14:textId="77777777" w:rsidR="00DB2347" w:rsidRPr="006D6937" w:rsidRDefault="00DB2347" w:rsidP="00DB2347">
      <w:pPr>
        <w:spacing w:line="480" w:lineRule="auto"/>
        <w:jc w:val="both"/>
      </w:pPr>
    </w:p>
    <w:p w14:paraId="5342A05D" w14:textId="0BB170E4" w:rsidR="00DB2347" w:rsidRDefault="00DB2347" w:rsidP="00DB2347">
      <w:pPr>
        <w:autoSpaceDE w:val="0"/>
        <w:autoSpaceDN w:val="0"/>
        <w:adjustRightInd w:val="0"/>
        <w:spacing w:line="480" w:lineRule="auto"/>
        <w:jc w:val="both"/>
      </w:pPr>
      <w:r w:rsidRPr="006D6937">
        <w:t xml:space="preserve">Though IPV is a global epidemic, its prevalence varies in different areas of the world and ranges from 15% to 71% globally (Chalachala et al., 2016; Gilles, 2015). The highest rates of IPV are found in Africa, the Eastern Mediterranean, and Southeast Asia (Chalachala et al., 2016; Gilles, 2015). In Central Africa, 66% of ever-partnered women report experiencing violence at the hands of their partner (Chalachala et al., 2016) and a recent national study in India, revealed 35% of women reported reporting such violence (Reed et al., 2016). </w:t>
      </w:r>
      <w:r w:rsidR="003D2D10">
        <w:t xml:space="preserve">Links have been made between structural factors and intimate partner violence. Structural factors pertain to the socio-economic, policy, political and organisational environments which provide the structure of the context in which intimate partner violence can occur. </w:t>
      </w:r>
      <w:r w:rsidRPr="006D6937">
        <w:t xml:space="preserve">Women in the developing nations are particularly vulnerable to violence because of </w:t>
      </w:r>
      <w:r w:rsidR="003D2D10">
        <w:t xml:space="preserve">unfavourable </w:t>
      </w:r>
      <w:r w:rsidRPr="006D6937">
        <w:t xml:space="preserve">structural factors such as poverty, political instability, weak institutions which contribute to gender inequality, and patriarchal norms which maintain violence against women in all spheres. including in the home (Murshid, 2017).  Other factors which increase a woman’s risk of IPV include early marriage, partner’s alcohol abuse, witnessing domestic violence as a child (Gilles, 2015), unplanned </w:t>
      </w:r>
      <w:r w:rsidRPr="006D6937">
        <w:rPr>
          <w:sz w:val="22"/>
          <w:szCs w:val="22"/>
        </w:rPr>
        <w:t>pregnancy</w:t>
      </w:r>
      <w:r w:rsidRPr="006D6937">
        <w:t xml:space="preserve"> (Cripe at al., 2008)</w:t>
      </w:r>
      <w:r w:rsidRPr="006D6937">
        <w:rPr>
          <w:szCs w:val="16"/>
        </w:rPr>
        <w:t xml:space="preserve"> </w:t>
      </w:r>
      <w:r w:rsidRPr="006D6937">
        <w:rPr>
          <w:sz w:val="22"/>
          <w:szCs w:val="22"/>
        </w:rPr>
        <w:t xml:space="preserve">and a male partners' control </w:t>
      </w:r>
      <w:r w:rsidRPr="006D6937">
        <w:t>over</w:t>
      </w:r>
      <w:r w:rsidRPr="006D6937">
        <w:rPr>
          <w:sz w:val="22"/>
          <w:szCs w:val="22"/>
        </w:rPr>
        <w:t xml:space="preserve"> their reproductive choices</w:t>
      </w:r>
      <w:r w:rsidRPr="006D6937">
        <w:t xml:space="preserve"> (Stephenson et al., 2008). </w:t>
      </w:r>
    </w:p>
    <w:p w14:paraId="0A1F4592" w14:textId="5090CCAC" w:rsidR="00487E6D" w:rsidRDefault="00487E6D" w:rsidP="00DB2347">
      <w:pPr>
        <w:autoSpaceDE w:val="0"/>
        <w:autoSpaceDN w:val="0"/>
        <w:adjustRightInd w:val="0"/>
        <w:spacing w:line="480" w:lineRule="auto"/>
        <w:jc w:val="both"/>
      </w:pPr>
    </w:p>
    <w:p w14:paraId="5E08B893" w14:textId="76FB1714" w:rsidR="00487E6D" w:rsidRDefault="00487E6D" w:rsidP="00DB2347">
      <w:pPr>
        <w:autoSpaceDE w:val="0"/>
        <w:autoSpaceDN w:val="0"/>
        <w:adjustRightInd w:val="0"/>
        <w:spacing w:line="480" w:lineRule="auto"/>
        <w:jc w:val="both"/>
      </w:pPr>
    </w:p>
    <w:p w14:paraId="25AA0461" w14:textId="396DF6CB" w:rsidR="00487E6D" w:rsidRDefault="00487E6D" w:rsidP="00CC2174">
      <w:pPr>
        <w:autoSpaceDE w:val="0"/>
        <w:autoSpaceDN w:val="0"/>
        <w:adjustRightInd w:val="0"/>
        <w:spacing w:line="480" w:lineRule="auto"/>
        <w:jc w:val="both"/>
      </w:pPr>
      <w:r>
        <w:t>Due to the</w:t>
      </w:r>
      <w:r w:rsidR="003D2D10">
        <w:t xml:space="preserve"> afor</w:t>
      </w:r>
      <w:r w:rsidR="000E606E">
        <w:t>e</w:t>
      </w:r>
      <w:r w:rsidR="003D2D10">
        <w:t>mentioned</w:t>
      </w:r>
      <w:r>
        <w:t xml:space="preserve"> structural factors in developing African countries </w:t>
      </w:r>
      <w:r w:rsidR="000E606E">
        <w:t xml:space="preserve">potentially </w:t>
      </w:r>
      <w:r>
        <w:t xml:space="preserve">contributing to the </w:t>
      </w:r>
      <w:r w:rsidR="000E606E">
        <w:t xml:space="preserve">contextual </w:t>
      </w:r>
      <w:r>
        <w:t>maintenance of violence towards women, and the link of this with women’s contraceptive behaviour highlighted in this paper, this work is of interest to a global multidisciplinary audience, including healthcare professionals, social scientists, international development experts and policy-makers. We used the case of Tanzania in our study to explore the relationship between IPV and contraception use</w:t>
      </w:r>
      <w:r w:rsidR="000E606E">
        <w:t xml:space="preserve"> and to shed light on how a range of socio-economic and demographic factors may play a role in this relationship</w:t>
      </w:r>
      <w:r>
        <w:t>.</w:t>
      </w:r>
      <w:r w:rsidRPr="00487E6D">
        <w:t xml:space="preserve"> </w:t>
      </w:r>
      <w:r>
        <w:t>There is a clear rationale for exploring the Tanzania case as it was revealed in a recent report</w:t>
      </w:r>
      <w:r w:rsidRPr="006D6937">
        <w:t xml:space="preserve"> that half of women who were or had been in relationships in Tanzania, had experienced some form physical, sexual or emotional violence perpetrated by their </w:t>
      </w:r>
      <w:r>
        <w:t>spouse</w:t>
      </w:r>
      <w:r w:rsidRPr="006D6937">
        <w:t xml:space="preserve"> or partner (NBS, 2010). Furthermore, </w:t>
      </w:r>
      <w:r>
        <w:t>it was identified in the report</w:t>
      </w:r>
      <w:r w:rsidRPr="006D6937">
        <w:t xml:space="preserve"> that Tanzania has a high unmet need for contraceptives 25% and a high total fertility (5.4%) and maternal mortality (446 per 100,000) rates (Kidayi et al., 2015). Rural communities in Tanzania have poor knowledge of IPV and there is an attitude towards accepting sexual violence (Abeid et al., 2015). A lifetime prevalence for IPV in Tanzania is as follows: 17.2% of the population experience sexual violence, 39.2% physical violence and 43.6% experience sexual and physical violence combined (UN Women, 2013). Though Tanzanian women make good use of informal social support networks for maternal and childcare but it is still unclear whether such networks act to reduce the risk of exposure to intimate partner violence (Sigalla et al., 2017; Mbekenga et al., 2011).</w:t>
      </w:r>
      <w:r>
        <w:t xml:space="preserve">Through analysing the publicly available </w:t>
      </w:r>
      <w:r w:rsidRPr="006D6937">
        <w:t>Tanzania Demographic and Health Survey Data 2015-16</w:t>
      </w:r>
      <w:r>
        <w:t>, the relationship between intimate partner violence and contraceptive use in Tanzanian women is explored, generating broader learning around the need for tailored socio-economic interventions for women’s contraceptive uptake</w:t>
      </w:r>
      <w:r w:rsidR="000E606E">
        <w:t xml:space="preserve"> in order to help overcome the structural barriers that they may face</w:t>
      </w:r>
      <w:r>
        <w:t xml:space="preserve">. </w:t>
      </w:r>
    </w:p>
    <w:p w14:paraId="19B16303" w14:textId="0A051D85" w:rsidR="00487E6D" w:rsidRPr="006D6937" w:rsidRDefault="00487E6D" w:rsidP="00DB2347">
      <w:pPr>
        <w:autoSpaceDE w:val="0"/>
        <w:autoSpaceDN w:val="0"/>
        <w:adjustRightInd w:val="0"/>
        <w:spacing w:line="480" w:lineRule="auto"/>
        <w:jc w:val="both"/>
      </w:pPr>
    </w:p>
    <w:p w14:paraId="71FFEA6D" w14:textId="77777777" w:rsidR="00336C5C" w:rsidRPr="006D6937" w:rsidRDefault="00336C5C" w:rsidP="00B83EC3">
      <w:pPr>
        <w:autoSpaceDE w:val="0"/>
        <w:autoSpaceDN w:val="0"/>
        <w:adjustRightInd w:val="0"/>
        <w:spacing w:line="480" w:lineRule="auto"/>
        <w:jc w:val="both"/>
      </w:pPr>
    </w:p>
    <w:p w14:paraId="1B326009" w14:textId="77777777" w:rsidR="0048265D" w:rsidRPr="006D6937" w:rsidRDefault="0048265D" w:rsidP="00B83EC3">
      <w:pPr>
        <w:spacing w:line="480" w:lineRule="auto"/>
        <w:jc w:val="both"/>
      </w:pPr>
    </w:p>
    <w:p w14:paraId="2992B404" w14:textId="07EE1A7E" w:rsidR="0083230E" w:rsidRPr="006D6937" w:rsidRDefault="002C2E02" w:rsidP="00B83EC3">
      <w:pPr>
        <w:spacing w:line="480" w:lineRule="auto"/>
        <w:jc w:val="both"/>
        <w:rPr>
          <w:iCs/>
        </w:rPr>
      </w:pPr>
      <w:r w:rsidRPr="006D6937">
        <w:t>Thus, t</w:t>
      </w:r>
      <w:r w:rsidR="00521E3A" w:rsidRPr="006D6937">
        <w:rPr>
          <w:iCs/>
        </w:rPr>
        <w:t xml:space="preserve">he aim of this research is to explore the </w:t>
      </w:r>
      <w:r w:rsidR="00540AC5" w:rsidRPr="006D6937">
        <w:rPr>
          <w:iCs/>
        </w:rPr>
        <w:t>relationship between</w:t>
      </w:r>
      <w:r w:rsidR="00521E3A" w:rsidRPr="006D6937">
        <w:rPr>
          <w:iCs/>
        </w:rPr>
        <w:t xml:space="preserve"> intimate partner violence </w:t>
      </w:r>
      <w:r w:rsidR="00540AC5" w:rsidRPr="006D6937">
        <w:rPr>
          <w:iCs/>
        </w:rPr>
        <w:t>and</w:t>
      </w:r>
      <w:r w:rsidR="00521E3A" w:rsidRPr="006D6937">
        <w:rPr>
          <w:iCs/>
        </w:rPr>
        <w:t xml:space="preserve"> contraception use by Tanzanian women</w:t>
      </w:r>
      <w:r w:rsidR="00601244" w:rsidRPr="006D6937">
        <w:rPr>
          <w:iCs/>
        </w:rPr>
        <w:t xml:space="preserve"> of child-bearing age</w:t>
      </w:r>
      <w:r w:rsidR="00632D11">
        <w:rPr>
          <w:iCs/>
        </w:rPr>
        <w:t xml:space="preserve"> along with its interplay with demographic factors</w:t>
      </w:r>
      <w:r w:rsidR="00632D11" w:rsidRPr="006D6937">
        <w:rPr>
          <w:iCs/>
        </w:rPr>
        <w:t>.</w:t>
      </w:r>
    </w:p>
    <w:p w14:paraId="2497685D" w14:textId="77777777" w:rsidR="00CB3C25" w:rsidRPr="006D6937" w:rsidRDefault="00CB3C25" w:rsidP="00B83EC3">
      <w:pPr>
        <w:spacing w:line="480" w:lineRule="auto"/>
        <w:rPr>
          <w:b/>
          <w:bCs/>
        </w:rPr>
      </w:pPr>
    </w:p>
    <w:p w14:paraId="7B014032" w14:textId="0B039C7F" w:rsidR="004A07D1" w:rsidRPr="006D6937" w:rsidRDefault="0E14A658" w:rsidP="00CC2174">
      <w:pPr>
        <w:pStyle w:val="Heading1"/>
      </w:pPr>
      <w:r w:rsidRPr="006D6937">
        <w:t>Methods</w:t>
      </w:r>
    </w:p>
    <w:p w14:paraId="324DB7FB" w14:textId="77777777" w:rsidR="0048265D" w:rsidRPr="006D6937" w:rsidRDefault="0048265D" w:rsidP="00B83EC3">
      <w:pPr>
        <w:spacing w:line="480" w:lineRule="auto"/>
        <w:jc w:val="both"/>
        <w:rPr>
          <w:b/>
          <w:bCs/>
        </w:rPr>
      </w:pPr>
    </w:p>
    <w:p w14:paraId="7A08A9FC" w14:textId="340A287E" w:rsidR="00B96678" w:rsidRPr="002F5FB9" w:rsidRDefault="0E14A658" w:rsidP="00CC2174">
      <w:pPr>
        <w:pStyle w:val="Heading2"/>
        <w:rPr>
          <w:b w:val="0"/>
          <w:i w:val="0"/>
        </w:rPr>
      </w:pPr>
      <w:r w:rsidRPr="002F5FB9">
        <w:t xml:space="preserve">Study </w:t>
      </w:r>
      <w:r w:rsidR="007620D1" w:rsidRPr="002F5FB9">
        <w:t>Measures</w:t>
      </w:r>
      <w:r w:rsidR="002E054A" w:rsidRPr="002F5FB9">
        <w:t xml:space="preserve"> </w:t>
      </w:r>
      <w:r w:rsidRPr="002F5FB9">
        <w:t xml:space="preserve">and </w:t>
      </w:r>
      <w:r w:rsidR="002E054A" w:rsidRPr="002F5FB9">
        <w:t>Participant Sampling</w:t>
      </w:r>
    </w:p>
    <w:p w14:paraId="738ECC65" w14:textId="0D0328BF" w:rsidR="007620D1" w:rsidRPr="006D6937" w:rsidRDefault="0E14A658" w:rsidP="00B83EC3">
      <w:pPr>
        <w:spacing w:line="480" w:lineRule="auto"/>
        <w:jc w:val="both"/>
      </w:pPr>
      <w:r w:rsidRPr="006D6937">
        <w:t xml:space="preserve">The </w:t>
      </w:r>
      <w:r w:rsidR="00601244" w:rsidRPr="006D6937">
        <w:t xml:space="preserve">research </w:t>
      </w:r>
      <w:r w:rsidR="00BD6669" w:rsidRPr="006D6937">
        <w:t xml:space="preserve">design </w:t>
      </w:r>
      <w:r w:rsidR="00601244" w:rsidRPr="006D6937">
        <w:t>was a</w:t>
      </w:r>
      <w:r w:rsidRPr="006D6937">
        <w:t xml:space="preserve"> descriptive cross-sectional</w:t>
      </w:r>
      <w:r w:rsidR="00601244" w:rsidRPr="006D6937">
        <w:t xml:space="preserve"> design</w:t>
      </w:r>
      <w:r w:rsidR="00404B37">
        <w:t xml:space="preserve"> in order to</w:t>
      </w:r>
      <w:r w:rsidR="00A6757E">
        <w:t xml:space="preserve"> quantify a connection of two or more variables at a point in time. Epistemologically, </w:t>
      </w:r>
      <w:r w:rsidR="00404B37">
        <w:t xml:space="preserve">the use of </w:t>
      </w:r>
      <w:r w:rsidR="00A6757E">
        <w:t>cross-sectional designs assume</w:t>
      </w:r>
      <w:r w:rsidR="00404B37">
        <w:t>s</w:t>
      </w:r>
      <w:r w:rsidR="00A6757E">
        <w:t xml:space="preserve"> that social reality is observable and quantifiable and therefore sit</w:t>
      </w:r>
      <w:r w:rsidR="00404B37">
        <w:t>s</w:t>
      </w:r>
      <w:r w:rsidR="00A6757E">
        <w:t xml:space="preserve"> within the realm of positivist approaches. </w:t>
      </w:r>
      <w:r w:rsidRPr="006D6937">
        <w:t xml:space="preserve">The data used in this research </w:t>
      </w:r>
      <w:r w:rsidR="00601244" w:rsidRPr="006D6937">
        <w:t xml:space="preserve">were </w:t>
      </w:r>
      <w:r w:rsidRPr="006D6937">
        <w:t xml:space="preserve">extracted from the </w:t>
      </w:r>
      <w:r w:rsidR="00DC12B3" w:rsidRPr="006D6937">
        <w:t>publicly available dataset</w:t>
      </w:r>
      <w:r w:rsidR="00763A20" w:rsidRPr="006D6937">
        <w:t xml:space="preserve"> of the</w:t>
      </w:r>
      <w:r w:rsidR="00DC12B3" w:rsidRPr="006D6937">
        <w:t xml:space="preserve"> </w:t>
      </w:r>
      <w:r w:rsidRPr="006D6937">
        <w:t xml:space="preserve">Tanzania Demographic </w:t>
      </w:r>
      <w:r w:rsidR="00F40F9B" w:rsidRPr="006D6937">
        <w:t xml:space="preserve">and </w:t>
      </w:r>
      <w:r w:rsidRPr="006D6937">
        <w:t>Health Survey 2015-16</w:t>
      </w:r>
      <w:r w:rsidR="005B5E62" w:rsidRPr="006D6937">
        <w:t xml:space="preserve"> </w:t>
      </w:r>
      <w:r w:rsidR="00324309" w:rsidRPr="006D6937">
        <w:t>(MoHCDGEC, 2016)</w:t>
      </w:r>
      <w:r w:rsidR="00F40F9B" w:rsidRPr="006D6937">
        <w:t>, carried out in urban and rural areas of mainland Tanzania and Zanzibar</w:t>
      </w:r>
      <w:r w:rsidR="007620D1" w:rsidRPr="006D6937">
        <w:t xml:space="preserve"> (25 regions of Tanzania Mainland and 5 regions from Zanzibar).</w:t>
      </w:r>
      <w:r w:rsidRPr="006D6937">
        <w:t xml:space="preserve"> </w:t>
      </w:r>
      <w:r w:rsidR="002C2E02" w:rsidRPr="006D6937">
        <w:t xml:space="preserve">The </w:t>
      </w:r>
      <w:r w:rsidR="007620D1" w:rsidRPr="006D6937">
        <w:t>Tanzania Demographic and Health Survey is administered approximately every five years by the Tanzania National Bureau of Stati</w:t>
      </w:r>
      <w:r w:rsidR="005B5E62" w:rsidRPr="006D6937">
        <w:t>stic</w:t>
      </w:r>
      <w:r w:rsidR="00BD6669" w:rsidRPr="006D6937">
        <w:t>s and</w:t>
      </w:r>
      <w:r w:rsidR="005B5E62" w:rsidRPr="006D6937">
        <w:t xml:space="preserve"> </w:t>
      </w:r>
      <w:r w:rsidR="007620D1" w:rsidRPr="006D6937">
        <w:t>is part of a global effort aimed at assessing the interaction of demographics with health. The most recent 2015-16 survey comprises four questionnaires the household questionnaire,</w:t>
      </w:r>
      <w:r w:rsidR="00763A20" w:rsidRPr="006D6937">
        <w:t xml:space="preserve"> the</w:t>
      </w:r>
      <w:r w:rsidR="007620D1" w:rsidRPr="006D6937">
        <w:t xml:space="preserve"> women’s questionnaire,</w:t>
      </w:r>
      <w:r w:rsidR="00763A20" w:rsidRPr="006D6937">
        <w:t xml:space="preserve"> the</w:t>
      </w:r>
      <w:r w:rsidR="007620D1" w:rsidRPr="006D6937">
        <w:t xml:space="preserve"> men’s questionnaire and the biomarker </w:t>
      </w:r>
      <w:r w:rsidR="005B5E62" w:rsidRPr="006D6937">
        <w:t xml:space="preserve">questionnaire </w:t>
      </w:r>
      <w:r w:rsidR="00324309" w:rsidRPr="006D6937">
        <w:t>(MoHCDGEC, 2016)</w:t>
      </w:r>
      <w:r w:rsidR="007620D1" w:rsidRPr="006D6937">
        <w:t xml:space="preserve">. </w:t>
      </w:r>
      <w:r w:rsidR="00404B37">
        <w:t>We</w:t>
      </w:r>
      <w:r w:rsidR="007620D1" w:rsidRPr="006D6937">
        <w:t xml:space="preserve"> analysed responses from the women’s questionnaire segment of the 2015-2016</w:t>
      </w:r>
      <w:r w:rsidR="00404B37">
        <w:t xml:space="preserve"> survey</w:t>
      </w:r>
      <w:r w:rsidR="007620D1" w:rsidRPr="006D6937">
        <w:t xml:space="preserve"> pertaining to the items outlined below. </w:t>
      </w:r>
    </w:p>
    <w:p w14:paraId="6A97DE17" w14:textId="77777777" w:rsidR="0048265D" w:rsidRPr="006D6937" w:rsidRDefault="0048265D" w:rsidP="00B83EC3">
      <w:pPr>
        <w:spacing w:line="480" w:lineRule="auto"/>
        <w:jc w:val="both"/>
      </w:pPr>
    </w:p>
    <w:p w14:paraId="396E1113" w14:textId="00FFEF35" w:rsidR="00B96678" w:rsidRPr="006D6937" w:rsidRDefault="0E14A658" w:rsidP="00B83EC3">
      <w:pPr>
        <w:spacing w:line="480" w:lineRule="auto"/>
        <w:jc w:val="both"/>
      </w:pPr>
      <w:r w:rsidRPr="006D6937">
        <w:t>The study population for this research was women age</w:t>
      </w:r>
      <w:r w:rsidR="00601244" w:rsidRPr="006D6937">
        <w:t>d</w:t>
      </w:r>
      <w:r w:rsidRPr="006D6937">
        <w:t xml:space="preserve"> between 15 to 49</w:t>
      </w:r>
      <w:r w:rsidR="006E23D1" w:rsidRPr="006D6937">
        <w:t xml:space="preserve"> years</w:t>
      </w:r>
      <w:r w:rsidRPr="006D6937">
        <w:t xml:space="preserve">. </w:t>
      </w:r>
      <w:r w:rsidR="00404B37">
        <w:t>We used m</w:t>
      </w:r>
      <w:r w:rsidR="00404B37" w:rsidRPr="006D6937">
        <w:t xml:space="preserve">ultistage </w:t>
      </w:r>
      <w:r w:rsidRPr="006D6937">
        <w:t xml:space="preserve">cluster sampling to select the sample for this survey. The urban and rural areas of </w:t>
      </w:r>
      <w:r w:rsidRPr="006D6937">
        <w:lastRenderedPageBreak/>
        <w:t xml:space="preserve">each region form a sampling stratum. Samples were selected independently from each sampling stratum using two stage selections. In the first </w:t>
      </w:r>
      <w:r w:rsidR="00B52246" w:rsidRPr="006D6937">
        <w:t>stage,</w:t>
      </w:r>
      <w:r w:rsidRPr="006D6937">
        <w:t xml:space="preserve"> a total of 59 </w:t>
      </w:r>
      <w:r w:rsidR="00E8633F" w:rsidRPr="006D6937">
        <w:t xml:space="preserve">strata </w:t>
      </w:r>
      <w:r w:rsidRPr="006D6937">
        <w:t xml:space="preserve">were </w:t>
      </w:r>
      <w:r w:rsidR="002C2E02" w:rsidRPr="006D6937">
        <w:t>chosen</w:t>
      </w:r>
      <w:r w:rsidRPr="006D6937">
        <w:t xml:space="preserve"> and samples were selected independently from each sampling stratum. The survey selected 608 clusters (180 EAs from urban areas and 428 from rural areas) standard enumeration areas from the strata. In the second stage, a fixed number of 22 households were selected per cluster and a total </w:t>
      </w:r>
      <w:r w:rsidR="002E054A" w:rsidRPr="006D6937">
        <w:t>of 13376</w:t>
      </w:r>
      <w:r w:rsidRPr="006D6937">
        <w:t xml:space="preserve"> households were </w:t>
      </w:r>
      <w:r w:rsidR="00B52246" w:rsidRPr="006D6937">
        <w:t>selected.</w:t>
      </w:r>
      <w:r w:rsidR="002E054A" w:rsidRPr="006D6937">
        <w:t xml:space="preserve"> A</w:t>
      </w:r>
      <w:r w:rsidRPr="006D6937">
        <w:t xml:space="preserve">mong </w:t>
      </w:r>
      <w:r w:rsidR="002E054A" w:rsidRPr="006D6937">
        <w:t xml:space="preserve">these, </w:t>
      </w:r>
      <w:r w:rsidRPr="006D6937">
        <w:t xml:space="preserve">3,960 households were from urban areas and 9416 households from rural areas. A total of 16, 780 respondents </w:t>
      </w:r>
      <w:r w:rsidR="002E054A" w:rsidRPr="006D6937">
        <w:t>took part in</w:t>
      </w:r>
      <w:r w:rsidRPr="006D6937">
        <w:t xml:space="preserve"> this survey</w:t>
      </w:r>
      <w:r w:rsidR="002E054A" w:rsidRPr="006D6937">
        <w:t xml:space="preserve"> overall,</w:t>
      </w:r>
      <w:r w:rsidRPr="006D6937">
        <w:t xml:space="preserve"> </w:t>
      </w:r>
      <w:r w:rsidR="002E054A" w:rsidRPr="006D6937">
        <w:t>with</w:t>
      </w:r>
      <w:r w:rsidRPr="006D6937">
        <w:t xml:space="preserve"> 13,266 </w:t>
      </w:r>
      <w:r w:rsidR="002E054A" w:rsidRPr="006D6937">
        <w:t>female respondents</w:t>
      </w:r>
      <w:r w:rsidRPr="006D6937">
        <w:t xml:space="preserve"> and 3,514 </w:t>
      </w:r>
      <w:r w:rsidR="00B52246" w:rsidRPr="006D6937">
        <w:t>males</w:t>
      </w:r>
      <w:r w:rsidRPr="006D6937">
        <w:t>.</w:t>
      </w:r>
      <w:r w:rsidR="008B0049" w:rsidRPr="006D6937">
        <w:t xml:space="preserve"> All women age</w:t>
      </w:r>
      <w:r w:rsidR="003C1595" w:rsidRPr="006D6937">
        <w:t>d</w:t>
      </w:r>
      <w:r w:rsidR="008B0049" w:rsidRPr="006D6937">
        <w:t xml:space="preserve"> between 15 to 49 years old who were either usual residents or visitors </w:t>
      </w:r>
      <w:r w:rsidR="001220C2" w:rsidRPr="006D6937">
        <w:t xml:space="preserve">in the household on the night before the survey were included. </w:t>
      </w:r>
      <w:r w:rsidRPr="006D6937">
        <w:t xml:space="preserve"> </w:t>
      </w:r>
      <w:r w:rsidR="002E054A" w:rsidRPr="006D6937">
        <w:t>For the purpose of this study,</w:t>
      </w:r>
      <w:r w:rsidRPr="006D6937">
        <w:t xml:space="preserve"> 13,266 women participants age between 15-49 years were </w:t>
      </w:r>
      <w:r w:rsidR="00C36C78" w:rsidRPr="006D6937">
        <w:t>included.</w:t>
      </w:r>
      <w:r w:rsidRPr="006D6937">
        <w:t xml:space="preserve">  </w:t>
      </w:r>
      <w:r w:rsidR="001220C2" w:rsidRPr="006D6937">
        <w:t>The detailed survey design, data collection and management have been explained elsewhere (MoHCDGEC, 2016).</w:t>
      </w:r>
    </w:p>
    <w:p w14:paraId="132CCD63" w14:textId="022C3820" w:rsidR="00CB3810" w:rsidRPr="006D6937" w:rsidRDefault="00CB3810" w:rsidP="00B83EC3">
      <w:pPr>
        <w:spacing w:line="480" w:lineRule="auto"/>
        <w:jc w:val="both"/>
        <w:rPr>
          <w:b/>
        </w:rPr>
      </w:pPr>
    </w:p>
    <w:p w14:paraId="73F81D19" w14:textId="13486AD5" w:rsidR="00597537" w:rsidRPr="006D6937" w:rsidRDefault="00074D48" w:rsidP="00B83EC3">
      <w:pPr>
        <w:spacing w:line="480" w:lineRule="auto"/>
        <w:jc w:val="both"/>
      </w:pPr>
      <w:r w:rsidRPr="006D6937">
        <w:t xml:space="preserve">Data from the Tanzania Demographic and Health Survey </w:t>
      </w:r>
      <w:r w:rsidR="00792C8D" w:rsidRPr="006D6937">
        <w:t xml:space="preserve">are </w:t>
      </w:r>
      <w:r w:rsidRPr="006D6937">
        <w:t>publicly available</w:t>
      </w:r>
      <w:r w:rsidR="00F40F9B" w:rsidRPr="006D6937">
        <w:t xml:space="preserve"> and </w:t>
      </w:r>
      <w:r w:rsidR="00CF3AD7" w:rsidRPr="006D6937">
        <w:t xml:space="preserve">fully anonymised in </w:t>
      </w:r>
      <w:r w:rsidR="00BC55C0" w:rsidRPr="006D6937">
        <w:t xml:space="preserve">advance. </w:t>
      </w:r>
      <w:r w:rsidR="00763A20" w:rsidRPr="006D6937">
        <w:t xml:space="preserve">As </w:t>
      </w:r>
      <w:r w:rsidR="00CF3AD7" w:rsidRPr="006D6937">
        <w:t>publicly available dat</w:t>
      </w:r>
      <w:r w:rsidR="00792C8D" w:rsidRPr="006D6937">
        <w:t>a without identity information</w:t>
      </w:r>
      <w:r w:rsidR="00414B50">
        <w:t xml:space="preserve"> have been used in this study,</w:t>
      </w:r>
      <w:r w:rsidR="00F40F9B" w:rsidRPr="006D6937">
        <w:t xml:space="preserve"> no additional ethical committee approval was sought</w:t>
      </w:r>
      <w:r w:rsidR="00CF3AD7" w:rsidRPr="006D6937">
        <w:t>.</w:t>
      </w:r>
    </w:p>
    <w:p w14:paraId="56A5359F" w14:textId="77777777" w:rsidR="002F5FB9" w:rsidRPr="006D6937" w:rsidRDefault="002F5FB9" w:rsidP="00B83EC3">
      <w:pPr>
        <w:spacing w:line="480" w:lineRule="auto"/>
        <w:jc w:val="both"/>
      </w:pPr>
    </w:p>
    <w:p w14:paraId="226B4B0D" w14:textId="0FF98F38" w:rsidR="00B96678" w:rsidRPr="002F5FB9" w:rsidRDefault="0E14A658" w:rsidP="00CC2174">
      <w:pPr>
        <w:pStyle w:val="Heading2"/>
      </w:pPr>
      <w:r w:rsidRPr="002F5FB9">
        <w:t>Data Analysis</w:t>
      </w:r>
    </w:p>
    <w:p w14:paraId="1D186CA7" w14:textId="77777777" w:rsidR="002F5FB9" w:rsidRDefault="002F5FB9" w:rsidP="00B83EC3">
      <w:pPr>
        <w:spacing w:line="480" w:lineRule="auto"/>
        <w:jc w:val="both"/>
      </w:pPr>
    </w:p>
    <w:p w14:paraId="4F3A1518" w14:textId="510DE509" w:rsidR="004D5A63" w:rsidRDefault="00C36C78" w:rsidP="00B83EC3">
      <w:pPr>
        <w:spacing w:line="480" w:lineRule="auto"/>
        <w:jc w:val="both"/>
      </w:pPr>
      <w:r w:rsidRPr="006D6937">
        <w:t>Data were analys</w:t>
      </w:r>
      <w:r w:rsidR="4655E972" w:rsidRPr="006D6937">
        <w:t xml:space="preserve">ed using </w:t>
      </w:r>
      <w:r w:rsidR="00CB3810" w:rsidRPr="006D6937">
        <w:t>the s</w:t>
      </w:r>
      <w:r w:rsidR="4655E972" w:rsidRPr="006D6937">
        <w:t xml:space="preserve">tatistical </w:t>
      </w:r>
      <w:r w:rsidR="00CB3810" w:rsidRPr="006D6937">
        <w:t>s</w:t>
      </w:r>
      <w:r w:rsidR="4655E972" w:rsidRPr="006D6937">
        <w:t xml:space="preserve">oftware SPSS version 20.0. The probability of significance was set at 5% level of significance for all tests </w:t>
      </w:r>
      <w:r w:rsidR="00792C8D" w:rsidRPr="006D6937">
        <w:t>with a</w:t>
      </w:r>
      <w:r w:rsidR="4655E972" w:rsidRPr="006D6937">
        <w:t xml:space="preserve"> 95% confidence interval. Frequency distribution, Chi-Square and bivar</w:t>
      </w:r>
      <w:r w:rsidR="00792C8D" w:rsidRPr="006D6937">
        <w:t>iate logistic regression analyse</w:t>
      </w:r>
      <w:r w:rsidR="4655E972" w:rsidRPr="006D6937">
        <w:t xml:space="preserve">s </w:t>
      </w:r>
      <w:r w:rsidR="00CB3810" w:rsidRPr="006D6937">
        <w:t xml:space="preserve">were </w:t>
      </w:r>
      <w:r w:rsidR="4655E972" w:rsidRPr="006D6937">
        <w:t xml:space="preserve">carried out using odds ratio </w:t>
      </w:r>
      <w:r w:rsidR="00CB3810" w:rsidRPr="006D6937">
        <w:t xml:space="preserve">analysis </w:t>
      </w:r>
      <w:r w:rsidR="4655E972" w:rsidRPr="006D6937">
        <w:t>as both the dependent variables of this research are categorical. For data analysis purpose</w:t>
      </w:r>
      <w:r w:rsidR="00CB3810" w:rsidRPr="006D6937">
        <w:t>s</w:t>
      </w:r>
      <w:r w:rsidRPr="006D6937">
        <w:t>, two types of variables we</w:t>
      </w:r>
      <w:r w:rsidR="4655E972" w:rsidRPr="006D6937">
        <w:t xml:space="preserve">re </w:t>
      </w:r>
      <w:r w:rsidR="00900F4F" w:rsidRPr="006D6937">
        <w:t>included</w:t>
      </w:r>
      <w:r w:rsidR="00A6757E">
        <w:t>.</w:t>
      </w:r>
      <w:r w:rsidR="00792C8D" w:rsidRPr="006D6937">
        <w:t xml:space="preserve"> </w:t>
      </w:r>
    </w:p>
    <w:p w14:paraId="00CC73F2" w14:textId="77777777" w:rsidR="00A6757E" w:rsidRPr="006D6937" w:rsidRDefault="00A6757E" w:rsidP="00B83EC3">
      <w:pPr>
        <w:spacing w:line="480" w:lineRule="auto"/>
        <w:jc w:val="both"/>
      </w:pPr>
    </w:p>
    <w:p w14:paraId="0248119D" w14:textId="1DBD8504" w:rsidR="00B96678" w:rsidRPr="002F5FB9" w:rsidRDefault="00414392" w:rsidP="00CC2174">
      <w:pPr>
        <w:pStyle w:val="Heading3"/>
        <w:rPr>
          <w:i w:val="0"/>
        </w:rPr>
      </w:pPr>
      <w:r w:rsidRPr="002F5FB9">
        <w:lastRenderedPageBreak/>
        <w:t>Dependent</w:t>
      </w:r>
      <w:r w:rsidR="00AE7321" w:rsidRPr="002F5FB9">
        <w:t xml:space="preserve"> and Independent</w:t>
      </w:r>
      <w:r w:rsidRPr="002F5FB9">
        <w:t xml:space="preserve"> Variable</w:t>
      </w:r>
      <w:r w:rsidR="00AE7321" w:rsidRPr="002F5FB9">
        <w:t>s</w:t>
      </w:r>
    </w:p>
    <w:p w14:paraId="21D869FC" w14:textId="62FADF22" w:rsidR="004D5A63" w:rsidRPr="006D6937" w:rsidRDefault="00C36C78" w:rsidP="00B83EC3">
      <w:pPr>
        <w:spacing w:line="480" w:lineRule="auto"/>
        <w:jc w:val="both"/>
      </w:pPr>
      <w:r w:rsidRPr="006D6937">
        <w:t>Contraceptive use was the</w:t>
      </w:r>
      <w:r w:rsidR="00750794" w:rsidRPr="006D6937">
        <w:t xml:space="preserve"> dependent variable. Participants were asked if they currently use any contraceptive</w:t>
      </w:r>
      <w:r w:rsidRPr="006D6937">
        <w:t>s. A</w:t>
      </w:r>
      <w:r w:rsidR="00750794" w:rsidRPr="006D6937">
        <w:t xml:space="preserve"> “no”</w:t>
      </w:r>
      <w:r w:rsidR="004A327E" w:rsidRPr="006D6937">
        <w:t xml:space="preserve"> </w:t>
      </w:r>
      <w:r w:rsidR="00AE7321" w:rsidRPr="006D6937">
        <w:t>response was</w:t>
      </w:r>
      <w:r w:rsidR="00750794" w:rsidRPr="006D6937">
        <w:t xml:space="preserve"> coded</w:t>
      </w:r>
      <w:r w:rsidR="004A327E" w:rsidRPr="006D6937">
        <w:t xml:space="preserve"> as</w:t>
      </w:r>
      <w:r w:rsidR="00750794" w:rsidRPr="006D6937">
        <w:t xml:space="preserve"> 0 and </w:t>
      </w:r>
      <w:r w:rsidR="004A327E" w:rsidRPr="006D6937">
        <w:t>a</w:t>
      </w:r>
      <w:r w:rsidR="00750794" w:rsidRPr="006D6937">
        <w:t xml:space="preserve"> “yes” it was coded</w:t>
      </w:r>
      <w:r w:rsidR="004A327E" w:rsidRPr="006D6937">
        <w:t xml:space="preserve"> as</w:t>
      </w:r>
      <w:r w:rsidR="00750794" w:rsidRPr="006D6937">
        <w:t xml:space="preserve"> 1.</w:t>
      </w:r>
    </w:p>
    <w:p w14:paraId="1DD33B36" w14:textId="77777777" w:rsidR="004E6A6F" w:rsidRPr="006D6937" w:rsidRDefault="004E6A6F" w:rsidP="00B83EC3">
      <w:pPr>
        <w:spacing w:line="480" w:lineRule="auto"/>
        <w:jc w:val="both"/>
        <w:rPr>
          <w:b/>
          <w:bCs/>
        </w:rPr>
      </w:pPr>
    </w:p>
    <w:p w14:paraId="2DFA4720" w14:textId="11C49752" w:rsidR="00B96678" w:rsidRPr="006D6937" w:rsidRDefault="004D5A63" w:rsidP="00B83EC3">
      <w:pPr>
        <w:spacing w:line="480" w:lineRule="auto"/>
        <w:jc w:val="both"/>
      </w:pPr>
      <w:r w:rsidRPr="006D6937">
        <w:t>The firs</w:t>
      </w:r>
      <w:r w:rsidR="004A327E" w:rsidRPr="006D6937">
        <w:t xml:space="preserve">t set of independent variables </w:t>
      </w:r>
      <w:r w:rsidR="0067172A">
        <w:t>comprised</w:t>
      </w:r>
      <w:r w:rsidR="0067172A" w:rsidRPr="006D6937">
        <w:t xml:space="preserve"> </w:t>
      </w:r>
      <w:r w:rsidRPr="006D6937">
        <w:t>women’s</w:t>
      </w:r>
      <w:r w:rsidR="4655E972" w:rsidRPr="006D6937">
        <w:t xml:space="preserve"> characteristics </w:t>
      </w:r>
      <w:r w:rsidR="004A327E" w:rsidRPr="006D6937">
        <w:t>namely the</w:t>
      </w:r>
      <w:r w:rsidR="4655E972" w:rsidRPr="006D6937">
        <w:t xml:space="preserve"> age of the respondent, wealth index, place of residence, educational atta</w:t>
      </w:r>
      <w:r w:rsidR="004A327E" w:rsidRPr="006D6937">
        <w:t xml:space="preserve">inment, occupational status, </w:t>
      </w:r>
      <w:r w:rsidR="4655E972" w:rsidRPr="006D6937">
        <w:t xml:space="preserve">number of children </w:t>
      </w:r>
      <w:r w:rsidR="004A327E" w:rsidRPr="006D6937">
        <w:t>aged five and under and number of pregnancies.</w:t>
      </w:r>
      <w:r w:rsidR="00A84FB9" w:rsidRPr="006D6937">
        <w:t xml:space="preserve"> The</w:t>
      </w:r>
      <w:r w:rsidR="00AE7321" w:rsidRPr="006D6937">
        <w:t xml:space="preserve"> </w:t>
      </w:r>
      <w:r w:rsidR="00A84FB9" w:rsidRPr="006D6937">
        <w:t>w</w:t>
      </w:r>
      <w:r w:rsidR="00792C8D" w:rsidRPr="006D6937">
        <w:t>ealth index variable included</w:t>
      </w:r>
      <w:r w:rsidR="00A84FB9" w:rsidRPr="006D6937">
        <w:t xml:space="preserve"> the following</w:t>
      </w:r>
      <w:r w:rsidR="00AE7321" w:rsidRPr="006D6937">
        <w:t xml:space="preserve"> five categories - poorer, poorest, middle, richer and richest</w:t>
      </w:r>
      <w:r w:rsidR="00A84FB9" w:rsidRPr="006D6937">
        <w:t>. T</w:t>
      </w:r>
      <w:r w:rsidR="00AE7321" w:rsidRPr="006D6937">
        <w:t>he wealth index is calculated b</w:t>
      </w:r>
      <w:r w:rsidR="00A84FB9" w:rsidRPr="006D6937">
        <w:t>y</w:t>
      </w:r>
      <w:r w:rsidR="00792C8D" w:rsidRPr="006D6937">
        <w:t xml:space="preserve"> a</w:t>
      </w:r>
      <w:r w:rsidR="00A84FB9" w:rsidRPr="006D6937">
        <w:t xml:space="preserve"> household’s ownership of</w:t>
      </w:r>
      <w:r w:rsidR="00AE7321" w:rsidRPr="006D6937">
        <w:t xml:space="preserve"> selected assets such as televisions and bicycles, materials used for housing construction, and types of water access and sanitation facilities.</w:t>
      </w:r>
    </w:p>
    <w:p w14:paraId="23B8BDCD" w14:textId="77777777" w:rsidR="00792C8D" w:rsidRPr="006D6937" w:rsidRDefault="00792C8D" w:rsidP="00B83EC3">
      <w:pPr>
        <w:spacing w:line="480" w:lineRule="auto"/>
        <w:jc w:val="both"/>
        <w:rPr>
          <w:b/>
          <w:bCs/>
        </w:rPr>
      </w:pPr>
    </w:p>
    <w:p w14:paraId="75876825" w14:textId="685CF54E" w:rsidR="004D5A63" w:rsidRPr="006D6937" w:rsidRDefault="004D5A63" w:rsidP="00B83EC3">
      <w:pPr>
        <w:spacing w:line="480" w:lineRule="auto"/>
        <w:jc w:val="both"/>
      </w:pPr>
      <w:r w:rsidRPr="006D6937">
        <w:t xml:space="preserve">The other independent variable </w:t>
      </w:r>
      <w:r w:rsidR="004A327E" w:rsidRPr="006D6937">
        <w:t>was</w:t>
      </w:r>
      <w:r w:rsidRPr="006D6937">
        <w:t xml:space="preserve"> intimate Partne</w:t>
      </w:r>
      <w:r w:rsidR="004A327E" w:rsidRPr="006D6937">
        <w:t xml:space="preserve">r Violence (IPV) and this </w:t>
      </w:r>
      <w:r w:rsidRPr="006D6937">
        <w:t xml:space="preserve">was </w:t>
      </w:r>
      <w:r w:rsidR="007D35AD" w:rsidRPr="006D6937">
        <w:t>operationally defined as a</w:t>
      </w:r>
      <w:r w:rsidRPr="006D6937">
        <w:t xml:space="preserve"> combination of physical violence, sexual violence and emotional violence. Physical violence was determined by respondent </w:t>
      </w:r>
      <w:r w:rsidR="000E75A1" w:rsidRPr="006D6937">
        <w:t xml:space="preserve">having </w:t>
      </w:r>
      <w:r w:rsidRPr="006D6937">
        <w:t>answer</w:t>
      </w:r>
      <w:r w:rsidR="000E75A1" w:rsidRPr="006D6937">
        <w:t>ed</w:t>
      </w:r>
      <w:r w:rsidRPr="006D6937">
        <w:t xml:space="preserve"> “yes” to any of a string of questions about whether her spouse</w:t>
      </w:r>
      <w:r w:rsidR="00C227B3" w:rsidRPr="006D6937">
        <w:t>/partner</w:t>
      </w:r>
      <w:r w:rsidRPr="006D6937">
        <w:t xml:space="preserve"> ever did the following</w:t>
      </w:r>
      <w:r w:rsidR="006E23D1" w:rsidRPr="006D6937">
        <w:t>:</w:t>
      </w:r>
      <w:r w:rsidRPr="006D6937">
        <w:t xml:space="preserve"> (1) pushed, shook or threw something at her (2) slapped her (3) punched her (4) kicked or dragged her (5) strangled or burnt her (6) threatened or attacked her with a knife, gun or any other weapons. Sexual violence was determined by the respondent</w:t>
      </w:r>
      <w:r w:rsidR="000E75A1" w:rsidRPr="006D6937">
        <w:t xml:space="preserve"> having answered</w:t>
      </w:r>
      <w:r w:rsidRPr="006D6937">
        <w:t xml:space="preserve"> “yes” to any of the two following questions</w:t>
      </w:r>
      <w:r w:rsidR="006E23D1" w:rsidRPr="006D6937">
        <w:t>:</w:t>
      </w:r>
      <w:r w:rsidRPr="006D6937">
        <w:t xml:space="preserve"> (1) ever been physically forced into unwanted sex and (2) ever been forced into other unwanted sexual acts</w:t>
      </w:r>
      <w:r w:rsidR="00716287" w:rsidRPr="006D6937">
        <w:t xml:space="preserve"> by </w:t>
      </w:r>
      <w:r w:rsidR="00414B50">
        <w:t>their spouse</w:t>
      </w:r>
      <w:r w:rsidR="00716287" w:rsidRPr="006D6937">
        <w:t xml:space="preserve"> or partner</w:t>
      </w:r>
      <w:r w:rsidRPr="006D6937">
        <w:t>. Emotional violence was determined by respondent</w:t>
      </w:r>
      <w:r w:rsidR="000E75A1" w:rsidRPr="006D6937">
        <w:t xml:space="preserve"> having</w:t>
      </w:r>
      <w:r w:rsidRPr="006D6937">
        <w:t xml:space="preserve"> answe</w:t>
      </w:r>
      <w:r w:rsidR="000E75A1" w:rsidRPr="006D6937">
        <w:t xml:space="preserve">red </w:t>
      </w:r>
      <w:r w:rsidRPr="006D6937">
        <w:t>“yes” to</w:t>
      </w:r>
      <w:r w:rsidR="004A327E" w:rsidRPr="006D6937">
        <w:t xml:space="preserve"> whether they </w:t>
      </w:r>
      <w:r w:rsidR="007D35AD" w:rsidRPr="006D6937">
        <w:t>had ever</w:t>
      </w:r>
      <w:r w:rsidRPr="006D6937">
        <w:t xml:space="preserve"> experience</w:t>
      </w:r>
      <w:r w:rsidR="004A327E" w:rsidRPr="006D6937">
        <w:t>d</w:t>
      </w:r>
      <w:r w:rsidRPr="006D6937">
        <w:t xml:space="preserve"> emotional violence.</w:t>
      </w:r>
    </w:p>
    <w:p w14:paraId="3E121CE7" w14:textId="4E22D47B" w:rsidR="00BC55C0" w:rsidRPr="006D6937" w:rsidRDefault="00BC55C0" w:rsidP="00B83EC3">
      <w:pPr>
        <w:spacing w:line="480" w:lineRule="auto"/>
        <w:rPr>
          <w:b/>
          <w:bCs/>
        </w:rPr>
      </w:pPr>
    </w:p>
    <w:p w14:paraId="0674CB86" w14:textId="0750B3E5" w:rsidR="00B96678" w:rsidRPr="006D6937" w:rsidRDefault="1CD144C1" w:rsidP="00CC2174">
      <w:pPr>
        <w:pStyle w:val="Heading1"/>
      </w:pPr>
      <w:r w:rsidRPr="006D6937">
        <w:t>Results</w:t>
      </w:r>
    </w:p>
    <w:p w14:paraId="5BE3F667" w14:textId="77777777" w:rsidR="00617747" w:rsidRPr="006D6937" w:rsidRDefault="00617747" w:rsidP="00B83EC3">
      <w:pPr>
        <w:spacing w:line="480" w:lineRule="auto"/>
        <w:jc w:val="both"/>
      </w:pPr>
    </w:p>
    <w:p w14:paraId="3A2DA37D" w14:textId="65DAD058" w:rsidR="004E6A6F" w:rsidRPr="006D6937" w:rsidRDefault="004E6A6F" w:rsidP="00B83EC3">
      <w:pPr>
        <w:spacing w:line="480" w:lineRule="auto"/>
        <w:jc w:val="center"/>
        <w:rPr>
          <w:b/>
        </w:rPr>
      </w:pPr>
      <w:r w:rsidRPr="006D6937">
        <w:rPr>
          <w:b/>
        </w:rPr>
        <w:t>[Insert Table 1 here]</w:t>
      </w:r>
    </w:p>
    <w:p w14:paraId="03E5D0E6" w14:textId="77777777" w:rsidR="004E6A6F" w:rsidRPr="006D6937" w:rsidRDefault="004E6A6F" w:rsidP="00B83EC3">
      <w:pPr>
        <w:spacing w:line="480" w:lineRule="auto"/>
        <w:jc w:val="both"/>
      </w:pPr>
    </w:p>
    <w:p w14:paraId="228BBCE8" w14:textId="77777777" w:rsidR="004E6A6F" w:rsidRPr="006D6937" w:rsidRDefault="004E6A6F" w:rsidP="00B83EC3">
      <w:pPr>
        <w:spacing w:line="480" w:lineRule="auto"/>
        <w:jc w:val="both"/>
      </w:pPr>
    </w:p>
    <w:p w14:paraId="68B27D9A" w14:textId="3515502A" w:rsidR="00617747" w:rsidRPr="006D6937" w:rsidRDefault="0067172A" w:rsidP="00B83EC3">
      <w:pPr>
        <w:spacing w:line="480" w:lineRule="auto"/>
        <w:jc w:val="both"/>
      </w:pPr>
      <w:r>
        <w:t>The</w:t>
      </w:r>
      <w:r w:rsidR="0E14A658" w:rsidRPr="006D6937">
        <w:t xml:space="preserve"> socio-demographic characteristics </w:t>
      </w:r>
      <w:r w:rsidR="007620D1" w:rsidRPr="006D6937">
        <w:t xml:space="preserve">of the </w:t>
      </w:r>
      <w:r w:rsidR="00414B50">
        <w:t>women</w:t>
      </w:r>
      <w:r w:rsidR="007620D1" w:rsidRPr="006D6937">
        <w:t xml:space="preserve"> respondents included in the analysis</w:t>
      </w:r>
      <w:r>
        <w:t xml:space="preserve"> are presented in Table 1</w:t>
      </w:r>
      <w:r w:rsidR="0E14A658" w:rsidRPr="006D6937">
        <w:t>. The following characteristics were more prevalent among</w:t>
      </w:r>
      <w:r w:rsidR="007620D1" w:rsidRPr="006D6937">
        <w:t>st</w:t>
      </w:r>
      <w:r w:rsidR="0E14A658" w:rsidRPr="006D6937">
        <w:t xml:space="preserve"> </w:t>
      </w:r>
      <w:r w:rsidR="007620D1" w:rsidRPr="006D6937">
        <w:t>the sample</w:t>
      </w:r>
      <w:r w:rsidR="0E14A658" w:rsidRPr="006D6937">
        <w:t>: 15-24 age group (4</w:t>
      </w:r>
      <w:r w:rsidR="00D16B7B" w:rsidRPr="006D6937">
        <w:t>1</w:t>
      </w:r>
      <w:r w:rsidR="0E14A658" w:rsidRPr="006D6937">
        <w:t>.%), rural settlers (6</w:t>
      </w:r>
      <w:r w:rsidR="00D16B7B" w:rsidRPr="006D6937">
        <w:t>9</w:t>
      </w:r>
      <w:r w:rsidR="0E14A658" w:rsidRPr="006D6937">
        <w:t xml:space="preserve">%), primary education (57%), </w:t>
      </w:r>
      <w:r w:rsidR="008B436F" w:rsidRPr="006D6937">
        <w:t>no children (28</w:t>
      </w:r>
      <w:r w:rsidR="00BB2C38" w:rsidRPr="006D6937">
        <w:t>%), had</w:t>
      </w:r>
      <w:r w:rsidR="004A327E" w:rsidRPr="006D6937">
        <w:t xml:space="preserve"> one to two</w:t>
      </w:r>
      <w:r w:rsidR="0E14A658" w:rsidRPr="006D6937">
        <w:t xml:space="preserve"> children (59%)</w:t>
      </w:r>
      <w:r w:rsidR="008B436F" w:rsidRPr="006D6937">
        <w:t>, had three to five children (12%)</w:t>
      </w:r>
      <w:r w:rsidR="0E14A658" w:rsidRPr="006D6937">
        <w:t xml:space="preserve">. </w:t>
      </w:r>
      <w:r w:rsidR="00082F2E" w:rsidRPr="006D6937">
        <w:t xml:space="preserve"> Th</w:t>
      </w:r>
      <w:r w:rsidR="004A327E" w:rsidRPr="006D6937">
        <w:t>e mean age of the respondents was</w:t>
      </w:r>
      <w:r w:rsidR="00082F2E" w:rsidRPr="006D6937">
        <w:t xml:space="preserve"> 28.69 years</w:t>
      </w:r>
      <w:r w:rsidR="001328B4" w:rsidRPr="006D6937">
        <w:t xml:space="preserve"> and median age 27 years</w:t>
      </w:r>
      <w:r w:rsidR="00082F2E" w:rsidRPr="006D6937">
        <w:t xml:space="preserve">. Almost 71% of the respondents </w:t>
      </w:r>
      <w:r w:rsidR="007620D1" w:rsidRPr="006D6937">
        <w:t>were working at the time of completing the survey</w:t>
      </w:r>
      <w:r w:rsidR="00082F2E" w:rsidRPr="006D6937">
        <w:t xml:space="preserve">. </w:t>
      </w:r>
      <w:r w:rsidR="00D16B7B" w:rsidRPr="006D6937">
        <w:t>Twenty-five</w:t>
      </w:r>
      <w:r w:rsidR="00082F2E" w:rsidRPr="006D6937">
        <w:t xml:space="preserve"> respondents </w:t>
      </w:r>
      <w:r w:rsidR="00FC5B51" w:rsidRPr="006D6937">
        <w:t>were classified as ‘richest’ on the wealth index, with</w:t>
      </w:r>
      <w:r w:rsidR="00792C8D" w:rsidRPr="006D6937">
        <w:t xml:space="preserve"> </w:t>
      </w:r>
      <w:r w:rsidR="00FC5B51" w:rsidRPr="006D6937">
        <w:t>16</w:t>
      </w:r>
      <w:r w:rsidR="00082F2E" w:rsidRPr="006D6937">
        <w:t xml:space="preserve">% </w:t>
      </w:r>
      <w:r w:rsidR="00FC5B51" w:rsidRPr="006D6937">
        <w:t>classified as ‘poorest’</w:t>
      </w:r>
      <w:r w:rsidR="00082F2E" w:rsidRPr="006D6937">
        <w:t xml:space="preserve">. Almost 43% women had </w:t>
      </w:r>
      <w:r w:rsidR="004A327E" w:rsidRPr="006D6937">
        <w:t>three</w:t>
      </w:r>
      <w:r w:rsidR="00082F2E" w:rsidRPr="006D6937">
        <w:t xml:space="preserve"> or more pregnancies in their lifetime</w:t>
      </w:r>
      <w:r w:rsidR="006C1B3C" w:rsidRPr="006D6937">
        <w:t xml:space="preserve"> and </w:t>
      </w:r>
      <w:r w:rsidR="00C22139" w:rsidRPr="006D6937">
        <w:t>it was also found that</w:t>
      </w:r>
      <w:r w:rsidR="0021084E" w:rsidRPr="006D6937">
        <w:t xml:space="preserve"> 63% of </w:t>
      </w:r>
      <w:r w:rsidR="00C22139" w:rsidRPr="006D6937">
        <w:t xml:space="preserve">the respondents </w:t>
      </w:r>
      <w:r w:rsidR="00FC5B51" w:rsidRPr="006D6937">
        <w:t xml:space="preserve">were </w:t>
      </w:r>
      <w:r w:rsidR="0021084E" w:rsidRPr="006D6937">
        <w:t xml:space="preserve">using contraceptives and 36% of women shared that they </w:t>
      </w:r>
      <w:r w:rsidR="00FC5B51" w:rsidRPr="006D6937">
        <w:t>were not</w:t>
      </w:r>
      <w:r w:rsidR="0021084E" w:rsidRPr="006D6937">
        <w:t xml:space="preserve"> using any kind of contraceptives</w:t>
      </w:r>
      <w:r w:rsidR="00FC5B51" w:rsidRPr="006D6937">
        <w:t xml:space="preserve"> at the time of the survey</w:t>
      </w:r>
      <w:r w:rsidR="0021084E" w:rsidRPr="006D6937">
        <w:t>.</w:t>
      </w:r>
      <w:r w:rsidR="00E24FD3" w:rsidRPr="006D6937">
        <w:t xml:space="preserve"> About 31% participants revealed that they faced violence.</w:t>
      </w:r>
    </w:p>
    <w:p w14:paraId="188F9A1A" w14:textId="77777777" w:rsidR="004E6A6F" w:rsidRPr="006D6937" w:rsidRDefault="004E6A6F" w:rsidP="00B83EC3">
      <w:pPr>
        <w:spacing w:line="480" w:lineRule="auto"/>
        <w:jc w:val="both"/>
      </w:pPr>
    </w:p>
    <w:p w14:paraId="5817A5E5" w14:textId="1E4422DA" w:rsidR="004E6A6F" w:rsidRPr="006D6937" w:rsidRDefault="004E6A6F" w:rsidP="00B83EC3">
      <w:pPr>
        <w:spacing w:line="480" w:lineRule="auto"/>
        <w:jc w:val="center"/>
        <w:rPr>
          <w:b/>
        </w:rPr>
      </w:pPr>
      <w:r w:rsidRPr="006D6937">
        <w:rPr>
          <w:b/>
        </w:rPr>
        <w:t>[Insert Table 2 here]</w:t>
      </w:r>
    </w:p>
    <w:p w14:paraId="64B58421" w14:textId="77777777" w:rsidR="00724467" w:rsidRPr="006D6937" w:rsidRDefault="00724467" w:rsidP="0082511D">
      <w:pPr>
        <w:spacing w:line="480" w:lineRule="auto"/>
      </w:pPr>
    </w:p>
    <w:p w14:paraId="3CEF9583" w14:textId="2D0E442D" w:rsidR="000C2EE8" w:rsidRPr="006D6937" w:rsidRDefault="0082511D" w:rsidP="002F2A3E">
      <w:pPr>
        <w:shd w:val="clear" w:color="auto" w:fill="FFFFFF" w:themeFill="background1"/>
        <w:spacing w:line="480" w:lineRule="auto"/>
        <w:jc w:val="both"/>
      </w:pPr>
      <w:r w:rsidRPr="006D6937">
        <w:t xml:space="preserve">Chi-square analysis </w:t>
      </w:r>
      <w:r w:rsidR="0E14A658" w:rsidRPr="006D6937">
        <w:t>between contraceptive use and socio-demographic variables are prese</w:t>
      </w:r>
      <w:r w:rsidR="00792C8D" w:rsidRPr="006D6937">
        <w:t>nted in Table 2. The proportion</w:t>
      </w:r>
      <w:r w:rsidR="002F2A3E" w:rsidRPr="006D6937">
        <w:t>s</w:t>
      </w:r>
      <w:r w:rsidR="0E14A658" w:rsidRPr="006D6937">
        <w:t xml:space="preserve"> of women who use</w:t>
      </w:r>
      <w:r w:rsidR="00A912EA" w:rsidRPr="006D6937">
        <w:t>d</w:t>
      </w:r>
      <w:r w:rsidR="0E14A658" w:rsidRPr="006D6937">
        <w:t xml:space="preserve"> contraceptive</w:t>
      </w:r>
      <w:r w:rsidR="00A912EA" w:rsidRPr="006D6937">
        <w:t>s</w:t>
      </w:r>
      <w:r w:rsidR="0E14A658" w:rsidRPr="006D6937">
        <w:t xml:space="preserve"> w</w:t>
      </w:r>
      <w:r w:rsidR="002F2A3E" w:rsidRPr="006D6937">
        <w:t>ere</w:t>
      </w:r>
      <w:r w:rsidR="0E14A658" w:rsidRPr="006D6937">
        <w:t xml:space="preserve"> significantly lower among those who experienced IPV (</w:t>
      </w:r>
      <w:r w:rsidR="004407BB" w:rsidRPr="006D6937">
        <w:t>57. %</w:t>
      </w:r>
      <w:r w:rsidR="0E14A658" w:rsidRPr="006D6937">
        <w:t>)</w:t>
      </w:r>
      <w:r w:rsidR="00A912EA" w:rsidRPr="006D6937">
        <w:t xml:space="preserve">, </w:t>
      </w:r>
      <w:r w:rsidR="00A912EA" w:rsidRPr="006D6937">
        <w:rPr>
          <w:lang w:val="en-US"/>
        </w:rPr>
        <w:t>were aged 35-49 (37%), were uneducated (48%), poorest (58%), economically active (61%), rural settlers (62%), had no children (5</w:t>
      </w:r>
      <w:r w:rsidR="00D1308C" w:rsidRPr="006D6937">
        <w:rPr>
          <w:lang w:val="en-US"/>
        </w:rPr>
        <w:t>8</w:t>
      </w:r>
      <w:r w:rsidR="00A912EA" w:rsidRPr="006D6937">
        <w:rPr>
          <w:lang w:val="en-US"/>
        </w:rPr>
        <w:t>%) and had more than three pregnancies (53%). On the other hand, contraceptive use was significantly higher among those who did not experience IPV (66%), were aged 15 to 24 (77%), completed secondary education (77%), richest (67%), not economically active (6</w:t>
      </w:r>
      <w:r w:rsidR="00D1308C" w:rsidRPr="006D6937">
        <w:rPr>
          <w:lang w:val="en-US"/>
        </w:rPr>
        <w:t>9</w:t>
      </w:r>
      <w:r w:rsidR="00A912EA" w:rsidRPr="006D6937">
        <w:rPr>
          <w:lang w:val="en-US"/>
        </w:rPr>
        <w:t>%), urban dwellers (62%), had 3-5 children (69%) and had not been pregnant (73%).</w:t>
      </w:r>
      <w:r w:rsidR="00792C8D" w:rsidRPr="006D6937">
        <w:rPr>
          <w:lang w:val="en-US"/>
        </w:rPr>
        <w:t xml:space="preserve"> </w:t>
      </w:r>
      <w:r w:rsidR="00A912EA" w:rsidRPr="006D6937">
        <w:rPr>
          <w:lang w:val="en-US"/>
        </w:rPr>
        <w:t>All</w:t>
      </w:r>
      <w:r w:rsidR="000C2EE8" w:rsidRPr="006D6937">
        <w:t xml:space="preserve"> the socioeconomic characteristics of the respondents were found to be significantly associated with </w:t>
      </w:r>
      <w:r w:rsidR="008917A9" w:rsidRPr="006D6937">
        <w:t>contraceptive use</w:t>
      </w:r>
      <w:r w:rsidR="000C2EE8" w:rsidRPr="006D6937">
        <w:t xml:space="preserve">. </w:t>
      </w:r>
    </w:p>
    <w:p w14:paraId="60954DA7" w14:textId="79BEF424" w:rsidR="00AF5100" w:rsidRPr="006D6937" w:rsidRDefault="0E14A658" w:rsidP="00B83EC3">
      <w:pPr>
        <w:spacing w:line="480" w:lineRule="auto"/>
        <w:jc w:val="both"/>
      </w:pPr>
      <w:r w:rsidRPr="006D6937">
        <w:lastRenderedPageBreak/>
        <w:t xml:space="preserve"> </w:t>
      </w:r>
    </w:p>
    <w:p w14:paraId="27FCDFD3" w14:textId="671E3B0E" w:rsidR="0065749A" w:rsidRPr="006D6937" w:rsidRDefault="0065749A" w:rsidP="00B83EC3">
      <w:pPr>
        <w:spacing w:line="480" w:lineRule="auto"/>
        <w:jc w:val="center"/>
        <w:rPr>
          <w:b/>
          <w:bCs/>
        </w:rPr>
      </w:pPr>
    </w:p>
    <w:p w14:paraId="6DD9796D" w14:textId="49F35EFB" w:rsidR="00E5000C" w:rsidRPr="006D6937" w:rsidRDefault="004E6A6F" w:rsidP="00B83EC3">
      <w:pPr>
        <w:spacing w:line="480" w:lineRule="auto"/>
        <w:jc w:val="center"/>
        <w:rPr>
          <w:b/>
        </w:rPr>
      </w:pPr>
      <w:r w:rsidRPr="006D6937">
        <w:rPr>
          <w:b/>
        </w:rPr>
        <w:t>[Insert Table 3 here]</w:t>
      </w:r>
    </w:p>
    <w:p w14:paraId="4B1436B8" w14:textId="77777777" w:rsidR="00E5000C" w:rsidRPr="006D6937" w:rsidRDefault="00E5000C" w:rsidP="00B83EC3">
      <w:pPr>
        <w:spacing w:line="480" w:lineRule="auto"/>
        <w:jc w:val="center"/>
      </w:pPr>
    </w:p>
    <w:p w14:paraId="72C1ABB2" w14:textId="6054E883" w:rsidR="00EF69FD" w:rsidRPr="006D6937" w:rsidRDefault="00EF69FD" w:rsidP="00B83EC3">
      <w:pPr>
        <w:spacing w:line="480" w:lineRule="auto"/>
        <w:jc w:val="both"/>
      </w:pPr>
      <w:bookmarkStart w:id="0" w:name="_Hlk500162152"/>
      <w:r w:rsidRPr="006D6937">
        <w:t xml:space="preserve">The results of </w:t>
      </w:r>
      <w:r w:rsidR="00792C8D" w:rsidRPr="006D6937">
        <w:t xml:space="preserve">the </w:t>
      </w:r>
      <w:r w:rsidRPr="006D6937">
        <w:t>logistic regression analysis highlighted the relationships between contraceptive use and socio-demographic characteristics of women</w:t>
      </w:r>
      <w:r w:rsidR="0067172A">
        <w:t xml:space="preserve"> are</w:t>
      </w:r>
      <w:r w:rsidRPr="006D6937">
        <w:t xml:space="preserve"> presented in Table 3. Socio-demog</w:t>
      </w:r>
      <w:r w:rsidR="00792C8D" w:rsidRPr="006D6937">
        <w:t>raphic characteristics, such as</w:t>
      </w:r>
      <w:r w:rsidRPr="006D6937">
        <w:t xml:space="preserve"> age of respondents, educational attainment of women, wealth index, occupational status, </w:t>
      </w:r>
      <w:r w:rsidR="00792C8D" w:rsidRPr="006D6937">
        <w:t xml:space="preserve">number </w:t>
      </w:r>
      <w:r w:rsidR="005F1949" w:rsidRPr="006D6937">
        <w:t>children ever-</w:t>
      </w:r>
      <w:r w:rsidRPr="006D6937">
        <w:t xml:space="preserve">born and number of pregnancies were found to have significant effects on contraceptive use. However, IPV </w:t>
      </w:r>
      <w:r w:rsidR="00792C8D" w:rsidRPr="006D6937">
        <w:t>and place</w:t>
      </w:r>
      <w:r w:rsidRPr="006D6937">
        <w:t xml:space="preserve"> of residence did not show any significant </w:t>
      </w:r>
      <w:r w:rsidR="001117C3" w:rsidRPr="006D6937">
        <w:t>association</w:t>
      </w:r>
      <w:r w:rsidRPr="006D6937">
        <w:t xml:space="preserve">. Moreover, </w:t>
      </w:r>
      <w:r w:rsidR="0067172A">
        <w:t>it is demonstrated in Table 3</w:t>
      </w:r>
      <w:r w:rsidR="00D1308C" w:rsidRPr="006D6937">
        <w:t xml:space="preserve"> </w:t>
      </w:r>
      <w:r w:rsidRPr="006D6937">
        <w:t xml:space="preserve">that women in the younger age group (15-24 years of age) reported </w:t>
      </w:r>
      <w:r w:rsidR="00792C8D" w:rsidRPr="006D6937">
        <w:t xml:space="preserve">higher rates of </w:t>
      </w:r>
      <w:r w:rsidRPr="006D6937">
        <w:t>contraceptive usage and usage red</w:t>
      </w:r>
      <w:r w:rsidR="00792C8D" w:rsidRPr="006D6937">
        <w:t xml:space="preserve">uced with </w:t>
      </w:r>
      <w:r w:rsidRPr="006D6937">
        <w:t xml:space="preserve">age. Women aged 35 to 49 were less likely to use contraceptives (Odds ratio: 0.625, 95% CI: 0.553-0.706, P&lt;0.001) than </w:t>
      </w:r>
      <w:r w:rsidR="00792C8D" w:rsidRPr="006D6937">
        <w:t>women aged</w:t>
      </w:r>
      <w:r w:rsidRPr="006D6937">
        <w:t xml:space="preserve"> 15 to 24. Similarly, women aged 25 to 34 were less likely to use contraceptives (Odds ratio: 0.185, 95% CI: 0.164-0.208, P&lt;0.001) than women aged 15 to 24.</w:t>
      </w:r>
    </w:p>
    <w:p w14:paraId="63CFF744" w14:textId="77777777" w:rsidR="005F1949" w:rsidRPr="006D6937" w:rsidRDefault="005F1949" w:rsidP="00B83EC3">
      <w:pPr>
        <w:spacing w:line="480" w:lineRule="auto"/>
        <w:jc w:val="both"/>
      </w:pPr>
    </w:p>
    <w:p w14:paraId="0AE4BD55" w14:textId="0D907068" w:rsidR="00EF69FD" w:rsidRPr="006D6937" w:rsidRDefault="00EF69FD" w:rsidP="00B83EC3">
      <w:pPr>
        <w:spacing w:line="480" w:lineRule="auto"/>
        <w:jc w:val="both"/>
      </w:pPr>
      <w:r w:rsidRPr="006D6937">
        <w:t xml:space="preserve">On the other hand, contraceptive use </w:t>
      </w:r>
      <w:r w:rsidR="00E4534D" w:rsidRPr="006D6937">
        <w:t>rose with</w:t>
      </w:r>
      <w:r w:rsidRPr="006D6937">
        <w:t xml:space="preserve"> the increase of education level. Women with higher education levels had higher odds of using contraceptives than those who had no education (Odds ratio: 3.230, 95% CI: 1.830-5.703, P&lt;0.001). Women </w:t>
      </w:r>
      <w:r w:rsidR="001117C3" w:rsidRPr="006D6937">
        <w:t>from</w:t>
      </w:r>
      <w:r w:rsidR="002F2A3E" w:rsidRPr="006D6937">
        <w:t xml:space="preserve"> a</w:t>
      </w:r>
      <w:r w:rsidR="001117C3" w:rsidRPr="006D6937">
        <w:t xml:space="preserve"> poorer</w:t>
      </w:r>
      <w:r w:rsidRPr="006D6937">
        <w:t xml:space="preserve"> </w:t>
      </w:r>
      <w:r w:rsidR="001117C3" w:rsidRPr="006D6937">
        <w:t xml:space="preserve">background </w:t>
      </w:r>
      <w:r w:rsidRPr="006D6937">
        <w:t>were more likelihood to use contraceptive</w:t>
      </w:r>
      <w:r w:rsidR="002F2A3E" w:rsidRPr="006D6937">
        <w:t>s</w:t>
      </w:r>
      <w:r w:rsidRPr="006D6937">
        <w:t xml:space="preserve"> than those who were poor</w:t>
      </w:r>
      <w:r w:rsidR="001117C3" w:rsidRPr="006D6937">
        <w:t>est</w:t>
      </w:r>
      <w:r w:rsidRPr="006D6937">
        <w:t xml:space="preserve"> (Odds ratio: 1.413, 95% CI: 1.211-1.649, P&lt;0.001). Contraceptive use was more prevalent among economically active women (Odds ratio: 1.143, 95% CI: 1.026-1.273, P&lt;0.001). Women with </w:t>
      </w:r>
      <w:r w:rsidR="005F1949" w:rsidRPr="006D6937">
        <w:t>one to two</w:t>
      </w:r>
      <w:r w:rsidRPr="006D6937">
        <w:t xml:space="preserve"> children were more likely to use contraceptives (Odds ratio: 1.425, 95% CI: 1.284-1.582, P&lt;0.001) than those who had no children. Similarly, women with </w:t>
      </w:r>
      <w:r w:rsidR="005F1949" w:rsidRPr="006D6937">
        <w:t>three to five</w:t>
      </w:r>
      <w:r w:rsidRPr="006D6937">
        <w:t xml:space="preserve"> children were around 76% more likely to use contraceptives (Odds ratio: 1.762, 95% CI: 1.503-2.065, </w:t>
      </w:r>
      <w:r w:rsidRPr="006D6937">
        <w:lastRenderedPageBreak/>
        <w:t>P&lt;0.001) than those who had no children. Women who had had more than three pregnancies were more likely to use contraceptive (Odds ratio: 1.566, 95% CI: 1.316-1.865, P&lt;0.001) than those whose spouses had no education</w:t>
      </w:r>
      <w:r w:rsidRPr="006D6937">
        <w:rPr>
          <w:lang w:val="en-US"/>
        </w:rPr>
        <w:t xml:space="preserve">. </w:t>
      </w:r>
    </w:p>
    <w:bookmarkEnd w:id="0"/>
    <w:p w14:paraId="392F05AD" w14:textId="61C2C396" w:rsidR="004E6A6F" w:rsidRPr="006D6937" w:rsidRDefault="004E6A6F" w:rsidP="00B83EC3">
      <w:pPr>
        <w:spacing w:line="480" w:lineRule="auto"/>
        <w:rPr>
          <w:b/>
        </w:rPr>
      </w:pPr>
    </w:p>
    <w:p w14:paraId="6E9CD580" w14:textId="43737210" w:rsidR="0021084E" w:rsidRPr="006D6937" w:rsidRDefault="00CB3C25" w:rsidP="00CC2174">
      <w:pPr>
        <w:pStyle w:val="Heading1"/>
      </w:pPr>
      <w:r w:rsidRPr="006D6937">
        <w:t>Discussion</w:t>
      </w:r>
    </w:p>
    <w:p w14:paraId="3CAA942E" w14:textId="2347A4CB" w:rsidR="0048265D" w:rsidRPr="006D6937" w:rsidRDefault="0048265D" w:rsidP="00B83EC3">
      <w:pPr>
        <w:autoSpaceDE w:val="0"/>
        <w:autoSpaceDN w:val="0"/>
        <w:adjustRightInd w:val="0"/>
        <w:spacing w:line="480" w:lineRule="auto"/>
        <w:jc w:val="both"/>
      </w:pPr>
    </w:p>
    <w:p w14:paraId="65D30448" w14:textId="1369A62B" w:rsidR="005F1949" w:rsidRPr="006D6937" w:rsidRDefault="009A0080" w:rsidP="00B83EC3">
      <w:pPr>
        <w:spacing w:line="480" w:lineRule="auto"/>
        <w:jc w:val="both"/>
        <w:rPr>
          <w:lang w:val="en-US"/>
        </w:rPr>
      </w:pPr>
      <w:r w:rsidRPr="006D6937">
        <w:rPr>
          <w:lang w:val="en-US"/>
        </w:rPr>
        <w:t>As IPV is a global epidemic and more prominent in the African continent, we aimed to explore the impact of intimate partner violence on contraception use by Tanzanian women.</w:t>
      </w:r>
      <w:r w:rsidR="005F1949" w:rsidRPr="006D6937">
        <w:rPr>
          <w:lang w:val="en-US"/>
        </w:rPr>
        <w:t xml:space="preserve"> </w:t>
      </w:r>
      <w:r w:rsidR="00414B50">
        <w:rPr>
          <w:lang w:val="en-US"/>
        </w:rPr>
        <w:t>It has been shown through our study</w:t>
      </w:r>
      <w:r w:rsidR="001D56E6" w:rsidRPr="006D6937">
        <w:rPr>
          <w:lang w:val="en-US"/>
        </w:rPr>
        <w:t xml:space="preserve"> that the majority of the</w:t>
      </w:r>
      <w:r w:rsidR="005F1949" w:rsidRPr="006D6937">
        <w:rPr>
          <w:lang w:val="en-US"/>
        </w:rPr>
        <w:t xml:space="preserve"> </w:t>
      </w:r>
      <w:r w:rsidR="005F1949" w:rsidRPr="006D6937">
        <w:t>Tanzania Demographic and Health Survey 2015-16</w:t>
      </w:r>
      <w:r w:rsidR="001D56E6" w:rsidRPr="006D6937">
        <w:rPr>
          <w:lang w:val="en-US"/>
        </w:rPr>
        <w:t xml:space="preserve"> respondents </w:t>
      </w:r>
      <w:r w:rsidR="005F1949" w:rsidRPr="006D6937">
        <w:rPr>
          <w:lang w:val="en-US"/>
        </w:rPr>
        <w:t>were rural residents aged</w:t>
      </w:r>
      <w:r w:rsidR="001D56E6" w:rsidRPr="006D6937">
        <w:rPr>
          <w:lang w:val="en-US"/>
        </w:rPr>
        <w:t xml:space="preserve"> 15-24. About 31% of them experienced violence </w:t>
      </w:r>
      <w:r w:rsidR="005F1949" w:rsidRPr="006D6937">
        <w:rPr>
          <w:lang w:val="en-US"/>
        </w:rPr>
        <w:t>at the hands of</w:t>
      </w:r>
      <w:r w:rsidR="001D56E6" w:rsidRPr="006D6937">
        <w:rPr>
          <w:lang w:val="en-US"/>
        </w:rPr>
        <w:t xml:space="preserve"> their</w:t>
      </w:r>
      <w:r w:rsidR="005F1949" w:rsidRPr="006D6937">
        <w:rPr>
          <w:lang w:val="en-US"/>
        </w:rPr>
        <w:t xml:space="preserve"> current or former</w:t>
      </w:r>
      <w:r w:rsidR="001D56E6" w:rsidRPr="006D6937">
        <w:rPr>
          <w:lang w:val="en-US"/>
        </w:rPr>
        <w:t xml:space="preserve"> </w:t>
      </w:r>
      <w:r w:rsidR="00414B50">
        <w:rPr>
          <w:lang w:val="en-US"/>
        </w:rPr>
        <w:t>spouse</w:t>
      </w:r>
      <w:r w:rsidR="001D56E6" w:rsidRPr="006D6937">
        <w:rPr>
          <w:lang w:val="en-US"/>
        </w:rPr>
        <w:t xml:space="preserve">/partner. </w:t>
      </w:r>
      <w:r w:rsidRPr="006D6937">
        <w:rPr>
          <w:lang w:val="en-US"/>
        </w:rPr>
        <w:t xml:space="preserve"> Contraceptive use was significantly lower among those who had experienced IPV, were aged between 35 and</w:t>
      </w:r>
      <w:r w:rsidR="002D723A" w:rsidRPr="006D6937">
        <w:rPr>
          <w:lang w:val="en-US"/>
        </w:rPr>
        <w:t xml:space="preserve"> </w:t>
      </w:r>
      <w:r w:rsidR="005F1949" w:rsidRPr="006D6937">
        <w:rPr>
          <w:lang w:val="en-US"/>
        </w:rPr>
        <w:t>49</w:t>
      </w:r>
      <w:r w:rsidRPr="006D6937">
        <w:rPr>
          <w:lang w:val="en-US"/>
        </w:rPr>
        <w:t xml:space="preserve">, uneducated, poorest, economically active, rural settlers, primigravida or had more than three pregnancies (Table 2). </w:t>
      </w:r>
      <w:r w:rsidR="0067172A">
        <w:rPr>
          <w:lang w:val="en-US"/>
        </w:rPr>
        <w:t>In contrast</w:t>
      </w:r>
      <w:r w:rsidRPr="006D6937">
        <w:rPr>
          <w:lang w:val="en-US"/>
        </w:rPr>
        <w:t>, contraceptive use was significantly higher among those who did not experience IPV, were aged between 15-24, had completed secondary education, were better off financially, but not economically active, urban dwellers, and typically had between 3 to 5 children</w:t>
      </w:r>
      <w:r w:rsidR="005F1949" w:rsidRPr="006D6937">
        <w:rPr>
          <w:lang w:val="en-US"/>
        </w:rPr>
        <w:t>.</w:t>
      </w:r>
    </w:p>
    <w:p w14:paraId="309A00E9" w14:textId="77777777" w:rsidR="005F1949" w:rsidRPr="006D6937" w:rsidRDefault="005F1949" w:rsidP="00B83EC3">
      <w:pPr>
        <w:spacing w:line="480" w:lineRule="auto"/>
        <w:jc w:val="both"/>
        <w:rPr>
          <w:lang w:val="en-US"/>
        </w:rPr>
      </w:pPr>
    </w:p>
    <w:p w14:paraId="7BC9A1E2" w14:textId="1A4A19C5" w:rsidR="009A0080" w:rsidRPr="006D6937" w:rsidRDefault="009A0080" w:rsidP="00B83EC3">
      <w:pPr>
        <w:spacing w:line="480" w:lineRule="auto"/>
        <w:jc w:val="both"/>
      </w:pPr>
      <w:r w:rsidRPr="006D6937">
        <w:rPr>
          <w:lang w:val="en-US"/>
        </w:rPr>
        <w:t xml:space="preserve">To place our findings in the context of the literature, </w:t>
      </w:r>
      <w:r w:rsidR="0067172A">
        <w:rPr>
          <w:lang w:val="en-US"/>
        </w:rPr>
        <w:t xml:space="preserve">Dalal and colleagues (2012) found </w:t>
      </w:r>
      <w:r w:rsidRPr="006D6937">
        <w:rPr>
          <w:lang w:val="en-US"/>
        </w:rPr>
        <w:t>similar results fin Bangladesh, where urban</w:t>
      </w:r>
      <w:r w:rsidRPr="006D6937">
        <w:t xml:space="preserve"> residents, higher educated women and women aged 20–44 were more likely to use contraceptives than their peers in rural areas, those with lower education a</w:t>
      </w:r>
      <w:r w:rsidR="000A4243" w:rsidRPr="006D6937">
        <w:t xml:space="preserve">nd those in their late </w:t>
      </w:r>
      <w:r w:rsidR="0067172A">
        <w:t>forties.</w:t>
      </w:r>
      <w:r w:rsidRPr="006D6937">
        <w:t xml:space="preserve">  </w:t>
      </w:r>
      <w:r w:rsidR="00414B50">
        <w:t>It was also found by a study in</w:t>
      </w:r>
      <w:r w:rsidRPr="006D6937">
        <w:t xml:space="preserve"> Nigeria that women with secondary and higher education were </w:t>
      </w:r>
      <w:r w:rsidR="005F1949" w:rsidRPr="006D6937">
        <w:t xml:space="preserve">between </w:t>
      </w:r>
      <w:r w:rsidRPr="006D6937">
        <w:t>8.2 and 11.8 times more likely to use contraceptives compared with women with no education</w:t>
      </w:r>
      <w:r w:rsidR="00324309" w:rsidRPr="006D6937">
        <w:t xml:space="preserve"> (Viswan et al., 2017)</w:t>
      </w:r>
      <w:r w:rsidRPr="006D6937">
        <w:t xml:space="preserve">. Further, in a </w:t>
      </w:r>
      <w:r w:rsidRPr="006D6937">
        <w:lastRenderedPageBreak/>
        <w:t>similar vein to this paper,</w:t>
      </w:r>
      <w:r w:rsidR="00414B50">
        <w:t xml:space="preserve"> it was reported in</w:t>
      </w:r>
      <w:r w:rsidRPr="006D6937">
        <w:t xml:space="preserve"> a national study of women in that sexual violence was associated with dec</w:t>
      </w:r>
      <w:r w:rsidR="00EF55D0" w:rsidRPr="006D6937">
        <w:t>reased use of contraceptives (Murshid, 2017)</w:t>
      </w:r>
      <w:r w:rsidRPr="006D6937">
        <w:t xml:space="preserve">. </w:t>
      </w:r>
    </w:p>
    <w:p w14:paraId="69F9ABB2" w14:textId="77777777" w:rsidR="00414B50" w:rsidRDefault="00414B50" w:rsidP="00B83EC3">
      <w:pPr>
        <w:spacing w:line="480" w:lineRule="auto"/>
        <w:jc w:val="both"/>
      </w:pPr>
    </w:p>
    <w:p w14:paraId="4406E9FD" w14:textId="3EEADD3E" w:rsidR="00CB3C25" w:rsidRPr="006D6937" w:rsidRDefault="009A0080" w:rsidP="00B83EC3">
      <w:pPr>
        <w:spacing w:line="480" w:lineRule="auto"/>
        <w:jc w:val="both"/>
      </w:pPr>
      <w:r w:rsidRPr="006D6937">
        <w:t xml:space="preserve">However, </w:t>
      </w:r>
      <w:r w:rsidR="00CF453D">
        <w:t xml:space="preserve">despite </w:t>
      </w:r>
      <w:r w:rsidRPr="006D6937">
        <w:t xml:space="preserve">a </w:t>
      </w:r>
      <w:r w:rsidRPr="006D6937">
        <w:rPr>
          <w:spacing w:val="1"/>
        </w:rPr>
        <w:t>r</w:t>
      </w:r>
      <w:r w:rsidRPr="006D6937">
        <w:rPr>
          <w:spacing w:val="-1"/>
        </w:rPr>
        <w:t>e</w:t>
      </w:r>
      <w:r w:rsidRPr="006D6937">
        <w:t>lationship betw</w:t>
      </w:r>
      <w:r w:rsidRPr="006D6937">
        <w:rPr>
          <w:spacing w:val="-1"/>
        </w:rPr>
        <w:t>ee</w:t>
      </w:r>
      <w:r w:rsidRPr="006D6937">
        <w:t xml:space="preserve">n </w:t>
      </w:r>
      <w:r w:rsidRPr="006D6937">
        <w:rPr>
          <w:spacing w:val="-3"/>
        </w:rPr>
        <w:t>I</w:t>
      </w:r>
      <w:r w:rsidRPr="006D6937">
        <w:rPr>
          <w:spacing w:val="1"/>
        </w:rPr>
        <w:t>P</w:t>
      </w:r>
      <w:r w:rsidRPr="006D6937">
        <w:t>V</w:t>
      </w:r>
      <w:r w:rsidRPr="006D6937">
        <w:rPr>
          <w:spacing w:val="2"/>
        </w:rPr>
        <w:t xml:space="preserve"> </w:t>
      </w:r>
      <w:r w:rsidRPr="006D6937">
        <w:rPr>
          <w:spacing w:val="-1"/>
        </w:rPr>
        <w:t>a</w:t>
      </w:r>
      <w:r w:rsidRPr="006D6937">
        <w:t>nd r</w:t>
      </w:r>
      <w:r w:rsidRPr="006D6937">
        <w:rPr>
          <w:spacing w:val="-2"/>
        </w:rPr>
        <w:t>e</w:t>
      </w:r>
      <w:r w:rsidRPr="006D6937">
        <w:t>d</w:t>
      </w:r>
      <w:r w:rsidRPr="006D6937">
        <w:rPr>
          <w:spacing w:val="2"/>
        </w:rPr>
        <w:t>u</w:t>
      </w:r>
      <w:r w:rsidRPr="006D6937">
        <w:rPr>
          <w:spacing w:val="-1"/>
        </w:rPr>
        <w:t>ce</w:t>
      </w:r>
      <w:r w:rsidRPr="006D6937">
        <w:t xml:space="preserve">d </w:t>
      </w:r>
      <w:r w:rsidRPr="006D6937">
        <w:rPr>
          <w:spacing w:val="-1"/>
        </w:rPr>
        <w:t>c</w:t>
      </w:r>
      <w:r w:rsidRPr="006D6937">
        <w:t>on</w:t>
      </w:r>
      <w:r w:rsidRPr="006D6937">
        <w:rPr>
          <w:spacing w:val="3"/>
        </w:rPr>
        <w:t>t</w:t>
      </w:r>
      <w:r w:rsidRPr="006D6937">
        <w:t>r</w:t>
      </w:r>
      <w:r w:rsidRPr="006D6937">
        <w:rPr>
          <w:spacing w:val="-2"/>
        </w:rPr>
        <w:t>a</w:t>
      </w:r>
      <w:r w:rsidRPr="006D6937">
        <w:rPr>
          <w:spacing w:val="1"/>
        </w:rPr>
        <w:t>c</w:t>
      </w:r>
      <w:r w:rsidRPr="006D6937">
        <w:rPr>
          <w:spacing w:val="-1"/>
        </w:rPr>
        <w:t>e</w:t>
      </w:r>
      <w:r w:rsidRPr="006D6937">
        <w:t>pt</w:t>
      </w:r>
      <w:r w:rsidRPr="006D6937">
        <w:rPr>
          <w:spacing w:val="1"/>
        </w:rPr>
        <w:t>i</w:t>
      </w:r>
      <w:r w:rsidRPr="006D6937">
        <w:t>ve</w:t>
      </w:r>
      <w:r w:rsidRPr="006D6937">
        <w:rPr>
          <w:spacing w:val="-1"/>
        </w:rPr>
        <w:t xml:space="preserve"> </w:t>
      </w:r>
      <w:r w:rsidRPr="006D6937">
        <w:t>us</w:t>
      </w:r>
      <w:r w:rsidRPr="006D6937">
        <w:rPr>
          <w:spacing w:val="-1"/>
        </w:rPr>
        <w:t>e</w:t>
      </w:r>
      <w:r w:rsidR="00CF453D" w:rsidRPr="00CF453D">
        <w:t xml:space="preserve"> </w:t>
      </w:r>
      <w:r w:rsidR="00CF453D">
        <w:t>being pointed to in the</w:t>
      </w:r>
      <w:r w:rsidR="00CF453D" w:rsidRPr="006D6937">
        <w:rPr>
          <w:spacing w:val="-1"/>
        </w:rPr>
        <w:t xml:space="preserve"> </w:t>
      </w:r>
      <w:r w:rsidR="00CF453D" w:rsidRPr="006D6937">
        <w:rPr>
          <w:spacing w:val="1"/>
        </w:rPr>
        <w:t>e</w:t>
      </w:r>
      <w:r w:rsidR="00CF453D" w:rsidRPr="006D6937">
        <w:t>viden</w:t>
      </w:r>
      <w:r w:rsidR="00CF453D" w:rsidRPr="006D6937">
        <w:rPr>
          <w:spacing w:val="-1"/>
        </w:rPr>
        <w:t>c</w:t>
      </w:r>
      <w:r w:rsidR="00CF453D" w:rsidRPr="006D6937">
        <w:t>e</w:t>
      </w:r>
      <w:r w:rsidR="00CF453D" w:rsidRPr="006D6937">
        <w:rPr>
          <w:spacing w:val="-1"/>
        </w:rPr>
        <w:t xml:space="preserve"> </w:t>
      </w:r>
      <w:r w:rsidR="00CF453D" w:rsidRPr="006D6937">
        <w:rPr>
          <w:spacing w:val="1"/>
        </w:rPr>
        <w:t>f</w:t>
      </w:r>
      <w:r w:rsidR="00CF453D" w:rsidRPr="006D6937">
        <w:t>rom d</w:t>
      </w:r>
      <w:r w:rsidR="00CF453D" w:rsidRPr="006D6937">
        <w:rPr>
          <w:spacing w:val="-1"/>
        </w:rPr>
        <w:t>e</w:t>
      </w:r>
      <w:r w:rsidR="00CF453D" w:rsidRPr="006D6937">
        <w:t>v</w:t>
      </w:r>
      <w:r w:rsidR="00CF453D" w:rsidRPr="006D6937">
        <w:rPr>
          <w:spacing w:val="-1"/>
        </w:rPr>
        <w:t>e</w:t>
      </w:r>
      <w:r w:rsidR="00CF453D" w:rsidRPr="006D6937">
        <w:t>lop</w:t>
      </w:r>
      <w:r w:rsidR="00CF453D" w:rsidRPr="006D6937">
        <w:rPr>
          <w:spacing w:val="1"/>
        </w:rPr>
        <w:t>i</w:t>
      </w:r>
      <w:r w:rsidR="00CF453D" w:rsidRPr="006D6937">
        <w:rPr>
          <w:spacing w:val="2"/>
        </w:rPr>
        <w:t>n</w:t>
      </w:r>
      <w:r w:rsidR="00CF453D" w:rsidRPr="006D6937">
        <w:t xml:space="preserve">g </w:t>
      </w:r>
      <w:r w:rsidR="00CF453D" w:rsidRPr="006D6937">
        <w:rPr>
          <w:spacing w:val="-1"/>
        </w:rPr>
        <w:t>c</w:t>
      </w:r>
      <w:r w:rsidR="00CF453D" w:rsidRPr="006D6937">
        <w:t>ountri</w:t>
      </w:r>
      <w:r w:rsidR="00CF453D" w:rsidRPr="006D6937">
        <w:rPr>
          <w:spacing w:val="-1"/>
        </w:rPr>
        <w:t>e</w:t>
      </w:r>
      <w:r w:rsidR="00CF453D" w:rsidRPr="006D6937">
        <w:t>s</w:t>
      </w:r>
      <w:r w:rsidRPr="006D6937">
        <w:t>, findings in the literature r</w:t>
      </w:r>
      <w:r w:rsidRPr="006D6937">
        <w:rPr>
          <w:spacing w:val="-2"/>
        </w:rPr>
        <w:t>e</w:t>
      </w:r>
      <w:r w:rsidRPr="006D6937">
        <w:rPr>
          <w:spacing w:val="3"/>
        </w:rPr>
        <w:t>m</w:t>
      </w:r>
      <w:r w:rsidRPr="006D6937">
        <w:rPr>
          <w:spacing w:val="-1"/>
        </w:rPr>
        <w:t>a</w:t>
      </w:r>
      <w:r w:rsidRPr="006D6937">
        <w:t xml:space="preserve">in </w:t>
      </w:r>
      <w:r w:rsidRPr="006D6937">
        <w:rPr>
          <w:spacing w:val="1"/>
        </w:rPr>
        <w:t>m</w:t>
      </w:r>
      <w:r w:rsidRPr="006D6937">
        <w:t xml:space="preserve">ixed, </w:t>
      </w:r>
      <w:r w:rsidRPr="006D6937">
        <w:rPr>
          <w:spacing w:val="-1"/>
        </w:rPr>
        <w:t>w</w:t>
      </w:r>
      <w:r w:rsidRPr="006D6937">
        <w:t>i</w:t>
      </w:r>
      <w:r w:rsidRPr="006D6937">
        <w:rPr>
          <w:spacing w:val="1"/>
        </w:rPr>
        <w:t>t</w:t>
      </w:r>
      <w:r w:rsidRPr="006D6937">
        <w:t>h inc</w:t>
      </w:r>
      <w:r w:rsidRPr="006D6937">
        <w:rPr>
          <w:spacing w:val="-1"/>
        </w:rPr>
        <w:t>r</w:t>
      </w:r>
      <w:r w:rsidRPr="006D6937">
        <w:rPr>
          <w:spacing w:val="1"/>
        </w:rPr>
        <w:t>e</w:t>
      </w:r>
      <w:r w:rsidRPr="006D6937">
        <w:rPr>
          <w:spacing w:val="-1"/>
        </w:rPr>
        <w:t>a</w:t>
      </w:r>
      <w:r w:rsidRPr="006D6937">
        <w:t>s</w:t>
      </w:r>
      <w:r w:rsidRPr="006D6937">
        <w:rPr>
          <w:spacing w:val="-1"/>
        </w:rPr>
        <w:t>e</w:t>
      </w:r>
      <w:r w:rsidRPr="006D6937">
        <w:t>d use</w:t>
      </w:r>
      <w:r w:rsidRPr="006D6937">
        <w:rPr>
          <w:spacing w:val="-1"/>
        </w:rPr>
        <w:t xml:space="preserve"> </w:t>
      </w:r>
      <w:r w:rsidRPr="006D6937">
        <w:rPr>
          <w:spacing w:val="2"/>
        </w:rPr>
        <w:t>o</w:t>
      </w:r>
      <w:r w:rsidRPr="006D6937">
        <w:t xml:space="preserve">f </w:t>
      </w:r>
      <w:r w:rsidRPr="006D6937">
        <w:rPr>
          <w:spacing w:val="-2"/>
        </w:rPr>
        <w:t>c</w:t>
      </w:r>
      <w:r w:rsidRPr="006D6937">
        <w:t>ontr</w:t>
      </w:r>
      <w:r w:rsidRPr="006D6937">
        <w:rPr>
          <w:spacing w:val="1"/>
        </w:rPr>
        <w:t>a</w:t>
      </w:r>
      <w:r w:rsidRPr="006D6937">
        <w:rPr>
          <w:spacing w:val="-1"/>
        </w:rPr>
        <w:t>ce</w:t>
      </w:r>
      <w:r w:rsidRPr="006D6937">
        <w:t>pt</w:t>
      </w:r>
      <w:r w:rsidRPr="006D6937">
        <w:rPr>
          <w:spacing w:val="1"/>
        </w:rPr>
        <w:t>i</w:t>
      </w:r>
      <w:r w:rsidRPr="006D6937">
        <w:t>ve</w:t>
      </w:r>
      <w:r w:rsidRPr="006D6937">
        <w:rPr>
          <w:spacing w:val="-1"/>
        </w:rPr>
        <w:t xml:space="preserve"> </w:t>
      </w:r>
      <w:r w:rsidRPr="006D6937">
        <w:t>with e</w:t>
      </w:r>
      <w:r w:rsidRPr="006D6937">
        <w:rPr>
          <w:spacing w:val="2"/>
        </w:rPr>
        <w:t>x</w:t>
      </w:r>
      <w:r w:rsidRPr="006D6937">
        <w:t>p</w:t>
      </w:r>
      <w:r w:rsidRPr="006D6937">
        <w:rPr>
          <w:spacing w:val="1"/>
        </w:rPr>
        <w:t>e</w:t>
      </w:r>
      <w:r w:rsidRPr="006D6937">
        <w:t>ri</w:t>
      </w:r>
      <w:r w:rsidRPr="006D6937">
        <w:rPr>
          <w:spacing w:val="-1"/>
        </w:rPr>
        <w:t>e</w:t>
      </w:r>
      <w:r w:rsidRPr="006D6937">
        <w:t>n</w:t>
      </w:r>
      <w:r w:rsidRPr="006D6937">
        <w:rPr>
          <w:spacing w:val="-1"/>
        </w:rPr>
        <w:t>c</w:t>
      </w:r>
      <w:r w:rsidRPr="006D6937">
        <w:t>e</w:t>
      </w:r>
      <w:r w:rsidRPr="006D6937">
        <w:rPr>
          <w:spacing w:val="-1"/>
        </w:rPr>
        <w:t xml:space="preserve"> </w:t>
      </w:r>
      <w:r w:rsidRPr="006D6937">
        <w:rPr>
          <w:spacing w:val="2"/>
        </w:rPr>
        <w:t>o</w:t>
      </w:r>
      <w:r w:rsidRPr="006D6937">
        <w:t>f</w:t>
      </w:r>
      <w:r w:rsidRPr="006D6937">
        <w:rPr>
          <w:spacing w:val="1"/>
        </w:rPr>
        <w:t xml:space="preserve"> </w:t>
      </w:r>
      <w:r w:rsidRPr="006D6937">
        <w:rPr>
          <w:spacing w:val="-6"/>
        </w:rPr>
        <w:t>I</w:t>
      </w:r>
      <w:r w:rsidRPr="006D6937">
        <w:rPr>
          <w:spacing w:val="3"/>
        </w:rPr>
        <w:t>P</w:t>
      </w:r>
      <w:r w:rsidR="00644CD6" w:rsidRPr="006D6937">
        <w:t>V</w:t>
      </w:r>
      <w:r w:rsidR="00CF453D">
        <w:t xml:space="preserve"> being reported in some studies</w:t>
      </w:r>
      <w:r w:rsidR="00CB3C25" w:rsidRPr="006D6937">
        <w:t xml:space="preserve">. </w:t>
      </w:r>
      <w:r w:rsidR="00CF453D">
        <w:rPr>
          <w:bCs/>
          <w:lang w:val="en-US" w:bidi="bn-BD"/>
        </w:rPr>
        <w:t>No</w:t>
      </w:r>
      <w:r w:rsidRPr="006D6937">
        <w:rPr>
          <w:lang w:val="en-US" w:bidi="bn-BD"/>
        </w:rPr>
        <w:t xml:space="preserve"> association between IPV and contraceptive use </w:t>
      </w:r>
      <w:r w:rsidRPr="006D6937">
        <w:rPr>
          <w:bCs/>
        </w:rPr>
        <w:t xml:space="preserve">in the </w:t>
      </w:r>
      <w:r w:rsidRPr="006D6937">
        <w:rPr>
          <w:bCs/>
          <w:lang w:val="en-US" w:bidi="bn-BD"/>
        </w:rPr>
        <w:t>Democratic Republic of Congo</w:t>
      </w:r>
      <w:r w:rsidR="00CF453D">
        <w:rPr>
          <w:bCs/>
          <w:lang w:val="en-US" w:bidi="bn-BD"/>
        </w:rPr>
        <w:t xml:space="preserve"> was found in one such study</w:t>
      </w:r>
      <w:r w:rsidR="00CB3C25" w:rsidRPr="006D6937">
        <w:rPr>
          <w:bCs/>
          <w:lang w:val="en-US" w:bidi="bn-BD"/>
        </w:rPr>
        <w:t xml:space="preserve"> </w:t>
      </w:r>
      <w:r w:rsidR="00CB3C25" w:rsidRPr="006D6937">
        <w:rPr>
          <w:lang w:val="en-US" w:bidi="bn-BD"/>
        </w:rPr>
        <w:t>(</w:t>
      </w:r>
      <w:r w:rsidR="00CB3C25" w:rsidRPr="006D6937">
        <w:t>Chalachala et al., 2016)</w:t>
      </w:r>
      <w:r w:rsidRPr="006D6937">
        <w:rPr>
          <w:lang w:val="en-US" w:bidi="bn-BD"/>
        </w:rPr>
        <w:t>.</w:t>
      </w:r>
      <w:r w:rsidRPr="006D6937">
        <w:rPr>
          <w:b/>
          <w:bCs/>
          <w:lang w:val="en-US" w:bidi="bn-BD"/>
        </w:rPr>
        <w:t xml:space="preserve"> </w:t>
      </w:r>
      <w:r w:rsidRPr="006D6937">
        <w:t>In addition, the relationship of IPV with contraceptive use was found to be reverse</w:t>
      </w:r>
      <w:r w:rsidR="00CF453D">
        <w:t>d</w:t>
      </w:r>
      <w:r w:rsidRPr="006D6937">
        <w:t xml:space="preserve"> in Bangladesh where women exposed to physical violence were almost two times more likely to use contr</w:t>
      </w:r>
      <w:r w:rsidR="005F1949" w:rsidRPr="006D6937">
        <w:t xml:space="preserve">aceptives compared with their </w:t>
      </w:r>
      <w:r w:rsidRPr="006D6937">
        <w:t>non-abused peers</w:t>
      </w:r>
      <w:r w:rsidR="00EF55D0" w:rsidRPr="006D6937">
        <w:t xml:space="preserve"> (Murshid, 2017;</w:t>
      </w:r>
      <w:r w:rsidRPr="006D6937">
        <w:t xml:space="preserve"> </w:t>
      </w:r>
      <w:r w:rsidR="00881689" w:rsidRPr="006D6937">
        <w:t>Dalal et al., 2012)</w:t>
      </w:r>
      <w:r w:rsidRPr="006D6937">
        <w:t xml:space="preserve">. </w:t>
      </w:r>
      <w:r w:rsidR="0067172A">
        <w:t>However</w:t>
      </w:r>
      <w:r w:rsidRPr="006D6937">
        <w:t>, research</w:t>
      </w:r>
      <w:r w:rsidR="00CF453D">
        <w:t>ers</w:t>
      </w:r>
      <w:r w:rsidRPr="006D6937">
        <w:t xml:space="preserve"> in India concluded that there is no direct relationship between physical violence and contraception use, but that there are some certain hidden factors which significantly affect the use of contraception when being exposed to physical violence</w:t>
      </w:r>
      <w:r w:rsidR="00324309" w:rsidRPr="006D6937">
        <w:t xml:space="preserve"> (Singh &amp; Shukla, 2017)</w:t>
      </w:r>
      <w:r w:rsidRPr="006D6937">
        <w:t xml:space="preserve">. </w:t>
      </w:r>
    </w:p>
    <w:p w14:paraId="60E45513" w14:textId="77777777" w:rsidR="00CB3C25" w:rsidRPr="006D6937" w:rsidRDefault="00CB3C25" w:rsidP="00B83EC3">
      <w:pPr>
        <w:spacing w:line="480" w:lineRule="auto"/>
        <w:jc w:val="both"/>
      </w:pPr>
    </w:p>
    <w:p w14:paraId="0025B84A" w14:textId="32BA1F30" w:rsidR="005F1949" w:rsidRPr="006D6937" w:rsidRDefault="009A0080" w:rsidP="00B83EC3">
      <w:pPr>
        <w:spacing w:line="480" w:lineRule="auto"/>
        <w:jc w:val="both"/>
      </w:pPr>
      <w:r w:rsidRPr="006D6937">
        <w:t xml:space="preserve">In terms of contraceptive use more broadly, </w:t>
      </w:r>
      <w:r w:rsidR="00CF453D">
        <w:t>it has been demonstrated by our Tanzanian study</w:t>
      </w:r>
      <w:r w:rsidRPr="006D6937">
        <w:t xml:space="preserve"> that women in the younger age group (15-24 years of age) were more likely to use contraceptives and this likelihood decreased with age. Contraceptive use rose with the increase </w:t>
      </w:r>
      <w:r w:rsidR="00AF37E1" w:rsidRPr="006D6937">
        <w:t xml:space="preserve">in </w:t>
      </w:r>
      <w:r w:rsidRPr="006D6937">
        <w:t xml:space="preserve">education level. Women with higher education had higher odds of using contraceptives than those who had no education. Women with higher socio-economic status were more likely to use contraceptives than those who were poor. </w:t>
      </w:r>
      <w:r w:rsidR="005F1949" w:rsidRPr="006D6937">
        <w:t>Thus, it can be argued that r</w:t>
      </w:r>
      <w:r w:rsidR="00D27A5A" w:rsidRPr="006D6937">
        <w:t xml:space="preserve">outine assessment of </w:t>
      </w:r>
      <w:r w:rsidR="005F1949" w:rsidRPr="006D6937">
        <w:t xml:space="preserve">intimate partner </w:t>
      </w:r>
      <w:r w:rsidR="00D27A5A" w:rsidRPr="006D6937">
        <w:t>violence</w:t>
      </w:r>
      <w:r w:rsidR="00DA0271">
        <w:t xml:space="preserve"> along with the provision of educational materials</w:t>
      </w:r>
      <w:r w:rsidR="00D27A5A" w:rsidRPr="006D6937">
        <w:t xml:space="preserve"> sh</w:t>
      </w:r>
      <w:r w:rsidR="005F1949" w:rsidRPr="006D6937">
        <w:t xml:space="preserve">ould be included as part of </w:t>
      </w:r>
      <w:r w:rsidR="00D27A5A" w:rsidRPr="006D6937">
        <w:t xml:space="preserve">contraceptive counselling </w:t>
      </w:r>
      <w:r w:rsidR="005F1949" w:rsidRPr="006D6937">
        <w:t xml:space="preserve">sessions for </w:t>
      </w:r>
      <w:r w:rsidR="005D04EA" w:rsidRPr="006D6937">
        <w:t>women</w:t>
      </w:r>
      <w:r w:rsidR="005F1949" w:rsidRPr="006D6937">
        <w:t xml:space="preserve"> in</w:t>
      </w:r>
      <w:r w:rsidR="00DE2C31" w:rsidRPr="006D6937">
        <w:t xml:space="preserve"> low resource setting</w:t>
      </w:r>
      <w:r w:rsidR="005F1949" w:rsidRPr="006D6937">
        <w:t>s</w:t>
      </w:r>
      <w:r w:rsidR="005D04EA" w:rsidRPr="006D6937">
        <w:t>.</w:t>
      </w:r>
      <w:r w:rsidR="00ED69AA" w:rsidRPr="006D6937">
        <w:t xml:space="preserve"> </w:t>
      </w:r>
      <w:r w:rsidR="000E606E">
        <w:t>It</w:t>
      </w:r>
      <w:r w:rsidR="00814C1E">
        <w:t xml:space="preserve"> is worth noting that </w:t>
      </w:r>
      <w:r w:rsidR="00F35EE4">
        <w:t xml:space="preserve">the link between </w:t>
      </w:r>
      <w:r w:rsidR="000E606E">
        <w:t xml:space="preserve">talking about intimate partner violence with health practitioners and making desired contraceptive choices is unknown. However, an assessment may provide </w:t>
      </w:r>
      <w:r w:rsidR="000E606E">
        <w:lastRenderedPageBreak/>
        <w:t>the practitioner with more holistic information to be able to advise their patient accordingly</w:t>
      </w:r>
      <w:r w:rsidR="00390208">
        <w:t xml:space="preserve"> and to point them in the direction of help where available</w:t>
      </w:r>
      <w:r w:rsidR="000E606E">
        <w:t>.</w:t>
      </w:r>
      <w:r w:rsidR="00390208">
        <w:t xml:space="preserve"> Indeed, there is a breadth of literature globally supporting in consultation screening for intimate partner violence</w:t>
      </w:r>
      <w:r w:rsidR="0014523F">
        <w:t>, as well as the provision of education</w:t>
      </w:r>
      <w:r w:rsidR="00390208">
        <w:t xml:space="preserve"> </w:t>
      </w:r>
      <w:r w:rsidR="00DA0271">
        <w:t xml:space="preserve">and information </w:t>
      </w:r>
      <w:r w:rsidR="00390208">
        <w:t xml:space="preserve">(e.g. </w:t>
      </w:r>
      <w:r w:rsidR="000E606E">
        <w:t xml:space="preserve"> </w:t>
      </w:r>
      <w:r w:rsidR="0014523F">
        <w:t xml:space="preserve">Davis &amp; Harsh, 2001; Bacchus et al., 2002; </w:t>
      </w:r>
      <w:r w:rsidR="00DA0271">
        <w:t>Laisser et al., 2011)</w:t>
      </w:r>
    </w:p>
    <w:p w14:paraId="44E97D9F" w14:textId="4C85273C" w:rsidR="00F225D6" w:rsidRPr="006D6937" w:rsidRDefault="00F225D6" w:rsidP="00B83EC3">
      <w:pPr>
        <w:spacing w:line="480" w:lineRule="auto"/>
        <w:jc w:val="both"/>
      </w:pPr>
    </w:p>
    <w:p w14:paraId="37112D8A" w14:textId="02604A8B" w:rsidR="005F1949" w:rsidRPr="006D6937" w:rsidRDefault="00632D11" w:rsidP="00B83EC3">
      <w:pPr>
        <w:spacing w:line="480" w:lineRule="auto"/>
        <w:jc w:val="both"/>
      </w:pPr>
      <w:r>
        <w:t>The</w:t>
      </w:r>
      <w:r w:rsidRPr="006D6937">
        <w:t xml:space="preserve"> </w:t>
      </w:r>
      <w:r w:rsidR="00F225D6" w:rsidRPr="006D6937">
        <w:t>multi-factorial nature of contraceptive use</w:t>
      </w:r>
      <w:r w:rsidR="00CF453D">
        <w:t xml:space="preserve"> is indicated by the</w:t>
      </w:r>
      <w:r w:rsidR="00CF453D" w:rsidRPr="006D6937">
        <w:t xml:space="preserve"> findings of this study </w:t>
      </w:r>
      <w:r w:rsidR="00F225D6" w:rsidRPr="006D6937">
        <w:t xml:space="preserve">and the interplay of these factors </w:t>
      </w:r>
      <w:r w:rsidR="00CF453D">
        <w:t>is not yet fully understood</w:t>
      </w:r>
      <w:r w:rsidR="00F225D6" w:rsidRPr="006D6937">
        <w:t>. However, it is clear that there is a significant association between IPV and contraceptive use</w:t>
      </w:r>
      <w:r w:rsidR="00DA0271">
        <w:t xml:space="preserve"> and there is an interplay with socio-economic status and therefore structural disadvantage</w:t>
      </w:r>
      <w:r w:rsidR="00F225D6" w:rsidRPr="006D6937">
        <w:t xml:space="preserve">. </w:t>
      </w:r>
      <w:r w:rsidR="00436BBA" w:rsidRPr="006D6937">
        <w:t xml:space="preserve">As health </w:t>
      </w:r>
      <w:r w:rsidR="00CF453D">
        <w:t>profe</w:t>
      </w:r>
      <w:r w:rsidR="0067172A">
        <w:t>s</w:t>
      </w:r>
      <w:r w:rsidR="00CF453D">
        <w:t>sionals</w:t>
      </w:r>
      <w:r w:rsidR="00436BBA" w:rsidRPr="006D6937">
        <w:t xml:space="preserve"> can play a key part in identifying women exposed to IPV and offering support with the aim of breaking the cycle of abuse, the need to ask questions about IPV routinely as part of contraceptive counselling</w:t>
      </w:r>
      <w:r w:rsidR="00CF453D">
        <w:t xml:space="preserve"> is supported by our findings</w:t>
      </w:r>
      <w:r w:rsidR="00390208">
        <w:t xml:space="preserve"> and prior literature</w:t>
      </w:r>
      <w:r w:rsidR="00436BBA" w:rsidRPr="006D6937">
        <w:t xml:space="preserve">. In order to provide adequate care, systems level issues of referral pathways for IPV and appropriate tailored service provision need to be considered on a </w:t>
      </w:r>
      <w:r w:rsidR="0067172A">
        <w:t xml:space="preserve">national and global </w:t>
      </w:r>
      <w:r w:rsidR="00436BBA" w:rsidRPr="006D6937">
        <w:t>policy level</w:t>
      </w:r>
      <w:r w:rsidR="0014523F">
        <w:t>. This is a key consideration given that in the developing world practitioners (and their patients) are constricted by broader socio-economic and political structural issues and therefore practitioner ability to influence patient behaviour may be limited</w:t>
      </w:r>
      <w:r w:rsidR="00436BBA" w:rsidRPr="006D6937">
        <w:t>.</w:t>
      </w:r>
      <w:r w:rsidR="00390208">
        <w:t xml:space="preserve"> Further research is needed on </w:t>
      </w:r>
      <w:r w:rsidR="0014523F">
        <w:t>the extent to which healthcare practitioners can intervene in helping women experiencing IPV to make desirable, autonomous and informed choices about their contraceptive use.</w:t>
      </w:r>
    </w:p>
    <w:p w14:paraId="6EEEF4DF" w14:textId="77777777" w:rsidR="00435E43" w:rsidRPr="006D6937" w:rsidRDefault="00435E43" w:rsidP="00B83EC3">
      <w:pPr>
        <w:spacing w:line="480" w:lineRule="auto"/>
        <w:jc w:val="both"/>
      </w:pPr>
    </w:p>
    <w:p w14:paraId="5EF2FD09" w14:textId="493BC0BD" w:rsidR="00F27701" w:rsidRPr="006D6937" w:rsidRDefault="00ED69AA" w:rsidP="00435E43">
      <w:pPr>
        <w:pStyle w:val="NormalWeb"/>
        <w:spacing w:before="0" w:beforeAutospacing="0" w:after="210" w:afterAutospacing="0" w:line="480" w:lineRule="auto"/>
        <w:jc w:val="both"/>
      </w:pPr>
      <w:r w:rsidRPr="006D6937">
        <w:t>This study is not free from limitations.</w:t>
      </w:r>
      <w:r w:rsidR="006F45A8" w:rsidRPr="006D6937">
        <w:t xml:space="preserve"> </w:t>
      </w:r>
      <w:r w:rsidR="00C8736F" w:rsidRPr="006D6937">
        <w:t xml:space="preserve">The </w:t>
      </w:r>
      <w:r w:rsidRPr="006D6937">
        <w:t>quantitative nature of study may lack in depth insights</w:t>
      </w:r>
      <w:r w:rsidR="003C1595" w:rsidRPr="006D6937">
        <w:t>, for instance the binary classification of contraceptive use as ‘yes’ and ‘no’ in the context of IPV may be overly simplistic.</w:t>
      </w:r>
      <w:r w:rsidRPr="006D6937">
        <w:t xml:space="preserve"> </w:t>
      </w:r>
      <w:r w:rsidR="003C1595" w:rsidRPr="006D6937">
        <w:t xml:space="preserve"> A</w:t>
      </w:r>
      <w:r w:rsidRPr="006D6937">
        <w:t xml:space="preserve">nother limitation </w:t>
      </w:r>
      <w:r w:rsidR="003C1595" w:rsidRPr="006D6937">
        <w:t xml:space="preserve">may be </w:t>
      </w:r>
      <w:r w:rsidRPr="006D6937">
        <w:t xml:space="preserve">the recall bias of the </w:t>
      </w:r>
      <w:r w:rsidR="003C1595" w:rsidRPr="006D6937">
        <w:t xml:space="preserve">surveyed </w:t>
      </w:r>
      <w:r w:rsidRPr="006D6937">
        <w:t>participants</w:t>
      </w:r>
      <w:r w:rsidR="00DE2C31" w:rsidRPr="006D6937">
        <w:t xml:space="preserve">. </w:t>
      </w:r>
      <w:r w:rsidR="00481FDD" w:rsidRPr="006D6937">
        <w:t xml:space="preserve">It is hoped that through the inclusion of a range of variables within the </w:t>
      </w:r>
      <w:r w:rsidR="00481FDD" w:rsidRPr="006D6937">
        <w:lastRenderedPageBreak/>
        <w:t xml:space="preserve">study, the </w:t>
      </w:r>
      <w:r w:rsidR="00CF453D">
        <w:t>we</w:t>
      </w:r>
      <w:r w:rsidR="00481FDD" w:rsidRPr="006D6937">
        <w:t xml:space="preserve"> </w:t>
      </w:r>
      <w:r w:rsidR="00CF453D">
        <w:t>remained s</w:t>
      </w:r>
      <w:r w:rsidR="00481FDD" w:rsidRPr="006D6937">
        <w:t xml:space="preserve">ensitive to aspects of difference between the participants, such as socioeconomic status and age. However, </w:t>
      </w:r>
      <w:r w:rsidR="00435E43" w:rsidRPr="006D6937">
        <w:t xml:space="preserve">diversity </w:t>
      </w:r>
      <w:r w:rsidR="00481FDD" w:rsidRPr="006D6937">
        <w:t>issues surrounding individual identities and perceptions of socio-cultural factors influencing the potential interaction between IPV and contraceptive use warrant further exploration, through a qualitati</w:t>
      </w:r>
      <w:r w:rsidR="00435E43" w:rsidRPr="006D6937">
        <w:t>ve, potentially social-constructivist lens.</w:t>
      </w:r>
      <w:r w:rsidR="003A2E54" w:rsidRPr="006D6937">
        <w:t xml:space="preserve"> </w:t>
      </w:r>
    </w:p>
    <w:p w14:paraId="0C26FB12" w14:textId="77777777" w:rsidR="00F27701" w:rsidRPr="006D6937" w:rsidRDefault="00F27701" w:rsidP="00435E43">
      <w:pPr>
        <w:pStyle w:val="NormalWeb"/>
        <w:spacing w:before="0" w:beforeAutospacing="0" w:after="210" w:afterAutospacing="0" w:line="480" w:lineRule="auto"/>
        <w:jc w:val="both"/>
      </w:pPr>
    </w:p>
    <w:p w14:paraId="2BE08CE6" w14:textId="6D19C73C" w:rsidR="006C6F73" w:rsidRPr="006D6937" w:rsidRDefault="00CF453D" w:rsidP="00435E43">
      <w:pPr>
        <w:pStyle w:val="NormalWeb"/>
        <w:spacing w:before="0" w:beforeAutospacing="0" w:after="210" w:afterAutospacing="0" w:line="480" w:lineRule="auto"/>
        <w:jc w:val="both"/>
      </w:pPr>
      <w:r>
        <w:t>We have</w:t>
      </w:r>
      <w:r w:rsidR="00FD7617" w:rsidRPr="006D6937">
        <w:t xml:space="preserve"> used secondary data and one of the limitations of </w:t>
      </w:r>
      <w:r w:rsidR="00F27701" w:rsidRPr="006D6937">
        <w:t>this is that data were</w:t>
      </w:r>
      <w:r w:rsidR="00FD7617" w:rsidRPr="006D6937">
        <w:t xml:space="preserve"> not </w:t>
      </w:r>
      <w:r w:rsidR="0067172A">
        <w:t xml:space="preserve">originally </w:t>
      </w:r>
      <w:r w:rsidR="00FD7617" w:rsidRPr="006D6937">
        <w:t xml:space="preserve">collected </w:t>
      </w:r>
      <w:r w:rsidR="00F27701" w:rsidRPr="006D6937">
        <w:t>with the aim of answering the research question posed here</w:t>
      </w:r>
      <w:r w:rsidR="00FD7617" w:rsidRPr="006D6937">
        <w:t xml:space="preserve">. Furthermore, the </w:t>
      </w:r>
      <w:r w:rsidR="006C6F73" w:rsidRPr="006D6937">
        <w:t xml:space="preserve">analyses </w:t>
      </w:r>
      <w:r w:rsidR="003A2E54" w:rsidRPr="006D6937">
        <w:t xml:space="preserve">did not </w:t>
      </w:r>
      <w:r w:rsidR="00E83ECD" w:rsidRPr="006D6937">
        <w:t xml:space="preserve">include </w:t>
      </w:r>
      <w:r w:rsidR="006C6F73" w:rsidRPr="006D6937">
        <w:t>additional variables</w:t>
      </w:r>
      <w:r w:rsidR="00E83ECD" w:rsidRPr="006D6937">
        <w:t xml:space="preserve"> which </w:t>
      </w:r>
      <w:r w:rsidR="006C6F73" w:rsidRPr="006D6937">
        <w:t>are</w:t>
      </w:r>
      <w:r w:rsidR="00E83ECD" w:rsidRPr="006D6937">
        <w:t xml:space="preserve"> known to influence contraceptive use such as- use of contraception in current and previous relationships, experience of multiple relationships and sexual relationships outside marriage. </w:t>
      </w:r>
      <w:r w:rsidR="00435E43" w:rsidRPr="006D6937">
        <w:t xml:space="preserve"> </w:t>
      </w:r>
    </w:p>
    <w:p w14:paraId="7276AEB6" w14:textId="77777777" w:rsidR="006C6F73" w:rsidRPr="006D6937" w:rsidRDefault="006C6F73" w:rsidP="00435E43">
      <w:pPr>
        <w:pStyle w:val="NormalWeb"/>
        <w:spacing w:before="0" w:beforeAutospacing="0" w:after="210" w:afterAutospacing="0" w:line="480" w:lineRule="auto"/>
        <w:jc w:val="both"/>
      </w:pPr>
    </w:p>
    <w:p w14:paraId="77FFB20F" w14:textId="6A1B3FE2" w:rsidR="00597537" w:rsidRPr="006D6937" w:rsidRDefault="00CF453D" w:rsidP="00435E43">
      <w:pPr>
        <w:pStyle w:val="NormalWeb"/>
        <w:spacing w:before="0" w:beforeAutospacing="0" w:after="210" w:afterAutospacing="0" w:line="480" w:lineRule="auto"/>
        <w:jc w:val="both"/>
        <w:rPr>
          <w:rFonts w:ascii="Arial" w:hAnsi="Arial" w:cs="Arial"/>
          <w:sz w:val="21"/>
          <w:szCs w:val="21"/>
        </w:rPr>
      </w:pPr>
      <w:r>
        <w:t>Capturing and exploring the</w:t>
      </w:r>
      <w:r w:rsidR="00435E43" w:rsidRPr="006D6937">
        <w:t xml:space="preserve"> unique stories of Tanzanian women experiencing IPV would give further crucial recognition to a group underrepresented in research to date. </w:t>
      </w:r>
      <w:r w:rsidR="00503641" w:rsidRPr="006D6937">
        <w:t>Despite limitation</w:t>
      </w:r>
      <w:r w:rsidR="001A1CB6" w:rsidRPr="006D6937">
        <w:t>s, the main strength of th</w:t>
      </w:r>
      <w:r w:rsidR="00B05B64" w:rsidRPr="006D6937">
        <w:t>is research is the use of large</w:t>
      </w:r>
      <w:r w:rsidR="00DE2C31" w:rsidRPr="006D6937">
        <w:t xml:space="preserve"> nationally </w:t>
      </w:r>
      <w:r w:rsidR="001A1CB6" w:rsidRPr="006D6937">
        <w:t>representative sample</w:t>
      </w:r>
      <w:r w:rsidR="00DE2C31" w:rsidRPr="006D6937">
        <w:t xml:space="preserve"> </w:t>
      </w:r>
      <w:r w:rsidR="001A1CB6" w:rsidRPr="006D6937">
        <w:t xml:space="preserve">and </w:t>
      </w:r>
      <w:r w:rsidR="00B05B64" w:rsidRPr="006D6937">
        <w:t xml:space="preserve">that it </w:t>
      </w:r>
      <w:r w:rsidR="001A1CB6" w:rsidRPr="006D6937">
        <w:t xml:space="preserve">explored </w:t>
      </w:r>
      <w:r w:rsidR="00B05B64" w:rsidRPr="006D6937">
        <w:t>a broad range</w:t>
      </w:r>
      <w:r w:rsidR="001A1CB6" w:rsidRPr="006D6937">
        <w:t xml:space="preserve"> factors associated with contraceptive use</w:t>
      </w:r>
      <w:r w:rsidR="00B05B64" w:rsidRPr="006D6937">
        <w:t xml:space="preserve">, contributing to understanding of </w:t>
      </w:r>
      <w:r w:rsidR="00CB3C25" w:rsidRPr="006D6937">
        <w:t>the relationship between</w:t>
      </w:r>
      <w:r w:rsidR="00B05B64" w:rsidRPr="006D6937">
        <w:t xml:space="preserve"> IPV and contraceptive use</w:t>
      </w:r>
      <w:r w:rsidR="0067172A">
        <w:t xml:space="preserve"> </w:t>
      </w:r>
      <w:r w:rsidR="0014523F">
        <w:t>in the developing world</w:t>
      </w:r>
      <w:r w:rsidR="00B05B64" w:rsidRPr="006D6937">
        <w:t>.</w:t>
      </w:r>
      <w:r w:rsidR="00ED69AA" w:rsidRPr="006D6937">
        <w:t xml:space="preserve"> </w:t>
      </w:r>
    </w:p>
    <w:p w14:paraId="00C60B84" w14:textId="77777777" w:rsidR="00597537" w:rsidRPr="006D6937" w:rsidRDefault="00597537" w:rsidP="00B83EC3">
      <w:pPr>
        <w:spacing w:line="480" w:lineRule="auto"/>
        <w:rPr>
          <w:b/>
          <w:bCs/>
        </w:rPr>
      </w:pPr>
    </w:p>
    <w:p w14:paraId="647C71F6" w14:textId="275EF412" w:rsidR="00FC2FD3" w:rsidRPr="006D6937" w:rsidRDefault="00607C45" w:rsidP="00CC2174">
      <w:pPr>
        <w:pStyle w:val="Heading1"/>
      </w:pPr>
      <w:r w:rsidRPr="006D6937">
        <w:t>Conclusion</w:t>
      </w:r>
    </w:p>
    <w:p w14:paraId="5A4D0892" w14:textId="77777777" w:rsidR="0048265D" w:rsidRPr="006D6937" w:rsidRDefault="0048265D" w:rsidP="00B83EC3">
      <w:pPr>
        <w:spacing w:line="480" w:lineRule="auto"/>
        <w:jc w:val="both"/>
        <w:rPr>
          <w:bCs/>
        </w:rPr>
      </w:pPr>
    </w:p>
    <w:p w14:paraId="02013874" w14:textId="43187A75" w:rsidR="00BD51B4" w:rsidRPr="006D6937" w:rsidRDefault="00CF453D" w:rsidP="00B83EC3">
      <w:pPr>
        <w:spacing w:line="480" w:lineRule="auto"/>
        <w:jc w:val="both"/>
        <w:rPr>
          <w:bCs/>
        </w:rPr>
      </w:pPr>
      <w:r>
        <w:rPr>
          <w:bCs/>
        </w:rPr>
        <w:t>We</w:t>
      </w:r>
      <w:r w:rsidR="00BD51B4" w:rsidRPr="006D6937">
        <w:rPr>
          <w:bCs/>
        </w:rPr>
        <w:t xml:space="preserve"> demonstrated several factors which appear to </w:t>
      </w:r>
      <w:r w:rsidR="00642646" w:rsidRPr="006D6937">
        <w:rPr>
          <w:bCs/>
        </w:rPr>
        <w:t xml:space="preserve">be associated with </w:t>
      </w:r>
      <w:r w:rsidR="00BD51B4" w:rsidRPr="006D6937">
        <w:rPr>
          <w:bCs/>
        </w:rPr>
        <w:t xml:space="preserve">contraceptive use in Tanzanian women experiencing IPV. No doubt future qualitative research would </w:t>
      </w:r>
      <w:r w:rsidR="0038489F" w:rsidRPr="006D6937">
        <w:rPr>
          <w:bCs/>
        </w:rPr>
        <w:t>help</w:t>
      </w:r>
      <w:r w:rsidR="00BD51B4" w:rsidRPr="006D6937">
        <w:rPr>
          <w:bCs/>
        </w:rPr>
        <w:t xml:space="preserve"> increase</w:t>
      </w:r>
      <w:r w:rsidR="0038489F" w:rsidRPr="006D6937">
        <w:rPr>
          <w:bCs/>
        </w:rPr>
        <w:t xml:space="preserve"> the</w:t>
      </w:r>
      <w:r w:rsidR="00BD51B4" w:rsidRPr="006D6937">
        <w:rPr>
          <w:bCs/>
        </w:rPr>
        <w:t xml:space="preserve"> understanding of how educational levels and socioeconomic status affect the complex </w:t>
      </w:r>
      <w:r w:rsidR="00BD51B4" w:rsidRPr="006D6937">
        <w:rPr>
          <w:bCs/>
        </w:rPr>
        <w:lastRenderedPageBreak/>
        <w:t xml:space="preserve">interaction of circumstances which influence a woman’s contraceptive use, especially when faced with IPV. Further, </w:t>
      </w:r>
      <w:r>
        <w:rPr>
          <w:bCs/>
        </w:rPr>
        <w:t xml:space="preserve">conducting </w:t>
      </w:r>
      <w:r w:rsidR="00BD51B4" w:rsidRPr="006D6937">
        <w:rPr>
          <w:bCs/>
        </w:rPr>
        <w:t xml:space="preserve">a comparative study would help to tease out the psychosocial context which may influence the mixed results around contraceptive use and IPV </w:t>
      </w:r>
      <w:r w:rsidR="0067172A">
        <w:rPr>
          <w:bCs/>
        </w:rPr>
        <w:t>globally</w:t>
      </w:r>
      <w:r w:rsidR="003960C4" w:rsidRPr="006D6937">
        <w:rPr>
          <w:bCs/>
        </w:rPr>
        <w:t xml:space="preserve">. </w:t>
      </w:r>
      <w:r>
        <w:rPr>
          <w:bCs/>
        </w:rPr>
        <w:t>The</w:t>
      </w:r>
      <w:r w:rsidR="00BD51B4" w:rsidRPr="006D6937">
        <w:rPr>
          <w:bCs/>
        </w:rPr>
        <w:t xml:space="preserve"> </w:t>
      </w:r>
      <w:r>
        <w:rPr>
          <w:bCs/>
        </w:rPr>
        <w:t>clear</w:t>
      </w:r>
      <w:r w:rsidR="00BD51B4" w:rsidRPr="006D6937">
        <w:rPr>
          <w:bCs/>
        </w:rPr>
        <w:t xml:space="preserve"> need </w:t>
      </w:r>
      <w:r w:rsidR="003960C4" w:rsidRPr="006D6937">
        <w:rPr>
          <w:bCs/>
        </w:rPr>
        <w:t xml:space="preserve">for </w:t>
      </w:r>
      <w:r w:rsidR="00875216">
        <w:rPr>
          <w:bCs/>
        </w:rPr>
        <w:t xml:space="preserve">a broad range of </w:t>
      </w:r>
      <w:r w:rsidR="003960C4" w:rsidRPr="006D6937">
        <w:rPr>
          <w:bCs/>
        </w:rPr>
        <w:t xml:space="preserve">social interventions relating to IPV </w:t>
      </w:r>
      <w:r w:rsidR="00BD51B4" w:rsidRPr="006D6937">
        <w:rPr>
          <w:bCs/>
        </w:rPr>
        <w:t xml:space="preserve">to take into account the multi-factorial nature of </w:t>
      </w:r>
      <w:r w:rsidR="003960C4" w:rsidRPr="006D6937">
        <w:rPr>
          <w:bCs/>
        </w:rPr>
        <w:t>a woman’s uptake of contraceptive methods</w:t>
      </w:r>
      <w:r>
        <w:rPr>
          <w:bCs/>
        </w:rPr>
        <w:t xml:space="preserve"> has been underlined by this study</w:t>
      </w:r>
      <w:r w:rsidR="003960C4" w:rsidRPr="006D6937">
        <w:rPr>
          <w:bCs/>
        </w:rPr>
        <w:t>.</w:t>
      </w:r>
    </w:p>
    <w:p w14:paraId="74AB4189" w14:textId="77777777" w:rsidR="0048265D" w:rsidRPr="006D6937" w:rsidRDefault="0048265D" w:rsidP="00B83EC3">
      <w:pPr>
        <w:spacing w:line="480" w:lineRule="auto"/>
        <w:rPr>
          <w:b/>
        </w:rPr>
      </w:pPr>
    </w:p>
    <w:p w14:paraId="76D3B8D9" w14:textId="1BB59386" w:rsidR="00521E3A" w:rsidRPr="006D6937" w:rsidRDefault="00F24010" w:rsidP="00B83EC3">
      <w:pPr>
        <w:spacing w:line="480" w:lineRule="auto"/>
      </w:pPr>
      <w:r w:rsidRPr="006D6937">
        <w:rPr>
          <w:b/>
        </w:rPr>
        <w:t>Conflict of Interest:</w:t>
      </w:r>
      <w:r w:rsidRPr="006D6937">
        <w:t xml:space="preserve"> There are no conflicts of interest.</w:t>
      </w:r>
    </w:p>
    <w:p w14:paraId="2DB42D58" w14:textId="77777777" w:rsidR="006D6937" w:rsidRPr="006D6937" w:rsidRDefault="006D6937" w:rsidP="00B83EC3">
      <w:pPr>
        <w:spacing w:line="480" w:lineRule="auto"/>
        <w:rPr>
          <w:b/>
        </w:rPr>
      </w:pPr>
    </w:p>
    <w:p w14:paraId="33674702" w14:textId="49D00D47" w:rsidR="00E5000C" w:rsidRPr="006D6937" w:rsidRDefault="00975DA9" w:rsidP="00CC2174">
      <w:pPr>
        <w:pStyle w:val="Heading1"/>
      </w:pPr>
      <w:r w:rsidRPr="006D6937">
        <w:t>References</w:t>
      </w:r>
    </w:p>
    <w:p w14:paraId="576A2BEE" w14:textId="606AD52F" w:rsidR="00726BC5" w:rsidRPr="006D6937" w:rsidRDefault="00726BC5" w:rsidP="00B83EC3">
      <w:pPr>
        <w:spacing w:line="480" w:lineRule="auto"/>
        <w:rPr>
          <w:b/>
        </w:rPr>
      </w:pPr>
    </w:p>
    <w:p w14:paraId="17E21A79" w14:textId="07FC8CB2" w:rsidR="00CF453D" w:rsidRDefault="00CF453D" w:rsidP="00CF453D">
      <w:pPr>
        <w:spacing w:line="480" w:lineRule="auto"/>
        <w:ind w:left="720" w:hanging="720"/>
        <w:jc w:val="both"/>
      </w:pPr>
      <w:r w:rsidRPr="00CF6EA5">
        <w:t>Abeid, M., Muganyizi, P., Massawe, S., Mpembeni, R., Darj, E., &amp; Axemo, P. (2015). Knowledge and attitude towards rape and child sexual abuse- a community based cross-sectional study in Rural Tanzania. BMC Public Health, 15:428.</w:t>
      </w:r>
    </w:p>
    <w:p w14:paraId="7EAE3FBC" w14:textId="60A9C04C" w:rsidR="00DA0271" w:rsidRDefault="00DA0271" w:rsidP="00CC2174">
      <w:pPr>
        <w:spacing w:line="480" w:lineRule="auto"/>
        <w:jc w:val="both"/>
      </w:pPr>
      <w:r>
        <w:t>Bacchus, L., Mezey, G. &amp; Bewley, S. (2002).</w:t>
      </w:r>
    </w:p>
    <w:p w14:paraId="581E63E8" w14:textId="1D1EAAAF" w:rsidR="00CF453D" w:rsidRPr="00CF6EA5" w:rsidRDefault="0014523F" w:rsidP="00CF453D">
      <w:pPr>
        <w:spacing w:line="480" w:lineRule="auto"/>
        <w:ind w:left="720" w:hanging="720"/>
        <w:jc w:val="both"/>
      </w:pPr>
      <w:r>
        <w:t>Women's perceptions and experiences of routine enquiry for domestic violence in a maternity service,</w:t>
      </w:r>
      <w:r w:rsidR="00DA0271">
        <w:t xml:space="preserve"> </w:t>
      </w:r>
      <w:r>
        <w:t>BJOG: An International Journal of Obstetrics and Gynaecology,</w:t>
      </w:r>
      <w:r w:rsidR="00DA0271">
        <w:t xml:space="preserve"> 109(1); 9-16/</w:t>
      </w:r>
      <w:bookmarkStart w:id="1" w:name="_Hlk17207434"/>
      <w:r w:rsidR="00CF453D" w:rsidRPr="00CF6EA5">
        <w:t>Chalachala JL, Margolis L, Martin SL. (2016). Association of Intimate Partner Violence (IPV) and Current Contraceptive Use in the Democratic Republic of Congo (DRC): a secondary data analysis of the Demographic Health Survey (DHS) II 2013-2014. University of North Carolina.</w:t>
      </w:r>
    </w:p>
    <w:bookmarkEnd w:id="1"/>
    <w:p w14:paraId="20EB8DDB" w14:textId="52B8D2CE" w:rsidR="00CF453D" w:rsidRPr="00CF6EA5" w:rsidRDefault="00CF453D" w:rsidP="00CF453D">
      <w:pPr>
        <w:spacing w:line="480" w:lineRule="auto"/>
        <w:ind w:left="720" w:hanging="720"/>
        <w:jc w:val="both"/>
        <w:rPr>
          <w:szCs w:val="16"/>
        </w:rPr>
      </w:pPr>
      <w:r w:rsidRPr="00CF6EA5">
        <w:rPr>
          <w:szCs w:val="16"/>
        </w:rPr>
        <w:t>Cripe SM, Sanchez SE, Perales MT, Lam N, Garcia P, Williams MA. (2008). Association of intimate partner physical and sexual violence with unintended pregnancy among pregnant women in Peru. International J Gynaecology Obstetrics, 1001:104–8.</w:t>
      </w:r>
    </w:p>
    <w:p w14:paraId="07ADC47B" w14:textId="326EB29E" w:rsidR="00CF453D" w:rsidRDefault="00CF453D" w:rsidP="00CF453D">
      <w:pPr>
        <w:spacing w:line="480" w:lineRule="auto"/>
        <w:ind w:left="720" w:hanging="720"/>
        <w:jc w:val="both"/>
      </w:pPr>
      <w:r w:rsidRPr="00CF6EA5">
        <w:lastRenderedPageBreak/>
        <w:t xml:space="preserve">Dalal K, Andrews J, Dawad S. (2012). Contraception use and associations with intimate partner violence among women in Bangladesh. J Biosoc Sci., 16:44(1):83–94. </w:t>
      </w:r>
    </w:p>
    <w:p w14:paraId="438A7A95" w14:textId="284603A2" w:rsidR="0014523F" w:rsidRDefault="0014523F" w:rsidP="0014523F">
      <w:pPr>
        <w:spacing w:line="480" w:lineRule="auto"/>
        <w:ind w:left="720" w:hanging="720"/>
        <w:jc w:val="both"/>
      </w:pPr>
      <w:r>
        <w:t>Davis,</w:t>
      </w:r>
      <w:r w:rsidR="00DA0271">
        <w:t xml:space="preserve"> R. &amp;</w:t>
      </w:r>
      <w:r>
        <w:t xml:space="preserve"> Harsh,</w:t>
      </w:r>
      <w:r w:rsidR="00DA0271">
        <w:t xml:space="preserve"> K. (2001). </w:t>
      </w:r>
    </w:p>
    <w:p w14:paraId="328D78A0" w14:textId="77777777" w:rsidR="0014523F" w:rsidRDefault="0014523F" w:rsidP="00CC2174">
      <w:pPr>
        <w:spacing w:line="480" w:lineRule="auto"/>
        <w:ind w:firstLine="720"/>
        <w:jc w:val="both"/>
      </w:pPr>
      <w:r>
        <w:t>Confronting barriers to universal screening for domestic violence,</w:t>
      </w:r>
    </w:p>
    <w:p w14:paraId="305765D2" w14:textId="3D256F07" w:rsidR="00CF453D" w:rsidRPr="00CF6EA5" w:rsidRDefault="0014523F" w:rsidP="00CF453D">
      <w:pPr>
        <w:spacing w:line="480" w:lineRule="auto"/>
        <w:ind w:left="720" w:hanging="720"/>
        <w:jc w:val="both"/>
      </w:pPr>
      <w:r>
        <w:t>Journal of Professional Nursing</w:t>
      </w:r>
      <w:r w:rsidR="00914F36">
        <w:t>17(6);313-320</w:t>
      </w:r>
      <w:r w:rsidR="00CF453D" w:rsidRPr="00CF6EA5">
        <w:t xml:space="preserve">Forrest W, Arunachalam D, Navaneetham K. (2017). Intimate partner violence and contraceptive use in India: the moderating influence of conflicting fertility preferences and contraceptive intentions. J Biosoc Sci., 5:1–15. </w:t>
      </w:r>
    </w:p>
    <w:p w14:paraId="23E9F98A" w14:textId="77777777" w:rsidR="00CF453D" w:rsidRPr="00CF6EA5" w:rsidRDefault="00CF453D" w:rsidP="00CF453D">
      <w:pPr>
        <w:spacing w:line="480" w:lineRule="auto"/>
        <w:ind w:left="720" w:hanging="720"/>
        <w:jc w:val="both"/>
      </w:pPr>
      <w:bookmarkStart w:id="2" w:name="_Hlk17207798"/>
      <w:r w:rsidRPr="00CF6EA5">
        <w:t xml:space="preserve">Gilles K. (2015). Intimate partner violence and family planning: opportunities for action. Policy Brief: Population Reference Bureau. </w:t>
      </w:r>
    </w:p>
    <w:bookmarkEnd w:id="2"/>
    <w:p w14:paraId="6216EB36" w14:textId="294B3866" w:rsidR="00CF453D" w:rsidRDefault="00CF453D" w:rsidP="00CF453D">
      <w:pPr>
        <w:spacing w:line="480" w:lineRule="auto"/>
        <w:ind w:left="720" w:hanging="720"/>
        <w:jc w:val="both"/>
      </w:pPr>
      <w:r w:rsidRPr="00CF6EA5">
        <w:t>Kidayi, P.L. Msuya, S., Todd, J., Mtuya, C.C., Mtuy, T., and Mahande, M.J. (2015). Determinants of modern contraceptive use among women of reproductive age in Tanzania: Evidence from Tanzania Demographic and Health Survey Data. Advances in Sex Med, 5:43-52.</w:t>
      </w:r>
    </w:p>
    <w:p w14:paraId="4C6A4550" w14:textId="2AA2996C" w:rsidR="00DA0271" w:rsidRDefault="00DA0271" w:rsidP="00DA0271">
      <w:r>
        <w:rPr>
          <w:rStyle w:val="authors"/>
        </w:rPr>
        <w:t xml:space="preserve">Laisser, R. et al. </w:t>
      </w:r>
      <w:r>
        <w:rPr>
          <w:rStyle w:val="Date1"/>
        </w:rPr>
        <w:t>(2011)</w:t>
      </w:r>
      <w:r>
        <w:t xml:space="preserve"> </w:t>
      </w:r>
      <w:r>
        <w:rPr>
          <w:rStyle w:val="arttitle"/>
        </w:rPr>
        <w:t>Screening of women for intimate partner violence: a pilot intervention at an outpatient department in Tanzania,</w:t>
      </w:r>
      <w:r>
        <w:t xml:space="preserve"> </w:t>
      </w:r>
      <w:r>
        <w:rPr>
          <w:rStyle w:val="serialtitle"/>
        </w:rPr>
        <w:t>Global Health Action,</w:t>
      </w:r>
      <w:r>
        <w:t xml:space="preserve"> </w:t>
      </w:r>
      <w:r>
        <w:rPr>
          <w:rStyle w:val="volumeissue"/>
        </w:rPr>
        <w:t>4:1.</w:t>
      </w:r>
    </w:p>
    <w:p w14:paraId="45BF713A" w14:textId="77777777" w:rsidR="00DA0271" w:rsidRPr="00CF6EA5" w:rsidRDefault="00DA0271" w:rsidP="00CF453D">
      <w:pPr>
        <w:spacing w:line="480" w:lineRule="auto"/>
        <w:ind w:left="720" w:hanging="720"/>
        <w:jc w:val="both"/>
      </w:pPr>
    </w:p>
    <w:p w14:paraId="244A6CC8" w14:textId="77777777" w:rsidR="00CF453D" w:rsidRPr="00CF6EA5" w:rsidRDefault="00CF453D" w:rsidP="00CF453D">
      <w:pPr>
        <w:spacing w:line="480" w:lineRule="auto"/>
        <w:ind w:left="720" w:hanging="720"/>
        <w:jc w:val="both"/>
      </w:pPr>
      <w:r w:rsidRPr="00CF6EA5">
        <w:t xml:space="preserve">Maxwell L, Devries K, Zionts D, Alhusen JL, Campbell J. (2015). Estimating the Effect of Intimate Partner Violence on Women’s Use of Contraception: A Systematic Review and Meta-Analysis. PLoS One, 18:10(e0118234):25. </w:t>
      </w:r>
    </w:p>
    <w:p w14:paraId="563BF94A" w14:textId="77777777" w:rsidR="00CF453D" w:rsidRPr="00CF6EA5" w:rsidRDefault="00CF453D" w:rsidP="00CF453D">
      <w:pPr>
        <w:spacing w:line="480" w:lineRule="auto"/>
        <w:ind w:left="720" w:hanging="720"/>
        <w:jc w:val="both"/>
      </w:pPr>
      <w:r w:rsidRPr="00CF6EA5">
        <w:t>Mbekenga, C.K., Pembe, A.B., Christensson, K., Darj, E., Olsson, P. (2011). Informal support of first parents after child birth: a qualitative study in low-income suburbs of Dar es Salaam, Tanzania. BMC Pregnancy Childbirth, 11:98.</w:t>
      </w:r>
    </w:p>
    <w:p w14:paraId="55D77468" w14:textId="77777777" w:rsidR="00CF453D" w:rsidRPr="00CF6EA5" w:rsidRDefault="00CF453D" w:rsidP="00CF453D">
      <w:pPr>
        <w:spacing w:line="480" w:lineRule="auto"/>
        <w:ind w:left="720" w:hanging="720"/>
        <w:jc w:val="both"/>
      </w:pPr>
      <w:bookmarkStart w:id="3" w:name="_Hlk17208359"/>
      <w:r w:rsidRPr="00CF6EA5">
        <w:t xml:space="preserve">Ministry of Health, Community Development, Gender, Elderly and Children (MoHCDGEC) [Tanzania Mainland], Ministry of Health (MoH) [Zanzibar], National Bureau of Statistics (NBS), Office of the Chief Government Statistician (OCGS) and ICF. (2016). </w:t>
      </w:r>
      <w:r w:rsidRPr="00CF6EA5">
        <w:lastRenderedPageBreak/>
        <w:t>Tanzania Demographic and Health Survey and Malaria Indicator Survey (TDHS-MIS) 2015-16. Dar es Salaam, Tanzania and Rockville, Maryland, USA: MoHCDGEC, MoH, NBS, OCGS and ICF.</w:t>
      </w:r>
    </w:p>
    <w:bookmarkEnd w:id="3"/>
    <w:p w14:paraId="4599A288" w14:textId="77777777" w:rsidR="00CF453D" w:rsidRPr="00CF6EA5" w:rsidRDefault="00CF453D" w:rsidP="00CF453D">
      <w:pPr>
        <w:spacing w:line="480" w:lineRule="auto"/>
        <w:ind w:left="720" w:hanging="720"/>
        <w:jc w:val="both"/>
      </w:pPr>
      <w:r w:rsidRPr="00CF6EA5">
        <w:t>Murshid NS. (2017). Intimate partner violence and contraception in Pakistan: Results from Pakistan Demographic and Health Survey 2012–13. Womens Stud Int Forum, 64:10–6.</w:t>
      </w:r>
    </w:p>
    <w:p w14:paraId="31FD12B3" w14:textId="77777777" w:rsidR="00CF453D" w:rsidRPr="00CF6EA5" w:rsidRDefault="00CF453D" w:rsidP="00CF453D">
      <w:pPr>
        <w:spacing w:line="480" w:lineRule="auto"/>
        <w:ind w:left="720" w:hanging="720"/>
        <w:jc w:val="both"/>
      </w:pPr>
      <w:bookmarkStart w:id="4" w:name="_Hlk17208010"/>
      <w:r w:rsidRPr="00CF6EA5">
        <w:t>National Bureau of Statistics (NBS) [Tanzania] and ICF Macro. Tanzania Demographic and Health Survey (2010). Dar es Salaam, Tanzania: National Bureau of Statistics, and ORC Macro</w:t>
      </w:r>
      <w:bookmarkEnd w:id="4"/>
      <w:r w:rsidRPr="00CF6EA5">
        <w:t>.</w:t>
      </w:r>
    </w:p>
    <w:p w14:paraId="54C327F4" w14:textId="77777777" w:rsidR="00CF453D" w:rsidRPr="00CF6EA5" w:rsidRDefault="00CF453D" w:rsidP="00CF453D">
      <w:pPr>
        <w:spacing w:line="480" w:lineRule="auto"/>
        <w:ind w:left="720" w:hanging="720"/>
        <w:jc w:val="both"/>
      </w:pPr>
      <w:r w:rsidRPr="00CF6EA5">
        <w:t xml:space="preserve">Öberg M, Stenson K, Skalkidou A, Heimer G. (2014).  Prevalence of intimate partner violence among women seeking termination of pregnancy compared to women seeking contraceptive counseling. Acta Obstetricia Gynecologica Scandinavica, 93(1):45–51. </w:t>
      </w:r>
    </w:p>
    <w:p w14:paraId="5DE0AE0E" w14:textId="77777777" w:rsidR="00CF453D" w:rsidRPr="00CF6EA5" w:rsidRDefault="00CF453D" w:rsidP="00CF453D">
      <w:pPr>
        <w:spacing w:line="480" w:lineRule="auto"/>
        <w:ind w:left="720" w:hanging="720"/>
        <w:jc w:val="both"/>
      </w:pPr>
      <w:r w:rsidRPr="00CF6EA5">
        <w:t xml:space="preserve">Reed E, Saggurti N, Donta B, Ritter J, Dasgupta A, Ghule M, et al. (2016). Intimate partner violence among married couples in India and contraceptive use reported by women but not husbands. International J Gynecology Obstetrics, 133(1):22–5. </w:t>
      </w:r>
    </w:p>
    <w:p w14:paraId="0F8236F1" w14:textId="77777777" w:rsidR="00CF453D" w:rsidRPr="00CF6EA5" w:rsidRDefault="00CF453D" w:rsidP="00CF453D">
      <w:pPr>
        <w:spacing w:line="480" w:lineRule="auto"/>
        <w:jc w:val="both"/>
      </w:pPr>
      <w:r w:rsidRPr="00CF6EA5">
        <w:t xml:space="preserve">Sigalla, G.N., Rasch, V., Gammeltoft, T., Meyrowitsch, D.W., Rogathi, J., Manogi, R., </w:t>
      </w:r>
    </w:p>
    <w:p w14:paraId="11826597" w14:textId="77777777" w:rsidR="00CF453D" w:rsidRPr="00CF6EA5" w:rsidRDefault="00CF453D" w:rsidP="00CF453D">
      <w:pPr>
        <w:spacing w:line="480" w:lineRule="auto"/>
        <w:ind w:left="720"/>
      </w:pPr>
      <w:r w:rsidRPr="00CF6EA5">
        <w:t>&amp; Mushi, D. (2017). Social Support and intimate partner violence during pregnancy among attending antenatal care in Moshi Municipality, Northern Tanzania. BMC Public Health, 17:240.</w:t>
      </w:r>
    </w:p>
    <w:p w14:paraId="52800182" w14:textId="77777777" w:rsidR="00CF453D" w:rsidRPr="00CF6EA5" w:rsidRDefault="00CF453D" w:rsidP="00CF453D">
      <w:pPr>
        <w:spacing w:line="480" w:lineRule="auto"/>
        <w:ind w:left="720" w:hanging="720"/>
        <w:jc w:val="both"/>
      </w:pPr>
      <w:r w:rsidRPr="00CF6EA5">
        <w:rPr>
          <w:szCs w:val="16"/>
        </w:rPr>
        <w:t>Stephenson R, Koenig MA, Acharya R, Roy TK. (2008). Domestic violence, contraceptive use, and unwanted pregnancy in rural India. Stud in Family Plan, 391:177–86.</w:t>
      </w:r>
    </w:p>
    <w:p w14:paraId="13C6C626" w14:textId="77777777" w:rsidR="00CF453D" w:rsidRPr="00CF6EA5" w:rsidRDefault="00CF453D" w:rsidP="00CF453D">
      <w:pPr>
        <w:spacing w:line="480" w:lineRule="auto"/>
        <w:ind w:left="720" w:hanging="720"/>
        <w:jc w:val="both"/>
      </w:pPr>
      <w:r w:rsidRPr="00CF6EA5">
        <w:t xml:space="preserve">Swan H &amp; O’Connell DJ. (2012). The Impact of Intimate Partner Violence on Women’s Condom Negotiation Efficacy. J Interpers Violence, 10:27(4):775–92. </w:t>
      </w:r>
    </w:p>
    <w:p w14:paraId="4BAC6530" w14:textId="77777777" w:rsidR="00CF453D" w:rsidRPr="00CF6EA5" w:rsidRDefault="00CF453D" w:rsidP="00CF453D">
      <w:pPr>
        <w:spacing w:line="480" w:lineRule="auto"/>
        <w:ind w:left="709" w:hanging="709"/>
        <w:jc w:val="both"/>
      </w:pPr>
      <w:r w:rsidRPr="00CF6EA5">
        <w:lastRenderedPageBreak/>
        <w:t xml:space="preserve">Tsai LC, Cappa C, Petrowski N. (2016). The Relationship between Intimate Partner Violence and Family Planning among Girls and Young Women in the Philippines. Glob J Health, Sci.; 4:8(9):121. </w:t>
      </w:r>
    </w:p>
    <w:p w14:paraId="2FB2C3EC" w14:textId="77777777" w:rsidR="00CF453D" w:rsidRPr="00CF6EA5" w:rsidRDefault="00CF453D" w:rsidP="00CF453D">
      <w:pPr>
        <w:spacing w:line="480" w:lineRule="auto"/>
        <w:ind w:left="720" w:hanging="720"/>
        <w:jc w:val="both"/>
      </w:pPr>
      <w:bookmarkStart w:id="5" w:name="_Hlk17208107"/>
      <w:r w:rsidRPr="00CF6EA5">
        <w:t>UN Women (2013). Violence against women prevalence data: Surveys by country.</w:t>
      </w:r>
    </w:p>
    <w:bookmarkEnd w:id="5"/>
    <w:p w14:paraId="7812F445" w14:textId="77777777" w:rsidR="00CF453D" w:rsidRPr="00CF6EA5" w:rsidRDefault="00CF453D" w:rsidP="00CF453D">
      <w:pPr>
        <w:spacing w:line="480" w:lineRule="auto"/>
        <w:ind w:left="720" w:hanging="720"/>
        <w:jc w:val="both"/>
      </w:pPr>
      <w:r w:rsidRPr="00CF6EA5">
        <w:t>Singh, N. and Shukla, S.K. (2017). Does Violence affect the use of contraception? Identifying the hidden factors from rural India. J of Family Medicine and Prim Care, 6(1):73-77.</w:t>
      </w:r>
    </w:p>
    <w:p w14:paraId="0A31FC79" w14:textId="10EDEDC2" w:rsidR="00CF453D" w:rsidRPr="00CF6EA5" w:rsidRDefault="00CF453D" w:rsidP="00CF453D">
      <w:pPr>
        <w:spacing w:line="480" w:lineRule="auto"/>
        <w:ind w:left="720" w:hanging="720"/>
        <w:jc w:val="both"/>
      </w:pPr>
      <w:r w:rsidRPr="00CF6EA5">
        <w:t>Viswan, S.P., Ravindran, T.K.S., Kandala, N-B., Petzold, M.G., Fonn, S. (2017). Sexual autonomy and contraceptive use among women in Nigeria: findings from the Demographic and Health Survey data. International J of Women’s Health.9:581-590.</w:t>
      </w:r>
    </w:p>
    <w:p w14:paraId="6D13F69C" w14:textId="77777777" w:rsidR="002F5FB9" w:rsidRDefault="002F5FB9" w:rsidP="00CC2174">
      <w:pPr>
        <w:pStyle w:val="Heading1"/>
      </w:pPr>
      <w:r>
        <w:t>Table 1: Socio-demographic</w:t>
      </w:r>
      <w:r w:rsidRPr="0E14A658">
        <w:t xml:space="preserve"> characteristic</w:t>
      </w:r>
      <w:r>
        <w:t>s</w:t>
      </w:r>
      <w:r w:rsidRPr="0E14A658">
        <w:t xml:space="preserve"> of the respondents</w:t>
      </w:r>
    </w:p>
    <w:p w14:paraId="4D8744C9" w14:textId="5966B540" w:rsidR="00A6757E" w:rsidRDefault="00A6757E" w:rsidP="00B83EC3">
      <w:pPr>
        <w:spacing w:line="480" w:lineRule="auto"/>
        <w:ind w:left="720" w:hanging="720"/>
        <w:jc w:val="both"/>
      </w:pPr>
    </w:p>
    <w:p w14:paraId="76552096" w14:textId="3AD008F0" w:rsidR="002F5FB9" w:rsidRDefault="002F5FB9" w:rsidP="00B83EC3">
      <w:pPr>
        <w:spacing w:line="480" w:lineRule="auto"/>
        <w:ind w:left="720" w:hanging="720"/>
        <w:jc w:val="both"/>
      </w:pPr>
    </w:p>
    <w:p w14:paraId="38B564CE" w14:textId="77777777" w:rsidR="002F5FB9" w:rsidRDefault="002F5FB9" w:rsidP="00B83EC3">
      <w:pPr>
        <w:spacing w:line="480" w:lineRule="auto"/>
        <w:ind w:left="720" w:hanging="720"/>
        <w:jc w:val="both"/>
      </w:pPr>
    </w:p>
    <w:p w14:paraId="182DA480" w14:textId="77777777" w:rsidR="00A6757E" w:rsidRPr="00CF6EA5" w:rsidRDefault="00A6757E" w:rsidP="00A6757E">
      <w:pPr>
        <w:spacing w:line="480" w:lineRule="auto"/>
      </w:pPr>
    </w:p>
    <w:tbl>
      <w:tblPr>
        <w:tblStyle w:val="TableGrid"/>
        <w:tblpPr w:leftFromText="180" w:rightFromText="180" w:horzAnchor="page" w:tblpX="1630" w:tblpY="544"/>
        <w:tblW w:w="6962" w:type="dxa"/>
        <w:tblLook w:val="0000" w:firstRow="0" w:lastRow="0" w:firstColumn="0" w:lastColumn="0" w:noHBand="0" w:noVBand="0"/>
      </w:tblPr>
      <w:tblGrid>
        <w:gridCol w:w="3627"/>
        <w:gridCol w:w="1919"/>
        <w:gridCol w:w="1416"/>
      </w:tblGrid>
      <w:tr w:rsidR="00A6757E" w:rsidRPr="00034898" w14:paraId="78941B1F" w14:textId="77777777" w:rsidTr="00A6757E">
        <w:trPr>
          <w:trHeight w:val="353"/>
        </w:trPr>
        <w:tc>
          <w:tcPr>
            <w:tcW w:w="3627" w:type="dxa"/>
          </w:tcPr>
          <w:p w14:paraId="2A0C7C7F" w14:textId="77777777" w:rsidR="00A6757E" w:rsidRPr="003A5B5D" w:rsidRDefault="00A6757E" w:rsidP="00A6757E">
            <w:pPr>
              <w:spacing w:line="360" w:lineRule="auto"/>
              <w:ind w:left="99"/>
              <w:rPr>
                <w:b/>
                <w:bCs/>
              </w:rPr>
            </w:pPr>
            <w:r w:rsidRPr="0E14A658">
              <w:rPr>
                <w:b/>
                <w:bCs/>
              </w:rPr>
              <w:lastRenderedPageBreak/>
              <w:t>Categories</w:t>
            </w:r>
          </w:p>
        </w:tc>
        <w:tc>
          <w:tcPr>
            <w:tcW w:w="1919" w:type="dxa"/>
          </w:tcPr>
          <w:p w14:paraId="3C10DE3E" w14:textId="77777777" w:rsidR="00A6757E" w:rsidRPr="003A5B5D" w:rsidRDefault="00A6757E" w:rsidP="00A6757E">
            <w:pPr>
              <w:jc w:val="center"/>
              <w:rPr>
                <w:b/>
                <w:bCs/>
              </w:rPr>
            </w:pPr>
            <w:r w:rsidRPr="0E14A658">
              <w:rPr>
                <w:b/>
                <w:bCs/>
              </w:rPr>
              <w:t>Frequency</w:t>
            </w:r>
          </w:p>
        </w:tc>
        <w:tc>
          <w:tcPr>
            <w:tcW w:w="1416" w:type="dxa"/>
          </w:tcPr>
          <w:p w14:paraId="6E2ABCA6" w14:textId="77777777" w:rsidR="00A6757E" w:rsidRPr="003A5B5D" w:rsidRDefault="00A6757E" w:rsidP="00A6757E">
            <w:pPr>
              <w:jc w:val="right"/>
              <w:rPr>
                <w:b/>
                <w:bCs/>
              </w:rPr>
            </w:pPr>
            <w:r w:rsidRPr="0E14A658">
              <w:rPr>
                <w:b/>
                <w:bCs/>
              </w:rPr>
              <w:t>Percentage</w:t>
            </w:r>
          </w:p>
        </w:tc>
      </w:tr>
      <w:tr w:rsidR="00A6757E" w:rsidRPr="00034898" w14:paraId="420797BE" w14:textId="77777777" w:rsidTr="00A6757E">
        <w:trPr>
          <w:trHeight w:val="1178"/>
        </w:trPr>
        <w:tc>
          <w:tcPr>
            <w:tcW w:w="3627" w:type="dxa"/>
          </w:tcPr>
          <w:p w14:paraId="64E166FA" w14:textId="77777777" w:rsidR="00A6757E" w:rsidRPr="00E350AD" w:rsidRDefault="00A6757E" w:rsidP="00A6757E">
            <w:pPr>
              <w:ind w:left="96"/>
              <w:rPr>
                <w:b/>
                <w:bCs/>
              </w:rPr>
            </w:pPr>
            <w:r w:rsidRPr="00E350AD">
              <w:rPr>
                <w:b/>
                <w:bCs/>
              </w:rPr>
              <w:t>Age of the respondent</w:t>
            </w:r>
          </w:p>
          <w:p w14:paraId="36386242" w14:textId="77777777" w:rsidR="00A6757E" w:rsidRPr="00E350AD" w:rsidRDefault="00A6757E" w:rsidP="00A6757E">
            <w:pPr>
              <w:ind w:left="96"/>
            </w:pPr>
            <w:r w:rsidRPr="00E350AD">
              <w:t>15-24</w:t>
            </w:r>
          </w:p>
          <w:p w14:paraId="2C1E44DC" w14:textId="77777777" w:rsidR="00A6757E" w:rsidRPr="00E350AD" w:rsidRDefault="00A6757E" w:rsidP="00A6757E">
            <w:pPr>
              <w:ind w:left="96"/>
            </w:pPr>
            <w:r w:rsidRPr="00E350AD">
              <w:t>25-34</w:t>
            </w:r>
          </w:p>
          <w:p w14:paraId="20447F52" w14:textId="77777777" w:rsidR="00A6757E" w:rsidRPr="00E350AD" w:rsidRDefault="00A6757E" w:rsidP="00A6757E">
            <w:pPr>
              <w:ind w:left="96"/>
            </w:pPr>
            <w:r w:rsidRPr="00E350AD">
              <w:t>35-49</w:t>
            </w:r>
          </w:p>
          <w:p w14:paraId="7ED526A1" w14:textId="77777777" w:rsidR="00A6757E" w:rsidRPr="00E350AD" w:rsidRDefault="00A6757E" w:rsidP="00A6757E">
            <w:pPr>
              <w:ind w:left="96"/>
            </w:pPr>
            <w:r w:rsidRPr="00E350AD">
              <w:t>Mean ± SD</w:t>
            </w:r>
          </w:p>
          <w:p w14:paraId="5237F762" w14:textId="77777777" w:rsidR="00A6757E" w:rsidRPr="00E350AD" w:rsidRDefault="00A6757E" w:rsidP="00A6757E">
            <w:pPr>
              <w:ind w:left="96"/>
            </w:pPr>
            <w:r w:rsidRPr="00E350AD">
              <w:t>Median</w:t>
            </w:r>
          </w:p>
        </w:tc>
        <w:tc>
          <w:tcPr>
            <w:tcW w:w="1919" w:type="dxa"/>
          </w:tcPr>
          <w:p w14:paraId="481A3F0C" w14:textId="77777777" w:rsidR="00A6757E" w:rsidRPr="00E350AD" w:rsidRDefault="00A6757E" w:rsidP="00A6757E">
            <w:pPr>
              <w:jc w:val="center"/>
            </w:pPr>
          </w:p>
          <w:p w14:paraId="31F17E09" w14:textId="77777777" w:rsidR="00A6757E" w:rsidRPr="00E350AD" w:rsidRDefault="00A6757E" w:rsidP="00A6757E">
            <w:pPr>
              <w:jc w:val="center"/>
            </w:pPr>
            <w:r w:rsidRPr="00E350AD">
              <w:t>5399</w:t>
            </w:r>
          </w:p>
          <w:p w14:paraId="187CEE79" w14:textId="77777777" w:rsidR="00A6757E" w:rsidRPr="00E350AD" w:rsidRDefault="00A6757E" w:rsidP="00A6757E">
            <w:pPr>
              <w:jc w:val="center"/>
            </w:pPr>
            <w:r w:rsidRPr="00E350AD">
              <w:t>3856</w:t>
            </w:r>
          </w:p>
          <w:p w14:paraId="0BD54B36" w14:textId="77777777" w:rsidR="00A6757E" w:rsidRPr="00E350AD" w:rsidRDefault="00A6757E" w:rsidP="00A6757E">
            <w:pPr>
              <w:jc w:val="center"/>
            </w:pPr>
            <w:r w:rsidRPr="00E350AD">
              <w:t>4011</w:t>
            </w:r>
          </w:p>
          <w:p w14:paraId="10B31363" w14:textId="77777777" w:rsidR="00A6757E" w:rsidRPr="00E350AD" w:rsidRDefault="00A6757E" w:rsidP="00A6757E">
            <w:pPr>
              <w:jc w:val="center"/>
            </w:pPr>
            <w:r w:rsidRPr="00E350AD">
              <w:t>28.69±9.7</w:t>
            </w:r>
          </w:p>
          <w:p w14:paraId="40FB7C5B" w14:textId="77777777" w:rsidR="00A6757E" w:rsidRPr="00E350AD" w:rsidRDefault="00A6757E" w:rsidP="00A6757E">
            <w:pPr>
              <w:jc w:val="center"/>
            </w:pPr>
            <w:r w:rsidRPr="00E350AD">
              <w:t>27</w:t>
            </w:r>
          </w:p>
        </w:tc>
        <w:tc>
          <w:tcPr>
            <w:tcW w:w="1416" w:type="dxa"/>
          </w:tcPr>
          <w:p w14:paraId="0ADE7C2A" w14:textId="77777777" w:rsidR="00A6757E" w:rsidRPr="003A5B5D" w:rsidRDefault="00A6757E" w:rsidP="00A6757E">
            <w:pPr>
              <w:jc w:val="right"/>
            </w:pPr>
          </w:p>
          <w:p w14:paraId="144E0737" w14:textId="77777777" w:rsidR="00A6757E" w:rsidRPr="003A5B5D" w:rsidRDefault="00A6757E" w:rsidP="00A6757E">
            <w:pPr>
              <w:ind w:left="99"/>
              <w:jc w:val="right"/>
            </w:pPr>
            <w:r w:rsidRPr="1CD144C1">
              <w:t>40.7</w:t>
            </w:r>
          </w:p>
          <w:p w14:paraId="1077860D" w14:textId="77777777" w:rsidR="00A6757E" w:rsidRPr="003A5B5D" w:rsidRDefault="00A6757E" w:rsidP="00A6757E">
            <w:pPr>
              <w:ind w:left="99"/>
              <w:jc w:val="right"/>
            </w:pPr>
            <w:r w:rsidRPr="1CD144C1">
              <w:t>29.1</w:t>
            </w:r>
          </w:p>
          <w:p w14:paraId="545E559F" w14:textId="77777777" w:rsidR="00A6757E" w:rsidRPr="003A5B5D" w:rsidRDefault="00A6757E" w:rsidP="00A6757E">
            <w:pPr>
              <w:ind w:left="99"/>
              <w:jc w:val="right"/>
            </w:pPr>
            <w:r w:rsidRPr="1CD144C1">
              <w:t>30.2</w:t>
            </w:r>
          </w:p>
        </w:tc>
      </w:tr>
      <w:tr w:rsidR="00A6757E" w:rsidRPr="00034898" w14:paraId="0E0160C1" w14:textId="77777777" w:rsidTr="00A6757E">
        <w:trPr>
          <w:trHeight w:val="646"/>
        </w:trPr>
        <w:tc>
          <w:tcPr>
            <w:tcW w:w="3627" w:type="dxa"/>
          </w:tcPr>
          <w:p w14:paraId="38552BD7" w14:textId="77777777" w:rsidR="00A6757E" w:rsidRPr="003A5B5D" w:rsidRDefault="00A6757E" w:rsidP="00A6757E">
            <w:pPr>
              <w:ind w:left="96"/>
              <w:rPr>
                <w:b/>
                <w:bCs/>
              </w:rPr>
            </w:pPr>
            <w:r w:rsidRPr="0E14A658">
              <w:rPr>
                <w:b/>
                <w:bCs/>
              </w:rPr>
              <w:t>Type of place of residence</w:t>
            </w:r>
          </w:p>
          <w:p w14:paraId="367FAC73" w14:textId="77777777" w:rsidR="00A6757E" w:rsidRPr="003A5B5D" w:rsidRDefault="00A6757E" w:rsidP="00A6757E">
            <w:pPr>
              <w:ind w:left="96"/>
            </w:pPr>
            <w:r w:rsidRPr="0E14A658">
              <w:t>Urban</w:t>
            </w:r>
          </w:p>
          <w:p w14:paraId="5B078D58" w14:textId="77777777" w:rsidR="00A6757E" w:rsidRPr="003A5B5D" w:rsidRDefault="00A6757E" w:rsidP="00A6757E">
            <w:pPr>
              <w:ind w:left="96"/>
            </w:pPr>
            <w:r w:rsidRPr="0E14A658">
              <w:t>Rural</w:t>
            </w:r>
          </w:p>
        </w:tc>
        <w:tc>
          <w:tcPr>
            <w:tcW w:w="1919" w:type="dxa"/>
          </w:tcPr>
          <w:p w14:paraId="4BC65371" w14:textId="77777777" w:rsidR="00A6757E" w:rsidRPr="003A5B5D" w:rsidRDefault="00A6757E" w:rsidP="00A6757E">
            <w:pPr>
              <w:jc w:val="center"/>
            </w:pPr>
          </w:p>
          <w:p w14:paraId="127BF42A" w14:textId="77777777" w:rsidR="00A6757E" w:rsidRPr="003A5B5D" w:rsidRDefault="00A6757E" w:rsidP="00A6757E">
            <w:pPr>
              <w:jc w:val="center"/>
            </w:pPr>
            <w:r w:rsidRPr="1CD144C1">
              <w:t>4145</w:t>
            </w:r>
          </w:p>
          <w:p w14:paraId="3852A821" w14:textId="77777777" w:rsidR="00A6757E" w:rsidRPr="003A5B5D" w:rsidRDefault="00A6757E" w:rsidP="00A6757E">
            <w:pPr>
              <w:jc w:val="center"/>
            </w:pPr>
            <w:r w:rsidRPr="1CD144C1">
              <w:t>9121</w:t>
            </w:r>
          </w:p>
        </w:tc>
        <w:tc>
          <w:tcPr>
            <w:tcW w:w="1416" w:type="dxa"/>
          </w:tcPr>
          <w:p w14:paraId="5608CEA8" w14:textId="77777777" w:rsidR="00A6757E" w:rsidRPr="003A5B5D" w:rsidRDefault="00A6757E" w:rsidP="00A6757E">
            <w:pPr>
              <w:jc w:val="right"/>
            </w:pPr>
          </w:p>
          <w:p w14:paraId="2AECE69D" w14:textId="77777777" w:rsidR="00A6757E" w:rsidRPr="003A5B5D" w:rsidRDefault="00A6757E" w:rsidP="00A6757E">
            <w:pPr>
              <w:jc w:val="right"/>
            </w:pPr>
            <w:r w:rsidRPr="1CD144C1">
              <w:t>31.2</w:t>
            </w:r>
          </w:p>
          <w:p w14:paraId="5D57D7DF" w14:textId="77777777" w:rsidR="00A6757E" w:rsidRPr="003A5B5D" w:rsidRDefault="00A6757E" w:rsidP="00A6757E">
            <w:pPr>
              <w:jc w:val="right"/>
            </w:pPr>
            <w:r w:rsidRPr="1CD144C1">
              <w:t>68.8</w:t>
            </w:r>
          </w:p>
        </w:tc>
      </w:tr>
      <w:tr w:rsidR="00A6757E" w:rsidRPr="00034898" w14:paraId="0E291B51" w14:textId="77777777" w:rsidTr="00A6757E">
        <w:trPr>
          <w:trHeight w:val="1066"/>
        </w:trPr>
        <w:tc>
          <w:tcPr>
            <w:tcW w:w="3627" w:type="dxa"/>
          </w:tcPr>
          <w:p w14:paraId="65E97E50" w14:textId="77777777" w:rsidR="00A6757E" w:rsidRPr="003A5B5D" w:rsidRDefault="00A6757E" w:rsidP="00A6757E">
            <w:pPr>
              <w:ind w:left="96"/>
              <w:rPr>
                <w:b/>
                <w:bCs/>
              </w:rPr>
            </w:pPr>
            <w:r w:rsidRPr="0E14A658">
              <w:rPr>
                <w:b/>
                <w:bCs/>
              </w:rPr>
              <w:t>Highest educational level</w:t>
            </w:r>
          </w:p>
          <w:p w14:paraId="499FB7BA" w14:textId="77777777" w:rsidR="00A6757E" w:rsidRPr="003A5B5D" w:rsidRDefault="00A6757E" w:rsidP="00A6757E">
            <w:pPr>
              <w:ind w:left="96"/>
            </w:pPr>
            <w:r w:rsidRPr="0E14A658">
              <w:t>No education</w:t>
            </w:r>
          </w:p>
          <w:p w14:paraId="0F582D4B" w14:textId="77777777" w:rsidR="00A6757E" w:rsidRPr="003A5B5D" w:rsidRDefault="00A6757E" w:rsidP="00A6757E">
            <w:pPr>
              <w:ind w:left="96"/>
            </w:pPr>
            <w:r w:rsidRPr="0E14A658">
              <w:t>Primary</w:t>
            </w:r>
          </w:p>
          <w:p w14:paraId="44CE5E1A" w14:textId="77777777" w:rsidR="00A6757E" w:rsidRPr="003A5B5D" w:rsidRDefault="00A6757E" w:rsidP="00A6757E">
            <w:pPr>
              <w:ind w:left="96"/>
            </w:pPr>
            <w:r w:rsidRPr="0E14A658">
              <w:t>Secondary</w:t>
            </w:r>
          </w:p>
          <w:p w14:paraId="3BFCECB4" w14:textId="77777777" w:rsidR="00A6757E" w:rsidRPr="003A5B5D" w:rsidRDefault="00A6757E" w:rsidP="00A6757E">
            <w:pPr>
              <w:ind w:left="96"/>
            </w:pPr>
            <w:r w:rsidRPr="0E14A658">
              <w:t>Higher</w:t>
            </w:r>
          </w:p>
        </w:tc>
        <w:tc>
          <w:tcPr>
            <w:tcW w:w="1919" w:type="dxa"/>
          </w:tcPr>
          <w:p w14:paraId="71118663" w14:textId="77777777" w:rsidR="00A6757E" w:rsidRPr="003A5B5D" w:rsidRDefault="00A6757E" w:rsidP="00A6757E">
            <w:pPr>
              <w:jc w:val="center"/>
            </w:pPr>
          </w:p>
          <w:p w14:paraId="485D6B5E" w14:textId="77777777" w:rsidR="00A6757E" w:rsidRPr="003A5B5D" w:rsidRDefault="00A6757E" w:rsidP="00A6757E">
            <w:pPr>
              <w:jc w:val="center"/>
            </w:pPr>
            <w:r w:rsidRPr="1CD144C1">
              <w:t>1998</w:t>
            </w:r>
          </w:p>
          <w:p w14:paraId="42ECC21A" w14:textId="77777777" w:rsidR="00A6757E" w:rsidRPr="003A5B5D" w:rsidRDefault="00A6757E" w:rsidP="00A6757E">
            <w:pPr>
              <w:jc w:val="center"/>
            </w:pPr>
            <w:r w:rsidRPr="1CD144C1">
              <w:t>7640</w:t>
            </w:r>
          </w:p>
          <w:p w14:paraId="0FDF27D4" w14:textId="77777777" w:rsidR="00A6757E" w:rsidRPr="003A5B5D" w:rsidRDefault="00A6757E" w:rsidP="00A6757E">
            <w:pPr>
              <w:jc w:val="center"/>
            </w:pPr>
            <w:r w:rsidRPr="1CD144C1">
              <w:t>3487</w:t>
            </w:r>
          </w:p>
          <w:p w14:paraId="7F07B552" w14:textId="77777777" w:rsidR="00A6757E" w:rsidRPr="003A5B5D" w:rsidRDefault="00A6757E" w:rsidP="00A6757E">
            <w:pPr>
              <w:jc w:val="center"/>
            </w:pPr>
            <w:r w:rsidRPr="1CD144C1">
              <w:t>141</w:t>
            </w:r>
          </w:p>
        </w:tc>
        <w:tc>
          <w:tcPr>
            <w:tcW w:w="1416" w:type="dxa"/>
          </w:tcPr>
          <w:p w14:paraId="65C40BAA" w14:textId="77777777" w:rsidR="00A6757E" w:rsidRPr="003A5B5D" w:rsidRDefault="00A6757E" w:rsidP="00A6757E">
            <w:pPr>
              <w:jc w:val="right"/>
            </w:pPr>
          </w:p>
          <w:p w14:paraId="2D0062C8" w14:textId="77777777" w:rsidR="00A6757E" w:rsidRPr="003A5B5D" w:rsidRDefault="00A6757E" w:rsidP="00A6757E">
            <w:pPr>
              <w:jc w:val="right"/>
            </w:pPr>
            <w:r w:rsidRPr="1CD144C1">
              <w:t>15.1</w:t>
            </w:r>
          </w:p>
          <w:p w14:paraId="02DA6D53" w14:textId="77777777" w:rsidR="00A6757E" w:rsidRPr="003A5B5D" w:rsidRDefault="00A6757E" w:rsidP="00A6757E">
            <w:pPr>
              <w:jc w:val="right"/>
            </w:pPr>
            <w:r w:rsidRPr="1CD144C1">
              <w:t>57.6</w:t>
            </w:r>
          </w:p>
          <w:p w14:paraId="10A0B464" w14:textId="77777777" w:rsidR="00A6757E" w:rsidRPr="003A5B5D" w:rsidRDefault="00A6757E" w:rsidP="00A6757E">
            <w:pPr>
              <w:jc w:val="right"/>
            </w:pPr>
            <w:r w:rsidRPr="1CD144C1">
              <w:t>26.3</w:t>
            </w:r>
          </w:p>
          <w:p w14:paraId="00350C64" w14:textId="77777777" w:rsidR="00A6757E" w:rsidRPr="003A5B5D" w:rsidRDefault="00A6757E" w:rsidP="00A6757E">
            <w:pPr>
              <w:jc w:val="right"/>
            </w:pPr>
            <w:r w:rsidRPr="1CD144C1">
              <w:t>1.1</w:t>
            </w:r>
          </w:p>
        </w:tc>
      </w:tr>
      <w:tr w:rsidR="00A6757E" w:rsidRPr="00034898" w14:paraId="0E280B3C" w14:textId="77777777" w:rsidTr="00A6757E">
        <w:trPr>
          <w:trHeight w:val="661"/>
        </w:trPr>
        <w:tc>
          <w:tcPr>
            <w:tcW w:w="3627" w:type="dxa"/>
          </w:tcPr>
          <w:p w14:paraId="5A09B4BD" w14:textId="77777777" w:rsidR="00A6757E" w:rsidRPr="003A5B5D" w:rsidRDefault="00A6757E" w:rsidP="00A6757E">
            <w:pPr>
              <w:rPr>
                <w:b/>
                <w:bCs/>
              </w:rPr>
            </w:pPr>
            <w:r w:rsidRPr="0E14A658">
              <w:rPr>
                <w:b/>
                <w:bCs/>
              </w:rPr>
              <w:t xml:space="preserve"> Occupational Status</w:t>
            </w:r>
          </w:p>
          <w:p w14:paraId="4167955A" w14:textId="77777777" w:rsidR="00A6757E" w:rsidRPr="003A5B5D" w:rsidRDefault="00A6757E" w:rsidP="00A6757E">
            <w:r w:rsidRPr="0E14A658">
              <w:t xml:space="preserve"> Yes</w:t>
            </w:r>
          </w:p>
          <w:p w14:paraId="3DD96FD1" w14:textId="77777777" w:rsidR="00A6757E" w:rsidRPr="003A5B5D" w:rsidRDefault="00A6757E" w:rsidP="00A6757E">
            <w:pPr>
              <w:rPr>
                <w:b/>
                <w:bCs/>
              </w:rPr>
            </w:pPr>
            <w:r w:rsidRPr="0E14A658">
              <w:t xml:space="preserve"> No</w:t>
            </w:r>
          </w:p>
        </w:tc>
        <w:tc>
          <w:tcPr>
            <w:tcW w:w="1919" w:type="dxa"/>
          </w:tcPr>
          <w:p w14:paraId="59A381C3" w14:textId="77777777" w:rsidR="00A6757E" w:rsidRPr="003A5B5D" w:rsidRDefault="00A6757E" w:rsidP="00A6757E">
            <w:pPr>
              <w:jc w:val="center"/>
            </w:pPr>
          </w:p>
          <w:p w14:paraId="70B5F1B3" w14:textId="77777777" w:rsidR="00A6757E" w:rsidRPr="003A5B5D" w:rsidRDefault="00A6757E" w:rsidP="00A6757E">
            <w:pPr>
              <w:jc w:val="center"/>
            </w:pPr>
            <w:r w:rsidRPr="1CD144C1">
              <w:t>9489</w:t>
            </w:r>
          </w:p>
          <w:p w14:paraId="0F065465" w14:textId="77777777" w:rsidR="00A6757E" w:rsidRPr="003A5B5D" w:rsidRDefault="00A6757E" w:rsidP="00A6757E">
            <w:pPr>
              <w:jc w:val="center"/>
            </w:pPr>
            <w:r w:rsidRPr="1CD144C1">
              <w:t>3773</w:t>
            </w:r>
          </w:p>
        </w:tc>
        <w:tc>
          <w:tcPr>
            <w:tcW w:w="1416" w:type="dxa"/>
          </w:tcPr>
          <w:p w14:paraId="00E05D9E" w14:textId="77777777" w:rsidR="00A6757E" w:rsidRPr="003A5B5D" w:rsidRDefault="00A6757E" w:rsidP="00A6757E">
            <w:pPr>
              <w:jc w:val="right"/>
            </w:pPr>
          </w:p>
          <w:p w14:paraId="3A742F58" w14:textId="77777777" w:rsidR="00A6757E" w:rsidRPr="003A5B5D" w:rsidRDefault="00A6757E" w:rsidP="00A6757E">
            <w:pPr>
              <w:jc w:val="right"/>
            </w:pPr>
            <w:r w:rsidRPr="1CD144C1">
              <w:t>71.5</w:t>
            </w:r>
          </w:p>
          <w:p w14:paraId="16491E9C" w14:textId="77777777" w:rsidR="00A6757E" w:rsidRPr="003A5B5D" w:rsidRDefault="00A6757E" w:rsidP="00A6757E">
            <w:pPr>
              <w:jc w:val="right"/>
            </w:pPr>
            <w:r w:rsidRPr="1CD144C1">
              <w:t>28.4</w:t>
            </w:r>
          </w:p>
        </w:tc>
      </w:tr>
      <w:tr w:rsidR="00A6757E" w:rsidRPr="00034898" w14:paraId="5A83ADFF" w14:textId="77777777" w:rsidTr="00A6757E">
        <w:trPr>
          <w:trHeight w:val="1178"/>
        </w:trPr>
        <w:tc>
          <w:tcPr>
            <w:tcW w:w="3627" w:type="dxa"/>
          </w:tcPr>
          <w:p w14:paraId="3143B7FE" w14:textId="77777777" w:rsidR="00A6757E" w:rsidRPr="003A5B5D" w:rsidRDefault="00A6757E" w:rsidP="00A6757E">
            <w:pPr>
              <w:ind w:left="96"/>
              <w:rPr>
                <w:b/>
                <w:bCs/>
              </w:rPr>
            </w:pPr>
            <w:r w:rsidRPr="0E14A658">
              <w:rPr>
                <w:b/>
                <w:bCs/>
              </w:rPr>
              <w:t>Number of children 5 and under in household</w:t>
            </w:r>
          </w:p>
          <w:p w14:paraId="0DF651C9" w14:textId="77777777" w:rsidR="00A6757E" w:rsidRPr="003A5B5D" w:rsidRDefault="00A6757E" w:rsidP="00A6757E">
            <w:pPr>
              <w:ind w:left="96"/>
            </w:pPr>
            <w:r w:rsidRPr="1CD144C1">
              <w:t>0</w:t>
            </w:r>
          </w:p>
          <w:p w14:paraId="3DAC3C93" w14:textId="77777777" w:rsidR="00A6757E" w:rsidRPr="003A5B5D" w:rsidRDefault="00A6757E" w:rsidP="00A6757E">
            <w:pPr>
              <w:ind w:left="96"/>
            </w:pPr>
            <w:r w:rsidRPr="1CD144C1">
              <w:t>1-2</w:t>
            </w:r>
          </w:p>
          <w:p w14:paraId="139CA1DB" w14:textId="77777777" w:rsidR="00A6757E" w:rsidRPr="003A5B5D" w:rsidRDefault="00A6757E" w:rsidP="00A6757E">
            <w:pPr>
              <w:ind w:left="96"/>
            </w:pPr>
            <w:r w:rsidRPr="1CD144C1">
              <w:t>3-5</w:t>
            </w:r>
          </w:p>
          <w:p w14:paraId="7AFA08D9" w14:textId="77777777" w:rsidR="00A6757E" w:rsidRPr="003A5B5D" w:rsidRDefault="00A6757E" w:rsidP="00A6757E">
            <w:pPr>
              <w:ind w:left="96"/>
            </w:pPr>
            <w:r w:rsidRPr="1CD144C1">
              <w:t>6+</w:t>
            </w:r>
          </w:p>
        </w:tc>
        <w:tc>
          <w:tcPr>
            <w:tcW w:w="1919" w:type="dxa"/>
          </w:tcPr>
          <w:p w14:paraId="6532792C" w14:textId="77777777" w:rsidR="00A6757E" w:rsidRPr="003A5B5D" w:rsidRDefault="00A6757E" w:rsidP="00A6757E">
            <w:pPr>
              <w:jc w:val="center"/>
            </w:pPr>
          </w:p>
          <w:p w14:paraId="5C5F6F10" w14:textId="77777777" w:rsidR="00A6757E" w:rsidRPr="003A5B5D" w:rsidRDefault="00A6757E" w:rsidP="00A6757E">
            <w:pPr>
              <w:jc w:val="center"/>
            </w:pPr>
            <w:r w:rsidRPr="1CD144C1">
              <w:t>3714</w:t>
            </w:r>
          </w:p>
          <w:p w14:paraId="5434B019" w14:textId="77777777" w:rsidR="00A6757E" w:rsidRPr="003A5B5D" w:rsidRDefault="00A6757E" w:rsidP="00A6757E">
            <w:pPr>
              <w:jc w:val="center"/>
            </w:pPr>
            <w:r w:rsidRPr="1CD144C1">
              <w:t>7821</w:t>
            </w:r>
          </w:p>
          <w:p w14:paraId="04548F85" w14:textId="77777777" w:rsidR="00A6757E" w:rsidRPr="003A5B5D" w:rsidRDefault="00A6757E" w:rsidP="00A6757E">
            <w:pPr>
              <w:jc w:val="center"/>
            </w:pPr>
            <w:r w:rsidRPr="1CD144C1">
              <w:t>1569</w:t>
            </w:r>
          </w:p>
          <w:p w14:paraId="3B128C07" w14:textId="77777777" w:rsidR="00A6757E" w:rsidRPr="003A5B5D" w:rsidRDefault="00A6757E" w:rsidP="00A6757E">
            <w:pPr>
              <w:jc w:val="center"/>
            </w:pPr>
            <w:r w:rsidRPr="1CD144C1">
              <w:t>162</w:t>
            </w:r>
          </w:p>
        </w:tc>
        <w:tc>
          <w:tcPr>
            <w:tcW w:w="1416" w:type="dxa"/>
          </w:tcPr>
          <w:p w14:paraId="5192B08C" w14:textId="77777777" w:rsidR="00A6757E" w:rsidRPr="003A5B5D" w:rsidRDefault="00A6757E" w:rsidP="00A6757E">
            <w:pPr>
              <w:jc w:val="right"/>
            </w:pPr>
          </w:p>
          <w:p w14:paraId="038BDA0F" w14:textId="77777777" w:rsidR="00A6757E" w:rsidRPr="003A5B5D" w:rsidRDefault="00A6757E" w:rsidP="00A6757E">
            <w:pPr>
              <w:jc w:val="right"/>
            </w:pPr>
            <w:r w:rsidRPr="1CD144C1">
              <w:t>28.0</w:t>
            </w:r>
          </w:p>
          <w:p w14:paraId="273913D8" w14:textId="77777777" w:rsidR="00A6757E" w:rsidRPr="003A5B5D" w:rsidRDefault="00A6757E" w:rsidP="00A6757E">
            <w:pPr>
              <w:jc w:val="right"/>
            </w:pPr>
            <w:r w:rsidRPr="1CD144C1">
              <w:t>59.0</w:t>
            </w:r>
          </w:p>
          <w:p w14:paraId="53BB0741" w14:textId="77777777" w:rsidR="00A6757E" w:rsidRPr="003A5B5D" w:rsidRDefault="00A6757E" w:rsidP="00A6757E">
            <w:pPr>
              <w:jc w:val="right"/>
            </w:pPr>
            <w:r w:rsidRPr="1CD144C1">
              <w:t>11.8</w:t>
            </w:r>
          </w:p>
          <w:p w14:paraId="491234E2" w14:textId="77777777" w:rsidR="00A6757E" w:rsidRPr="003A5B5D" w:rsidRDefault="00A6757E" w:rsidP="00A6757E">
            <w:pPr>
              <w:jc w:val="right"/>
            </w:pPr>
            <w:r w:rsidRPr="1CD144C1">
              <w:t>1.2</w:t>
            </w:r>
          </w:p>
        </w:tc>
      </w:tr>
      <w:tr w:rsidR="00A6757E" w:rsidRPr="00034898" w14:paraId="1B92ED51" w14:textId="77777777" w:rsidTr="00A6757E">
        <w:trPr>
          <w:trHeight w:val="1373"/>
        </w:trPr>
        <w:tc>
          <w:tcPr>
            <w:tcW w:w="3627" w:type="dxa"/>
          </w:tcPr>
          <w:p w14:paraId="08B6FF0F" w14:textId="77777777" w:rsidR="00A6757E" w:rsidRPr="003A5B5D" w:rsidRDefault="00A6757E" w:rsidP="00A6757E">
            <w:pPr>
              <w:ind w:left="96"/>
              <w:rPr>
                <w:b/>
                <w:bCs/>
              </w:rPr>
            </w:pPr>
            <w:r w:rsidRPr="0E14A658">
              <w:rPr>
                <w:b/>
                <w:bCs/>
              </w:rPr>
              <w:t>Wealth index</w:t>
            </w:r>
          </w:p>
          <w:p w14:paraId="6F6399BE" w14:textId="77777777" w:rsidR="00A6757E" w:rsidRPr="003A5B5D" w:rsidRDefault="00A6757E" w:rsidP="00A6757E">
            <w:pPr>
              <w:ind w:left="96"/>
            </w:pPr>
            <w:r w:rsidRPr="0E14A658">
              <w:t>Poorest</w:t>
            </w:r>
          </w:p>
          <w:p w14:paraId="5B0E102C" w14:textId="77777777" w:rsidR="00A6757E" w:rsidRPr="003A5B5D" w:rsidRDefault="00A6757E" w:rsidP="00A6757E">
            <w:pPr>
              <w:ind w:left="96"/>
            </w:pPr>
            <w:r w:rsidRPr="0E14A658">
              <w:t>Poorer</w:t>
            </w:r>
          </w:p>
          <w:p w14:paraId="458F5574" w14:textId="77777777" w:rsidR="00A6757E" w:rsidRPr="003A5B5D" w:rsidRDefault="00A6757E" w:rsidP="00A6757E">
            <w:pPr>
              <w:ind w:left="96"/>
            </w:pPr>
            <w:r w:rsidRPr="0E14A658">
              <w:t>Middle</w:t>
            </w:r>
          </w:p>
          <w:p w14:paraId="26CE2B71" w14:textId="77777777" w:rsidR="00A6757E" w:rsidRPr="003A5B5D" w:rsidRDefault="00A6757E" w:rsidP="00A6757E">
            <w:pPr>
              <w:ind w:left="96"/>
            </w:pPr>
            <w:r w:rsidRPr="0E14A658">
              <w:t>Richer</w:t>
            </w:r>
          </w:p>
          <w:p w14:paraId="4E6561E5" w14:textId="77777777" w:rsidR="00A6757E" w:rsidRPr="003A5B5D" w:rsidRDefault="00A6757E" w:rsidP="00A6757E">
            <w:pPr>
              <w:ind w:left="96"/>
            </w:pPr>
            <w:r w:rsidRPr="0E14A658">
              <w:t>Richest</w:t>
            </w:r>
          </w:p>
        </w:tc>
        <w:tc>
          <w:tcPr>
            <w:tcW w:w="1919" w:type="dxa"/>
          </w:tcPr>
          <w:p w14:paraId="226971D9" w14:textId="77777777" w:rsidR="00A6757E" w:rsidRPr="003A5B5D" w:rsidRDefault="00A6757E" w:rsidP="00A6757E">
            <w:pPr>
              <w:jc w:val="center"/>
            </w:pPr>
          </w:p>
          <w:p w14:paraId="42415BA3" w14:textId="77777777" w:rsidR="00A6757E" w:rsidRPr="003A5B5D" w:rsidRDefault="00A6757E" w:rsidP="00A6757E">
            <w:pPr>
              <w:jc w:val="center"/>
            </w:pPr>
            <w:r w:rsidRPr="1CD144C1">
              <w:t>2144</w:t>
            </w:r>
          </w:p>
          <w:p w14:paraId="606552D5" w14:textId="77777777" w:rsidR="00A6757E" w:rsidRPr="003A5B5D" w:rsidRDefault="00A6757E" w:rsidP="00A6757E">
            <w:pPr>
              <w:jc w:val="center"/>
            </w:pPr>
            <w:r w:rsidRPr="1CD144C1">
              <w:t>2166</w:t>
            </w:r>
          </w:p>
          <w:p w14:paraId="2A278E52" w14:textId="77777777" w:rsidR="00A6757E" w:rsidRPr="003A5B5D" w:rsidRDefault="00A6757E" w:rsidP="00A6757E">
            <w:pPr>
              <w:jc w:val="center"/>
            </w:pPr>
            <w:r w:rsidRPr="1CD144C1">
              <w:t>2438</w:t>
            </w:r>
          </w:p>
          <w:p w14:paraId="4A8BAA91" w14:textId="77777777" w:rsidR="00A6757E" w:rsidRPr="003A5B5D" w:rsidRDefault="00A6757E" w:rsidP="00A6757E">
            <w:pPr>
              <w:jc w:val="center"/>
            </w:pPr>
            <w:r w:rsidRPr="1CD144C1">
              <w:t>3108</w:t>
            </w:r>
          </w:p>
          <w:p w14:paraId="6B1B6127" w14:textId="77777777" w:rsidR="00A6757E" w:rsidRPr="003A5B5D" w:rsidRDefault="00A6757E" w:rsidP="00A6757E">
            <w:pPr>
              <w:jc w:val="center"/>
            </w:pPr>
            <w:r w:rsidRPr="1CD144C1">
              <w:t>3410</w:t>
            </w:r>
          </w:p>
        </w:tc>
        <w:tc>
          <w:tcPr>
            <w:tcW w:w="1416" w:type="dxa"/>
          </w:tcPr>
          <w:p w14:paraId="146B0544" w14:textId="77777777" w:rsidR="00A6757E" w:rsidRPr="003A5B5D" w:rsidRDefault="00A6757E" w:rsidP="00A6757E">
            <w:pPr>
              <w:jc w:val="right"/>
            </w:pPr>
          </w:p>
          <w:p w14:paraId="68B5AAFD" w14:textId="77777777" w:rsidR="00A6757E" w:rsidRPr="003A5B5D" w:rsidRDefault="00A6757E" w:rsidP="00A6757E">
            <w:pPr>
              <w:jc w:val="right"/>
            </w:pPr>
            <w:r w:rsidRPr="1CD144C1">
              <w:t>16.2</w:t>
            </w:r>
          </w:p>
          <w:p w14:paraId="1C6D88F9" w14:textId="77777777" w:rsidR="00A6757E" w:rsidRPr="003A5B5D" w:rsidRDefault="00A6757E" w:rsidP="00A6757E">
            <w:pPr>
              <w:jc w:val="right"/>
            </w:pPr>
            <w:r w:rsidRPr="1CD144C1">
              <w:t>16.3</w:t>
            </w:r>
          </w:p>
          <w:p w14:paraId="312C82DD" w14:textId="77777777" w:rsidR="00A6757E" w:rsidRPr="003A5B5D" w:rsidRDefault="00A6757E" w:rsidP="00A6757E">
            <w:pPr>
              <w:jc w:val="right"/>
            </w:pPr>
            <w:r w:rsidRPr="1CD144C1">
              <w:t>18.4</w:t>
            </w:r>
          </w:p>
          <w:p w14:paraId="13A519ED" w14:textId="77777777" w:rsidR="00A6757E" w:rsidRPr="003A5B5D" w:rsidRDefault="00A6757E" w:rsidP="00A6757E">
            <w:pPr>
              <w:jc w:val="right"/>
            </w:pPr>
            <w:r w:rsidRPr="1CD144C1">
              <w:t>23.4</w:t>
            </w:r>
          </w:p>
          <w:p w14:paraId="3FE05112" w14:textId="77777777" w:rsidR="00A6757E" w:rsidRPr="003A5B5D" w:rsidRDefault="00A6757E" w:rsidP="00A6757E">
            <w:pPr>
              <w:jc w:val="right"/>
            </w:pPr>
            <w:r w:rsidRPr="1CD144C1">
              <w:t>25.7</w:t>
            </w:r>
          </w:p>
        </w:tc>
      </w:tr>
      <w:tr w:rsidR="00A6757E" w:rsidRPr="00034898" w14:paraId="19B31E95" w14:textId="77777777" w:rsidTr="00A6757E">
        <w:trPr>
          <w:trHeight w:val="1037"/>
        </w:trPr>
        <w:tc>
          <w:tcPr>
            <w:tcW w:w="3627" w:type="dxa"/>
          </w:tcPr>
          <w:p w14:paraId="6EA704BB" w14:textId="77777777" w:rsidR="00A6757E" w:rsidRDefault="00A6757E" w:rsidP="00A6757E">
            <w:pPr>
              <w:ind w:left="96"/>
              <w:rPr>
                <w:b/>
                <w:bCs/>
              </w:rPr>
            </w:pPr>
            <w:r w:rsidRPr="1CD144C1">
              <w:rPr>
                <w:b/>
                <w:bCs/>
              </w:rPr>
              <w:t>Number of pregnancies</w:t>
            </w:r>
          </w:p>
          <w:p w14:paraId="186D5EA4" w14:textId="77777777" w:rsidR="00A6757E" w:rsidRPr="00617747" w:rsidRDefault="00A6757E" w:rsidP="00A6757E">
            <w:pPr>
              <w:ind w:left="96"/>
              <w:rPr>
                <w:bCs/>
              </w:rPr>
            </w:pPr>
            <w:r w:rsidRPr="00617747">
              <w:rPr>
                <w:bCs/>
              </w:rPr>
              <w:t>0</w:t>
            </w:r>
          </w:p>
          <w:p w14:paraId="36D471DA" w14:textId="77777777" w:rsidR="00A6757E" w:rsidRPr="00617747" w:rsidRDefault="00A6757E" w:rsidP="00A6757E">
            <w:pPr>
              <w:ind w:left="96"/>
              <w:rPr>
                <w:bCs/>
              </w:rPr>
            </w:pPr>
            <w:r w:rsidRPr="00617747">
              <w:rPr>
                <w:bCs/>
              </w:rPr>
              <w:t>1-2</w:t>
            </w:r>
          </w:p>
          <w:p w14:paraId="0F207B7C" w14:textId="77777777" w:rsidR="00A6757E" w:rsidRPr="003A5B5D" w:rsidRDefault="00A6757E" w:rsidP="00A6757E">
            <w:pPr>
              <w:ind w:left="96"/>
              <w:rPr>
                <w:b/>
                <w:bCs/>
              </w:rPr>
            </w:pPr>
            <w:r w:rsidRPr="00617747">
              <w:rPr>
                <w:bCs/>
              </w:rPr>
              <w:t>3+</w:t>
            </w:r>
          </w:p>
        </w:tc>
        <w:tc>
          <w:tcPr>
            <w:tcW w:w="1919" w:type="dxa"/>
          </w:tcPr>
          <w:p w14:paraId="6C2DFBDE" w14:textId="77777777" w:rsidR="00A6757E" w:rsidRDefault="00A6757E" w:rsidP="00A6757E">
            <w:pPr>
              <w:jc w:val="center"/>
            </w:pPr>
          </w:p>
          <w:p w14:paraId="3B2459DA" w14:textId="77777777" w:rsidR="00A6757E" w:rsidRDefault="00A6757E" w:rsidP="00A6757E">
            <w:pPr>
              <w:jc w:val="center"/>
            </w:pPr>
            <w:r>
              <w:t>3385</w:t>
            </w:r>
          </w:p>
          <w:p w14:paraId="7C97D0BD" w14:textId="77777777" w:rsidR="00A6757E" w:rsidRDefault="00A6757E" w:rsidP="00A6757E">
            <w:pPr>
              <w:jc w:val="center"/>
            </w:pPr>
            <w:r>
              <w:t>4097</w:t>
            </w:r>
          </w:p>
          <w:p w14:paraId="672FECFA" w14:textId="77777777" w:rsidR="00A6757E" w:rsidRPr="003A5B5D" w:rsidRDefault="00A6757E" w:rsidP="00A6757E">
            <w:pPr>
              <w:jc w:val="center"/>
            </w:pPr>
            <w:r>
              <w:t>5784</w:t>
            </w:r>
          </w:p>
        </w:tc>
        <w:tc>
          <w:tcPr>
            <w:tcW w:w="1416" w:type="dxa"/>
          </w:tcPr>
          <w:p w14:paraId="34A318A6" w14:textId="77777777" w:rsidR="00A6757E" w:rsidRDefault="00A6757E" w:rsidP="00A6757E">
            <w:pPr>
              <w:jc w:val="right"/>
            </w:pPr>
          </w:p>
          <w:p w14:paraId="6FF56C5F" w14:textId="77777777" w:rsidR="00A6757E" w:rsidRDefault="00A6757E" w:rsidP="00A6757E">
            <w:pPr>
              <w:jc w:val="right"/>
            </w:pPr>
            <w:r>
              <w:t>25.5</w:t>
            </w:r>
          </w:p>
          <w:p w14:paraId="354B7113" w14:textId="77777777" w:rsidR="00A6757E" w:rsidRDefault="00A6757E" w:rsidP="00A6757E">
            <w:pPr>
              <w:jc w:val="right"/>
            </w:pPr>
            <w:r>
              <w:t>30.9</w:t>
            </w:r>
          </w:p>
          <w:p w14:paraId="2A3DA36C" w14:textId="77777777" w:rsidR="00A6757E" w:rsidRPr="003A5B5D" w:rsidRDefault="00A6757E" w:rsidP="00A6757E">
            <w:pPr>
              <w:jc w:val="right"/>
            </w:pPr>
            <w:r>
              <w:t>43.6</w:t>
            </w:r>
          </w:p>
        </w:tc>
      </w:tr>
      <w:tr w:rsidR="00A6757E" w:rsidRPr="00034898" w14:paraId="35AEF20A" w14:textId="77777777" w:rsidTr="00A6757E">
        <w:trPr>
          <w:trHeight w:val="1037"/>
        </w:trPr>
        <w:tc>
          <w:tcPr>
            <w:tcW w:w="3627" w:type="dxa"/>
          </w:tcPr>
          <w:p w14:paraId="07A90463" w14:textId="77777777" w:rsidR="00A6757E" w:rsidRDefault="00A6757E" w:rsidP="00A6757E">
            <w:pPr>
              <w:ind w:left="96"/>
              <w:rPr>
                <w:b/>
                <w:bCs/>
              </w:rPr>
            </w:pPr>
            <w:r>
              <w:rPr>
                <w:b/>
                <w:bCs/>
              </w:rPr>
              <w:t>Contraceptive use</w:t>
            </w:r>
          </w:p>
          <w:p w14:paraId="7A19FDAA" w14:textId="77777777" w:rsidR="00A6757E" w:rsidRPr="00A775F1" w:rsidRDefault="00A6757E" w:rsidP="00A6757E">
            <w:pPr>
              <w:ind w:left="96"/>
              <w:rPr>
                <w:bCs/>
              </w:rPr>
            </w:pPr>
            <w:r w:rsidRPr="00A775F1">
              <w:rPr>
                <w:bCs/>
              </w:rPr>
              <w:t>Yes</w:t>
            </w:r>
          </w:p>
          <w:p w14:paraId="52254955" w14:textId="77777777" w:rsidR="00A6757E" w:rsidRPr="1CD144C1" w:rsidRDefault="00A6757E" w:rsidP="00A6757E">
            <w:pPr>
              <w:ind w:left="96"/>
              <w:rPr>
                <w:b/>
                <w:bCs/>
              </w:rPr>
            </w:pPr>
            <w:r w:rsidRPr="00A775F1">
              <w:rPr>
                <w:bCs/>
              </w:rPr>
              <w:t>No</w:t>
            </w:r>
          </w:p>
        </w:tc>
        <w:tc>
          <w:tcPr>
            <w:tcW w:w="1919" w:type="dxa"/>
          </w:tcPr>
          <w:p w14:paraId="7B7B3557" w14:textId="77777777" w:rsidR="00A6757E" w:rsidRDefault="00A6757E" w:rsidP="00A6757E">
            <w:pPr>
              <w:jc w:val="center"/>
            </w:pPr>
          </w:p>
          <w:p w14:paraId="40BA4749" w14:textId="77777777" w:rsidR="00A6757E" w:rsidRDefault="00A6757E" w:rsidP="00A6757E">
            <w:pPr>
              <w:jc w:val="center"/>
            </w:pPr>
            <w:r>
              <w:t>8451</w:t>
            </w:r>
          </w:p>
          <w:p w14:paraId="454D9EF3" w14:textId="77777777" w:rsidR="00A6757E" w:rsidRDefault="00A6757E" w:rsidP="00A6757E">
            <w:pPr>
              <w:jc w:val="center"/>
            </w:pPr>
            <w:r>
              <w:t>4815</w:t>
            </w:r>
          </w:p>
        </w:tc>
        <w:tc>
          <w:tcPr>
            <w:tcW w:w="1416" w:type="dxa"/>
          </w:tcPr>
          <w:p w14:paraId="4DD7AB8A" w14:textId="77777777" w:rsidR="00A6757E" w:rsidRDefault="00A6757E" w:rsidP="00A6757E">
            <w:pPr>
              <w:jc w:val="right"/>
            </w:pPr>
          </w:p>
          <w:p w14:paraId="65DCB01C" w14:textId="77777777" w:rsidR="00A6757E" w:rsidRDefault="00A6757E" w:rsidP="00A6757E">
            <w:pPr>
              <w:jc w:val="right"/>
            </w:pPr>
            <w:r>
              <w:t>63.7</w:t>
            </w:r>
          </w:p>
          <w:p w14:paraId="5E5D2059" w14:textId="77777777" w:rsidR="00A6757E" w:rsidRDefault="00A6757E" w:rsidP="00A6757E">
            <w:pPr>
              <w:jc w:val="right"/>
            </w:pPr>
            <w:r>
              <w:t>36.3</w:t>
            </w:r>
          </w:p>
        </w:tc>
      </w:tr>
      <w:tr w:rsidR="00A6757E" w:rsidRPr="00034898" w14:paraId="52FEE503" w14:textId="77777777" w:rsidTr="00A6757E">
        <w:trPr>
          <w:trHeight w:val="1037"/>
        </w:trPr>
        <w:tc>
          <w:tcPr>
            <w:tcW w:w="3627" w:type="dxa"/>
          </w:tcPr>
          <w:p w14:paraId="13883F34" w14:textId="03AAE562" w:rsidR="00A6757E" w:rsidRDefault="00A6757E" w:rsidP="00A6757E">
            <w:pPr>
              <w:ind w:left="96"/>
              <w:rPr>
                <w:b/>
                <w:bCs/>
              </w:rPr>
            </w:pPr>
            <w:r>
              <w:rPr>
                <w:b/>
                <w:bCs/>
              </w:rPr>
              <w:t xml:space="preserve">Faced violence by </w:t>
            </w:r>
            <w:r w:rsidR="00414B50">
              <w:rPr>
                <w:b/>
                <w:bCs/>
              </w:rPr>
              <w:t>spouse</w:t>
            </w:r>
            <w:r>
              <w:rPr>
                <w:b/>
                <w:bCs/>
              </w:rPr>
              <w:t>/partner</w:t>
            </w:r>
          </w:p>
          <w:p w14:paraId="6CED71FF" w14:textId="77777777" w:rsidR="00A6757E" w:rsidRPr="009668D1" w:rsidRDefault="00A6757E" w:rsidP="00A6757E">
            <w:pPr>
              <w:ind w:left="96"/>
              <w:rPr>
                <w:bCs/>
              </w:rPr>
            </w:pPr>
            <w:r w:rsidRPr="009668D1">
              <w:rPr>
                <w:bCs/>
              </w:rPr>
              <w:t>Yes</w:t>
            </w:r>
          </w:p>
          <w:p w14:paraId="6C3B481C" w14:textId="77777777" w:rsidR="00A6757E" w:rsidRDefault="00A6757E" w:rsidP="00A6757E">
            <w:pPr>
              <w:ind w:left="96"/>
              <w:rPr>
                <w:b/>
                <w:bCs/>
              </w:rPr>
            </w:pPr>
            <w:r w:rsidRPr="009668D1">
              <w:rPr>
                <w:bCs/>
              </w:rPr>
              <w:t>No</w:t>
            </w:r>
          </w:p>
        </w:tc>
        <w:tc>
          <w:tcPr>
            <w:tcW w:w="1919" w:type="dxa"/>
          </w:tcPr>
          <w:p w14:paraId="394A3968" w14:textId="77777777" w:rsidR="00A6757E" w:rsidRDefault="00A6757E" w:rsidP="00A6757E">
            <w:pPr>
              <w:jc w:val="center"/>
            </w:pPr>
          </w:p>
          <w:p w14:paraId="6F891F86" w14:textId="77777777" w:rsidR="00A6757E" w:rsidRDefault="00A6757E" w:rsidP="00A6757E">
            <w:pPr>
              <w:jc w:val="center"/>
            </w:pPr>
            <w:r>
              <w:t>4149</w:t>
            </w:r>
          </w:p>
          <w:p w14:paraId="7A8B4239" w14:textId="77777777" w:rsidR="00A6757E" w:rsidRDefault="00A6757E" w:rsidP="00A6757E">
            <w:pPr>
              <w:jc w:val="center"/>
            </w:pPr>
            <w:r>
              <w:t>9117</w:t>
            </w:r>
          </w:p>
        </w:tc>
        <w:tc>
          <w:tcPr>
            <w:tcW w:w="1416" w:type="dxa"/>
          </w:tcPr>
          <w:p w14:paraId="4B78904C" w14:textId="77777777" w:rsidR="00A6757E" w:rsidRDefault="00A6757E" w:rsidP="00A6757E">
            <w:pPr>
              <w:jc w:val="right"/>
            </w:pPr>
          </w:p>
          <w:p w14:paraId="6B449CBB" w14:textId="77777777" w:rsidR="00A6757E" w:rsidRDefault="00A6757E" w:rsidP="00A6757E">
            <w:pPr>
              <w:jc w:val="right"/>
            </w:pPr>
            <w:r>
              <w:t>31.3</w:t>
            </w:r>
          </w:p>
          <w:p w14:paraId="423DAC11" w14:textId="77777777" w:rsidR="00A6757E" w:rsidRDefault="00A6757E" w:rsidP="00A6757E">
            <w:pPr>
              <w:jc w:val="right"/>
            </w:pPr>
            <w:r>
              <w:t>68.7</w:t>
            </w:r>
          </w:p>
        </w:tc>
      </w:tr>
    </w:tbl>
    <w:p w14:paraId="1CCD81A5" w14:textId="77777777" w:rsidR="00A6757E" w:rsidRDefault="00A6757E" w:rsidP="00A6757E"/>
    <w:p w14:paraId="12F34DCB" w14:textId="77777777" w:rsidR="00A6757E" w:rsidRDefault="00A6757E" w:rsidP="00A6757E"/>
    <w:p w14:paraId="1AFC16BA" w14:textId="77777777" w:rsidR="00A6757E" w:rsidRDefault="00A6757E" w:rsidP="00A6757E"/>
    <w:p w14:paraId="540096F7" w14:textId="77777777" w:rsidR="00A6757E" w:rsidRDefault="00A6757E" w:rsidP="00A6757E"/>
    <w:p w14:paraId="35AC60D1" w14:textId="77777777" w:rsidR="00A6757E" w:rsidRDefault="00A6757E" w:rsidP="00A6757E"/>
    <w:p w14:paraId="310AF8A9" w14:textId="77777777" w:rsidR="00A6757E" w:rsidRDefault="00A6757E" w:rsidP="00A6757E"/>
    <w:p w14:paraId="0CF230DB" w14:textId="77777777" w:rsidR="00A6757E" w:rsidRDefault="00A6757E" w:rsidP="00A6757E"/>
    <w:p w14:paraId="424903A5" w14:textId="77777777" w:rsidR="00A6757E" w:rsidRDefault="00A6757E" w:rsidP="00A6757E"/>
    <w:p w14:paraId="061DB2BA" w14:textId="77777777" w:rsidR="00A6757E" w:rsidRDefault="00A6757E" w:rsidP="00A6757E"/>
    <w:p w14:paraId="3C5E3E9F" w14:textId="77777777" w:rsidR="00A6757E" w:rsidRDefault="00A6757E" w:rsidP="00A6757E"/>
    <w:p w14:paraId="06952452" w14:textId="77777777" w:rsidR="00A6757E" w:rsidRDefault="00A6757E" w:rsidP="00A6757E"/>
    <w:p w14:paraId="229F0700" w14:textId="77777777" w:rsidR="00A6757E" w:rsidRDefault="00A6757E" w:rsidP="00A6757E"/>
    <w:p w14:paraId="49DC6118" w14:textId="77777777" w:rsidR="00A6757E" w:rsidRDefault="00A6757E" w:rsidP="00A6757E"/>
    <w:p w14:paraId="2685A43F" w14:textId="77777777" w:rsidR="00A6757E" w:rsidRDefault="00A6757E" w:rsidP="00A6757E"/>
    <w:p w14:paraId="6FFAC626" w14:textId="77777777" w:rsidR="00A6757E" w:rsidRDefault="00A6757E" w:rsidP="00A6757E">
      <w:pPr>
        <w:rPr>
          <w:b/>
          <w:bCs/>
        </w:rPr>
      </w:pPr>
    </w:p>
    <w:p w14:paraId="029081AA" w14:textId="77777777" w:rsidR="00A6757E" w:rsidRDefault="00A6757E" w:rsidP="00A6757E">
      <w:pPr>
        <w:rPr>
          <w:b/>
          <w:bCs/>
        </w:rPr>
      </w:pPr>
    </w:p>
    <w:p w14:paraId="7CCB12EC" w14:textId="77777777" w:rsidR="00A6757E" w:rsidRDefault="00A6757E" w:rsidP="00A6757E">
      <w:pPr>
        <w:rPr>
          <w:b/>
          <w:bCs/>
        </w:rPr>
      </w:pPr>
    </w:p>
    <w:p w14:paraId="15A1E279" w14:textId="77777777" w:rsidR="00A6757E" w:rsidRDefault="00A6757E" w:rsidP="00A6757E">
      <w:pPr>
        <w:rPr>
          <w:b/>
          <w:bCs/>
        </w:rPr>
      </w:pPr>
    </w:p>
    <w:p w14:paraId="7E79F460" w14:textId="77777777" w:rsidR="00A6757E" w:rsidRDefault="00A6757E" w:rsidP="00A6757E">
      <w:pPr>
        <w:rPr>
          <w:b/>
          <w:bCs/>
        </w:rPr>
      </w:pPr>
    </w:p>
    <w:p w14:paraId="27A0FE76" w14:textId="77777777" w:rsidR="00A6757E" w:rsidRDefault="00A6757E" w:rsidP="00A6757E">
      <w:pPr>
        <w:rPr>
          <w:b/>
          <w:bCs/>
        </w:rPr>
      </w:pPr>
    </w:p>
    <w:p w14:paraId="664ECACF" w14:textId="77777777" w:rsidR="00A6757E" w:rsidRDefault="00A6757E" w:rsidP="00A6757E">
      <w:pPr>
        <w:rPr>
          <w:b/>
          <w:bCs/>
        </w:rPr>
      </w:pPr>
    </w:p>
    <w:p w14:paraId="77C74E26" w14:textId="77777777" w:rsidR="00A6757E" w:rsidRDefault="00A6757E" w:rsidP="00A6757E">
      <w:pPr>
        <w:rPr>
          <w:b/>
          <w:bCs/>
        </w:rPr>
      </w:pPr>
    </w:p>
    <w:p w14:paraId="340DF7AC" w14:textId="77777777" w:rsidR="00A6757E" w:rsidRDefault="00A6757E" w:rsidP="00A6757E">
      <w:pPr>
        <w:rPr>
          <w:b/>
          <w:bCs/>
        </w:rPr>
      </w:pPr>
    </w:p>
    <w:p w14:paraId="16E362AB" w14:textId="77777777" w:rsidR="00A6757E" w:rsidRDefault="00A6757E" w:rsidP="00A6757E">
      <w:pPr>
        <w:rPr>
          <w:b/>
          <w:bCs/>
        </w:rPr>
      </w:pPr>
    </w:p>
    <w:p w14:paraId="2C4D0427" w14:textId="77777777" w:rsidR="00A6757E" w:rsidRDefault="00A6757E" w:rsidP="00A6757E">
      <w:pPr>
        <w:rPr>
          <w:b/>
          <w:bCs/>
        </w:rPr>
      </w:pPr>
    </w:p>
    <w:p w14:paraId="21A51154" w14:textId="77777777" w:rsidR="00A6757E" w:rsidRDefault="00A6757E" w:rsidP="00A6757E">
      <w:pPr>
        <w:rPr>
          <w:b/>
          <w:bCs/>
        </w:rPr>
      </w:pPr>
    </w:p>
    <w:p w14:paraId="54969017" w14:textId="77777777" w:rsidR="00A6757E" w:rsidRDefault="00A6757E" w:rsidP="00A6757E">
      <w:pPr>
        <w:rPr>
          <w:b/>
          <w:bCs/>
        </w:rPr>
      </w:pPr>
    </w:p>
    <w:p w14:paraId="2F22B49F" w14:textId="77777777" w:rsidR="00A6757E" w:rsidRDefault="00A6757E" w:rsidP="00A6757E">
      <w:pPr>
        <w:rPr>
          <w:b/>
          <w:bCs/>
        </w:rPr>
      </w:pPr>
    </w:p>
    <w:p w14:paraId="617811AD" w14:textId="77777777" w:rsidR="00A6757E" w:rsidRDefault="00A6757E" w:rsidP="00A6757E">
      <w:pPr>
        <w:rPr>
          <w:b/>
          <w:bCs/>
        </w:rPr>
      </w:pPr>
    </w:p>
    <w:p w14:paraId="564AF27D" w14:textId="77777777" w:rsidR="00A6757E" w:rsidRDefault="00A6757E" w:rsidP="00A6757E">
      <w:pPr>
        <w:rPr>
          <w:b/>
          <w:bCs/>
        </w:rPr>
      </w:pPr>
    </w:p>
    <w:p w14:paraId="14457AAE" w14:textId="77777777" w:rsidR="00A6757E" w:rsidRDefault="00A6757E" w:rsidP="00A6757E">
      <w:pPr>
        <w:rPr>
          <w:b/>
          <w:bCs/>
        </w:rPr>
      </w:pPr>
    </w:p>
    <w:p w14:paraId="488033CF" w14:textId="77777777" w:rsidR="00A6757E" w:rsidRDefault="00A6757E" w:rsidP="00A6757E">
      <w:pPr>
        <w:rPr>
          <w:b/>
          <w:bCs/>
        </w:rPr>
      </w:pPr>
    </w:p>
    <w:p w14:paraId="79507ACA" w14:textId="77777777" w:rsidR="00A6757E" w:rsidRDefault="00A6757E" w:rsidP="00A6757E">
      <w:pPr>
        <w:rPr>
          <w:b/>
          <w:bCs/>
        </w:rPr>
      </w:pPr>
    </w:p>
    <w:p w14:paraId="1F839B7C" w14:textId="77777777" w:rsidR="00A6757E" w:rsidRDefault="00A6757E" w:rsidP="00A6757E">
      <w:pPr>
        <w:rPr>
          <w:b/>
          <w:bCs/>
        </w:rPr>
      </w:pPr>
    </w:p>
    <w:p w14:paraId="16F0A084" w14:textId="77777777" w:rsidR="00A6757E" w:rsidRDefault="00A6757E" w:rsidP="00A6757E">
      <w:pPr>
        <w:rPr>
          <w:b/>
          <w:bCs/>
        </w:rPr>
      </w:pPr>
    </w:p>
    <w:p w14:paraId="284AB1D6" w14:textId="77777777" w:rsidR="00A6757E" w:rsidRDefault="00A6757E" w:rsidP="00A6757E">
      <w:pPr>
        <w:rPr>
          <w:b/>
          <w:bCs/>
        </w:rPr>
      </w:pPr>
    </w:p>
    <w:p w14:paraId="549515F7" w14:textId="77777777" w:rsidR="00A6757E" w:rsidRDefault="00A6757E" w:rsidP="00A6757E">
      <w:pPr>
        <w:rPr>
          <w:b/>
          <w:bCs/>
        </w:rPr>
      </w:pPr>
    </w:p>
    <w:p w14:paraId="7678798C" w14:textId="77777777" w:rsidR="00A6757E" w:rsidRDefault="00A6757E" w:rsidP="00A6757E">
      <w:pPr>
        <w:rPr>
          <w:b/>
          <w:bCs/>
        </w:rPr>
      </w:pPr>
    </w:p>
    <w:p w14:paraId="06DBE161" w14:textId="77777777" w:rsidR="00A6757E" w:rsidRDefault="00A6757E" w:rsidP="00A6757E">
      <w:pPr>
        <w:rPr>
          <w:b/>
          <w:bCs/>
        </w:rPr>
      </w:pPr>
    </w:p>
    <w:p w14:paraId="3C6200E8" w14:textId="77777777" w:rsidR="00A6757E" w:rsidRDefault="00A6757E" w:rsidP="00A6757E">
      <w:pPr>
        <w:rPr>
          <w:b/>
          <w:bCs/>
        </w:rPr>
      </w:pPr>
    </w:p>
    <w:p w14:paraId="16C9A6BD" w14:textId="77777777" w:rsidR="00A6757E" w:rsidRDefault="00A6757E" w:rsidP="00A6757E">
      <w:pPr>
        <w:rPr>
          <w:b/>
          <w:bCs/>
        </w:rPr>
      </w:pPr>
    </w:p>
    <w:p w14:paraId="510E6E0F" w14:textId="77777777" w:rsidR="00A6757E" w:rsidRDefault="00A6757E" w:rsidP="00A6757E">
      <w:pPr>
        <w:rPr>
          <w:b/>
          <w:bCs/>
        </w:rPr>
      </w:pPr>
    </w:p>
    <w:p w14:paraId="31A127A4" w14:textId="77777777" w:rsidR="00A6757E" w:rsidRDefault="00A6757E" w:rsidP="00A6757E">
      <w:pPr>
        <w:rPr>
          <w:b/>
          <w:bCs/>
        </w:rPr>
      </w:pPr>
    </w:p>
    <w:p w14:paraId="0E7A9187" w14:textId="77777777" w:rsidR="00A6757E" w:rsidRDefault="00A6757E" w:rsidP="00A6757E">
      <w:pPr>
        <w:rPr>
          <w:b/>
          <w:bCs/>
        </w:rPr>
      </w:pPr>
    </w:p>
    <w:p w14:paraId="0F2D9E72" w14:textId="77777777" w:rsidR="00A6757E" w:rsidRDefault="00A6757E" w:rsidP="00A6757E">
      <w:pPr>
        <w:rPr>
          <w:b/>
          <w:bCs/>
        </w:rPr>
      </w:pPr>
    </w:p>
    <w:p w14:paraId="642429F1" w14:textId="77777777" w:rsidR="00A6757E" w:rsidRDefault="00A6757E" w:rsidP="00A6757E">
      <w:pPr>
        <w:rPr>
          <w:b/>
          <w:bCs/>
        </w:rPr>
      </w:pPr>
    </w:p>
    <w:p w14:paraId="5A69FB09" w14:textId="77777777" w:rsidR="00A6757E" w:rsidRDefault="00A6757E" w:rsidP="00A6757E">
      <w:pPr>
        <w:rPr>
          <w:b/>
          <w:bCs/>
        </w:rPr>
      </w:pPr>
    </w:p>
    <w:p w14:paraId="2ED0651B" w14:textId="77777777" w:rsidR="00A6757E" w:rsidRDefault="00A6757E" w:rsidP="00A6757E">
      <w:pPr>
        <w:rPr>
          <w:b/>
          <w:bCs/>
        </w:rPr>
      </w:pPr>
    </w:p>
    <w:p w14:paraId="0BC398AD" w14:textId="77777777" w:rsidR="00A6757E" w:rsidRDefault="00A6757E" w:rsidP="00A6757E">
      <w:pPr>
        <w:rPr>
          <w:b/>
          <w:bCs/>
        </w:rPr>
      </w:pPr>
    </w:p>
    <w:p w14:paraId="69C4CC7C" w14:textId="77777777" w:rsidR="00A6757E" w:rsidRDefault="00A6757E" w:rsidP="00CC2174">
      <w:pPr>
        <w:pStyle w:val="Heading1"/>
      </w:pPr>
      <w:r w:rsidRPr="0E14A658">
        <w:lastRenderedPageBreak/>
        <w:t xml:space="preserve">Table 2 </w:t>
      </w:r>
      <w:r>
        <w:t>Chi-square</w:t>
      </w:r>
      <w:r w:rsidRPr="0E14A658">
        <w:t xml:space="preserve"> analysis </w:t>
      </w:r>
      <w:r>
        <w:t>of</w:t>
      </w:r>
      <w:r w:rsidRPr="0E14A658">
        <w:t xml:space="preserve"> contraceptive use and other independent variables</w:t>
      </w:r>
    </w:p>
    <w:p w14:paraId="3DE58E42" w14:textId="77777777" w:rsidR="00A6757E" w:rsidRDefault="00A6757E" w:rsidP="00A6757E"/>
    <w:p w14:paraId="2A8F5252" w14:textId="77777777" w:rsidR="00A6757E" w:rsidRDefault="00A6757E" w:rsidP="00A6757E"/>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2835"/>
        <w:gridCol w:w="1882"/>
      </w:tblGrid>
      <w:tr w:rsidR="00A6757E" w:rsidRPr="00A37992" w14:paraId="001FFFF3" w14:textId="77777777" w:rsidTr="00A6757E">
        <w:trPr>
          <w:trHeight w:val="443"/>
        </w:trPr>
        <w:tc>
          <w:tcPr>
            <w:tcW w:w="3567" w:type="dxa"/>
          </w:tcPr>
          <w:p w14:paraId="5755CD2F" w14:textId="77777777" w:rsidR="00A6757E" w:rsidRPr="004A07D1" w:rsidRDefault="00A6757E" w:rsidP="00A6757E">
            <w:pPr>
              <w:rPr>
                <w:b/>
                <w:bCs/>
              </w:rPr>
            </w:pPr>
            <w:r w:rsidRPr="0E14A658">
              <w:rPr>
                <w:b/>
                <w:bCs/>
              </w:rPr>
              <w:t>Variables</w:t>
            </w:r>
          </w:p>
        </w:tc>
        <w:tc>
          <w:tcPr>
            <w:tcW w:w="2835" w:type="dxa"/>
          </w:tcPr>
          <w:p w14:paraId="11AD6329" w14:textId="77777777" w:rsidR="00A6757E" w:rsidRPr="004A07D1" w:rsidRDefault="00A6757E" w:rsidP="00A6757E">
            <w:pPr>
              <w:jc w:val="center"/>
              <w:rPr>
                <w:b/>
                <w:bCs/>
              </w:rPr>
            </w:pPr>
            <w:r w:rsidRPr="0E14A658">
              <w:rPr>
                <w:b/>
                <w:bCs/>
              </w:rPr>
              <w:t>Contraceptive Use</w:t>
            </w:r>
          </w:p>
        </w:tc>
        <w:tc>
          <w:tcPr>
            <w:tcW w:w="1882" w:type="dxa"/>
          </w:tcPr>
          <w:p w14:paraId="43C1E2A0" w14:textId="77777777" w:rsidR="00A6757E" w:rsidRPr="004A07D1" w:rsidRDefault="00A6757E" w:rsidP="00A6757E">
            <w:pPr>
              <w:jc w:val="center"/>
              <w:rPr>
                <w:b/>
                <w:bCs/>
              </w:rPr>
            </w:pPr>
            <w:r w:rsidRPr="0E14A658">
              <w:rPr>
                <w:b/>
                <w:bCs/>
                <w:i/>
                <w:iCs/>
              </w:rPr>
              <w:t>p</w:t>
            </w:r>
            <w:r w:rsidRPr="0E14A658">
              <w:rPr>
                <w:b/>
                <w:bCs/>
              </w:rPr>
              <w:t>-value</w:t>
            </w:r>
          </w:p>
        </w:tc>
      </w:tr>
      <w:tr w:rsidR="00A6757E" w:rsidRPr="00A37992" w14:paraId="11BD36F4" w14:textId="77777777" w:rsidTr="00A6757E">
        <w:trPr>
          <w:trHeight w:val="627"/>
        </w:trPr>
        <w:tc>
          <w:tcPr>
            <w:tcW w:w="3567" w:type="dxa"/>
          </w:tcPr>
          <w:p w14:paraId="66AACF5D" w14:textId="77777777" w:rsidR="00A6757E" w:rsidRPr="004A07D1" w:rsidRDefault="00A6757E" w:rsidP="00A6757E">
            <w:pPr>
              <w:rPr>
                <w:b/>
                <w:bCs/>
              </w:rPr>
            </w:pPr>
            <w:r w:rsidRPr="0E14A658">
              <w:rPr>
                <w:b/>
                <w:bCs/>
              </w:rPr>
              <w:t>E</w:t>
            </w:r>
            <w:r>
              <w:rPr>
                <w:b/>
                <w:bCs/>
              </w:rPr>
              <w:t>xperience of</w:t>
            </w:r>
            <w:r w:rsidRPr="0E14A658">
              <w:rPr>
                <w:b/>
                <w:bCs/>
              </w:rPr>
              <w:t xml:space="preserve"> IPV</w:t>
            </w:r>
          </w:p>
          <w:p w14:paraId="41E20491" w14:textId="77777777" w:rsidR="00A6757E" w:rsidRPr="004A07D1" w:rsidRDefault="00A6757E" w:rsidP="00A6757E">
            <w:r w:rsidRPr="0E14A658">
              <w:t>Yes</w:t>
            </w:r>
          </w:p>
          <w:p w14:paraId="16D6187A" w14:textId="77777777" w:rsidR="00A6757E" w:rsidRPr="004A07D1" w:rsidRDefault="00A6757E" w:rsidP="00A6757E">
            <w:r w:rsidRPr="0E14A658">
              <w:t>No</w:t>
            </w:r>
          </w:p>
        </w:tc>
        <w:tc>
          <w:tcPr>
            <w:tcW w:w="2835" w:type="dxa"/>
          </w:tcPr>
          <w:p w14:paraId="2E75C614" w14:textId="77777777" w:rsidR="00A6757E" w:rsidRPr="004A07D1" w:rsidRDefault="00A6757E" w:rsidP="00A6757E">
            <w:pPr>
              <w:jc w:val="center"/>
            </w:pPr>
          </w:p>
          <w:p w14:paraId="773CCB39" w14:textId="77777777" w:rsidR="00A6757E" w:rsidRPr="004A07D1" w:rsidRDefault="00A6757E" w:rsidP="00A6757E">
            <w:pPr>
              <w:jc w:val="center"/>
            </w:pPr>
            <w:r w:rsidRPr="0E14A658">
              <w:t>57.3%</w:t>
            </w:r>
          </w:p>
          <w:p w14:paraId="724D415D" w14:textId="77777777" w:rsidR="00A6757E" w:rsidRPr="004A07D1" w:rsidRDefault="00A6757E" w:rsidP="00A6757E">
            <w:pPr>
              <w:jc w:val="center"/>
            </w:pPr>
            <w:r w:rsidRPr="0E14A658">
              <w:t>66.3%</w:t>
            </w:r>
          </w:p>
        </w:tc>
        <w:tc>
          <w:tcPr>
            <w:tcW w:w="1882" w:type="dxa"/>
          </w:tcPr>
          <w:p w14:paraId="18D19023" w14:textId="77777777" w:rsidR="00A6757E" w:rsidRPr="004A07D1" w:rsidRDefault="00A6757E" w:rsidP="00A6757E">
            <w:pPr>
              <w:jc w:val="center"/>
            </w:pPr>
          </w:p>
          <w:p w14:paraId="3A93523A" w14:textId="77777777" w:rsidR="00A6757E" w:rsidRPr="004A07D1" w:rsidRDefault="00A6757E" w:rsidP="00A6757E">
            <w:pPr>
              <w:jc w:val="center"/>
            </w:pPr>
          </w:p>
          <w:p w14:paraId="40C647CC" w14:textId="77777777" w:rsidR="00A6757E" w:rsidRPr="004A07D1" w:rsidRDefault="00A6757E" w:rsidP="00A6757E">
            <w:pPr>
              <w:jc w:val="center"/>
            </w:pPr>
            <w:r w:rsidRPr="0E14A658">
              <w:t>&lt;.00</w:t>
            </w:r>
            <w:r>
              <w:t>1</w:t>
            </w:r>
          </w:p>
        </w:tc>
      </w:tr>
      <w:tr w:rsidR="00A6757E" w:rsidRPr="00A37992" w14:paraId="6F2366C8" w14:textId="77777777" w:rsidTr="00A6757E">
        <w:trPr>
          <w:trHeight w:val="627"/>
        </w:trPr>
        <w:tc>
          <w:tcPr>
            <w:tcW w:w="3567" w:type="dxa"/>
          </w:tcPr>
          <w:p w14:paraId="22F1D9F4" w14:textId="77777777" w:rsidR="00A6757E" w:rsidRPr="004A07D1" w:rsidRDefault="00A6757E" w:rsidP="00A6757E">
            <w:pPr>
              <w:rPr>
                <w:b/>
                <w:bCs/>
              </w:rPr>
            </w:pPr>
            <w:r w:rsidRPr="0E14A658">
              <w:rPr>
                <w:b/>
                <w:bCs/>
              </w:rPr>
              <w:t>Age of the respondents</w:t>
            </w:r>
          </w:p>
          <w:p w14:paraId="334318AB" w14:textId="77777777" w:rsidR="00A6757E" w:rsidRPr="004A07D1" w:rsidRDefault="00A6757E" w:rsidP="00A6757E">
            <w:r w:rsidRPr="1CD144C1">
              <w:t>15-24</w:t>
            </w:r>
          </w:p>
          <w:p w14:paraId="30162659" w14:textId="77777777" w:rsidR="00A6757E" w:rsidRPr="004A07D1" w:rsidRDefault="00A6757E" w:rsidP="00A6757E">
            <w:r w:rsidRPr="1CD144C1">
              <w:t>25-34</w:t>
            </w:r>
          </w:p>
          <w:p w14:paraId="5CC9F015" w14:textId="77777777" w:rsidR="00A6757E" w:rsidRPr="004A07D1" w:rsidRDefault="00A6757E" w:rsidP="00A6757E">
            <w:r w:rsidRPr="1CD144C1">
              <w:t>35-49</w:t>
            </w:r>
          </w:p>
        </w:tc>
        <w:tc>
          <w:tcPr>
            <w:tcW w:w="2835" w:type="dxa"/>
          </w:tcPr>
          <w:p w14:paraId="4A0C47F8" w14:textId="77777777" w:rsidR="00A6757E" w:rsidRPr="004A07D1" w:rsidRDefault="00A6757E" w:rsidP="00A6757E">
            <w:pPr>
              <w:jc w:val="center"/>
            </w:pPr>
          </w:p>
          <w:p w14:paraId="5431D5FA" w14:textId="77777777" w:rsidR="00A6757E" w:rsidRPr="004A07D1" w:rsidRDefault="00A6757E" w:rsidP="00A6757E">
            <w:pPr>
              <w:jc w:val="center"/>
            </w:pPr>
            <w:r w:rsidRPr="0E14A658">
              <w:t>77.3%</w:t>
            </w:r>
          </w:p>
          <w:p w14:paraId="16EAAC58" w14:textId="77777777" w:rsidR="00A6757E" w:rsidRPr="004A07D1" w:rsidRDefault="00A6757E" w:rsidP="00A6757E">
            <w:pPr>
              <w:jc w:val="center"/>
            </w:pPr>
            <w:r w:rsidRPr="0E14A658">
              <w:t>68.0%</w:t>
            </w:r>
          </w:p>
          <w:p w14:paraId="43E25B40" w14:textId="77777777" w:rsidR="00A6757E" w:rsidRPr="004A07D1" w:rsidRDefault="00A6757E" w:rsidP="00A6757E">
            <w:pPr>
              <w:jc w:val="center"/>
            </w:pPr>
            <w:r w:rsidRPr="0E14A658">
              <w:t>37.0%</w:t>
            </w:r>
          </w:p>
        </w:tc>
        <w:tc>
          <w:tcPr>
            <w:tcW w:w="1882" w:type="dxa"/>
          </w:tcPr>
          <w:p w14:paraId="5DD37154" w14:textId="77777777" w:rsidR="00A6757E" w:rsidRPr="004A07D1" w:rsidRDefault="00A6757E" w:rsidP="00A6757E">
            <w:pPr>
              <w:jc w:val="center"/>
            </w:pPr>
          </w:p>
          <w:p w14:paraId="13AF7D82" w14:textId="77777777" w:rsidR="00A6757E" w:rsidRPr="004A07D1" w:rsidRDefault="00A6757E" w:rsidP="00A6757E">
            <w:pPr>
              <w:jc w:val="center"/>
            </w:pPr>
          </w:p>
          <w:p w14:paraId="4E6E9D79" w14:textId="77777777" w:rsidR="00A6757E" w:rsidRPr="004A07D1" w:rsidRDefault="00A6757E" w:rsidP="00A6757E">
            <w:pPr>
              <w:jc w:val="center"/>
            </w:pPr>
          </w:p>
          <w:p w14:paraId="049BFC1C" w14:textId="77777777" w:rsidR="00A6757E" w:rsidRPr="004A07D1" w:rsidRDefault="00A6757E" w:rsidP="00A6757E">
            <w:pPr>
              <w:jc w:val="center"/>
            </w:pPr>
            <w:r w:rsidRPr="0E14A658">
              <w:t>&lt;.00</w:t>
            </w:r>
            <w:r>
              <w:t>1</w:t>
            </w:r>
          </w:p>
        </w:tc>
      </w:tr>
      <w:tr w:rsidR="00A6757E" w:rsidRPr="00A37992" w14:paraId="1567B37D" w14:textId="77777777" w:rsidTr="00A6757E">
        <w:trPr>
          <w:trHeight w:val="627"/>
        </w:trPr>
        <w:tc>
          <w:tcPr>
            <w:tcW w:w="3567" w:type="dxa"/>
          </w:tcPr>
          <w:p w14:paraId="3C2AF1BB" w14:textId="77777777" w:rsidR="00A6757E" w:rsidRPr="004A07D1" w:rsidRDefault="00A6757E" w:rsidP="00A6757E">
            <w:pPr>
              <w:rPr>
                <w:b/>
                <w:bCs/>
              </w:rPr>
            </w:pPr>
            <w:r w:rsidRPr="0E14A658">
              <w:rPr>
                <w:b/>
                <w:bCs/>
              </w:rPr>
              <w:t>Educational Attainment</w:t>
            </w:r>
          </w:p>
          <w:p w14:paraId="56885C23" w14:textId="77777777" w:rsidR="00A6757E" w:rsidRPr="004A07D1" w:rsidRDefault="00A6757E" w:rsidP="00A6757E">
            <w:r w:rsidRPr="0E14A658">
              <w:t>No education</w:t>
            </w:r>
          </w:p>
          <w:p w14:paraId="48439650" w14:textId="77777777" w:rsidR="00A6757E" w:rsidRPr="004A07D1" w:rsidRDefault="00A6757E" w:rsidP="00A6757E">
            <w:r w:rsidRPr="0E14A658">
              <w:t>Incomplete primary</w:t>
            </w:r>
          </w:p>
          <w:p w14:paraId="63EA4E9B" w14:textId="77777777" w:rsidR="00A6757E" w:rsidRPr="004A07D1" w:rsidRDefault="00A6757E" w:rsidP="00A6757E">
            <w:r w:rsidRPr="0E14A658">
              <w:t>Complete primary</w:t>
            </w:r>
          </w:p>
          <w:p w14:paraId="2ED67E74" w14:textId="77777777" w:rsidR="00A6757E" w:rsidRPr="004A07D1" w:rsidRDefault="00A6757E" w:rsidP="00A6757E">
            <w:r w:rsidRPr="0E14A658">
              <w:t>Incomplete secondary</w:t>
            </w:r>
          </w:p>
          <w:p w14:paraId="75BE026D" w14:textId="77777777" w:rsidR="00A6757E" w:rsidRPr="004A07D1" w:rsidRDefault="00A6757E" w:rsidP="00A6757E">
            <w:r w:rsidRPr="0E14A658">
              <w:t>Complete secondary</w:t>
            </w:r>
          </w:p>
          <w:p w14:paraId="15700B15" w14:textId="77777777" w:rsidR="00A6757E" w:rsidRPr="004A07D1" w:rsidRDefault="00A6757E" w:rsidP="00A6757E">
            <w:r w:rsidRPr="0E14A658">
              <w:t>Higher</w:t>
            </w:r>
          </w:p>
        </w:tc>
        <w:tc>
          <w:tcPr>
            <w:tcW w:w="2835" w:type="dxa"/>
          </w:tcPr>
          <w:p w14:paraId="0665E54C" w14:textId="77777777" w:rsidR="00A6757E" w:rsidRPr="004A07D1" w:rsidRDefault="00A6757E" w:rsidP="00A6757E">
            <w:pPr>
              <w:jc w:val="center"/>
            </w:pPr>
          </w:p>
          <w:p w14:paraId="0E1A3EB9" w14:textId="77777777" w:rsidR="00A6757E" w:rsidRPr="004A07D1" w:rsidRDefault="00A6757E" w:rsidP="00A6757E">
            <w:pPr>
              <w:jc w:val="center"/>
            </w:pPr>
            <w:r w:rsidRPr="0E14A658">
              <w:t>48.3%</w:t>
            </w:r>
          </w:p>
          <w:p w14:paraId="1FE4F5D5" w14:textId="77777777" w:rsidR="00A6757E" w:rsidRPr="004A07D1" w:rsidRDefault="00A6757E" w:rsidP="00A6757E">
            <w:pPr>
              <w:jc w:val="center"/>
            </w:pPr>
            <w:r w:rsidRPr="0E14A658">
              <w:t>60.1%</w:t>
            </w:r>
          </w:p>
          <w:p w14:paraId="2DB7AFD1" w14:textId="77777777" w:rsidR="00A6757E" w:rsidRPr="004A07D1" w:rsidRDefault="00A6757E" w:rsidP="00A6757E">
            <w:pPr>
              <w:jc w:val="center"/>
            </w:pPr>
            <w:r w:rsidRPr="0E14A658">
              <w:t>64.4%</w:t>
            </w:r>
          </w:p>
          <w:p w14:paraId="7AE0AAAE" w14:textId="77777777" w:rsidR="00A6757E" w:rsidRPr="004A07D1" w:rsidRDefault="00A6757E" w:rsidP="00A6757E">
            <w:pPr>
              <w:jc w:val="center"/>
            </w:pPr>
            <w:r w:rsidRPr="0E14A658">
              <w:t>70.0%</w:t>
            </w:r>
          </w:p>
          <w:p w14:paraId="1800D989" w14:textId="77777777" w:rsidR="00A6757E" w:rsidRPr="004A07D1" w:rsidRDefault="00A6757E" w:rsidP="00A6757E">
            <w:pPr>
              <w:jc w:val="center"/>
            </w:pPr>
            <w:r w:rsidRPr="0E14A658">
              <w:t>77.0%</w:t>
            </w:r>
          </w:p>
          <w:p w14:paraId="73A62E37" w14:textId="77777777" w:rsidR="00A6757E" w:rsidRPr="004A07D1" w:rsidRDefault="00A6757E" w:rsidP="00A6757E">
            <w:pPr>
              <w:jc w:val="center"/>
            </w:pPr>
            <w:r w:rsidRPr="0E14A658">
              <w:t>76.9%</w:t>
            </w:r>
          </w:p>
        </w:tc>
        <w:tc>
          <w:tcPr>
            <w:tcW w:w="1882" w:type="dxa"/>
          </w:tcPr>
          <w:p w14:paraId="4947DED4" w14:textId="77777777" w:rsidR="00A6757E" w:rsidRPr="004A07D1" w:rsidRDefault="00A6757E" w:rsidP="00A6757E">
            <w:pPr>
              <w:jc w:val="center"/>
            </w:pPr>
          </w:p>
          <w:p w14:paraId="653C45C0" w14:textId="77777777" w:rsidR="00A6757E" w:rsidRPr="004A07D1" w:rsidRDefault="00A6757E" w:rsidP="00A6757E">
            <w:pPr>
              <w:jc w:val="center"/>
            </w:pPr>
          </w:p>
          <w:p w14:paraId="544CD5AD" w14:textId="77777777" w:rsidR="00A6757E" w:rsidRPr="004A07D1" w:rsidRDefault="00A6757E" w:rsidP="00A6757E">
            <w:pPr>
              <w:jc w:val="center"/>
            </w:pPr>
          </w:p>
          <w:p w14:paraId="22AE4283" w14:textId="77777777" w:rsidR="00A6757E" w:rsidRPr="004A07D1" w:rsidRDefault="00A6757E" w:rsidP="00A6757E">
            <w:pPr>
              <w:jc w:val="center"/>
            </w:pPr>
          </w:p>
          <w:p w14:paraId="123A6E50" w14:textId="77777777" w:rsidR="00A6757E" w:rsidRPr="004A07D1" w:rsidRDefault="00A6757E" w:rsidP="00A6757E">
            <w:pPr>
              <w:jc w:val="center"/>
            </w:pPr>
          </w:p>
          <w:p w14:paraId="66A6BAEB" w14:textId="77777777" w:rsidR="00A6757E" w:rsidRPr="004A07D1" w:rsidRDefault="00A6757E" w:rsidP="00A6757E">
            <w:pPr>
              <w:jc w:val="center"/>
            </w:pPr>
          </w:p>
          <w:p w14:paraId="255DAAA1" w14:textId="77777777" w:rsidR="00A6757E" w:rsidRPr="004A07D1" w:rsidRDefault="00A6757E" w:rsidP="00A6757E">
            <w:pPr>
              <w:jc w:val="center"/>
            </w:pPr>
            <w:r w:rsidRPr="0E14A658">
              <w:t>&lt;.00</w:t>
            </w:r>
            <w:r>
              <w:t>1</w:t>
            </w:r>
          </w:p>
        </w:tc>
      </w:tr>
      <w:tr w:rsidR="00A6757E" w:rsidRPr="00A37992" w14:paraId="7F1D6EAF" w14:textId="77777777" w:rsidTr="00A6757E">
        <w:trPr>
          <w:trHeight w:val="627"/>
        </w:trPr>
        <w:tc>
          <w:tcPr>
            <w:tcW w:w="3567" w:type="dxa"/>
          </w:tcPr>
          <w:p w14:paraId="465D8373" w14:textId="77777777" w:rsidR="00A6757E" w:rsidRPr="004A07D1" w:rsidRDefault="00A6757E" w:rsidP="00A6757E">
            <w:pPr>
              <w:rPr>
                <w:b/>
                <w:bCs/>
              </w:rPr>
            </w:pPr>
            <w:r w:rsidRPr="0E14A658">
              <w:rPr>
                <w:b/>
                <w:bCs/>
              </w:rPr>
              <w:t>Wealth index</w:t>
            </w:r>
          </w:p>
          <w:p w14:paraId="0C889FBB" w14:textId="77777777" w:rsidR="00A6757E" w:rsidRPr="004A07D1" w:rsidRDefault="00A6757E" w:rsidP="00A6757E">
            <w:r w:rsidRPr="0E14A658">
              <w:t>Poorest</w:t>
            </w:r>
          </w:p>
          <w:p w14:paraId="70649150" w14:textId="77777777" w:rsidR="00A6757E" w:rsidRPr="004A07D1" w:rsidRDefault="00A6757E" w:rsidP="00A6757E">
            <w:r w:rsidRPr="0E14A658">
              <w:t>Poorer</w:t>
            </w:r>
          </w:p>
          <w:p w14:paraId="5D2795BC" w14:textId="77777777" w:rsidR="00A6757E" w:rsidRPr="004A07D1" w:rsidRDefault="00A6757E" w:rsidP="00A6757E">
            <w:r w:rsidRPr="0E14A658">
              <w:t>Middle</w:t>
            </w:r>
          </w:p>
          <w:p w14:paraId="52A827E2" w14:textId="77777777" w:rsidR="00A6757E" w:rsidRPr="004A07D1" w:rsidRDefault="00A6757E" w:rsidP="00A6757E">
            <w:r w:rsidRPr="0E14A658">
              <w:t>Richer</w:t>
            </w:r>
          </w:p>
          <w:p w14:paraId="180EFA19" w14:textId="77777777" w:rsidR="00A6757E" w:rsidRPr="004A07D1" w:rsidRDefault="00A6757E" w:rsidP="00A6757E">
            <w:r w:rsidRPr="0E14A658">
              <w:t>Richest</w:t>
            </w:r>
          </w:p>
        </w:tc>
        <w:tc>
          <w:tcPr>
            <w:tcW w:w="2835" w:type="dxa"/>
          </w:tcPr>
          <w:p w14:paraId="119D4144" w14:textId="77777777" w:rsidR="00A6757E" w:rsidRPr="004A07D1" w:rsidRDefault="00A6757E" w:rsidP="00A6757E">
            <w:pPr>
              <w:jc w:val="center"/>
            </w:pPr>
          </w:p>
          <w:p w14:paraId="58DD794F" w14:textId="77777777" w:rsidR="00A6757E" w:rsidRPr="004A07D1" w:rsidRDefault="00A6757E" w:rsidP="00A6757E">
            <w:pPr>
              <w:jc w:val="center"/>
            </w:pPr>
            <w:r w:rsidRPr="0E14A658">
              <w:t>58.4%</w:t>
            </w:r>
          </w:p>
          <w:p w14:paraId="4383C0F6" w14:textId="77777777" w:rsidR="00A6757E" w:rsidRPr="004A07D1" w:rsidRDefault="00A6757E" w:rsidP="00A6757E">
            <w:pPr>
              <w:jc w:val="center"/>
            </w:pPr>
            <w:r w:rsidRPr="0E14A658">
              <w:t>65.5%</w:t>
            </w:r>
          </w:p>
          <w:p w14:paraId="308E8179" w14:textId="77777777" w:rsidR="00A6757E" w:rsidRPr="004A07D1" w:rsidRDefault="00A6757E" w:rsidP="00A6757E">
            <w:pPr>
              <w:jc w:val="center"/>
            </w:pPr>
            <w:r w:rsidRPr="0E14A658">
              <w:t>60.2%</w:t>
            </w:r>
          </w:p>
          <w:p w14:paraId="6609CC35" w14:textId="77777777" w:rsidR="00A6757E" w:rsidRPr="004A07D1" w:rsidRDefault="00A6757E" w:rsidP="00A6757E">
            <w:pPr>
              <w:jc w:val="center"/>
            </w:pPr>
            <w:r w:rsidRPr="0E14A658">
              <w:t>65.2%</w:t>
            </w:r>
          </w:p>
          <w:p w14:paraId="20EBF183" w14:textId="77777777" w:rsidR="00A6757E" w:rsidRPr="004A07D1" w:rsidRDefault="00A6757E" w:rsidP="00A6757E">
            <w:pPr>
              <w:jc w:val="center"/>
            </w:pPr>
            <w:r w:rsidRPr="0E14A658">
              <w:t>67.6%</w:t>
            </w:r>
          </w:p>
        </w:tc>
        <w:tc>
          <w:tcPr>
            <w:tcW w:w="1882" w:type="dxa"/>
          </w:tcPr>
          <w:p w14:paraId="169CE36B" w14:textId="77777777" w:rsidR="00A6757E" w:rsidRPr="004A07D1" w:rsidRDefault="00A6757E" w:rsidP="00A6757E">
            <w:pPr>
              <w:jc w:val="center"/>
            </w:pPr>
          </w:p>
          <w:p w14:paraId="1BCD3586" w14:textId="77777777" w:rsidR="00A6757E" w:rsidRPr="004A07D1" w:rsidRDefault="00A6757E" w:rsidP="00A6757E">
            <w:pPr>
              <w:jc w:val="center"/>
            </w:pPr>
          </w:p>
          <w:p w14:paraId="2A8B0B41" w14:textId="77777777" w:rsidR="00A6757E" w:rsidRPr="004A07D1" w:rsidRDefault="00A6757E" w:rsidP="00A6757E">
            <w:pPr>
              <w:jc w:val="center"/>
            </w:pPr>
          </w:p>
          <w:p w14:paraId="333B9195" w14:textId="77777777" w:rsidR="00A6757E" w:rsidRPr="004A07D1" w:rsidRDefault="00A6757E" w:rsidP="00A6757E">
            <w:pPr>
              <w:jc w:val="center"/>
            </w:pPr>
          </w:p>
          <w:p w14:paraId="0F4CDA39" w14:textId="77777777" w:rsidR="00A6757E" w:rsidRPr="004A07D1" w:rsidRDefault="00A6757E" w:rsidP="00A6757E">
            <w:pPr>
              <w:jc w:val="center"/>
            </w:pPr>
          </w:p>
          <w:p w14:paraId="125C6F10" w14:textId="77777777" w:rsidR="00A6757E" w:rsidRPr="004A07D1" w:rsidRDefault="00A6757E" w:rsidP="00A6757E">
            <w:pPr>
              <w:jc w:val="center"/>
            </w:pPr>
            <w:r w:rsidRPr="0E14A658">
              <w:t>&lt;.00</w:t>
            </w:r>
            <w:r>
              <w:t>1</w:t>
            </w:r>
          </w:p>
        </w:tc>
      </w:tr>
      <w:tr w:rsidR="00A6757E" w:rsidRPr="00A37992" w14:paraId="7EFA21E2" w14:textId="77777777" w:rsidTr="00A6757E">
        <w:trPr>
          <w:trHeight w:val="627"/>
        </w:trPr>
        <w:tc>
          <w:tcPr>
            <w:tcW w:w="3567" w:type="dxa"/>
          </w:tcPr>
          <w:p w14:paraId="272C206B" w14:textId="77777777" w:rsidR="00A6757E" w:rsidRPr="004A07D1" w:rsidRDefault="00A6757E" w:rsidP="00A6757E">
            <w:pPr>
              <w:rPr>
                <w:b/>
                <w:bCs/>
              </w:rPr>
            </w:pPr>
            <w:r w:rsidRPr="0E14A658">
              <w:rPr>
                <w:b/>
                <w:bCs/>
              </w:rPr>
              <w:t>Working Status</w:t>
            </w:r>
          </w:p>
          <w:p w14:paraId="62E471A0" w14:textId="77777777" w:rsidR="00A6757E" w:rsidRPr="004A07D1" w:rsidRDefault="00A6757E" w:rsidP="00A6757E">
            <w:r w:rsidRPr="0E14A658">
              <w:t>No</w:t>
            </w:r>
          </w:p>
          <w:p w14:paraId="70E7EF46" w14:textId="77777777" w:rsidR="00A6757E" w:rsidRPr="004A07D1" w:rsidRDefault="00A6757E" w:rsidP="00A6757E">
            <w:r w:rsidRPr="0E14A658">
              <w:t>Yes</w:t>
            </w:r>
          </w:p>
        </w:tc>
        <w:tc>
          <w:tcPr>
            <w:tcW w:w="2835" w:type="dxa"/>
          </w:tcPr>
          <w:p w14:paraId="0CD33CB4" w14:textId="77777777" w:rsidR="00A6757E" w:rsidRPr="004A07D1" w:rsidRDefault="00A6757E" w:rsidP="00A6757E">
            <w:pPr>
              <w:jc w:val="center"/>
            </w:pPr>
          </w:p>
          <w:p w14:paraId="1ECC8B00" w14:textId="77777777" w:rsidR="00A6757E" w:rsidRPr="004A07D1" w:rsidRDefault="00A6757E" w:rsidP="00A6757E">
            <w:pPr>
              <w:jc w:val="center"/>
            </w:pPr>
            <w:r w:rsidRPr="0E14A658">
              <w:t>68.7%</w:t>
            </w:r>
          </w:p>
          <w:p w14:paraId="27FD4F06" w14:textId="77777777" w:rsidR="00A6757E" w:rsidRPr="004A07D1" w:rsidRDefault="00A6757E" w:rsidP="00A6757E">
            <w:pPr>
              <w:jc w:val="center"/>
            </w:pPr>
            <w:r w:rsidRPr="0E14A658">
              <w:t>61.2%</w:t>
            </w:r>
          </w:p>
        </w:tc>
        <w:tc>
          <w:tcPr>
            <w:tcW w:w="1882" w:type="dxa"/>
          </w:tcPr>
          <w:p w14:paraId="3BCD72B8" w14:textId="77777777" w:rsidR="00A6757E" w:rsidRPr="004A07D1" w:rsidRDefault="00A6757E" w:rsidP="00A6757E">
            <w:pPr>
              <w:jc w:val="center"/>
            </w:pPr>
          </w:p>
          <w:p w14:paraId="53B6D901" w14:textId="77777777" w:rsidR="00A6757E" w:rsidRPr="004A07D1" w:rsidRDefault="00A6757E" w:rsidP="00A6757E">
            <w:pPr>
              <w:jc w:val="center"/>
            </w:pPr>
          </w:p>
          <w:p w14:paraId="28AFE53D" w14:textId="77777777" w:rsidR="00A6757E" w:rsidRPr="004A07D1" w:rsidRDefault="00A6757E" w:rsidP="00A6757E">
            <w:pPr>
              <w:jc w:val="center"/>
            </w:pPr>
            <w:r w:rsidRPr="0E14A658">
              <w:t>&lt;.00</w:t>
            </w:r>
            <w:r>
              <w:t>1</w:t>
            </w:r>
          </w:p>
        </w:tc>
      </w:tr>
      <w:tr w:rsidR="00A6757E" w:rsidRPr="00A37992" w14:paraId="164CFFBE" w14:textId="77777777" w:rsidTr="00A6757E">
        <w:trPr>
          <w:trHeight w:val="627"/>
        </w:trPr>
        <w:tc>
          <w:tcPr>
            <w:tcW w:w="3567" w:type="dxa"/>
          </w:tcPr>
          <w:p w14:paraId="5CF2DB4D" w14:textId="77777777" w:rsidR="00A6757E" w:rsidRPr="004A07D1" w:rsidRDefault="00A6757E" w:rsidP="00A6757E">
            <w:pPr>
              <w:rPr>
                <w:b/>
                <w:bCs/>
              </w:rPr>
            </w:pPr>
            <w:r w:rsidRPr="0E14A658">
              <w:rPr>
                <w:b/>
                <w:bCs/>
              </w:rPr>
              <w:t>Place of Residence</w:t>
            </w:r>
          </w:p>
          <w:p w14:paraId="6BD41115" w14:textId="77777777" w:rsidR="00A6757E" w:rsidRPr="004A07D1" w:rsidRDefault="00A6757E" w:rsidP="00A6757E">
            <w:r w:rsidRPr="0E14A658">
              <w:t>Urban</w:t>
            </w:r>
          </w:p>
          <w:p w14:paraId="41A032FD" w14:textId="77777777" w:rsidR="00A6757E" w:rsidRPr="004A07D1" w:rsidRDefault="00A6757E" w:rsidP="00A6757E">
            <w:r w:rsidRPr="0E14A658">
              <w:t>Rural</w:t>
            </w:r>
          </w:p>
        </w:tc>
        <w:tc>
          <w:tcPr>
            <w:tcW w:w="2835" w:type="dxa"/>
          </w:tcPr>
          <w:p w14:paraId="39D0DE2A" w14:textId="77777777" w:rsidR="00A6757E" w:rsidRPr="004A07D1" w:rsidRDefault="00A6757E" w:rsidP="00A6757E">
            <w:pPr>
              <w:jc w:val="center"/>
            </w:pPr>
          </w:p>
          <w:p w14:paraId="1CE7CB53" w14:textId="77777777" w:rsidR="00A6757E" w:rsidRPr="004A07D1" w:rsidRDefault="00A6757E" w:rsidP="00A6757E">
            <w:pPr>
              <w:jc w:val="center"/>
            </w:pPr>
            <w:r w:rsidRPr="0E14A658">
              <w:t>66.9%</w:t>
            </w:r>
          </w:p>
          <w:p w14:paraId="036FEF5F" w14:textId="77777777" w:rsidR="00A6757E" w:rsidRPr="004A07D1" w:rsidRDefault="00A6757E" w:rsidP="00A6757E">
            <w:pPr>
              <w:jc w:val="center"/>
            </w:pPr>
            <w:r w:rsidRPr="0E14A658">
              <w:t>62.4%</w:t>
            </w:r>
          </w:p>
        </w:tc>
        <w:tc>
          <w:tcPr>
            <w:tcW w:w="1882" w:type="dxa"/>
          </w:tcPr>
          <w:p w14:paraId="783EB62C" w14:textId="77777777" w:rsidR="00A6757E" w:rsidRPr="004A07D1" w:rsidRDefault="00A6757E" w:rsidP="00A6757E">
            <w:pPr>
              <w:jc w:val="center"/>
            </w:pPr>
          </w:p>
          <w:p w14:paraId="18DFABB3" w14:textId="77777777" w:rsidR="00A6757E" w:rsidRPr="004A07D1" w:rsidRDefault="00A6757E" w:rsidP="00A6757E">
            <w:pPr>
              <w:jc w:val="center"/>
            </w:pPr>
          </w:p>
          <w:p w14:paraId="57CAB34A" w14:textId="77777777" w:rsidR="00A6757E" w:rsidRPr="004A07D1" w:rsidRDefault="00A6757E" w:rsidP="00A6757E">
            <w:pPr>
              <w:jc w:val="center"/>
            </w:pPr>
            <w:r w:rsidRPr="0E14A658">
              <w:t>&lt;.00</w:t>
            </w:r>
            <w:r>
              <w:t>1</w:t>
            </w:r>
          </w:p>
        </w:tc>
      </w:tr>
      <w:tr w:rsidR="00A6757E" w:rsidRPr="00A37992" w14:paraId="4A4E71C9" w14:textId="77777777" w:rsidTr="00A6757E">
        <w:trPr>
          <w:trHeight w:val="627"/>
        </w:trPr>
        <w:tc>
          <w:tcPr>
            <w:tcW w:w="3567" w:type="dxa"/>
          </w:tcPr>
          <w:p w14:paraId="22FBD80B" w14:textId="77777777" w:rsidR="00A6757E" w:rsidRPr="004A07D1" w:rsidRDefault="00A6757E" w:rsidP="00A6757E">
            <w:pPr>
              <w:rPr>
                <w:b/>
                <w:bCs/>
              </w:rPr>
            </w:pPr>
            <w:r w:rsidRPr="0E14A658">
              <w:rPr>
                <w:b/>
                <w:bCs/>
              </w:rPr>
              <w:t>Number of children 5 and under</w:t>
            </w:r>
          </w:p>
          <w:p w14:paraId="329BE46E" w14:textId="77777777" w:rsidR="00A6757E" w:rsidRPr="004A07D1" w:rsidRDefault="00A6757E" w:rsidP="00A6757E">
            <w:r w:rsidRPr="1CD144C1">
              <w:t>0</w:t>
            </w:r>
          </w:p>
          <w:p w14:paraId="21971FE9" w14:textId="77777777" w:rsidR="00A6757E" w:rsidRPr="004A07D1" w:rsidRDefault="00A6757E" w:rsidP="00A6757E">
            <w:r w:rsidRPr="1CD144C1">
              <w:t>1-2</w:t>
            </w:r>
          </w:p>
          <w:p w14:paraId="3DB00037" w14:textId="77777777" w:rsidR="00A6757E" w:rsidRPr="004A07D1" w:rsidRDefault="00A6757E" w:rsidP="00A6757E">
            <w:r w:rsidRPr="1CD144C1">
              <w:t>3-5</w:t>
            </w:r>
          </w:p>
          <w:p w14:paraId="24051E44" w14:textId="77777777" w:rsidR="00A6757E" w:rsidRPr="004A07D1" w:rsidRDefault="00A6757E" w:rsidP="00A6757E">
            <w:r w:rsidRPr="1CD144C1">
              <w:t>6+</w:t>
            </w:r>
          </w:p>
        </w:tc>
        <w:tc>
          <w:tcPr>
            <w:tcW w:w="2835" w:type="dxa"/>
          </w:tcPr>
          <w:p w14:paraId="7366D9D6" w14:textId="77777777" w:rsidR="00A6757E" w:rsidRPr="004A07D1" w:rsidRDefault="00A6757E" w:rsidP="00A6757E">
            <w:pPr>
              <w:jc w:val="center"/>
            </w:pPr>
          </w:p>
          <w:p w14:paraId="4BBFDD5A" w14:textId="77777777" w:rsidR="00A6757E" w:rsidRPr="004A07D1" w:rsidRDefault="00A6757E" w:rsidP="00A6757E">
            <w:pPr>
              <w:jc w:val="center"/>
            </w:pPr>
            <w:r w:rsidRPr="0E14A658">
              <w:t>57.8%</w:t>
            </w:r>
          </w:p>
          <w:p w14:paraId="1A9BB438" w14:textId="77777777" w:rsidR="00A6757E" w:rsidRPr="004A07D1" w:rsidRDefault="00A6757E" w:rsidP="00A6757E">
            <w:pPr>
              <w:jc w:val="center"/>
            </w:pPr>
            <w:r w:rsidRPr="0E14A658">
              <w:t>65.7%</w:t>
            </w:r>
          </w:p>
          <w:p w14:paraId="625D78BF" w14:textId="77777777" w:rsidR="00A6757E" w:rsidRPr="004A07D1" w:rsidRDefault="00A6757E" w:rsidP="00A6757E">
            <w:pPr>
              <w:jc w:val="center"/>
            </w:pPr>
            <w:r w:rsidRPr="0E14A658">
              <w:t>69.0%</w:t>
            </w:r>
          </w:p>
          <w:p w14:paraId="36EE1E44" w14:textId="77777777" w:rsidR="00A6757E" w:rsidRPr="004A07D1" w:rsidRDefault="00A6757E" w:rsidP="00A6757E">
            <w:pPr>
              <w:jc w:val="center"/>
            </w:pPr>
            <w:r w:rsidRPr="0E14A658">
              <w:t>61.0%</w:t>
            </w:r>
          </w:p>
        </w:tc>
        <w:tc>
          <w:tcPr>
            <w:tcW w:w="1882" w:type="dxa"/>
          </w:tcPr>
          <w:p w14:paraId="680BD93D" w14:textId="77777777" w:rsidR="00A6757E" w:rsidRPr="004A07D1" w:rsidRDefault="00A6757E" w:rsidP="00A6757E">
            <w:pPr>
              <w:jc w:val="center"/>
            </w:pPr>
          </w:p>
          <w:p w14:paraId="2999DE64" w14:textId="77777777" w:rsidR="00A6757E" w:rsidRPr="004A07D1" w:rsidRDefault="00A6757E" w:rsidP="00A6757E">
            <w:pPr>
              <w:jc w:val="center"/>
            </w:pPr>
          </w:p>
          <w:p w14:paraId="0EF56505" w14:textId="77777777" w:rsidR="00A6757E" w:rsidRPr="004A07D1" w:rsidRDefault="00A6757E" w:rsidP="00A6757E">
            <w:pPr>
              <w:jc w:val="center"/>
            </w:pPr>
          </w:p>
          <w:p w14:paraId="77311740" w14:textId="77777777" w:rsidR="00A6757E" w:rsidRPr="004A07D1" w:rsidRDefault="00A6757E" w:rsidP="00A6757E">
            <w:pPr>
              <w:jc w:val="center"/>
            </w:pPr>
          </w:p>
          <w:p w14:paraId="3155F96C" w14:textId="77777777" w:rsidR="00A6757E" w:rsidRPr="004A07D1" w:rsidRDefault="00A6757E" w:rsidP="00A6757E">
            <w:pPr>
              <w:jc w:val="center"/>
            </w:pPr>
            <w:r w:rsidRPr="0E14A658">
              <w:t>&lt;.00</w:t>
            </w:r>
            <w:r>
              <w:t>1</w:t>
            </w:r>
          </w:p>
        </w:tc>
      </w:tr>
      <w:tr w:rsidR="00A6757E" w:rsidRPr="00A37992" w14:paraId="37D5ED32" w14:textId="77777777" w:rsidTr="00A6757E">
        <w:trPr>
          <w:trHeight w:val="627"/>
        </w:trPr>
        <w:tc>
          <w:tcPr>
            <w:tcW w:w="3567" w:type="dxa"/>
          </w:tcPr>
          <w:p w14:paraId="3E7005C9" w14:textId="77777777" w:rsidR="00A6757E" w:rsidRDefault="00A6757E" w:rsidP="00A6757E">
            <w:pPr>
              <w:rPr>
                <w:b/>
                <w:bCs/>
              </w:rPr>
            </w:pPr>
            <w:r w:rsidRPr="0E14A658">
              <w:rPr>
                <w:b/>
                <w:bCs/>
              </w:rPr>
              <w:t>Number of Pregnancies</w:t>
            </w:r>
          </w:p>
          <w:p w14:paraId="6A9ABAB9" w14:textId="77777777" w:rsidR="00A6757E" w:rsidRPr="007B1EBB" w:rsidRDefault="00A6757E" w:rsidP="00A6757E">
            <w:r w:rsidRPr="1CD144C1">
              <w:t>0</w:t>
            </w:r>
          </w:p>
          <w:p w14:paraId="4CFA28B8" w14:textId="77777777" w:rsidR="00A6757E" w:rsidRPr="007B1EBB" w:rsidRDefault="00A6757E" w:rsidP="00A6757E">
            <w:r w:rsidRPr="1CD144C1">
              <w:t>1-2</w:t>
            </w:r>
          </w:p>
          <w:p w14:paraId="33F8E8B2" w14:textId="77777777" w:rsidR="00A6757E" w:rsidRPr="004A07D1" w:rsidRDefault="00A6757E" w:rsidP="00A6757E">
            <w:pPr>
              <w:rPr>
                <w:b/>
                <w:bCs/>
              </w:rPr>
            </w:pPr>
            <w:r w:rsidRPr="1CD144C1">
              <w:t>3+</w:t>
            </w:r>
          </w:p>
        </w:tc>
        <w:tc>
          <w:tcPr>
            <w:tcW w:w="2835" w:type="dxa"/>
          </w:tcPr>
          <w:p w14:paraId="6F03C3F0" w14:textId="77777777" w:rsidR="00A6757E" w:rsidRDefault="00A6757E" w:rsidP="00A6757E">
            <w:pPr>
              <w:jc w:val="center"/>
            </w:pPr>
          </w:p>
          <w:p w14:paraId="7E80AEC4" w14:textId="77777777" w:rsidR="00A6757E" w:rsidRDefault="00A6757E" w:rsidP="00A6757E">
            <w:pPr>
              <w:jc w:val="center"/>
            </w:pPr>
            <w:r w:rsidRPr="0E14A658">
              <w:t>73.7%</w:t>
            </w:r>
          </w:p>
          <w:p w14:paraId="29BD9AA7" w14:textId="77777777" w:rsidR="00A6757E" w:rsidRDefault="00A6757E" w:rsidP="00A6757E">
            <w:pPr>
              <w:jc w:val="center"/>
            </w:pPr>
            <w:r w:rsidRPr="0E14A658">
              <w:t>66.1%</w:t>
            </w:r>
          </w:p>
          <w:p w14:paraId="69E2BF79" w14:textId="77777777" w:rsidR="00A6757E" w:rsidRPr="004A07D1" w:rsidRDefault="00A6757E" w:rsidP="00A6757E">
            <w:pPr>
              <w:jc w:val="center"/>
            </w:pPr>
            <w:r w:rsidRPr="0E14A658">
              <w:t>53.5%</w:t>
            </w:r>
          </w:p>
        </w:tc>
        <w:tc>
          <w:tcPr>
            <w:tcW w:w="1882" w:type="dxa"/>
          </w:tcPr>
          <w:p w14:paraId="3AD877BF" w14:textId="77777777" w:rsidR="00A6757E" w:rsidRDefault="00A6757E" w:rsidP="00A6757E">
            <w:pPr>
              <w:jc w:val="center"/>
            </w:pPr>
          </w:p>
          <w:p w14:paraId="1D76BEB8" w14:textId="77777777" w:rsidR="00A6757E" w:rsidRDefault="00A6757E" w:rsidP="00A6757E">
            <w:pPr>
              <w:jc w:val="center"/>
            </w:pPr>
          </w:p>
          <w:p w14:paraId="6F7F54A2" w14:textId="77777777" w:rsidR="00A6757E" w:rsidRDefault="00A6757E" w:rsidP="00A6757E">
            <w:pPr>
              <w:jc w:val="center"/>
            </w:pPr>
          </w:p>
          <w:p w14:paraId="02DEC91C" w14:textId="77777777" w:rsidR="00A6757E" w:rsidRPr="004A07D1" w:rsidRDefault="00A6757E" w:rsidP="00A6757E">
            <w:pPr>
              <w:jc w:val="center"/>
            </w:pPr>
            <w:r w:rsidRPr="0E14A658">
              <w:t>&lt;.00</w:t>
            </w:r>
            <w:r>
              <w:t>1</w:t>
            </w:r>
          </w:p>
        </w:tc>
      </w:tr>
    </w:tbl>
    <w:p w14:paraId="24F96F95" w14:textId="77777777" w:rsidR="00A6757E" w:rsidRDefault="00A6757E" w:rsidP="00A6757E"/>
    <w:p w14:paraId="103A7E80" w14:textId="77777777" w:rsidR="00A6757E" w:rsidRDefault="00A6757E" w:rsidP="00A6757E"/>
    <w:p w14:paraId="2F13A009" w14:textId="77777777" w:rsidR="00A6757E" w:rsidRDefault="00A6757E" w:rsidP="00A6757E"/>
    <w:p w14:paraId="1EEF4134" w14:textId="77777777" w:rsidR="00A6757E" w:rsidRDefault="00A6757E" w:rsidP="00A6757E"/>
    <w:p w14:paraId="5BA529C0" w14:textId="77777777" w:rsidR="00A6757E" w:rsidRDefault="00A6757E" w:rsidP="00A6757E"/>
    <w:p w14:paraId="6A3F9DFD" w14:textId="77777777" w:rsidR="00A6757E" w:rsidRDefault="00A6757E" w:rsidP="00A6757E"/>
    <w:p w14:paraId="259CDAB0" w14:textId="77777777" w:rsidR="00A6757E" w:rsidRDefault="00A6757E" w:rsidP="00A6757E"/>
    <w:p w14:paraId="0D7E5B5F" w14:textId="77777777" w:rsidR="00A6757E" w:rsidRDefault="00A6757E" w:rsidP="00A6757E"/>
    <w:p w14:paraId="4383FF4A" w14:textId="77777777" w:rsidR="00A6757E" w:rsidRDefault="00A6757E" w:rsidP="00A6757E"/>
    <w:p w14:paraId="39E58111" w14:textId="77777777" w:rsidR="00A6757E" w:rsidRDefault="00A6757E" w:rsidP="00CC2174">
      <w:pPr>
        <w:pStyle w:val="Heading1"/>
      </w:pPr>
      <w:r w:rsidRPr="0E14A658">
        <w:lastRenderedPageBreak/>
        <w:t>Table 3: Logistic regression analysis showing</w:t>
      </w:r>
      <w:r>
        <w:t xml:space="preserve"> the</w:t>
      </w:r>
      <w:r w:rsidRPr="0E14A658">
        <w:t xml:space="preserve"> relationship between dependent and independent variables</w:t>
      </w:r>
    </w:p>
    <w:p w14:paraId="34953215" w14:textId="77777777" w:rsidR="00A6757E" w:rsidRDefault="00A6757E" w:rsidP="00A6757E">
      <w:pPr>
        <w:rPr>
          <w:b/>
          <w:bCs/>
        </w:rPr>
      </w:pPr>
    </w:p>
    <w:tbl>
      <w:tblPr>
        <w:tblStyle w:val="TableGrid"/>
        <w:tblW w:w="9004" w:type="dxa"/>
        <w:tblLook w:val="0000" w:firstRow="0" w:lastRow="0" w:firstColumn="0" w:lastColumn="0" w:noHBand="0" w:noVBand="0"/>
      </w:tblPr>
      <w:tblGrid>
        <w:gridCol w:w="3987"/>
        <w:gridCol w:w="1832"/>
        <w:gridCol w:w="1755"/>
        <w:gridCol w:w="1430"/>
      </w:tblGrid>
      <w:tr w:rsidR="00A6757E" w:rsidRPr="00A37992" w14:paraId="7C5FDCDA" w14:textId="77777777" w:rsidTr="00A6757E">
        <w:trPr>
          <w:trHeight w:val="404"/>
        </w:trPr>
        <w:tc>
          <w:tcPr>
            <w:tcW w:w="3987" w:type="dxa"/>
            <w:vMerge w:val="restart"/>
          </w:tcPr>
          <w:p w14:paraId="5AAF1F5A" w14:textId="77777777" w:rsidR="00A6757E" w:rsidRPr="004A07D1" w:rsidRDefault="00A6757E" w:rsidP="00A6757E">
            <w:pPr>
              <w:spacing w:line="360" w:lineRule="auto"/>
              <w:rPr>
                <w:b/>
                <w:bCs/>
              </w:rPr>
            </w:pPr>
            <w:r w:rsidRPr="0E14A658">
              <w:rPr>
                <w:b/>
                <w:bCs/>
              </w:rPr>
              <w:t>Variables</w:t>
            </w:r>
          </w:p>
        </w:tc>
        <w:tc>
          <w:tcPr>
            <w:tcW w:w="5017" w:type="dxa"/>
            <w:gridSpan w:val="3"/>
          </w:tcPr>
          <w:p w14:paraId="0B52A3BA" w14:textId="77777777" w:rsidR="00A6757E" w:rsidRPr="004A07D1" w:rsidRDefault="00A6757E" w:rsidP="00A6757E">
            <w:pPr>
              <w:spacing w:line="360" w:lineRule="auto"/>
              <w:jc w:val="center"/>
              <w:rPr>
                <w:b/>
                <w:bCs/>
              </w:rPr>
            </w:pPr>
            <w:r w:rsidRPr="0E14A658">
              <w:rPr>
                <w:b/>
                <w:bCs/>
              </w:rPr>
              <w:t>Contraceptive Use</w:t>
            </w:r>
          </w:p>
        </w:tc>
      </w:tr>
      <w:tr w:rsidR="00A6757E" w:rsidRPr="00A37992" w14:paraId="3A22BBE9" w14:textId="77777777" w:rsidTr="00A6757E">
        <w:trPr>
          <w:trHeight w:val="493"/>
        </w:trPr>
        <w:tc>
          <w:tcPr>
            <w:tcW w:w="3987" w:type="dxa"/>
            <w:vMerge/>
          </w:tcPr>
          <w:p w14:paraId="04A87F93" w14:textId="77777777" w:rsidR="00A6757E" w:rsidRPr="004A07D1" w:rsidRDefault="00A6757E" w:rsidP="00A6757E">
            <w:pPr>
              <w:spacing w:line="360" w:lineRule="auto"/>
              <w:jc w:val="center"/>
              <w:rPr>
                <w:b/>
                <w:bCs/>
              </w:rPr>
            </w:pPr>
          </w:p>
        </w:tc>
        <w:tc>
          <w:tcPr>
            <w:tcW w:w="1832" w:type="dxa"/>
          </w:tcPr>
          <w:p w14:paraId="4F32DEED" w14:textId="77777777" w:rsidR="00A6757E" w:rsidRPr="004A07D1" w:rsidRDefault="00A6757E" w:rsidP="00A6757E">
            <w:pPr>
              <w:spacing w:line="360" w:lineRule="auto"/>
              <w:rPr>
                <w:b/>
                <w:bCs/>
              </w:rPr>
            </w:pPr>
            <w:r w:rsidRPr="0E14A658">
              <w:rPr>
                <w:b/>
                <w:bCs/>
              </w:rPr>
              <w:t>Odds ratio</w:t>
            </w:r>
          </w:p>
        </w:tc>
        <w:tc>
          <w:tcPr>
            <w:tcW w:w="1755" w:type="dxa"/>
          </w:tcPr>
          <w:p w14:paraId="6D9F1099" w14:textId="77777777" w:rsidR="00A6757E" w:rsidRPr="004A07D1" w:rsidRDefault="00A6757E" w:rsidP="00A6757E">
            <w:pPr>
              <w:spacing w:line="360" w:lineRule="auto"/>
              <w:jc w:val="center"/>
              <w:rPr>
                <w:b/>
                <w:bCs/>
              </w:rPr>
            </w:pPr>
            <w:r w:rsidRPr="0E14A658">
              <w:rPr>
                <w:b/>
                <w:bCs/>
              </w:rPr>
              <w:t>95% CI</w:t>
            </w:r>
          </w:p>
        </w:tc>
        <w:tc>
          <w:tcPr>
            <w:tcW w:w="1430" w:type="dxa"/>
          </w:tcPr>
          <w:p w14:paraId="0A4CAA02" w14:textId="77777777" w:rsidR="00A6757E" w:rsidRPr="004A07D1" w:rsidRDefault="00A6757E" w:rsidP="00A6757E">
            <w:pPr>
              <w:spacing w:line="360" w:lineRule="auto"/>
              <w:jc w:val="center"/>
              <w:rPr>
                <w:b/>
                <w:bCs/>
              </w:rPr>
            </w:pPr>
            <w:r w:rsidRPr="0E14A658">
              <w:rPr>
                <w:b/>
                <w:bCs/>
                <w:i/>
                <w:iCs/>
              </w:rPr>
              <w:t>p</w:t>
            </w:r>
            <w:r w:rsidRPr="0E14A658">
              <w:rPr>
                <w:b/>
                <w:bCs/>
              </w:rPr>
              <w:t>-value</w:t>
            </w:r>
          </w:p>
        </w:tc>
      </w:tr>
      <w:tr w:rsidR="00A6757E" w:rsidRPr="00A37992" w14:paraId="619A7771" w14:textId="77777777" w:rsidTr="00A6757E">
        <w:trPr>
          <w:trHeight w:val="493"/>
        </w:trPr>
        <w:tc>
          <w:tcPr>
            <w:tcW w:w="3987" w:type="dxa"/>
          </w:tcPr>
          <w:p w14:paraId="618FA16D" w14:textId="77777777" w:rsidR="00A6757E" w:rsidRPr="004A07D1" w:rsidRDefault="00A6757E" w:rsidP="00A6757E">
            <w:pPr>
              <w:rPr>
                <w:b/>
                <w:bCs/>
                <w:color w:val="000000" w:themeColor="text1"/>
              </w:rPr>
            </w:pPr>
            <w:r>
              <w:rPr>
                <w:b/>
                <w:bCs/>
                <w:color w:val="000000" w:themeColor="text1"/>
              </w:rPr>
              <w:t>Experience of</w:t>
            </w:r>
            <w:r w:rsidRPr="0E14A658">
              <w:rPr>
                <w:b/>
                <w:bCs/>
                <w:color w:val="000000" w:themeColor="text1"/>
              </w:rPr>
              <w:t xml:space="preserve"> IPV</w:t>
            </w:r>
          </w:p>
          <w:p w14:paraId="5E30ACE2" w14:textId="77777777" w:rsidR="00A6757E" w:rsidRPr="004A07D1" w:rsidRDefault="00A6757E" w:rsidP="00A6757E">
            <w:pPr>
              <w:rPr>
                <w:color w:val="000000" w:themeColor="text1"/>
              </w:rPr>
            </w:pPr>
            <w:r w:rsidRPr="0E14A658">
              <w:rPr>
                <w:color w:val="000000" w:themeColor="text1"/>
              </w:rPr>
              <w:t>Yes</w:t>
            </w:r>
          </w:p>
          <w:p w14:paraId="0C655596" w14:textId="77777777" w:rsidR="00A6757E" w:rsidRPr="004A07D1" w:rsidRDefault="00A6757E" w:rsidP="00A6757E">
            <w:pPr>
              <w:rPr>
                <w:b/>
                <w:bCs/>
                <w:color w:val="000000" w:themeColor="text1"/>
              </w:rPr>
            </w:pPr>
            <w:r w:rsidRPr="0E14A658">
              <w:rPr>
                <w:color w:val="000000" w:themeColor="text1"/>
              </w:rPr>
              <w:t>No</w:t>
            </w:r>
          </w:p>
        </w:tc>
        <w:tc>
          <w:tcPr>
            <w:tcW w:w="1832" w:type="dxa"/>
          </w:tcPr>
          <w:p w14:paraId="26911C28" w14:textId="77777777" w:rsidR="00A6757E" w:rsidRPr="004A07D1" w:rsidRDefault="00A6757E" w:rsidP="00A6757E">
            <w:pPr>
              <w:rPr>
                <w:b/>
                <w:bCs/>
                <w:color w:val="FFFFFF" w:themeColor="background1"/>
              </w:rPr>
            </w:pPr>
          </w:p>
          <w:p w14:paraId="27F1FB02" w14:textId="77777777" w:rsidR="00A6757E" w:rsidRPr="004A07D1" w:rsidRDefault="00A6757E" w:rsidP="00A6757E">
            <w:pPr>
              <w:rPr>
                <w:color w:val="000000" w:themeColor="text1"/>
              </w:rPr>
            </w:pPr>
            <w:r w:rsidRPr="1CD144C1">
              <w:rPr>
                <w:color w:val="000000" w:themeColor="text1"/>
              </w:rPr>
              <w:t>1</w:t>
            </w:r>
          </w:p>
          <w:p w14:paraId="0937325A" w14:textId="77777777" w:rsidR="00A6757E" w:rsidRPr="004A07D1" w:rsidRDefault="00A6757E" w:rsidP="00A6757E">
            <w:pPr>
              <w:rPr>
                <w:b/>
                <w:bCs/>
                <w:color w:val="FFFFFF" w:themeColor="background1"/>
              </w:rPr>
            </w:pPr>
            <w:r w:rsidRPr="1CD144C1">
              <w:rPr>
                <w:color w:val="000000" w:themeColor="text1"/>
              </w:rPr>
              <w:t>1.073</w:t>
            </w:r>
          </w:p>
        </w:tc>
        <w:tc>
          <w:tcPr>
            <w:tcW w:w="1755" w:type="dxa"/>
          </w:tcPr>
          <w:p w14:paraId="25936A22" w14:textId="77777777" w:rsidR="00A6757E" w:rsidRPr="004A07D1" w:rsidRDefault="00A6757E" w:rsidP="00A6757E">
            <w:pPr>
              <w:jc w:val="center"/>
              <w:rPr>
                <w:bCs/>
                <w:color w:val="000000" w:themeColor="text1"/>
              </w:rPr>
            </w:pPr>
          </w:p>
          <w:p w14:paraId="235B601D" w14:textId="77777777" w:rsidR="00A6757E" w:rsidRPr="004A07D1" w:rsidRDefault="00A6757E" w:rsidP="00A6757E">
            <w:pPr>
              <w:jc w:val="center"/>
              <w:rPr>
                <w:color w:val="000000" w:themeColor="text1"/>
              </w:rPr>
            </w:pPr>
            <w:r w:rsidRPr="1CD144C1">
              <w:rPr>
                <w:color w:val="000000" w:themeColor="text1"/>
              </w:rPr>
              <w:t>1</w:t>
            </w:r>
          </w:p>
          <w:p w14:paraId="0382F023" w14:textId="77777777" w:rsidR="00A6757E" w:rsidRPr="004A07D1" w:rsidRDefault="00A6757E" w:rsidP="00A6757E">
            <w:pPr>
              <w:jc w:val="center"/>
              <w:rPr>
                <w:color w:val="000000" w:themeColor="text1"/>
              </w:rPr>
            </w:pPr>
            <w:r w:rsidRPr="1CD144C1">
              <w:rPr>
                <w:color w:val="000000" w:themeColor="text1"/>
              </w:rPr>
              <w:t>0.969-1.189</w:t>
            </w:r>
          </w:p>
        </w:tc>
        <w:tc>
          <w:tcPr>
            <w:tcW w:w="1430" w:type="dxa"/>
          </w:tcPr>
          <w:p w14:paraId="514319A6" w14:textId="77777777" w:rsidR="00A6757E" w:rsidRPr="004A07D1" w:rsidRDefault="00A6757E" w:rsidP="00A6757E">
            <w:pPr>
              <w:jc w:val="center"/>
              <w:rPr>
                <w:bCs/>
                <w:i/>
                <w:color w:val="000000" w:themeColor="text1"/>
              </w:rPr>
            </w:pPr>
          </w:p>
          <w:p w14:paraId="163BD238" w14:textId="77777777" w:rsidR="00A6757E" w:rsidRPr="004A07D1" w:rsidRDefault="00A6757E" w:rsidP="00A6757E">
            <w:pPr>
              <w:jc w:val="right"/>
              <w:rPr>
                <w:bCs/>
                <w:color w:val="000000" w:themeColor="text1"/>
              </w:rPr>
            </w:pPr>
          </w:p>
          <w:p w14:paraId="0FFC6AD0" w14:textId="77777777" w:rsidR="00A6757E" w:rsidRPr="004A07D1" w:rsidRDefault="00A6757E" w:rsidP="00A6757E">
            <w:pPr>
              <w:jc w:val="right"/>
              <w:rPr>
                <w:i/>
                <w:iCs/>
                <w:color w:val="000000" w:themeColor="text1"/>
              </w:rPr>
            </w:pPr>
            <w:r w:rsidRPr="0E14A658">
              <w:rPr>
                <w:color w:val="000000" w:themeColor="text1"/>
              </w:rPr>
              <w:t>&lt;.17</w:t>
            </w:r>
          </w:p>
        </w:tc>
      </w:tr>
      <w:tr w:rsidR="00A6757E" w:rsidRPr="00A37992" w14:paraId="0DC84618" w14:textId="77777777" w:rsidTr="00A6757E">
        <w:trPr>
          <w:trHeight w:val="1016"/>
        </w:trPr>
        <w:tc>
          <w:tcPr>
            <w:tcW w:w="3987" w:type="dxa"/>
          </w:tcPr>
          <w:p w14:paraId="7DE507A2" w14:textId="77777777" w:rsidR="00A6757E" w:rsidRPr="004A07D1" w:rsidRDefault="00A6757E" w:rsidP="00A6757E">
            <w:pPr>
              <w:rPr>
                <w:b/>
                <w:bCs/>
              </w:rPr>
            </w:pPr>
            <w:r w:rsidRPr="0E14A658">
              <w:rPr>
                <w:b/>
                <w:bCs/>
              </w:rPr>
              <w:t>Age of the respondent</w:t>
            </w:r>
          </w:p>
          <w:p w14:paraId="5662CD08" w14:textId="77777777" w:rsidR="00A6757E" w:rsidRPr="004A07D1" w:rsidRDefault="00A6757E" w:rsidP="00A6757E">
            <w:r w:rsidRPr="1CD144C1">
              <w:t>15-24</w:t>
            </w:r>
          </w:p>
          <w:p w14:paraId="27609D6D" w14:textId="77777777" w:rsidR="00A6757E" w:rsidRPr="004A07D1" w:rsidRDefault="00A6757E" w:rsidP="00A6757E">
            <w:r w:rsidRPr="1CD144C1">
              <w:t>25-34</w:t>
            </w:r>
          </w:p>
          <w:p w14:paraId="40841931" w14:textId="77777777" w:rsidR="00A6757E" w:rsidRPr="004A07D1" w:rsidRDefault="00A6757E" w:rsidP="00A6757E">
            <w:pPr>
              <w:spacing w:line="360" w:lineRule="auto"/>
              <w:rPr>
                <w:b/>
                <w:bCs/>
              </w:rPr>
            </w:pPr>
            <w:r w:rsidRPr="1CD144C1">
              <w:t>35-49</w:t>
            </w:r>
          </w:p>
        </w:tc>
        <w:tc>
          <w:tcPr>
            <w:tcW w:w="1832" w:type="dxa"/>
          </w:tcPr>
          <w:p w14:paraId="26C7484A" w14:textId="77777777" w:rsidR="00A6757E" w:rsidRPr="004A07D1" w:rsidRDefault="00A6757E" w:rsidP="00A6757E">
            <w:pPr>
              <w:rPr>
                <w:bCs/>
              </w:rPr>
            </w:pPr>
          </w:p>
          <w:p w14:paraId="462D1068" w14:textId="77777777" w:rsidR="00A6757E" w:rsidRPr="004A07D1" w:rsidRDefault="00A6757E" w:rsidP="00A6757E">
            <w:r w:rsidRPr="1CD144C1">
              <w:t>1</w:t>
            </w:r>
          </w:p>
          <w:p w14:paraId="49DB313C" w14:textId="77777777" w:rsidR="00A6757E" w:rsidRPr="004A07D1" w:rsidRDefault="00A6757E" w:rsidP="00A6757E">
            <w:r w:rsidRPr="1CD144C1">
              <w:t>0.625</w:t>
            </w:r>
          </w:p>
          <w:p w14:paraId="78FCA143" w14:textId="77777777" w:rsidR="00A6757E" w:rsidRPr="004A07D1" w:rsidRDefault="00A6757E" w:rsidP="00A6757E">
            <w:r w:rsidRPr="1CD144C1">
              <w:t>0.185</w:t>
            </w:r>
          </w:p>
        </w:tc>
        <w:tc>
          <w:tcPr>
            <w:tcW w:w="1755" w:type="dxa"/>
          </w:tcPr>
          <w:p w14:paraId="0EC378B6" w14:textId="77777777" w:rsidR="00A6757E" w:rsidRPr="004A07D1" w:rsidRDefault="00A6757E" w:rsidP="00A6757E">
            <w:pPr>
              <w:jc w:val="center"/>
              <w:rPr>
                <w:b/>
                <w:bCs/>
              </w:rPr>
            </w:pPr>
          </w:p>
          <w:p w14:paraId="7BFA8AD9" w14:textId="77777777" w:rsidR="00A6757E" w:rsidRPr="004A07D1" w:rsidRDefault="00A6757E" w:rsidP="00A6757E">
            <w:pPr>
              <w:jc w:val="center"/>
            </w:pPr>
            <w:r w:rsidRPr="1CD144C1">
              <w:t>1</w:t>
            </w:r>
          </w:p>
          <w:p w14:paraId="55AD9187" w14:textId="77777777" w:rsidR="00A6757E" w:rsidRPr="004A07D1" w:rsidRDefault="00A6757E" w:rsidP="00A6757E">
            <w:pPr>
              <w:jc w:val="center"/>
            </w:pPr>
            <w:r w:rsidRPr="1CD144C1">
              <w:t>0.553-0.706</w:t>
            </w:r>
          </w:p>
          <w:p w14:paraId="7EB4DB0E" w14:textId="77777777" w:rsidR="00A6757E" w:rsidRPr="004A07D1" w:rsidRDefault="00A6757E" w:rsidP="00A6757E">
            <w:pPr>
              <w:jc w:val="center"/>
            </w:pPr>
            <w:r w:rsidRPr="1CD144C1">
              <w:t>0.164-0.208</w:t>
            </w:r>
          </w:p>
        </w:tc>
        <w:tc>
          <w:tcPr>
            <w:tcW w:w="1430" w:type="dxa"/>
          </w:tcPr>
          <w:p w14:paraId="7B44A151" w14:textId="77777777" w:rsidR="00A6757E" w:rsidRPr="004A07D1" w:rsidRDefault="00A6757E" w:rsidP="00A6757E">
            <w:pPr>
              <w:jc w:val="right"/>
              <w:rPr>
                <w:bCs/>
              </w:rPr>
            </w:pPr>
          </w:p>
          <w:p w14:paraId="12ED9CBC" w14:textId="77777777" w:rsidR="00A6757E" w:rsidRPr="004A07D1" w:rsidRDefault="00A6757E" w:rsidP="00A6757E">
            <w:pPr>
              <w:jc w:val="right"/>
              <w:rPr>
                <w:bCs/>
              </w:rPr>
            </w:pPr>
          </w:p>
          <w:p w14:paraId="40A298F6" w14:textId="77777777" w:rsidR="00A6757E" w:rsidRPr="004A07D1" w:rsidRDefault="00A6757E" w:rsidP="00A6757E">
            <w:pPr>
              <w:jc w:val="right"/>
            </w:pPr>
            <w:r w:rsidRPr="0E14A658">
              <w:t>&lt;.00</w:t>
            </w:r>
            <w:r>
              <w:t>1</w:t>
            </w:r>
          </w:p>
          <w:p w14:paraId="38D2E5D7" w14:textId="77777777" w:rsidR="00A6757E" w:rsidRPr="004A07D1" w:rsidRDefault="00A6757E" w:rsidP="00A6757E">
            <w:pPr>
              <w:jc w:val="right"/>
            </w:pPr>
            <w:r w:rsidRPr="0E14A658">
              <w:t>&lt;.00</w:t>
            </w:r>
          </w:p>
        </w:tc>
      </w:tr>
      <w:tr w:rsidR="00A6757E" w:rsidRPr="00A37992" w14:paraId="12693F0E" w14:textId="77777777" w:rsidTr="00A6757E">
        <w:trPr>
          <w:trHeight w:val="792"/>
        </w:trPr>
        <w:tc>
          <w:tcPr>
            <w:tcW w:w="3987" w:type="dxa"/>
          </w:tcPr>
          <w:p w14:paraId="5735CA27" w14:textId="77777777" w:rsidR="00A6757E" w:rsidRPr="004A07D1" w:rsidRDefault="00A6757E" w:rsidP="00A6757E">
            <w:pPr>
              <w:rPr>
                <w:b/>
                <w:bCs/>
              </w:rPr>
            </w:pPr>
            <w:r w:rsidRPr="0E14A658">
              <w:rPr>
                <w:b/>
                <w:bCs/>
              </w:rPr>
              <w:t>Type of residence</w:t>
            </w:r>
          </w:p>
          <w:p w14:paraId="4599264A" w14:textId="77777777" w:rsidR="00A6757E" w:rsidRPr="004A07D1" w:rsidRDefault="00A6757E" w:rsidP="00A6757E">
            <w:r w:rsidRPr="0E14A658">
              <w:t>Urban</w:t>
            </w:r>
          </w:p>
          <w:p w14:paraId="1F5EC2D8" w14:textId="77777777" w:rsidR="00A6757E" w:rsidRPr="004A07D1" w:rsidRDefault="00A6757E" w:rsidP="00A6757E">
            <w:pPr>
              <w:rPr>
                <w:b/>
                <w:bCs/>
              </w:rPr>
            </w:pPr>
            <w:r w:rsidRPr="0E14A658">
              <w:t>Rural</w:t>
            </w:r>
          </w:p>
        </w:tc>
        <w:tc>
          <w:tcPr>
            <w:tcW w:w="1832" w:type="dxa"/>
          </w:tcPr>
          <w:p w14:paraId="1165A9C5" w14:textId="77777777" w:rsidR="00A6757E" w:rsidRPr="004A07D1" w:rsidRDefault="00A6757E" w:rsidP="00A6757E">
            <w:pPr>
              <w:rPr>
                <w:bCs/>
              </w:rPr>
            </w:pPr>
          </w:p>
          <w:p w14:paraId="042EA11E" w14:textId="77777777" w:rsidR="00A6757E" w:rsidRPr="004A07D1" w:rsidRDefault="00A6757E" w:rsidP="00A6757E">
            <w:r w:rsidRPr="1CD144C1">
              <w:t>1</w:t>
            </w:r>
          </w:p>
          <w:p w14:paraId="0BE7B85E" w14:textId="77777777" w:rsidR="00A6757E" w:rsidRPr="004A07D1" w:rsidRDefault="00A6757E" w:rsidP="00A6757E">
            <w:r w:rsidRPr="1CD144C1">
              <w:t>0.899</w:t>
            </w:r>
          </w:p>
        </w:tc>
        <w:tc>
          <w:tcPr>
            <w:tcW w:w="1755" w:type="dxa"/>
          </w:tcPr>
          <w:p w14:paraId="5398B807" w14:textId="77777777" w:rsidR="00A6757E" w:rsidRPr="004A07D1" w:rsidRDefault="00A6757E" w:rsidP="00A6757E">
            <w:pPr>
              <w:jc w:val="center"/>
              <w:rPr>
                <w:b/>
                <w:bCs/>
              </w:rPr>
            </w:pPr>
          </w:p>
          <w:p w14:paraId="24D8C221" w14:textId="77777777" w:rsidR="00A6757E" w:rsidRPr="004A07D1" w:rsidRDefault="00A6757E" w:rsidP="00A6757E">
            <w:pPr>
              <w:jc w:val="center"/>
            </w:pPr>
            <w:r w:rsidRPr="1CD144C1">
              <w:t>1</w:t>
            </w:r>
          </w:p>
          <w:p w14:paraId="2A9C40CF" w14:textId="77777777" w:rsidR="00A6757E" w:rsidRPr="004A07D1" w:rsidRDefault="00A6757E" w:rsidP="00A6757E">
            <w:pPr>
              <w:jc w:val="center"/>
            </w:pPr>
            <w:r w:rsidRPr="1CD144C1">
              <w:t>0.791-1023</w:t>
            </w:r>
          </w:p>
        </w:tc>
        <w:tc>
          <w:tcPr>
            <w:tcW w:w="1430" w:type="dxa"/>
          </w:tcPr>
          <w:p w14:paraId="476F105A" w14:textId="77777777" w:rsidR="00A6757E" w:rsidRPr="004A07D1" w:rsidRDefault="00A6757E" w:rsidP="00A6757E">
            <w:pPr>
              <w:jc w:val="right"/>
              <w:rPr>
                <w:bCs/>
              </w:rPr>
            </w:pPr>
          </w:p>
          <w:p w14:paraId="0AD32DA8" w14:textId="77777777" w:rsidR="00A6757E" w:rsidRPr="004A07D1" w:rsidRDefault="00A6757E" w:rsidP="00A6757E">
            <w:pPr>
              <w:jc w:val="right"/>
              <w:rPr>
                <w:bCs/>
              </w:rPr>
            </w:pPr>
          </w:p>
          <w:p w14:paraId="628B3B27" w14:textId="77777777" w:rsidR="00A6757E" w:rsidRPr="004A07D1" w:rsidRDefault="00A6757E" w:rsidP="00A6757E">
            <w:pPr>
              <w:jc w:val="right"/>
            </w:pPr>
            <w:r w:rsidRPr="0E14A658">
              <w:t>&lt;.10</w:t>
            </w:r>
          </w:p>
        </w:tc>
      </w:tr>
      <w:tr w:rsidR="00A6757E" w:rsidRPr="00A37992" w14:paraId="347934EF" w14:textId="77777777" w:rsidTr="00A6757E">
        <w:trPr>
          <w:trHeight w:val="954"/>
        </w:trPr>
        <w:tc>
          <w:tcPr>
            <w:tcW w:w="3987" w:type="dxa"/>
          </w:tcPr>
          <w:p w14:paraId="6AA4C789" w14:textId="77777777" w:rsidR="00A6757E" w:rsidRPr="004A07D1" w:rsidRDefault="00A6757E" w:rsidP="00A6757E">
            <w:pPr>
              <w:rPr>
                <w:b/>
                <w:bCs/>
              </w:rPr>
            </w:pPr>
            <w:r w:rsidRPr="0E14A658">
              <w:rPr>
                <w:b/>
                <w:bCs/>
              </w:rPr>
              <w:t>Educational attainment</w:t>
            </w:r>
          </w:p>
          <w:p w14:paraId="4E87CF99" w14:textId="77777777" w:rsidR="00A6757E" w:rsidRPr="004A07D1" w:rsidRDefault="00A6757E" w:rsidP="00A6757E">
            <w:r w:rsidRPr="0E14A658">
              <w:t>No education</w:t>
            </w:r>
          </w:p>
          <w:p w14:paraId="4B3411F3" w14:textId="77777777" w:rsidR="00A6757E" w:rsidRPr="004A07D1" w:rsidRDefault="00A6757E" w:rsidP="00A6757E">
            <w:r w:rsidRPr="0E14A658">
              <w:t>Incomplete primary</w:t>
            </w:r>
          </w:p>
          <w:p w14:paraId="27A16A4D" w14:textId="77777777" w:rsidR="00A6757E" w:rsidRPr="004A07D1" w:rsidRDefault="00A6757E" w:rsidP="00A6757E">
            <w:r w:rsidRPr="0E14A658">
              <w:t>Complete primary</w:t>
            </w:r>
          </w:p>
          <w:p w14:paraId="7677C956" w14:textId="77777777" w:rsidR="00A6757E" w:rsidRPr="004A07D1" w:rsidRDefault="00A6757E" w:rsidP="00A6757E">
            <w:r w:rsidRPr="0E14A658">
              <w:t>Incomplete secondary</w:t>
            </w:r>
          </w:p>
          <w:p w14:paraId="6C73DF60" w14:textId="77777777" w:rsidR="00A6757E" w:rsidRPr="004A07D1" w:rsidRDefault="00A6757E" w:rsidP="00A6757E">
            <w:r w:rsidRPr="0E14A658">
              <w:t>Complete secondary</w:t>
            </w:r>
          </w:p>
          <w:p w14:paraId="344D5EE3" w14:textId="77777777" w:rsidR="00A6757E" w:rsidRPr="004A07D1" w:rsidRDefault="00A6757E" w:rsidP="00A6757E">
            <w:pPr>
              <w:rPr>
                <w:b/>
                <w:bCs/>
              </w:rPr>
            </w:pPr>
            <w:r w:rsidRPr="0E14A658">
              <w:t>Higher</w:t>
            </w:r>
          </w:p>
        </w:tc>
        <w:tc>
          <w:tcPr>
            <w:tcW w:w="1832" w:type="dxa"/>
          </w:tcPr>
          <w:p w14:paraId="173DEB6E" w14:textId="77777777" w:rsidR="00A6757E" w:rsidRPr="004A07D1" w:rsidRDefault="00A6757E" w:rsidP="00A6757E">
            <w:pPr>
              <w:rPr>
                <w:bCs/>
              </w:rPr>
            </w:pPr>
          </w:p>
          <w:p w14:paraId="3D7DA0F2" w14:textId="77777777" w:rsidR="00A6757E" w:rsidRPr="004A07D1" w:rsidRDefault="00A6757E" w:rsidP="00A6757E">
            <w:r w:rsidRPr="1CD144C1">
              <w:t>1</w:t>
            </w:r>
          </w:p>
          <w:p w14:paraId="1794306B" w14:textId="77777777" w:rsidR="00A6757E" w:rsidRPr="004A07D1" w:rsidRDefault="00A6757E" w:rsidP="00A6757E">
            <w:r w:rsidRPr="1CD144C1">
              <w:t>1.223</w:t>
            </w:r>
          </w:p>
          <w:p w14:paraId="2B123DCF" w14:textId="77777777" w:rsidR="00A6757E" w:rsidRPr="004A07D1" w:rsidRDefault="00A6757E" w:rsidP="00A6757E">
            <w:r w:rsidRPr="1CD144C1">
              <w:t>1.672</w:t>
            </w:r>
          </w:p>
          <w:p w14:paraId="75D9E5DE" w14:textId="77777777" w:rsidR="00A6757E" w:rsidRPr="004A07D1" w:rsidRDefault="00A6757E" w:rsidP="00A6757E">
            <w:r w:rsidRPr="1CD144C1">
              <w:t>1.624</w:t>
            </w:r>
          </w:p>
          <w:p w14:paraId="43547447" w14:textId="77777777" w:rsidR="00A6757E" w:rsidRPr="004A07D1" w:rsidRDefault="00A6757E" w:rsidP="00A6757E">
            <w:r w:rsidRPr="1CD144C1">
              <w:t>2.495</w:t>
            </w:r>
          </w:p>
          <w:p w14:paraId="19FDA0BC" w14:textId="77777777" w:rsidR="00A6757E" w:rsidRPr="004A07D1" w:rsidRDefault="00A6757E" w:rsidP="00A6757E">
            <w:r w:rsidRPr="1CD144C1">
              <w:t>3.230</w:t>
            </w:r>
          </w:p>
        </w:tc>
        <w:tc>
          <w:tcPr>
            <w:tcW w:w="1755" w:type="dxa"/>
          </w:tcPr>
          <w:p w14:paraId="320C1714" w14:textId="77777777" w:rsidR="00A6757E" w:rsidRPr="004A07D1" w:rsidRDefault="00A6757E" w:rsidP="00A6757E">
            <w:pPr>
              <w:jc w:val="center"/>
              <w:rPr>
                <w:b/>
                <w:bCs/>
              </w:rPr>
            </w:pPr>
          </w:p>
          <w:p w14:paraId="14DE1862" w14:textId="77777777" w:rsidR="00A6757E" w:rsidRPr="004A07D1" w:rsidRDefault="00A6757E" w:rsidP="00A6757E">
            <w:pPr>
              <w:jc w:val="center"/>
            </w:pPr>
            <w:r w:rsidRPr="1CD144C1">
              <w:t>1</w:t>
            </w:r>
          </w:p>
          <w:p w14:paraId="275A3155" w14:textId="77777777" w:rsidR="00A6757E" w:rsidRPr="004A07D1" w:rsidRDefault="00A6757E" w:rsidP="00A6757E">
            <w:pPr>
              <w:jc w:val="center"/>
            </w:pPr>
            <w:r w:rsidRPr="1CD144C1">
              <w:t>1.037-1.442</w:t>
            </w:r>
          </w:p>
          <w:p w14:paraId="4A235987" w14:textId="77777777" w:rsidR="00A6757E" w:rsidRPr="004A07D1" w:rsidRDefault="00A6757E" w:rsidP="00A6757E">
            <w:pPr>
              <w:jc w:val="center"/>
            </w:pPr>
            <w:r w:rsidRPr="1CD144C1">
              <w:t>1.465-1.910</w:t>
            </w:r>
          </w:p>
          <w:p w14:paraId="492E6D1B" w14:textId="77777777" w:rsidR="00A6757E" w:rsidRPr="004A07D1" w:rsidRDefault="00A6757E" w:rsidP="00A6757E">
            <w:pPr>
              <w:jc w:val="center"/>
            </w:pPr>
            <w:r w:rsidRPr="1CD144C1">
              <w:t>1.357-1.944</w:t>
            </w:r>
          </w:p>
          <w:p w14:paraId="151C6F37" w14:textId="77777777" w:rsidR="00A6757E" w:rsidRPr="004A07D1" w:rsidRDefault="00A6757E" w:rsidP="00A6757E">
            <w:pPr>
              <w:jc w:val="center"/>
            </w:pPr>
            <w:r w:rsidRPr="1CD144C1">
              <w:t>2.038-3.055</w:t>
            </w:r>
          </w:p>
          <w:p w14:paraId="7EE3529D" w14:textId="77777777" w:rsidR="00A6757E" w:rsidRPr="004A07D1" w:rsidRDefault="00A6757E" w:rsidP="00A6757E">
            <w:pPr>
              <w:jc w:val="center"/>
            </w:pPr>
            <w:r w:rsidRPr="1CD144C1">
              <w:t>1.830-5.703</w:t>
            </w:r>
          </w:p>
        </w:tc>
        <w:tc>
          <w:tcPr>
            <w:tcW w:w="1430" w:type="dxa"/>
          </w:tcPr>
          <w:p w14:paraId="71E555BB" w14:textId="77777777" w:rsidR="00A6757E" w:rsidRPr="004A07D1" w:rsidRDefault="00A6757E" w:rsidP="00A6757E">
            <w:pPr>
              <w:jc w:val="right"/>
              <w:rPr>
                <w:bCs/>
              </w:rPr>
            </w:pPr>
          </w:p>
          <w:p w14:paraId="0616DB27" w14:textId="77777777" w:rsidR="00A6757E" w:rsidRPr="004A07D1" w:rsidRDefault="00A6757E" w:rsidP="00A6757E">
            <w:pPr>
              <w:jc w:val="right"/>
              <w:rPr>
                <w:bCs/>
              </w:rPr>
            </w:pPr>
          </w:p>
          <w:p w14:paraId="35E21028" w14:textId="77777777" w:rsidR="00A6757E" w:rsidRPr="004A07D1" w:rsidRDefault="00A6757E" w:rsidP="00A6757E">
            <w:pPr>
              <w:jc w:val="right"/>
            </w:pPr>
            <w:r w:rsidRPr="0E14A658">
              <w:t>&lt;.01</w:t>
            </w:r>
          </w:p>
          <w:p w14:paraId="3C928FB8" w14:textId="77777777" w:rsidR="00A6757E" w:rsidRPr="004A07D1" w:rsidRDefault="00A6757E" w:rsidP="00A6757E">
            <w:pPr>
              <w:jc w:val="right"/>
            </w:pPr>
            <w:r w:rsidRPr="0E14A658">
              <w:t>&lt;.00</w:t>
            </w:r>
          </w:p>
          <w:p w14:paraId="5DA060BB" w14:textId="77777777" w:rsidR="00A6757E" w:rsidRPr="004A07D1" w:rsidRDefault="00A6757E" w:rsidP="00A6757E">
            <w:pPr>
              <w:jc w:val="right"/>
            </w:pPr>
            <w:r w:rsidRPr="0E14A658">
              <w:t>&lt;.00</w:t>
            </w:r>
          </w:p>
          <w:p w14:paraId="6CABCC6F" w14:textId="77777777" w:rsidR="00A6757E" w:rsidRPr="004A07D1" w:rsidRDefault="00A6757E" w:rsidP="00A6757E">
            <w:pPr>
              <w:jc w:val="right"/>
            </w:pPr>
            <w:r w:rsidRPr="0E14A658">
              <w:t>&lt;.00</w:t>
            </w:r>
          </w:p>
          <w:p w14:paraId="15CEAAC0" w14:textId="77777777" w:rsidR="00A6757E" w:rsidRPr="004A07D1" w:rsidRDefault="00A6757E" w:rsidP="00A6757E">
            <w:pPr>
              <w:jc w:val="right"/>
            </w:pPr>
            <w:r w:rsidRPr="0E14A658">
              <w:t>&lt;.00</w:t>
            </w:r>
          </w:p>
        </w:tc>
      </w:tr>
      <w:tr w:rsidR="00A6757E" w:rsidRPr="00A37992" w14:paraId="2BF4155C" w14:textId="77777777" w:rsidTr="00A6757E">
        <w:trPr>
          <w:trHeight w:val="1550"/>
        </w:trPr>
        <w:tc>
          <w:tcPr>
            <w:tcW w:w="3987" w:type="dxa"/>
          </w:tcPr>
          <w:p w14:paraId="28F07C9B" w14:textId="77777777" w:rsidR="00A6757E" w:rsidRPr="004A07D1" w:rsidRDefault="00A6757E" w:rsidP="00A6757E">
            <w:pPr>
              <w:rPr>
                <w:b/>
                <w:bCs/>
              </w:rPr>
            </w:pPr>
            <w:r w:rsidRPr="0E14A658">
              <w:rPr>
                <w:b/>
                <w:bCs/>
              </w:rPr>
              <w:t>Wealth index</w:t>
            </w:r>
          </w:p>
          <w:p w14:paraId="2CE92099" w14:textId="77777777" w:rsidR="00A6757E" w:rsidRPr="004A07D1" w:rsidRDefault="00A6757E" w:rsidP="00A6757E">
            <w:r w:rsidRPr="0E14A658">
              <w:t>Poorest</w:t>
            </w:r>
          </w:p>
          <w:p w14:paraId="069462B4" w14:textId="77777777" w:rsidR="00A6757E" w:rsidRPr="004A07D1" w:rsidRDefault="00A6757E" w:rsidP="00A6757E">
            <w:r w:rsidRPr="0E14A658">
              <w:t>Poorer</w:t>
            </w:r>
          </w:p>
          <w:p w14:paraId="059B540F" w14:textId="77777777" w:rsidR="00A6757E" w:rsidRPr="004A07D1" w:rsidRDefault="00A6757E" w:rsidP="00A6757E">
            <w:r w:rsidRPr="0E14A658">
              <w:t>Middle</w:t>
            </w:r>
          </w:p>
          <w:p w14:paraId="32F46D8F" w14:textId="77777777" w:rsidR="00A6757E" w:rsidRPr="004A07D1" w:rsidRDefault="00A6757E" w:rsidP="00A6757E">
            <w:r w:rsidRPr="0E14A658">
              <w:t>Richer</w:t>
            </w:r>
          </w:p>
          <w:p w14:paraId="661BE3EF" w14:textId="77777777" w:rsidR="00A6757E" w:rsidRPr="004A07D1" w:rsidRDefault="00A6757E" w:rsidP="00A6757E">
            <w:pPr>
              <w:rPr>
                <w:b/>
                <w:bCs/>
              </w:rPr>
            </w:pPr>
            <w:r w:rsidRPr="0E14A658">
              <w:t>Richest</w:t>
            </w:r>
          </w:p>
        </w:tc>
        <w:tc>
          <w:tcPr>
            <w:tcW w:w="1832" w:type="dxa"/>
          </w:tcPr>
          <w:p w14:paraId="5704319F" w14:textId="77777777" w:rsidR="00A6757E" w:rsidRPr="004A07D1" w:rsidRDefault="00A6757E" w:rsidP="00A6757E">
            <w:pPr>
              <w:rPr>
                <w:bCs/>
              </w:rPr>
            </w:pPr>
          </w:p>
          <w:p w14:paraId="56F08CE2" w14:textId="77777777" w:rsidR="00A6757E" w:rsidRPr="004A07D1" w:rsidRDefault="00A6757E" w:rsidP="00A6757E">
            <w:r w:rsidRPr="1CD144C1">
              <w:t>1</w:t>
            </w:r>
          </w:p>
          <w:p w14:paraId="6559980F" w14:textId="77777777" w:rsidR="00A6757E" w:rsidRPr="004A07D1" w:rsidRDefault="00A6757E" w:rsidP="00A6757E">
            <w:r w:rsidRPr="1CD144C1">
              <w:t>1.413</w:t>
            </w:r>
          </w:p>
          <w:p w14:paraId="392B6F1C" w14:textId="77777777" w:rsidR="00A6757E" w:rsidRPr="004A07D1" w:rsidRDefault="00A6757E" w:rsidP="00A6757E">
            <w:r w:rsidRPr="1CD144C1">
              <w:t>1.086</w:t>
            </w:r>
          </w:p>
          <w:p w14:paraId="52526215" w14:textId="77777777" w:rsidR="00A6757E" w:rsidRPr="004A07D1" w:rsidRDefault="00A6757E" w:rsidP="00A6757E">
            <w:r w:rsidRPr="1CD144C1">
              <w:t>1.161</w:t>
            </w:r>
          </w:p>
          <w:p w14:paraId="3D89A276" w14:textId="77777777" w:rsidR="00A6757E" w:rsidRPr="004A07D1" w:rsidRDefault="00A6757E" w:rsidP="00A6757E">
            <w:r w:rsidRPr="1CD144C1">
              <w:t>1.080</w:t>
            </w:r>
          </w:p>
        </w:tc>
        <w:tc>
          <w:tcPr>
            <w:tcW w:w="1755" w:type="dxa"/>
          </w:tcPr>
          <w:p w14:paraId="642A52BF" w14:textId="77777777" w:rsidR="00A6757E" w:rsidRPr="004A07D1" w:rsidRDefault="00A6757E" w:rsidP="00A6757E">
            <w:pPr>
              <w:jc w:val="center"/>
              <w:rPr>
                <w:bCs/>
              </w:rPr>
            </w:pPr>
          </w:p>
          <w:p w14:paraId="46B546F9" w14:textId="77777777" w:rsidR="00A6757E" w:rsidRPr="004A07D1" w:rsidRDefault="00A6757E" w:rsidP="00A6757E">
            <w:pPr>
              <w:jc w:val="center"/>
            </w:pPr>
            <w:r w:rsidRPr="1CD144C1">
              <w:t>1</w:t>
            </w:r>
          </w:p>
          <w:p w14:paraId="33709347" w14:textId="77777777" w:rsidR="00A6757E" w:rsidRPr="004A07D1" w:rsidRDefault="00A6757E" w:rsidP="00A6757E">
            <w:pPr>
              <w:jc w:val="center"/>
            </w:pPr>
            <w:r w:rsidRPr="1CD144C1">
              <w:t>1.211-1.649</w:t>
            </w:r>
          </w:p>
          <w:p w14:paraId="00CED5F3" w14:textId="77777777" w:rsidR="00A6757E" w:rsidRPr="004A07D1" w:rsidRDefault="00A6757E" w:rsidP="00A6757E">
            <w:pPr>
              <w:jc w:val="center"/>
            </w:pPr>
            <w:r w:rsidRPr="1CD144C1">
              <w:t>0.932-1.265</w:t>
            </w:r>
          </w:p>
          <w:p w14:paraId="19F285E0" w14:textId="77777777" w:rsidR="00A6757E" w:rsidRPr="004A07D1" w:rsidRDefault="00A6757E" w:rsidP="00A6757E">
            <w:pPr>
              <w:jc w:val="center"/>
            </w:pPr>
            <w:r w:rsidRPr="1CD144C1">
              <w:t>0.991-1.359</w:t>
            </w:r>
          </w:p>
          <w:p w14:paraId="08069781" w14:textId="77777777" w:rsidR="00A6757E" w:rsidRPr="004A07D1" w:rsidRDefault="00A6757E" w:rsidP="00A6757E">
            <w:pPr>
              <w:jc w:val="center"/>
            </w:pPr>
            <w:r w:rsidRPr="1CD144C1">
              <w:t>0.899-1.297</w:t>
            </w:r>
          </w:p>
        </w:tc>
        <w:tc>
          <w:tcPr>
            <w:tcW w:w="1430" w:type="dxa"/>
          </w:tcPr>
          <w:p w14:paraId="7FEEE685" w14:textId="77777777" w:rsidR="00A6757E" w:rsidRPr="004A07D1" w:rsidRDefault="00A6757E" w:rsidP="00A6757E">
            <w:pPr>
              <w:jc w:val="right"/>
              <w:rPr>
                <w:bCs/>
              </w:rPr>
            </w:pPr>
          </w:p>
          <w:p w14:paraId="0B0E7CC9" w14:textId="77777777" w:rsidR="00A6757E" w:rsidRPr="004A07D1" w:rsidRDefault="00A6757E" w:rsidP="00A6757E">
            <w:pPr>
              <w:jc w:val="right"/>
              <w:rPr>
                <w:bCs/>
              </w:rPr>
            </w:pPr>
          </w:p>
          <w:p w14:paraId="45D5DBA6" w14:textId="77777777" w:rsidR="00A6757E" w:rsidRPr="004A07D1" w:rsidRDefault="00A6757E" w:rsidP="00A6757E">
            <w:pPr>
              <w:jc w:val="right"/>
            </w:pPr>
            <w:r w:rsidRPr="0E14A658">
              <w:t>&lt;.00</w:t>
            </w:r>
          </w:p>
          <w:p w14:paraId="385844B9" w14:textId="77777777" w:rsidR="00A6757E" w:rsidRPr="004A07D1" w:rsidRDefault="00A6757E" w:rsidP="00A6757E">
            <w:pPr>
              <w:jc w:val="right"/>
            </w:pPr>
            <w:r w:rsidRPr="0E14A658">
              <w:t>&lt;.28</w:t>
            </w:r>
          </w:p>
          <w:p w14:paraId="2D5149BF" w14:textId="77777777" w:rsidR="00A6757E" w:rsidRPr="004A07D1" w:rsidRDefault="00A6757E" w:rsidP="00A6757E">
            <w:pPr>
              <w:jc w:val="right"/>
            </w:pPr>
            <w:r w:rsidRPr="0E14A658">
              <w:t>&lt;.06</w:t>
            </w:r>
          </w:p>
          <w:p w14:paraId="2286E461" w14:textId="77777777" w:rsidR="00A6757E" w:rsidRPr="004A07D1" w:rsidRDefault="00A6757E" w:rsidP="00A6757E">
            <w:pPr>
              <w:jc w:val="right"/>
            </w:pPr>
            <w:r w:rsidRPr="0E14A658">
              <w:t>&lt;.41</w:t>
            </w:r>
          </w:p>
        </w:tc>
      </w:tr>
      <w:tr w:rsidR="00A6757E" w:rsidRPr="00A37992" w14:paraId="1E71AABC" w14:textId="77777777" w:rsidTr="00A6757E">
        <w:trPr>
          <w:trHeight w:val="856"/>
        </w:trPr>
        <w:tc>
          <w:tcPr>
            <w:tcW w:w="3987" w:type="dxa"/>
          </w:tcPr>
          <w:p w14:paraId="4DE44622" w14:textId="77777777" w:rsidR="00A6757E" w:rsidRPr="004A07D1" w:rsidRDefault="00A6757E" w:rsidP="00A6757E">
            <w:pPr>
              <w:rPr>
                <w:b/>
                <w:bCs/>
              </w:rPr>
            </w:pPr>
            <w:r w:rsidRPr="0E14A658">
              <w:rPr>
                <w:b/>
                <w:bCs/>
              </w:rPr>
              <w:t>Occupational Status</w:t>
            </w:r>
          </w:p>
          <w:p w14:paraId="49636CC7" w14:textId="77777777" w:rsidR="00A6757E" w:rsidRPr="004A07D1" w:rsidRDefault="00A6757E" w:rsidP="00A6757E">
            <w:r w:rsidRPr="0E14A658">
              <w:t>No</w:t>
            </w:r>
          </w:p>
          <w:p w14:paraId="0650F3C0" w14:textId="77777777" w:rsidR="00A6757E" w:rsidRPr="004A07D1" w:rsidRDefault="00A6757E" w:rsidP="00A6757E">
            <w:pPr>
              <w:rPr>
                <w:b/>
                <w:bCs/>
              </w:rPr>
            </w:pPr>
            <w:r w:rsidRPr="0E14A658">
              <w:t>Yes</w:t>
            </w:r>
          </w:p>
        </w:tc>
        <w:tc>
          <w:tcPr>
            <w:tcW w:w="1832" w:type="dxa"/>
          </w:tcPr>
          <w:p w14:paraId="6AA3BDFA" w14:textId="77777777" w:rsidR="00A6757E" w:rsidRPr="004A07D1" w:rsidRDefault="00A6757E" w:rsidP="00A6757E">
            <w:pPr>
              <w:rPr>
                <w:bCs/>
              </w:rPr>
            </w:pPr>
          </w:p>
          <w:p w14:paraId="26BC06A0" w14:textId="77777777" w:rsidR="00A6757E" w:rsidRPr="004A07D1" w:rsidRDefault="00A6757E" w:rsidP="00A6757E">
            <w:r w:rsidRPr="1CD144C1">
              <w:t>1</w:t>
            </w:r>
          </w:p>
          <w:p w14:paraId="1656E3B2" w14:textId="77777777" w:rsidR="00A6757E" w:rsidRPr="004A07D1" w:rsidRDefault="00A6757E" w:rsidP="00A6757E">
            <w:r w:rsidRPr="1CD144C1">
              <w:t>1.143</w:t>
            </w:r>
          </w:p>
        </w:tc>
        <w:tc>
          <w:tcPr>
            <w:tcW w:w="1755" w:type="dxa"/>
          </w:tcPr>
          <w:p w14:paraId="1E69E6A7" w14:textId="77777777" w:rsidR="00A6757E" w:rsidRPr="004A07D1" w:rsidRDefault="00A6757E" w:rsidP="00A6757E">
            <w:pPr>
              <w:jc w:val="center"/>
              <w:rPr>
                <w:bCs/>
              </w:rPr>
            </w:pPr>
          </w:p>
          <w:p w14:paraId="5FC256FA" w14:textId="77777777" w:rsidR="00A6757E" w:rsidRPr="004A07D1" w:rsidRDefault="00A6757E" w:rsidP="00A6757E">
            <w:pPr>
              <w:jc w:val="center"/>
            </w:pPr>
            <w:r w:rsidRPr="1CD144C1">
              <w:t>1</w:t>
            </w:r>
          </w:p>
          <w:p w14:paraId="3D8FAB82" w14:textId="77777777" w:rsidR="00A6757E" w:rsidRPr="004A07D1" w:rsidRDefault="00A6757E" w:rsidP="00A6757E">
            <w:pPr>
              <w:jc w:val="center"/>
            </w:pPr>
            <w:r w:rsidRPr="1CD144C1">
              <w:t>1.026-1.273</w:t>
            </w:r>
          </w:p>
        </w:tc>
        <w:tc>
          <w:tcPr>
            <w:tcW w:w="1430" w:type="dxa"/>
          </w:tcPr>
          <w:p w14:paraId="4BB36947" w14:textId="77777777" w:rsidR="00A6757E" w:rsidRPr="004A07D1" w:rsidRDefault="00A6757E" w:rsidP="00A6757E">
            <w:pPr>
              <w:jc w:val="right"/>
              <w:rPr>
                <w:bCs/>
              </w:rPr>
            </w:pPr>
          </w:p>
          <w:p w14:paraId="3CDA9479" w14:textId="77777777" w:rsidR="00A6757E" w:rsidRPr="004A07D1" w:rsidRDefault="00A6757E" w:rsidP="00A6757E">
            <w:pPr>
              <w:jc w:val="right"/>
              <w:rPr>
                <w:bCs/>
              </w:rPr>
            </w:pPr>
          </w:p>
          <w:p w14:paraId="287EAAF8" w14:textId="77777777" w:rsidR="00A6757E" w:rsidRPr="004A07D1" w:rsidRDefault="00A6757E" w:rsidP="00A6757E">
            <w:pPr>
              <w:jc w:val="right"/>
            </w:pPr>
            <w:r w:rsidRPr="0E14A658">
              <w:t>&lt;.01</w:t>
            </w:r>
          </w:p>
        </w:tc>
      </w:tr>
      <w:tr w:rsidR="00A6757E" w:rsidRPr="00A37992" w14:paraId="53A789B8" w14:textId="77777777" w:rsidTr="00A6757E">
        <w:trPr>
          <w:trHeight w:val="1401"/>
        </w:trPr>
        <w:tc>
          <w:tcPr>
            <w:tcW w:w="3987" w:type="dxa"/>
          </w:tcPr>
          <w:p w14:paraId="09AFC272" w14:textId="77777777" w:rsidR="00A6757E" w:rsidRPr="004A07D1" w:rsidRDefault="00A6757E" w:rsidP="00A6757E">
            <w:pPr>
              <w:rPr>
                <w:b/>
                <w:bCs/>
              </w:rPr>
            </w:pPr>
            <w:r w:rsidRPr="0E14A658">
              <w:rPr>
                <w:b/>
                <w:bCs/>
              </w:rPr>
              <w:t>Number children 5 and under</w:t>
            </w:r>
          </w:p>
          <w:p w14:paraId="36C34237" w14:textId="77777777" w:rsidR="00A6757E" w:rsidRPr="004A07D1" w:rsidRDefault="00A6757E" w:rsidP="00A6757E">
            <w:r w:rsidRPr="1CD144C1">
              <w:t>0</w:t>
            </w:r>
          </w:p>
          <w:p w14:paraId="7BD017A9" w14:textId="77777777" w:rsidR="00A6757E" w:rsidRPr="004A07D1" w:rsidRDefault="00A6757E" w:rsidP="00A6757E">
            <w:r w:rsidRPr="1CD144C1">
              <w:t>1-2</w:t>
            </w:r>
          </w:p>
          <w:p w14:paraId="7928ACDF" w14:textId="77777777" w:rsidR="00A6757E" w:rsidRPr="004A07D1" w:rsidRDefault="00A6757E" w:rsidP="00A6757E">
            <w:r w:rsidRPr="1CD144C1">
              <w:t>3-5</w:t>
            </w:r>
          </w:p>
          <w:p w14:paraId="287CD83B" w14:textId="77777777" w:rsidR="00A6757E" w:rsidRPr="004A07D1" w:rsidRDefault="00A6757E" w:rsidP="00A6757E">
            <w:pPr>
              <w:rPr>
                <w:b/>
                <w:bCs/>
              </w:rPr>
            </w:pPr>
            <w:r w:rsidRPr="1CD144C1">
              <w:t>6+</w:t>
            </w:r>
          </w:p>
        </w:tc>
        <w:tc>
          <w:tcPr>
            <w:tcW w:w="1832" w:type="dxa"/>
          </w:tcPr>
          <w:p w14:paraId="58801497" w14:textId="77777777" w:rsidR="00A6757E" w:rsidRPr="004A07D1" w:rsidRDefault="00A6757E" w:rsidP="00A6757E">
            <w:pPr>
              <w:rPr>
                <w:bCs/>
              </w:rPr>
            </w:pPr>
          </w:p>
          <w:p w14:paraId="44A2D7CC" w14:textId="77777777" w:rsidR="00A6757E" w:rsidRPr="004A07D1" w:rsidRDefault="00A6757E" w:rsidP="00A6757E">
            <w:r w:rsidRPr="1CD144C1">
              <w:t>1</w:t>
            </w:r>
          </w:p>
          <w:p w14:paraId="363D7903" w14:textId="77777777" w:rsidR="00A6757E" w:rsidRPr="004A07D1" w:rsidRDefault="00A6757E" w:rsidP="00A6757E">
            <w:r w:rsidRPr="1CD144C1">
              <w:t>1.425</w:t>
            </w:r>
          </w:p>
          <w:p w14:paraId="6F584200" w14:textId="77777777" w:rsidR="00A6757E" w:rsidRPr="004A07D1" w:rsidRDefault="00A6757E" w:rsidP="00A6757E">
            <w:r w:rsidRPr="1CD144C1">
              <w:t>1.762</w:t>
            </w:r>
          </w:p>
          <w:p w14:paraId="27E8F901" w14:textId="77777777" w:rsidR="00A6757E" w:rsidRPr="004A07D1" w:rsidRDefault="00A6757E" w:rsidP="00A6757E">
            <w:r w:rsidRPr="1CD144C1">
              <w:t>1.077</w:t>
            </w:r>
          </w:p>
        </w:tc>
        <w:tc>
          <w:tcPr>
            <w:tcW w:w="1755" w:type="dxa"/>
          </w:tcPr>
          <w:p w14:paraId="2FA570B5" w14:textId="77777777" w:rsidR="00A6757E" w:rsidRPr="004A07D1" w:rsidRDefault="00A6757E" w:rsidP="00A6757E">
            <w:pPr>
              <w:jc w:val="center"/>
              <w:rPr>
                <w:bCs/>
              </w:rPr>
            </w:pPr>
          </w:p>
          <w:p w14:paraId="78E1A552" w14:textId="77777777" w:rsidR="00A6757E" w:rsidRPr="004A07D1" w:rsidRDefault="00A6757E" w:rsidP="00A6757E">
            <w:pPr>
              <w:jc w:val="center"/>
            </w:pPr>
            <w:r w:rsidRPr="1CD144C1">
              <w:t>1</w:t>
            </w:r>
          </w:p>
          <w:p w14:paraId="03902544" w14:textId="77777777" w:rsidR="00A6757E" w:rsidRPr="004A07D1" w:rsidRDefault="00A6757E" w:rsidP="00A6757E">
            <w:pPr>
              <w:jc w:val="center"/>
            </w:pPr>
            <w:r w:rsidRPr="1CD144C1">
              <w:t>1.284-1.582</w:t>
            </w:r>
          </w:p>
          <w:p w14:paraId="4BF25986" w14:textId="77777777" w:rsidR="00A6757E" w:rsidRPr="004A07D1" w:rsidRDefault="00A6757E" w:rsidP="00A6757E">
            <w:pPr>
              <w:jc w:val="center"/>
            </w:pPr>
            <w:r w:rsidRPr="1CD144C1">
              <w:t>1.503-2.065</w:t>
            </w:r>
          </w:p>
          <w:p w14:paraId="2B614FE2" w14:textId="77777777" w:rsidR="00A6757E" w:rsidRPr="004A07D1" w:rsidRDefault="00A6757E" w:rsidP="00A6757E">
            <w:pPr>
              <w:jc w:val="center"/>
            </w:pPr>
            <w:r w:rsidRPr="1CD144C1">
              <w:t>0.744-1.558</w:t>
            </w:r>
          </w:p>
        </w:tc>
        <w:tc>
          <w:tcPr>
            <w:tcW w:w="1430" w:type="dxa"/>
          </w:tcPr>
          <w:p w14:paraId="4F4261A6" w14:textId="77777777" w:rsidR="00A6757E" w:rsidRPr="004A07D1" w:rsidRDefault="00A6757E" w:rsidP="00A6757E">
            <w:pPr>
              <w:jc w:val="right"/>
              <w:rPr>
                <w:bCs/>
              </w:rPr>
            </w:pPr>
          </w:p>
          <w:p w14:paraId="40A90142" w14:textId="77777777" w:rsidR="00A6757E" w:rsidRPr="004A07D1" w:rsidRDefault="00A6757E" w:rsidP="00A6757E">
            <w:pPr>
              <w:jc w:val="right"/>
              <w:rPr>
                <w:bCs/>
              </w:rPr>
            </w:pPr>
          </w:p>
          <w:p w14:paraId="2EA226A8" w14:textId="77777777" w:rsidR="00A6757E" w:rsidRPr="004A07D1" w:rsidRDefault="00A6757E" w:rsidP="00A6757E">
            <w:pPr>
              <w:jc w:val="right"/>
            </w:pPr>
            <w:r w:rsidRPr="0E14A658">
              <w:t>&lt;.00</w:t>
            </w:r>
          </w:p>
          <w:p w14:paraId="1DB1C12B" w14:textId="77777777" w:rsidR="00A6757E" w:rsidRPr="004A07D1" w:rsidRDefault="00A6757E" w:rsidP="00A6757E">
            <w:pPr>
              <w:jc w:val="right"/>
            </w:pPr>
            <w:r w:rsidRPr="0E14A658">
              <w:t>&lt;.00</w:t>
            </w:r>
          </w:p>
          <w:p w14:paraId="474C42B2" w14:textId="77777777" w:rsidR="00A6757E" w:rsidRPr="004A07D1" w:rsidRDefault="00A6757E" w:rsidP="00A6757E">
            <w:pPr>
              <w:jc w:val="right"/>
            </w:pPr>
            <w:r w:rsidRPr="0E14A658">
              <w:t>&lt;.69</w:t>
            </w:r>
          </w:p>
        </w:tc>
      </w:tr>
      <w:tr w:rsidR="00A6757E" w:rsidRPr="00A37992" w14:paraId="2D78AFFB" w14:textId="77777777" w:rsidTr="00A6757E">
        <w:trPr>
          <w:trHeight w:val="1030"/>
        </w:trPr>
        <w:tc>
          <w:tcPr>
            <w:tcW w:w="3987" w:type="dxa"/>
          </w:tcPr>
          <w:p w14:paraId="5D5B36A0" w14:textId="77777777" w:rsidR="00A6757E" w:rsidRDefault="00A6757E" w:rsidP="00A6757E">
            <w:pPr>
              <w:rPr>
                <w:b/>
                <w:bCs/>
              </w:rPr>
            </w:pPr>
            <w:r w:rsidRPr="0E14A658">
              <w:rPr>
                <w:b/>
                <w:bCs/>
              </w:rPr>
              <w:t>Number of pregnancies</w:t>
            </w:r>
          </w:p>
          <w:p w14:paraId="0F4B8FB7" w14:textId="77777777" w:rsidR="00A6757E" w:rsidRPr="005D0573" w:rsidRDefault="00A6757E" w:rsidP="00A6757E">
            <w:r w:rsidRPr="1CD144C1">
              <w:t>0</w:t>
            </w:r>
          </w:p>
          <w:p w14:paraId="60D50F0F" w14:textId="77777777" w:rsidR="00A6757E" w:rsidRPr="005D0573" w:rsidRDefault="00A6757E" w:rsidP="00A6757E">
            <w:r w:rsidRPr="1CD144C1">
              <w:t>1-2</w:t>
            </w:r>
          </w:p>
          <w:p w14:paraId="68AF9966" w14:textId="77777777" w:rsidR="00A6757E" w:rsidRPr="004A07D1" w:rsidRDefault="00A6757E" w:rsidP="00A6757E">
            <w:pPr>
              <w:rPr>
                <w:b/>
                <w:bCs/>
              </w:rPr>
            </w:pPr>
            <w:r w:rsidRPr="1CD144C1">
              <w:t>3+</w:t>
            </w:r>
          </w:p>
        </w:tc>
        <w:tc>
          <w:tcPr>
            <w:tcW w:w="1832" w:type="dxa"/>
          </w:tcPr>
          <w:p w14:paraId="339CCDEC" w14:textId="77777777" w:rsidR="00A6757E" w:rsidRDefault="00A6757E" w:rsidP="00A6757E">
            <w:pPr>
              <w:rPr>
                <w:bCs/>
              </w:rPr>
            </w:pPr>
          </w:p>
          <w:p w14:paraId="2194B7D8" w14:textId="77777777" w:rsidR="00A6757E" w:rsidRDefault="00A6757E" w:rsidP="00A6757E">
            <w:r w:rsidRPr="1CD144C1">
              <w:t>1</w:t>
            </w:r>
          </w:p>
          <w:p w14:paraId="615D9C87" w14:textId="77777777" w:rsidR="00A6757E" w:rsidRDefault="00A6757E" w:rsidP="00A6757E">
            <w:r w:rsidRPr="1CD144C1">
              <w:t>1.006</w:t>
            </w:r>
          </w:p>
          <w:p w14:paraId="5F4AD6AF" w14:textId="77777777" w:rsidR="00A6757E" w:rsidRPr="004A07D1" w:rsidRDefault="00A6757E" w:rsidP="00A6757E">
            <w:r w:rsidRPr="1CD144C1">
              <w:t>1.566</w:t>
            </w:r>
          </w:p>
        </w:tc>
        <w:tc>
          <w:tcPr>
            <w:tcW w:w="1755" w:type="dxa"/>
          </w:tcPr>
          <w:p w14:paraId="551AEA23" w14:textId="77777777" w:rsidR="00A6757E" w:rsidRDefault="00A6757E" w:rsidP="00A6757E">
            <w:pPr>
              <w:jc w:val="center"/>
              <w:rPr>
                <w:bCs/>
              </w:rPr>
            </w:pPr>
          </w:p>
          <w:p w14:paraId="04953682" w14:textId="77777777" w:rsidR="00A6757E" w:rsidRDefault="00A6757E" w:rsidP="00A6757E">
            <w:pPr>
              <w:jc w:val="center"/>
            </w:pPr>
            <w:r w:rsidRPr="1CD144C1">
              <w:t>1</w:t>
            </w:r>
          </w:p>
          <w:p w14:paraId="6B58BB04" w14:textId="77777777" w:rsidR="00A6757E" w:rsidRDefault="00A6757E" w:rsidP="00A6757E">
            <w:pPr>
              <w:jc w:val="center"/>
            </w:pPr>
            <w:r w:rsidRPr="1CD144C1">
              <w:t>0.875-1.156</w:t>
            </w:r>
          </w:p>
          <w:p w14:paraId="460B8595" w14:textId="77777777" w:rsidR="00A6757E" w:rsidRPr="004A07D1" w:rsidRDefault="00A6757E" w:rsidP="00A6757E">
            <w:pPr>
              <w:jc w:val="center"/>
            </w:pPr>
            <w:r w:rsidRPr="1CD144C1">
              <w:t>1.316-1.865</w:t>
            </w:r>
          </w:p>
        </w:tc>
        <w:tc>
          <w:tcPr>
            <w:tcW w:w="1430" w:type="dxa"/>
          </w:tcPr>
          <w:p w14:paraId="43108C28" w14:textId="77777777" w:rsidR="00A6757E" w:rsidRDefault="00A6757E" w:rsidP="00A6757E">
            <w:pPr>
              <w:jc w:val="right"/>
              <w:rPr>
                <w:bCs/>
              </w:rPr>
            </w:pPr>
          </w:p>
          <w:p w14:paraId="6CDDAB00" w14:textId="77777777" w:rsidR="00A6757E" w:rsidRDefault="00A6757E" w:rsidP="00A6757E">
            <w:pPr>
              <w:jc w:val="right"/>
              <w:rPr>
                <w:bCs/>
              </w:rPr>
            </w:pPr>
          </w:p>
          <w:p w14:paraId="0EF6225A" w14:textId="77777777" w:rsidR="00A6757E" w:rsidRDefault="00A6757E" w:rsidP="00A6757E">
            <w:pPr>
              <w:jc w:val="right"/>
            </w:pPr>
            <w:r w:rsidRPr="0E14A658">
              <w:t>&lt;.93</w:t>
            </w:r>
          </w:p>
          <w:p w14:paraId="13909A35" w14:textId="77777777" w:rsidR="00A6757E" w:rsidRPr="004A07D1" w:rsidRDefault="00A6757E" w:rsidP="00A6757E">
            <w:pPr>
              <w:jc w:val="right"/>
            </w:pPr>
            <w:r w:rsidRPr="0E14A658">
              <w:t>&lt;.00</w:t>
            </w:r>
          </w:p>
        </w:tc>
      </w:tr>
    </w:tbl>
    <w:p w14:paraId="0A040A07" w14:textId="77777777" w:rsidR="00A6757E" w:rsidRDefault="00A6757E" w:rsidP="00A6757E"/>
    <w:p w14:paraId="580159DA" w14:textId="77777777" w:rsidR="00A6757E" w:rsidRDefault="00A6757E" w:rsidP="00A6757E"/>
    <w:p w14:paraId="35FBD6E4" w14:textId="77777777" w:rsidR="00E5000C" w:rsidRPr="006D6937" w:rsidRDefault="00E5000C" w:rsidP="002F5FB9">
      <w:pPr>
        <w:spacing w:line="480" w:lineRule="auto"/>
      </w:pPr>
    </w:p>
    <w:sectPr w:rsidR="00E5000C" w:rsidRPr="006D6937" w:rsidSect="006D6937">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EE9D8" w14:textId="77777777" w:rsidR="0067074B" w:rsidRDefault="0067074B" w:rsidP="00A37992">
      <w:r>
        <w:separator/>
      </w:r>
    </w:p>
  </w:endnote>
  <w:endnote w:type="continuationSeparator" w:id="0">
    <w:p w14:paraId="38A00C54" w14:textId="77777777" w:rsidR="0067074B" w:rsidRDefault="0067074B" w:rsidP="00A3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25598" w14:textId="77777777" w:rsidR="00814C1E" w:rsidRDefault="00814C1E" w:rsidP="0056183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CA7192" w14:textId="77777777" w:rsidR="00814C1E" w:rsidRDefault="00814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865999"/>
      <w:docPartObj>
        <w:docPartGallery w:val="Page Numbers (Bottom of Page)"/>
        <w:docPartUnique/>
      </w:docPartObj>
    </w:sdtPr>
    <w:sdtEndPr>
      <w:rPr>
        <w:noProof/>
      </w:rPr>
    </w:sdtEndPr>
    <w:sdtContent>
      <w:p w14:paraId="60598DB1" w14:textId="47988549" w:rsidR="00814C1E" w:rsidRDefault="00814C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85914A" w14:textId="77777777" w:rsidR="00814C1E" w:rsidRDefault="0081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D13E0" w14:textId="77777777" w:rsidR="0067074B" w:rsidRDefault="0067074B" w:rsidP="00A37992">
      <w:r>
        <w:separator/>
      </w:r>
    </w:p>
  </w:footnote>
  <w:footnote w:type="continuationSeparator" w:id="0">
    <w:p w14:paraId="388BC4D2" w14:textId="77777777" w:rsidR="0067074B" w:rsidRDefault="0067074B" w:rsidP="00A37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0E3C"/>
    <w:multiLevelType w:val="hybridMultilevel"/>
    <w:tmpl w:val="6AF47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7328B"/>
    <w:multiLevelType w:val="hybridMultilevel"/>
    <w:tmpl w:val="C8D89E12"/>
    <w:lvl w:ilvl="0" w:tplc="EB3630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F7"/>
    <w:rsid w:val="00004843"/>
    <w:rsid w:val="00011BA1"/>
    <w:rsid w:val="00013FDD"/>
    <w:rsid w:val="00014373"/>
    <w:rsid w:val="00014EAA"/>
    <w:rsid w:val="00015804"/>
    <w:rsid w:val="00024113"/>
    <w:rsid w:val="000243D4"/>
    <w:rsid w:val="00025277"/>
    <w:rsid w:val="000256A0"/>
    <w:rsid w:val="0003257E"/>
    <w:rsid w:val="000348C7"/>
    <w:rsid w:val="00036242"/>
    <w:rsid w:val="00040C7E"/>
    <w:rsid w:val="000558F5"/>
    <w:rsid w:val="00073C14"/>
    <w:rsid w:val="00074D48"/>
    <w:rsid w:val="00075850"/>
    <w:rsid w:val="000828B8"/>
    <w:rsid w:val="00082F2E"/>
    <w:rsid w:val="00097707"/>
    <w:rsid w:val="000A06B6"/>
    <w:rsid w:val="000A07A7"/>
    <w:rsid w:val="000A4243"/>
    <w:rsid w:val="000C2EE8"/>
    <w:rsid w:val="000C30D2"/>
    <w:rsid w:val="000C4701"/>
    <w:rsid w:val="000E606E"/>
    <w:rsid w:val="000E75A1"/>
    <w:rsid w:val="000F09F6"/>
    <w:rsid w:val="000F164A"/>
    <w:rsid w:val="00101AF0"/>
    <w:rsid w:val="00105AEA"/>
    <w:rsid w:val="001117C3"/>
    <w:rsid w:val="00111E5D"/>
    <w:rsid w:val="001220C2"/>
    <w:rsid w:val="00131586"/>
    <w:rsid w:val="001328B4"/>
    <w:rsid w:val="00133221"/>
    <w:rsid w:val="00135393"/>
    <w:rsid w:val="00136D1B"/>
    <w:rsid w:val="0014486D"/>
    <w:rsid w:val="0014523F"/>
    <w:rsid w:val="0014683A"/>
    <w:rsid w:val="00151AE9"/>
    <w:rsid w:val="0016041F"/>
    <w:rsid w:val="00164C6B"/>
    <w:rsid w:val="00164FF6"/>
    <w:rsid w:val="00166632"/>
    <w:rsid w:val="00175C66"/>
    <w:rsid w:val="00180B63"/>
    <w:rsid w:val="00184443"/>
    <w:rsid w:val="0018686E"/>
    <w:rsid w:val="001873BF"/>
    <w:rsid w:val="00190412"/>
    <w:rsid w:val="00190F41"/>
    <w:rsid w:val="00192091"/>
    <w:rsid w:val="001A1CB6"/>
    <w:rsid w:val="001A6DFE"/>
    <w:rsid w:val="001B1A87"/>
    <w:rsid w:val="001B6734"/>
    <w:rsid w:val="001C2954"/>
    <w:rsid w:val="001C6EE2"/>
    <w:rsid w:val="001D56E6"/>
    <w:rsid w:val="001F0169"/>
    <w:rsid w:val="002077F3"/>
    <w:rsid w:val="0021084E"/>
    <w:rsid w:val="00214A0F"/>
    <w:rsid w:val="00232916"/>
    <w:rsid w:val="0024357A"/>
    <w:rsid w:val="00267DE5"/>
    <w:rsid w:val="00274798"/>
    <w:rsid w:val="002808A6"/>
    <w:rsid w:val="002816AC"/>
    <w:rsid w:val="00282360"/>
    <w:rsid w:val="00283766"/>
    <w:rsid w:val="00283F10"/>
    <w:rsid w:val="00292747"/>
    <w:rsid w:val="002A0199"/>
    <w:rsid w:val="002A4C76"/>
    <w:rsid w:val="002A54DC"/>
    <w:rsid w:val="002B482F"/>
    <w:rsid w:val="002B5FE8"/>
    <w:rsid w:val="002B7E5E"/>
    <w:rsid w:val="002C0AA6"/>
    <w:rsid w:val="002C2E02"/>
    <w:rsid w:val="002D0D83"/>
    <w:rsid w:val="002D0EEA"/>
    <w:rsid w:val="002D25E2"/>
    <w:rsid w:val="002D4680"/>
    <w:rsid w:val="002D723A"/>
    <w:rsid w:val="002E02B0"/>
    <w:rsid w:val="002E054A"/>
    <w:rsid w:val="002E5D87"/>
    <w:rsid w:val="002F2A3E"/>
    <w:rsid w:val="002F5FB9"/>
    <w:rsid w:val="002F7CF3"/>
    <w:rsid w:val="0030422A"/>
    <w:rsid w:val="00304631"/>
    <w:rsid w:val="003142F3"/>
    <w:rsid w:val="0031680E"/>
    <w:rsid w:val="00321FE1"/>
    <w:rsid w:val="003222BB"/>
    <w:rsid w:val="00324309"/>
    <w:rsid w:val="00330A76"/>
    <w:rsid w:val="00333E2F"/>
    <w:rsid w:val="00336C5C"/>
    <w:rsid w:val="003407D5"/>
    <w:rsid w:val="00350222"/>
    <w:rsid w:val="00353DD7"/>
    <w:rsid w:val="00362338"/>
    <w:rsid w:val="00365806"/>
    <w:rsid w:val="003705D0"/>
    <w:rsid w:val="00370D5F"/>
    <w:rsid w:val="003759A7"/>
    <w:rsid w:val="0038489F"/>
    <w:rsid w:val="00390208"/>
    <w:rsid w:val="003960C4"/>
    <w:rsid w:val="003A055B"/>
    <w:rsid w:val="003A05C6"/>
    <w:rsid w:val="003A2E54"/>
    <w:rsid w:val="003A5B5D"/>
    <w:rsid w:val="003A72A9"/>
    <w:rsid w:val="003B299E"/>
    <w:rsid w:val="003C01E6"/>
    <w:rsid w:val="003C1595"/>
    <w:rsid w:val="003C1994"/>
    <w:rsid w:val="003D0793"/>
    <w:rsid w:val="003D1E9F"/>
    <w:rsid w:val="003D2D10"/>
    <w:rsid w:val="003D745C"/>
    <w:rsid w:val="003E0B02"/>
    <w:rsid w:val="003E2B61"/>
    <w:rsid w:val="003F02D1"/>
    <w:rsid w:val="003F7388"/>
    <w:rsid w:val="00400C91"/>
    <w:rsid w:val="00401559"/>
    <w:rsid w:val="0040228E"/>
    <w:rsid w:val="00404B37"/>
    <w:rsid w:val="00414392"/>
    <w:rsid w:val="00414B50"/>
    <w:rsid w:val="004159BA"/>
    <w:rsid w:val="004216BF"/>
    <w:rsid w:val="00422F92"/>
    <w:rsid w:val="004262AE"/>
    <w:rsid w:val="00435E43"/>
    <w:rsid w:val="00436BBA"/>
    <w:rsid w:val="004407BB"/>
    <w:rsid w:val="00451233"/>
    <w:rsid w:val="00451C6F"/>
    <w:rsid w:val="00453DF0"/>
    <w:rsid w:val="004703EC"/>
    <w:rsid w:val="00474063"/>
    <w:rsid w:val="00477F0D"/>
    <w:rsid w:val="00481FDD"/>
    <w:rsid w:val="0048265D"/>
    <w:rsid w:val="0048683B"/>
    <w:rsid w:val="00487E6D"/>
    <w:rsid w:val="004907F3"/>
    <w:rsid w:val="00493D5D"/>
    <w:rsid w:val="0049741F"/>
    <w:rsid w:val="00497A22"/>
    <w:rsid w:val="004A07D1"/>
    <w:rsid w:val="004A315B"/>
    <w:rsid w:val="004A327E"/>
    <w:rsid w:val="004B098A"/>
    <w:rsid w:val="004D176C"/>
    <w:rsid w:val="004D5A63"/>
    <w:rsid w:val="004D7F38"/>
    <w:rsid w:val="004E2B0A"/>
    <w:rsid w:val="004E35E3"/>
    <w:rsid w:val="004E6A6F"/>
    <w:rsid w:val="004F40B4"/>
    <w:rsid w:val="004F5FBC"/>
    <w:rsid w:val="004F6E4E"/>
    <w:rsid w:val="00503641"/>
    <w:rsid w:val="005038E0"/>
    <w:rsid w:val="00504608"/>
    <w:rsid w:val="00504E19"/>
    <w:rsid w:val="00514211"/>
    <w:rsid w:val="00521E3A"/>
    <w:rsid w:val="00522081"/>
    <w:rsid w:val="0052788D"/>
    <w:rsid w:val="005367F2"/>
    <w:rsid w:val="00540AC5"/>
    <w:rsid w:val="00543745"/>
    <w:rsid w:val="00544906"/>
    <w:rsid w:val="00545114"/>
    <w:rsid w:val="0056183C"/>
    <w:rsid w:val="00583F87"/>
    <w:rsid w:val="00585890"/>
    <w:rsid w:val="00585B89"/>
    <w:rsid w:val="00597537"/>
    <w:rsid w:val="005A22D3"/>
    <w:rsid w:val="005A62A6"/>
    <w:rsid w:val="005B2E1D"/>
    <w:rsid w:val="005B5E62"/>
    <w:rsid w:val="005C0866"/>
    <w:rsid w:val="005C36F4"/>
    <w:rsid w:val="005C7918"/>
    <w:rsid w:val="005C7ACD"/>
    <w:rsid w:val="005D04EA"/>
    <w:rsid w:val="005D0573"/>
    <w:rsid w:val="005D4A3F"/>
    <w:rsid w:val="005D6880"/>
    <w:rsid w:val="005E5A11"/>
    <w:rsid w:val="005F1949"/>
    <w:rsid w:val="00601244"/>
    <w:rsid w:val="00605C72"/>
    <w:rsid w:val="00607C45"/>
    <w:rsid w:val="00617747"/>
    <w:rsid w:val="0062219E"/>
    <w:rsid w:val="00623464"/>
    <w:rsid w:val="00630D45"/>
    <w:rsid w:val="00632378"/>
    <w:rsid w:val="00632D11"/>
    <w:rsid w:val="00642646"/>
    <w:rsid w:val="00644CD6"/>
    <w:rsid w:val="00651BFA"/>
    <w:rsid w:val="0065365C"/>
    <w:rsid w:val="0065749A"/>
    <w:rsid w:val="00664B6E"/>
    <w:rsid w:val="006664A8"/>
    <w:rsid w:val="006674E3"/>
    <w:rsid w:val="0066793A"/>
    <w:rsid w:val="006704B6"/>
    <w:rsid w:val="0067074B"/>
    <w:rsid w:val="0067172A"/>
    <w:rsid w:val="006739FF"/>
    <w:rsid w:val="00682BEB"/>
    <w:rsid w:val="00685101"/>
    <w:rsid w:val="006A4FF3"/>
    <w:rsid w:val="006A7364"/>
    <w:rsid w:val="006A78E1"/>
    <w:rsid w:val="006B666C"/>
    <w:rsid w:val="006C1B3C"/>
    <w:rsid w:val="006C6F73"/>
    <w:rsid w:val="006D3983"/>
    <w:rsid w:val="006D6937"/>
    <w:rsid w:val="006D77B3"/>
    <w:rsid w:val="006E0ADF"/>
    <w:rsid w:val="006E0ED3"/>
    <w:rsid w:val="006E23D1"/>
    <w:rsid w:val="006E6EA5"/>
    <w:rsid w:val="006F45A8"/>
    <w:rsid w:val="006F4899"/>
    <w:rsid w:val="0070219D"/>
    <w:rsid w:val="00706134"/>
    <w:rsid w:val="00711C85"/>
    <w:rsid w:val="007121DB"/>
    <w:rsid w:val="00716287"/>
    <w:rsid w:val="00717142"/>
    <w:rsid w:val="00721926"/>
    <w:rsid w:val="00722850"/>
    <w:rsid w:val="00724467"/>
    <w:rsid w:val="00726BC5"/>
    <w:rsid w:val="0073663C"/>
    <w:rsid w:val="0073676E"/>
    <w:rsid w:val="00746EC4"/>
    <w:rsid w:val="00747F64"/>
    <w:rsid w:val="00750794"/>
    <w:rsid w:val="00753B7C"/>
    <w:rsid w:val="00760713"/>
    <w:rsid w:val="007620D1"/>
    <w:rsid w:val="00762DB8"/>
    <w:rsid w:val="00763A20"/>
    <w:rsid w:val="00765299"/>
    <w:rsid w:val="00765E03"/>
    <w:rsid w:val="0077556D"/>
    <w:rsid w:val="00775920"/>
    <w:rsid w:val="00782C5E"/>
    <w:rsid w:val="0078330F"/>
    <w:rsid w:val="0079012A"/>
    <w:rsid w:val="00792C8D"/>
    <w:rsid w:val="007B1EBB"/>
    <w:rsid w:val="007B4AD3"/>
    <w:rsid w:val="007C3A66"/>
    <w:rsid w:val="007D35AD"/>
    <w:rsid w:val="007E0FF8"/>
    <w:rsid w:val="007E6273"/>
    <w:rsid w:val="007F2688"/>
    <w:rsid w:val="007F3B99"/>
    <w:rsid w:val="007F6812"/>
    <w:rsid w:val="008038B6"/>
    <w:rsid w:val="00806794"/>
    <w:rsid w:val="00810CF6"/>
    <w:rsid w:val="008140AA"/>
    <w:rsid w:val="00814C1E"/>
    <w:rsid w:val="0082021B"/>
    <w:rsid w:val="0082511D"/>
    <w:rsid w:val="0083230E"/>
    <w:rsid w:val="00834E60"/>
    <w:rsid w:val="00835D1E"/>
    <w:rsid w:val="008462E6"/>
    <w:rsid w:val="0086122D"/>
    <w:rsid w:val="008659AF"/>
    <w:rsid w:val="00875216"/>
    <w:rsid w:val="008757C8"/>
    <w:rsid w:val="00881689"/>
    <w:rsid w:val="008917A9"/>
    <w:rsid w:val="008A54E9"/>
    <w:rsid w:val="008B0049"/>
    <w:rsid w:val="008B436F"/>
    <w:rsid w:val="008C7394"/>
    <w:rsid w:val="008D25D6"/>
    <w:rsid w:val="008D4972"/>
    <w:rsid w:val="008E7DC4"/>
    <w:rsid w:val="00900F4F"/>
    <w:rsid w:val="00903E0C"/>
    <w:rsid w:val="00914F36"/>
    <w:rsid w:val="009218CC"/>
    <w:rsid w:val="00934185"/>
    <w:rsid w:val="009351E2"/>
    <w:rsid w:val="00935BAB"/>
    <w:rsid w:val="0093767F"/>
    <w:rsid w:val="009463CF"/>
    <w:rsid w:val="00956212"/>
    <w:rsid w:val="00961EF1"/>
    <w:rsid w:val="00962F02"/>
    <w:rsid w:val="00970F8F"/>
    <w:rsid w:val="00975DA9"/>
    <w:rsid w:val="00981563"/>
    <w:rsid w:val="00981DD8"/>
    <w:rsid w:val="00987347"/>
    <w:rsid w:val="00991401"/>
    <w:rsid w:val="0099669D"/>
    <w:rsid w:val="009A0080"/>
    <w:rsid w:val="009B4C2A"/>
    <w:rsid w:val="009D1FE9"/>
    <w:rsid w:val="009D3139"/>
    <w:rsid w:val="009E3115"/>
    <w:rsid w:val="009E73B6"/>
    <w:rsid w:val="009F33D8"/>
    <w:rsid w:val="00A12788"/>
    <w:rsid w:val="00A13BEF"/>
    <w:rsid w:val="00A228FB"/>
    <w:rsid w:val="00A272D4"/>
    <w:rsid w:val="00A37992"/>
    <w:rsid w:val="00A6757E"/>
    <w:rsid w:val="00A70E24"/>
    <w:rsid w:val="00A775F1"/>
    <w:rsid w:val="00A84FB9"/>
    <w:rsid w:val="00A912EA"/>
    <w:rsid w:val="00A93CF0"/>
    <w:rsid w:val="00AC3187"/>
    <w:rsid w:val="00AE02D5"/>
    <w:rsid w:val="00AE0479"/>
    <w:rsid w:val="00AE7321"/>
    <w:rsid w:val="00AF37E1"/>
    <w:rsid w:val="00AF5100"/>
    <w:rsid w:val="00B02CFE"/>
    <w:rsid w:val="00B037C7"/>
    <w:rsid w:val="00B059BC"/>
    <w:rsid w:val="00B05B64"/>
    <w:rsid w:val="00B10FE4"/>
    <w:rsid w:val="00B15463"/>
    <w:rsid w:val="00B40B53"/>
    <w:rsid w:val="00B52246"/>
    <w:rsid w:val="00B57466"/>
    <w:rsid w:val="00B646DD"/>
    <w:rsid w:val="00B7630B"/>
    <w:rsid w:val="00B83EC3"/>
    <w:rsid w:val="00B85AC2"/>
    <w:rsid w:val="00B85E71"/>
    <w:rsid w:val="00B92CD7"/>
    <w:rsid w:val="00B935CC"/>
    <w:rsid w:val="00B96678"/>
    <w:rsid w:val="00BA2502"/>
    <w:rsid w:val="00BA3A56"/>
    <w:rsid w:val="00BB03CB"/>
    <w:rsid w:val="00BB17C6"/>
    <w:rsid w:val="00BB1C59"/>
    <w:rsid w:val="00BB2C38"/>
    <w:rsid w:val="00BB4AF9"/>
    <w:rsid w:val="00BB5EA8"/>
    <w:rsid w:val="00BC370E"/>
    <w:rsid w:val="00BC55C0"/>
    <w:rsid w:val="00BC7487"/>
    <w:rsid w:val="00BC78A8"/>
    <w:rsid w:val="00BD51B4"/>
    <w:rsid w:val="00BD6669"/>
    <w:rsid w:val="00BD6EFD"/>
    <w:rsid w:val="00BD7C63"/>
    <w:rsid w:val="00BE1106"/>
    <w:rsid w:val="00BE6FA8"/>
    <w:rsid w:val="00BF3A49"/>
    <w:rsid w:val="00BF79BF"/>
    <w:rsid w:val="00C002D2"/>
    <w:rsid w:val="00C12C6F"/>
    <w:rsid w:val="00C22139"/>
    <w:rsid w:val="00C227B3"/>
    <w:rsid w:val="00C257A9"/>
    <w:rsid w:val="00C35E11"/>
    <w:rsid w:val="00C36C78"/>
    <w:rsid w:val="00C4281B"/>
    <w:rsid w:val="00C43C7A"/>
    <w:rsid w:val="00C46FAF"/>
    <w:rsid w:val="00C558B4"/>
    <w:rsid w:val="00C60EA9"/>
    <w:rsid w:val="00C708AB"/>
    <w:rsid w:val="00C7400C"/>
    <w:rsid w:val="00C74B43"/>
    <w:rsid w:val="00C75F4A"/>
    <w:rsid w:val="00C77C4F"/>
    <w:rsid w:val="00C77F24"/>
    <w:rsid w:val="00C813F1"/>
    <w:rsid w:val="00C8736F"/>
    <w:rsid w:val="00CA3D1B"/>
    <w:rsid w:val="00CB3810"/>
    <w:rsid w:val="00CB3C25"/>
    <w:rsid w:val="00CC151A"/>
    <w:rsid w:val="00CC2174"/>
    <w:rsid w:val="00CC4255"/>
    <w:rsid w:val="00CC662A"/>
    <w:rsid w:val="00CD02AB"/>
    <w:rsid w:val="00CD3434"/>
    <w:rsid w:val="00CD7382"/>
    <w:rsid w:val="00CF1849"/>
    <w:rsid w:val="00CF3AD7"/>
    <w:rsid w:val="00CF453D"/>
    <w:rsid w:val="00D007A1"/>
    <w:rsid w:val="00D008BE"/>
    <w:rsid w:val="00D01314"/>
    <w:rsid w:val="00D01BEA"/>
    <w:rsid w:val="00D034C2"/>
    <w:rsid w:val="00D05F19"/>
    <w:rsid w:val="00D11F96"/>
    <w:rsid w:val="00D1308C"/>
    <w:rsid w:val="00D16B7B"/>
    <w:rsid w:val="00D17280"/>
    <w:rsid w:val="00D216F0"/>
    <w:rsid w:val="00D23884"/>
    <w:rsid w:val="00D23C2B"/>
    <w:rsid w:val="00D249FA"/>
    <w:rsid w:val="00D27A5A"/>
    <w:rsid w:val="00D437BA"/>
    <w:rsid w:val="00D43C92"/>
    <w:rsid w:val="00D5095E"/>
    <w:rsid w:val="00D517AF"/>
    <w:rsid w:val="00D526BB"/>
    <w:rsid w:val="00D53B1F"/>
    <w:rsid w:val="00D60FBE"/>
    <w:rsid w:val="00D67B3D"/>
    <w:rsid w:val="00D71D8D"/>
    <w:rsid w:val="00D7219B"/>
    <w:rsid w:val="00D84491"/>
    <w:rsid w:val="00D9324C"/>
    <w:rsid w:val="00D94E3C"/>
    <w:rsid w:val="00DA0271"/>
    <w:rsid w:val="00DA27EC"/>
    <w:rsid w:val="00DA4879"/>
    <w:rsid w:val="00DB2347"/>
    <w:rsid w:val="00DB2449"/>
    <w:rsid w:val="00DB28B8"/>
    <w:rsid w:val="00DB3B0B"/>
    <w:rsid w:val="00DB5866"/>
    <w:rsid w:val="00DB69C4"/>
    <w:rsid w:val="00DC12B3"/>
    <w:rsid w:val="00DC1E8D"/>
    <w:rsid w:val="00DC5E70"/>
    <w:rsid w:val="00DC6F3C"/>
    <w:rsid w:val="00DD3A10"/>
    <w:rsid w:val="00DE0F88"/>
    <w:rsid w:val="00DE2C31"/>
    <w:rsid w:val="00DE4617"/>
    <w:rsid w:val="00DF4927"/>
    <w:rsid w:val="00E06AA8"/>
    <w:rsid w:val="00E14038"/>
    <w:rsid w:val="00E1509B"/>
    <w:rsid w:val="00E15F03"/>
    <w:rsid w:val="00E23F01"/>
    <w:rsid w:val="00E24FD3"/>
    <w:rsid w:val="00E35395"/>
    <w:rsid w:val="00E36880"/>
    <w:rsid w:val="00E373D0"/>
    <w:rsid w:val="00E37B5E"/>
    <w:rsid w:val="00E4115B"/>
    <w:rsid w:val="00E4534D"/>
    <w:rsid w:val="00E5000C"/>
    <w:rsid w:val="00E53F5F"/>
    <w:rsid w:val="00E7197A"/>
    <w:rsid w:val="00E833A1"/>
    <w:rsid w:val="00E83ECD"/>
    <w:rsid w:val="00E8633F"/>
    <w:rsid w:val="00EA3050"/>
    <w:rsid w:val="00EA6509"/>
    <w:rsid w:val="00EC340A"/>
    <w:rsid w:val="00EC735A"/>
    <w:rsid w:val="00ED2B62"/>
    <w:rsid w:val="00ED673F"/>
    <w:rsid w:val="00ED69AA"/>
    <w:rsid w:val="00ED7A26"/>
    <w:rsid w:val="00EE0F88"/>
    <w:rsid w:val="00EE274B"/>
    <w:rsid w:val="00EF1632"/>
    <w:rsid w:val="00EF55D0"/>
    <w:rsid w:val="00EF5756"/>
    <w:rsid w:val="00EF69FD"/>
    <w:rsid w:val="00EF7FD4"/>
    <w:rsid w:val="00F01D6A"/>
    <w:rsid w:val="00F06530"/>
    <w:rsid w:val="00F11B31"/>
    <w:rsid w:val="00F133F7"/>
    <w:rsid w:val="00F174A7"/>
    <w:rsid w:val="00F225D6"/>
    <w:rsid w:val="00F24010"/>
    <w:rsid w:val="00F27701"/>
    <w:rsid w:val="00F34CCE"/>
    <w:rsid w:val="00F35EE4"/>
    <w:rsid w:val="00F40F9B"/>
    <w:rsid w:val="00F5099F"/>
    <w:rsid w:val="00F51138"/>
    <w:rsid w:val="00F51ACA"/>
    <w:rsid w:val="00F63FBB"/>
    <w:rsid w:val="00F9235B"/>
    <w:rsid w:val="00F96816"/>
    <w:rsid w:val="00F97721"/>
    <w:rsid w:val="00FB3511"/>
    <w:rsid w:val="00FC2FD3"/>
    <w:rsid w:val="00FC5072"/>
    <w:rsid w:val="00FC5B51"/>
    <w:rsid w:val="00FD4198"/>
    <w:rsid w:val="00FD4596"/>
    <w:rsid w:val="00FD5EF7"/>
    <w:rsid w:val="00FD6A50"/>
    <w:rsid w:val="00FD7617"/>
    <w:rsid w:val="00FE3E7A"/>
    <w:rsid w:val="00FF0B65"/>
    <w:rsid w:val="0E14A658"/>
    <w:rsid w:val="1CD144C1"/>
    <w:rsid w:val="4655E972"/>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DE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97A2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C2174"/>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C2174"/>
    <w:pPr>
      <w:keepNext/>
      <w:keepLines/>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CC2174"/>
    <w:pPr>
      <w:keepNext/>
      <w:keepLines/>
      <w:spacing w:before="40"/>
      <w:outlineLvl w:val="2"/>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1">
    <w:name w:val="Grid Table 1 Light - Accent 11"/>
    <w:basedOn w:val="TableNormal"/>
    <w:uiPriority w:val="46"/>
    <w:rsid w:val="0065749A"/>
    <w:pPr>
      <w:spacing w:after="0" w:line="240" w:lineRule="auto"/>
    </w:pPr>
    <w:rPr>
      <w:rFonts w:ascii="Times New Roman" w:hAnsi="Times New Roman" w:cs="Times New Roman"/>
      <w:iCs/>
      <w:sz w:val="24"/>
      <w:szCs w:val="24"/>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A37992"/>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A37992"/>
  </w:style>
  <w:style w:type="character" w:styleId="PageNumber">
    <w:name w:val="page number"/>
    <w:basedOn w:val="DefaultParagraphFont"/>
    <w:uiPriority w:val="99"/>
    <w:semiHidden/>
    <w:unhideWhenUsed/>
    <w:rsid w:val="00A37992"/>
  </w:style>
  <w:style w:type="table" w:styleId="TableGrid">
    <w:name w:val="Table Grid"/>
    <w:basedOn w:val="TableNormal"/>
    <w:uiPriority w:val="39"/>
    <w:rsid w:val="004A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3A5B5D"/>
    <w:pPr>
      <w:spacing w:after="0" w:line="240" w:lineRule="auto"/>
    </w:pPr>
    <w:rPr>
      <w:rFonts w:ascii="Times New Roman" w:hAnsi="Times New Roman" w:cs="Times New Roman"/>
      <w:iCs/>
      <w:sz w:val="24"/>
      <w:szCs w:val="24"/>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92CD7"/>
    <w:rPr>
      <w:rFonts w:ascii="Tahoma" w:hAnsi="Tahoma" w:cs="Tahoma"/>
      <w:sz w:val="16"/>
      <w:szCs w:val="16"/>
    </w:rPr>
  </w:style>
  <w:style w:type="character" w:customStyle="1" w:styleId="BalloonTextChar">
    <w:name w:val="Balloon Text Char"/>
    <w:basedOn w:val="DefaultParagraphFont"/>
    <w:link w:val="BalloonText"/>
    <w:uiPriority w:val="99"/>
    <w:semiHidden/>
    <w:rsid w:val="00B92CD7"/>
    <w:rPr>
      <w:rFonts w:ascii="Tahoma" w:hAnsi="Tahoma" w:cs="Tahoma"/>
      <w:sz w:val="16"/>
      <w:szCs w:val="16"/>
    </w:rPr>
  </w:style>
  <w:style w:type="paragraph" w:styleId="ListParagraph">
    <w:name w:val="List Paragraph"/>
    <w:basedOn w:val="Normal"/>
    <w:uiPriority w:val="34"/>
    <w:qFormat/>
    <w:rsid w:val="00521E3A"/>
    <w:pPr>
      <w:spacing w:after="160"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601244"/>
    <w:rPr>
      <w:sz w:val="16"/>
      <w:szCs w:val="16"/>
    </w:rPr>
  </w:style>
  <w:style w:type="paragraph" w:styleId="CommentText">
    <w:name w:val="annotation text"/>
    <w:basedOn w:val="Normal"/>
    <w:link w:val="CommentTextChar"/>
    <w:uiPriority w:val="99"/>
    <w:semiHidden/>
    <w:unhideWhenUsed/>
    <w:rsid w:val="00601244"/>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01244"/>
    <w:rPr>
      <w:sz w:val="20"/>
      <w:szCs w:val="20"/>
    </w:rPr>
  </w:style>
  <w:style w:type="paragraph" w:styleId="CommentSubject">
    <w:name w:val="annotation subject"/>
    <w:basedOn w:val="CommentText"/>
    <w:next w:val="CommentText"/>
    <w:link w:val="CommentSubjectChar"/>
    <w:uiPriority w:val="99"/>
    <w:semiHidden/>
    <w:unhideWhenUsed/>
    <w:rsid w:val="00601244"/>
    <w:rPr>
      <w:b/>
      <w:bCs/>
    </w:rPr>
  </w:style>
  <w:style w:type="character" w:customStyle="1" w:styleId="CommentSubjectChar">
    <w:name w:val="Comment Subject Char"/>
    <w:basedOn w:val="CommentTextChar"/>
    <w:link w:val="CommentSubject"/>
    <w:uiPriority w:val="99"/>
    <w:semiHidden/>
    <w:rsid w:val="00601244"/>
    <w:rPr>
      <w:b/>
      <w:bCs/>
      <w:sz w:val="20"/>
      <w:szCs w:val="20"/>
    </w:rPr>
  </w:style>
  <w:style w:type="character" w:styleId="Hyperlink">
    <w:name w:val="Hyperlink"/>
    <w:basedOn w:val="DefaultParagraphFont"/>
    <w:uiPriority w:val="99"/>
    <w:semiHidden/>
    <w:unhideWhenUsed/>
    <w:rsid w:val="00333E2F"/>
    <w:rPr>
      <w:color w:val="0000FF"/>
      <w:u w:val="single"/>
    </w:rPr>
  </w:style>
  <w:style w:type="paragraph" w:styleId="Revision">
    <w:name w:val="Revision"/>
    <w:hidden/>
    <w:uiPriority w:val="99"/>
    <w:semiHidden/>
    <w:rsid w:val="00D27A5A"/>
    <w:pPr>
      <w:spacing w:after="0" w:line="240" w:lineRule="auto"/>
    </w:pPr>
    <w:rPr>
      <w:rFonts w:ascii="Times New Roman" w:hAnsi="Times New Roman" w:cs="Times New Roman"/>
      <w:sz w:val="24"/>
      <w:szCs w:val="24"/>
    </w:rPr>
  </w:style>
  <w:style w:type="character" w:customStyle="1" w:styleId="a">
    <w:name w:val="_"/>
    <w:basedOn w:val="DefaultParagraphFont"/>
    <w:rsid w:val="00436BBA"/>
  </w:style>
  <w:style w:type="paragraph" w:styleId="Header">
    <w:name w:val="header"/>
    <w:basedOn w:val="Normal"/>
    <w:link w:val="HeaderChar"/>
    <w:uiPriority w:val="99"/>
    <w:unhideWhenUsed/>
    <w:rsid w:val="00644CD6"/>
    <w:pPr>
      <w:tabs>
        <w:tab w:val="center" w:pos="4513"/>
        <w:tab w:val="right" w:pos="9026"/>
      </w:tabs>
    </w:pPr>
  </w:style>
  <w:style w:type="character" w:customStyle="1" w:styleId="HeaderChar">
    <w:name w:val="Header Char"/>
    <w:basedOn w:val="DefaultParagraphFont"/>
    <w:link w:val="Header"/>
    <w:uiPriority w:val="99"/>
    <w:rsid w:val="00644CD6"/>
    <w:rPr>
      <w:rFonts w:ascii="Times New Roman" w:hAnsi="Times New Roman" w:cs="Times New Roman"/>
      <w:sz w:val="24"/>
      <w:szCs w:val="24"/>
    </w:rPr>
  </w:style>
  <w:style w:type="paragraph" w:styleId="NormalWeb">
    <w:name w:val="Normal (Web)"/>
    <w:basedOn w:val="Normal"/>
    <w:uiPriority w:val="99"/>
    <w:unhideWhenUsed/>
    <w:rsid w:val="00481FDD"/>
    <w:pPr>
      <w:spacing w:before="100" w:beforeAutospacing="1" w:after="100" w:afterAutospacing="1"/>
    </w:pPr>
    <w:rPr>
      <w:rFonts w:eastAsia="Times New Roman"/>
      <w:lang w:eastAsia="en-GB"/>
    </w:rPr>
  </w:style>
  <w:style w:type="character" w:styleId="Emphasis">
    <w:name w:val="Emphasis"/>
    <w:basedOn w:val="DefaultParagraphFont"/>
    <w:uiPriority w:val="20"/>
    <w:qFormat/>
    <w:rsid w:val="00481FDD"/>
    <w:rPr>
      <w:i/>
      <w:iCs/>
    </w:rPr>
  </w:style>
  <w:style w:type="character" w:styleId="LineNumber">
    <w:name w:val="line number"/>
    <w:basedOn w:val="DefaultParagraphFont"/>
    <w:uiPriority w:val="99"/>
    <w:semiHidden/>
    <w:unhideWhenUsed/>
    <w:rsid w:val="00A93CF0"/>
  </w:style>
  <w:style w:type="character" w:customStyle="1" w:styleId="authors">
    <w:name w:val="authors"/>
    <w:basedOn w:val="DefaultParagraphFont"/>
    <w:rsid w:val="00DA0271"/>
  </w:style>
  <w:style w:type="character" w:customStyle="1" w:styleId="Date1">
    <w:name w:val="Date1"/>
    <w:basedOn w:val="DefaultParagraphFont"/>
    <w:rsid w:val="00DA0271"/>
  </w:style>
  <w:style w:type="character" w:customStyle="1" w:styleId="arttitle">
    <w:name w:val="art_title"/>
    <w:basedOn w:val="DefaultParagraphFont"/>
    <w:rsid w:val="00DA0271"/>
  </w:style>
  <w:style w:type="character" w:customStyle="1" w:styleId="serialtitle">
    <w:name w:val="serial_title"/>
    <w:basedOn w:val="DefaultParagraphFont"/>
    <w:rsid w:val="00DA0271"/>
  </w:style>
  <w:style w:type="character" w:customStyle="1" w:styleId="volumeissue">
    <w:name w:val="volume_issue"/>
    <w:basedOn w:val="DefaultParagraphFont"/>
    <w:rsid w:val="00DA0271"/>
  </w:style>
  <w:style w:type="character" w:customStyle="1" w:styleId="doilink">
    <w:name w:val="doi_link"/>
    <w:basedOn w:val="DefaultParagraphFont"/>
    <w:rsid w:val="00DA0271"/>
  </w:style>
  <w:style w:type="character" w:customStyle="1" w:styleId="Heading1Char">
    <w:name w:val="Heading 1 Char"/>
    <w:basedOn w:val="DefaultParagraphFont"/>
    <w:link w:val="Heading1"/>
    <w:uiPriority w:val="9"/>
    <w:rsid w:val="00CC2174"/>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C2174"/>
    <w:rPr>
      <w:rFonts w:ascii="Times New Roman" w:eastAsiaTheme="majorEastAsia" w:hAnsi="Times New Roman" w:cstheme="majorBidi"/>
      <w:b/>
      <w:i/>
      <w:sz w:val="24"/>
      <w:szCs w:val="26"/>
    </w:rPr>
  </w:style>
  <w:style w:type="character" w:customStyle="1" w:styleId="Heading3Char">
    <w:name w:val="Heading 3 Char"/>
    <w:basedOn w:val="DefaultParagraphFont"/>
    <w:link w:val="Heading3"/>
    <w:uiPriority w:val="9"/>
    <w:rsid w:val="00CC2174"/>
    <w:rPr>
      <w:rFonts w:ascii="Times New Roman" w:eastAsiaTheme="majorEastAsia" w:hAnsi="Times New Roman" w:cstheme="majorBidi"/>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24058">
      <w:bodyDiv w:val="1"/>
      <w:marLeft w:val="0"/>
      <w:marRight w:val="0"/>
      <w:marTop w:val="0"/>
      <w:marBottom w:val="0"/>
      <w:divBdr>
        <w:top w:val="none" w:sz="0" w:space="0" w:color="auto"/>
        <w:left w:val="none" w:sz="0" w:space="0" w:color="auto"/>
        <w:bottom w:val="none" w:sz="0" w:space="0" w:color="auto"/>
        <w:right w:val="none" w:sz="0" w:space="0" w:color="auto"/>
      </w:divBdr>
    </w:div>
    <w:div w:id="1029255520">
      <w:bodyDiv w:val="1"/>
      <w:marLeft w:val="0"/>
      <w:marRight w:val="0"/>
      <w:marTop w:val="0"/>
      <w:marBottom w:val="0"/>
      <w:divBdr>
        <w:top w:val="none" w:sz="0" w:space="0" w:color="auto"/>
        <w:left w:val="none" w:sz="0" w:space="0" w:color="auto"/>
        <w:bottom w:val="none" w:sz="0" w:space="0" w:color="auto"/>
        <w:right w:val="none" w:sz="0" w:space="0" w:color="auto"/>
      </w:divBdr>
    </w:div>
    <w:div w:id="1056857828">
      <w:bodyDiv w:val="1"/>
      <w:marLeft w:val="0"/>
      <w:marRight w:val="0"/>
      <w:marTop w:val="0"/>
      <w:marBottom w:val="0"/>
      <w:divBdr>
        <w:top w:val="none" w:sz="0" w:space="0" w:color="auto"/>
        <w:left w:val="none" w:sz="0" w:space="0" w:color="auto"/>
        <w:bottom w:val="none" w:sz="0" w:space="0" w:color="auto"/>
        <w:right w:val="none" w:sz="0" w:space="0" w:color="auto"/>
      </w:divBdr>
      <w:divsChild>
        <w:div w:id="674696238">
          <w:marLeft w:val="0"/>
          <w:marRight w:val="0"/>
          <w:marTop w:val="0"/>
          <w:marBottom w:val="0"/>
          <w:divBdr>
            <w:top w:val="none" w:sz="0" w:space="0" w:color="auto"/>
            <w:left w:val="none" w:sz="0" w:space="0" w:color="auto"/>
            <w:bottom w:val="none" w:sz="0" w:space="0" w:color="auto"/>
            <w:right w:val="none" w:sz="0" w:space="0" w:color="auto"/>
          </w:divBdr>
        </w:div>
      </w:divsChild>
    </w:div>
    <w:div w:id="1446849018">
      <w:bodyDiv w:val="1"/>
      <w:marLeft w:val="0"/>
      <w:marRight w:val="0"/>
      <w:marTop w:val="0"/>
      <w:marBottom w:val="0"/>
      <w:divBdr>
        <w:top w:val="none" w:sz="0" w:space="0" w:color="auto"/>
        <w:left w:val="none" w:sz="0" w:space="0" w:color="auto"/>
        <w:bottom w:val="none" w:sz="0" w:space="0" w:color="auto"/>
        <w:right w:val="none" w:sz="0" w:space="0" w:color="auto"/>
      </w:divBdr>
      <w:divsChild>
        <w:div w:id="1435783272">
          <w:marLeft w:val="0"/>
          <w:marRight w:val="0"/>
          <w:marTop w:val="0"/>
          <w:marBottom w:val="0"/>
          <w:divBdr>
            <w:top w:val="none" w:sz="0" w:space="0" w:color="auto"/>
            <w:left w:val="none" w:sz="0" w:space="0" w:color="auto"/>
            <w:bottom w:val="none" w:sz="0" w:space="0" w:color="auto"/>
            <w:right w:val="none" w:sz="0" w:space="0" w:color="auto"/>
          </w:divBdr>
        </w:div>
      </w:divsChild>
    </w:div>
    <w:div w:id="1910650873">
      <w:bodyDiv w:val="1"/>
      <w:marLeft w:val="0"/>
      <w:marRight w:val="0"/>
      <w:marTop w:val="0"/>
      <w:marBottom w:val="0"/>
      <w:divBdr>
        <w:top w:val="none" w:sz="0" w:space="0" w:color="auto"/>
        <w:left w:val="none" w:sz="0" w:space="0" w:color="auto"/>
        <w:bottom w:val="none" w:sz="0" w:space="0" w:color="auto"/>
        <w:right w:val="none" w:sz="0" w:space="0" w:color="auto"/>
      </w:divBdr>
    </w:div>
    <w:div w:id="2007323365">
      <w:bodyDiv w:val="1"/>
      <w:marLeft w:val="0"/>
      <w:marRight w:val="0"/>
      <w:marTop w:val="0"/>
      <w:marBottom w:val="0"/>
      <w:divBdr>
        <w:top w:val="none" w:sz="0" w:space="0" w:color="auto"/>
        <w:left w:val="none" w:sz="0" w:space="0" w:color="auto"/>
        <w:bottom w:val="none" w:sz="0" w:space="0" w:color="auto"/>
        <w:right w:val="none" w:sz="0" w:space="0" w:color="auto"/>
      </w:divBdr>
    </w:div>
    <w:div w:id="2098556077">
      <w:bodyDiv w:val="1"/>
      <w:marLeft w:val="0"/>
      <w:marRight w:val="0"/>
      <w:marTop w:val="0"/>
      <w:marBottom w:val="0"/>
      <w:divBdr>
        <w:top w:val="none" w:sz="0" w:space="0" w:color="auto"/>
        <w:left w:val="none" w:sz="0" w:space="0" w:color="auto"/>
        <w:bottom w:val="none" w:sz="0" w:space="0" w:color="auto"/>
        <w:right w:val="none" w:sz="0" w:space="0" w:color="auto"/>
      </w:divBdr>
      <w:divsChild>
        <w:div w:id="536696519">
          <w:marLeft w:val="0"/>
          <w:marRight w:val="0"/>
          <w:marTop w:val="0"/>
          <w:marBottom w:val="0"/>
          <w:divBdr>
            <w:top w:val="none" w:sz="0" w:space="0" w:color="auto"/>
            <w:left w:val="none" w:sz="0" w:space="0" w:color="auto"/>
            <w:bottom w:val="none" w:sz="0" w:space="0" w:color="auto"/>
            <w:right w:val="none" w:sz="0" w:space="0" w:color="auto"/>
          </w:divBdr>
        </w:div>
        <w:div w:id="960107185">
          <w:marLeft w:val="0"/>
          <w:marRight w:val="0"/>
          <w:marTop w:val="0"/>
          <w:marBottom w:val="0"/>
          <w:divBdr>
            <w:top w:val="none" w:sz="0" w:space="0" w:color="auto"/>
            <w:left w:val="none" w:sz="0" w:space="0" w:color="auto"/>
            <w:bottom w:val="none" w:sz="0" w:space="0" w:color="auto"/>
            <w:right w:val="none" w:sz="0" w:space="0" w:color="auto"/>
          </w:divBdr>
        </w:div>
        <w:div w:id="210968292">
          <w:marLeft w:val="0"/>
          <w:marRight w:val="0"/>
          <w:marTop w:val="0"/>
          <w:marBottom w:val="0"/>
          <w:divBdr>
            <w:top w:val="none" w:sz="0" w:space="0" w:color="auto"/>
            <w:left w:val="none" w:sz="0" w:space="0" w:color="auto"/>
            <w:bottom w:val="none" w:sz="0" w:space="0" w:color="auto"/>
            <w:right w:val="none" w:sz="0" w:space="0" w:color="auto"/>
          </w:divBdr>
        </w:div>
        <w:div w:id="588538699">
          <w:marLeft w:val="0"/>
          <w:marRight w:val="0"/>
          <w:marTop w:val="0"/>
          <w:marBottom w:val="0"/>
          <w:divBdr>
            <w:top w:val="none" w:sz="0" w:space="0" w:color="auto"/>
            <w:left w:val="none" w:sz="0" w:space="0" w:color="auto"/>
            <w:bottom w:val="none" w:sz="0" w:space="0" w:color="auto"/>
            <w:right w:val="none" w:sz="0" w:space="0" w:color="auto"/>
          </w:divBdr>
        </w:div>
        <w:div w:id="1794667942">
          <w:marLeft w:val="0"/>
          <w:marRight w:val="0"/>
          <w:marTop w:val="0"/>
          <w:marBottom w:val="0"/>
          <w:divBdr>
            <w:top w:val="none" w:sz="0" w:space="0" w:color="auto"/>
            <w:left w:val="none" w:sz="0" w:space="0" w:color="auto"/>
            <w:bottom w:val="none" w:sz="0" w:space="0" w:color="auto"/>
            <w:right w:val="none" w:sz="0" w:space="0" w:color="auto"/>
          </w:divBdr>
        </w:div>
        <w:div w:id="305547122">
          <w:marLeft w:val="0"/>
          <w:marRight w:val="0"/>
          <w:marTop w:val="0"/>
          <w:marBottom w:val="0"/>
          <w:divBdr>
            <w:top w:val="none" w:sz="0" w:space="0" w:color="auto"/>
            <w:left w:val="none" w:sz="0" w:space="0" w:color="auto"/>
            <w:bottom w:val="none" w:sz="0" w:space="0" w:color="auto"/>
            <w:right w:val="none" w:sz="0" w:space="0" w:color="auto"/>
          </w:divBdr>
        </w:div>
        <w:div w:id="1868325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F4DD8-2D4C-4437-AA2E-8882932D1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21</Pages>
  <Words>4978</Words>
  <Characters>28377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Blanshard, Lisa</cp:lastModifiedBy>
  <cp:revision>10</cp:revision>
  <dcterms:created xsi:type="dcterms:W3CDTF">2020-07-25T19:11:00Z</dcterms:created>
  <dcterms:modified xsi:type="dcterms:W3CDTF">2020-09-23T10:03:00Z</dcterms:modified>
</cp:coreProperties>
</file>