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662E" w14:textId="362F6A8A" w:rsidR="00043817" w:rsidRPr="0062163D" w:rsidRDefault="008162ED" w:rsidP="00714C2A">
      <w:pPr>
        <w:spacing w:line="480" w:lineRule="auto"/>
        <w:jc w:val="center"/>
        <w:rPr>
          <w:b/>
        </w:rPr>
      </w:pPr>
      <w:r w:rsidRPr="0062163D">
        <w:rPr>
          <w:b/>
        </w:rPr>
        <w:t>Effects</w:t>
      </w:r>
      <w:r w:rsidR="00043817" w:rsidRPr="0062163D">
        <w:rPr>
          <w:b/>
        </w:rPr>
        <w:t xml:space="preserve"> of </w:t>
      </w:r>
      <w:r w:rsidR="0040771C" w:rsidRPr="0062163D">
        <w:rPr>
          <w:b/>
        </w:rPr>
        <w:t xml:space="preserve">Stent </w:t>
      </w:r>
      <w:r w:rsidRPr="0062163D">
        <w:rPr>
          <w:b/>
        </w:rPr>
        <w:t xml:space="preserve">Post-Dilatation during </w:t>
      </w:r>
      <w:r w:rsidR="00714C2A" w:rsidRPr="0062163D">
        <w:rPr>
          <w:b/>
        </w:rPr>
        <w:t xml:space="preserve">primary </w:t>
      </w:r>
      <w:r w:rsidR="00DA0018" w:rsidRPr="0062163D">
        <w:rPr>
          <w:b/>
        </w:rPr>
        <w:t>PCI for STEMI</w:t>
      </w:r>
      <w:r w:rsidRPr="0062163D">
        <w:rPr>
          <w:b/>
        </w:rPr>
        <w:t>:</w:t>
      </w:r>
    </w:p>
    <w:p w14:paraId="788189D3" w14:textId="4794BEAB" w:rsidR="008162ED" w:rsidRPr="0062163D" w:rsidRDefault="008162ED" w:rsidP="00714C2A">
      <w:pPr>
        <w:spacing w:line="480" w:lineRule="auto"/>
        <w:jc w:val="center"/>
        <w:rPr>
          <w:b/>
        </w:rPr>
      </w:pPr>
      <w:r w:rsidRPr="0062163D">
        <w:rPr>
          <w:b/>
        </w:rPr>
        <w:t>Insights from Coronary Physiology</w:t>
      </w:r>
      <w:r w:rsidR="00A61933" w:rsidRPr="0062163D">
        <w:rPr>
          <w:b/>
        </w:rPr>
        <w:t xml:space="preserve"> and Optical Coherence Tomography</w:t>
      </w:r>
    </w:p>
    <w:p w14:paraId="79DFA0D5" w14:textId="77777777" w:rsidR="00EE0BB2" w:rsidRPr="0062163D" w:rsidRDefault="00EE0BB2" w:rsidP="00714C2A">
      <w:pPr>
        <w:spacing w:line="480" w:lineRule="auto"/>
        <w:jc w:val="center"/>
        <w:rPr>
          <w:b/>
        </w:rPr>
      </w:pPr>
    </w:p>
    <w:p w14:paraId="7B524443" w14:textId="1C499840" w:rsidR="00AE75A6" w:rsidRPr="0062163D" w:rsidRDefault="00043817" w:rsidP="00714C2A">
      <w:pPr>
        <w:spacing w:line="480" w:lineRule="auto"/>
        <w:jc w:val="center"/>
        <w:rPr>
          <w:vertAlign w:val="superscript"/>
        </w:rPr>
      </w:pPr>
      <w:r w:rsidRPr="0062163D">
        <w:t>G</w:t>
      </w:r>
      <w:r w:rsidR="004677B7" w:rsidRPr="0062163D">
        <w:t xml:space="preserve">rigoris </w:t>
      </w:r>
      <w:r w:rsidRPr="0062163D">
        <w:t>V Karamasis</w:t>
      </w:r>
      <w:r w:rsidR="00E92321" w:rsidRPr="0062163D">
        <w:t xml:space="preserve"> MD</w:t>
      </w:r>
      <w:r w:rsidR="000915A5" w:rsidRPr="0062163D">
        <w:rPr>
          <w:vertAlign w:val="superscript"/>
        </w:rPr>
        <w:t>1,2</w:t>
      </w:r>
      <w:r w:rsidR="00E92321" w:rsidRPr="0062163D">
        <w:t>,</w:t>
      </w:r>
      <w:r w:rsidRPr="0062163D">
        <w:t xml:space="preserve"> A</w:t>
      </w:r>
      <w:r w:rsidR="004677B7" w:rsidRPr="0062163D">
        <w:t xml:space="preserve">ndreas </w:t>
      </w:r>
      <w:r w:rsidR="00455025" w:rsidRPr="0062163D">
        <w:t>S</w:t>
      </w:r>
      <w:r w:rsidRPr="0062163D">
        <w:t xml:space="preserve"> </w:t>
      </w:r>
      <w:proofErr w:type="spellStart"/>
      <w:r w:rsidRPr="0062163D">
        <w:t>Kalogeropoulos</w:t>
      </w:r>
      <w:proofErr w:type="spellEnd"/>
      <w:r w:rsidR="00E92321" w:rsidRPr="0062163D">
        <w:t xml:space="preserve"> MD PhD</w:t>
      </w:r>
      <w:r w:rsidR="000915A5" w:rsidRPr="0062163D">
        <w:rPr>
          <w:vertAlign w:val="superscript"/>
        </w:rPr>
        <w:t>3</w:t>
      </w:r>
      <w:r w:rsidRPr="0062163D">
        <w:t xml:space="preserve">, </w:t>
      </w:r>
      <w:proofErr w:type="spellStart"/>
      <w:r w:rsidR="00967ABE" w:rsidRPr="0062163D">
        <w:t>R</w:t>
      </w:r>
      <w:r w:rsidR="004677B7" w:rsidRPr="0062163D">
        <w:t>eto</w:t>
      </w:r>
      <w:proofErr w:type="spellEnd"/>
      <w:r w:rsidR="004677B7" w:rsidRPr="0062163D">
        <w:t xml:space="preserve"> </w:t>
      </w:r>
      <w:r w:rsidR="00474442" w:rsidRPr="0062163D">
        <w:t>A</w:t>
      </w:r>
      <w:r w:rsidR="00967ABE" w:rsidRPr="0062163D">
        <w:t xml:space="preserve"> Gamma</w:t>
      </w:r>
      <w:r w:rsidR="00E92321" w:rsidRPr="0062163D">
        <w:t xml:space="preserve"> MD</w:t>
      </w:r>
      <w:r w:rsidR="000915A5" w:rsidRPr="0062163D">
        <w:rPr>
          <w:vertAlign w:val="superscript"/>
        </w:rPr>
        <w:t>1</w:t>
      </w:r>
      <w:r w:rsidR="00967ABE" w:rsidRPr="0062163D">
        <w:t>,</w:t>
      </w:r>
      <w:r w:rsidRPr="0062163D">
        <w:t xml:space="preserve"> </w:t>
      </w:r>
      <w:r w:rsidR="00967ABE" w:rsidRPr="0062163D">
        <w:t>G</w:t>
      </w:r>
      <w:r w:rsidR="004677B7" w:rsidRPr="0062163D">
        <w:t xml:space="preserve">erald </w:t>
      </w:r>
      <w:r w:rsidR="00967ABE" w:rsidRPr="0062163D">
        <w:t xml:space="preserve">J </w:t>
      </w:r>
      <w:proofErr w:type="spellStart"/>
      <w:r w:rsidR="00967ABE" w:rsidRPr="0062163D">
        <w:t>Clesham</w:t>
      </w:r>
      <w:proofErr w:type="spellEnd"/>
      <w:r w:rsidR="000915A5" w:rsidRPr="0062163D">
        <w:rPr>
          <w:vertAlign w:val="superscript"/>
        </w:rPr>
        <w:t xml:space="preserve"> </w:t>
      </w:r>
      <w:proofErr w:type="spellStart"/>
      <w:r w:rsidR="00E92321" w:rsidRPr="0062163D">
        <w:t>MBBChir</w:t>
      </w:r>
      <w:proofErr w:type="spellEnd"/>
      <w:r w:rsidR="000915A5" w:rsidRPr="0062163D">
        <w:t xml:space="preserve"> </w:t>
      </w:r>
      <w:r w:rsidR="00E92321" w:rsidRPr="0062163D">
        <w:t>PhD</w:t>
      </w:r>
      <w:r w:rsidR="000915A5" w:rsidRPr="0062163D">
        <w:rPr>
          <w:vertAlign w:val="superscript"/>
        </w:rPr>
        <w:t>1,2</w:t>
      </w:r>
      <w:r w:rsidR="00967ABE" w:rsidRPr="0062163D">
        <w:t xml:space="preserve">, </w:t>
      </w:r>
      <w:r w:rsidR="000F1A19" w:rsidRPr="0062163D">
        <w:t>V</w:t>
      </w:r>
      <w:r w:rsidR="004677B7" w:rsidRPr="0062163D">
        <w:t>aleria</w:t>
      </w:r>
      <w:r w:rsidR="000F1A19" w:rsidRPr="0062163D">
        <w:t xml:space="preserve"> Marco</w:t>
      </w:r>
      <w:r w:rsidR="00510521" w:rsidRPr="0062163D">
        <w:t xml:space="preserve"> RN</w:t>
      </w:r>
      <w:r w:rsidR="000915A5" w:rsidRPr="0062163D">
        <w:rPr>
          <w:vertAlign w:val="superscript"/>
        </w:rPr>
        <w:t>4</w:t>
      </w:r>
      <w:r w:rsidR="000F1A19" w:rsidRPr="0062163D">
        <w:t xml:space="preserve">, </w:t>
      </w:r>
      <w:r w:rsidR="00967ABE" w:rsidRPr="0062163D">
        <w:t>K</w:t>
      </w:r>
      <w:r w:rsidR="004677B7" w:rsidRPr="0062163D">
        <w:t xml:space="preserve">are </w:t>
      </w:r>
      <w:r w:rsidR="00474442" w:rsidRPr="0062163D">
        <w:t>H</w:t>
      </w:r>
      <w:r w:rsidR="00967ABE" w:rsidRPr="0062163D">
        <w:t xml:space="preserve"> Tang</w:t>
      </w:r>
      <w:r w:rsidR="00E92321" w:rsidRPr="0062163D">
        <w:t xml:space="preserve"> MBBS</w:t>
      </w:r>
      <w:r w:rsidR="00967ABE" w:rsidRPr="0062163D">
        <w:rPr>
          <w:vertAlign w:val="superscript"/>
        </w:rPr>
        <w:t>1</w:t>
      </w:r>
      <w:r w:rsidR="00967ABE" w:rsidRPr="0062163D">
        <w:t xml:space="preserve">, </w:t>
      </w:r>
      <w:r w:rsidRPr="0062163D">
        <w:t>R</w:t>
      </w:r>
      <w:r w:rsidR="004677B7" w:rsidRPr="0062163D">
        <w:t>ohan</w:t>
      </w:r>
      <w:r w:rsidRPr="0062163D">
        <w:t xml:space="preserve"> </w:t>
      </w:r>
      <w:proofErr w:type="spellStart"/>
      <w:r w:rsidRPr="0062163D">
        <w:t>Jagathesan</w:t>
      </w:r>
      <w:proofErr w:type="spellEnd"/>
      <w:r w:rsidR="00E92321" w:rsidRPr="0062163D">
        <w:t xml:space="preserve"> MBBS</w:t>
      </w:r>
      <w:r w:rsidR="000915A5" w:rsidRPr="0062163D">
        <w:t xml:space="preserve"> </w:t>
      </w:r>
      <w:r w:rsidR="00E92321" w:rsidRPr="0062163D">
        <w:t>MD</w:t>
      </w:r>
      <w:r w:rsidR="000915A5" w:rsidRPr="0062163D">
        <w:rPr>
          <w:vertAlign w:val="superscript"/>
        </w:rPr>
        <w:t>1</w:t>
      </w:r>
      <w:r w:rsidRPr="0062163D">
        <w:t xml:space="preserve">, </w:t>
      </w:r>
      <w:r w:rsidR="00967ABE" w:rsidRPr="0062163D">
        <w:t>J</w:t>
      </w:r>
      <w:r w:rsidR="004677B7" w:rsidRPr="0062163D">
        <w:t xml:space="preserve">eremy </w:t>
      </w:r>
      <w:r w:rsidR="00474442" w:rsidRPr="0062163D">
        <w:t>W</w:t>
      </w:r>
      <w:r w:rsidR="00967ABE" w:rsidRPr="0062163D">
        <w:t xml:space="preserve"> Sayer</w:t>
      </w:r>
      <w:r w:rsidR="00510521" w:rsidRPr="0062163D">
        <w:t xml:space="preserve"> MBBS</w:t>
      </w:r>
      <w:r w:rsidR="000915A5" w:rsidRPr="0062163D">
        <w:t xml:space="preserve"> </w:t>
      </w:r>
      <w:r w:rsidR="00510521" w:rsidRPr="0062163D">
        <w:t>MD</w:t>
      </w:r>
      <w:r w:rsidR="000915A5" w:rsidRPr="0062163D">
        <w:rPr>
          <w:vertAlign w:val="superscript"/>
        </w:rPr>
        <w:t>1</w:t>
      </w:r>
      <w:r w:rsidR="00967ABE" w:rsidRPr="0062163D">
        <w:t xml:space="preserve">, </w:t>
      </w:r>
      <w:r w:rsidRPr="0062163D">
        <w:t>N</w:t>
      </w:r>
      <w:r w:rsidR="004677B7" w:rsidRPr="0062163D">
        <w:t xml:space="preserve">icholas </w:t>
      </w:r>
      <w:r w:rsidR="00474442" w:rsidRPr="0062163D">
        <w:t>M</w:t>
      </w:r>
      <w:r w:rsidRPr="0062163D">
        <w:t xml:space="preserve"> Robinson</w:t>
      </w:r>
      <w:r w:rsidR="00510521" w:rsidRPr="0062163D">
        <w:t xml:space="preserve"> </w:t>
      </w:r>
      <w:proofErr w:type="spellStart"/>
      <w:r w:rsidR="00510521" w:rsidRPr="0062163D">
        <w:t>MBBChir</w:t>
      </w:r>
      <w:proofErr w:type="spellEnd"/>
      <w:r w:rsidR="000915A5" w:rsidRPr="0062163D">
        <w:t xml:space="preserve"> </w:t>
      </w:r>
      <w:r w:rsidR="00510521" w:rsidRPr="0062163D">
        <w:t>MD</w:t>
      </w:r>
      <w:r w:rsidR="000915A5" w:rsidRPr="0062163D">
        <w:rPr>
          <w:vertAlign w:val="superscript"/>
        </w:rPr>
        <w:t>1</w:t>
      </w:r>
      <w:r w:rsidRPr="0062163D">
        <w:t xml:space="preserve">, </w:t>
      </w:r>
      <w:r w:rsidR="008162ED" w:rsidRPr="0062163D">
        <w:t>A</w:t>
      </w:r>
      <w:r w:rsidR="004677B7" w:rsidRPr="0062163D">
        <w:t>lamgir</w:t>
      </w:r>
      <w:r w:rsidR="008162ED" w:rsidRPr="0062163D">
        <w:t xml:space="preserve"> Kabir</w:t>
      </w:r>
      <w:r w:rsidR="00E65884" w:rsidRPr="0062163D">
        <w:t xml:space="preserve"> </w:t>
      </w:r>
      <w:r w:rsidR="00E92321" w:rsidRPr="0062163D">
        <w:t>MBBS</w:t>
      </w:r>
      <w:r w:rsidR="000915A5" w:rsidRPr="0062163D">
        <w:t xml:space="preserve"> </w:t>
      </w:r>
      <w:r w:rsidR="00E92321" w:rsidRPr="0062163D">
        <w:t>PhD</w:t>
      </w:r>
      <w:r w:rsidR="000915A5" w:rsidRPr="0062163D">
        <w:rPr>
          <w:vertAlign w:val="superscript"/>
        </w:rPr>
        <w:t>1</w:t>
      </w:r>
      <w:r w:rsidR="008162ED" w:rsidRPr="0062163D">
        <w:t xml:space="preserve">, </w:t>
      </w:r>
      <w:r w:rsidRPr="0062163D">
        <w:t>R</w:t>
      </w:r>
      <w:r w:rsidR="004677B7" w:rsidRPr="0062163D">
        <w:t xml:space="preserve">ajesh </w:t>
      </w:r>
      <w:r w:rsidR="00474442" w:rsidRPr="0062163D">
        <w:t>K</w:t>
      </w:r>
      <w:r w:rsidRPr="0062163D">
        <w:t xml:space="preserve"> Aggarwal</w:t>
      </w:r>
      <w:r w:rsidR="00EE0BB2" w:rsidRPr="0062163D">
        <w:t xml:space="preserve"> </w:t>
      </w:r>
      <w:r w:rsidR="00510521" w:rsidRPr="0062163D">
        <w:t>MBChB</w:t>
      </w:r>
      <w:r w:rsidR="000915A5" w:rsidRPr="0062163D">
        <w:t xml:space="preserve"> </w:t>
      </w:r>
      <w:r w:rsidR="00510521" w:rsidRPr="0062163D">
        <w:t>MD</w:t>
      </w:r>
      <w:r w:rsidR="000915A5" w:rsidRPr="0062163D">
        <w:rPr>
          <w:vertAlign w:val="superscript"/>
        </w:rPr>
        <w:t>1</w:t>
      </w:r>
      <w:r w:rsidRPr="0062163D">
        <w:t>, P</w:t>
      </w:r>
      <w:r w:rsidR="004677B7" w:rsidRPr="0062163D">
        <w:t xml:space="preserve">aul </w:t>
      </w:r>
      <w:r w:rsidR="00967ABE" w:rsidRPr="0062163D">
        <w:t>A</w:t>
      </w:r>
      <w:r w:rsidRPr="0062163D">
        <w:t xml:space="preserve"> Kelly</w:t>
      </w:r>
      <w:r w:rsidR="00E92321" w:rsidRPr="0062163D">
        <w:t xml:space="preserve"> MBChB</w:t>
      </w:r>
      <w:r w:rsidR="000915A5" w:rsidRPr="0062163D">
        <w:t xml:space="preserve"> </w:t>
      </w:r>
      <w:r w:rsidR="00510521" w:rsidRPr="0062163D">
        <w:t>MD</w:t>
      </w:r>
      <w:r w:rsidR="000915A5" w:rsidRPr="0062163D">
        <w:rPr>
          <w:vertAlign w:val="superscript"/>
        </w:rPr>
        <w:t>1</w:t>
      </w:r>
      <w:r w:rsidRPr="0062163D">
        <w:t>, F</w:t>
      </w:r>
      <w:r w:rsidR="004677B7" w:rsidRPr="0062163D">
        <w:t>rancesco</w:t>
      </w:r>
      <w:r w:rsidRPr="0062163D">
        <w:t xml:space="preserve"> </w:t>
      </w:r>
      <w:proofErr w:type="spellStart"/>
      <w:r w:rsidRPr="0062163D">
        <w:t>Prati</w:t>
      </w:r>
      <w:proofErr w:type="spellEnd"/>
      <w:r w:rsidR="00E92321" w:rsidRPr="0062163D">
        <w:t xml:space="preserve"> MD</w:t>
      </w:r>
      <w:r w:rsidR="000915A5" w:rsidRPr="0062163D">
        <w:t xml:space="preserve"> </w:t>
      </w:r>
      <w:r w:rsidR="00E92321" w:rsidRPr="0062163D">
        <w:t>PhD</w:t>
      </w:r>
      <w:r w:rsidR="000915A5" w:rsidRPr="0062163D">
        <w:rPr>
          <w:vertAlign w:val="superscript"/>
        </w:rPr>
        <w:t>4</w:t>
      </w:r>
      <w:r w:rsidR="000915A5" w:rsidRPr="0062163D">
        <w:t xml:space="preserve">, </w:t>
      </w:r>
      <w:r w:rsidRPr="0062163D">
        <w:t>T</w:t>
      </w:r>
      <w:r w:rsidR="004677B7" w:rsidRPr="0062163D">
        <w:t xml:space="preserve">homas </w:t>
      </w:r>
      <w:r w:rsidR="00EE0BB2" w:rsidRPr="0062163D">
        <w:t>R</w:t>
      </w:r>
      <w:r w:rsidRPr="0062163D">
        <w:t xml:space="preserve"> Keeble</w:t>
      </w:r>
      <w:r w:rsidR="00E92321" w:rsidRPr="0062163D">
        <w:t xml:space="preserve"> MBBS MD</w:t>
      </w:r>
      <w:r w:rsidR="000915A5" w:rsidRPr="0062163D">
        <w:rPr>
          <w:vertAlign w:val="superscript"/>
        </w:rPr>
        <w:t>1,2</w:t>
      </w:r>
      <w:r w:rsidRPr="0062163D">
        <w:t>, J</w:t>
      </w:r>
      <w:r w:rsidR="004677B7" w:rsidRPr="0062163D">
        <w:t xml:space="preserve">ohn </w:t>
      </w:r>
      <w:r w:rsidR="00EE0BB2" w:rsidRPr="0062163D">
        <w:t>R</w:t>
      </w:r>
      <w:r w:rsidRPr="0062163D">
        <w:t xml:space="preserve"> Davies</w:t>
      </w:r>
      <w:r w:rsidR="000915A5" w:rsidRPr="0062163D">
        <w:rPr>
          <w:vertAlign w:val="superscript"/>
        </w:rPr>
        <w:t xml:space="preserve"> </w:t>
      </w:r>
      <w:r w:rsidR="00E92321" w:rsidRPr="0062163D">
        <w:t>MBBS PhD</w:t>
      </w:r>
      <w:r w:rsidR="000915A5" w:rsidRPr="0062163D">
        <w:rPr>
          <w:vertAlign w:val="superscript"/>
        </w:rPr>
        <w:t>1,2</w:t>
      </w:r>
    </w:p>
    <w:p w14:paraId="258CBF2F" w14:textId="77777777" w:rsidR="00E65884" w:rsidRPr="0062163D" w:rsidRDefault="00E65884" w:rsidP="00714C2A">
      <w:pPr>
        <w:spacing w:line="480" w:lineRule="auto"/>
        <w:jc w:val="center"/>
      </w:pPr>
    </w:p>
    <w:p w14:paraId="0A1B5DF6" w14:textId="661A93D2" w:rsidR="004677B7" w:rsidRPr="0062163D" w:rsidRDefault="00EE0BB2" w:rsidP="00714C2A">
      <w:pPr>
        <w:spacing w:line="480" w:lineRule="auto"/>
        <w:rPr>
          <w:sz w:val="20"/>
          <w:szCs w:val="20"/>
        </w:rPr>
      </w:pPr>
      <w:r w:rsidRPr="0062163D">
        <w:rPr>
          <w:sz w:val="20"/>
          <w:szCs w:val="20"/>
          <w:vertAlign w:val="superscript"/>
        </w:rPr>
        <w:t xml:space="preserve">1 </w:t>
      </w:r>
      <w:r w:rsidR="001144C7" w:rsidRPr="0062163D">
        <w:rPr>
          <w:sz w:val="20"/>
          <w:szCs w:val="20"/>
        </w:rPr>
        <w:t xml:space="preserve">Cardiology </w:t>
      </w:r>
      <w:r w:rsidR="00033CB1" w:rsidRPr="0062163D">
        <w:rPr>
          <w:sz w:val="20"/>
          <w:szCs w:val="20"/>
        </w:rPr>
        <w:t>Department,</w:t>
      </w:r>
      <w:r w:rsidR="00033CB1" w:rsidRPr="0062163D">
        <w:rPr>
          <w:sz w:val="20"/>
          <w:szCs w:val="20"/>
          <w:vertAlign w:val="superscript"/>
        </w:rPr>
        <w:t xml:space="preserve"> </w:t>
      </w:r>
      <w:r w:rsidRPr="0062163D">
        <w:rPr>
          <w:sz w:val="20"/>
          <w:szCs w:val="20"/>
        </w:rPr>
        <w:t>Essex Cardiothoracic Centre, Basildon, United Kingdom</w:t>
      </w:r>
    </w:p>
    <w:p w14:paraId="209340DA" w14:textId="3E2A9746" w:rsidR="007833ED" w:rsidRPr="0062163D" w:rsidRDefault="00033CB1" w:rsidP="00714C2A">
      <w:pPr>
        <w:spacing w:line="480" w:lineRule="auto"/>
        <w:rPr>
          <w:sz w:val="20"/>
          <w:szCs w:val="20"/>
        </w:rPr>
      </w:pPr>
      <w:r w:rsidRPr="0062163D">
        <w:rPr>
          <w:sz w:val="20"/>
          <w:szCs w:val="20"/>
          <w:vertAlign w:val="superscript"/>
        </w:rPr>
        <w:t xml:space="preserve">2 </w:t>
      </w:r>
      <w:r w:rsidRPr="0062163D">
        <w:rPr>
          <w:sz w:val="20"/>
          <w:szCs w:val="20"/>
        </w:rPr>
        <w:t>School of Medicine, Anglia Ruskin University, Chelmsford, United Kingdom</w:t>
      </w:r>
    </w:p>
    <w:p w14:paraId="02FA24CA" w14:textId="024082A8" w:rsidR="00714C2A" w:rsidRPr="0062163D" w:rsidRDefault="00714C2A" w:rsidP="00714C2A">
      <w:pPr>
        <w:spacing w:line="480" w:lineRule="auto"/>
        <w:rPr>
          <w:sz w:val="20"/>
          <w:szCs w:val="20"/>
        </w:rPr>
      </w:pPr>
      <w:r w:rsidRPr="0062163D">
        <w:rPr>
          <w:sz w:val="20"/>
          <w:szCs w:val="20"/>
          <w:vertAlign w:val="superscript"/>
        </w:rPr>
        <w:t xml:space="preserve">3 </w:t>
      </w:r>
      <w:r w:rsidRPr="0062163D">
        <w:rPr>
          <w:sz w:val="20"/>
          <w:szCs w:val="20"/>
        </w:rPr>
        <w:t xml:space="preserve">Cardiology Department, </w:t>
      </w:r>
      <w:proofErr w:type="spellStart"/>
      <w:r w:rsidRPr="0062163D">
        <w:rPr>
          <w:sz w:val="20"/>
          <w:szCs w:val="20"/>
        </w:rPr>
        <w:t>Mitera</w:t>
      </w:r>
      <w:proofErr w:type="spellEnd"/>
      <w:r w:rsidRPr="0062163D">
        <w:rPr>
          <w:sz w:val="20"/>
          <w:szCs w:val="20"/>
        </w:rPr>
        <w:t xml:space="preserve"> General Clinic - Hygeia Group, Athens, Greece</w:t>
      </w:r>
    </w:p>
    <w:p w14:paraId="12EF1AB1" w14:textId="1AD018AA" w:rsidR="00EE0BB2" w:rsidRPr="0062163D" w:rsidRDefault="00E65884" w:rsidP="00714C2A">
      <w:pPr>
        <w:spacing w:line="480" w:lineRule="auto"/>
        <w:rPr>
          <w:sz w:val="20"/>
          <w:szCs w:val="20"/>
        </w:rPr>
      </w:pPr>
      <w:r w:rsidRPr="0062163D">
        <w:rPr>
          <w:sz w:val="20"/>
          <w:szCs w:val="20"/>
          <w:vertAlign w:val="superscript"/>
        </w:rPr>
        <w:t>4</w:t>
      </w:r>
      <w:r w:rsidR="00EE0BB2" w:rsidRPr="0062163D">
        <w:rPr>
          <w:sz w:val="20"/>
          <w:szCs w:val="20"/>
          <w:vertAlign w:val="superscript"/>
        </w:rPr>
        <w:t xml:space="preserve"> </w:t>
      </w:r>
      <w:r w:rsidR="001144C7" w:rsidRPr="0062163D">
        <w:rPr>
          <w:sz w:val="20"/>
          <w:szCs w:val="20"/>
        </w:rPr>
        <w:t xml:space="preserve">Cardiology </w:t>
      </w:r>
      <w:r w:rsidR="00033CB1" w:rsidRPr="0062163D">
        <w:rPr>
          <w:sz w:val="20"/>
          <w:szCs w:val="20"/>
        </w:rPr>
        <w:t>Department,</w:t>
      </w:r>
      <w:r w:rsidR="00033CB1" w:rsidRPr="0062163D">
        <w:rPr>
          <w:sz w:val="20"/>
          <w:szCs w:val="20"/>
          <w:vertAlign w:val="superscript"/>
        </w:rPr>
        <w:t xml:space="preserve"> </w:t>
      </w:r>
      <w:r w:rsidR="00EE0BB2" w:rsidRPr="0062163D">
        <w:rPr>
          <w:sz w:val="20"/>
          <w:szCs w:val="20"/>
        </w:rPr>
        <w:t xml:space="preserve">San Giovanni Hospital &amp; </w:t>
      </w:r>
      <w:r w:rsidR="000915A5" w:rsidRPr="0062163D">
        <w:rPr>
          <w:sz w:val="20"/>
          <w:szCs w:val="20"/>
        </w:rPr>
        <w:t>Saint Camillus International University of Health Sciences</w:t>
      </w:r>
      <w:r w:rsidR="00EE0BB2" w:rsidRPr="0062163D">
        <w:rPr>
          <w:sz w:val="20"/>
          <w:szCs w:val="20"/>
        </w:rPr>
        <w:t>, Rome, Italy</w:t>
      </w:r>
    </w:p>
    <w:p w14:paraId="1C264BB4" w14:textId="0432FA42" w:rsidR="00E65884" w:rsidRPr="0062163D" w:rsidRDefault="00E65884" w:rsidP="00714C2A">
      <w:pPr>
        <w:spacing w:line="480" w:lineRule="auto"/>
        <w:rPr>
          <w:sz w:val="20"/>
          <w:szCs w:val="20"/>
        </w:rPr>
      </w:pPr>
    </w:p>
    <w:p w14:paraId="3031329B" w14:textId="7CF853A7" w:rsidR="00AB7AAD" w:rsidRPr="0062163D" w:rsidRDefault="00D87BF9" w:rsidP="00714C2A">
      <w:pPr>
        <w:spacing w:line="480" w:lineRule="auto"/>
        <w:jc w:val="both"/>
        <w:rPr>
          <w:b/>
          <w:lang w:val="en-US"/>
        </w:rPr>
      </w:pPr>
      <w:r w:rsidRPr="0062163D">
        <w:rPr>
          <w:b/>
          <w:lang w:val="en-US"/>
        </w:rPr>
        <w:t>Corresponding author:</w:t>
      </w:r>
      <w:r w:rsidR="00E65884" w:rsidRPr="0062163D">
        <w:rPr>
          <w:b/>
          <w:lang w:val="en-US"/>
        </w:rPr>
        <w:t xml:space="preserve"> </w:t>
      </w:r>
      <w:r w:rsidRPr="0062163D">
        <w:rPr>
          <w:lang w:val="en-US"/>
        </w:rPr>
        <w:t>Dr Grigoris Karamasis, Consultant Interventional Cardiologist</w:t>
      </w:r>
      <w:r w:rsidR="000915A5" w:rsidRPr="0062163D">
        <w:rPr>
          <w:lang w:val="en-US"/>
        </w:rPr>
        <w:t>,</w:t>
      </w:r>
    </w:p>
    <w:p w14:paraId="4396C762" w14:textId="021F11BE" w:rsidR="004677B7" w:rsidRPr="0062163D" w:rsidRDefault="00D87BF9" w:rsidP="00714C2A">
      <w:pPr>
        <w:spacing w:line="480" w:lineRule="auto"/>
        <w:jc w:val="both"/>
        <w:rPr>
          <w:lang w:val="en-US"/>
        </w:rPr>
      </w:pPr>
      <w:r w:rsidRPr="0062163D">
        <w:rPr>
          <w:lang w:val="en-US"/>
        </w:rPr>
        <w:t>Essex Cardiothoracic Centre</w:t>
      </w:r>
      <w:r w:rsidR="00E65884" w:rsidRPr="0062163D">
        <w:rPr>
          <w:lang w:val="en-US"/>
        </w:rPr>
        <w:t xml:space="preserve">, </w:t>
      </w:r>
      <w:proofErr w:type="spellStart"/>
      <w:r w:rsidR="00AB7AAD" w:rsidRPr="0062163D">
        <w:rPr>
          <w:lang w:val="en-US"/>
        </w:rPr>
        <w:t>Basildon</w:t>
      </w:r>
      <w:proofErr w:type="spellEnd"/>
      <w:r w:rsidRPr="0062163D">
        <w:rPr>
          <w:lang w:val="en-US"/>
        </w:rPr>
        <w:t xml:space="preserve">, SS165NL, </w:t>
      </w:r>
      <w:r w:rsidR="00510521" w:rsidRPr="0062163D">
        <w:rPr>
          <w:lang w:val="en-US"/>
        </w:rPr>
        <w:t>United Kingdom</w:t>
      </w:r>
    </w:p>
    <w:p w14:paraId="24BA4474" w14:textId="4F9B0D28" w:rsidR="00E65884" w:rsidRPr="0062163D" w:rsidRDefault="00D87BF9" w:rsidP="00714C2A">
      <w:pPr>
        <w:spacing w:line="480" w:lineRule="auto"/>
        <w:jc w:val="both"/>
        <w:rPr>
          <w:lang w:val="en-US"/>
        </w:rPr>
      </w:pPr>
      <w:r w:rsidRPr="0062163D">
        <w:rPr>
          <w:lang w:val="en-US"/>
        </w:rPr>
        <w:t xml:space="preserve">Email: </w:t>
      </w:r>
      <w:hyperlink r:id="rId7" w:history="1">
        <w:r w:rsidR="00E65884" w:rsidRPr="0062163D">
          <w:rPr>
            <w:rStyle w:val="Hyperlink"/>
            <w:color w:val="auto"/>
            <w:lang w:val="en-US"/>
          </w:rPr>
          <w:t>grigoris.karamasis@gmail.com</w:t>
        </w:r>
      </w:hyperlink>
      <w:r w:rsidR="00E65884" w:rsidRPr="0062163D">
        <w:rPr>
          <w:lang w:val="en-US"/>
        </w:rPr>
        <w:tab/>
        <w:t xml:space="preserve"> </w:t>
      </w:r>
    </w:p>
    <w:p w14:paraId="3A6F3874" w14:textId="77777777" w:rsidR="000915A5" w:rsidRPr="0062163D" w:rsidRDefault="000915A5" w:rsidP="00714C2A">
      <w:pPr>
        <w:spacing w:line="480" w:lineRule="auto"/>
        <w:jc w:val="both"/>
        <w:rPr>
          <w:lang w:val="en-US"/>
        </w:rPr>
      </w:pPr>
    </w:p>
    <w:p w14:paraId="66B252DF" w14:textId="6CA34472" w:rsidR="00E65884" w:rsidRPr="0062163D" w:rsidRDefault="000915A5" w:rsidP="00714C2A">
      <w:pPr>
        <w:spacing w:line="480" w:lineRule="auto"/>
        <w:jc w:val="both"/>
        <w:rPr>
          <w:b/>
          <w:bCs/>
          <w:lang w:val="en-US"/>
        </w:rPr>
      </w:pPr>
      <w:r w:rsidRPr="0062163D">
        <w:rPr>
          <w:b/>
          <w:bCs/>
          <w:lang w:val="en-US"/>
        </w:rPr>
        <w:t xml:space="preserve">Keywords: </w:t>
      </w:r>
      <w:r w:rsidRPr="0062163D">
        <w:rPr>
          <w:lang w:val="en-US"/>
        </w:rPr>
        <w:t xml:space="preserve">acute myocardial infarction, drug-eluting stents, </w:t>
      </w:r>
      <w:r w:rsidR="00A47726" w:rsidRPr="0062163D">
        <w:rPr>
          <w:lang w:val="en-US"/>
        </w:rPr>
        <w:t>optimization</w:t>
      </w:r>
    </w:p>
    <w:p w14:paraId="2E2999AB" w14:textId="5DBC194E" w:rsidR="001144C7" w:rsidRPr="0062163D" w:rsidRDefault="000915A5" w:rsidP="00E65884">
      <w:pPr>
        <w:spacing w:line="480" w:lineRule="auto"/>
        <w:jc w:val="both"/>
        <w:rPr>
          <w:b/>
        </w:rPr>
      </w:pPr>
      <w:r w:rsidRPr="0062163D">
        <w:rPr>
          <w:b/>
        </w:rPr>
        <w:t xml:space="preserve">Short running title: </w:t>
      </w:r>
      <w:r w:rsidRPr="0062163D">
        <w:rPr>
          <w:bCs/>
        </w:rPr>
        <w:t>Impact of post-dilatation during STEMI</w:t>
      </w:r>
    </w:p>
    <w:p w14:paraId="57670407" w14:textId="7CB1CF4D" w:rsidR="00764990" w:rsidRPr="0062163D" w:rsidRDefault="003B1C85" w:rsidP="00764990">
      <w:pPr>
        <w:spacing w:line="480" w:lineRule="auto"/>
        <w:jc w:val="both"/>
        <w:rPr>
          <w:bCs/>
        </w:rPr>
      </w:pPr>
      <w:r w:rsidRPr="0062163D">
        <w:rPr>
          <w:b/>
        </w:rPr>
        <w:t>Word count</w:t>
      </w:r>
      <w:r w:rsidRPr="0062163D">
        <w:rPr>
          <w:bCs/>
        </w:rPr>
        <w:t xml:space="preserve">: </w:t>
      </w:r>
      <w:r w:rsidR="0062163D">
        <w:rPr>
          <w:bCs/>
        </w:rPr>
        <w:t>4415</w:t>
      </w:r>
    </w:p>
    <w:p w14:paraId="393629A3" w14:textId="6DE81D37" w:rsidR="000915A5" w:rsidRPr="0062163D" w:rsidRDefault="000915A5" w:rsidP="00764990">
      <w:pPr>
        <w:spacing w:line="480" w:lineRule="auto"/>
        <w:jc w:val="both"/>
        <w:rPr>
          <w:bCs/>
        </w:rPr>
      </w:pPr>
    </w:p>
    <w:p w14:paraId="0DE860C7" w14:textId="77777777" w:rsidR="00A47726" w:rsidRPr="0062163D" w:rsidRDefault="00A47726" w:rsidP="002E38B9">
      <w:pPr>
        <w:spacing w:line="480" w:lineRule="auto"/>
        <w:jc w:val="both"/>
        <w:rPr>
          <w:bCs/>
        </w:rPr>
      </w:pPr>
    </w:p>
    <w:p w14:paraId="7EF6EFB4" w14:textId="77777777" w:rsidR="00DA1CF8" w:rsidRPr="0062163D" w:rsidRDefault="00F25718" w:rsidP="002E38B9">
      <w:pPr>
        <w:spacing w:line="480" w:lineRule="auto"/>
        <w:jc w:val="both"/>
      </w:pPr>
      <w:r w:rsidRPr="0062163D">
        <w:rPr>
          <w:b/>
          <w:bCs/>
        </w:rPr>
        <w:lastRenderedPageBreak/>
        <w:t>Objectives</w:t>
      </w:r>
      <w:r w:rsidR="00510521" w:rsidRPr="0062163D">
        <w:t>:</w:t>
      </w:r>
      <w:r w:rsidR="006E62A8" w:rsidRPr="0062163D">
        <w:t xml:space="preserve"> </w:t>
      </w:r>
      <w:r w:rsidR="00510521" w:rsidRPr="0062163D">
        <w:t xml:space="preserve">This study aimed to assess the impact of stent optimisation by NC-balloon post-dilatation (PD) </w:t>
      </w:r>
      <w:r w:rsidR="00A7370D" w:rsidRPr="0062163D">
        <w:t xml:space="preserve">during primary-PCI for STEMI </w:t>
      </w:r>
      <w:r w:rsidR="00510521" w:rsidRPr="0062163D">
        <w:t>with the use of coronary physiology and intracoronary imaging</w:t>
      </w:r>
      <w:r w:rsidR="00A7370D" w:rsidRPr="0062163D">
        <w:t>.</w:t>
      </w:r>
      <w:r w:rsidR="00510521" w:rsidRPr="0062163D">
        <w:t xml:space="preserve"> </w:t>
      </w:r>
    </w:p>
    <w:p w14:paraId="34A38F9C" w14:textId="77777777" w:rsidR="00DA1CF8" w:rsidRPr="0062163D" w:rsidRDefault="00A7370D" w:rsidP="002E38B9">
      <w:pPr>
        <w:spacing w:line="480" w:lineRule="auto"/>
        <w:jc w:val="both"/>
      </w:pPr>
      <w:r w:rsidRPr="0062163D">
        <w:rPr>
          <w:b/>
          <w:bCs/>
        </w:rPr>
        <w:t>Method</w:t>
      </w:r>
      <w:r w:rsidR="00F25718" w:rsidRPr="0062163D">
        <w:rPr>
          <w:b/>
          <w:bCs/>
        </w:rPr>
        <w:t>s</w:t>
      </w:r>
      <w:r w:rsidR="00510521" w:rsidRPr="0062163D">
        <w:t xml:space="preserve">: </w:t>
      </w:r>
      <w:r w:rsidR="004302E9" w:rsidRPr="0062163D">
        <w:t xml:space="preserve">This was a prospective </w:t>
      </w:r>
      <w:r w:rsidR="008621E0" w:rsidRPr="0062163D">
        <w:t>observational</w:t>
      </w:r>
      <w:r w:rsidR="004302E9" w:rsidRPr="0062163D">
        <w:t xml:space="preserve"> study</w:t>
      </w:r>
      <w:r w:rsidRPr="0062163D">
        <w:t xml:space="preserve"> (</w:t>
      </w:r>
      <w:proofErr w:type="gramStart"/>
      <w:r w:rsidRPr="0062163D">
        <w:t>ClinicalTrials.gov:NCT</w:t>
      </w:r>
      <w:proofErr w:type="gramEnd"/>
      <w:r w:rsidRPr="0062163D">
        <w:t>02788396)</w:t>
      </w:r>
      <w:r w:rsidR="0087584D" w:rsidRPr="0062163D">
        <w:t xml:space="preserve">. </w:t>
      </w:r>
      <w:r w:rsidR="004302E9" w:rsidRPr="0062163D">
        <w:t>Optical coherence tomography</w:t>
      </w:r>
      <w:r w:rsidR="00D35650" w:rsidRPr="0062163D">
        <w:t xml:space="preserve"> (OCT)</w:t>
      </w:r>
      <w:r w:rsidR="004302E9" w:rsidRPr="0062163D">
        <w:t xml:space="preserve"> and physiological measurements were performed immediately </w:t>
      </w:r>
      <w:r w:rsidR="00DA0018" w:rsidRPr="0062163D">
        <w:t>before</w:t>
      </w:r>
      <w:r w:rsidR="004302E9" w:rsidRPr="0062163D">
        <w:t xml:space="preserve"> and after </w:t>
      </w:r>
      <w:r w:rsidR="009A69FA" w:rsidRPr="0062163D">
        <w:t>PD</w:t>
      </w:r>
      <w:r w:rsidR="004302E9" w:rsidRPr="0062163D">
        <w:t xml:space="preserve"> with the operators blinded to all measurements. </w:t>
      </w:r>
      <w:r w:rsidR="0011318A" w:rsidRPr="0062163D">
        <w:t>The index of microcirculatory resistance (IMR), coronary flow reserve (CFR) and f</w:t>
      </w:r>
      <w:r w:rsidR="004302E9" w:rsidRPr="0062163D">
        <w:t>ractional flow reserve (FFR</w:t>
      </w:r>
      <w:r w:rsidR="0011318A" w:rsidRPr="0062163D">
        <w:t xml:space="preserve">) </w:t>
      </w:r>
      <w:r w:rsidR="004302E9" w:rsidRPr="0062163D">
        <w:t xml:space="preserve">were measured. OCT analysis was performed for </w:t>
      </w:r>
      <w:r w:rsidR="008621E0" w:rsidRPr="0062163D">
        <w:t>assessment</w:t>
      </w:r>
      <w:r w:rsidR="004302E9" w:rsidRPr="0062163D">
        <w:t xml:space="preserve"> of stent expansion</w:t>
      </w:r>
      <w:r w:rsidR="009A69FA" w:rsidRPr="0062163D">
        <w:t xml:space="preserve">, </w:t>
      </w:r>
      <w:proofErr w:type="spellStart"/>
      <w:r w:rsidR="009A69FA" w:rsidRPr="0062163D">
        <w:t>mal</w:t>
      </w:r>
      <w:r w:rsidR="004302E9" w:rsidRPr="0062163D">
        <w:t>apposition</w:t>
      </w:r>
      <w:proofErr w:type="spellEnd"/>
      <w:r w:rsidR="009A69FA" w:rsidRPr="0062163D">
        <w:t xml:space="preserve">, in-stent </w:t>
      </w:r>
      <w:r w:rsidR="006E62A8" w:rsidRPr="0062163D">
        <w:t xml:space="preserve">plaque-thrombus prolapse (PTP) </w:t>
      </w:r>
      <w:r w:rsidR="009A69FA" w:rsidRPr="0062163D">
        <w:t>and stent</w:t>
      </w:r>
      <w:r w:rsidR="001A2262" w:rsidRPr="0062163D">
        <w:t>-</w:t>
      </w:r>
      <w:r w:rsidR="009A69FA" w:rsidRPr="0062163D">
        <w:t>edge dissections</w:t>
      </w:r>
      <w:r w:rsidR="006E62A8" w:rsidRPr="0062163D">
        <w:t xml:space="preserve"> (SED)</w:t>
      </w:r>
      <w:r w:rsidR="009A69FA" w:rsidRPr="0062163D">
        <w:t xml:space="preserve">. </w:t>
      </w:r>
      <w:r w:rsidR="00D85DB9" w:rsidRPr="0062163D">
        <w:t xml:space="preserve">The change in IMR </w:t>
      </w:r>
      <w:r w:rsidR="00D701EE" w:rsidRPr="0062163D">
        <w:t xml:space="preserve">before and after PD as a measure of microvascular injury </w:t>
      </w:r>
      <w:r w:rsidR="00D85DB9" w:rsidRPr="0062163D">
        <w:t xml:space="preserve">was the primary objective of the study. </w:t>
      </w:r>
    </w:p>
    <w:p w14:paraId="2C7F4280" w14:textId="3DE2CDC0" w:rsidR="002E38B9" w:rsidRPr="0062163D" w:rsidRDefault="00F25718" w:rsidP="002E38B9">
      <w:pPr>
        <w:spacing w:line="480" w:lineRule="auto"/>
        <w:jc w:val="both"/>
        <w:rPr>
          <w:b/>
        </w:rPr>
      </w:pPr>
      <w:r w:rsidRPr="0062163D">
        <w:rPr>
          <w:b/>
          <w:bCs/>
        </w:rPr>
        <w:t>Results</w:t>
      </w:r>
      <w:r w:rsidRPr="0062163D">
        <w:t xml:space="preserve">: </w:t>
      </w:r>
      <w:r w:rsidR="004302E9" w:rsidRPr="0062163D">
        <w:t>Thirty-two STEMI patients undergoing primary</w:t>
      </w:r>
      <w:r w:rsidR="0014234C" w:rsidRPr="0062163D">
        <w:t>-</w:t>
      </w:r>
      <w:r w:rsidR="004302E9" w:rsidRPr="0062163D">
        <w:t xml:space="preserve">PCI </w:t>
      </w:r>
      <w:r w:rsidR="0097429D" w:rsidRPr="0062163D">
        <w:t>had physiological measurements before and after PD</w:t>
      </w:r>
      <w:r w:rsidR="004302E9" w:rsidRPr="0062163D">
        <w:t xml:space="preserve">. </w:t>
      </w:r>
      <w:r w:rsidR="0097429D" w:rsidRPr="0062163D">
        <w:t>A</w:t>
      </w:r>
      <w:r w:rsidR="004302E9" w:rsidRPr="0062163D">
        <w:t xml:space="preserve">ll patients </w:t>
      </w:r>
      <w:r w:rsidR="0014234C" w:rsidRPr="0062163D">
        <w:t>received</w:t>
      </w:r>
      <w:r w:rsidR="004302E9" w:rsidRPr="0062163D">
        <w:t xml:space="preserve"> 2nd generation DES (diameter 3.1±0.5mm, length 29.9±10.7mm) and post-dilatation with NC</w:t>
      </w:r>
      <w:r w:rsidR="00435707" w:rsidRPr="0062163D">
        <w:t>-</w:t>
      </w:r>
      <w:r w:rsidR="004302E9" w:rsidRPr="0062163D">
        <w:t xml:space="preserve">balloons (diameter 3.6±0.6 mm, inflation pressure 19.3±2.0atm). </w:t>
      </w:r>
      <w:r w:rsidR="00224DD2" w:rsidRPr="0062163D">
        <w:t xml:space="preserve">IMR (44.9±25.6 vs. 48.8±34.2, p=0.26) and CFR (1.60±0.89 vs. 1.58±0.71, p=0.87) did not change, while FFR increased after </w:t>
      </w:r>
      <w:r w:rsidR="00435707" w:rsidRPr="0062163D">
        <w:t>PD</w:t>
      </w:r>
      <w:r w:rsidR="00224DD2" w:rsidRPr="0062163D">
        <w:t xml:space="preserve"> (0.91±0.08 vs. 0.93±0.06, p=0.037). </w:t>
      </w:r>
      <w:r w:rsidR="00DA1CF8" w:rsidRPr="0062163D">
        <w:t>At an individual patient level, IMR increased in half of the cases</w:t>
      </w:r>
      <w:r w:rsidR="00CE4A71" w:rsidRPr="0062163D">
        <w:t>.</w:t>
      </w:r>
      <w:r w:rsidR="00DA1CF8" w:rsidRPr="0062163D">
        <w:t xml:space="preserve"> </w:t>
      </w:r>
      <w:r w:rsidR="00224DD2" w:rsidRPr="0062163D">
        <w:t>PD improved significantly absolute and relative stent expansion</w:t>
      </w:r>
      <w:r w:rsidR="00A47726" w:rsidRPr="0062163D">
        <w:t xml:space="preserve">, </w:t>
      </w:r>
      <w:r w:rsidR="006E62A8" w:rsidRPr="0062163D">
        <w:t xml:space="preserve">reduced </w:t>
      </w:r>
      <w:proofErr w:type="spellStart"/>
      <w:r w:rsidR="006E62A8" w:rsidRPr="0062163D">
        <w:t>malapposition</w:t>
      </w:r>
      <w:proofErr w:type="spellEnd"/>
      <w:r w:rsidR="00A47726" w:rsidRPr="0062163D">
        <w:t xml:space="preserve"> and increased</w:t>
      </w:r>
      <w:r w:rsidR="006E62A8" w:rsidRPr="0062163D">
        <w:t xml:space="preserve"> PTP. There was no difference in clinically relevant SED.</w:t>
      </w:r>
      <w:r w:rsidR="00714C2A" w:rsidRPr="0062163D">
        <w:t xml:space="preserve"> </w:t>
      </w:r>
    </w:p>
    <w:p w14:paraId="5531E662" w14:textId="77777777" w:rsidR="00CE4A71" w:rsidRPr="0062163D" w:rsidRDefault="00A7370D" w:rsidP="00CE4A71">
      <w:pPr>
        <w:spacing w:line="480" w:lineRule="auto"/>
        <w:jc w:val="both"/>
      </w:pPr>
      <w:r w:rsidRPr="0062163D">
        <w:rPr>
          <w:b/>
          <w:bCs/>
        </w:rPr>
        <w:t>Conclusion:</w:t>
      </w:r>
      <w:r w:rsidR="006E62A8" w:rsidRPr="0062163D">
        <w:t xml:space="preserve"> </w:t>
      </w:r>
      <w:r w:rsidR="00521875" w:rsidRPr="0062163D">
        <w:t>In this exploratory, hypothesis-generating study, p</w:t>
      </w:r>
      <w:r w:rsidR="004302E9" w:rsidRPr="0062163D">
        <w:t>ost-dilatation </w:t>
      </w:r>
      <w:r w:rsidR="00AB3E7E" w:rsidRPr="0062163D">
        <w:t xml:space="preserve">during </w:t>
      </w:r>
      <w:r w:rsidR="004302E9" w:rsidRPr="0062163D">
        <w:t>primary</w:t>
      </w:r>
      <w:r w:rsidRPr="0062163D">
        <w:t>-</w:t>
      </w:r>
      <w:r w:rsidR="004302E9" w:rsidRPr="0062163D">
        <w:t>PCI</w:t>
      </w:r>
      <w:r w:rsidR="00AB3E7E" w:rsidRPr="0062163D">
        <w:t xml:space="preserve"> for STEMI</w:t>
      </w:r>
      <w:r w:rsidR="004302E9" w:rsidRPr="0062163D">
        <w:t xml:space="preserve"> improved stent expansion, apposition and post</w:t>
      </w:r>
      <w:r w:rsidR="00AB3E7E" w:rsidRPr="0062163D">
        <w:t>-</w:t>
      </w:r>
      <w:r w:rsidR="004302E9" w:rsidRPr="0062163D">
        <w:t>PCI</w:t>
      </w:r>
      <w:r w:rsidR="00AB3E7E" w:rsidRPr="0062163D">
        <w:t xml:space="preserve"> </w:t>
      </w:r>
      <w:r w:rsidR="004302E9" w:rsidRPr="0062163D">
        <w:t>FFR, without a significant effect on coronary microcirculation</w:t>
      </w:r>
      <w:r w:rsidR="001B4EEF" w:rsidRPr="0062163D">
        <w:t xml:space="preserve"> overall</w:t>
      </w:r>
      <w:r w:rsidR="004302E9" w:rsidRPr="0062163D">
        <w:t>.</w:t>
      </w:r>
      <w:r w:rsidR="00521875" w:rsidRPr="0062163D">
        <w:t xml:space="preserve"> </w:t>
      </w:r>
      <w:r w:rsidR="00185169" w:rsidRPr="0062163D">
        <w:t xml:space="preserve">Nevertheless, </w:t>
      </w:r>
      <w:r w:rsidR="008032AD" w:rsidRPr="0062163D">
        <w:t xml:space="preserve">IMR increased in </w:t>
      </w:r>
      <w:r w:rsidR="00185169" w:rsidRPr="0062163D">
        <w:t xml:space="preserve">a group of patients and larger studies are warranted to explore predictors of microcirculatory response to post-dilatation. </w:t>
      </w:r>
    </w:p>
    <w:p w14:paraId="127CD1D6" w14:textId="7363C2B7" w:rsidR="00DA0018" w:rsidRPr="0062163D" w:rsidRDefault="00F25718" w:rsidP="00CE4A71">
      <w:pPr>
        <w:spacing w:line="480" w:lineRule="auto"/>
        <w:jc w:val="both"/>
      </w:pPr>
      <w:r w:rsidRPr="0062163D">
        <w:rPr>
          <w:b/>
        </w:rPr>
        <w:lastRenderedPageBreak/>
        <w:t>1. INTRODUCTION</w:t>
      </w:r>
    </w:p>
    <w:p w14:paraId="462E71B2" w14:textId="24A938A2" w:rsidR="006A0340" w:rsidRPr="0062163D" w:rsidRDefault="00DA0018" w:rsidP="00714C2A">
      <w:pPr>
        <w:spacing w:line="480" w:lineRule="auto"/>
        <w:jc w:val="both"/>
        <w:rPr>
          <w:b/>
        </w:rPr>
      </w:pPr>
      <w:r w:rsidRPr="0062163D">
        <w:rPr>
          <w:bCs/>
        </w:rPr>
        <w:t>V</w:t>
      </w:r>
      <w:r w:rsidR="00647F5E" w:rsidRPr="0062163D">
        <w:rPr>
          <w:bCs/>
        </w:rPr>
        <w:t>essel</w:t>
      </w:r>
      <w:r w:rsidR="00647F5E" w:rsidRPr="0062163D">
        <w:t xml:space="preserve"> recanalization by primary percutaneous coronary intervention</w:t>
      </w:r>
      <w:r w:rsidR="00785A95" w:rsidRPr="0062163D">
        <w:t xml:space="preserve"> (PPCI)</w:t>
      </w:r>
      <w:r w:rsidR="00647F5E" w:rsidRPr="0062163D">
        <w:t xml:space="preserve"> with drug eluting stents (DES) is the gold standard treatment for ST-segment elevation myocardial infarction</w:t>
      </w:r>
      <w:r w:rsidR="006A0340" w:rsidRPr="0062163D">
        <w:t xml:space="preserve"> (STEMI</w:t>
      </w:r>
      <w:r w:rsidR="00E06AF9" w:rsidRPr="0062163D">
        <w:t>)</w:t>
      </w:r>
      <w:r w:rsidR="007A5C5B" w:rsidRPr="0062163D">
        <w:t xml:space="preserve">. </w:t>
      </w:r>
      <w:r w:rsidR="00617236" w:rsidRPr="0062163D">
        <w:t>Although stents are deployed over the commonly soft underlying lipid plaque and thrombus, o</w:t>
      </w:r>
      <w:r w:rsidR="00647F5E" w:rsidRPr="0062163D">
        <w:t xml:space="preserve">ptimal stent deployment in this setting is challenging due to factors like </w:t>
      </w:r>
      <w:r w:rsidR="006A0340" w:rsidRPr="0062163D">
        <w:t xml:space="preserve">the </w:t>
      </w:r>
      <w:r w:rsidR="00647F5E" w:rsidRPr="0062163D">
        <w:t>presence</w:t>
      </w:r>
      <w:r w:rsidR="007833ED" w:rsidRPr="0062163D">
        <w:t xml:space="preserve"> and subsequent resolution</w:t>
      </w:r>
      <w:r w:rsidR="00647F5E" w:rsidRPr="0062163D">
        <w:t xml:space="preserve"> of thrombus and vessel vasoconstriction</w:t>
      </w:r>
      <w:r w:rsidR="00CA7D6A" w:rsidRPr="0062163D">
        <w:rPr>
          <w:vertAlign w:val="superscript"/>
        </w:rPr>
        <w:t>1,2</w:t>
      </w:r>
      <w:r w:rsidR="00647F5E" w:rsidRPr="0062163D">
        <w:t xml:space="preserve">. Stent optimisation with post-dilatation using </w:t>
      </w:r>
      <w:r w:rsidR="006A0340" w:rsidRPr="0062163D">
        <w:t>non-compliant (NC)</w:t>
      </w:r>
      <w:r w:rsidR="00647F5E" w:rsidRPr="0062163D">
        <w:t xml:space="preserve"> balloons could improve deployment features </w:t>
      </w:r>
      <w:r w:rsidR="006A0340" w:rsidRPr="0062163D">
        <w:t>as</w:t>
      </w:r>
      <w:r w:rsidR="00647F5E" w:rsidRPr="0062163D">
        <w:t xml:space="preserve"> stent expansion and stent struts apposition</w:t>
      </w:r>
      <w:r w:rsidR="00CA7D6A" w:rsidRPr="0062163D">
        <w:rPr>
          <w:vertAlign w:val="superscript"/>
        </w:rPr>
        <w:t>3</w:t>
      </w:r>
      <w:r w:rsidR="00CA7D6A" w:rsidRPr="0062163D">
        <w:t>.</w:t>
      </w:r>
      <w:r w:rsidR="00647F5E" w:rsidRPr="0062163D">
        <w:t xml:space="preserve"> </w:t>
      </w:r>
      <w:r w:rsidR="00617236" w:rsidRPr="0062163D">
        <w:t>Nevertheless</w:t>
      </w:r>
      <w:r w:rsidR="00647F5E" w:rsidRPr="0062163D">
        <w:t>, further device manipulation within the culprit vessel carries the risk of atherothrombotic material</w:t>
      </w:r>
      <w:r w:rsidR="00617236" w:rsidRPr="0062163D">
        <w:t xml:space="preserve"> fragmentation and</w:t>
      </w:r>
      <w:r w:rsidR="006A0340" w:rsidRPr="0062163D">
        <w:t xml:space="preserve"> embolization</w:t>
      </w:r>
      <w:r w:rsidR="00647F5E" w:rsidRPr="0062163D">
        <w:t xml:space="preserve"> to the distal vessel</w:t>
      </w:r>
      <w:r w:rsidR="00CE0F59" w:rsidRPr="0062163D">
        <w:rPr>
          <w:vertAlign w:val="superscript"/>
        </w:rPr>
        <w:t>4</w:t>
      </w:r>
      <w:r w:rsidR="00647F5E" w:rsidRPr="0062163D">
        <w:t>. Distal vessel embolization is a recognised cause of microvascular obstruction</w:t>
      </w:r>
      <w:r w:rsidR="00785A95" w:rsidRPr="0062163D">
        <w:t xml:space="preserve"> </w:t>
      </w:r>
      <w:r w:rsidR="009C294F" w:rsidRPr="0062163D">
        <w:t>and t</w:t>
      </w:r>
      <w:r w:rsidR="006A0340" w:rsidRPr="0062163D">
        <w:t>herefore, post</w:t>
      </w:r>
      <w:r w:rsidR="00647F5E" w:rsidRPr="0062163D">
        <w:t xml:space="preserve">-dilatation in the context of STEMI has been related with microvascular injury and </w:t>
      </w:r>
      <w:r w:rsidR="00785A95" w:rsidRPr="0062163D">
        <w:t xml:space="preserve">the </w:t>
      </w:r>
      <w:r w:rsidR="00647F5E" w:rsidRPr="0062163D">
        <w:t>no-reflow phenomenon</w:t>
      </w:r>
      <w:r w:rsidR="00CE0F59" w:rsidRPr="0062163D">
        <w:rPr>
          <w:vertAlign w:val="superscript"/>
        </w:rPr>
        <w:t>5,6</w:t>
      </w:r>
      <w:r w:rsidR="00647F5E" w:rsidRPr="0062163D">
        <w:t xml:space="preserve">. </w:t>
      </w:r>
    </w:p>
    <w:p w14:paraId="3C491C7F" w14:textId="5E91304D" w:rsidR="00785A95" w:rsidRPr="0062163D" w:rsidRDefault="00647F5E" w:rsidP="00714C2A">
      <w:pPr>
        <w:spacing w:line="480" w:lineRule="auto"/>
        <w:jc w:val="both"/>
      </w:pPr>
      <w:r w:rsidRPr="0062163D">
        <w:t xml:space="preserve">The aim of this study was to investigate the effects of stent optimisation by NC balloon stent post-dilatation during </w:t>
      </w:r>
      <w:r w:rsidR="00785A95" w:rsidRPr="0062163D">
        <w:t>PPCI</w:t>
      </w:r>
      <w:r w:rsidRPr="0062163D">
        <w:t xml:space="preserve"> in </w:t>
      </w:r>
      <w:r w:rsidR="00785A95" w:rsidRPr="0062163D">
        <w:t xml:space="preserve">STEMI </w:t>
      </w:r>
      <w:r w:rsidRPr="0062163D">
        <w:t>patients</w:t>
      </w:r>
      <w:r w:rsidR="00785A95" w:rsidRPr="0062163D">
        <w:t xml:space="preserve"> with the use of </w:t>
      </w:r>
      <w:r w:rsidR="009A69FA" w:rsidRPr="0062163D">
        <w:t xml:space="preserve">invasive coronary physiology measurements and </w:t>
      </w:r>
      <w:r w:rsidR="00785A95" w:rsidRPr="0062163D">
        <w:t xml:space="preserve">intracoronary imaging. Changes in microvascular function and other physiological indices along with features of stent deployment were assessed before and after post-dilatation. </w:t>
      </w:r>
    </w:p>
    <w:p w14:paraId="1CD22D80" w14:textId="77777777" w:rsidR="00647F5E" w:rsidRPr="0062163D" w:rsidRDefault="00647F5E" w:rsidP="00714C2A">
      <w:pPr>
        <w:spacing w:line="480" w:lineRule="auto"/>
        <w:jc w:val="both"/>
        <w:rPr>
          <w:b/>
        </w:rPr>
      </w:pPr>
    </w:p>
    <w:p w14:paraId="218E5661" w14:textId="54E6E8EC" w:rsidR="00430A5A" w:rsidRPr="0062163D" w:rsidRDefault="00F25718" w:rsidP="00714C2A">
      <w:pPr>
        <w:spacing w:line="480" w:lineRule="auto"/>
        <w:jc w:val="both"/>
        <w:rPr>
          <w:b/>
        </w:rPr>
      </w:pPr>
      <w:r w:rsidRPr="0062163D">
        <w:rPr>
          <w:b/>
        </w:rPr>
        <w:t>2. MATERIALS AND METHODS</w:t>
      </w:r>
    </w:p>
    <w:p w14:paraId="7A335970" w14:textId="77777777" w:rsidR="008D1A47" w:rsidRPr="0062163D" w:rsidRDefault="008D1A47" w:rsidP="00714C2A">
      <w:pPr>
        <w:spacing w:line="480" w:lineRule="auto"/>
        <w:jc w:val="both"/>
        <w:rPr>
          <w:b/>
          <w:bCs/>
        </w:rPr>
      </w:pPr>
      <w:r w:rsidRPr="0062163D">
        <w:rPr>
          <w:b/>
          <w:bCs/>
        </w:rPr>
        <w:t xml:space="preserve">2.1 Study design </w:t>
      </w:r>
    </w:p>
    <w:p w14:paraId="714B7039" w14:textId="522896F0" w:rsidR="008621E0" w:rsidRPr="0062163D" w:rsidRDefault="008621E0" w:rsidP="00714C2A">
      <w:pPr>
        <w:spacing w:line="480" w:lineRule="auto"/>
        <w:jc w:val="both"/>
      </w:pPr>
      <w:r w:rsidRPr="0062163D">
        <w:t>This was a single centre observational study [“The impact of post stenting balloon dilatation on coronary microcirculation in STEMI patients undergoing PPCI (POSTDIL – STEMI)</w:t>
      </w:r>
      <w:r w:rsidR="0087584D" w:rsidRPr="0062163D">
        <w:t>”</w:t>
      </w:r>
      <w:r w:rsidRPr="0062163D">
        <w:t>, ClinicalTrials.gov:</w:t>
      </w:r>
      <w:r w:rsidR="0087584D" w:rsidRPr="0062163D">
        <w:t xml:space="preserve"> </w:t>
      </w:r>
      <w:r w:rsidRPr="0062163D">
        <w:t>NCT02788396]</w:t>
      </w:r>
      <w:r w:rsidR="006A0340" w:rsidRPr="0062163D">
        <w:t xml:space="preserve"> that prospectively recruited </w:t>
      </w:r>
      <w:r w:rsidRPr="0062163D">
        <w:t>STEMI</w:t>
      </w:r>
      <w:r w:rsidR="006A0340" w:rsidRPr="0062163D">
        <w:t xml:space="preserve"> patients</w:t>
      </w:r>
      <w:r w:rsidRPr="0062163D">
        <w:t xml:space="preserve"> </w:t>
      </w:r>
      <w:r w:rsidR="006A0340" w:rsidRPr="0062163D">
        <w:t>undergoing</w:t>
      </w:r>
      <w:r w:rsidRPr="0062163D">
        <w:t xml:space="preserve"> </w:t>
      </w:r>
      <w:r w:rsidR="00770956" w:rsidRPr="0062163D">
        <w:lastRenderedPageBreak/>
        <w:t>P</w:t>
      </w:r>
      <w:r w:rsidRPr="0062163D">
        <w:t xml:space="preserve">PCI at a tertiary cardiac centre.  Patients </w:t>
      </w:r>
      <w:r w:rsidR="00DB703E" w:rsidRPr="0062163D">
        <w:t>included were</w:t>
      </w:r>
      <w:r w:rsidRPr="0062163D">
        <w:t xml:space="preserve"> 18 years old or above and present</w:t>
      </w:r>
      <w:r w:rsidR="00DD3B18" w:rsidRPr="0062163D">
        <w:t>ed</w:t>
      </w:r>
      <w:r w:rsidRPr="0062163D">
        <w:t xml:space="preserve"> with ST elevation ≥0.1mV in ≥2 contiguous leads, signs of a true posterior infarction or newly developed left bundle branch block on their ECG within 12 hours of symptoms onset. Patients with previous myocardial infarction</w:t>
      </w:r>
      <w:r w:rsidR="00770956" w:rsidRPr="0062163D">
        <w:t xml:space="preserve"> or </w:t>
      </w:r>
      <w:r w:rsidRPr="0062163D">
        <w:t xml:space="preserve">CABG, haemodynamic instability, known eGFR&lt;30 </w:t>
      </w:r>
      <w:r w:rsidR="00770956" w:rsidRPr="0062163D">
        <w:t>ml/min/1.73m</w:t>
      </w:r>
      <w:r w:rsidR="00770956" w:rsidRPr="0062163D">
        <w:rPr>
          <w:vertAlign w:val="superscript"/>
        </w:rPr>
        <w:t>2</w:t>
      </w:r>
      <w:r w:rsidR="00770956" w:rsidRPr="0062163D">
        <w:t xml:space="preserve"> </w:t>
      </w:r>
      <w:r w:rsidRPr="0062163D">
        <w:t>and contradiction to adenosine were excluded. The study protocol was approved by the local ethics committee (NRES ref:16/EE/0096) and all subjects gave written informed consent prior to participating in the study.</w:t>
      </w:r>
    </w:p>
    <w:p w14:paraId="761D269A" w14:textId="77777777" w:rsidR="008621E0" w:rsidRPr="0062163D" w:rsidRDefault="008621E0" w:rsidP="00714C2A">
      <w:pPr>
        <w:spacing w:line="480" w:lineRule="auto"/>
        <w:jc w:val="both"/>
      </w:pPr>
    </w:p>
    <w:p w14:paraId="3B532FFD" w14:textId="77777777" w:rsidR="008D1A47" w:rsidRPr="0062163D" w:rsidRDefault="008D1A47" w:rsidP="00714C2A">
      <w:pPr>
        <w:spacing w:line="480" w:lineRule="auto"/>
        <w:jc w:val="both"/>
        <w:rPr>
          <w:b/>
          <w:bCs/>
        </w:rPr>
      </w:pPr>
      <w:r w:rsidRPr="0062163D">
        <w:rPr>
          <w:b/>
          <w:bCs/>
        </w:rPr>
        <w:t>2.2. Coronary intervention</w:t>
      </w:r>
      <w:r w:rsidR="00346678" w:rsidRPr="0062163D">
        <w:rPr>
          <w:b/>
          <w:bCs/>
        </w:rPr>
        <w:t xml:space="preserve"> </w:t>
      </w:r>
    </w:p>
    <w:p w14:paraId="575ED15D" w14:textId="1AF4C5C1" w:rsidR="008621E0" w:rsidRPr="0062163D" w:rsidRDefault="008621E0" w:rsidP="00714C2A">
      <w:pPr>
        <w:spacing w:line="480" w:lineRule="auto"/>
        <w:jc w:val="both"/>
      </w:pPr>
      <w:r w:rsidRPr="0062163D">
        <w:t xml:space="preserve">Primary PCI was performed according to international guidelines and local standards. In </w:t>
      </w:r>
      <w:r w:rsidR="00DA0018" w:rsidRPr="0062163D">
        <w:t>brief</w:t>
      </w:r>
      <w:r w:rsidRPr="0062163D">
        <w:t xml:space="preserve">, all patients </w:t>
      </w:r>
      <w:r w:rsidR="006A0340" w:rsidRPr="0062163D">
        <w:t>were</w:t>
      </w:r>
      <w:r w:rsidRPr="0062163D">
        <w:t xml:space="preserve"> preloaded with Aspirin and Clopidogrel (given by ambulance crew at point-of care)</w:t>
      </w:r>
      <w:r w:rsidR="008C6D94" w:rsidRPr="0062163D">
        <w:t xml:space="preserve"> and </w:t>
      </w:r>
      <w:r w:rsidRPr="0062163D">
        <w:t>given a loading dose of Ticagrelor</w:t>
      </w:r>
      <w:r w:rsidR="008C6D94" w:rsidRPr="0062163D">
        <w:t xml:space="preserve"> post-procedure</w:t>
      </w:r>
      <w:r w:rsidRPr="0062163D">
        <w:t xml:space="preserve">. </w:t>
      </w:r>
      <w:r w:rsidR="008C6D94" w:rsidRPr="0062163D">
        <w:t>During the procedure, p</w:t>
      </w:r>
      <w:r w:rsidRPr="0062163D">
        <w:t>atients were anti-coagulated with heparin (70-100U/Kg) with a target ACT of &gt;250s. Use of GIIbIIa inhibitors, balloon pre-dilatation and thrombus aspiration were at the discretion of the operator.</w:t>
      </w:r>
      <w:r w:rsidR="006A0340" w:rsidRPr="0062163D">
        <w:t xml:space="preserve"> </w:t>
      </w:r>
      <w:r w:rsidR="00E06AF9" w:rsidRPr="0062163D">
        <w:t>2</w:t>
      </w:r>
      <w:r w:rsidR="00E06AF9" w:rsidRPr="0062163D">
        <w:rPr>
          <w:vertAlign w:val="superscript"/>
        </w:rPr>
        <w:t>nd</w:t>
      </w:r>
      <w:r w:rsidR="00E06AF9" w:rsidRPr="0062163D">
        <w:t xml:space="preserve"> </w:t>
      </w:r>
      <w:r w:rsidR="006A0340" w:rsidRPr="0062163D">
        <w:t xml:space="preserve">generation everolimus-eluting stents were used in all patients. </w:t>
      </w:r>
    </w:p>
    <w:p w14:paraId="6B92BA85" w14:textId="77777777" w:rsidR="008621E0" w:rsidRPr="0062163D" w:rsidRDefault="008621E0" w:rsidP="00714C2A">
      <w:pPr>
        <w:spacing w:line="480" w:lineRule="auto"/>
        <w:jc w:val="both"/>
      </w:pPr>
    </w:p>
    <w:p w14:paraId="67730AF0" w14:textId="7B844AA4" w:rsidR="008D1A47" w:rsidRPr="0062163D" w:rsidRDefault="008D1A47" w:rsidP="00714C2A">
      <w:pPr>
        <w:spacing w:line="480" w:lineRule="auto"/>
        <w:ind w:right="-141"/>
        <w:jc w:val="both"/>
        <w:rPr>
          <w:b/>
          <w:bCs/>
        </w:rPr>
      </w:pPr>
      <w:r w:rsidRPr="0062163D">
        <w:rPr>
          <w:b/>
          <w:bCs/>
        </w:rPr>
        <w:t>2.3 Stent optimisation by post</w:t>
      </w:r>
      <w:r w:rsidR="00E06AF9" w:rsidRPr="0062163D">
        <w:rPr>
          <w:b/>
          <w:bCs/>
        </w:rPr>
        <w:t>-</w:t>
      </w:r>
      <w:r w:rsidRPr="0062163D">
        <w:rPr>
          <w:b/>
          <w:bCs/>
        </w:rPr>
        <w:t xml:space="preserve">dilatation </w:t>
      </w:r>
    </w:p>
    <w:p w14:paraId="770A6312" w14:textId="7D37F9B2" w:rsidR="008621E0" w:rsidRPr="0062163D" w:rsidRDefault="008621E0" w:rsidP="00714C2A">
      <w:pPr>
        <w:spacing w:line="480" w:lineRule="auto"/>
        <w:ind w:right="-141"/>
        <w:jc w:val="both"/>
      </w:pPr>
      <w:r w:rsidRPr="0062163D">
        <w:t>After successful stent deployment, the operator decided the need for post-dilatation based on his</w:t>
      </w:r>
      <w:r w:rsidR="00DB703E" w:rsidRPr="0062163D">
        <w:t>/her</w:t>
      </w:r>
      <w:r w:rsidRPr="0062163D">
        <w:t xml:space="preserve"> clinical judgement.  If no post-dilatation was needed, the patient exited the study. </w:t>
      </w:r>
      <w:r w:rsidR="00183EC1" w:rsidRPr="0062163D">
        <w:t>In case</w:t>
      </w:r>
      <w:r w:rsidRPr="0062163D">
        <w:t xml:space="preserve"> post-dilatation was indicated, then optical coherence tomography (OCT) stud</w:t>
      </w:r>
      <w:r w:rsidR="00183EC1" w:rsidRPr="0062163D">
        <w:t>ies</w:t>
      </w:r>
      <w:r w:rsidRPr="0062163D">
        <w:t xml:space="preserve"> and coronary physiology measurements were performed immediately before and after post-dilatation. NC balloons were used for post-dilatation and sized at a ratio 1:1 with the size of the artery. Post-</w:t>
      </w:r>
      <w:r w:rsidRPr="0062163D">
        <w:lastRenderedPageBreak/>
        <w:t xml:space="preserve">dilatation was performed at the stented segment where the operator felt it was needed. The NC balloon was inflated at high pressures (≥18Atm) for at least 10 seconds. </w:t>
      </w:r>
    </w:p>
    <w:p w14:paraId="15D5C872" w14:textId="45776B7F" w:rsidR="0054504F" w:rsidRPr="0062163D" w:rsidRDefault="0054504F" w:rsidP="00714C2A">
      <w:pPr>
        <w:spacing w:line="480" w:lineRule="auto"/>
        <w:ind w:right="-141"/>
        <w:jc w:val="both"/>
      </w:pPr>
    </w:p>
    <w:p w14:paraId="59C87425" w14:textId="4762BA54" w:rsidR="008D1A47" w:rsidRPr="0062163D" w:rsidRDefault="008D1A47" w:rsidP="00714C2A">
      <w:pPr>
        <w:spacing w:line="480" w:lineRule="auto"/>
        <w:ind w:right="-141"/>
        <w:jc w:val="both"/>
        <w:rPr>
          <w:b/>
          <w:bCs/>
        </w:rPr>
      </w:pPr>
      <w:r w:rsidRPr="0062163D">
        <w:rPr>
          <w:b/>
          <w:bCs/>
        </w:rPr>
        <w:t xml:space="preserve">2.4 Coronary physiology measurements </w:t>
      </w:r>
    </w:p>
    <w:p w14:paraId="502A0174" w14:textId="3BA23B44" w:rsidR="0054504F" w:rsidRPr="0062163D" w:rsidRDefault="0054504F" w:rsidP="00714C2A">
      <w:pPr>
        <w:spacing w:line="480" w:lineRule="auto"/>
        <w:ind w:right="-141"/>
        <w:jc w:val="both"/>
      </w:pPr>
      <w:r w:rsidRPr="0062163D">
        <w:t>A dedicated combined pressure/temperature guidewire (</w:t>
      </w:r>
      <w:proofErr w:type="spellStart"/>
      <w:r w:rsidRPr="0062163D">
        <w:t>Pressurewire</w:t>
      </w:r>
      <w:r w:rsidRPr="0062163D">
        <w:rPr>
          <w:vertAlign w:val="superscript"/>
        </w:rPr>
        <w:t>TM</w:t>
      </w:r>
      <w:proofErr w:type="spellEnd"/>
      <w:r w:rsidR="0087584D" w:rsidRPr="0062163D">
        <w:t xml:space="preserve"> </w:t>
      </w:r>
      <w:r w:rsidRPr="0062163D">
        <w:t xml:space="preserve">X, St Jude Medical/Abbott Vascular, USA) was used for the physiological measurements. Before post-dilatation, and after intracoronary administration of nitro-glycerine, the guidewire was equalized and advanced to the distal third of the coronary artery. Subsequently, </w:t>
      </w:r>
      <w:r w:rsidRPr="0062163D">
        <w:rPr>
          <w:lang w:val="en-US"/>
        </w:rPr>
        <w:t>mean aortic pressure (P</w:t>
      </w:r>
      <w:r w:rsidRPr="0062163D">
        <w:rPr>
          <w:vertAlign w:val="subscript"/>
          <w:lang w:val="en-US"/>
        </w:rPr>
        <w:t>a</w:t>
      </w:r>
      <w:r w:rsidRPr="0062163D">
        <w:rPr>
          <w:lang w:val="en-US"/>
        </w:rPr>
        <w:t>), mean distal</w:t>
      </w:r>
      <w:r w:rsidR="00A16ADD" w:rsidRPr="0062163D">
        <w:rPr>
          <w:lang w:val="en-US"/>
        </w:rPr>
        <w:t xml:space="preserve"> coronary</w:t>
      </w:r>
      <w:r w:rsidRPr="0062163D">
        <w:rPr>
          <w:lang w:val="en-US"/>
        </w:rPr>
        <w:t xml:space="preserve"> pressure (P</w:t>
      </w:r>
      <w:r w:rsidRPr="0062163D">
        <w:rPr>
          <w:vertAlign w:val="subscript"/>
          <w:lang w:val="en-US"/>
        </w:rPr>
        <w:t>d</w:t>
      </w:r>
      <w:r w:rsidRPr="0062163D">
        <w:rPr>
          <w:lang w:val="en-US"/>
        </w:rPr>
        <w:t>), and mean transit time (</w:t>
      </w:r>
      <w:proofErr w:type="spellStart"/>
      <w:r w:rsidRPr="0062163D">
        <w:rPr>
          <w:lang w:val="en-US"/>
        </w:rPr>
        <w:t>mT</w:t>
      </w:r>
      <w:r w:rsidRPr="0062163D">
        <w:rPr>
          <w:vertAlign w:val="subscript"/>
          <w:lang w:val="en-US"/>
        </w:rPr>
        <w:t>t</w:t>
      </w:r>
      <w:proofErr w:type="spellEnd"/>
      <w:r w:rsidRPr="0062163D">
        <w:rPr>
          <w:lang w:val="en-US"/>
        </w:rPr>
        <w:t>) calculated as the average measurement during three separate intracoronary injections of 3mL of room temperature 0.9% saline solution</w:t>
      </w:r>
      <w:r w:rsidR="00A16ADD" w:rsidRPr="0062163D">
        <w:rPr>
          <w:lang w:val="en-US"/>
        </w:rPr>
        <w:t xml:space="preserve"> were measured</w:t>
      </w:r>
      <w:r w:rsidR="00CE0F59" w:rsidRPr="0062163D">
        <w:rPr>
          <w:vertAlign w:val="superscript"/>
          <w:lang w:val="en-US"/>
        </w:rPr>
        <w:t>7</w:t>
      </w:r>
      <w:r w:rsidRPr="0062163D">
        <w:rPr>
          <w:lang w:val="en-US"/>
        </w:rPr>
        <w:t>.</w:t>
      </w:r>
      <w:r w:rsidRPr="0062163D">
        <w:t xml:space="preserve"> The same parameters were measured </w:t>
      </w:r>
      <w:r w:rsidR="00A16ADD" w:rsidRPr="0062163D">
        <w:t>during</w:t>
      </w:r>
      <w:r w:rsidRPr="0062163D">
        <w:t xml:space="preserve"> hyperaemia induced by intravenous infusion of adenosine at 140mcg/Kg/min via a peripheral line. The operator proceeded to post-dilatation and coronary wedge pressure (P</w:t>
      </w:r>
      <w:r w:rsidRPr="0062163D">
        <w:rPr>
          <w:vertAlign w:val="subscript"/>
        </w:rPr>
        <w:t>w</w:t>
      </w:r>
      <w:r w:rsidRPr="0062163D">
        <w:t>) was measured during balloon inflation. All measurements were rerepeated after post-dilatation. Dedicated software was used online for recording pressure traces, temperature curves and for physiological indices calculation (</w:t>
      </w:r>
      <w:proofErr w:type="spellStart"/>
      <w:r w:rsidRPr="0062163D">
        <w:t>Coroventis</w:t>
      </w:r>
      <w:proofErr w:type="spellEnd"/>
      <w:r w:rsidRPr="0062163D">
        <w:t xml:space="preserve"> </w:t>
      </w:r>
      <w:proofErr w:type="spellStart"/>
      <w:r w:rsidRPr="0062163D">
        <w:t>CoroFlow</w:t>
      </w:r>
      <w:r w:rsidRPr="0062163D">
        <w:rPr>
          <w:vertAlign w:val="superscript"/>
        </w:rPr>
        <w:t>TM</w:t>
      </w:r>
      <w:proofErr w:type="spellEnd"/>
      <w:r w:rsidRPr="0062163D">
        <w:t xml:space="preserve">, Uppsala, Sweden). </w:t>
      </w:r>
    </w:p>
    <w:p w14:paraId="648792F6" w14:textId="4688B3FB" w:rsidR="008621E0" w:rsidRPr="0062163D" w:rsidRDefault="0054504F" w:rsidP="00714C2A">
      <w:pPr>
        <w:spacing w:line="480" w:lineRule="auto"/>
        <w:ind w:right="-141"/>
        <w:jc w:val="both"/>
      </w:pPr>
      <w:r w:rsidRPr="0062163D">
        <w:t xml:space="preserve">The index of microcirculatory resistance (IMR) </w:t>
      </w:r>
      <w:r w:rsidR="00D701EE" w:rsidRPr="0062163D">
        <w:t xml:space="preserve">is a validated measure of microvascular function </w:t>
      </w:r>
      <w:r w:rsidR="00D701EE" w:rsidRPr="0062163D">
        <w:rPr>
          <w:vertAlign w:val="superscript"/>
        </w:rPr>
        <w:t>8</w:t>
      </w:r>
      <w:r w:rsidR="00D701EE" w:rsidRPr="0062163D">
        <w:t>. The change in IMR (</w:t>
      </w:r>
      <w:proofErr w:type="spellStart"/>
      <w:r w:rsidR="00D701EE" w:rsidRPr="0062163D">
        <w:t>dIMR</w:t>
      </w:r>
      <w:proofErr w:type="spellEnd"/>
      <w:r w:rsidR="00D701EE" w:rsidRPr="0062163D">
        <w:t xml:space="preserve">) </w:t>
      </w:r>
      <w:r w:rsidRPr="0062163D">
        <w:t>was used to assess changes in microvascular function before and after post-dilatation</w:t>
      </w:r>
      <w:r w:rsidR="00D701EE" w:rsidRPr="0062163D">
        <w:t xml:space="preserve"> and was the primary endpoint of the study. </w:t>
      </w:r>
      <w:r w:rsidRPr="0062163D">
        <w:t xml:space="preserve"> IMR and IMR corrected for wedge pressure (</w:t>
      </w:r>
      <w:proofErr w:type="spellStart"/>
      <w:r w:rsidRPr="0062163D">
        <w:t>IMR</w:t>
      </w:r>
      <w:r w:rsidRPr="0062163D">
        <w:rPr>
          <w:vertAlign w:val="subscript"/>
        </w:rPr>
        <w:t>c</w:t>
      </w:r>
      <w:proofErr w:type="spellEnd"/>
      <w:r w:rsidRPr="0062163D">
        <w:rPr>
          <w:vertAlign w:val="subscript"/>
        </w:rPr>
        <w:t xml:space="preserve">) </w:t>
      </w:r>
      <w:r w:rsidRPr="0062163D">
        <w:t>were calculated by the following equations: IM</w:t>
      </w:r>
      <w:r w:rsidR="00617236" w:rsidRPr="0062163D">
        <w:t>R</w:t>
      </w:r>
      <w:r w:rsidRPr="0062163D">
        <w:t>=P</w:t>
      </w:r>
      <w:r w:rsidRPr="0062163D">
        <w:rPr>
          <w:vertAlign w:val="subscript"/>
        </w:rPr>
        <w:t>d</w:t>
      </w:r>
      <w:r w:rsidR="0087584D" w:rsidRPr="0062163D">
        <w:rPr>
          <w:vertAlign w:val="subscript"/>
        </w:rPr>
        <w:t xml:space="preserve"> </w:t>
      </w:r>
      <w:r w:rsidRPr="0062163D">
        <w:t xml:space="preserve">x </w:t>
      </w:r>
      <w:proofErr w:type="spellStart"/>
      <w:r w:rsidRPr="0062163D">
        <w:t>mT</w:t>
      </w:r>
      <w:r w:rsidRPr="0062163D">
        <w:rPr>
          <w:vertAlign w:val="subscript"/>
        </w:rPr>
        <w:t>t</w:t>
      </w:r>
      <w:proofErr w:type="spellEnd"/>
      <w:r w:rsidRPr="0062163D">
        <w:rPr>
          <w:vertAlign w:val="subscript"/>
        </w:rPr>
        <w:t xml:space="preserve"> </w:t>
      </w:r>
      <w:r w:rsidRPr="0062163D">
        <w:t xml:space="preserve">(hyperaemia) and </w:t>
      </w:r>
      <w:proofErr w:type="spellStart"/>
      <w:r w:rsidRPr="0062163D">
        <w:t>IMR</w:t>
      </w:r>
      <w:r w:rsidRPr="0062163D">
        <w:rPr>
          <w:vertAlign w:val="subscript"/>
        </w:rPr>
        <w:t>c</w:t>
      </w:r>
      <w:proofErr w:type="spellEnd"/>
      <w:r w:rsidRPr="0062163D">
        <w:t>=(P</w:t>
      </w:r>
      <w:r w:rsidRPr="0062163D">
        <w:rPr>
          <w:vertAlign w:val="subscript"/>
        </w:rPr>
        <w:t>a</w:t>
      </w:r>
      <w:r w:rsidRPr="0062163D">
        <w:t xml:space="preserve"> x </w:t>
      </w:r>
      <w:proofErr w:type="spellStart"/>
      <w:r w:rsidRPr="0062163D">
        <w:t>mT</w:t>
      </w:r>
      <w:r w:rsidRPr="0062163D">
        <w:rPr>
          <w:vertAlign w:val="subscript"/>
        </w:rPr>
        <w:t>t</w:t>
      </w:r>
      <w:proofErr w:type="spellEnd"/>
      <w:r w:rsidRPr="0062163D">
        <w:t>) x [(P</w:t>
      </w:r>
      <w:r w:rsidRPr="0062163D">
        <w:rPr>
          <w:vertAlign w:val="subscript"/>
        </w:rPr>
        <w:t>d</w:t>
      </w:r>
      <w:r w:rsidRPr="0062163D">
        <w:t>–P</w:t>
      </w:r>
      <w:r w:rsidRPr="0062163D">
        <w:rPr>
          <w:vertAlign w:val="subscript"/>
        </w:rPr>
        <w:t>w</w:t>
      </w:r>
      <w:r w:rsidRPr="0062163D">
        <w:t>)/(P</w:t>
      </w:r>
      <w:r w:rsidRPr="0062163D">
        <w:rPr>
          <w:vertAlign w:val="subscript"/>
        </w:rPr>
        <w:t>a</w:t>
      </w:r>
      <w:r w:rsidRPr="0062163D">
        <w:t>–P</w:t>
      </w:r>
      <w:r w:rsidRPr="0062163D">
        <w:rPr>
          <w:vertAlign w:val="subscript"/>
        </w:rPr>
        <w:t>w</w:t>
      </w:r>
      <w:r w:rsidRPr="0062163D">
        <w:t>)] (hyperaemia)</w:t>
      </w:r>
      <w:r w:rsidR="00CE0F59" w:rsidRPr="0062163D">
        <w:rPr>
          <w:vertAlign w:val="superscript"/>
        </w:rPr>
        <w:t>7,9</w:t>
      </w:r>
      <w:r w:rsidRPr="0062163D">
        <w:t>. Furthermore, coronary flow reserve (CFR), fractional flow reserve (FFR) and coronary FFR (</w:t>
      </w:r>
      <w:proofErr w:type="spellStart"/>
      <w:r w:rsidRPr="0062163D">
        <w:t>FFR</w:t>
      </w:r>
      <w:r w:rsidRPr="0062163D">
        <w:rPr>
          <w:vertAlign w:val="subscript"/>
        </w:rPr>
        <w:t>cor</w:t>
      </w:r>
      <w:proofErr w:type="spellEnd"/>
      <w:r w:rsidRPr="0062163D">
        <w:t>) were calculated as CFR=</w:t>
      </w:r>
      <w:proofErr w:type="spellStart"/>
      <w:r w:rsidRPr="0062163D">
        <w:t>mT</w:t>
      </w:r>
      <w:r w:rsidRPr="0062163D">
        <w:rPr>
          <w:vertAlign w:val="subscript"/>
        </w:rPr>
        <w:t>t</w:t>
      </w:r>
      <w:proofErr w:type="spellEnd"/>
      <w:r w:rsidRPr="0062163D">
        <w:t xml:space="preserve"> </w:t>
      </w:r>
      <w:r w:rsidRPr="0062163D">
        <w:lastRenderedPageBreak/>
        <w:t>(baseline)/</w:t>
      </w:r>
      <w:proofErr w:type="spellStart"/>
      <w:r w:rsidRPr="0062163D">
        <w:t>mT</w:t>
      </w:r>
      <w:r w:rsidRPr="0062163D">
        <w:rPr>
          <w:vertAlign w:val="subscript"/>
        </w:rPr>
        <w:t>t</w:t>
      </w:r>
      <w:proofErr w:type="spellEnd"/>
      <w:r w:rsidR="008C6D94" w:rsidRPr="0062163D">
        <w:rPr>
          <w:vertAlign w:val="subscript"/>
        </w:rPr>
        <w:t xml:space="preserve"> </w:t>
      </w:r>
      <w:r w:rsidR="008C6D94" w:rsidRPr="0062163D">
        <w:t>(hyperaemia)</w:t>
      </w:r>
      <w:r w:rsidRPr="0062163D">
        <w:t>, FFR=P</w:t>
      </w:r>
      <w:r w:rsidRPr="0062163D">
        <w:rPr>
          <w:vertAlign w:val="subscript"/>
        </w:rPr>
        <w:t>d</w:t>
      </w:r>
      <w:r w:rsidRPr="0062163D">
        <w:t>/P</w:t>
      </w:r>
      <w:r w:rsidRPr="0062163D">
        <w:rPr>
          <w:vertAlign w:val="subscript"/>
        </w:rPr>
        <w:t>a</w:t>
      </w:r>
      <w:r w:rsidRPr="0062163D">
        <w:t xml:space="preserve"> and </w:t>
      </w:r>
      <w:proofErr w:type="spellStart"/>
      <w:r w:rsidRPr="0062163D">
        <w:t>FFR</w:t>
      </w:r>
      <w:r w:rsidRPr="0062163D">
        <w:rPr>
          <w:vertAlign w:val="subscript"/>
        </w:rPr>
        <w:t>cor</w:t>
      </w:r>
      <w:proofErr w:type="spellEnd"/>
      <w:r w:rsidRPr="0062163D">
        <w:t>=P</w:t>
      </w:r>
      <w:r w:rsidRPr="0062163D">
        <w:rPr>
          <w:vertAlign w:val="subscript"/>
        </w:rPr>
        <w:t>a</w:t>
      </w:r>
      <w:r w:rsidR="00617236" w:rsidRPr="0062163D">
        <w:t>-</w:t>
      </w:r>
      <w:r w:rsidRPr="0062163D">
        <w:t>P</w:t>
      </w:r>
      <w:r w:rsidRPr="0062163D">
        <w:rPr>
          <w:vertAlign w:val="subscript"/>
        </w:rPr>
        <w:t xml:space="preserve">w </w:t>
      </w:r>
      <w:r w:rsidRPr="0062163D">
        <w:t>/P</w:t>
      </w:r>
      <w:r w:rsidRPr="0062163D">
        <w:rPr>
          <w:vertAlign w:val="subscript"/>
        </w:rPr>
        <w:t xml:space="preserve">d </w:t>
      </w:r>
      <w:r w:rsidR="00617236" w:rsidRPr="0062163D">
        <w:t>-</w:t>
      </w:r>
      <w:r w:rsidRPr="0062163D">
        <w:t>P</w:t>
      </w:r>
      <w:r w:rsidRPr="0062163D">
        <w:rPr>
          <w:vertAlign w:val="subscript"/>
        </w:rPr>
        <w:t>w</w:t>
      </w:r>
      <w:r w:rsidR="00CE0F59" w:rsidRPr="0062163D">
        <w:rPr>
          <w:vertAlign w:val="superscript"/>
        </w:rPr>
        <w:t>10</w:t>
      </w:r>
      <w:r w:rsidRPr="0062163D">
        <w:t xml:space="preserve">. </w:t>
      </w:r>
      <w:proofErr w:type="spellStart"/>
      <w:r w:rsidRPr="0062163D">
        <w:t>FFR</w:t>
      </w:r>
      <w:r w:rsidRPr="0062163D">
        <w:rPr>
          <w:vertAlign w:val="subscript"/>
        </w:rPr>
        <w:t>cor</w:t>
      </w:r>
      <w:proofErr w:type="spellEnd"/>
      <w:r w:rsidRPr="0062163D">
        <w:rPr>
          <w:vertAlign w:val="subscript"/>
        </w:rPr>
        <w:t xml:space="preserve"> </w:t>
      </w:r>
      <w:r w:rsidRPr="0062163D">
        <w:t xml:space="preserve">as described in the original </w:t>
      </w:r>
      <w:r w:rsidR="001A2262" w:rsidRPr="0062163D">
        <w:t xml:space="preserve">FFR </w:t>
      </w:r>
      <w:r w:rsidRPr="0062163D">
        <w:t>validation study assess</w:t>
      </w:r>
      <w:r w:rsidR="001A2262" w:rsidRPr="0062163D">
        <w:t>es</w:t>
      </w:r>
      <w:r w:rsidRPr="0062163D">
        <w:t xml:space="preserve"> the pressure gradient drop across the epicardial vessel.</w:t>
      </w:r>
    </w:p>
    <w:p w14:paraId="422FE963" w14:textId="77777777" w:rsidR="0054504F" w:rsidRPr="0062163D" w:rsidRDefault="0054504F" w:rsidP="00714C2A">
      <w:pPr>
        <w:spacing w:line="480" w:lineRule="auto"/>
        <w:ind w:right="-141"/>
        <w:jc w:val="both"/>
      </w:pPr>
    </w:p>
    <w:p w14:paraId="40D7669B" w14:textId="7C5E31D0" w:rsidR="008D1A47" w:rsidRPr="0062163D" w:rsidRDefault="008D1A47" w:rsidP="00714C2A">
      <w:pPr>
        <w:spacing w:line="480" w:lineRule="auto"/>
        <w:ind w:right="-141"/>
        <w:jc w:val="both"/>
        <w:rPr>
          <w:b/>
          <w:bCs/>
        </w:rPr>
      </w:pPr>
      <w:r w:rsidRPr="0062163D">
        <w:rPr>
          <w:b/>
          <w:bCs/>
        </w:rPr>
        <w:t>2.5 Optical coherence tomography analysis</w:t>
      </w:r>
      <w:r w:rsidR="008621E0" w:rsidRPr="0062163D">
        <w:rPr>
          <w:b/>
          <w:bCs/>
        </w:rPr>
        <w:t xml:space="preserve"> </w:t>
      </w:r>
    </w:p>
    <w:p w14:paraId="401DD716" w14:textId="385F734F" w:rsidR="008621E0" w:rsidRPr="0062163D" w:rsidRDefault="00183EC1" w:rsidP="00714C2A">
      <w:pPr>
        <w:spacing w:line="480" w:lineRule="auto"/>
        <w:ind w:right="-141"/>
        <w:jc w:val="both"/>
      </w:pPr>
      <w:r w:rsidRPr="0062163D">
        <w:t xml:space="preserve">An </w:t>
      </w:r>
      <w:r w:rsidR="008621E0" w:rsidRPr="0062163D">
        <w:t xml:space="preserve">FD-OCT Dragonfly OPTIS Catheter (St. Jude Medical/Abbott Vascular, USA) was </w:t>
      </w:r>
      <w:r w:rsidRPr="0062163D">
        <w:t>used for intracoronary imaging</w:t>
      </w:r>
      <w:r w:rsidR="008621E0" w:rsidRPr="0062163D">
        <w:t xml:space="preserve"> before and after post-dilatation. OCT imaging acquisition was performed according to international expert standards and guidance</w:t>
      </w:r>
      <w:r w:rsidR="00375287" w:rsidRPr="0062163D">
        <w:rPr>
          <w:vertAlign w:val="superscript"/>
        </w:rPr>
        <w:t>11</w:t>
      </w:r>
      <w:r w:rsidR="008621E0" w:rsidRPr="0062163D">
        <w:t>. Prior to each OCT run, 200</w:t>
      </w:r>
      <w:r w:rsidR="008621E0" w:rsidRPr="0062163D">
        <w:rPr>
          <w:lang w:val="en-US"/>
        </w:rPr>
        <w:t>mc</w:t>
      </w:r>
      <w:r w:rsidR="008621E0" w:rsidRPr="0062163D">
        <w:t>g of intracoronary nitrates were given. The entire length of the area of interest (</w:t>
      </w:r>
      <w:r w:rsidR="00200C9D" w:rsidRPr="0062163D">
        <w:t xml:space="preserve">i.e. </w:t>
      </w:r>
      <w:r w:rsidR="008621E0" w:rsidRPr="0062163D">
        <w:t xml:space="preserve">stented segment and </w:t>
      </w:r>
      <w:r w:rsidR="00200C9D" w:rsidRPr="0062163D">
        <w:t xml:space="preserve">at least </w:t>
      </w:r>
      <w:r w:rsidR="008621E0" w:rsidRPr="0062163D">
        <w:t xml:space="preserve">5mm </w:t>
      </w:r>
      <w:r w:rsidR="00200C9D" w:rsidRPr="0062163D">
        <w:t>from the</w:t>
      </w:r>
      <w:r w:rsidR="008621E0" w:rsidRPr="0062163D">
        <w:t xml:space="preserve"> proximal and distal </w:t>
      </w:r>
      <w:r w:rsidR="00200C9D" w:rsidRPr="0062163D">
        <w:t xml:space="preserve">stent </w:t>
      </w:r>
      <w:r w:rsidR="008621E0" w:rsidRPr="0062163D">
        <w:t>edge</w:t>
      </w:r>
      <w:r w:rsidR="00200C9D" w:rsidRPr="0062163D">
        <w:t>s</w:t>
      </w:r>
      <w:r w:rsidR="008621E0" w:rsidRPr="0062163D">
        <w:t>) was scanned</w:t>
      </w:r>
      <w:r w:rsidR="001144C7" w:rsidRPr="0062163D">
        <w:t xml:space="preserve">. </w:t>
      </w:r>
      <w:r w:rsidR="008621E0" w:rsidRPr="0062163D">
        <w:t xml:space="preserve">The operator was blinded to the OCT findings. </w:t>
      </w:r>
    </w:p>
    <w:p w14:paraId="4E46165E" w14:textId="77777777" w:rsidR="006E069F" w:rsidRPr="0062163D" w:rsidRDefault="006E069F" w:rsidP="00714C2A">
      <w:pPr>
        <w:spacing w:line="480" w:lineRule="auto"/>
        <w:ind w:right="-141"/>
        <w:jc w:val="both"/>
      </w:pPr>
    </w:p>
    <w:p w14:paraId="1CB12890" w14:textId="60FA6BA7" w:rsidR="008621E0" w:rsidRPr="0062163D" w:rsidRDefault="008621E0" w:rsidP="00714C2A">
      <w:pPr>
        <w:spacing w:line="480" w:lineRule="auto"/>
        <w:ind w:right="-141"/>
        <w:jc w:val="both"/>
      </w:pPr>
      <w:r w:rsidRPr="0062163D">
        <w:t xml:space="preserve">Off-line analysis was performed by an independent </w:t>
      </w:r>
      <w:r w:rsidR="00B0011D" w:rsidRPr="0062163D">
        <w:t>imaging</w:t>
      </w:r>
      <w:r w:rsidRPr="0062163D">
        <w:t xml:space="preserve"> </w:t>
      </w:r>
      <w:r w:rsidR="00B0011D" w:rsidRPr="0062163D">
        <w:t>c</w:t>
      </w:r>
      <w:r w:rsidRPr="0062163D">
        <w:t>ore</w:t>
      </w:r>
      <w:r w:rsidR="00B0011D" w:rsidRPr="0062163D">
        <w:t xml:space="preserve"> l</w:t>
      </w:r>
      <w:r w:rsidRPr="0062163D">
        <w:t>ab</w:t>
      </w:r>
      <w:r w:rsidR="00B0011D" w:rsidRPr="0062163D">
        <w:t>oratory</w:t>
      </w:r>
      <w:r w:rsidRPr="0062163D">
        <w:t xml:space="preserve"> (</w:t>
      </w:r>
      <w:proofErr w:type="spellStart"/>
      <w:r w:rsidR="00B0011D" w:rsidRPr="0062163D">
        <w:t>EuroImage</w:t>
      </w:r>
      <w:proofErr w:type="spellEnd"/>
      <w:r w:rsidR="00B0011D" w:rsidRPr="0062163D">
        <w:t xml:space="preserve"> Research</w:t>
      </w:r>
      <w:r w:rsidRPr="0062163D">
        <w:t>, Rome, Italy). OCT images were analysed at 0.2mm intervals</w:t>
      </w:r>
      <w:r w:rsidR="00200C9D" w:rsidRPr="0062163D">
        <w:t>.</w:t>
      </w:r>
      <w:r w:rsidRPr="0062163D">
        <w:t xml:space="preserve"> For the purpose of the analysis, lumen area and stent area where measured by planimetry. The lumen area (LA) was obtained by automated lumen-detection software and additional manual corrections, when necessary. The stent area (SA) was obtained manually by a multiple point detection function. The maximum distance between the two measured areas if not overlapping was measured automatically by the dedicated software application. In the case of co-existing stent </w:t>
      </w:r>
      <w:proofErr w:type="spellStart"/>
      <w:r w:rsidRPr="0062163D">
        <w:t>malapposition</w:t>
      </w:r>
      <w:proofErr w:type="spellEnd"/>
      <w:r w:rsidRPr="0062163D">
        <w:t xml:space="preserve"> and in-stent tissue prolapse the intra-stent flow area was drawn manually by the multiple point detection function. Stent deployment features assessed by OCT analysis were </w:t>
      </w:r>
      <w:r w:rsidR="00200C9D" w:rsidRPr="0062163D">
        <w:t xml:space="preserve">absolute and relative </w:t>
      </w:r>
      <w:r w:rsidRPr="0062163D">
        <w:t xml:space="preserve">stent expansion, stent struts </w:t>
      </w:r>
      <w:proofErr w:type="spellStart"/>
      <w:r w:rsidRPr="0062163D">
        <w:t>malapposition</w:t>
      </w:r>
      <w:proofErr w:type="spellEnd"/>
      <w:r w:rsidRPr="0062163D">
        <w:t xml:space="preserve">, intra-stent tissue prolapse and stent edge dissections. </w:t>
      </w:r>
      <w:r w:rsidR="00200C9D" w:rsidRPr="0062163D">
        <w:t xml:space="preserve">The definition </w:t>
      </w:r>
      <w:r w:rsidR="00464B56" w:rsidRPr="0062163D">
        <w:t xml:space="preserve">of </w:t>
      </w:r>
      <w:r w:rsidR="00200C9D" w:rsidRPr="0062163D">
        <w:t xml:space="preserve">the calculated parameters is available in </w:t>
      </w:r>
      <w:r w:rsidR="00B43D23" w:rsidRPr="0062163D">
        <w:t xml:space="preserve">the </w:t>
      </w:r>
      <w:r w:rsidR="00200C9D" w:rsidRPr="0062163D">
        <w:t xml:space="preserve">appendix. </w:t>
      </w:r>
    </w:p>
    <w:p w14:paraId="536DE4D8" w14:textId="77777777" w:rsidR="008621E0" w:rsidRPr="0062163D" w:rsidRDefault="008621E0" w:rsidP="00714C2A">
      <w:pPr>
        <w:spacing w:line="480" w:lineRule="auto"/>
        <w:ind w:right="-141"/>
        <w:jc w:val="both"/>
      </w:pPr>
    </w:p>
    <w:p w14:paraId="00619F61" w14:textId="3D6CE228" w:rsidR="008621E0" w:rsidRPr="0062163D" w:rsidRDefault="008D1A47" w:rsidP="00714C2A">
      <w:pPr>
        <w:spacing w:line="480" w:lineRule="auto"/>
        <w:jc w:val="both"/>
      </w:pPr>
      <w:r w:rsidRPr="0062163D">
        <w:rPr>
          <w:b/>
          <w:bCs/>
        </w:rPr>
        <w:lastRenderedPageBreak/>
        <w:t>2.6 Statistical analysis</w:t>
      </w:r>
      <w:r w:rsidR="008621E0" w:rsidRPr="0062163D">
        <w:t xml:space="preserve"> Quantitative variables were tested for normal distribution according to the Kolmogorov-Smirnov test. Continuous variables were reported as mean and standard deviation values. Categorical variables were expressed as frequency and proportion. Comparisons between before and after post-dilatation were estimated using the paired t-test analysis for variables with normal distribution and the Wilcoxon test in case of non-normal distribution. For differences between independent variables, the independent samples t-test analysis was applied. Group differences of categorical variables were tested by a chi-square test. Pearson’s correlation coefficients or Spearman’s correlation coefficients were used to assess the relationship between two variables as appropriate. The level of statistical significance was set at p &gt;0.05 with two tails. Statistical analysis was carried out using SPSS 24 software (SPSS Inc., Chicago, Illinois, USA).</w:t>
      </w:r>
    </w:p>
    <w:p w14:paraId="14D053F7" w14:textId="77777777" w:rsidR="008621E0" w:rsidRPr="0062163D" w:rsidRDefault="008621E0" w:rsidP="00714C2A">
      <w:pPr>
        <w:spacing w:line="480" w:lineRule="auto"/>
        <w:jc w:val="both"/>
        <w:rPr>
          <w:b/>
        </w:rPr>
      </w:pPr>
    </w:p>
    <w:p w14:paraId="1773CD4F" w14:textId="3C094D6D" w:rsidR="00430A5A" w:rsidRPr="0062163D" w:rsidRDefault="008D1A47" w:rsidP="00714C2A">
      <w:pPr>
        <w:spacing w:line="480" w:lineRule="auto"/>
        <w:jc w:val="both"/>
        <w:rPr>
          <w:b/>
        </w:rPr>
      </w:pPr>
      <w:r w:rsidRPr="0062163D">
        <w:rPr>
          <w:b/>
        </w:rPr>
        <w:t>3. RESULTS</w:t>
      </w:r>
    </w:p>
    <w:p w14:paraId="52147F47" w14:textId="225EFAF4" w:rsidR="008621E0" w:rsidRPr="0062163D" w:rsidRDefault="008621E0" w:rsidP="00714C2A">
      <w:pPr>
        <w:spacing w:line="480" w:lineRule="auto"/>
        <w:jc w:val="both"/>
      </w:pPr>
      <w:r w:rsidRPr="0062163D">
        <w:t xml:space="preserve">Between September 2016 and June 2017, a total of 107 patients presenting with </w:t>
      </w:r>
      <w:r w:rsidR="00DD3B18" w:rsidRPr="0062163D">
        <w:t>STEMI</w:t>
      </w:r>
      <w:r w:rsidRPr="0062163D">
        <w:t xml:space="preserve"> at </w:t>
      </w:r>
      <w:r w:rsidR="00DB703E" w:rsidRPr="0062163D">
        <w:t xml:space="preserve">the </w:t>
      </w:r>
      <w:r w:rsidRPr="0062163D">
        <w:t>Essex Cardiothoracic Centre</w:t>
      </w:r>
      <w:r w:rsidR="00DD3B18" w:rsidRPr="0062163D">
        <w:t xml:space="preserve"> (Basildon,</w:t>
      </w:r>
      <w:r w:rsidR="00712797" w:rsidRPr="0062163D">
        <w:t xml:space="preserve"> </w:t>
      </w:r>
      <w:r w:rsidR="00662433" w:rsidRPr="0062163D">
        <w:t>UK</w:t>
      </w:r>
      <w:r w:rsidR="00DD3B18" w:rsidRPr="0062163D">
        <w:t>)</w:t>
      </w:r>
      <w:r w:rsidRPr="0062163D">
        <w:t xml:space="preserve"> were assessed for eligibility. Thirty-one patients did not fit the inclusion/exclusion criteria and were excluded. Seventy-six patients gave signed informed consent and were recruited in the study. Thirty-nine of these patients were excluded after diagnostic angiography or during PCI based on the pre-specified exclusion criteria and five</w:t>
      </w:r>
      <w:r w:rsidR="00712797" w:rsidRPr="0062163D">
        <w:t xml:space="preserve"> </w:t>
      </w:r>
      <w:r w:rsidRPr="0062163D">
        <w:t>were withdrawn from the study after initiation of the research protocol</w:t>
      </w:r>
      <w:r w:rsidR="008C6D94" w:rsidRPr="0062163D">
        <w:t xml:space="preserve"> (patients’ flow chart is </w:t>
      </w:r>
      <w:r w:rsidR="004307A1" w:rsidRPr="0062163D">
        <w:t>shown at figure 1</w:t>
      </w:r>
      <w:r w:rsidR="008C6D94" w:rsidRPr="0062163D">
        <w:t>)</w:t>
      </w:r>
      <w:r w:rsidRPr="0062163D">
        <w:t>. The remaining 32 patients completed the study with physiological measurements before and after post-dilatation</w:t>
      </w:r>
      <w:r w:rsidR="00B3096A" w:rsidRPr="0062163D">
        <w:t xml:space="preserve">. </w:t>
      </w:r>
    </w:p>
    <w:p w14:paraId="782FBA7E" w14:textId="77777777" w:rsidR="004307A1" w:rsidRPr="0062163D" w:rsidRDefault="008621E0" w:rsidP="00714C2A">
      <w:pPr>
        <w:spacing w:line="480" w:lineRule="auto"/>
        <w:jc w:val="both"/>
      </w:pPr>
      <w:r w:rsidRPr="0062163D">
        <w:t>Mean age was 66±11years</w:t>
      </w:r>
      <w:r w:rsidR="001144C7" w:rsidRPr="0062163D">
        <w:t xml:space="preserve"> and </w:t>
      </w:r>
      <w:r w:rsidRPr="0062163D">
        <w:t>78% were men. Symptoms onset to balloon time was 251±175 minutes</w:t>
      </w:r>
      <w:r w:rsidR="00DD3B18" w:rsidRPr="0062163D">
        <w:t xml:space="preserve"> and </w:t>
      </w:r>
      <w:r w:rsidRPr="0062163D">
        <w:t>LAD was the most common culprit vessel (43.7%)</w:t>
      </w:r>
      <w:r w:rsidR="00DD3B18" w:rsidRPr="0062163D">
        <w:t xml:space="preserve">. </w:t>
      </w:r>
      <w:r w:rsidRPr="0062163D">
        <w:t xml:space="preserve">The use of Glycoprotein </w:t>
      </w:r>
      <w:proofErr w:type="spellStart"/>
      <w:r w:rsidRPr="0062163D">
        <w:t>IIbIIIa</w:t>
      </w:r>
      <w:proofErr w:type="spellEnd"/>
      <w:r w:rsidRPr="0062163D">
        <w:t xml:space="preserve"> </w:t>
      </w:r>
      <w:r w:rsidRPr="0062163D">
        <w:lastRenderedPageBreak/>
        <w:t xml:space="preserve">inhibitors </w:t>
      </w:r>
      <w:r w:rsidR="001144C7" w:rsidRPr="0062163D">
        <w:t xml:space="preserve">and thrombus aspiration </w:t>
      </w:r>
      <w:r w:rsidRPr="0062163D">
        <w:t>was relatively high (</w:t>
      </w:r>
      <w:r w:rsidR="001144C7" w:rsidRPr="0062163D">
        <w:t xml:space="preserve">59% and </w:t>
      </w:r>
      <w:r w:rsidRPr="0062163D">
        <w:t>72%</w:t>
      </w:r>
      <w:r w:rsidR="001144C7" w:rsidRPr="0062163D">
        <w:t xml:space="preserve"> respectively</w:t>
      </w:r>
      <w:r w:rsidRPr="0062163D">
        <w:t xml:space="preserve">). 1.2±0.5 stents were implanted with a maximum diameter of 3.1±0.5mm and a </w:t>
      </w:r>
      <w:r w:rsidR="001144C7" w:rsidRPr="0062163D">
        <w:t>total</w:t>
      </w:r>
      <w:r w:rsidR="00DD3B18" w:rsidRPr="0062163D">
        <w:t xml:space="preserve"> </w:t>
      </w:r>
      <w:r w:rsidRPr="0062163D">
        <w:t>length of 29.9±10.7mm. Post-dilatation was performed in all patients with NC</w:t>
      </w:r>
      <w:r w:rsidR="001144C7" w:rsidRPr="0062163D">
        <w:t>-</w:t>
      </w:r>
      <w:r w:rsidRPr="0062163D">
        <w:t xml:space="preserve">balloons with a maximum </w:t>
      </w:r>
      <w:r w:rsidR="00DD3B18" w:rsidRPr="0062163D">
        <w:t xml:space="preserve">mean </w:t>
      </w:r>
      <w:r w:rsidRPr="0062163D">
        <w:t>diameter of 3.6±0.6mm inflated at 19.3±2.0atm. Mean number of NC</w:t>
      </w:r>
      <w:r w:rsidR="001144C7" w:rsidRPr="0062163D">
        <w:t>-</w:t>
      </w:r>
      <w:r w:rsidRPr="0062163D">
        <w:t xml:space="preserve">balloons inflations was 2.0±0.6. Baseline and procedural characteristics are presented in </w:t>
      </w:r>
      <w:r w:rsidR="00DD3B18" w:rsidRPr="0062163D">
        <w:t>Table</w:t>
      </w:r>
      <w:r w:rsidR="008C6D94" w:rsidRPr="0062163D">
        <w:t>s</w:t>
      </w:r>
      <w:r w:rsidR="00DD3B18" w:rsidRPr="0062163D">
        <w:t xml:space="preserve"> 1</w:t>
      </w:r>
      <w:r w:rsidR="00712797" w:rsidRPr="0062163D">
        <w:t xml:space="preserve"> </w:t>
      </w:r>
      <w:r w:rsidR="00F709A0" w:rsidRPr="0062163D">
        <w:t>and 2</w:t>
      </w:r>
      <w:r w:rsidR="00DD3B18" w:rsidRPr="0062163D">
        <w:t>.</w:t>
      </w:r>
      <w:r w:rsidRPr="0062163D">
        <w:t xml:space="preserve"> </w:t>
      </w:r>
    </w:p>
    <w:p w14:paraId="7763AAD2" w14:textId="50F99772" w:rsidR="008621E0" w:rsidRPr="0062163D" w:rsidRDefault="00F709A0" w:rsidP="00714C2A">
      <w:pPr>
        <w:spacing w:line="480" w:lineRule="auto"/>
        <w:jc w:val="both"/>
      </w:pPr>
      <w:r w:rsidRPr="0062163D">
        <w:t>A comparison of the baseline and procedural characteristics between patients who underwent post-dilatation and the research protocol (n=32) and patients who had a stent, but the PCI operator decided that post-dilatation was not needed</w:t>
      </w:r>
      <w:r w:rsidR="004307A1" w:rsidRPr="0062163D">
        <w:t xml:space="preserve"> (n=9)</w:t>
      </w:r>
      <w:r w:rsidRPr="0062163D">
        <w:t xml:space="preserve"> has been included in the appendix</w:t>
      </w:r>
      <w:r w:rsidR="004307A1" w:rsidRPr="0062163D">
        <w:t xml:space="preserve"> (Appendix tables 1 and 2)</w:t>
      </w:r>
      <w:r w:rsidRPr="0062163D">
        <w:t xml:space="preserve">. </w:t>
      </w:r>
      <w:r w:rsidR="00CE4A71" w:rsidRPr="0062163D">
        <w:t>T</w:t>
      </w:r>
      <w:r w:rsidR="004307A1" w:rsidRPr="0062163D">
        <w:t xml:space="preserve">here was no difference in any of the parameters apart from stent length with patients who had post-dilatation receiving longer stents. Furthermore, as expected for patients who had post-dilatation and the research protocol more contrast volume was used and there was a trend for longer </w:t>
      </w:r>
      <w:r w:rsidR="00CE4A71" w:rsidRPr="0062163D">
        <w:t xml:space="preserve">procedure </w:t>
      </w:r>
      <w:r w:rsidR="004307A1" w:rsidRPr="0062163D">
        <w:t>duration.</w:t>
      </w:r>
    </w:p>
    <w:p w14:paraId="459D26EF" w14:textId="77777777" w:rsidR="008621E0" w:rsidRPr="0062163D" w:rsidRDefault="008621E0" w:rsidP="00714C2A">
      <w:pPr>
        <w:spacing w:line="480" w:lineRule="auto"/>
        <w:jc w:val="both"/>
      </w:pPr>
    </w:p>
    <w:p w14:paraId="2A69084D" w14:textId="77777777" w:rsidR="008D1A47" w:rsidRPr="0062163D" w:rsidRDefault="008D1A47" w:rsidP="00714C2A">
      <w:pPr>
        <w:spacing w:line="480" w:lineRule="auto"/>
        <w:jc w:val="both"/>
        <w:rPr>
          <w:b/>
          <w:bCs/>
        </w:rPr>
      </w:pPr>
      <w:r w:rsidRPr="0062163D">
        <w:rPr>
          <w:b/>
          <w:bCs/>
        </w:rPr>
        <w:t>3.1 Coronary physiology measurements</w:t>
      </w:r>
      <w:r w:rsidR="00346678" w:rsidRPr="0062163D">
        <w:rPr>
          <w:b/>
          <w:bCs/>
        </w:rPr>
        <w:t xml:space="preserve"> </w:t>
      </w:r>
    </w:p>
    <w:p w14:paraId="258ADEEC" w14:textId="4E163704" w:rsidR="008621E0" w:rsidRPr="0062163D" w:rsidRDefault="00B43D23" w:rsidP="00714C2A">
      <w:pPr>
        <w:spacing w:line="480" w:lineRule="auto"/>
        <w:jc w:val="both"/>
      </w:pPr>
      <w:r w:rsidRPr="0062163D">
        <w:t>I</w:t>
      </w:r>
      <w:r w:rsidR="008621E0" w:rsidRPr="0062163D">
        <w:t xml:space="preserve">MR </w:t>
      </w:r>
      <w:r w:rsidRPr="0062163D">
        <w:t>at baseline</w:t>
      </w:r>
      <w:r w:rsidR="008621E0" w:rsidRPr="0062163D">
        <w:t xml:space="preserve"> was 44.9±25.6 and </w:t>
      </w:r>
      <w:r w:rsidRPr="0062163D">
        <w:t xml:space="preserve">did not change significantly </w:t>
      </w:r>
      <w:r w:rsidR="008621E0" w:rsidRPr="0062163D">
        <w:t xml:space="preserve">after post-dilatation </w:t>
      </w:r>
      <w:r w:rsidRPr="0062163D">
        <w:t>(</w:t>
      </w:r>
      <w:r w:rsidR="008621E0" w:rsidRPr="0062163D">
        <w:t>48.8±34.2</w:t>
      </w:r>
      <w:r w:rsidRPr="0062163D">
        <w:t xml:space="preserve">, </w:t>
      </w:r>
      <w:r w:rsidR="008621E0" w:rsidRPr="0062163D">
        <w:t>p=0.26)</w:t>
      </w:r>
      <w:r w:rsidRPr="0062163D">
        <w:t xml:space="preserve">. </w:t>
      </w:r>
      <w:r w:rsidR="008621E0" w:rsidRPr="0062163D">
        <w:t xml:space="preserve">Similarly, there was no significant change in </w:t>
      </w:r>
      <w:proofErr w:type="spellStart"/>
      <w:r w:rsidR="008621E0" w:rsidRPr="0062163D">
        <w:t>IMR</w:t>
      </w:r>
      <w:r w:rsidR="008621E0" w:rsidRPr="0062163D">
        <w:rPr>
          <w:vertAlign w:val="subscript"/>
        </w:rPr>
        <w:t>c</w:t>
      </w:r>
      <w:proofErr w:type="spellEnd"/>
      <w:r w:rsidR="008621E0" w:rsidRPr="0062163D">
        <w:rPr>
          <w:vertAlign w:val="subscript"/>
        </w:rPr>
        <w:t xml:space="preserve"> </w:t>
      </w:r>
      <w:r w:rsidR="0032625D" w:rsidRPr="0062163D">
        <w:t>before</w:t>
      </w:r>
      <w:r w:rsidR="008621E0" w:rsidRPr="0062163D">
        <w:t xml:space="preserve"> and after post-dilatation (43.5±25.6 vs. 48.4±33.9 respectively, p=0.16)</w:t>
      </w:r>
      <w:r w:rsidRPr="0062163D">
        <w:t xml:space="preserve">. There was no difference in baseline characteristics or PCI procedural steps between patients with an increase or a decrease in IMR after post-dilatation, apart from more patients with </w:t>
      </w:r>
      <w:r w:rsidR="0015538C" w:rsidRPr="0062163D">
        <w:t xml:space="preserve">the </w:t>
      </w:r>
      <w:r w:rsidRPr="0062163D">
        <w:t xml:space="preserve">LAD as the culprit vessel </w:t>
      </w:r>
      <w:r w:rsidR="0015538C" w:rsidRPr="0062163D">
        <w:t>in the increase group</w:t>
      </w:r>
      <w:r w:rsidRPr="0062163D">
        <w:t xml:space="preserve"> (68.8% vs. 18.8%, p=0.016)</w:t>
      </w:r>
      <w:r w:rsidR="004307A1" w:rsidRPr="0062163D">
        <w:t xml:space="preserve"> (Appendix tables 3 and 4)</w:t>
      </w:r>
      <w:r w:rsidR="0015538C" w:rsidRPr="0062163D">
        <w:t xml:space="preserve">. </w:t>
      </w:r>
      <w:r w:rsidR="008621E0" w:rsidRPr="0062163D">
        <w:t xml:space="preserve">There was no difference in CFR </w:t>
      </w:r>
      <w:r w:rsidR="0032625D" w:rsidRPr="0062163D">
        <w:t>measured</w:t>
      </w:r>
      <w:r w:rsidR="008621E0" w:rsidRPr="0062163D">
        <w:t xml:space="preserve"> before and after post-dilatation (1.60±0.89 vs. 1.58±0.71, p=0.87)</w:t>
      </w:r>
      <w:r w:rsidR="0015538C" w:rsidRPr="0062163D">
        <w:t xml:space="preserve">. </w:t>
      </w:r>
      <w:r w:rsidR="008621E0" w:rsidRPr="0062163D">
        <w:t xml:space="preserve">However, FFR significantly increased from 0.91±0.08 to 0.93±0.06 (p=0.037). </w:t>
      </w:r>
      <w:proofErr w:type="spellStart"/>
      <w:r w:rsidR="008621E0" w:rsidRPr="0062163D">
        <w:t>FFR</w:t>
      </w:r>
      <w:r w:rsidR="008621E0" w:rsidRPr="0062163D">
        <w:rPr>
          <w:vertAlign w:val="subscript"/>
        </w:rPr>
        <w:t>cor</w:t>
      </w:r>
      <w:proofErr w:type="spellEnd"/>
      <w:r w:rsidR="008621E0" w:rsidRPr="0062163D">
        <w:t xml:space="preserve">, increased from 0.87±0.11 to 0.90 ± 0.08 (p=0.017). </w:t>
      </w:r>
      <w:r w:rsidR="0015538C" w:rsidRPr="0062163D">
        <w:t>Changes in physiological indices are shown in Figure</w:t>
      </w:r>
      <w:r w:rsidR="00712797" w:rsidRPr="0062163D">
        <w:t>s</w:t>
      </w:r>
      <w:r w:rsidR="0015538C" w:rsidRPr="0062163D">
        <w:t xml:space="preserve"> </w:t>
      </w:r>
      <w:r w:rsidR="004972A4" w:rsidRPr="0062163D">
        <w:t>2</w:t>
      </w:r>
      <w:r w:rsidR="00712797" w:rsidRPr="0062163D">
        <w:t xml:space="preserve"> to </w:t>
      </w:r>
      <w:r w:rsidR="004972A4" w:rsidRPr="0062163D">
        <w:t>4</w:t>
      </w:r>
      <w:r w:rsidR="0015538C" w:rsidRPr="0062163D">
        <w:t xml:space="preserve">. </w:t>
      </w:r>
    </w:p>
    <w:p w14:paraId="165DA139" w14:textId="20FECA3F" w:rsidR="009F4C84" w:rsidRPr="0062163D" w:rsidRDefault="009F4C84" w:rsidP="00714C2A">
      <w:pPr>
        <w:spacing w:line="480" w:lineRule="auto"/>
        <w:jc w:val="both"/>
      </w:pPr>
    </w:p>
    <w:p w14:paraId="2B931039" w14:textId="2489D1BC" w:rsidR="008D1A47" w:rsidRPr="0062163D" w:rsidRDefault="008D1A47" w:rsidP="009F4C84">
      <w:pPr>
        <w:spacing w:line="480" w:lineRule="auto"/>
        <w:jc w:val="both"/>
        <w:rPr>
          <w:b/>
          <w:bCs/>
        </w:rPr>
      </w:pPr>
      <w:r w:rsidRPr="0062163D">
        <w:rPr>
          <w:b/>
          <w:bCs/>
        </w:rPr>
        <w:t xml:space="preserve">3.2 Predictors of microcirculatory response </w:t>
      </w:r>
    </w:p>
    <w:p w14:paraId="76615BCC" w14:textId="2671C703" w:rsidR="009F4C84" w:rsidRPr="0062163D" w:rsidRDefault="009F4C84" w:rsidP="009F4C84">
      <w:pPr>
        <w:spacing w:line="480" w:lineRule="auto"/>
        <w:jc w:val="both"/>
      </w:pPr>
      <w:r w:rsidRPr="0062163D">
        <w:t>The potential relation</w:t>
      </w:r>
      <w:r w:rsidR="00782448" w:rsidRPr="0062163D">
        <w:t>s</w:t>
      </w:r>
      <w:r w:rsidRPr="0062163D">
        <w:t xml:space="preserve"> between changes in IMR (</w:t>
      </w:r>
      <w:proofErr w:type="spellStart"/>
      <w:r w:rsidRPr="0062163D">
        <w:t>dIMR</w:t>
      </w:r>
      <w:proofErr w:type="spellEnd"/>
      <w:r w:rsidRPr="0062163D">
        <w:t xml:space="preserve">) </w:t>
      </w:r>
      <w:r w:rsidR="00782448" w:rsidRPr="0062163D">
        <w:t xml:space="preserve">and IMR after post-dilatation </w:t>
      </w:r>
      <w:r w:rsidRPr="0062163D">
        <w:t xml:space="preserve">with baseline characteristics and procedural factors including </w:t>
      </w:r>
      <w:r w:rsidR="00782448" w:rsidRPr="0062163D">
        <w:t>measures</w:t>
      </w:r>
      <w:r w:rsidRPr="0062163D">
        <w:t xml:space="preserve"> of </w:t>
      </w:r>
      <w:r w:rsidR="00782448" w:rsidRPr="0062163D">
        <w:t xml:space="preserve">the residual post stenting in-stent </w:t>
      </w:r>
      <w:r w:rsidRPr="0062163D">
        <w:t xml:space="preserve">prolapsing </w:t>
      </w:r>
      <w:proofErr w:type="spellStart"/>
      <w:r w:rsidRPr="0062163D">
        <w:t>athero</w:t>
      </w:r>
      <w:proofErr w:type="spellEnd"/>
      <w:r w:rsidRPr="0062163D">
        <w:t xml:space="preserve">-thrombotic material (PTP) </w:t>
      </w:r>
      <w:r w:rsidR="00782448" w:rsidRPr="0062163D">
        <w:t>were</w:t>
      </w:r>
      <w:r w:rsidRPr="0062163D">
        <w:t xml:space="preserve"> assessed. In bivariate correlation analysis, there was no significant correlation with any of the measured parameters</w:t>
      </w:r>
      <w:r w:rsidR="00F709A0" w:rsidRPr="0062163D">
        <w:t>.</w:t>
      </w:r>
    </w:p>
    <w:p w14:paraId="24105B13" w14:textId="2282AD5D" w:rsidR="00C47A72" w:rsidRPr="0062163D" w:rsidRDefault="00C47A72" w:rsidP="00714C2A">
      <w:pPr>
        <w:spacing w:line="480" w:lineRule="auto"/>
        <w:jc w:val="both"/>
      </w:pPr>
    </w:p>
    <w:p w14:paraId="0A1AE495" w14:textId="0D6A313A" w:rsidR="008D1A47" w:rsidRPr="0062163D" w:rsidRDefault="008D1A47" w:rsidP="00714C2A">
      <w:pPr>
        <w:spacing w:line="480" w:lineRule="auto"/>
        <w:jc w:val="both"/>
        <w:rPr>
          <w:b/>
          <w:bCs/>
        </w:rPr>
      </w:pPr>
      <w:r w:rsidRPr="0062163D">
        <w:rPr>
          <w:b/>
          <w:bCs/>
        </w:rPr>
        <w:t>3.3. Optical coherence tomography measurements</w:t>
      </w:r>
      <w:r w:rsidR="00346678" w:rsidRPr="0062163D">
        <w:rPr>
          <w:b/>
          <w:bCs/>
        </w:rPr>
        <w:t xml:space="preserve"> </w:t>
      </w:r>
    </w:p>
    <w:p w14:paraId="4C6E9C99" w14:textId="68CFD44B" w:rsidR="00983387" w:rsidRPr="0062163D" w:rsidRDefault="007A50EC" w:rsidP="00714C2A">
      <w:pPr>
        <w:spacing w:line="480" w:lineRule="auto"/>
        <w:jc w:val="both"/>
      </w:pPr>
      <w:r w:rsidRPr="0062163D">
        <w:t>Post-dilatation improved</w:t>
      </w:r>
      <w:r w:rsidR="00C47A72" w:rsidRPr="0062163D">
        <w:t xml:space="preserve"> absolute and relative </w:t>
      </w:r>
      <w:r w:rsidRPr="0062163D">
        <w:t xml:space="preserve">stent </w:t>
      </w:r>
      <w:r w:rsidR="00C47A72" w:rsidRPr="0062163D">
        <w:t xml:space="preserve">expansion. </w:t>
      </w:r>
      <w:r w:rsidRPr="0062163D">
        <w:t>Minimum lumen area across the stent length (i</w:t>
      </w:r>
      <w:r w:rsidR="00C47A72" w:rsidRPr="0062163D">
        <w:t>n-stent MLA</w:t>
      </w:r>
      <w:r w:rsidRPr="0062163D">
        <w:t>)</w:t>
      </w:r>
      <w:r w:rsidR="00C47A72" w:rsidRPr="0062163D">
        <w:t xml:space="preserve"> increased from 5.3</w:t>
      </w:r>
      <w:r w:rsidR="00C47A72" w:rsidRPr="0062163D">
        <w:sym w:font="Symbol" w:char="F0B1"/>
      </w:r>
      <w:r w:rsidR="00C47A72" w:rsidRPr="0062163D">
        <w:t>1.8 to 5.8</w:t>
      </w:r>
      <w:r w:rsidR="00C47A72" w:rsidRPr="0062163D">
        <w:sym w:font="Symbol" w:char="F0B1"/>
      </w:r>
      <w:r w:rsidR="00C47A72" w:rsidRPr="0062163D">
        <w:t>2.0mm</w:t>
      </w:r>
      <w:r w:rsidR="00C47A72" w:rsidRPr="0062163D">
        <w:rPr>
          <w:vertAlign w:val="superscript"/>
        </w:rPr>
        <w:t xml:space="preserve">2 </w:t>
      </w:r>
      <w:r w:rsidR="00C47A72" w:rsidRPr="0062163D">
        <w:t xml:space="preserve">(p &lt;0.001) and </w:t>
      </w:r>
      <w:r w:rsidRPr="0062163D">
        <w:t>minimum stent area (MSA)</w:t>
      </w:r>
      <w:r w:rsidR="00C47A72" w:rsidRPr="0062163D">
        <w:t xml:space="preserve"> from 5.6</w:t>
      </w:r>
      <w:r w:rsidR="00C47A72" w:rsidRPr="0062163D">
        <w:sym w:font="Symbol" w:char="F0B1"/>
      </w:r>
      <w:r w:rsidR="00C47A72" w:rsidRPr="0062163D">
        <w:t>1.9 to 5.9</w:t>
      </w:r>
      <w:r w:rsidR="00C47A72" w:rsidRPr="0062163D">
        <w:sym w:font="Symbol" w:char="F0B1"/>
      </w:r>
      <w:r w:rsidR="00C47A72" w:rsidRPr="0062163D">
        <w:t>2.2mm</w:t>
      </w:r>
      <w:r w:rsidR="00C47A72" w:rsidRPr="0062163D">
        <w:rPr>
          <w:vertAlign w:val="superscript"/>
        </w:rPr>
        <w:t xml:space="preserve">2 </w:t>
      </w:r>
      <w:r w:rsidR="00C47A72" w:rsidRPr="0062163D">
        <w:t xml:space="preserve">(p=0.017). </w:t>
      </w:r>
      <w:r w:rsidR="008C6D94" w:rsidRPr="0062163D">
        <w:t>The</w:t>
      </w:r>
      <w:r w:rsidR="00967419" w:rsidRPr="0062163D">
        <w:t xml:space="preserve"> p</w:t>
      </w:r>
      <w:r w:rsidR="00C47A72" w:rsidRPr="0062163D">
        <w:t xml:space="preserve">ercentage of cases </w:t>
      </w:r>
      <w:r w:rsidR="00760559" w:rsidRPr="0062163D">
        <w:t>with</w:t>
      </w:r>
      <w:r w:rsidR="00C47A72" w:rsidRPr="0062163D">
        <w:t xml:space="preserve"> a relative expansion &gt;70%</w:t>
      </w:r>
      <w:r w:rsidR="00760559" w:rsidRPr="0062163D">
        <w:t xml:space="preserve"> </w:t>
      </w:r>
      <w:r w:rsidR="00760559" w:rsidRPr="0062163D">
        <w:rPr>
          <w:vertAlign w:val="superscript"/>
        </w:rPr>
        <w:t>12</w:t>
      </w:r>
      <w:r w:rsidR="00C47A72" w:rsidRPr="0062163D">
        <w:t xml:space="preserve"> increased from 35% to 61% (p=0.039). </w:t>
      </w:r>
      <w:r w:rsidR="00760559" w:rsidRPr="0062163D">
        <w:t xml:space="preserve">When a cut-off value of &gt;80% was used </w:t>
      </w:r>
      <w:r w:rsidR="00760559" w:rsidRPr="0062163D">
        <w:rPr>
          <w:vertAlign w:val="superscript"/>
        </w:rPr>
        <w:t>11</w:t>
      </w:r>
      <w:r w:rsidR="00760559" w:rsidRPr="0062163D">
        <w:t xml:space="preserve">, there was a strong trend towards increase of optimal relative expansion (16% vs. 32%, p=0.063). </w:t>
      </w:r>
      <w:r w:rsidR="00967419" w:rsidRPr="0062163D">
        <w:t>However, t</w:t>
      </w:r>
      <w:r w:rsidR="00C47A72" w:rsidRPr="0062163D">
        <w:t>he number of cases with an in-stent MLA&lt;4.5mm</w:t>
      </w:r>
      <w:r w:rsidR="00C47A72" w:rsidRPr="0062163D">
        <w:rPr>
          <w:vertAlign w:val="superscript"/>
        </w:rPr>
        <w:t xml:space="preserve">2 </w:t>
      </w:r>
      <w:r w:rsidR="00A05121" w:rsidRPr="0062163D">
        <w:t>did not change</w:t>
      </w:r>
      <w:r w:rsidR="00143DAE" w:rsidRPr="0062163D">
        <w:t xml:space="preserve"> (Table </w:t>
      </w:r>
      <w:r w:rsidR="004972A4" w:rsidRPr="0062163D">
        <w:t>3</w:t>
      </w:r>
      <w:r w:rsidR="00143DAE" w:rsidRPr="0062163D">
        <w:t>)</w:t>
      </w:r>
      <w:r w:rsidR="00C47A72" w:rsidRPr="0062163D">
        <w:t xml:space="preserve">. </w:t>
      </w:r>
    </w:p>
    <w:p w14:paraId="571D590A" w14:textId="6DA3E462" w:rsidR="00983387" w:rsidRPr="0062163D" w:rsidRDefault="007B6091" w:rsidP="00714C2A">
      <w:pPr>
        <w:spacing w:line="480" w:lineRule="auto"/>
        <w:jc w:val="both"/>
      </w:pPr>
      <w:r w:rsidRPr="0062163D">
        <w:t xml:space="preserve">Post dilatation improved all variables used to quantify stent strut </w:t>
      </w:r>
      <w:proofErr w:type="spellStart"/>
      <w:r w:rsidRPr="0062163D">
        <w:t>malapposition</w:t>
      </w:r>
      <w:proofErr w:type="spellEnd"/>
      <w:r w:rsidRPr="0062163D">
        <w:t>.</w:t>
      </w:r>
      <w:r w:rsidR="00983387" w:rsidRPr="0062163D">
        <w:t xml:space="preserve"> Maximum and mean areas of </w:t>
      </w:r>
      <w:proofErr w:type="spellStart"/>
      <w:r w:rsidR="00983387" w:rsidRPr="0062163D">
        <w:t>malapposition</w:t>
      </w:r>
      <w:proofErr w:type="spellEnd"/>
      <w:r w:rsidR="00983387" w:rsidRPr="0062163D">
        <w:t xml:space="preserve"> were reduced more than 50% (2.6±2.2 vs. 1.1±1.0mm</w:t>
      </w:r>
      <w:r w:rsidR="00983387" w:rsidRPr="0062163D">
        <w:rPr>
          <w:vertAlign w:val="superscript"/>
        </w:rPr>
        <w:t>2</w:t>
      </w:r>
      <w:r w:rsidR="00983387" w:rsidRPr="0062163D">
        <w:t>, p&lt;0.001 and 0.8±0.7 vs. 0.4±0.4mm</w:t>
      </w:r>
      <w:r w:rsidR="00983387" w:rsidRPr="0062163D">
        <w:rPr>
          <w:vertAlign w:val="superscript"/>
        </w:rPr>
        <w:t>2</w:t>
      </w:r>
      <w:r w:rsidR="00983387" w:rsidRPr="0062163D">
        <w:t xml:space="preserve">, p=0.001, respectively). The degree of reduction for the </w:t>
      </w:r>
      <w:proofErr w:type="spellStart"/>
      <w:r w:rsidR="00983387" w:rsidRPr="0062163D">
        <w:t>malapposition</w:t>
      </w:r>
      <w:proofErr w:type="spellEnd"/>
      <w:r w:rsidR="00983387" w:rsidRPr="0062163D">
        <w:t xml:space="preserve"> volume and burden was even greater (7.9±9.7 vs. 2.2±2.4mm</w:t>
      </w:r>
      <w:r w:rsidR="00983387" w:rsidRPr="0062163D">
        <w:rPr>
          <w:vertAlign w:val="superscript"/>
        </w:rPr>
        <w:t>3</w:t>
      </w:r>
      <w:r w:rsidR="00983387" w:rsidRPr="0062163D">
        <w:t>, p&lt;0.001 and 3.8±4.0 vs. 0.9±0.9mm</w:t>
      </w:r>
      <w:r w:rsidR="00983387" w:rsidRPr="0062163D">
        <w:rPr>
          <w:vertAlign w:val="superscript"/>
        </w:rPr>
        <w:t>3</w:t>
      </w:r>
      <w:r w:rsidR="00983387" w:rsidRPr="0062163D">
        <w:t xml:space="preserve">, p&lt;0.001, respectively). Before post-dilatation the maximum </w:t>
      </w:r>
      <w:proofErr w:type="spellStart"/>
      <w:r w:rsidR="00983387" w:rsidRPr="0062163D">
        <w:t>malapposition</w:t>
      </w:r>
      <w:proofErr w:type="spellEnd"/>
      <w:r w:rsidR="00983387" w:rsidRPr="0062163D">
        <w:t xml:space="preserve"> distance was 0.7±0.5mm </w:t>
      </w:r>
      <w:r w:rsidRPr="0062163D">
        <w:t>and</w:t>
      </w:r>
      <w:r w:rsidR="00983387" w:rsidRPr="0062163D">
        <w:t xml:space="preserve"> was reduced significantly to 0.4±0.2 mm (p=0.004). Both the maximum consecutive and total length of </w:t>
      </w:r>
      <w:proofErr w:type="spellStart"/>
      <w:r w:rsidR="00983387" w:rsidRPr="0062163D">
        <w:t>malapposed</w:t>
      </w:r>
      <w:proofErr w:type="spellEnd"/>
      <w:r w:rsidR="00983387" w:rsidRPr="0062163D">
        <w:t xml:space="preserve"> struts was reduced from 3.9±3.3 </w:t>
      </w:r>
      <w:r w:rsidRPr="0062163D">
        <w:t>to</w:t>
      </w:r>
      <w:r w:rsidR="00983387" w:rsidRPr="0062163D">
        <w:t xml:space="preserve"> 2.0±1.6mm (p=0.002) and 7.9±5.9mm </w:t>
      </w:r>
      <w:r w:rsidRPr="0062163D">
        <w:t>to</w:t>
      </w:r>
      <w:r w:rsidR="00983387" w:rsidRPr="0062163D">
        <w:t xml:space="preserve"> 4.5±3.7mm (p&lt;0.001) respectively. Finally, post-</w:t>
      </w:r>
      <w:r w:rsidR="00983387" w:rsidRPr="0062163D">
        <w:lastRenderedPageBreak/>
        <w:t xml:space="preserve">dilatation reduced the number of </w:t>
      </w:r>
      <w:proofErr w:type="spellStart"/>
      <w:r w:rsidR="00983387" w:rsidRPr="0062163D">
        <w:t>malapposed</w:t>
      </w:r>
      <w:proofErr w:type="spellEnd"/>
      <w:r w:rsidR="00983387" w:rsidRPr="0062163D">
        <w:t xml:space="preserve"> stent struts from 145.0±132.0 to 53.2±46.2 (p&lt;0.001). The above changes led to a reduction in the cases with </w:t>
      </w:r>
      <w:proofErr w:type="spellStart"/>
      <w:r w:rsidR="00983387" w:rsidRPr="0062163D">
        <w:t>malapposed</w:t>
      </w:r>
      <w:proofErr w:type="spellEnd"/>
      <w:r w:rsidR="00983387" w:rsidRPr="0062163D">
        <w:t xml:space="preserve"> struts with a maximum axial distance of 0.5mm from 71% to 41.9% (p=0.022)</w:t>
      </w:r>
      <w:r w:rsidR="00143DAE" w:rsidRPr="0062163D">
        <w:t xml:space="preserve"> (Table </w:t>
      </w:r>
      <w:r w:rsidR="004972A4" w:rsidRPr="0062163D">
        <w:t>4</w:t>
      </w:r>
      <w:r w:rsidR="00143DAE" w:rsidRPr="0062163D">
        <w:t>)</w:t>
      </w:r>
      <w:r w:rsidR="00983387" w:rsidRPr="0062163D">
        <w:t xml:space="preserve">. </w:t>
      </w:r>
    </w:p>
    <w:p w14:paraId="2234E3F7" w14:textId="41DD0015" w:rsidR="008C6D94" w:rsidRPr="0062163D" w:rsidRDefault="00983387" w:rsidP="00714C2A">
      <w:pPr>
        <w:spacing w:line="480" w:lineRule="auto"/>
        <w:jc w:val="both"/>
      </w:pPr>
      <w:r w:rsidRPr="0062163D">
        <w:t xml:space="preserve">In contrast to stent expansion and </w:t>
      </w:r>
      <w:proofErr w:type="spellStart"/>
      <w:r w:rsidRPr="0062163D">
        <w:t>malapposition</w:t>
      </w:r>
      <w:proofErr w:type="spellEnd"/>
      <w:r w:rsidR="007B6091" w:rsidRPr="0062163D">
        <w:t>,</w:t>
      </w:r>
      <w:r w:rsidRPr="0062163D">
        <w:t xml:space="preserve"> </w:t>
      </w:r>
      <w:r w:rsidR="00DB6990" w:rsidRPr="0062163D">
        <w:t xml:space="preserve">there was an increase in </w:t>
      </w:r>
      <w:r w:rsidR="008C6D94" w:rsidRPr="0062163D">
        <w:t>tissue</w:t>
      </w:r>
      <w:r w:rsidR="00DB6990" w:rsidRPr="0062163D">
        <w:t xml:space="preserve"> protrusion through the stent struts as shown by maximum and mean areas, total length and volume</w:t>
      </w:r>
      <w:r w:rsidRPr="0062163D">
        <w:t xml:space="preserve">. </w:t>
      </w:r>
      <w:r w:rsidR="00DB6990" w:rsidRPr="0062163D">
        <w:t xml:space="preserve">However, plaque-thrombus protrusion thickness and </w:t>
      </w:r>
      <w:r w:rsidR="00143DAE" w:rsidRPr="0062163D">
        <w:t xml:space="preserve">% protrusion area/stent area </w:t>
      </w:r>
      <w:r w:rsidR="00DB6990" w:rsidRPr="0062163D">
        <w:t>did not change</w:t>
      </w:r>
      <w:r w:rsidR="00143DAE" w:rsidRPr="0062163D">
        <w:t xml:space="preserve"> (Table </w:t>
      </w:r>
      <w:r w:rsidR="004972A4" w:rsidRPr="0062163D">
        <w:t>5</w:t>
      </w:r>
      <w:r w:rsidR="00143DAE" w:rsidRPr="0062163D">
        <w:t>)</w:t>
      </w:r>
      <w:r w:rsidR="00DB6990" w:rsidRPr="0062163D">
        <w:t xml:space="preserve">. </w:t>
      </w:r>
    </w:p>
    <w:p w14:paraId="36105195" w14:textId="2EF45447" w:rsidR="00983387" w:rsidRPr="0062163D" w:rsidRDefault="00983387" w:rsidP="00714C2A">
      <w:pPr>
        <w:spacing w:line="480" w:lineRule="auto"/>
        <w:jc w:val="both"/>
      </w:pPr>
      <w:r w:rsidRPr="0062163D">
        <w:t>There was no stent</w:t>
      </w:r>
      <w:r w:rsidR="00D96E15" w:rsidRPr="0062163D">
        <w:t>-</w:t>
      </w:r>
      <w:r w:rsidRPr="0062163D">
        <w:t>edge dissection detected by coronary angiography in any of the patients. However, OCT showed 8 patients having a stent</w:t>
      </w:r>
      <w:r w:rsidR="00D96E15" w:rsidRPr="0062163D">
        <w:t>-</w:t>
      </w:r>
      <w:r w:rsidRPr="0062163D">
        <w:t xml:space="preserve">edge dissection </w:t>
      </w:r>
      <w:r w:rsidR="00D96E15" w:rsidRPr="0062163D">
        <w:t>before</w:t>
      </w:r>
      <w:r w:rsidRPr="0062163D">
        <w:t xml:space="preserve"> post-dilatation </w:t>
      </w:r>
      <w:r w:rsidR="00D96E15" w:rsidRPr="0062163D">
        <w:t>and</w:t>
      </w:r>
      <w:r w:rsidRPr="0062163D">
        <w:t xml:space="preserve"> 12 </w:t>
      </w:r>
      <w:r w:rsidR="00D96E15" w:rsidRPr="0062163D">
        <w:t>afterwards</w:t>
      </w:r>
      <w:r w:rsidRPr="0062163D">
        <w:t xml:space="preserve">. </w:t>
      </w:r>
      <w:r w:rsidR="00143DAE" w:rsidRPr="0062163D">
        <w:t xml:space="preserve">Table </w:t>
      </w:r>
      <w:r w:rsidR="004972A4" w:rsidRPr="0062163D">
        <w:t>6</w:t>
      </w:r>
      <w:r w:rsidR="00D96E15" w:rsidRPr="0062163D">
        <w:t xml:space="preserve"> shows the per stent-edge distribution</w:t>
      </w:r>
      <w:r w:rsidR="005433CF" w:rsidRPr="0062163D">
        <w:t xml:space="preserve">. </w:t>
      </w:r>
      <w:r w:rsidR="00D96E15" w:rsidRPr="0062163D">
        <w:t>O</w:t>
      </w:r>
      <w:r w:rsidRPr="0062163D">
        <w:t>perators were blinded to OCT results</w:t>
      </w:r>
      <w:r w:rsidR="00177C4E" w:rsidRPr="0062163D">
        <w:t xml:space="preserve"> and </w:t>
      </w:r>
      <w:r w:rsidRPr="0062163D">
        <w:t xml:space="preserve">none of these dissections </w:t>
      </w:r>
      <w:r w:rsidR="00177C4E" w:rsidRPr="0062163D">
        <w:t>was</w:t>
      </w:r>
      <w:r w:rsidRPr="0062163D">
        <w:t xml:space="preserve"> treated.</w:t>
      </w:r>
    </w:p>
    <w:p w14:paraId="14134739" w14:textId="3F6F1190" w:rsidR="00983387" w:rsidRPr="0062163D" w:rsidRDefault="00983387" w:rsidP="00714C2A">
      <w:pPr>
        <w:spacing w:line="480" w:lineRule="auto"/>
        <w:jc w:val="both"/>
      </w:pPr>
    </w:p>
    <w:p w14:paraId="6469D758" w14:textId="72DF5F22" w:rsidR="008D1A47" w:rsidRPr="0062163D" w:rsidRDefault="008D1A47" w:rsidP="00714C2A">
      <w:pPr>
        <w:spacing w:line="480" w:lineRule="auto"/>
        <w:jc w:val="both"/>
        <w:rPr>
          <w:b/>
          <w:bCs/>
        </w:rPr>
      </w:pPr>
      <w:r w:rsidRPr="0062163D">
        <w:rPr>
          <w:b/>
          <w:bCs/>
        </w:rPr>
        <w:t xml:space="preserve">3.4 Correlation of FFR with lumen area </w:t>
      </w:r>
    </w:p>
    <w:p w14:paraId="0144F16C" w14:textId="2FF32412" w:rsidR="00346678" w:rsidRPr="0062163D" w:rsidRDefault="00983387" w:rsidP="00714C2A">
      <w:pPr>
        <w:spacing w:line="480" w:lineRule="auto"/>
        <w:jc w:val="both"/>
      </w:pPr>
      <w:r w:rsidRPr="0062163D">
        <w:t xml:space="preserve">FFR and </w:t>
      </w:r>
      <w:proofErr w:type="spellStart"/>
      <w:r w:rsidRPr="0062163D">
        <w:t>FFR</w:t>
      </w:r>
      <w:r w:rsidRPr="0062163D">
        <w:rPr>
          <w:vertAlign w:val="subscript"/>
        </w:rPr>
        <w:t>cor</w:t>
      </w:r>
      <w:proofErr w:type="spellEnd"/>
      <w:r w:rsidRPr="0062163D">
        <w:t xml:space="preserve"> before post-dilatation showed a statistically significant positive correlation with in-stent MLA before post-dilatation (r=0.408, p=0.023 and r=0.398, p=0.029 respectively). Similarly, FFR and </w:t>
      </w:r>
      <w:proofErr w:type="spellStart"/>
      <w:r w:rsidRPr="0062163D">
        <w:t>FFR</w:t>
      </w:r>
      <w:r w:rsidRPr="0062163D">
        <w:rPr>
          <w:vertAlign w:val="subscript"/>
        </w:rPr>
        <w:t>cor</w:t>
      </w:r>
      <w:proofErr w:type="spellEnd"/>
      <w:r w:rsidRPr="0062163D">
        <w:t xml:space="preserve"> after post-dilatation had a significant positive correlation with in-stent MLA after post-dilatation (r=0.353, p=0.05 and r=0.363 p=0.05 respectively). There was no correlation between FFR and </w:t>
      </w:r>
      <w:proofErr w:type="spellStart"/>
      <w:r w:rsidRPr="0062163D">
        <w:t>FFR</w:t>
      </w:r>
      <w:r w:rsidRPr="0062163D">
        <w:rPr>
          <w:vertAlign w:val="subscript"/>
        </w:rPr>
        <w:t>cor</w:t>
      </w:r>
      <w:proofErr w:type="spellEnd"/>
      <w:r w:rsidRPr="0062163D">
        <w:t xml:space="preserve"> with relative stent expansion (p&gt;0.05). After post-dilatation FFR and </w:t>
      </w:r>
      <w:proofErr w:type="spellStart"/>
      <w:r w:rsidRPr="0062163D">
        <w:t>FFR</w:t>
      </w:r>
      <w:r w:rsidRPr="0062163D">
        <w:rPr>
          <w:vertAlign w:val="subscript"/>
        </w:rPr>
        <w:t>cor</w:t>
      </w:r>
      <w:proofErr w:type="spellEnd"/>
      <w:r w:rsidRPr="0062163D">
        <w:t xml:space="preserve"> were significantly higher for patients with an MLA&gt;4.5 mm</w:t>
      </w:r>
      <w:r w:rsidRPr="0062163D">
        <w:rPr>
          <w:vertAlign w:val="superscript"/>
        </w:rPr>
        <w:t xml:space="preserve">2 </w:t>
      </w:r>
      <w:r w:rsidRPr="0062163D">
        <w:t>(0.94±0.05 vs. 0.89±0.06, p=0.014 and 0.92±0.07 vs. 0.85±0.07, p=0.012 respectively) (</w:t>
      </w:r>
      <w:r w:rsidR="005433CF" w:rsidRPr="0062163D">
        <w:t>Figure</w:t>
      </w:r>
      <w:r w:rsidR="00143DAE" w:rsidRPr="0062163D">
        <w:t xml:space="preserve"> </w:t>
      </w:r>
      <w:r w:rsidR="004972A4" w:rsidRPr="0062163D">
        <w:t>5</w:t>
      </w:r>
      <w:r w:rsidRPr="0062163D">
        <w:t>).</w:t>
      </w:r>
    </w:p>
    <w:p w14:paraId="15DDCD93" w14:textId="79242F9B" w:rsidR="00CE4A71" w:rsidRPr="0062163D" w:rsidRDefault="00CE4A71" w:rsidP="00714C2A">
      <w:pPr>
        <w:spacing w:line="480" w:lineRule="auto"/>
        <w:jc w:val="both"/>
      </w:pPr>
    </w:p>
    <w:p w14:paraId="7C4337C7" w14:textId="39BFD1D8" w:rsidR="00CE4A71" w:rsidRPr="0062163D" w:rsidRDefault="00CE4A71" w:rsidP="00714C2A">
      <w:pPr>
        <w:spacing w:line="480" w:lineRule="auto"/>
        <w:jc w:val="both"/>
      </w:pPr>
    </w:p>
    <w:p w14:paraId="0EE20B63" w14:textId="77777777" w:rsidR="00CE4A71" w:rsidRPr="0062163D" w:rsidRDefault="00CE4A71" w:rsidP="00714C2A">
      <w:pPr>
        <w:spacing w:line="480" w:lineRule="auto"/>
        <w:jc w:val="both"/>
      </w:pPr>
    </w:p>
    <w:p w14:paraId="76567DA2" w14:textId="0D649797" w:rsidR="00430A5A" w:rsidRPr="0062163D" w:rsidRDefault="008D1A47" w:rsidP="00714C2A">
      <w:pPr>
        <w:spacing w:line="480" w:lineRule="auto"/>
        <w:jc w:val="both"/>
      </w:pPr>
      <w:r w:rsidRPr="0062163D">
        <w:rPr>
          <w:b/>
        </w:rPr>
        <w:lastRenderedPageBreak/>
        <w:t>4. DISCUSSION</w:t>
      </w:r>
    </w:p>
    <w:p w14:paraId="21695A08" w14:textId="1615DE82" w:rsidR="00B157B7" w:rsidRPr="0062163D" w:rsidRDefault="00A93CBA" w:rsidP="00714C2A">
      <w:pPr>
        <w:spacing w:line="480" w:lineRule="auto"/>
        <w:jc w:val="both"/>
      </w:pPr>
      <w:r w:rsidRPr="0062163D">
        <w:t xml:space="preserve">This prospective observational study evaluated the effects of stent post-dilatation in STEMI patients using for the first time a combination of invasive </w:t>
      </w:r>
      <w:r w:rsidR="0054504F" w:rsidRPr="0062163D">
        <w:t xml:space="preserve">coronary </w:t>
      </w:r>
      <w:r w:rsidRPr="0062163D">
        <w:t xml:space="preserve">physiology and intracoronary imaging. The novel study design led to a number of interesting observations. </w:t>
      </w:r>
      <w:r w:rsidR="00B157B7" w:rsidRPr="0062163D">
        <w:t xml:space="preserve">Stent post-dilatation did </w:t>
      </w:r>
      <w:r w:rsidR="00533338" w:rsidRPr="0062163D">
        <w:t>not lead to an</w:t>
      </w:r>
      <w:r w:rsidR="00B157B7" w:rsidRPr="0062163D">
        <w:t xml:space="preserve"> increase in IMR</w:t>
      </w:r>
      <w:r w:rsidR="00287EBC" w:rsidRPr="0062163D">
        <w:t xml:space="preserve"> overall</w:t>
      </w:r>
      <w:r w:rsidR="00B157B7" w:rsidRPr="0062163D">
        <w:t xml:space="preserve">. </w:t>
      </w:r>
      <w:r w:rsidR="00FA77B9" w:rsidRPr="0062163D">
        <w:t xml:space="preserve">Nevertheless, at an individual patient level, IMR increased in half of the cases. </w:t>
      </w:r>
      <w:r w:rsidR="00782448" w:rsidRPr="0062163D">
        <w:t xml:space="preserve">Overall </w:t>
      </w:r>
      <w:r w:rsidR="005433CF" w:rsidRPr="0062163D">
        <w:t>CF</w:t>
      </w:r>
      <w:r w:rsidR="00EF5D45" w:rsidRPr="0062163D">
        <w:t>R</w:t>
      </w:r>
      <w:r w:rsidR="00B157B7" w:rsidRPr="0062163D">
        <w:t xml:space="preserve"> did not change</w:t>
      </w:r>
      <w:r w:rsidR="00782448" w:rsidRPr="0062163D">
        <w:t xml:space="preserve"> either</w:t>
      </w:r>
      <w:r w:rsidR="00287EBC" w:rsidRPr="0062163D">
        <w:t>,</w:t>
      </w:r>
      <w:r w:rsidR="00B157B7" w:rsidRPr="0062163D">
        <w:t xml:space="preserve"> </w:t>
      </w:r>
      <w:r w:rsidR="00287EBC" w:rsidRPr="0062163D">
        <w:t>but</w:t>
      </w:r>
      <w:r w:rsidR="00B157B7" w:rsidRPr="0062163D">
        <w:t xml:space="preserve"> </w:t>
      </w:r>
      <w:r w:rsidR="005433CF" w:rsidRPr="0062163D">
        <w:t>FFR</w:t>
      </w:r>
      <w:r w:rsidRPr="0062163D">
        <w:t xml:space="preserve"> and </w:t>
      </w:r>
      <w:proofErr w:type="spellStart"/>
      <w:r w:rsidRPr="0062163D">
        <w:t>FFR</w:t>
      </w:r>
      <w:r w:rsidRPr="0062163D">
        <w:rPr>
          <w:vertAlign w:val="subscript"/>
        </w:rPr>
        <w:t>cor</w:t>
      </w:r>
      <w:proofErr w:type="spellEnd"/>
      <w:r w:rsidR="00B157B7" w:rsidRPr="0062163D">
        <w:t xml:space="preserve"> showed a small statistically significant increase after post-dilatation. </w:t>
      </w:r>
      <w:r w:rsidR="001B0FB4" w:rsidRPr="0062163D">
        <w:t>Regarding, intracoronary imaging assessment, p</w:t>
      </w:r>
      <w:r w:rsidR="00B157B7" w:rsidRPr="0062163D">
        <w:t>ost-dilatation improved absolute</w:t>
      </w:r>
      <w:r w:rsidR="001B0FB4" w:rsidRPr="0062163D">
        <w:t xml:space="preserve"> </w:t>
      </w:r>
      <w:r w:rsidR="00B157B7" w:rsidRPr="0062163D">
        <w:t>and relative stent expansion</w:t>
      </w:r>
      <w:r w:rsidR="001B0FB4" w:rsidRPr="0062163D">
        <w:t xml:space="preserve"> and all variables </w:t>
      </w:r>
      <w:r w:rsidRPr="0062163D">
        <w:t>of</w:t>
      </w:r>
      <w:r w:rsidR="001B0FB4" w:rsidRPr="0062163D">
        <w:t xml:space="preserve"> stent struts </w:t>
      </w:r>
      <w:proofErr w:type="spellStart"/>
      <w:r w:rsidR="001B0FB4" w:rsidRPr="0062163D">
        <w:t>malapposition</w:t>
      </w:r>
      <w:proofErr w:type="spellEnd"/>
      <w:r w:rsidR="001B0FB4" w:rsidRPr="0062163D">
        <w:t xml:space="preserve">. </w:t>
      </w:r>
      <w:r w:rsidR="00B157B7" w:rsidRPr="0062163D">
        <w:t xml:space="preserve">In contrast, post-dilation increased tissue </w:t>
      </w:r>
      <w:r w:rsidR="005433CF" w:rsidRPr="0062163D">
        <w:t>protrusion</w:t>
      </w:r>
      <w:r w:rsidR="00B157B7" w:rsidRPr="0062163D">
        <w:t xml:space="preserve"> through the stent struts</w:t>
      </w:r>
      <w:r w:rsidR="00533338" w:rsidRPr="0062163D">
        <w:t>. O</w:t>
      </w:r>
      <w:r w:rsidR="00B157B7" w:rsidRPr="0062163D">
        <w:t>CT</w:t>
      </w:r>
      <w:r w:rsidR="0016225F" w:rsidRPr="0062163D">
        <w:t>-</w:t>
      </w:r>
      <w:r w:rsidR="00B157B7" w:rsidRPr="0062163D">
        <w:t>detected stent edge dissections were common even before stent post-dilatation</w:t>
      </w:r>
      <w:r w:rsidR="00BD3185" w:rsidRPr="0062163D">
        <w:t xml:space="preserve"> and p</w:t>
      </w:r>
      <w:r w:rsidR="00B157B7" w:rsidRPr="0062163D">
        <w:t xml:space="preserve">ost-dilatation led to a numerical increase of stent edge dissections at the distal </w:t>
      </w:r>
      <w:r w:rsidR="00533338" w:rsidRPr="0062163D">
        <w:t xml:space="preserve">stent </w:t>
      </w:r>
      <w:r w:rsidR="00B157B7" w:rsidRPr="0062163D">
        <w:t>edg</w:t>
      </w:r>
      <w:r w:rsidR="00533338" w:rsidRPr="0062163D">
        <w:t>e</w:t>
      </w:r>
      <w:r w:rsidR="00B157B7" w:rsidRPr="0062163D">
        <w:t xml:space="preserve">. </w:t>
      </w:r>
      <w:r w:rsidR="005433CF" w:rsidRPr="0062163D">
        <w:t>Finally</w:t>
      </w:r>
      <w:r w:rsidR="001B0FB4" w:rsidRPr="0062163D">
        <w:t>, t</w:t>
      </w:r>
      <w:r w:rsidR="00B157B7" w:rsidRPr="0062163D">
        <w:t>here was a positive correlation of FFR and in-stent minimum lumen area</w:t>
      </w:r>
      <w:r w:rsidR="00BD3185" w:rsidRPr="0062163D">
        <w:t>.</w:t>
      </w:r>
    </w:p>
    <w:p w14:paraId="394D8E42" w14:textId="77777777" w:rsidR="00784185" w:rsidRPr="0062163D" w:rsidRDefault="00784185" w:rsidP="00714C2A">
      <w:pPr>
        <w:spacing w:line="480" w:lineRule="auto"/>
        <w:jc w:val="both"/>
      </w:pPr>
    </w:p>
    <w:p w14:paraId="388DF47C" w14:textId="07F47786" w:rsidR="00F671D6" w:rsidRPr="0062163D" w:rsidRDefault="00E60457" w:rsidP="00714C2A">
      <w:pPr>
        <w:spacing w:line="480" w:lineRule="auto"/>
        <w:jc w:val="both"/>
      </w:pPr>
      <w:r w:rsidRPr="0062163D">
        <w:t>In POSTDIL-STEMI, s</w:t>
      </w:r>
      <w:r w:rsidR="000179EC" w:rsidRPr="0062163D">
        <w:t>tent</w:t>
      </w:r>
      <w:r w:rsidR="00784185" w:rsidRPr="0062163D">
        <w:t xml:space="preserve"> post-dilatation did not produce a consistent and predictable microvascular injury as it would be depicted by a significant increase in IMR. </w:t>
      </w:r>
      <w:r w:rsidR="0082572D" w:rsidRPr="0062163D">
        <w:t xml:space="preserve">Therefore, contradicting theoretical concerns, post-dilatation did not cause </w:t>
      </w:r>
      <w:r w:rsidR="00CE4A71" w:rsidRPr="0062163D">
        <w:t xml:space="preserve">significant </w:t>
      </w:r>
      <w:r w:rsidR="00F709A0" w:rsidRPr="0062163D">
        <w:t xml:space="preserve">universal </w:t>
      </w:r>
      <w:r w:rsidR="0082572D" w:rsidRPr="0062163D">
        <w:t xml:space="preserve">microvascular injury. </w:t>
      </w:r>
      <w:r w:rsidR="00B0011D" w:rsidRPr="0062163D">
        <w:t>However, a</w:t>
      </w:r>
      <w:r w:rsidR="00533338" w:rsidRPr="0062163D">
        <w:t>t</w:t>
      </w:r>
      <w:r w:rsidR="00784185" w:rsidRPr="0062163D">
        <w:t xml:space="preserve"> an individual patient level, IMR increased in half of the patients and decreased in the other half. </w:t>
      </w:r>
      <w:r w:rsidR="00133C30" w:rsidRPr="0062163D">
        <w:t xml:space="preserve">Two previous studies have used sequential measurements of IMR in the context of primary PCI </w:t>
      </w:r>
      <w:r w:rsidR="005433CF" w:rsidRPr="0062163D">
        <w:t xml:space="preserve">for STEMI </w:t>
      </w:r>
      <w:r w:rsidR="00133C30" w:rsidRPr="0062163D">
        <w:t xml:space="preserve">to assess the impact of </w:t>
      </w:r>
      <w:r w:rsidR="008E0E0F" w:rsidRPr="0062163D">
        <w:t>PCI procedural steps</w:t>
      </w:r>
      <w:r w:rsidR="00CE0F59" w:rsidRPr="0062163D">
        <w:rPr>
          <w:vertAlign w:val="superscript"/>
        </w:rPr>
        <w:t>1</w:t>
      </w:r>
      <w:r w:rsidR="00760559" w:rsidRPr="0062163D">
        <w:rPr>
          <w:vertAlign w:val="superscript"/>
        </w:rPr>
        <w:t>3</w:t>
      </w:r>
      <w:r w:rsidR="00CE0F59" w:rsidRPr="0062163D">
        <w:rPr>
          <w:vertAlign w:val="superscript"/>
        </w:rPr>
        <w:t>,1</w:t>
      </w:r>
      <w:r w:rsidR="00760559" w:rsidRPr="0062163D">
        <w:rPr>
          <w:vertAlign w:val="superscript"/>
        </w:rPr>
        <w:t>4</w:t>
      </w:r>
      <w:r w:rsidR="00133C30" w:rsidRPr="0062163D">
        <w:t xml:space="preserve">. In </w:t>
      </w:r>
      <w:r w:rsidR="008E0E0F" w:rsidRPr="0062163D">
        <w:t xml:space="preserve">a study of 81 patients IMR measured before </w:t>
      </w:r>
      <w:r w:rsidR="00133C30" w:rsidRPr="0062163D">
        <w:t xml:space="preserve">stent </w:t>
      </w:r>
      <w:r w:rsidR="008E0E0F" w:rsidRPr="0062163D">
        <w:t xml:space="preserve">implantation and at the end of the PCI procedure </w:t>
      </w:r>
      <w:r w:rsidR="00133C30" w:rsidRPr="0062163D">
        <w:t>improved overall</w:t>
      </w:r>
      <w:r w:rsidR="00CE0F59" w:rsidRPr="0062163D">
        <w:rPr>
          <w:vertAlign w:val="superscript"/>
        </w:rPr>
        <w:t>1</w:t>
      </w:r>
      <w:r w:rsidR="00760559" w:rsidRPr="0062163D">
        <w:rPr>
          <w:vertAlign w:val="superscript"/>
        </w:rPr>
        <w:t>3</w:t>
      </w:r>
      <w:r w:rsidR="005433CF" w:rsidRPr="0062163D">
        <w:t>.</w:t>
      </w:r>
      <w:r w:rsidR="00133C30" w:rsidRPr="0062163D">
        <w:t xml:space="preserve"> </w:t>
      </w:r>
      <w:r w:rsidR="005433CF" w:rsidRPr="0062163D">
        <w:t>However, the</w:t>
      </w:r>
      <w:r w:rsidR="00133C30" w:rsidRPr="0062163D">
        <w:t xml:space="preserve"> </w:t>
      </w:r>
      <w:r w:rsidR="00533338" w:rsidRPr="0062163D">
        <w:t>improvement</w:t>
      </w:r>
      <w:r w:rsidR="00133C30" w:rsidRPr="0062163D">
        <w:t xml:space="preserve"> was not universal as </w:t>
      </w:r>
      <w:r w:rsidR="00533338" w:rsidRPr="0062163D">
        <w:t>in specific patients’ groups</w:t>
      </w:r>
      <w:r w:rsidR="00133C30" w:rsidRPr="0062163D">
        <w:t xml:space="preserve"> IMR remained elevated or even increased further. </w:t>
      </w:r>
      <w:r w:rsidR="008E0E0F" w:rsidRPr="0062163D">
        <w:t xml:space="preserve">In the second study </w:t>
      </w:r>
      <w:r w:rsidR="008E0E0F" w:rsidRPr="0062163D">
        <w:lastRenderedPageBreak/>
        <w:t xml:space="preserve">of 41 patients randomised to manual thrombectomy or balloon angioplasty prior to stent deployment, </w:t>
      </w:r>
      <w:r w:rsidR="00133C30" w:rsidRPr="0062163D">
        <w:t>manual thrombectomy did not lead to a</w:t>
      </w:r>
      <w:r w:rsidR="005433CF" w:rsidRPr="0062163D">
        <w:t xml:space="preserve"> </w:t>
      </w:r>
      <w:r w:rsidR="00533338" w:rsidRPr="0062163D">
        <w:t xml:space="preserve">change </w:t>
      </w:r>
      <w:r w:rsidR="00133C30" w:rsidRPr="0062163D">
        <w:t>in IMR</w:t>
      </w:r>
      <w:r w:rsidR="00533338" w:rsidRPr="0062163D">
        <w:t xml:space="preserve">, but in </w:t>
      </w:r>
      <w:r w:rsidR="00133C30" w:rsidRPr="0062163D">
        <w:t xml:space="preserve">the specific group of patients with low IMR after initial </w:t>
      </w:r>
      <w:r w:rsidR="00533338" w:rsidRPr="0062163D">
        <w:t xml:space="preserve">vessel </w:t>
      </w:r>
      <w:r w:rsidR="00133C30" w:rsidRPr="0062163D">
        <w:t>recanalization, any device manipulation (i.e. balloon pre</w:t>
      </w:r>
      <w:r w:rsidR="00B85DA8" w:rsidRPr="0062163D">
        <w:t>-</w:t>
      </w:r>
      <w:r w:rsidR="00133C30" w:rsidRPr="0062163D">
        <w:t>dila</w:t>
      </w:r>
      <w:r w:rsidR="00B85DA8" w:rsidRPr="0062163D">
        <w:t>t</w:t>
      </w:r>
      <w:r w:rsidR="00133C30" w:rsidRPr="0062163D">
        <w:t>ation or thrombus aspiration</w:t>
      </w:r>
      <w:r w:rsidR="00B85DA8" w:rsidRPr="0062163D">
        <w:t>)</w:t>
      </w:r>
      <w:r w:rsidR="00133C30" w:rsidRPr="0062163D">
        <w:t xml:space="preserve"> led to an increase in IMR</w:t>
      </w:r>
      <w:r w:rsidR="00CE0F59" w:rsidRPr="0062163D">
        <w:rPr>
          <w:vertAlign w:val="superscript"/>
        </w:rPr>
        <w:t>1</w:t>
      </w:r>
      <w:r w:rsidR="00760559" w:rsidRPr="0062163D">
        <w:rPr>
          <w:vertAlign w:val="superscript"/>
        </w:rPr>
        <w:t>4</w:t>
      </w:r>
      <w:r w:rsidR="00B85DA8" w:rsidRPr="0062163D">
        <w:t xml:space="preserve">. Both studies suggested that the response of microcirculation to coronary intervention in the context of STEMI is not universal and varies between cases. This supports the findings of POSTDIL-STEMI where IMR at an individual patient level had a variable response to post-dilatation equally shared between increase and decrease. </w:t>
      </w:r>
      <w:r w:rsidR="0082572D" w:rsidRPr="0062163D">
        <w:t>In agreement to previous studies, i</w:t>
      </w:r>
      <w:r w:rsidR="00784185" w:rsidRPr="0062163D">
        <w:t xml:space="preserve">t can be hypothesized that </w:t>
      </w:r>
      <w:r w:rsidR="00133C30" w:rsidRPr="0062163D">
        <w:t xml:space="preserve">in the cases with </w:t>
      </w:r>
      <w:r w:rsidR="0082572D" w:rsidRPr="0062163D">
        <w:t xml:space="preserve">an </w:t>
      </w:r>
      <w:r w:rsidR="00784185" w:rsidRPr="0062163D">
        <w:t>IMR increase</w:t>
      </w:r>
      <w:r w:rsidR="00B85DA8" w:rsidRPr="0062163D">
        <w:t>, fragmentation and</w:t>
      </w:r>
      <w:r w:rsidR="00784185" w:rsidRPr="0062163D">
        <w:t xml:space="preserve"> </w:t>
      </w:r>
      <w:r w:rsidR="00133C30" w:rsidRPr="0062163D">
        <w:t>distal embolization</w:t>
      </w:r>
      <w:r w:rsidR="00B85DA8" w:rsidRPr="0062163D">
        <w:t xml:space="preserve"> of atherothrombotic material</w:t>
      </w:r>
      <w:r w:rsidR="0082572D" w:rsidRPr="0062163D">
        <w:t xml:space="preserve"> by NC balloon intracoronary manipulation and inflation</w:t>
      </w:r>
      <w:r w:rsidR="00B85DA8" w:rsidRPr="0062163D">
        <w:t xml:space="preserve"> </w:t>
      </w:r>
      <w:r w:rsidR="00784185" w:rsidRPr="0062163D">
        <w:t>le</w:t>
      </w:r>
      <w:r w:rsidR="00B85DA8" w:rsidRPr="0062163D">
        <w:t>d</w:t>
      </w:r>
      <w:r w:rsidR="00784185" w:rsidRPr="0062163D">
        <w:t xml:space="preserve"> to </w:t>
      </w:r>
      <w:r w:rsidR="00B85DA8" w:rsidRPr="0062163D">
        <w:t xml:space="preserve">further </w:t>
      </w:r>
      <w:r w:rsidR="00784185" w:rsidRPr="0062163D">
        <w:t xml:space="preserve">microvascular </w:t>
      </w:r>
      <w:r w:rsidR="00133C30" w:rsidRPr="0062163D">
        <w:t xml:space="preserve">injury. </w:t>
      </w:r>
      <w:r w:rsidR="00B85DA8" w:rsidRPr="0062163D">
        <w:t xml:space="preserve"> </w:t>
      </w:r>
      <w:r w:rsidR="0082572D" w:rsidRPr="0062163D">
        <w:t>Regarding the cases with an improvement of IMR after post-dilatation,</w:t>
      </w:r>
      <w:r w:rsidR="0097429D" w:rsidRPr="0062163D">
        <w:t xml:space="preserve"> the mechanism can only be speculated. In a previous study in STEMI patients showed that </w:t>
      </w:r>
      <w:r w:rsidR="005433CF" w:rsidRPr="0062163D">
        <w:t>stent placement</w:t>
      </w:r>
      <w:r w:rsidR="0082572D" w:rsidRPr="0062163D">
        <w:t xml:space="preserve"> resulted in a reduction in IMR</w:t>
      </w:r>
      <w:r w:rsidR="0097429D" w:rsidRPr="0062163D">
        <w:t xml:space="preserve"> with the proposed mechanism being </w:t>
      </w:r>
      <w:r w:rsidR="005E6E3A" w:rsidRPr="0062163D">
        <w:t>the increase of coronary flow after obstruction resolution that led to increased perfusion pressure and subsequent downstream relaxation of microcirculatory tone</w:t>
      </w:r>
      <w:r w:rsidR="00CE0F59" w:rsidRPr="0062163D">
        <w:rPr>
          <w:vertAlign w:val="superscript"/>
        </w:rPr>
        <w:t>1</w:t>
      </w:r>
      <w:r w:rsidR="00760559" w:rsidRPr="0062163D">
        <w:rPr>
          <w:vertAlign w:val="superscript"/>
        </w:rPr>
        <w:t>3</w:t>
      </w:r>
      <w:r w:rsidR="005E6E3A" w:rsidRPr="0062163D">
        <w:t xml:space="preserve">. A similar mechanism could be hypothesised in this study after stent deployment optimisation. </w:t>
      </w:r>
    </w:p>
    <w:p w14:paraId="1806D9A5" w14:textId="59D84650" w:rsidR="00FA77B9" w:rsidRPr="0062163D" w:rsidRDefault="00FA77B9" w:rsidP="00714C2A">
      <w:pPr>
        <w:spacing w:line="480" w:lineRule="auto"/>
        <w:jc w:val="both"/>
      </w:pPr>
    </w:p>
    <w:p w14:paraId="6C79AD89" w14:textId="123DE1EF" w:rsidR="00CA3B84" w:rsidRPr="0062163D" w:rsidRDefault="00FA77B9" w:rsidP="00714C2A">
      <w:pPr>
        <w:spacing w:line="480" w:lineRule="auto"/>
        <w:jc w:val="both"/>
      </w:pPr>
      <w:r w:rsidRPr="0062163D">
        <w:t xml:space="preserve">Although there was no change in microvascular function overall, there were two distinct </w:t>
      </w:r>
      <w:r w:rsidR="00782448" w:rsidRPr="0062163D">
        <w:t xml:space="preserve">patients’ </w:t>
      </w:r>
      <w:r w:rsidRPr="0062163D">
        <w:t xml:space="preserve">groups: those </w:t>
      </w:r>
      <w:r w:rsidR="00782448" w:rsidRPr="0062163D">
        <w:t>with an increase in</w:t>
      </w:r>
      <w:r w:rsidRPr="0062163D">
        <w:t xml:space="preserve"> IMR/CFR and those </w:t>
      </w:r>
      <w:r w:rsidR="00782448" w:rsidRPr="0062163D">
        <w:t>with a decrease.</w:t>
      </w:r>
      <w:r w:rsidRPr="0062163D">
        <w:t xml:space="preserve"> From a clinical perspective it would be ideal to be able to identify these patients in advance and tailor our procedure accordingly. </w:t>
      </w:r>
      <w:r w:rsidR="00782448" w:rsidRPr="0062163D">
        <w:t>However</w:t>
      </w:r>
      <w:r w:rsidR="00CA3B84" w:rsidRPr="0062163D">
        <w:t xml:space="preserve">, our study failed to identify predictors of microcirculatory response </w:t>
      </w:r>
      <w:r w:rsidR="00782448" w:rsidRPr="0062163D">
        <w:t>probably</w:t>
      </w:r>
      <w:r w:rsidR="00CA3B84" w:rsidRPr="0062163D">
        <w:t xml:space="preserve"> limited by its small sample size. Larger, adequately powered studies are </w:t>
      </w:r>
      <w:r w:rsidR="00CA3B84" w:rsidRPr="0062163D">
        <w:lastRenderedPageBreak/>
        <w:t xml:space="preserve">warranted to explore potential correlations of baseline and procedural characteristics with changes in microvascular function. </w:t>
      </w:r>
    </w:p>
    <w:p w14:paraId="5BCD07CE" w14:textId="63B14F96" w:rsidR="00E60457" w:rsidRPr="0062163D" w:rsidRDefault="00E60457" w:rsidP="00714C2A">
      <w:pPr>
        <w:spacing w:line="480" w:lineRule="auto"/>
        <w:jc w:val="both"/>
      </w:pPr>
    </w:p>
    <w:p w14:paraId="365768DD" w14:textId="31739926" w:rsidR="00B85DA8" w:rsidRPr="0062163D" w:rsidRDefault="00E60457" w:rsidP="00714C2A">
      <w:pPr>
        <w:spacing w:line="480" w:lineRule="auto"/>
        <w:jc w:val="both"/>
      </w:pPr>
      <w:r w:rsidRPr="0062163D">
        <w:t xml:space="preserve">As expected, stent post-dilatation significantly improved absolute and relative stent expansion and apposition. </w:t>
      </w:r>
      <w:r w:rsidR="00F84851" w:rsidRPr="0062163D">
        <w:t xml:space="preserve">Nevertheless, post-dilatation did not abolish stent under-expansion or </w:t>
      </w:r>
      <w:proofErr w:type="spellStart"/>
      <w:r w:rsidR="00F84851" w:rsidRPr="0062163D">
        <w:t>malapposition</w:t>
      </w:r>
      <w:proofErr w:type="spellEnd"/>
      <w:r w:rsidR="00F84851" w:rsidRPr="0062163D">
        <w:t>. Relative stent expansion remained below the optimal target of &gt;90% used in randomised trials</w:t>
      </w:r>
      <w:r w:rsidR="0014310C" w:rsidRPr="0062163D">
        <w:rPr>
          <w:vertAlign w:val="superscript"/>
        </w:rPr>
        <w:t>1</w:t>
      </w:r>
      <w:r w:rsidR="00760559" w:rsidRPr="0062163D">
        <w:rPr>
          <w:vertAlign w:val="superscript"/>
        </w:rPr>
        <w:t>5</w:t>
      </w:r>
      <w:r w:rsidR="00F84851" w:rsidRPr="0062163D">
        <w:t xml:space="preserve"> and the number of patients with an absolute stent expansion below the </w:t>
      </w:r>
      <w:r w:rsidR="00071503" w:rsidRPr="0062163D">
        <w:t>clinically</w:t>
      </w:r>
      <w:r w:rsidR="00F84851" w:rsidRPr="0062163D">
        <w:t xml:space="preserve"> significant cut off value of 4.5 mm</w:t>
      </w:r>
      <w:r w:rsidR="00F84851" w:rsidRPr="0062163D">
        <w:rPr>
          <w:vertAlign w:val="superscript"/>
        </w:rPr>
        <w:t xml:space="preserve">2 </w:t>
      </w:r>
      <w:r w:rsidR="0014310C" w:rsidRPr="0062163D">
        <w:rPr>
          <w:vertAlign w:val="superscript"/>
        </w:rPr>
        <w:t>1</w:t>
      </w:r>
      <w:r w:rsidR="00760559" w:rsidRPr="0062163D">
        <w:rPr>
          <w:vertAlign w:val="superscript"/>
        </w:rPr>
        <w:t>2</w:t>
      </w:r>
      <w:r w:rsidR="00F84851" w:rsidRPr="0062163D">
        <w:t xml:space="preserve"> did not change. </w:t>
      </w:r>
      <w:r w:rsidR="00071503" w:rsidRPr="0062163D">
        <w:t xml:space="preserve">Furthermore, the number of patients with significant </w:t>
      </w:r>
      <w:proofErr w:type="spellStart"/>
      <w:r w:rsidR="00071503" w:rsidRPr="0062163D">
        <w:t>malapposition</w:t>
      </w:r>
      <w:proofErr w:type="spellEnd"/>
      <w:r w:rsidR="00071503" w:rsidRPr="0062163D">
        <w:t xml:space="preserve"> as defined by the recent EAPCI consensus</w:t>
      </w:r>
      <w:r w:rsidR="002B29DB" w:rsidRPr="0062163D">
        <w:rPr>
          <w:vertAlign w:val="superscript"/>
        </w:rPr>
        <w:t>1</w:t>
      </w:r>
      <w:r w:rsidR="00375287" w:rsidRPr="0062163D">
        <w:rPr>
          <w:vertAlign w:val="superscript"/>
        </w:rPr>
        <w:t>1</w:t>
      </w:r>
      <w:r w:rsidR="00071503" w:rsidRPr="0062163D">
        <w:t xml:space="preserve"> remained high. These observations, on one hand, highlight the limitations of angiographically guided stent optimisation and the potential role of intracoronary imaging in the process. On the other hand, they underly the fact that absolute and relative stent expansion </w:t>
      </w:r>
      <w:r w:rsidR="00656096" w:rsidRPr="0062163D">
        <w:t>suggested cut-off values</w:t>
      </w:r>
      <w:r w:rsidR="00071503" w:rsidRPr="0062163D">
        <w:t xml:space="preserve"> are no</w:t>
      </w:r>
      <w:r w:rsidR="00656096" w:rsidRPr="0062163D">
        <w:t>t always feasible in real life and should be viewed not as absolute targets, but as guidance aids during PCI.</w:t>
      </w:r>
    </w:p>
    <w:p w14:paraId="3F9F9406" w14:textId="77777777" w:rsidR="00143DAE" w:rsidRPr="0062163D" w:rsidRDefault="00143DAE" w:rsidP="00714C2A">
      <w:pPr>
        <w:spacing w:line="480" w:lineRule="auto"/>
        <w:jc w:val="both"/>
      </w:pPr>
    </w:p>
    <w:p w14:paraId="66BEF8B3" w14:textId="7FA48A7F" w:rsidR="00DE7496" w:rsidRPr="0062163D" w:rsidRDefault="003462B4" w:rsidP="00714C2A">
      <w:pPr>
        <w:spacing w:line="480" w:lineRule="auto"/>
        <w:jc w:val="both"/>
      </w:pPr>
      <w:r w:rsidRPr="0062163D">
        <w:t xml:space="preserve">Protrusion of tissue or thrombus through stent struts have been related with adverse clinical outcomes in </w:t>
      </w:r>
      <w:r w:rsidR="000F74BB" w:rsidRPr="0062163D">
        <w:t>patients with acute coronary syndromes</w:t>
      </w:r>
      <w:r w:rsidR="002B29DB" w:rsidRPr="0062163D">
        <w:rPr>
          <w:vertAlign w:val="superscript"/>
        </w:rPr>
        <w:t>1</w:t>
      </w:r>
      <w:r w:rsidR="0014310C" w:rsidRPr="0062163D">
        <w:rPr>
          <w:vertAlign w:val="superscript"/>
        </w:rPr>
        <w:t>6</w:t>
      </w:r>
      <w:r w:rsidR="002B29DB" w:rsidRPr="0062163D">
        <w:rPr>
          <w:vertAlign w:val="superscript"/>
        </w:rPr>
        <w:t xml:space="preserve"> </w:t>
      </w:r>
      <w:r w:rsidRPr="0062163D">
        <w:t xml:space="preserve">and </w:t>
      </w:r>
      <w:r w:rsidR="00BD54A9" w:rsidRPr="0062163D">
        <w:t>in previous studies post-dilatation has been used to reduce it</w:t>
      </w:r>
      <w:r w:rsidR="00D85DB9" w:rsidRPr="0062163D">
        <w:t xml:space="preserve"> </w:t>
      </w:r>
      <w:r w:rsidR="00617236" w:rsidRPr="0062163D">
        <w:rPr>
          <w:vertAlign w:val="superscript"/>
        </w:rPr>
        <w:t>1</w:t>
      </w:r>
      <w:r w:rsidR="0014310C" w:rsidRPr="0062163D">
        <w:rPr>
          <w:vertAlign w:val="superscript"/>
        </w:rPr>
        <w:t>7</w:t>
      </w:r>
      <w:r w:rsidR="00BD54A9" w:rsidRPr="0062163D">
        <w:t xml:space="preserve">. In contrast in this study post-dilatation increased prolapsing </w:t>
      </w:r>
      <w:r w:rsidRPr="0062163D">
        <w:t>tissue</w:t>
      </w:r>
      <w:r w:rsidR="00BD54A9" w:rsidRPr="0062163D">
        <w:t xml:space="preserve">. </w:t>
      </w:r>
      <w:r w:rsidRPr="0062163D">
        <w:t>This</w:t>
      </w:r>
      <w:r w:rsidR="00BD54A9" w:rsidRPr="0062163D">
        <w:t xml:space="preserve"> could be explained by the fact that further </w:t>
      </w:r>
      <w:r w:rsidRPr="0062163D">
        <w:t xml:space="preserve">stent </w:t>
      </w:r>
      <w:r w:rsidR="00BD54A9" w:rsidRPr="0062163D">
        <w:t xml:space="preserve">expansion achieved by post-dilatation led to better </w:t>
      </w:r>
      <w:r w:rsidRPr="0062163D">
        <w:t xml:space="preserve">stent </w:t>
      </w:r>
      <w:r w:rsidR="00BD54A9" w:rsidRPr="0062163D">
        <w:t>apposition against the vessel wall</w:t>
      </w:r>
      <w:r w:rsidRPr="0062163D">
        <w:t>, compressing and protruding the underlying thrombus or soft tissue through the stent struts</w:t>
      </w:r>
      <w:r w:rsidR="00BD54A9" w:rsidRPr="0062163D">
        <w:t xml:space="preserve">. Furthermore, in </w:t>
      </w:r>
      <w:r w:rsidR="003B1C85" w:rsidRPr="0062163D">
        <w:t>previous</w:t>
      </w:r>
      <w:r w:rsidR="00BD54A9" w:rsidRPr="0062163D">
        <w:t xml:space="preserve"> studies a prolonged inflation of the NC-balloon was part of the protocol (i.e. 60sec)</w:t>
      </w:r>
      <w:r w:rsidR="00617236" w:rsidRPr="0062163D">
        <w:rPr>
          <w:vertAlign w:val="superscript"/>
        </w:rPr>
        <w:t>1</w:t>
      </w:r>
      <w:r w:rsidR="0014310C" w:rsidRPr="0062163D">
        <w:rPr>
          <w:vertAlign w:val="superscript"/>
        </w:rPr>
        <w:t>7</w:t>
      </w:r>
      <w:r w:rsidR="00BD54A9" w:rsidRPr="0062163D">
        <w:t xml:space="preserve">, while the duration of the inflation in our study was </w:t>
      </w:r>
      <w:r w:rsidR="003B1C85" w:rsidRPr="0062163D">
        <w:t xml:space="preserve">much </w:t>
      </w:r>
      <w:r w:rsidR="00BD54A9" w:rsidRPr="0062163D">
        <w:t>s</w:t>
      </w:r>
      <w:r w:rsidR="007C2F62" w:rsidRPr="0062163D">
        <w:t>h</w:t>
      </w:r>
      <w:r w:rsidR="00BD54A9" w:rsidRPr="0062163D">
        <w:t>orter.</w:t>
      </w:r>
    </w:p>
    <w:p w14:paraId="676BA5CC" w14:textId="77777777" w:rsidR="007C2F62" w:rsidRPr="0062163D" w:rsidRDefault="007C2F62" w:rsidP="00714C2A">
      <w:pPr>
        <w:spacing w:line="480" w:lineRule="auto"/>
        <w:jc w:val="both"/>
      </w:pPr>
    </w:p>
    <w:p w14:paraId="18149148" w14:textId="47112100" w:rsidR="00BD3185" w:rsidRPr="0062163D" w:rsidRDefault="00F671D6" w:rsidP="00714C2A">
      <w:pPr>
        <w:spacing w:line="480" w:lineRule="auto"/>
        <w:jc w:val="both"/>
      </w:pPr>
      <w:r w:rsidRPr="0062163D">
        <w:t xml:space="preserve">The small but statistically significant increase in FFR and </w:t>
      </w:r>
      <w:proofErr w:type="spellStart"/>
      <w:r w:rsidRPr="0062163D">
        <w:t>FFR</w:t>
      </w:r>
      <w:r w:rsidRPr="0062163D">
        <w:rPr>
          <w:vertAlign w:val="subscript"/>
        </w:rPr>
        <w:t>cor</w:t>
      </w:r>
      <w:proofErr w:type="spellEnd"/>
      <w:r w:rsidRPr="0062163D">
        <w:rPr>
          <w:vertAlign w:val="subscript"/>
        </w:rPr>
        <w:t xml:space="preserve"> </w:t>
      </w:r>
      <w:r w:rsidRPr="0062163D">
        <w:t xml:space="preserve">is an interesting finding. </w:t>
      </w:r>
      <w:r w:rsidR="00F5473D" w:rsidRPr="0062163D">
        <w:t>FFR could be false high in the case of microvascular dysfunction as in the acute state of STEMI, however, the observed</w:t>
      </w:r>
      <w:r w:rsidRPr="0062163D">
        <w:t xml:space="preserve"> increase </w:t>
      </w:r>
      <w:r w:rsidR="00F5473D" w:rsidRPr="0062163D">
        <w:t>cannot</w:t>
      </w:r>
      <w:r w:rsidRPr="0062163D">
        <w:t xml:space="preserve"> be attributed to further microvascular injury as both IMR and CFR did not change </w:t>
      </w:r>
      <w:r w:rsidR="00F5473D" w:rsidRPr="0062163D">
        <w:t>significantly,</w:t>
      </w:r>
      <w:r w:rsidRPr="0062163D">
        <w:t xml:space="preserve"> and another explanation should be attempted.  </w:t>
      </w:r>
      <w:r w:rsidR="00F5473D" w:rsidRPr="0062163D">
        <w:t>It has been suggested that post-PCI FFR could be the result of suboptimal stent deployment and recent studies have used it to  guide immediate post procedure decision-making and optimisation of PCI acute result</w:t>
      </w:r>
      <w:r w:rsidR="00D85DB9" w:rsidRPr="0062163D">
        <w:t xml:space="preserve"> </w:t>
      </w:r>
      <w:r w:rsidR="00375287" w:rsidRPr="0062163D">
        <w:rPr>
          <w:vertAlign w:val="superscript"/>
        </w:rPr>
        <w:t>1</w:t>
      </w:r>
      <w:r w:rsidR="00D85DB9" w:rsidRPr="0062163D">
        <w:rPr>
          <w:vertAlign w:val="superscript"/>
        </w:rPr>
        <w:t>8</w:t>
      </w:r>
      <w:r w:rsidR="00375287" w:rsidRPr="0062163D">
        <w:rPr>
          <w:vertAlign w:val="superscript"/>
        </w:rPr>
        <w:t>,</w:t>
      </w:r>
      <w:r w:rsidR="00D85DB9" w:rsidRPr="0062163D">
        <w:rPr>
          <w:vertAlign w:val="superscript"/>
        </w:rPr>
        <w:t>19</w:t>
      </w:r>
      <w:r w:rsidR="00F5473D" w:rsidRPr="0062163D">
        <w:t xml:space="preserve">. </w:t>
      </w:r>
      <w:r w:rsidR="00280A29" w:rsidRPr="0062163D">
        <w:t>A</w:t>
      </w:r>
      <w:r w:rsidR="00BD3185" w:rsidRPr="0062163D">
        <w:t xml:space="preserve"> recent study </w:t>
      </w:r>
      <w:r w:rsidR="00280A29" w:rsidRPr="0062163D">
        <w:t xml:space="preserve">that </w:t>
      </w:r>
      <w:r w:rsidR="00BD3185" w:rsidRPr="0062163D">
        <w:t>used OCT to delineate the causes of suboptimal post-PCI FFR</w:t>
      </w:r>
      <w:r w:rsidR="00280A29" w:rsidRPr="0062163D">
        <w:t xml:space="preserve"> showed that </w:t>
      </w:r>
      <w:r w:rsidR="00BD3185" w:rsidRPr="0062163D">
        <w:t xml:space="preserve">62% of the patients </w:t>
      </w:r>
      <w:r w:rsidR="00280A29" w:rsidRPr="0062163D">
        <w:t>had</w:t>
      </w:r>
      <w:r w:rsidR="00BD3185" w:rsidRPr="0062163D">
        <w:t xml:space="preserve"> suboptimal stent result</w:t>
      </w:r>
      <w:r w:rsidR="00280A29" w:rsidRPr="0062163D">
        <w:t>s</w:t>
      </w:r>
      <w:r w:rsidR="00BD3185" w:rsidRPr="0062163D">
        <w:t xml:space="preserve"> with the more prominent findings being stent </w:t>
      </w:r>
      <w:proofErr w:type="spellStart"/>
      <w:r w:rsidR="00BD3185" w:rsidRPr="0062163D">
        <w:t>malapposition</w:t>
      </w:r>
      <w:proofErr w:type="spellEnd"/>
      <w:r w:rsidR="00BD3185" w:rsidRPr="0062163D">
        <w:t xml:space="preserve"> and </w:t>
      </w:r>
      <w:proofErr w:type="spellStart"/>
      <w:r w:rsidR="00BD3185" w:rsidRPr="0062163D">
        <w:t>underexpansion</w:t>
      </w:r>
      <w:proofErr w:type="spellEnd"/>
      <w:r w:rsidR="00BD3185" w:rsidRPr="0062163D">
        <w:t xml:space="preserve"> </w:t>
      </w:r>
      <w:r w:rsidR="00D85DB9" w:rsidRPr="0062163D">
        <w:rPr>
          <w:vertAlign w:val="superscript"/>
        </w:rPr>
        <w:t>19</w:t>
      </w:r>
      <w:r w:rsidR="00BD3185" w:rsidRPr="0062163D">
        <w:t xml:space="preserve">. OCT </w:t>
      </w:r>
      <w:r w:rsidR="00280A29" w:rsidRPr="0062163D">
        <w:t xml:space="preserve">guided further optimisation led to an increase in </w:t>
      </w:r>
      <w:r w:rsidR="00BD3185" w:rsidRPr="0062163D">
        <w:t xml:space="preserve">FFR from 0.80±0.02 to 0.88±0.01 (p=0.008). In our study, FFR and </w:t>
      </w:r>
      <w:proofErr w:type="spellStart"/>
      <w:r w:rsidR="00BD3185" w:rsidRPr="0062163D">
        <w:t>FFR</w:t>
      </w:r>
      <w:r w:rsidR="00BD3185" w:rsidRPr="0062163D">
        <w:rPr>
          <w:vertAlign w:val="subscript"/>
        </w:rPr>
        <w:t>cor</w:t>
      </w:r>
      <w:proofErr w:type="spellEnd"/>
      <w:r w:rsidR="00BD3185" w:rsidRPr="0062163D">
        <w:t xml:space="preserve"> before and after PCI showed significant correlation with in-stent minimum lumen area suggesting that the larger lumen areas after post-dilatation could lead to higher FFR.</w:t>
      </w:r>
      <w:r w:rsidR="00782448" w:rsidRPr="0062163D">
        <w:t xml:space="preserve"> However, the small FFR increase should be interpreted with caution as it was driven by significant increase </w:t>
      </w:r>
      <w:r w:rsidR="00F709A0" w:rsidRPr="0062163D">
        <w:t xml:space="preserve">mainly </w:t>
      </w:r>
      <w:r w:rsidR="00782448" w:rsidRPr="0062163D">
        <w:t xml:space="preserve">in </w:t>
      </w:r>
      <w:r w:rsidR="00F709A0" w:rsidRPr="0062163D">
        <w:t>two</w:t>
      </w:r>
      <w:r w:rsidR="00782448" w:rsidRPr="0062163D">
        <w:t xml:space="preserve"> case</w:t>
      </w:r>
      <w:r w:rsidR="00F709A0" w:rsidRPr="0062163D">
        <w:t>s</w:t>
      </w:r>
      <w:r w:rsidR="00782448" w:rsidRPr="0062163D">
        <w:t xml:space="preserve"> as evident in figure 3. </w:t>
      </w:r>
      <w:r w:rsidR="001B349F" w:rsidRPr="0062163D">
        <w:t xml:space="preserve">Importantly, these </w:t>
      </w:r>
      <w:r w:rsidR="00F709A0" w:rsidRPr="0062163D">
        <w:t>two</w:t>
      </w:r>
      <w:r w:rsidR="001B349F" w:rsidRPr="0062163D">
        <w:t xml:space="preserve"> patients, in contrast with the rest of the cohort, had a low post-stenting FFR potentially allowing for correction of suboptimal results by post-dilatation.</w:t>
      </w:r>
    </w:p>
    <w:p w14:paraId="7976B465" w14:textId="59F37582" w:rsidR="008D1A47" w:rsidRPr="0062163D" w:rsidRDefault="008D1A47" w:rsidP="00714C2A">
      <w:pPr>
        <w:spacing w:line="480" w:lineRule="auto"/>
        <w:jc w:val="both"/>
      </w:pPr>
    </w:p>
    <w:p w14:paraId="6EAE70E9" w14:textId="489A1583" w:rsidR="008D1A47" w:rsidRPr="0062163D" w:rsidRDefault="008D1A47" w:rsidP="008D1A47">
      <w:pPr>
        <w:spacing w:line="480" w:lineRule="auto"/>
        <w:jc w:val="both"/>
      </w:pPr>
      <w:r w:rsidRPr="0062163D">
        <w:t xml:space="preserve">This study has a number of limitations. It was a single centre observational study of a limited sample size. As such, the study should be viewed as an exploratory, hypothesis generating one and its results to be interpreted with caution. It is still possible that a larger study may show that post-dilatation hampers microcirculatory function. The decision for post-dilatation was not mandated or guided by a pre-specified protocol but relied on operator’s clinical judgement. </w:t>
      </w:r>
      <w:r w:rsidRPr="0062163D">
        <w:lastRenderedPageBreak/>
        <w:t>Although this study design might have introduced a degree of selection bias, it was purposely selected in order to reflect everyday clinical practice.</w:t>
      </w:r>
      <w:r w:rsidR="004307A1" w:rsidRPr="0062163D">
        <w:t xml:space="preserve"> The fact that cases, where the operator decided post-dilatation was not needed, received shorter stents is an indication that appropriate clinical decision making was applied. </w:t>
      </w:r>
      <w:r w:rsidRPr="0062163D">
        <w:t xml:space="preserve">Finally, the study did not report any clinical endpoints and the clinical implications of the changes observed in physiological indices and stent deployment need to be assessed in future studies. </w:t>
      </w:r>
    </w:p>
    <w:p w14:paraId="6BEFEEF0" w14:textId="77777777" w:rsidR="008D1A47" w:rsidRPr="0062163D" w:rsidRDefault="008D1A47" w:rsidP="00714C2A">
      <w:pPr>
        <w:spacing w:line="480" w:lineRule="auto"/>
        <w:jc w:val="both"/>
      </w:pPr>
    </w:p>
    <w:p w14:paraId="4E5FB9F1" w14:textId="357B71FF" w:rsidR="00270A0E" w:rsidRPr="0062163D" w:rsidRDefault="00270A0E" w:rsidP="00714C2A">
      <w:pPr>
        <w:spacing w:line="480" w:lineRule="auto"/>
        <w:jc w:val="both"/>
      </w:pPr>
    </w:p>
    <w:p w14:paraId="051BB471" w14:textId="3DAC60D1" w:rsidR="00430A5A" w:rsidRPr="0062163D" w:rsidRDefault="008D1A47" w:rsidP="00714C2A">
      <w:pPr>
        <w:spacing w:line="480" w:lineRule="auto"/>
        <w:jc w:val="both"/>
        <w:rPr>
          <w:b/>
        </w:rPr>
      </w:pPr>
      <w:r w:rsidRPr="0062163D">
        <w:rPr>
          <w:b/>
        </w:rPr>
        <w:t>5. CONCLUSION</w:t>
      </w:r>
    </w:p>
    <w:p w14:paraId="03EAF3E3" w14:textId="012A05DD" w:rsidR="00D244CE" w:rsidRPr="0062163D" w:rsidRDefault="00521875" w:rsidP="00714C2A">
      <w:pPr>
        <w:spacing w:line="480" w:lineRule="auto"/>
        <w:jc w:val="both"/>
      </w:pPr>
      <w:r w:rsidRPr="0062163D">
        <w:t>In this exploratory, hypothesis-generating study, s</w:t>
      </w:r>
      <w:r w:rsidR="00D244CE" w:rsidRPr="0062163D">
        <w:t>tent optimisation by post-dilatation with NC balloons in STEMI patients undergoing primary PCI improved significantly stent expansion, apposition and post PCI FFR, without a significant effect on coronary microcirculation</w:t>
      </w:r>
      <w:r w:rsidRPr="0062163D">
        <w:t xml:space="preserve"> overall</w:t>
      </w:r>
      <w:r w:rsidR="00D244CE" w:rsidRPr="0062163D">
        <w:t>.</w:t>
      </w:r>
      <w:r w:rsidRPr="0062163D">
        <w:t xml:space="preserve"> </w:t>
      </w:r>
      <w:r w:rsidR="001B4EEF" w:rsidRPr="0062163D">
        <w:t>Nevertheless, t</w:t>
      </w:r>
      <w:r w:rsidRPr="0062163D">
        <w:t xml:space="preserve">here was a group of patients with increase in IMR and larger studies </w:t>
      </w:r>
      <w:r w:rsidR="001B4EEF" w:rsidRPr="0062163D">
        <w:t>are warranted to</w:t>
      </w:r>
      <w:r w:rsidRPr="0062163D">
        <w:t xml:space="preserve"> explore </w:t>
      </w:r>
      <w:r w:rsidR="001B4EEF" w:rsidRPr="0062163D">
        <w:t>predictors of microcirculatory response</w:t>
      </w:r>
      <w:r w:rsidR="001B349F" w:rsidRPr="0062163D">
        <w:t xml:space="preserve"> to post-dilatation</w:t>
      </w:r>
      <w:r w:rsidR="001B4EEF" w:rsidRPr="0062163D">
        <w:t xml:space="preserve">. </w:t>
      </w:r>
    </w:p>
    <w:p w14:paraId="700431AE" w14:textId="77777777" w:rsidR="008D1A47" w:rsidRPr="0062163D" w:rsidRDefault="008D1A47" w:rsidP="00714C2A">
      <w:pPr>
        <w:spacing w:line="480" w:lineRule="auto"/>
        <w:jc w:val="both"/>
      </w:pPr>
    </w:p>
    <w:p w14:paraId="24FE59BC" w14:textId="77777777" w:rsidR="000D4AE2" w:rsidRPr="0062163D" w:rsidRDefault="000D4AE2" w:rsidP="00714C2A">
      <w:pPr>
        <w:spacing w:line="480" w:lineRule="auto"/>
        <w:jc w:val="both"/>
      </w:pPr>
    </w:p>
    <w:p w14:paraId="749D8462" w14:textId="6A444C4E" w:rsidR="00E65884" w:rsidRPr="0062163D" w:rsidRDefault="00E65884" w:rsidP="00714C2A">
      <w:pPr>
        <w:spacing w:line="480" w:lineRule="auto"/>
        <w:jc w:val="both"/>
        <w:rPr>
          <w:b/>
          <w:bCs/>
        </w:rPr>
      </w:pPr>
      <w:r w:rsidRPr="0062163D">
        <w:rPr>
          <w:b/>
          <w:bCs/>
        </w:rPr>
        <w:t>Funding</w:t>
      </w:r>
      <w:r w:rsidR="008D1A47" w:rsidRPr="0062163D">
        <w:rPr>
          <w:b/>
          <w:bCs/>
        </w:rPr>
        <w:t xml:space="preserve"> information</w:t>
      </w:r>
    </w:p>
    <w:p w14:paraId="05D0FF7A" w14:textId="7CC8DC6D" w:rsidR="00E65884" w:rsidRPr="0062163D" w:rsidRDefault="00E65884" w:rsidP="00714C2A">
      <w:pPr>
        <w:spacing w:line="480" w:lineRule="auto"/>
        <w:jc w:val="both"/>
        <w:rPr>
          <w:b/>
          <w:bCs/>
        </w:rPr>
      </w:pPr>
      <w:r w:rsidRPr="0062163D">
        <w:t>This study was funded via an unrestricted research grant from Abbott Vascular</w:t>
      </w:r>
      <w:r w:rsidR="008D1A47" w:rsidRPr="0062163D">
        <w:t>.</w:t>
      </w:r>
    </w:p>
    <w:p w14:paraId="24DFECC0" w14:textId="77777777" w:rsidR="000D4AE2" w:rsidRPr="0062163D" w:rsidRDefault="000D4AE2" w:rsidP="00714C2A">
      <w:pPr>
        <w:spacing w:line="480" w:lineRule="auto"/>
        <w:jc w:val="both"/>
      </w:pPr>
    </w:p>
    <w:p w14:paraId="5548BCBF" w14:textId="77777777" w:rsidR="00A7370D" w:rsidRPr="0062163D" w:rsidRDefault="00E65884" w:rsidP="00714C2A">
      <w:pPr>
        <w:spacing w:line="480" w:lineRule="auto"/>
        <w:jc w:val="both"/>
        <w:rPr>
          <w:b/>
          <w:bCs/>
        </w:rPr>
      </w:pPr>
      <w:r w:rsidRPr="0062163D">
        <w:rPr>
          <w:b/>
          <w:bCs/>
        </w:rPr>
        <w:t>Conflict of interest statement</w:t>
      </w:r>
    </w:p>
    <w:p w14:paraId="35A74D0F" w14:textId="6E4417C1" w:rsidR="00CE4A71" w:rsidRPr="0062163D" w:rsidRDefault="00B32D9D" w:rsidP="00714C2A">
      <w:pPr>
        <w:spacing w:line="480" w:lineRule="auto"/>
        <w:jc w:val="both"/>
        <w:rPr>
          <w:b/>
          <w:bCs/>
        </w:rPr>
      </w:pPr>
      <w:r w:rsidRPr="0062163D">
        <w:t>Grigoris V Karamasis</w:t>
      </w:r>
      <w:r w:rsidR="000D4AE2" w:rsidRPr="0062163D">
        <w:t xml:space="preserve"> has received honoraria and institutional research grant from Abbott Vascular</w:t>
      </w:r>
      <w:r w:rsidRPr="0062163D">
        <w:t xml:space="preserve"> and Boston Scientific</w:t>
      </w:r>
      <w:r w:rsidR="000D4AE2" w:rsidRPr="0062163D">
        <w:t xml:space="preserve">. </w:t>
      </w:r>
      <w:r w:rsidRPr="0062163D">
        <w:t>Thomas R Keeble</w:t>
      </w:r>
      <w:r w:rsidR="000D4AE2" w:rsidRPr="0062163D">
        <w:t xml:space="preserve"> has received institutional research grant from Abbott Vascular</w:t>
      </w:r>
      <w:r w:rsidRPr="0062163D">
        <w:t xml:space="preserve"> and </w:t>
      </w:r>
      <w:r w:rsidR="000D4AE2" w:rsidRPr="0062163D">
        <w:t xml:space="preserve">Boston Scientific. All other authors </w:t>
      </w:r>
      <w:r w:rsidR="008D1A47" w:rsidRPr="0062163D">
        <w:t>declare no potential conflict of interest</w:t>
      </w:r>
      <w:r w:rsidR="000D4AE2" w:rsidRPr="0062163D">
        <w:t>.</w:t>
      </w:r>
    </w:p>
    <w:p w14:paraId="23CD8827" w14:textId="411B2BB3" w:rsidR="0097429D" w:rsidRPr="0062163D" w:rsidRDefault="00E65884" w:rsidP="00714C2A">
      <w:pPr>
        <w:spacing w:line="480" w:lineRule="auto"/>
        <w:jc w:val="both"/>
        <w:rPr>
          <w:b/>
        </w:rPr>
      </w:pPr>
      <w:r w:rsidRPr="0062163D">
        <w:rPr>
          <w:b/>
        </w:rPr>
        <w:lastRenderedPageBreak/>
        <w:t xml:space="preserve">References </w:t>
      </w:r>
    </w:p>
    <w:p w14:paraId="3DD0127B" w14:textId="77777777" w:rsidR="00CA7D6A" w:rsidRPr="0062163D" w:rsidRDefault="00CA7D6A" w:rsidP="00714C2A">
      <w:pPr>
        <w:spacing w:line="480" w:lineRule="auto"/>
        <w:jc w:val="both"/>
        <w:rPr>
          <w:b/>
        </w:rPr>
      </w:pPr>
    </w:p>
    <w:p w14:paraId="787A8507" w14:textId="2FB0CCDA" w:rsidR="00806134" w:rsidRPr="0062163D" w:rsidRDefault="00806134" w:rsidP="00714C2A">
      <w:pPr>
        <w:spacing w:line="480" w:lineRule="auto"/>
        <w:jc w:val="both"/>
        <w:rPr>
          <w:bCs/>
          <w:lang w:val="en-US"/>
        </w:rPr>
      </w:pPr>
      <w:r w:rsidRPr="0062163D">
        <w:rPr>
          <w:bCs/>
          <w:lang w:val="en-US"/>
        </w:rPr>
        <w:t xml:space="preserve">1. De Bruyne B, </w:t>
      </w:r>
      <w:proofErr w:type="spellStart"/>
      <w:r w:rsidRPr="0062163D">
        <w:rPr>
          <w:bCs/>
          <w:lang w:val="en-US"/>
        </w:rPr>
        <w:t>Barbato</w:t>
      </w:r>
      <w:proofErr w:type="spellEnd"/>
      <w:r w:rsidRPr="0062163D">
        <w:rPr>
          <w:bCs/>
          <w:lang w:val="en-US"/>
        </w:rPr>
        <w:t xml:space="preserve"> E. Drug-Eluting Stent Implantation. JACC Cardiovasc </w:t>
      </w:r>
      <w:proofErr w:type="spellStart"/>
      <w:r w:rsidRPr="0062163D">
        <w:rPr>
          <w:bCs/>
          <w:lang w:val="en-US"/>
        </w:rPr>
        <w:t>Interv</w:t>
      </w:r>
      <w:proofErr w:type="spellEnd"/>
      <w:r w:rsidR="00B32D9D" w:rsidRPr="0062163D">
        <w:rPr>
          <w:bCs/>
          <w:lang w:val="en-US"/>
        </w:rPr>
        <w:t>.</w:t>
      </w:r>
      <w:r w:rsidRPr="0062163D">
        <w:rPr>
          <w:bCs/>
          <w:lang w:val="en-US"/>
        </w:rPr>
        <w:t xml:space="preserve"> </w:t>
      </w:r>
      <w:proofErr w:type="gramStart"/>
      <w:r w:rsidRPr="0062163D">
        <w:rPr>
          <w:bCs/>
          <w:lang w:val="en-US"/>
        </w:rPr>
        <w:t>2008;1:32</w:t>
      </w:r>
      <w:proofErr w:type="gramEnd"/>
      <w:r w:rsidRPr="0062163D">
        <w:rPr>
          <w:bCs/>
          <w:lang w:val="en-US"/>
        </w:rPr>
        <w:t>–</w:t>
      </w:r>
      <w:r w:rsidR="00B32D9D" w:rsidRPr="0062163D">
        <w:rPr>
          <w:bCs/>
          <w:lang w:val="en-US"/>
        </w:rPr>
        <w:t>3</w:t>
      </w:r>
      <w:r w:rsidRPr="0062163D">
        <w:rPr>
          <w:bCs/>
          <w:lang w:val="en-US"/>
        </w:rPr>
        <w:t xml:space="preserve">3. </w:t>
      </w:r>
    </w:p>
    <w:p w14:paraId="0F4E58CE" w14:textId="77777777" w:rsidR="00806134" w:rsidRPr="0062163D" w:rsidRDefault="00806134" w:rsidP="00714C2A">
      <w:pPr>
        <w:spacing w:line="480" w:lineRule="auto"/>
        <w:jc w:val="both"/>
        <w:rPr>
          <w:bCs/>
          <w:lang w:val="en-US"/>
        </w:rPr>
      </w:pPr>
    </w:p>
    <w:p w14:paraId="4BB182AB" w14:textId="224B5D39" w:rsidR="00806134" w:rsidRPr="0062163D" w:rsidRDefault="00806134" w:rsidP="00714C2A">
      <w:pPr>
        <w:spacing w:line="480" w:lineRule="auto"/>
        <w:jc w:val="both"/>
        <w:rPr>
          <w:bCs/>
          <w:lang w:val="en-US"/>
        </w:rPr>
      </w:pPr>
      <w:r w:rsidRPr="0062163D">
        <w:rPr>
          <w:bCs/>
          <w:lang w:val="en-US"/>
        </w:rPr>
        <w:t xml:space="preserve">2. Guo N, Maehara A, </w:t>
      </w:r>
      <w:proofErr w:type="spellStart"/>
      <w:r w:rsidRPr="0062163D">
        <w:rPr>
          <w:bCs/>
          <w:lang w:val="en-US"/>
        </w:rPr>
        <w:t>Mintz</w:t>
      </w:r>
      <w:proofErr w:type="spellEnd"/>
      <w:r w:rsidRPr="0062163D">
        <w:rPr>
          <w:bCs/>
          <w:lang w:val="en-US"/>
        </w:rPr>
        <w:t xml:space="preserve"> GS, </w:t>
      </w:r>
      <w:r w:rsidR="00B32D9D" w:rsidRPr="0062163D">
        <w:rPr>
          <w:bCs/>
          <w:lang w:val="en-US"/>
        </w:rPr>
        <w:t>et al.</w:t>
      </w:r>
      <w:r w:rsidRPr="0062163D">
        <w:rPr>
          <w:bCs/>
          <w:lang w:val="en-US"/>
        </w:rPr>
        <w:t xml:space="preserve"> Incidence, Mechanisms, Predictors, and Clinical Impact of Acute and Late Stent </w:t>
      </w:r>
      <w:proofErr w:type="spellStart"/>
      <w:r w:rsidRPr="0062163D">
        <w:rPr>
          <w:bCs/>
          <w:lang w:val="en-US"/>
        </w:rPr>
        <w:t>Malapposition</w:t>
      </w:r>
      <w:proofErr w:type="spellEnd"/>
      <w:r w:rsidRPr="0062163D">
        <w:rPr>
          <w:bCs/>
          <w:lang w:val="en-US"/>
        </w:rPr>
        <w:t xml:space="preserve"> After Primary Intervention in Patients with Acute Myocardial Infarction: An Intravascular Ultrasound </w:t>
      </w:r>
      <w:proofErr w:type="spellStart"/>
      <w:r w:rsidRPr="0062163D">
        <w:rPr>
          <w:bCs/>
          <w:lang w:val="en-US"/>
        </w:rPr>
        <w:t>Substudy</w:t>
      </w:r>
      <w:proofErr w:type="spellEnd"/>
      <w:r w:rsidRPr="0062163D">
        <w:rPr>
          <w:bCs/>
          <w:lang w:val="en-US"/>
        </w:rPr>
        <w:t xml:space="preserve"> of the Harmonizing Outcomes With Revascularization and Stents in Acute Myocardial Infarction (HORIZONS-AMI) Trial. Circulation</w:t>
      </w:r>
      <w:r w:rsidR="00B32D9D" w:rsidRPr="0062163D">
        <w:rPr>
          <w:bCs/>
          <w:lang w:val="en-US"/>
        </w:rPr>
        <w:t>.</w:t>
      </w:r>
      <w:r w:rsidRPr="0062163D">
        <w:rPr>
          <w:bCs/>
          <w:lang w:val="en-US"/>
        </w:rPr>
        <w:t xml:space="preserve"> </w:t>
      </w:r>
      <w:proofErr w:type="gramStart"/>
      <w:r w:rsidRPr="0062163D">
        <w:rPr>
          <w:bCs/>
          <w:lang w:val="en-US"/>
        </w:rPr>
        <w:t>2010;122:1077</w:t>
      </w:r>
      <w:proofErr w:type="gramEnd"/>
      <w:r w:rsidRPr="0062163D">
        <w:rPr>
          <w:bCs/>
          <w:lang w:val="en-US"/>
        </w:rPr>
        <w:t>–</w:t>
      </w:r>
      <w:r w:rsidR="00B32D9D" w:rsidRPr="0062163D">
        <w:rPr>
          <w:bCs/>
          <w:lang w:val="en-US"/>
        </w:rPr>
        <w:t>10</w:t>
      </w:r>
      <w:r w:rsidRPr="0062163D">
        <w:rPr>
          <w:bCs/>
          <w:lang w:val="en-US"/>
        </w:rPr>
        <w:t xml:space="preserve">84. </w:t>
      </w:r>
    </w:p>
    <w:p w14:paraId="73EEBDEC" w14:textId="77777777" w:rsidR="00806134" w:rsidRPr="0062163D" w:rsidRDefault="00806134" w:rsidP="00714C2A">
      <w:pPr>
        <w:spacing w:line="480" w:lineRule="auto"/>
        <w:jc w:val="both"/>
        <w:rPr>
          <w:bCs/>
          <w:lang w:val="en-US"/>
        </w:rPr>
      </w:pPr>
    </w:p>
    <w:p w14:paraId="28F904D7" w14:textId="40440FCD" w:rsidR="00806134" w:rsidRPr="0062163D" w:rsidRDefault="00806134" w:rsidP="00714C2A">
      <w:pPr>
        <w:spacing w:line="480" w:lineRule="auto"/>
        <w:jc w:val="both"/>
        <w:rPr>
          <w:bCs/>
          <w:lang w:val="en-US"/>
        </w:rPr>
      </w:pPr>
      <w:r w:rsidRPr="0062163D">
        <w:rPr>
          <w:bCs/>
          <w:lang w:val="en-US"/>
        </w:rPr>
        <w:t xml:space="preserve">3. </w:t>
      </w:r>
      <w:proofErr w:type="spellStart"/>
      <w:r w:rsidRPr="0062163D">
        <w:rPr>
          <w:bCs/>
          <w:lang w:val="en-US"/>
        </w:rPr>
        <w:t>Romagnoli</w:t>
      </w:r>
      <w:proofErr w:type="spellEnd"/>
      <w:r w:rsidRPr="0062163D">
        <w:rPr>
          <w:bCs/>
          <w:lang w:val="en-US"/>
        </w:rPr>
        <w:t xml:space="preserve"> E, </w:t>
      </w:r>
      <w:proofErr w:type="spellStart"/>
      <w:r w:rsidRPr="0062163D">
        <w:rPr>
          <w:bCs/>
          <w:lang w:val="en-US"/>
        </w:rPr>
        <w:t>Sangiorgi</w:t>
      </w:r>
      <w:proofErr w:type="spellEnd"/>
      <w:r w:rsidRPr="0062163D">
        <w:rPr>
          <w:bCs/>
          <w:lang w:val="en-US"/>
        </w:rPr>
        <w:t xml:space="preserve"> GM, Cosgrave J, </w:t>
      </w:r>
      <w:proofErr w:type="spellStart"/>
      <w:r w:rsidRPr="0062163D">
        <w:rPr>
          <w:bCs/>
          <w:lang w:val="en-US"/>
        </w:rPr>
        <w:t>Guillet</w:t>
      </w:r>
      <w:proofErr w:type="spellEnd"/>
      <w:r w:rsidRPr="0062163D">
        <w:rPr>
          <w:bCs/>
          <w:lang w:val="en-US"/>
        </w:rPr>
        <w:t xml:space="preserve"> E, Colombo A. Drug-Eluting Stenting: the case for post-dilation. JACC Cardiovasc </w:t>
      </w:r>
      <w:proofErr w:type="spellStart"/>
      <w:r w:rsidRPr="0062163D">
        <w:rPr>
          <w:bCs/>
          <w:lang w:val="en-US"/>
        </w:rPr>
        <w:t>Interv</w:t>
      </w:r>
      <w:proofErr w:type="spellEnd"/>
      <w:r w:rsidR="00B32D9D" w:rsidRPr="0062163D">
        <w:rPr>
          <w:bCs/>
          <w:lang w:val="en-US"/>
        </w:rPr>
        <w:t>.</w:t>
      </w:r>
      <w:r w:rsidRPr="0062163D">
        <w:rPr>
          <w:bCs/>
          <w:lang w:val="en-US"/>
        </w:rPr>
        <w:t xml:space="preserve"> </w:t>
      </w:r>
      <w:proofErr w:type="gramStart"/>
      <w:r w:rsidRPr="0062163D">
        <w:rPr>
          <w:bCs/>
          <w:lang w:val="en-US"/>
        </w:rPr>
        <w:t>2008;1:22</w:t>
      </w:r>
      <w:proofErr w:type="gramEnd"/>
      <w:r w:rsidRPr="0062163D">
        <w:rPr>
          <w:bCs/>
          <w:lang w:val="en-US"/>
        </w:rPr>
        <w:t xml:space="preserve">–31. </w:t>
      </w:r>
    </w:p>
    <w:p w14:paraId="743B7A8D" w14:textId="77777777" w:rsidR="00806134" w:rsidRPr="0062163D" w:rsidRDefault="00806134" w:rsidP="00714C2A">
      <w:pPr>
        <w:spacing w:line="480" w:lineRule="auto"/>
        <w:jc w:val="both"/>
        <w:rPr>
          <w:bCs/>
          <w:lang w:val="en-US"/>
        </w:rPr>
      </w:pPr>
    </w:p>
    <w:p w14:paraId="28D97A3F" w14:textId="5662D481" w:rsidR="00806134" w:rsidRPr="0062163D" w:rsidRDefault="00806134" w:rsidP="00714C2A">
      <w:pPr>
        <w:spacing w:line="480" w:lineRule="auto"/>
        <w:jc w:val="both"/>
        <w:rPr>
          <w:bCs/>
          <w:lang w:val="en-US"/>
        </w:rPr>
      </w:pPr>
      <w:r w:rsidRPr="0062163D">
        <w:rPr>
          <w:bCs/>
          <w:lang w:val="en-US"/>
        </w:rPr>
        <w:t xml:space="preserve">4. </w:t>
      </w:r>
      <w:proofErr w:type="spellStart"/>
      <w:r w:rsidRPr="0062163D">
        <w:rPr>
          <w:bCs/>
          <w:lang w:val="en-US"/>
        </w:rPr>
        <w:t>Vrints</w:t>
      </w:r>
      <w:proofErr w:type="spellEnd"/>
      <w:r w:rsidRPr="0062163D">
        <w:rPr>
          <w:bCs/>
          <w:lang w:val="en-US"/>
        </w:rPr>
        <w:t xml:space="preserve"> C, </w:t>
      </w:r>
      <w:proofErr w:type="spellStart"/>
      <w:r w:rsidRPr="0062163D">
        <w:rPr>
          <w:bCs/>
          <w:lang w:val="en-US"/>
        </w:rPr>
        <w:t>Haine</w:t>
      </w:r>
      <w:proofErr w:type="spellEnd"/>
      <w:r w:rsidRPr="0062163D">
        <w:rPr>
          <w:bCs/>
          <w:lang w:val="en-US"/>
        </w:rPr>
        <w:t xml:space="preserve"> S. Prevention of coronary microvascular plugging: the next target in STEMI? </w:t>
      </w:r>
      <w:proofErr w:type="spellStart"/>
      <w:r w:rsidRPr="0062163D">
        <w:rPr>
          <w:bCs/>
          <w:lang w:val="en-US"/>
        </w:rPr>
        <w:t>EuroIntervention</w:t>
      </w:r>
      <w:proofErr w:type="spellEnd"/>
      <w:r w:rsidR="00B32D9D" w:rsidRPr="0062163D">
        <w:rPr>
          <w:bCs/>
          <w:lang w:val="en-US"/>
        </w:rPr>
        <w:t>.</w:t>
      </w:r>
      <w:r w:rsidRPr="0062163D">
        <w:rPr>
          <w:bCs/>
          <w:lang w:val="en-US"/>
        </w:rPr>
        <w:t xml:space="preserve"> </w:t>
      </w:r>
      <w:proofErr w:type="gramStart"/>
      <w:r w:rsidRPr="0062163D">
        <w:rPr>
          <w:bCs/>
          <w:lang w:val="en-US"/>
        </w:rPr>
        <w:t>2016;12:1201</w:t>
      </w:r>
      <w:proofErr w:type="gramEnd"/>
      <w:r w:rsidRPr="0062163D">
        <w:rPr>
          <w:bCs/>
          <w:lang w:val="en-US"/>
        </w:rPr>
        <w:t>–</w:t>
      </w:r>
      <w:r w:rsidR="00B32D9D" w:rsidRPr="0062163D">
        <w:rPr>
          <w:bCs/>
          <w:lang w:val="en-US"/>
        </w:rPr>
        <w:t>120</w:t>
      </w:r>
      <w:r w:rsidRPr="0062163D">
        <w:rPr>
          <w:bCs/>
          <w:lang w:val="en-US"/>
        </w:rPr>
        <w:t xml:space="preserve">2. </w:t>
      </w:r>
    </w:p>
    <w:p w14:paraId="3A3382A7" w14:textId="77777777" w:rsidR="00806134" w:rsidRPr="0062163D" w:rsidRDefault="00806134" w:rsidP="00714C2A">
      <w:pPr>
        <w:spacing w:line="480" w:lineRule="auto"/>
        <w:jc w:val="both"/>
        <w:rPr>
          <w:bCs/>
          <w:lang w:val="en-US"/>
        </w:rPr>
      </w:pPr>
    </w:p>
    <w:p w14:paraId="65280A3F" w14:textId="7446F36A" w:rsidR="00806134" w:rsidRPr="0062163D" w:rsidRDefault="00806134" w:rsidP="00714C2A">
      <w:pPr>
        <w:spacing w:line="480" w:lineRule="auto"/>
        <w:jc w:val="both"/>
        <w:rPr>
          <w:bCs/>
          <w:lang w:val="en-US"/>
        </w:rPr>
      </w:pPr>
      <w:r w:rsidRPr="0062163D">
        <w:rPr>
          <w:bCs/>
          <w:lang w:val="en-US"/>
        </w:rPr>
        <w:t xml:space="preserve">5. </w:t>
      </w:r>
      <w:proofErr w:type="spellStart"/>
      <w:r w:rsidRPr="0062163D">
        <w:rPr>
          <w:bCs/>
          <w:lang w:val="en-US"/>
        </w:rPr>
        <w:t>Niccoli</w:t>
      </w:r>
      <w:proofErr w:type="spellEnd"/>
      <w:r w:rsidRPr="0062163D">
        <w:rPr>
          <w:bCs/>
          <w:lang w:val="en-US"/>
        </w:rPr>
        <w:t xml:space="preserve"> G, </w:t>
      </w:r>
      <w:proofErr w:type="spellStart"/>
      <w:r w:rsidRPr="0062163D">
        <w:rPr>
          <w:bCs/>
          <w:lang w:val="en-US"/>
        </w:rPr>
        <w:t>Scalone</w:t>
      </w:r>
      <w:proofErr w:type="spellEnd"/>
      <w:r w:rsidRPr="0062163D">
        <w:rPr>
          <w:bCs/>
          <w:lang w:val="en-US"/>
        </w:rPr>
        <w:t xml:space="preserve"> G, </w:t>
      </w:r>
      <w:proofErr w:type="spellStart"/>
      <w:r w:rsidRPr="0062163D">
        <w:rPr>
          <w:bCs/>
          <w:lang w:val="en-US"/>
        </w:rPr>
        <w:t>Lerman</w:t>
      </w:r>
      <w:proofErr w:type="spellEnd"/>
      <w:r w:rsidRPr="0062163D">
        <w:rPr>
          <w:bCs/>
          <w:lang w:val="en-US"/>
        </w:rPr>
        <w:t xml:space="preserve"> A, </w:t>
      </w:r>
      <w:proofErr w:type="spellStart"/>
      <w:r w:rsidRPr="0062163D">
        <w:rPr>
          <w:bCs/>
          <w:lang w:val="en-US"/>
        </w:rPr>
        <w:t>Crea</w:t>
      </w:r>
      <w:proofErr w:type="spellEnd"/>
      <w:r w:rsidRPr="0062163D">
        <w:rPr>
          <w:bCs/>
          <w:lang w:val="en-US"/>
        </w:rPr>
        <w:t xml:space="preserve"> F. Coronary microvascular obstruction in acute myocardial infarction. Eur Heart J</w:t>
      </w:r>
      <w:r w:rsidR="00B32D9D" w:rsidRPr="0062163D">
        <w:rPr>
          <w:bCs/>
          <w:lang w:val="en-US"/>
        </w:rPr>
        <w:t>.</w:t>
      </w:r>
      <w:r w:rsidRPr="0062163D">
        <w:rPr>
          <w:bCs/>
          <w:lang w:val="en-US"/>
        </w:rPr>
        <w:t xml:space="preserve"> </w:t>
      </w:r>
      <w:proofErr w:type="gramStart"/>
      <w:r w:rsidRPr="0062163D">
        <w:rPr>
          <w:bCs/>
          <w:lang w:val="en-US"/>
        </w:rPr>
        <w:t>2016;37:1024</w:t>
      </w:r>
      <w:proofErr w:type="gramEnd"/>
      <w:r w:rsidRPr="0062163D">
        <w:rPr>
          <w:bCs/>
          <w:lang w:val="en-US"/>
        </w:rPr>
        <w:t>–</w:t>
      </w:r>
      <w:r w:rsidR="00B32D9D" w:rsidRPr="0062163D">
        <w:rPr>
          <w:bCs/>
          <w:lang w:val="en-US"/>
        </w:rPr>
        <w:t>10</w:t>
      </w:r>
      <w:r w:rsidRPr="0062163D">
        <w:rPr>
          <w:bCs/>
          <w:lang w:val="en-US"/>
        </w:rPr>
        <w:t xml:space="preserve">33. </w:t>
      </w:r>
    </w:p>
    <w:p w14:paraId="4C1DFAF6" w14:textId="77777777" w:rsidR="00806134" w:rsidRPr="0062163D" w:rsidRDefault="00806134" w:rsidP="00714C2A">
      <w:pPr>
        <w:spacing w:line="480" w:lineRule="auto"/>
        <w:jc w:val="both"/>
        <w:rPr>
          <w:bCs/>
          <w:lang w:val="en-US"/>
        </w:rPr>
      </w:pPr>
    </w:p>
    <w:p w14:paraId="353194AC" w14:textId="1FFB24AE" w:rsidR="00806134" w:rsidRPr="0062163D" w:rsidRDefault="00806134" w:rsidP="00714C2A">
      <w:pPr>
        <w:spacing w:line="480" w:lineRule="auto"/>
        <w:jc w:val="both"/>
        <w:rPr>
          <w:bCs/>
          <w:lang w:val="en-US"/>
        </w:rPr>
      </w:pPr>
      <w:r w:rsidRPr="0062163D">
        <w:rPr>
          <w:bCs/>
          <w:lang w:val="en-US"/>
        </w:rPr>
        <w:t xml:space="preserve">6. </w:t>
      </w:r>
      <w:proofErr w:type="spellStart"/>
      <w:r w:rsidRPr="0062163D">
        <w:rPr>
          <w:bCs/>
          <w:lang w:val="en-US"/>
        </w:rPr>
        <w:t>Yamaji</w:t>
      </w:r>
      <w:proofErr w:type="spellEnd"/>
      <w:r w:rsidRPr="0062163D">
        <w:rPr>
          <w:bCs/>
          <w:lang w:val="en-US"/>
        </w:rPr>
        <w:t xml:space="preserve"> K, </w:t>
      </w:r>
      <w:proofErr w:type="spellStart"/>
      <w:r w:rsidRPr="0062163D">
        <w:rPr>
          <w:bCs/>
          <w:lang w:val="en-US"/>
        </w:rPr>
        <w:t>Brugaletta</w:t>
      </w:r>
      <w:proofErr w:type="spellEnd"/>
      <w:r w:rsidRPr="0062163D">
        <w:rPr>
          <w:bCs/>
          <w:lang w:val="en-US"/>
        </w:rPr>
        <w:t xml:space="preserve"> S, </w:t>
      </w:r>
      <w:proofErr w:type="spellStart"/>
      <w:r w:rsidRPr="0062163D">
        <w:rPr>
          <w:bCs/>
          <w:lang w:val="en-US"/>
        </w:rPr>
        <w:t>Sabaté</w:t>
      </w:r>
      <w:proofErr w:type="spellEnd"/>
      <w:r w:rsidRPr="0062163D">
        <w:rPr>
          <w:bCs/>
          <w:lang w:val="en-US"/>
        </w:rPr>
        <w:t xml:space="preserve"> M, </w:t>
      </w:r>
      <w:r w:rsidR="00B32D9D" w:rsidRPr="0062163D">
        <w:rPr>
          <w:bCs/>
          <w:lang w:val="en-US"/>
        </w:rPr>
        <w:t xml:space="preserve">et al. </w:t>
      </w:r>
      <w:r w:rsidRPr="0062163D">
        <w:rPr>
          <w:bCs/>
          <w:lang w:val="en-US"/>
        </w:rPr>
        <w:t xml:space="preserve">Effect of Post-Dilatation Following Primary PCI With </w:t>
      </w:r>
      <w:proofErr w:type="spellStart"/>
      <w:r w:rsidRPr="0062163D">
        <w:rPr>
          <w:bCs/>
          <w:lang w:val="en-US"/>
        </w:rPr>
        <w:t>Everolimus</w:t>
      </w:r>
      <w:proofErr w:type="spellEnd"/>
      <w:r w:rsidRPr="0062163D">
        <w:rPr>
          <w:bCs/>
          <w:lang w:val="en-US"/>
        </w:rPr>
        <w:t xml:space="preserve">-Eluting Bioresorbable Scaffold Versus </w:t>
      </w:r>
      <w:proofErr w:type="spellStart"/>
      <w:r w:rsidRPr="0062163D">
        <w:rPr>
          <w:bCs/>
          <w:lang w:val="en-US"/>
        </w:rPr>
        <w:t>Everolimus</w:t>
      </w:r>
      <w:proofErr w:type="spellEnd"/>
      <w:r w:rsidRPr="0062163D">
        <w:rPr>
          <w:bCs/>
          <w:lang w:val="en-US"/>
        </w:rPr>
        <w:t xml:space="preserve">-Eluting Metallic Stent Implantation. JACC Cardiovasc </w:t>
      </w:r>
      <w:proofErr w:type="spellStart"/>
      <w:r w:rsidRPr="0062163D">
        <w:rPr>
          <w:bCs/>
          <w:lang w:val="en-US"/>
        </w:rPr>
        <w:t>Interv</w:t>
      </w:r>
      <w:proofErr w:type="spellEnd"/>
      <w:r w:rsidR="00B32D9D" w:rsidRPr="0062163D">
        <w:rPr>
          <w:bCs/>
          <w:lang w:val="en-US"/>
        </w:rPr>
        <w:t>.</w:t>
      </w:r>
      <w:r w:rsidRPr="0062163D">
        <w:rPr>
          <w:bCs/>
          <w:lang w:val="en-US"/>
        </w:rPr>
        <w:t xml:space="preserve"> </w:t>
      </w:r>
      <w:proofErr w:type="gramStart"/>
      <w:r w:rsidRPr="0062163D">
        <w:rPr>
          <w:bCs/>
          <w:lang w:val="en-US"/>
        </w:rPr>
        <w:t>2017;10:1867</w:t>
      </w:r>
      <w:proofErr w:type="gramEnd"/>
      <w:r w:rsidRPr="0062163D">
        <w:rPr>
          <w:bCs/>
          <w:lang w:val="en-US"/>
        </w:rPr>
        <w:t>–</w:t>
      </w:r>
      <w:r w:rsidR="00B32D9D" w:rsidRPr="0062163D">
        <w:rPr>
          <w:bCs/>
          <w:lang w:val="en-US"/>
        </w:rPr>
        <w:t>18</w:t>
      </w:r>
      <w:r w:rsidRPr="0062163D">
        <w:rPr>
          <w:bCs/>
          <w:lang w:val="en-US"/>
        </w:rPr>
        <w:t xml:space="preserve">77. </w:t>
      </w:r>
    </w:p>
    <w:p w14:paraId="4A215423" w14:textId="77777777" w:rsidR="00806134" w:rsidRPr="0062163D" w:rsidRDefault="00806134" w:rsidP="00714C2A">
      <w:pPr>
        <w:spacing w:line="480" w:lineRule="auto"/>
        <w:jc w:val="both"/>
        <w:rPr>
          <w:bCs/>
          <w:lang w:val="en-US"/>
        </w:rPr>
      </w:pPr>
    </w:p>
    <w:p w14:paraId="7BA5B1C1" w14:textId="3FB65753" w:rsidR="00806134" w:rsidRPr="0062163D" w:rsidRDefault="00806134" w:rsidP="00714C2A">
      <w:pPr>
        <w:spacing w:line="480" w:lineRule="auto"/>
        <w:jc w:val="both"/>
        <w:rPr>
          <w:bCs/>
          <w:lang w:val="en-US"/>
        </w:rPr>
      </w:pPr>
      <w:r w:rsidRPr="0062163D">
        <w:rPr>
          <w:bCs/>
          <w:lang w:val="en-US"/>
        </w:rPr>
        <w:t xml:space="preserve">7. Fearon WF, Balsam LB, </w:t>
      </w:r>
      <w:proofErr w:type="spellStart"/>
      <w:r w:rsidRPr="0062163D">
        <w:rPr>
          <w:bCs/>
          <w:lang w:val="en-US"/>
        </w:rPr>
        <w:t>Farouque</w:t>
      </w:r>
      <w:proofErr w:type="spellEnd"/>
      <w:r w:rsidRPr="0062163D">
        <w:rPr>
          <w:bCs/>
          <w:lang w:val="en-US"/>
        </w:rPr>
        <w:t xml:space="preserve"> HM, </w:t>
      </w:r>
      <w:r w:rsidR="00B32D9D" w:rsidRPr="0062163D">
        <w:rPr>
          <w:bCs/>
          <w:lang w:val="en-US"/>
        </w:rPr>
        <w:t xml:space="preserve">et al. </w:t>
      </w:r>
      <w:r w:rsidRPr="0062163D">
        <w:rPr>
          <w:bCs/>
          <w:lang w:val="en-US"/>
        </w:rPr>
        <w:t>Novel index for invasively assessing the coronary microcirculation. Circulation. 2003; 107:3129-</w:t>
      </w:r>
      <w:r w:rsidR="00B32D9D" w:rsidRPr="0062163D">
        <w:rPr>
          <w:bCs/>
          <w:lang w:val="en-US"/>
        </w:rPr>
        <w:t>31</w:t>
      </w:r>
      <w:r w:rsidRPr="0062163D">
        <w:rPr>
          <w:bCs/>
          <w:lang w:val="en-US"/>
        </w:rPr>
        <w:t xml:space="preserve">32. </w:t>
      </w:r>
    </w:p>
    <w:p w14:paraId="1EA140A9" w14:textId="77777777" w:rsidR="00806134" w:rsidRPr="0062163D" w:rsidRDefault="00806134" w:rsidP="00714C2A">
      <w:pPr>
        <w:spacing w:line="480" w:lineRule="auto"/>
        <w:jc w:val="both"/>
        <w:rPr>
          <w:bCs/>
          <w:lang w:val="en-US"/>
        </w:rPr>
      </w:pPr>
    </w:p>
    <w:p w14:paraId="2B3A5D80" w14:textId="67C6CA28" w:rsidR="00806134" w:rsidRPr="0062163D" w:rsidRDefault="00806134" w:rsidP="00714C2A">
      <w:pPr>
        <w:spacing w:line="480" w:lineRule="auto"/>
        <w:jc w:val="both"/>
        <w:rPr>
          <w:bCs/>
          <w:lang w:val="en-US"/>
        </w:rPr>
      </w:pPr>
      <w:r w:rsidRPr="0062163D">
        <w:rPr>
          <w:bCs/>
          <w:lang w:val="en-US"/>
        </w:rPr>
        <w:t xml:space="preserve">8. Carrick D, Haig C, Ahmed N, </w:t>
      </w:r>
      <w:r w:rsidR="00B32D9D" w:rsidRPr="0062163D">
        <w:rPr>
          <w:bCs/>
          <w:lang w:val="en-US"/>
        </w:rPr>
        <w:t>et al.</w:t>
      </w:r>
      <w:r w:rsidRPr="0062163D">
        <w:rPr>
          <w:bCs/>
          <w:lang w:val="en-US"/>
        </w:rPr>
        <w:t xml:space="preserve"> Comparative Prognostic Utility of Indexes of Microvascular Function Alone or in Combination in Patients </w:t>
      </w:r>
      <w:proofErr w:type="gramStart"/>
      <w:r w:rsidRPr="0062163D">
        <w:rPr>
          <w:bCs/>
          <w:lang w:val="en-US"/>
        </w:rPr>
        <w:t>With</w:t>
      </w:r>
      <w:proofErr w:type="gramEnd"/>
      <w:r w:rsidRPr="0062163D">
        <w:rPr>
          <w:bCs/>
          <w:lang w:val="en-US"/>
        </w:rPr>
        <w:t xml:space="preserve"> an Acute ST-Segment–Elevation Myocardial Infarction. Circulation</w:t>
      </w:r>
      <w:r w:rsidR="00B32D9D" w:rsidRPr="0062163D">
        <w:rPr>
          <w:bCs/>
          <w:lang w:val="en-US"/>
        </w:rPr>
        <w:t>.</w:t>
      </w:r>
      <w:r w:rsidRPr="0062163D">
        <w:rPr>
          <w:bCs/>
          <w:lang w:val="en-US"/>
        </w:rPr>
        <w:t xml:space="preserve"> </w:t>
      </w:r>
      <w:proofErr w:type="gramStart"/>
      <w:r w:rsidRPr="0062163D">
        <w:rPr>
          <w:bCs/>
          <w:lang w:val="en-US"/>
        </w:rPr>
        <w:t>2016;134:1833</w:t>
      </w:r>
      <w:proofErr w:type="gramEnd"/>
      <w:r w:rsidRPr="0062163D">
        <w:rPr>
          <w:bCs/>
          <w:lang w:val="en-US"/>
        </w:rPr>
        <w:t>–</w:t>
      </w:r>
      <w:r w:rsidR="00B32D9D" w:rsidRPr="0062163D">
        <w:rPr>
          <w:bCs/>
          <w:lang w:val="en-US"/>
        </w:rPr>
        <w:t>18</w:t>
      </w:r>
      <w:r w:rsidRPr="0062163D">
        <w:rPr>
          <w:bCs/>
          <w:lang w:val="en-US"/>
        </w:rPr>
        <w:t xml:space="preserve">47. </w:t>
      </w:r>
    </w:p>
    <w:p w14:paraId="7921C3A0" w14:textId="77777777" w:rsidR="00806134" w:rsidRPr="0062163D" w:rsidRDefault="00806134" w:rsidP="00714C2A">
      <w:pPr>
        <w:spacing w:line="480" w:lineRule="auto"/>
        <w:jc w:val="both"/>
        <w:rPr>
          <w:bCs/>
          <w:lang w:val="en-US"/>
        </w:rPr>
      </w:pPr>
    </w:p>
    <w:p w14:paraId="1F5ABFF2" w14:textId="5CDFDF7D" w:rsidR="00806134" w:rsidRPr="0062163D" w:rsidRDefault="00806134" w:rsidP="00714C2A">
      <w:pPr>
        <w:spacing w:line="480" w:lineRule="auto"/>
        <w:jc w:val="both"/>
        <w:rPr>
          <w:bCs/>
          <w:lang w:val="en-US"/>
        </w:rPr>
      </w:pPr>
      <w:r w:rsidRPr="0062163D">
        <w:rPr>
          <w:bCs/>
          <w:lang w:val="en-US"/>
        </w:rPr>
        <w:t xml:space="preserve">9. </w:t>
      </w:r>
      <w:proofErr w:type="spellStart"/>
      <w:r w:rsidRPr="0062163D">
        <w:rPr>
          <w:bCs/>
          <w:lang w:val="en-US"/>
        </w:rPr>
        <w:t>Aarnoudse</w:t>
      </w:r>
      <w:proofErr w:type="spellEnd"/>
      <w:r w:rsidRPr="0062163D">
        <w:rPr>
          <w:bCs/>
          <w:lang w:val="en-US"/>
        </w:rPr>
        <w:t xml:space="preserve"> W, Fearon WF, Manoharan G, </w:t>
      </w:r>
      <w:r w:rsidR="00B32D9D" w:rsidRPr="0062163D">
        <w:rPr>
          <w:bCs/>
          <w:lang w:val="en-US"/>
        </w:rPr>
        <w:t>et al.</w:t>
      </w:r>
      <w:r w:rsidRPr="0062163D">
        <w:rPr>
          <w:bCs/>
          <w:lang w:val="en-US"/>
        </w:rPr>
        <w:t xml:space="preserve"> Epicardial Stenosis Severity Does Not Affect Minimal Microcirculatory Resistance. Circulation</w:t>
      </w:r>
      <w:r w:rsidR="00B32D9D" w:rsidRPr="0062163D">
        <w:rPr>
          <w:bCs/>
          <w:lang w:val="en-US"/>
        </w:rPr>
        <w:t>.</w:t>
      </w:r>
      <w:r w:rsidRPr="0062163D">
        <w:rPr>
          <w:bCs/>
          <w:lang w:val="en-US"/>
        </w:rPr>
        <w:t xml:space="preserve"> </w:t>
      </w:r>
      <w:proofErr w:type="gramStart"/>
      <w:r w:rsidRPr="0062163D">
        <w:rPr>
          <w:bCs/>
          <w:lang w:val="en-US"/>
        </w:rPr>
        <w:t>2004;110:2137</w:t>
      </w:r>
      <w:proofErr w:type="gramEnd"/>
      <w:r w:rsidRPr="0062163D">
        <w:rPr>
          <w:bCs/>
          <w:lang w:val="en-US"/>
        </w:rPr>
        <w:t>–</w:t>
      </w:r>
      <w:r w:rsidR="00B32D9D" w:rsidRPr="0062163D">
        <w:rPr>
          <w:bCs/>
          <w:lang w:val="en-US"/>
        </w:rPr>
        <w:t>21</w:t>
      </w:r>
      <w:r w:rsidRPr="0062163D">
        <w:rPr>
          <w:bCs/>
          <w:lang w:val="en-US"/>
        </w:rPr>
        <w:t xml:space="preserve">42. </w:t>
      </w:r>
    </w:p>
    <w:p w14:paraId="77827343" w14:textId="77777777" w:rsidR="00806134" w:rsidRPr="0062163D" w:rsidRDefault="00806134" w:rsidP="00714C2A">
      <w:pPr>
        <w:spacing w:line="480" w:lineRule="auto"/>
        <w:jc w:val="both"/>
        <w:rPr>
          <w:bCs/>
          <w:lang w:val="en-US"/>
        </w:rPr>
      </w:pPr>
    </w:p>
    <w:p w14:paraId="628CD510" w14:textId="3E4F704C" w:rsidR="00806134" w:rsidRPr="0062163D" w:rsidRDefault="00806134" w:rsidP="00714C2A">
      <w:pPr>
        <w:spacing w:line="480" w:lineRule="auto"/>
        <w:jc w:val="both"/>
        <w:rPr>
          <w:bCs/>
          <w:lang w:val="en-US"/>
        </w:rPr>
      </w:pPr>
      <w:r w:rsidRPr="0062163D">
        <w:rPr>
          <w:bCs/>
          <w:lang w:val="en-US"/>
        </w:rPr>
        <w:t xml:space="preserve">10. </w:t>
      </w:r>
      <w:proofErr w:type="spellStart"/>
      <w:r w:rsidRPr="0062163D">
        <w:rPr>
          <w:bCs/>
          <w:lang w:val="en-US"/>
        </w:rPr>
        <w:t>Pijls</w:t>
      </w:r>
      <w:proofErr w:type="spellEnd"/>
      <w:r w:rsidRPr="0062163D">
        <w:rPr>
          <w:bCs/>
          <w:lang w:val="en-US"/>
        </w:rPr>
        <w:t xml:space="preserve"> NHJ, van Son JA, </w:t>
      </w:r>
      <w:proofErr w:type="spellStart"/>
      <w:r w:rsidRPr="0062163D">
        <w:rPr>
          <w:bCs/>
          <w:lang w:val="en-US"/>
        </w:rPr>
        <w:t>Kirkeeide</w:t>
      </w:r>
      <w:proofErr w:type="spellEnd"/>
      <w:r w:rsidRPr="0062163D">
        <w:rPr>
          <w:bCs/>
          <w:lang w:val="en-US"/>
        </w:rPr>
        <w:t xml:space="preserve"> RL, De Bruyne B, Gould KL. Experimental Basis of Determining Maximum Coronary, Myocardial, and Collateral Blood Flow by Pressure Measurements for Assessing Functional Stenosis Severity Before and After Percutaneous Transluminal Coronary Angioplasty. Circulation. </w:t>
      </w:r>
      <w:proofErr w:type="gramStart"/>
      <w:r w:rsidRPr="0062163D">
        <w:rPr>
          <w:bCs/>
          <w:lang w:val="en-US"/>
        </w:rPr>
        <w:t>1993;87:1354</w:t>
      </w:r>
      <w:proofErr w:type="gramEnd"/>
      <w:r w:rsidRPr="0062163D">
        <w:rPr>
          <w:bCs/>
          <w:lang w:val="en-US"/>
        </w:rPr>
        <w:t>-</w:t>
      </w:r>
      <w:r w:rsidR="00B32D9D" w:rsidRPr="0062163D">
        <w:rPr>
          <w:bCs/>
          <w:lang w:val="en-US"/>
        </w:rPr>
        <w:t>13</w:t>
      </w:r>
      <w:r w:rsidRPr="0062163D">
        <w:rPr>
          <w:bCs/>
          <w:lang w:val="en-US"/>
        </w:rPr>
        <w:t>67.</w:t>
      </w:r>
    </w:p>
    <w:p w14:paraId="4FD6AD3D" w14:textId="77777777" w:rsidR="00806134" w:rsidRPr="0062163D" w:rsidRDefault="00806134" w:rsidP="00714C2A">
      <w:pPr>
        <w:spacing w:line="480" w:lineRule="auto"/>
        <w:jc w:val="both"/>
        <w:rPr>
          <w:bCs/>
          <w:lang w:val="en-US"/>
        </w:rPr>
      </w:pPr>
    </w:p>
    <w:p w14:paraId="77C278A0" w14:textId="77777777" w:rsidR="00806134" w:rsidRPr="0062163D" w:rsidRDefault="00806134" w:rsidP="00714C2A">
      <w:pPr>
        <w:spacing w:line="480" w:lineRule="auto"/>
        <w:jc w:val="both"/>
        <w:rPr>
          <w:bCs/>
          <w:lang w:val="en-US"/>
        </w:rPr>
      </w:pPr>
    </w:p>
    <w:p w14:paraId="7A9A7900" w14:textId="78D4ACB8" w:rsidR="00806134" w:rsidRPr="0062163D" w:rsidRDefault="00806134" w:rsidP="00714C2A">
      <w:pPr>
        <w:spacing w:line="480" w:lineRule="auto"/>
        <w:jc w:val="both"/>
        <w:rPr>
          <w:bCs/>
          <w:lang w:val="en-US"/>
        </w:rPr>
      </w:pPr>
      <w:r w:rsidRPr="0062163D">
        <w:rPr>
          <w:bCs/>
          <w:lang w:val="en-US"/>
        </w:rPr>
        <w:t>1</w:t>
      </w:r>
      <w:r w:rsidR="00375287" w:rsidRPr="0062163D">
        <w:rPr>
          <w:bCs/>
          <w:lang w:val="en-US"/>
        </w:rPr>
        <w:t>1</w:t>
      </w:r>
      <w:r w:rsidRPr="0062163D">
        <w:rPr>
          <w:bCs/>
          <w:lang w:val="en-US"/>
        </w:rPr>
        <w:t xml:space="preserve">. </w:t>
      </w:r>
      <w:proofErr w:type="spellStart"/>
      <w:r w:rsidRPr="0062163D">
        <w:rPr>
          <w:bCs/>
          <w:lang w:val="en-US"/>
        </w:rPr>
        <w:t>Räber</w:t>
      </w:r>
      <w:proofErr w:type="spellEnd"/>
      <w:r w:rsidRPr="0062163D">
        <w:rPr>
          <w:bCs/>
          <w:lang w:val="en-US"/>
        </w:rPr>
        <w:t xml:space="preserve"> L, </w:t>
      </w:r>
      <w:proofErr w:type="spellStart"/>
      <w:r w:rsidRPr="0062163D">
        <w:rPr>
          <w:bCs/>
          <w:lang w:val="en-US"/>
        </w:rPr>
        <w:t>Mintz</w:t>
      </w:r>
      <w:proofErr w:type="spellEnd"/>
      <w:r w:rsidRPr="0062163D">
        <w:rPr>
          <w:bCs/>
          <w:lang w:val="en-US"/>
        </w:rPr>
        <w:t xml:space="preserve"> GS, </w:t>
      </w:r>
      <w:proofErr w:type="spellStart"/>
      <w:r w:rsidRPr="0062163D">
        <w:rPr>
          <w:bCs/>
          <w:lang w:val="en-US"/>
        </w:rPr>
        <w:t>Koskinas</w:t>
      </w:r>
      <w:proofErr w:type="spellEnd"/>
      <w:r w:rsidRPr="0062163D">
        <w:rPr>
          <w:bCs/>
          <w:lang w:val="en-US"/>
        </w:rPr>
        <w:t xml:space="preserve"> KC, </w:t>
      </w:r>
      <w:r w:rsidR="00B32D9D" w:rsidRPr="0062163D">
        <w:rPr>
          <w:bCs/>
          <w:lang w:val="en-US"/>
        </w:rPr>
        <w:t>et al.</w:t>
      </w:r>
      <w:r w:rsidRPr="0062163D">
        <w:rPr>
          <w:bCs/>
          <w:lang w:val="en-US"/>
        </w:rPr>
        <w:t xml:space="preserve"> Clinical use of intracoronary imaging. Part 1: guidance and optimization of coronary interventions. An expert consensus document of the European Association of Percutaneous Cardiovascular Interventions. </w:t>
      </w:r>
      <w:proofErr w:type="spellStart"/>
      <w:r w:rsidR="00375287" w:rsidRPr="0062163D">
        <w:rPr>
          <w:bCs/>
          <w:lang w:val="en-US"/>
        </w:rPr>
        <w:t>EuroIntervention</w:t>
      </w:r>
      <w:proofErr w:type="spellEnd"/>
      <w:r w:rsidR="00375287" w:rsidRPr="0062163D">
        <w:rPr>
          <w:bCs/>
          <w:lang w:val="en-US"/>
        </w:rPr>
        <w:t xml:space="preserve">. </w:t>
      </w:r>
      <w:proofErr w:type="gramStart"/>
      <w:r w:rsidR="00375287" w:rsidRPr="0062163D">
        <w:rPr>
          <w:bCs/>
          <w:lang w:val="en-US"/>
        </w:rPr>
        <w:t>2018;14:656</w:t>
      </w:r>
      <w:proofErr w:type="gramEnd"/>
      <w:r w:rsidR="00375287" w:rsidRPr="0062163D">
        <w:rPr>
          <w:bCs/>
          <w:lang w:val="en-US"/>
        </w:rPr>
        <w:t>-</w:t>
      </w:r>
      <w:r w:rsidR="00B32D9D" w:rsidRPr="0062163D">
        <w:rPr>
          <w:bCs/>
          <w:lang w:val="en-US"/>
        </w:rPr>
        <w:t>6</w:t>
      </w:r>
      <w:r w:rsidR="00375287" w:rsidRPr="0062163D">
        <w:rPr>
          <w:bCs/>
          <w:lang w:val="en-US"/>
        </w:rPr>
        <w:t>77.</w:t>
      </w:r>
    </w:p>
    <w:p w14:paraId="534896EF" w14:textId="22D33720" w:rsidR="00760559" w:rsidRPr="0062163D" w:rsidRDefault="00760559" w:rsidP="00714C2A">
      <w:pPr>
        <w:spacing w:line="480" w:lineRule="auto"/>
        <w:jc w:val="both"/>
        <w:rPr>
          <w:bCs/>
          <w:lang w:val="en-US"/>
        </w:rPr>
      </w:pPr>
    </w:p>
    <w:p w14:paraId="1BF69A79" w14:textId="7F3EAFE0" w:rsidR="00760559" w:rsidRPr="0062163D" w:rsidRDefault="00760559" w:rsidP="00714C2A">
      <w:pPr>
        <w:spacing w:line="480" w:lineRule="auto"/>
        <w:jc w:val="both"/>
        <w:rPr>
          <w:bCs/>
          <w:lang w:val="en-US"/>
        </w:rPr>
      </w:pPr>
      <w:r w:rsidRPr="0062163D">
        <w:rPr>
          <w:bCs/>
          <w:lang w:val="en-US"/>
        </w:rPr>
        <w:lastRenderedPageBreak/>
        <w:t xml:space="preserve">12. </w:t>
      </w:r>
      <w:proofErr w:type="spellStart"/>
      <w:r w:rsidRPr="0062163D">
        <w:rPr>
          <w:bCs/>
          <w:lang w:val="en-US"/>
        </w:rPr>
        <w:t>Prati</w:t>
      </w:r>
      <w:proofErr w:type="spellEnd"/>
      <w:r w:rsidRPr="0062163D">
        <w:rPr>
          <w:bCs/>
          <w:lang w:val="en-US"/>
        </w:rPr>
        <w:t xml:space="preserve"> F, </w:t>
      </w:r>
      <w:proofErr w:type="spellStart"/>
      <w:r w:rsidRPr="0062163D">
        <w:rPr>
          <w:bCs/>
          <w:lang w:val="en-US"/>
        </w:rPr>
        <w:t>Romagnoli</w:t>
      </w:r>
      <w:proofErr w:type="spellEnd"/>
      <w:r w:rsidRPr="0062163D">
        <w:rPr>
          <w:bCs/>
          <w:lang w:val="en-US"/>
        </w:rPr>
        <w:t xml:space="preserve"> E, </w:t>
      </w:r>
      <w:proofErr w:type="spellStart"/>
      <w:r w:rsidRPr="0062163D">
        <w:rPr>
          <w:bCs/>
          <w:lang w:val="en-US"/>
        </w:rPr>
        <w:t>Burzotta</w:t>
      </w:r>
      <w:proofErr w:type="spellEnd"/>
      <w:r w:rsidRPr="0062163D">
        <w:rPr>
          <w:bCs/>
          <w:lang w:val="en-US"/>
        </w:rPr>
        <w:t xml:space="preserve"> F, </w:t>
      </w:r>
      <w:r w:rsidR="00B32D9D" w:rsidRPr="0062163D">
        <w:rPr>
          <w:bCs/>
          <w:lang w:val="en-US"/>
        </w:rPr>
        <w:t>et al.</w:t>
      </w:r>
      <w:r w:rsidRPr="0062163D">
        <w:rPr>
          <w:bCs/>
          <w:lang w:val="en-US"/>
        </w:rPr>
        <w:t xml:space="preserve"> Clinical Impact of OCT Findings During PCI: The CLI-OPCI II Study. JACC Cardiovasc Imaging. </w:t>
      </w:r>
      <w:proofErr w:type="gramStart"/>
      <w:r w:rsidRPr="0062163D">
        <w:rPr>
          <w:bCs/>
          <w:lang w:val="en-US"/>
        </w:rPr>
        <w:t>2015;8:1297</w:t>
      </w:r>
      <w:proofErr w:type="gramEnd"/>
      <w:r w:rsidRPr="0062163D">
        <w:rPr>
          <w:bCs/>
          <w:lang w:val="en-US"/>
        </w:rPr>
        <w:t>-</w:t>
      </w:r>
      <w:r w:rsidR="00B32D9D" w:rsidRPr="0062163D">
        <w:rPr>
          <w:bCs/>
          <w:lang w:val="en-US"/>
        </w:rPr>
        <w:t>1</w:t>
      </w:r>
      <w:r w:rsidRPr="0062163D">
        <w:rPr>
          <w:bCs/>
          <w:lang w:val="en-US"/>
        </w:rPr>
        <w:t>305,</w:t>
      </w:r>
    </w:p>
    <w:p w14:paraId="1DEBEDF8" w14:textId="77777777" w:rsidR="00806134" w:rsidRPr="0062163D" w:rsidRDefault="00806134" w:rsidP="00714C2A">
      <w:pPr>
        <w:spacing w:line="480" w:lineRule="auto"/>
        <w:jc w:val="both"/>
        <w:rPr>
          <w:bCs/>
        </w:rPr>
      </w:pPr>
    </w:p>
    <w:p w14:paraId="7F14F8AA" w14:textId="5AADCCA6" w:rsidR="00806134" w:rsidRPr="0062163D" w:rsidRDefault="00806134" w:rsidP="00714C2A">
      <w:pPr>
        <w:spacing w:line="480" w:lineRule="auto"/>
        <w:jc w:val="both"/>
        <w:rPr>
          <w:bCs/>
        </w:rPr>
      </w:pPr>
      <w:r w:rsidRPr="0062163D">
        <w:rPr>
          <w:bCs/>
        </w:rPr>
        <w:t>1</w:t>
      </w:r>
      <w:r w:rsidR="00760559" w:rsidRPr="0062163D">
        <w:rPr>
          <w:bCs/>
        </w:rPr>
        <w:t>3</w:t>
      </w:r>
      <w:r w:rsidRPr="0062163D">
        <w:rPr>
          <w:bCs/>
        </w:rPr>
        <w:t xml:space="preserve">.  De Maria GL, </w:t>
      </w:r>
      <w:proofErr w:type="spellStart"/>
      <w:r w:rsidRPr="0062163D">
        <w:rPr>
          <w:bCs/>
        </w:rPr>
        <w:t>Cuculi</w:t>
      </w:r>
      <w:proofErr w:type="spellEnd"/>
      <w:r w:rsidRPr="0062163D">
        <w:rPr>
          <w:bCs/>
        </w:rPr>
        <w:t xml:space="preserve"> F, Patel N, </w:t>
      </w:r>
      <w:r w:rsidR="00B32D9D" w:rsidRPr="0062163D">
        <w:rPr>
          <w:bCs/>
        </w:rPr>
        <w:t>et al.</w:t>
      </w:r>
      <w:r w:rsidRPr="0062163D">
        <w:rPr>
          <w:bCs/>
        </w:rPr>
        <w:t xml:space="preserve"> How does coronary stent implantation impact on the status of the microcirculation during primary percutaneous coronary intervention in patients with ST-elevation myocardial infarction? Eur Heart J. </w:t>
      </w:r>
      <w:proofErr w:type="gramStart"/>
      <w:r w:rsidRPr="0062163D">
        <w:rPr>
          <w:bCs/>
        </w:rPr>
        <w:t>2015;36:3165</w:t>
      </w:r>
      <w:proofErr w:type="gramEnd"/>
      <w:r w:rsidRPr="0062163D">
        <w:rPr>
          <w:bCs/>
        </w:rPr>
        <w:t>-</w:t>
      </w:r>
      <w:r w:rsidR="00B32D9D" w:rsidRPr="0062163D">
        <w:rPr>
          <w:bCs/>
        </w:rPr>
        <w:t>31</w:t>
      </w:r>
      <w:r w:rsidRPr="0062163D">
        <w:rPr>
          <w:bCs/>
        </w:rPr>
        <w:t xml:space="preserve">77. </w:t>
      </w:r>
    </w:p>
    <w:p w14:paraId="62948D17" w14:textId="77777777" w:rsidR="00806134" w:rsidRPr="0062163D" w:rsidRDefault="00806134" w:rsidP="00714C2A">
      <w:pPr>
        <w:spacing w:line="480" w:lineRule="auto"/>
        <w:jc w:val="both"/>
        <w:rPr>
          <w:bCs/>
        </w:rPr>
      </w:pPr>
    </w:p>
    <w:p w14:paraId="77F58498" w14:textId="0915F7B3" w:rsidR="00806134" w:rsidRPr="0062163D" w:rsidRDefault="00806134" w:rsidP="00714C2A">
      <w:pPr>
        <w:spacing w:line="480" w:lineRule="auto"/>
        <w:jc w:val="both"/>
        <w:rPr>
          <w:bCs/>
        </w:rPr>
      </w:pPr>
      <w:r w:rsidRPr="0062163D">
        <w:rPr>
          <w:bCs/>
        </w:rPr>
        <w:t>1</w:t>
      </w:r>
      <w:r w:rsidR="00760559" w:rsidRPr="0062163D">
        <w:rPr>
          <w:bCs/>
        </w:rPr>
        <w:t>4</w:t>
      </w:r>
      <w:r w:rsidRPr="0062163D">
        <w:rPr>
          <w:bCs/>
        </w:rPr>
        <w:t xml:space="preserve">.  </w:t>
      </w:r>
      <w:proofErr w:type="spellStart"/>
      <w:r w:rsidRPr="0062163D">
        <w:rPr>
          <w:bCs/>
        </w:rPr>
        <w:t>Hoole</w:t>
      </w:r>
      <w:proofErr w:type="spellEnd"/>
      <w:r w:rsidRPr="0062163D">
        <w:rPr>
          <w:bCs/>
        </w:rPr>
        <w:t xml:space="preserve"> SP, Jaworski C, Brown AJ, </w:t>
      </w:r>
      <w:r w:rsidR="00B32D9D" w:rsidRPr="0062163D">
        <w:rPr>
          <w:bCs/>
        </w:rPr>
        <w:t>et al</w:t>
      </w:r>
      <w:r w:rsidRPr="0062163D">
        <w:rPr>
          <w:bCs/>
        </w:rPr>
        <w:t>. Serial assessment of the index of microcirculatory resistance during primary percutaneous coronary intervention comparing manual aspiration catheter thrombectomy with balloon angioplasty (IMPACT study): a randomised controlled pilot study. Open Heart. 2015;</w:t>
      </w:r>
      <w:proofErr w:type="gramStart"/>
      <w:r w:rsidRPr="0062163D">
        <w:rPr>
          <w:bCs/>
        </w:rPr>
        <w:t>2:e</w:t>
      </w:r>
      <w:proofErr w:type="gramEnd"/>
      <w:r w:rsidRPr="0062163D">
        <w:rPr>
          <w:bCs/>
        </w:rPr>
        <w:t xml:space="preserve">000238. </w:t>
      </w:r>
    </w:p>
    <w:p w14:paraId="67CB48CF" w14:textId="7CB520D0" w:rsidR="0014310C" w:rsidRPr="0062163D" w:rsidRDefault="0014310C" w:rsidP="00714C2A">
      <w:pPr>
        <w:spacing w:line="480" w:lineRule="auto"/>
        <w:jc w:val="both"/>
        <w:rPr>
          <w:bCs/>
        </w:rPr>
      </w:pPr>
    </w:p>
    <w:p w14:paraId="59CA98D0" w14:textId="3B72D26F" w:rsidR="0014310C" w:rsidRPr="0062163D" w:rsidRDefault="0014310C" w:rsidP="0014310C">
      <w:pPr>
        <w:spacing w:line="480" w:lineRule="auto"/>
        <w:jc w:val="both"/>
        <w:rPr>
          <w:bCs/>
        </w:rPr>
      </w:pPr>
      <w:r w:rsidRPr="0062163D">
        <w:rPr>
          <w:bCs/>
        </w:rPr>
        <w:t>1</w:t>
      </w:r>
      <w:r w:rsidR="00760559" w:rsidRPr="0062163D">
        <w:rPr>
          <w:bCs/>
        </w:rPr>
        <w:t>5</w:t>
      </w:r>
      <w:r w:rsidRPr="0062163D">
        <w:rPr>
          <w:bCs/>
        </w:rPr>
        <w:t xml:space="preserve">. Ali ZA, Maehara A, </w:t>
      </w:r>
      <w:proofErr w:type="spellStart"/>
      <w:r w:rsidRPr="0062163D">
        <w:rPr>
          <w:bCs/>
        </w:rPr>
        <w:t>Généreux</w:t>
      </w:r>
      <w:proofErr w:type="spellEnd"/>
      <w:r w:rsidRPr="0062163D">
        <w:rPr>
          <w:bCs/>
        </w:rPr>
        <w:t xml:space="preserve"> P, </w:t>
      </w:r>
      <w:r w:rsidR="00B32D9D" w:rsidRPr="0062163D">
        <w:rPr>
          <w:bCs/>
        </w:rPr>
        <w:t xml:space="preserve">et al. </w:t>
      </w:r>
      <w:r w:rsidRPr="0062163D">
        <w:rPr>
          <w:bCs/>
        </w:rPr>
        <w:t xml:space="preserve">Optical coherence tomography compared with intravascular ultrasound and with angiography to guide coronary stent implantation (ILUMIEN III: OPTIMIZE PCI): a randomised controlled trial. Lancet. </w:t>
      </w:r>
      <w:proofErr w:type="gramStart"/>
      <w:r w:rsidRPr="0062163D">
        <w:rPr>
          <w:bCs/>
        </w:rPr>
        <w:t>2016;388:2618</w:t>
      </w:r>
      <w:proofErr w:type="gramEnd"/>
      <w:r w:rsidRPr="0062163D">
        <w:rPr>
          <w:bCs/>
        </w:rPr>
        <w:t xml:space="preserve">-2628. </w:t>
      </w:r>
    </w:p>
    <w:p w14:paraId="36DB8573" w14:textId="474D4FF5" w:rsidR="00806134" w:rsidRPr="0062163D" w:rsidRDefault="00806134" w:rsidP="00714C2A">
      <w:pPr>
        <w:spacing w:line="480" w:lineRule="auto"/>
        <w:jc w:val="both"/>
        <w:rPr>
          <w:bCs/>
          <w:lang w:val="en-US"/>
        </w:rPr>
      </w:pPr>
    </w:p>
    <w:p w14:paraId="1E9B57A2" w14:textId="59A3E5AC" w:rsidR="00806134" w:rsidRPr="0062163D" w:rsidRDefault="00806134" w:rsidP="00714C2A">
      <w:pPr>
        <w:spacing w:line="480" w:lineRule="auto"/>
        <w:jc w:val="both"/>
        <w:rPr>
          <w:bCs/>
          <w:lang w:val="en-US"/>
        </w:rPr>
      </w:pPr>
      <w:r w:rsidRPr="0062163D">
        <w:rPr>
          <w:bCs/>
          <w:lang w:val="en-US"/>
        </w:rPr>
        <w:t>1</w:t>
      </w:r>
      <w:r w:rsidR="0014310C" w:rsidRPr="0062163D">
        <w:rPr>
          <w:bCs/>
          <w:lang w:val="en-US"/>
        </w:rPr>
        <w:t>6</w:t>
      </w:r>
      <w:r w:rsidRPr="0062163D">
        <w:rPr>
          <w:bCs/>
          <w:lang w:val="en-US"/>
        </w:rPr>
        <w:t xml:space="preserve">. </w:t>
      </w:r>
      <w:proofErr w:type="spellStart"/>
      <w:r w:rsidRPr="0062163D">
        <w:rPr>
          <w:bCs/>
          <w:lang w:val="en-US"/>
        </w:rPr>
        <w:t>Prati</w:t>
      </w:r>
      <w:proofErr w:type="spellEnd"/>
      <w:r w:rsidRPr="0062163D">
        <w:rPr>
          <w:bCs/>
          <w:lang w:val="en-US"/>
        </w:rPr>
        <w:t xml:space="preserve"> F, </w:t>
      </w:r>
      <w:proofErr w:type="spellStart"/>
      <w:r w:rsidRPr="0062163D">
        <w:rPr>
          <w:bCs/>
          <w:lang w:val="en-US"/>
        </w:rPr>
        <w:t>Romagnoli</w:t>
      </w:r>
      <w:proofErr w:type="spellEnd"/>
      <w:r w:rsidRPr="0062163D">
        <w:rPr>
          <w:bCs/>
          <w:lang w:val="en-US"/>
        </w:rPr>
        <w:t xml:space="preserve"> E, </w:t>
      </w:r>
      <w:proofErr w:type="spellStart"/>
      <w:r w:rsidRPr="0062163D">
        <w:rPr>
          <w:bCs/>
          <w:lang w:val="en-US"/>
        </w:rPr>
        <w:t>Gatto</w:t>
      </w:r>
      <w:proofErr w:type="spellEnd"/>
      <w:r w:rsidRPr="0062163D">
        <w:rPr>
          <w:bCs/>
          <w:lang w:val="en-US"/>
        </w:rPr>
        <w:t xml:space="preserve"> L, </w:t>
      </w:r>
      <w:r w:rsidR="00B32D9D" w:rsidRPr="0062163D">
        <w:rPr>
          <w:bCs/>
          <w:lang w:val="en-US"/>
        </w:rPr>
        <w:t>et al</w:t>
      </w:r>
      <w:r w:rsidRPr="0062163D">
        <w:rPr>
          <w:bCs/>
          <w:lang w:val="en-US"/>
        </w:rPr>
        <w:t xml:space="preserve">. Clinical Impact of Suboptimal Stenting and Residual Intrastent Plaque/Thrombus Protrusion in Patients With Acute Coronary Syndrome: The CLI-OPCI ACS </w:t>
      </w:r>
      <w:proofErr w:type="spellStart"/>
      <w:r w:rsidRPr="0062163D">
        <w:rPr>
          <w:bCs/>
          <w:lang w:val="en-US"/>
        </w:rPr>
        <w:t>Substudy</w:t>
      </w:r>
      <w:proofErr w:type="spellEnd"/>
      <w:r w:rsidRPr="0062163D">
        <w:rPr>
          <w:bCs/>
          <w:lang w:val="en-US"/>
        </w:rPr>
        <w:t xml:space="preserve"> (Centro per la Lotta </w:t>
      </w:r>
      <w:proofErr w:type="spellStart"/>
      <w:r w:rsidRPr="0062163D">
        <w:rPr>
          <w:bCs/>
          <w:lang w:val="en-US"/>
        </w:rPr>
        <w:t>Contro</w:t>
      </w:r>
      <w:proofErr w:type="spellEnd"/>
      <w:r w:rsidRPr="0062163D">
        <w:rPr>
          <w:bCs/>
          <w:lang w:val="en-US"/>
        </w:rPr>
        <w:t xml:space="preserve"> </w:t>
      </w:r>
      <w:proofErr w:type="spellStart"/>
      <w:r w:rsidRPr="0062163D">
        <w:rPr>
          <w:bCs/>
          <w:lang w:val="en-US"/>
        </w:rPr>
        <w:t>L'Infarto</w:t>
      </w:r>
      <w:proofErr w:type="spellEnd"/>
      <w:r w:rsidRPr="0062163D">
        <w:rPr>
          <w:bCs/>
          <w:lang w:val="en-US"/>
        </w:rPr>
        <w:t xml:space="preserve">-Optimization of Percutaneous Coronary Intervention in Acute Coronary Syndrome). Circ Cardiovasc </w:t>
      </w:r>
      <w:proofErr w:type="spellStart"/>
      <w:r w:rsidRPr="0062163D">
        <w:rPr>
          <w:bCs/>
          <w:lang w:val="en-US"/>
        </w:rPr>
        <w:t>Interv</w:t>
      </w:r>
      <w:proofErr w:type="spellEnd"/>
      <w:r w:rsidRPr="0062163D">
        <w:rPr>
          <w:bCs/>
          <w:lang w:val="en-US"/>
        </w:rPr>
        <w:t>. 2016;</w:t>
      </w:r>
      <w:proofErr w:type="gramStart"/>
      <w:r w:rsidRPr="0062163D">
        <w:rPr>
          <w:bCs/>
          <w:lang w:val="en-US"/>
        </w:rPr>
        <w:t>9:e</w:t>
      </w:r>
      <w:proofErr w:type="gramEnd"/>
      <w:r w:rsidRPr="0062163D">
        <w:rPr>
          <w:bCs/>
          <w:lang w:val="en-US"/>
        </w:rPr>
        <w:t>003726.</w:t>
      </w:r>
    </w:p>
    <w:p w14:paraId="487DA6EF" w14:textId="77777777" w:rsidR="00806134" w:rsidRPr="0062163D" w:rsidRDefault="00806134" w:rsidP="00714C2A">
      <w:pPr>
        <w:spacing w:line="480" w:lineRule="auto"/>
        <w:jc w:val="both"/>
        <w:rPr>
          <w:bCs/>
          <w:lang w:val="en-US"/>
        </w:rPr>
      </w:pPr>
    </w:p>
    <w:p w14:paraId="177A0ACC" w14:textId="7EF16841" w:rsidR="00806134" w:rsidRPr="0062163D" w:rsidRDefault="00617236" w:rsidP="00714C2A">
      <w:pPr>
        <w:spacing w:line="480" w:lineRule="auto"/>
        <w:jc w:val="both"/>
        <w:rPr>
          <w:bCs/>
          <w:lang w:val="en-US"/>
        </w:rPr>
      </w:pPr>
      <w:r w:rsidRPr="0062163D">
        <w:rPr>
          <w:bCs/>
          <w:lang w:val="en-US"/>
        </w:rPr>
        <w:lastRenderedPageBreak/>
        <w:t>1</w:t>
      </w:r>
      <w:r w:rsidR="0014310C" w:rsidRPr="0062163D">
        <w:rPr>
          <w:bCs/>
          <w:lang w:val="en-US"/>
        </w:rPr>
        <w:t>7</w:t>
      </w:r>
      <w:r w:rsidR="00806134" w:rsidRPr="0062163D">
        <w:rPr>
          <w:bCs/>
          <w:lang w:val="en-US"/>
        </w:rPr>
        <w:t xml:space="preserve">. Di Giorgio A, Capodanno D, </w:t>
      </w:r>
      <w:proofErr w:type="spellStart"/>
      <w:r w:rsidR="00806134" w:rsidRPr="0062163D">
        <w:rPr>
          <w:bCs/>
          <w:lang w:val="en-US"/>
        </w:rPr>
        <w:t>Ramazzotti</w:t>
      </w:r>
      <w:proofErr w:type="spellEnd"/>
      <w:r w:rsidR="00806134" w:rsidRPr="0062163D">
        <w:rPr>
          <w:bCs/>
          <w:lang w:val="en-US"/>
        </w:rPr>
        <w:t xml:space="preserve"> V, </w:t>
      </w:r>
      <w:r w:rsidR="00B32D9D" w:rsidRPr="0062163D">
        <w:rPr>
          <w:bCs/>
          <w:lang w:val="en-US"/>
        </w:rPr>
        <w:t xml:space="preserve">et al. </w:t>
      </w:r>
      <w:r w:rsidR="00806134" w:rsidRPr="0062163D">
        <w:rPr>
          <w:bCs/>
          <w:lang w:val="en-US"/>
        </w:rPr>
        <w:t xml:space="preserve">Optical coherence tomography guided in-stent thrombus removal in patients with acute coronary syndromes. Int J Cardiovasc Imaging. </w:t>
      </w:r>
      <w:proofErr w:type="gramStart"/>
      <w:r w:rsidR="00806134" w:rsidRPr="0062163D">
        <w:rPr>
          <w:bCs/>
          <w:lang w:val="en-US"/>
        </w:rPr>
        <w:t>2013;29:989</w:t>
      </w:r>
      <w:proofErr w:type="gramEnd"/>
      <w:r w:rsidR="00806134" w:rsidRPr="0062163D">
        <w:rPr>
          <w:bCs/>
          <w:lang w:val="en-US"/>
        </w:rPr>
        <w:t>-</w:t>
      </w:r>
      <w:r w:rsidR="00B32D9D" w:rsidRPr="0062163D">
        <w:rPr>
          <w:bCs/>
          <w:lang w:val="en-US"/>
        </w:rPr>
        <w:t>9</w:t>
      </w:r>
      <w:r w:rsidR="00806134" w:rsidRPr="0062163D">
        <w:rPr>
          <w:bCs/>
          <w:lang w:val="en-US"/>
        </w:rPr>
        <w:t xml:space="preserve">96. </w:t>
      </w:r>
    </w:p>
    <w:p w14:paraId="2015B7FE" w14:textId="77777777" w:rsidR="00806134" w:rsidRPr="0062163D" w:rsidRDefault="00806134" w:rsidP="00714C2A">
      <w:pPr>
        <w:spacing w:line="480" w:lineRule="auto"/>
        <w:jc w:val="both"/>
        <w:rPr>
          <w:bCs/>
          <w:lang w:val="en-US"/>
        </w:rPr>
      </w:pPr>
    </w:p>
    <w:p w14:paraId="7C404EC8" w14:textId="4D4E7170" w:rsidR="00806134" w:rsidRPr="0062163D" w:rsidRDefault="00375287" w:rsidP="00714C2A">
      <w:pPr>
        <w:spacing w:line="480" w:lineRule="auto"/>
        <w:jc w:val="both"/>
        <w:rPr>
          <w:bCs/>
          <w:lang w:val="en-US"/>
        </w:rPr>
      </w:pPr>
      <w:r w:rsidRPr="0062163D">
        <w:rPr>
          <w:bCs/>
          <w:lang w:val="en-US"/>
        </w:rPr>
        <w:t>1</w:t>
      </w:r>
      <w:r w:rsidR="00D85DB9" w:rsidRPr="0062163D">
        <w:rPr>
          <w:bCs/>
          <w:lang w:val="en-US"/>
        </w:rPr>
        <w:t>8</w:t>
      </w:r>
      <w:r w:rsidR="00806134" w:rsidRPr="0062163D">
        <w:rPr>
          <w:bCs/>
          <w:lang w:val="en-US"/>
        </w:rPr>
        <w:t xml:space="preserve">. Agarwal SK, </w:t>
      </w:r>
      <w:proofErr w:type="spellStart"/>
      <w:r w:rsidR="00806134" w:rsidRPr="0062163D">
        <w:rPr>
          <w:bCs/>
          <w:lang w:val="en-US"/>
        </w:rPr>
        <w:t>Kasula</w:t>
      </w:r>
      <w:proofErr w:type="spellEnd"/>
      <w:r w:rsidR="00806134" w:rsidRPr="0062163D">
        <w:rPr>
          <w:bCs/>
          <w:lang w:val="en-US"/>
        </w:rPr>
        <w:t xml:space="preserve"> S, </w:t>
      </w:r>
      <w:proofErr w:type="spellStart"/>
      <w:r w:rsidR="00806134" w:rsidRPr="0062163D">
        <w:rPr>
          <w:bCs/>
          <w:lang w:val="en-US"/>
        </w:rPr>
        <w:t>Hacioglu</w:t>
      </w:r>
      <w:proofErr w:type="spellEnd"/>
      <w:r w:rsidR="00806134" w:rsidRPr="0062163D">
        <w:rPr>
          <w:bCs/>
          <w:lang w:val="en-US"/>
        </w:rPr>
        <w:t xml:space="preserve"> Y, Ahmed Z, </w:t>
      </w:r>
      <w:proofErr w:type="spellStart"/>
      <w:r w:rsidR="00806134" w:rsidRPr="0062163D">
        <w:rPr>
          <w:bCs/>
          <w:lang w:val="en-US"/>
        </w:rPr>
        <w:t>Uretsky</w:t>
      </w:r>
      <w:proofErr w:type="spellEnd"/>
      <w:r w:rsidR="00806134" w:rsidRPr="0062163D">
        <w:rPr>
          <w:bCs/>
          <w:lang w:val="en-US"/>
        </w:rPr>
        <w:t xml:space="preserve"> BF, Hakeem A. Utilizing Post-Intervention Fractional Flow Reserve to Optimize Acute Results and the Relationship to Long-Term Outcomes. JACC Cardiovasc </w:t>
      </w:r>
      <w:proofErr w:type="spellStart"/>
      <w:r w:rsidR="00806134" w:rsidRPr="0062163D">
        <w:rPr>
          <w:bCs/>
          <w:lang w:val="en-US"/>
        </w:rPr>
        <w:t>Interv</w:t>
      </w:r>
      <w:proofErr w:type="spellEnd"/>
      <w:r w:rsidR="00806134" w:rsidRPr="0062163D">
        <w:rPr>
          <w:bCs/>
          <w:lang w:val="en-US"/>
        </w:rPr>
        <w:t xml:space="preserve">. </w:t>
      </w:r>
      <w:proofErr w:type="gramStart"/>
      <w:r w:rsidR="00806134" w:rsidRPr="0062163D">
        <w:rPr>
          <w:bCs/>
          <w:lang w:val="en-US"/>
        </w:rPr>
        <w:t>2016;9:1022</w:t>
      </w:r>
      <w:proofErr w:type="gramEnd"/>
      <w:r w:rsidR="00806134" w:rsidRPr="0062163D">
        <w:rPr>
          <w:bCs/>
          <w:lang w:val="en-US"/>
        </w:rPr>
        <w:t>-</w:t>
      </w:r>
      <w:r w:rsidR="00B32D9D" w:rsidRPr="0062163D">
        <w:rPr>
          <w:bCs/>
          <w:lang w:val="en-US"/>
        </w:rPr>
        <w:t>10</w:t>
      </w:r>
      <w:r w:rsidR="00806134" w:rsidRPr="0062163D">
        <w:rPr>
          <w:bCs/>
          <w:lang w:val="en-US"/>
        </w:rPr>
        <w:t xml:space="preserve">31. </w:t>
      </w:r>
    </w:p>
    <w:p w14:paraId="4A1B41BF" w14:textId="77777777" w:rsidR="00806134" w:rsidRPr="0062163D" w:rsidRDefault="00806134" w:rsidP="00714C2A">
      <w:pPr>
        <w:spacing w:line="480" w:lineRule="auto"/>
        <w:jc w:val="both"/>
        <w:rPr>
          <w:bCs/>
          <w:lang w:val="en-US"/>
        </w:rPr>
      </w:pPr>
    </w:p>
    <w:p w14:paraId="0FC67C48" w14:textId="26AD07CF" w:rsidR="00375287" w:rsidRPr="0062163D" w:rsidRDefault="00D85DB9" w:rsidP="00375287">
      <w:pPr>
        <w:spacing w:line="480" w:lineRule="auto"/>
        <w:jc w:val="both"/>
        <w:rPr>
          <w:bCs/>
          <w:lang w:val="en-US"/>
        </w:rPr>
      </w:pPr>
      <w:r w:rsidRPr="0062163D">
        <w:rPr>
          <w:bCs/>
          <w:lang w:val="en-US"/>
        </w:rPr>
        <w:t>19</w:t>
      </w:r>
      <w:r w:rsidR="00806134" w:rsidRPr="0062163D">
        <w:rPr>
          <w:bCs/>
          <w:lang w:val="en-US"/>
        </w:rPr>
        <w:t xml:space="preserve">. </w:t>
      </w:r>
      <w:proofErr w:type="spellStart"/>
      <w:r w:rsidR="00806134" w:rsidRPr="0062163D">
        <w:rPr>
          <w:bCs/>
          <w:lang w:val="en-US"/>
        </w:rPr>
        <w:t>Wolfrum</w:t>
      </w:r>
      <w:proofErr w:type="spellEnd"/>
      <w:r w:rsidR="00806134" w:rsidRPr="0062163D">
        <w:rPr>
          <w:bCs/>
          <w:lang w:val="en-US"/>
        </w:rPr>
        <w:t xml:space="preserve"> M, De Maria GL, </w:t>
      </w:r>
      <w:proofErr w:type="spellStart"/>
      <w:r w:rsidR="00806134" w:rsidRPr="0062163D">
        <w:rPr>
          <w:bCs/>
          <w:lang w:val="en-US"/>
        </w:rPr>
        <w:t>Benenati</w:t>
      </w:r>
      <w:proofErr w:type="spellEnd"/>
      <w:r w:rsidR="00806134" w:rsidRPr="0062163D">
        <w:rPr>
          <w:bCs/>
          <w:lang w:val="en-US"/>
        </w:rPr>
        <w:t xml:space="preserve"> S, </w:t>
      </w:r>
      <w:r w:rsidR="00B32D9D" w:rsidRPr="0062163D">
        <w:rPr>
          <w:bCs/>
          <w:lang w:val="en-US"/>
        </w:rPr>
        <w:t>et al</w:t>
      </w:r>
      <w:r w:rsidR="00806134" w:rsidRPr="0062163D">
        <w:rPr>
          <w:bCs/>
          <w:lang w:val="en-US"/>
        </w:rPr>
        <w:t xml:space="preserve">. What are the causes of a suboptimal FFR after coronary stent deployment? Insights from a consecutive series using OCT imaging. </w:t>
      </w:r>
      <w:proofErr w:type="spellStart"/>
      <w:r w:rsidR="00806134" w:rsidRPr="0062163D">
        <w:rPr>
          <w:bCs/>
          <w:lang w:val="en-US"/>
        </w:rPr>
        <w:t>EuroIntervention</w:t>
      </w:r>
      <w:proofErr w:type="spellEnd"/>
      <w:r w:rsidR="00806134" w:rsidRPr="0062163D">
        <w:rPr>
          <w:bCs/>
          <w:lang w:val="en-US"/>
        </w:rPr>
        <w:t>. 2018;</w:t>
      </w:r>
      <w:proofErr w:type="gramStart"/>
      <w:r w:rsidR="00806134" w:rsidRPr="0062163D">
        <w:rPr>
          <w:bCs/>
          <w:lang w:val="en-US"/>
        </w:rPr>
        <w:t>14:e</w:t>
      </w:r>
      <w:proofErr w:type="gramEnd"/>
      <w:r w:rsidR="00806134" w:rsidRPr="0062163D">
        <w:rPr>
          <w:bCs/>
          <w:lang w:val="en-US"/>
        </w:rPr>
        <w:t>1324-</w:t>
      </w:r>
      <w:r w:rsidR="00B32D9D" w:rsidRPr="0062163D">
        <w:rPr>
          <w:bCs/>
          <w:lang w:val="en-US"/>
        </w:rPr>
        <w:t>13</w:t>
      </w:r>
      <w:r w:rsidR="00806134" w:rsidRPr="0062163D">
        <w:rPr>
          <w:bCs/>
          <w:lang w:val="en-US"/>
        </w:rPr>
        <w:t xml:space="preserve">31. </w:t>
      </w:r>
    </w:p>
    <w:p w14:paraId="473B2C95" w14:textId="442A2D57" w:rsidR="00D85DB9" w:rsidRPr="0062163D" w:rsidRDefault="00D85DB9" w:rsidP="00375287">
      <w:pPr>
        <w:spacing w:line="480" w:lineRule="auto"/>
        <w:jc w:val="both"/>
        <w:rPr>
          <w:bCs/>
          <w:lang w:val="en-US"/>
        </w:rPr>
      </w:pPr>
    </w:p>
    <w:p w14:paraId="211A3AF3" w14:textId="065435AD" w:rsidR="00D85DB9" w:rsidRPr="0062163D" w:rsidRDefault="00D85DB9" w:rsidP="00375287">
      <w:pPr>
        <w:spacing w:line="480" w:lineRule="auto"/>
        <w:jc w:val="both"/>
        <w:rPr>
          <w:bCs/>
          <w:lang w:val="en-US"/>
        </w:rPr>
      </w:pPr>
    </w:p>
    <w:p w14:paraId="679BE691" w14:textId="62E935C5" w:rsidR="00D85DB9" w:rsidRPr="0062163D" w:rsidRDefault="00D85DB9" w:rsidP="00375287">
      <w:pPr>
        <w:spacing w:line="480" w:lineRule="auto"/>
        <w:jc w:val="both"/>
        <w:rPr>
          <w:bCs/>
          <w:lang w:val="en-US"/>
        </w:rPr>
      </w:pPr>
    </w:p>
    <w:p w14:paraId="27C0B264" w14:textId="2688686B" w:rsidR="00D85DB9" w:rsidRPr="0062163D" w:rsidRDefault="00D85DB9" w:rsidP="00375287">
      <w:pPr>
        <w:spacing w:line="480" w:lineRule="auto"/>
        <w:jc w:val="both"/>
        <w:rPr>
          <w:bCs/>
          <w:lang w:val="en-US"/>
        </w:rPr>
      </w:pPr>
    </w:p>
    <w:p w14:paraId="5A1A8C4A" w14:textId="4784CE4C" w:rsidR="00D85DB9" w:rsidRPr="0062163D" w:rsidRDefault="00D85DB9" w:rsidP="00375287">
      <w:pPr>
        <w:spacing w:line="480" w:lineRule="auto"/>
        <w:jc w:val="both"/>
        <w:rPr>
          <w:bCs/>
          <w:lang w:val="en-US"/>
        </w:rPr>
      </w:pPr>
    </w:p>
    <w:p w14:paraId="4CEB042A" w14:textId="6F0B8ED4" w:rsidR="00D85DB9" w:rsidRPr="0062163D" w:rsidRDefault="00D85DB9" w:rsidP="00375287">
      <w:pPr>
        <w:spacing w:line="480" w:lineRule="auto"/>
        <w:jc w:val="both"/>
        <w:rPr>
          <w:bCs/>
          <w:lang w:val="en-US"/>
        </w:rPr>
      </w:pPr>
    </w:p>
    <w:p w14:paraId="29735779" w14:textId="48EF8B8E" w:rsidR="00D85DB9" w:rsidRPr="0062163D" w:rsidRDefault="00D85DB9" w:rsidP="00375287">
      <w:pPr>
        <w:spacing w:line="480" w:lineRule="auto"/>
        <w:jc w:val="both"/>
        <w:rPr>
          <w:bCs/>
          <w:lang w:val="en-US"/>
        </w:rPr>
      </w:pPr>
    </w:p>
    <w:p w14:paraId="28C9B52F" w14:textId="5D388372" w:rsidR="00D85DB9" w:rsidRPr="0062163D" w:rsidRDefault="00D85DB9" w:rsidP="00375287">
      <w:pPr>
        <w:spacing w:line="480" w:lineRule="auto"/>
        <w:jc w:val="both"/>
        <w:rPr>
          <w:bCs/>
          <w:lang w:val="en-US"/>
        </w:rPr>
      </w:pPr>
    </w:p>
    <w:p w14:paraId="5C178F2B" w14:textId="77777777" w:rsidR="00D85DB9" w:rsidRPr="0062163D" w:rsidRDefault="00D85DB9" w:rsidP="00375287">
      <w:pPr>
        <w:spacing w:line="480" w:lineRule="auto"/>
        <w:jc w:val="both"/>
        <w:rPr>
          <w:bCs/>
          <w:lang w:val="en-US"/>
        </w:rPr>
      </w:pPr>
    </w:p>
    <w:p w14:paraId="4F915C2A" w14:textId="77777777" w:rsidR="00B32D9D" w:rsidRPr="0062163D" w:rsidRDefault="00B32D9D" w:rsidP="00375287">
      <w:pPr>
        <w:spacing w:line="480" w:lineRule="auto"/>
        <w:jc w:val="both"/>
        <w:rPr>
          <w:b/>
          <w:bCs/>
        </w:rPr>
      </w:pPr>
    </w:p>
    <w:p w14:paraId="3528EDEC" w14:textId="77777777" w:rsidR="00B32D9D" w:rsidRPr="0062163D" w:rsidRDefault="00B32D9D" w:rsidP="00375287">
      <w:pPr>
        <w:spacing w:line="480" w:lineRule="auto"/>
        <w:jc w:val="both"/>
        <w:rPr>
          <w:b/>
          <w:bCs/>
        </w:rPr>
      </w:pPr>
    </w:p>
    <w:p w14:paraId="67906FBE" w14:textId="77777777" w:rsidR="00B32D9D" w:rsidRPr="0062163D" w:rsidRDefault="00B32D9D" w:rsidP="00375287">
      <w:pPr>
        <w:spacing w:line="480" w:lineRule="auto"/>
        <w:jc w:val="both"/>
        <w:rPr>
          <w:b/>
          <w:bCs/>
        </w:rPr>
      </w:pPr>
    </w:p>
    <w:p w14:paraId="3BDC506F" w14:textId="336768AA" w:rsidR="00CE4A71" w:rsidRPr="0062163D" w:rsidRDefault="00CE4A71" w:rsidP="00375287">
      <w:pPr>
        <w:spacing w:line="480" w:lineRule="auto"/>
        <w:jc w:val="both"/>
      </w:pPr>
      <w:r w:rsidRPr="0062163D">
        <w:rPr>
          <w:b/>
          <w:bCs/>
        </w:rPr>
        <w:lastRenderedPageBreak/>
        <w:t xml:space="preserve">Figure 1. </w:t>
      </w:r>
      <w:r w:rsidRPr="0062163D">
        <w:t>Patients’ flow chart.</w:t>
      </w:r>
    </w:p>
    <w:p w14:paraId="6FE281B9" w14:textId="77777777" w:rsidR="004972A4" w:rsidRPr="0062163D" w:rsidRDefault="004972A4" w:rsidP="004972A4">
      <w:pPr>
        <w:spacing w:line="480" w:lineRule="auto"/>
        <w:jc w:val="both"/>
      </w:pPr>
      <w:r w:rsidRPr="0062163D">
        <w:t xml:space="preserve">PD = post dilatation, STEMI = ST-segment elevation myocardial infarction, MI = myocardial infarction, PPCI = primary percutaneous coronary intervention, OCT = optical coherence tomography, PEA = pulseless electrical activity. </w:t>
      </w:r>
    </w:p>
    <w:p w14:paraId="2126FDC7" w14:textId="77777777" w:rsidR="004972A4" w:rsidRPr="0062163D" w:rsidRDefault="004972A4" w:rsidP="00375287">
      <w:pPr>
        <w:spacing w:line="480" w:lineRule="auto"/>
        <w:jc w:val="both"/>
        <w:rPr>
          <w:b/>
          <w:bCs/>
        </w:rPr>
      </w:pPr>
    </w:p>
    <w:p w14:paraId="085C6209" w14:textId="6FA22E6F" w:rsidR="00FA7090" w:rsidRPr="0062163D" w:rsidRDefault="00FA7090" w:rsidP="00375287">
      <w:pPr>
        <w:spacing w:line="480" w:lineRule="auto"/>
        <w:jc w:val="both"/>
        <w:rPr>
          <w:bCs/>
          <w:lang w:val="en-US"/>
        </w:rPr>
      </w:pPr>
      <w:r w:rsidRPr="0062163D">
        <w:rPr>
          <w:b/>
          <w:bCs/>
        </w:rPr>
        <w:t xml:space="preserve">Figure </w:t>
      </w:r>
      <w:r w:rsidR="00CE4A71" w:rsidRPr="0062163D">
        <w:rPr>
          <w:b/>
          <w:bCs/>
        </w:rPr>
        <w:t>2</w:t>
      </w:r>
      <w:r w:rsidRPr="0062163D">
        <w:t xml:space="preserve">. IMR before and after post-dilatation. </w:t>
      </w:r>
    </w:p>
    <w:p w14:paraId="5B299CC7" w14:textId="540CF107" w:rsidR="00FA7090" w:rsidRPr="0062163D" w:rsidRDefault="00FA7090" w:rsidP="00714C2A">
      <w:pPr>
        <w:spacing w:line="480" w:lineRule="auto"/>
        <w:jc w:val="both"/>
      </w:pPr>
      <w:r w:rsidRPr="0062163D">
        <w:t xml:space="preserve">A) IMR values before and after PD. B) Individual changes in IMR before and after PD. </w:t>
      </w:r>
    </w:p>
    <w:p w14:paraId="0F876A3E" w14:textId="310518D9" w:rsidR="004972A4" w:rsidRPr="0062163D" w:rsidRDefault="004972A4" w:rsidP="00714C2A">
      <w:pPr>
        <w:spacing w:line="480" w:lineRule="auto"/>
        <w:jc w:val="both"/>
      </w:pPr>
      <w:r w:rsidRPr="0062163D">
        <w:t>IMR = Index of microcirculatory resistance, PD = post-dilatation.</w:t>
      </w:r>
    </w:p>
    <w:p w14:paraId="10070475" w14:textId="77777777" w:rsidR="004972A4" w:rsidRPr="0062163D" w:rsidRDefault="004972A4" w:rsidP="00714C2A">
      <w:pPr>
        <w:spacing w:line="480" w:lineRule="auto"/>
        <w:jc w:val="both"/>
      </w:pPr>
    </w:p>
    <w:p w14:paraId="514524A7" w14:textId="39A6D6F1" w:rsidR="00FA7090" w:rsidRPr="0062163D" w:rsidRDefault="00FA7090" w:rsidP="00714C2A">
      <w:pPr>
        <w:pStyle w:val="Caption"/>
        <w:spacing w:line="480" w:lineRule="auto"/>
      </w:pPr>
      <w:r w:rsidRPr="0062163D">
        <w:rPr>
          <w:b/>
          <w:bCs/>
        </w:rPr>
        <w:t xml:space="preserve">Figure </w:t>
      </w:r>
      <w:r w:rsidR="00CE4A71" w:rsidRPr="0062163D">
        <w:rPr>
          <w:b/>
          <w:bCs/>
        </w:rPr>
        <w:t>3</w:t>
      </w:r>
      <w:r w:rsidRPr="0062163D">
        <w:rPr>
          <w:b/>
          <w:bCs/>
        </w:rPr>
        <w:t>.</w:t>
      </w:r>
      <w:r w:rsidRPr="0062163D">
        <w:t xml:space="preserve"> CFR before and after post-dilatation. </w:t>
      </w:r>
    </w:p>
    <w:p w14:paraId="649BF1BC" w14:textId="7842BA77" w:rsidR="00FA7090" w:rsidRPr="0062163D" w:rsidRDefault="00FA7090" w:rsidP="00714C2A">
      <w:pPr>
        <w:spacing w:line="480" w:lineRule="auto"/>
        <w:jc w:val="both"/>
      </w:pPr>
      <w:r w:rsidRPr="0062163D">
        <w:t xml:space="preserve">A) CFR values before and after PD. B) Individual changes in CFR before and after PD. </w:t>
      </w:r>
    </w:p>
    <w:p w14:paraId="45F9E6EF" w14:textId="77777777" w:rsidR="004972A4" w:rsidRPr="0062163D" w:rsidRDefault="004972A4" w:rsidP="004972A4">
      <w:pPr>
        <w:spacing w:line="480" w:lineRule="auto"/>
        <w:jc w:val="both"/>
      </w:pPr>
      <w:r w:rsidRPr="0062163D">
        <w:t>CFR = coronary flow reserve, PD = post-dilatation.</w:t>
      </w:r>
    </w:p>
    <w:p w14:paraId="2DB319D1" w14:textId="77777777" w:rsidR="004972A4" w:rsidRPr="0062163D" w:rsidRDefault="004972A4" w:rsidP="00714C2A">
      <w:pPr>
        <w:spacing w:line="480" w:lineRule="auto"/>
        <w:jc w:val="both"/>
      </w:pPr>
    </w:p>
    <w:p w14:paraId="1361429A" w14:textId="5752941E" w:rsidR="00FA7090" w:rsidRPr="0062163D" w:rsidRDefault="00FA7090" w:rsidP="00714C2A">
      <w:pPr>
        <w:pStyle w:val="Caption"/>
        <w:spacing w:line="480" w:lineRule="auto"/>
      </w:pPr>
      <w:r w:rsidRPr="0062163D">
        <w:rPr>
          <w:b/>
          <w:bCs/>
        </w:rPr>
        <w:t xml:space="preserve">Figure </w:t>
      </w:r>
      <w:r w:rsidR="00CE4A71" w:rsidRPr="0062163D">
        <w:rPr>
          <w:b/>
          <w:bCs/>
        </w:rPr>
        <w:t>4</w:t>
      </w:r>
      <w:r w:rsidRPr="0062163D">
        <w:rPr>
          <w:b/>
          <w:bCs/>
        </w:rPr>
        <w:t>.</w:t>
      </w:r>
      <w:r w:rsidRPr="0062163D">
        <w:t xml:space="preserve"> FFR before and after post-dilatation. </w:t>
      </w:r>
    </w:p>
    <w:p w14:paraId="1544C34C" w14:textId="3E72AAAC" w:rsidR="00FA7090" w:rsidRPr="0062163D" w:rsidRDefault="00FA7090" w:rsidP="00714C2A">
      <w:pPr>
        <w:spacing w:line="480" w:lineRule="auto"/>
        <w:jc w:val="both"/>
      </w:pPr>
      <w:r w:rsidRPr="0062163D">
        <w:t xml:space="preserve">A) FFR values before and after PD. B) Individual changes in FFR before and after post dilatation. </w:t>
      </w:r>
    </w:p>
    <w:p w14:paraId="0146D971" w14:textId="5DD89A49" w:rsidR="004972A4" w:rsidRPr="0062163D" w:rsidRDefault="004972A4" w:rsidP="00714C2A">
      <w:pPr>
        <w:spacing w:line="480" w:lineRule="auto"/>
        <w:jc w:val="both"/>
      </w:pPr>
      <w:r w:rsidRPr="0062163D">
        <w:t>FFR = fractional flow reserve, PD = post-dilatation.</w:t>
      </w:r>
    </w:p>
    <w:p w14:paraId="0BBADD2A" w14:textId="7594FC5B" w:rsidR="00FA7090" w:rsidRPr="0062163D" w:rsidRDefault="00FA7090" w:rsidP="00714C2A">
      <w:pPr>
        <w:pStyle w:val="Caption"/>
        <w:spacing w:line="480" w:lineRule="auto"/>
      </w:pPr>
      <w:r w:rsidRPr="0062163D">
        <w:rPr>
          <w:b/>
          <w:bCs/>
        </w:rPr>
        <w:t xml:space="preserve">Figure </w:t>
      </w:r>
      <w:r w:rsidR="00CE4A71" w:rsidRPr="0062163D">
        <w:rPr>
          <w:b/>
          <w:bCs/>
        </w:rPr>
        <w:t>5</w:t>
      </w:r>
      <w:r w:rsidRPr="0062163D">
        <w:rPr>
          <w:b/>
          <w:bCs/>
        </w:rPr>
        <w:t xml:space="preserve">. </w:t>
      </w:r>
      <w:r w:rsidRPr="0062163D">
        <w:t xml:space="preserve">FFR after post dilatation and in-stent MLA. </w:t>
      </w:r>
    </w:p>
    <w:p w14:paraId="663F86FF" w14:textId="16107056" w:rsidR="006E069F" w:rsidRPr="0062163D" w:rsidRDefault="00FA7090" w:rsidP="00714C2A">
      <w:pPr>
        <w:spacing w:line="480" w:lineRule="auto"/>
        <w:jc w:val="both"/>
      </w:pPr>
      <w:r w:rsidRPr="0062163D">
        <w:t>Patients with an MLA&gt;4.5 mm</w:t>
      </w:r>
      <w:r w:rsidRPr="0062163D">
        <w:rPr>
          <w:vertAlign w:val="superscript"/>
        </w:rPr>
        <w:t xml:space="preserve">2 </w:t>
      </w:r>
      <w:r w:rsidRPr="0062163D">
        <w:t>after post-dilatation had a higher FFR</w:t>
      </w:r>
      <w:r w:rsidR="000D4AE2" w:rsidRPr="0062163D">
        <w:t>.</w:t>
      </w:r>
    </w:p>
    <w:p w14:paraId="1124AC46" w14:textId="762831D1" w:rsidR="00B32D9D" w:rsidRDefault="004972A4" w:rsidP="00161987">
      <w:pPr>
        <w:spacing w:line="480" w:lineRule="auto"/>
        <w:jc w:val="both"/>
      </w:pPr>
      <w:r w:rsidRPr="0062163D">
        <w:t>MLA = minimum lumen area.</w:t>
      </w:r>
      <w:bookmarkStart w:id="0" w:name="_Toc20226526"/>
    </w:p>
    <w:p w14:paraId="7F0C251E" w14:textId="2AF7E8F9" w:rsidR="004D210D" w:rsidRDefault="004D210D" w:rsidP="00161987">
      <w:pPr>
        <w:spacing w:line="480" w:lineRule="auto"/>
        <w:jc w:val="both"/>
      </w:pPr>
    </w:p>
    <w:p w14:paraId="03B160EB" w14:textId="516B280B" w:rsidR="004D210D" w:rsidRDefault="004D210D" w:rsidP="00161987">
      <w:pPr>
        <w:spacing w:line="480" w:lineRule="auto"/>
        <w:jc w:val="both"/>
      </w:pPr>
    </w:p>
    <w:p w14:paraId="3B246219" w14:textId="77777777" w:rsidR="004D210D" w:rsidRPr="00A13856" w:rsidRDefault="004D210D" w:rsidP="004D210D">
      <w:pPr>
        <w:pStyle w:val="Caption"/>
        <w:rPr>
          <w:b/>
          <w:bCs/>
        </w:rPr>
      </w:pPr>
      <w:r w:rsidRPr="00FA7090">
        <w:rPr>
          <w:b/>
          <w:bCs/>
        </w:rPr>
        <w:lastRenderedPageBreak/>
        <w:t xml:space="preserve">Figure </w:t>
      </w:r>
      <w:r>
        <w:rPr>
          <w:b/>
          <w:bCs/>
        </w:rPr>
        <w:t>1.</w:t>
      </w:r>
    </w:p>
    <w:p w14:paraId="7DD43444" w14:textId="77777777" w:rsidR="004D210D" w:rsidRDefault="004D210D" w:rsidP="004D210D">
      <w:pPr>
        <w:spacing w:line="480" w:lineRule="auto"/>
      </w:pPr>
      <w:r>
        <w:rPr>
          <w:noProof/>
          <w:lang w:val="en-US"/>
        </w:rPr>
        <w:drawing>
          <wp:inline distT="0" distB="0" distL="0" distR="0" wp14:anchorId="13A3E578" wp14:editId="11A6D941">
            <wp:extent cx="5266055" cy="2997200"/>
            <wp:effectExtent l="0" t="0" r="0" b="0"/>
            <wp:docPr id="11" name="Picture 11" descr="Macintosh HD:Users:grigorioskaramasis:Desktop:Screen Shot 2018-11-12 at 13.1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igorioskaramasis:Desktop:Screen Shot 2018-11-12 at 13.17.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2997200"/>
                    </a:xfrm>
                    <a:prstGeom prst="rect">
                      <a:avLst/>
                    </a:prstGeom>
                    <a:noFill/>
                    <a:ln>
                      <a:noFill/>
                    </a:ln>
                  </pic:spPr>
                </pic:pic>
              </a:graphicData>
            </a:graphic>
          </wp:inline>
        </w:drawing>
      </w:r>
    </w:p>
    <w:p w14:paraId="50E61714" w14:textId="77777777" w:rsidR="004D210D" w:rsidRDefault="004D210D" w:rsidP="004D210D">
      <w:pPr>
        <w:pStyle w:val="Caption"/>
        <w:rPr>
          <w:b/>
          <w:bCs/>
        </w:rPr>
      </w:pPr>
    </w:p>
    <w:p w14:paraId="26103634" w14:textId="77777777" w:rsidR="004D210D" w:rsidRDefault="004D210D" w:rsidP="004D210D">
      <w:pPr>
        <w:pStyle w:val="Caption"/>
        <w:rPr>
          <w:b/>
          <w:bCs/>
        </w:rPr>
      </w:pPr>
    </w:p>
    <w:p w14:paraId="56FC3DDC" w14:textId="77777777" w:rsidR="004D210D" w:rsidRDefault="004D210D" w:rsidP="004D210D">
      <w:pPr>
        <w:rPr>
          <w:lang w:eastAsia="en-US"/>
        </w:rPr>
      </w:pPr>
    </w:p>
    <w:p w14:paraId="25DDFA03" w14:textId="77777777" w:rsidR="004D210D" w:rsidRDefault="004D210D" w:rsidP="004D210D">
      <w:pPr>
        <w:rPr>
          <w:lang w:eastAsia="en-US"/>
        </w:rPr>
      </w:pPr>
    </w:p>
    <w:p w14:paraId="4FCD1DCE" w14:textId="77777777" w:rsidR="004D210D" w:rsidRPr="0099370A" w:rsidRDefault="004D210D" w:rsidP="004D210D">
      <w:pPr>
        <w:rPr>
          <w:lang w:eastAsia="en-US"/>
        </w:rPr>
      </w:pPr>
    </w:p>
    <w:p w14:paraId="0AFD4414" w14:textId="77777777" w:rsidR="004D210D" w:rsidRPr="00A13856" w:rsidRDefault="004D210D" w:rsidP="004D210D">
      <w:pPr>
        <w:pStyle w:val="Caption"/>
        <w:rPr>
          <w:b/>
          <w:bCs/>
        </w:rPr>
      </w:pPr>
      <w:r w:rsidRPr="00FA7090">
        <w:rPr>
          <w:b/>
          <w:bCs/>
        </w:rPr>
        <w:t xml:space="preserve">Figure </w:t>
      </w:r>
      <w:r>
        <w:rPr>
          <w:b/>
          <w:bCs/>
        </w:rPr>
        <w:t>2.</w:t>
      </w:r>
    </w:p>
    <w:p w14:paraId="31295762" w14:textId="77777777" w:rsidR="004D210D" w:rsidRPr="00A13856" w:rsidRDefault="004D210D" w:rsidP="004D210D">
      <w:pPr>
        <w:spacing w:line="480" w:lineRule="auto"/>
        <w:jc w:val="both"/>
      </w:pPr>
      <w:r>
        <w:rPr>
          <w:noProof/>
          <w:lang w:val="en-US"/>
        </w:rPr>
        <w:drawing>
          <wp:inline distT="0" distB="0" distL="0" distR="0" wp14:anchorId="48E94FFB" wp14:editId="39AE20F5">
            <wp:extent cx="5619517" cy="2268000"/>
            <wp:effectExtent l="0" t="0" r="0" b="5715"/>
            <wp:docPr id="13" name="Picture 13" descr="Macintosh HD:Users:grigorioskaramasis:Desktop:Screen Shot 2018-11-15 at 10.3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igorioskaramasis:Desktop:Screen Shot 2018-11-15 at 10.35.5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517" cy="2268000"/>
                    </a:xfrm>
                    <a:prstGeom prst="rect">
                      <a:avLst/>
                    </a:prstGeom>
                    <a:noFill/>
                    <a:ln>
                      <a:noFill/>
                    </a:ln>
                  </pic:spPr>
                </pic:pic>
              </a:graphicData>
            </a:graphic>
          </wp:inline>
        </w:drawing>
      </w:r>
      <w:bookmarkStart w:id="1" w:name="_Toc20223881"/>
    </w:p>
    <w:bookmarkEnd w:id="1"/>
    <w:p w14:paraId="1A0A1336" w14:textId="77777777" w:rsidR="004D210D" w:rsidRDefault="004D210D" w:rsidP="004D210D"/>
    <w:p w14:paraId="0F8FB279" w14:textId="77777777" w:rsidR="004D210D" w:rsidRDefault="004D210D" w:rsidP="004D210D"/>
    <w:p w14:paraId="16BE73BF" w14:textId="77777777" w:rsidR="004D210D" w:rsidRDefault="004D210D" w:rsidP="004D210D"/>
    <w:p w14:paraId="236B2B2C" w14:textId="77777777" w:rsidR="004D210D" w:rsidRDefault="004D210D" w:rsidP="004D210D"/>
    <w:p w14:paraId="61640715" w14:textId="77777777" w:rsidR="004D210D" w:rsidRDefault="004D210D" w:rsidP="004D210D"/>
    <w:p w14:paraId="55709123" w14:textId="77777777" w:rsidR="004D210D" w:rsidRPr="00A13856" w:rsidRDefault="004D210D" w:rsidP="004D210D">
      <w:pPr>
        <w:pStyle w:val="Caption"/>
        <w:rPr>
          <w:b/>
          <w:bCs/>
        </w:rPr>
      </w:pPr>
      <w:bookmarkStart w:id="2" w:name="_Toc20223883"/>
      <w:r w:rsidRPr="00FA7090">
        <w:rPr>
          <w:b/>
          <w:bCs/>
        </w:rPr>
        <w:t xml:space="preserve">Figure </w:t>
      </w:r>
      <w:bookmarkEnd w:id="2"/>
      <w:r>
        <w:rPr>
          <w:b/>
          <w:bCs/>
        </w:rPr>
        <w:t>3.</w:t>
      </w:r>
    </w:p>
    <w:p w14:paraId="5A7CC3C1" w14:textId="77777777" w:rsidR="004D210D" w:rsidRDefault="004D210D" w:rsidP="004D210D">
      <w:pPr>
        <w:spacing w:line="480" w:lineRule="auto"/>
        <w:jc w:val="both"/>
      </w:pPr>
      <w:r>
        <w:rPr>
          <w:noProof/>
          <w:lang w:val="en-US"/>
        </w:rPr>
        <w:drawing>
          <wp:inline distT="0" distB="0" distL="0" distR="0" wp14:anchorId="6833297F" wp14:editId="0DCBECD1">
            <wp:extent cx="6117544" cy="2527325"/>
            <wp:effectExtent l="0" t="0" r="4445" b="0"/>
            <wp:docPr id="16" name="Picture 16" descr="Macintosh HD:Users:grigorioskaramasis:Desktop:Screen Shot 2018-11-15 at 13.5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igorioskaramasis:Desktop:Screen Shot 2018-11-15 at 13.51.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1988" cy="2537424"/>
                    </a:xfrm>
                    <a:prstGeom prst="rect">
                      <a:avLst/>
                    </a:prstGeom>
                    <a:noFill/>
                    <a:ln>
                      <a:noFill/>
                    </a:ln>
                  </pic:spPr>
                </pic:pic>
              </a:graphicData>
            </a:graphic>
          </wp:inline>
        </w:drawing>
      </w:r>
    </w:p>
    <w:p w14:paraId="7F6EAD5C" w14:textId="77777777" w:rsidR="004D210D" w:rsidRPr="00A13856" w:rsidRDefault="004D210D" w:rsidP="004D210D"/>
    <w:p w14:paraId="53FD91FD" w14:textId="77777777" w:rsidR="004D210D" w:rsidRDefault="004D210D" w:rsidP="004D210D"/>
    <w:p w14:paraId="41D68295" w14:textId="77777777" w:rsidR="004D210D" w:rsidRDefault="004D210D" w:rsidP="004D210D"/>
    <w:p w14:paraId="5D5C68A4" w14:textId="77777777" w:rsidR="004D210D" w:rsidRDefault="004D210D" w:rsidP="004D210D">
      <w:pPr>
        <w:pStyle w:val="Caption"/>
        <w:rPr>
          <w:b/>
          <w:bCs/>
        </w:rPr>
      </w:pPr>
      <w:bookmarkStart w:id="3" w:name="_Toc20223884"/>
    </w:p>
    <w:p w14:paraId="3D27459A" w14:textId="77777777" w:rsidR="004D210D" w:rsidRDefault="004D210D" w:rsidP="004D210D">
      <w:pPr>
        <w:pStyle w:val="Caption"/>
        <w:rPr>
          <w:b/>
          <w:bCs/>
        </w:rPr>
      </w:pPr>
    </w:p>
    <w:p w14:paraId="26A5FF9C" w14:textId="77777777" w:rsidR="004D210D" w:rsidRPr="00A13856" w:rsidRDefault="004D210D" w:rsidP="004D210D">
      <w:pPr>
        <w:pStyle w:val="Caption"/>
        <w:rPr>
          <w:b/>
          <w:bCs/>
        </w:rPr>
      </w:pPr>
      <w:r w:rsidRPr="00990777">
        <w:rPr>
          <w:b/>
          <w:bCs/>
        </w:rPr>
        <w:t xml:space="preserve">Figure </w:t>
      </w:r>
      <w:bookmarkEnd w:id="3"/>
      <w:r>
        <w:rPr>
          <w:b/>
          <w:bCs/>
        </w:rPr>
        <w:t>4.</w:t>
      </w:r>
    </w:p>
    <w:p w14:paraId="494BD545" w14:textId="77777777" w:rsidR="004D210D" w:rsidRDefault="004D210D" w:rsidP="004D210D">
      <w:pPr>
        <w:spacing w:line="480" w:lineRule="auto"/>
        <w:jc w:val="both"/>
        <w:rPr>
          <w:b/>
        </w:rPr>
      </w:pPr>
      <w:r>
        <w:rPr>
          <w:b/>
          <w:noProof/>
          <w:lang w:val="en-US"/>
        </w:rPr>
        <w:drawing>
          <wp:inline distT="0" distB="0" distL="0" distR="0" wp14:anchorId="6348D52E" wp14:editId="7C273BF2">
            <wp:extent cx="5810288" cy="2223085"/>
            <wp:effectExtent l="0" t="0" r="0" b="0"/>
            <wp:docPr id="17" name="Picture 17" descr="Macintosh HD:Users:grigorioskaramasis:Desktop:Screen Shot 2018-11-15 at 13.56.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igorioskaramasis:Desktop:Screen Shot 2018-11-15 at 13.56.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804" cy="2232082"/>
                    </a:xfrm>
                    <a:prstGeom prst="rect">
                      <a:avLst/>
                    </a:prstGeom>
                    <a:noFill/>
                    <a:ln>
                      <a:noFill/>
                    </a:ln>
                  </pic:spPr>
                </pic:pic>
              </a:graphicData>
            </a:graphic>
          </wp:inline>
        </w:drawing>
      </w:r>
    </w:p>
    <w:p w14:paraId="7D418A7C" w14:textId="77777777" w:rsidR="004D210D" w:rsidRDefault="004D210D" w:rsidP="004D210D">
      <w:pPr>
        <w:pStyle w:val="Caption"/>
        <w:rPr>
          <w:b/>
          <w:bCs/>
        </w:rPr>
      </w:pPr>
      <w:bookmarkStart w:id="4" w:name="_Toc20226533"/>
    </w:p>
    <w:p w14:paraId="566AAFC1" w14:textId="77777777" w:rsidR="004D210D" w:rsidRPr="0099370A" w:rsidRDefault="004D210D" w:rsidP="004D210D">
      <w:pPr>
        <w:pStyle w:val="Caption"/>
        <w:rPr>
          <w:b/>
          <w:bCs/>
        </w:rPr>
      </w:pPr>
      <w:bookmarkStart w:id="5" w:name="_Toc20223889"/>
      <w:bookmarkEnd w:id="4"/>
      <w:r w:rsidRPr="00990777">
        <w:rPr>
          <w:b/>
          <w:bCs/>
        </w:rPr>
        <w:t xml:space="preserve">Figure </w:t>
      </w:r>
      <w:bookmarkEnd w:id="5"/>
      <w:r>
        <w:rPr>
          <w:b/>
          <w:bCs/>
        </w:rPr>
        <w:t>5.</w:t>
      </w:r>
    </w:p>
    <w:p w14:paraId="55E570EE" w14:textId="77777777" w:rsidR="004D210D" w:rsidRDefault="004D210D" w:rsidP="004D210D">
      <w:pPr>
        <w:spacing w:line="480" w:lineRule="auto"/>
        <w:jc w:val="both"/>
      </w:pPr>
      <w:r>
        <w:rPr>
          <w:noProof/>
          <w:lang w:val="en-US"/>
        </w:rPr>
        <w:drawing>
          <wp:anchor distT="0" distB="0" distL="114300" distR="114300" simplePos="0" relativeHeight="251659264" behindDoc="0" locked="0" layoutInCell="1" allowOverlap="1" wp14:anchorId="0833A4E2" wp14:editId="40493038">
            <wp:simplePos x="914400" y="5006566"/>
            <wp:positionH relativeFrom="column">
              <wp:align>left</wp:align>
            </wp:positionH>
            <wp:positionV relativeFrom="paragraph">
              <wp:align>top</wp:align>
            </wp:positionV>
            <wp:extent cx="3263125" cy="2374900"/>
            <wp:effectExtent l="0" t="0" r="1270" b="0"/>
            <wp:wrapSquare wrapText="bothSides"/>
            <wp:docPr id="22" name="Picture 22" descr="Macintosh HD:Users:grigorioskaramasis:Desktop:Screen Shot 2018-11-18 at 20.4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igorioskaramasis:Desktop:Screen Shot 2018-11-18 at 20.46.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3125" cy="2374900"/>
                    </a:xfrm>
                    <a:prstGeom prst="rect">
                      <a:avLst/>
                    </a:prstGeom>
                    <a:noFill/>
                    <a:ln>
                      <a:noFill/>
                    </a:ln>
                  </pic:spPr>
                </pic:pic>
              </a:graphicData>
            </a:graphic>
          </wp:anchor>
        </w:drawing>
      </w:r>
      <w:r>
        <w:br w:type="textWrapping" w:clear="all"/>
      </w:r>
    </w:p>
    <w:p w14:paraId="5E2A30ED" w14:textId="77777777" w:rsidR="004D210D" w:rsidRDefault="004D210D" w:rsidP="004D210D"/>
    <w:p w14:paraId="23B73431" w14:textId="77777777" w:rsidR="004D210D" w:rsidRDefault="004D210D" w:rsidP="004D210D">
      <w:pPr>
        <w:pStyle w:val="Caption"/>
        <w:spacing w:line="480" w:lineRule="auto"/>
        <w:rPr>
          <w:b/>
          <w:bCs/>
        </w:rPr>
      </w:pPr>
    </w:p>
    <w:p w14:paraId="07F1B248" w14:textId="77777777" w:rsidR="004D210D" w:rsidRDefault="004D210D" w:rsidP="004D210D">
      <w:pPr>
        <w:pStyle w:val="Caption"/>
        <w:spacing w:line="480" w:lineRule="auto"/>
        <w:rPr>
          <w:b/>
          <w:bCs/>
        </w:rPr>
      </w:pPr>
    </w:p>
    <w:p w14:paraId="6A4AA4F2" w14:textId="77777777" w:rsidR="004D210D" w:rsidRDefault="004D210D" w:rsidP="004D210D">
      <w:pPr>
        <w:pStyle w:val="Caption"/>
        <w:spacing w:line="480" w:lineRule="auto"/>
        <w:rPr>
          <w:b/>
          <w:bCs/>
        </w:rPr>
      </w:pPr>
    </w:p>
    <w:p w14:paraId="32F81F89" w14:textId="77777777" w:rsidR="004D210D" w:rsidRDefault="004D210D" w:rsidP="004D210D">
      <w:pPr>
        <w:pStyle w:val="Caption"/>
        <w:spacing w:line="480" w:lineRule="auto"/>
        <w:rPr>
          <w:b/>
          <w:bCs/>
        </w:rPr>
      </w:pPr>
    </w:p>
    <w:p w14:paraId="3D4FBE03" w14:textId="77777777" w:rsidR="004D210D" w:rsidRDefault="004D210D" w:rsidP="004D210D">
      <w:pPr>
        <w:pStyle w:val="Caption"/>
        <w:spacing w:line="480" w:lineRule="auto"/>
        <w:rPr>
          <w:b/>
          <w:bCs/>
        </w:rPr>
      </w:pPr>
    </w:p>
    <w:p w14:paraId="2B29DD6A" w14:textId="77777777" w:rsidR="004D210D" w:rsidRDefault="004D210D" w:rsidP="004D210D">
      <w:pPr>
        <w:pStyle w:val="Caption"/>
        <w:spacing w:line="480" w:lineRule="auto"/>
        <w:rPr>
          <w:b/>
          <w:bCs/>
        </w:rPr>
      </w:pPr>
    </w:p>
    <w:p w14:paraId="150541DB" w14:textId="05BC2F4D" w:rsidR="004D210D" w:rsidRDefault="004D210D" w:rsidP="004D210D">
      <w:pPr>
        <w:pStyle w:val="Caption"/>
        <w:spacing w:line="480" w:lineRule="auto"/>
        <w:rPr>
          <w:b/>
          <w:bCs/>
        </w:rPr>
      </w:pPr>
    </w:p>
    <w:p w14:paraId="1F6F4E0E" w14:textId="0C122197" w:rsidR="004D210D" w:rsidRDefault="004D210D" w:rsidP="004D210D">
      <w:pPr>
        <w:rPr>
          <w:lang w:eastAsia="en-US"/>
        </w:rPr>
      </w:pPr>
    </w:p>
    <w:p w14:paraId="2E9F61AB" w14:textId="33729F5C" w:rsidR="004D210D" w:rsidRDefault="004D210D" w:rsidP="004D210D">
      <w:pPr>
        <w:rPr>
          <w:lang w:eastAsia="en-US"/>
        </w:rPr>
      </w:pPr>
    </w:p>
    <w:p w14:paraId="4F5855C7" w14:textId="77777777" w:rsidR="004D210D" w:rsidRPr="004D210D" w:rsidRDefault="004D210D" w:rsidP="004D210D">
      <w:pPr>
        <w:rPr>
          <w:lang w:eastAsia="en-US"/>
        </w:rPr>
      </w:pPr>
    </w:p>
    <w:p w14:paraId="0D571EC4" w14:textId="59044CDB" w:rsidR="004D210D" w:rsidRDefault="004D210D" w:rsidP="004D210D">
      <w:pPr>
        <w:pStyle w:val="Caption"/>
        <w:spacing w:line="480" w:lineRule="auto"/>
      </w:pPr>
      <w:r w:rsidRPr="00990777">
        <w:rPr>
          <w:b/>
          <w:bCs/>
        </w:rPr>
        <w:lastRenderedPageBreak/>
        <w:t xml:space="preserve">Table </w:t>
      </w:r>
      <w:r>
        <w:rPr>
          <w:b/>
          <w:bCs/>
        </w:rPr>
        <w:t xml:space="preserve">1. </w:t>
      </w:r>
      <w:r>
        <w:t>B</w:t>
      </w:r>
      <w:r w:rsidRPr="0062264C">
        <w:t>aseline characteristics.</w:t>
      </w:r>
    </w:p>
    <w:tbl>
      <w:tblPr>
        <w:tblStyle w:val="TableGridLight"/>
        <w:tblW w:w="0" w:type="auto"/>
        <w:tblLook w:val="04A0" w:firstRow="1" w:lastRow="0" w:firstColumn="1" w:lastColumn="0" w:noHBand="0" w:noVBand="1"/>
      </w:tblPr>
      <w:tblGrid>
        <w:gridCol w:w="4258"/>
        <w:gridCol w:w="4258"/>
      </w:tblGrid>
      <w:tr w:rsidR="004D210D" w14:paraId="6548F5A3" w14:textId="77777777" w:rsidTr="00DE4F6C">
        <w:tc>
          <w:tcPr>
            <w:tcW w:w="8516" w:type="dxa"/>
            <w:gridSpan w:val="2"/>
          </w:tcPr>
          <w:p w14:paraId="6243FCE0" w14:textId="77777777" w:rsidR="004D210D" w:rsidRPr="00760CFD" w:rsidRDefault="004D210D" w:rsidP="00DE4F6C">
            <w:pPr>
              <w:spacing w:line="480" w:lineRule="auto"/>
              <w:jc w:val="both"/>
            </w:pPr>
            <w:r w:rsidRPr="00760CFD">
              <w:rPr>
                <w:b/>
                <w:bCs/>
              </w:rPr>
              <w:t>Demographics</w:t>
            </w:r>
          </w:p>
        </w:tc>
      </w:tr>
      <w:tr w:rsidR="004D210D" w:rsidRPr="00760CFD" w14:paraId="62CF736A" w14:textId="77777777" w:rsidTr="00DE4F6C">
        <w:trPr>
          <w:trHeight w:val="584"/>
        </w:trPr>
        <w:tc>
          <w:tcPr>
            <w:tcW w:w="4258" w:type="dxa"/>
            <w:hideMark/>
          </w:tcPr>
          <w:p w14:paraId="3B046D5E" w14:textId="77777777" w:rsidR="004D210D" w:rsidRPr="00760CFD" w:rsidRDefault="004D210D" w:rsidP="00DE4F6C">
            <w:pPr>
              <w:spacing w:line="480" w:lineRule="auto"/>
            </w:pPr>
            <w:r w:rsidRPr="00760CFD">
              <w:rPr>
                <w:bCs/>
                <w:color w:val="000000" w:themeColor="text1"/>
                <w:kern w:val="24"/>
              </w:rPr>
              <w:t>Age(years)</w:t>
            </w:r>
          </w:p>
        </w:tc>
        <w:tc>
          <w:tcPr>
            <w:tcW w:w="4258" w:type="dxa"/>
            <w:hideMark/>
          </w:tcPr>
          <w:p w14:paraId="33E4925B" w14:textId="77777777" w:rsidR="004D210D" w:rsidRPr="00760CFD" w:rsidRDefault="004D210D" w:rsidP="00DE4F6C">
            <w:pPr>
              <w:spacing w:line="480" w:lineRule="auto"/>
              <w:jc w:val="both"/>
            </w:pPr>
            <w:r>
              <w:rPr>
                <w:bCs/>
                <w:color w:val="000000" w:themeColor="text1"/>
                <w:kern w:val="24"/>
              </w:rPr>
              <w:t>66.0</w:t>
            </w:r>
            <w:r w:rsidRPr="00760CFD">
              <w:rPr>
                <w:bCs/>
                <w:color w:val="000000" w:themeColor="text1"/>
                <w:kern w:val="24"/>
              </w:rPr>
              <w:t>±</w:t>
            </w:r>
            <w:r>
              <w:rPr>
                <w:bCs/>
                <w:color w:val="000000" w:themeColor="text1"/>
                <w:kern w:val="24"/>
              </w:rPr>
              <w:t>11.0</w:t>
            </w:r>
          </w:p>
        </w:tc>
      </w:tr>
      <w:tr w:rsidR="004D210D" w:rsidRPr="00760CFD" w14:paraId="03AF1961" w14:textId="77777777" w:rsidTr="00DE4F6C">
        <w:trPr>
          <w:trHeight w:val="584"/>
        </w:trPr>
        <w:tc>
          <w:tcPr>
            <w:tcW w:w="4258" w:type="dxa"/>
            <w:hideMark/>
          </w:tcPr>
          <w:p w14:paraId="4B8B98DA" w14:textId="77777777" w:rsidR="004D210D" w:rsidRPr="00760CFD" w:rsidRDefault="004D210D" w:rsidP="00DE4F6C">
            <w:pPr>
              <w:spacing w:line="480" w:lineRule="auto"/>
            </w:pPr>
            <w:r w:rsidRPr="00760CFD">
              <w:rPr>
                <w:bCs/>
                <w:color w:val="000000" w:themeColor="text1"/>
                <w:kern w:val="24"/>
              </w:rPr>
              <w:t xml:space="preserve">Male </w:t>
            </w:r>
            <w:proofErr w:type="gramStart"/>
            <w:r w:rsidRPr="00760CFD">
              <w:rPr>
                <w:bCs/>
                <w:color w:val="000000" w:themeColor="text1"/>
                <w:kern w:val="24"/>
              </w:rPr>
              <w:t>sex(</w:t>
            </w:r>
            <w:proofErr w:type="gramEnd"/>
            <w:r w:rsidRPr="00760CFD">
              <w:rPr>
                <w:bCs/>
                <w:color w:val="000000" w:themeColor="text1"/>
                <w:kern w:val="24"/>
              </w:rPr>
              <w:t>%)</w:t>
            </w:r>
          </w:p>
        </w:tc>
        <w:tc>
          <w:tcPr>
            <w:tcW w:w="4258" w:type="dxa"/>
            <w:hideMark/>
          </w:tcPr>
          <w:p w14:paraId="4573B9E3" w14:textId="77777777" w:rsidR="004D210D" w:rsidRPr="00760CFD" w:rsidRDefault="004D210D" w:rsidP="00DE4F6C">
            <w:pPr>
              <w:spacing w:line="480" w:lineRule="auto"/>
              <w:jc w:val="both"/>
            </w:pPr>
            <w:r w:rsidRPr="00760CFD">
              <w:rPr>
                <w:bCs/>
                <w:color w:val="000000" w:themeColor="text1"/>
                <w:kern w:val="24"/>
              </w:rPr>
              <w:t>25 (78)</w:t>
            </w:r>
          </w:p>
        </w:tc>
      </w:tr>
      <w:tr w:rsidR="004D210D" w14:paraId="4D04CC42" w14:textId="77777777" w:rsidTr="00DE4F6C">
        <w:tc>
          <w:tcPr>
            <w:tcW w:w="8516" w:type="dxa"/>
            <w:gridSpan w:val="2"/>
          </w:tcPr>
          <w:p w14:paraId="6F6D3E88" w14:textId="77777777" w:rsidR="004D210D" w:rsidRPr="00760CFD" w:rsidRDefault="004D210D" w:rsidP="00DE4F6C">
            <w:pPr>
              <w:spacing w:line="480" w:lineRule="auto"/>
              <w:jc w:val="both"/>
            </w:pPr>
            <w:r w:rsidRPr="00760CFD">
              <w:rPr>
                <w:b/>
                <w:bCs/>
              </w:rPr>
              <w:t>Past medical history</w:t>
            </w:r>
          </w:p>
        </w:tc>
      </w:tr>
      <w:tr w:rsidR="004D210D" w:rsidRPr="00760CFD" w14:paraId="0A8A1B6C" w14:textId="77777777" w:rsidTr="00DE4F6C">
        <w:trPr>
          <w:trHeight w:val="584"/>
        </w:trPr>
        <w:tc>
          <w:tcPr>
            <w:tcW w:w="4258" w:type="dxa"/>
            <w:hideMark/>
          </w:tcPr>
          <w:p w14:paraId="4C1CECB2" w14:textId="77777777" w:rsidR="004D210D" w:rsidRPr="0060495D" w:rsidRDefault="004D210D" w:rsidP="00DE4F6C">
            <w:pPr>
              <w:spacing w:line="480" w:lineRule="auto"/>
            </w:pPr>
            <w:r w:rsidRPr="0060495D">
              <w:rPr>
                <w:bCs/>
                <w:color w:val="000000" w:themeColor="text1"/>
                <w:kern w:val="24"/>
              </w:rPr>
              <w:t xml:space="preserve">Diabetes </w:t>
            </w:r>
            <w:proofErr w:type="gramStart"/>
            <w:r w:rsidRPr="0060495D">
              <w:rPr>
                <w:bCs/>
                <w:color w:val="000000" w:themeColor="text1"/>
                <w:kern w:val="24"/>
              </w:rPr>
              <w:t>mellitus(</w:t>
            </w:r>
            <w:proofErr w:type="gramEnd"/>
            <w:r w:rsidRPr="0060495D">
              <w:rPr>
                <w:bCs/>
                <w:color w:val="000000" w:themeColor="text1"/>
                <w:kern w:val="24"/>
              </w:rPr>
              <w:t>%)</w:t>
            </w:r>
          </w:p>
        </w:tc>
        <w:tc>
          <w:tcPr>
            <w:tcW w:w="4258" w:type="dxa"/>
            <w:hideMark/>
          </w:tcPr>
          <w:p w14:paraId="0CB15803" w14:textId="77777777" w:rsidR="004D210D" w:rsidRPr="0060495D" w:rsidRDefault="004D210D" w:rsidP="00DE4F6C">
            <w:pPr>
              <w:spacing w:line="480" w:lineRule="auto"/>
              <w:jc w:val="both"/>
            </w:pPr>
            <w:r w:rsidRPr="0060495D">
              <w:rPr>
                <w:bCs/>
                <w:color w:val="000000" w:themeColor="text1"/>
                <w:kern w:val="24"/>
              </w:rPr>
              <w:t>4 (12.5)</w:t>
            </w:r>
          </w:p>
        </w:tc>
      </w:tr>
      <w:tr w:rsidR="004D210D" w:rsidRPr="00760CFD" w14:paraId="65BEF3FD" w14:textId="77777777" w:rsidTr="00DE4F6C">
        <w:trPr>
          <w:trHeight w:val="584"/>
        </w:trPr>
        <w:tc>
          <w:tcPr>
            <w:tcW w:w="4258" w:type="dxa"/>
            <w:hideMark/>
          </w:tcPr>
          <w:p w14:paraId="6F4AB7C7" w14:textId="77777777" w:rsidR="004D210D" w:rsidRPr="0060495D" w:rsidRDefault="004D210D" w:rsidP="00DE4F6C">
            <w:pPr>
              <w:spacing w:line="480" w:lineRule="auto"/>
            </w:pPr>
            <w:proofErr w:type="gramStart"/>
            <w:r w:rsidRPr="0060495D">
              <w:rPr>
                <w:bCs/>
                <w:color w:val="000000" w:themeColor="text1"/>
                <w:kern w:val="24"/>
              </w:rPr>
              <w:t>Hypertension(</w:t>
            </w:r>
            <w:proofErr w:type="gramEnd"/>
            <w:r w:rsidRPr="0060495D">
              <w:rPr>
                <w:bCs/>
                <w:color w:val="000000" w:themeColor="text1"/>
                <w:kern w:val="24"/>
              </w:rPr>
              <w:t>%)</w:t>
            </w:r>
          </w:p>
        </w:tc>
        <w:tc>
          <w:tcPr>
            <w:tcW w:w="4258" w:type="dxa"/>
            <w:hideMark/>
          </w:tcPr>
          <w:p w14:paraId="20793A51" w14:textId="77777777" w:rsidR="004D210D" w:rsidRPr="0060495D" w:rsidRDefault="004D210D" w:rsidP="00DE4F6C">
            <w:pPr>
              <w:spacing w:line="480" w:lineRule="auto"/>
              <w:jc w:val="both"/>
            </w:pPr>
            <w:r w:rsidRPr="0060495D">
              <w:rPr>
                <w:bCs/>
                <w:color w:val="000000" w:themeColor="text1"/>
                <w:kern w:val="24"/>
              </w:rPr>
              <w:t>15 (46.8)</w:t>
            </w:r>
          </w:p>
        </w:tc>
      </w:tr>
      <w:tr w:rsidR="004D210D" w:rsidRPr="00760CFD" w14:paraId="2B5F9E1F" w14:textId="77777777" w:rsidTr="00DE4F6C">
        <w:trPr>
          <w:trHeight w:val="584"/>
        </w:trPr>
        <w:tc>
          <w:tcPr>
            <w:tcW w:w="4258" w:type="dxa"/>
            <w:hideMark/>
          </w:tcPr>
          <w:p w14:paraId="69A32473" w14:textId="77777777" w:rsidR="004D210D" w:rsidRPr="0060495D" w:rsidRDefault="004D210D" w:rsidP="00DE4F6C">
            <w:pPr>
              <w:spacing w:line="480" w:lineRule="auto"/>
            </w:pPr>
            <w:proofErr w:type="gramStart"/>
            <w:r w:rsidRPr="0060495D">
              <w:rPr>
                <w:bCs/>
                <w:color w:val="000000" w:themeColor="text1"/>
                <w:kern w:val="24"/>
              </w:rPr>
              <w:t>Hypercholesterolemia(</w:t>
            </w:r>
            <w:proofErr w:type="gramEnd"/>
            <w:r w:rsidRPr="0060495D">
              <w:rPr>
                <w:bCs/>
                <w:color w:val="000000" w:themeColor="text1"/>
                <w:kern w:val="24"/>
              </w:rPr>
              <w:t>%)</w:t>
            </w:r>
          </w:p>
        </w:tc>
        <w:tc>
          <w:tcPr>
            <w:tcW w:w="4258" w:type="dxa"/>
            <w:hideMark/>
          </w:tcPr>
          <w:p w14:paraId="32BA2D10" w14:textId="77777777" w:rsidR="004D210D" w:rsidRPr="0060495D" w:rsidRDefault="004D210D" w:rsidP="00DE4F6C">
            <w:pPr>
              <w:spacing w:line="480" w:lineRule="auto"/>
              <w:jc w:val="both"/>
            </w:pPr>
            <w:r w:rsidRPr="0060495D">
              <w:rPr>
                <w:bCs/>
                <w:color w:val="000000" w:themeColor="text1"/>
                <w:kern w:val="24"/>
              </w:rPr>
              <w:t>14 (43.7)</w:t>
            </w:r>
          </w:p>
        </w:tc>
      </w:tr>
      <w:tr w:rsidR="004D210D" w:rsidRPr="00760CFD" w14:paraId="74B58DA9" w14:textId="77777777" w:rsidTr="00DE4F6C">
        <w:trPr>
          <w:trHeight w:val="584"/>
        </w:trPr>
        <w:tc>
          <w:tcPr>
            <w:tcW w:w="4258" w:type="dxa"/>
            <w:hideMark/>
          </w:tcPr>
          <w:p w14:paraId="0E41E6E7" w14:textId="77777777" w:rsidR="004D210D" w:rsidRPr="0060495D" w:rsidRDefault="004D210D" w:rsidP="00DE4F6C">
            <w:pPr>
              <w:spacing w:line="480" w:lineRule="auto"/>
            </w:pPr>
            <w:r>
              <w:rPr>
                <w:bCs/>
                <w:color w:val="000000" w:themeColor="text1"/>
                <w:kern w:val="24"/>
              </w:rPr>
              <w:t>Family history of premature</w:t>
            </w:r>
            <w:r w:rsidRPr="0060495D">
              <w:rPr>
                <w:bCs/>
                <w:color w:val="000000" w:themeColor="text1"/>
                <w:kern w:val="24"/>
              </w:rPr>
              <w:t xml:space="preserve"> </w:t>
            </w:r>
            <w:proofErr w:type="gramStart"/>
            <w:r>
              <w:rPr>
                <w:bCs/>
                <w:color w:val="000000" w:themeColor="text1"/>
                <w:kern w:val="24"/>
              </w:rPr>
              <w:t>CAD</w:t>
            </w:r>
            <w:r w:rsidRPr="0060495D">
              <w:rPr>
                <w:bCs/>
                <w:color w:val="000000" w:themeColor="text1"/>
                <w:kern w:val="24"/>
              </w:rPr>
              <w:t>(</w:t>
            </w:r>
            <w:proofErr w:type="gramEnd"/>
            <w:r w:rsidRPr="0060495D">
              <w:rPr>
                <w:bCs/>
                <w:color w:val="000000" w:themeColor="text1"/>
                <w:kern w:val="24"/>
              </w:rPr>
              <w:t>%)</w:t>
            </w:r>
          </w:p>
        </w:tc>
        <w:tc>
          <w:tcPr>
            <w:tcW w:w="4258" w:type="dxa"/>
            <w:hideMark/>
          </w:tcPr>
          <w:p w14:paraId="1143E504" w14:textId="77777777" w:rsidR="004D210D" w:rsidRPr="0060495D" w:rsidRDefault="004D210D" w:rsidP="00DE4F6C">
            <w:pPr>
              <w:spacing w:line="480" w:lineRule="auto"/>
              <w:jc w:val="both"/>
            </w:pPr>
            <w:r w:rsidRPr="0060495D">
              <w:rPr>
                <w:bCs/>
                <w:color w:val="000000" w:themeColor="text1"/>
                <w:kern w:val="24"/>
              </w:rPr>
              <w:t>4 (12.5)</w:t>
            </w:r>
          </w:p>
        </w:tc>
      </w:tr>
      <w:tr w:rsidR="004D210D" w:rsidRPr="00760CFD" w14:paraId="0FDE6BE8" w14:textId="77777777" w:rsidTr="00DE4F6C">
        <w:trPr>
          <w:trHeight w:val="584"/>
        </w:trPr>
        <w:tc>
          <w:tcPr>
            <w:tcW w:w="4258" w:type="dxa"/>
            <w:hideMark/>
          </w:tcPr>
          <w:p w14:paraId="740889F9" w14:textId="77777777" w:rsidR="004D210D" w:rsidRPr="0060495D" w:rsidRDefault="004D210D" w:rsidP="00DE4F6C">
            <w:pPr>
              <w:spacing w:line="480" w:lineRule="auto"/>
            </w:pPr>
            <w:r w:rsidRPr="0060495D">
              <w:rPr>
                <w:bCs/>
                <w:color w:val="000000" w:themeColor="text1"/>
                <w:kern w:val="24"/>
              </w:rPr>
              <w:t xml:space="preserve">Current </w:t>
            </w:r>
            <w:proofErr w:type="gramStart"/>
            <w:r w:rsidRPr="0060495D">
              <w:rPr>
                <w:bCs/>
                <w:color w:val="000000" w:themeColor="text1"/>
                <w:kern w:val="24"/>
              </w:rPr>
              <w:t>smoker(</w:t>
            </w:r>
            <w:proofErr w:type="gramEnd"/>
            <w:r w:rsidRPr="0060495D">
              <w:rPr>
                <w:bCs/>
                <w:color w:val="000000" w:themeColor="text1"/>
                <w:kern w:val="24"/>
              </w:rPr>
              <w:t>%)</w:t>
            </w:r>
          </w:p>
        </w:tc>
        <w:tc>
          <w:tcPr>
            <w:tcW w:w="4258" w:type="dxa"/>
            <w:hideMark/>
          </w:tcPr>
          <w:p w14:paraId="06A1FFC9" w14:textId="77777777" w:rsidR="004D210D" w:rsidRPr="0060495D" w:rsidRDefault="004D210D" w:rsidP="00DE4F6C">
            <w:pPr>
              <w:spacing w:line="480" w:lineRule="auto"/>
              <w:jc w:val="both"/>
            </w:pPr>
            <w:r w:rsidRPr="0060495D">
              <w:rPr>
                <w:bCs/>
                <w:color w:val="000000" w:themeColor="text1"/>
                <w:kern w:val="24"/>
              </w:rPr>
              <w:t>7 (21.8)</w:t>
            </w:r>
          </w:p>
        </w:tc>
      </w:tr>
      <w:tr w:rsidR="004D210D" w:rsidRPr="0060495D" w14:paraId="16D5A521" w14:textId="77777777" w:rsidTr="00DE4F6C">
        <w:trPr>
          <w:trHeight w:val="584"/>
        </w:trPr>
        <w:tc>
          <w:tcPr>
            <w:tcW w:w="4258" w:type="dxa"/>
            <w:hideMark/>
          </w:tcPr>
          <w:p w14:paraId="62DE6B5C" w14:textId="77777777" w:rsidR="004D210D" w:rsidRPr="0060495D" w:rsidRDefault="004D210D" w:rsidP="00DE4F6C">
            <w:pPr>
              <w:spacing w:line="480" w:lineRule="auto"/>
            </w:pPr>
            <w:r w:rsidRPr="0060495D">
              <w:rPr>
                <w:bCs/>
                <w:color w:val="000000" w:themeColor="text1"/>
                <w:kern w:val="24"/>
              </w:rPr>
              <w:t>Ex-</w:t>
            </w:r>
            <w:proofErr w:type="gramStart"/>
            <w:r w:rsidRPr="0060495D">
              <w:rPr>
                <w:bCs/>
                <w:color w:val="000000" w:themeColor="text1"/>
                <w:kern w:val="24"/>
              </w:rPr>
              <w:t>smoker(</w:t>
            </w:r>
            <w:proofErr w:type="gramEnd"/>
            <w:r w:rsidRPr="0060495D">
              <w:rPr>
                <w:bCs/>
                <w:color w:val="000000" w:themeColor="text1"/>
                <w:kern w:val="24"/>
              </w:rPr>
              <w:t>%)</w:t>
            </w:r>
          </w:p>
        </w:tc>
        <w:tc>
          <w:tcPr>
            <w:tcW w:w="4258" w:type="dxa"/>
            <w:hideMark/>
          </w:tcPr>
          <w:p w14:paraId="09C99E96" w14:textId="77777777" w:rsidR="004D210D" w:rsidRPr="0060495D" w:rsidRDefault="004D210D" w:rsidP="00DE4F6C">
            <w:pPr>
              <w:spacing w:line="480" w:lineRule="auto"/>
              <w:jc w:val="both"/>
            </w:pPr>
            <w:r w:rsidRPr="0060495D">
              <w:rPr>
                <w:bCs/>
                <w:color w:val="000000" w:themeColor="text1"/>
                <w:kern w:val="24"/>
              </w:rPr>
              <w:t>11 (34.3)</w:t>
            </w:r>
          </w:p>
        </w:tc>
      </w:tr>
      <w:tr w:rsidR="004D210D" w:rsidRPr="0060495D" w14:paraId="2C9E9DE1" w14:textId="77777777" w:rsidTr="00DE4F6C">
        <w:trPr>
          <w:trHeight w:val="584"/>
        </w:trPr>
        <w:tc>
          <w:tcPr>
            <w:tcW w:w="4258" w:type="dxa"/>
            <w:hideMark/>
          </w:tcPr>
          <w:p w14:paraId="1D2CA527" w14:textId="77777777" w:rsidR="004D210D" w:rsidRPr="0060495D" w:rsidRDefault="004D210D" w:rsidP="00DE4F6C">
            <w:pPr>
              <w:spacing w:line="480" w:lineRule="auto"/>
            </w:pPr>
            <w:r w:rsidRPr="0060495D">
              <w:rPr>
                <w:bCs/>
                <w:color w:val="000000" w:themeColor="text1"/>
                <w:kern w:val="24"/>
              </w:rPr>
              <w:t xml:space="preserve">Previous </w:t>
            </w:r>
            <w:proofErr w:type="gramStart"/>
            <w:r w:rsidRPr="0060495D">
              <w:rPr>
                <w:bCs/>
                <w:color w:val="000000" w:themeColor="text1"/>
                <w:kern w:val="24"/>
              </w:rPr>
              <w:t>MI(</w:t>
            </w:r>
            <w:proofErr w:type="gramEnd"/>
            <w:r w:rsidRPr="0060495D">
              <w:rPr>
                <w:bCs/>
                <w:color w:val="000000" w:themeColor="text1"/>
                <w:kern w:val="24"/>
              </w:rPr>
              <w:t>%)</w:t>
            </w:r>
          </w:p>
        </w:tc>
        <w:tc>
          <w:tcPr>
            <w:tcW w:w="4258" w:type="dxa"/>
            <w:hideMark/>
          </w:tcPr>
          <w:p w14:paraId="54C88B8E" w14:textId="77777777" w:rsidR="004D210D" w:rsidRPr="0060495D" w:rsidRDefault="004D210D" w:rsidP="00DE4F6C">
            <w:pPr>
              <w:spacing w:line="480" w:lineRule="auto"/>
              <w:jc w:val="both"/>
            </w:pPr>
            <w:r w:rsidRPr="0060495D">
              <w:rPr>
                <w:bCs/>
                <w:color w:val="000000" w:themeColor="text1"/>
                <w:kern w:val="24"/>
              </w:rPr>
              <w:t>2 (6.2)</w:t>
            </w:r>
          </w:p>
        </w:tc>
      </w:tr>
      <w:tr w:rsidR="004D210D" w:rsidRPr="0060495D" w14:paraId="084FDED7" w14:textId="77777777" w:rsidTr="00DE4F6C">
        <w:trPr>
          <w:trHeight w:val="584"/>
        </w:trPr>
        <w:tc>
          <w:tcPr>
            <w:tcW w:w="4258" w:type="dxa"/>
            <w:hideMark/>
          </w:tcPr>
          <w:p w14:paraId="5C1B8BAA" w14:textId="77777777" w:rsidR="004D210D" w:rsidRPr="0060495D" w:rsidRDefault="004D210D" w:rsidP="00DE4F6C">
            <w:pPr>
              <w:spacing w:line="480" w:lineRule="auto"/>
            </w:pPr>
            <w:r w:rsidRPr="0060495D">
              <w:rPr>
                <w:bCs/>
                <w:color w:val="000000" w:themeColor="text1"/>
                <w:kern w:val="24"/>
              </w:rPr>
              <w:t xml:space="preserve">Previous </w:t>
            </w:r>
            <w:proofErr w:type="gramStart"/>
            <w:r w:rsidRPr="0060495D">
              <w:rPr>
                <w:bCs/>
                <w:color w:val="000000" w:themeColor="text1"/>
                <w:kern w:val="24"/>
              </w:rPr>
              <w:t>PCI(</w:t>
            </w:r>
            <w:proofErr w:type="gramEnd"/>
            <w:r w:rsidRPr="0060495D">
              <w:rPr>
                <w:bCs/>
                <w:color w:val="000000" w:themeColor="text1"/>
                <w:kern w:val="24"/>
              </w:rPr>
              <w:t>%)</w:t>
            </w:r>
          </w:p>
        </w:tc>
        <w:tc>
          <w:tcPr>
            <w:tcW w:w="4258" w:type="dxa"/>
            <w:hideMark/>
          </w:tcPr>
          <w:p w14:paraId="27C9EB2D" w14:textId="77777777" w:rsidR="004D210D" w:rsidRPr="0060495D" w:rsidRDefault="004D210D" w:rsidP="00DE4F6C">
            <w:pPr>
              <w:spacing w:line="480" w:lineRule="auto"/>
              <w:jc w:val="both"/>
            </w:pPr>
            <w:r w:rsidRPr="0060495D">
              <w:rPr>
                <w:bCs/>
                <w:color w:val="000000" w:themeColor="text1"/>
                <w:kern w:val="24"/>
              </w:rPr>
              <w:t>2 (6.2)</w:t>
            </w:r>
          </w:p>
        </w:tc>
      </w:tr>
      <w:tr w:rsidR="004D210D" w:rsidRPr="0060495D" w14:paraId="4588BDA3" w14:textId="77777777" w:rsidTr="00DE4F6C">
        <w:trPr>
          <w:trHeight w:val="584"/>
        </w:trPr>
        <w:tc>
          <w:tcPr>
            <w:tcW w:w="4258" w:type="dxa"/>
            <w:hideMark/>
          </w:tcPr>
          <w:p w14:paraId="7B248823" w14:textId="77777777" w:rsidR="004D210D" w:rsidRPr="0060495D" w:rsidRDefault="004D210D" w:rsidP="00DE4F6C">
            <w:pPr>
              <w:spacing w:line="480" w:lineRule="auto"/>
            </w:pPr>
            <w:r w:rsidRPr="0060495D">
              <w:rPr>
                <w:bCs/>
                <w:color w:val="000000" w:themeColor="text1"/>
                <w:kern w:val="24"/>
              </w:rPr>
              <w:t xml:space="preserve">Previous </w:t>
            </w:r>
            <w:proofErr w:type="gramStart"/>
            <w:r w:rsidRPr="0060495D">
              <w:rPr>
                <w:bCs/>
                <w:color w:val="000000" w:themeColor="text1"/>
                <w:kern w:val="24"/>
              </w:rPr>
              <w:t>CVA(</w:t>
            </w:r>
            <w:proofErr w:type="gramEnd"/>
            <w:r w:rsidRPr="0060495D">
              <w:rPr>
                <w:bCs/>
                <w:color w:val="000000" w:themeColor="text1"/>
                <w:kern w:val="24"/>
              </w:rPr>
              <w:t>%)</w:t>
            </w:r>
          </w:p>
        </w:tc>
        <w:tc>
          <w:tcPr>
            <w:tcW w:w="4258" w:type="dxa"/>
            <w:hideMark/>
          </w:tcPr>
          <w:p w14:paraId="4387A319" w14:textId="77777777" w:rsidR="004D210D" w:rsidRPr="0060495D" w:rsidRDefault="004D210D" w:rsidP="00DE4F6C">
            <w:pPr>
              <w:spacing w:line="480" w:lineRule="auto"/>
              <w:jc w:val="both"/>
            </w:pPr>
            <w:r w:rsidRPr="0060495D">
              <w:rPr>
                <w:bCs/>
                <w:color w:val="000000" w:themeColor="text1"/>
                <w:kern w:val="24"/>
              </w:rPr>
              <w:t>1 (3.1)</w:t>
            </w:r>
          </w:p>
        </w:tc>
      </w:tr>
      <w:tr w:rsidR="004D210D" w:rsidRPr="008427EC" w14:paraId="11B81BDA" w14:textId="77777777" w:rsidTr="00DE4F6C">
        <w:tc>
          <w:tcPr>
            <w:tcW w:w="8516" w:type="dxa"/>
            <w:gridSpan w:val="2"/>
          </w:tcPr>
          <w:p w14:paraId="29E001F7" w14:textId="77777777" w:rsidR="004D210D" w:rsidRPr="008427EC" w:rsidRDefault="004D210D" w:rsidP="00DE4F6C">
            <w:pPr>
              <w:spacing w:line="480" w:lineRule="auto"/>
              <w:rPr>
                <w:b/>
                <w:bCs/>
                <w:color w:val="000000" w:themeColor="text1"/>
                <w:kern w:val="24"/>
              </w:rPr>
            </w:pPr>
            <w:r w:rsidRPr="008427EC">
              <w:rPr>
                <w:b/>
                <w:bCs/>
                <w:color w:val="000000" w:themeColor="text1"/>
                <w:kern w:val="24"/>
              </w:rPr>
              <w:t>Presentation characteristics</w:t>
            </w:r>
          </w:p>
        </w:tc>
      </w:tr>
      <w:tr w:rsidR="004D210D" w:rsidRPr="008427EC" w14:paraId="72A5FD51" w14:textId="77777777" w:rsidTr="00DE4F6C">
        <w:tc>
          <w:tcPr>
            <w:tcW w:w="4258" w:type="dxa"/>
          </w:tcPr>
          <w:p w14:paraId="5F1139BC" w14:textId="77777777" w:rsidR="004D210D" w:rsidRPr="008427EC" w:rsidRDefault="004D210D" w:rsidP="00DE4F6C">
            <w:pPr>
              <w:spacing w:line="480" w:lineRule="auto"/>
              <w:rPr>
                <w:bCs/>
                <w:color w:val="000000" w:themeColor="text1"/>
                <w:kern w:val="24"/>
              </w:rPr>
            </w:pPr>
            <w:r w:rsidRPr="008427EC">
              <w:rPr>
                <w:bCs/>
                <w:color w:val="000000" w:themeColor="text1"/>
                <w:kern w:val="24"/>
              </w:rPr>
              <w:t>Symptoms to device time (minutes)</w:t>
            </w:r>
          </w:p>
        </w:tc>
        <w:tc>
          <w:tcPr>
            <w:tcW w:w="4258" w:type="dxa"/>
          </w:tcPr>
          <w:p w14:paraId="32E0BC56" w14:textId="77777777" w:rsidR="004D210D" w:rsidRPr="008427EC" w:rsidRDefault="004D210D" w:rsidP="00DE4F6C">
            <w:pPr>
              <w:spacing w:line="480" w:lineRule="auto"/>
              <w:rPr>
                <w:bCs/>
                <w:color w:val="000000" w:themeColor="text1"/>
                <w:kern w:val="24"/>
              </w:rPr>
            </w:pPr>
            <w:r w:rsidRPr="008427EC">
              <w:rPr>
                <w:bCs/>
                <w:color w:val="000000" w:themeColor="text1"/>
                <w:kern w:val="24"/>
              </w:rPr>
              <w:t>252±175</w:t>
            </w:r>
          </w:p>
        </w:tc>
      </w:tr>
      <w:tr w:rsidR="004D210D" w:rsidRPr="008427EC" w14:paraId="3D08810C" w14:textId="77777777" w:rsidTr="00DE4F6C">
        <w:tc>
          <w:tcPr>
            <w:tcW w:w="4258" w:type="dxa"/>
          </w:tcPr>
          <w:p w14:paraId="64F3F09A" w14:textId="77777777" w:rsidR="004D210D" w:rsidRPr="008427EC" w:rsidRDefault="004D210D" w:rsidP="00DE4F6C">
            <w:pPr>
              <w:spacing w:line="480" w:lineRule="auto"/>
              <w:rPr>
                <w:bCs/>
                <w:color w:val="000000" w:themeColor="text1"/>
                <w:kern w:val="24"/>
              </w:rPr>
            </w:pPr>
            <w:r w:rsidRPr="008427EC">
              <w:rPr>
                <w:bCs/>
                <w:color w:val="000000" w:themeColor="text1"/>
                <w:kern w:val="24"/>
              </w:rPr>
              <w:t xml:space="preserve">Culprit </w:t>
            </w:r>
            <w:proofErr w:type="gramStart"/>
            <w:r w:rsidRPr="008427EC">
              <w:rPr>
                <w:bCs/>
                <w:color w:val="000000" w:themeColor="text1"/>
                <w:kern w:val="24"/>
              </w:rPr>
              <w:t>vessel(</w:t>
            </w:r>
            <w:proofErr w:type="gramEnd"/>
            <w:r w:rsidRPr="008427EC">
              <w:rPr>
                <w:bCs/>
                <w:color w:val="000000" w:themeColor="text1"/>
                <w:kern w:val="24"/>
              </w:rPr>
              <w:t>%)</w:t>
            </w:r>
          </w:p>
        </w:tc>
        <w:tc>
          <w:tcPr>
            <w:tcW w:w="4258" w:type="dxa"/>
          </w:tcPr>
          <w:p w14:paraId="7D623E99" w14:textId="77777777" w:rsidR="004D210D" w:rsidRPr="008427EC" w:rsidRDefault="004D210D" w:rsidP="00DE4F6C">
            <w:pPr>
              <w:spacing w:line="480" w:lineRule="auto"/>
              <w:rPr>
                <w:bCs/>
                <w:color w:val="000000" w:themeColor="text1"/>
                <w:kern w:val="24"/>
              </w:rPr>
            </w:pPr>
          </w:p>
        </w:tc>
      </w:tr>
      <w:tr w:rsidR="004D210D" w:rsidRPr="008427EC" w14:paraId="443AFA6A" w14:textId="77777777" w:rsidTr="00DE4F6C">
        <w:tc>
          <w:tcPr>
            <w:tcW w:w="4258" w:type="dxa"/>
          </w:tcPr>
          <w:p w14:paraId="0A4B80CE" w14:textId="77777777" w:rsidR="004D210D" w:rsidRPr="008427EC" w:rsidRDefault="004D210D" w:rsidP="00DE4F6C">
            <w:pPr>
              <w:spacing w:line="480" w:lineRule="auto"/>
              <w:rPr>
                <w:bCs/>
                <w:color w:val="000000" w:themeColor="text1"/>
                <w:kern w:val="24"/>
              </w:rPr>
            </w:pPr>
            <w:proofErr w:type="gramStart"/>
            <w:r w:rsidRPr="008427EC">
              <w:rPr>
                <w:bCs/>
                <w:color w:val="000000" w:themeColor="text1"/>
                <w:kern w:val="24"/>
              </w:rPr>
              <w:t>LAD(</w:t>
            </w:r>
            <w:proofErr w:type="gramEnd"/>
            <w:r w:rsidRPr="008427EC">
              <w:rPr>
                <w:bCs/>
                <w:color w:val="000000" w:themeColor="text1"/>
                <w:kern w:val="24"/>
              </w:rPr>
              <w:t>%)</w:t>
            </w:r>
          </w:p>
        </w:tc>
        <w:tc>
          <w:tcPr>
            <w:tcW w:w="4258" w:type="dxa"/>
          </w:tcPr>
          <w:p w14:paraId="0D991157" w14:textId="77777777" w:rsidR="004D210D" w:rsidRPr="008427EC" w:rsidRDefault="004D210D" w:rsidP="00DE4F6C">
            <w:pPr>
              <w:spacing w:line="480" w:lineRule="auto"/>
              <w:rPr>
                <w:bCs/>
                <w:color w:val="000000" w:themeColor="text1"/>
                <w:kern w:val="24"/>
              </w:rPr>
            </w:pPr>
            <w:r w:rsidRPr="008427EC">
              <w:rPr>
                <w:bCs/>
                <w:color w:val="000000" w:themeColor="text1"/>
                <w:kern w:val="24"/>
              </w:rPr>
              <w:t>14 (43.7)</w:t>
            </w:r>
          </w:p>
        </w:tc>
      </w:tr>
      <w:tr w:rsidR="004D210D" w:rsidRPr="008427EC" w14:paraId="6C7F8236" w14:textId="77777777" w:rsidTr="00DE4F6C">
        <w:tc>
          <w:tcPr>
            <w:tcW w:w="4258" w:type="dxa"/>
          </w:tcPr>
          <w:p w14:paraId="25A59D1C" w14:textId="77777777" w:rsidR="004D210D" w:rsidRPr="008427EC" w:rsidRDefault="004D210D" w:rsidP="00DE4F6C">
            <w:pPr>
              <w:spacing w:line="480" w:lineRule="auto"/>
              <w:rPr>
                <w:bCs/>
                <w:color w:val="000000" w:themeColor="text1"/>
                <w:kern w:val="24"/>
              </w:rPr>
            </w:pPr>
            <w:proofErr w:type="spellStart"/>
            <w:proofErr w:type="gramStart"/>
            <w:r w:rsidRPr="008427EC">
              <w:rPr>
                <w:bCs/>
                <w:color w:val="000000" w:themeColor="text1"/>
                <w:kern w:val="24"/>
              </w:rPr>
              <w:t>Cx</w:t>
            </w:r>
            <w:proofErr w:type="spellEnd"/>
            <w:r w:rsidRPr="008427EC">
              <w:rPr>
                <w:bCs/>
                <w:color w:val="000000" w:themeColor="text1"/>
                <w:kern w:val="24"/>
              </w:rPr>
              <w:t>(</w:t>
            </w:r>
            <w:proofErr w:type="gramEnd"/>
            <w:r w:rsidRPr="008427EC">
              <w:rPr>
                <w:bCs/>
                <w:color w:val="000000" w:themeColor="text1"/>
                <w:kern w:val="24"/>
              </w:rPr>
              <w:t>%)</w:t>
            </w:r>
          </w:p>
        </w:tc>
        <w:tc>
          <w:tcPr>
            <w:tcW w:w="4258" w:type="dxa"/>
          </w:tcPr>
          <w:p w14:paraId="5D890486" w14:textId="77777777" w:rsidR="004D210D" w:rsidRPr="008427EC" w:rsidRDefault="004D210D" w:rsidP="00DE4F6C">
            <w:pPr>
              <w:spacing w:line="480" w:lineRule="auto"/>
              <w:rPr>
                <w:bCs/>
                <w:color w:val="000000" w:themeColor="text1"/>
                <w:kern w:val="24"/>
              </w:rPr>
            </w:pPr>
            <w:r w:rsidRPr="008427EC">
              <w:rPr>
                <w:bCs/>
                <w:color w:val="000000" w:themeColor="text1"/>
                <w:kern w:val="24"/>
              </w:rPr>
              <w:t>5 (15.6)</w:t>
            </w:r>
          </w:p>
        </w:tc>
      </w:tr>
      <w:tr w:rsidR="004D210D" w:rsidRPr="008427EC" w14:paraId="5C5C75EA" w14:textId="77777777" w:rsidTr="00DE4F6C">
        <w:tc>
          <w:tcPr>
            <w:tcW w:w="4258" w:type="dxa"/>
          </w:tcPr>
          <w:p w14:paraId="72B34348" w14:textId="77777777" w:rsidR="004D210D" w:rsidRPr="008427EC" w:rsidRDefault="004D210D" w:rsidP="00DE4F6C">
            <w:pPr>
              <w:spacing w:line="480" w:lineRule="auto"/>
              <w:rPr>
                <w:bCs/>
                <w:color w:val="000000" w:themeColor="text1"/>
                <w:kern w:val="24"/>
              </w:rPr>
            </w:pPr>
            <w:proofErr w:type="gramStart"/>
            <w:r w:rsidRPr="008427EC">
              <w:rPr>
                <w:bCs/>
                <w:color w:val="000000" w:themeColor="text1"/>
                <w:kern w:val="24"/>
              </w:rPr>
              <w:t>RCA(</w:t>
            </w:r>
            <w:proofErr w:type="gramEnd"/>
            <w:r w:rsidRPr="008427EC">
              <w:rPr>
                <w:bCs/>
                <w:color w:val="000000" w:themeColor="text1"/>
                <w:kern w:val="24"/>
              </w:rPr>
              <w:t>%)</w:t>
            </w:r>
          </w:p>
        </w:tc>
        <w:tc>
          <w:tcPr>
            <w:tcW w:w="4258" w:type="dxa"/>
          </w:tcPr>
          <w:p w14:paraId="62291020" w14:textId="77777777" w:rsidR="004D210D" w:rsidRPr="008427EC" w:rsidRDefault="004D210D" w:rsidP="00DE4F6C">
            <w:pPr>
              <w:spacing w:line="480" w:lineRule="auto"/>
              <w:rPr>
                <w:bCs/>
                <w:color w:val="000000" w:themeColor="text1"/>
                <w:kern w:val="24"/>
              </w:rPr>
            </w:pPr>
            <w:r w:rsidRPr="008427EC">
              <w:rPr>
                <w:bCs/>
                <w:color w:val="000000" w:themeColor="text1"/>
                <w:kern w:val="24"/>
              </w:rPr>
              <w:t>13 (40.6)</w:t>
            </w:r>
          </w:p>
        </w:tc>
      </w:tr>
      <w:tr w:rsidR="004D210D" w:rsidRPr="008427EC" w14:paraId="589F6024" w14:textId="77777777" w:rsidTr="00DE4F6C">
        <w:tc>
          <w:tcPr>
            <w:tcW w:w="4258" w:type="dxa"/>
          </w:tcPr>
          <w:p w14:paraId="62246720" w14:textId="77777777" w:rsidR="004D210D" w:rsidRPr="008427EC" w:rsidRDefault="004D210D" w:rsidP="00DE4F6C">
            <w:pPr>
              <w:spacing w:line="480" w:lineRule="auto"/>
              <w:rPr>
                <w:bCs/>
                <w:color w:val="000000" w:themeColor="text1"/>
                <w:kern w:val="24"/>
              </w:rPr>
            </w:pPr>
            <w:r w:rsidRPr="008427EC">
              <w:rPr>
                <w:bCs/>
                <w:color w:val="000000" w:themeColor="text1"/>
                <w:kern w:val="24"/>
              </w:rPr>
              <w:t xml:space="preserve">Culprit lesion at proximal </w:t>
            </w:r>
            <w:proofErr w:type="gramStart"/>
            <w:r w:rsidRPr="008427EC">
              <w:rPr>
                <w:bCs/>
                <w:color w:val="000000" w:themeColor="text1"/>
                <w:kern w:val="24"/>
              </w:rPr>
              <w:t>segment(</w:t>
            </w:r>
            <w:proofErr w:type="gramEnd"/>
            <w:r w:rsidRPr="008427EC">
              <w:rPr>
                <w:bCs/>
                <w:color w:val="000000" w:themeColor="text1"/>
                <w:kern w:val="24"/>
              </w:rPr>
              <w:t>%)</w:t>
            </w:r>
          </w:p>
        </w:tc>
        <w:tc>
          <w:tcPr>
            <w:tcW w:w="4258" w:type="dxa"/>
          </w:tcPr>
          <w:p w14:paraId="29951DA7" w14:textId="77777777" w:rsidR="004D210D" w:rsidRPr="008427EC" w:rsidRDefault="004D210D" w:rsidP="00DE4F6C">
            <w:pPr>
              <w:spacing w:line="480" w:lineRule="auto"/>
              <w:rPr>
                <w:bCs/>
                <w:color w:val="000000" w:themeColor="text1"/>
                <w:kern w:val="24"/>
              </w:rPr>
            </w:pPr>
            <w:r w:rsidRPr="008427EC">
              <w:rPr>
                <w:bCs/>
                <w:color w:val="000000" w:themeColor="text1"/>
                <w:kern w:val="24"/>
              </w:rPr>
              <w:t>19 (59.3)</w:t>
            </w:r>
          </w:p>
        </w:tc>
      </w:tr>
      <w:tr w:rsidR="004D210D" w:rsidRPr="0060495D" w14:paraId="0D9AB1CC" w14:textId="77777777" w:rsidTr="00DE4F6C">
        <w:trPr>
          <w:trHeight w:val="584"/>
        </w:trPr>
        <w:tc>
          <w:tcPr>
            <w:tcW w:w="4258" w:type="dxa"/>
          </w:tcPr>
          <w:p w14:paraId="75382210" w14:textId="77777777" w:rsidR="004D210D" w:rsidRPr="0060495D" w:rsidRDefault="004D210D" w:rsidP="00DE4F6C">
            <w:pPr>
              <w:spacing w:line="480" w:lineRule="auto"/>
              <w:rPr>
                <w:bCs/>
                <w:color w:val="000000" w:themeColor="text1"/>
                <w:kern w:val="24"/>
              </w:rPr>
            </w:pPr>
            <w:r w:rsidRPr="002855BF">
              <w:t xml:space="preserve">Number of </w:t>
            </w:r>
            <w:r>
              <w:t xml:space="preserve">diseased </w:t>
            </w:r>
            <w:proofErr w:type="gramStart"/>
            <w:r w:rsidRPr="002855BF">
              <w:t>vessel</w:t>
            </w:r>
            <w:r>
              <w:t>s(</w:t>
            </w:r>
            <w:proofErr w:type="gramEnd"/>
            <w:r>
              <w:t>%)</w:t>
            </w:r>
          </w:p>
        </w:tc>
        <w:tc>
          <w:tcPr>
            <w:tcW w:w="4258" w:type="dxa"/>
          </w:tcPr>
          <w:p w14:paraId="057FA99D" w14:textId="77777777" w:rsidR="004D210D" w:rsidRPr="0060495D" w:rsidRDefault="004D210D" w:rsidP="00DE4F6C">
            <w:pPr>
              <w:spacing w:line="480" w:lineRule="auto"/>
              <w:jc w:val="both"/>
              <w:rPr>
                <w:bCs/>
                <w:color w:val="000000" w:themeColor="text1"/>
                <w:kern w:val="24"/>
              </w:rPr>
            </w:pPr>
          </w:p>
        </w:tc>
      </w:tr>
      <w:tr w:rsidR="004D210D" w:rsidRPr="0060495D" w14:paraId="288622A3" w14:textId="77777777" w:rsidTr="00DE4F6C">
        <w:trPr>
          <w:trHeight w:val="584"/>
        </w:trPr>
        <w:tc>
          <w:tcPr>
            <w:tcW w:w="4258" w:type="dxa"/>
          </w:tcPr>
          <w:p w14:paraId="02A396B6" w14:textId="77777777" w:rsidR="004D210D" w:rsidRPr="0060495D" w:rsidRDefault="004D210D" w:rsidP="00DE4F6C">
            <w:pPr>
              <w:spacing w:line="480" w:lineRule="auto"/>
              <w:rPr>
                <w:bCs/>
                <w:color w:val="000000" w:themeColor="text1"/>
                <w:kern w:val="24"/>
              </w:rPr>
            </w:pPr>
            <w:r w:rsidRPr="002855BF">
              <w:lastRenderedPageBreak/>
              <w:t>1(%)</w:t>
            </w:r>
          </w:p>
        </w:tc>
        <w:tc>
          <w:tcPr>
            <w:tcW w:w="4258" w:type="dxa"/>
          </w:tcPr>
          <w:p w14:paraId="58D96F0D" w14:textId="77777777" w:rsidR="004D210D" w:rsidRPr="0060495D" w:rsidRDefault="004D210D" w:rsidP="00DE4F6C">
            <w:pPr>
              <w:spacing w:line="480" w:lineRule="auto"/>
              <w:jc w:val="both"/>
              <w:rPr>
                <w:bCs/>
                <w:color w:val="000000" w:themeColor="text1"/>
                <w:kern w:val="24"/>
              </w:rPr>
            </w:pPr>
            <w:r w:rsidRPr="002855BF">
              <w:t>10 (31.2)</w:t>
            </w:r>
          </w:p>
        </w:tc>
      </w:tr>
      <w:tr w:rsidR="004D210D" w:rsidRPr="0060495D" w14:paraId="72CE2E28" w14:textId="77777777" w:rsidTr="00DE4F6C">
        <w:trPr>
          <w:trHeight w:val="584"/>
        </w:trPr>
        <w:tc>
          <w:tcPr>
            <w:tcW w:w="4258" w:type="dxa"/>
          </w:tcPr>
          <w:p w14:paraId="3CEB9AAF" w14:textId="77777777" w:rsidR="004D210D" w:rsidRPr="0060495D" w:rsidRDefault="004D210D" w:rsidP="00DE4F6C">
            <w:pPr>
              <w:spacing w:line="480" w:lineRule="auto"/>
              <w:rPr>
                <w:bCs/>
                <w:color w:val="000000" w:themeColor="text1"/>
                <w:kern w:val="24"/>
              </w:rPr>
            </w:pPr>
            <w:r w:rsidRPr="00287B96">
              <w:rPr>
                <w:bCs/>
                <w:color w:val="000000" w:themeColor="text1"/>
                <w:kern w:val="24"/>
              </w:rPr>
              <w:t>2(%)</w:t>
            </w:r>
          </w:p>
        </w:tc>
        <w:tc>
          <w:tcPr>
            <w:tcW w:w="4258" w:type="dxa"/>
          </w:tcPr>
          <w:p w14:paraId="359A12C0" w14:textId="77777777" w:rsidR="004D210D" w:rsidRPr="0060495D" w:rsidRDefault="004D210D" w:rsidP="00DE4F6C">
            <w:pPr>
              <w:spacing w:line="480" w:lineRule="auto"/>
              <w:jc w:val="both"/>
              <w:rPr>
                <w:bCs/>
                <w:color w:val="000000" w:themeColor="text1"/>
                <w:kern w:val="24"/>
              </w:rPr>
            </w:pPr>
            <w:r w:rsidRPr="00287B96">
              <w:rPr>
                <w:bCs/>
                <w:color w:val="000000" w:themeColor="text1"/>
                <w:kern w:val="24"/>
              </w:rPr>
              <w:t>15 (46.8)</w:t>
            </w:r>
          </w:p>
        </w:tc>
      </w:tr>
      <w:tr w:rsidR="004D210D" w:rsidRPr="0060495D" w14:paraId="4958FFDD" w14:textId="77777777" w:rsidTr="00DE4F6C">
        <w:trPr>
          <w:trHeight w:val="584"/>
        </w:trPr>
        <w:tc>
          <w:tcPr>
            <w:tcW w:w="4258" w:type="dxa"/>
          </w:tcPr>
          <w:p w14:paraId="6ACDAFA3" w14:textId="77777777" w:rsidR="004D210D" w:rsidRPr="0060495D" w:rsidRDefault="004D210D" w:rsidP="00DE4F6C">
            <w:pPr>
              <w:spacing w:line="480" w:lineRule="auto"/>
              <w:rPr>
                <w:bCs/>
                <w:color w:val="000000" w:themeColor="text1"/>
                <w:kern w:val="24"/>
              </w:rPr>
            </w:pPr>
            <w:r w:rsidRPr="00287B96">
              <w:rPr>
                <w:bCs/>
                <w:color w:val="000000" w:themeColor="text1"/>
                <w:kern w:val="24"/>
              </w:rPr>
              <w:t>3(%)</w:t>
            </w:r>
          </w:p>
        </w:tc>
        <w:tc>
          <w:tcPr>
            <w:tcW w:w="4258" w:type="dxa"/>
          </w:tcPr>
          <w:p w14:paraId="6FD7EAD6" w14:textId="77777777" w:rsidR="004D210D" w:rsidRPr="0060495D" w:rsidRDefault="004D210D" w:rsidP="00DE4F6C">
            <w:pPr>
              <w:spacing w:line="480" w:lineRule="auto"/>
              <w:jc w:val="both"/>
              <w:rPr>
                <w:bCs/>
                <w:color w:val="000000" w:themeColor="text1"/>
                <w:kern w:val="24"/>
              </w:rPr>
            </w:pPr>
            <w:r w:rsidRPr="00287B96">
              <w:rPr>
                <w:bCs/>
                <w:color w:val="000000" w:themeColor="text1"/>
                <w:kern w:val="24"/>
              </w:rPr>
              <w:t>7 (21.8)</w:t>
            </w:r>
          </w:p>
        </w:tc>
      </w:tr>
      <w:tr w:rsidR="004D210D" w:rsidRPr="0060495D" w14:paraId="1F582307" w14:textId="77777777" w:rsidTr="00DE4F6C">
        <w:trPr>
          <w:trHeight w:val="584"/>
        </w:trPr>
        <w:tc>
          <w:tcPr>
            <w:tcW w:w="4258" w:type="dxa"/>
          </w:tcPr>
          <w:p w14:paraId="765C9F51" w14:textId="77777777" w:rsidR="004D210D" w:rsidRPr="0060495D" w:rsidRDefault="004D210D" w:rsidP="00DE4F6C">
            <w:pPr>
              <w:spacing w:line="480" w:lineRule="auto"/>
              <w:rPr>
                <w:bCs/>
                <w:color w:val="000000" w:themeColor="text1"/>
                <w:kern w:val="24"/>
              </w:rPr>
            </w:pPr>
            <w:r w:rsidRPr="00287B96">
              <w:t xml:space="preserve">TIMI flow </w:t>
            </w:r>
            <w:proofErr w:type="gramStart"/>
            <w:r w:rsidRPr="00287B96">
              <w:t>presentation</w:t>
            </w:r>
            <w:r>
              <w:t>(</w:t>
            </w:r>
            <w:proofErr w:type="gramEnd"/>
            <w:r>
              <w:t>%)</w:t>
            </w:r>
          </w:p>
        </w:tc>
        <w:tc>
          <w:tcPr>
            <w:tcW w:w="4258" w:type="dxa"/>
          </w:tcPr>
          <w:p w14:paraId="5A58E50E" w14:textId="77777777" w:rsidR="004D210D" w:rsidRPr="0060495D" w:rsidRDefault="004D210D" w:rsidP="00DE4F6C">
            <w:pPr>
              <w:spacing w:line="480" w:lineRule="auto"/>
              <w:jc w:val="both"/>
              <w:rPr>
                <w:bCs/>
                <w:color w:val="000000" w:themeColor="text1"/>
                <w:kern w:val="24"/>
              </w:rPr>
            </w:pPr>
          </w:p>
        </w:tc>
      </w:tr>
      <w:tr w:rsidR="004D210D" w:rsidRPr="0060495D" w14:paraId="5FBA54CB" w14:textId="77777777" w:rsidTr="00DE4F6C">
        <w:trPr>
          <w:trHeight w:val="584"/>
        </w:trPr>
        <w:tc>
          <w:tcPr>
            <w:tcW w:w="4258" w:type="dxa"/>
          </w:tcPr>
          <w:p w14:paraId="13448E53" w14:textId="77777777" w:rsidR="004D210D" w:rsidRPr="0060495D" w:rsidRDefault="004D210D" w:rsidP="00DE4F6C">
            <w:pPr>
              <w:spacing w:line="480" w:lineRule="auto"/>
              <w:rPr>
                <w:bCs/>
                <w:color w:val="000000" w:themeColor="text1"/>
                <w:kern w:val="24"/>
              </w:rPr>
            </w:pPr>
            <w:r w:rsidRPr="00287B96">
              <w:rPr>
                <w:bCs/>
                <w:color w:val="000000" w:themeColor="text1"/>
                <w:kern w:val="24"/>
              </w:rPr>
              <w:t>0(%)</w:t>
            </w:r>
          </w:p>
        </w:tc>
        <w:tc>
          <w:tcPr>
            <w:tcW w:w="4258" w:type="dxa"/>
          </w:tcPr>
          <w:p w14:paraId="4814C445" w14:textId="77777777" w:rsidR="004D210D" w:rsidRPr="0060495D" w:rsidRDefault="004D210D" w:rsidP="00DE4F6C">
            <w:pPr>
              <w:spacing w:line="480" w:lineRule="auto"/>
              <w:jc w:val="both"/>
              <w:rPr>
                <w:bCs/>
                <w:color w:val="000000" w:themeColor="text1"/>
                <w:kern w:val="24"/>
              </w:rPr>
            </w:pPr>
            <w:r>
              <w:rPr>
                <w:bCs/>
                <w:color w:val="000000" w:themeColor="text1"/>
                <w:kern w:val="24"/>
              </w:rPr>
              <w:t>26 (81.2</w:t>
            </w:r>
            <w:r w:rsidRPr="00287B96">
              <w:rPr>
                <w:bCs/>
                <w:color w:val="000000" w:themeColor="text1"/>
                <w:kern w:val="24"/>
              </w:rPr>
              <w:t>)</w:t>
            </w:r>
          </w:p>
        </w:tc>
      </w:tr>
      <w:tr w:rsidR="004D210D" w:rsidRPr="0060495D" w14:paraId="19C7188A" w14:textId="77777777" w:rsidTr="00DE4F6C">
        <w:trPr>
          <w:trHeight w:val="584"/>
        </w:trPr>
        <w:tc>
          <w:tcPr>
            <w:tcW w:w="4258" w:type="dxa"/>
          </w:tcPr>
          <w:p w14:paraId="0A53E5C3" w14:textId="77777777" w:rsidR="004D210D" w:rsidRPr="0060495D" w:rsidRDefault="004D210D" w:rsidP="00DE4F6C">
            <w:pPr>
              <w:spacing w:line="480" w:lineRule="auto"/>
              <w:rPr>
                <w:bCs/>
                <w:color w:val="000000" w:themeColor="text1"/>
                <w:kern w:val="24"/>
              </w:rPr>
            </w:pPr>
            <w:r w:rsidRPr="00287B96">
              <w:rPr>
                <w:bCs/>
                <w:color w:val="000000" w:themeColor="text1"/>
                <w:kern w:val="24"/>
              </w:rPr>
              <w:t>1(%)</w:t>
            </w:r>
          </w:p>
        </w:tc>
        <w:tc>
          <w:tcPr>
            <w:tcW w:w="4258" w:type="dxa"/>
          </w:tcPr>
          <w:p w14:paraId="4FA22089" w14:textId="77777777" w:rsidR="004D210D" w:rsidRPr="0060495D" w:rsidRDefault="004D210D" w:rsidP="00DE4F6C">
            <w:pPr>
              <w:spacing w:line="480" w:lineRule="auto"/>
              <w:jc w:val="both"/>
              <w:rPr>
                <w:bCs/>
                <w:color w:val="000000" w:themeColor="text1"/>
                <w:kern w:val="24"/>
              </w:rPr>
            </w:pPr>
            <w:r>
              <w:rPr>
                <w:bCs/>
                <w:color w:val="000000" w:themeColor="text1"/>
                <w:kern w:val="24"/>
              </w:rPr>
              <w:t>2 (6.2</w:t>
            </w:r>
            <w:r w:rsidRPr="00287B96">
              <w:rPr>
                <w:bCs/>
                <w:color w:val="000000" w:themeColor="text1"/>
                <w:kern w:val="24"/>
              </w:rPr>
              <w:t>)</w:t>
            </w:r>
          </w:p>
        </w:tc>
      </w:tr>
      <w:tr w:rsidR="004D210D" w:rsidRPr="0060495D" w14:paraId="651E01B1" w14:textId="77777777" w:rsidTr="00DE4F6C">
        <w:trPr>
          <w:trHeight w:val="584"/>
        </w:trPr>
        <w:tc>
          <w:tcPr>
            <w:tcW w:w="4258" w:type="dxa"/>
          </w:tcPr>
          <w:p w14:paraId="060527C6" w14:textId="77777777" w:rsidR="004D210D" w:rsidRPr="0060495D" w:rsidRDefault="004D210D" w:rsidP="00DE4F6C">
            <w:pPr>
              <w:spacing w:line="480" w:lineRule="auto"/>
              <w:rPr>
                <w:bCs/>
                <w:color w:val="000000" w:themeColor="text1"/>
                <w:kern w:val="24"/>
              </w:rPr>
            </w:pPr>
            <w:r w:rsidRPr="00287B96">
              <w:rPr>
                <w:color w:val="000000" w:themeColor="text1"/>
                <w:kern w:val="24"/>
              </w:rPr>
              <w:t>2(%)</w:t>
            </w:r>
          </w:p>
        </w:tc>
        <w:tc>
          <w:tcPr>
            <w:tcW w:w="4258" w:type="dxa"/>
          </w:tcPr>
          <w:p w14:paraId="0ED38EE8" w14:textId="77777777" w:rsidR="004D210D" w:rsidRPr="0060495D" w:rsidRDefault="004D210D" w:rsidP="00DE4F6C">
            <w:pPr>
              <w:spacing w:line="480" w:lineRule="auto"/>
              <w:jc w:val="both"/>
              <w:rPr>
                <w:bCs/>
                <w:color w:val="000000" w:themeColor="text1"/>
                <w:kern w:val="24"/>
              </w:rPr>
            </w:pPr>
            <w:r>
              <w:rPr>
                <w:color w:val="000000" w:themeColor="text1"/>
                <w:kern w:val="24"/>
              </w:rPr>
              <w:t>4 (12.5</w:t>
            </w:r>
            <w:r w:rsidRPr="00287B96">
              <w:rPr>
                <w:color w:val="000000" w:themeColor="text1"/>
                <w:kern w:val="24"/>
              </w:rPr>
              <w:t>)</w:t>
            </w:r>
          </w:p>
        </w:tc>
      </w:tr>
      <w:tr w:rsidR="004D210D" w:rsidRPr="0060495D" w14:paraId="266A9FBF" w14:textId="77777777" w:rsidTr="00DE4F6C">
        <w:trPr>
          <w:trHeight w:val="584"/>
        </w:trPr>
        <w:tc>
          <w:tcPr>
            <w:tcW w:w="4258" w:type="dxa"/>
          </w:tcPr>
          <w:p w14:paraId="4B33D1F8" w14:textId="77777777" w:rsidR="004D210D" w:rsidRPr="0060495D" w:rsidRDefault="004D210D" w:rsidP="00DE4F6C">
            <w:pPr>
              <w:spacing w:line="480" w:lineRule="auto"/>
              <w:rPr>
                <w:bCs/>
                <w:color w:val="000000" w:themeColor="text1"/>
                <w:kern w:val="24"/>
              </w:rPr>
            </w:pPr>
            <w:r w:rsidRPr="00287B96">
              <w:rPr>
                <w:color w:val="000000" w:themeColor="text1"/>
                <w:kern w:val="24"/>
              </w:rPr>
              <w:t>3(%)</w:t>
            </w:r>
          </w:p>
        </w:tc>
        <w:tc>
          <w:tcPr>
            <w:tcW w:w="4258" w:type="dxa"/>
          </w:tcPr>
          <w:p w14:paraId="1E0AFBCD" w14:textId="77777777" w:rsidR="004D210D" w:rsidRPr="0060495D" w:rsidRDefault="004D210D" w:rsidP="00DE4F6C">
            <w:pPr>
              <w:spacing w:line="480" w:lineRule="auto"/>
              <w:jc w:val="both"/>
              <w:rPr>
                <w:bCs/>
                <w:color w:val="000000" w:themeColor="text1"/>
                <w:kern w:val="24"/>
              </w:rPr>
            </w:pPr>
            <w:r>
              <w:rPr>
                <w:color w:val="000000" w:themeColor="text1"/>
                <w:kern w:val="24"/>
              </w:rPr>
              <w:t>0 (0</w:t>
            </w:r>
            <w:r w:rsidRPr="00287B96">
              <w:rPr>
                <w:color w:val="000000" w:themeColor="text1"/>
                <w:kern w:val="24"/>
              </w:rPr>
              <w:t>)</w:t>
            </w:r>
          </w:p>
        </w:tc>
      </w:tr>
    </w:tbl>
    <w:p w14:paraId="637F25AC" w14:textId="77777777" w:rsidR="004D210D" w:rsidRDefault="004D210D" w:rsidP="004D210D">
      <w:pPr>
        <w:spacing w:line="480" w:lineRule="auto"/>
        <w:jc w:val="both"/>
      </w:pPr>
    </w:p>
    <w:p w14:paraId="1FD515AC" w14:textId="77777777" w:rsidR="004D210D" w:rsidRDefault="004D210D" w:rsidP="004D210D">
      <w:pPr>
        <w:spacing w:line="480" w:lineRule="auto"/>
      </w:pPr>
    </w:p>
    <w:p w14:paraId="4CAD2753" w14:textId="77777777" w:rsidR="004D210D" w:rsidRPr="006E069F" w:rsidRDefault="004D210D" w:rsidP="004D210D">
      <w:pPr>
        <w:spacing w:line="480" w:lineRule="auto"/>
      </w:pPr>
    </w:p>
    <w:p w14:paraId="29CA6BB4" w14:textId="77777777" w:rsidR="004D210D" w:rsidRDefault="004D210D" w:rsidP="004D210D">
      <w:pPr>
        <w:pStyle w:val="Caption"/>
        <w:spacing w:line="480" w:lineRule="auto"/>
        <w:rPr>
          <w:b/>
          <w:bCs/>
        </w:rPr>
      </w:pPr>
    </w:p>
    <w:p w14:paraId="559295FB" w14:textId="77777777" w:rsidR="004D210D" w:rsidRDefault="004D210D" w:rsidP="004D210D">
      <w:pPr>
        <w:spacing w:line="480" w:lineRule="auto"/>
        <w:rPr>
          <w:lang w:eastAsia="en-US"/>
        </w:rPr>
      </w:pPr>
    </w:p>
    <w:p w14:paraId="7390A3DC" w14:textId="77777777" w:rsidR="004D210D" w:rsidRPr="004A2DD7" w:rsidRDefault="004D210D" w:rsidP="004D210D">
      <w:pPr>
        <w:spacing w:line="480" w:lineRule="auto"/>
        <w:rPr>
          <w:lang w:eastAsia="en-US"/>
        </w:rPr>
      </w:pPr>
    </w:p>
    <w:p w14:paraId="0EEB1B6C" w14:textId="77777777" w:rsidR="004D210D" w:rsidRDefault="004D210D" w:rsidP="004D210D">
      <w:pPr>
        <w:rPr>
          <w:lang w:eastAsia="en-US"/>
        </w:rPr>
      </w:pPr>
      <w:bookmarkStart w:id="6" w:name="_Toc20226528"/>
    </w:p>
    <w:p w14:paraId="6C87B24F" w14:textId="77777777" w:rsidR="004D210D" w:rsidRPr="00B6357B" w:rsidRDefault="004D210D" w:rsidP="004D210D">
      <w:pPr>
        <w:rPr>
          <w:lang w:eastAsia="en-US"/>
        </w:rPr>
      </w:pPr>
    </w:p>
    <w:p w14:paraId="2CD063C2" w14:textId="77777777" w:rsidR="004D210D" w:rsidRDefault="004D210D" w:rsidP="004D210D">
      <w:pPr>
        <w:pStyle w:val="Caption"/>
        <w:spacing w:line="480" w:lineRule="auto"/>
        <w:rPr>
          <w:b/>
          <w:bCs/>
        </w:rPr>
      </w:pPr>
    </w:p>
    <w:p w14:paraId="518FC20C" w14:textId="77777777" w:rsidR="004D210D" w:rsidRDefault="004D210D" w:rsidP="004D210D">
      <w:pPr>
        <w:pStyle w:val="Caption"/>
        <w:spacing w:line="480" w:lineRule="auto"/>
        <w:rPr>
          <w:b/>
          <w:bCs/>
        </w:rPr>
      </w:pPr>
    </w:p>
    <w:p w14:paraId="13142585" w14:textId="77777777" w:rsidR="004D210D" w:rsidRDefault="004D210D" w:rsidP="004D210D">
      <w:pPr>
        <w:pStyle w:val="Caption"/>
        <w:spacing w:line="480" w:lineRule="auto"/>
        <w:rPr>
          <w:b/>
          <w:bCs/>
        </w:rPr>
      </w:pPr>
    </w:p>
    <w:p w14:paraId="06F02D05" w14:textId="77777777" w:rsidR="004D210D" w:rsidRDefault="004D210D" w:rsidP="004D210D">
      <w:pPr>
        <w:rPr>
          <w:lang w:eastAsia="en-US"/>
        </w:rPr>
      </w:pPr>
    </w:p>
    <w:p w14:paraId="46FBDA27" w14:textId="77777777" w:rsidR="004D210D" w:rsidRDefault="004D210D" w:rsidP="004D210D">
      <w:pPr>
        <w:rPr>
          <w:lang w:eastAsia="en-US"/>
        </w:rPr>
      </w:pPr>
    </w:p>
    <w:p w14:paraId="46ECF2FE" w14:textId="77777777" w:rsidR="004D210D" w:rsidRPr="008427EC" w:rsidRDefault="004D210D" w:rsidP="004D210D">
      <w:pPr>
        <w:rPr>
          <w:lang w:eastAsia="en-US"/>
        </w:rPr>
      </w:pPr>
    </w:p>
    <w:p w14:paraId="0B32D889" w14:textId="77777777" w:rsidR="004D210D" w:rsidRPr="00EA7A75" w:rsidRDefault="004D210D" w:rsidP="004D210D">
      <w:pPr>
        <w:pStyle w:val="Caption"/>
        <w:spacing w:line="480" w:lineRule="auto"/>
      </w:pPr>
      <w:r w:rsidRPr="00990777">
        <w:rPr>
          <w:b/>
          <w:bCs/>
        </w:rPr>
        <w:lastRenderedPageBreak/>
        <w:t xml:space="preserve">Table </w:t>
      </w:r>
      <w:r>
        <w:rPr>
          <w:b/>
          <w:bCs/>
        </w:rPr>
        <w:t xml:space="preserve">2. </w:t>
      </w:r>
      <w:r>
        <w:t>P</w:t>
      </w:r>
      <w:r w:rsidRPr="0062264C">
        <w:t>rocedural characteristics.</w:t>
      </w:r>
      <w:bookmarkEnd w:id="6"/>
    </w:p>
    <w:tbl>
      <w:tblPr>
        <w:tblStyle w:val="TableGridLight"/>
        <w:tblW w:w="0" w:type="auto"/>
        <w:tblLook w:val="04A0" w:firstRow="1" w:lastRow="0" w:firstColumn="1" w:lastColumn="0" w:noHBand="0" w:noVBand="1"/>
      </w:tblPr>
      <w:tblGrid>
        <w:gridCol w:w="4024"/>
        <w:gridCol w:w="4024"/>
      </w:tblGrid>
      <w:tr w:rsidR="004D210D" w14:paraId="6433E831" w14:textId="77777777" w:rsidTr="00DE4F6C">
        <w:tc>
          <w:tcPr>
            <w:tcW w:w="8048" w:type="dxa"/>
            <w:gridSpan w:val="2"/>
          </w:tcPr>
          <w:p w14:paraId="38A9C694" w14:textId="77777777" w:rsidR="004D210D" w:rsidRDefault="004D210D" w:rsidP="00DE4F6C">
            <w:pPr>
              <w:spacing w:line="480" w:lineRule="auto"/>
              <w:jc w:val="both"/>
            </w:pPr>
            <w:r w:rsidRPr="00287B96">
              <w:rPr>
                <w:b/>
              </w:rPr>
              <w:t xml:space="preserve">Procedural Characteristics </w:t>
            </w:r>
          </w:p>
        </w:tc>
      </w:tr>
      <w:tr w:rsidR="004D210D" w:rsidRPr="00287B96" w14:paraId="47770B55" w14:textId="77777777" w:rsidTr="00DE4F6C">
        <w:trPr>
          <w:trHeight w:val="584"/>
        </w:trPr>
        <w:tc>
          <w:tcPr>
            <w:tcW w:w="4024" w:type="dxa"/>
            <w:hideMark/>
          </w:tcPr>
          <w:p w14:paraId="365F8421" w14:textId="77777777" w:rsidR="004D210D" w:rsidRPr="00CE3ACC" w:rsidRDefault="004D210D" w:rsidP="00DE4F6C">
            <w:pPr>
              <w:spacing w:line="480" w:lineRule="auto"/>
            </w:pPr>
            <w:r w:rsidRPr="00CE3ACC">
              <w:rPr>
                <w:rFonts w:eastAsia="MS Mincho"/>
                <w:bCs/>
                <w:color w:val="000000" w:themeColor="text1"/>
                <w:kern w:val="24"/>
              </w:rPr>
              <w:t xml:space="preserve">Radial </w:t>
            </w:r>
            <w:proofErr w:type="gramStart"/>
            <w:r w:rsidRPr="00CE3ACC">
              <w:rPr>
                <w:rFonts w:eastAsia="MS Mincho"/>
                <w:bCs/>
                <w:color w:val="000000" w:themeColor="text1"/>
                <w:kern w:val="24"/>
              </w:rPr>
              <w:t>access(</w:t>
            </w:r>
            <w:proofErr w:type="gramEnd"/>
            <w:r w:rsidRPr="00CE3ACC">
              <w:rPr>
                <w:rFonts w:eastAsia="MS Mincho"/>
                <w:bCs/>
                <w:color w:val="000000" w:themeColor="text1"/>
                <w:kern w:val="24"/>
              </w:rPr>
              <w:t>%)</w:t>
            </w:r>
          </w:p>
        </w:tc>
        <w:tc>
          <w:tcPr>
            <w:tcW w:w="4024" w:type="dxa"/>
            <w:hideMark/>
          </w:tcPr>
          <w:p w14:paraId="095CC826" w14:textId="77777777" w:rsidR="004D210D" w:rsidRPr="00CE3ACC" w:rsidRDefault="004D210D" w:rsidP="00DE4F6C">
            <w:pPr>
              <w:spacing w:line="480" w:lineRule="auto"/>
            </w:pPr>
            <w:r w:rsidRPr="00CE3ACC">
              <w:rPr>
                <w:rFonts w:eastAsia="MS Mincho"/>
                <w:bCs/>
                <w:color w:val="000000" w:themeColor="text1"/>
                <w:kern w:val="24"/>
              </w:rPr>
              <w:t>31(96.8)</w:t>
            </w:r>
          </w:p>
        </w:tc>
      </w:tr>
      <w:tr w:rsidR="004D210D" w:rsidRPr="00287B96" w14:paraId="3A7898BC" w14:textId="77777777" w:rsidTr="00DE4F6C">
        <w:trPr>
          <w:trHeight w:val="584"/>
        </w:trPr>
        <w:tc>
          <w:tcPr>
            <w:tcW w:w="4024" w:type="dxa"/>
            <w:hideMark/>
          </w:tcPr>
          <w:p w14:paraId="3CFA9831" w14:textId="77777777" w:rsidR="004D210D" w:rsidRPr="00CE3ACC" w:rsidRDefault="004D210D" w:rsidP="00DE4F6C">
            <w:pPr>
              <w:spacing w:line="480" w:lineRule="auto"/>
            </w:pPr>
            <w:r w:rsidRPr="00CE3ACC">
              <w:rPr>
                <w:rFonts w:eastAsia="MS Mincho"/>
                <w:color w:val="000000" w:themeColor="text1"/>
                <w:kern w:val="24"/>
              </w:rPr>
              <w:t xml:space="preserve">Thrombus </w:t>
            </w:r>
            <w:proofErr w:type="gramStart"/>
            <w:r w:rsidRPr="00CE3ACC">
              <w:rPr>
                <w:rFonts w:eastAsia="MS Mincho"/>
                <w:color w:val="000000" w:themeColor="text1"/>
                <w:kern w:val="24"/>
              </w:rPr>
              <w:t>aspiration(</w:t>
            </w:r>
            <w:proofErr w:type="gramEnd"/>
            <w:r w:rsidRPr="00CE3ACC">
              <w:rPr>
                <w:rFonts w:eastAsia="MS Mincho"/>
                <w:color w:val="000000" w:themeColor="text1"/>
                <w:kern w:val="24"/>
              </w:rPr>
              <w:t>%)</w:t>
            </w:r>
          </w:p>
        </w:tc>
        <w:tc>
          <w:tcPr>
            <w:tcW w:w="4024" w:type="dxa"/>
            <w:hideMark/>
          </w:tcPr>
          <w:p w14:paraId="74AD613F" w14:textId="77777777" w:rsidR="004D210D" w:rsidRPr="00CE3ACC" w:rsidRDefault="004D210D" w:rsidP="00DE4F6C">
            <w:pPr>
              <w:spacing w:line="480" w:lineRule="auto"/>
            </w:pPr>
            <w:r w:rsidRPr="00CE3ACC">
              <w:rPr>
                <w:rFonts w:eastAsia="MS Mincho"/>
                <w:color w:val="000000" w:themeColor="text1"/>
                <w:kern w:val="24"/>
              </w:rPr>
              <w:t>23(71.8)</w:t>
            </w:r>
          </w:p>
        </w:tc>
      </w:tr>
      <w:tr w:rsidR="004D210D" w:rsidRPr="00287B96" w14:paraId="0417240C" w14:textId="77777777" w:rsidTr="00DE4F6C">
        <w:trPr>
          <w:trHeight w:val="584"/>
        </w:trPr>
        <w:tc>
          <w:tcPr>
            <w:tcW w:w="4024" w:type="dxa"/>
            <w:hideMark/>
          </w:tcPr>
          <w:p w14:paraId="3F883F09" w14:textId="77777777" w:rsidR="004D210D" w:rsidRPr="00CE3ACC" w:rsidRDefault="004D210D" w:rsidP="00DE4F6C">
            <w:pPr>
              <w:spacing w:line="480" w:lineRule="auto"/>
            </w:pPr>
            <w:r w:rsidRPr="00CE3ACC">
              <w:rPr>
                <w:rFonts w:eastAsia="MS Mincho"/>
                <w:bCs/>
                <w:color w:val="000000" w:themeColor="text1"/>
                <w:kern w:val="24"/>
              </w:rPr>
              <w:t>Pre-</w:t>
            </w:r>
            <w:proofErr w:type="gramStart"/>
            <w:r w:rsidRPr="00CE3ACC">
              <w:rPr>
                <w:rFonts w:eastAsia="MS Mincho"/>
                <w:bCs/>
                <w:color w:val="000000" w:themeColor="text1"/>
                <w:kern w:val="24"/>
              </w:rPr>
              <w:t>dilatation</w:t>
            </w:r>
            <w:r>
              <w:rPr>
                <w:rFonts w:eastAsia="MS Mincho"/>
                <w:bCs/>
                <w:color w:val="000000" w:themeColor="text1"/>
                <w:kern w:val="24"/>
              </w:rPr>
              <w:t>(</w:t>
            </w:r>
            <w:proofErr w:type="gramEnd"/>
            <w:r>
              <w:rPr>
                <w:rFonts w:eastAsia="MS Mincho"/>
                <w:bCs/>
                <w:color w:val="000000" w:themeColor="text1"/>
                <w:kern w:val="24"/>
              </w:rPr>
              <w:t>%)</w:t>
            </w:r>
          </w:p>
        </w:tc>
        <w:tc>
          <w:tcPr>
            <w:tcW w:w="4024" w:type="dxa"/>
            <w:hideMark/>
          </w:tcPr>
          <w:p w14:paraId="68E714D5" w14:textId="77777777" w:rsidR="004D210D" w:rsidRPr="00CE3ACC" w:rsidRDefault="004D210D" w:rsidP="00DE4F6C">
            <w:pPr>
              <w:spacing w:line="480" w:lineRule="auto"/>
            </w:pPr>
            <w:r w:rsidRPr="00CE3ACC">
              <w:rPr>
                <w:rFonts w:eastAsia="MS Mincho"/>
                <w:bCs/>
                <w:color w:val="000000" w:themeColor="text1"/>
                <w:kern w:val="24"/>
              </w:rPr>
              <w:t>26(81.2)</w:t>
            </w:r>
          </w:p>
        </w:tc>
      </w:tr>
      <w:tr w:rsidR="004D210D" w:rsidRPr="00287B96" w14:paraId="3FB45249" w14:textId="77777777" w:rsidTr="00DE4F6C">
        <w:trPr>
          <w:trHeight w:val="584"/>
        </w:trPr>
        <w:tc>
          <w:tcPr>
            <w:tcW w:w="4024" w:type="dxa"/>
          </w:tcPr>
          <w:p w14:paraId="06CE8CB9" w14:textId="77777777" w:rsidR="004D210D" w:rsidRPr="00CE3ACC" w:rsidRDefault="004D210D" w:rsidP="00DE4F6C">
            <w:pPr>
              <w:spacing w:line="480" w:lineRule="auto"/>
              <w:rPr>
                <w:rFonts w:eastAsia="MS Mincho"/>
                <w:bCs/>
                <w:color w:val="000000" w:themeColor="text1"/>
                <w:kern w:val="24"/>
              </w:rPr>
            </w:pPr>
            <w:proofErr w:type="spellStart"/>
            <w:r w:rsidRPr="00287B96">
              <w:t>GPIIbIIIa</w:t>
            </w:r>
            <w:proofErr w:type="spellEnd"/>
            <w:r w:rsidRPr="00287B96">
              <w:t xml:space="preserve"> </w:t>
            </w:r>
            <w:proofErr w:type="gramStart"/>
            <w:r w:rsidRPr="00287B96">
              <w:t>inhibitors(</w:t>
            </w:r>
            <w:proofErr w:type="gramEnd"/>
            <w:r w:rsidRPr="00287B96">
              <w:t>%)</w:t>
            </w:r>
          </w:p>
        </w:tc>
        <w:tc>
          <w:tcPr>
            <w:tcW w:w="4024" w:type="dxa"/>
          </w:tcPr>
          <w:p w14:paraId="3CF936B3" w14:textId="77777777" w:rsidR="004D210D" w:rsidRPr="00CE3ACC" w:rsidRDefault="004D210D" w:rsidP="00DE4F6C">
            <w:pPr>
              <w:spacing w:line="480" w:lineRule="auto"/>
              <w:rPr>
                <w:rFonts w:eastAsia="MS Mincho"/>
                <w:bCs/>
                <w:color w:val="000000" w:themeColor="text1"/>
                <w:kern w:val="24"/>
              </w:rPr>
            </w:pPr>
            <w:r w:rsidRPr="00287B96">
              <w:rPr>
                <w:rFonts w:eastAsia="MS Mincho"/>
                <w:color w:val="000000" w:themeColor="text1"/>
                <w:kern w:val="24"/>
              </w:rPr>
              <w:t>19(59.3)</w:t>
            </w:r>
          </w:p>
        </w:tc>
      </w:tr>
      <w:tr w:rsidR="004D210D" w:rsidRPr="00CE3ACC" w14:paraId="52AD2602" w14:textId="77777777" w:rsidTr="00DE4F6C">
        <w:trPr>
          <w:trHeight w:val="584"/>
        </w:trPr>
        <w:tc>
          <w:tcPr>
            <w:tcW w:w="4024" w:type="dxa"/>
            <w:hideMark/>
          </w:tcPr>
          <w:p w14:paraId="03C58B85" w14:textId="77777777" w:rsidR="004D210D" w:rsidRPr="00CE3ACC" w:rsidRDefault="004D210D" w:rsidP="00DE4F6C">
            <w:pPr>
              <w:spacing w:line="480" w:lineRule="auto"/>
            </w:pPr>
            <w:r>
              <w:rPr>
                <w:rFonts w:eastAsia="MS Mincho"/>
                <w:bCs/>
                <w:color w:val="000000" w:themeColor="text1"/>
                <w:kern w:val="24"/>
              </w:rPr>
              <w:t>Drug eluting stents</w:t>
            </w:r>
          </w:p>
        </w:tc>
        <w:tc>
          <w:tcPr>
            <w:tcW w:w="4024" w:type="dxa"/>
            <w:hideMark/>
          </w:tcPr>
          <w:p w14:paraId="4C862E5B" w14:textId="77777777" w:rsidR="004D210D" w:rsidRPr="00CE3ACC" w:rsidRDefault="004D210D" w:rsidP="00DE4F6C">
            <w:pPr>
              <w:spacing w:line="480" w:lineRule="auto"/>
            </w:pPr>
            <w:r w:rsidRPr="00CE3ACC">
              <w:rPr>
                <w:rFonts w:eastAsia="MS Mincho"/>
                <w:bCs/>
                <w:color w:val="000000" w:themeColor="text1"/>
                <w:kern w:val="24"/>
              </w:rPr>
              <w:t>32(100)</w:t>
            </w:r>
          </w:p>
        </w:tc>
      </w:tr>
      <w:tr w:rsidR="004D210D" w:rsidRPr="00CE3ACC" w14:paraId="479F0737" w14:textId="77777777" w:rsidTr="00DE4F6C">
        <w:trPr>
          <w:trHeight w:val="584"/>
        </w:trPr>
        <w:tc>
          <w:tcPr>
            <w:tcW w:w="4024" w:type="dxa"/>
            <w:hideMark/>
          </w:tcPr>
          <w:p w14:paraId="57980978" w14:textId="77777777" w:rsidR="004D210D" w:rsidRPr="00CE3ACC" w:rsidRDefault="004D210D" w:rsidP="00DE4F6C">
            <w:pPr>
              <w:spacing w:line="480" w:lineRule="auto"/>
            </w:pPr>
            <w:r w:rsidRPr="00CE3ACC">
              <w:rPr>
                <w:rFonts w:eastAsia="MS Mincho"/>
                <w:color w:val="000000" w:themeColor="text1"/>
                <w:kern w:val="24"/>
              </w:rPr>
              <w:t>Number of stents</w:t>
            </w:r>
          </w:p>
        </w:tc>
        <w:tc>
          <w:tcPr>
            <w:tcW w:w="4024" w:type="dxa"/>
            <w:hideMark/>
          </w:tcPr>
          <w:p w14:paraId="7EB02C43" w14:textId="77777777" w:rsidR="004D210D" w:rsidRPr="00CE3ACC" w:rsidRDefault="004D210D" w:rsidP="00DE4F6C">
            <w:pPr>
              <w:spacing w:line="480" w:lineRule="auto"/>
            </w:pPr>
            <w:r>
              <w:rPr>
                <w:rFonts w:eastAsia="MS Mincho"/>
                <w:color w:val="000000" w:themeColor="text1"/>
                <w:kern w:val="24"/>
              </w:rPr>
              <w:t>1.2</w:t>
            </w:r>
            <w:r w:rsidRPr="00760CFD">
              <w:rPr>
                <w:bCs/>
                <w:color w:val="000000" w:themeColor="text1"/>
                <w:kern w:val="24"/>
              </w:rPr>
              <w:t>±</w:t>
            </w:r>
            <w:r w:rsidRPr="00CE3ACC">
              <w:rPr>
                <w:rFonts w:eastAsia="MS Mincho"/>
                <w:color w:val="000000" w:themeColor="text1"/>
                <w:kern w:val="24"/>
              </w:rPr>
              <w:t>0.5</w:t>
            </w:r>
          </w:p>
        </w:tc>
      </w:tr>
      <w:tr w:rsidR="004D210D" w:rsidRPr="00CE3ACC" w14:paraId="7FA4C623" w14:textId="77777777" w:rsidTr="00DE4F6C">
        <w:trPr>
          <w:trHeight w:val="584"/>
        </w:trPr>
        <w:tc>
          <w:tcPr>
            <w:tcW w:w="4024" w:type="dxa"/>
            <w:hideMark/>
          </w:tcPr>
          <w:p w14:paraId="3AE4B301" w14:textId="77777777" w:rsidR="004D210D" w:rsidRPr="00CE3ACC" w:rsidRDefault="004D210D" w:rsidP="00DE4F6C">
            <w:pPr>
              <w:spacing w:line="480" w:lineRule="auto"/>
            </w:pPr>
            <w:r w:rsidRPr="00CE3ACC">
              <w:rPr>
                <w:rFonts w:eastAsia="MS Mincho"/>
                <w:color w:val="000000" w:themeColor="text1"/>
                <w:kern w:val="24"/>
              </w:rPr>
              <w:t>Stent diameter(mm)</w:t>
            </w:r>
          </w:p>
        </w:tc>
        <w:tc>
          <w:tcPr>
            <w:tcW w:w="4024" w:type="dxa"/>
            <w:hideMark/>
          </w:tcPr>
          <w:p w14:paraId="72B40806" w14:textId="77777777" w:rsidR="004D210D" w:rsidRPr="00CE3ACC" w:rsidRDefault="004D210D" w:rsidP="00DE4F6C">
            <w:pPr>
              <w:spacing w:line="480" w:lineRule="auto"/>
            </w:pPr>
            <w:r w:rsidRPr="00CE3ACC">
              <w:rPr>
                <w:rFonts w:eastAsia="MS Mincho"/>
                <w:color w:val="000000" w:themeColor="text1"/>
                <w:kern w:val="24"/>
              </w:rPr>
              <w:t>3.1</w:t>
            </w:r>
            <w:r w:rsidRPr="00760CFD">
              <w:rPr>
                <w:bCs/>
                <w:color w:val="000000" w:themeColor="text1"/>
                <w:kern w:val="24"/>
              </w:rPr>
              <w:t>±</w:t>
            </w:r>
            <w:r w:rsidRPr="00CE3ACC">
              <w:rPr>
                <w:rFonts w:eastAsia="MS Mincho"/>
                <w:color w:val="000000" w:themeColor="text1"/>
                <w:kern w:val="24"/>
              </w:rPr>
              <w:t>0.5</w:t>
            </w:r>
          </w:p>
        </w:tc>
      </w:tr>
      <w:tr w:rsidR="004D210D" w:rsidRPr="00CE3ACC" w14:paraId="4BE6A70C" w14:textId="77777777" w:rsidTr="00DE4F6C">
        <w:trPr>
          <w:trHeight w:val="584"/>
        </w:trPr>
        <w:tc>
          <w:tcPr>
            <w:tcW w:w="4024" w:type="dxa"/>
            <w:hideMark/>
          </w:tcPr>
          <w:p w14:paraId="6F522592" w14:textId="77777777" w:rsidR="004D210D" w:rsidRPr="00CE3ACC" w:rsidRDefault="004D210D" w:rsidP="00DE4F6C">
            <w:pPr>
              <w:spacing w:line="480" w:lineRule="auto"/>
            </w:pPr>
            <w:r w:rsidRPr="00CE3ACC">
              <w:rPr>
                <w:rFonts w:eastAsia="MS Mincho"/>
                <w:color w:val="000000" w:themeColor="text1"/>
                <w:kern w:val="24"/>
              </w:rPr>
              <w:t>Stent length(mm)</w:t>
            </w:r>
          </w:p>
        </w:tc>
        <w:tc>
          <w:tcPr>
            <w:tcW w:w="4024" w:type="dxa"/>
            <w:hideMark/>
          </w:tcPr>
          <w:p w14:paraId="3D7851CB" w14:textId="77777777" w:rsidR="004D210D" w:rsidRPr="00CE3ACC" w:rsidRDefault="004D210D" w:rsidP="00DE4F6C">
            <w:pPr>
              <w:spacing w:line="480" w:lineRule="auto"/>
            </w:pPr>
            <w:r w:rsidRPr="00CE3ACC">
              <w:rPr>
                <w:rFonts w:eastAsia="MS Mincho"/>
                <w:color w:val="000000" w:themeColor="text1"/>
                <w:kern w:val="24"/>
              </w:rPr>
              <w:t>29.9</w:t>
            </w:r>
            <w:r w:rsidRPr="00760CFD">
              <w:rPr>
                <w:bCs/>
                <w:color w:val="000000" w:themeColor="text1"/>
                <w:kern w:val="24"/>
              </w:rPr>
              <w:t>±</w:t>
            </w:r>
            <w:r>
              <w:rPr>
                <w:rFonts w:eastAsia="MS Mincho"/>
                <w:color w:val="000000" w:themeColor="text1"/>
                <w:kern w:val="24"/>
              </w:rPr>
              <w:t>10.1</w:t>
            </w:r>
          </w:p>
        </w:tc>
      </w:tr>
      <w:tr w:rsidR="004D210D" w:rsidRPr="00CE3ACC" w14:paraId="4AEDA94E" w14:textId="77777777" w:rsidTr="00DE4F6C">
        <w:trPr>
          <w:trHeight w:val="584"/>
        </w:trPr>
        <w:tc>
          <w:tcPr>
            <w:tcW w:w="4024" w:type="dxa"/>
            <w:hideMark/>
          </w:tcPr>
          <w:p w14:paraId="6AA34A14" w14:textId="77777777" w:rsidR="004D210D" w:rsidRPr="00CE3ACC" w:rsidRDefault="004D210D" w:rsidP="00DE4F6C">
            <w:pPr>
              <w:spacing w:line="480" w:lineRule="auto"/>
            </w:pPr>
            <w:r w:rsidRPr="00CE3ACC">
              <w:rPr>
                <w:rFonts w:eastAsia="MS Mincho"/>
                <w:color w:val="000000" w:themeColor="text1"/>
                <w:kern w:val="24"/>
              </w:rPr>
              <w:t>Stent max inflatio</w:t>
            </w:r>
            <w:r>
              <w:rPr>
                <w:rFonts w:eastAsia="MS Mincho"/>
                <w:color w:val="000000" w:themeColor="text1"/>
                <w:kern w:val="24"/>
              </w:rPr>
              <w:t>n pressure(</w:t>
            </w:r>
            <w:proofErr w:type="spellStart"/>
            <w:r>
              <w:rPr>
                <w:rFonts w:eastAsia="MS Mincho"/>
                <w:color w:val="000000" w:themeColor="text1"/>
                <w:kern w:val="24"/>
              </w:rPr>
              <w:t>a</w:t>
            </w:r>
            <w:r w:rsidRPr="00CE3ACC">
              <w:rPr>
                <w:rFonts w:eastAsia="MS Mincho"/>
                <w:color w:val="000000" w:themeColor="text1"/>
                <w:kern w:val="24"/>
              </w:rPr>
              <w:t>tm</w:t>
            </w:r>
            <w:proofErr w:type="spellEnd"/>
            <w:r w:rsidRPr="00CE3ACC">
              <w:rPr>
                <w:rFonts w:eastAsia="MS Mincho"/>
                <w:color w:val="000000" w:themeColor="text1"/>
                <w:kern w:val="24"/>
              </w:rPr>
              <w:t>)</w:t>
            </w:r>
          </w:p>
        </w:tc>
        <w:tc>
          <w:tcPr>
            <w:tcW w:w="4024" w:type="dxa"/>
            <w:hideMark/>
          </w:tcPr>
          <w:p w14:paraId="155DCF7D" w14:textId="77777777" w:rsidR="004D210D" w:rsidRPr="00CE3ACC" w:rsidRDefault="004D210D" w:rsidP="00DE4F6C">
            <w:pPr>
              <w:spacing w:line="480" w:lineRule="auto"/>
            </w:pPr>
            <w:r w:rsidRPr="00CE3ACC">
              <w:rPr>
                <w:rFonts w:eastAsia="MS Mincho"/>
                <w:color w:val="000000" w:themeColor="text1"/>
                <w:kern w:val="24"/>
              </w:rPr>
              <w:t>14.68</w:t>
            </w:r>
            <w:r w:rsidRPr="00760CFD">
              <w:rPr>
                <w:bCs/>
                <w:color w:val="000000" w:themeColor="text1"/>
                <w:kern w:val="24"/>
              </w:rPr>
              <w:t>±</w:t>
            </w:r>
            <w:r w:rsidRPr="00CE3ACC">
              <w:rPr>
                <w:rFonts w:eastAsia="MS Mincho"/>
                <w:color w:val="000000" w:themeColor="text1"/>
                <w:kern w:val="24"/>
              </w:rPr>
              <w:t>2.68</w:t>
            </w:r>
          </w:p>
        </w:tc>
      </w:tr>
      <w:tr w:rsidR="004D210D" w14:paraId="4BE6C11B" w14:textId="77777777" w:rsidTr="00DE4F6C">
        <w:tc>
          <w:tcPr>
            <w:tcW w:w="4024" w:type="dxa"/>
          </w:tcPr>
          <w:p w14:paraId="1A84E656" w14:textId="77777777" w:rsidR="004D210D" w:rsidRDefault="004D210D" w:rsidP="00DE4F6C">
            <w:pPr>
              <w:spacing w:line="480" w:lineRule="auto"/>
              <w:jc w:val="both"/>
            </w:pPr>
            <w:r w:rsidRPr="00667828">
              <w:t>Post</w:t>
            </w:r>
            <w:r>
              <w:t>-</w:t>
            </w:r>
            <w:r w:rsidRPr="00667828">
              <w:t>stent TIMI flow</w:t>
            </w:r>
          </w:p>
        </w:tc>
        <w:tc>
          <w:tcPr>
            <w:tcW w:w="4024" w:type="dxa"/>
          </w:tcPr>
          <w:p w14:paraId="77853247" w14:textId="77777777" w:rsidR="004D210D" w:rsidRDefault="004D210D" w:rsidP="00DE4F6C">
            <w:pPr>
              <w:spacing w:line="480" w:lineRule="auto"/>
              <w:jc w:val="both"/>
            </w:pPr>
          </w:p>
        </w:tc>
      </w:tr>
      <w:tr w:rsidR="004D210D" w:rsidRPr="00667828" w14:paraId="16CC00C0" w14:textId="77777777" w:rsidTr="00DE4F6C">
        <w:trPr>
          <w:trHeight w:val="584"/>
        </w:trPr>
        <w:tc>
          <w:tcPr>
            <w:tcW w:w="4024" w:type="dxa"/>
            <w:hideMark/>
          </w:tcPr>
          <w:p w14:paraId="6E8B17A0" w14:textId="77777777" w:rsidR="004D210D" w:rsidRPr="00667828" w:rsidRDefault="004D210D" w:rsidP="00DE4F6C">
            <w:pPr>
              <w:spacing w:line="480" w:lineRule="auto"/>
            </w:pPr>
            <w:r w:rsidRPr="00667828">
              <w:rPr>
                <w:rFonts w:eastAsia="MS Mincho"/>
                <w:bCs/>
                <w:color w:val="000000" w:themeColor="text1"/>
                <w:kern w:val="24"/>
              </w:rPr>
              <w:t>0-1(%)</w:t>
            </w:r>
          </w:p>
        </w:tc>
        <w:tc>
          <w:tcPr>
            <w:tcW w:w="4024" w:type="dxa"/>
            <w:hideMark/>
          </w:tcPr>
          <w:p w14:paraId="691647C3" w14:textId="77777777" w:rsidR="004D210D" w:rsidRPr="00667828" w:rsidRDefault="004D210D" w:rsidP="00DE4F6C">
            <w:pPr>
              <w:spacing w:line="480" w:lineRule="auto"/>
            </w:pPr>
            <w:r w:rsidRPr="00667828">
              <w:rPr>
                <w:rFonts w:eastAsia="MS Mincho"/>
                <w:bCs/>
                <w:color w:val="000000" w:themeColor="text1"/>
                <w:kern w:val="24"/>
              </w:rPr>
              <w:t>1(3.1)</w:t>
            </w:r>
          </w:p>
        </w:tc>
      </w:tr>
      <w:tr w:rsidR="004D210D" w:rsidRPr="00667828" w14:paraId="73451EE4" w14:textId="77777777" w:rsidTr="00DE4F6C">
        <w:trPr>
          <w:trHeight w:val="584"/>
        </w:trPr>
        <w:tc>
          <w:tcPr>
            <w:tcW w:w="4024" w:type="dxa"/>
            <w:hideMark/>
          </w:tcPr>
          <w:p w14:paraId="2B45715C" w14:textId="77777777" w:rsidR="004D210D" w:rsidRPr="00667828" w:rsidRDefault="004D210D" w:rsidP="00DE4F6C">
            <w:pPr>
              <w:spacing w:line="480" w:lineRule="auto"/>
            </w:pPr>
            <w:r w:rsidRPr="00667828">
              <w:rPr>
                <w:rFonts w:eastAsia="MS Mincho"/>
                <w:bCs/>
                <w:color w:val="000000" w:themeColor="text1"/>
                <w:kern w:val="24"/>
              </w:rPr>
              <w:t>2(%)</w:t>
            </w:r>
          </w:p>
        </w:tc>
        <w:tc>
          <w:tcPr>
            <w:tcW w:w="4024" w:type="dxa"/>
            <w:hideMark/>
          </w:tcPr>
          <w:p w14:paraId="221AA553" w14:textId="77777777" w:rsidR="004D210D" w:rsidRPr="00667828" w:rsidRDefault="004D210D" w:rsidP="00DE4F6C">
            <w:pPr>
              <w:spacing w:line="480" w:lineRule="auto"/>
            </w:pPr>
            <w:r w:rsidRPr="00667828">
              <w:rPr>
                <w:rFonts w:eastAsia="MS Mincho"/>
                <w:bCs/>
                <w:color w:val="000000" w:themeColor="text1"/>
                <w:kern w:val="24"/>
              </w:rPr>
              <w:t>1(3.1)</w:t>
            </w:r>
          </w:p>
        </w:tc>
      </w:tr>
      <w:tr w:rsidR="004D210D" w:rsidRPr="00667828" w14:paraId="5F313665" w14:textId="77777777" w:rsidTr="00DE4F6C">
        <w:trPr>
          <w:trHeight w:val="584"/>
        </w:trPr>
        <w:tc>
          <w:tcPr>
            <w:tcW w:w="4024" w:type="dxa"/>
            <w:hideMark/>
          </w:tcPr>
          <w:p w14:paraId="3DBF0471" w14:textId="77777777" w:rsidR="004D210D" w:rsidRPr="00667828" w:rsidRDefault="004D210D" w:rsidP="00DE4F6C">
            <w:pPr>
              <w:spacing w:line="480" w:lineRule="auto"/>
            </w:pPr>
            <w:r w:rsidRPr="00667828">
              <w:rPr>
                <w:rFonts w:eastAsia="MS Mincho"/>
                <w:bCs/>
                <w:color w:val="000000" w:themeColor="text1"/>
                <w:kern w:val="24"/>
              </w:rPr>
              <w:t>3(%)</w:t>
            </w:r>
          </w:p>
        </w:tc>
        <w:tc>
          <w:tcPr>
            <w:tcW w:w="4024" w:type="dxa"/>
            <w:hideMark/>
          </w:tcPr>
          <w:p w14:paraId="641A4761" w14:textId="77777777" w:rsidR="004D210D" w:rsidRPr="00667828" w:rsidRDefault="004D210D" w:rsidP="00DE4F6C">
            <w:pPr>
              <w:spacing w:line="480" w:lineRule="auto"/>
            </w:pPr>
            <w:r w:rsidRPr="00667828">
              <w:rPr>
                <w:rFonts w:eastAsia="MS Mincho"/>
                <w:bCs/>
                <w:color w:val="000000" w:themeColor="text1"/>
                <w:kern w:val="24"/>
              </w:rPr>
              <w:t>30(93.7)</w:t>
            </w:r>
          </w:p>
        </w:tc>
      </w:tr>
      <w:tr w:rsidR="004D210D" w14:paraId="76B5887F" w14:textId="77777777" w:rsidTr="00DE4F6C">
        <w:tc>
          <w:tcPr>
            <w:tcW w:w="4024" w:type="dxa"/>
          </w:tcPr>
          <w:p w14:paraId="7E009894" w14:textId="77777777" w:rsidR="004D210D" w:rsidRDefault="004D210D" w:rsidP="00DE4F6C">
            <w:pPr>
              <w:spacing w:line="480" w:lineRule="auto"/>
              <w:jc w:val="both"/>
            </w:pPr>
          </w:p>
        </w:tc>
        <w:tc>
          <w:tcPr>
            <w:tcW w:w="4024" w:type="dxa"/>
          </w:tcPr>
          <w:p w14:paraId="77EA6870" w14:textId="77777777" w:rsidR="004D210D" w:rsidRDefault="004D210D" w:rsidP="00DE4F6C">
            <w:pPr>
              <w:spacing w:line="480" w:lineRule="auto"/>
              <w:jc w:val="both"/>
            </w:pPr>
          </w:p>
        </w:tc>
      </w:tr>
      <w:tr w:rsidR="004D210D" w:rsidRPr="00667828" w14:paraId="19BD631C" w14:textId="77777777" w:rsidTr="00DE4F6C">
        <w:trPr>
          <w:trHeight w:val="584"/>
        </w:trPr>
        <w:tc>
          <w:tcPr>
            <w:tcW w:w="4024" w:type="dxa"/>
            <w:hideMark/>
          </w:tcPr>
          <w:p w14:paraId="2D425B10" w14:textId="77777777" w:rsidR="004D210D" w:rsidRPr="00667828" w:rsidRDefault="004D210D" w:rsidP="00DE4F6C">
            <w:pPr>
              <w:spacing w:line="480" w:lineRule="auto"/>
            </w:pPr>
            <w:r w:rsidRPr="00667828">
              <w:rPr>
                <w:rFonts w:eastAsia="MS Mincho"/>
                <w:bCs/>
                <w:color w:val="000000" w:themeColor="text1"/>
                <w:kern w:val="24"/>
              </w:rPr>
              <w:t>Post-dilatation</w:t>
            </w:r>
            <w:r>
              <w:rPr>
                <w:rFonts w:eastAsia="MS Mincho"/>
                <w:bCs/>
                <w:color w:val="000000" w:themeColor="text1"/>
                <w:kern w:val="24"/>
              </w:rPr>
              <w:t xml:space="preserve"> (PD)</w:t>
            </w:r>
            <w:r w:rsidRPr="00667828">
              <w:rPr>
                <w:rFonts w:eastAsia="MS Mincho"/>
                <w:bCs/>
                <w:color w:val="000000" w:themeColor="text1"/>
                <w:kern w:val="24"/>
              </w:rPr>
              <w:t xml:space="preserve"> with NC</w:t>
            </w:r>
            <w:r>
              <w:rPr>
                <w:rFonts w:eastAsia="MS Mincho"/>
                <w:bCs/>
                <w:color w:val="000000" w:themeColor="text1"/>
                <w:kern w:val="24"/>
              </w:rPr>
              <w:t>-</w:t>
            </w:r>
            <w:r w:rsidRPr="00667828">
              <w:rPr>
                <w:rFonts w:eastAsia="MS Mincho"/>
                <w:bCs/>
                <w:color w:val="000000" w:themeColor="text1"/>
                <w:kern w:val="24"/>
              </w:rPr>
              <w:t>balloons</w:t>
            </w:r>
          </w:p>
        </w:tc>
        <w:tc>
          <w:tcPr>
            <w:tcW w:w="4024" w:type="dxa"/>
            <w:hideMark/>
          </w:tcPr>
          <w:p w14:paraId="65AC3014" w14:textId="77777777" w:rsidR="004D210D" w:rsidRPr="00667828" w:rsidRDefault="004D210D" w:rsidP="00DE4F6C">
            <w:pPr>
              <w:spacing w:line="480" w:lineRule="auto"/>
            </w:pPr>
            <w:r w:rsidRPr="00667828">
              <w:rPr>
                <w:rFonts w:eastAsia="MS Mincho"/>
                <w:bCs/>
                <w:color w:val="000000" w:themeColor="text1"/>
                <w:kern w:val="24"/>
              </w:rPr>
              <w:t>32(100%)</w:t>
            </w:r>
          </w:p>
        </w:tc>
      </w:tr>
      <w:tr w:rsidR="004D210D" w:rsidRPr="00667828" w14:paraId="35AE777D" w14:textId="77777777" w:rsidTr="00DE4F6C">
        <w:trPr>
          <w:trHeight w:val="584"/>
        </w:trPr>
        <w:tc>
          <w:tcPr>
            <w:tcW w:w="4024" w:type="dxa"/>
            <w:hideMark/>
          </w:tcPr>
          <w:p w14:paraId="118FD59C" w14:textId="77777777" w:rsidR="004D210D" w:rsidRPr="00667828" w:rsidRDefault="004D210D" w:rsidP="00DE4F6C">
            <w:pPr>
              <w:spacing w:line="480" w:lineRule="auto"/>
            </w:pPr>
            <w:r>
              <w:rPr>
                <w:rFonts w:eastAsia="MS Mincho"/>
                <w:color w:val="000000" w:themeColor="text1"/>
                <w:kern w:val="24"/>
              </w:rPr>
              <w:t>PD</w:t>
            </w:r>
            <w:r w:rsidRPr="00667828">
              <w:rPr>
                <w:rFonts w:eastAsia="MS Mincho"/>
                <w:color w:val="000000" w:themeColor="text1"/>
                <w:kern w:val="24"/>
              </w:rPr>
              <w:t xml:space="preserve"> balloon diameter(mm)</w:t>
            </w:r>
          </w:p>
        </w:tc>
        <w:tc>
          <w:tcPr>
            <w:tcW w:w="4024" w:type="dxa"/>
            <w:hideMark/>
          </w:tcPr>
          <w:p w14:paraId="56026A22" w14:textId="77777777" w:rsidR="004D210D" w:rsidRPr="00667828" w:rsidRDefault="004D210D" w:rsidP="00DE4F6C">
            <w:pPr>
              <w:spacing w:line="480" w:lineRule="auto"/>
            </w:pPr>
            <w:r>
              <w:rPr>
                <w:rFonts w:eastAsia="MS Mincho"/>
                <w:color w:val="000000" w:themeColor="text1"/>
                <w:kern w:val="24"/>
              </w:rPr>
              <w:t>3.6</w:t>
            </w:r>
            <w:r w:rsidRPr="00760CFD">
              <w:rPr>
                <w:bCs/>
                <w:color w:val="000000" w:themeColor="text1"/>
                <w:kern w:val="24"/>
              </w:rPr>
              <w:t>±</w:t>
            </w:r>
            <w:r>
              <w:rPr>
                <w:rFonts w:eastAsia="MS Mincho"/>
                <w:color w:val="000000" w:themeColor="text1"/>
                <w:kern w:val="24"/>
              </w:rPr>
              <w:t>0.6</w:t>
            </w:r>
          </w:p>
        </w:tc>
      </w:tr>
      <w:tr w:rsidR="004D210D" w:rsidRPr="00667828" w14:paraId="4EDC917B" w14:textId="77777777" w:rsidTr="00DE4F6C">
        <w:trPr>
          <w:trHeight w:val="584"/>
        </w:trPr>
        <w:tc>
          <w:tcPr>
            <w:tcW w:w="4024" w:type="dxa"/>
            <w:hideMark/>
          </w:tcPr>
          <w:p w14:paraId="012AC7C9" w14:textId="77777777" w:rsidR="004D210D" w:rsidRPr="00667828" w:rsidRDefault="004D210D" w:rsidP="00DE4F6C">
            <w:pPr>
              <w:spacing w:line="480" w:lineRule="auto"/>
            </w:pPr>
            <w:r>
              <w:rPr>
                <w:rFonts w:eastAsia="MS Mincho"/>
                <w:color w:val="000000" w:themeColor="text1"/>
                <w:kern w:val="24"/>
              </w:rPr>
              <w:t>PD</w:t>
            </w:r>
            <w:r w:rsidRPr="00667828">
              <w:rPr>
                <w:rFonts w:eastAsia="MS Mincho"/>
                <w:color w:val="000000" w:themeColor="text1"/>
                <w:kern w:val="24"/>
              </w:rPr>
              <w:t xml:space="preserve"> balloon length(mm)</w:t>
            </w:r>
          </w:p>
        </w:tc>
        <w:tc>
          <w:tcPr>
            <w:tcW w:w="4024" w:type="dxa"/>
            <w:hideMark/>
          </w:tcPr>
          <w:p w14:paraId="613F2789" w14:textId="77777777" w:rsidR="004D210D" w:rsidRPr="00667828" w:rsidRDefault="004D210D" w:rsidP="00DE4F6C">
            <w:pPr>
              <w:spacing w:line="480" w:lineRule="auto"/>
            </w:pPr>
            <w:r>
              <w:rPr>
                <w:rFonts w:eastAsia="MS Mincho"/>
                <w:color w:val="000000" w:themeColor="text1"/>
                <w:kern w:val="24"/>
              </w:rPr>
              <w:t>15.8</w:t>
            </w:r>
            <w:r w:rsidRPr="00760CFD">
              <w:rPr>
                <w:bCs/>
                <w:color w:val="000000" w:themeColor="text1"/>
                <w:kern w:val="24"/>
              </w:rPr>
              <w:t>±</w:t>
            </w:r>
            <w:r w:rsidRPr="00667828">
              <w:rPr>
                <w:rFonts w:eastAsia="MS Mincho"/>
                <w:color w:val="000000" w:themeColor="text1"/>
                <w:kern w:val="24"/>
              </w:rPr>
              <w:t>3.4</w:t>
            </w:r>
          </w:p>
        </w:tc>
      </w:tr>
      <w:tr w:rsidR="004D210D" w:rsidRPr="00667828" w14:paraId="215F812D" w14:textId="77777777" w:rsidTr="00DE4F6C">
        <w:trPr>
          <w:trHeight w:val="584"/>
        </w:trPr>
        <w:tc>
          <w:tcPr>
            <w:tcW w:w="4024" w:type="dxa"/>
            <w:hideMark/>
          </w:tcPr>
          <w:p w14:paraId="7EC5F166" w14:textId="77777777" w:rsidR="004D210D" w:rsidRPr="00667828" w:rsidRDefault="004D210D" w:rsidP="00DE4F6C">
            <w:pPr>
              <w:spacing w:line="480" w:lineRule="auto"/>
            </w:pPr>
            <w:r w:rsidRPr="00667828">
              <w:rPr>
                <w:rFonts w:eastAsia="MS Mincho"/>
                <w:color w:val="000000" w:themeColor="text1"/>
                <w:kern w:val="24"/>
              </w:rPr>
              <w:t xml:space="preserve">Number of </w:t>
            </w:r>
            <w:r>
              <w:rPr>
                <w:rFonts w:eastAsia="MS Mincho"/>
                <w:color w:val="000000" w:themeColor="text1"/>
                <w:kern w:val="24"/>
              </w:rPr>
              <w:t xml:space="preserve">PD </w:t>
            </w:r>
            <w:r w:rsidRPr="00667828">
              <w:rPr>
                <w:rFonts w:eastAsia="MS Mincho"/>
                <w:color w:val="000000" w:themeColor="text1"/>
                <w:kern w:val="24"/>
              </w:rPr>
              <w:t>inflations</w:t>
            </w:r>
          </w:p>
        </w:tc>
        <w:tc>
          <w:tcPr>
            <w:tcW w:w="4024" w:type="dxa"/>
            <w:hideMark/>
          </w:tcPr>
          <w:p w14:paraId="0ACACE78" w14:textId="77777777" w:rsidR="004D210D" w:rsidRPr="00667828" w:rsidRDefault="004D210D" w:rsidP="00DE4F6C">
            <w:pPr>
              <w:spacing w:line="480" w:lineRule="auto"/>
            </w:pPr>
            <w:r>
              <w:rPr>
                <w:rFonts w:eastAsia="MS Mincho"/>
                <w:color w:val="000000" w:themeColor="text1"/>
                <w:kern w:val="24"/>
              </w:rPr>
              <w:t>2.0</w:t>
            </w:r>
            <w:r w:rsidRPr="00760CFD">
              <w:rPr>
                <w:bCs/>
                <w:color w:val="000000" w:themeColor="text1"/>
                <w:kern w:val="24"/>
              </w:rPr>
              <w:t>±</w:t>
            </w:r>
            <w:r>
              <w:rPr>
                <w:rFonts w:eastAsia="MS Mincho"/>
                <w:color w:val="000000" w:themeColor="text1"/>
                <w:kern w:val="24"/>
              </w:rPr>
              <w:t>0.6</w:t>
            </w:r>
          </w:p>
        </w:tc>
      </w:tr>
      <w:tr w:rsidR="004D210D" w:rsidRPr="00667828" w14:paraId="77569A68" w14:textId="77777777" w:rsidTr="00DE4F6C">
        <w:trPr>
          <w:trHeight w:val="584"/>
        </w:trPr>
        <w:tc>
          <w:tcPr>
            <w:tcW w:w="4024" w:type="dxa"/>
            <w:hideMark/>
          </w:tcPr>
          <w:p w14:paraId="67EB5BEF" w14:textId="77777777" w:rsidR="004D210D" w:rsidRPr="00667828" w:rsidRDefault="004D210D" w:rsidP="00DE4F6C">
            <w:pPr>
              <w:spacing w:line="480" w:lineRule="auto"/>
            </w:pPr>
            <w:r w:rsidRPr="00667828">
              <w:rPr>
                <w:rFonts w:eastAsia="MS Mincho"/>
                <w:color w:val="000000" w:themeColor="text1"/>
                <w:kern w:val="24"/>
              </w:rPr>
              <w:t xml:space="preserve">Maximum </w:t>
            </w:r>
            <w:r>
              <w:rPr>
                <w:rFonts w:eastAsia="MS Mincho"/>
                <w:color w:val="000000" w:themeColor="text1"/>
                <w:kern w:val="24"/>
              </w:rPr>
              <w:t>PD</w:t>
            </w:r>
            <w:r w:rsidRPr="00667828">
              <w:rPr>
                <w:rFonts w:eastAsia="MS Mincho"/>
                <w:color w:val="000000" w:themeColor="text1"/>
                <w:kern w:val="24"/>
              </w:rPr>
              <w:t xml:space="preserve"> balloon inflation </w:t>
            </w:r>
            <w:r w:rsidRPr="00667828">
              <w:rPr>
                <w:rFonts w:eastAsia="MS Mincho"/>
                <w:color w:val="000000" w:themeColor="text1"/>
                <w:kern w:val="24"/>
              </w:rPr>
              <w:lastRenderedPageBreak/>
              <w:t>pr</w:t>
            </w:r>
            <w:r>
              <w:rPr>
                <w:rFonts w:eastAsia="MS Mincho"/>
                <w:color w:val="000000" w:themeColor="text1"/>
                <w:kern w:val="24"/>
              </w:rPr>
              <w:t>essure(</w:t>
            </w:r>
            <w:proofErr w:type="spellStart"/>
            <w:r>
              <w:rPr>
                <w:rFonts w:eastAsia="MS Mincho"/>
                <w:color w:val="000000" w:themeColor="text1"/>
                <w:kern w:val="24"/>
              </w:rPr>
              <w:t>a</w:t>
            </w:r>
            <w:r w:rsidRPr="00667828">
              <w:rPr>
                <w:rFonts w:eastAsia="MS Mincho"/>
                <w:color w:val="000000" w:themeColor="text1"/>
                <w:kern w:val="24"/>
              </w:rPr>
              <w:t>tm</w:t>
            </w:r>
            <w:proofErr w:type="spellEnd"/>
            <w:r w:rsidRPr="00667828">
              <w:rPr>
                <w:rFonts w:eastAsia="MS Mincho"/>
                <w:color w:val="000000" w:themeColor="text1"/>
                <w:kern w:val="24"/>
              </w:rPr>
              <w:t>)</w:t>
            </w:r>
          </w:p>
        </w:tc>
        <w:tc>
          <w:tcPr>
            <w:tcW w:w="4024" w:type="dxa"/>
            <w:hideMark/>
          </w:tcPr>
          <w:p w14:paraId="4B32CFB1" w14:textId="77777777" w:rsidR="004D210D" w:rsidRPr="00667828" w:rsidRDefault="004D210D" w:rsidP="00DE4F6C">
            <w:pPr>
              <w:spacing w:line="480" w:lineRule="auto"/>
            </w:pPr>
            <w:r>
              <w:rPr>
                <w:rFonts w:eastAsia="MS Mincho"/>
                <w:color w:val="000000" w:themeColor="text1"/>
                <w:kern w:val="24"/>
              </w:rPr>
              <w:lastRenderedPageBreak/>
              <w:t>19.3</w:t>
            </w:r>
            <w:r w:rsidRPr="00760CFD">
              <w:rPr>
                <w:bCs/>
                <w:color w:val="000000" w:themeColor="text1"/>
                <w:kern w:val="24"/>
              </w:rPr>
              <w:t>±</w:t>
            </w:r>
            <w:r>
              <w:rPr>
                <w:rFonts w:eastAsia="MS Mincho"/>
                <w:color w:val="000000" w:themeColor="text1"/>
                <w:kern w:val="24"/>
              </w:rPr>
              <w:t>2.0</w:t>
            </w:r>
          </w:p>
        </w:tc>
      </w:tr>
      <w:tr w:rsidR="004D210D" w14:paraId="046B7ED9" w14:textId="77777777" w:rsidTr="00DE4F6C">
        <w:tc>
          <w:tcPr>
            <w:tcW w:w="4024" w:type="dxa"/>
          </w:tcPr>
          <w:p w14:paraId="506E7134" w14:textId="77777777" w:rsidR="004D210D" w:rsidRPr="00D53E88" w:rsidRDefault="004D210D" w:rsidP="00DE4F6C">
            <w:pPr>
              <w:spacing w:line="480" w:lineRule="auto"/>
              <w:jc w:val="both"/>
            </w:pPr>
            <w:r>
              <w:rPr>
                <w:rFonts w:eastAsia="MS Mincho"/>
                <w:color w:val="000000" w:themeColor="text1"/>
                <w:kern w:val="24"/>
              </w:rPr>
              <w:t>PD</w:t>
            </w:r>
            <w:r w:rsidRPr="00667828">
              <w:rPr>
                <w:rFonts w:eastAsia="MS Mincho"/>
                <w:color w:val="000000" w:themeColor="text1"/>
                <w:kern w:val="24"/>
              </w:rPr>
              <w:t xml:space="preserve"> balloon inflation </w:t>
            </w:r>
            <w:r w:rsidRPr="00D53E88">
              <w:t>duration</w:t>
            </w:r>
            <w:r>
              <w:t>(sec)</w:t>
            </w:r>
          </w:p>
        </w:tc>
        <w:tc>
          <w:tcPr>
            <w:tcW w:w="4024" w:type="dxa"/>
          </w:tcPr>
          <w:p w14:paraId="37F9C79C" w14:textId="77777777" w:rsidR="004D210D" w:rsidRDefault="004D210D" w:rsidP="00DE4F6C">
            <w:pPr>
              <w:spacing w:line="480" w:lineRule="auto"/>
              <w:jc w:val="both"/>
            </w:pPr>
            <w:r w:rsidRPr="00D53E88">
              <w:t>17.6</w:t>
            </w:r>
            <w:r w:rsidRPr="00760CFD">
              <w:rPr>
                <w:bCs/>
                <w:color w:val="000000" w:themeColor="text1"/>
                <w:kern w:val="24"/>
              </w:rPr>
              <w:t>±</w:t>
            </w:r>
            <w:r w:rsidRPr="00D53E88">
              <w:t>6.7</w:t>
            </w:r>
          </w:p>
        </w:tc>
      </w:tr>
      <w:tr w:rsidR="004D210D" w14:paraId="76064D1C" w14:textId="77777777" w:rsidTr="00DE4F6C">
        <w:tc>
          <w:tcPr>
            <w:tcW w:w="4024" w:type="dxa"/>
          </w:tcPr>
          <w:p w14:paraId="2AEDEFC6" w14:textId="77777777" w:rsidR="004D210D" w:rsidRDefault="004D210D" w:rsidP="00DE4F6C">
            <w:pPr>
              <w:spacing w:line="480" w:lineRule="auto"/>
              <w:jc w:val="both"/>
            </w:pPr>
            <w:r>
              <w:t>PD l</w:t>
            </w:r>
            <w:r w:rsidRPr="00D53E88">
              <w:t xml:space="preserve">ocation </w:t>
            </w:r>
          </w:p>
        </w:tc>
        <w:tc>
          <w:tcPr>
            <w:tcW w:w="4024" w:type="dxa"/>
          </w:tcPr>
          <w:p w14:paraId="05144777" w14:textId="77777777" w:rsidR="004D210D" w:rsidRDefault="004D210D" w:rsidP="00DE4F6C">
            <w:pPr>
              <w:spacing w:line="480" w:lineRule="auto"/>
              <w:jc w:val="both"/>
            </w:pPr>
          </w:p>
        </w:tc>
      </w:tr>
      <w:tr w:rsidR="004D210D" w:rsidRPr="00D53E88" w14:paraId="6DAB741B" w14:textId="77777777" w:rsidTr="00DE4F6C">
        <w:trPr>
          <w:trHeight w:val="584"/>
        </w:trPr>
        <w:tc>
          <w:tcPr>
            <w:tcW w:w="4024" w:type="dxa"/>
            <w:hideMark/>
          </w:tcPr>
          <w:p w14:paraId="6AC923CE" w14:textId="77777777" w:rsidR="004D210D" w:rsidRPr="00D53E88" w:rsidRDefault="004D210D" w:rsidP="00DE4F6C">
            <w:pPr>
              <w:spacing w:line="480" w:lineRule="auto"/>
            </w:pPr>
            <w:r w:rsidRPr="00D53E88">
              <w:rPr>
                <w:rFonts w:eastAsia="MS Mincho"/>
                <w:bCs/>
                <w:color w:val="000000" w:themeColor="text1"/>
                <w:kern w:val="24"/>
              </w:rPr>
              <w:t xml:space="preserve">Proximal </w:t>
            </w:r>
            <w:proofErr w:type="gramStart"/>
            <w:r>
              <w:rPr>
                <w:rFonts w:eastAsia="MS Mincho"/>
                <w:bCs/>
                <w:color w:val="000000" w:themeColor="text1"/>
                <w:kern w:val="24"/>
              </w:rPr>
              <w:t>stent</w:t>
            </w:r>
            <w:r w:rsidRPr="00D53E88">
              <w:rPr>
                <w:rFonts w:eastAsia="MS Mincho"/>
                <w:bCs/>
                <w:color w:val="000000" w:themeColor="text1"/>
                <w:kern w:val="24"/>
              </w:rPr>
              <w:t>(</w:t>
            </w:r>
            <w:proofErr w:type="gramEnd"/>
            <w:r w:rsidRPr="00D53E88">
              <w:rPr>
                <w:rFonts w:eastAsia="MS Mincho"/>
                <w:bCs/>
                <w:color w:val="000000" w:themeColor="text1"/>
                <w:kern w:val="24"/>
              </w:rPr>
              <w:t>%)</w:t>
            </w:r>
          </w:p>
        </w:tc>
        <w:tc>
          <w:tcPr>
            <w:tcW w:w="4024" w:type="dxa"/>
            <w:hideMark/>
          </w:tcPr>
          <w:p w14:paraId="416F80C2" w14:textId="77777777" w:rsidR="004D210D" w:rsidRPr="00D53E88" w:rsidRDefault="004D210D" w:rsidP="00DE4F6C">
            <w:pPr>
              <w:spacing w:line="480" w:lineRule="auto"/>
            </w:pPr>
            <w:r w:rsidRPr="00D53E88">
              <w:rPr>
                <w:rFonts w:eastAsia="MS Mincho"/>
                <w:bCs/>
                <w:color w:val="000000" w:themeColor="text1"/>
                <w:kern w:val="24"/>
              </w:rPr>
              <w:t>30(93.7)</w:t>
            </w:r>
          </w:p>
        </w:tc>
      </w:tr>
      <w:tr w:rsidR="004D210D" w:rsidRPr="00D53E88" w14:paraId="50EEF603" w14:textId="77777777" w:rsidTr="00DE4F6C">
        <w:trPr>
          <w:trHeight w:val="584"/>
        </w:trPr>
        <w:tc>
          <w:tcPr>
            <w:tcW w:w="4024" w:type="dxa"/>
            <w:hideMark/>
          </w:tcPr>
          <w:p w14:paraId="659223A5" w14:textId="77777777" w:rsidR="004D210D" w:rsidRPr="00D53E88" w:rsidRDefault="004D210D" w:rsidP="00DE4F6C">
            <w:pPr>
              <w:spacing w:line="480" w:lineRule="auto"/>
            </w:pPr>
            <w:r w:rsidRPr="00D53E88">
              <w:rPr>
                <w:rFonts w:eastAsia="MS Mincho"/>
                <w:bCs/>
                <w:color w:val="000000" w:themeColor="text1"/>
                <w:kern w:val="24"/>
              </w:rPr>
              <w:t xml:space="preserve">Mid </w:t>
            </w:r>
            <w:proofErr w:type="gramStart"/>
            <w:r>
              <w:rPr>
                <w:rFonts w:eastAsia="MS Mincho"/>
                <w:bCs/>
                <w:color w:val="000000" w:themeColor="text1"/>
                <w:kern w:val="24"/>
              </w:rPr>
              <w:t>stent</w:t>
            </w:r>
            <w:r w:rsidRPr="00D53E88">
              <w:rPr>
                <w:rFonts w:eastAsia="MS Mincho"/>
                <w:bCs/>
                <w:color w:val="000000" w:themeColor="text1"/>
                <w:kern w:val="24"/>
              </w:rPr>
              <w:t>(</w:t>
            </w:r>
            <w:proofErr w:type="gramEnd"/>
            <w:r w:rsidRPr="00D53E88">
              <w:rPr>
                <w:rFonts w:eastAsia="MS Mincho"/>
                <w:bCs/>
                <w:color w:val="000000" w:themeColor="text1"/>
                <w:kern w:val="24"/>
              </w:rPr>
              <w:t>%)</w:t>
            </w:r>
          </w:p>
        </w:tc>
        <w:tc>
          <w:tcPr>
            <w:tcW w:w="4024" w:type="dxa"/>
            <w:hideMark/>
          </w:tcPr>
          <w:p w14:paraId="326E6A40" w14:textId="77777777" w:rsidR="004D210D" w:rsidRPr="00D53E88" w:rsidRDefault="004D210D" w:rsidP="00DE4F6C">
            <w:pPr>
              <w:spacing w:line="480" w:lineRule="auto"/>
            </w:pPr>
            <w:r w:rsidRPr="00D53E88">
              <w:rPr>
                <w:rFonts w:eastAsia="MS Mincho"/>
                <w:bCs/>
                <w:color w:val="000000" w:themeColor="text1"/>
                <w:kern w:val="24"/>
              </w:rPr>
              <w:t>28(87.5)</w:t>
            </w:r>
          </w:p>
        </w:tc>
      </w:tr>
      <w:tr w:rsidR="004D210D" w:rsidRPr="00D53E88" w14:paraId="09572AF6" w14:textId="77777777" w:rsidTr="00DE4F6C">
        <w:trPr>
          <w:trHeight w:val="584"/>
        </w:trPr>
        <w:tc>
          <w:tcPr>
            <w:tcW w:w="4024" w:type="dxa"/>
            <w:hideMark/>
          </w:tcPr>
          <w:p w14:paraId="7A60A5FB" w14:textId="77777777" w:rsidR="004D210D" w:rsidRPr="00D53E88" w:rsidRDefault="004D210D" w:rsidP="00DE4F6C">
            <w:pPr>
              <w:spacing w:line="480" w:lineRule="auto"/>
            </w:pPr>
            <w:r w:rsidRPr="00D53E88">
              <w:rPr>
                <w:rFonts w:eastAsia="MS Mincho"/>
                <w:bCs/>
                <w:color w:val="000000" w:themeColor="text1"/>
                <w:kern w:val="24"/>
              </w:rPr>
              <w:t xml:space="preserve">Distal </w:t>
            </w:r>
            <w:proofErr w:type="gramStart"/>
            <w:r>
              <w:rPr>
                <w:rFonts w:eastAsia="MS Mincho"/>
                <w:bCs/>
                <w:color w:val="000000" w:themeColor="text1"/>
                <w:kern w:val="24"/>
              </w:rPr>
              <w:t>stent</w:t>
            </w:r>
            <w:r w:rsidRPr="00D53E88">
              <w:rPr>
                <w:rFonts w:eastAsia="MS Mincho"/>
                <w:bCs/>
                <w:color w:val="000000" w:themeColor="text1"/>
                <w:kern w:val="24"/>
              </w:rPr>
              <w:t>(</w:t>
            </w:r>
            <w:proofErr w:type="gramEnd"/>
            <w:r w:rsidRPr="00D53E88">
              <w:rPr>
                <w:rFonts w:eastAsia="MS Mincho"/>
                <w:bCs/>
                <w:color w:val="000000" w:themeColor="text1"/>
                <w:kern w:val="24"/>
              </w:rPr>
              <w:t>%)</w:t>
            </w:r>
          </w:p>
        </w:tc>
        <w:tc>
          <w:tcPr>
            <w:tcW w:w="4024" w:type="dxa"/>
            <w:hideMark/>
          </w:tcPr>
          <w:p w14:paraId="68CC86AB" w14:textId="77777777" w:rsidR="004D210D" w:rsidRPr="00D53E88" w:rsidRDefault="004D210D" w:rsidP="00DE4F6C">
            <w:pPr>
              <w:spacing w:line="480" w:lineRule="auto"/>
            </w:pPr>
            <w:r w:rsidRPr="00D53E88">
              <w:rPr>
                <w:rFonts w:eastAsia="MS Mincho"/>
                <w:bCs/>
                <w:color w:val="000000" w:themeColor="text1"/>
                <w:kern w:val="24"/>
              </w:rPr>
              <w:t>4(12.5)</w:t>
            </w:r>
          </w:p>
        </w:tc>
      </w:tr>
      <w:tr w:rsidR="004D210D" w14:paraId="17C7BB98" w14:textId="77777777" w:rsidTr="00DE4F6C">
        <w:tc>
          <w:tcPr>
            <w:tcW w:w="4024" w:type="dxa"/>
          </w:tcPr>
          <w:p w14:paraId="7017D4DD" w14:textId="77777777" w:rsidR="004D210D" w:rsidRPr="00341A3C" w:rsidRDefault="004D210D" w:rsidP="00DE4F6C">
            <w:pPr>
              <w:spacing w:line="480" w:lineRule="auto"/>
              <w:jc w:val="both"/>
            </w:pPr>
            <w:r w:rsidRPr="00341A3C">
              <w:t>TIMI flow after post</w:t>
            </w:r>
            <w:r>
              <w:t>-</w:t>
            </w:r>
            <w:proofErr w:type="gramStart"/>
            <w:r w:rsidRPr="00341A3C">
              <w:t>dilatation(</w:t>
            </w:r>
            <w:proofErr w:type="gramEnd"/>
            <w:r w:rsidRPr="00341A3C">
              <w:t>%)</w:t>
            </w:r>
          </w:p>
        </w:tc>
        <w:tc>
          <w:tcPr>
            <w:tcW w:w="4024" w:type="dxa"/>
          </w:tcPr>
          <w:p w14:paraId="5D4E16A6" w14:textId="77777777" w:rsidR="004D210D" w:rsidRDefault="004D210D" w:rsidP="00DE4F6C">
            <w:pPr>
              <w:spacing w:line="480" w:lineRule="auto"/>
              <w:jc w:val="both"/>
            </w:pPr>
          </w:p>
        </w:tc>
      </w:tr>
      <w:tr w:rsidR="004D210D" w14:paraId="6F2625A6" w14:textId="77777777" w:rsidTr="00DE4F6C">
        <w:tc>
          <w:tcPr>
            <w:tcW w:w="4024" w:type="dxa"/>
          </w:tcPr>
          <w:p w14:paraId="64746F2A" w14:textId="77777777" w:rsidR="004D210D" w:rsidRDefault="004D210D" w:rsidP="00DE4F6C">
            <w:pPr>
              <w:spacing w:line="480" w:lineRule="auto"/>
              <w:jc w:val="both"/>
            </w:pPr>
            <w:r>
              <w:t>0 - 1(%)</w:t>
            </w:r>
          </w:p>
        </w:tc>
        <w:tc>
          <w:tcPr>
            <w:tcW w:w="4024" w:type="dxa"/>
          </w:tcPr>
          <w:p w14:paraId="61D979E5" w14:textId="77777777" w:rsidR="004D210D" w:rsidRDefault="004D210D" w:rsidP="00DE4F6C">
            <w:pPr>
              <w:spacing w:line="480" w:lineRule="auto"/>
              <w:jc w:val="both"/>
            </w:pPr>
            <w:r>
              <w:t>1(3.1)</w:t>
            </w:r>
          </w:p>
        </w:tc>
      </w:tr>
      <w:tr w:rsidR="004D210D" w14:paraId="08E87AD7" w14:textId="77777777" w:rsidTr="00DE4F6C">
        <w:tc>
          <w:tcPr>
            <w:tcW w:w="4024" w:type="dxa"/>
          </w:tcPr>
          <w:p w14:paraId="257F3AE1" w14:textId="77777777" w:rsidR="004D210D" w:rsidRDefault="004D210D" w:rsidP="00DE4F6C">
            <w:pPr>
              <w:spacing w:line="480" w:lineRule="auto"/>
              <w:jc w:val="both"/>
            </w:pPr>
            <w:r>
              <w:t>2(%)</w:t>
            </w:r>
          </w:p>
        </w:tc>
        <w:tc>
          <w:tcPr>
            <w:tcW w:w="4024" w:type="dxa"/>
          </w:tcPr>
          <w:p w14:paraId="1D02A108" w14:textId="77777777" w:rsidR="004D210D" w:rsidRDefault="004D210D" w:rsidP="00DE4F6C">
            <w:pPr>
              <w:spacing w:line="480" w:lineRule="auto"/>
              <w:jc w:val="both"/>
            </w:pPr>
            <w:r>
              <w:t>3(9.3)</w:t>
            </w:r>
          </w:p>
        </w:tc>
      </w:tr>
      <w:tr w:rsidR="004D210D" w14:paraId="1A6FCBFC" w14:textId="77777777" w:rsidTr="00DE4F6C">
        <w:tc>
          <w:tcPr>
            <w:tcW w:w="4024" w:type="dxa"/>
          </w:tcPr>
          <w:p w14:paraId="59BD2FCB" w14:textId="77777777" w:rsidR="004D210D" w:rsidRDefault="004D210D" w:rsidP="00DE4F6C">
            <w:pPr>
              <w:spacing w:line="480" w:lineRule="auto"/>
              <w:jc w:val="both"/>
            </w:pPr>
            <w:r>
              <w:t>3(%)</w:t>
            </w:r>
          </w:p>
        </w:tc>
        <w:tc>
          <w:tcPr>
            <w:tcW w:w="4024" w:type="dxa"/>
          </w:tcPr>
          <w:p w14:paraId="49DF6699" w14:textId="77777777" w:rsidR="004D210D" w:rsidRDefault="004D210D" w:rsidP="00DE4F6C">
            <w:pPr>
              <w:spacing w:line="480" w:lineRule="auto"/>
              <w:jc w:val="both"/>
            </w:pPr>
            <w:r>
              <w:t>28(87.5)</w:t>
            </w:r>
          </w:p>
        </w:tc>
      </w:tr>
    </w:tbl>
    <w:p w14:paraId="4DF13233" w14:textId="77777777" w:rsidR="004D210D" w:rsidRDefault="004D210D" w:rsidP="004D210D">
      <w:pPr>
        <w:pStyle w:val="Caption"/>
        <w:spacing w:line="480" w:lineRule="auto"/>
        <w:rPr>
          <w:b/>
          <w:bCs/>
        </w:rPr>
      </w:pPr>
    </w:p>
    <w:p w14:paraId="391FBC73" w14:textId="77777777" w:rsidR="004D210D" w:rsidRDefault="004D210D" w:rsidP="004D210D">
      <w:pPr>
        <w:pStyle w:val="Caption"/>
        <w:spacing w:line="480" w:lineRule="auto"/>
        <w:rPr>
          <w:b/>
          <w:bCs/>
        </w:rPr>
      </w:pPr>
    </w:p>
    <w:p w14:paraId="118D4D2A" w14:textId="77777777" w:rsidR="004D210D" w:rsidRPr="006E069F" w:rsidRDefault="004D210D" w:rsidP="004D210D">
      <w:pPr>
        <w:spacing w:line="480" w:lineRule="auto"/>
      </w:pPr>
    </w:p>
    <w:p w14:paraId="74D5FF60" w14:textId="77777777" w:rsidR="004D210D" w:rsidRDefault="004D210D" w:rsidP="004D210D">
      <w:pPr>
        <w:pStyle w:val="Caption"/>
        <w:spacing w:line="480" w:lineRule="auto"/>
        <w:rPr>
          <w:b/>
          <w:bCs/>
        </w:rPr>
      </w:pPr>
    </w:p>
    <w:p w14:paraId="50B2EBC7" w14:textId="77777777" w:rsidR="004D210D" w:rsidRDefault="004D210D" w:rsidP="004D210D">
      <w:pPr>
        <w:pStyle w:val="Caption"/>
        <w:spacing w:line="480" w:lineRule="auto"/>
        <w:rPr>
          <w:b/>
          <w:bCs/>
        </w:rPr>
      </w:pPr>
    </w:p>
    <w:p w14:paraId="7B0C0C54" w14:textId="77777777" w:rsidR="004D210D" w:rsidRDefault="004D210D" w:rsidP="004D210D">
      <w:pPr>
        <w:spacing w:line="480" w:lineRule="auto"/>
        <w:rPr>
          <w:lang w:eastAsia="en-US"/>
        </w:rPr>
      </w:pPr>
    </w:p>
    <w:p w14:paraId="1841E6F5" w14:textId="77777777" w:rsidR="004D210D" w:rsidRDefault="004D210D" w:rsidP="004D210D">
      <w:pPr>
        <w:spacing w:line="480" w:lineRule="auto"/>
        <w:rPr>
          <w:lang w:eastAsia="en-US"/>
        </w:rPr>
      </w:pPr>
    </w:p>
    <w:p w14:paraId="334602F9" w14:textId="77777777" w:rsidR="004D210D" w:rsidRDefault="004D210D" w:rsidP="004D210D">
      <w:pPr>
        <w:spacing w:line="480" w:lineRule="auto"/>
        <w:rPr>
          <w:lang w:eastAsia="en-US"/>
        </w:rPr>
      </w:pPr>
    </w:p>
    <w:p w14:paraId="1FECC641" w14:textId="77777777" w:rsidR="004D210D" w:rsidRDefault="004D210D" w:rsidP="004D210D">
      <w:pPr>
        <w:pStyle w:val="Caption"/>
        <w:spacing w:line="480" w:lineRule="auto"/>
        <w:rPr>
          <w:b/>
          <w:bCs/>
        </w:rPr>
      </w:pPr>
    </w:p>
    <w:p w14:paraId="597E5D24" w14:textId="77777777" w:rsidR="004D210D" w:rsidRPr="00550E6D" w:rsidRDefault="004D210D" w:rsidP="004D210D">
      <w:pPr>
        <w:pStyle w:val="Caption"/>
        <w:spacing w:line="480" w:lineRule="auto"/>
      </w:pPr>
      <w:r w:rsidRPr="00990777">
        <w:rPr>
          <w:b/>
          <w:bCs/>
        </w:rPr>
        <w:t xml:space="preserve">Table </w:t>
      </w:r>
      <w:r>
        <w:rPr>
          <w:b/>
          <w:bCs/>
        </w:rPr>
        <w:t>3.</w:t>
      </w:r>
      <w:r>
        <w:t xml:space="preserve"> </w:t>
      </w:r>
      <w:r w:rsidRPr="00550E6D">
        <w:t xml:space="preserve">OCT analysis </w:t>
      </w:r>
      <w:r>
        <w:t xml:space="preserve">of </w:t>
      </w:r>
      <w:r w:rsidRPr="00550E6D">
        <w:t>stent expansion before and after post</w:t>
      </w:r>
      <w:r>
        <w:t>-</w:t>
      </w:r>
      <w:r w:rsidRPr="00550E6D">
        <w:t>dilatation.</w:t>
      </w:r>
    </w:p>
    <w:tbl>
      <w:tblPr>
        <w:tblStyle w:val="TableGridLight"/>
        <w:tblW w:w="0" w:type="auto"/>
        <w:tblLayout w:type="fixed"/>
        <w:tblLook w:val="04A0" w:firstRow="1" w:lastRow="0" w:firstColumn="1" w:lastColumn="0" w:noHBand="0" w:noVBand="1"/>
      </w:tblPr>
      <w:tblGrid>
        <w:gridCol w:w="3742"/>
        <w:gridCol w:w="1611"/>
        <w:gridCol w:w="1701"/>
        <w:gridCol w:w="994"/>
      </w:tblGrid>
      <w:tr w:rsidR="004D210D" w14:paraId="39D7CD0E" w14:textId="77777777" w:rsidTr="00DE4F6C">
        <w:tc>
          <w:tcPr>
            <w:tcW w:w="3742" w:type="dxa"/>
          </w:tcPr>
          <w:p w14:paraId="5FC80A63" w14:textId="77777777" w:rsidR="004D210D" w:rsidRDefault="004D210D" w:rsidP="00DE4F6C">
            <w:pPr>
              <w:spacing w:line="480" w:lineRule="auto"/>
              <w:jc w:val="both"/>
            </w:pPr>
          </w:p>
        </w:tc>
        <w:tc>
          <w:tcPr>
            <w:tcW w:w="1611" w:type="dxa"/>
          </w:tcPr>
          <w:p w14:paraId="18436FC7" w14:textId="77777777" w:rsidR="004D210D" w:rsidRDefault="004D210D" w:rsidP="00DE4F6C">
            <w:pPr>
              <w:spacing w:line="480" w:lineRule="auto"/>
              <w:jc w:val="both"/>
            </w:pPr>
            <w:r>
              <w:t xml:space="preserve">Before </w:t>
            </w:r>
          </w:p>
          <w:p w14:paraId="6E23E9C6" w14:textId="77777777" w:rsidR="004D210D" w:rsidRPr="00550E6D" w:rsidRDefault="004D210D" w:rsidP="00DE4F6C">
            <w:pPr>
              <w:spacing w:line="480" w:lineRule="auto"/>
              <w:jc w:val="both"/>
            </w:pPr>
            <w:r>
              <w:t xml:space="preserve">Post </w:t>
            </w:r>
            <w:r w:rsidRPr="00550E6D">
              <w:t xml:space="preserve">dilatation </w:t>
            </w:r>
          </w:p>
        </w:tc>
        <w:tc>
          <w:tcPr>
            <w:tcW w:w="1701" w:type="dxa"/>
          </w:tcPr>
          <w:p w14:paraId="72CC51E1" w14:textId="77777777" w:rsidR="004D210D" w:rsidRDefault="004D210D" w:rsidP="00DE4F6C">
            <w:pPr>
              <w:spacing w:line="480" w:lineRule="auto"/>
              <w:jc w:val="both"/>
            </w:pPr>
            <w:r>
              <w:t>After</w:t>
            </w:r>
          </w:p>
          <w:p w14:paraId="236E15CF" w14:textId="77777777" w:rsidR="004D210D" w:rsidRPr="00550E6D" w:rsidRDefault="004D210D" w:rsidP="00DE4F6C">
            <w:pPr>
              <w:spacing w:line="480" w:lineRule="auto"/>
              <w:jc w:val="both"/>
            </w:pPr>
            <w:r>
              <w:t>P</w:t>
            </w:r>
            <w:r w:rsidRPr="00550E6D">
              <w:t xml:space="preserve">ost dilatation </w:t>
            </w:r>
          </w:p>
        </w:tc>
        <w:tc>
          <w:tcPr>
            <w:tcW w:w="994" w:type="dxa"/>
          </w:tcPr>
          <w:p w14:paraId="51475D6C" w14:textId="77777777" w:rsidR="004D210D" w:rsidRPr="00550E6D" w:rsidRDefault="004D210D" w:rsidP="00DE4F6C">
            <w:pPr>
              <w:spacing w:line="480" w:lineRule="auto"/>
              <w:jc w:val="both"/>
            </w:pPr>
            <w:r w:rsidRPr="00550E6D">
              <w:t>p-values</w:t>
            </w:r>
          </w:p>
        </w:tc>
      </w:tr>
      <w:tr w:rsidR="004D210D" w14:paraId="551FCE1E" w14:textId="77777777" w:rsidTr="00DE4F6C">
        <w:tc>
          <w:tcPr>
            <w:tcW w:w="8048" w:type="dxa"/>
            <w:gridSpan w:val="4"/>
          </w:tcPr>
          <w:p w14:paraId="26E25D3E" w14:textId="77777777" w:rsidR="004D210D" w:rsidRPr="00560BB0" w:rsidRDefault="004D210D" w:rsidP="00DE4F6C">
            <w:pPr>
              <w:spacing w:line="480" w:lineRule="auto"/>
              <w:jc w:val="both"/>
            </w:pPr>
            <w:r w:rsidRPr="00560BB0">
              <w:rPr>
                <w:b/>
              </w:rPr>
              <w:t>Stent expansion parameters</w:t>
            </w:r>
          </w:p>
        </w:tc>
      </w:tr>
      <w:tr w:rsidR="004D210D" w14:paraId="21DE041E" w14:textId="77777777" w:rsidTr="00DE4F6C">
        <w:tc>
          <w:tcPr>
            <w:tcW w:w="3742" w:type="dxa"/>
          </w:tcPr>
          <w:p w14:paraId="40333063" w14:textId="77777777" w:rsidR="004D210D" w:rsidRPr="00343E62" w:rsidRDefault="004D210D" w:rsidP="00DE4F6C">
            <w:pPr>
              <w:spacing w:line="480" w:lineRule="auto"/>
              <w:jc w:val="both"/>
            </w:pPr>
            <w:r w:rsidRPr="00343E62">
              <w:t>In-stent MLA (mm</w:t>
            </w:r>
            <w:r w:rsidRPr="00343E62">
              <w:rPr>
                <w:vertAlign w:val="superscript"/>
              </w:rPr>
              <w:t>2</w:t>
            </w:r>
            <w:r w:rsidRPr="00343E62">
              <w:t>)</w:t>
            </w:r>
          </w:p>
        </w:tc>
        <w:tc>
          <w:tcPr>
            <w:tcW w:w="1611" w:type="dxa"/>
          </w:tcPr>
          <w:p w14:paraId="06D4177E" w14:textId="77777777" w:rsidR="004D210D" w:rsidRPr="00343E62" w:rsidRDefault="004D210D" w:rsidP="00DE4F6C">
            <w:pPr>
              <w:spacing w:line="480" w:lineRule="auto"/>
              <w:jc w:val="center"/>
            </w:pPr>
            <w:r w:rsidRPr="00343E62">
              <w:t>5.3</w:t>
            </w:r>
            <w:r w:rsidRPr="00343E62">
              <w:sym w:font="Symbol" w:char="F0B1"/>
            </w:r>
            <w:r w:rsidRPr="00343E62">
              <w:t>1.8</w:t>
            </w:r>
          </w:p>
        </w:tc>
        <w:tc>
          <w:tcPr>
            <w:tcW w:w="1701" w:type="dxa"/>
          </w:tcPr>
          <w:p w14:paraId="1195E1DE" w14:textId="77777777" w:rsidR="004D210D" w:rsidRPr="00343E62" w:rsidRDefault="004D210D" w:rsidP="00DE4F6C">
            <w:pPr>
              <w:spacing w:line="480" w:lineRule="auto"/>
              <w:jc w:val="center"/>
            </w:pPr>
            <w:r w:rsidRPr="00343E62">
              <w:t>5.8</w:t>
            </w:r>
            <w:r w:rsidRPr="00343E62">
              <w:sym w:font="Symbol" w:char="F0B1"/>
            </w:r>
            <w:r w:rsidRPr="00343E62">
              <w:t>2.0</w:t>
            </w:r>
          </w:p>
        </w:tc>
        <w:tc>
          <w:tcPr>
            <w:tcW w:w="994" w:type="dxa"/>
          </w:tcPr>
          <w:p w14:paraId="3E06B1C1" w14:textId="77777777" w:rsidR="004D210D" w:rsidRPr="00343E62" w:rsidRDefault="004D210D" w:rsidP="00DE4F6C">
            <w:pPr>
              <w:spacing w:line="480" w:lineRule="auto"/>
              <w:jc w:val="center"/>
            </w:pPr>
            <w:r w:rsidRPr="00343E62">
              <w:t>&lt;0.001</w:t>
            </w:r>
          </w:p>
        </w:tc>
      </w:tr>
      <w:tr w:rsidR="004D210D" w14:paraId="24A4B12A" w14:textId="77777777" w:rsidTr="00DE4F6C">
        <w:tc>
          <w:tcPr>
            <w:tcW w:w="3742" w:type="dxa"/>
          </w:tcPr>
          <w:p w14:paraId="5D50C5EB" w14:textId="77777777" w:rsidR="004D210D" w:rsidRPr="00343E62" w:rsidRDefault="004D210D" w:rsidP="00DE4F6C">
            <w:pPr>
              <w:spacing w:line="480" w:lineRule="auto"/>
              <w:jc w:val="both"/>
            </w:pPr>
            <w:r w:rsidRPr="00343E62">
              <w:t>Mean in-stent LA (mm</w:t>
            </w:r>
            <w:r w:rsidRPr="00343E62">
              <w:rPr>
                <w:vertAlign w:val="superscript"/>
              </w:rPr>
              <w:t>2</w:t>
            </w:r>
            <w:r w:rsidRPr="00343E62">
              <w:t>)</w:t>
            </w:r>
          </w:p>
        </w:tc>
        <w:tc>
          <w:tcPr>
            <w:tcW w:w="1611" w:type="dxa"/>
          </w:tcPr>
          <w:p w14:paraId="7EC5AC19" w14:textId="77777777" w:rsidR="004D210D" w:rsidRPr="00343E62" w:rsidRDefault="004D210D" w:rsidP="00DE4F6C">
            <w:pPr>
              <w:spacing w:line="480" w:lineRule="auto"/>
              <w:jc w:val="center"/>
            </w:pPr>
            <w:r w:rsidRPr="00343E62">
              <w:t>7.3</w:t>
            </w:r>
            <w:r w:rsidRPr="00343E62">
              <w:sym w:font="Symbol" w:char="F0B1"/>
            </w:r>
            <w:r w:rsidRPr="00343E62">
              <w:t>2.4</w:t>
            </w:r>
          </w:p>
        </w:tc>
        <w:tc>
          <w:tcPr>
            <w:tcW w:w="1701" w:type="dxa"/>
          </w:tcPr>
          <w:p w14:paraId="00683239" w14:textId="77777777" w:rsidR="004D210D" w:rsidRPr="00343E62" w:rsidRDefault="004D210D" w:rsidP="00DE4F6C">
            <w:pPr>
              <w:spacing w:line="480" w:lineRule="auto"/>
              <w:jc w:val="center"/>
            </w:pPr>
            <w:r w:rsidRPr="00343E62">
              <w:t>8.3</w:t>
            </w:r>
            <w:r w:rsidRPr="00343E62">
              <w:sym w:font="Symbol" w:char="F0B1"/>
            </w:r>
            <w:r w:rsidRPr="00343E62">
              <w:t>2.5</w:t>
            </w:r>
          </w:p>
        </w:tc>
        <w:tc>
          <w:tcPr>
            <w:tcW w:w="994" w:type="dxa"/>
          </w:tcPr>
          <w:p w14:paraId="385B60FE" w14:textId="77777777" w:rsidR="004D210D" w:rsidRPr="00343E62" w:rsidRDefault="004D210D" w:rsidP="00DE4F6C">
            <w:pPr>
              <w:spacing w:line="480" w:lineRule="auto"/>
              <w:jc w:val="center"/>
            </w:pPr>
            <w:r w:rsidRPr="00343E62">
              <w:t>&lt;0.001</w:t>
            </w:r>
          </w:p>
        </w:tc>
      </w:tr>
      <w:tr w:rsidR="004D210D" w14:paraId="56AADCDB" w14:textId="77777777" w:rsidTr="00DE4F6C">
        <w:tc>
          <w:tcPr>
            <w:tcW w:w="3742" w:type="dxa"/>
          </w:tcPr>
          <w:p w14:paraId="5D2D65A8" w14:textId="77777777" w:rsidR="004D210D" w:rsidRPr="00343E62" w:rsidRDefault="004D210D" w:rsidP="00DE4F6C">
            <w:pPr>
              <w:spacing w:line="480" w:lineRule="auto"/>
              <w:jc w:val="both"/>
            </w:pPr>
            <w:r w:rsidRPr="00343E62">
              <w:t>MSA (mm</w:t>
            </w:r>
            <w:r w:rsidRPr="00343E62">
              <w:rPr>
                <w:vertAlign w:val="superscript"/>
              </w:rPr>
              <w:t>2</w:t>
            </w:r>
            <w:r w:rsidRPr="00343E62">
              <w:t>)</w:t>
            </w:r>
          </w:p>
        </w:tc>
        <w:tc>
          <w:tcPr>
            <w:tcW w:w="1611" w:type="dxa"/>
          </w:tcPr>
          <w:p w14:paraId="31A1D039" w14:textId="77777777" w:rsidR="004D210D" w:rsidRPr="00343E62" w:rsidRDefault="004D210D" w:rsidP="00DE4F6C">
            <w:pPr>
              <w:spacing w:line="480" w:lineRule="auto"/>
              <w:jc w:val="center"/>
            </w:pPr>
            <w:r w:rsidRPr="00343E62">
              <w:t>5.6</w:t>
            </w:r>
            <w:r w:rsidRPr="00343E62">
              <w:sym w:font="Symbol" w:char="F0B1"/>
            </w:r>
            <w:r w:rsidRPr="00343E62">
              <w:t>1.9</w:t>
            </w:r>
          </w:p>
        </w:tc>
        <w:tc>
          <w:tcPr>
            <w:tcW w:w="1701" w:type="dxa"/>
          </w:tcPr>
          <w:p w14:paraId="27BDEDA8" w14:textId="77777777" w:rsidR="004D210D" w:rsidRPr="00343E62" w:rsidRDefault="004D210D" w:rsidP="00DE4F6C">
            <w:pPr>
              <w:spacing w:line="480" w:lineRule="auto"/>
              <w:jc w:val="center"/>
            </w:pPr>
            <w:r w:rsidRPr="00343E62">
              <w:t>5.9</w:t>
            </w:r>
            <w:r w:rsidRPr="00343E62">
              <w:sym w:font="Symbol" w:char="F0B1"/>
            </w:r>
            <w:r w:rsidRPr="00343E62">
              <w:t>2.2</w:t>
            </w:r>
          </w:p>
        </w:tc>
        <w:tc>
          <w:tcPr>
            <w:tcW w:w="994" w:type="dxa"/>
          </w:tcPr>
          <w:p w14:paraId="3C52FC6E" w14:textId="77777777" w:rsidR="004D210D" w:rsidRPr="00343E62" w:rsidRDefault="004D210D" w:rsidP="00DE4F6C">
            <w:pPr>
              <w:spacing w:line="480" w:lineRule="auto"/>
              <w:jc w:val="center"/>
            </w:pPr>
            <w:r w:rsidRPr="00343E62">
              <w:t>0.017</w:t>
            </w:r>
          </w:p>
        </w:tc>
      </w:tr>
      <w:tr w:rsidR="004D210D" w14:paraId="61A0B5DB" w14:textId="77777777" w:rsidTr="00DE4F6C">
        <w:tc>
          <w:tcPr>
            <w:tcW w:w="3742" w:type="dxa"/>
          </w:tcPr>
          <w:p w14:paraId="73E78FAD" w14:textId="77777777" w:rsidR="004D210D" w:rsidRPr="00343E62" w:rsidRDefault="004D210D" w:rsidP="00DE4F6C">
            <w:pPr>
              <w:spacing w:line="480" w:lineRule="auto"/>
              <w:jc w:val="both"/>
            </w:pPr>
            <w:r w:rsidRPr="00343E62">
              <w:t>Mean SA (mm</w:t>
            </w:r>
            <w:r w:rsidRPr="00343E62">
              <w:rPr>
                <w:vertAlign w:val="superscript"/>
              </w:rPr>
              <w:t>2</w:t>
            </w:r>
            <w:r w:rsidRPr="00343E62">
              <w:t>)</w:t>
            </w:r>
          </w:p>
        </w:tc>
        <w:tc>
          <w:tcPr>
            <w:tcW w:w="1611" w:type="dxa"/>
          </w:tcPr>
          <w:p w14:paraId="157FE30D" w14:textId="77777777" w:rsidR="004D210D" w:rsidRPr="00343E62" w:rsidRDefault="004D210D" w:rsidP="00DE4F6C">
            <w:pPr>
              <w:spacing w:line="480" w:lineRule="auto"/>
              <w:jc w:val="center"/>
            </w:pPr>
            <w:r w:rsidRPr="00343E62">
              <w:t>7.3</w:t>
            </w:r>
            <w:r w:rsidRPr="00343E62">
              <w:sym w:font="Symbol" w:char="F0B1"/>
            </w:r>
            <w:r w:rsidRPr="00343E62">
              <w:t>2.4</w:t>
            </w:r>
          </w:p>
        </w:tc>
        <w:tc>
          <w:tcPr>
            <w:tcW w:w="1701" w:type="dxa"/>
          </w:tcPr>
          <w:p w14:paraId="66361F4B" w14:textId="77777777" w:rsidR="004D210D" w:rsidRPr="00343E62" w:rsidRDefault="004D210D" w:rsidP="00DE4F6C">
            <w:pPr>
              <w:spacing w:line="480" w:lineRule="auto"/>
              <w:jc w:val="center"/>
            </w:pPr>
            <w:r w:rsidRPr="00343E62">
              <w:t>8.6</w:t>
            </w:r>
            <w:r w:rsidRPr="00343E62">
              <w:sym w:font="Symbol" w:char="F0B1"/>
            </w:r>
            <w:r w:rsidRPr="00343E62">
              <w:t>2.6</w:t>
            </w:r>
          </w:p>
        </w:tc>
        <w:tc>
          <w:tcPr>
            <w:tcW w:w="994" w:type="dxa"/>
          </w:tcPr>
          <w:p w14:paraId="455B7B94" w14:textId="77777777" w:rsidR="004D210D" w:rsidRPr="00343E62" w:rsidRDefault="004D210D" w:rsidP="00DE4F6C">
            <w:pPr>
              <w:spacing w:line="480" w:lineRule="auto"/>
              <w:jc w:val="center"/>
            </w:pPr>
            <w:r w:rsidRPr="00343E62">
              <w:t>&lt;0.001</w:t>
            </w:r>
          </w:p>
        </w:tc>
      </w:tr>
      <w:tr w:rsidR="004D210D" w14:paraId="57E0A37A" w14:textId="77777777" w:rsidTr="00DE4F6C">
        <w:tc>
          <w:tcPr>
            <w:tcW w:w="3742" w:type="dxa"/>
          </w:tcPr>
          <w:p w14:paraId="6D6D6B45" w14:textId="77777777" w:rsidR="004D210D" w:rsidRPr="00343E62" w:rsidRDefault="004D210D" w:rsidP="00DE4F6C">
            <w:pPr>
              <w:spacing w:line="480" w:lineRule="auto"/>
              <w:jc w:val="both"/>
            </w:pPr>
            <w:r w:rsidRPr="00343E62">
              <w:t>In-stent MLA &lt;4.5mm</w:t>
            </w:r>
            <w:r w:rsidRPr="00343E62">
              <w:rPr>
                <w:vertAlign w:val="superscript"/>
              </w:rPr>
              <w:t>2</w:t>
            </w:r>
            <w:r w:rsidRPr="00343E62">
              <w:t xml:space="preserve">, </w:t>
            </w:r>
            <w:proofErr w:type="gramStart"/>
            <w:r w:rsidRPr="00343E62">
              <w:t>n(</w:t>
            </w:r>
            <w:proofErr w:type="gramEnd"/>
            <w:r w:rsidRPr="00343E62">
              <w:t>%)</w:t>
            </w:r>
          </w:p>
        </w:tc>
        <w:tc>
          <w:tcPr>
            <w:tcW w:w="1611" w:type="dxa"/>
          </w:tcPr>
          <w:p w14:paraId="19B938AB" w14:textId="77777777" w:rsidR="004D210D" w:rsidRPr="00343E62" w:rsidRDefault="004D210D" w:rsidP="00DE4F6C">
            <w:pPr>
              <w:spacing w:line="480" w:lineRule="auto"/>
              <w:jc w:val="center"/>
            </w:pPr>
            <w:r w:rsidRPr="00343E62">
              <w:t>11(35)</w:t>
            </w:r>
          </w:p>
        </w:tc>
        <w:tc>
          <w:tcPr>
            <w:tcW w:w="1701" w:type="dxa"/>
          </w:tcPr>
          <w:p w14:paraId="71BFC2AC" w14:textId="77777777" w:rsidR="004D210D" w:rsidRPr="00343E62" w:rsidRDefault="004D210D" w:rsidP="00DE4F6C">
            <w:pPr>
              <w:spacing w:line="480" w:lineRule="auto"/>
              <w:jc w:val="center"/>
            </w:pPr>
            <w:r w:rsidRPr="00343E62">
              <w:t>11(35)</w:t>
            </w:r>
          </w:p>
        </w:tc>
        <w:tc>
          <w:tcPr>
            <w:tcW w:w="994" w:type="dxa"/>
          </w:tcPr>
          <w:p w14:paraId="649C366B" w14:textId="77777777" w:rsidR="004D210D" w:rsidRPr="00343E62" w:rsidRDefault="004D210D" w:rsidP="00DE4F6C">
            <w:pPr>
              <w:spacing w:line="480" w:lineRule="auto"/>
              <w:jc w:val="center"/>
            </w:pPr>
            <w:r w:rsidRPr="00343E62">
              <w:t>1</w:t>
            </w:r>
          </w:p>
        </w:tc>
      </w:tr>
      <w:tr w:rsidR="004D210D" w14:paraId="01C60A17" w14:textId="77777777" w:rsidTr="00DE4F6C">
        <w:tc>
          <w:tcPr>
            <w:tcW w:w="3742" w:type="dxa"/>
          </w:tcPr>
          <w:p w14:paraId="5FEC5BC8" w14:textId="77777777" w:rsidR="004D210D" w:rsidRPr="00343E62" w:rsidRDefault="004D210D" w:rsidP="00DE4F6C">
            <w:pPr>
              <w:spacing w:line="480" w:lineRule="auto"/>
              <w:jc w:val="both"/>
            </w:pPr>
            <w:r w:rsidRPr="00343E62">
              <w:t>In-stent MLA/Mean reference LA, %</w:t>
            </w:r>
            <w:r w:rsidRPr="00343E62">
              <w:sym w:font="Symbol" w:char="F0B1"/>
            </w:r>
          </w:p>
        </w:tc>
        <w:tc>
          <w:tcPr>
            <w:tcW w:w="1611" w:type="dxa"/>
          </w:tcPr>
          <w:p w14:paraId="0989E70B" w14:textId="77777777" w:rsidR="004D210D" w:rsidRPr="00343E62" w:rsidRDefault="004D210D" w:rsidP="00DE4F6C">
            <w:pPr>
              <w:spacing w:line="480" w:lineRule="auto"/>
              <w:jc w:val="center"/>
            </w:pPr>
            <w:r w:rsidRPr="00343E62">
              <w:t>67.4</w:t>
            </w:r>
            <w:r w:rsidRPr="00343E62">
              <w:sym w:font="Symbol" w:char="F0B1"/>
            </w:r>
            <w:r w:rsidRPr="00343E62">
              <w:t>9.7</w:t>
            </w:r>
          </w:p>
        </w:tc>
        <w:tc>
          <w:tcPr>
            <w:tcW w:w="1701" w:type="dxa"/>
          </w:tcPr>
          <w:p w14:paraId="0A714D3E" w14:textId="77777777" w:rsidR="004D210D" w:rsidRPr="00343E62" w:rsidRDefault="004D210D" w:rsidP="00DE4F6C">
            <w:pPr>
              <w:spacing w:line="480" w:lineRule="auto"/>
              <w:jc w:val="center"/>
            </w:pPr>
            <w:r w:rsidRPr="00343E62">
              <w:t>72.8</w:t>
            </w:r>
            <w:r w:rsidRPr="00343E62">
              <w:sym w:font="Symbol" w:char="F0B1"/>
            </w:r>
            <w:r w:rsidRPr="00343E62">
              <w:t>11.4</w:t>
            </w:r>
          </w:p>
        </w:tc>
        <w:tc>
          <w:tcPr>
            <w:tcW w:w="994" w:type="dxa"/>
          </w:tcPr>
          <w:p w14:paraId="37ACF880" w14:textId="77777777" w:rsidR="004D210D" w:rsidRPr="00343E62" w:rsidRDefault="004D210D" w:rsidP="00DE4F6C">
            <w:pPr>
              <w:spacing w:line="480" w:lineRule="auto"/>
              <w:jc w:val="center"/>
            </w:pPr>
            <w:r w:rsidRPr="00343E62">
              <w:t>0.001</w:t>
            </w:r>
          </w:p>
        </w:tc>
      </w:tr>
      <w:tr w:rsidR="004D210D" w14:paraId="537726C4" w14:textId="77777777" w:rsidTr="00DE4F6C">
        <w:tc>
          <w:tcPr>
            <w:tcW w:w="3742" w:type="dxa"/>
          </w:tcPr>
          <w:p w14:paraId="257DC1B0" w14:textId="77777777" w:rsidR="004D210D" w:rsidRPr="00343E62" w:rsidRDefault="004D210D" w:rsidP="00DE4F6C">
            <w:pPr>
              <w:spacing w:line="480" w:lineRule="auto"/>
              <w:jc w:val="both"/>
            </w:pPr>
            <w:r w:rsidRPr="00343E62">
              <w:t>Mean in-stent MLA/Mean reference LA, %</w:t>
            </w:r>
          </w:p>
        </w:tc>
        <w:tc>
          <w:tcPr>
            <w:tcW w:w="1611" w:type="dxa"/>
          </w:tcPr>
          <w:p w14:paraId="647C52A8" w14:textId="77777777" w:rsidR="004D210D" w:rsidRPr="00343E62" w:rsidRDefault="004D210D" w:rsidP="00DE4F6C">
            <w:pPr>
              <w:spacing w:line="480" w:lineRule="auto"/>
              <w:jc w:val="center"/>
            </w:pPr>
            <w:r w:rsidRPr="00343E62">
              <w:t>92.1</w:t>
            </w:r>
            <w:r w:rsidRPr="00343E62">
              <w:sym w:font="Symbol" w:char="F0B1"/>
            </w:r>
            <w:r w:rsidRPr="00343E62">
              <w:t>11.4</w:t>
            </w:r>
          </w:p>
        </w:tc>
        <w:tc>
          <w:tcPr>
            <w:tcW w:w="1701" w:type="dxa"/>
          </w:tcPr>
          <w:p w14:paraId="107BE015" w14:textId="77777777" w:rsidR="004D210D" w:rsidRPr="00343E62" w:rsidRDefault="004D210D" w:rsidP="00DE4F6C">
            <w:pPr>
              <w:spacing w:line="480" w:lineRule="auto"/>
              <w:jc w:val="center"/>
            </w:pPr>
            <w:r w:rsidRPr="00343E62">
              <w:t>105.0</w:t>
            </w:r>
            <w:r w:rsidRPr="00343E62">
              <w:sym w:font="Symbol" w:char="F0B1"/>
            </w:r>
            <w:r w:rsidRPr="00343E62">
              <w:t>12.2</w:t>
            </w:r>
          </w:p>
        </w:tc>
        <w:tc>
          <w:tcPr>
            <w:tcW w:w="994" w:type="dxa"/>
          </w:tcPr>
          <w:p w14:paraId="7B50526D" w14:textId="77777777" w:rsidR="004D210D" w:rsidRPr="00343E62" w:rsidRDefault="004D210D" w:rsidP="00DE4F6C">
            <w:pPr>
              <w:spacing w:line="480" w:lineRule="auto"/>
              <w:jc w:val="center"/>
            </w:pPr>
            <w:r w:rsidRPr="00343E62">
              <w:t>&lt;0.001</w:t>
            </w:r>
          </w:p>
        </w:tc>
      </w:tr>
      <w:tr w:rsidR="004D210D" w14:paraId="157B4017" w14:textId="77777777" w:rsidTr="00DE4F6C">
        <w:tc>
          <w:tcPr>
            <w:tcW w:w="3742" w:type="dxa"/>
          </w:tcPr>
          <w:p w14:paraId="1D17211F" w14:textId="77777777" w:rsidR="004D210D" w:rsidRPr="00343E62" w:rsidRDefault="004D210D" w:rsidP="00DE4F6C">
            <w:pPr>
              <w:spacing w:line="480" w:lineRule="auto"/>
              <w:jc w:val="both"/>
            </w:pPr>
            <w:r w:rsidRPr="00343E62">
              <w:t>Proximal MSA (mm</w:t>
            </w:r>
            <w:r w:rsidRPr="00343E62">
              <w:rPr>
                <w:vertAlign w:val="superscript"/>
              </w:rPr>
              <w:t>2</w:t>
            </w:r>
            <w:r w:rsidRPr="00343E62">
              <w:t>)</w:t>
            </w:r>
          </w:p>
        </w:tc>
        <w:tc>
          <w:tcPr>
            <w:tcW w:w="1611" w:type="dxa"/>
          </w:tcPr>
          <w:p w14:paraId="1B5E55AA" w14:textId="77777777" w:rsidR="004D210D" w:rsidRPr="00343E62" w:rsidRDefault="004D210D" w:rsidP="00DE4F6C">
            <w:pPr>
              <w:spacing w:line="480" w:lineRule="auto"/>
              <w:jc w:val="center"/>
            </w:pPr>
            <w:r w:rsidRPr="00343E62">
              <w:t>6.0</w:t>
            </w:r>
            <w:r w:rsidRPr="00343E62">
              <w:sym w:font="Symbol" w:char="F0B1"/>
            </w:r>
            <w:r w:rsidRPr="00343E62">
              <w:t>2.0</w:t>
            </w:r>
          </w:p>
        </w:tc>
        <w:tc>
          <w:tcPr>
            <w:tcW w:w="1701" w:type="dxa"/>
          </w:tcPr>
          <w:p w14:paraId="0D092577" w14:textId="77777777" w:rsidR="004D210D" w:rsidRPr="00343E62" w:rsidRDefault="004D210D" w:rsidP="00DE4F6C">
            <w:pPr>
              <w:spacing w:line="480" w:lineRule="auto"/>
              <w:jc w:val="center"/>
            </w:pPr>
            <w:r w:rsidRPr="00343E62">
              <w:t>7.2</w:t>
            </w:r>
            <w:r w:rsidRPr="00343E62">
              <w:sym w:font="Symbol" w:char="F0B1"/>
            </w:r>
            <w:r w:rsidRPr="00343E62">
              <w:t>2.1</w:t>
            </w:r>
          </w:p>
        </w:tc>
        <w:tc>
          <w:tcPr>
            <w:tcW w:w="994" w:type="dxa"/>
          </w:tcPr>
          <w:p w14:paraId="32EEFD61" w14:textId="77777777" w:rsidR="004D210D" w:rsidRPr="00343E62" w:rsidRDefault="004D210D" w:rsidP="00DE4F6C">
            <w:pPr>
              <w:spacing w:line="480" w:lineRule="auto"/>
              <w:jc w:val="center"/>
            </w:pPr>
            <w:r w:rsidRPr="00343E62">
              <w:t>&lt;0.001</w:t>
            </w:r>
          </w:p>
        </w:tc>
      </w:tr>
      <w:tr w:rsidR="004D210D" w14:paraId="560E427D" w14:textId="77777777" w:rsidTr="00DE4F6C">
        <w:tc>
          <w:tcPr>
            <w:tcW w:w="3742" w:type="dxa"/>
          </w:tcPr>
          <w:p w14:paraId="345681A1" w14:textId="77777777" w:rsidR="004D210D" w:rsidRPr="00343E62" w:rsidRDefault="004D210D" w:rsidP="00DE4F6C">
            <w:pPr>
              <w:spacing w:line="480" w:lineRule="auto"/>
              <w:jc w:val="both"/>
            </w:pPr>
            <w:r w:rsidRPr="00343E62">
              <w:t>Distal MSA (mm</w:t>
            </w:r>
            <w:r w:rsidRPr="00343E62">
              <w:rPr>
                <w:vertAlign w:val="superscript"/>
              </w:rPr>
              <w:t>2</w:t>
            </w:r>
            <w:r w:rsidRPr="00343E62">
              <w:t>)</w:t>
            </w:r>
          </w:p>
        </w:tc>
        <w:tc>
          <w:tcPr>
            <w:tcW w:w="1611" w:type="dxa"/>
          </w:tcPr>
          <w:p w14:paraId="75B7DE11" w14:textId="77777777" w:rsidR="004D210D" w:rsidRPr="00343E62" w:rsidRDefault="004D210D" w:rsidP="00DE4F6C">
            <w:pPr>
              <w:spacing w:line="480" w:lineRule="auto"/>
              <w:jc w:val="center"/>
            </w:pPr>
            <w:r w:rsidRPr="00343E62">
              <w:t>5.9</w:t>
            </w:r>
            <w:r w:rsidRPr="00343E62">
              <w:sym w:font="Symbol" w:char="F0B1"/>
            </w:r>
            <w:r w:rsidRPr="00343E62">
              <w:t>2.2</w:t>
            </w:r>
          </w:p>
        </w:tc>
        <w:tc>
          <w:tcPr>
            <w:tcW w:w="1701" w:type="dxa"/>
          </w:tcPr>
          <w:p w14:paraId="29CF378D" w14:textId="77777777" w:rsidR="004D210D" w:rsidRPr="00343E62" w:rsidRDefault="004D210D" w:rsidP="00DE4F6C">
            <w:pPr>
              <w:spacing w:line="480" w:lineRule="auto"/>
              <w:jc w:val="center"/>
            </w:pPr>
            <w:r w:rsidRPr="00343E62">
              <w:t>6.3</w:t>
            </w:r>
            <w:r w:rsidRPr="00343E62">
              <w:sym w:font="Symbol" w:char="F0B1"/>
            </w:r>
            <w:r w:rsidRPr="00343E62">
              <w:t>2.5</w:t>
            </w:r>
          </w:p>
        </w:tc>
        <w:tc>
          <w:tcPr>
            <w:tcW w:w="994" w:type="dxa"/>
          </w:tcPr>
          <w:p w14:paraId="0D92DBFD" w14:textId="77777777" w:rsidR="004D210D" w:rsidRPr="00343E62" w:rsidRDefault="004D210D" w:rsidP="00DE4F6C">
            <w:pPr>
              <w:spacing w:line="480" w:lineRule="auto"/>
              <w:jc w:val="center"/>
            </w:pPr>
            <w:r w:rsidRPr="00343E62">
              <w:t>0.007</w:t>
            </w:r>
          </w:p>
        </w:tc>
      </w:tr>
      <w:tr w:rsidR="004D210D" w14:paraId="2D37B9EE" w14:textId="77777777" w:rsidTr="00DE4F6C">
        <w:tc>
          <w:tcPr>
            <w:tcW w:w="3742" w:type="dxa"/>
          </w:tcPr>
          <w:p w14:paraId="7C199D7B" w14:textId="77777777" w:rsidR="004D210D" w:rsidRPr="00343E62" w:rsidRDefault="004D210D" w:rsidP="00DE4F6C">
            <w:pPr>
              <w:spacing w:line="480" w:lineRule="auto"/>
              <w:jc w:val="both"/>
            </w:pPr>
            <w:r>
              <w:t>S</w:t>
            </w:r>
            <w:r w:rsidRPr="00343E62">
              <w:t xml:space="preserve">tent expansion &gt;90%, </w:t>
            </w:r>
            <w:proofErr w:type="gramStart"/>
            <w:r w:rsidRPr="00343E62">
              <w:t>n(</w:t>
            </w:r>
            <w:proofErr w:type="gramEnd"/>
            <w:r w:rsidRPr="00343E62">
              <w:t>%)</w:t>
            </w:r>
          </w:p>
        </w:tc>
        <w:tc>
          <w:tcPr>
            <w:tcW w:w="1611" w:type="dxa"/>
          </w:tcPr>
          <w:p w14:paraId="7DBB8359" w14:textId="77777777" w:rsidR="004D210D" w:rsidRPr="00343E62" w:rsidRDefault="004D210D" w:rsidP="00DE4F6C">
            <w:pPr>
              <w:spacing w:line="480" w:lineRule="auto"/>
              <w:jc w:val="center"/>
            </w:pPr>
            <w:r w:rsidRPr="00343E62">
              <w:t>1</w:t>
            </w:r>
            <w:r>
              <w:t xml:space="preserve"> </w:t>
            </w:r>
            <w:r w:rsidRPr="00343E62">
              <w:t>(3.2)</w:t>
            </w:r>
          </w:p>
        </w:tc>
        <w:tc>
          <w:tcPr>
            <w:tcW w:w="1701" w:type="dxa"/>
          </w:tcPr>
          <w:p w14:paraId="1DAADD5A" w14:textId="77777777" w:rsidR="004D210D" w:rsidRPr="00343E62" w:rsidRDefault="004D210D" w:rsidP="00DE4F6C">
            <w:pPr>
              <w:spacing w:line="480" w:lineRule="auto"/>
              <w:jc w:val="center"/>
            </w:pPr>
            <w:r w:rsidRPr="00343E62">
              <w:t>3</w:t>
            </w:r>
            <w:r>
              <w:t xml:space="preserve"> </w:t>
            </w:r>
            <w:r w:rsidRPr="00343E62">
              <w:t>(9.7)</w:t>
            </w:r>
          </w:p>
        </w:tc>
        <w:tc>
          <w:tcPr>
            <w:tcW w:w="994" w:type="dxa"/>
          </w:tcPr>
          <w:p w14:paraId="3EFA8E73" w14:textId="77777777" w:rsidR="004D210D" w:rsidRPr="00343E62" w:rsidRDefault="004D210D" w:rsidP="00DE4F6C">
            <w:pPr>
              <w:spacing w:line="480" w:lineRule="auto"/>
              <w:jc w:val="center"/>
            </w:pPr>
            <w:r w:rsidRPr="00343E62">
              <w:t>0.5</w:t>
            </w:r>
          </w:p>
        </w:tc>
      </w:tr>
      <w:tr w:rsidR="004D210D" w14:paraId="639DC968" w14:textId="77777777" w:rsidTr="00DE4F6C">
        <w:tc>
          <w:tcPr>
            <w:tcW w:w="3742" w:type="dxa"/>
          </w:tcPr>
          <w:p w14:paraId="4DE4A55E" w14:textId="77777777" w:rsidR="004D210D" w:rsidRDefault="004D210D" w:rsidP="00DE4F6C">
            <w:pPr>
              <w:spacing w:line="480" w:lineRule="auto"/>
              <w:jc w:val="both"/>
            </w:pPr>
            <w:r>
              <w:t xml:space="preserve">Stent expansion &gt;80 % </w:t>
            </w:r>
            <w:proofErr w:type="gramStart"/>
            <w:r>
              <w:t>n(</w:t>
            </w:r>
            <w:proofErr w:type="gramEnd"/>
            <w:r>
              <w:t>%)</w:t>
            </w:r>
          </w:p>
        </w:tc>
        <w:tc>
          <w:tcPr>
            <w:tcW w:w="1611" w:type="dxa"/>
          </w:tcPr>
          <w:p w14:paraId="57A8F30B" w14:textId="77777777" w:rsidR="004D210D" w:rsidRPr="00343E62" w:rsidRDefault="004D210D" w:rsidP="00DE4F6C">
            <w:pPr>
              <w:spacing w:line="480" w:lineRule="auto"/>
              <w:jc w:val="center"/>
            </w:pPr>
            <w:r>
              <w:t>5 (16)</w:t>
            </w:r>
          </w:p>
        </w:tc>
        <w:tc>
          <w:tcPr>
            <w:tcW w:w="1701" w:type="dxa"/>
          </w:tcPr>
          <w:p w14:paraId="0780DC6B" w14:textId="77777777" w:rsidR="004D210D" w:rsidRPr="00343E62" w:rsidRDefault="004D210D" w:rsidP="00DE4F6C">
            <w:pPr>
              <w:spacing w:line="480" w:lineRule="auto"/>
              <w:jc w:val="center"/>
            </w:pPr>
            <w:r>
              <w:t>10 (32)</w:t>
            </w:r>
          </w:p>
        </w:tc>
        <w:tc>
          <w:tcPr>
            <w:tcW w:w="994" w:type="dxa"/>
          </w:tcPr>
          <w:p w14:paraId="7594AC2A" w14:textId="77777777" w:rsidR="004D210D" w:rsidRPr="00343E62" w:rsidRDefault="004D210D" w:rsidP="00DE4F6C">
            <w:pPr>
              <w:spacing w:line="480" w:lineRule="auto"/>
              <w:jc w:val="center"/>
            </w:pPr>
            <w:r>
              <w:t>0.063</w:t>
            </w:r>
          </w:p>
        </w:tc>
      </w:tr>
      <w:tr w:rsidR="004D210D" w14:paraId="5E1FE82F" w14:textId="77777777" w:rsidTr="00DE4F6C">
        <w:tc>
          <w:tcPr>
            <w:tcW w:w="3742" w:type="dxa"/>
          </w:tcPr>
          <w:p w14:paraId="37448841" w14:textId="77777777" w:rsidR="004D210D" w:rsidRPr="00343E62" w:rsidRDefault="004D210D" w:rsidP="00DE4F6C">
            <w:pPr>
              <w:spacing w:line="480" w:lineRule="auto"/>
              <w:jc w:val="both"/>
            </w:pPr>
            <w:r>
              <w:t>S</w:t>
            </w:r>
            <w:r w:rsidRPr="00343E62">
              <w:t xml:space="preserve">tent expansion &gt;70%, </w:t>
            </w:r>
            <w:proofErr w:type="gramStart"/>
            <w:r w:rsidRPr="00343E62">
              <w:t>n(</w:t>
            </w:r>
            <w:proofErr w:type="gramEnd"/>
            <w:r w:rsidRPr="00343E62">
              <w:t>%)</w:t>
            </w:r>
          </w:p>
        </w:tc>
        <w:tc>
          <w:tcPr>
            <w:tcW w:w="1611" w:type="dxa"/>
          </w:tcPr>
          <w:p w14:paraId="5B2BE78D" w14:textId="77777777" w:rsidR="004D210D" w:rsidRPr="00343E62" w:rsidRDefault="004D210D" w:rsidP="00DE4F6C">
            <w:pPr>
              <w:spacing w:line="480" w:lineRule="auto"/>
              <w:jc w:val="center"/>
            </w:pPr>
            <w:r w:rsidRPr="00343E62">
              <w:t>11</w:t>
            </w:r>
            <w:r>
              <w:t xml:space="preserve"> </w:t>
            </w:r>
            <w:r w:rsidRPr="00343E62">
              <w:t>(35.5)</w:t>
            </w:r>
          </w:p>
        </w:tc>
        <w:tc>
          <w:tcPr>
            <w:tcW w:w="1701" w:type="dxa"/>
          </w:tcPr>
          <w:p w14:paraId="3E5EE011" w14:textId="77777777" w:rsidR="004D210D" w:rsidRPr="00343E62" w:rsidRDefault="004D210D" w:rsidP="00DE4F6C">
            <w:pPr>
              <w:spacing w:line="480" w:lineRule="auto"/>
              <w:jc w:val="center"/>
            </w:pPr>
            <w:r w:rsidRPr="00343E62">
              <w:t>19</w:t>
            </w:r>
            <w:r>
              <w:t xml:space="preserve"> </w:t>
            </w:r>
            <w:r w:rsidRPr="00343E62">
              <w:t>(61.3)</w:t>
            </w:r>
          </w:p>
        </w:tc>
        <w:tc>
          <w:tcPr>
            <w:tcW w:w="994" w:type="dxa"/>
          </w:tcPr>
          <w:p w14:paraId="58C6CFD4" w14:textId="77777777" w:rsidR="004D210D" w:rsidRPr="00343E62" w:rsidRDefault="004D210D" w:rsidP="00DE4F6C">
            <w:pPr>
              <w:spacing w:line="480" w:lineRule="auto"/>
              <w:jc w:val="center"/>
            </w:pPr>
            <w:r w:rsidRPr="00343E62">
              <w:t>0.039</w:t>
            </w:r>
          </w:p>
        </w:tc>
      </w:tr>
    </w:tbl>
    <w:p w14:paraId="091B29B2" w14:textId="77777777" w:rsidR="004D210D" w:rsidRDefault="004D210D" w:rsidP="004D210D">
      <w:pPr>
        <w:pStyle w:val="Caption"/>
        <w:spacing w:line="480" w:lineRule="auto"/>
        <w:rPr>
          <w:b/>
          <w:bCs/>
        </w:rPr>
      </w:pPr>
      <w:bookmarkStart w:id="7" w:name="_Toc20226536"/>
    </w:p>
    <w:p w14:paraId="721B443D" w14:textId="77777777" w:rsidR="004D210D" w:rsidRDefault="004D210D" w:rsidP="004D210D">
      <w:pPr>
        <w:pStyle w:val="Caption"/>
        <w:spacing w:line="480" w:lineRule="auto"/>
      </w:pPr>
      <w:r w:rsidRPr="00990777">
        <w:rPr>
          <w:b/>
          <w:bCs/>
        </w:rPr>
        <w:t xml:space="preserve">Table </w:t>
      </w:r>
      <w:r>
        <w:rPr>
          <w:b/>
          <w:bCs/>
        </w:rPr>
        <w:t xml:space="preserve">4. </w:t>
      </w:r>
      <w:r w:rsidRPr="00550E6D">
        <w:t xml:space="preserve">OCT analysis </w:t>
      </w:r>
      <w:r>
        <w:t xml:space="preserve">of </w:t>
      </w:r>
      <w:r w:rsidRPr="00550E6D">
        <w:t xml:space="preserve">stent </w:t>
      </w:r>
      <w:proofErr w:type="spellStart"/>
      <w:r>
        <w:t>malapposition</w:t>
      </w:r>
      <w:proofErr w:type="spellEnd"/>
      <w:r w:rsidRPr="00550E6D">
        <w:t xml:space="preserve"> before and after post</w:t>
      </w:r>
      <w:r>
        <w:t>-</w:t>
      </w:r>
      <w:r w:rsidRPr="00550E6D">
        <w:t>dilatation.</w:t>
      </w:r>
      <w:r>
        <w:t xml:space="preserve"> </w:t>
      </w:r>
      <w:bookmarkEnd w:id="7"/>
    </w:p>
    <w:tbl>
      <w:tblPr>
        <w:tblStyle w:val="TableGridLight"/>
        <w:tblW w:w="0" w:type="auto"/>
        <w:tblLook w:val="04A0" w:firstRow="1" w:lastRow="0" w:firstColumn="1" w:lastColumn="0" w:noHBand="0" w:noVBand="1"/>
      </w:tblPr>
      <w:tblGrid>
        <w:gridCol w:w="3742"/>
        <w:gridCol w:w="1611"/>
        <w:gridCol w:w="1701"/>
        <w:gridCol w:w="994"/>
      </w:tblGrid>
      <w:tr w:rsidR="004D210D" w14:paraId="02936019" w14:textId="77777777" w:rsidTr="00DE4F6C">
        <w:tc>
          <w:tcPr>
            <w:tcW w:w="3742" w:type="dxa"/>
          </w:tcPr>
          <w:p w14:paraId="1B15C94E" w14:textId="77777777" w:rsidR="004D210D" w:rsidRDefault="004D210D" w:rsidP="00DE4F6C">
            <w:pPr>
              <w:spacing w:line="480" w:lineRule="auto"/>
              <w:jc w:val="both"/>
            </w:pPr>
          </w:p>
        </w:tc>
        <w:tc>
          <w:tcPr>
            <w:tcW w:w="1611" w:type="dxa"/>
          </w:tcPr>
          <w:p w14:paraId="2DD8739A" w14:textId="77777777" w:rsidR="004D210D" w:rsidRDefault="004D210D" w:rsidP="00DE4F6C">
            <w:pPr>
              <w:spacing w:line="480" w:lineRule="auto"/>
              <w:jc w:val="both"/>
            </w:pPr>
            <w:r>
              <w:t xml:space="preserve">Before </w:t>
            </w:r>
          </w:p>
          <w:p w14:paraId="63D7B29C" w14:textId="77777777" w:rsidR="004D210D" w:rsidRPr="00550E6D" w:rsidRDefault="004D210D" w:rsidP="00DE4F6C">
            <w:pPr>
              <w:spacing w:line="480" w:lineRule="auto"/>
              <w:jc w:val="both"/>
            </w:pPr>
            <w:r>
              <w:t>Post-</w:t>
            </w:r>
            <w:r w:rsidRPr="00550E6D">
              <w:t xml:space="preserve">dilatation </w:t>
            </w:r>
          </w:p>
        </w:tc>
        <w:tc>
          <w:tcPr>
            <w:tcW w:w="1701" w:type="dxa"/>
          </w:tcPr>
          <w:p w14:paraId="64EBF871" w14:textId="77777777" w:rsidR="004D210D" w:rsidRDefault="004D210D" w:rsidP="00DE4F6C">
            <w:pPr>
              <w:spacing w:line="480" w:lineRule="auto"/>
              <w:jc w:val="both"/>
            </w:pPr>
            <w:r w:rsidRPr="00550E6D">
              <w:t xml:space="preserve">After </w:t>
            </w:r>
          </w:p>
          <w:p w14:paraId="4BA6E4DC" w14:textId="77777777" w:rsidR="004D210D" w:rsidRPr="00550E6D" w:rsidRDefault="004D210D" w:rsidP="00DE4F6C">
            <w:pPr>
              <w:spacing w:line="480" w:lineRule="auto"/>
              <w:jc w:val="both"/>
            </w:pPr>
            <w:r>
              <w:t>Post-</w:t>
            </w:r>
            <w:r w:rsidRPr="00550E6D">
              <w:t xml:space="preserve">dilatation </w:t>
            </w:r>
          </w:p>
        </w:tc>
        <w:tc>
          <w:tcPr>
            <w:tcW w:w="994" w:type="dxa"/>
          </w:tcPr>
          <w:p w14:paraId="5CA6B5A5" w14:textId="77777777" w:rsidR="004D210D" w:rsidRPr="00550E6D" w:rsidRDefault="004D210D" w:rsidP="00DE4F6C">
            <w:pPr>
              <w:spacing w:line="480" w:lineRule="auto"/>
              <w:jc w:val="both"/>
            </w:pPr>
            <w:r w:rsidRPr="00550E6D">
              <w:t>p-values</w:t>
            </w:r>
          </w:p>
        </w:tc>
      </w:tr>
      <w:tr w:rsidR="004D210D" w14:paraId="55DA3B66" w14:textId="77777777" w:rsidTr="00DE4F6C">
        <w:tc>
          <w:tcPr>
            <w:tcW w:w="8048" w:type="dxa"/>
            <w:gridSpan w:val="4"/>
          </w:tcPr>
          <w:p w14:paraId="6ADA5ACC" w14:textId="77777777" w:rsidR="004D210D" w:rsidRPr="00560BB0" w:rsidRDefault="004D210D" w:rsidP="00DE4F6C">
            <w:pPr>
              <w:spacing w:line="480" w:lineRule="auto"/>
              <w:jc w:val="both"/>
            </w:pPr>
            <w:r w:rsidRPr="00560BB0">
              <w:rPr>
                <w:b/>
              </w:rPr>
              <w:t xml:space="preserve">Stent </w:t>
            </w:r>
            <w:proofErr w:type="spellStart"/>
            <w:r w:rsidRPr="00560BB0">
              <w:rPr>
                <w:b/>
              </w:rPr>
              <w:t>malapposition</w:t>
            </w:r>
            <w:proofErr w:type="spellEnd"/>
            <w:r w:rsidRPr="00560BB0">
              <w:rPr>
                <w:b/>
              </w:rPr>
              <w:t xml:space="preserve"> parameters</w:t>
            </w:r>
          </w:p>
        </w:tc>
      </w:tr>
      <w:tr w:rsidR="004D210D" w14:paraId="32F1F6DA" w14:textId="77777777" w:rsidTr="00DE4F6C">
        <w:tc>
          <w:tcPr>
            <w:tcW w:w="3742" w:type="dxa"/>
          </w:tcPr>
          <w:p w14:paraId="30258934" w14:textId="77777777" w:rsidR="004D210D" w:rsidRPr="00560BB0" w:rsidRDefault="004D210D" w:rsidP="00DE4F6C">
            <w:pPr>
              <w:spacing w:line="480" w:lineRule="auto"/>
              <w:jc w:val="both"/>
            </w:pPr>
            <w:r w:rsidRPr="00560BB0">
              <w:t xml:space="preserve">Max </w:t>
            </w:r>
            <w:proofErr w:type="spellStart"/>
            <w:r w:rsidRPr="00560BB0">
              <w:t>malapposed</w:t>
            </w:r>
            <w:proofErr w:type="spellEnd"/>
            <w:r w:rsidRPr="00560BB0">
              <w:t xml:space="preserve"> area (mm</w:t>
            </w:r>
            <w:r w:rsidRPr="00560BB0">
              <w:rPr>
                <w:vertAlign w:val="superscript"/>
              </w:rPr>
              <w:t>2</w:t>
            </w:r>
            <w:r w:rsidRPr="00560BB0">
              <w:t>)</w:t>
            </w:r>
          </w:p>
        </w:tc>
        <w:tc>
          <w:tcPr>
            <w:tcW w:w="1611" w:type="dxa"/>
          </w:tcPr>
          <w:p w14:paraId="2B0D5EDE" w14:textId="77777777" w:rsidR="004D210D" w:rsidRPr="00560BB0" w:rsidRDefault="004D210D" w:rsidP="00DE4F6C">
            <w:pPr>
              <w:spacing w:line="480" w:lineRule="auto"/>
              <w:jc w:val="center"/>
            </w:pPr>
            <w:r w:rsidRPr="00560BB0">
              <w:t>2.6</w:t>
            </w:r>
            <w:r w:rsidRPr="00560BB0">
              <w:sym w:font="Symbol" w:char="F0B1"/>
            </w:r>
            <w:r w:rsidRPr="00560BB0">
              <w:t>2.2</w:t>
            </w:r>
          </w:p>
        </w:tc>
        <w:tc>
          <w:tcPr>
            <w:tcW w:w="1701" w:type="dxa"/>
          </w:tcPr>
          <w:p w14:paraId="3AFD2F5C" w14:textId="77777777" w:rsidR="004D210D" w:rsidRPr="00560BB0" w:rsidRDefault="004D210D" w:rsidP="00DE4F6C">
            <w:pPr>
              <w:spacing w:line="480" w:lineRule="auto"/>
              <w:jc w:val="center"/>
            </w:pPr>
            <w:r w:rsidRPr="00560BB0">
              <w:t>1.1</w:t>
            </w:r>
            <w:r w:rsidRPr="00560BB0">
              <w:sym w:font="Symbol" w:char="F0B1"/>
            </w:r>
            <w:r w:rsidRPr="00560BB0">
              <w:t>1.0</w:t>
            </w:r>
          </w:p>
        </w:tc>
        <w:tc>
          <w:tcPr>
            <w:tcW w:w="994" w:type="dxa"/>
          </w:tcPr>
          <w:p w14:paraId="1E0EA58E" w14:textId="77777777" w:rsidR="004D210D" w:rsidRPr="00560BB0" w:rsidRDefault="004D210D" w:rsidP="00DE4F6C">
            <w:pPr>
              <w:spacing w:line="480" w:lineRule="auto"/>
              <w:jc w:val="center"/>
            </w:pPr>
            <w:r w:rsidRPr="00560BB0">
              <w:t>&lt;0.001</w:t>
            </w:r>
          </w:p>
        </w:tc>
      </w:tr>
      <w:tr w:rsidR="004D210D" w14:paraId="6D14E258" w14:textId="77777777" w:rsidTr="00DE4F6C">
        <w:tc>
          <w:tcPr>
            <w:tcW w:w="3742" w:type="dxa"/>
          </w:tcPr>
          <w:p w14:paraId="0797E0DD" w14:textId="77777777" w:rsidR="004D210D" w:rsidRPr="00560BB0" w:rsidRDefault="004D210D" w:rsidP="00DE4F6C">
            <w:pPr>
              <w:spacing w:line="480" w:lineRule="auto"/>
              <w:jc w:val="both"/>
            </w:pPr>
            <w:r w:rsidRPr="00560BB0">
              <w:t xml:space="preserve">Mean </w:t>
            </w:r>
            <w:proofErr w:type="spellStart"/>
            <w:r w:rsidRPr="00560BB0">
              <w:t>malapposed</w:t>
            </w:r>
            <w:proofErr w:type="spellEnd"/>
            <w:r w:rsidRPr="00560BB0">
              <w:t xml:space="preserve"> area (mm</w:t>
            </w:r>
            <w:r w:rsidRPr="00560BB0">
              <w:rPr>
                <w:vertAlign w:val="superscript"/>
              </w:rPr>
              <w:t>2</w:t>
            </w:r>
            <w:r w:rsidRPr="00560BB0">
              <w:t>)</w:t>
            </w:r>
          </w:p>
        </w:tc>
        <w:tc>
          <w:tcPr>
            <w:tcW w:w="1611" w:type="dxa"/>
          </w:tcPr>
          <w:p w14:paraId="689A45B1" w14:textId="77777777" w:rsidR="004D210D" w:rsidRPr="00560BB0" w:rsidRDefault="004D210D" w:rsidP="00DE4F6C">
            <w:pPr>
              <w:spacing w:line="480" w:lineRule="auto"/>
              <w:jc w:val="center"/>
            </w:pPr>
            <w:r w:rsidRPr="00560BB0">
              <w:t>0.8</w:t>
            </w:r>
            <w:r w:rsidRPr="00560BB0">
              <w:sym w:font="Symbol" w:char="F0B1"/>
            </w:r>
            <w:r w:rsidRPr="00560BB0">
              <w:t>0.7</w:t>
            </w:r>
          </w:p>
        </w:tc>
        <w:tc>
          <w:tcPr>
            <w:tcW w:w="1701" w:type="dxa"/>
          </w:tcPr>
          <w:p w14:paraId="0170751D" w14:textId="77777777" w:rsidR="004D210D" w:rsidRPr="00560BB0" w:rsidRDefault="004D210D" w:rsidP="00DE4F6C">
            <w:pPr>
              <w:spacing w:line="480" w:lineRule="auto"/>
              <w:jc w:val="center"/>
            </w:pPr>
            <w:r w:rsidRPr="00560BB0">
              <w:t>0.4</w:t>
            </w:r>
            <w:r w:rsidRPr="00560BB0">
              <w:sym w:font="Symbol" w:char="F0B1"/>
            </w:r>
            <w:r w:rsidRPr="00560BB0">
              <w:t>0.4</w:t>
            </w:r>
          </w:p>
        </w:tc>
        <w:tc>
          <w:tcPr>
            <w:tcW w:w="994" w:type="dxa"/>
          </w:tcPr>
          <w:p w14:paraId="52499CE5" w14:textId="77777777" w:rsidR="004D210D" w:rsidRPr="00560BB0" w:rsidRDefault="004D210D" w:rsidP="00DE4F6C">
            <w:pPr>
              <w:spacing w:line="480" w:lineRule="auto"/>
              <w:jc w:val="center"/>
            </w:pPr>
            <w:r w:rsidRPr="00560BB0">
              <w:t>0.001</w:t>
            </w:r>
          </w:p>
        </w:tc>
      </w:tr>
      <w:tr w:rsidR="004D210D" w14:paraId="080BCD27" w14:textId="77777777" w:rsidTr="00DE4F6C">
        <w:tc>
          <w:tcPr>
            <w:tcW w:w="3742" w:type="dxa"/>
          </w:tcPr>
          <w:p w14:paraId="553C3783" w14:textId="77777777" w:rsidR="004D210D" w:rsidRPr="00560BB0" w:rsidRDefault="004D210D" w:rsidP="00DE4F6C">
            <w:pPr>
              <w:spacing w:line="480" w:lineRule="auto"/>
              <w:jc w:val="both"/>
            </w:pPr>
            <w:proofErr w:type="spellStart"/>
            <w:r>
              <w:t>Malapposed</w:t>
            </w:r>
            <w:proofErr w:type="spellEnd"/>
            <w:r>
              <w:t xml:space="preserve"> volume</w:t>
            </w:r>
            <w:r w:rsidRPr="00560BB0">
              <w:t xml:space="preserve"> (mm</w:t>
            </w:r>
            <w:r w:rsidRPr="00560BB0">
              <w:rPr>
                <w:vertAlign w:val="superscript"/>
              </w:rPr>
              <w:t>3</w:t>
            </w:r>
            <w:r w:rsidRPr="00560BB0">
              <w:t>)</w:t>
            </w:r>
          </w:p>
        </w:tc>
        <w:tc>
          <w:tcPr>
            <w:tcW w:w="1611" w:type="dxa"/>
          </w:tcPr>
          <w:p w14:paraId="022A8C03" w14:textId="77777777" w:rsidR="004D210D" w:rsidRPr="00560BB0" w:rsidRDefault="004D210D" w:rsidP="00DE4F6C">
            <w:pPr>
              <w:spacing w:line="480" w:lineRule="auto"/>
              <w:jc w:val="center"/>
            </w:pPr>
            <w:r w:rsidRPr="00560BB0">
              <w:t>7.9</w:t>
            </w:r>
            <w:r w:rsidRPr="00560BB0">
              <w:sym w:font="Symbol" w:char="F0B1"/>
            </w:r>
            <w:r w:rsidRPr="00560BB0">
              <w:t>9.7</w:t>
            </w:r>
          </w:p>
        </w:tc>
        <w:tc>
          <w:tcPr>
            <w:tcW w:w="1701" w:type="dxa"/>
          </w:tcPr>
          <w:p w14:paraId="354A0663" w14:textId="77777777" w:rsidR="004D210D" w:rsidRPr="00560BB0" w:rsidRDefault="004D210D" w:rsidP="00DE4F6C">
            <w:pPr>
              <w:spacing w:line="480" w:lineRule="auto"/>
              <w:jc w:val="center"/>
            </w:pPr>
            <w:r w:rsidRPr="00560BB0">
              <w:t>2.2</w:t>
            </w:r>
            <w:r w:rsidRPr="00560BB0">
              <w:sym w:font="Symbol" w:char="F0B1"/>
            </w:r>
            <w:r w:rsidRPr="00560BB0">
              <w:t>2.4</w:t>
            </w:r>
          </w:p>
        </w:tc>
        <w:tc>
          <w:tcPr>
            <w:tcW w:w="994" w:type="dxa"/>
          </w:tcPr>
          <w:p w14:paraId="73E3DFC0" w14:textId="77777777" w:rsidR="004D210D" w:rsidRPr="00560BB0" w:rsidRDefault="004D210D" w:rsidP="00DE4F6C">
            <w:pPr>
              <w:spacing w:line="480" w:lineRule="auto"/>
              <w:jc w:val="center"/>
            </w:pPr>
            <w:r w:rsidRPr="00560BB0">
              <w:t>&lt;0.001</w:t>
            </w:r>
          </w:p>
        </w:tc>
      </w:tr>
      <w:tr w:rsidR="004D210D" w14:paraId="5EAFA906" w14:textId="77777777" w:rsidTr="00DE4F6C">
        <w:tc>
          <w:tcPr>
            <w:tcW w:w="3742" w:type="dxa"/>
          </w:tcPr>
          <w:p w14:paraId="47CA0325" w14:textId="77777777" w:rsidR="004D210D" w:rsidRPr="00560BB0" w:rsidRDefault="004D210D" w:rsidP="00DE4F6C">
            <w:pPr>
              <w:spacing w:line="480" w:lineRule="auto"/>
              <w:jc w:val="both"/>
            </w:pPr>
            <w:proofErr w:type="spellStart"/>
            <w:r w:rsidRPr="00560BB0">
              <w:t>Malapposed</w:t>
            </w:r>
            <w:proofErr w:type="spellEnd"/>
            <w:r w:rsidRPr="00560BB0">
              <w:t xml:space="preserve"> volume/stent volume (%)</w:t>
            </w:r>
          </w:p>
        </w:tc>
        <w:tc>
          <w:tcPr>
            <w:tcW w:w="1611" w:type="dxa"/>
          </w:tcPr>
          <w:p w14:paraId="2BE78234" w14:textId="77777777" w:rsidR="004D210D" w:rsidRPr="00560BB0" w:rsidRDefault="004D210D" w:rsidP="00DE4F6C">
            <w:pPr>
              <w:spacing w:line="480" w:lineRule="auto"/>
              <w:jc w:val="center"/>
            </w:pPr>
            <w:r w:rsidRPr="00560BB0">
              <w:t>3.8</w:t>
            </w:r>
            <w:r w:rsidRPr="00560BB0">
              <w:sym w:font="Symbol" w:char="F0B1"/>
            </w:r>
            <w:r w:rsidRPr="00560BB0">
              <w:t>4.0</w:t>
            </w:r>
          </w:p>
        </w:tc>
        <w:tc>
          <w:tcPr>
            <w:tcW w:w="1701" w:type="dxa"/>
          </w:tcPr>
          <w:p w14:paraId="6B7ABD9C" w14:textId="77777777" w:rsidR="004D210D" w:rsidRPr="00560BB0" w:rsidRDefault="004D210D" w:rsidP="00DE4F6C">
            <w:pPr>
              <w:spacing w:line="480" w:lineRule="auto"/>
              <w:jc w:val="center"/>
            </w:pPr>
            <w:r w:rsidRPr="00560BB0">
              <w:t>0.9</w:t>
            </w:r>
            <w:r w:rsidRPr="00560BB0">
              <w:sym w:font="Symbol" w:char="F0B1"/>
            </w:r>
            <w:r w:rsidRPr="00560BB0">
              <w:t>0.9</w:t>
            </w:r>
          </w:p>
        </w:tc>
        <w:tc>
          <w:tcPr>
            <w:tcW w:w="994" w:type="dxa"/>
          </w:tcPr>
          <w:p w14:paraId="5EC8F6C4" w14:textId="77777777" w:rsidR="004D210D" w:rsidRPr="00560BB0" w:rsidRDefault="004D210D" w:rsidP="00DE4F6C">
            <w:pPr>
              <w:spacing w:line="480" w:lineRule="auto"/>
              <w:jc w:val="center"/>
            </w:pPr>
            <w:r w:rsidRPr="00560BB0">
              <w:t>&lt;0.001</w:t>
            </w:r>
          </w:p>
        </w:tc>
      </w:tr>
      <w:tr w:rsidR="004D210D" w14:paraId="4D2F97CF" w14:textId="77777777" w:rsidTr="00DE4F6C">
        <w:tc>
          <w:tcPr>
            <w:tcW w:w="3742" w:type="dxa"/>
          </w:tcPr>
          <w:p w14:paraId="13F433A2" w14:textId="77777777" w:rsidR="004D210D" w:rsidRPr="00560BB0" w:rsidRDefault="004D210D" w:rsidP="00DE4F6C">
            <w:pPr>
              <w:spacing w:line="480" w:lineRule="auto"/>
              <w:jc w:val="both"/>
            </w:pPr>
            <w:r w:rsidRPr="00560BB0">
              <w:t xml:space="preserve">Max </w:t>
            </w:r>
            <w:proofErr w:type="spellStart"/>
            <w:r w:rsidRPr="00560BB0">
              <w:t>malapposition</w:t>
            </w:r>
            <w:proofErr w:type="spellEnd"/>
            <w:r w:rsidRPr="00560BB0">
              <w:t xml:space="preserve"> distance (mm)</w:t>
            </w:r>
          </w:p>
        </w:tc>
        <w:tc>
          <w:tcPr>
            <w:tcW w:w="1611" w:type="dxa"/>
          </w:tcPr>
          <w:p w14:paraId="1A6D8946" w14:textId="77777777" w:rsidR="004D210D" w:rsidRPr="00560BB0" w:rsidRDefault="004D210D" w:rsidP="00DE4F6C">
            <w:pPr>
              <w:spacing w:line="480" w:lineRule="auto"/>
              <w:jc w:val="center"/>
            </w:pPr>
            <w:r w:rsidRPr="00560BB0">
              <w:t>0.7</w:t>
            </w:r>
            <w:r w:rsidRPr="00560BB0">
              <w:sym w:font="Symbol" w:char="F0B1"/>
            </w:r>
            <w:r w:rsidRPr="00560BB0">
              <w:t>0.5</w:t>
            </w:r>
          </w:p>
        </w:tc>
        <w:tc>
          <w:tcPr>
            <w:tcW w:w="1701" w:type="dxa"/>
          </w:tcPr>
          <w:p w14:paraId="7737F77A" w14:textId="77777777" w:rsidR="004D210D" w:rsidRPr="00560BB0" w:rsidRDefault="004D210D" w:rsidP="00DE4F6C">
            <w:pPr>
              <w:spacing w:line="480" w:lineRule="auto"/>
              <w:jc w:val="center"/>
            </w:pPr>
            <w:r w:rsidRPr="00560BB0">
              <w:t>0.4</w:t>
            </w:r>
            <w:r w:rsidRPr="00560BB0">
              <w:sym w:font="Symbol" w:char="F0B1"/>
            </w:r>
            <w:r w:rsidRPr="00560BB0">
              <w:t>0.2</w:t>
            </w:r>
          </w:p>
        </w:tc>
        <w:tc>
          <w:tcPr>
            <w:tcW w:w="994" w:type="dxa"/>
          </w:tcPr>
          <w:p w14:paraId="391DF43D" w14:textId="77777777" w:rsidR="004D210D" w:rsidRPr="00560BB0" w:rsidRDefault="004D210D" w:rsidP="00DE4F6C">
            <w:pPr>
              <w:spacing w:line="480" w:lineRule="auto"/>
              <w:jc w:val="center"/>
            </w:pPr>
            <w:r w:rsidRPr="00560BB0">
              <w:t>0.004</w:t>
            </w:r>
          </w:p>
        </w:tc>
      </w:tr>
      <w:tr w:rsidR="004D210D" w14:paraId="731963BA" w14:textId="77777777" w:rsidTr="00DE4F6C">
        <w:tc>
          <w:tcPr>
            <w:tcW w:w="3742" w:type="dxa"/>
          </w:tcPr>
          <w:p w14:paraId="35DFBD43" w14:textId="77777777" w:rsidR="004D210D" w:rsidRPr="00560BB0" w:rsidRDefault="004D210D" w:rsidP="00DE4F6C">
            <w:pPr>
              <w:spacing w:line="480" w:lineRule="auto"/>
              <w:jc w:val="both"/>
            </w:pPr>
            <w:r w:rsidRPr="00560BB0">
              <w:t xml:space="preserve">Mean </w:t>
            </w:r>
            <w:proofErr w:type="spellStart"/>
            <w:r w:rsidRPr="00560BB0">
              <w:t>malapposition</w:t>
            </w:r>
            <w:proofErr w:type="spellEnd"/>
            <w:r w:rsidRPr="00560BB0">
              <w:t xml:space="preserve"> distance (mm)</w:t>
            </w:r>
          </w:p>
        </w:tc>
        <w:tc>
          <w:tcPr>
            <w:tcW w:w="1611" w:type="dxa"/>
          </w:tcPr>
          <w:p w14:paraId="636C7DBE" w14:textId="77777777" w:rsidR="004D210D" w:rsidRPr="00560BB0" w:rsidRDefault="004D210D" w:rsidP="00DE4F6C">
            <w:pPr>
              <w:spacing w:line="480" w:lineRule="auto"/>
              <w:jc w:val="center"/>
            </w:pPr>
            <w:r w:rsidRPr="00560BB0">
              <w:t>0.3</w:t>
            </w:r>
            <w:r w:rsidRPr="00560BB0">
              <w:sym w:font="Symbol" w:char="F0B1"/>
            </w:r>
            <w:r w:rsidRPr="00560BB0">
              <w:t>0.1</w:t>
            </w:r>
          </w:p>
        </w:tc>
        <w:tc>
          <w:tcPr>
            <w:tcW w:w="1701" w:type="dxa"/>
          </w:tcPr>
          <w:p w14:paraId="5420CA06" w14:textId="77777777" w:rsidR="004D210D" w:rsidRPr="00560BB0" w:rsidRDefault="004D210D" w:rsidP="00DE4F6C">
            <w:pPr>
              <w:spacing w:line="480" w:lineRule="auto"/>
              <w:jc w:val="center"/>
            </w:pPr>
            <w:r w:rsidRPr="00560BB0">
              <w:t>0.2</w:t>
            </w:r>
            <w:r w:rsidRPr="00560BB0">
              <w:sym w:font="Symbol" w:char="F0B1"/>
            </w:r>
            <w:r w:rsidRPr="00560BB0">
              <w:t>0.1</w:t>
            </w:r>
          </w:p>
        </w:tc>
        <w:tc>
          <w:tcPr>
            <w:tcW w:w="994" w:type="dxa"/>
          </w:tcPr>
          <w:p w14:paraId="08F32685" w14:textId="77777777" w:rsidR="004D210D" w:rsidRPr="00560BB0" w:rsidRDefault="004D210D" w:rsidP="00DE4F6C">
            <w:pPr>
              <w:spacing w:line="480" w:lineRule="auto"/>
              <w:jc w:val="center"/>
            </w:pPr>
            <w:r w:rsidRPr="00560BB0">
              <w:t>0.009</w:t>
            </w:r>
          </w:p>
        </w:tc>
      </w:tr>
      <w:tr w:rsidR="004D210D" w14:paraId="1BF7CFB5" w14:textId="77777777" w:rsidTr="00DE4F6C">
        <w:tc>
          <w:tcPr>
            <w:tcW w:w="3742" w:type="dxa"/>
          </w:tcPr>
          <w:p w14:paraId="3013C53E" w14:textId="77777777" w:rsidR="004D210D" w:rsidRPr="00560BB0" w:rsidRDefault="004D210D" w:rsidP="00DE4F6C">
            <w:pPr>
              <w:spacing w:line="480" w:lineRule="auto"/>
              <w:jc w:val="both"/>
            </w:pPr>
            <w:r w:rsidRPr="00560BB0">
              <w:t xml:space="preserve">Max stent length with consecutive frames of </w:t>
            </w:r>
            <w:proofErr w:type="spellStart"/>
            <w:r w:rsidRPr="00560BB0">
              <w:t>malapposition</w:t>
            </w:r>
            <w:proofErr w:type="spellEnd"/>
            <w:r w:rsidRPr="00560BB0">
              <w:t xml:space="preserve"> (mm)</w:t>
            </w:r>
          </w:p>
        </w:tc>
        <w:tc>
          <w:tcPr>
            <w:tcW w:w="1611" w:type="dxa"/>
          </w:tcPr>
          <w:p w14:paraId="018299F1" w14:textId="77777777" w:rsidR="004D210D" w:rsidRPr="00560BB0" w:rsidRDefault="004D210D" w:rsidP="00DE4F6C">
            <w:pPr>
              <w:spacing w:line="480" w:lineRule="auto"/>
              <w:jc w:val="center"/>
            </w:pPr>
            <w:r w:rsidRPr="00560BB0">
              <w:t>3.9</w:t>
            </w:r>
            <w:r w:rsidRPr="00560BB0">
              <w:sym w:font="Symbol" w:char="F0B1"/>
            </w:r>
            <w:r w:rsidRPr="00560BB0">
              <w:t>3.3</w:t>
            </w:r>
          </w:p>
        </w:tc>
        <w:tc>
          <w:tcPr>
            <w:tcW w:w="1701" w:type="dxa"/>
          </w:tcPr>
          <w:p w14:paraId="0A5871CB" w14:textId="77777777" w:rsidR="004D210D" w:rsidRPr="00560BB0" w:rsidRDefault="004D210D" w:rsidP="00DE4F6C">
            <w:pPr>
              <w:spacing w:line="480" w:lineRule="auto"/>
              <w:jc w:val="center"/>
            </w:pPr>
            <w:r w:rsidRPr="00560BB0">
              <w:t>2.0</w:t>
            </w:r>
            <w:r w:rsidRPr="00560BB0">
              <w:sym w:font="Symbol" w:char="F0B1"/>
            </w:r>
            <w:r w:rsidRPr="00560BB0">
              <w:t>1.6</w:t>
            </w:r>
          </w:p>
        </w:tc>
        <w:tc>
          <w:tcPr>
            <w:tcW w:w="994" w:type="dxa"/>
          </w:tcPr>
          <w:p w14:paraId="7E1237E9" w14:textId="77777777" w:rsidR="004D210D" w:rsidRPr="00560BB0" w:rsidRDefault="004D210D" w:rsidP="00DE4F6C">
            <w:pPr>
              <w:spacing w:line="480" w:lineRule="auto"/>
              <w:jc w:val="center"/>
            </w:pPr>
            <w:r w:rsidRPr="00560BB0">
              <w:t>0.002</w:t>
            </w:r>
          </w:p>
        </w:tc>
      </w:tr>
      <w:tr w:rsidR="004D210D" w14:paraId="126B4BBC" w14:textId="77777777" w:rsidTr="00DE4F6C">
        <w:tc>
          <w:tcPr>
            <w:tcW w:w="3742" w:type="dxa"/>
          </w:tcPr>
          <w:p w14:paraId="0CE81DC3" w14:textId="77777777" w:rsidR="004D210D" w:rsidRPr="00560BB0" w:rsidRDefault="004D210D" w:rsidP="00DE4F6C">
            <w:pPr>
              <w:spacing w:line="480" w:lineRule="auto"/>
              <w:jc w:val="both"/>
            </w:pPr>
            <w:r w:rsidRPr="00560BB0">
              <w:t xml:space="preserve">Total stent length with </w:t>
            </w:r>
            <w:proofErr w:type="spellStart"/>
            <w:r w:rsidRPr="00560BB0">
              <w:t>malapposition</w:t>
            </w:r>
            <w:proofErr w:type="spellEnd"/>
            <w:r w:rsidRPr="00560BB0">
              <w:t xml:space="preserve"> (mm)</w:t>
            </w:r>
          </w:p>
        </w:tc>
        <w:tc>
          <w:tcPr>
            <w:tcW w:w="1611" w:type="dxa"/>
          </w:tcPr>
          <w:p w14:paraId="3FCA6E7F" w14:textId="77777777" w:rsidR="004D210D" w:rsidRPr="00560BB0" w:rsidRDefault="004D210D" w:rsidP="00DE4F6C">
            <w:pPr>
              <w:spacing w:line="480" w:lineRule="auto"/>
              <w:jc w:val="center"/>
            </w:pPr>
            <w:r w:rsidRPr="00560BB0">
              <w:t>7.9</w:t>
            </w:r>
            <w:r w:rsidRPr="00560BB0">
              <w:sym w:font="Symbol" w:char="F0B1"/>
            </w:r>
            <w:r w:rsidRPr="00560BB0">
              <w:t>5.9</w:t>
            </w:r>
          </w:p>
        </w:tc>
        <w:tc>
          <w:tcPr>
            <w:tcW w:w="1701" w:type="dxa"/>
          </w:tcPr>
          <w:p w14:paraId="53FDE1DE" w14:textId="77777777" w:rsidR="004D210D" w:rsidRPr="00560BB0" w:rsidRDefault="004D210D" w:rsidP="00DE4F6C">
            <w:pPr>
              <w:spacing w:line="480" w:lineRule="auto"/>
              <w:jc w:val="center"/>
            </w:pPr>
            <w:r w:rsidRPr="00560BB0">
              <w:t>4.5</w:t>
            </w:r>
            <w:r w:rsidRPr="00560BB0">
              <w:sym w:font="Symbol" w:char="F0B1"/>
            </w:r>
            <w:r w:rsidRPr="00560BB0">
              <w:t>3.7</w:t>
            </w:r>
          </w:p>
        </w:tc>
        <w:tc>
          <w:tcPr>
            <w:tcW w:w="994" w:type="dxa"/>
          </w:tcPr>
          <w:p w14:paraId="4DCED26C" w14:textId="77777777" w:rsidR="004D210D" w:rsidRPr="00560BB0" w:rsidRDefault="004D210D" w:rsidP="00DE4F6C">
            <w:pPr>
              <w:spacing w:line="480" w:lineRule="auto"/>
              <w:jc w:val="center"/>
            </w:pPr>
            <w:r w:rsidRPr="00560BB0">
              <w:t>&lt;0.001</w:t>
            </w:r>
          </w:p>
        </w:tc>
      </w:tr>
      <w:tr w:rsidR="004D210D" w14:paraId="4E7E34C3" w14:textId="77777777" w:rsidTr="00DE4F6C">
        <w:tc>
          <w:tcPr>
            <w:tcW w:w="3742" w:type="dxa"/>
          </w:tcPr>
          <w:p w14:paraId="39451E40" w14:textId="77777777" w:rsidR="004D210D" w:rsidRPr="00560BB0" w:rsidRDefault="004D210D" w:rsidP="00DE4F6C">
            <w:pPr>
              <w:spacing w:line="480" w:lineRule="auto"/>
              <w:jc w:val="both"/>
            </w:pPr>
            <w:r w:rsidRPr="00560BB0">
              <w:t xml:space="preserve">Number of </w:t>
            </w:r>
            <w:proofErr w:type="spellStart"/>
            <w:r w:rsidRPr="00560BB0">
              <w:t>malapposed</w:t>
            </w:r>
            <w:proofErr w:type="spellEnd"/>
            <w:r w:rsidRPr="00560BB0">
              <w:t xml:space="preserve"> struts</w:t>
            </w:r>
          </w:p>
        </w:tc>
        <w:tc>
          <w:tcPr>
            <w:tcW w:w="1611" w:type="dxa"/>
          </w:tcPr>
          <w:p w14:paraId="2BA64482" w14:textId="77777777" w:rsidR="004D210D" w:rsidRPr="00560BB0" w:rsidRDefault="004D210D" w:rsidP="00DE4F6C">
            <w:pPr>
              <w:spacing w:line="480" w:lineRule="auto"/>
              <w:jc w:val="center"/>
            </w:pPr>
            <w:r w:rsidRPr="00560BB0">
              <w:t>145.0</w:t>
            </w:r>
            <w:r w:rsidRPr="00560BB0">
              <w:sym w:font="Symbol" w:char="F0B1"/>
            </w:r>
            <w:r w:rsidRPr="00560BB0">
              <w:t>132.0</w:t>
            </w:r>
          </w:p>
        </w:tc>
        <w:tc>
          <w:tcPr>
            <w:tcW w:w="1701" w:type="dxa"/>
          </w:tcPr>
          <w:p w14:paraId="249EFF1A" w14:textId="77777777" w:rsidR="004D210D" w:rsidRPr="00560BB0" w:rsidRDefault="004D210D" w:rsidP="00DE4F6C">
            <w:pPr>
              <w:spacing w:line="480" w:lineRule="auto"/>
              <w:jc w:val="center"/>
            </w:pPr>
            <w:r w:rsidRPr="00560BB0">
              <w:t>53.2</w:t>
            </w:r>
            <w:r w:rsidRPr="00560BB0">
              <w:sym w:font="Symbol" w:char="F0B1"/>
            </w:r>
            <w:r w:rsidRPr="00560BB0">
              <w:t>46.2</w:t>
            </w:r>
          </w:p>
        </w:tc>
        <w:tc>
          <w:tcPr>
            <w:tcW w:w="994" w:type="dxa"/>
          </w:tcPr>
          <w:p w14:paraId="02AD540D" w14:textId="77777777" w:rsidR="004D210D" w:rsidRPr="00560BB0" w:rsidRDefault="004D210D" w:rsidP="00DE4F6C">
            <w:pPr>
              <w:spacing w:line="480" w:lineRule="auto"/>
              <w:jc w:val="center"/>
            </w:pPr>
            <w:r w:rsidRPr="00560BB0">
              <w:t>&lt;0.001</w:t>
            </w:r>
          </w:p>
        </w:tc>
      </w:tr>
      <w:tr w:rsidR="004D210D" w14:paraId="25A7825B" w14:textId="77777777" w:rsidTr="00DE4F6C">
        <w:tc>
          <w:tcPr>
            <w:tcW w:w="3742" w:type="dxa"/>
          </w:tcPr>
          <w:p w14:paraId="5ABB05F7" w14:textId="77777777" w:rsidR="004D210D" w:rsidRPr="00560BB0" w:rsidRDefault="004D210D" w:rsidP="00DE4F6C">
            <w:pPr>
              <w:spacing w:line="480" w:lineRule="auto"/>
              <w:jc w:val="both"/>
            </w:pPr>
            <w:proofErr w:type="spellStart"/>
            <w:r w:rsidRPr="00560BB0">
              <w:t>Malapposition</w:t>
            </w:r>
            <w:proofErr w:type="spellEnd"/>
            <w:r w:rsidRPr="00560BB0">
              <w:t xml:space="preserve"> &gt;</w:t>
            </w:r>
            <w:r>
              <w:t>0.5</w:t>
            </w:r>
            <w:r w:rsidRPr="00560BB0">
              <w:t xml:space="preserve"> </w:t>
            </w:r>
            <w:r>
              <w:t>mm</w:t>
            </w:r>
            <w:r w:rsidRPr="00560BB0">
              <w:t xml:space="preserve">, </w:t>
            </w:r>
            <w:proofErr w:type="gramStart"/>
            <w:r w:rsidRPr="00560BB0">
              <w:t>n(</w:t>
            </w:r>
            <w:proofErr w:type="gramEnd"/>
            <w:r w:rsidRPr="00560BB0">
              <w:t>%)</w:t>
            </w:r>
          </w:p>
        </w:tc>
        <w:tc>
          <w:tcPr>
            <w:tcW w:w="1611" w:type="dxa"/>
          </w:tcPr>
          <w:p w14:paraId="53E0BF81" w14:textId="77777777" w:rsidR="004D210D" w:rsidRPr="00560BB0" w:rsidRDefault="004D210D" w:rsidP="00DE4F6C">
            <w:pPr>
              <w:spacing w:line="480" w:lineRule="auto"/>
              <w:jc w:val="center"/>
            </w:pPr>
            <w:r w:rsidRPr="00560BB0">
              <w:t>22(71)</w:t>
            </w:r>
          </w:p>
        </w:tc>
        <w:tc>
          <w:tcPr>
            <w:tcW w:w="1701" w:type="dxa"/>
          </w:tcPr>
          <w:p w14:paraId="701F8B7B" w14:textId="77777777" w:rsidR="004D210D" w:rsidRPr="00560BB0" w:rsidRDefault="004D210D" w:rsidP="00DE4F6C">
            <w:pPr>
              <w:spacing w:line="480" w:lineRule="auto"/>
              <w:jc w:val="center"/>
            </w:pPr>
            <w:r w:rsidRPr="00560BB0">
              <w:t>13(41.9)</w:t>
            </w:r>
          </w:p>
        </w:tc>
        <w:tc>
          <w:tcPr>
            <w:tcW w:w="994" w:type="dxa"/>
          </w:tcPr>
          <w:p w14:paraId="0536E2CD" w14:textId="77777777" w:rsidR="004D210D" w:rsidRPr="00560BB0" w:rsidRDefault="004D210D" w:rsidP="00DE4F6C">
            <w:pPr>
              <w:spacing w:line="480" w:lineRule="auto"/>
              <w:jc w:val="center"/>
            </w:pPr>
            <w:r w:rsidRPr="00560BB0">
              <w:t>0.022</w:t>
            </w:r>
          </w:p>
        </w:tc>
      </w:tr>
      <w:tr w:rsidR="004D210D" w14:paraId="6ACEDF75" w14:textId="77777777" w:rsidTr="00DE4F6C">
        <w:tc>
          <w:tcPr>
            <w:tcW w:w="3742" w:type="dxa"/>
          </w:tcPr>
          <w:p w14:paraId="26409329" w14:textId="77777777" w:rsidR="004D210D" w:rsidRPr="00560BB0" w:rsidRDefault="004D210D" w:rsidP="00DE4F6C">
            <w:pPr>
              <w:spacing w:line="480" w:lineRule="auto"/>
            </w:pPr>
            <w:proofErr w:type="spellStart"/>
            <w:r>
              <w:t>Malapposition</w:t>
            </w:r>
            <w:proofErr w:type="spellEnd"/>
            <w:r>
              <w:t xml:space="preserve"> with axial distance </w:t>
            </w:r>
            <w:r w:rsidRPr="00560BB0">
              <w:t>&gt;0.4mm</w:t>
            </w:r>
            <w:r>
              <w:t xml:space="preserve"> and consecutive length of </w:t>
            </w:r>
            <w:r w:rsidRPr="00560BB0">
              <w:t>&gt;1mm</w:t>
            </w:r>
          </w:p>
        </w:tc>
        <w:tc>
          <w:tcPr>
            <w:tcW w:w="1611" w:type="dxa"/>
          </w:tcPr>
          <w:p w14:paraId="165A44EB" w14:textId="77777777" w:rsidR="004D210D" w:rsidRPr="00560BB0" w:rsidRDefault="004D210D" w:rsidP="00DE4F6C">
            <w:pPr>
              <w:spacing w:line="480" w:lineRule="auto"/>
              <w:jc w:val="center"/>
            </w:pPr>
            <w:r w:rsidRPr="00560BB0">
              <w:t>20(64%)</w:t>
            </w:r>
          </w:p>
        </w:tc>
        <w:tc>
          <w:tcPr>
            <w:tcW w:w="1701" w:type="dxa"/>
          </w:tcPr>
          <w:p w14:paraId="2012A79E" w14:textId="77777777" w:rsidR="004D210D" w:rsidRPr="00560BB0" w:rsidRDefault="004D210D" w:rsidP="00DE4F6C">
            <w:pPr>
              <w:spacing w:line="480" w:lineRule="auto"/>
              <w:jc w:val="center"/>
            </w:pPr>
            <w:r w:rsidRPr="00560BB0">
              <w:t>16(52%)</w:t>
            </w:r>
          </w:p>
        </w:tc>
        <w:tc>
          <w:tcPr>
            <w:tcW w:w="994" w:type="dxa"/>
          </w:tcPr>
          <w:p w14:paraId="06B50D60" w14:textId="77777777" w:rsidR="004D210D" w:rsidRPr="00560BB0" w:rsidRDefault="004D210D" w:rsidP="00DE4F6C">
            <w:pPr>
              <w:spacing w:line="480" w:lineRule="auto"/>
              <w:jc w:val="center"/>
            </w:pPr>
            <w:r>
              <w:t>0.125</w:t>
            </w:r>
          </w:p>
        </w:tc>
      </w:tr>
    </w:tbl>
    <w:p w14:paraId="1D5F8591" w14:textId="77777777" w:rsidR="004D210D" w:rsidRPr="00BC5F64" w:rsidRDefault="004D210D" w:rsidP="004D210D">
      <w:pPr>
        <w:spacing w:line="480" w:lineRule="auto"/>
        <w:jc w:val="both"/>
      </w:pPr>
      <w:bookmarkStart w:id="8" w:name="_Toc20226537"/>
    </w:p>
    <w:p w14:paraId="7493BB1A" w14:textId="77777777" w:rsidR="004D210D" w:rsidRDefault="004D210D" w:rsidP="004D210D">
      <w:pPr>
        <w:pStyle w:val="Caption"/>
        <w:spacing w:line="480" w:lineRule="auto"/>
      </w:pPr>
      <w:r w:rsidRPr="00990777">
        <w:rPr>
          <w:b/>
          <w:bCs/>
        </w:rPr>
        <w:t xml:space="preserve">Table </w:t>
      </w:r>
      <w:r>
        <w:rPr>
          <w:b/>
          <w:bCs/>
        </w:rPr>
        <w:t xml:space="preserve">5. </w:t>
      </w:r>
      <w:r w:rsidRPr="00560BB0">
        <w:t xml:space="preserve">OCT analysis of </w:t>
      </w:r>
      <w:r>
        <w:t>plaque-</w:t>
      </w:r>
      <w:r w:rsidRPr="00560BB0">
        <w:t>thrombus</w:t>
      </w:r>
      <w:r>
        <w:t xml:space="preserve"> prolapse (PTP)</w:t>
      </w:r>
      <w:r w:rsidRPr="00560BB0">
        <w:t xml:space="preserve"> before and after post</w:t>
      </w:r>
      <w:r>
        <w:t>-</w:t>
      </w:r>
      <w:r w:rsidRPr="00560BB0">
        <w:t>dilatation</w:t>
      </w:r>
      <w:r>
        <w:t xml:space="preserve">. </w:t>
      </w:r>
      <w:bookmarkEnd w:id="8"/>
    </w:p>
    <w:tbl>
      <w:tblPr>
        <w:tblStyle w:val="TableGridLight"/>
        <w:tblW w:w="0" w:type="auto"/>
        <w:tblLook w:val="04A0" w:firstRow="1" w:lastRow="0" w:firstColumn="1" w:lastColumn="0" w:noHBand="0" w:noVBand="1"/>
      </w:tblPr>
      <w:tblGrid>
        <w:gridCol w:w="3742"/>
        <w:gridCol w:w="1611"/>
        <w:gridCol w:w="1701"/>
        <w:gridCol w:w="994"/>
      </w:tblGrid>
      <w:tr w:rsidR="004D210D" w14:paraId="7F3D6AC1" w14:textId="77777777" w:rsidTr="00DE4F6C">
        <w:tc>
          <w:tcPr>
            <w:tcW w:w="3742" w:type="dxa"/>
          </w:tcPr>
          <w:p w14:paraId="627DD3D2" w14:textId="77777777" w:rsidR="004D210D" w:rsidRDefault="004D210D" w:rsidP="00DE4F6C">
            <w:pPr>
              <w:spacing w:line="480" w:lineRule="auto"/>
              <w:jc w:val="both"/>
            </w:pPr>
          </w:p>
        </w:tc>
        <w:tc>
          <w:tcPr>
            <w:tcW w:w="1611" w:type="dxa"/>
          </w:tcPr>
          <w:p w14:paraId="10341767" w14:textId="77777777" w:rsidR="004D210D" w:rsidRDefault="004D210D" w:rsidP="00DE4F6C">
            <w:pPr>
              <w:spacing w:line="480" w:lineRule="auto"/>
              <w:jc w:val="both"/>
            </w:pPr>
            <w:r>
              <w:t xml:space="preserve">Before </w:t>
            </w:r>
          </w:p>
          <w:p w14:paraId="3972846A" w14:textId="77777777" w:rsidR="004D210D" w:rsidRPr="00550E6D" w:rsidRDefault="004D210D" w:rsidP="00DE4F6C">
            <w:pPr>
              <w:spacing w:line="480" w:lineRule="auto"/>
              <w:jc w:val="both"/>
            </w:pPr>
            <w:r>
              <w:t>Post-</w:t>
            </w:r>
            <w:r w:rsidRPr="00550E6D">
              <w:t xml:space="preserve">dilatation </w:t>
            </w:r>
          </w:p>
        </w:tc>
        <w:tc>
          <w:tcPr>
            <w:tcW w:w="1701" w:type="dxa"/>
          </w:tcPr>
          <w:p w14:paraId="794EA09C" w14:textId="77777777" w:rsidR="004D210D" w:rsidRDefault="004D210D" w:rsidP="00DE4F6C">
            <w:pPr>
              <w:spacing w:line="480" w:lineRule="auto"/>
              <w:jc w:val="both"/>
            </w:pPr>
            <w:r w:rsidRPr="00550E6D">
              <w:t xml:space="preserve">After </w:t>
            </w:r>
          </w:p>
          <w:p w14:paraId="58747329" w14:textId="77777777" w:rsidR="004D210D" w:rsidRPr="00550E6D" w:rsidRDefault="004D210D" w:rsidP="00DE4F6C">
            <w:pPr>
              <w:spacing w:line="480" w:lineRule="auto"/>
              <w:jc w:val="both"/>
            </w:pPr>
            <w:r>
              <w:t>P</w:t>
            </w:r>
            <w:r w:rsidRPr="00550E6D">
              <w:t>ost</w:t>
            </w:r>
            <w:r>
              <w:t>-</w:t>
            </w:r>
            <w:r w:rsidRPr="00550E6D">
              <w:t xml:space="preserve">dilatation </w:t>
            </w:r>
          </w:p>
        </w:tc>
        <w:tc>
          <w:tcPr>
            <w:tcW w:w="994" w:type="dxa"/>
          </w:tcPr>
          <w:p w14:paraId="0672DAB8" w14:textId="77777777" w:rsidR="004D210D" w:rsidRPr="00550E6D" w:rsidRDefault="004D210D" w:rsidP="00DE4F6C">
            <w:pPr>
              <w:spacing w:line="480" w:lineRule="auto"/>
              <w:jc w:val="both"/>
            </w:pPr>
            <w:r w:rsidRPr="00550E6D">
              <w:t>p-values</w:t>
            </w:r>
          </w:p>
        </w:tc>
      </w:tr>
      <w:tr w:rsidR="004D210D" w14:paraId="0651B120" w14:textId="77777777" w:rsidTr="00DE4F6C">
        <w:tc>
          <w:tcPr>
            <w:tcW w:w="8048" w:type="dxa"/>
            <w:gridSpan w:val="4"/>
          </w:tcPr>
          <w:p w14:paraId="72356ADE" w14:textId="77777777" w:rsidR="004D210D" w:rsidRPr="00560BB0" w:rsidRDefault="004D210D" w:rsidP="00DE4F6C">
            <w:pPr>
              <w:spacing w:line="480" w:lineRule="auto"/>
              <w:jc w:val="both"/>
            </w:pPr>
            <w:r>
              <w:rPr>
                <w:b/>
              </w:rPr>
              <w:t>P</w:t>
            </w:r>
            <w:r w:rsidRPr="00087EA0">
              <w:rPr>
                <w:b/>
              </w:rPr>
              <w:t>laque-thrombus prolapse</w:t>
            </w:r>
            <w:r>
              <w:t xml:space="preserve"> </w:t>
            </w:r>
            <w:r w:rsidRPr="00560BB0">
              <w:rPr>
                <w:b/>
              </w:rPr>
              <w:t>parameters</w:t>
            </w:r>
          </w:p>
        </w:tc>
      </w:tr>
      <w:tr w:rsidR="004D210D" w14:paraId="4A0E3153" w14:textId="77777777" w:rsidTr="00DE4F6C">
        <w:tc>
          <w:tcPr>
            <w:tcW w:w="3742" w:type="dxa"/>
          </w:tcPr>
          <w:p w14:paraId="0704D073" w14:textId="77777777" w:rsidR="004D210D" w:rsidRPr="00087EA0" w:rsidRDefault="004D210D" w:rsidP="00DE4F6C">
            <w:pPr>
              <w:spacing w:line="480" w:lineRule="auto"/>
              <w:jc w:val="both"/>
            </w:pPr>
            <w:r w:rsidRPr="00087EA0">
              <w:t xml:space="preserve">Max </w:t>
            </w:r>
            <w:r>
              <w:t>PTP</w:t>
            </w:r>
            <w:r w:rsidRPr="00087EA0">
              <w:t xml:space="preserve"> area (mm</w:t>
            </w:r>
            <w:r w:rsidRPr="00087EA0">
              <w:rPr>
                <w:vertAlign w:val="superscript"/>
              </w:rPr>
              <w:t>2</w:t>
            </w:r>
            <w:r w:rsidRPr="00087EA0">
              <w:t>)</w:t>
            </w:r>
          </w:p>
        </w:tc>
        <w:tc>
          <w:tcPr>
            <w:tcW w:w="1611" w:type="dxa"/>
          </w:tcPr>
          <w:p w14:paraId="5EBD8B9D" w14:textId="77777777" w:rsidR="004D210D" w:rsidRPr="00087EA0" w:rsidRDefault="004D210D" w:rsidP="00DE4F6C">
            <w:pPr>
              <w:spacing w:line="480" w:lineRule="auto"/>
              <w:jc w:val="center"/>
            </w:pPr>
            <w:r w:rsidRPr="00087EA0">
              <w:t>1.21</w:t>
            </w:r>
            <w:r w:rsidRPr="00087EA0">
              <w:sym w:font="Symbol" w:char="F0B1"/>
            </w:r>
            <w:r w:rsidRPr="00087EA0">
              <w:t>0.66</w:t>
            </w:r>
          </w:p>
        </w:tc>
        <w:tc>
          <w:tcPr>
            <w:tcW w:w="1701" w:type="dxa"/>
          </w:tcPr>
          <w:p w14:paraId="28A1FCF3" w14:textId="77777777" w:rsidR="004D210D" w:rsidRPr="00087EA0" w:rsidRDefault="004D210D" w:rsidP="00DE4F6C">
            <w:pPr>
              <w:spacing w:line="480" w:lineRule="auto"/>
              <w:jc w:val="center"/>
            </w:pPr>
            <w:r w:rsidRPr="00087EA0">
              <w:t>1.46</w:t>
            </w:r>
            <w:r w:rsidRPr="00087EA0">
              <w:sym w:font="Symbol" w:char="F0B1"/>
            </w:r>
            <w:r w:rsidRPr="00087EA0">
              <w:t>0.81</w:t>
            </w:r>
          </w:p>
        </w:tc>
        <w:tc>
          <w:tcPr>
            <w:tcW w:w="994" w:type="dxa"/>
          </w:tcPr>
          <w:p w14:paraId="6971B3DE" w14:textId="77777777" w:rsidR="004D210D" w:rsidRPr="00087EA0" w:rsidRDefault="004D210D" w:rsidP="00DE4F6C">
            <w:pPr>
              <w:spacing w:line="480" w:lineRule="auto"/>
              <w:jc w:val="center"/>
            </w:pPr>
            <w:r w:rsidRPr="00087EA0">
              <w:t>0.007</w:t>
            </w:r>
          </w:p>
        </w:tc>
      </w:tr>
      <w:tr w:rsidR="004D210D" w14:paraId="370FC0F2" w14:textId="77777777" w:rsidTr="00DE4F6C">
        <w:tc>
          <w:tcPr>
            <w:tcW w:w="3742" w:type="dxa"/>
          </w:tcPr>
          <w:p w14:paraId="1D8729A7" w14:textId="77777777" w:rsidR="004D210D" w:rsidRPr="00087EA0" w:rsidRDefault="004D210D" w:rsidP="00DE4F6C">
            <w:pPr>
              <w:spacing w:line="480" w:lineRule="auto"/>
              <w:jc w:val="both"/>
            </w:pPr>
            <w:r w:rsidRPr="00087EA0">
              <w:t>Mean</w:t>
            </w:r>
            <w:r>
              <w:t xml:space="preserve"> PTP</w:t>
            </w:r>
            <w:r w:rsidRPr="00087EA0">
              <w:t xml:space="preserve"> area (mm</w:t>
            </w:r>
            <w:r w:rsidRPr="00087EA0">
              <w:rPr>
                <w:vertAlign w:val="superscript"/>
              </w:rPr>
              <w:t>2</w:t>
            </w:r>
            <w:r w:rsidRPr="00087EA0">
              <w:t>)</w:t>
            </w:r>
          </w:p>
        </w:tc>
        <w:tc>
          <w:tcPr>
            <w:tcW w:w="1611" w:type="dxa"/>
          </w:tcPr>
          <w:p w14:paraId="65559FBE" w14:textId="77777777" w:rsidR="004D210D" w:rsidRPr="00087EA0" w:rsidRDefault="004D210D" w:rsidP="00DE4F6C">
            <w:pPr>
              <w:spacing w:line="480" w:lineRule="auto"/>
              <w:jc w:val="center"/>
            </w:pPr>
            <w:r w:rsidRPr="00087EA0">
              <w:t>0.42</w:t>
            </w:r>
            <w:r w:rsidRPr="00087EA0">
              <w:sym w:font="Symbol" w:char="F0B1"/>
            </w:r>
            <w:r w:rsidRPr="00087EA0">
              <w:t>0.23</w:t>
            </w:r>
          </w:p>
        </w:tc>
        <w:tc>
          <w:tcPr>
            <w:tcW w:w="1701" w:type="dxa"/>
          </w:tcPr>
          <w:p w14:paraId="20DE1F15" w14:textId="77777777" w:rsidR="004D210D" w:rsidRPr="00087EA0" w:rsidRDefault="004D210D" w:rsidP="00DE4F6C">
            <w:pPr>
              <w:spacing w:line="480" w:lineRule="auto"/>
              <w:jc w:val="center"/>
            </w:pPr>
            <w:r w:rsidRPr="00087EA0">
              <w:t>0.52</w:t>
            </w:r>
            <w:r w:rsidRPr="00087EA0">
              <w:sym w:font="Symbol" w:char="F0B1"/>
            </w:r>
            <w:r w:rsidRPr="00087EA0">
              <w:t>0.29</w:t>
            </w:r>
          </w:p>
        </w:tc>
        <w:tc>
          <w:tcPr>
            <w:tcW w:w="994" w:type="dxa"/>
          </w:tcPr>
          <w:p w14:paraId="045B210E" w14:textId="77777777" w:rsidR="004D210D" w:rsidRPr="00087EA0" w:rsidRDefault="004D210D" w:rsidP="00DE4F6C">
            <w:pPr>
              <w:spacing w:line="480" w:lineRule="auto"/>
              <w:jc w:val="center"/>
            </w:pPr>
            <w:r w:rsidRPr="00087EA0">
              <w:t>0.004</w:t>
            </w:r>
          </w:p>
        </w:tc>
      </w:tr>
      <w:tr w:rsidR="004D210D" w14:paraId="557C14DB" w14:textId="77777777" w:rsidTr="00DE4F6C">
        <w:tc>
          <w:tcPr>
            <w:tcW w:w="3742" w:type="dxa"/>
          </w:tcPr>
          <w:p w14:paraId="7269D9DB" w14:textId="77777777" w:rsidR="004D210D" w:rsidRPr="00087EA0" w:rsidRDefault="004D210D" w:rsidP="00DE4F6C">
            <w:pPr>
              <w:spacing w:line="480" w:lineRule="auto"/>
              <w:jc w:val="both"/>
            </w:pPr>
            <w:r w:rsidRPr="00087EA0">
              <w:t xml:space="preserve">Total </w:t>
            </w:r>
            <w:r>
              <w:t>PTP</w:t>
            </w:r>
            <w:r w:rsidRPr="00087EA0">
              <w:t xml:space="preserve"> length (mm)</w:t>
            </w:r>
          </w:p>
        </w:tc>
        <w:tc>
          <w:tcPr>
            <w:tcW w:w="1611" w:type="dxa"/>
          </w:tcPr>
          <w:p w14:paraId="61D78D82" w14:textId="77777777" w:rsidR="004D210D" w:rsidRPr="00087EA0" w:rsidRDefault="004D210D" w:rsidP="00DE4F6C">
            <w:pPr>
              <w:spacing w:line="480" w:lineRule="auto"/>
              <w:jc w:val="center"/>
            </w:pPr>
            <w:r w:rsidRPr="00087EA0">
              <w:t>11.9</w:t>
            </w:r>
            <w:r w:rsidRPr="00087EA0">
              <w:sym w:font="Symbol" w:char="F0B1"/>
            </w:r>
            <w:r w:rsidRPr="00087EA0">
              <w:t>5.8</w:t>
            </w:r>
          </w:p>
        </w:tc>
        <w:tc>
          <w:tcPr>
            <w:tcW w:w="1701" w:type="dxa"/>
          </w:tcPr>
          <w:p w14:paraId="255CA43F" w14:textId="77777777" w:rsidR="004D210D" w:rsidRPr="00087EA0" w:rsidRDefault="004D210D" w:rsidP="00DE4F6C">
            <w:pPr>
              <w:spacing w:line="480" w:lineRule="auto"/>
              <w:jc w:val="center"/>
            </w:pPr>
            <w:r w:rsidRPr="00087EA0">
              <w:t>15.7</w:t>
            </w:r>
            <w:r w:rsidRPr="00087EA0">
              <w:sym w:font="Symbol" w:char="F0B1"/>
            </w:r>
            <w:r w:rsidRPr="00087EA0">
              <w:t>8.9</w:t>
            </w:r>
          </w:p>
        </w:tc>
        <w:tc>
          <w:tcPr>
            <w:tcW w:w="994" w:type="dxa"/>
          </w:tcPr>
          <w:p w14:paraId="6E15CD91" w14:textId="77777777" w:rsidR="004D210D" w:rsidRPr="00087EA0" w:rsidRDefault="004D210D" w:rsidP="00DE4F6C">
            <w:pPr>
              <w:spacing w:line="480" w:lineRule="auto"/>
              <w:jc w:val="center"/>
            </w:pPr>
            <w:r w:rsidRPr="00087EA0">
              <w:t>0.001</w:t>
            </w:r>
          </w:p>
        </w:tc>
      </w:tr>
      <w:tr w:rsidR="004D210D" w14:paraId="0C9FDC90" w14:textId="77777777" w:rsidTr="00DE4F6C">
        <w:tc>
          <w:tcPr>
            <w:tcW w:w="3742" w:type="dxa"/>
          </w:tcPr>
          <w:p w14:paraId="14390607" w14:textId="77777777" w:rsidR="004D210D" w:rsidRPr="00087EA0" w:rsidRDefault="004D210D" w:rsidP="00DE4F6C">
            <w:pPr>
              <w:spacing w:line="480" w:lineRule="auto"/>
              <w:jc w:val="both"/>
            </w:pPr>
            <w:r>
              <w:t>PTP</w:t>
            </w:r>
            <w:r w:rsidRPr="00087EA0">
              <w:t xml:space="preserve"> volume (mm</w:t>
            </w:r>
            <w:r w:rsidRPr="00087EA0">
              <w:rPr>
                <w:vertAlign w:val="superscript"/>
              </w:rPr>
              <w:t>3</w:t>
            </w:r>
            <w:r w:rsidRPr="00087EA0">
              <w:t>)</w:t>
            </w:r>
          </w:p>
        </w:tc>
        <w:tc>
          <w:tcPr>
            <w:tcW w:w="1611" w:type="dxa"/>
          </w:tcPr>
          <w:p w14:paraId="6AA906AB" w14:textId="77777777" w:rsidR="004D210D" w:rsidRPr="00087EA0" w:rsidRDefault="004D210D" w:rsidP="00DE4F6C">
            <w:pPr>
              <w:spacing w:line="480" w:lineRule="auto"/>
              <w:jc w:val="center"/>
            </w:pPr>
            <w:r w:rsidRPr="00087EA0">
              <w:t>5.4</w:t>
            </w:r>
            <w:r w:rsidRPr="00087EA0">
              <w:sym w:font="Symbol" w:char="F0B1"/>
            </w:r>
            <w:r w:rsidRPr="00087EA0">
              <w:t>4.6</w:t>
            </w:r>
          </w:p>
        </w:tc>
        <w:tc>
          <w:tcPr>
            <w:tcW w:w="1701" w:type="dxa"/>
          </w:tcPr>
          <w:p w14:paraId="7171BCF0" w14:textId="77777777" w:rsidR="004D210D" w:rsidRPr="00087EA0" w:rsidRDefault="004D210D" w:rsidP="00DE4F6C">
            <w:pPr>
              <w:spacing w:line="480" w:lineRule="auto"/>
              <w:jc w:val="center"/>
            </w:pPr>
            <w:r w:rsidRPr="00087EA0">
              <w:t>8.1</w:t>
            </w:r>
            <w:r w:rsidRPr="00087EA0">
              <w:sym w:font="Symbol" w:char="F0B1"/>
            </w:r>
            <w:r w:rsidRPr="00087EA0">
              <w:t>6.4</w:t>
            </w:r>
          </w:p>
        </w:tc>
        <w:tc>
          <w:tcPr>
            <w:tcW w:w="994" w:type="dxa"/>
          </w:tcPr>
          <w:p w14:paraId="336A35D4" w14:textId="77777777" w:rsidR="004D210D" w:rsidRPr="00087EA0" w:rsidRDefault="004D210D" w:rsidP="00DE4F6C">
            <w:pPr>
              <w:spacing w:line="480" w:lineRule="auto"/>
              <w:jc w:val="center"/>
            </w:pPr>
            <w:r w:rsidRPr="00087EA0">
              <w:t>0.001</w:t>
            </w:r>
          </w:p>
        </w:tc>
      </w:tr>
      <w:tr w:rsidR="004D210D" w14:paraId="344FF0C2" w14:textId="77777777" w:rsidTr="00DE4F6C">
        <w:tc>
          <w:tcPr>
            <w:tcW w:w="3742" w:type="dxa"/>
          </w:tcPr>
          <w:p w14:paraId="6BDD2BEB" w14:textId="77777777" w:rsidR="004D210D" w:rsidRPr="00087EA0" w:rsidRDefault="004D210D" w:rsidP="00DE4F6C">
            <w:pPr>
              <w:spacing w:line="480" w:lineRule="auto"/>
              <w:jc w:val="both"/>
            </w:pPr>
            <w:r>
              <w:t>PTP</w:t>
            </w:r>
            <w:r w:rsidRPr="00087EA0">
              <w:t xml:space="preserve"> burden (%)</w:t>
            </w:r>
          </w:p>
        </w:tc>
        <w:tc>
          <w:tcPr>
            <w:tcW w:w="1611" w:type="dxa"/>
          </w:tcPr>
          <w:p w14:paraId="1EEACBA3" w14:textId="77777777" w:rsidR="004D210D" w:rsidRPr="00087EA0" w:rsidRDefault="004D210D" w:rsidP="00DE4F6C">
            <w:pPr>
              <w:spacing w:line="480" w:lineRule="auto"/>
              <w:jc w:val="center"/>
            </w:pPr>
            <w:r w:rsidRPr="00087EA0">
              <w:t>2.5</w:t>
            </w:r>
            <w:r w:rsidRPr="00087EA0">
              <w:sym w:font="Symbol" w:char="F0B1"/>
            </w:r>
            <w:r w:rsidRPr="00087EA0">
              <w:t>2.0</w:t>
            </w:r>
          </w:p>
        </w:tc>
        <w:tc>
          <w:tcPr>
            <w:tcW w:w="1701" w:type="dxa"/>
          </w:tcPr>
          <w:p w14:paraId="3092EA08" w14:textId="77777777" w:rsidR="004D210D" w:rsidRPr="00087EA0" w:rsidRDefault="004D210D" w:rsidP="00DE4F6C">
            <w:pPr>
              <w:spacing w:line="480" w:lineRule="auto"/>
              <w:jc w:val="center"/>
            </w:pPr>
            <w:r w:rsidRPr="00087EA0">
              <w:t>3.0</w:t>
            </w:r>
            <w:r w:rsidRPr="00087EA0">
              <w:sym w:font="Symbol" w:char="F0B1"/>
            </w:r>
            <w:r w:rsidRPr="00087EA0">
              <w:t>2.0</w:t>
            </w:r>
          </w:p>
        </w:tc>
        <w:tc>
          <w:tcPr>
            <w:tcW w:w="994" w:type="dxa"/>
          </w:tcPr>
          <w:p w14:paraId="0F290921" w14:textId="77777777" w:rsidR="004D210D" w:rsidRPr="00087EA0" w:rsidRDefault="004D210D" w:rsidP="00DE4F6C">
            <w:pPr>
              <w:spacing w:line="480" w:lineRule="auto"/>
              <w:jc w:val="center"/>
            </w:pPr>
            <w:r w:rsidRPr="00087EA0">
              <w:t>0.06</w:t>
            </w:r>
          </w:p>
        </w:tc>
      </w:tr>
      <w:tr w:rsidR="004D210D" w14:paraId="3F3DC734" w14:textId="77777777" w:rsidTr="00DE4F6C">
        <w:tc>
          <w:tcPr>
            <w:tcW w:w="3742" w:type="dxa"/>
          </w:tcPr>
          <w:p w14:paraId="79D41E09" w14:textId="77777777" w:rsidR="004D210D" w:rsidRPr="00087EA0" w:rsidRDefault="004D210D" w:rsidP="00DE4F6C">
            <w:pPr>
              <w:spacing w:line="480" w:lineRule="auto"/>
              <w:jc w:val="both"/>
            </w:pPr>
            <w:r w:rsidRPr="00087EA0">
              <w:t xml:space="preserve">Maximum </w:t>
            </w:r>
            <w:r>
              <w:t>PTP</w:t>
            </w:r>
            <w:r w:rsidRPr="00087EA0">
              <w:t xml:space="preserve"> thickness (mm)</w:t>
            </w:r>
          </w:p>
        </w:tc>
        <w:tc>
          <w:tcPr>
            <w:tcW w:w="1611" w:type="dxa"/>
          </w:tcPr>
          <w:p w14:paraId="59913E1F" w14:textId="77777777" w:rsidR="004D210D" w:rsidRPr="00087EA0" w:rsidRDefault="004D210D" w:rsidP="00DE4F6C">
            <w:pPr>
              <w:spacing w:line="480" w:lineRule="auto"/>
              <w:jc w:val="center"/>
            </w:pPr>
            <w:r w:rsidRPr="00087EA0">
              <w:t>0.85</w:t>
            </w:r>
            <w:r w:rsidRPr="00087EA0">
              <w:sym w:font="Symbol" w:char="F0B1"/>
            </w:r>
            <w:r w:rsidRPr="00087EA0">
              <w:t>1.05</w:t>
            </w:r>
          </w:p>
        </w:tc>
        <w:tc>
          <w:tcPr>
            <w:tcW w:w="1701" w:type="dxa"/>
          </w:tcPr>
          <w:p w14:paraId="34091908" w14:textId="77777777" w:rsidR="004D210D" w:rsidRPr="00087EA0" w:rsidRDefault="004D210D" w:rsidP="00DE4F6C">
            <w:pPr>
              <w:spacing w:line="480" w:lineRule="auto"/>
              <w:jc w:val="center"/>
            </w:pPr>
            <w:r w:rsidRPr="00087EA0">
              <w:t>0.66</w:t>
            </w:r>
            <w:r w:rsidRPr="00087EA0">
              <w:sym w:font="Symbol" w:char="F0B1"/>
            </w:r>
            <w:r w:rsidRPr="00087EA0">
              <w:t>0.25</w:t>
            </w:r>
          </w:p>
        </w:tc>
        <w:tc>
          <w:tcPr>
            <w:tcW w:w="994" w:type="dxa"/>
          </w:tcPr>
          <w:p w14:paraId="5C1225B7" w14:textId="77777777" w:rsidR="004D210D" w:rsidRPr="00087EA0" w:rsidRDefault="004D210D" w:rsidP="00DE4F6C">
            <w:pPr>
              <w:spacing w:line="480" w:lineRule="auto"/>
              <w:jc w:val="center"/>
            </w:pPr>
            <w:r w:rsidRPr="00087EA0">
              <w:t>0.71</w:t>
            </w:r>
          </w:p>
        </w:tc>
      </w:tr>
      <w:tr w:rsidR="004D210D" w14:paraId="1C8A4C29" w14:textId="77777777" w:rsidTr="00DE4F6C">
        <w:tc>
          <w:tcPr>
            <w:tcW w:w="3742" w:type="dxa"/>
          </w:tcPr>
          <w:p w14:paraId="400FFB0B" w14:textId="77777777" w:rsidR="004D210D" w:rsidRPr="00087EA0" w:rsidRDefault="004D210D" w:rsidP="00DE4F6C">
            <w:pPr>
              <w:spacing w:line="480" w:lineRule="auto"/>
              <w:jc w:val="both"/>
            </w:pPr>
            <w:r w:rsidRPr="00087EA0">
              <w:t xml:space="preserve">Mean </w:t>
            </w:r>
            <w:r>
              <w:t>PTP</w:t>
            </w:r>
            <w:r w:rsidRPr="00087EA0">
              <w:t xml:space="preserve"> thickness (mm)</w:t>
            </w:r>
          </w:p>
        </w:tc>
        <w:tc>
          <w:tcPr>
            <w:tcW w:w="1611" w:type="dxa"/>
          </w:tcPr>
          <w:p w14:paraId="401EB714" w14:textId="77777777" w:rsidR="004D210D" w:rsidRPr="00087EA0" w:rsidRDefault="004D210D" w:rsidP="00DE4F6C">
            <w:pPr>
              <w:spacing w:line="480" w:lineRule="auto"/>
              <w:jc w:val="center"/>
            </w:pPr>
            <w:r w:rsidRPr="00087EA0">
              <w:t>0.28</w:t>
            </w:r>
            <w:r w:rsidRPr="00087EA0">
              <w:sym w:font="Symbol" w:char="F0B1"/>
            </w:r>
            <w:r w:rsidRPr="00087EA0">
              <w:t>0.08</w:t>
            </w:r>
          </w:p>
        </w:tc>
        <w:tc>
          <w:tcPr>
            <w:tcW w:w="1701" w:type="dxa"/>
          </w:tcPr>
          <w:p w14:paraId="75624B2F" w14:textId="77777777" w:rsidR="004D210D" w:rsidRPr="00087EA0" w:rsidRDefault="004D210D" w:rsidP="00DE4F6C">
            <w:pPr>
              <w:spacing w:line="480" w:lineRule="auto"/>
              <w:jc w:val="center"/>
            </w:pPr>
            <w:r w:rsidRPr="00087EA0">
              <w:t>0.29</w:t>
            </w:r>
            <w:r w:rsidRPr="00087EA0">
              <w:sym w:font="Symbol" w:char="F0B1"/>
            </w:r>
            <w:r w:rsidRPr="00087EA0">
              <w:t>0.09</w:t>
            </w:r>
          </w:p>
        </w:tc>
        <w:tc>
          <w:tcPr>
            <w:tcW w:w="994" w:type="dxa"/>
          </w:tcPr>
          <w:p w14:paraId="56EB50DF" w14:textId="77777777" w:rsidR="004D210D" w:rsidRPr="00087EA0" w:rsidRDefault="004D210D" w:rsidP="00DE4F6C">
            <w:pPr>
              <w:spacing w:line="480" w:lineRule="auto"/>
              <w:jc w:val="center"/>
            </w:pPr>
            <w:r w:rsidRPr="00087EA0">
              <w:t>0.27</w:t>
            </w:r>
          </w:p>
        </w:tc>
      </w:tr>
      <w:tr w:rsidR="004D210D" w14:paraId="194CF5C4" w14:textId="77777777" w:rsidTr="00DE4F6C">
        <w:tc>
          <w:tcPr>
            <w:tcW w:w="3742" w:type="dxa"/>
          </w:tcPr>
          <w:p w14:paraId="00988FE0" w14:textId="77777777" w:rsidR="004D210D" w:rsidRPr="00087EA0" w:rsidRDefault="004D210D" w:rsidP="00DE4F6C">
            <w:pPr>
              <w:spacing w:line="480" w:lineRule="auto"/>
              <w:jc w:val="both"/>
            </w:pPr>
            <w:r w:rsidRPr="00087EA0">
              <w:t>Protrusion area/Stent area (%)</w:t>
            </w:r>
          </w:p>
        </w:tc>
        <w:tc>
          <w:tcPr>
            <w:tcW w:w="1611" w:type="dxa"/>
          </w:tcPr>
          <w:p w14:paraId="77D422B8" w14:textId="77777777" w:rsidR="004D210D" w:rsidRPr="00087EA0" w:rsidRDefault="004D210D" w:rsidP="00DE4F6C">
            <w:pPr>
              <w:spacing w:line="480" w:lineRule="auto"/>
              <w:jc w:val="center"/>
            </w:pPr>
            <w:r w:rsidRPr="00087EA0">
              <w:t>15.97</w:t>
            </w:r>
            <w:r w:rsidRPr="00087EA0">
              <w:sym w:font="Symbol" w:char="F0B1"/>
            </w:r>
            <w:r w:rsidRPr="00087EA0">
              <w:t>6.69</w:t>
            </w:r>
          </w:p>
        </w:tc>
        <w:tc>
          <w:tcPr>
            <w:tcW w:w="1701" w:type="dxa"/>
          </w:tcPr>
          <w:p w14:paraId="2044DC57" w14:textId="77777777" w:rsidR="004D210D" w:rsidRPr="00087EA0" w:rsidRDefault="004D210D" w:rsidP="00DE4F6C">
            <w:pPr>
              <w:spacing w:line="480" w:lineRule="auto"/>
              <w:jc w:val="center"/>
            </w:pPr>
            <w:r w:rsidRPr="00087EA0">
              <w:t>15.09</w:t>
            </w:r>
            <w:r w:rsidRPr="00087EA0">
              <w:sym w:font="Symbol" w:char="F0B1"/>
            </w:r>
            <w:r w:rsidRPr="00087EA0">
              <w:t>6.38</w:t>
            </w:r>
          </w:p>
        </w:tc>
        <w:tc>
          <w:tcPr>
            <w:tcW w:w="994" w:type="dxa"/>
          </w:tcPr>
          <w:p w14:paraId="0CC5BF6A" w14:textId="77777777" w:rsidR="004D210D" w:rsidRPr="00087EA0" w:rsidRDefault="004D210D" w:rsidP="00DE4F6C">
            <w:pPr>
              <w:spacing w:line="480" w:lineRule="auto"/>
              <w:jc w:val="center"/>
            </w:pPr>
            <w:r w:rsidRPr="00087EA0">
              <w:t>0.5</w:t>
            </w:r>
          </w:p>
        </w:tc>
      </w:tr>
      <w:tr w:rsidR="004D210D" w14:paraId="5E924953" w14:textId="77777777" w:rsidTr="00DE4F6C">
        <w:tc>
          <w:tcPr>
            <w:tcW w:w="3742" w:type="dxa"/>
          </w:tcPr>
          <w:p w14:paraId="387D12C8" w14:textId="77777777" w:rsidR="004D210D" w:rsidRPr="00087EA0" w:rsidRDefault="004D210D" w:rsidP="00DE4F6C">
            <w:pPr>
              <w:spacing w:line="480" w:lineRule="auto"/>
              <w:jc w:val="both"/>
            </w:pPr>
            <w:r w:rsidRPr="00087EA0">
              <w:t>Protrusion area/Stent area</w:t>
            </w:r>
            <w:r>
              <w:t xml:space="preserve"> </w:t>
            </w:r>
            <w:r w:rsidRPr="00087EA0">
              <w:sym w:font="Symbol" w:char="F0B3"/>
            </w:r>
            <w:r w:rsidRPr="00087EA0">
              <w:t xml:space="preserve">10%, </w:t>
            </w:r>
            <w:proofErr w:type="gramStart"/>
            <w:r w:rsidRPr="00087EA0">
              <w:t>n(</w:t>
            </w:r>
            <w:proofErr w:type="gramEnd"/>
            <w:r w:rsidRPr="00087EA0">
              <w:t>%)</w:t>
            </w:r>
          </w:p>
        </w:tc>
        <w:tc>
          <w:tcPr>
            <w:tcW w:w="1611" w:type="dxa"/>
          </w:tcPr>
          <w:p w14:paraId="31464D70" w14:textId="77777777" w:rsidR="004D210D" w:rsidRPr="00087EA0" w:rsidRDefault="004D210D" w:rsidP="00DE4F6C">
            <w:pPr>
              <w:spacing w:line="480" w:lineRule="auto"/>
              <w:jc w:val="center"/>
            </w:pPr>
            <w:r w:rsidRPr="00087EA0">
              <w:t>23(74.2)</w:t>
            </w:r>
          </w:p>
        </w:tc>
        <w:tc>
          <w:tcPr>
            <w:tcW w:w="1701" w:type="dxa"/>
          </w:tcPr>
          <w:p w14:paraId="71157FCD" w14:textId="77777777" w:rsidR="004D210D" w:rsidRPr="00087EA0" w:rsidRDefault="004D210D" w:rsidP="00DE4F6C">
            <w:pPr>
              <w:spacing w:line="480" w:lineRule="auto"/>
              <w:jc w:val="center"/>
            </w:pPr>
            <w:r w:rsidRPr="00087EA0">
              <w:t>22(71)</w:t>
            </w:r>
          </w:p>
        </w:tc>
        <w:tc>
          <w:tcPr>
            <w:tcW w:w="994" w:type="dxa"/>
          </w:tcPr>
          <w:p w14:paraId="60D4CB90" w14:textId="77777777" w:rsidR="004D210D" w:rsidRPr="00087EA0" w:rsidRDefault="004D210D" w:rsidP="00DE4F6C">
            <w:pPr>
              <w:spacing w:line="480" w:lineRule="auto"/>
              <w:jc w:val="center"/>
            </w:pPr>
            <w:r w:rsidRPr="00087EA0">
              <w:t>1</w:t>
            </w:r>
          </w:p>
        </w:tc>
      </w:tr>
    </w:tbl>
    <w:p w14:paraId="2D13D237" w14:textId="77777777" w:rsidR="004D210D" w:rsidRDefault="004D210D" w:rsidP="004D210D">
      <w:pPr>
        <w:spacing w:line="480" w:lineRule="auto"/>
        <w:jc w:val="both"/>
      </w:pPr>
    </w:p>
    <w:p w14:paraId="6C745262" w14:textId="77777777" w:rsidR="004D210D" w:rsidRDefault="004D210D" w:rsidP="004D210D">
      <w:pPr>
        <w:spacing w:line="480" w:lineRule="auto"/>
        <w:jc w:val="both"/>
      </w:pPr>
    </w:p>
    <w:p w14:paraId="4589619A" w14:textId="77777777" w:rsidR="004D210D" w:rsidRDefault="004D210D" w:rsidP="004D210D">
      <w:pPr>
        <w:spacing w:line="480" w:lineRule="auto"/>
        <w:jc w:val="both"/>
      </w:pPr>
    </w:p>
    <w:p w14:paraId="42722F48" w14:textId="77777777" w:rsidR="004D210D" w:rsidRDefault="004D210D" w:rsidP="004D210D">
      <w:pPr>
        <w:spacing w:line="480" w:lineRule="auto"/>
        <w:jc w:val="both"/>
      </w:pPr>
    </w:p>
    <w:p w14:paraId="318CAAEF" w14:textId="77777777" w:rsidR="004D210D" w:rsidRDefault="004D210D" w:rsidP="004D210D">
      <w:pPr>
        <w:spacing w:line="480" w:lineRule="auto"/>
        <w:jc w:val="both"/>
      </w:pPr>
    </w:p>
    <w:p w14:paraId="7C865B20" w14:textId="77777777" w:rsidR="004D210D" w:rsidRDefault="004D210D" w:rsidP="004D210D">
      <w:pPr>
        <w:pStyle w:val="Caption"/>
        <w:spacing w:line="480" w:lineRule="auto"/>
      </w:pPr>
      <w:bookmarkStart w:id="9" w:name="_Toc20226538"/>
      <w:r w:rsidRPr="00990777">
        <w:rPr>
          <w:b/>
          <w:bCs/>
        </w:rPr>
        <w:lastRenderedPageBreak/>
        <w:t xml:space="preserve">Table </w:t>
      </w:r>
      <w:r>
        <w:rPr>
          <w:b/>
          <w:bCs/>
        </w:rPr>
        <w:t xml:space="preserve">6. </w:t>
      </w:r>
      <w:r w:rsidRPr="00560BB0">
        <w:t>OCT analysis</w:t>
      </w:r>
      <w:r>
        <w:t xml:space="preserve"> of stent edge dissection.</w:t>
      </w:r>
      <w:bookmarkEnd w:id="9"/>
      <w:r>
        <w:t xml:space="preserve"> </w:t>
      </w:r>
    </w:p>
    <w:tbl>
      <w:tblPr>
        <w:tblStyle w:val="TableGridLight"/>
        <w:tblW w:w="0" w:type="auto"/>
        <w:tblLook w:val="04A0" w:firstRow="1" w:lastRow="0" w:firstColumn="1" w:lastColumn="0" w:noHBand="0" w:noVBand="1"/>
      </w:tblPr>
      <w:tblGrid>
        <w:gridCol w:w="2012"/>
        <w:gridCol w:w="2012"/>
        <w:gridCol w:w="2012"/>
        <w:gridCol w:w="2012"/>
      </w:tblGrid>
      <w:tr w:rsidR="004D210D" w14:paraId="05C41DC1" w14:textId="77777777" w:rsidTr="00DE4F6C">
        <w:tc>
          <w:tcPr>
            <w:tcW w:w="2012" w:type="dxa"/>
          </w:tcPr>
          <w:p w14:paraId="4962E5B1" w14:textId="77777777" w:rsidR="004D210D" w:rsidRDefault="004D210D" w:rsidP="00DE4F6C">
            <w:pPr>
              <w:spacing w:line="480" w:lineRule="auto"/>
              <w:jc w:val="both"/>
            </w:pPr>
          </w:p>
        </w:tc>
        <w:tc>
          <w:tcPr>
            <w:tcW w:w="2012" w:type="dxa"/>
          </w:tcPr>
          <w:p w14:paraId="721295EF" w14:textId="77777777" w:rsidR="004D210D" w:rsidRPr="00087EA0" w:rsidRDefault="004D210D" w:rsidP="00DE4F6C">
            <w:pPr>
              <w:spacing w:line="480" w:lineRule="auto"/>
              <w:jc w:val="both"/>
            </w:pPr>
            <w:r w:rsidRPr="00087EA0">
              <w:t xml:space="preserve">Before </w:t>
            </w:r>
          </w:p>
          <w:p w14:paraId="4E0EDB79" w14:textId="77777777" w:rsidR="004D210D" w:rsidRPr="00087EA0" w:rsidRDefault="004D210D" w:rsidP="00DE4F6C">
            <w:pPr>
              <w:spacing w:line="480" w:lineRule="auto"/>
              <w:jc w:val="both"/>
            </w:pPr>
            <w:r w:rsidRPr="00087EA0">
              <w:t>Post</w:t>
            </w:r>
            <w:r>
              <w:t>-</w:t>
            </w:r>
            <w:r w:rsidRPr="00087EA0">
              <w:t xml:space="preserve">dilatation </w:t>
            </w:r>
          </w:p>
        </w:tc>
        <w:tc>
          <w:tcPr>
            <w:tcW w:w="2012" w:type="dxa"/>
          </w:tcPr>
          <w:p w14:paraId="2B068F4B" w14:textId="77777777" w:rsidR="004D210D" w:rsidRPr="00087EA0" w:rsidRDefault="004D210D" w:rsidP="00DE4F6C">
            <w:pPr>
              <w:spacing w:line="480" w:lineRule="auto"/>
              <w:jc w:val="both"/>
            </w:pPr>
            <w:r w:rsidRPr="00087EA0">
              <w:t xml:space="preserve">After </w:t>
            </w:r>
          </w:p>
          <w:p w14:paraId="35B3FE06" w14:textId="77777777" w:rsidR="004D210D" w:rsidRPr="00087EA0" w:rsidRDefault="004D210D" w:rsidP="00DE4F6C">
            <w:pPr>
              <w:spacing w:line="480" w:lineRule="auto"/>
              <w:jc w:val="both"/>
            </w:pPr>
            <w:r w:rsidRPr="00087EA0">
              <w:t>Post</w:t>
            </w:r>
            <w:r>
              <w:t>-</w:t>
            </w:r>
            <w:r w:rsidRPr="00087EA0">
              <w:t xml:space="preserve">dilatation </w:t>
            </w:r>
          </w:p>
        </w:tc>
        <w:tc>
          <w:tcPr>
            <w:tcW w:w="2012" w:type="dxa"/>
          </w:tcPr>
          <w:p w14:paraId="5524F47C" w14:textId="77777777" w:rsidR="004D210D" w:rsidRPr="00087EA0" w:rsidRDefault="004D210D" w:rsidP="00DE4F6C">
            <w:pPr>
              <w:spacing w:line="480" w:lineRule="auto"/>
              <w:jc w:val="both"/>
            </w:pPr>
            <w:r w:rsidRPr="00087EA0">
              <w:t>p-values</w:t>
            </w:r>
          </w:p>
        </w:tc>
      </w:tr>
      <w:tr w:rsidR="004D210D" w14:paraId="1AF7F241" w14:textId="77777777" w:rsidTr="00DE4F6C">
        <w:tc>
          <w:tcPr>
            <w:tcW w:w="8048" w:type="dxa"/>
            <w:gridSpan w:val="4"/>
          </w:tcPr>
          <w:p w14:paraId="4FB62D62" w14:textId="77777777" w:rsidR="004D210D" w:rsidRPr="00087EA0" w:rsidRDefault="004D210D" w:rsidP="00DE4F6C">
            <w:pPr>
              <w:spacing w:line="480" w:lineRule="auto"/>
              <w:jc w:val="center"/>
            </w:pPr>
            <w:r w:rsidRPr="00087EA0">
              <w:rPr>
                <w:bCs/>
                <w:iCs/>
                <w:lang w:val="en-US"/>
              </w:rPr>
              <w:t>Any Dissection detected by OCT</w:t>
            </w:r>
          </w:p>
        </w:tc>
      </w:tr>
      <w:tr w:rsidR="004D210D" w14:paraId="253AB8E1" w14:textId="77777777" w:rsidTr="00DE4F6C">
        <w:tc>
          <w:tcPr>
            <w:tcW w:w="2012" w:type="dxa"/>
          </w:tcPr>
          <w:p w14:paraId="35155F70" w14:textId="77777777" w:rsidR="004D210D" w:rsidRPr="00087EA0" w:rsidRDefault="004D210D" w:rsidP="00DE4F6C">
            <w:pPr>
              <w:spacing w:line="480" w:lineRule="auto"/>
              <w:jc w:val="both"/>
            </w:pPr>
            <w:proofErr w:type="gramStart"/>
            <w:r w:rsidRPr="00087EA0">
              <w:rPr>
                <w:bCs/>
                <w:kern w:val="24"/>
                <w:lang w:val="en-US"/>
              </w:rPr>
              <w:t>Proximal(</w:t>
            </w:r>
            <w:proofErr w:type="gramEnd"/>
            <w:r w:rsidRPr="00087EA0">
              <w:rPr>
                <w:bCs/>
                <w:kern w:val="24"/>
                <w:lang w:val="en-US"/>
              </w:rPr>
              <w:t>%)</w:t>
            </w:r>
          </w:p>
        </w:tc>
        <w:tc>
          <w:tcPr>
            <w:tcW w:w="2012" w:type="dxa"/>
          </w:tcPr>
          <w:p w14:paraId="0FFB0B88" w14:textId="77777777" w:rsidR="004D210D" w:rsidRPr="00087EA0" w:rsidRDefault="004D210D" w:rsidP="00DE4F6C">
            <w:pPr>
              <w:spacing w:line="480" w:lineRule="auto"/>
              <w:jc w:val="center"/>
            </w:pPr>
            <w:r w:rsidRPr="00087EA0">
              <w:rPr>
                <w:bCs/>
                <w:kern w:val="24"/>
                <w:lang w:val="en-US"/>
              </w:rPr>
              <w:t>5(16)</w:t>
            </w:r>
          </w:p>
        </w:tc>
        <w:tc>
          <w:tcPr>
            <w:tcW w:w="2012" w:type="dxa"/>
          </w:tcPr>
          <w:p w14:paraId="2CF60A98" w14:textId="77777777" w:rsidR="004D210D" w:rsidRPr="00087EA0" w:rsidRDefault="004D210D" w:rsidP="00DE4F6C">
            <w:pPr>
              <w:spacing w:line="480" w:lineRule="auto"/>
              <w:jc w:val="center"/>
            </w:pPr>
            <w:r w:rsidRPr="00087EA0">
              <w:rPr>
                <w:bCs/>
                <w:kern w:val="24"/>
                <w:lang w:val="en-US"/>
              </w:rPr>
              <w:t>6(19)</w:t>
            </w:r>
          </w:p>
        </w:tc>
        <w:tc>
          <w:tcPr>
            <w:tcW w:w="2012" w:type="dxa"/>
          </w:tcPr>
          <w:p w14:paraId="760126CF" w14:textId="77777777" w:rsidR="004D210D" w:rsidRPr="00087EA0" w:rsidRDefault="004D210D" w:rsidP="00DE4F6C">
            <w:pPr>
              <w:spacing w:line="480" w:lineRule="auto"/>
              <w:jc w:val="center"/>
            </w:pPr>
            <w:r w:rsidRPr="00087EA0">
              <w:rPr>
                <w:bCs/>
                <w:kern w:val="24"/>
                <w:lang w:val="en-US"/>
              </w:rPr>
              <w:t>1.00</w:t>
            </w:r>
          </w:p>
        </w:tc>
      </w:tr>
      <w:tr w:rsidR="004D210D" w14:paraId="484BA200" w14:textId="77777777" w:rsidTr="00DE4F6C">
        <w:tc>
          <w:tcPr>
            <w:tcW w:w="2012" w:type="dxa"/>
          </w:tcPr>
          <w:p w14:paraId="58D355F2" w14:textId="77777777" w:rsidR="004D210D" w:rsidRPr="00087EA0" w:rsidRDefault="004D210D" w:rsidP="00DE4F6C">
            <w:pPr>
              <w:spacing w:line="480" w:lineRule="auto"/>
              <w:jc w:val="both"/>
            </w:pPr>
            <w:proofErr w:type="gramStart"/>
            <w:r w:rsidRPr="00087EA0">
              <w:rPr>
                <w:bCs/>
                <w:kern w:val="24"/>
                <w:lang w:val="en-US"/>
              </w:rPr>
              <w:t>Distal(</w:t>
            </w:r>
            <w:proofErr w:type="gramEnd"/>
            <w:r w:rsidRPr="00087EA0">
              <w:rPr>
                <w:bCs/>
                <w:kern w:val="24"/>
                <w:lang w:val="en-US"/>
              </w:rPr>
              <w:t>%)</w:t>
            </w:r>
          </w:p>
        </w:tc>
        <w:tc>
          <w:tcPr>
            <w:tcW w:w="2012" w:type="dxa"/>
          </w:tcPr>
          <w:p w14:paraId="3E950652" w14:textId="77777777" w:rsidR="004D210D" w:rsidRPr="00087EA0" w:rsidRDefault="004D210D" w:rsidP="00DE4F6C">
            <w:pPr>
              <w:spacing w:line="480" w:lineRule="auto"/>
              <w:jc w:val="center"/>
            </w:pPr>
            <w:r w:rsidRPr="00087EA0">
              <w:rPr>
                <w:bCs/>
                <w:kern w:val="24"/>
                <w:lang w:val="en-US"/>
              </w:rPr>
              <w:t>4(12)</w:t>
            </w:r>
          </w:p>
        </w:tc>
        <w:tc>
          <w:tcPr>
            <w:tcW w:w="2012" w:type="dxa"/>
          </w:tcPr>
          <w:p w14:paraId="762056B8" w14:textId="77777777" w:rsidR="004D210D" w:rsidRPr="00087EA0" w:rsidRDefault="004D210D" w:rsidP="00DE4F6C">
            <w:pPr>
              <w:spacing w:line="480" w:lineRule="auto"/>
              <w:jc w:val="center"/>
            </w:pPr>
            <w:r w:rsidRPr="00087EA0">
              <w:rPr>
                <w:bCs/>
                <w:kern w:val="24"/>
                <w:lang w:val="en-US"/>
              </w:rPr>
              <w:t>7(22)</w:t>
            </w:r>
          </w:p>
        </w:tc>
        <w:tc>
          <w:tcPr>
            <w:tcW w:w="2012" w:type="dxa"/>
          </w:tcPr>
          <w:p w14:paraId="51ABD65D" w14:textId="77777777" w:rsidR="004D210D" w:rsidRPr="00087EA0" w:rsidRDefault="004D210D" w:rsidP="00DE4F6C">
            <w:pPr>
              <w:spacing w:line="480" w:lineRule="auto"/>
              <w:jc w:val="center"/>
            </w:pPr>
            <w:r w:rsidRPr="00087EA0">
              <w:rPr>
                <w:bCs/>
                <w:kern w:val="24"/>
                <w:lang w:val="en-US"/>
              </w:rPr>
              <w:t>0.25</w:t>
            </w:r>
          </w:p>
        </w:tc>
      </w:tr>
      <w:tr w:rsidR="004D210D" w14:paraId="4D74C303" w14:textId="77777777" w:rsidTr="00DE4F6C">
        <w:tc>
          <w:tcPr>
            <w:tcW w:w="8048" w:type="dxa"/>
            <w:gridSpan w:val="4"/>
          </w:tcPr>
          <w:p w14:paraId="1892A947" w14:textId="77777777" w:rsidR="004D210D" w:rsidRDefault="004D210D" w:rsidP="00DE4F6C">
            <w:pPr>
              <w:spacing w:line="480" w:lineRule="auto"/>
              <w:jc w:val="center"/>
            </w:pPr>
            <w:r w:rsidRPr="0062264C">
              <w:t>Major Dissection detected by OCT *</w:t>
            </w:r>
          </w:p>
        </w:tc>
      </w:tr>
      <w:tr w:rsidR="004D210D" w14:paraId="3C8A7277" w14:textId="77777777" w:rsidTr="00DE4F6C">
        <w:tc>
          <w:tcPr>
            <w:tcW w:w="2012" w:type="dxa"/>
          </w:tcPr>
          <w:p w14:paraId="136A291A" w14:textId="77777777" w:rsidR="004D210D" w:rsidRPr="0062264C" w:rsidRDefault="004D210D" w:rsidP="00DE4F6C">
            <w:pPr>
              <w:spacing w:line="480" w:lineRule="auto"/>
              <w:jc w:val="both"/>
            </w:pPr>
            <w:proofErr w:type="gramStart"/>
            <w:r w:rsidRPr="0062264C">
              <w:rPr>
                <w:bCs/>
                <w:kern w:val="24"/>
                <w:lang w:val="en-US"/>
              </w:rPr>
              <w:t>Proximal</w:t>
            </w:r>
            <w:r>
              <w:rPr>
                <w:bCs/>
                <w:kern w:val="24"/>
                <w:lang w:val="en-US"/>
              </w:rPr>
              <w:t>(</w:t>
            </w:r>
            <w:proofErr w:type="gramEnd"/>
            <w:r>
              <w:rPr>
                <w:bCs/>
                <w:kern w:val="24"/>
                <w:lang w:val="en-US"/>
              </w:rPr>
              <w:t>%)</w:t>
            </w:r>
          </w:p>
        </w:tc>
        <w:tc>
          <w:tcPr>
            <w:tcW w:w="2012" w:type="dxa"/>
          </w:tcPr>
          <w:p w14:paraId="6AB78A35" w14:textId="77777777" w:rsidR="004D210D" w:rsidRPr="0062264C" w:rsidRDefault="004D210D" w:rsidP="00DE4F6C">
            <w:pPr>
              <w:spacing w:line="480" w:lineRule="auto"/>
              <w:jc w:val="center"/>
            </w:pPr>
            <w:r w:rsidRPr="0062264C">
              <w:rPr>
                <w:bCs/>
                <w:kern w:val="24"/>
                <w:lang w:val="en-US"/>
              </w:rPr>
              <w:t>3(9)</w:t>
            </w:r>
          </w:p>
        </w:tc>
        <w:tc>
          <w:tcPr>
            <w:tcW w:w="2012" w:type="dxa"/>
          </w:tcPr>
          <w:p w14:paraId="1E3E0333" w14:textId="77777777" w:rsidR="004D210D" w:rsidRPr="0062264C" w:rsidRDefault="004D210D" w:rsidP="00DE4F6C">
            <w:pPr>
              <w:spacing w:line="480" w:lineRule="auto"/>
              <w:jc w:val="center"/>
            </w:pPr>
            <w:r w:rsidRPr="0062264C">
              <w:rPr>
                <w:bCs/>
                <w:kern w:val="24"/>
                <w:lang w:val="en-US"/>
              </w:rPr>
              <w:t>4(12)</w:t>
            </w:r>
          </w:p>
        </w:tc>
        <w:tc>
          <w:tcPr>
            <w:tcW w:w="2012" w:type="dxa"/>
          </w:tcPr>
          <w:p w14:paraId="4C0D7D3D" w14:textId="77777777" w:rsidR="004D210D" w:rsidRPr="0062264C" w:rsidRDefault="004D210D" w:rsidP="00DE4F6C">
            <w:pPr>
              <w:spacing w:line="480" w:lineRule="auto"/>
              <w:jc w:val="center"/>
            </w:pPr>
            <w:r w:rsidRPr="0062264C">
              <w:rPr>
                <w:bCs/>
                <w:kern w:val="24"/>
                <w:lang w:val="en-US"/>
              </w:rPr>
              <w:t>1.00</w:t>
            </w:r>
          </w:p>
        </w:tc>
      </w:tr>
      <w:tr w:rsidR="004D210D" w14:paraId="543F4CB1" w14:textId="77777777" w:rsidTr="00DE4F6C">
        <w:tc>
          <w:tcPr>
            <w:tcW w:w="2012" w:type="dxa"/>
          </w:tcPr>
          <w:p w14:paraId="265608E3" w14:textId="77777777" w:rsidR="004D210D" w:rsidRPr="0062264C" w:rsidRDefault="004D210D" w:rsidP="00DE4F6C">
            <w:pPr>
              <w:spacing w:line="480" w:lineRule="auto"/>
              <w:jc w:val="both"/>
            </w:pPr>
            <w:proofErr w:type="gramStart"/>
            <w:r>
              <w:rPr>
                <w:bCs/>
                <w:kern w:val="24"/>
                <w:lang w:val="en-US"/>
              </w:rPr>
              <w:t>Distal(</w:t>
            </w:r>
            <w:proofErr w:type="gramEnd"/>
            <w:r>
              <w:rPr>
                <w:bCs/>
                <w:kern w:val="24"/>
                <w:lang w:val="en-US"/>
              </w:rPr>
              <w:t>%)</w:t>
            </w:r>
          </w:p>
        </w:tc>
        <w:tc>
          <w:tcPr>
            <w:tcW w:w="2012" w:type="dxa"/>
          </w:tcPr>
          <w:p w14:paraId="4D9FB525" w14:textId="77777777" w:rsidR="004D210D" w:rsidRPr="0062264C" w:rsidRDefault="004D210D" w:rsidP="00DE4F6C">
            <w:pPr>
              <w:spacing w:line="480" w:lineRule="auto"/>
              <w:jc w:val="center"/>
            </w:pPr>
            <w:r w:rsidRPr="0062264C">
              <w:rPr>
                <w:bCs/>
                <w:kern w:val="24"/>
                <w:lang w:val="en-US"/>
              </w:rPr>
              <w:t>1(3)</w:t>
            </w:r>
          </w:p>
        </w:tc>
        <w:tc>
          <w:tcPr>
            <w:tcW w:w="2012" w:type="dxa"/>
          </w:tcPr>
          <w:p w14:paraId="02F52DA1" w14:textId="77777777" w:rsidR="004D210D" w:rsidRPr="0062264C" w:rsidRDefault="004D210D" w:rsidP="00DE4F6C">
            <w:pPr>
              <w:spacing w:line="480" w:lineRule="auto"/>
              <w:jc w:val="center"/>
            </w:pPr>
            <w:r w:rsidRPr="0062264C">
              <w:rPr>
                <w:bCs/>
                <w:kern w:val="24"/>
                <w:lang w:val="en-US"/>
              </w:rPr>
              <w:t>4(12)</w:t>
            </w:r>
          </w:p>
        </w:tc>
        <w:tc>
          <w:tcPr>
            <w:tcW w:w="2012" w:type="dxa"/>
          </w:tcPr>
          <w:p w14:paraId="12E41D28" w14:textId="77777777" w:rsidR="004D210D" w:rsidRPr="0062264C" w:rsidRDefault="004D210D" w:rsidP="00DE4F6C">
            <w:pPr>
              <w:spacing w:line="480" w:lineRule="auto"/>
              <w:jc w:val="center"/>
            </w:pPr>
            <w:r w:rsidRPr="0062264C">
              <w:rPr>
                <w:bCs/>
                <w:kern w:val="24"/>
                <w:lang w:val="en-US"/>
              </w:rPr>
              <w:t>0.25</w:t>
            </w:r>
          </w:p>
        </w:tc>
      </w:tr>
    </w:tbl>
    <w:p w14:paraId="1B6E05E2" w14:textId="77777777" w:rsidR="004D210D" w:rsidRDefault="004D210D" w:rsidP="004D210D">
      <w:pPr>
        <w:spacing w:line="480" w:lineRule="auto"/>
        <w:jc w:val="both"/>
        <w:rPr>
          <w:bCs/>
          <w:lang w:val="en-US"/>
        </w:rPr>
      </w:pPr>
      <w:r w:rsidRPr="0062264C">
        <w:rPr>
          <w:bCs/>
          <w:lang w:val="en-US"/>
        </w:rPr>
        <w:t>* Lateral expansion &gt;60</w:t>
      </w:r>
      <w:r w:rsidRPr="0062264C">
        <w:rPr>
          <w:bCs/>
          <w:vertAlign w:val="superscript"/>
          <w:lang w:val="en-US"/>
        </w:rPr>
        <w:t>o</w:t>
      </w:r>
      <w:r w:rsidRPr="0062264C">
        <w:rPr>
          <w:bCs/>
          <w:lang w:val="en-US"/>
        </w:rPr>
        <w:t xml:space="preserve"> &amp; longitudinal expansion &gt;2mm</w:t>
      </w:r>
    </w:p>
    <w:p w14:paraId="66E471F0" w14:textId="77777777" w:rsidR="004D210D" w:rsidRPr="006E069F" w:rsidRDefault="004D210D" w:rsidP="004D210D">
      <w:pPr>
        <w:spacing w:line="480" w:lineRule="auto"/>
        <w:jc w:val="both"/>
        <w:rPr>
          <w:lang w:val="en-US"/>
        </w:rPr>
      </w:pPr>
    </w:p>
    <w:p w14:paraId="64F3DEEC" w14:textId="77777777" w:rsidR="004D210D" w:rsidRDefault="004D210D" w:rsidP="004D210D">
      <w:pPr>
        <w:spacing w:line="480" w:lineRule="auto"/>
      </w:pPr>
    </w:p>
    <w:p w14:paraId="7ABC02A9" w14:textId="77777777" w:rsidR="004D210D" w:rsidRPr="001D0EFA" w:rsidRDefault="004D210D" w:rsidP="004D210D">
      <w:pPr>
        <w:spacing w:line="480" w:lineRule="auto"/>
        <w:jc w:val="both"/>
        <w:rPr>
          <w:lang w:val="en-US"/>
        </w:rPr>
      </w:pPr>
    </w:p>
    <w:p w14:paraId="19BF0210" w14:textId="77777777" w:rsidR="004D210D" w:rsidRDefault="004D210D" w:rsidP="004D210D">
      <w:pPr>
        <w:spacing w:line="480" w:lineRule="auto"/>
        <w:jc w:val="both"/>
      </w:pPr>
    </w:p>
    <w:p w14:paraId="4FBECC3F" w14:textId="77777777" w:rsidR="004D210D" w:rsidRDefault="004D210D" w:rsidP="004D210D">
      <w:pPr>
        <w:spacing w:line="480" w:lineRule="auto"/>
      </w:pPr>
    </w:p>
    <w:p w14:paraId="65AE5BB6" w14:textId="77777777" w:rsidR="004D210D" w:rsidRPr="00E573E2" w:rsidRDefault="004D210D" w:rsidP="004D210D">
      <w:pPr>
        <w:spacing w:line="480" w:lineRule="auto"/>
        <w:jc w:val="both"/>
      </w:pPr>
    </w:p>
    <w:p w14:paraId="6D013240" w14:textId="77777777" w:rsidR="004D210D" w:rsidRDefault="004D210D" w:rsidP="004D210D">
      <w:pPr>
        <w:spacing w:line="480" w:lineRule="auto"/>
      </w:pPr>
    </w:p>
    <w:p w14:paraId="61F1B8FC" w14:textId="77777777" w:rsidR="004D210D" w:rsidRDefault="004D210D" w:rsidP="004D210D">
      <w:pPr>
        <w:spacing w:line="480" w:lineRule="auto"/>
      </w:pPr>
    </w:p>
    <w:p w14:paraId="11527F94" w14:textId="77777777" w:rsidR="004D210D" w:rsidRDefault="004D210D" w:rsidP="004D210D">
      <w:pPr>
        <w:spacing w:line="480" w:lineRule="auto"/>
      </w:pPr>
    </w:p>
    <w:p w14:paraId="24F5170D" w14:textId="77777777" w:rsidR="004D210D" w:rsidRDefault="004D210D" w:rsidP="004D210D">
      <w:pPr>
        <w:spacing w:line="480" w:lineRule="auto"/>
      </w:pPr>
    </w:p>
    <w:p w14:paraId="69820FBB" w14:textId="77777777" w:rsidR="004D210D" w:rsidRDefault="004D210D" w:rsidP="004D210D">
      <w:pPr>
        <w:spacing w:line="480" w:lineRule="auto"/>
      </w:pPr>
    </w:p>
    <w:p w14:paraId="3DA27A1C" w14:textId="77777777" w:rsidR="004D210D" w:rsidRDefault="004D210D" w:rsidP="004D210D">
      <w:pPr>
        <w:spacing w:line="480" w:lineRule="auto"/>
      </w:pPr>
    </w:p>
    <w:p w14:paraId="1D3363B5" w14:textId="77777777" w:rsidR="004D210D" w:rsidRDefault="004D210D" w:rsidP="004D210D"/>
    <w:p w14:paraId="555264FF" w14:textId="77777777" w:rsidR="004D210D" w:rsidRPr="00161987" w:rsidRDefault="004D210D" w:rsidP="00161987">
      <w:pPr>
        <w:spacing w:line="480" w:lineRule="auto"/>
        <w:jc w:val="both"/>
      </w:pPr>
    </w:p>
    <w:bookmarkEnd w:id="0"/>
    <w:p w14:paraId="64E6523F" w14:textId="77777777" w:rsidR="00B32D9D" w:rsidRPr="0062163D" w:rsidRDefault="00B32D9D" w:rsidP="00B32D9D">
      <w:pPr>
        <w:rPr>
          <w:lang w:eastAsia="en-US"/>
        </w:rPr>
      </w:pPr>
    </w:p>
    <w:sectPr w:rsidR="00B32D9D" w:rsidRPr="0062163D" w:rsidSect="00AE75A6">
      <w:footerReference w:type="even" r:id="rId13"/>
      <w:footerReference w:type="default" r:id="rId14"/>
      <w:pgSz w:w="12240" w:h="15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D295A" w14:textId="77777777" w:rsidR="00F47D84" w:rsidRDefault="00F47D84" w:rsidP="00AE75A6">
      <w:r>
        <w:separator/>
      </w:r>
    </w:p>
  </w:endnote>
  <w:endnote w:type="continuationSeparator" w:id="0">
    <w:p w14:paraId="450710DD" w14:textId="77777777" w:rsidR="00F47D84" w:rsidRDefault="00F47D84" w:rsidP="00AE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8248820"/>
      <w:docPartObj>
        <w:docPartGallery w:val="Page Numbers (Bottom of Page)"/>
        <w:docPartUnique/>
      </w:docPartObj>
    </w:sdtPr>
    <w:sdtEndPr>
      <w:rPr>
        <w:rStyle w:val="PageNumber"/>
      </w:rPr>
    </w:sdtEndPr>
    <w:sdtContent>
      <w:p w14:paraId="5AA8A4BA" w14:textId="0FBAE83E" w:rsidR="008D1A47" w:rsidRDefault="008D1A47" w:rsidP="00111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D05DBB" w14:textId="77777777" w:rsidR="008D1A47" w:rsidRDefault="008D1A47" w:rsidP="000729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564302"/>
      <w:docPartObj>
        <w:docPartGallery w:val="Page Numbers (Bottom of Page)"/>
        <w:docPartUnique/>
      </w:docPartObj>
    </w:sdtPr>
    <w:sdtEndPr>
      <w:rPr>
        <w:rStyle w:val="PageNumber"/>
      </w:rPr>
    </w:sdtEndPr>
    <w:sdtContent>
      <w:p w14:paraId="6DF68DA2" w14:textId="6B20AD6D" w:rsidR="008D1A47" w:rsidRDefault="008D1A47" w:rsidP="00111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D9E36D" w14:textId="77777777" w:rsidR="008D1A47" w:rsidRDefault="008D1A47" w:rsidP="000729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C628F" w14:textId="77777777" w:rsidR="00F47D84" w:rsidRDefault="00F47D84" w:rsidP="00AE75A6">
      <w:r>
        <w:separator/>
      </w:r>
    </w:p>
  </w:footnote>
  <w:footnote w:type="continuationSeparator" w:id="0">
    <w:p w14:paraId="20DBB306" w14:textId="77777777" w:rsidR="00F47D84" w:rsidRDefault="00F47D84" w:rsidP="00AE7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A46F00"/>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817"/>
    <w:rsid w:val="00004126"/>
    <w:rsid w:val="0000625A"/>
    <w:rsid w:val="000179EC"/>
    <w:rsid w:val="00033CB1"/>
    <w:rsid w:val="00043817"/>
    <w:rsid w:val="00055FBE"/>
    <w:rsid w:val="00070B2E"/>
    <w:rsid w:val="00071503"/>
    <w:rsid w:val="0007298F"/>
    <w:rsid w:val="0008732F"/>
    <w:rsid w:val="000915A5"/>
    <w:rsid w:val="000A33D9"/>
    <w:rsid w:val="000D4AE2"/>
    <w:rsid w:val="000F1A19"/>
    <w:rsid w:val="000F6ADF"/>
    <w:rsid w:val="000F74BB"/>
    <w:rsid w:val="00111CF6"/>
    <w:rsid w:val="0011318A"/>
    <w:rsid w:val="001144C7"/>
    <w:rsid w:val="00133C30"/>
    <w:rsid w:val="0014234C"/>
    <w:rsid w:val="0014310C"/>
    <w:rsid w:val="00143DAE"/>
    <w:rsid w:val="00143FE9"/>
    <w:rsid w:val="0015538C"/>
    <w:rsid w:val="00161987"/>
    <w:rsid w:val="0016225F"/>
    <w:rsid w:val="00177C4E"/>
    <w:rsid w:val="00183EC1"/>
    <w:rsid w:val="00185169"/>
    <w:rsid w:val="001A2262"/>
    <w:rsid w:val="001A4DF7"/>
    <w:rsid w:val="001B0A71"/>
    <w:rsid w:val="001B0FB4"/>
    <w:rsid w:val="001B349F"/>
    <w:rsid w:val="001B4EEF"/>
    <w:rsid w:val="00200709"/>
    <w:rsid w:val="00200C9D"/>
    <w:rsid w:val="00210690"/>
    <w:rsid w:val="002114C6"/>
    <w:rsid w:val="00224DD2"/>
    <w:rsid w:val="0022682C"/>
    <w:rsid w:val="002367A3"/>
    <w:rsid w:val="00246BD6"/>
    <w:rsid w:val="00263EA7"/>
    <w:rsid w:val="00270A0E"/>
    <w:rsid w:val="00280A29"/>
    <w:rsid w:val="00287EBC"/>
    <w:rsid w:val="00297411"/>
    <w:rsid w:val="002A3536"/>
    <w:rsid w:val="002B1882"/>
    <w:rsid w:val="002B29DB"/>
    <w:rsid w:val="002C1B82"/>
    <w:rsid w:val="002E38B9"/>
    <w:rsid w:val="00302AC7"/>
    <w:rsid w:val="0032625D"/>
    <w:rsid w:val="003320C5"/>
    <w:rsid w:val="003462B4"/>
    <w:rsid w:val="00346678"/>
    <w:rsid w:val="003578B6"/>
    <w:rsid w:val="00375287"/>
    <w:rsid w:val="00386184"/>
    <w:rsid w:val="00395842"/>
    <w:rsid w:val="00395ABC"/>
    <w:rsid w:val="003A42EC"/>
    <w:rsid w:val="003B1C85"/>
    <w:rsid w:val="003B1F3A"/>
    <w:rsid w:val="003C3970"/>
    <w:rsid w:val="003C3A44"/>
    <w:rsid w:val="003D6912"/>
    <w:rsid w:val="003E3CD0"/>
    <w:rsid w:val="003F654E"/>
    <w:rsid w:val="0040771C"/>
    <w:rsid w:val="004302E9"/>
    <w:rsid w:val="004307A1"/>
    <w:rsid w:val="00430A5A"/>
    <w:rsid w:val="00435707"/>
    <w:rsid w:val="00455025"/>
    <w:rsid w:val="00464B56"/>
    <w:rsid w:val="004677B7"/>
    <w:rsid w:val="0047203F"/>
    <w:rsid w:val="00474442"/>
    <w:rsid w:val="004972A4"/>
    <w:rsid w:val="004A0A51"/>
    <w:rsid w:val="004A2DD7"/>
    <w:rsid w:val="004B4402"/>
    <w:rsid w:val="004B4BD5"/>
    <w:rsid w:val="004C3C56"/>
    <w:rsid w:val="004D210D"/>
    <w:rsid w:val="004F6E2F"/>
    <w:rsid w:val="00510521"/>
    <w:rsid w:val="00521875"/>
    <w:rsid w:val="005223E2"/>
    <w:rsid w:val="00533338"/>
    <w:rsid w:val="00533C24"/>
    <w:rsid w:val="00541E59"/>
    <w:rsid w:val="005433CF"/>
    <w:rsid w:val="00543A13"/>
    <w:rsid w:val="00543DB3"/>
    <w:rsid w:val="0054504F"/>
    <w:rsid w:val="00564CD2"/>
    <w:rsid w:val="00583939"/>
    <w:rsid w:val="0059292F"/>
    <w:rsid w:val="00594C46"/>
    <w:rsid w:val="005A28D6"/>
    <w:rsid w:val="005B6E68"/>
    <w:rsid w:val="005C17B1"/>
    <w:rsid w:val="005C51C7"/>
    <w:rsid w:val="005D2A57"/>
    <w:rsid w:val="005E6E3A"/>
    <w:rsid w:val="00617236"/>
    <w:rsid w:val="0062163D"/>
    <w:rsid w:val="006435BB"/>
    <w:rsid w:val="00647F5E"/>
    <w:rsid w:val="00656096"/>
    <w:rsid w:val="00662433"/>
    <w:rsid w:val="006755A5"/>
    <w:rsid w:val="00675A4F"/>
    <w:rsid w:val="0068464C"/>
    <w:rsid w:val="006958A5"/>
    <w:rsid w:val="006A0340"/>
    <w:rsid w:val="006E069F"/>
    <w:rsid w:val="006E62A8"/>
    <w:rsid w:val="006F7D59"/>
    <w:rsid w:val="00703AFC"/>
    <w:rsid w:val="00706B83"/>
    <w:rsid w:val="00712797"/>
    <w:rsid w:val="00713D6F"/>
    <w:rsid w:val="00714C2A"/>
    <w:rsid w:val="00720964"/>
    <w:rsid w:val="00726C76"/>
    <w:rsid w:val="00732FD6"/>
    <w:rsid w:val="00745F36"/>
    <w:rsid w:val="00750701"/>
    <w:rsid w:val="00760559"/>
    <w:rsid w:val="00764990"/>
    <w:rsid w:val="00770956"/>
    <w:rsid w:val="00770E0B"/>
    <w:rsid w:val="00782448"/>
    <w:rsid w:val="007833ED"/>
    <w:rsid w:val="00784185"/>
    <w:rsid w:val="0078598F"/>
    <w:rsid w:val="00785A95"/>
    <w:rsid w:val="007A50EC"/>
    <w:rsid w:val="007A5564"/>
    <w:rsid w:val="007A5C5B"/>
    <w:rsid w:val="007B6091"/>
    <w:rsid w:val="007C2F62"/>
    <w:rsid w:val="008032AD"/>
    <w:rsid w:val="00803E0B"/>
    <w:rsid w:val="00806134"/>
    <w:rsid w:val="008127B9"/>
    <w:rsid w:val="00813959"/>
    <w:rsid w:val="008162ED"/>
    <w:rsid w:val="0082572D"/>
    <w:rsid w:val="00836ECB"/>
    <w:rsid w:val="008621E0"/>
    <w:rsid w:val="0087584D"/>
    <w:rsid w:val="00880564"/>
    <w:rsid w:val="00887B20"/>
    <w:rsid w:val="008B090D"/>
    <w:rsid w:val="008C044F"/>
    <w:rsid w:val="008C6D94"/>
    <w:rsid w:val="008D1A47"/>
    <w:rsid w:val="008E0E0F"/>
    <w:rsid w:val="00900564"/>
    <w:rsid w:val="00967419"/>
    <w:rsid w:val="00967ABE"/>
    <w:rsid w:val="0097247E"/>
    <w:rsid w:val="0097429D"/>
    <w:rsid w:val="00980302"/>
    <w:rsid w:val="00983387"/>
    <w:rsid w:val="009A4F33"/>
    <w:rsid w:val="009A69FA"/>
    <w:rsid w:val="009B0451"/>
    <w:rsid w:val="009C294F"/>
    <w:rsid w:val="009D4F2F"/>
    <w:rsid w:val="009F4C84"/>
    <w:rsid w:val="00A05121"/>
    <w:rsid w:val="00A16ADD"/>
    <w:rsid w:val="00A21AA9"/>
    <w:rsid w:val="00A350DF"/>
    <w:rsid w:val="00A35AFC"/>
    <w:rsid w:val="00A47726"/>
    <w:rsid w:val="00A56B94"/>
    <w:rsid w:val="00A61933"/>
    <w:rsid w:val="00A66590"/>
    <w:rsid w:val="00A7370D"/>
    <w:rsid w:val="00A77F74"/>
    <w:rsid w:val="00A93CBA"/>
    <w:rsid w:val="00AA2C6A"/>
    <w:rsid w:val="00AA687B"/>
    <w:rsid w:val="00AB309B"/>
    <w:rsid w:val="00AB3E7E"/>
    <w:rsid w:val="00AB5BBC"/>
    <w:rsid w:val="00AB7712"/>
    <w:rsid w:val="00AB7AAD"/>
    <w:rsid w:val="00AE1E9B"/>
    <w:rsid w:val="00AE3386"/>
    <w:rsid w:val="00AE725B"/>
    <w:rsid w:val="00AE75A6"/>
    <w:rsid w:val="00B0011D"/>
    <w:rsid w:val="00B03BF6"/>
    <w:rsid w:val="00B0418B"/>
    <w:rsid w:val="00B157B7"/>
    <w:rsid w:val="00B25076"/>
    <w:rsid w:val="00B3096A"/>
    <w:rsid w:val="00B32D9D"/>
    <w:rsid w:val="00B43D23"/>
    <w:rsid w:val="00B6357B"/>
    <w:rsid w:val="00B64B13"/>
    <w:rsid w:val="00B81B60"/>
    <w:rsid w:val="00B831B2"/>
    <w:rsid w:val="00B85DA8"/>
    <w:rsid w:val="00B868DE"/>
    <w:rsid w:val="00BA32D5"/>
    <w:rsid w:val="00BB7D19"/>
    <w:rsid w:val="00BD3185"/>
    <w:rsid w:val="00BD54A9"/>
    <w:rsid w:val="00BE12AA"/>
    <w:rsid w:val="00C115B4"/>
    <w:rsid w:val="00C116B5"/>
    <w:rsid w:val="00C17CCA"/>
    <w:rsid w:val="00C2084F"/>
    <w:rsid w:val="00C23500"/>
    <w:rsid w:val="00C47A72"/>
    <w:rsid w:val="00C53F3F"/>
    <w:rsid w:val="00C54BEC"/>
    <w:rsid w:val="00C663E2"/>
    <w:rsid w:val="00C86D54"/>
    <w:rsid w:val="00CA3B84"/>
    <w:rsid w:val="00CA7D6A"/>
    <w:rsid w:val="00CC41E9"/>
    <w:rsid w:val="00CC7FF2"/>
    <w:rsid w:val="00CD6DCC"/>
    <w:rsid w:val="00CE0F59"/>
    <w:rsid w:val="00CE4A71"/>
    <w:rsid w:val="00CF5219"/>
    <w:rsid w:val="00D154D8"/>
    <w:rsid w:val="00D244CE"/>
    <w:rsid w:val="00D27F1F"/>
    <w:rsid w:val="00D35650"/>
    <w:rsid w:val="00D66CC0"/>
    <w:rsid w:val="00D701EE"/>
    <w:rsid w:val="00D85DB9"/>
    <w:rsid w:val="00D87BF9"/>
    <w:rsid w:val="00D949F9"/>
    <w:rsid w:val="00D94E29"/>
    <w:rsid w:val="00D96E15"/>
    <w:rsid w:val="00DA0018"/>
    <w:rsid w:val="00DA1CF8"/>
    <w:rsid w:val="00DB6990"/>
    <w:rsid w:val="00DB703E"/>
    <w:rsid w:val="00DD3B18"/>
    <w:rsid w:val="00DE7496"/>
    <w:rsid w:val="00DF5EE0"/>
    <w:rsid w:val="00E05934"/>
    <w:rsid w:val="00E06AF9"/>
    <w:rsid w:val="00E202D3"/>
    <w:rsid w:val="00E20C72"/>
    <w:rsid w:val="00E24360"/>
    <w:rsid w:val="00E573E2"/>
    <w:rsid w:val="00E60390"/>
    <w:rsid w:val="00E60457"/>
    <w:rsid w:val="00E613DC"/>
    <w:rsid w:val="00E65884"/>
    <w:rsid w:val="00E92321"/>
    <w:rsid w:val="00EC0E9D"/>
    <w:rsid w:val="00EC3B20"/>
    <w:rsid w:val="00ED7014"/>
    <w:rsid w:val="00EE0BB2"/>
    <w:rsid w:val="00EE533B"/>
    <w:rsid w:val="00EF5D45"/>
    <w:rsid w:val="00F0448D"/>
    <w:rsid w:val="00F1018E"/>
    <w:rsid w:val="00F25718"/>
    <w:rsid w:val="00F465C7"/>
    <w:rsid w:val="00F47D84"/>
    <w:rsid w:val="00F5473D"/>
    <w:rsid w:val="00F64FBB"/>
    <w:rsid w:val="00F671D6"/>
    <w:rsid w:val="00F709A0"/>
    <w:rsid w:val="00F80170"/>
    <w:rsid w:val="00F84851"/>
    <w:rsid w:val="00FA7090"/>
    <w:rsid w:val="00FA77B9"/>
    <w:rsid w:val="00FA77D7"/>
    <w:rsid w:val="00FC10BB"/>
    <w:rsid w:val="00FC60E8"/>
    <w:rsid w:val="00FE1C42"/>
    <w:rsid w:val="00FF28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ACD6B"/>
  <w14:defaultImageDpi w14:val="300"/>
  <w15:docId w15:val="{7EE2177C-E30D-664D-9FDF-BEA26A50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21"/>
    <w:rPr>
      <w:rFonts w:ascii="Times New Roman" w:eastAsia="Times New Roman" w:hAnsi="Times New Roman" w:cs="Times New Roman"/>
      <w:lang w:eastAsia="en-GB"/>
    </w:rPr>
  </w:style>
  <w:style w:type="paragraph" w:styleId="Heading5">
    <w:name w:val="heading 5"/>
    <w:basedOn w:val="Normal"/>
    <w:next w:val="Normal"/>
    <w:link w:val="Heading5Char"/>
    <w:uiPriority w:val="9"/>
    <w:unhideWhenUsed/>
    <w:qFormat/>
    <w:rsid w:val="002A3536"/>
    <w:pPr>
      <w:keepNext/>
      <w:keepLines/>
      <w:spacing w:before="4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043817"/>
  </w:style>
  <w:style w:type="paragraph" w:styleId="NormalWeb">
    <w:name w:val="Normal (Web)"/>
    <w:basedOn w:val="Normal"/>
    <w:uiPriority w:val="99"/>
    <w:semiHidden/>
    <w:unhideWhenUsed/>
    <w:rsid w:val="00E24360"/>
    <w:pPr>
      <w:spacing w:after="200" w:line="276" w:lineRule="auto"/>
    </w:pPr>
    <w:rPr>
      <w:rFonts w:eastAsiaTheme="minorHAnsi"/>
      <w:lang w:eastAsia="en-US"/>
    </w:rPr>
  </w:style>
  <w:style w:type="paragraph" w:customStyle="1" w:styleId="NoteLevel11">
    <w:name w:val="Note Level 11"/>
    <w:basedOn w:val="Normal"/>
    <w:uiPriority w:val="99"/>
    <w:unhideWhenUsed/>
    <w:rsid w:val="00033CB1"/>
    <w:pPr>
      <w:keepNext/>
      <w:numPr>
        <w:numId w:val="1"/>
      </w:numPr>
      <w:contextualSpacing/>
      <w:outlineLvl w:val="0"/>
    </w:pPr>
    <w:rPr>
      <w:rFonts w:ascii="Verdana" w:eastAsiaTheme="minorEastAsia" w:hAnsi="Verdana" w:cstheme="minorBidi"/>
      <w:lang w:eastAsia="en-US"/>
    </w:rPr>
  </w:style>
  <w:style w:type="table" w:styleId="TableGrid">
    <w:name w:val="Table Grid"/>
    <w:basedOn w:val="TableNormal"/>
    <w:uiPriority w:val="59"/>
    <w:rsid w:val="00C4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24DD2"/>
    <w:pPr>
      <w:keepNext/>
      <w:spacing w:after="200" w:line="360" w:lineRule="auto"/>
      <w:jc w:val="both"/>
    </w:pPr>
    <w:rPr>
      <w:rFonts w:eastAsiaTheme="minorEastAsia"/>
      <w:lang w:eastAsia="en-US"/>
    </w:rPr>
  </w:style>
  <w:style w:type="table" w:styleId="TableGridLight">
    <w:name w:val="Grid Table Light"/>
    <w:basedOn w:val="TableNormal"/>
    <w:uiPriority w:val="99"/>
    <w:rsid w:val="00224D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DB703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B703E"/>
    <w:rPr>
      <w:rFonts w:ascii="Times New Roman" w:eastAsiaTheme="minorHAnsi" w:hAnsi="Times New Roman" w:cs="Times New Roman"/>
      <w:sz w:val="18"/>
      <w:szCs w:val="18"/>
    </w:rPr>
  </w:style>
  <w:style w:type="paragraph" w:styleId="Header">
    <w:name w:val="header"/>
    <w:basedOn w:val="Normal"/>
    <w:link w:val="HeaderChar"/>
    <w:uiPriority w:val="99"/>
    <w:unhideWhenUsed/>
    <w:rsid w:val="00AE75A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E75A6"/>
    <w:rPr>
      <w:rFonts w:eastAsiaTheme="minorHAnsi"/>
      <w:sz w:val="22"/>
      <w:szCs w:val="22"/>
    </w:rPr>
  </w:style>
  <w:style w:type="paragraph" w:styleId="Footer">
    <w:name w:val="footer"/>
    <w:basedOn w:val="Normal"/>
    <w:link w:val="FooterChar"/>
    <w:uiPriority w:val="99"/>
    <w:unhideWhenUsed/>
    <w:rsid w:val="00AE75A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E75A6"/>
    <w:rPr>
      <w:rFonts w:eastAsiaTheme="minorHAnsi"/>
      <w:sz w:val="22"/>
      <w:szCs w:val="22"/>
    </w:rPr>
  </w:style>
  <w:style w:type="character" w:customStyle="1" w:styleId="Heading5Char">
    <w:name w:val="Heading 5 Char"/>
    <w:basedOn w:val="DefaultParagraphFont"/>
    <w:link w:val="Heading5"/>
    <w:uiPriority w:val="9"/>
    <w:rsid w:val="002A3536"/>
    <w:rPr>
      <w:rFonts w:asciiTheme="majorHAnsi" w:eastAsiaTheme="majorEastAsia" w:hAnsiTheme="majorHAnsi" w:cstheme="majorBidi"/>
      <w:color w:val="365F91" w:themeColor="accent1" w:themeShade="BF"/>
    </w:rPr>
  </w:style>
  <w:style w:type="character" w:styleId="PageNumber">
    <w:name w:val="page number"/>
    <w:basedOn w:val="DefaultParagraphFont"/>
    <w:uiPriority w:val="99"/>
    <w:semiHidden/>
    <w:unhideWhenUsed/>
    <w:rsid w:val="0007298F"/>
  </w:style>
  <w:style w:type="character" w:styleId="Hyperlink">
    <w:name w:val="Hyperlink"/>
    <w:basedOn w:val="DefaultParagraphFont"/>
    <w:uiPriority w:val="99"/>
    <w:unhideWhenUsed/>
    <w:rsid w:val="00510521"/>
    <w:rPr>
      <w:color w:val="0000FF" w:themeColor="hyperlink"/>
      <w:u w:val="single"/>
    </w:rPr>
  </w:style>
  <w:style w:type="character" w:styleId="UnresolvedMention">
    <w:name w:val="Unresolved Mention"/>
    <w:basedOn w:val="DefaultParagraphFont"/>
    <w:uiPriority w:val="99"/>
    <w:semiHidden/>
    <w:unhideWhenUsed/>
    <w:rsid w:val="00510521"/>
    <w:rPr>
      <w:color w:val="605E5C"/>
      <w:shd w:val="clear" w:color="auto" w:fill="E1DFDD"/>
    </w:rPr>
  </w:style>
  <w:style w:type="character" w:styleId="Strong">
    <w:name w:val="Strong"/>
    <w:basedOn w:val="DefaultParagraphFont"/>
    <w:uiPriority w:val="22"/>
    <w:qFormat/>
    <w:rsid w:val="003E3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370">
      <w:bodyDiv w:val="1"/>
      <w:marLeft w:val="0"/>
      <w:marRight w:val="0"/>
      <w:marTop w:val="0"/>
      <w:marBottom w:val="0"/>
      <w:divBdr>
        <w:top w:val="none" w:sz="0" w:space="0" w:color="auto"/>
        <w:left w:val="none" w:sz="0" w:space="0" w:color="auto"/>
        <w:bottom w:val="none" w:sz="0" w:space="0" w:color="auto"/>
        <w:right w:val="none" w:sz="0" w:space="0" w:color="auto"/>
      </w:divBdr>
    </w:div>
    <w:div w:id="133062806">
      <w:bodyDiv w:val="1"/>
      <w:marLeft w:val="0"/>
      <w:marRight w:val="0"/>
      <w:marTop w:val="0"/>
      <w:marBottom w:val="0"/>
      <w:divBdr>
        <w:top w:val="none" w:sz="0" w:space="0" w:color="auto"/>
        <w:left w:val="none" w:sz="0" w:space="0" w:color="auto"/>
        <w:bottom w:val="none" w:sz="0" w:space="0" w:color="auto"/>
        <w:right w:val="none" w:sz="0" w:space="0" w:color="auto"/>
      </w:divBdr>
    </w:div>
    <w:div w:id="149250058">
      <w:bodyDiv w:val="1"/>
      <w:marLeft w:val="0"/>
      <w:marRight w:val="0"/>
      <w:marTop w:val="0"/>
      <w:marBottom w:val="0"/>
      <w:divBdr>
        <w:top w:val="none" w:sz="0" w:space="0" w:color="auto"/>
        <w:left w:val="none" w:sz="0" w:space="0" w:color="auto"/>
        <w:bottom w:val="none" w:sz="0" w:space="0" w:color="auto"/>
        <w:right w:val="none" w:sz="0" w:space="0" w:color="auto"/>
      </w:divBdr>
    </w:div>
    <w:div w:id="164831748">
      <w:bodyDiv w:val="1"/>
      <w:marLeft w:val="0"/>
      <w:marRight w:val="0"/>
      <w:marTop w:val="0"/>
      <w:marBottom w:val="0"/>
      <w:divBdr>
        <w:top w:val="none" w:sz="0" w:space="0" w:color="auto"/>
        <w:left w:val="none" w:sz="0" w:space="0" w:color="auto"/>
        <w:bottom w:val="none" w:sz="0" w:space="0" w:color="auto"/>
        <w:right w:val="none" w:sz="0" w:space="0" w:color="auto"/>
      </w:divBdr>
    </w:div>
    <w:div w:id="329722574">
      <w:bodyDiv w:val="1"/>
      <w:marLeft w:val="0"/>
      <w:marRight w:val="0"/>
      <w:marTop w:val="0"/>
      <w:marBottom w:val="0"/>
      <w:divBdr>
        <w:top w:val="none" w:sz="0" w:space="0" w:color="auto"/>
        <w:left w:val="none" w:sz="0" w:space="0" w:color="auto"/>
        <w:bottom w:val="none" w:sz="0" w:space="0" w:color="auto"/>
        <w:right w:val="none" w:sz="0" w:space="0" w:color="auto"/>
      </w:divBdr>
    </w:div>
    <w:div w:id="419330573">
      <w:bodyDiv w:val="1"/>
      <w:marLeft w:val="0"/>
      <w:marRight w:val="0"/>
      <w:marTop w:val="0"/>
      <w:marBottom w:val="0"/>
      <w:divBdr>
        <w:top w:val="none" w:sz="0" w:space="0" w:color="auto"/>
        <w:left w:val="none" w:sz="0" w:space="0" w:color="auto"/>
        <w:bottom w:val="none" w:sz="0" w:space="0" w:color="auto"/>
        <w:right w:val="none" w:sz="0" w:space="0" w:color="auto"/>
      </w:divBdr>
    </w:div>
    <w:div w:id="446851485">
      <w:bodyDiv w:val="1"/>
      <w:marLeft w:val="0"/>
      <w:marRight w:val="0"/>
      <w:marTop w:val="0"/>
      <w:marBottom w:val="0"/>
      <w:divBdr>
        <w:top w:val="none" w:sz="0" w:space="0" w:color="auto"/>
        <w:left w:val="none" w:sz="0" w:space="0" w:color="auto"/>
        <w:bottom w:val="none" w:sz="0" w:space="0" w:color="auto"/>
        <w:right w:val="none" w:sz="0" w:space="0" w:color="auto"/>
      </w:divBdr>
    </w:div>
    <w:div w:id="455610935">
      <w:bodyDiv w:val="1"/>
      <w:marLeft w:val="0"/>
      <w:marRight w:val="0"/>
      <w:marTop w:val="0"/>
      <w:marBottom w:val="0"/>
      <w:divBdr>
        <w:top w:val="none" w:sz="0" w:space="0" w:color="auto"/>
        <w:left w:val="none" w:sz="0" w:space="0" w:color="auto"/>
        <w:bottom w:val="none" w:sz="0" w:space="0" w:color="auto"/>
        <w:right w:val="none" w:sz="0" w:space="0" w:color="auto"/>
      </w:divBdr>
    </w:div>
    <w:div w:id="468403210">
      <w:bodyDiv w:val="1"/>
      <w:marLeft w:val="0"/>
      <w:marRight w:val="0"/>
      <w:marTop w:val="0"/>
      <w:marBottom w:val="0"/>
      <w:divBdr>
        <w:top w:val="none" w:sz="0" w:space="0" w:color="auto"/>
        <w:left w:val="none" w:sz="0" w:space="0" w:color="auto"/>
        <w:bottom w:val="none" w:sz="0" w:space="0" w:color="auto"/>
        <w:right w:val="none" w:sz="0" w:space="0" w:color="auto"/>
      </w:divBdr>
    </w:div>
    <w:div w:id="528496009">
      <w:bodyDiv w:val="1"/>
      <w:marLeft w:val="0"/>
      <w:marRight w:val="0"/>
      <w:marTop w:val="0"/>
      <w:marBottom w:val="0"/>
      <w:divBdr>
        <w:top w:val="none" w:sz="0" w:space="0" w:color="auto"/>
        <w:left w:val="none" w:sz="0" w:space="0" w:color="auto"/>
        <w:bottom w:val="none" w:sz="0" w:space="0" w:color="auto"/>
        <w:right w:val="none" w:sz="0" w:space="0" w:color="auto"/>
      </w:divBdr>
    </w:div>
    <w:div w:id="549920723">
      <w:bodyDiv w:val="1"/>
      <w:marLeft w:val="0"/>
      <w:marRight w:val="0"/>
      <w:marTop w:val="0"/>
      <w:marBottom w:val="0"/>
      <w:divBdr>
        <w:top w:val="none" w:sz="0" w:space="0" w:color="auto"/>
        <w:left w:val="none" w:sz="0" w:space="0" w:color="auto"/>
        <w:bottom w:val="none" w:sz="0" w:space="0" w:color="auto"/>
        <w:right w:val="none" w:sz="0" w:space="0" w:color="auto"/>
      </w:divBdr>
    </w:div>
    <w:div w:id="599728228">
      <w:bodyDiv w:val="1"/>
      <w:marLeft w:val="0"/>
      <w:marRight w:val="0"/>
      <w:marTop w:val="0"/>
      <w:marBottom w:val="0"/>
      <w:divBdr>
        <w:top w:val="none" w:sz="0" w:space="0" w:color="auto"/>
        <w:left w:val="none" w:sz="0" w:space="0" w:color="auto"/>
        <w:bottom w:val="none" w:sz="0" w:space="0" w:color="auto"/>
        <w:right w:val="none" w:sz="0" w:space="0" w:color="auto"/>
      </w:divBdr>
    </w:div>
    <w:div w:id="665286919">
      <w:bodyDiv w:val="1"/>
      <w:marLeft w:val="0"/>
      <w:marRight w:val="0"/>
      <w:marTop w:val="0"/>
      <w:marBottom w:val="0"/>
      <w:divBdr>
        <w:top w:val="none" w:sz="0" w:space="0" w:color="auto"/>
        <w:left w:val="none" w:sz="0" w:space="0" w:color="auto"/>
        <w:bottom w:val="none" w:sz="0" w:space="0" w:color="auto"/>
        <w:right w:val="none" w:sz="0" w:space="0" w:color="auto"/>
      </w:divBdr>
    </w:div>
    <w:div w:id="803038874">
      <w:bodyDiv w:val="1"/>
      <w:marLeft w:val="0"/>
      <w:marRight w:val="0"/>
      <w:marTop w:val="0"/>
      <w:marBottom w:val="0"/>
      <w:divBdr>
        <w:top w:val="none" w:sz="0" w:space="0" w:color="auto"/>
        <w:left w:val="none" w:sz="0" w:space="0" w:color="auto"/>
        <w:bottom w:val="none" w:sz="0" w:space="0" w:color="auto"/>
        <w:right w:val="none" w:sz="0" w:space="0" w:color="auto"/>
      </w:divBdr>
    </w:div>
    <w:div w:id="971131133">
      <w:bodyDiv w:val="1"/>
      <w:marLeft w:val="0"/>
      <w:marRight w:val="0"/>
      <w:marTop w:val="0"/>
      <w:marBottom w:val="0"/>
      <w:divBdr>
        <w:top w:val="none" w:sz="0" w:space="0" w:color="auto"/>
        <w:left w:val="none" w:sz="0" w:space="0" w:color="auto"/>
        <w:bottom w:val="none" w:sz="0" w:space="0" w:color="auto"/>
        <w:right w:val="none" w:sz="0" w:space="0" w:color="auto"/>
      </w:divBdr>
    </w:div>
    <w:div w:id="1000500557">
      <w:bodyDiv w:val="1"/>
      <w:marLeft w:val="0"/>
      <w:marRight w:val="0"/>
      <w:marTop w:val="0"/>
      <w:marBottom w:val="0"/>
      <w:divBdr>
        <w:top w:val="none" w:sz="0" w:space="0" w:color="auto"/>
        <w:left w:val="none" w:sz="0" w:space="0" w:color="auto"/>
        <w:bottom w:val="none" w:sz="0" w:space="0" w:color="auto"/>
        <w:right w:val="none" w:sz="0" w:space="0" w:color="auto"/>
      </w:divBdr>
    </w:div>
    <w:div w:id="1074620878">
      <w:bodyDiv w:val="1"/>
      <w:marLeft w:val="0"/>
      <w:marRight w:val="0"/>
      <w:marTop w:val="0"/>
      <w:marBottom w:val="0"/>
      <w:divBdr>
        <w:top w:val="none" w:sz="0" w:space="0" w:color="auto"/>
        <w:left w:val="none" w:sz="0" w:space="0" w:color="auto"/>
        <w:bottom w:val="none" w:sz="0" w:space="0" w:color="auto"/>
        <w:right w:val="none" w:sz="0" w:space="0" w:color="auto"/>
      </w:divBdr>
    </w:div>
    <w:div w:id="1102187847">
      <w:bodyDiv w:val="1"/>
      <w:marLeft w:val="0"/>
      <w:marRight w:val="0"/>
      <w:marTop w:val="0"/>
      <w:marBottom w:val="0"/>
      <w:divBdr>
        <w:top w:val="none" w:sz="0" w:space="0" w:color="auto"/>
        <w:left w:val="none" w:sz="0" w:space="0" w:color="auto"/>
        <w:bottom w:val="none" w:sz="0" w:space="0" w:color="auto"/>
        <w:right w:val="none" w:sz="0" w:space="0" w:color="auto"/>
      </w:divBdr>
    </w:div>
    <w:div w:id="1200776147">
      <w:bodyDiv w:val="1"/>
      <w:marLeft w:val="0"/>
      <w:marRight w:val="0"/>
      <w:marTop w:val="0"/>
      <w:marBottom w:val="0"/>
      <w:divBdr>
        <w:top w:val="none" w:sz="0" w:space="0" w:color="auto"/>
        <w:left w:val="none" w:sz="0" w:space="0" w:color="auto"/>
        <w:bottom w:val="none" w:sz="0" w:space="0" w:color="auto"/>
        <w:right w:val="none" w:sz="0" w:space="0" w:color="auto"/>
      </w:divBdr>
    </w:div>
    <w:div w:id="1248811789">
      <w:bodyDiv w:val="1"/>
      <w:marLeft w:val="0"/>
      <w:marRight w:val="0"/>
      <w:marTop w:val="0"/>
      <w:marBottom w:val="0"/>
      <w:divBdr>
        <w:top w:val="none" w:sz="0" w:space="0" w:color="auto"/>
        <w:left w:val="none" w:sz="0" w:space="0" w:color="auto"/>
        <w:bottom w:val="none" w:sz="0" w:space="0" w:color="auto"/>
        <w:right w:val="none" w:sz="0" w:space="0" w:color="auto"/>
      </w:divBdr>
    </w:div>
    <w:div w:id="1262372359">
      <w:bodyDiv w:val="1"/>
      <w:marLeft w:val="0"/>
      <w:marRight w:val="0"/>
      <w:marTop w:val="0"/>
      <w:marBottom w:val="0"/>
      <w:divBdr>
        <w:top w:val="none" w:sz="0" w:space="0" w:color="auto"/>
        <w:left w:val="none" w:sz="0" w:space="0" w:color="auto"/>
        <w:bottom w:val="none" w:sz="0" w:space="0" w:color="auto"/>
        <w:right w:val="none" w:sz="0" w:space="0" w:color="auto"/>
      </w:divBdr>
    </w:div>
    <w:div w:id="1286504101">
      <w:bodyDiv w:val="1"/>
      <w:marLeft w:val="0"/>
      <w:marRight w:val="0"/>
      <w:marTop w:val="0"/>
      <w:marBottom w:val="0"/>
      <w:divBdr>
        <w:top w:val="none" w:sz="0" w:space="0" w:color="auto"/>
        <w:left w:val="none" w:sz="0" w:space="0" w:color="auto"/>
        <w:bottom w:val="none" w:sz="0" w:space="0" w:color="auto"/>
        <w:right w:val="none" w:sz="0" w:space="0" w:color="auto"/>
      </w:divBdr>
    </w:div>
    <w:div w:id="1401444430">
      <w:bodyDiv w:val="1"/>
      <w:marLeft w:val="0"/>
      <w:marRight w:val="0"/>
      <w:marTop w:val="0"/>
      <w:marBottom w:val="0"/>
      <w:divBdr>
        <w:top w:val="none" w:sz="0" w:space="0" w:color="auto"/>
        <w:left w:val="none" w:sz="0" w:space="0" w:color="auto"/>
        <w:bottom w:val="none" w:sz="0" w:space="0" w:color="auto"/>
        <w:right w:val="none" w:sz="0" w:space="0" w:color="auto"/>
      </w:divBdr>
    </w:div>
    <w:div w:id="1481075623">
      <w:bodyDiv w:val="1"/>
      <w:marLeft w:val="0"/>
      <w:marRight w:val="0"/>
      <w:marTop w:val="0"/>
      <w:marBottom w:val="0"/>
      <w:divBdr>
        <w:top w:val="none" w:sz="0" w:space="0" w:color="auto"/>
        <w:left w:val="none" w:sz="0" w:space="0" w:color="auto"/>
        <w:bottom w:val="none" w:sz="0" w:space="0" w:color="auto"/>
        <w:right w:val="none" w:sz="0" w:space="0" w:color="auto"/>
      </w:divBdr>
    </w:div>
    <w:div w:id="1491602421">
      <w:bodyDiv w:val="1"/>
      <w:marLeft w:val="0"/>
      <w:marRight w:val="0"/>
      <w:marTop w:val="0"/>
      <w:marBottom w:val="0"/>
      <w:divBdr>
        <w:top w:val="none" w:sz="0" w:space="0" w:color="auto"/>
        <w:left w:val="none" w:sz="0" w:space="0" w:color="auto"/>
        <w:bottom w:val="none" w:sz="0" w:space="0" w:color="auto"/>
        <w:right w:val="none" w:sz="0" w:space="0" w:color="auto"/>
      </w:divBdr>
    </w:div>
    <w:div w:id="1502431061">
      <w:bodyDiv w:val="1"/>
      <w:marLeft w:val="0"/>
      <w:marRight w:val="0"/>
      <w:marTop w:val="0"/>
      <w:marBottom w:val="0"/>
      <w:divBdr>
        <w:top w:val="none" w:sz="0" w:space="0" w:color="auto"/>
        <w:left w:val="none" w:sz="0" w:space="0" w:color="auto"/>
        <w:bottom w:val="none" w:sz="0" w:space="0" w:color="auto"/>
        <w:right w:val="none" w:sz="0" w:space="0" w:color="auto"/>
      </w:divBdr>
    </w:div>
    <w:div w:id="1509754061">
      <w:bodyDiv w:val="1"/>
      <w:marLeft w:val="0"/>
      <w:marRight w:val="0"/>
      <w:marTop w:val="0"/>
      <w:marBottom w:val="0"/>
      <w:divBdr>
        <w:top w:val="none" w:sz="0" w:space="0" w:color="auto"/>
        <w:left w:val="none" w:sz="0" w:space="0" w:color="auto"/>
        <w:bottom w:val="none" w:sz="0" w:space="0" w:color="auto"/>
        <w:right w:val="none" w:sz="0" w:space="0" w:color="auto"/>
      </w:divBdr>
    </w:div>
    <w:div w:id="1576742755">
      <w:bodyDiv w:val="1"/>
      <w:marLeft w:val="0"/>
      <w:marRight w:val="0"/>
      <w:marTop w:val="0"/>
      <w:marBottom w:val="0"/>
      <w:divBdr>
        <w:top w:val="none" w:sz="0" w:space="0" w:color="auto"/>
        <w:left w:val="none" w:sz="0" w:space="0" w:color="auto"/>
        <w:bottom w:val="none" w:sz="0" w:space="0" w:color="auto"/>
        <w:right w:val="none" w:sz="0" w:space="0" w:color="auto"/>
      </w:divBdr>
    </w:div>
    <w:div w:id="1619024622">
      <w:bodyDiv w:val="1"/>
      <w:marLeft w:val="0"/>
      <w:marRight w:val="0"/>
      <w:marTop w:val="0"/>
      <w:marBottom w:val="0"/>
      <w:divBdr>
        <w:top w:val="none" w:sz="0" w:space="0" w:color="auto"/>
        <w:left w:val="none" w:sz="0" w:space="0" w:color="auto"/>
        <w:bottom w:val="none" w:sz="0" w:space="0" w:color="auto"/>
        <w:right w:val="none" w:sz="0" w:space="0" w:color="auto"/>
      </w:divBdr>
    </w:div>
    <w:div w:id="1646422746">
      <w:bodyDiv w:val="1"/>
      <w:marLeft w:val="0"/>
      <w:marRight w:val="0"/>
      <w:marTop w:val="0"/>
      <w:marBottom w:val="0"/>
      <w:divBdr>
        <w:top w:val="none" w:sz="0" w:space="0" w:color="auto"/>
        <w:left w:val="none" w:sz="0" w:space="0" w:color="auto"/>
        <w:bottom w:val="none" w:sz="0" w:space="0" w:color="auto"/>
        <w:right w:val="none" w:sz="0" w:space="0" w:color="auto"/>
      </w:divBdr>
    </w:div>
    <w:div w:id="1670061099">
      <w:bodyDiv w:val="1"/>
      <w:marLeft w:val="0"/>
      <w:marRight w:val="0"/>
      <w:marTop w:val="0"/>
      <w:marBottom w:val="0"/>
      <w:divBdr>
        <w:top w:val="none" w:sz="0" w:space="0" w:color="auto"/>
        <w:left w:val="none" w:sz="0" w:space="0" w:color="auto"/>
        <w:bottom w:val="none" w:sz="0" w:space="0" w:color="auto"/>
        <w:right w:val="none" w:sz="0" w:space="0" w:color="auto"/>
      </w:divBdr>
    </w:div>
    <w:div w:id="1675301530">
      <w:bodyDiv w:val="1"/>
      <w:marLeft w:val="0"/>
      <w:marRight w:val="0"/>
      <w:marTop w:val="0"/>
      <w:marBottom w:val="0"/>
      <w:divBdr>
        <w:top w:val="none" w:sz="0" w:space="0" w:color="auto"/>
        <w:left w:val="none" w:sz="0" w:space="0" w:color="auto"/>
        <w:bottom w:val="none" w:sz="0" w:space="0" w:color="auto"/>
        <w:right w:val="none" w:sz="0" w:space="0" w:color="auto"/>
      </w:divBdr>
    </w:div>
    <w:div w:id="1709916051">
      <w:bodyDiv w:val="1"/>
      <w:marLeft w:val="0"/>
      <w:marRight w:val="0"/>
      <w:marTop w:val="0"/>
      <w:marBottom w:val="0"/>
      <w:divBdr>
        <w:top w:val="none" w:sz="0" w:space="0" w:color="auto"/>
        <w:left w:val="none" w:sz="0" w:space="0" w:color="auto"/>
        <w:bottom w:val="none" w:sz="0" w:space="0" w:color="auto"/>
        <w:right w:val="none" w:sz="0" w:space="0" w:color="auto"/>
      </w:divBdr>
    </w:div>
    <w:div w:id="1825003258">
      <w:bodyDiv w:val="1"/>
      <w:marLeft w:val="0"/>
      <w:marRight w:val="0"/>
      <w:marTop w:val="0"/>
      <w:marBottom w:val="0"/>
      <w:divBdr>
        <w:top w:val="none" w:sz="0" w:space="0" w:color="auto"/>
        <w:left w:val="none" w:sz="0" w:space="0" w:color="auto"/>
        <w:bottom w:val="none" w:sz="0" w:space="0" w:color="auto"/>
        <w:right w:val="none" w:sz="0" w:space="0" w:color="auto"/>
      </w:divBdr>
    </w:div>
    <w:div w:id="1899248421">
      <w:bodyDiv w:val="1"/>
      <w:marLeft w:val="0"/>
      <w:marRight w:val="0"/>
      <w:marTop w:val="0"/>
      <w:marBottom w:val="0"/>
      <w:divBdr>
        <w:top w:val="none" w:sz="0" w:space="0" w:color="auto"/>
        <w:left w:val="none" w:sz="0" w:space="0" w:color="auto"/>
        <w:bottom w:val="none" w:sz="0" w:space="0" w:color="auto"/>
        <w:right w:val="none" w:sz="0" w:space="0" w:color="auto"/>
      </w:divBdr>
    </w:div>
    <w:div w:id="1921869558">
      <w:bodyDiv w:val="1"/>
      <w:marLeft w:val="0"/>
      <w:marRight w:val="0"/>
      <w:marTop w:val="0"/>
      <w:marBottom w:val="0"/>
      <w:divBdr>
        <w:top w:val="none" w:sz="0" w:space="0" w:color="auto"/>
        <w:left w:val="none" w:sz="0" w:space="0" w:color="auto"/>
        <w:bottom w:val="none" w:sz="0" w:space="0" w:color="auto"/>
        <w:right w:val="none" w:sz="0" w:space="0" w:color="auto"/>
      </w:divBdr>
    </w:div>
    <w:div w:id="1933199152">
      <w:bodyDiv w:val="1"/>
      <w:marLeft w:val="0"/>
      <w:marRight w:val="0"/>
      <w:marTop w:val="0"/>
      <w:marBottom w:val="0"/>
      <w:divBdr>
        <w:top w:val="none" w:sz="0" w:space="0" w:color="auto"/>
        <w:left w:val="none" w:sz="0" w:space="0" w:color="auto"/>
        <w:bottom w:val="none" w:sz="0" w:space="0" w:color="auto"/>
        <w:right w:val="none" w:sz="0" w:space="0" w:color="auto"/>
      </w:divBdr>
    </w:div>
    <w:div w:id="2002270268">
      <w:bodyDiv w:val="1"/>
      <w:marLeft w:val="0"/>
      <w:marRight w:val="0"/>
      <w:marTop w:val="0"/>
      <w:marBottom w:val="0"/>
      <w:divBdr>
        <w:top w:val="none" w:sz="0" w:space="0" w:color="auto"/>
        <w:left w:val="none" w:sz="0" w:space="0" w:color="auto"/>
        <w:bottom w:val="none" w:sz="0" w:space="0" w:color="auto"/>
        <w:right w:val="none" w:sz="0" w:space="0" w:color="auto"/>
      </w:divBdr>
    </w:div>
    <w:div w:id="2076202702">
      <w:bodyDiv w:val="1"/>
      <w:marLeft w:val="0"/>
      <w:marRight w:val="0"/>
      <w:marTop w:val="0"/>
      <w:marBottom w:val="0"/>
      <w:divBdr>
        <w:top w:val="none" w:sz="0" w:space="0" w:color="auto"/>
        <w:left w:val="none" w:sz="0" w:space="0" w:color="auto"/>
        <w:bottom w:val="none" w:sz="0" w:space="0" w:color="auto"/>
        <w:right w:val="none" w:sz="0" w:space="0" w:color="auto"/>
      </w:divBdr>
    </w:div>
    <w:div w:id="2108036345">
      <w:bodyDiv w:val="1"/>
      <w:marLeft w:val="0"/>
      <w:marRight w:val="0"/>
      <w:marTop w:val="0"/>
      <w:marBottom w:val="0"/>
      <w:divBdr>
        <w:top w:val="none" w:sz="0" w:space="0" w:color="auto"/>
        <w:left w:val="none" w:sz="0" w:space="0" w:color="auto"/>
        <w:bottom w:val="none" w:sz="0" w:space="0" w:color="auto"/>
        <w:right w:val="none" w:sz="0" w:space="0" w:color="auto"/>
      </w:divBdr>
    </w:div>
    <w:div w:id="2124616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goris.karamasis@gmail.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5311</Words>
  <Characters>30279</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Grigoris</dc:creator>
  <cp:keywords/>
  <dc:description/>
  <cp:lastModifiedBy>Walker, Ian</cp:lastModifiedBy>
  <cp:revision>2</cp:revision>
  <dcterms:created xsi:type="dcterms:W3CDTF">2020-11-25T14:18:00Z</dcterms:created>
  <dcterms:modified xsi:type="dcterms:W3CDTF">2020-11-25T14:18:00Z</dcterms:modified>
</cp:coreProperties>
</file>