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65D5" w14:textId="1AC925A3" w:rsidR="00E338BF" w:rsidRDefault="0032324C" w:rsidP="0032324C">
      <w:pPr>
        <w:spacing w:line="480" w:lineRule="auto"/>
        <w:rPr>
          <w:bCs/>
        </w:rPr>
      </w:pPr>
      <w:r>
        <w:rPr>
          <w:bCs/>
        </w:rPr>
        <w:t>Running head: POSITIVE BODY IMAGE</w:t>
      </w:r>
    </w:p>
    <w:p w14:paraId="31B5A8EB" w14:textId="77777777" w:rsidR="0032324C" w:rsidRPr="0032324C" w:rsidRDefault="0032324C" w:rsidP="0032324C">
      <w:pPr>
        <w:spacing w:line="480" w:lineRule="auto"/>
        <w:rPr>
          <w:bCs/>
        </w:rPr>
      </w:pPr>
    </w:p>
    <w:p w14:paraId="5AFAF71F" w14:textId="77777777" w:rsidR="00E338BF" w:rsidRDefault="00E338BF" w:rsidP="00E338BF">
      <w:pPr>
        <w:spacing w:line="480" w:lineRule="auto"/>
        <w:jc w:val="center"/>
        <w:rPr>
          <w:b/>
          <w:bCs/>
        </w:rPr>
      </w:pPr>
    </w:p>
    <w:p w14:paraId="68EDB8E5" w14:textId="62E326B2" w:rsidR="00E338BF" w:rsidRPr="0032324C" w:rsidRDefault="0032324C" w:rsidP="00E338BF">
      <w:pPr>
        <w:spacing w:line="480" w:lineRule="auto"/>
        <w:jc w:val="center"/>
        <w:rPr>
          <w:bCs/>
        </w:rPr>
      </w:pPr>
      <w:r>
        <w:rPr>
          <w:bCs/>
        </w:rPr>
        <w:t>Assessing the Measurement Invariance of Two Positive Body Image Instruments in Adults from Malaysia and the United Kingdom</w:t>
      </w:r>
    </w:p>
    <w:p w14:paraId="0627B97C" w14:textId="3D03768E" w:rsidR="00E338BF" w:rsidRDefault="00E338BF" w:rsidP="00E338BF">
      <w:pPr>
        <w:spacing w:line="480" w:lineRule="auto"/>
        <w:jc w:val="center"/>
        <w:rPr>
          <w:b/>
          <w:bCs/>
        </w:rPr>
      </w:pPr>
    </w:p>
    <w:p w14:paraId="48E7FB61" w14:textId="2DF6AA06" w:rsidR="00E338BF" w:rsidRDefault="00E338BF" w:rsidP="00E338BF">
      <w:pPr>
        <w:spacing w:line="480" w:lineRule="auto"/>
        <w:jc w:val="center"/>
        <w:rPr>
          <w:vertAlign w:val="superscript"/>
        </w:rPr>
      </w:pPr>
      <w:r>
        <w:t>Jennifer Todd</w:t>
      </w:r>
      <w:r w:rsidRPr="00E338BF">
        <w:rPr>
          <w:vertAlign w:val="superscript"/>
        </w:rPr>
        <w:t>1</w:t>
      </w:r>
      <w:r>
        <w:t xml:space="preserve"> &amp; Viren Swami</w:t>
      </w:r>
      <w:r w:rsidRPr="00E338BF">
        <w:rPr>
          <w:vertAlign w:val="superscript"/>
        </w:rPr>
        <w:t>1-2</w:t>
      </w:r>
    </w:p>
    <w:p w14:paraId="6AE56159" w14:textId="77777777" w:rsidR="00E338BF" w:rsidRDefault="00E338BF" w:rsidP="00E338BF">
      <w:pPr>
        <w:spacing w:line="480" w:lineRule="auto"/>
        <w:jc w:val="center"/>
        <w:rPr>
          <w:vertAlign w:val="superscript"/>
        </w:rPr>
      </w:pPr>
    </w:p>
    <w:p w14:paraId="6CBBAC02" w14:textId="77777777" w:rsidR="00E338BF" w:rsidRDefault="00E338BF" w:rsidP="00E338BF">
      <w:pPr>
        <w:pStyle w:val="BodyA"/>
        <w:spacing w:line="480" w:lineRule="auto"/>
        <w:ind w:right="68"/>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School of Psychology and Sport Science, Anglia Ruskin University, Cambridge, UK</w:t>
      </w:r>
    </w:p>
    <w:p w14:paraId="76C2A99B" w14:textId="77777777" w:rsidR="00E338BF" w:rsidRPr="00FF4408" w:rsidRDefault="00E338BF" w:rsidP="00E338BF">
      <w:pPr>
        <w:pStyle w:val="BodyA"/>
        <w:spacing w:line="480" w:lineRule="auto"/>
        <w:ind w:right="68"/>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Centre for Psychological Medicine, Perdana University, Serdang, Malaysia</w:t>
      </w:r>
    </w:p>
    <w:p w14:paraId="24F19A45" w14:textId="77777777" w:rsidR="00E338BF" w:rsidRPr="00934890" w:rsidRDefault="00E338BF" w:rsidP="00E338BF">
      <w:pPr>
        <w:pStyle w:val="BodyA"/>
        <w:spacing w:line="480" w:lineRule="auto"/>
        <w:ind w:right="68"/>
        <w:jc w:val="center"/>
        <w:rPr>
          <w:rFonts w:ascii="Times New Roman" w:hAnsi="Times New Roman" w:cs="Times New Roman"/>
          <w:sz w:val="24"/>
          <w:szCs w:val="24"/>
          <w:vertAlign w:val="subscript"/>
        </w:rPr>
      </w:pPr>
    </w:p>
    <w:p w14:paraId="14748785" w14:textId="557FC824" w:rsidR="00E338BF" w:rsidRDefault="00E338BF" w:rsidP="00E338BF">
      <w:pPr>
        <w:pStyle w:val="BodyA"/>
        <w:spacing w:line="480" w:lineRule="auto"/>
        <w:ind w:right="68"/>
        <w:jc w:val="center"/>
        <w:rPr>
          <w:rFonts w:ascii="Times New Roman" w:hAnsi="Times New Roman" w:cs="Times New Roman"/>
          <w:sz w:val="24"/>
          <w:szCs w:val="24"/>
        </w:rPr>
      </w:pPr>
    </w:p>
    <w:p w14:paraId="222DEA37" w14:textId="567F115A" w:rsidR="00E338BF" w:rsidRDefault="00E338BF" w:rsidP="00E338BF">
      <w:pPr>
        <w:pStyle w:val="BodyA"/>
        <w:spacing w:line="480" w:lineRule="auto"/>
        <w:ind w:right="68"/>
        <w:jc w:val="center"/>
        <w:rPr>
          <w:rFonts w:ascii="Times New Roman" w:hAnsi="Times New Roman" w:cs="Times New Roman"/>
          <w:sz w:val="24"/>
          <w:szCs w:val="24"/>
        </w:rPr>
      </w:pPr>
    </w:p>
    <w:p w14:paraId="63C98D93" w14:textId="46491F1D" w:rsidR="00E338BF" w:rsidRDefault="00E338BF" w:rsidP="00E338BF">
      <w:pPr>
        <w:pStyle w:val="BodyA"/>
        <w:spacing w:line="480" w:lineRule="auto"/>
        <w:ind w:right="68"/>
        <w:jc w:val="center"/>
        <w:rPr>
          <w:rFonts w:ascii="Times New Roman" w:hAnsi="Times New Roman" w:cs="Times New Roman"/>
          <w:sz w:val="24"/>
          <w:szCs w:val="24"/>
        </w:rPr>
      </w:pPr>
    </w:p>
    <w:p w14:paraId="7E3B65C9" w14:textId="47BCD072" w:rsidR="00E338BF" w:rsidRDefault="00E338BF" w:rsidP="00E338BF">
      <w:pPr>
        <w:pStyle w:val="BodyA"/>
        <w:spacing w:line="480" w:lineRule="auto"/>
        <w:ind w:right="68"/>
        <w:jc w:val="center"/>
        <w:rPr>
          <w:rFonts w:ascii="Times New Roman" w:hAnsi="Times New Roman" w:cs="Times New Roman"/>
          <w:sz w:val="24"/>
          <w:szCs w:val="24"/>
        </w:rPr>
      </w:pPr>
    </w:p>
    <w:p w14:paraId="31958C24" w14:textId="512E1C0A" w:rsidR="00E338BF" w:rsidRDefault="00E338BF" w:rsidP="00E338BF">
      <w:pPr>
        <w:pStyle w:val="BodyA"/>
        <w:spacing w:line="480" w:lineRule="auto"/>
        <w:ind w:right="68"/>
        <w:jc w:val="center"/>
        <w:rPr>
          <w:rFonts w:ascii="Times New Roman" w:hAnsi="Times New Roman" w:cs="Times New Roman"/>
          <w:sz w:val="24"/>
          <w:szCs w:val="24"/>
        </w:rPr>
      </w:pPr>
    </w:p>
    <w:p w14:paraId="70F6991A" w14:textId="3F5C62BF" w:rsidR="00E338BF" w:rsidRDefault="00E338BF" w:rsidP="00E338BF">
      <w:pPr>
        <w:pStyle w:val="BodyA"/>
        <w:spacing w:line="480" w:lineRule="auto"/>
        <w:ind w:right="68"/>
        <w:jc w:val="center"/>
        <w:rPr>
          <w:rFonts w:ascii="Times New Roman" w:hAnsi="Times New Roman" w:cs="Times New Roman"/>
          <w:sz w:val="24"/>
          <w:szCs w:val="24"/>
        </w:rPr>
      </w:pPr>
    </w:p>
    <w:p w14:paraId="51F5D652" w14:textId="77777777" w:rsidR="006F67A7" w:rsidRDefault="006F67A7" w:rsidP="00E338BF">
      <w:pPr>
        <w:pStyle w:val="BodyA"/>
        <w:spacing w:line="480" w:lineRule="auto"/>
        <w:ind w:right="68"/>
        <w:rPr>
          <w:rFonts w:ascii="Times New Roman" w:hAnsi="Times New Roman" w:cs="Times New Roman"/>
          <w:sz w:val="24"/>
          <w:szCs w:val="24"/>
        </w:rPr>
      </w:pPr>
    </w:p>
    <w:p w14:paraId="31E8EA3F" w14:textId="77777777" w:rsidR="006F67A7" w:rsidRDefault="006F67A7" w:rsidP="00E338BF">
      <w:pPr>
        <w:pStyle w:val="BodyA"/>
        <w:spacing w:line="480" w:lineRule="auto"/>
        <w:ind w:right="68"/>
        <w:rPr>
          <w:rFonts w:ascii="Times New Roman" w:hAnsi="Times New Roman" w:cs="Times New Roman"/>
          <w:sz w:val="24"/>
          <w:szCs w:val="24"/>
        </w:rPr>
      </w:pPr>
    </w:p>
    <w:p w14:paraId="7B555372" w14:textId="77777777" w:rsidR="006F67A7" w:rsidRDefault="006F67A7" w:rsidP="00E338BF">
      <w:pPr>
        <w:pStyle w:val="BodyA"/>
        <w:spacing w:line="480" w:lineRule="auto"/>
        <w:ind w:right="68"/>
        <w:rPr>
          <w:rFonts w:ascii="Times New Roman" w:hAnsi="Times New Roman" w:cs="Times New Roman"/>
          <w:sz w:val="24"/>
          <w:szCs w:val="24"/>
        </w:rPr>
      </w:pPr>
    </w:p>
    <w:p w14:paraId="0AC45EA1" w14:textId="4F6F4921" w:rsidR="00E338BF" w:rsidRDefault="00E338BF" w:rsidP="00E338BF">
      <w:pPr>
        <w:pStyle w:val="BodyA"/>
        <w:spacing w:line="480" w:lineRule="auto"/>
        <w:ind w:right="68"/>
        <w:rPr>
          <w:rFonts w:ascii="Times New Roman" w:hAnsi="Times New Roman" w:cs="Times New Roman"/>
          <w:bCs/>
          <w:sz w:val="24"/>
          <w:szCs w:val="24"/>
        </w:rPr>
      </w:pPr>
      <w:r>
        <w:rPr>
          <w:rFonts w:ascii="Times New Roman" w:hAnsi="Times New Roman" w:cs="Times New Roman"/>
          <w:sz w:val="24"/>
          <w:szCs w:val="24"/>
        </w:rPr>
        <w:t xml:space="preserve">Address correspondence to: Miss Jennifer Todd, </w:t>
      </w:r>
      <w:r>
        <w:rPr>
          <w:rFonts w:ascii="Times New Roman" w:hAnsi="Times New Roman" w:cs="Times New Roman"/>
          <w:bCs/>
          <w:sz w:val="24"/>
          <w:szCs w:val="24"/>
        </w:rPr>
        <w:t>School of Psychology and Sport Science, Anglia Ruskin University, East Road, Cambridge, Cambridgeshire, UK, CB1 1PT. Email: jenny.todd@pgr.anglia.ac.uk</w:t>
      </w:r>
    </w:p>
    <w:p w14:paraId="4C083C5C" w14:textId="730075C7" w:rsidR="00E338BF" w:rsidRDefault="00E338BF" w:rsidP="0032324C"/>
    <w:p w14:paraId="20FD06B3" w14:textId="77777777" w:rsidR="0032324C" w:rsidRDefault="0032324C">
      <w:pPr>
        <w:rPr>
          <w:b/>
          <w:bCs/>
        </w:rPr>
      </w:pPr>
      <w:r>
        <w:rPr>
          <w:b/>
          <w:bCs/>
        </w:rPr>
        <w:br w:type="page"/>
      </w:r>
    </w:p>
    <w:p w14:paraId="6346E17E" w14:textId="11847158" w:rsidR="00E338BF" w:rsidRPr="00E338BF" w:rsidRDefault="00E338BF" w:rsidP="00E338BF">
      <w:pPr>
        <w:jc w:val="center"/>
      </w:pPr>
      <w:r w:rsidRPr="00E338BF">
        <w:rPr>
          <w:b/>
          <w:bCs/>
        </w:rPr>
        <w:lastRenderedPageBreak/>
        <w:t>Abstract</w:t>
      </w:r>
    </w:p>
    <w:p w14:paraId="618E4F1C" w14:textId="77777777" w:rsidR="006212EE" w:rsidRDefault="006212EE" w:rsidP="006212EE">
      <w:pPr>
        <w:rPr>
          <w:rFonts w:cs="Arial"/>
          <w:color w:val="333333"/>
          <w:shd w:val="clear" w:color="auto" w:fill="FFFFFF"/>
        </w:rPr>
      </w:pPr>
    </w:p>
    <w:p w14:paraId="18A07DFC" w14:textId="0523AFBE" w:rsidR="007A0451" w:rsidRPr="003D7713" w:rsidRDefault="00DE2D9F" w:rsidP="00EE05DA">
      <w:pPr>
        <w:spacing w:line="480" w:lineRule="auto"/>
      </w:pPr>
      <w:r>
        <w:rPr>
          <w:color w:val="000000" w:themeColor="text1"/>
          <w:shd w:val="clear" w:color="auto" w:fill="FFFFFF"/>
        </w:rPr>
        <w:t xml:space="preserve">Despite the growth </w:t>
      </w:r>
      <w:r w:rsidR="0032324C">
        <w:rPr>
          <w:color w:val="000000" w:themeColor="text1"/>
          <w:shd w:val="clear" w:color="auto" w:fill="FFFFFF"/>
        </w:rPr>
        <w:t>of</w:t>
      </w:r>
      <w:r>
        <w:rPr>
          <w:color w:val="000000" w:themeColor="text1"/>
          <w:shd w:val="clear" w:color="auto" w:fill="FFFFFF"/>
        </w:rPr>
        <w:t xml:space="preserve"> positiv</w:t>
      </w:r>
      <w:r w:rsidR="006212EE" w:rsidRPr="006212EE">
        <w:rPr>
          <w:color w:val="000000" w:themeColor="text1"/>
          <w:shd w:val="clear" w:color="auto" w:fill="FFFFFF"/>
        </w:rPr>
        <w:t>e</w:t>
      </w:r>
      <w:r w:rsidR="00EE05DA">
        <w:rPr>
          <w:color w:val="000000" w:themeColor="text1"/>
          <w:shd w:val="clear" w:color="auto" w:fill="FFFFFF"/>
        </w:rPr>
        <w:t xml:space="preserve"> </w:t>
      </w:r>
      <w:r>
        <w:rPr>
          <w:color w:val="000000" w:themeColor="text1"/>
          <w:shd w:val="clear" w:color="auto" w:fill="FFFFFF"/>
        </w:rPr>
        <w:t xml:space="preserve">body image </w:t>
      </w:r>
      <w:r w:rsidR="0032324C">
        <w:rPr>
          <w:color w:val="000000" w:themeColor="text1"/>
          <w:shd w:val="clear" w:color="auto" w:fill="FFFFFF"/>
        </w:rPr>
        <w:t xml:space="preserve">research </w:t>
      </w:r>
      <w:r>
        <w:rPr>
          <w:color w:val="000000" w:themeColor="text1"/>
          <w:shd w:val="clear" w:color="auto" w:fill="FFFFFF"/>
        </w:rPr>
        <w:t xml:space="preserve">in recent years, </w:t>
      </w:r>
      <w:r w:rsidR="0018378E">
        <w:rPr>
          <w:color w:val="000000" w:themeColor="text1"/>
          <w:shd w:val="clear" w:color="auto" w:fill="FFFFFF"/>
        </w:rPr>
        <w:t xml:space="preserve">our understanding </w:t>
      </w:r>
      <w:r w:rsidR="0032324C">
        <w:rPr>
          <w:color w:val="000000" w:themeColor="text1"/>
          <w:shd w:val="clear" w:color="auto" w:fill="FFFFFF"/>
        </w:rPr>
        <w:t>of the construct</w:t>
      </w:r>
      <w:r w:rsidR="00AF7668">
        <w:rPr>
          <w:color w:val="000000" w:themeColor="text1"/>
          <w:shd w:val="clear" w:color="auto" w:fill="FFFFFF"/>
        </w:rPr>
        <w:t xml:space="preserve"> across different </w:t>
      </w:r>
      <w:r w:rsidR="0032324C">
        <w:rPr>
          <w:color w:val="000000" w:themeColor="text1"/>
          <w:shd w:val="clear" w:color="auto" w:fill="FFFFFF"/>
        </w:rPr>
        <w:t xml:space="preserve">national </w:t>
      </w:r>
      <w:r w:rsidR="00AF7668">
        <w:rPr>
          <w:color w:val="000000" w:themeColor="text1"/>
          <w:shd w:val="clear" w:color="auto" w:fill="FFFFFF"/>
        </w:rPr>
        <w:t>contexts</w:t>
      </w:r>
      <w:r w:rsidR="0018378E">
        <w:rPr>
          <w:color w:val="000000" w:themeColor="text1"/>
          <w:shd w:val="clear" w:color="auto" w:fill="FFFFFF"/>
        </w:rPr>
        <w:t xml:space="preserve"> remains limited. </w:t>
      </w:r>
      <w:r w:rsidR="00864D76">
        <w:rPr>
          <w:color w:val="000000" w:themeColor="text1"/>
          <w:shd w:val="clear" w:color="auto" w:fill="FFFFFF"/>
        </w:rPr>
        <w:t>Here</w:t>
      </w:r>
      <w:r w:rsidR="0018378E">
        <w:rPr>
          <w:color w:val="000000" w:themeColor="text1"/>
          <w:shd w:val="clear" w:color="auto" w:fill="FFFFFF"/>
        </w:rPr>
        <w:t xml:space="preserve">, we </w:t>
      </w:r>
      <w:r w:rsidR="00EE05DA">
        <w:rPr>
          <w:color w:val="000000" w:themeColor="text1"/>
          <w:shd w:val="clear" w:color="auto" w:fill="FFFFFF"/>
        </w:rPr>
        <w:t>investigated</w:t>
      </w:r>
      <w:r w:rsidR="006212EE" w:rsidRPr="006212EE">
        <w:rPr>
          <w:color w:val="000000" w:themeColor="text1"/>
          <w:shd w:val="clear" w:color="auto" w:fill="FFFFFF"/>
        </w:rPr>
        <w:t xml:space="preserve"> measurement invariance of the Body </w:t>
      </w:r>
      <w:r w:rsidR="006212EE" w:rsidRPr="00A34903">
        <w:rPr>
          <w:color w:val="000000" w:themeColor="text1"/>
          <w:shd w:val="clear" w:color="auto" w:fill="FFFFFF"/>
        </w:rPr>
        <w:t xml:space="preserve">Appreciation Scale-2 </w:t>
      </w:r>
      <w:r w:rsidR="007A0451" w:rsidRPr="00A34903">
        <w:rPr>
          <w:color w:val="000000" w:themeColor="text1"/>
          <w:shd w:val="clear" w:color="auto" w:fill="FFFFFF"/>
        </w:rPr>
        <w:t xml:space="preserve">(BAS-2) </w:t>
      </w:r>
      <w:r w:rsidR="006212EE" w:rsidRPr="00A34903">
        <w:rPr>
          <w:color w:val="000000" w:themeColor="text1"/>
          <w:shd w:val="clear" w:color="auto" w:fill="FFFFFF"/>
        </w:rPr>
        <w:t xml:space="preserve">and the Functionality Appreciation Scale </w:t>
      </w:r>
      <w:r w:rsidR="007A0451" w:rsidRPr="00A34903">
        <w:rPr>
          <w:color w:val="000000" w:themeColor="text1"/>
          <w:shd w:val="clear" w:color="auto" w:fill="FFFFFF"/>
        </w:rPr>
        <w:t xml:space="preserve">(FAS) </w:t>
      </w:r>
      <w:r w:rsidR="006212EE" w:rsidRPr="006212EE">
        <w:rPr>
          <w:color w:val="000000" w:themeColor="text1"/>
          <w:shd w:val="clear" w:color="auto" w:fill="FFFFFF"/>
        </w:rPr>
        <w:t xml:space="preserve">across </w:t>
      </w:r>
      <w:r w:rsidR="006212EE" w:rsidRPr="00A34903">
        <w:rPr>
          <w:color w:val="000000" w:themeColor="text1"/>
          <w:shd w:val="clear" w:color="auto" w:fill="FFFFFF"/>
        </w:rPr>
        <w:t xml:space="preserve">ethnically homogenous groups of adults from Malaysia </w:t>
      </w:r>
      <w:r w:rsidR="005F0400" w:rsidRPr="00A34903">
        <w:rPr>
          <w:color w:val="000000" w:themeColor="text1"/>
          <w:shd w:val="clear" w:color="auto" w:fill="FFFFFF"/>
        </w:rPr>
        <w:t>(</w:t>
      </w:r>
      <w:r w:rsidR="005F0400" w:rsidRPr="00A34903">
        <w:rPr>
          <w:i/>
          <w:iCs/>
          <w:color w:val="000000" w:themeColor="text1"/>
          <w:shd w:val="clear" w:color="auto" w:fill="FFFFFF"/>
        </w:rPr>
        <w:t xml:space="preserve">n </w:t>
      </w:r>
      <w:r w:rsidR="005F0400" w:rsidRPr="00A34903">
        <w:rPr>
          <w:color w:val="000000" w:themeColor="text1"/>
          <w:shd w:val="clear" w:color="auto" w:fill="FFFFFF"/>
        </w:rPr>
        <w:t xml:space="preserve">= 815, women </w:t>
      </w:r>
      <w:r w:rsidR="005F0400" w:rsidRPr="00A34903">
        <w:rPr>
          <w:i/>
          <w:iCs/>
          <w:color w:val="000000" w:themeColor="text1"/>
          <w:shd w:val="clear" w:color="auto" w:fill="FFFFFF"/>
        </w:rPr>
        <w:t xml:space="preserve">n </w:t>
      </w:r>
      <w:r w:rsidR="005F0400" w:rsidRPr="00A34903">
        <w:rPr>
          <w:color w:val="000000" w:themeColor="text1"/>
          <w:shd w:val="clear" w:color="auto" w:fill="FFFFFF"/>
        </w:rPr>
        <w:t xml:space="preserve">= 403) </w:t>
      </w:r>
      <w:r w:rsidR="006212EE" w:rsidRPr="00A34903">
        <w:rPr>
          <w:color w:val="000000" w:themeColor="text1"/>
          <w:shd w:val="clear" w:color="auto" w:fill="FFFFFF"/>
        </w:rPr>
        <w:t xml:space="preserve">and </w:t>
      </w:r>
      <w:r w:rsidR="005F0400" w:rsidRPr="00A34903">
        <w:rPr>
          <w:color w:val="000000" w:themeColor="text1"/>
          <w:shd w:val="clear" w:color="auto" w:fill="FFFFFF"/>
        </w:rPr>
        <w:t>the U</w:t>
      </w:r>
      <w:r w:rsidR="0032324C">
        <w:rPr>
          <w:color w:val="000000" w:themeColor="text1"/>
          <w:shd w:val="clear" w:color="auto" w:fill="FFFFFF"/>
        </w:rPr>
        <w:t xml:space="preserve">nited </w:t>
      </w:r>
      <w:r w:rsidR="005F0400" w:rsidRPr="00A34903">
        <w:rPr>
          <w:color w:val="000000" w:themeColor="text1"/>
          <w:shd w:val="clear" w:color="auto" w:fill="FFFFFF"/>
        </w:rPr>
        <w:t>K</w:t>
      </w:r>
      <w:r w:rsidR="0032324C">
        <w:rPr>
          <w:color w:val="000000" w:themeColor="text1"/>
          <w:shd w:val="clear" w:color="auto" w:fill="FFFFFF"/>
        </w:rPr>
        <w:t>ingdom</w:t>
      </w:r>
      <w:r w:rsidR="005F0400" w:rsidRPr="00A34903">
        <w:rPr>
          <w:color w:val="000000" w:themeColor="text1"/>
          <w:shd w:val="clear" w:color="auto" w:fill="FFFFFF"/>
        </w:rPr>
        <w:t xml:space="preserve"> (</w:t>
      </w:r>
      <w:r w:rsidR="00864D76">
        <w:rPr>
          <w:color w:val="000000" w:themeColor="text1"/>
          <w:shd w:val="clear" w:color="auto" w:fill="FFFFFF"/>
        </w:rPr>
        <w:t xml:space="preserve">UK; </w:t>
      </w:r>
      <w:r w:rsidR="005F0400" w:rsidRPr="00A34903">
        <w:rPr>
          <w:i/>
          <w:iCs/>
          <w:color w:val="000000" w:themeColor="text1"/>
          <w:shd w:val="clear" w:color="auto" w:fill="FFFFFF"/>
        </w:rPr>
        <w:t xml:space="preserve">n </w:t>
      </w:r>
      <w:r w:rsidR="00EE05DA">
        <w:rPr>
          <w:color w:val="000000" w:themeColor="text1"/>
          <w:shd w:val="clear" w:color="auto" w:fill="FFFFFF"/>
        </w:rPr>
        <w:t>= 596</w:t>
      </w:r>
      <w:r w:rsidR="005F0400" w:rsidRPr="00A34903">
        <w:rPr>
          <w:color w:val="000000" w:themeColor="text1"/>
          <w:shd w:val="clear" w:color="auto" w:fill="FFFFFF"/>
        </w:rPr>
        <w:t xml:space="preserve">, women </w:t>
      </w:r>
      <w:r w:rsidR="005F0400" w:rsidRPr="00A34903">
        <w:rPr>
          <w:i/>
          <w:iCs/>
          <w:color w:val="000000" w:themeColor="text1"/>
          <w:shd w:val="clear" w:color="auto" w:fill="FFFFFF"/>
        </w:rPr>
        <w:t xml:space="preserve">n </w:t>
      </w:r>
      <w:r w:rsidR="00EE05DA">
        <w:rPr>
          <w:color w:val="000000" w:themeColor="text1"/>
          <w:shd w:val="clear" w:color="auto" w:fill="FFFFFF"/>
        </w:rPr>
        <w:t>= 416</w:t>
      </w:r>
      <w:r w:rsidR="005F0400" w:rsidRPr="00A34903">
        <w:rPr>
          <w:color w:val="000000" w:themeColor="text1"/>
          <w:shd w:val="clear" w:color="auto" w:fill="FFFFFF"/>
        </w:rPr>
        <w:t>).</w:t>
      </w:r>
      <w:r w:rsidR="0032324C">
        <w:rPr>
          <w:color w:val="000000" w:themeColor="text1"/>
          <w:shd w:val="clear" w:color="auto" w:fill="FFFFFF"/>
        </w:rPr>
        <w:t xml:space="preserve"> Using multi-group confirmatory factor analysis, p</w:t>
      </w:r>
      <w:r w:rsidR="005737BE">
        <w:rPr>
          <w:color w:val="000000" w:themeColor="text1"/>
          <w:shd w:val="clear" w:color="auto" w:fill="FFFFFF"/>
        </w:rPr>
        <w:t>artial</w:t>
      </w:r>
      <w:r w:rsidR="00864D76">
        <w:rPr>
          <w:color w:val="000000" w:themeColor="text1"/>
          <w:shd w:val="clear" w:color="auto" w:fill="FFFFFF"/>
        </w:rPr>
        <w:t xml:space="preserve"> scalar</w:t>
      </w:r>
      <w:r w:rsidR="005737BE">
        <w:rPr>
          <w:color w:val="000000" w:themeColor="text1"/>
          <w:shd w:val="clear" w:color="auto" w:fill="FFFFFF"/>
        </w:rPr>
        <w:t xml:space="preserve"> invariance was </w:t>
      </w:r>
      <w:r w:rsidR="007D6165">
        <w:rPr>
          <w:color w:val="000000" w:themeColor="text1"/>
          <w:shd w:val="clear" w:color="auto" w:fill="FFFFFF"/>
        </w:rPr>
        <w:t>supported</w:t>
      </w:r>
      <w:r w:rsidR="005737BE">
        <w:rPr>
          <w:color w:val="000000" w:themeColor="text1"/>
          <w:shd w:val="clear" w:color="auto" w:fill="FFFFFF"/>
        </w:rPr>
        <w:t xml:space="preserve"> for </w:t>
      </w:r>
      <w:r w:rsidR="0032324C">
        <w:rPr>
          <w:color w:val="000000" w:themeColor="text1"/>
          <w:shd w:val="clear" w:color="auto" w:fill="FFFFFF"/>
        </w:rPr>
        <w:t xml:space="preserve">scores on </w:t>
      </w:r>
      <w:r w:rsidR="00724193">
        <w:rPr>
          <w:color w:val="000000" w:themeColor="text1"/>
          <w:shd w:val="clear" w:color="auto" w:fill="FFFFFF"/>
        </w:rPr>
        <w:t xml:space="preserve">both measures after fixing the intercepts for </w:t>
      </w:r>
      <w:r w:rsidR="007A0451" w:rsidRPr="00A34903">
        <w:rPr>
          <w:color w:val="000000" w:themeColor="text1"/>
          <w:shd w:val="clear" w:color="auto" w:fill="FFFFFF"/>
        </w:rPr>
        <w:t xml:space="preserve">BAS-2 </w:t>
      </w:r>
      <w:r w:rsidR="00422AB4" w:rsidRPr="54828480">
        <w:t>Items 6 and 8</w:t>
      </w:r>
      <w:r w:rsidR="003844AE">
        <w:rPr>
          <w:color w:val="000000" w:themeColor="text1"/>
          <w:shd w:val="clear" w:color="auto" w:fill="FFFFFF"/>
        </w:rPr>
        <w:t xml:space="preserve">, </w:t>
      </w:r>
      <w:r w:rsidR="007A0451" w:rsidRPr="00A34903">
        <w:rPr>
          <w:color w:val="000000" w:themeColor="text1"/>
          <w:shd w:val="clear" w:color="auto" w:fill="FFFFFF"/>
        </w:rPr>
        <w:t>and FAS</w:t>
      </w:r>
      <w:r w:rsidR="007D6165" w:rsidRPr="54828480">
        <w:t xml:space="preserve"> Item </w:t>
      </w:r>
      <w:r w:rsidR="007D6165">
        <w:t>4.</w:t>
      </w:r>
      <w:r w:rsidR="0032324C">
        <w:t xml:space="preserve"> </w:t>
      </w:r>
      <w:r w:rsidR="006F67A7">
        <w:t>Next</w:t>
      </w:r>
      <w:r w:rsidR="0032324C">
        <w:t>, we</w:t>
      </w:r>
      <w:r w:rsidR="0032324C">
        <w:rPr>
          <w:color w:val="000000" w:themeColor="text1"/>
          <w:shd w:val="clear" w:color="auto" w:fill="FFFFFF"/>
        </w:rPr>
        <w:t xml:space="preserve"> </w:t>
      </w:r>
      <w:r w:rsidR="0032324C" w:rsidRPr="006212EE">
        <w:rPr>
          <w:color w:val="000000" w:themeColor="text1"/>
          <w:shd w:val="clear" w:color="auto" w:fill="FFFFFF"/>
        </w:rPr>
        <w:t>examined differences in</w:t>
      </w:r>
      <w:r w:rsidR="0032324C" w:rsidRPr="00A34903">
        <w:rPr>
          <w:color w:val="000000" w:themeColor="text1"/>
          <w:shd w:val="clear" w:color="auto" w:fill="FFFFFF"/>
        </w:rPr>
        <w:t xml:space="preserve"> latent scores across </w:t>
      </w:r>
      <w:r w:rsidR="00864D76">
        <w:rPr>
          <w:color w:val="000000" w:themeColor="text1"/>
          <w:shd w:val="clear" w:color="auto" w:fill="FFFFFF"/>
        </w:rPr>
        <w:t>nationality and gender</w:t>
      </w:r>
      <w:r w:rsidR="0032324C">
        <w:rPr>
          <w:color w:val="000000" w:themeColor="text1"/>
          <w:shd w:val="clear" w:color="auto" w:fill="FFFFFF"/>
        </w:rPr>
        <w:t>.</w:t>
      </w:r>
      <w:r w:rsidR="00434CD4">
        <w:t xml:space="preserve"> </w:t>
      </w:r>
      <w:r w:rsidR="00864D76">
        <w:t xml:space="preserve">The results of an analysis of covariance (with age and body mass index as covariates) indicated a significant nationality by gender interaction: </w:t>
      </w:r>
      <w:r w:rsidR="00864D76" w:rsidRPr="0098103D">
        <w:rPr>
          <w:color w:val="000000" w:themeColor="text1"/>
        </w:rPr>
        <w:t xml:space="preserve">Malaysian women </w:t>
      </w:r>
      <w:r w:rsidR="00864D76">
        <w:rPr>
          <w:color w:val="000000" w:themeColor="text1"/>
        </w:rPr>
        <w:t xml:space="preserve">had higher scores </w:t>
      </w:r>
      <w:r w:rsidR="00864D76" w:rsidRPr="0098103D">
        <w:rPr>
          <w:color w:val="000000" w:themeColor="text1"/>
        </w:rPr>
        <w:t>than Malaysian men</w:t>
      </w:r>
      <w:r w:rsidR="00864D76">
        <w:rPr>
          <w:color w:val="000000" w:themeColor="text1"/>
        </w:rPr>
        <w:t xml:space="preserve"> on both the BAS-2 and FAS</w:t>
      </w:r>
      <w:r w:rsidR="00864D76" w:rsidRPr="0098103D">
        <w:rPr>
          <w:color w:val="000000" w:themeColor="text1"/>
        </w:rPr>
        <w:t xml:space="preserve">, but UK men </w:t>
      </w:r>
      <w:r w:rsidR="00864D76">
        <w:rPr>
          <w:color w:val="000000" w:themeColor="text1"/>
        </w:rPr>
        <w:t xml:space="preserve">had higher scores </w:t>
      </w:r>
      <w:r w:rsidR="00864D76" w:rsidRPr="0098103D">
        <w:rPr>
          <w:color w:val="000000" w:themeColor="text1"/>
        </w:rPr>
        <w:t>than UK women</w:t>
      </w:r>
      <w:r w:rsidR="00864D76">
        <w:rPr>
          <w:color w:val="000000" w:themeColor="text1"/>
        </w:rPr>
        <w:t>. There were also significant main effects of nationality (</w:t>
      </w:r>
      <w:r w:rsidR="00434CD4">
        <w:t>Malaysia</w:t>
      </w:r>
      <w:r w:rsidR="009E684E">
        <w:t>n participants</w:t>
      </w:r>
      <w:r w:rsidR="00434CD4">
        <w:t xml:space="preserve"> </w:t>
      </w:r>
      <w:r w:rsidR="00295FA9">
        <w:t xml:space="preserve">had significantly </w:t>
      </w:r>
      <w:r w:rsidR="00434CD4">
        <w:t>higher</w:t>
      </w:r>
      <w:r w:rsidR="000B5D00">
        <w:t xml:space="preserve"> </w:t>
      </w:r>
      <w:r w:rsidR="00144AFD">
        <w:t xml:space="preserve">body </w:t>
      </w:r>
      <w:r w:rsidR="006F67A7">
        <w:t xml:space="preserve">appreciation </w:t>
      </w:r>
      <w:r w:rsidR="00144AFD">
        <w:t>and functionality appreciation</w:t>
      </w:r>
      <w:r w:rsidR="00295FA9">
        <w:t xml:space="preserve"> </w:t>
      </w:r>
      <w:r w:rsidR="00434CD4">
        <w:t xml:space="preserve">than </w:t>
      </w:r>
      <w:r w:rsidR="009E684E">
        <w:t>UK</w:t>
      </w:r>
      <w:r w:rsidR="0032324C">
        <w:t xml:space="preserve"> participants</w:t>
      </w:r>
      <w:r w:rsidR="00864D76">
        <w:t>) and gender (</w:t>
      </w:r>
      <w:r w:rsidR="00434CD4">
        <w:t xml:space="preserve">men </w:t>
      </w:r>
      <w:r w:rsidR="00295FA9">
        <w:t>had significantly higher</w:t>
      </w:r>
      <w:r w:rsidR="00144AFD">
        <w:t xml:space="preserve"> body appreciation</w:t>
      </w:r>
      <w:r w:rsidR="00295FA9">
        <w:t xml:space="preserve"> </w:t>
      </w:r>
      <w:r w:rsidR="00E57374">
        <w:t>than women</w:t>
      </w:r>
      <w:r w:rsidR="00864D76">
        <w:t>)</w:t>
      </w:r>
      <w:r w:rsidR="00E57374">
        <w:t xml:space="preserve">. </w:t>
      </w:r>
      <w:r w:rsidR="0032324C">
        <w:rPr>
          <w:color w:val="000000" w:themeColor="text1"/>
        </w:rPr>
        <w:t xml:space="preserve">These findings are discussed in terms of cross-national and gendered understandings of positive body image. </w:t>
      </w:r>
    </w:p>
    <w:p w14:paraId="300AFD47" w14:textId="41E56788" w:rsidR="00EE05DA" w:rsidRPr="00A34903" w:rsidRDefault="00EE05DA" w:rsidP="0032324C">
      <w:pPr>
        <w:spacing w:line="480" w:lineRule="auto"/>
        <w:ind w:firstLine="720"/>
        <w:rPr>
          <w:color w:val="000000" w:themeColor="text1"/>
          <w:shd w:val="clear" w:color="auto" w:fill="FFFFFF"/>
        </w:rPr>
      </w:pPr>
      <w:r w:rsidRPr="003D7713">
        <w:rPr>
          <w:i/>
          <w:color w:val="000000" w:themeColor="text1"/>
        </w:rPr>
        <w:t>Keywords</w:t>
      </w:r>
      <w:r w:rsidR="00C37539" w:rsidRPr="003D7713">
        <w:rPr>
          <w:i/>
          <w:color w:val="000000" w:themeColor="text1"/>
        </w:rPr>
        <w:t>:</w:t>
      </w:r>
      <w:r w:rsidR="00C37539">
        <w:rPr>
          <w:color w:val="000000" w:themeColor="text1"/>
        </w:rPr>
        <w:t xml:space="preserve"> Positive </w:t>
      </w:r>
      <w:r w:rsidR="0032324C">
        <w:rPr>
          <w:color w:val="000000" w:themeColor="text1"/>
        </w:rPr>
        <w:t>b</w:t>
      </w:r>
      <w:r>
        <w:rPr>
          <w:color w:val="000000" w:themeColor="text1"/>
        </w:rPr>
        <w:t>o</w:t>
      </w:r>
      <w:r w:rsidR="00C37539">
        <w:rPr>
          <w:color w:val="000000" w:themeColor="text1"/>
        </w:rPr>
        <w:t xml:space="preserve">dy </w:t>
      </w:r>
      <w:r w:rsidR="0032324C">
        <w:rPr>
          <w:color w:val="000000" w:themeColor="text1"/>
        </w:rPr>
        <w:t>i</w:t>
      </w:r>
      <w:r w:rsidR="00C37539">
        <w:rPr>
          <w:color w:val="000000" w:themeColor="text1"/>
        </w:rPr>
        <w:t>mage</w:t>
      </w:r>
      <w:r w:rsidR="003D7713">
        <w:rPr>
          <w:color w:val="000000" w:themeColor="text1"/>
        </w:rPr>
        <w:t xml:space="preserve">, </w:t>
      </w:r>
      <w:r w:rsidR="00C37539">
        <w:rPr>
          <w:color w:val="000000" w:themeColor="text1"/>
        </w:rPr>
        <w:t>C</w:t>
      </w:r>
      <w:r>
        <w:rPr>
          <w:color w:val="000000" w:themeColor="text1"/>
        </w:rPr>
        <w:t>ro</w:t>
      </w:r>
      <w:r w:rsidR="00C37539">
        <w:rPr>
          <w:color w:val="000000" w:themeColor="text1"/>
        </w:rPr>
        <w:t>ss-</w:t>
      </w:r>
      <w:r w:rsidR="0032324C">
        <w:rPr>
          <w:color w:val="000000" w:themeColor="text1"/>
        </w:rPr>
        <w:t>national</w:t>
      </w:r>
      <w:r w:rsidR="003D7713">
        <w:rPr>
          <w:color w:val="000000" w:themeColor="text1"/>
        </w:rPr>
        <w:t xml:space="preserve">, </w:t>
      </w:r>
      <w:r w:rsidR="00C37539">
        <w:rPr>
          <w:color w:val="000000" w:themeColor="text1"/>
        </w:rPr>
        <w:t xml:space="preserve">Body </w:t>
      </w:r>
      <w:r w:rsidR="0032324C">
        <w:rPr>
          <w:color w:val="000000" w:themeColor="text1"/>
        </w:rPr>
        <w:t>a</w:t>
      </w:r>
      <w:r w:rsidR="00C37539">
        <w:rPr>
          <w:color w:val="000000" w:themeColor="text1"/>
        </w:rPr>
        <w:t>ppreciation</w:t>
      </w:r>
      <w:r w:rsidR="003D7713">
        <w:rPr>
          <w:color w:val="000000" w:themeColor="text1"/>
        </w:rPr>
        <w:t>,</w:t>
      </w:r>
      <w:r w:rsidR="00C37539">
        <w:rPr>
          <w:color w:val="000000" w:themeColor="text1"/>
        </w:rPr>
        <w:t xml:space="preserve"> Functionality </w:t>
      </w:r>
      <w:r w:rsidR="0032324C">
        <w:rPr>
          <w:color w:val="000000" w:themeColor="text1"/>
        </w:rPr>
        <w:t>a</w:t>
      </w:r>
      <w:r>
        <w:rPr>
          <w:color w:val="000000" w:themeColor="text1"/>
        </w:rPr>
        <w:t>ppreciation</w:t>
      </w:r>
      <w:r w:rsidR="003D7713">
        <w:rPr>
          <w:color w:val="000000" w:themeColor="text1"/>
        </w:rPr>
        <w:t>, Gender invariance</w:t>
      </w:r>
    </w:p>
    <w:p w14:paraId="1293F29C" w14:textId="77777777" w:rsidR="007A0451" w:rsidRDefault="007A0451" w:rsidP="006212EE">
      <w:pPr>
        <w:rPr>
          <w:rFonts w:cs="Arial"/>
          <w:color w:val="333333"/>
          <w:shd w:val="clear" w:color="auto" w:fill="FFFFFF"/>
        </w:rPr>
      </w:pPr>
    </w:p>
    <w:p w14:paraId="2B60C9C6" w14:textId="242C1386" w:rsidR="00E338BF" w:rsidRDefault="00E338BF" w:rsidP="00E338BF">
      <w:pPr>
        <w:rPr>
          <w:b/>
          <w:bCs/>
        </w:rPr>
      </w:pPr>
    </w:p>
    <w:p w14:paraId="6F21DA9D" w14:textId="58D51690" w:rsidR="00E338BF" w:rsidRPr="00DE6FB7" w:rsidRDefault="00E338BF" w:rsidP="00E338BF">
      <w:pPr>
        <w:rPr>
          <w:b/>
          <w:bCs/>
        </w:rPr>
      </w:pPr>
      <w:r>
        <w:rPr>
          <w:b/>
          <w:bCs/>
        </w:rPr>
        <w:br w:type="page"/>
      </w:r>
    </w:p>
    <w:p w14:paraId="67A0C354" w14:textId="2B889D15" w:rsidR="00825D46" w:rsidRPr="0032324C" w:rsidRDefault="00825D46" w:rsidP="0032324C">
      <w:pPr>
        <w:spacing w:line="480" w:lineRule="auto"/>
        <w:jc w:val="center"/>
        <w:rPr>
          <w:rFonts w:ascii="Times" w:hAnsi="Times"/>
          <w:b/>
          <w:iCs/>
          <w:color w:val="000000"/>
        </w:rPr>
      </w:pPr>
      <w:r>
        <w:rPr>
          <w:rFonts w:ascii="Times" w:hAnsi="Times"/>
          <w:b/>
          <w:iCs/>
          <w:color w:val="000000"/>
        </w:rPr>
        <w:lastRenderedPageBreak/>
        <w:t>1. Introduction</w:t>
      </w:r>
    </w:p>
    <w:p w14:paraId="50B77099" w14:textId="58FCD3FC" w:rsidR="00EA6368" w:rsidRPr="00127EF7" w:rsidRDefault="009D31B1" w:rsidP="00127EF7">
      <w:pPr>
        <w:spacing w:line="480" w:lineRule="auto"/>
        <w:ind w:firstLine="720"/>
        <w:rPr>
          <w:color w:val="000000" w:themeColor="text1"/>
        </w:rPr>
      </w:pPr>
      <w:r>
        <w:rPr>
          <w:iCs/>
          <w:color w:val="000000"/>
        </w:rPr>
        <w:t xml:space="preserve">Tylka (2018, p. 9) defined </w:t>
      </w:r>
      <w:r>
        <w:rPr>
          <w:i/>
          <w:iCs/>
          <w:color w:val="000000"/>
        </w:rPr>
        <w:t>p</w:t>
      </w:r>
      <w:r w:rsidR="0059172A" w:rsidRPr="00EA6368">
        <w:rPr>
          <w:i/>
          <w:iCs/>
          <w:color w:val="000000"/>
        </w:rPr>
        <w:t>ositive body image</w:t>
      </w:r>
      <w:r w:rsidR="0059172A" w:rsidRPr="00EA6368">
        <w:rPr>
          <w:color w:val="000000"/>
        </w:rPr>
        <w:t xml:space="preserve"> </w:t>
      </w:r>
      <w:r>
        <w:rPr>
          <w:color w:val="000000"/>
        </w:rPr>
        <w:t xml:space="preserve">as </w:t>
      </w:r>
      <w:r>
        <w:t>an</w:t>
      </w:r>
      <w:r w:rsidRPr="005A54AA">
        <w:rPr>
          <w:color w:val="000000" w:themeColor="text1"/>
        </w:rPr>
        <w:t xml:space="preserve"> “overarching love and respect for the body” that includes appreciation of the body and its functions, acceptance of the body despite its imperfections, and body-protective behaviours</w:t>
      </w:r>
      <w:r>
        <w:rPr>
          <w:color w:val="000000" w:themeColor="text1"/>
        </w:rPr>
        <w:t xml:space="preserve">. </w:t>
      </w:r>
      <w:r w:rsidR="002F3E07">
        <w:rPr>
          <w:color w:val="000000" w:themeColor="text1"/>
        </w:rPr>
        <w:t xml:space="preserve">Positive body image is a multidimensional construct, with </w:t>
      </w:r>
      <w:r w:rsidR="002F3E07" w:rsidRPr="00B30AE4">
        <w:rPr>
          <w:i/>
          <w:color w:val="000000" w:themeColor="text1"/>
        </w:rPr>
        <w:t>body appreciation</w:t>
      </w:r>
      <w:r w:rsidR="002F3E07">
        <w:rPr>
          <w:color w:val="000000" w:themeColor="text1"/>
        </w:rPr>
        <w:t xml:space="preserve"> (i.e., </w:t>
      </w:r>
      <w:r w:rsidR="002F3E07" w:rsidRPr="54828480">
        <w:rPr>
          <w:rFonts w:ascii="Times" w:eastAsia="Times" w:hAnsi="Times" w:cs="Times"/>
        </w:rPr>
        <w:t>the extent to which individual</w:t>
      </w:r>
      <w:r w:rsidR="002F3E07">
        <w:rPr>
          <w:rFonts w:ascii="Times" w:eastAsia="Times" w:hAnsi="Times" w:cs="Times"/>
        </w:rPr>
        <w:t>s</w:t>
      </w:r>
      <w:r w:rsidR="002F3E07" w:rsidRPr="54828480">
        <w:rPr>
          <w:rFonts w:ascii="Times" w:eastAsia="Times" w:hAnsi="Times" w:cs="Times"/>
        </w:rPr>
        <w:t xml:space="preserve"> feel respect and appreciation for their bod</w:t>
      </w:r>
      <w:r w:rsidR="002F3E07">
        <w:rPr>
          <w:rFonts w:ascii="Times" w:eastAsia="Times" w:hAnsi="Times" w:cs="Times"/>
        </w:rPr>
        <w:t xml:space="preserve">ies; measured using the Body Appreciation Scale-2 [BAS-2]; Tylka &amp; Wood-Barcalow, 2015) and </w:t>
      </w:r>
      <w:r w:rsidR="002F3E07" w:rsidRPr="00B30AE4">
        <w:rPr>
          <w:rFonts w:ascii="Times" w:eastAsia="Times" w:hAnsi="Times" w:cs="Times"/>
          <w:i/>
        </w:rPr>
        <w:t>functionality appreciation</w:t>
      </w:r>
      <w:r w:rsidR="002F3E07">
        <w:rPr>
          <w:rFonts w:ascii="Times" w:eastAsia="Times" w:hAnsi="Times" w:cs="Times"/>
        </w:rPr>
        <w:t xml:space="preserve"> (i.e., </w:t>
      </w:r>
      <w:r w:rsidR="002F3E07" w:rsidRPr="54828480">
        <w:rPr>
          <w:rFonts w:ascii="Times" w:eastAsia="Times" w:hAnsi="Times" w:cs="Times"/>
          <w:color w:val="000000" w:themeColor="text1"/>
        </w:rPr>
        <w:t>the extent to which an individual is appreciative of the body</w:t>
      </w:r>
      <w:r w:rsidR="00B30AE4">
        <w:rPr>
          <w:rFonts w:ascii="Times" w:eastAsia="Times" w:hAnsi="Times" w:cs="Times"/>
          <w:color w:val="000000" w:themeColor="text1"/>
        </w:rPr>
        <w:t>’s functions</w:t>
      </w:r>
      <w:r w:rsidR="002F3E07">
        <w:rPr>
          <w:rFonts w:ascii="Times" w:eastAsia="Times" w:hAnsi="Times" w:cs="Times"/>
          <w:color w:val="000000" w:themeColor="text1"/>
        </w:rPr>
        <w:t>; measured using the Functionality Appreciation Scale [FAS]; Alleva et al., 2017)</w:t>
      </w:r>
      <w:r w:rsidR="00127EF7">
        <w:rPr>
          <w:rFonts w:ascii="Times" w:eastAsia="Times" w:hAnsi="Times" w:cs="Times"/>
          <w:color w:val="000000" w:themeColor="text1"/>
        </w:rPr>
        <w:t xml:space="preserve"> </w:t>
      </w:r>
      <w:r w:rsidR="00B30AE4">
        <w:rPr>
          <w:rFonts w:ascii="Times" w:eastAsia="Times" w:hAnsi="Times" w:cs="Times"/>
          <w:color w:val="000000" w:themeColor="text1"/>
        </w:rPr>
        <w:t>forming</w:t>
      </w:r>
      <w:r w:rsidR="00127EF7">
        <w:rPr>
          <w:rFonts w:ascii="Times" w:eastAsia="Times" w:hAnsi="Times" w:cs="Times"/>
          <w:color w:val="000000" w:themeColor="text1"/>
        </w:rPr>
        <w:t xml:space="preserve"> core facets (Swami et al., 2020). In tandem with the growth of research on positive body image, </w:t>
      </w:r>
      <w:r w:rsidR="0032324C">
        <w:rPr>
          <w:color w:val="000000"/>
        </w:rPr>
        <w:t xml:space="preserve">there is increasing interest in examining differences in latent scores across different </w:t>
      </w:r>
      <w:r w:rsidR="009078CB">
        <w:rPr>
          <w:color w:val="000000"/>
        </w:rPr>
        <w:t>populations</w:t>
      </w:r>
      <w:r w:rsidR="00127EF7">
        <w:rPr>
          <w:color w:val="000000"/>
        </w:rPr>
        <w:t xml:space="preserve"> (Swami, 2018)</w:t>
      </w:r>
      <w:r w:rsidR="0032324C">
        <w:rPr>
          <w:color w:val="000000"/>
        </w:rPr>
        <w:t xml:space="preserve">. However, </w:t>
      </w:r>
      <w:r w:rsidR="006B4BA2">
        <w:rPr>
          <w:color w:val="000000"/>
        </w:rPr>
        <w:t xml:space="preserve">a prerequisite of </w:t>
      </w:r>
      <w:r w:rsidR="00744A1A">
        <w:rPr>
          <w:color w:val="000000"/>
        </w:rPr>
        <w:t xml:space="preserve">any meaningful comparison of </w:t>
      </w:r>
      <w:r w:rsidR="0032324C">
        <w:rPr>
          <w:color w:val="000000"/>
        </w:rPr>
        <w:t xml:space="preserve">latent </w:t>
      </w:r>
      <w:r w:rsidR="00744A1A">
        <w:rPr>
          <w:color w:val="000000"/>
        </w:rPr>
        <w:t>scores</w:t>
      </w:r>
      <w:r w:rsidR="006B4BA2">
        <w:rPr>
          <w:color w:val="000000"/>
        </w:rPr>
        <w:t xml:space="preserve"> across groups </w:t>
      </w:r>
      <w:r w:rsidR="00744A1A">
        <w:rPr>
          <w:color w:val="000000"/>
        </w:rPr>
        <w:t>is</w:t>
      </w:r>
      <w:r w:rsidR="006B4BA2">
        <w:rPr>
          <w:color w:val="000000"/>
        </w:rPr>
        <w:t xml:space="preserve"> ensuring</w:t>
      </w:r>
      <w:r w:rsidR="00744A1A">
        <w:rPr>
          <w:color w:val="000000"/>
        </w:rPr>
        <w:t xml:space="preserve"> that the measure is </w:t>
      </w:r>
      <w:r w:rsidR="006B4BA2">
        <w:rPr>
          <w:color w:val="000000"/>
        </w:rPr>
        <w:t>capturing the same construct (i.e.</w:t>
      </w:r>
      <w:r w:rsidR="0032324C">
        <w:rPr>
          <w:color w:val="000000"/>
        </w:rPr>
        <w:t>,</w:t>
      </w:r>
      <w:r w:rsidR="006B4BA2">
        <w:rPr>
          <w:color w:val="000000"/>
        </w:rPr>
        <w:t xml:space="preserve"> </w:t>
      </w:r>
      <w:r w:rsidR="006B4BA2">
        <w:rPr>
          <w:i/>
          <w:color w:val="000000"/>
        </w:rPr>
        <w:t xml:space="preserve">measurement </w:t>
      </w:r>
      <w:r w:rsidR="00744A1A" w:rsidRPr="006B4BA2">
        <w:rPr>
          <w:i/>
          <w:color w:val="000000"/>
        </w:rPr>
        <w:t>invarian</w:t>
      </w:r>
      <w:r w:rsidR="006B4BA2">
        <w:rPr>
          <w:i/>
          <w:color w:val="000000"/>
        </w:rPr>
        <w:t>ce</w:t>
      </w:r>
      <w:r w:rsidR="006B4BA2">
        <w:rPr>
          <w:color w:val="000000"/>
        </w:rPr>
        <w:t>) across th</w:t>
      </w:r>
      <w:r>
        <w:rPr>
          <w:color w:val="000000"/>
        </w:rPr>
        <w:t>ose</w:t>
      </w:r>
      <w:r w:rsidR="006B4BA2">
        <w:rPr>
          <w:color w:val="000000"/>
        </w:rPr>
        <w:t xml:space="preserve"> </w:t>
      </w:r>
      <w:r w:rsidR="00744A1A">
        <w:rPr>
          <w:color w:val="000000"/>
        </w:rPr>
        <w:t>groups</w:t>
      </w:r>
      <w:r w:rsidR="006B4BA2">
        <w:rPr>
          <w:color w:val="000000"/>
        </w:rPr>
        <w:t xml:space="preserve"> (Chen, 2008)</w:t>
      </w:r>
      <w:r w:rsidR="00167364">
        <w:rPr>
          <w:color w:val="000000"/>
        </w:rPr>
        <w:t xml:space="preserve">. </w:t>
      </w:r>
    </w:p>
    <w:p w14:paraId="2D838C00" w14:textId="3C9B7927" w:rsidR="0032324C" w:rsidRPr="00E92185" w:rsidRDefault="0032324C" w:rsidP="00796EBD">
      <w:pPr>
        <w:spacing w:line="480" w:lineRule="auto"/>
        <w:ind w:firstLine="720"/>
        <w:rPr>
          <w:color w:val="000000"/>
        </w:rPr>
      </w:pPr>
      <w:r>
        <w:rPr>
          <w:color w:val="000000"/>
        </w:rPr>
        <w:t xml:space="preserve">To date, much of the available </w:t>
      </w:r>
      <w:r w:rsidR="005A3188">
        <w:rPr>
          <w:color w:val="000000"/>
        </w:rPr>
        <w:t xml:space="preserve">body appreciation </w:t>
      </w:r>
      <w:r>
        <w:rPr>
          <w:color w:val="000000"/>
        </w:rPr>
        <w:t xml:space="preserve">literature has focused on establishing measurement invariance across gender </w:t>
      </w:r>
      <w:r w:rsidR="00E92185">
        <w:rPr>
          <w:color w:val="000000"/>
        </w:rPr>
        <w:t>with</w:t>
      </w:r>
      <w:r>
        <w:rPr>
          <w:color w:val="000000"/>
        </w:rPr>
        <w:t>in specific national groups</w:t>
      </w:r>
      <w:r w:rsidR="00796EBD">
        <w:rPr>
          <w:color w:val="000000"/>
        </w:rPr>
        <w:t xml:space="preserve"> (e.g., partial scalar invariance across gender was found for BAS-2 scores in Malaysia; Swami, </w:t>
      </w:r>
      <w:proofErr w:type="spellStart"/>
      <w:r w:rsidR="00796EBD">
        <w:rPr>
          <w:color w:val="000000"/>
        </w:rPr>
        <w:t>Mohd</w:t>
      </w:r>
      <w:proofErr w:type="spellEnd"/>
      <w:r w:rsidR="00796EBD">
        <w:rPr>
          <w:color w:val="000000"/>
        </w:rPr>
        <w:t>. Khatib et al., 2019)</w:t>
      </w:r>
      <w:r>
        <w:rPr>
          <w:color w:val="000000"/>
        </w:rPr>
        <w:t>, which has allowed for examinations of gender differences in latent scores (see He</w:t>
      </w:r>
      <w:r w:rsidR="00A53E21">
        <w:rPr>
          <w:color w:val="000000"/>
        </w:rPr>
        <w:t xml:space="preserve"> et al.</w:t>
      </w:r>
      <w:r>
        <w:rPr>
          <w:color w:val="000000"/>
        </w:rPr>
        <w:t xml:space="preserve">, 2020). In contrast, </w:t>
      </w:r>
      <w:r w:rsidR="00E92185">
        <w:rPr>
          <w:color w:val="000000"/>
        </w:rPr>
        <w:t xml:space="preserve">only two studies have examined </w:t>
      </w:r>
      <w:r>
        <w:rPr>
          <w:color w:val="000000"/>
        </w:rPr>
        <w:t>measurement invariance across national groups</w:t>
      </w:r>
      <w:r w:rsidR="00E92185">
        <w:rPr>
          <w:color w:val="000000"/>
        </w:rPr>
        <w:t xml:space="preserve"> and both were limited to adolescents</w:t>
      </w:r>
      <w:r>
        <w:rPr>
          <w:color w:val="000000"/>
        </w:rPr>
        <w:t xml:space="preserve">. </w:t>
      </w:r>
      <w:r w:rsidR="00BE5C19">
        <w:rPr>
          <w:color w:val="000000"/>
        </w:rPr>
        <w:t>First, a</w:t>
      </w:r>
      <w:r>
        <w:rPr>
          <w:color w:val="000000"/>
        </w:rPr>
        <w:t xml:space="preserve"> study of adolescents from Denmark, Portugal, and Sweden establish</w:t>
      </w:r>
      <w:r w:rsidR="00517795">
        <w:rPr>
          <w:color w:val="000000"/>
        </w:rPr>
        <w:t>ed</w:t>
      </w:r>
      <w:r>
        <w:rPr>
          <w:color w:val="000000"/>
        </w:rPr>
        <w:t xml:space="preserve"> partial scalar invariance of the 1-dimensional model of BAS-2 scores (Lemoine et al., 2018). </w:t>
      </w:r>
      <w:r w:rsidR="00517795">
        <w:rPr>
          <w:color w:val="000000"/>
        </w:rPr>
        <w:t>C</w:t>
      </w:r>
      <w:r>
        <w:rPr>
          <w:color w:val="000000"/>
        </w:rPr>
        <w:t xml:space="preserve">omparison of latent scores indicated that cross-national differences were negligible. A more recent study of adolescents from Argentina, </w:t>
      </w:r>
      <w:r>
        <w:rPr>
          <w:color w:val="000000"/>
        </w:rPr>
        <w:lastRenderedPageBreak/>
        <w:t>Colombia, and Mexico establish</w:t>
      </w:r>
      <w:r w:rsidR="009078CB">
        <w:rPr>
          <w:color w:val="000000"/>
        </w:rPr>
        <w:t>ed</w:t>
      </w:r>
      <w:r>
        <w:rPr>
          <w:color w:val="000000"/>
        </w:rPr>
        <w:t xml:space="preserve"> full measurement invariance</w:t>
      </w:r>
      <w:r w:rsidR="00BE5C19">
        <w:rPr>
          <w:color w:val="000000"/>
        </w:rPr>
        <w:t xml:space="preserve"> of BAS-2 scores</w:t>
      </w:r>
      <w:r>
        <w:rPr>
          <w:color w:val="000000"/>
        </w:rPr>
        <w:t xml:space="preserve"> (</w:t>
      </w:r>
      <w:proofErr w:type="spellStart"/>
      <w:r>
        <w:rPr>
          <w:color w:val="000000" w:themeColor="text1"/>
        </w:rPr>
        <w:t>Góngora</w:t>
      </w:r>
      <w:proofErr w:type="spellEnd"/>
      <w:r w:rsidR="00BE5C19">
        <w:rPr>
          <w:color w:val="000000" w:themeColor="text1"/>
        </w:rPr>
        <w:t xml:space="preserve"> et al.</w:t>
      </w:r>
      <w:r>
        <w:rPr>
          <w:color w:val="000000" w:themeColor="text1"/>
        </w:rPr>
        <w:t>, 2020). Comparison of latent scores indicated significantly higher mean scores in the Colombian group, followed by the Mexican group, and the Argentinian group</w:t>
      </w:r>
      <w:r w:rsidR="00B30AE4">
        <w:rPr>
          <w:color w:val="000000" w:themeColor="text1"/>
        </w:rPr>
        <w:t xml:space="preserve">, but the </w:t>
      </w:r>
      <w:r>
        <w:rPr>
          <w:color w:val="000000" w:themeColor="text1"/>
        </w:rPr>
        <w:t xml:space="preserve">effect size was small. </w:t>
      </w:r>
    </w:p>
    <w:p w14:paraId="566507BF" w14:textId="40E6C6EB" w:rsidR="00A23A09" w:rsidRDefault="0032324C" w:rsidP="0032324C">
      <w:pPr>
        <w:spacing w:line="480" w:lineRule="auto"/>
        <w:ind w:firstLine="720"/>
        <w:rPr>
          <w:color w:val="000000"/>
        </w:rPr>
      </w:pPr>
      <w:r>
        <w:rPr>
          <w:color w:val="000000" w:themeColor="text1"/>
        </w:rPr>
        <w:t>Beyond adolescent samples, a number of studies have examined latent mean differences in body appreciation scores in adults from different national settings (e.g., Jung &amp; Hwang, 2015; Swami &amp; Ng, 2015; Swami</w:t>
      </w:r>
      <w:r w:rsidR="00A53E21">
        <w:rPr>
          <w:color w:val="000000" w:themeColor="text1"/>
        </w:rPr>
        <w:t xml:space="preserve"> et al.</w:t>
      </w:r>
      <w:r>
        <w:rPr>
          <w:color w:val="000000" w:themeColor="text1"/>
        </w:rPr>
        <w:t>, 2016</w:t>
      </w:r>
      <w:r>
        <w:rPr>
          <w:color w:val="000000" w:themeColor="text1"/>
          <w:shd w:val="clear" w:color="auto" w:fill="FFFFFF"/>
        </w:rPr>
        <w:t xml:space="preserve">), but these studies did not first establish measurement invariance across groups. In contrast, the construct of functionality appreciation has received scant attention outside North America and Western Europe. </w:t>
      </w:r>
      <w:r w:rsidR="00517795">
        <w:rPr>
          <w:color w:val="000000"/>
        </w:rPr>
        <w:t>T</w:t>
      </w:r>
      <w:r w:rsidR="005C18F0">
        <w:rPr>
          <w:color w:val="000000"/>
        </w:rPr>
        <w:t xml:space="preserve">o date, </w:t>
      </w:r>
      <w:r w:rsidR="009A7317">
        <w:rPr>
          <w:color w:val="000000"/>
        </w:rPr>
        <w:t xml:space="preserve">only </w:t>
      </w:r>
      <w:r w:rsidR="005757DF">
        <w:rPr>
          <w:color w:val="000000"/>
        </w:rPr>
        <w:t xml:space="preserve">one </w:t>
      </w:r>
      <w:r w:rsidR="009A7317">
        <w:rPr>
          <w:color w:val="000000"/>
        </w:rPr>
        <w:t xml:space="preserve">psychometric </w:t>
      </w:r>
      <w:r w:rsidR="005757DF">
        <w:rPr>
          <w:color w:val="000000"/>
        </w:rPr>
        <w:t>assessment</w:t>
      </w:r>
      <w:r w:rsidR="005C18F0">
        <w:rPr>
          <w:color w:val="000000"/>
        </w:rPr>
        <w:t xml:space="preserve"> of</w:t>
      </w:r>
      <w:r>
        <w:rPr>
          <w:color w:val="000000"/>
        </w:rPr>
        <w:t xml:space="preserve"> the FAS has been conducted with a non-English-speaking sample: </w:t>
      </w:r>
      <w:r w:rsidR="00AF6BFB">
        <w:rPr>
          <w:color w:val="000000"/>
        </w:rPr>
        <w:t>Swami</w:t>
      </w:r>
      <w:r>
        <w:rPr>
          <w:color w:val="000000"/>
        </w:rPr>
        <w:t>, Todd</w:t>
      </w:r>
      <w:r w:rsidR="00AF6BFB">
        <w:rPr>
          <w:color w:val="000000"/>
        </w:rPr>
        <w:t xml:space="preserve"> and colleagues (2019)</w:t>
      </w:r>
      <w:r w:rsidR="006920CD">
        <w:rPr>
          <w:color w:val="000000"/>
        </w:rPr>
        <w:t xml:space="preserve"> found FAS scores to be </w:t>
      </w:r>
      <w:r>
        <w:rPr>
          <w:color w:val="000000"/>
        </w:rPr>
        <w:t>1-</w:t>
      </w:r>
      <w:r w:rsidR="006920CD">
        <w:rPr>
          <w:color w:val="000000"/>
        </w:rPr>
        <w:t>dimensional in a sample of Malaysian adults. As this finding is consistent with the factor structure of FAS reported in samples from the U</w:t>
      </w:r>
      <w:r>
        <w:rPr>
          <w:color w:val="000000"/>
        </w:rPr>
        <w:t>nited States</w:t>
      </w:r>
      <w:r w:rsidR="006920CD">
        <w:rPr>
          <w:color w:val="000000"/>
        </w:rPr>
        <w:t xml:space="preserve"> (Alleva et al., 2017), it is possible that the FAS may be invariant across English- and Malay-speaking samples, which could facilitate a meaningful between-group comparison. </w:t>
      </w:r>
      <w:r w:rsidR="00864D76">
        <w:rPr>
          <w:color w:val="000000"/>
        </w:rPr>
        <w:t>To summarise, the extant research examining facets of positive body image across national groups</w:t>
      </w:r>
      <w:r w:rsidR="005D2AD6">
        <w:rPr>
          <w:color w:val="000000"/>
        </w:rPr>
        <w:t xml:space="preserve"> </w:t>
      </w:r>
      <w:r w:rsidR="00864D76">
        <w:rPr>
          <w:color w:val="000000"/>
        </w:rPr>
        <w:t xml:space="preserve">remains very limited in terms of the BAS-2 and is currently non-existent in terms of the FAS. </w:t>
      </w:r>
    </w:p>
    <w:p w14:paraId="4A1C5A1E" w14:textId="706A0F64" w:rsidR="0032324C" w:rsidRDefault="005D2AD6" w:rsidP="0032324C">
      <w:pPr>
        <w:spacing w:line="480" w:lineRule="auto"/>
        <w:ind w:firstLine="720"/>
      </w:pPr>
      <w:r>
        <w:rPr>
          <w:color w:val="000000"/>
        </w:rPr>
        <w:t xml:space="preserve">As a contribution to this literature, we </w:t>
      </w:r>
      <w:r w:rsidR="0032324C">
        <w:rPr>
          <w:color w:val="000000"/>
        </w:rPr>
        <w:t>examine</w:t>
      </w:r>
      <w:r w:rsidR="009078CB">
        <w:rPr>
          <w:color w:val="000000"/>
        </w:rPr>
        <w:t>d</w:t>
      </w:r>
      <w:r w:rsidR="0032324C">
        <w:rPr>
          <w:color w:val="000000"/>
        </w:rPr>
        <w:t xml:space="preserve"> whether BAS-2 and FAS scores would demonstrate measurement invariance across adults from Malaysia and the United Kingdom (UK). These sites were chosen primarily because comparable data is available for analyses, but also because they represent distinct national</w:t>
      </w:r>
      <w:r w:rsidR="00864D76">
        <w:rPr>
          <w:color w:val="000000"/>
        </w:rPr>
        <w:t xml:space="preserve"> and cultural</w:t>
      </w:r>
      <w:r w:rsidR="0032324C">
        <w:rPr>
          <w:color w:val="000000"/>
        </w:rPr>
        <w:t xml:space="preserve"> groups (Malaysia: Eastern, newly industrialised market economy</w:t>
      </w:r>
      <w:r w:rsidR="00864D76">
        <w:rPr>
          <w:color w:val="000000"/>
        </w:rPr>
        <w:t>, undergoing a nutrition transition</w:t>
      </w:r>
      <w:r w:rsidR="0032324C">
        <w:rPr>
          <w:color w:val="000000"/>
        </w:rPr>
        <w:t xml:space="preserve">; </w:t>
      </w:r>
      <w:r w:rsidR="00BE5C19">
        <w:rPr>
          <w:color w:val="000000"/>
        </w:rPr>
        <w:t>UK:</w:t>
      </w:r>
      <w:r w:rsidR="0032324C">
        <w:rPr>
          <w:color w:val="000000"/>
        </w:rPr>
        <w:t xml:space="preserve"> Western, high-income economy</w:t>
      </w:r>
      <w:r w:rsidR="00864D76">
        <w:rPr>
          <w:color w:val="000000"/>
        </w:rPr>
        <w:t>, Westernised pattern of diets</w:t>
      </w:r>
      <w:r w:rsidR="0032324C">
        <w:rPr>
          <w:color w:val="000000"/>
        </w:rPr>
        <w:t xml:space="preserve">). As a preliminary hypothesis based on previous research (e.g., </w:t>
      </w:r>
      <w:proofErr w:type="spellStart"/>
      <w:r w:rsidR="0032324C">
        <w:rPr>
          <w:color w:val="000000" w:themeColor="text1"/>
        </w:rPr>
        <w:t>Góngora</w:t>
      </w:r>
      <w:proofErr w:type="spellEnd"/>
      <w:r w:rsidR="0032324C">
        <w:rPr>
          <w:color w:val="000000" w:themeColor="text1"/>
        </w:rPr>
        <w:t xml:space="preserve"> et al., </w:t>
      </w:r>
      <w:r w:rsidR="0032324C">
        <w:rPr>
          <w:color w:val="000000" w:themeColor="text1"/>
        </w:rPr>
        <w:lastRenderedPageBreak/>
        <w:t>2020)</w:t>
      </w:r>
      <w:r w:rsidR="0032324C">
        <w:rPr>
          <w:color w:val="000000"/>
        </w:rPr>
        <w:t xml:space="preserve">, we expected </w:t>
      </w:r>
      <w:r w:rsidR="009078CB">
        <w:rPr>
          <w:color w:val="000000"/>
        </w:rPr>
        <w:t>to</w:t>
      </w:r>
      <w:r w:rsidR="0032324C">
        <w:rPr>
          <w:color w:val="000000"/>
        </w:rPr>
        <w:t xml:space="preserve"> be able to demonstrate full measurement invariance</w:t>
      </w:r>
      <w:r w:rsidR="00E043D3">
        <w:t xml:space="preserve"> (at the configural, metric</w:t>
      </w:r>
      <w:r w:rsidR="0032324C">
        <w:t>,</w:t>
      </w:r>
      <w:r w:rsidR="00E043D3">
        <w:t xml:space="preserve"> and scalar levels) for both measures. </w:t>
      </w:r>
      <w:r w:rsidR="0032324C">
        <w:t>To the extent that measurement invariance was supported, we intended to examine group differences in latent BAS-2 and FAS scores across nationality and gender. This aspect was more exploratory, although previous research (</w:t>
      </w:r>
      <w:proofErr w:type="spellStart"/>
      <w:r w:rsidR="0032324C">
        <w:rPr>
          <w:color w:val="000000" w:themeColor="text1"/>
        </w:rPr>
        <w:t>Góngora</w:t>
      </w:r>
      <w:proofErr w:type="spellEnd"/>
      <w:r w:rsidR="0032324C">
        <w:t xml:space="preserve"> et al., 2020; Lemoine et al., 2018) led us to expect negligible-to-small differences. </w:t>
      </w:r>
    </w:p>
    <w:p w14:paraId="3AA5FB52" w14:textId="1428CA8C" w:rsidR="000F5029" w:rsidRPr="000F5029" w:rsidRDefault="000112F1" w:rsidP="00363AC5">
      <w:pPr>
        <w:spacing w:line="480" w:lineRule="auto"/>
        <w:jc w:val="center"/>
        <w:rPr>
          <w:b/>
          <w:bCs/>
        </w:rPr>
      </w:pPr>
      <w:r>
        <w:rPr>
          <w:b/>
          <w:bCs/>
        </w:rPr>
        <w:t xml:space="preserve">2. </w:t>
      </w:r>
      <w:r w:rsidR="000F5029">
        <w:rPr>
          <w:b/>
          <w:bCs/>
        </w:rPr>
        <w:t>Method</w:t>
      </w:r>
    </w:p>
    <w:p w14:paraId="63D7ECF1" w14:textId="0AAA1838" w:rsidR="0032324C" w:rsidRDefault="54828480" w:rsidP="00363AC5">
      <w:pPr>
        <w:tabs>
          <w:tab w:val="left" w:pos="426"/>
        </w:tabs>
        <w:spacing w:line="480" w:lineRule="auto"/>
        <w:rPr>
          <w:b/>
          <w:bCs/>
        </w:rPr>
      </w:pPr>
      <w:r w:rsidRPr="54828480">
        <w:rPr>
          <w:b/>
          <w:bCs/>
        </w:rPr>
        <w:t>2.1. Participant</w:t>
      </w:r>
      <w:r w:rsidR="0032324C">
        <w:rPr>
          <w:b/>
          <w:bCs/>
        </w:rPr>
        <w:t>s and Procedures</w:t>
      </w:r>
    </w:p>
    <w:p w14:paraId="62A172F0" w14:textId="107DF633" w:rsidR="0032324C" w:rsidRPr="0032324C" w:rsidRDefault="0032324C" w:rsidP="00363AC5">
      <w:pPr>
        <w:tabs>
          <w:tab w:val="left" w:pos="426"/>
        </w:tabs>
        <w:spacing w:line="480" w:lineRule="auto"/>
      </w:pPr>
      <w:r>
        <w:rPr>
          <w:bCs/>
        </w:rPr>
        <w:tab/>
      </w:r>
      <w:r>
        <w:rPr>
          <w:bCs/>
        </w:rPr>
        <w:tab/>
        <w:t>Data (i.e., BAS-2 and FAS scores, as well as demographic data consisting of gender, age, ethnicity, and body mass index [BMI]) for the present study were obtained from two published studies</w:t>
      </w:r>
      <w:r w:rsidR="003D7713">
        <w:rPr>
          <w:bCs/>
        </w:rPr>
        <w:t xml:space="preserve"> utilising online samples</w:t>
      </w:r>
      <w:r>
        <w:rPr>
          <w:bCs/>
        </w:rPr>
        <w:t xml:space="preserve">: Todd and colleagues (2019) and Swami, Todd and colleagues (2019). </w:t>
      </w:r>
      <w:r w:rsidR="00517795">
        <w:rPr>
          <w:bCs/>
        </w:rPr>
        <w:t>W</w:t>
      </w:r>
      <w:r>
        <w:rPr>
          <w:bCs/>
        </w:rPr>
        <w:t>e included participants who self-identified as being of British White ancestry from Todd and colleagues (2019;</w:t>
      </w:r>
      <w:r w:rsidR="54828480" w:rsidRPr="00231478">
        <w:t xml:space="preserve"> </w:t>
      </w:r>
      <w:r>
        <w:rPr>
          <w:i/>
          <w:iCs/>
        </w:rPr>
        <w:t>N</w:t>
      </w:r>
      <w:r w:rsidR="54828480" w:rsidRPr="00231478">
        <w:rPr>
          <w:i/>
          <w:iCs/>
        </w:rPr>
        <w:t xml:space="preserve"> </w:t>
      </w:r>
      <w:r w:rsidR="00231478" w:rsidRPr="00231478">
        <w:t>= 596</w:t>
      </w:r>
      <w:r w:rsidR="54828480" w:rsidRPr="00231478">
        <w:t xml:space="preserve">, women </w:t>
      </w:r>
      <w:r w:rsidR="54828480" w:rsidRPr="00231478">
        <w:rPr>
          <w:i/>
          <w:iCs/>
        </w:rPr>
        <w:t xml:space="preserve">n </w:t>
      </w:r>
      <w:r w:rsidR="00231478" w:rsidRPr="00231478">
        <w:t>= 41</w:t>
      </w:r>
      <w:r w:rsidR="54828480" w:rsidRPr="00231478">
        <w:t>6</w:t>
      </w:r>
      <w:r w:rsidR="00595628">
        <w:t xml:space="preserve"> or 69.7%</w:t>
      </w:r>
      <w:r w:rsidR="54828480" w:rsidRPr="00231478">
        <w:t xml:space="preserve">) </w:t>
      </w:r>
      <w:r>
        <w:t>and participants who self-identified as being of Malaysian Malay ancestry from Swami</w:t>
      </w:r>
      <w:r w:rsidR="00BE5C19">
        <w:t>, Todd</w:t>
      </w:r>
      <w:r>
        <w:t xml:space="preserve"> and colleagues (2019; </w:t>
      </w:r>
      <w:r>
        <w:rPr>
          <w:i/>
        </w:rPr>
        <w:t xml:space="preserve">N </w:t>
      </w:r>
      <w:r w:rsidR="54828480" w:rsidRPr="00363AC5">
        <w:t xml:space="preserve">= 815, women, </w:t>
      </w:r>
      <w:r w:rsidR="54828480" w:rsidRPr="00363AC5">
        <w:rPr>
          <w:i/>
          <w:iCs/>
        </w:rPr>
        <w:t xml:space="preserve">n </w:t>
      </w:r>
      <w:r w:rsidR="54828480" w:rsidRPr="00363AC5">
        <w:t>= 403</w:t>
      </w:r>
      <w:r w:rsidR="00595628">
        <w:t xml:space="preserve"> or 49.4%</w:t>
      </w:r>
      <w:r w:rsidR="54828480" w:rsidRPr="00363AC5">
        <w:t xml:space="preserve">). </w:t>
      </w:r>
      <w:r>
        <w:t xml:space="preserve">These subsamples were selected to represent the majority ethnic group in each national context. </w:t>
      </w:r>
      <w:r w:rsidR="003D7713">
        <w:t>F</w:t>
      </w:r>
      <w:r>
        <w:t xml:space="preserve">ull procedural information is available in the parent studies. </w:t>
      </w:r>
    </w:p>
    <w:p w14:paraId="44A8B9D6" w14:textId="77777777" w:rsidR="00672AEF" w:rsidRDefault="000112F1" w:rsidP="00363AC5">
      <w:pPr>
        <w:spacing w:line="480" w:lineRule="auto"/>
      </w:pPr>
      <w:r>
        <w:rPr>
          <w:b/>
          <w:bCs/>
        </w:rPr>
        <w:t xml:space="preserve">2.2. </w:t>
      </w:r>
      <w:r w:rsidR="00700BBE">
        <w:rPr>
          <w:b/>
          <w:bCs/>
        </w:rPr>
        <w:t>Measures</w:t>
      </w:r>
      <w:r w:rsidR="005C4591">
        <w:rPr>
          <w:b/>
          <w:bCs/>
        </w:rPr>
        <w:t xml:space="preserve"> </w:t>
      </w:r>
    </w:p>
    <w:p w14:paraId="69EF6E6D" w14:textId="5D7F7370" w:rsidR="54828480" w:rsidRDefault="54828480" w:rsidP="0032324C">
      <w:pPr>
        <w:spacing w:line="480" w:lineRule="auto"/>
        <w:ind w:firstLine="720"/>
      </w:pPr>
      <w:r w:rsidRPr="54828480">
        <w:rPr>
          <w:b/>
          <w:bCs/>
        </w:rPr>
        <w:t>2.2.1. Body appreciation</w:t>
      </w:r>
      <w:r w:rsidR="0032324C">
        <w:rPr>
          <w:b/>
          <w:bCs/>
        </w:rPr>
        <w:t>.</w:t>
      </w:r>
      <w:r w:rsidRPr="54828480">
        <w:t xml:space="preserve"> Participants completed the 10-item Body Appreciation Scale-2 (BAS-2; Tylka &amp; Wood-Barcalow, 2015) in either English or </w:t>
      </w:r>
      <w:r w:rsidR="0032324C">
        <w:t>Malay</w:t>
      </w:r>
      <w:r w:rsidRPr="54828480">
        <w:t xml:space="preserve"> (Malay translation: Swami, </w:t>
      </w:r>
      <w:proofErr w:type="spellStart"/>
      <w:r w:rsidRPr="54828480">
        <w:t>Mohd</w:t>
      </w:r>
      <w:proofErr w:type="spellEnd"/>
      <w:r w:rsidRPr="54828480">
        <w:t>. Khatib et al., 2019). The BAS-2</w:t>
      </w:r>
      <w:r w:rsidRPr="54828480">
        <w:rPr>
          <w:rFonts w:ascii="Times" w:eastAsia="Times" w:hAnsi="Times" w:cs="Times"/>
        </w:rPr>
        <w:t xml:space="preserve"> assesses the extent to which individual</w:t>
      </w:r>
      <w:r w:rsidR="0032324C">
        <w:rPr>
          <w:rFonts w:ascii="Times" w:eastAsia="Times" w:hAnsi="Times" w:cs="Times"/>
        </w:rPr>
        <w:t>s</w:t>
      </w:r>
      <w:r w:rsidRPr="54828480">
        <w:rPr>
          <w:rFonts w:ascii="Times" w:eastAsia="Times" w:hAnsi="Times" w:cs="Times"/>
        </w:rPr>
        <w:t xml:space="preserve"> respect and appreciat</w:t>
      </w:r>
      <w:r w:rsidR="00517795">
        <w:rPr>
          <w:rFonts w:ascii="Times" w:eastAsia="Times" w:hAnsi="Times" w:cs="Times"/>
        </w:rPr>
        <w:t>e</w:t>
      </w:r>
      <w:r w:rsidRPr="54828480">
        <w:rPr>
          <w:rFonts w:ascii="Times" w:eastAsia="Times" w:hAnsi="Times" w:cs="Times"/>
        </w:rPr>
        <w:t xml:space="preserve"> for their bod</w:t>
      </w:r>
      <w:r w:rsidR="0032324C">
        <w:rPr>
          <w:rFonts w:ascii="Times" w:eastAsia="Times" w:hAnsi="Times" w:cs="Times"/>
        </w:rPr>
        <w:t>ies</w:t>
      </w:r>
      <w:r w:rsidRPr="54828480">
        <w:rPr>
          <w:rFonts w:ascii="Times" w:eastAsia="Times" w:hAnsi="Times" w:cs="Times"/>
        </w:rPr>
        <w:t>, and hold positive opinions about their bod</w:t>
      </w:r>
      <w:r w:rsidR="0032324C">
        <w:rPr>
          <w:rFonts w:ascii="Times" w:eastAsia="Times" w:hAnsi="Times" w:cs="Times"/>
        </w:rPr>
        <w:t>ies</w:t>
      </w:r>
      <w:r w:rsidRPr="54828480">
        <w:rPr>
          <w:rFonts w:ascii="Times" w:eastAsia="Times" w:hAnsi="Times" w:cs="Times"/>
        </w:rPr>
        <w:t xml:space="preserve"> regardless of actual physical appearance. BAS-2 items were rated </w:t>
      </w:r>
      <w:r w:rsidR="00517795">
        <w:rPr>
          <w:rFonts w:ascii="Times" w:eastAsia="Times" w:hAnsi="Times" w:cs="Times"/>
        </w:rPr>
        <w:t>from</w:t>
      </w:r>
      <w:r w:rsidRPr="54828480">
        <w:rPr>
          <w:rFonts w:ascii="Times" w:eastAsia="Times" w:hAnsi="Times" w:cs="Times"/>
        </w:rPr>
        <w:t xml:space="preserve"> 1 </w:t>
      </w:r>
      <w:r w:rsidR="00517795">
        <w:rPr>
          <w:rFonts w:ascii="Times" w:eastAsia="Times" w:hAnsi="Times" w:cs="Times"/>
        </w:rPr>
        <w:t>(</w:t>
      </w:r>
      <w:r w:rsidRPr="54828480">
        <w:rPr>
          <w:rFonts w:ascii="Times" w:eastAsia="Times" w:hAnsi="Times" w:cs="Times"/>
          <w:i/>
          <w:iCs/>
        </w:rPr>
        <w:t>never</w:t>
      </w:r>
      <w:r w:rsidR="00517795">
        <w:rPr>
          <w:rFonts w:ascii="Times" w:eastAsia="Times" w:hAnsi="Times" w:cs="Times"/>
          <w:iCs/>
        </w:rPr>
        <w:t xml:space="preserve">) to 5 </w:t>
      </w:r>
      <w:r w:rsidR="00517795">
        <w:rPr>
          <w:rFonts w:ascii="Times" w:eastAsia="Times" w:hAnsi="Times" w:cs="Times"/>
        </w:rPr>
        <w:t>(</w:t>
      </w:r>
      <w:r w:rsidRPr="54828480">
        <w:rPr>
          <w:rFonts w:ascii="Times" w:eastAsia="Times" w:hAnsi="Times" w:cs="Times"/>
          <w:i/>
          <w:iCs/>
        </w:rPr>
        <w:t>always</w:t>
      </w:r>
      <w:r w:rsidRPr="54828480">
        <w:rPr>
          <w:rFonts w:ascii="Times" w:eastAsia="Times" w:hAnsi="Times" w:cs="Times"/>
        </w:rPr>
        <w:t>)</w:t>
      </w:r>
      <w:r w:rsidR="00517795">
        <w:rPr>
          <w:rFonts w:ascii="Times" w:eastAsia="Times" w:hAnsi="Times" w:cs="Times"/>
        </w:rPr>
        <w:t>,</w:t>
      </w:r>
      <w:r w:rsidRPr="54828480">
        <w:rPr>
          <w:rFonts w:ascii="Times" w:eastAsia="Times" w:hAnsi="Times" w:cs="Times"/>
        </w:rPr>
        <w:t xml:space="preserve"> and an overall score was computed as </w:t>
      </w:r>
      <w:r w:rsidRPr="54828480">
        <w:rPr>
          <w:rFonts w:ascii="Times" w:eastAsia="Times" w:hAnsi="Times" w:cs="Times"/>
        </w:rPr>
        <w:lastRenderedPageBreak/>
        <w:t>the mean of all items</w:t>
      </w:r>
      <w:r w:rsidR="00595628">
        <w:rPr>
          <w:rFonts w:ascii="Times" w:eastAsia="Times" w:hAnsi="Times" w:cs="Times"/>
        </w:rPr>
        <w:t xml:space="preserve"> (higher scores indicated greater body appreciation)</w:t>
      </w:r>
      <w:r w:rsidRPr="54828480">
        <w:rPr>
          <w:rFonts w:ascii="Times" w:eastAsia="Times" w:hAnsi="Times" w:cs="Times"/>
        </w:rPr>
        <w:t xml:space="preserve">. BAS-2 </w:t>
      </w:r>
      <w:r w:rsidR="00595628">
        <w:rPr>
          <w:rFonts w:ascii="Times" w:eastAsia="Times" w:hAnsi="Times" w:cs="Times"/>
        </w:rPr>
        <w:t>items</w:t>
      </w:r>
      <w:r w:rsidRPr="54828480">
        <w:rPr>
          <w:rFonts w:ascii="Times" w:eastAsia="Times" w:hAnsi="Times" w:cs="Times"/>
        </w:rPr>
        <w:t xml:space="preserve"> have been found to reduce to a single factor, are invariant across </w:t>
      </w:r>
      <w:r w:rsidR="0032324C">
        <w:rPr>
          <w:rFonts w:ascii="Times" w:eastAsia="Times" w:hAnsi="Times" w:cs="Times"/>
        </w:rPr>
        <w:t>gender</w:t>
      </w:r>
      <w:r w:rsidRPr="54828480">
        <w:rPr>
          <w:rFonts w:ascii="Times" w:eastAsia="Times" w:hAnsi="Times" w:cs="Times"/>
        </w:rPr>
        <w:t>, and have adequate internal consistency, as well as good patterns of convergent and discriminant validity in both English- (Tylka &amp; Wood-Barcalow, 2015) and Malay-speaking samples (</w:t>
      </w:r>
      <w:r w:rsidRPr="54828480">
        <w:t xml:space="preserve">Swami, </w:t>
      </w:r>
      <w:proofErr w:type="spellStart"/>
      <w:r w:rsidRPr="54828480">
        <w:t>Mohd</w:t>
      </w:r>
      <w:proofErr w:type="spellEnd"/>
      <w:r w:rsidRPr="54828480">
        <w:t xml:space="preserve">. Khatib et al., 2019). </w:t>
      </w:r>
      <w:r w:rsidR="00595628">
        <w:t xml:space="preserve">In this study, </w:t>
      </w:r>
      <w:r w:rsidRPr="54828480">
        <w:t>ω for BAS-2 scores in the total sample was .96 (95% CI = 92, .97</w:t>
      </w:r>
      <w:r w:rsidR="0032324C">
        <w:t xml:space="preserve">; </w:t>
      </w:r>
      <w:r w:rsidRPr="54828480">
        <w:t>Malay</w:t>
      </w:r>
      <w:r w:rsidR="0032324C">
        <w:t>sian</w:t>
      </w:r>
      <w:r w:rsidRPr="54828480">
        <w:t xml:space="preserve"> sample: .92</w:t>
      </w:r>
      <w:r w:rsidR="0032324C">
        <w:t xml:space="preserve">, </w:t>
      </w:r>
      <w:r w:rsidRPr="54828480">
        <w:t>95% CI = .91, .93; UK sample: .97</w:t>
      </w:r>
      <w:r w:rsidR="0032324C">
        <w:t xml:space="preserve">, </w:t>
      </w:r>
      <w:r w:rsidRPr="54828480">
        <w:t>95% CI = .95, .98).</w:t>
      </w:r>
    </w:p>
    <w:p w14:paraId="1D17ABDE" w14:textId="657FA9F6" w:rsidR="00700BBE" w:rsidRDefault="54828480" w:rsidP="0032324C">
      <w:pPr>
        <w:spacing w:line="480" w:lineRule="auto"/>
        <w:ind w:firstLine="720"/>
      </w:pPr>
      <w:r w:rsidRPr="54828480">
        <w:rPr>
          <w:b/>
          <w:bCs/>
        </w:rPr>
        <w:t>2.</w:t>
      </w:r>
      <w:r w:rsidR="00825D46">
        <w:rPr>
          <w:b/>
          <w:bCs/>
        </w:rPr>
        <w:t>2.2. Functionality appreciation</w:t>
      </w:r>
      <w:r w:rsidR="0032324C">
        <w:rPr>
          <w:b/>
          <w:bCs/>
        </w:rPr>
        <w:t>.</w:t>
      </w:r>
      <w:r w:rsidRPr="54828480">
        <w:rPr>
          <w:b/>
          <w:bCs/>
        </w:rPr>
        <w:t xml:space="preserve"> </w:t>
      </w:r>
      <w:r w:rsidRPr="54828480">
        <w:t>Participants completed the 7-item Functionality Appreciation Scale (FAS; Alleva et al., 2017) in either English or Malay</w:t>
      </w:r>
      <w:r w:rsidR="0032324C">
        <w:t xml:space="preserve"> (</w:t>
      </w:r>
      <w:r w:rsidRPr="54828480">
        <w:t>Malay translation: Swami, Todd et al., 2019).</w:t>
      </w:r>
      <w:r w:rsidRPr="54828480">
        <w:rPr>
          <w:color w:val="2E2E2E"/>
        </w:rPr>
        <w:t xml:space="preserve"> </w:t>
      </w:r>
      <w:r w:rsidRPr="54828480">
        <w:rPr>
          <w:rFonts w:ascii="Times" w:eastAsia="Times" w:hAnsi="Times" w:cs="Times"/>
          <w:color w:val="000000" w:themeColor="text1"/>
        </w:rPr>
        <w:t>The FAS assesses the extent to which an individual is appreciative of the</w:t>
      </w:r>
      <w:r w:rsidR="00517795">
        <w:rPr>
          <w:rFonts w:ascii="Times" w:eastAsia="Times" w:hAnsi="Times" w:cs="Times"/>
          <w:color w:val="000000" w:themeColor="text1"/>
        </w:rPr>
        <w:t>ir</w:t>
      </w:r>
      <w:r w:rsidRPr="54828480">
        <w:rPr>
          <w:rFonts w:ascii="Times" w:eastAsia="Times" w:hAnsi="Times" w:cs="Times"/>
          <w:color w:val="000000" w:themeColor="text1"/>
        </w:rPr>
        <w:t xml:space="preserve"> body for the functions it can perform or is capable of performing. FAS items were rated </w:t>
      </w:r>
      <w:r w:rsidR="00517795">
        <w:rPr>
          <w:rFonts w:ascii="Times" w:eastAsia="Times" w:hAnsi="Times" w:cs="Times"/>
          <w:color w:val="000000" w:themeColor="text1"/>
        </w:rPr>
        <w:t>from</w:t>
      </w:r>
      <w:r w:rsidRPr="54828480">
        <w:rPr>
          <w:rFonts w:ascii="Times" w:eastAsia="Times" w:hAnsi="Times" w:cs="Times"/>
          <w:color w:val="000000" w:themeColor="text1"/>
        </w:rPr>
        <w:t xml:space="preserve"> 1 </w:t>
      </w:r>
      <w:r w:rsidR="00517795">
        <w:rPr>
          <w:rFonts w:ascii="Times" w:eastAsia="Times" w:hAnsi="Times" w:cs="Times"/>
          <w:color w:val="000000" w:themeColor="text1"/>
        </w:rPr>
        <w:t>(</w:t>
      </w:r>
      <w:r w:rsidRPr="54828480">
        <w:rPr>
          <w:rFonts w:ascii="Times" w:eastAsia="Times" w:hAnsi="Times" w:cs="Times"/>
          <w:i/>
          <w:iCs/>
          <w:color w:val="000000" w:themeColor="text1"/>
        </w:rPr>
        <w:t>strongly disagree</w:t>
      </w:r>
      <w:r w:rsidR="00517795">
        <w:rPr>
          <w:rFonts w:ascii="Times" w:eastAsia="Times" w:hAnsi="Times" w:cs="Times"/>
          <w:iCs/>
          <w:color w:val="000000" w:themeColor="text1"/>
        </w:rPr>
        <w:t>)</w:t>
      </w:r>
      <w:r w:rsidR="00517795">
        <w:rPr>
          <w:rFonts w:ascii="Times" w:eastAsia="Times" w:hAnsi="Times" w:cs="Times"/>
          <w:color w:val="000000" w:themeColor="text1"/>
        </w:rPr>
        <w:t xml:space="preserve"> to </w:t>
      </w:r>
      <w:r w:rsidRPr="54828480">
        <w:rPr>
          <w:rFonts w:ascii="Times" w:eastAsia="Times" w:hAnsi="Times" w:cs="Times"/>
          <w:color w:val="000000" w:themeColor="text1"/>
        </w:rPr>
        <w:t xml:space="preserve">5 </w:t>
      </w:r>
      <w:r w:rsidR="00517795">
        <w:rPr>
          <w:rFonts w:ascii="Times" w:eastAsia="Times" w:hAnsi="Times" w:cs="Times"/>
          <w:color w:val="000000" w:themeColor="text1"/>
        </w:rPr>
        <w:t>(</w:t>
      </w:r>
      <w:r w:rsidRPr="54828480">
        <w:rPr>
          <w:rFonts w:ascii="Times" w:eastAsia="Times" w:hAnsi="Times" w:cs="Times"/>
          <w:i/>
          <w:iCs/>
          <w:color w:val="000000" w:themeColor="text1"/>
        </w:rPr>
        <w:t>strongly agree</w:t>
      </w:r>
      <w:r w:rsidRPr="54828480">
        <w:rPr>
          <w:rFonts w:ascii="Times" w:eastAsia="Times" w:hAnsi="Times" w:cs="Times"/>
          <w:color w:val="000000" w:themeColor="text1"/>
        </w:rPr>
        <w:t>) and an overall score was computed as the mean of all items</w:t>
      </w:r>
      <w:r w:rsidR="00595628">
        <w:rPr>
          <w:rFonts w:ascii="Times" w:eastAsia="Times" w:hAnsi="Times" w:cs="Times"/>
          <w:color w:val="000000" w:themeColor="text1"/>
        </w:rPr>
        <w:t xml:space="preserve"> (higher scores indicated greater functionality appreciation)</w:t>
      </w:r>
      <w:r w:rsidR="005A3188">
        <w:rPr>
          <w:color w:val="2E2E2E"/>
        </w:rPr>
        <w:t xml:space="preserve">. </w:t>
      </w:r>
      <w:r w:rsidRPr="54828480">
        <w:rPr>
          <w:rFonts w:ascii="Times" w:eastAsia="Times" w:hAnsi="Times" w:cs="Times"/>
          <w:color w:val="000000" w:themeColor="text1"/>
        </w:rPr>
        <w:t xml:space="preserve">FAS </w:t>
      </w:r>
      <w:r w:rsidR="00595628">
        <w:rPr>
          <w:rFonts w:ascii="Times" w:eastAsia="Times" w:hAnsi="Times" w:cs="Times"/>
          <w:color w:val="000000" w:themeColor="text1"/>
        </w:rPr>
        <w:t>items</w:t>
      </w:r>
      <w:r w:rsidRPr="54828480">
        <w:rPr>
          <w:rFonts w:ascii="Times" w:eastAsia="Times" w:hAnsi="Times" w:cs="Times"/>
          <w:color w:val="000000" w:themeColor="text1"/>
        </w:rPr>
        <w:t xml:space="preserve"> have been found to reduce to a single factor, are invariant across </w:t>
      </w:r>
      <w:r w:rsidR="0032324C">
        <w:rPr>
          <w:rFonts w:ascii="Times" w:eastAsia="Times" w:hAnsi="Times" w:cs="Times"/>
          <w:color w:val="000000" w:themeColor="text1"/>
        </w:rPr>
        <w:t>gender</w:t>
      </w:r>
      <w:r w:rsidRPr="54828480">
        <w:rPr>
          <w:rFonts w:ascii="Times" w:eastAsia="Times" w:hAnsi="Times" w:cs="Times"/>
          <w:color w:val="000000" w:themeColor="text1"/>
        </w:rPr>
        <w:t xml:space="preserve">, have adequate </w:t>
      </w:r>
      <w:r w:rsidRPr="00595628">
        <w:rPr>
          <w:rFonts w:ascii="Times" w:eastAsia="Times" w:hAnsi="Times" w:cs="Times"/>
          <w:color w:val="000000" w:themeColor="text1"/>
        </w:rPr>
        <w:t>internal consistency, and good patterns of convergent and incremental validity in both English- (Alleva et al., 2017)</w:t>
      </w:r>
      <w:r w:rsidRPr="00595628">
        <w:rPr>
          <w:color w:val="000000" w:themeColor="text1"/>
        </w:rPr>
        <w:t xml:space="preserve"> and Malay-speaking samples (Swami, Todd et al., 2019). </w:t>
      </w:r>
      <w:r w:rsidR="00595628" w:rsidRPr="00595628">
        <w:rPr>
          <w:color w:val="000000" w:themeColor="text1"/>
        </w:rPr>
        <w:t xml:space="preserve">In this study, </w:t>
      </w:r>
      <w:r w:rsidRPr="00595628">
        <w:rPr>
          <w:color w:val="000000" w:themeColor="text1"/>
        </w:rPr>
        <w:t>ω for FAS scores in the total sample was .93 (95% CI = .90, .95</w:t>
      </w:r>
      <w:r w:rsidR="0032324C" w:rsidRPr="00595628">
        <w:rPr>
          <w:color w:val="000000" w:themeColor="text1"/>
        </w:rPr>
        <w:t xml:space="preserve">; </w:t>
      </w:r>
      <w:r w:rsidRPr="00595628">
        <w:rPr>
          <w:color w:val="000000" w:themeColor="text1"/>
        </w:rPr>
        <w:t>Malay</w:t>
      </w:r>
      <w:r w:rsidR="0032324C" w:rsidRPr="00595628">
        <w:rPr>
          <w:color w:val="000000" w:themeColor="text1"/>
        </w:rPr>
        <w:t>sian</w:t>
      </w:r>
      <w:r w:rsidRPr="00595628">
        <w:rPr>
          <w:color w:val="000000" w:themeColor="text1"/>
        </w:rPr>
        <w:t xml:space="preserve"> sample: .91</w:t>
      </w:r>
      <w:r w:rsidR="0032324C" w:rsidRPr="00595628">
        <w:rPr>
          <w:color w:val="000000" w:themeColor="text1"/>
        </w:rPr>
        <w:t xml:space="preserve">, </w:t>
      </w:r>
      <w:r w:rsidRPr="00595628">
        <w:rPr>
          <w:color w:val="000000" w:themeColor="text1"/>
        </w:rPr>
        <w:t>95% CI = .89, .93; UK sample: .92</w:t>
      </w:r>
      <w:r w:rsidR="0032324C" w:rsidRPr="00595628">
        <w:rPr>
          <w:color w:val="000000" w:themeColor="text1"/>
        </w:rPr>
        <w:t xml:space="preserve">, </w:t>
      </w:r>
      <w:r w:rsidRPr="00595628">
        <w:rPr>
          <w:color w:val="000000" w:themeColor="text1"/>
        </w:rPr>
        <w:t>95% CI = .91, .93).</w:t>
      </w:r>
    </w:p>
    <w:p w14:paraId="08998D94" w14:textId="33EED636" w:rsidR="00700BBE" w:rsidRPr="009353AB" w:rsidRDefault="003B7AC2" w:rsidP="006A494E">
      <w:pPr>
        <w:spacing w:line="480" w:lineRule="auto"/>
        <w:jc w:val="center"/>
        <w:rPr>
          <w:b/>
          <w:bCs/>
        </w:rPr>
      </w:pPr>
      <w:r>
        <w:rPr>
          <w:b/>
          <w:bCs/>
        </w:rPr>
        <w:t xml:space="preserve">3. </w:t>
      </w:r>
      <w:r w:rsidR="009353AB" w:rsidRPr="009353AB">
        <w:rPr>
          <w:b/>
          <w:bCs/>
        </w:rPr>
        <w:t>Results</w:t>
      </w:r>
    </w:p>
    <w:p w14:paraId="4A8CB42B" w14:textId="12E8B1DC" w:rsidR="0032324C" w:rsidRDefault="0032324C" w:rsidP="0032324C">
      <w:pPr>
        <w:spacing w:line="480" w:lineRule="auto"/>
        <w:rPr>
          <w:b/>
          <w:bCs/>
        </w:rPr>
      </w:pPr>
      <w:r>
        <w:rPr>
          <w:b/>
          <w:bCs/>
        </w:rPr>
        <w:t>3.1. Preliminary Analyses</w:t>
      </w:r>
    </w:p>
    <w:p w14:paraId="79BCB189" w14:textId="73279ACE" w:rsidR="0032324C" w:rsidRPr="0032324C" w:rsidRDefault="0032324C" w:rsidP="006A494E">
      <w:pPr>
        <w:spacing w:line="480" w:lineRule="auto"/>
        <w:rPr>
          <w:bCs/>
        </w:rPr>
      </w:pPr>
      <w:r>
        <w:rPr>
          <w:b/>
          <w:bCs/>
        </w:rPr>
        <w:tab/>
      </w:r>
      <w:r>
        <w:rPr>
          <w:bCs/>
        </w:rPr>
        <w:t xml:space="preserve">There were significant differences across national groups in age, </w:t>
      </w:r>
      <w:r>
        <w:rPr>
          <w:bCs/>
          <w:i/>
        </w:rPr>
        <w:t>t</w:t>
      </w:r>
      <w:r>
        <w:rPr>
          <w:bCs/>
        </w:rPr>
        <w:t xml:space="preserve">(1409) = 9.90, </w:t>
      </w:r>
      <w:r>
        <w:rPr>
          <w:bCs/>
          <w:i/>
        </w:rPr>
        <w:t>p</w:t>
      </w:r>
      <w:r>
        <w:rPr>
          <w:bCs/>
        </w:rPr>
        <w:t xml:space="preserve"> &lt; .001, </w:t>
      </w:r>
      <w:r>
        <w:rPr>
          <w:bCs/>
          <w:i/>
        </w:rPr>
        <w:t>g</w:t>
      </w:r>
      <w:r>
        <w:rPr>
          <w:bCs/>
        </w:rPr>
        <w:t xml:space="preserve"> = 0.53, and BMI, </w:t>
      </w:r>
      <w:r w:rsidRPr="00F9307C">
        <w:rPr>
          <w:rStyle w:val="Emphasis"/>
          <w:color w:val="000000" w:themeColor="text1"/>
        </w:rPr>
        <w:t>t</w:t>
      </w:r>
      <w:r w:rsidRPr="00F9307C">
        <w:rPr>
          <w:color w:val="000000" w:themeColor="text1"/>
        </w:rPr>
        <w:t xml:space="preserve">(1409) = 8.03, </w:t>
      </w:r>
      <w:r w:rsidRPr="00F9307C">
        <w:rPr>
          <w:i/>
          <w:iCs/>
          <w:color w:val="000000" w:themeColor="text1"/>
        </w:rPr>
        <w:t>p</w:t>
      </w:r>
      <w:r w:rsidRPr="00F9307C">
        <w:rPr>
          <w:color w:val="000000" w:themeColor="text1"/>
        </w:rPr>
        <w:t xml:space="preserve"> &lt;</w:t>
      </w:r>
      <w:r>
        <w:rPr>
          <w:color w:val="000000" w:themeColor="text1"/>
        </w:rPr>
        <w:t xml:space="preserve"> </w:t>
      </w:r>
      <w:r w:rsidRPr="00F9307C">
        <w:rPr>
          <w:color w:val="000000" w:themeColor="text1"/>
        </w:rPr>
        <w:t xml:space="preserve">.001, </w:t>
      </w:r>
      <w:r w:rsidRPr="00F9307C">
        <w:rPr>
          <w:i/>
          <w:iCs/>
          <w:color w:val="000000" w:themeColor="text1"/>
        </w:rPr>
        <w:t xml:space="preserve">g </w:t>
      </w:r>
      <w:r>
        <w:rPr>
          <w:color w:val="000000" w:themeColor="text1"/>
        </w:rPr>
        <w:t>= 0.43</w:t>
      </w:r>
      <w:r w:rsidRPr="00F9307C">
        <w:rPr>
          <w:color w:val="000000" w:themeColor="text1"/>
        </w:rPr>
        <w:t xml:space="preserve">, </w:t>
      </w:r>
      <w:r w:rsidRPr="00363AC5">
        <w:rPr>
          <w:color w:val="000000" w:themeColor="text1"/>
        </w:rPr>
        <w:t>with the UK sample being both</w:t>
      </w:r>
      <w:r>
        <w:rPr>
          <w:color w:val="000000" w:themeColor="text1"/>
        </w:rPr>
        <w:t xml:space="preserve"> significantly</w:t>
      </w:r>
      <w:r w:rsidRPr="00363AC5">
        <w:rPr>
          <w:color w:val="000000" w:themeColor="text1"/>
        </w:rPr>
        <w:t xml:space="preserve"> older (</w:t>
      </w:r>
      <w:r w:rsidRPr="00363AC5">
        <w:rPr>
          <w:i/>
          <w:iCs/>
          <w:color w:val="000000" w:themeColor="text1"/>
        </w:rPr>
        <w:t xml:space="preserve">M </w:t>
      </w:r>
      <w:r>
        <w:rPr>
          <w:color w:val="000000" w:themeColor="text1"/>
        </w:rPr>
        <w:t>= 39.32</w:t>
      </w:r>
      <w:r w:rsidRPr="00363AC5">
        <w:rPr>
          <w:color w:val="000000" w:themeColor="text1"/>
        </w:rPr>
        <w:t xml:space="preserve">, </w:t>
      </w:r>
      <w:r w:rsidRPr="00363AC5">
        <w:rPr>
          <w:i/>
          <w:iCs/>
          <w:color w:val="000000" w:themeColor="text1"/>
        </w:rPr>
        <w:t xml:space="preserve">SD </w:t>
      </w:r>
      <w:r w:rsidRPr="00363AC5">
        <w:rPr>
          <w:color w:val="000000" w:themeColor="text1"/>
        </w:rPr>
        <w:t xml:space="preserve">= 11.77, versus </w:t>
      </w:r>
      <w:r w:rsidRPr="00363AC5">
        <w:rPr>
          <w:i/>
          <w:iCs/>
          <w:color w:val="000000" w:themeColor="text1"/>
        </w:rPr>
        <w:t xml:space="preserve">M </w:t>
      </w:r>
      <w:r w:rsidRPr="00363AC5">
        <w:rPr>
          <w:color w:val="000000" w:themeColor="text1"/>
        </w:rPr>
        <w:t xml:space="preserve">= 33.89, </w:t>
      </w:r>
      <w:r w:rsidRPr="00363AC5">
        <w:rPr>
          <w:i/>
          <w:iCs/>
          <w:color w:val="000000" w:themeColor="text1"/>
        </w:rPr>
        <w:t xml:space="preserve">SD </w:t>
      </w:r>
      <w:r w:rsidRPr="00363AC5">
        <w:rPr>
          <w:color w:val="000000" w:themeColor="text1"/>
        </w:rPr>
        <w:t>= 8.80) and higher in BMI (</w:t>
      </w:r>
      <w:r w:rsidRPr="00363AC5">
        <w:rPr>
          <w:i/>
          <w:iCs/>
          <w:color w:val="000000" w:themeColor="text1"/>
        </w:rPr>
        <w:t xml:space="preserve">M </w:t>
      </w:r>
      <w:r w:rsidRPr="00363AC5">
        <w:rPr>
          <w:color w:val="000000" w:themeColor="text1"/>
        </w:rPr>
        <w:t xml:space="preserve">= 27.29, </w:t>
      </w:r>
      <w:r w:rsidRPr="00363AC5">
        <w:rPr>
          <w:i/>
          <w:iCs/>
          <w:color w:val="000000" w:themeColor="text1"/>
        </w:rPr>
        <w:t xml:space="preserve">SD </w:t>
      </w:r>
      <w:r w:rsidRPr="00363AC5">
        <w:rPr>
          <w:color w:val="000000" w:themeColor="text1"/>
        </w:rPr>
        <w:t xml:space="preserve">= 6.04, versus </w:t>
      </w:r>
      <w:r w:rsidRPr="00363AC5">
        <w:rPr>
          <w:i/>
          <w:iCs/>
          <w:color w:val="000000" w:themeColor="text1"/>
        </w:rPr>
        <w:t xml:space="preserve">M </w:t>
      </w:r>
      <w:r w:rsidRPr="00363AC5">
        <w:rPr>
          <w:color w:val="000000" w:themeColor="text1"/>
        </w:rPr>
        <w:t xml:space="preserve">= 24.81, </w:t>
      </w:r>
      <w:r w:rsidRPr="00363AC5">
        <w:rPr>
          <w:i/>
          <w:iCs/>
          <w:color w:val="000000" w:themeColor="text1"/>
        </w:rPr>
        <w:t xml:space="preserve">SD </w:t>
      </w:r>
      <w:r w:rsidRPr="00363AC5">
        <w:rPr>
          <w:color w:val="000000" w:themeColor="text1"/>
        </w:rPr>
        <w:t>= 5.48)</w:t>
      </w:r>
      <w:r w:rsidRPr="54828480">
        <w:rPr>
          <w:color w:val="000000" w:themeColor="text1"/>
        </w:rPr>
        <w:t xml:space="preserve"> than </w:t>
      </w:r>
      <w:r w:rsidRPr="54828480">
        <w:rPr>
          <w:color w:val="000000" w:themeColor="text1"/>
        </w:rPr>
        <w:lastRenderedPageBreak/>
        <w:t>the Malaysian sample.</w:t>
      </w:r>
      <w:r>
        <w:rPr>
          <w:color w:val="000000" w:themeColor="text1"/>
        </w:rPr>
        <w:t xml:space="preserve"> </w:t>
      </w:r>
      <w:r w:rsidR="00871C04">
        <w:rPr>
          <w:color w:val="000000" w:themeColor="text1"/>
        </w:rPr>
        <w:t>Therefore</w:t>
      </w:r>
      <w:r>
        <w:rPr>
          <w:color w:val="000000" w:themeColor="text1"/>
        </w:rPr>
        <w:t xml:space="preserve">, we included age and BMI as covariates in later analyses. </w:t>
      </w:r>
      <w:r>
        <w:rPr>
          <w:bCs/>
        </w:rPr>
        <w:tab/>
      </w:r>
    </w:p>
    <w:p w14:paraId="50ED19B8" w14:textId="406C8320" w:rsidR="003B7AC2" w:rsidRDefault="00C37539" w:rsidP="006A494E">
      <w:pPr>
        <w:spacing w:line="480" w:lineRule="auto"/>
        <w:rPr>
          <w:b/>
          <w:bCs/>
        </w:rPr>
      </w:pPr>
      <w:r>
        <w:rPr>
          <w:b/>
          <w:bCs/>
        </w:rPr>
        <w:t>3.</w:t>
      </w:r>
      <w:r w:rsidR="0032324C">
        <w:rPr>
          <w:b/>
          <w:bCs/>
        </w:rPr>
        <w:t>2</w:t>
      </w:r>
      <w:r>
        <w:rPr>
          <w:b/>
          <w:bCs/>
        </w:rPr>
        <w:t>. BAS-2 Measurement I</w:t>
      </w:r>
      <w:r w:rsidR="00825D46">
        <w:rPr>
          <w:b/>
          <w:bCs/>
        </w:rPr>
        <w:t>nvariance</w:t>
      </w:r>
    </w:p>
    <w:p w14:paraId="1EDD5DD0" w14:textId="5AC5B0D0" w:rsidR="009769B7" w:rsidRPr="009769B7" w:rsidRDefault="54828480" w:rsidP="009769B7">
      <w:pPr>
        <w:spacing w:line="480" w:lineRule="auto"/>
        <w:ind w:firstLine="720"/>
        <w:rPr>
          <w:color w:val="000000" w:themeColor="text1"/>
        </w:rPr>
      </w:pPr>
      <w:r w:rsidRPr="54828480">
        <w:t xml:space="preserve">The BAS-2 data were neither univariate (Shapiro Wilk’s </w:t>
      </w:r>
      <w:r w:rsidRPr="54828480">
        <w:rPr>
          <w:i/>
          <w:iCs/>
        </w:rPr>
        <w:t xml:space="preserve">p </w:t>
      </w:r>
      <w:r w:rsidRPr="54828480">
        <w:t>&lt;</w:t>
      </w:r>
      <w:r w:rsidR="0032324C">
        <w:t xml:space="preserve"> </w:t>
      </w:r>
      <w:r w:rsidRPr="54828480">
        <w:t>.001) nor multivariate normal (</w:t>
      </w:r>
      <w:proofErr w:type="spellStart"/>
      <w:r w:rsidRPr="54828480">
        <w:t>Mardia’s</w:t>
      </w:r>
      <w:proofErr w:type="spellEnd"/>
      <w:r w:rsidRPr="54828480">
        <w:t xml:space="preserve"> </w:t>
      </w:r>
      <w:r w:rsidR="0032324C">
        <w:t>s</w:t>
      </w:r>
      <w:r w:rsidRPr="54828480">
        <w:t xml:space="preserve">kewness = 1525.24, </w:t>
      </w:r>
      <w:r w:rsidRPr="54828480">
        <w:rPr>
          <w:i/>
          <w:iCs/>
        </w:rPr>
        <w:t>p</w:t>
      </w:r>
      <w:r w:rsidRPr="54828480">
        <w:t xml:space="preserve"> &lt;</w:t>
      </w:r>
      <w:r w:rsidR="0032324C">
        <w:t xml:space="preserve"> </w:t>
      </w:r>
      <w:r w:rsidRPr="54828480">
        <w:t xml:space="preserve">.001; </w:t>
      </w:r>
      <w:proofErr w:type="spellStart"/>
      <w:r w:rsidRPr="54828480">
        <w:t>Mardia’s</w:t>
      </w:r>
      <w:proofErr w:type="spellEnd"/>
      <w:r w:rsidRPr="54828480">
        <w:t xml:space="preserve"> </w:t>
      </w:r>
      <w:r w:rsidR="0032324C">
        <w:t>k</w:t>
      </w:r>
      <w:r w:rsidRPr="54828480">
        <w:t xml:space="preserve">urtosis = 55.86, </w:t>
      </w:r>
      <w:r w:rsidRPr="54828480">
        <w:rPr>
          <w:i/>
          <w:iCs/>
        </w:rPr>
        <w:t xml:space="preserve">p </w:t>
      </w:r>
      <w:r w:rsidRPr="54828480">
        <w:t>&lt;</w:t>
      </w:r>
      <w:r w:rsidR="0032324C">
        <w:t xml:space="preserve"> </w:t>
      </w:r>
      <w:r w:rsidRPr="54828480">
        <w:t xml:space="preserve">.001). Therefore, parameter estimates were obtained using the robust maximum likelihood method with the </w:t>
      </w:r>
      <w:proofErr w:type="spellStart"/>
      <w:r w:rsidRPr="54828480">
        <w:t>Satorra-Bentler</w:t>
      </w:r>
      <w:proofErr w:type="spellEnd"/>
      <w:r w:rsidRPr="54828480">
        <w:t xml:space="preserve"> correction (</w:t>
      </w:r>
      <w:proofErr w:type="spellStart"/>
      <w:r w:rsidRPr="54828480">
        <w:t>Satorra</w:t>
      </w:r>
      <w:proofErr w:type="spellEnd"/>
      <w:r w:rsidRPr="54828480">
        <w:t xml:space="preserve"> &amp; </w:t>
      </w:r>
      <w:proofErr w:type="spellStart"/>
      <w:r w:rsidRPr="54828480">
        <w:t>Bentler</w:t>
      </w:r>
      <w:proofErr w:type="spellEnd"/>
      <w:r w:rsidRPr="54828480">
        <w:t xml:space="preserve">, 2001). </w:t>
      </w:r>
      <w:r w:rsidR="000742D9">
        <w:t xml:space="preserve">We used indicative </w:t>
      </w:r>
      <w:r w:rsidR="0032324C">
        <w:t>fit indices</w:t>
      </w:r>
      <w:r w:rsidR="000742D9">
        <w:t xml:space="preserve"> summarised by </w:t>
      </w:r>
      <w:r w:rsidR="00741BC7" w:rsidRPr="00741BC7">
        <w:t>Swami and Barron (2019</w:t>
      </w:r>
      <w:r w:rsidR="000742D9" w:rsidRPr="00741BC7">
        <w:t>)</w:t>
      </w:r>
      <w:r w:rsidR="000742D9">
        <w:t xml:space="preserve"> to assess the baseline </w:t>
      </w:r>
      <w:r w:rsidR="0032324C">
        <w:t xml:space="preserve">model </w:t>
      </w:r>
      <w:r w:rsidR="000742D9">
        <w:t xml:space="preserve">fit. </w:t>
      </w:r>
      <w:r w:rsidR="0032324C">
        <w:t>In addition, w</w:t>
      </w:r>
      <w:r w:rsidR="000742D9">
        <w:t xml:space="preserve">e used </w:t>
      </w:r>
      <w:r w:rsidR="00741BC7" w:rsidRPr="00741BC7">
        <w:t>ΔCFI &lt; .01 as an indicator of metric invari</w:t>
      </w:r>
      <w:r w:rsidR="00741BC7">
        <w:t xml:space="preserve">ance </w:t>
      </w:r>
      <w:r w:rsidR="005B5E10">
        <w:t xml:space="preserve">(Cheung &amp; </w:t>
      </w:r>
      <w:proofErr w:type="spellStart"/>
      <w:r w:rsidR="005B5E10">
        <w:t>Rensvold</w:t>
      </w:r>
      <w:proofErr w:type="spellEnd"/>
      <w:r w:rsidR="005B5E10">
        <w:t xml:space="preserve">, 2002). </w:t>
      </w:r>
      <w:r w:rsidR="005B5E10" w:rsidRPr="008B756F">
        <w:rPr>
          <w:bCs/>
          <w:color w:val="000000" w:themeColor="text1"/>
          <w:shd w:val="clear" w:color="auto" w:fill="FFFFFF"/>
        </w:rPr>
        <w:t xml:space="preserve">For scalar invariance, Chen (2007) suggested that invariance is supported when </w:t>
      </w:r>
      <w:r w:rsidR="005B5E10" w:rsidRPr="008B756F">
        <w:rPr>
          <w:rFonts w:eastAsia="Arial Unicode MS"/>
          <w:color w:val="000000" w:themeColor="text1"/>
          <w:shd w:val="clear" w:color="auto" w:fill="FFFFFF"/>
        </w:rPr>
        <w:t xml:space="preserve">ΔCFI &lt; .01 </w:t>
      </w:r>
      <w:r w:rsidR="005B5E10" w:rsidRPr="005B5E10">
        <w:rPr>
          <w:rFonts w:eastAsia="Arial Unicode MS"/>
          <w:color w:val="000000" w:themeColor="text1"/>
          <w:shd w:val="clear" w:color="auto" w:fill="FFFFFF"/>
        </w:rPr>
        <w:t xml:space="preserve">and </w:t>
      </w:r>
      <w:r w:rsidR="005B5E10" w:rsidRPr="008B756F">
        <w:rPr>
          <w:rFonts w:eastAsia="Arial Unicode MS"/>
          <w:color w:val="000000" w:themeColor="text1"/>
          <w:shd w:val="clear" w:color="auto" w:fill="FFFFFF"/>
        </w:rPr>
        <w:t xml:space="preserve">ΔRMSEA &lt; .015 </w:t>
      </w:r>
      <w:r w:rsidR="005B5E10" w:rsidRPr="008B756F">
        <w:rPr>
          <w:rFonts w:eastAsia="Arial Unicode MS"/>
          <w:i/>
          <w:color w:val="000000" w:themeColor="text1"/>
          <w:shd w:val="clear" w:color="auto" w:fill="FFFFFF"/>
        </w:rPr>
        <w:t>or</w:t>
      </w:r>
      <w:r w:rsidR="005B5E10" w:rsidRPr="008B756F">
        <w:rPr>
          <w:rFonts w:eastAsia="Arial Unicode MS"/>
          <w:color w:val="000000" w:themeColor="text1"/>
          <w:shd w:val="clear" w:color="auto" w:fill="FFFFFF"/>
        </w:rPr>
        <w:t xml:space="preserve"> ΔSRMR &lt; .030, although other scholars </w:t>
      </w:r>
      <w:r w:rsidR="005D2AD6">
        <w:rPr>
          <w:rFonts w:eastAsia="Arial Unicode MS"/>
          <w:color w:val="000000" w:themeColor="text1"/>
          <w:shd w:val="clear" w:color="auto" w:fill="FFFFFF"/>
        </w:rPr>
        <w:t xml:space="preserve">have </w:t>
      </w:r>
      <w:r w:rsidR="005B5E10" w:rsidRPr="008B756F">
        <w:rPr>
          <w:rFonts w:eastAsia="Arial Unicode MS"/>
          <w:color w:val="000000" w:themeColor="text1"/>
          <w:shd w:val="clear" w:color="auto" w:fill="FFFFFF"/>
        </w:rPr>
        <w:t>suggest</w:t>
      </w:r>
      <w:r w:rsidR="005D2AD6">
        <w:rPr>
          <w:rFonts w:eastAsia="Arial Unicode MS"/>
          <w:color w:val="000000" w:themeColor="text1"/>
          <w:shd w:val="clear" w:color="auto" w:fill="FFFFFF"/>
        </w:rPr>
        <w:t>ed</w:t>
      </w:r>
      <w:r w:rsidR="005B5E10" w:rsidRPr="008B756F">
        <w:rPr>
          <w:rFonts w:eastAsia="Arial Unicode MS"/>
          <w:color w:val="000000" w:themeColor="text1"/>
          <w:shd w:val="clear" w:color="auto" w:fill="FFFFFF"/>
        </w:rPr>
        <w:t xml:space="preserve"> that ΔCFI &lt; .01 is sufficient (Cheung &amp; </w:t>
      </w:r>
      <w:proofErr w:type="spellStart"/>
      <w:r w:rsidR="005B5E10" w:rsidRPr="008B756F">
        <w:rPr>
          <w:rFonts w:eastAsia="Arial Unicode MS"/>
          <w:color w:val="000000" w:themeColor="text1"/>
          <w:shd w:val="clear" w:color="auto" w:fill="FFFFFF"/>
        </w:rPr>
        <w:t>Rensvold</w:t>
      </w:r>
      <w:proofErr w:type="spellEnd"/>
      <w:r w:rsidR="005B5E10" w:rsidRPr="008B756F">
        <w:rPr>
          <w:rFonts w:eastAsia="Arial Unicode MS"/>
          <w:color w:val="000000" w:themeColor="text1"/>
          <w:shd w:val="clear" w:color="auto" w:fill="FFFFFF"/>
        </w:rPr>
        <w:t>, 2002</w:t>
      </w:r>
      <w:r w:rsidR="005B5E10">
        <w:rPr>
          <w:rFonts w:eastAsia="Arial Unicode MS"/>
          <w:color w:val="000000" w:themeColor="text1"/>
          <w:shd w:val="clear" w:color="auto" w:fill="FFFFFF"/>
        </w:rPr>
        <w:t>; Meade et al., 2008</w:t>
      </w:r>
      <w:r w:rsidR="005B5E10" w:rsidRPr="008B756F">
        <w:rPr>
          <w:rFonts w:eastAsia="Arial Unicode MS"/>
          <w:color w:val="000000" w:themeColor="text1"/>
          <w:shd w:val="clear" w:color="auto" w:fill="FFFFFF"/>
        </w:rPr>
        <w:t xml:space="preserve">). </w:t>
      </w:r>
      <w:r w:rsidR="009769B7">
        <w:rPr>
          <w:rFonts w:eastAsia="Arial Unicode MS"/>
          <w:color w:val="000000" w:themeColor="text1"/>
          <w:shd w:val="clear" w:color="auto" w:fill="FFFFFF"/>
        </w:rPr>
        <w:t>Because full scalar invariance may be an unrealistic goal (</w:t>
      </w:r>
      <w:proofErr w:type="spellStart"/>
      <w:r w:rsidR="009769B7">
        <w:rPr>
          <w:rFonts w:eastAsia="Arial Unicode MS"/>
          <w:color w:val="000000" w:themeColor="text1"/>
          <w:shd w:val="clear" w:color="auto" w:fill="FFFFFF"/>
        </w:rPr>
        <w:t>Davidov</w:t>
      </w:r>
      <w:proofErr w:type="spellEnd"/>
      <w:r w:rsidR="009769B7">
        <w:rPr>
          <w:rFonts w:eastAsia="Arial Unicode MS"/>
          <w:color w:val="000000" w:themeColor="text1"/>
          <w:shd w:val="clear" w:color="auto" w:fill="FFFFFF"/>
        </w:rPr>
        <w:t xml:space="preserve"> et al., 2014), we also allowed for partial scalar invariance, which </w:t>
      </w:r>
      <w:r w:rsidR="009769B7" w:rsidRPr="00DA7FFE">
        <w:rPr>
          <w:color w:val="000000" w:themeColor="text1"/>
        </w:rPr>
        <w:t>involves free</w:t>
      </w:r>
      <w:r w:rsidR="009769B7">
        <w:rPr>
          <w:color w:val="000000" w:themeColor="text1"/>
        </w:rPr>
        <w:t>ing</w:t>
      </w:r>
      <w:r w:rsidR="009769B7" w:rsidRPr="00DA7FFE">
        <w:rPr>
          <w:color w:val="000000" w:themeColor="text1"/>
        </w:rPr>
        <w:t xml:space="preserve"> constraints</w:t>
      </w:r>
      <w:r w:rsidR="009769B7">
        <w:rPr>
          <w:color w:val="000000" w:themeColor="text1"/>
        </w:rPr>
        <w:t xml:space="preserve"> </w:t>
      </w:r>
      <w:r w:rsidR="009769B7" w:rsidRPr="00DA7FFE">
        <w:rPr>
          <w:color w:val="000000" w:themeColor="text1"/>
        </w:rPr>
        <w:t xml:space="preserve">that are not equivalent between groups </w:t>
      </w:r>
      <w:r w:rsidR="009769B7">
        <w:rPr>
          <w:color w:val="000000" w:themeColor="text1"/>
        </w:rPr>
        <w:t>at any previous stage. Partial scalar invariance allows for comparison of latent means across groups (</w:t>
      </w:r>
      <w:proofErr w:type="spellStart"/>
      <w:r w:rsidR="009769B7">
        <w:rPr>
          <w:color w:val="000000" w:themeColor="text1"/>
        </w:rPr>
        <w:t>Davidov</w:t>
      </w:r>
      <w:proofErr w:type="spellEnd"/>
      <w:r w:rsidR="009769B7">
        <w:rPr>
          <w:color w:val="000000" w:themeColor="text1"/>
        </w:rPr>
        <w:t xml:space="preserve"> et al., 2012).  </w:t>
      </w:r>
    </w:p>
    <w:p w14:paraId="0783B999" w14:textId="77777777" w:rsidR="00871C04" w:rsidRDefault="54828480" w:rsidP="0032324C">
      <w:pPr>
        <w:spacing w:line="480" w:lineRule="auto"/>
        <w:ind w:firstLine="720"/>
        <w:rPr>
          <w:color w:val="000000" w:themeColor="text1"/>
        </w:rPr>
      </w:pPr>
      <w:r w:rsidRPr="54828480">
        <w:t xml:space="preserve">The fit of the 1-factor model for the total sample was acceptable across </w:t>
      </w:r>
      <w:r w:rsidR="0032324C">
        <w:t xml:space="preserve">all </w:t>
      </w:r>
      <w:r w:rsidRPr="54828480">
        <w:t xml:space="preserve">indices: </w:t>
      </w:r>
      <w:r w:rsidRPr="54828480">
        <w:rPr>
          <w:color w:val="000000" w:themeColor="text1"/>
        </w:rPr>
        <w:t>SB</w:t>
      </w:r>
      <w:r w:rsidRPr="00595628">
        <w:rPr>
          <w:i/>
          <w:color w:val="000000" w:themeColor="text1"/>
        </w:rPr>
        <w:t>χ</w:t>
      </w:r>
      <w:proofErr w:type="gramStart"/>
      <w:r w:rsidRPr="54828480">
        <w:rPr>
          <w:color w:val="000000" w:themeColor="text1"/>
        </w:rPr>
        <w:t>²(</w:t>
      </w:r>
      <w:proofErr w:type="gramEnd"/>
      <w:r w:rsidRPr="54828480">
        <w:rPr>
          <w:color w:val="000000" w:themeColor="text1"/>
        </w:rPr>
        <w:t>35) = 138.21, SB</w:t>
      </w:r>
      <w:r w:rsidRPr="00595628">
        <w:rPr>
          <w:i/>
          <w:color w:val="000000" w:themeColor="text1"/>
        </w:rPr>
        <w:t>χ</w:t>
      </w:r>
      <w:r w:rsidRPr="54828480">
        <w:rPr>
          <w:color w:val="000000" w:themeColor="text1"/>
        </w:rPr>
        <w:t>²</w:t>
      </w:r>
      <w:r w:rsidRPr="54828480">
        <w:rPr>
          <w:color w:val="000000" w:themeColor="text1"/>
          <w:vertAlign w:val="subscript"/>
        </w:rPr>
        <w:t xml:space="preserve">normed </w:t>
      </w:r>
      <w:r w:rsidRPr="54828480">
        <w:rPr>
          <w:color w:val="000000" w:themeColor="text1"/>
        </w:rPr>
        <w:t>= 3.94, robust RMSEA = .077 (90% CI = .068, .086), SRMR = .023, robust CFI = .975, robust TLI = .968, BL89 = .974. The fit for each of the national samples was also acceptable, UK: SB</w:t>
      </w:r>
      <w:r w:rsidRPr="00595628">
        <w:rPr>
          <w:i/>
          <w:color w:val="000000" w:themeColor="text1"/>
        </w:rPr>
        <w:t>χ</w:t>
      </w:r>
      <w:r w:rsidRPr="54828480">
        <w:rPr>
          <w:color w:val="000000" w:themeColor="text1"/>
        </w:rPr>
        <w:t>²(35) = 135.97, SB</w:t>
      </w:r>
      <w:r w:rsidRPr="00595628">
        <w:rPr>
          <w:i/>
          <w:color w:val="000000" w:themeColor="text1"/>
        </w:rPr>
        <w:t>χ</w:t>
      </w:r>
      <w:r w:rsidRPr="54828480">
        <w:rPr>
          <w:color w:val="000000" w:themeColor="text1"/>
        </w:rPr>
        <w:t>²</w:t>
      </w:r>
      <w:r w:rsidRPr="54828480">
        <w:rPr>
          <w:color w:val="000000" w:themeColor="text1"/>
          <w:vertAlign w:val="subscript"/>
        </w:rPr>
        <w:t xml:space="preserve">normed </w:t>
      </w:r>
      <w:r w:rsidRPr="54828480">
        <w:rPr>
          <w:color w:val="000000" w:themeColor="text1"/>
        </w:rPr>
        <w:t>= 3.88, robust RMSEA = .076 (90% CI = .062, .089), SRMR = .030, robust CFI = .976, robust TLI = .969, BL89 = .976; Malay</w:t>
      </w:r>
      <w:r w:rsidR="0032324C">
        <w:rPr>
          <w:color w:val="000000" w:themeColor="text1"/>
        </w:rPr>
        <w:t>sia</w:t>
      </w:r>
      <w:r w:rsidRPr="54828480">
        <w:rPr>
          <w:color w:val="000000" w:themeColor="text1"/>
        </w:rPr>
        <w:t>: SB</w:t>
      </w:r>
      <w:r w:rsidRPr="00595628">
        <w:rPr>
          <w:i/>
          <w:color w:val="000000" w:themeColor="text1"/>
        </w:rPr>
        <w:t>χ</w:t>
      </w:r>
      <w:r w:rsidRPr="54828480">
        <w:rPr>
          <w:color w:val="000000" w:themeColor="text1"/>
        </w:rPr>
        <w:t>²(35) = 150.05, SB</w:t>
      </w:r>
      <w:r w:rsidRPr="00595628">
        <w:rPr>
          <w:i/>
          <w:color w:val="000000" w:themeColor="text1"/>
        </w:rPr>
        <w:t>χ</w:t>
      </w:r>
      <w:r w:rsidRPr="54828480">
        <w:rPr>
          <w:color w:val="000000" w:themeColor="text1"/>
        </w:rPr>
        <w:t>²</w:t>
      </w:r>
      <w:r w:rsidRPr="54828480">
        <w:rPr>
          <w:color w:val="000000" w:themeColor="text1"/>
          <w:vertAlign w:val="subscript"/>
        </w:rPr>
        <w:t xml:space="preserve">normed </w:t>
      </w:r>
      <w:r w:rsidRPr="54828480">
        <w:rPr>
          <w:color w:val="000000" w:themeColor="text1"/>
        </w:rPr>
        <w:t xml:space="preserve">= 4.29, robust RMSEA = .081 (90% CI = .068, .094), SRMR = .035, robust CFI = .969, robust TLI = .958, BL89 = .958. </w:t>
      </w:r>
    </w:p>
    <w:p w14:paraId="07512BA6" w14:textId="516AC13A" w:rsidR="00B02F33" w:rsidRDefault="54828480" w:rsidP="0032324C">
      <w:pPr>
        <w:spacing w:line="480" w:lineRule="auto"/>
        <w:ind w:firstLine="720"/>
      </w:pPr>
      <w:r w:rsidRPr="54828480">
        <w:rPr>
          <w:color w:val="000000" w:themeColor="text1"/>
        </w:rPr>
        <w:lastRenderedPageBreak/>
        <w:t xml:space="preserve">Next, we tested for measurement invariance across the UK and Malaysian participants </w:t>
      </w:r>
      <w:r w:rsidR="000742D9">
        <w:rPr>
          <w:color w:val="000000" w:themeColor="text1"/>
        </w:rPr>
        <w:t xml:space="preserve">using multi-group </w:t>
      </w:r>
      <w:r w:rsidR="009078CB">
        <w:rPr>
          <w:color w:val="000000" w:themeColor="text1"/>
        </w:rPr>
        <w:t>confirmatory factor analysis</w:t>
      </w:r>
      <w:r w:rsidR="000742D9">
        <w:rPr>
          <w:color w:val="000000" w:themeColor="text1"/>
        </w:rPr>
        <w:t xml:space="preserve"> (Chen, 2007). </w:t>
      </w:r>
      <w:r w:rsidRPr="54828480">
        <w:rPr>
          <w:color w:val="000000" w:themeColor="text1"/>
        </w:rPr>
        <w:t>As can be seen</w:t>
      </w:r>
      <w:r w:rsidR="009078CB">
        <w:rPr>
          <w:color w:val="000000" w:themeColor="text1"/>
        </w:rPr>
        <w:t xml:space="preserve"> in Table 1</w:t>
      </w:r>
      <w:r w:rsidRPr="54828480">
        <w:rPr>
          <w:color w:val="000000" w:themeColor="text1"/>
        </w:rPr>
        <w:t>, configural and metric invariance were supported, but scalar invariance was not. A</w:t>
      </w:r>
      <w:r w:rsidRPr="54828480">
        <w:t>fter fixing the intercepts for Items #6 and 8, partial scalar invariance was supported across UK and Malaysian adults.</w:t>
      </w:r>
    </w:p>
    <w:p w14:paraId="34F420C6" w14:textId="0A175CF9" w:rsidR="009B7D62" w:rsidRDefault="00C37539" w:rsidP="006A494E">
      <w:pPr>
        <w:spacing w:line="480" w:lineRule="auto"/>
        <w:rPr>
          <w:b/>
          <w:bCs/>
        </w:rPr>
      </w:pPr>
      <w:r>
        <w:rPr>
          <w:b/>
          <w:bCs/>
        </w:rPr>
        <w:t>3.2. FAS Measurement I</w:t>
      </w:r>
      <w:r w:rsidR="00825D46">
        <w:rPr>
          <w:b/>
          <w:bCs/>
        </w:rPr>
        <w:t>nvariance</w:t>
      </w:r>
    </w:p>
    <w:p w14:paraId="6BEB0602" w14:textId="77777777" w:rsidR="00871C04" w:rsidRDefault="54828480" w:rsidP="0032324C">
      <w:pPr>
        <w:spacing w:line="480" w:lineRule="auto"/>
        <w:ind w:firstLine="720"/>
        <w:rPr>
          <w:color w:val="000000" w:themeColor="text1"/>
        </w:rPr>
      </w:pPr>
      <w:r w:rsidRPr="54828480">
        <w:t xml:space="preserve">The FAS data were neither univariate (Shapiro Wilk’s </w:t>
      </w:r>
      <w:r w:rsidRPr="54828480">
        <w:rPr>
          <w:i/>
          <w:iCs/>
        </w:rPr>
        <w:t xml:space="preserve">p </w:t>
      </w:r>
      <w:r w:rsidRPr="54828480">
        <w:t>&lt;</w:t>
      </w:r>
      <w:r w:rsidR="0032324C">
        <w:t xml:space="preserve"> </w:t>
      </w:r>
      <w:r w:rsidRPr="54828480">
        <w:t>.001) nor multivariate normal (</w:t>
      </w:r>
      <w:proofErr w:type="spellStart"/>
      <w:r w:rsidRPr="54828480">
        <w:t>Mardia’s</w:t>
      </w:r>
      <w:proofErr w:type="spellEnd"/>
      <w:r w:rsidRPr="54828480">
        <w:t xml:space="preserve"> </w:t>
      </w:r>
      <w:r w:rsidR="0032324C">
        <w:t>s</w:t>
      </w:r>
      <w:r w:rsidRPr="54828480">
        <w:t xml:space="preserve">kewness = 2769.94, </w:t>
      </w:r>
      <w:r w:rsidRPr="54828480">
        <w:rPr>
          <w:i/>
          <w:iCs/>
        </w:rPr>
        <w:t>p</w:t>
      </w:r>
      <w:r w:rsidRPr="54828480">
        <w:t xml:space="preserve"> &lt;</w:t>
      </w:r>
      <w:r w:rsidR="0032324C">
        <w:t xml:space="preserve"> </w:t>
      </w:r>
      <w:r w:rsidRPr="54828480">
        <w:t xml:space="preserve">.001; </w:t>
      </w:r>
      <w:proofErr w:type="spellStart"/>
      <w:r w:rsidRPr="54828480">
        <w:t>Mardia’s</w:t>
      </w:r>
      <w:proofErr w:type="spellEnd"/>
      <w:r w:rsidRPr="54828480">
        <w:t xml:space="preserve"> </w:t>
      </w:r>
      <w:r w:rsidR="0032324C">
        <w:t>k</w:t>
      </w:r>
      <w:r w:rsidRPr="54828480">
        <w:t xml:space="preserve">urtosis = 93.57, </w:t>
      </w:r>
      <w:r w:rsidRPr="54828480">
        <w:rPr>
          <w:i/>
          <w:iCs/>
        </w:rPr>
        <w:t xml:space="preserve">p </w:t>
      </w:r>
      <w:r w:rsidRPr="54828480">
        <w:t>&lt;</w:t>
      </w:r>
      <w:r w:rsidR="0032324C">
        <w:t xml:space="preserve"> </w:t>
      </w:r>
      <w:r w:rsidRPr="54828480">
        <w:t>.001)</w:t>
      </w:r>
      <w:r w:rsidR="0032324C">
        <w:t>, s</w:t>
      </w:r>
      <w:r w:rsidRPr="54828480">
        <w:t xml:space="preserve">o parameter estimates were again obtained using the robust maximum likelihood method with the </w:t>
      </w:r>
      <w:proofErr w:type="spellStart"/>
      <w:r w:rsidRPr="54828480">
        <w:t>Satorra-Bentler</w:t>
      </w:r>
      <w:proofErr w:type="spellEnd"/>
      <w:r w:rsidRPr="54828480">
        <w:t xml:space="preserve"> correction (</w:t>
      </w:r>
      <w:proofErr w:type="spellStart"/>
      <w:r w:rsidRPr="54828480">
        <w:t>Satorra</w:t>
      </w:r>
      <w:proofErr w:type="spellEnd"/>
      <w:r w:rsidRPr="54828480">
        <w:t xml:space="preserve"> &amp; </w:t>
      </w:r>
      <w:proofErr w:type="spellStart"/>
      <w:r w:rsidRPr="54828480">
        <w:t>Bentler</w:t>
      </w:r>
      <w:proofErr w:type="spellEnd"/>
      <w:r w:rsidRPr="54828480">
        <w:t>, 2001).</w:t>
      </w:r>
      <w:r w:rsidR="0032324C">
        <w:rPr>
          <w:color w:val="000000" w:themeColor="text1"/>
        </w:rPr>
        <w:t xml:space="preserve"> </w:t>
      </w:r>
      <w:r w:rsidRPr="54828480">
        <w:t>The fit of the 1-factor model for the total sample was acceptable across all indices:</w:t>
      </w:r>
      <w:r w:rsidRPr="54828480">
        <w:rPr>
          <w:color w:val="000000" w:themeColor="text1"/>
        </w:rPr>
        <w:t xml:space="preserve"> SB</w:t>
      </w:r>
      <w:r w:rsidRPr="00595628">
        <w:rPr>
          <w:i/>
          <w:color w:val="000000" w:themeColor="text1"/>
        </w:rPr>
        <w:t>χ</w:t>
      </w:r>
      <w:proofErr w:type="gramStart"/>
      <w:r w:rsidRPr="54828480">
        <w:rPr>
          <w:color w:val="000000" w:themeColor="text1"/>
        </w:rPr>
        <w:t>²(</w:t>
      </w:r>
      <w:proofErr w:type="gramEnd"/>
      <w:r w:rsidRPr="54828480">
        <w:rPr>
          <w:color w:val="000000" w:themeColor="text1"/>
        </w:rPr>
        <w:t>14) = 38.52, SB</w:t>
      </w:r>
      <w:r w:rsidRPr="00595628">
        <w:rPr>
          <w:i/>
          <w:color w:val="000000" w:themeColor="text1"/>
        </w:rPr>
        <w:t>χ</w:t>
      </w:r>
      <w:r w:rsidRPr="54828480">
        <w:rPr>
          <w:color w:val="000000" w:themeColor="text1"/>
        </w:rPr>
        <w:t>²</w:t>
      </w:r>
      <w:r w:rsidRPr="54828480">
        <w:rPr>
          <w:color w:val="000000" w:themeColor="text1"/>
          <w:vertAlign w:val="subscript"/>
        </w:rPr>
        <w:t xml:space="preserve">normed </w:t>
      </w:r>
      <w:r w:rsidRPr="54828480">
        <w:rPr>
          <w:color w:val="000000" w:themeColor="text1"/>
        </w:rPr>
        <w:t>= 2.75, robust RMSEA = .048 (90% CI = .030, .067), SRMR = .017, robust CFI = .992, robust TLI = .988, BL89 = .991. The fit for each of the national samples was also acceptable, UK: SB</w:t>
      </w:r>
      <w:r w:rsidRPr="00595628">
        <w:rPr>
          <w:i/>
          <w:color w:val="000000" w:themeColor="text1"/>
        </w:rPr>
        <w:t>χ</w:t>
      </w:r>
      <w:r w:rsidRPr="54828480">
        <w:rPr>
          <w:color w:val="000000" w:themeColor="text1"/>
        </w:rPr>
        <w:t>²(14) = 28.65, SB</w:t>
      </w:r>
      <w:r w:rsidRPr="00595628">
        <w:rPr>
          <w:i/>
          <w:color w:val="000000" w:themeColor="text1"/>
        </w:rPr>
        <w:t>χ</w:t>
      </w:r>
      <w:r w:rsidRPr="54828480">
        <w:rPr>
          <w:color w:val="000000" w:themeColor="text1"/>
        </w:rPr>
        <w:t>²</w:t>
      </w:r>
      <w:r w:rsidRPr="54828480">
        <w:rPr>
          <w:color w:val="000000" w:themeColor="text1"/>
          <w:vertAlign w:val="subscript"/>
        </w:rPr>
        <w:t xml:space="preserve">normed </w:t>
      </w:r>
      <w:r w:rsidRPr="54828480">
        <w:rPr>
          <w:color w:val="000000" w:themeColor="text1"/>
        </w:rPr>
        <w:t xml:space="preserve">= 2.05, robust RMSEA = .054 (90% CI = .025, .082), SRMR = .027, robust CFI = .989, robust TLI = .983, BL89 = .988; </w:t>
      </w:r>
      <w:r w:rsidRPr="54828480">
        <w:t>Malay</w:t>
      </w:r>
      <w:r w:rsidR="0032324C">
        <w:t>sia</w:t>
      </w:r>
      <w:r w:rsidRPr="54828480">
        <w:t>:</w:t>
      </w:r>
      <w:r w:rsidRPr="54828480">
        <w:rPr>
          <w:color w:val="000000" w:themeColor="text1"/>
        </w:rPr>
        <w:t xml:space="preserve"> SB</w:t>
      </w:r>
      <w:r w:rsidRPr="00595628">
        <w:rPr>
          <w:i/>
          <w:color w:val="000000" w:themeColor="text1"/>
        </w:rPr>
        <w:t>χ</w:t>
      </w:r>
      <w:r w:rsidRPr="54828480">
        <w:rPr>
          <w:color w:val="000000" w:themeColor="text1"/>
        </w:rPr>
        <w:t>²(14) = 31.21, SB</w:t>
      </w:r>
      <w:r w:rsidRPr="00595628">
        <w:rPr>
          <w:i/>
          <w:color w:val="000000" w:themeColor="text1"/>
        </w:rPr>
        <w:t>χ</w:t>
      </w:r>
      <w:r w:rsidRPr="54828480">
        <w:rPr>
          <w:color w:val="000000" w:themeColor="text1"/>
        </w:rPr>
        <w:t>²</w:t>
      </w:r>
      <w:r w:rsidRPr="54828480">
        <w:rPr>
          <w:color w:val="000000" w:themeColor="text1"/>
          <w:vertAlign w:val="subscript"/>
        </w:rPr>
        <w:t xml:space="preserve">normed </w:t>
      </w:r>
      <w:r w:rsidRPr="54828480">
        <w:rPr>
          <w:color w:val="000000" w:themeColor="text1"/>
        </w:rPr>
        <w:t xml:space="preserve">= 2.23, robust RMSEA = .057 (90% CI = .030, .083), SRMR = .021, robust CFI = .989, robust TLI = .983, BL89 = .985. </w:t>
      </w:r>
    </w:p>
    <w:p w14:paraId="3E79C15C" w14:textId="6373C8CB" w:rsidR="001D49C7" w:rsidRPr="0032324C" w:rsidRDefault="54828480" w:rsidP="0032324C">
      <w:pPr>
        <w:spacing w:line="480" w:lineRule="auto"/>
        <w:ind w:firstLine="720"/>
        <w:rPr>
          <w:color w:val="000000" w:themeColor="text1"/>
        </w:rPr>
      </w:pPr>
      <w:r w:rsidRPr="54828480">
        <w:rPr>
          <w:color w:val="000000" w:themeColor="text1"/>
        </w:rPr>
        <w:t>Next, we tested for measurement invariance across the UK and Malaysian participants (see Table 1 for full metrics). As can be seen, configural and metric invariance were supported, but scalar invariance was not. A</w:t>
      </w:r>
      <w:r w:rsidRPr="54828480">
        <w:t>fter fixing the intercept for Item 4, partial scalar invariance was supported across UK and Malaysian adults.</w:t>
      </w:r>
    </w:p>
    <w:p w14:paraId="12852CB9" w14:textId="0E26337E" w:rsidR="00352D37" w:rsidRDefault="00825D46" w:rsidP="00C51A36">
      <w:pPr>
        <w:spacing w:line="480" w:lineRule="auto"/>
        <w:rPr>
          <w:b/>
          <w:bCs/>
        </w:rPr>
      </w:pPr>
      <w:r>
        <w:rPr>
          <w:b/>
          <w:bCs/>
        </w:rPr>
        <w:t>3.3. Latent Mean Comparisons</w:t>
      </w:r>
    </w:p>
    <w:p w14:paraId="6E5D3BA0" w14:textId="093131A3" w:rsidR="009769B7" w:rsidRDefault="0032324C" w:rsidP="009769B7">
      <w:pPr>
        <w:spacing w:line="480" w:lineRule="auto"/>
        <w:ind w:firstLine="720"/>
        <w:rPr>
          <w:color w:val="000000"/>
        </w:rPr>
      </w:pPr>
      <w:r>
        <w:rPr>
          <w:bCs/>
        </w:rPr>
        <w:t xml:space="preserve">Because full </w:t>
      </w:r>
      <w:r w:rsidR="00127EF7">
        <w:rPr>
          <w:bCs/>
        </w:rPr>
        <w:t xml:space="preserve">or partial </w:t>
      </w:r>
      <w:r>
        <w:rPr>
          <w:bCs/>
        </w:rPr>
        <w:t xml:space="preserve">measurement </w:t>
      </w:r>
      <w:r w:rsidR="00127EF7">
        <w:rPr>
          <w:bCs/>
        </w:rPr>
        <w:t xml:space="preserve">invariance </w:t>
      </w:r>
      <w:r>
        <w:rPr>
          <w:bCs/>
        </w:rPr>
        <w:t>across gender has previously been established</w:t>
      </w:r>
      <w:r w:rsidR="00BE5C19">
        <w:rPr>
          <w:bCs/>
        </w:rPr>
        <w:t xml:space="preserve"> for both the BAS-2 (Swami, </w:t>
      </w:r>
      <w:proofErr w:type="spellStart"/>
      <w:r w:rsidR="00BE5C19">
        <w:rPr>
          <w:bCs/>
        </w:rPr>
        <w:t>Mohd</w:t>
      </w:r>
      <w:proofErr w:type="spellEnd"/>
      <w:r w:rsidR="00BE5C19">
        <w:rPr>
          <w:bCs/>
        </w:rPr>
        <w:t xml:space="preserve">. Khatib et al., 2019; Tylka &amp; </w:t>
      </w:r>
      <w:r w:rsidR="00BE5C19">
        <w:rPr>
          <w:bCs/>
        </w:rPr>
        <w:lastRenderedPageBreak/>
        <w:t>Wood-Barcalow, 2015) and FAS (Alleva et al., 2017; Swami, Todd et al., 2019),</w:t>
      </w:r>
      <w:r>
        <w:rPr>
          <w:bCs/>
        </w:rPr>
        <w:t xml:space="preserve"> we proceeded to examine latent mean scores using 2 </w:t>
      </w:r>
      <w:r w:rsidRPr="0032324C">
        <w:rPr>
          <w:rFonts w:ascii="Arial" w:hAnsi="Arial" w:cs="Arial"/>
          <w:bCs/>
        </w:rPr>
        <w:t>x</w:t>
      </w:r>
      <w:r>
        <w:rPr>
          <w:rFonts w:ascii="Arial" w:hAnsi="Arial" w:cs="Arial"/>
          <w:bCs/>
        </w:rPr>
        <w:t xml:space="preserve"> </w:t>
      </w:r>
      <w:r>
        <w:rPr>
          <w:bCs/>
        </w:rPr>
        <w:t xml:space="preserve">2 ANCOVAs. BAS-2 and FAS scores, </w:t>
      </w:r>
      <w:r w:rsidR="00332895" w:rsidRPr="00332895">
        <w:rPr>
          <w:color w:val="000000"/>
        </w:rPr>
        <w:t>respectively,</w:t>
      </w:r>
      <w:r>
        <w:rPr>
          <w:color w:val="000000"/>
        </w:rPr>
        <w:t xml:space="preserve"> were entered as dependent variables,</w:t>
      </w:r>
      <w:r w:rsidR="00825D46">
        <w:rPr>
          <w:color w:val="000000"/>
        </w:rPr>
        <w:t xml:space="preserve"> national group (UK versus Malaysian</w:t>
      </w:r>
      <w:r w:rsidR="00332895" w:rsidRPr="00332895">
        <w:rPr>
          <w:color w:val="000000"/>
        </w:rPr>
        <w:t xml:space="preserve">) and gender (women versus men) </w:t>
      </w:r>
      <w:r>
        <w:rPr>
          <w:color w:val="000000"/>
        </w:rPr>
        <w:t xml:space="preserve">were </w:t>
      </w:r>
      <w:r w:rsidR="00332895" w:rsidRPr="00332895">
        <w:rPr>
          <w:color w:val="000000"/>
        </w:rPr>
        <w:t xml:space="preserve">entered as between-subjects variables, and BMI </w:t>
      </w:r>
      <w:r w:rsidR="00C51A36">
        <w:rPr>
          <w:color w:val="000000"/>
        </w:rPr>
        <w:t>and age entered as</w:t>
      </w:r>
      <w:r w:rsidR="00332895" w:rsidRPr="00332895">
        <w:rPr>
          <w:color w:val="000000"/>
        </w:rPr>
        <w:t xml:space="preserve"> covariate</w:t>
      </w:r>
      <w:r w:rsidR="00C51A36">
        <w:rPr>
          <w:color w:val="000000"/>
        </w:rPr>
        <w:t>s</w:t>
      </w:r>
      <w:r w:rsidR="00E270E4">
        <w:rPr>
          <w:color w:val="000000"/>
        </w:rPr>
        <w:t>.</w:t>
      </w:r>
      <w:r w:rsidR="009769B7">
        <w:rPr>
          <w:color w:val="000000"/>
        </w:rPr>
        <w:t xml:space="preserve"> As a measure of effect size, we used Cohen’s (1988) benchmarks, where </w:t>
      </w:r>
      <w:r w:rsidR="009769B7" w:rsidRPr="0098103D">
        <w:rPr>
          <w:color w:val="000000" w:themeColor="text1"/>
        </w:rPr>
        <w:t>η</w:t>
      </w:r>
      <w:r w:rsidR="009769B7" w:rsidRPr="0098103D">
        <w:rPr>
          <w:color w:val="000000" w:themeColor="text1"/>
          <w:vertAlign w:val="subscript"/>
        </w:rPr>
        <w:t>p</w:t>
      </w:r>
      <w:r w:rsidR="009769B7" w:rsidRPr="0098103D">
        <w:rPr>
          <w:color w:val="000000" w:themeColor="text1"/>
          <w:vertAlign w:val="superscript"/>
        </w:rPr>
        <w:t>2</w:t>
      </w:r>
      <w:r w:rsidR="009769B7">
        <w:rPr>
          <w:color w:val="000000" w:themeColor="text1"/>
        </w:rPr>
        <w:t xml:space="preserve"> of .01 is small, .06 is medium, and .14 is large. </w:t>
      </w:r>
    </w:p>
    <w:p w14:paraId="1018BC41" w14:textId="10814460" w:rsidR="00144AFD" w:rsidRPr="00144AFD" w:rsidRDefault="0032324C" w:rsidP="00144AFD">
      <w:pPr>
        <w:spacing w:line="480" w:lineRule="auto"/>
        <w:ind w:firstLine="720"/>
        <w:rPr>
          <w:color w:val="000000" w:themeColor="text1"/>
        </w:rPr>
      </w:pPr>
      <w:r>
        <w:rPr>
          <w:bCs/>
        </w:rPr>
        <w:t>In terms of the BAS-2</w:t>
      </w:r>
      <w:r w:rsidR="00332895" w:rsidRPr="0098103D">
        <w:rPr>
          <w:bCs/>
        </w:rPr>
        <w:t>, results indicated that BMI</w:t>
      </w:r>
      <w:r>
        <w:rPr>
          <w:bCs/>
        </w:rPr>
        <w:t xml:space="preserve">, </w:t>
      </w:r>
      <w:proofErr w:type="gramStart"/>
      <w:r w:rsidRPr="0098103D">
        <w:rPr>
          <w:bCs/>
          <w:i/>
          <w:iCs/>
        </w:rPr>
        <w:t>F</w:t>
      </w:r>
      <w:r w:rsidRPr="0098103D">
        <w:rPr>
          <w:bCs/>
        </w:rPr>
        <w:t>(</w:t>
      </w:r>
      <w:proofErr w:type="gramEnd"/>
      <w:r w:rsidRPr="0098103D">
        <w:rPr>
          <w:bCs/>
        </w:rPr>
        <w:t xml:space="preserve">1, 1405) = 65.94, </w:t>
      </w:r>
      <w:r w:rsidRPr="0098103D">
        <w:rPr>
          <w:bCs/>
          <w:i/>
          <w:iCs/>
        </w:rPr>
        <w:t xml:space="preserve">p </w:t>
      </w:r>
      <w:r w:rsidRPr="0098103D">
        <w:rPr>
          <w:bCs/>
        </w:rPr>
        <w:t>&lt;</w:t>
      </w:r>
      <w:r w:rsidR="009769B7">
        <w:rPr>
          <w:bCs/>
        </w:rPr>
        <w:t xml:space="preserve"> </w:t>
      </w:r>
      <w:r w:rsidRPr="0098103D">
        <w:rPr>
          <w:bCs/>
        </w:rPr>
        <w:t>.001,</w:t>
      </w:r>
      <w:r w:rsidRPr="0098103D">
        <w:rPr>
          <w:bCs/>
          <w:color w:val="000000" w:themeColor="text1"/>
        </w:rPr>
        <w:t xml:space="preserve"> </w:t>
      </w:r>
      <w:r w:rsidRPr="0098103D">
        <w:rPr>
          <w:color w:val="000000" w:themeColor="text1"/>
        </w:rPr>
        <w:t>η</w:t>
      </w:r>
      <w:r w:rsidRPr="0098103D">
        <w:rPr>
          <w:color w:val="000000" w:themeColor="text1"/>
          <w:vertAlign w:val="subscript"/>
        </w:rPr>
        <w:t>p</w:t>
      </w:r>
      <w:r w:rsidRPr="0098103D">
        <w:rPr>
          <w:color w:val="000000" w:themeColor="text1"/>
          <w:vertAlign w:val="superscript"/>
        </w:rPr>
        <w:t>2</w:t>
      </w:r>
      <w:r w:rsidRPr="009078CB">
        <w:rPr>
          <w:color w:val="000000" w:themeColor="text1"/>
        </w:rPr>
        <w:t xml:space="preserve"> </w:t>
      </w:r>
      <w:r w:rsidRPr="0098103D">
        <w:rPr>
          <w:color w:val="000000" w:themeColor="text1"/>
        </w:rPr>
        <w:t>= .05</w:t>
      </w:r>
      <w:r>
        <w:rPr>
          <w:color w:val="000000" w:themeColor="text1"/>
        </w:rPr>
        <w:t>,</w:t>
      </w:r>
      <w:r>
        <w:rPr>
          <w:bCs/>
        </w:rPr>
        <w:t xml:space="preserve"> </w:t>
      </w:r>
      <w:r w:rsidR="00332895" w:rsidRPr="0098103D">
        <w:rPr>
          <w:bCs/>
        </w:rPr>
        <w:t xml:space="preserve"> </w:t>
      </w:r>
      <w:r w:rsidR="0098103D" w:rsidRPr="0098103D">
        <w:rPr>
          <w:bCs/>
        </w:rPr>
        <w:t>and age</w:t>
      </w:r>
      <w:r>
        <w:rPr>
          <w:bCs/>
        </w:rPr>
        <w:t xml:space="preserve">, </w:t>
      </w:r>
      <w:r w:rsidRPr="0098103D">
        <w:rPr>
          <w:bCs/>
          <w:i/>
          <w:iCs/>
        </w:rPr>
        <w:t>F</w:t>
      </w:r>
      <w:r w:rsidRPr="0098103D">
        <w:rPr>
          <w:bCs/>
        </w:rPr>
        <w:t xml:space="preserve">(1, 1405) = 6.32, </w:t>
      </w:r>
      <w:r w:rsidRPr="0098103D">
        <w:rPr>
          <w:bCs/>
          <w:i/>
          <w:iCs/>
        </w:rPr>
        <w:t xml:space="preserve">p </w:t>
      </w:r>
      <w:r w:rsidRPr="0098103D">
        <w:rPr>
          <w:bCs/>
        </w:rPr>
        <w:t>= .012,</w:t>
      </w:r>
      <w:r w:rsidRPr="0098103D">
        <w:rPr>
          <w:bCs/>
          <w:color w:val="000000" w:themeColor="text1"/>
        </w:rPr>
        <w:t xml:space="preserve"> </w:t>
      </w:r>
      <w:r w:rsidRPr="0098103D">
        <w:rPr>
          <w:color w:val="000000" w:themeColor="text1"/>
        </w:rPr>
        <w:t>η</w:t>
      </w:r>
      <w:r w:rsidRPr="0098103D">
        <w:rPr>
          <w:color w:val="000000" w:themeColor="text1"/>
          <w:vertAlign w:val="subscript"/>
        </w:rPr>
        <w:t>p</w:t>
      </w:r>
      <w:r w:rsidRPr="0098103D">
        <w:rPr>
          <w:color w:val="000000" w:themeColor="text1"/>
          <w:vertAlign w:val="superscript"/>
        </w:rPr>
        <w:t>2</w:t>
      </w:r>
      <w:r w:rsidR="00BE5C19">
        <w:rPr>
          <w:color w:val="000000" w:themeColor="text1"/>
        </w:rPr>
        <w:t xml:space="preserve"> </w:t>
      </w:r>
      <w:r w:rsidRPr="0098103D">
        <w:rPr>
          <w:color w:val="000000" w:themeColor="text1"/>
        </w:rPr>
        <w:t>&lt; .01</w:t>
      </w:r>
      <w:r>
        <w:rPr>
          <w:color w:val="000000" w:themeColor="text1"/>
        </w:rPr>
        <w:t>,</w:t>
      </w:r>
      <w:r w:rsidR="0098103D" w:rsidRPr="0098103D">
        <w:rPr>
          <w:bCs/>
        </w:rPr>
        <w:t xml:space="preserve"> were</w:t>
      </w:r>
      <w:r w:rsidR="003C09C8" w:rsidRPr="0098103D">
        <w:rPr>
          <w:bCs/>
        </w:rPr>
        <w:t xml:space="preserve"> </w:t>
      </w:r>
      <w:r w:rsidR="00332895" w:rsidRPr="0098103D">
        <w:rPr>
          <w:bCs/>
        </w:rPr>
        <w:t>significant</w:t>
      </w:r>
      <w:r w:rsidR="003C09C8" w:rsidRPr="0098103D">
        <w:rPr>
          <w:bCs/>
        </w:rPr>
        <w:t xml:space="preserve"> covariate</w:t>
      </w:r>
      <w:r w:rsidR="0098103D" w:rsidRPr="0098103D">
        <w:rPr>
          <w:bCs/>
        </w:rPr>
        <w:t>s</w:t>
      </w:r>
      <w:r>
        <w:rPr>
          <w:bCs/>
        </w:rPr>
        <w:t>.</w:t>
      </w:r>
      <w:r w:rsidR="00332895" w:rsidRPr="0098103D">
        <w:rPr>
          <w:color w:val="000000" w:themeColor="text1"/>
        </w:rPr>
        <w:t xml:space="preserve"> </w:t>
      </w:r>
      <w:r w:rsidR="00144AFD">
        <w:rPr>
          <w:color w:val="000000" w:themeColor="text1"/>
        </w:rPr>
        <w:t>T</w:t>
      </w:r>
      <w:r w:rsidR="00332895" w:rsidRPr="0098103D">
        <w:rPr>
          <w:color w:val="000000" w:themeColor="text1"/>
        </w:rPr>
        <w:t>he interaction between national group and gender was</w:t>
      </w:r>
      <w:r w:rsidR="00136134" w:rsidRPr="0098103D">
        <w:rPr>
          <w:color w:val="000000" w:themeColor="text1"/>
        </w:rPr>
        <w:t xml:space="preserve"> </w:t>
      </w:r>
      <w:r w:rsidR="00332895" w:rsidRPr="0098103D">
        <w:rPr>
          <w:color w:val="000000" w:themeColor="text1"/>
        </w:rPr>
        <w:t xml:space="preserve">significant, </w:t>
      </w:r>
      <w:proofErr w:type="gramStart"/>
      <w:r w:rsidR="00332895" w:rsidRPr="0098103D">
        <w:rPr>
          <w:i/>
          <w:iCs/>
          <w:color w:val="000000" w:themeColor="text1"/>
        </w:rPr>
        <w:t>F</w:t>
      </w:r>
      <w:r w:rsidR="00332895" w:rsidRPr="0098103D">
        <w:rPr>
          <w:color w:val="000000" w:themeColor="text1"/>
        </w:rPr>
        <w:t>(</w:t>
      </w:r>
      <w:proofErr w:type="gramEnd"/>
      <w:r w:rsidR="00332895" w:rsidRPr="0098103D">
        <w:rPr>
          <w:color w:val="000000" w:themeColor="text1"/>
        </w:rPr>
        <w:t>1, 1</w:t>
      </w:r>
      <w:r w:rsidR="0098103D" w:rsidRPr="0098103D">
        <w:rPr>
          <w:color w:val="000000" w:themeColor="text1"/>
        </w:rPr>
        <w:t>40</w:t>
      </w:r>
      <w:r w:rsidR="00B56B1E" w:rsidRPr="0098103D">
        <w:rPr>
          <w:color w:val="000000" w:themeColor="text1"/>
        </w:rPr>
        <w:t>5</w:t>
      </w:r>
      <w:r w:rsidR="00332895" w:rsidRPr="0098103D">
        <w:rPr>
          <w:color w:val="000000" w:themeColor="text1"/>
        </w:rPr>
        <w:t xml:space="preserve">) = </w:t>
      </w:r>
      <w:r w:rsidR="0098103D" w:rsidRPr="0098103D">
        <w:rPr>
          <w:color w:val="000000" w:themeColor="text1"/>
        </w:rPr>
        <w:t>17.53</w:t>
      </w:r>
      <w:r w:rsidR="00332895" w:rsidRPr="0098103D">
        <w:rPr>
          <w:color w:val="000000" w:themeColor="text1"/>
        </w:rPr>
        <w:t xml:space="preserve">, </w:t>
      </w:r>
      <w:r w:rsidR="00332895" w:rsidRPr="0098103D">
        <w:rPr>
          <w:i/>
          <w:iCs/>
          <w:color w:val="000000" w:themeColor="text1"/>
        </w:rPr>
        <w:t xml:space="preserve">p </w:t>
      </w:r>
      <w:r w:rsidR="00C1672A" w:rsidRPr="0098103D">
        <w:rPr>
          <w:color w:val="000000" w:themeColor="text1"/>
        </w:rPr>
        <w:t>&lt;</w:t>
      </w:r>
      <w:r>
        <w:rPr>
          <w:color w:val="000000" w:themeColor="text1"/>
        </w:rPr>
        <w:t xml:space="preserve"> </w:t>
      </w:r>
      <w:r w:rsidR="00332895" w:rsidRPr="0098103D">
        <w:rPr>
          <w:color w:val="000000" w:themeColor="text1"/>
        </w:rPr>
        <w:t>.</w:t>
      </w:r>
      <w:r w:rsidR="00C1672A" w:rsidRPr="0098103D">
        <w:rPr>
          <w:color w:val="000000" w:themeColor="text1"/>
        </w:rPr>
        <w:t>001</w:t>
      </w:r>
      <w:r w:rsidR="00332895" w:rsidRPr="0098103D">
        <w:rPr>
          <w:color w:val="000000" w:themeColor="text1"/>
        </w:rPr>
        <w:t>, η</w:t>
      </w:r>
      <w:r w:rsidR="00332895" w:rsidRPr="0098103D">
        <w:rPr>
          <w:color w:val="000000" w:themeColor="text1"/>
          <w:vertAlign w:val="subscript"/>
        </w:rPr>
        <w:t>p</w:t>
      </w:r>
      <w:r w:rsidR="00332895" w:rsidRPr="0098103D">
        <w:rPr>
          <w:color w:val="000000" w:themeColor="text1"/>
          <w:vertAlign w:val="superscript"/>
        </w:rPr>
        <w:t>2</w:t>
      </w:r>
      <w:r w:rsidR="00332895" w:rsidRPr="0098103D">
        <w:rPr>
          <w:color w:val="000000" w:themeColor="text1"/>
        </w:rPr>
        <w:t xml:space="preserve"> = .</w:t>
      </w:r>
      <w:r w:rsidR="001760D4" w:rsidRPr="0098103D">
        <w:rPr>
          <w:color w:val="000000" w:themeColor="text1"/>
        </w:rPr>
        <w:t>01</w:t>
      </w:r>
      <w:r w:rsidR="00216845" w:rsidRPr="0098103D">
        <w:rPr>
          <w:color w:val="000000" w:themeColor="text1"/>
        </w:rPr>
        <w:t>, with Malaysian women reporting greater body appreciation than Malaysian men, but UK men reporting greater body appreciation than UK women.</w:t>
      </w:r>
      <w:r w:rsidR="00144AFD">
        <w:rPr>
          <w:color w:val="000000" w:themeColor="text1"/>
        </w:rPr>
        <w:t xml:space="preserve"> In addition, the</w:t>
      </w:r>
      <w:r w:rsidR="00144AFD" w:rsidRPr="0098103D">
        <w:rPr>
          <w:bCs/>
        </w:rPr>
        <w:t xml:space="preserve">re were significant main effects of national group, </w:t>
      </w:r>
      <w:proofErr w:type="gramStart"/>
      <w:r w:rsidR="00144AFD" w:rsidRPr="0098103D">
        <w:rPr>
          <w:bCs/>
          <w:i/>
          <w:iCs/>
        </w:rPr>
        <w:t>F</w:t>
      </w:r>
      <w:r w:rsidR="00144AFD" w:rsidRPr="0098103D">
        <w:rPr>
          <w:bCs/>
        </w:rPr>
        <w:t>(</w:t>
      </w:r>
      <w:proofErr w:type="gramEnd"/>
      <w:r w:rsidR="00144AFD" w:rsidRPr="0098103D">
        <w:rPr>
          <w:bCs/>
        </w:rPr>
        <w:t xml:space="preserve">1, 1405) = 395.48, </w:t>
      </w:r>
      <w:r w:rsidR="00144AFD" w:rsidRPr="0098103D">
        <w:rPr>
          <w:bCs/>
          <w:i/>
          <w:iCs/>
        </w:rPr>
        <w:t xml:space="preserve">p </w:t>
      </w:r>
      <w:r w:rsidR="00144AFD" w:rsidRPr="0098103D">
        <w:rPr>
          <w:bCs/>
        </w:rPr>
        <w:t>&lt;</w:t>
      </w:r>
      <w:r w:rsidR="00144AFD">
        <w:rPr>
          <w:bCs/>
        </w:rPr>
        <w:t xml:space="preserve"> </w:t>
      </w:r>
      <w:r w:rsidR="00144AFD" w:rsidRPr="0098103D">
        <w:rPr>
          <w:bCs/>
        </w:rPr>
        <w:t>.001,</w:t>
      </w:r>
      <w:r w:rsidR="00144AFD" w:rsidRPr="0098103D">
        <w:rPr>
          <w:bCs/>
          <w:color w:val="000000" w:themeColor="text1"/>
        </w:rPr>
        <w:t xml:space="preserve"> </w:t>
      </w:r>
      <w:r w:rsidR="00144AFD" w:rsidRPr="0098103D">
        <w:rPr>
          <w:color w:val="000000" w:themeColor="text1"/>
        </w:rPr>
        <w:t>η</w:t>
      </w:r>
      <w:r w:rsidR="00144AFD" w:rsidRPr="0098103D">
        <w:rPr>
          <w:color w:val="000000" w:themeColor="text1"/>
          <w:vertAlign w:val="subscript"/>
        </w:rPr>
        <w:t>p</w:t>
      </w:r>
      <w:r w:rsidR="00144AFD" w:rsidRPr="0098103D">
        <w:rPr>
          <w:color w:val="000000" w:themeColor="text1"/>
          <w:vertAlign w:val="superscript"/>
        </w:rPr>
        <w:t xml:space="preserve">2 </w:t>
      </w:r>
      <w:r w:rsidR="00144AFD" w:rsidRPr="0098103D">
        <w:rPr>
          <w:color w:val="000000" w:themeColor="text1"/>
        </w:rPr>
        <w:t xml:space="preserve">= .22, and gender, </w:t>
      </w:r>
      <w:r w:rsidR="00144AFD" w:rsidRPr="0098103D">
        <w:rPr>
          <w:i/>
          <w:iCs/>
          <w:color w:val="000000" w:themeColor="text1"/>
        </w:rPr>
        <w:t>F</w:t>
      </w:r>
      <w:r w:rsidR="00144AFD" w:rsidRPr="0098103D">
        <w:rPr>
          <w:color w:val="000000" w:themeColor="text1"/>
        </w:rPr>
        <w:t xml:space="preserve">(1, 1405) = 6.79, </w:t>
      </w:r>
      <w:r w:rsidR="00144AFD" w:rsidRPr="0098103D">
        <w:rPr>
          <w:i/>
          <w:iCs/>
          <w:color w:val="000000" w:themeColor="text1"/>
        </w:rPr>
        <w:t xml:space="preserve">p </w:t>
      </w:r>
      <w:r w:rsidR="00144AFD" w:rsidRPr="0098103D">
        <w:rPr>
          <w:color w:val="000000" w:themeColor="text1"/>
        </w:rPr>
        <w:t>= .009, η</w:t>
      </w:r>
      <w:r w:rsidR="00144AFD" w:rsidRPr="0098103D">
        <w:rPr>
          <w:color w:val="000000" w:themeColor="text1"/>
          <w:vertAlign w:val="subscript"/>
        </w:rPr>
        <w:t>p</w:t>
      </w:r>
      <w:r w:rsidR="00144AFD" w:rsidRPr="0098103D">
        <w:rPr>
          <w:color w:val="000000" w:themeColor="text1"/>
          <w:vertAlign w:val="superscript"/>
        </w:rPr>
        <w:t>2</w:t>
      </w:r>
      <w:r w:rsidR="00144AFD" w:rsidRPr="0098103D">
        <w:rPr>
          <w:color w:val="000000" w:themeColor="text1"/>
        </w:rPr>
        <w:t xml:space="preserve"> = .01, with Malaysian participants reporting greater body appreciation than UK participants, and men’s mean body appreciation greater than women’s mean body appreciation (see Table 2).</w:t>
      </w:r>
    </w:p>
    <w:p w14:paraId="11545C5A" w14:textId="1A7D29A5" w:rsidR="00144AFD" w:rsidRDefault="00332895" w:rsidP="00144AFD">
      <w:pPr>
        <w:spacing w:line="480" w:lineRule="auto"/>
        <w:ind w:firstLine="720"/>
        <w:rPr>
          <w:color w:val="000000" w:themeColor="text1"/>
        </w:rPr>
      </w:pPr>
      <w:r w:rsidRPr="00332895">
        <w:t xml:space="preserve">For </w:t>
      </w:r>
      <w:r w:rsidR="003D26AF">
        <w:t>functionality appreciation</w:t>
      </w:r>
      <w:r w:rsidRPr="00332895">
        <w:t xml:space="preserve">, </w:t>
      </w:r>
      <w:r w:rsidRPr="00332895">
        <w:rPr>
          <w:bCs/>
        </w:rPr>
        <w:t xml:space="preserve">the results indicated that BMI was </w:t>
      </w:r>
      <w:r w:rsidR="0069672D">
        <w:rPr>
          <w:bCs/>
        </w:rPr>
        <w:t>a</w:t>
      </w:r>
      <w:r w:rsidRPr="00332895">
        <w:rPr>
          <w:bCs/>
        </w:rPr>
        <w:t xml:space="preserve"> significant</w:t>
      </w:r>
      <w:r w:rsidR="0069672D">
        <w:rPr>
          <w:bCs/>
        </w:rPr>
        <w:t xml:space="preserve"> covariate</w:t>
      </w:r>
      <w:r w:rsidRPr="00332895">
        <w:rPr>
          <w:bCs/>
        </w:rPr>
        <w:t xml:space="preserve">, </w:t>
      </w:r>
      <w:proofErr w:type="gramStart"/>
      <w:r w:rsidRPr="00332895">
        <w:rPr>
          <w:i/>
          <w:iCs/>
          <w:color w:val="000000" w:themeColor="text1"/>
        </w:rPr>
        <w:t>F</w:t>
      </w:r>
      <w:r w:rsidRPr="00332895">
        <w:rPr>
          <w:color w:val="000000" w:themeColor="text1"/>
        </w:rPr>
        <w:t>(</w:t>
      </w:r>
      <w:proofErr w:type="gramEnd"/>
      <w:r w:rsidRPr="00332895">
        <w:rPr>
          <w:color w:val="000000" w:themeColor="text1"/>
        </w:rPr>
        <w:t>1, 1</w:t>
      </w:r>
      <w:r w:rsidR="0098103D">
        <w:rPr>
          <w:color w:val="000000" w:themeColor="text1"/>
        </w:rPr>
        <w:t>40</w:t>
      </w:r>
      <w:r w:rsidR="00463A00">
        <w:rPr>
          <w:color w:val="000000" w:themeColor="text1"/>
        </w:rPr>
        <w:t>5</w:t>
      </w:r>
      <w:r w:rsidRPr="00332895">
        <w:rPr>
          <w:color w:val="000000" w:themeColor="text1"/>
        </w:rPr>
        <w:t xml:space="preserve">) = </w:t>
      </w:r>
      <w:r w:rsidR="0098103D">
        <w:rPr>
          <w:color w:val="000000" w:themeColor="text1"/>
        </w:rPr>
        <w:t>7.27</w:t>
      </w:r>
      <w:r w:rsidRPr="00332895">
        <w:rPr>
          <w:color w:val="000000" w:themeColor="text1"/>
        </w:rPr>
        <w:t xml:space="preserve">, </w:t>
      </w:r>
      <w:r w:rsidRPr="00332895">
        <w:rPr>
          <w:i/>
          <w:iCs/>
          <w:color w:val="000000" w:themeColor="text1"/>
        </w:rPr>
        <w:t xml:space="preserve">p </w:t>
      </w:r>
      <w:r w:rsidR="0098103D">
        <w:rPr>
          <w:color w:val="000000" w:themeColor="text1"/>
        </w:rPr>
        <w:t>= .007</w:t>
      </w:r>
      <w:r w:rsidRPr="00332895">
        <w:rPr>
          <w:color w:val="000000" w:themeColor="text1"/>
        </w:rPr>
        <w:t>, η</w:t>
      </w:r>
      <w:r w:rsidRPr="00332895">
        <w:rPr>
          <w:color w:val="000000" w:themeColor="text1"/>
          <w:vertAlign w:val="subscript"/>
        </w:rPr>
        <w:t>p</w:t>
      </w:r>
      <w:r w:rsidRPr="00332895">
        <w:rPr>
          <w:color w:val="000000" w:themeColor="text1"/>
          <w:vertAlign w:val="superscript"/>
        </w:rPr>
        <w:t>2</w:t>
      </w:r>
      <w:r w:rsidRPr="00332895">
        <w:rPr>
          <w:color w:val="000000" w:themeColor="text1"/>
        </w:rPr>
        <w:t xml:space="preserve"> </w:t>
      </w:r>
      <w:r w:rsidR="00104EC2">
        <w:rPr>
          <w:color w:val="000000" w:themeColor="text1"/>
        </w:rPr>
        <w:t xml:space="preserve">= </w:t>
      </w:r>
      <w:r w:rsidRPr="00332895">
        <w:rPr>
          <w:color w:val="000000" w:themeColor="text1"/>
        </w:rPr>
        <w:t>.01</w:t>
      </w:r>
      <w:r w:rsidR="0098103D">
        <w:rPr>
          <w:color w:val="000000" w:themeColor="text1"/>
        </w:rPr>
        <w:t xml:space="preserve">, </w:t>
      </w:r>
      <w:r w:rsidR="0032324C">
        <w:rPr>
          <w:color w:val="000000" w:themeColor="text1"/>
        </w:rPr>
        <w:t>whereas</w:t>
      </w:r>
      <w:r w:rsidR="0098103D">
        <w:rPr>
          <w:color w:val="000000" w:themeColor="text1"/>
        </w:rPr>
        <w:t xml:space="preserve"> age was not, </w:t>
      </w:r>
      <w:r w:rsidR="0098103D" w:rsidRPr="00332895">
        <w:rPr>
          <w:i/>
          <w:iCs/>
          <w:color w:val="000000" w:themeColor="text1"/>
        </w:rPr>
        <w:t>F</w:t>
      </w:r>
      <w:r w:rsidR="0098103D" w:rsidRPr="00332895">
        <w:rPr>
          <w:color w:val="000000" w:themeColor="text1"/>
        </w:rPr>
        <w:t>(1, 1</w:t>
      </w:r>
      <w:r w:rsidR="0098103D">
        <w:rPr>
          <w:color w:val="000000" w:themeColor="text1"/>
        </w:rPr>
        <w:t>405</w:t>
      </w:r>
      <w:r w:rsidR="0098103D" w:rsidRPr="00332895">
        <w:rPr>
          <w:color w:val="000000" w:themeColor="text1"/>
        </w:rPr>
        <w:t xml:space="preserve">) = </w:t>
      </w:r>
      <w:r w:rsidR="0098103D">
        <w:rPr>
          <w:color w:val="000000" w:themeColor="text1"/>
        </w:rPr>
        <w:t>2.63</w:t>
      </w:r>
      <w:r w:rsidR="0098103D" w:rsidRPr="00332895">
        <w:rPr>
          <w:color w:val="000000" w:themeColor="text1"/>
        </w:rPr>
        <w:t xml:space="preserve">, </w:t>
      </w:r>
      <w:r w:rsidR="0098103D" w:rsidRPr="00332895">
        <w:rPr>
          <w:i/>
          <w:iCs/>
          <w:color w:val="000000" w:themeColor="text1"/>
        </w:rPr>
        <w:t xml:space="preserve">p </w:t>
      </w:r>
      <w:r w:rsidR="0098103D">
        <w:rPr>
          <w:color w:val="000000" w:themeColor="text1"/>
        </w:rPr>
        <w:t>= .105</w:t>
      </w:r>
      <w:r w:rsidR="0098103D" w:rsidRPr="00332895">
        <w:rPr>
          <w:color w:val="000000" w:themeColor="text1"/>
        </w:rPr>
        <w:t>, η</w:t>
      </w:r>
      <w:r w:rsidR="0098103D" w:rsidRPr="00332895">
        <w:rPr>
          <w:color w:val="000000" w:themeColor="text1"/>
          <w:vertAlign w:val="subscript"/>
        </w:rPr>
        <w:t>p</w:t>
      </w:r>
      <w:r w:rsidR="0098103D" w:rsidRPr="00332895">
        <w:rPr>
          <w:color w:val="000000" w:themeColor="text1"/>
          <w:vertAlign w:val="superscript"/>
        </w:rPr>
        <w:t>2</w:t>
      </w:r>
      <w:r w:rsidR="0098103D" w:rsidRPr="00332895">
        <w:rPr>
          <w:color w:val="000000" w:themeColor="text1"/>
        </w:rPr>
        <w:t xml:space="preserve"> </w:t>
      </w:r>
      <w:r w:rsidR="0098103D">
        <w:rPr>
          <w:color w:val="000000" w:themeColor="text1"/>
        </w:rPr>
        <w:t xml:space="preserve">&lt; </w:t>
      </w:r>
      <w:r w:rsidR="0098103D" w:rsidRPr="00332895">
        <w:rPr>
          <w:color w:val="000000" w:themeColor="text1"/>
        </w:rPr>
        <w:t>.01</w:t>
      </w:r>
      <w:r w:rsidR="0098103D">
        <w:rPr>
          <w:color w:val="000000" w:themeColor="text1"/>
        </w:rPr>
        <w:t xml:space="preserve">. </w:t>
      </w:r>
      <w:r w:rsidR="00144AFD">
        <w:rPr>
          <w:color w:val="000000" w:themeColor="text1"/>
        </w:rPr>
        <w:t>T</w:t>
      </w:r>
      <w:r w:rsidRPr="00332895">
        <w:rPr>
          <w:color w:val="000000" w:themeColor="text1"/>
        </w:rPr>
        <w:t xml:space="preserve">he interaction between national group and gender was significant, </w:t>
      </w:r>
      <w:proofErr w:type="gramStart"/>
      <w:r w:rsidRPr="00332895">
        <w:rPr>
          <w:i/>
          <w:iCs/>
          <w:color w:val="000000" w:themeColor="text1"/>
        </w:rPr>
        <w:t>F</w:t>
      </w:r>
      <w:r w:rsidRPr="00332895">
        <w:rPr>
          <w:color w:val="000000" w:themeColor="text1"/>
        </w:rPr>
        <w:t>(</w:t>
      </w:r>
      <w:proofErr w:type="gramEnd"/>
      <w:r w:rsidRPr="00332895">
        <w:rPr>
          <w:color w:val="000000" w:themeColor="text1"/>
        </w:rPr>
        <w:t>1, 1</w:t>
      </w:r>
      <w:r w:rsidR="0098103D">
        <w:rPr>
          <w:color w:val="000000" w:themeColor="text1"/>
        </w:rPr>
        <w:t>40</w:t>
      </w:r>
      <w:r w:rsidR="009E3CBA">
        <w:rPr>
          <w:color w:val="000000" w:themeColor="text1"/>
        </w:rPr>
        <w:t>5</w:t>
      </w:r>
      <w:r w:rsidRPr="00332895">
        <w:rPr>
          <w:color w:val="000000" w:themeColor="text1"/>
        </w:rPr>
        <w:t xml:space="preserve">) = </w:t>
      </w:r>
      <w:r w:rsidR="00FB3030">
        <w:rPr>
          <w:color w:val="000000" w:themeColor="text1"/>
        </w:rPr>
        <w:t>4.</w:t>
      </w:r>
      <w:r w:rsidR="0098103D">
        <w:rPr>
          <w:color w:val="000000" w:themeColor="text1"/>
        </w:rPr>
        <w:t>84</w:t>
      </w:r>
      <w:r w:rsidRPr="00332895">
        <w:rPr>
          <w:color w:val="000000" w:themeColor="text1"/>
        </w:rPr>
        <w:t xml:space="preserve">, </w:t>
      </w:r>
      <w:r w:rsidRPr="00332895">
        <w:rPr>
          <w:i/>
          <w:iCs/>
          <w:color w:val="000000" w:themeColor="text1"/>
        </w:rPr>
        <w:t xml:space="preserve">p </w:t>
      </w:r>
      <w:r w:rsidRPr="00332895">
        <w:rPr>
          <w:color w:val="000000" w:themeColor="text1"/>
        </w:rPr>
        <w:t>= .</w:t>
      </w:r>
      <w:r w:rsidR="0098103D">
        <w:rPr>
          <w:color w:val="000000" w:themeColor="text1"/>
        </w:rPr>
        <w:t>028</w:t>
      </w:r>
      <w:r w:rsidRPr="00332895">
        <w:rPr>
          <w:color w:val="000000" w:themeColor="text1"/>
        </w:rPr>
        <w:t>, η</w:t>
      </w:r>
      <w:r w:rsidRPr="00332895">
        <w:rPr>
          <w:color w:val="000000" w:themeColor="text1"/>
          <w:vertAlign w:val="subscript"/>
        </w:rPr>
        <w:t>p</w:t>
      </w:r>
      <w:r w:rsidRPr="00332895">
        <w:rPr>
          <w:color w:val="000000" w:themeColor="text1"/>
          <w:vertAlign w:val="superscript"/>
        </w:rPr>
        <w:t>2</w:t>
      </w:r>
      <w:r w:rsidRPr="00332895">
        <w:rPr>
          <w:color w:val="000000" w:themeColor="text1"/>
        </w:rPr>
        <w:t xml:space="preserve"> &lt;</w:t>
      </w:r>
      <w:r w:rsidR="0032324C">
        <w:rPr>
          <w:color w:val="000000" w:themeColor="text1"/>
        </w:rPr>
        <w:t xml:space="preserve"> </w:t>
      </w:r>
      <w:r w:rsidRPr="00332895">
        <w:rPr>
          <w:color w:val="000000" w:themeColor="text1"/>
        </w:rPr>
        <w:t>.0</w:t>
      </w:r>
      <w:r w:rsidR="00A646C7">
        <w:rPr>
          <w:color w:val="000000" w:themeColor="text1"/>
        </w:rPr>
        <w:t>1</w:t>
      </w:r>
      <w:r w:rsidR="004D6BCE">
        <w:rPr>
          <w:color w:val="000000" w:themeColor="text1"/>
        </w:rPr>
        <w:t>, with</w:t>
      </w:r>
      <w:r w:rsidR="00BB3520" w:rsidRPr="00BB3520">
        <w:rPr>
          <w:color w:val="000000" w:themeColor="text1"/>
        </w:rPr>
        <w:t xml:space="preserve"> </w:t>
      </w:r>
      <w:r w:rsidR="00BB3520">
        <w:rPr>
          <w:color w:val="000000" w:themeColor="text1"/>
        </w:rPr>
        <w:t xml:space="preserve">Malaysian women reporting greater </w:t>
      </w:r>
      <w:r w:rsidR="00021362">
        <w:rPr>
          <w:color w:val="000000" w:themeColor="text1"/>
        </w:rPr>
        <w:t>functionalit</w:t>
      </w:r>
      <w:r w:rsidR="00BB3520">
        <w:rPr>
          <w:color w:val="000000" w:themeColor="text1"/>
        </w:rPr>
        <w:t xml:space="preserve">y appreciation than Malaysian men, but UK men reporting greater </w:t>
      </w:r>
      <w:r w:rsidR="00021362">
        <w:rPr>
          <w:color w:val="000000" w:themeColor="text1"/>
        </w:rPr>
        <w:t>functionalit</w:t>
      </w:r>
      <w:r w:rsidR="00BB3520">
        <w:rPr>
          <w:color w:val="000000" w:themeColor="text1"/>
        </w:rPr>
        <w:t>y appreciation than UK women</w:t>
      </w:r>
      <w:r w:rsidR="00021362">
        <w:rPr>
          <w:color w:val="000000" w:themeColor="text1"/>
        </w:rPr>
        <w:t>.</w:t>
      </w:r>
      <w:r w:rsidR="004D6BCE">
        <w:rPr>
          <w:color w:val="000000" w:themeColor="text1"/>
        </w:rPr>
        <w:t xml:space="preserve"> </w:t>
      </w:r>
      <w:r w:rsidR="00144AFD">
        <w:rPr>
          <w:color w:val="000000" w:themeColor="text1"/>
        </w:rPr>
        <w:t>The main effect</w:t>
      </w:r>
      <w:r w:rsidR="00144AFD" w:rsidRPr="00332895">
        <w:rPr>
          <w:color w:val="000000" w:themeColor="text1"/>
        </w:rPr>
        <w:t xml:space="preserve"> of </w:t>
      </w:r>
      <w:r w:rsidR="00144AFD" w:rsidRPr="00332895">
        <w:rPr>
          <w:bCs/>
        </w:rPr>
        <w:t xml:space="preserve">national group </w:t>
      </w:r>
      <w:r w:rsidR="00144AFD">
        <w:rPr>
          <w:color w:val="000000" w:themeColor="text1"/>
        </w:rPr>
        <w:t xml:space="preserve">was </w:t>
      </w:r>
      <w:r w:rsidR="00144AFD" w:rsidRPr="00332895">
        <w:rPr>
          <w:color w:val="000000" w:themeColor="text1"/>
        </w:rPr>
        <w:t xml:space="preserve">significant, </w:t>
      </w:r>
      <w:proofErr w:type="gramStart"/>
      <w:r w:rsidR="00144AFD" w:rsidRPr="00332895">
        <w:rPr>
          <w:i/>
          <w:iCs/>
          <w:color w:val="000000" w:themeColor="text1"/>
        </w:rPr>
        <w:t>F</w:t>
      </w:r>
      <w:r w:rsidR="00144AFD" w:rsidRPr="00332895">
        <w:rPr>
          <w:color w:val="000000" w:themeColor="text1"/>
        </w:rPr>
        <w:t>(</w:t>
      </w:r>
      <w:proofErr w:type="gramEnd"/>
      <w:r w:rsidR="00144AFD" w:rsidRPr="00332895">
        <w:rPr>
          <w:color w:val="000000" w:themeColor="text1"/>
        </w:rPr>
        <w:t>1, 1</w:t>
      </w:r>
      <w:r w:rsidR="00144AFD">
        <w:rPr>
          <w:color w:val="000000" w:themeColor="text1"/>
        </w:rPr>
        <w:t>405</w:t>
      </w:r>
      <w:r w:rsidR="00144AFD" w:rsidRPr="00332895">
        <w:rPr>
          <w:color w:val="000000" w:themeColor="text1"/>
        </w:rPr>
        <w:t xml:space="preserve">) = </w:t>
      </w:r>
      <w:r w:rsidR="00144AFD">
        <w:rPr>
          <w:color w:val="000000" w:themeColor="text1"/>
        </w:rPr>
        <w:t>102.18</w:t>
      </w:r>
      <w:r w:rsidR="00144AFD" w:rsidRPr="00332895">
        <w:rPr>
          <w:color w:val="000000" w:themeColor="text1"/>
        </w:rPr>
        <w:t xml:space="preserve">, </w:t>
      </w:r>
      <w:r w:rsidR="00144AFD" w:rsidRPr="00332895">
        <w:rPr>
          <w:i/>
          <w:iCs/>
          <w:color w:val="000000" w:themeColor="text1"/>
        </w:rPr>
        <w:t xml:space="preserve">p </w:t>
      </w:r>
      <w:r w:rsidR="00144AFD">
        <w:rPr>
          <w:color w:val="000000" w:themeColor="text1"/>
        </w:rPr>
        <w:t xml:space="preserve">&lt; </w:t>
      </w:r>
      <w:r w:rsidR="00144AFD" w:rsidRPr="00332895">
        <w:rPr>
          <w:color w:val="000000" w:themeColor="text1"/>
        </w:rPr>
        <w:t>.</w:t>
      </w:r>
      <w:r w:rsidR="00144AFD">
        <w:rPr>
          <w:color w:val="000000" w:themeColor="text1"/>
        </w:rPr>
        <w:t>001</w:t>
      </w:r>
      <w:r w:rsidR="00144AFD" w:rsidRPr="00332895">
        <w:rPr>
          <w:color w:val="000000" w:themeColor="text1"/>
        </w:rPr>
        <w:t>, η</w:t>
      </w:r>
      <w:r w:rsidR="00144AFD" w:rsidRPr="00332895">
        <w:rPr>
          <w:color w:val="000000" w:themeColor="text1"/>
          <w:vertAlign w:val="subscript"/>
        </w:rPr>
        <w:t>p</w:t>
      </w:r>
      <w:r w:rsidR="00144AFD" w:rsidRPr="00332895">
        <w:rPr>
          <w:color w:val="000000" w:themeColor="text1"/>
          <w:vertAlign w:val="superscript"/>
        </w:rPr>
        <w:t>2</w:t>
      </w:r>
      <w:r w:rsidR="00144AFD" w:rsidRPr="00332895">
        <w:rPr>
          <w:color w:val="000000" w:themeColor="text1"/>
        </w:rPr>
        <w:t xml:space="preserve"> = .0</w:t>
      </w:r>
      <w:r w:rsidR="00144AFD">
        <w:rPr>
          <w:color w:val="000000" w:themeColor="text1"/>
        </w:rPr>
        <w:t xml:space="preserve">7 (Malaysian participants had </w:t>
      </w:r>
      <w:r w:rsidR="00144AFD">
        <w:rPr>
          <w:color w:val="000000" w:themeColor="text1"/>
        </w:rPr>
        <w:lastRenderedPageBreak/>
        <w:t>significant higher functionality appreciation than UK participants)</w:t>
      </w:r>
      <w:r w:rsidR="00144AFD" w:rsidRPr="00332895">
        <w:rPr>
          <w:color w:val="000000" w:themeColor="text1"/>
        </w:rPr>
        <w:t xml:space="preserve">, </w:t>
      </w:r>
      <w:r w:rsidR="00144AFD">
        <w:rPr>
          <w:color w:val="000000" w:themeColor="text1"/>
        </w:rPr>
        <w:t>but the main effect of gender was not,</w:t>
      </w:r>
      <w:r w:rsidR="00144AFD" w:rsidRPr="00104EC2">
        <w:rPr>
          <w:bCs/>
          <w:i/>
          <w:iCs/>
        </w:rPr>
        <w:t xml:space="preserve"> </w:t>
      </w:r>
      <w:r w:rsidR="00144AFD" w:rsidRPr="00332895">
        <w:rPr>
          <w:bCs/>
          <w:i/>
          <w:iCs/>
        </w:rPr>
        <w:t>F</w:t>
      </w:r>
      <w:r w:rsidR="00144AFD" w:rsidRPr="00332895">
        <w:rPr>
          <w:bCs/>
        </w:rPr>
        <w:t>(1, 1</w:t>
      </w:r>
      <w:r w:rsidR="00144AFD">
        <w:rPr>
          <w:bCs/>
        </w:rPr>
        <w:t>405</w:t>
      </w:r>
      <w:r w:rsidR="00144AFD" w:rsidRPr="00332895">
        <w:rPr>
          <w:bCs/>
        </w:rPr>
        <w:t>) = 0.</w:t>
      </w:r>
      <w:r w:rsidR="00144AFD">
        <w:rPr>
          <w:bCs/>
        </w:rPr>
        <w:t>70</w:t>
      </w:r>
      <w:r w:rsidR="00144AFD" w:rsidRPr="00332895">
        <w:rPr>
          <w:bCs/>
        </w:rPr>
        <w:t xml:space="preserve">, </w:t>
      </w:r>
      <w:r w:rsidR="00144AFD" w:rsidRPr="00332895">
        <w:rPr>
          <w:bCs/>
          <w:i/>
          <w:iCs/>
        </w:rPr>
        <w:t xml:space="preserve">p </w:t>
      </w:r>
      <w:r w:rsidR="00144AFD" w:rsidRPr="00332895">
        <w:rPr>
          <w:bCs/>
        </w:rPr>
        <w:t>= .</w:t>
      </w:r>
      <w:r w:rsidR="00144AFD">
        <w:rPr>
          <w:bCs/>
        </w:rPr>
        <w:t>402</w:t>
      </w:r>
      <w:r w:rsidR="00144AFD" w:rsidRPr="00332895">
        <w:rPr>
          <w:bCs/>
        </w:rPr>
        <w:t>,</w:t>
      </w:r>
      <w:r w:rsidR="00144AFD" w:rsidRPr="00332895">
        <w:rPr>
          <w:bCs/>
          <w:color w:val="000000" w:themeColor="text1"/>
        </w:rPr>
        <w:t xml:space="preserve"> </w:t>
      </w:r>
      <w:r w:rsidR="00144AFD" w:rsidRPr="00332895">
        <w:rPr>
          <w:color w:val="000000" w:themeColor="text1"/>
        </w:rPr>
        <w:t>η</w:t>
      </w:r>
      <w:r w:rsidR="00144AFD" w:rsidRPr="00332895">
        <w:rPr>
          <w:color w:val="000000" w:themeColor="text1"/>
          <w:vertAlign w:val="subscript"/>
        </w:rPr>
        <w:t>p</w:t>
      </w:r>
      <w:r w:rsidR="00144AFD" w:rsidRPr="00332895">
        <w:rPr>
          <w:color w:val="000000" w:themeColor="text1"/>
          <w:vertAlign w:val="superscript"/>
        </w:rPr>
        <w:t xml:space="preserve">2 </w:t>
      </w:r>
      <w:r w:rsidR="00144AFD" w:rsidRPr="00332895">
        <w:rPr>
          <w:color w:val="000000" w:themeColor="text1"/>
        </w:rPr>
        <w:t>&lt;</w:t>
      </w:r>
      <w:r w:rsidR="00144AFD">
        <w:rPr>
          <w:color w:val="000000" w:themeColor="text1"/>
        </w:rPr>
        <w:t xml:space="preserve"> </w:t>
      </w:r>
      <w:r w:rsidR="00144AFD" w:rsidRPr="00332895">
        <w:rPr>
          <w:color w:val="000000" w:themeColor="text1"/>
        </w:rPr>
        <w:t>.01</w:t>
      </w:r>
      <w:r w:rsidR="00B30AE4">
        <w:rPr>
          <w:color w:val="000000" w:themeColor="text1"/>
        </w:rPr>
        <w:t xml:space="preserve"> (see Table 2).</w:t>
      </w:r>
    </w:p>
    <w:p w14:paraId="6CA469CD" w14:textId="77777777" w:rsidR="00955A03" w:rsidRDefault="00E338BF" w:rsidP="00955A03">
      <w:pPr>
        <w:spacing w:line="480" w:lineRule="auto"/>
        <w:jc w:val="center"/>
        <w:rPr>
          <w:b/>
          <w:bCs/>
          <w:color w:val="000000" w:themeColor="text1"/>
        </w:rPr>
      </w:pPr>
      <w:r w:rsidRPr="00E338BF">
        <w:rPr>
          <w:b/>
          <w:bCs/>
          <w:color w:val="000000" w:themeColor="text1"/>
        </w:rPr>
        <w:t>Discussion</w:t>
      </w:r>
    </w:p>
    <w:p w14:paraId="6433E2AF" w14:textId="55F7775C" w:rsidR="00144AFD" w:rsidRDefault="0032324C" w:rsidP="003D651E">
      <w:pPr>
        <w:spacing w:line="480" w:lineRule="auto"/>
        <w:ind w:firstLine="720"/>
        <w:rPr>
          <w:color w:val="000000" w:themeColor="text1"/>
        </w:rPr>
      </w:pPr>
      <w:r>
        <w:rPr>
          <w:color w:val="000000" w:themeColor="text1"/>
        </w:rPr>
        <w:t xml:space="preserve">The present study is the first to examine measurement invariance of two positive body image facets in adults from different national </w:t>
      </w:r>
      <w:r w:rsidR="00144AFD">
        <w:rPr>
          <w:color w:val="000000" w:themeColor="text1"/>
        </w:rPr>
        <w:t xml:space="preserve">and culturally distinct </w:t>
      </w:r>
      <w:r>
        <w:rPr>
          <w:color w:val="000000" w:themeColor="text1"/>
        </w:rPr>
        <w:t xml:space="preserve">groups. </w:t>
      </w:r>
      <w:r w:rsidR="00A53E21">
        <w:rPr>
          <w:color w:val="000000" w:themeColor="text1"/>
        </w:rPr>
        <w:t>W</w:t>
      </w:r>
      <w:r w:rsidR="003D651E">
        <w:rPr>
          <w:color w:val="000000" w:themeColor="text1"/>
        </w:rPr>
        <w:t xml:space="preserve">e found that both BAS-2 and FAS scores evidenced </w:t>
      </w:r>
      <w:r w:rsidR="005C18F0">
        <w:rPr>
          <w:color w:val="000000" w:themeColor="text1"/>
        </w:rPr>
        <w:t>partial scalar invariance across the two national groups</w:t>
      </w:r>
      <w:r w:rsidR="009B462B">
        <w:t>.</w:t>
      </w:r>
      <w:r w:rsidR="003D651E">
        <w:t xml:space="preserve"> In broad outline, this is consistent with previous cross-national work with adolescents, where either partial measurement invariance (Lemoine et al., 2018) or full measurement invariance (</w:t>
      </w:r>
      <w:proofErr w:type="spellStart"/>
      <w:r w:rsidR="003D651E">
        <w:rPr>
          <w:color w:val="000000" w:themeColor="text1"/>
        </w:rPr>
        <w:t>Góngora</w:t>
      </w:r>
      <w:proofErr w:type="spellEnd"/>
      <w:r w:rsidR="003D651E">
        <w:rPr>
          <w:color w:val="000000" w:themeColor="text1"/>
        </w:rPr>
        <w:t xml:space="preserve"> et al., 2020) was established. </w:t>
      </w:r>
      <w:r w:rsidR="00144AFD">
        <w:rPr>
          <w:color w:val="000000" w:themeColor="text1"/>
        </w:rPr>
        <w:t>This allowed us to compare latent mean scores across nationality and gender, which showed that UK men had higher body and functionality appreciation than UK women, whereas Malaysian women had higher scores on both facets compared to Malaysian men. While the former result is consistent with the research conducted in North America (Alleva et al., 2017; Tylka &amp; Wood-Barcalow et al., 2015; see also He et al., 2020), the latter requires some commentary.</w:t>
      </w:r>
    </w:p>
    <w:p w14:paraId="0C6B2FC8" w14:textId="5BE9ACCA" w:rsidR="00144AFD" w:rsidRDefault="00144AFD" w:rsidP="003D651E">
      <w:pPr>
        <w:spacing w:line="480" w:lineRule="auto"/>
        <w:ind w:firstLine="720"/>
        <w:rPr>
          <w:color w:val="000000" w:themeColor="text1"/>
        </w:rPr>
      </w:pPr>
      <w:r>
        <w:rPr>
          <w:color w:val="000000" w:themeColor="text1"/>
        </w:rPr>
        <w:t xml:space="preserve">One possibility is that </w:t>
      </w:r>
      <w:r w:rsidR="00DE3171">
        <w:rPr>
          <w:color w:val="000000" w:themeColor="text1"/>
        </w:rPr>
        <w:t>the lived experiences of Malaysian Malay women – such as cultural and religious conservatism,</w:t>
      </w:r>
      <w:r w:rsidR="00B30AE4">
        <w:rPr>
          <w:color w:val="000000" w:themeColor="text1"/>
        </w:rPr>
        <w:t xml:space="preserve"> greater religiosity,</w:t>
      </w:r>
      <w:r w:rsidR="00DE3171">
        <w:rPr>
          <w:color w:val="000000" w:themeColor="text1"/>
        </w:rPr>
        <w:t xml:space="preserve"> more traditional family values, and a de-emphasised ethos of working on the body (Swami, 2015) – help to promote positive body image. Another possibility is that Malaysian Malay men are less attuned to care and respect their bodies, as well as the functionality of their bodies, because masculinity norms focus men’s attention elsewhere (e.g., the attainment of psychological well-being through non-corporeal means, such as occupational success). Of course, in the absence of further data, our explanations remain conjecture. It should also be noted that the effect sizes of the interactions were </w:t>
      </w:r>
      <w:r w:rsidR="00DE3171">
        <w:rPr>
          <w:color w:val="000000" w:themeColor="text1"/>
        </w:rPr>
        <w:lastRenderedPageBreak/>
        <w:t xml:space="preserve">negligible-to-small, and any differences in latent mean scores do not reflect meaningful, real-world differences. </w:t>
      </w:r>
    </w:p>
    <w:p w14:paraId="56C7E727" w14:textId="1E0B10C0" w:rsidR="00144AFD" w:rsidRDefault="00DE3171" w:rsidP="00DE3171">
      <w:pPr>
        <w:spacing w:line="480" w:lineRule="auto"/>
        <w:ind w:firstLine="720"/>
        <w:rPr>
          <w:color w:val="000000" w:themeColor="text1"/>
        </w:rPr>
      </w:pPr>
      <w:r>
        <w:rPr>
          <w:color w:val="000000" w:themeColor="text1"/>
        </w:rPr>
        <w:t>Between-group comparisons indicated a main effect of nationality, with Malaysian participants having higher BAS-2 and FAS scores than UK participants. Again, a de-emphasised ethos of body work in the developing context of Malay</w:t>
      </w:r>
      <w:r w:rsidR="00B30AE4">
        <w:rPr>
          <w:color w:val="000000" w:themeColor="text1"/>
        </w:rPr>
        <w:t>s</w:t>
      </w:r>
      <w:r>
        <w:rPr>
          <w:color w:val="000000" w:themeColor="text1"/>
        </w:rPr>
        <w:t xml:space="preserve">ia </w:t>
      </w:r>
      <w:r w:rsidR="00871C04">
        <w:rPr>
          <w:color w:val="000000" w:themeColor="text1"/>
        </w:rPr>
        <w:t>may</w:t>
      </w:r>
      <w:r>
        <w:rPr>
          <w:color w:val="000000" w:themeColor="text1"/>
        </w:rPr>
        <w:t xml:space="preserve"> facilitat</w:t>
      </w:r>
      <w:r w:rsidR="00B30AE4">
        <w:rPr>
          <w:color w:val="000000" w:themeColor="text1"/>
        </w:rPr>
        <w:t>e</w:t>
      </w:r>
      <w:r>
        <w:rPr>
          <w:color w:val="000000" w:themeColor="text1"/>
        </w:rPr>
        <w:t xml:space="preserve"> positive body image, although we again suggest more work needs to be done to better understand this difference. Effects sizes in this case were medium (i.e., FAS) and large (i.e., BAS-2) by Cohen’s (1988) standards and, indeed, were larger than the negligible-to-small effect sizes reported in previous cross-national comparisons (</w:t>
      </w:r>
      <w:proofErr w:type="spellStart"/>
      <w:r>
        <w:rPr>
          <w:color w:val="000000" w:themeColor="text1"/>
        </w:rPr>
        <w:t>Góngora</w:t>
      </w:r>
      <w:proofErr w:type="spellEnd"/>
      <w:r>
        <w:rPr>
          <w:color w:val="000000" w:themeColor="text1"/>
        </w:rPr>
        <w:t xml:space="preserve"> et al., 2020; Lemoine et al., 2018). One reason for the larger cross-national differences reported in the present study may be that previous studies utilised culturally- or geographically similar populations, whereas we utilised two national groups that were substantively different both in terms of geographic location (i.e., Eastern versus Western) and socio-economic development (i.e., newly-industrialised versus high-income). </w:t>
      </w:r>
    </w:p>
    <w:p w14:paraId="2C6923EB" w14:textId="298E4D59" w:rsidR="00F52DCF" w:rsidRPr="006F67A7" w:rsidRDefault="003D651E" w:rsidP="006F67A7">
      <w:pPr>
        <w:spacing w:line="480" w:lineRule="auto"/>
        <w:ind w:firstLine="720"/>
        <w:rPr>
          <w:color w:val="000000" w:themeColor="text1"/>
        </w:rPr>
      </w:pPr>
      <w:r>
        <w:rPr>
          <w:color w:val="000000" w:themeColor="text1"/>
        </w:rPr>
        <w:t>While a strength of the present study was the cross-national comparison of two geographically distinct populations, it is not clear whether our findings are generalisable to ethnic minority groups in Malaysia and the UK</w:t>
      </w:r>
      <w:r w:rsidR="006F67A7">
        <w:rPr>
          <w:color w:val="000000" w:themeColor="text1"/>
        </w:rPr>
        <w:t>, given that both samples were ethnically homogenous</w:t>
      </w:r>
      <w:r>
        <w:rPr>
          <w:color w:val="000000" w:themeColor="text1"/>
        </w:rPr>
        <w:t>. We also cannot rule out the possibility that cross-sample differences in un-measured constructs</w:t>
      </w:r>
      <w:r w:rsidR="00595628">
        <w:rPr>
          <w:color w:val="000000" w:themeColor="text1"/>
        </w:rPr>
        <w:t xml:space="preserve"> (e.g., degree of acculturation, </w:t>
      </w:r>
      <w:r w:rsidR="00796EBD">
        <w:rPr>
          <w:color w:val="000000" w:themeColor="text1"/>
        </w:rPr>
        <w:t>socioeconomic status)</w:t>
      </w:r>
      <w:r>
        <w:rPr>
          <w:color w:val="000000" w:themeColor="text1"/>
        </w:rPr>
        <w:t xml:space="preserve"> affected our results</w:t>
      </w:r>
      <w:r w:rsidR="00871C04">
        <w:rPr>
          <w:color w:val="000000" w:themeColor="text1"/>
        </w:rPr>
        <w:t>,</w:t>
      </w:r>
      <w:r>
        <w:rPr>
          <w:color w:val="000000" w:themeColor="text1"/>
        </w:rPr>
        <w:t xml:space="preserve"> and the finding that BMI (and age in the case of the BAS-2) emerged as a significant covariate certainly adds to the complexity of interpreting our findings. Nevertheless, the present </w:t>
      </w:r>
      <w:r w:rsidR="00F52DCF">
        <w:rPr>
          <w:bCs/>
          <w:color w:val="000000" w:themeColor="text1"/>
        </w:rPr>
        <w:t xml:space="preserve">work makes an important contribution to knowledge on positive body image across diverse </w:t>
      </w:r>
      <w:r>
        <w:rPr>
          <w:bCs/>
          <w:color w:val="000000" w:themeColor="text1"/>
        </w:rPr>
        <w:t>national</w:t>
      </w:r>
      <w:r w:rsidR="00F52DCF">
        <w:rPr>
          <w:bCs/>
          <w:color w:val="000000" w:themeColor="text1"/>
        </w:rPr>
        <w:t xml:space="preserve"> contexts. </w:t>
      </w:r>
      <w:r>
        <w:rPr>
          <w:bCs/>
          <w:color w:val="000000" w:themeColor="text1"/>
        </w:rPr>
        <w:t xml:space="preserve">As research on positive body image continues to grow, we encourage greater attention </w:t>
      </w:r>
      <w:r>
        <w:rPr>
          <w:bCs/>
          <w:color w:val="000000" w:themeColor="text1"/>
        </w:rPr>
        <w:lastRenderedPageBreak/>
        <w:t xml:space="preserve">to issues of measurement invariance and latent mean comparisons across national groups. Such research is likely to provide important insights into the construct of positive body image </w:t>
      </w:r>
      <w:r w:rsidR="00A53E21">
        <w:rPr>
          <w:bCs/>
          <w:color w:val="000000" w:themeColor="text1"/>
        </w:rPr>
        <w:t xml:space="preserve">across diverse social identity groups. </w:t>
      </w:r>
      <w:r>
        <w:rPr>
          <w:bCs/>
          <w:color w:val="000000" w:themeColor="text1"/>
        </w:rPr>
        <w:t xml:space="preserve"> </w:t>
      </w:r>
    </w:p>
    <w:p w14:paraId="1CC90B8B" w14:textId="67CC9F65" w:rsidR="003D651E" w:rsidRDefault="003D651E" w:rsidP="003D651E">
      <w:pPr>
        <w:spacing w:line="480" w:lineRule="auto"/>
        <w:ind w:firstLine="720"/>
        <w:rPr>
          <w:color w:val="000000" w:themeColor="text1"/>
        </w:rPr>
      </w:pPr>
    </w:p>
    <w:p w14:paraId="45078891" w14:textId="77777777" w:rsidR="003D651E" w:rsidRPr="003D651E" w:rsidRDefault="003D651E" w:rsidP="003D651E">
      <w:pPr>
        <w:spacing w:line="480" w:lineRule="auto"/>
        <w:ind w:firstLine="720"/>
        <w:rPr>
          <w:color w:val="000000" w:themeColor="text1"/>
        </w:rPr>
      </w:pPr>
    </w:p>
    <w:p w14:paraId="087D9654" w14:textId="77777777" w:rsidR="005C18F0" w:rsidRDefault="005C18F0" w:rsidP="00A72F96">
      <w:pPr>
        <w:spacing w:line="480" w:lineRule="auto"/>
        <w:jc w:val="center"/>
        <w:rPr>
          <w:b/>
          <w:color w:val="000000" w:themeColor="text1"/>
        </w:rPr>
      </w:pPr>
    </w:p>
    <w:p w14:paraId="7EDF2078" w14:textId="77777777" w:rsidR="005C18F0" w:rsidRDefault="005C18F0">
      <w:pPr>
        <w:rPr>
          <w:b/>
          <w:color w:val="000000" w:themeColor="text1"/>
        </w:rPr>
      </w:pPr>
      <w:r>
        <w:rPr>
          <w:b/>
          <w:color w:val="000000" w:themeColor="text1"/>
        </w:rPr>
        <w:br w:type="page"/>
      </w:r>
    </w:p>
    <w:p w14:paraId="681AA76C" w14:textId="751704F6" w:rsidR="00A72F96" w:rsidRPr="00A72F96" w:rsidRDefault="00A72F96" w:rsidP="006E0A35">
      <w:pPr>
        <w:spacing w:line="480" w:lineRule="auto"/>
        <w:jc w:val="center"/>
        <w:rPr>
          <w:b/>
          <w:color w:val="000000" w:themeColor="text1"/>
        </w:rPr>
      </w:pPr>
      <w:r w:rsidRPr="00A72F96">
        <w:rPr>
          <w:b/>
          <w:color w:val="000000" w:themeColor="text1"/>
        </w:rPr>
        <w:lastRenderedPageBreak/>
        <w:t>Reference</w:t>
      </w:r>
      <w:r w:rsidR="006E0A35">
        <w:rPr>
          <w:b/>
          <w:color w:val="000000" w:themeColor="text1"/>
        </w:rPr>
        <w:t>s</w:t>
      </w:r>
    </w:p>
    <w:p w14:paraId="5F649CEC" w14:textId="77777777" w:rsidR="006E0A35" w:rsidRDefault="006E0A35" w:rsidP="006E0A35">
      <w:pPr>
        <w:spacing w:line="480" w:lineRule="auto"/>
        <w:ind w:left="567" w:hanging="567"/>
        <w:rPr>
          <w:color w:val="000000"/>
        </w:rPr>
      </w:pPr>
      <w:r w:rsidRPr="00302D62">
        <w:rPr>
          <w:color w:val="000000"/>
        </w:rPr>
        <w:t>Alleva, J.</w:t>
      </w:r>
      <w:r>
        <w:rPr>
          <w:color w:val="000000"/>
        </w:rPr>
        <w:t xml:space="preserve"> </w:t>
      </w:r>
      <w:r w:rsidRPr="00302D62">
        <w:rPr>
          <w:color w:val="000000"/>
        </w:rPr>
        <w:t>M., Tylka, T.</w:t>
      </w:r>
      <w:r>
        <w:rPr>
          <w:color w:val="000000"/>
        </w:rPr>
        <w:t xml:space="preserve"> </w:t>
      </w:r>
      <w:r w:rsidRPr="00302D62">
        <w:rPr>
          <w:color w:val="000000"/>
        </w:rPr>
        <w:t xml:space="preserve">L., &amp; Kroon Van </w:t>
      </w:r>
      <w:proofErr w:type="spellStart"/>
      <w:r w:rsidRPr="00302D62">
        <w:rPr>
          <w:color w:val="000000"/>
        </w:rPr>
        <w:t>Diest</w:t>
      </w:r>
      <w:proofErr w:type="spellEnd"/>
      <w:r w:rsidRPr="00302D62">
        <w:rPr>
          <w:color w:val="000000"/>
        </w:rPr>
        <w:t>, A.</w:t>
      </w:r>
      <w:r>
        <w:rPr>
          <w:color w:val="000000"/>
        </w:rPr>
        <w:t xml:space="preserve"> </w:t>
      </w:r>
      <w:r w:rsidRPr="00302D62">
        <w:rPr>
          <w:color w:val="000000"/>
        </w:rPr>
        <w:t>M. (2017). The Functionality Appreciation Scale (FAS): Development and psychometric evaluation in US community women and men</w:t>
      </w:r>
      <w:r>
        <w:rPr>
          <w:color w:val="000000"/>
        </w:rPr>
        <w:t xml:space="preserve">. </w:t>
      </w:r>
      <w:r w:rsidRPr="00302D62">
        <w:rPr>
          <w:i/>
          <w:iCs/>
          <w:color w:val="000000"/>
        </w:rPr>
        <w:t>Body Image</w:t>
      </w:r>
      <w:r w:rsidRPr="00FC1B17">
        <w:rPr>
          <w:iCs/>
          <w:color w:val="000000"/>
        </w:rPr>
        <w:t>,</w:t>
      </w:r>
      <w:r w:rsidRPr="00302D62">
        <w:rPr>
          <w:i/>
          <w:iCs/>
          <w:color w:val="000000"/>
        </w:rPr>
        <w:t xml:space="preserve"> 23</w:t>
      </w:r>
      <w:r w:rsidRPr="00302D62">
        <w:rPr>
          <w:color w:val="000000"/>
        </w:rPr>
        <w:t xml:space="preserve">, 28-44, </w:t>
      </w:r>
      <w:r w:rsidRPr="0095212E">
        <w:rPr>
          <w:color w:val="000000"/>
        </w:rPr>
        <w:t>https://10.1016/j.bodyim.2017.07.008</w:t>
      </w:r>
    </w:p>
    <w:p w14:paraId="31E4E9F2" w14:textId="77777777" w:rsidR="006E0A35" w:rsidRDefault="006E0A35" w:rsidP="006E0A35">
      <w:pPr>
        <w:spacing w:line="480" w:lineRule="auto"/>
        <w:ind w:left="567" w:hanging="567"/>
      </w:pPr>
      <w:r w:rsidRPr="00741BC7">
        <w:t xml:space="preserve">Chen, F. F. (2007). Sensitivity of goodness of fit indexes to lack of measurement invariance. </w:t>
      </w:r>
      <w:r w:rsidRPr="00741BC7">
        <w:rPr>
          <w:i/>
        </w:rPr>
        <w:t xml:space="preserve">Structural Equation </w:t>
      </w:r>
      <w:proofErr w:type="spellStart"/>
      <w:r w:rsidRPr="00741BC7">
        <w:rPr>
          <w:i/>
        </w:rPr>
        <w:t>Modeling</w:t>
      </w:r>
      <w:proofErr w:type="spellEnd"/>
      <w:r w:rsidRPr="00741BC7">
        <w:rPr>
          <w:i/>
        </w:rPr>
        <w:t>: A Multidisciplinary Journal, 14</w:t>
      </w:r>
      <w:r w:rsidRPr="00741BC7">
        <w:t>(3), 464-504.</w:t>
      </w:r>
      <w:r>
        <w:t xml:space="preserve"> </w:t>
      </w:r>
      <w:r w:rsidRPr="00741BC7">
        <w:t>https://doi.org/10.1080/10705510701301834</w:t>
      </w:r>
    </w:p>
    <w:p w14:paraId="35EFA515" w14:textId="77777777" w:rsidR="006E0A35" w:rsidRDefault="006E0A35" w:rsidP="006E0A35">
      <w:pPr>
        <w:spacing w:line="480" w:lineRule="auto"/>
        <w:ind w:left="567" w:hanging="567"/>
      </w:pPr>
      <w:r w:rsidRPr="0048465D">
        <w:t xml:space="preserve">Chen, F. F. (2008). What happens if we compare chopsticks with forks? The impact of making inappropriate comparisons in cross-cultural research. </w:t>
      </w:r>
      <w:r w:rsidRPr="0048465D">
        <w:rPr>
          <w:i/>
          <w:iCs/>
        </w:rPr>
        <w:t xml:space="preserve">Journal of </w:t>
      </w:r>
      <w:r>
        <w:rPr>
          <w:i/>
          <w:iCs/>
        </w:rPr>
        <w:t>P</w:t>
      </w:r>
      <w:r w:rsidRPr="0048465D">
        <w:rPr>
          <w:i/>
          <w:iCs/>
        </w:rPr>
        <w:t xml:space="preserve">ersonality and </w:t>
      </w:r>
      <w:r>
        <w:rPr>
          <w:i/>
          <w:iCs/>
        </w:rPr>
        <w:t>S</w:t>
      </w:r>
      <w:r w:rsidRPr="0048465D">
        <w:rPr>
          <w:i/>
          <w:iCs/>
        </w:rPr>
        <w:t xml:space="preserve">ocial </w:t>
      </w:r>
      <w:r>
        <w:rPr>
          <w:i/>
          <w:iCs/>
        </w:rPr>
        <w:t>P</w:t>
      </w:r>
      <w:r w:rsidRPr="0048465D">
        <w:rPr>
          <w:i/>
          <w:iCs/>
        </w:rPr>
        <w:t>sychology, 95</w:t>
      </w:r>
      <w:r w:rsidRPr="0048465D">
        <w:t>(5), 1005</w:t>
      </w:r>
      <w:r>
        <w:t xml:space="preserve">-1018. </w:t>
      </w:r>
      <w:r w:rsidRPr="00741BC7">
        <w:t>https://doi.org/10.1037/a0013193</w:t>
      </w:r>
    </w:p>
    <w:p w14:paraId="60DE4CFC" w14:textId="77777777" w:rsidR="009769B7" w:rsidRDefault="006E0A35" w:rsidP="009769B7">
      <w:pPr>
        <w:spacing w:line="480" w:lineRule="auto"/>
        <w:ind w:left="567" w:hanging="567"/>
      </w:pPr>
      <w:r w:rsidRPr="00741BC7">
        <w:t xml:space="preserve">Cheung, G. W., &amp; </w:t>
      </w:r>
      <w:proofErr w:type="spellStart"/>
      <w:r w:rsidRPr="00741BC7">
        <w:t>Rensvold</w:t>
      </w:r>
      <w:proofErr w:type="spellEnd"/>
      <w:r w:rsidRPr="00741BC7">
        <w:t xml:space="preserve">, R. B. (2002). Evaluating goodness-of-fit indexes for testing measurement invariance. </w:t>
      </w:r>
      <w:r>
        <w:rPr>
          <w:i/>
        </w:rPr>
        <w:t xml:space="preserve">Structural Equation </w:t>
      </w:r>
      <w:proofErr w:type="spellStart"/>
      <w:r>
        <w:rPr>
          <w:i/>
        </w:rPr>
        <w:t>M</w:t>
      </w:r>
      <w:r w:rsidRPr="00741BC7">
        <w:rPr>
          <w:i/>
        </w:rPr>
        <w:t>odeling</w:t>
      </w:r>
      <w:proofErr w:type="spellEnd"/>
      <w:r w:rsidRPr="00741BC7">
        <w:rPr>
          <w:i/>
        </w:rPr>
        <w:t>, 9</w:t>
      </w:r>
      <w:r w:rsidRPr="00741BC7">
        <w:t>(2), 233-255. https://doi.org/10.1207/S15328007SEM0902_5</w:t>
      </w:r>
    </w:p>
    <w:p w14:paraId="61D657C2" w14:textId="1820F280" w:rsidR="009769B7" w:rsidRPr="009769B7" w:rsidRDefault="009769B7" w:rsidP="009769B7">
      <w:pPr>
        <w:spacing w:line="480" w:lineRule="auto"/>
        <w:ind w:left="567" w:hanging="567"/>
      </w:pPr>
      <w:r w:rsidRPr="009769B7">
        <w:rPr>
          <w:color w:val="000000"/>
        </w:rPr>
        <w:t>Cohen, J. (1988)</w:t>
      </w:r>
      <w:r w:rsidRPr="009769B7">
        <w:rPr>
          <w:rStyle w:val="apple-converted-space"/>
          <w:rFonts w:eastAsiaTheme="majorEastAsia"/>
          <w:color w:val="000000"/>
        </w:rPr>
        <w:t> </w:t>
      </w:r>
      <w:r w:rsidRPr="009769B7">
        <w:rPr>
          <w:rStyle w:val="Emphasis"/>
          <w:color w:val="000000"/>
        </w:rPr>
        <w:t xml:space="preserve">Statistical power analysis for the </w:t>
      </w:r>
      <w:proofErr w:type="spellStart"/>
      <w:r w:rsidRPr="009769B7">
        <w:rPr>
          <w:rStyle w:val="Emphasis"/>
          <w:color w:val="000000"/>
        </w:rPr>
        <w:t>behavioral</w:t>
      </w:r>
      <w:proofErr w:type="spellEnd"/>
      <w:r w:rsidRPr="009769B7">
        <w:rPr>
          <w:rStyle w:val="Emphasis"/>
          <w:color w:val="000000"/>
        </w:rPr>
        <w:t xml:space="preserve"> sciences</w:t>
      </w:r>
      <w:r w:rsidRPr="009769B7">
        <w:rPr>
          <w:rStyle w:val="Emphasis"/>
          <w:i w:val="0"/>
          <w:color w:val="000000"/>
        </w:rPr>
        <w:t xml:space="preserve"> (2nd ed.)</w:t>
      </w:r>
      <w:r>
        <w:rPr>
          <w:rStyle w:val="apple-converted-space"/>
          <w:rFonts w:eastAsiaTheme="majorEastAsia"/>
          <w:color w:val="000000"/>
        </w:rPr>
        <w:t xml:space="preserve">. </w:t>
      </w:r>
      <w:r w:rsidRPr="009769B7">
        <w:rPr>
          <w:color w:val="000000"/>
        </w:rPr>
        <w:t>Erlbaum</w:t>
      </w:r>
      <w:r>
        <w:rPr>
          <w:color w:val="000000"/>
        </w:rPr>
        <w:t>.</w:t>
      </w:r>
    </w:p>
    <w:p w14:paraId="44A82B25" w14:textId="43D69ED5" w:rsidR="009769B7" w:rsidRDefault="009769B7" w:rsidP="009769B7">
      <w:pPr>
        <w:spacing w:line="480" w:lineRule="auto"/>
        <w:ind w:left="567" w:hanging="567"/>
        <w:rPr>
          <w:color w:val="000000" w:themeColor="text1"/>
        </w:rPr>
      </w:pPr>
      <w:proofErr w:type="spellStart"/>
      <w:r w:rsidRPr="009769B7">
        <w:rPr>
          <w:color w:val="000000" w:themeColor="text1"/>
        </w:rPr>
        <w:t>Davidov</w:t>
      </w:r>
      <w:proofErr w:type="spellEnd"/>
      <w:r w:rsidRPr="009769B7">
        <w:rPr>
          <w:color w:val="000000" w:themeColor="text1"/>
        </w:rPr>
        <w:t xml:space="preserve">, E., </w:t>
      </w:r>
      <w:proofErr w:type="spellStart"/>
      <w:r w:rsidRPr="009769B7">
        <w:rPr>
          <w:color w:val="000000" w:themeColor="text1"/>
        </w:rPr>
        <w:t>Dülmer</w:t>
      </w:r>
      <w:proofErr w:type="spellEnd"/>
      <w:r>
        <w:rPr>
          <w:color w:val="000000" w:themeColor="text1"/>
        </w:rPr>
        <w:t xml:space="preserve">, H., Schlüter, E., Schmidt, P., &amp; </w:t>
      </w:r>
      <w:proofErr w:type="spellStart"/>
      <w:r>
        <w:rPr>
          <w:color w:val="000000" w:themeColor="text1"/>
        </w:rPr>
        <w:t>Meuleman</w:t>
      </w:r>
      <w:proofErr w:type="spellEnd"/>
      <w:r>
        <w:rPr>
          <w:color w:val="000000" w:themeColor="text1"/>
        </w:rPr>
        <w:t xml:space="preserve">, B. (2012). Using a multilevel structural equation </w:t>
      </w:r>
      <w:proofErr w:type="spellStart"/>
      <w:r>
        <w:rPr>
          <w:color w:val="000000" w:themeColor="text1"/>
        </w:rPr>
        <w:t>modeling</w:t>
      </w:r>
      <w:proofErr w:type="spellEnd"/>
      <w:r>
        <w:rPr>
          <w:color w:val="000000" w:themeColor="text1"/>
        </w:rPr>
        <w:t xml:space="preserve"> approach to explain cross-cultural measurement </w:t>
      </w:r>
      <w:proofErr w:type="spellStart"/>
      <w:r>
        <w:rPr>
          <w:color w:val="000000" w:themeColor="text1"/>
        </w:rPr>
        <w:t>noninvariance</w:t>
      </w:r>
      <w:proofErr w:type="spellEnd"/>
      <w:r>
        <w:rPr>
          <w:color w:val="000000" w:themeColor="text1"/>
        </w:rPr>
        <w:t xml:space="preserve">. </w:t>
      </w:r>
      <w:r>
        <w:rPr>
          <w:i/>
          <w:color w:val="000000" w:themeColor="text1"/>
        </w:rPr>
        <w:t>Journal of Cross-Cultural Psychology</w:t>
      </w:r>
      <w:r>
        <w:rPr>
          <w:color w:val="000000" w:themeColor="text1"/>
        </w:rPr>
        <w:t xml:space="preserve">, </w:t>
      </w:r>
      <w:r>
        <w:rPr>
          <w:i/>
          <w:color w:val="000000" w:themeColor="text1"/>
        </w:rPr>
        <w:t>43</w:t>
      </w:r>
      <w:r>
        <w:rPr>
          <w:color w:val="000000" w:themeColor="text1"/>
        </w:rPr>
        <w:t>(4), 558-575. https://doi.org/10.1177/0022022112438397</w:t>
      </w:r>
    </w:p>
    <w:p w14:paraId="251F8118" w14:textId="5F9FD747" w:rsidR="009769B7" w:rsidRDefault="009769B7" w:rsidP="009769B7">
      <w:pPr>
        <w:spacing w:line="480" w:lineRule="auto"/>
        <w:ind w:left="567" w:hanging="567"/>
        <w:rPr>
          <w:color w:val="000000" w:themeColor="text1"/>
        </w:rPr>
      </w:pPr>
      <w:proofErr w:type="spellStart"/>
      <w:r w:rsidRPr="00B34666">
        <w:t>Davidov</w:t>
      </w:r>
      <w:proofErr w:type="spellEnd"/>
      <w:r w:rsidRPr="00B34666">
        <w:t xml:space="preserve">, E., </w:t>
      </w:r>
      <w:proofErr w:type="spellStart"/>
      <w:r w:rsidRPr="00B34666">
        <w:t>Meuleman</w:t>
      </w:r>
      <w:proofErr w:type="spellEnd"/>
      <w:r w:rsidRPr="00B34666">
        <w:t xml:space="preserve">, B., </w:t>
      </w:r>
      <w:proofErr w:type="spellStart"/>
      <w:r w:rsidRPr="00B34666">
        <w:t>Cieciuch</w:t>
      </w:r>
      <w:proofErr w:type="spellEnd"/>
      <w:r w:rsidRPr="00B34666">
        <w:t xml:space="preserve">, J., Schmidt, P., &amp; </w:t>
      </w:r>
      <w:proofErr w:type="spellStart"/>
      <w:r w:rsidRPr="00B34666">
        <w:t>Billiet</w:t>
      </w:r>
      <w:proofErr w:type="spellEnd"/>
      <w:r w:rsidRPr="00B34666">
        <w:t xml:space="preserve">, J. (2014). Measurement equivalence in cross-national research. </w:t>
      </w:r>
      <w:r w:rsidRPr="00B34666">
        <w:rPr>
          <w:i/>
          <w:iCs/>
        </w:rPr>
        <w:t>Annual Review of Sociology</w:t>
      </w:r>
      <w:r w:rsidRPr="00B34666">
        <w:rPr>
          <w:iCs/>
        </w:rPr>
        <w:t xml:space="preserve">, </w:t>
      </w:r>
      <w:r w:rsidRPr="00B34666">
        <w:rPr>
          <w:i/>
          <w:iCs/>
        </w:rPr>
        <w:t xml:space="preserve">40, </w:t>
      </w:r>
      <w:r>
        <w:t>55-</w:t>
      </w:r>
      <w:r w:rsidRPr="00B34666">
        <w:t>75.</w:t>
      </w:r>
      <w:r>
        <w:t xml:space="preserve"> https://doi.org/</w:t>
      </w:r>
      <w:r w:rsidRPr="00B34666">
        <w:t>10.1146/annurev-soc-071913-043137</w:t>
      </w:r>
    </w:p>
    <w:p w14:paraId="2FF026B5" w14:textId="089A5E47" w:rsidR="006E0A35" w:rsidRPr="00FC1B17" w:rsidRDefault="006E0A35" w:rsidP="006E0A35">
      <w:pPr>
        <w:spacing w:line="480" w:lineRule="auto"/>
        <w:ind w:left="567" w:hanging="567"/>
        <w:rPr>
          <w:color w:val="000000" w:themeColor="text1"/>
        </w:rPr>
      </w:pPr>
      <w:proofErr w:type="spellStart"/>
      <w:r>
        <w:rPr>
          <w:color w:val="000000" w:themeColor="text1"/>
        </w:rPr>
        <w:lastRenderedPageBreak/>
        <w:t>Góngora</w:t>
      </w:r>
      <w:proofErr w:type="spellEnd"/>
      <w:r>
        <w:rPr>
          <w:color w:val="000000" w:themeColor="text1"/>
        </w:rPr>
        <w:t xml:space="preserve">, V. C., </w:t>
      </w:r>
      <w:proofErr w:type="spellStart"/>
      <w:r>
        <w:rPr>
          <w:color w:val="000000" w:themeColor="text1"/>
        </w:rPr>
        <w:t>Licea</w:t>
      </w:r>
      <w:proofErr w:type="spellEnd"/>
      <w:r>
        <w:rPr>
          <w:color w:val="000000" w:themeColor="text1"/>
        </w:rPr>
        <w:t xml:space="preserve">, V. C., Mebarak </w:t>
      </w:r>
      <w:proofErr w:type="spellStart"/>
      <w:r>
        <w:rPr>
          <w:color w:val="000000" w:themeColor="text1"/>
        </w:rPr>
        <w:t>Chams</w:t>
      </w:r>
      <w:proofErr w:type="spellEnd"/>
      <w:r>
        <w:rPr>
          <w:color w:val="000000" w:themeColor="text1"/>
        </w:rPr>
        <w:t xml:space="preserve">, M. R., &amp; </w:t>
      </w:r>
      <w:proofErr w:type="spellStart"/>
      <w:r>
        <w:rPr>
          <w:color w:val="000000" w:themeColor="text1"/>
        </w:rPr>
        <w:t>Thornborrow</w:t>
      </w:r>
      <w:proofErr w:type="spellEnd"/>
      <w:r>
        <w:rPr>
          <w:color w:val="000000" w:themeColor="text1"/>
        </w:rPr>
        <w:t xml:space="preserve">, T. (2020). Assessing the measurement invariance of a Latin-American Spanish translation of the Body Appreciation Scale-2 in Mexican, Argentinean, and Colombian adolescents. </w:t>
      </w:r>
      <w:r>
        <w:rPr>
          <w:i/>
          <w:color w:val="000000" w:themeColor="text1"/>
        </w:rPr>
        <w:t>Body Image</w:t>
      </w:r>
      <w:r>
        <w:rPr>
          <w:color w:val="000000" w:themeColor="text1"/>
        </w:rPr>
        <w:t xml:space="preserve">, </w:t>
      </w:r>
      <w:r>
        <w:rPr>
          <w:i/>
          <w:color w:val="000000" w:themeColor="text1"/>
        </w:rPr>
        <w:t>32</w:t>
      </w:r>
      <w:r>
        <w:rPr>
          <w:color w:val="000000" w:themeColor="text1"/>
        </w:rPr>
        <w:t>, 180-189. https://doi.org/10.1016/j.bodyim.2020.01.004</w:t>
      </w:r>
    </w:p>
    <w:p w14:paraId="2B09C113" w14:textId="77777777" w:rsidR="006E0A35" w:rsidRDefault="006E0A35" w:rsidP="006E0A35">
      <w:pPr>
        <w:spacing w:line="480" w:lineRule="auto"/>
        <w:ind w:left="567" w:hanging="567"/>
      </w:pPr>
      <w:r>
        <w:t xml:space="preserve">He, J., Sun, S., </w:t>
      </w:r>
      <w:proofErr w:type="spellStart"/>
      <w:r>
        <w:t>Zickgraf</w:t>
      </w:r>
      <w:proofErr w:type="spellEnd"/>
      <w:r>
        <w:t xml:space="preserve">, H. F., Lin, Z., &amp; Fan, X. (2020). Meta-analysis of gender differences in body appreciation. </w:t>
      </w:r>
      <w:r>
        <w:rPr>
          <w:i/>
        </w:rPr>
        <w:t>Body Image</w:t>
      </w:r>
      <w:r>
        <w:t xml:space="preserve">, </w:t>
      </w:r>
      <w:r>
        <w:rPr>
          <w:i/>
        </w:rPr>
        <w:t>33</w:t>
      </w:r>
      <w:r>
        <w:t>, 90-100. https://doi.org/10.1016/j.bodyim.2020.02.011</w:t>
      </w:r>
    </w:p>
    <w:p w14:paraId="3040CF25" w14:textId="77777777" w:rsidR="006E0A35" w:rsidRDefault="006E0A35" w:rsidP="006E0A35">
      <w:pPr>
        <w:spacing w:line="480" w:lineRule="auto"/>
        <w:ind w:left="567" w:hanging="567"/>
      </w:pPr>
      <w:r w:rsidRPr="00325DD1">
        <w:t xml:space="preserve">Jung, J., &amp; Hwang, C. S. (2016). Associations between attitudes toward cosmetic surgery, celebrity worship, and body image among South Korean and US female college students. </w:t>
      </w:r>
      <w:r w:rsidRPr="00325DD1">
        <w:rPr>
          <w:i/>
        </w:rPr>
        <w:t>Fashion and Textiles, 3</w:t>
      </w:r>
      <w:r>
        <w:rPr>
          <w:i/>
        </w:rPr>
        <w:t xml:space="preserve">, </w:t>
      </w:r>
      <w:r>
        <w:t xml:space="preserve">17. </w:t>
      </w:r>
      <w:r w:rsidRPr="00741BC7">
        <w:t>https://doi.org/10.1186/s40691-016-0069-6</w:t>
      </w:r>
    </w:p>
    <w:p w14:paraId="41577EBB" w14:textId="77777777" w:rsidR="006E0A35" w:rsidRDefault="006E0A35" w:rsidP="006E0A35">
      <w:pPr>
        <w:spacing w:line="480" w:lineRule="auto"/>
        <w:ind w:left="567" w:hanging="567"/>
      </w:pPr>
      <w:r w:rsidRPr="004D7720">
        <w:t xml:space="preserve">Lemoine, J. E., </w:t>
      </w:r>
      <w:proofErr w:type="spellStart"/>
      <w:r w:rsidRPr="004D7720">
        <w:t>Konradsen</w:t>
      </w:r>
      <w:proofErr w:type="spellEnd"/>
      <w:r w:rsidRPr="004D7720">
        <w:t xml:space="preserve">, H., Lunde Jensen, A., Roland-Lévy, R., Ny, P., Khalaf, A., &amp; Torres, S. (2018). Factor structure and psychometric properties of the Body Appreciation Scale-2 among adolescents and young adults in Danish, Portuguese, and Swedish. </w:t>
      </w:r>
      <w:r w:rsidRPr="004D7720">
        <w:rPr>
          <w:i/>
        </w:rPr>
        <w:t>Body Image</w:t>
      </w:r>
      <w:r w:rsidRPr="004D7720">
        <w:t xml:space="preserve">, </w:t>
      </w:r>
      <w:r w:rsidRPr="004D7720">
        <w:rPr>
          <w:i/>
        </w:rPr>
        <w:t>26</w:t>
      </w:r>
      <w:r w:rsidRPr="004D7720">
        <w:t xml:space="preserve">, 1-9. </w:t>
      </w:r>
      <w:r>
        <w:t>https://doi.org/</w:t>
      </w:r>
      <w:r w:rsidRPr="004D7720">
        <w:t>10.1016/j.bodyim.2018.04.004</w:t>
      </w:r>
    </w:p>
    <w:p w14:paraId="0E8EDE0A" w14:textId="0012EBA2" w:rsidR="005B5E10" w:rsidRPr="005B5E10" w:rsidRDefault="005B5E10" w:rsidP="005B5E10">
      <w:pPr>
        <w:spacing w:line="480" w:lineRule="auto"/>
        <w:ind w:left="567" w:hanging="567"/>
        <w:rPr>
          <w:color w:val="000000" w:themeColor="text1"/>
        </w:rPr>
      </w:pPr>
      <w:r w:rsidRPr="009361B1">
        <w:rPr>
          <w:color w:val="000000" w:themeColor="text1"/>
        </w:rPr>
        <w:t xml:space="preserve">Meade, A. W., Johnson, E. C., &amp; </w:t>
      </w:r>
      <w:proofErr w:type="spellStart"/>
      <w:r w:rsidRPr="009361B1">
        <w:rPr>
          <w:color w:val="000000" w:themeColor="text1"/>
        </w:rPr>
        <w:t>Braddy</w:t>
      </w:r>
      <w:proofErr w:type="spellEnd"/>
      <w:r w:rsidRPr="009361B1">
        <w:rPr>
          <w:color w:val="000000" w:themeColor="text1"/>
        </w:rPr>
        <w:t>, P. W. (2008). Power and sensitivity of alternative fit indices in tests of measurement invariance.</w:t>
      </w:r>
      <w:r w:rsidRPr="009361B1">
        <w:rPr>
          <w:rStyle w:val="apple-converted-space"/>
          <w:color w:val="000000" w:themeColor="text1"/>
        </w:rPr>
        <w:t> </w:t>
      </w:r>
      <w:r w:rsidRPr="009361B1">
        <w:rPr>
          <w:rStyle w:val="source"/>
          <w:i/>
          <w:iCs/>
          <w:color w:val="000000" w:themeColor="text1"/>
        </w:rPr>
        <w:t>Journal of Applied Psychology</w:t>
      </w:r>
      <w:r w:rsidRPr="009361B1">
        <w:rPr>
          <w:rStyle w:val="source"/>
          <w:iCs/>
          <w:color w:val="000000" w:themeColor="text1"/>
        </w:rPr>
        <w:t>,</w:t>
      </w:r>
      <w:r w:rsidRPr="009361B1">
        <w:rPr>
          <w:rStyle w:val="apple-converted-space"/>
          <w:i/>
          <w:iCs/>
          <w:color w:val="000000" w:themeColor="text1"/>
        </w:rPr>
        <w:t> </w:t>
      </w:r>
      <w:r w:rsidRPr="009361B1">
        <w:rPr>
          <w:rStyle w:val="vol"/>
          <w:i/>
          <w:iCs/>
          <w:color w:val="000000" w:themeColor="text1"/>
        </w:rPr>
        <w:t>93</w:t>
      </w:r>
      <w:r>
        <w:rPr>
          <w:rStyle w:val="vol"/>
          <w:iCs/>
          <w:color w:val="000000" w:themeColor="text1"/>
        </w:rPr>
        <w:t>(3)</w:t>
      </w:r>
      <w:r w:rsidRPr="009361B1">
        <w:rPr>
          <w:color w:val="000000" w:themeColor="text1"/>
        </w:rPr>
        <w:t xml:space="preserve">, 568-592. </w:t>
      </w:r>
      <w:r>
        <w:rPr>
          <w:color w:val="000000" w:themeColor="text1"/>
        </w:rPr>
        <w:t>https://doi.org/</w:t>
      </w:r>
      <w:r w:rsidRPr="009361B1">
        <w:rPr>
          <w:color w:val="000000" w:themeColor="text1"/>
        </w:rPr>
        <w:t>10.1037/0021-9010.93.3.568</w:t>
      </w:r>
    </w:p>
    <w:p w14:paraId="54A59FED" w14:textId="7228493F" w:rsidR="006E0A35" w:rsidRDefault="006E0A35" w:rsidP="006E0A35">
      <w:pPr>
        <w:spacing w:line="480" w:lineRule="auto"/>
        <w:ind w:left="567" w:hanging="567"/>
      </w:pPr>
      <w:proofErr w:type="spellStart"/>
      <w:r w:rsidRPr="00741BC7">
        <w:t>Satorra</w:t>
      </w:r>
      <w:proofErr w:type="spellEnd"/>
      <w:r w:rsidRPr="00741BC7">
        <w:t xml:space="preserve">, A., &amp; </w:t>
      </w:r>
      <w:proofErr w:type="spellStart"/>
      <w:r w:rsidRPr="00741BC7">
        <w:t>Bentler</w:t>
      </w:r>
      <w:proofErr w:type="spellEnd"/>
      <w:r w:rsidRPr="00741BC7">
        <w:t xml:space="preserve">, P. M. (2001). A scaled difference chi-square test statistic for moment structure analysis. </w:t>
      </w:r>
      <w:proofErr w:type="spellStart"/>
      <w:r w:rsidRPr="00741BC7">
        <w:rPr>
          <w:i/>
        </w:rPr>
        <w:t>Psychometrika</w:t>
      </w:r>
      <w:proofErr w:type="spellEnd"/>
      <w:r w:rsidRPr="00741BC7">
        <w:rPr>
          <w:i/>
        </w:rPr>
        <w:t>, 66</w:t>
      </w:r>
      <w:r w:rsidRPr="00741BC7">
        <w:t>(4), 507-514.</w:t>
      </w:r>
      <w:r>
        <w:t xml:space="preserve"> </w:t>
      </w:r>
      <w:r w:rsidRPr="00741BC7">
        <w:t>https://doi.org/10.1007/BF02296192</w:t>
      </w:r>
    </w:p>
    <w:p w14:paraId="70F538B0" w14:textId="77777777" w:rsidR="006E0A35" w:rsidRDefault="006E0A35" w:rsidP="006E0A35">
      <w:pPr>
        <w:spacing w:line="480" w:lineRule="auto"/>
        <w:ind w:left="567" w:hanging="567"/>
      </w:pPr>
      <w:r>
        <w:lastRenderedPageBreak/>
        <w:t xml:space="preserve">Swami, V. (2015). Cultural influences on body size ideals: Unpacking the influence of Westernization and modernization. </w:t>
      </w:r>
      <w:r>
        <w:rPr>
          <w:i/>
        </w:rPr>
        <w:t>European Psychologist</w:t>
      </w:r>
      <w:r>
        <w:t xml:space="preserve">, </w:t>
      </w:r>
      <w:r>
        <w:rPr>
          <w:i/>
        </w:rPr>
        <w:t>20</w:t>
      </w:r>
      <w:r>
        <w:t>(1), 44-51. https://doi.org/10.1027/1016-9040/a000150</w:t>
      </w:r>
    </w:p>
    <w:p w14:paraId="4FDDB8BA" w14:textId="77777777" w:rsidR="006E0A35" w:rsidRPr="00FC1B17" w:rsidRDefault="006E0A35" w:rsidP="006E0A35">
      <w:pPr>
        <w:shd w:val="clear" w:color="auto" w:fill="FFFFFF"/>
        <w:spacing w:line="480" w:lineRule="auto"/>
        <w:ind w:left="709" w:right="68" w:hanging="709"/>
        <w:rPr>
          <w:color w:val="000000" w:themeColor="text1"/>
          <w:shd w:val="clear" w:color="auto" w:fill="FFFFFF"/>
        </w:rPr>
      </w:pPr>
      <w:r w:rsidRPr="00741BC7">
        <w:rPr>
          <w:color w:val="000000" w:themeColor="text1"/>
          <w:shd w:val="clear" w:color="auto" w:fill="FFFFFF"/>
        </w:rPr>
        <w:t xml:space="preserve">Swami, V., &amp; Barron, D. (2019). Translation and validation of body image instruments: Challenges, good practice guidelines, and reporting recommendations for test adaptation. </w:t>
      </w:r>
      <w:r w:rsidRPr="00741BC7">
        <w:rPr>
          <w:i/>
          <w:color w:val="000000" w:themeColor="text1"/>
          <w:shd w:val="clear" w:color="auto" w:fill="FFFFFF"/>
        </w:rPr>
        <w:t>Body image, 31</w:t>
      </w:r>
      <w:r w:rsidRPr="00741BC7">
        <w:rPr>
          <w:color w:val="000000" w:themeColor="text1"/>
          <w:shd w:val="clear" w:color="auto" w:fill="FFFFFF"/>
        </w:rPr>
        <w:t>, 204-220.</w:t>
      </w:r>
      <w:r>
        <w:rPr>
          <w:color w:val="000000" w:themeColor="text1"/>
          <w:shd w:val="clear" w:color="auto" w:fill="FFFFFF"/>
        </w:rPr>
        <w:t xml:space="preserve"> </w:t>
      </w:r>
      <w:r w:rsidRPr="00741BC7">
        <w:rPr>
          <w:color w:val="000000" w:themeColor="text1"/>
          <w:shd w:val="clear" w:color="auto" w:fill="FFFFFF"/>
        </w:rPr>
        <w:t>https://doi.org/10.1016/j.bodyim.2018.08.014</w:t>
      </w:r>
    </w:p>
    <w:p w14:paraId="00EC4CE2" w14:textId="77777777" w:rsidR="00127EF7" w:rsidRDefault="006E0A35" w:rsidP="00127EF7">
      <w:pPr>
        <w:shd w:val="clear" w:color="auto" w:fill="FFFFFF"/>
        <w:spacing w:line="480" w:lineRule="auto"/>
        <w:ind w:left="709" w:right="68" w:hanging="709"/>
        <w:rPr>
          <w:color w:val="000000" w:themeColor="text1"/>
          <w:shd w:val="clear" w:color="auto" w:fill="FFFFFF"/>
        </w:rPr>
      </w:pPr>
      <w:r w:rsidRPr="00130674">
        <w:t xml:space="preserve">Swami, V. (2018). Considering </w:t>
      </w:r>
      <w:r>
        <w:t>p</w:t>
      </w:r>
      <w:r w:rsidRPr="00130674">
        <w:t xml:space="preserve">ositive </w:t>
      </w:r>
      <w:r>
        <w:t>b</w:t>
      </w:r>
      <w:r w:rsidRPr="00130674">
        <w:t xml:space="preserve">ody Image </w:t>
      </w:r>
      <w:r>
        <w:t>t</w:t>
      </w:r>
      <w:r w:rsidRPr="00130674">
        <w:t xml:space="preserve">hrough the </w:t>
      </w:r>
      <w:r>
        <w:t>l</w:t>
      </w:r>
      <w:r w:rsidRPr="00130674">
        <w:t xml:space="preserve">ens of </w:t>
      </w:r>
      <w:r>
        <w:t>c</w:t>
      </w:r>
      <w:r w:rsidRPr="00130674">
        <w:t xml:space="preserve">ulture and </w:t>
      </w:r>
      <w:r>
        <w:t>m</w:t>
      </w:r>
      <w:r w:rsidRPr="00130674">
        <w:t xml:space="preserve">inority </w:t>
      </w:r>
      <w:r>
        <w:t>s</w:t>
      </w:r>
      <w:r w:rsidRPr="00130674">
        <w:t xml:space="preserve">ocial </w:t>
      </w:r>
      <w:r>
        <w:t>i</w:t>
      </w:r>
      <w:r w:rsidRPr="00130674">
        <w:t xml:space="preserve">dentities. </w:t>
      </w:r>
      <w:r w:rsidRPr="00130674">
        <w:rPr>
          <w:color w:val="000000" w:themeColor="text1"/>
          <w:shd w:val="clear" w:color="auto" w:fill="FFFFFF"/>
        </w:rPr>
        <w:t xml:space="preserve">In E. A. Daniels, M. M. Gillen, &amp; C. H. Markey (Eds.), </w:t>
      </w:r>
      <w:r w:rsidRPr="00130674">
        <w:rPr>
          <w:i/>
          <w:color w:val="000000" w:themeColor="text1"/>
          <w:shd w:val="clear" w:color="auto" w:fill="FFFFFF"/>
        </w:rPr>
        <w:t>Body positive: Understanding and improving body image in science and practice</w:t>
      </w:r>
      <w:r w:rsidRPr="00130674">
        <w:rPr>
          <w:color w:val="000000" w:themeColor="text1"/>
          <w:shd w:val="clear" w:color="auto" w:fill="FFFFFF"/>
        </w:rPr>
        <w:t xml:space="preserve"> (pp. 59-91). Cambridge University Press. </w:t>
      </w:r>
    </w:p>
    <w:p w14:paraId="7A9385EC" w14:textId="72E78594" w:rsidR="00127EF7" w:rsidRPr="00127EF7" w:rsidRDefault="00127EF7" w:rsidP="00127EF7">
      <w:pPr>
        <w:shd w:val="clear" w:color="auto" w:fill="FFFFFF"/>
        <w:spacing w:line="480" w:lineRule="auto"/>
        <w:ind w:left="709" w:right="68" w:hanging="709"/>
        <w:rPr>
          <w:color w:val="000000" w:themeColor="text1"/>
          <w:shd w:val="clear" w:color="auto" w:fill="FFFFFF"/>
        </w:rPr>
      </w:pPr>
      <w:r w:rsidRPr="00127EF7">
        <w:t>Swami, V., Furnham, A., Horne, G., &amp; Stieger, S. (</w:t>
      </w:r>
      <w:r>
        <w:t>2020</w:t>
      </w:r>
      <w:r w:rsidRPr="00127EF7">
        <w:t xml:space="preserve">). </w:t>
      </w:r>
      <w:r w:rsidRPr="00127EF7">
        <w:rPr>
          <w:i/>
        </w:rPr>
        <w:t>Taking it apart and putting it back together again: Using Item Pool Visualisation to examine construct/item commonality and distinguishability of positive body image</w:t>
      </w:r>
      <w:r w:rsidRPr="00127EF7">
        <w:t xml:space="preserve">. </w:t>
      </w:r>
      <w:r>
        <w:t>Manuscript submitted for publication.</w:t>
      </w:r>
    </w:p>
    <w:p w14:paraId="3225DC80" w14:textId="77777777" w:rsidR="006E0A35" w:rsidRDefault="006E0A35" w:rsidP="006E0A35">
      <w:pPr>
        <w:shd w:val="clear" w:color="auto" w:fill="FFFFFF"/>
        <w:spacing w:line="480" w:lineRule="auto"/>
        <w:ind w:left="709" w:right="68" w:hanging="709"/>
        <w:rPr>
          <w:color w:val="000000" w:themeColor="text1"/>
          <w:shd w:val="clear" w:color="auto" w:fill="FFFFFF"/>
        </w:rPr>
      </w:pPr>
      <w:r w:rsidRPr="00127EF7">
        <w:rPr>
          <w:color w:val="000000" w:themeColor="text1"/>
          <w:shd w:val="clear" w:color="auto" w:fill="FFFFFF"/>
        </w:rPr>
        <w:t xml:space="preserve">Swami, V., </w:t>
      </w:r>
      <w:proofErr w:type="spellStart"/>
      <w:r w:rsidRPr="00127EF7">
        <w:rPr>
          <w:color w:val="000000" w:themeColor="text1"/>
          <w:shd w:val="clear" w:color="auto" w:fill="FFFFFF"/>
        </w:rPr>
        <w:t>Mohd</w:t>
      </w:r>
      <w:proofErr w:type="spellEnd"/>
      <w:r w:rsidRPr="00127EF7">
        <w:rPr>
          <w:color w:val="000000" w:themeColor="text1"/>
          <w:shd w:val="clear" w:color="auto" w:fill="FFFFFF"/>
        </w:rPr>
        <w:t xml:space="preserve">. Khatib, N. A., </w:t>
      </w:r>
      <w:proofErr w:type="spellStart"/>
      <w:r w:rsidRPr="00127EF7">
        <w:rPr>
          <w:color w:val="000000" w:themeColor="text1"/>
          <w:shd w:val="clear" w:color="auto" w:fill="FFFFFF"/>
        </w:rPr>
        <w:t>Toh</w:t>
      </w:r>
      <w:proofErr w:type="spellEnd"/>
      <w:r w:rsidRPr="00127EF7">
        <w:rPr>
          <w:color w:val="000000" w:themeColor="text1"/>
          <w:shd w:val="clear" w:color="auto" w:fill="FFFFFF"/>
        </w:rPr>
        <w:t xml:space="preserve">, E., </w:t>
      </w:r>
      <w:proofErr w:type="spellStart"/>
      <w:r w:rsidRPr="00127EF7">
        <w:rPr>
          <w:color w:val="000000" w:themeColor="text1"/>
          <w:shd w:val="clear" w:color="auto" w:fill="FFFFFF"/>
        </w:rPr>
        <w:t>Zahari</w:t>
      </w:r>
      <w:proofErr w:type="spellEnd"/>
      <w:r w:rsidRPr="00127EF7">
        <w:rPr>
          <w:color w:val="000000" w:themeColor="text1"/>
          <w:shd w:val="clear" w:color="auto" w:fill="FFFFFF"/>
        </w:rPr>
        <w:t>, H. S., Todd, J., &amp; Barron, D. (2019). Fa</w:t>
      </w:r>
      <w:r w:rsidRPr="0095212E">
        <w:rPr>
          <w:color w:val="000000" w:themeColor="text1"/>
          <w:shd w:val="clear" w:color="auto" w:fill="FFFFFF"/>
        </w:rPr>
        <w:t>ctor structure and psychometric properties of a Bahasa Malaysia (Malay) translation of the Body Appr</w:t>
      </w:r>
      <w:r>
        <w:rPr>
          <w:color w:val="000000" w:themeColor="text1"/>
          <w:shd w:val="clear" w:color="auto" w:fill="FFFFFF"/>
        </w:rPr>
        <w:t xml:space="preserve">eciation Scale-2 (BAS-2). </w:t>
      </w:r>
      <w:r w:rsidRPr="0095212E">
        <w:rPr>
          <w:i/>
          <w:color w:val="000000" w:themeColor="text1"/>
          <w:shd w:val="clear" w:color="auto" w:fill="FFFFFF"/>
        </w:rPr>
        <w:t>Body Image, 28</w:t>
      </w:r>
      <w:r w:rsidRPr="0095212E">
        <w:rPr>
          <w:color w:val="000000" w:themeColor="text1"/>
          <w:shd w:val="clear" w:color="auto" w:fill="FFFFFF"/>
        </w:rPr>
        <w:t>, 66-75.</w:t>
      </w:r>
      <w:r w:rsidRPr="0095212E">
        <w:t xml:space="preserve"> </w:t>
      </w:r>
      <w:r w:rsidRPr="0095212E">
        <w:rPr>
          <w:color w:val="000000" w:themeColor="text1"/>
          <w:shd w:val="clear" w:color="auto" w:fill="FFFFFF"/>
        </w:rPr>
        <w:t>https://doi.org/10.1016/j.bodyim.2018.12.006</w:t>
      </w:r>
    </w:p>
    <w:p w14:paraId="7188DCBC" w14:textId="77777777" w:rsidR="006E0A35" w:rsidRDefault="006E0A35" w:rsidP="006E0A35">
      <w:pPr>
        <w:shd w:val="clear" w:color="auto" w:fill="FFFFFF"/>
        <w:spacing w:line="480" w:lineRule="auto"/>
        <w:ind w:left="709" w:right="68" w:hanging="709"/>
        <w:rPr>
          <w:color w:val="000000" w:themeColor="text1"/>
          <w:shd w:val="clear" w:color="auto" w:fill="FFFFFF"/>
        </w:rPr>
      </w:pPr>
      <w:r>
        <w:rPr>
          <w:color w:val="000000" w:themeColor="text1"/>
          <w:shd w:val="clear" w:color="auto" w:fill="FFFFFF"/>
        </w:rPr>
        <w:t xml:space="preserve">Swami, V., &amp; Ng, S.-K. (2015). </w:t>
      </w:r>
      <w:r w:rsidRPr="0095212E">
        <w:rPr>
          <w:color w:val="000000" w:themeColor="text1"/>
          <w:shd w:val="clear" w:color="auto" w:fill="FFFFFF"/>
        </w:rPr>
        <w:t>Factor structure and psychometric properties of the Body Appreciation Scale-2 in university students in Hong Kong</w:t>
      </w:r>
      <w:r>
        <w:rPr>
          <w:color w:val="000000" w:themeColor="text1"/>
          <w:shd w:val="clear" w:color="auto" w:fill="FFFFFF"/>
        </w:rPr>
        <w:t xml:space="preserve">. </w:t>
      </w:r>
      <w:r>
        <w:rPr>
          <w:i/>
          <w:color w:val="000000" w:themeColor="text1"/>
          <w:shd w:val="clear" w:color="auto" w:fill="FFFFFF"/>
        </w:rPr>
        <w:t xml:space="preserve">Body Image, 15, </w:t>
      </w:r>
      <w:r>
        <w:rPr>
          <w:color w:val="000000" w:themeColor="text1"/>
          <w:shd w:val="clear" w:color="auto" w:fill="FFFFFF"/>
        </w:rPr>
        <w:t xml:space="preserve">68-71. </w:t>
      </w:r>
      <w:r w:rsidRPr="0095212E">
        <w:rPr>
          <w:color w:val="000000" w:themeColor="text1"/>
          <w:shd w:val="clear" w:color="auto" w:fill="FFFFFF"/>
        </w:rPr>
        <w:t>https://doi.org/10.1016/j.bodyim.2015.06.004</w:t>
      </w:r>
    </w:p>
    <w:p w14:paraId="2A890804" w14:textId="77777777" w:rsidR="006E0A35" w:rsidRDefault="006E0A35" w:rsidP="006E0A35">
      <w:pPr>
        <w:shd w:val="clear" w:color="auto" w:fill="FFFFFF"/>
        <w:spacing w:line="480" w:lineRule="auto"/>
        <w:ind w:left="709" w:right="68" w:hanging="709"/>
        <w:rPr>
          <w:color w:val="000000" w:themeColor="text1"/>
          <w:shd w:val="clear" w:color="auto" w:fill="FFFFFF"/>
        </w:rPr>
      </w:pPr>
      <w:r>
        <w:rPr>
          <w:color w:val="000000" w:themeColor="text1"/>
          <w:shd w:val="clear" w:color="auto" w:fill="FFFFFF"/>
        </w:rPr>
        <w:t xml:space="preserve">Swami, V., Ng, S.-K., &amp; Barron, D. (2016). </w:t>
      </w:r>
      <w:r w:rsidRPr="0095212E">
        <w:rPr>
          <w:color w:val="000000" w:themeColor="text1"/>
          <w:shd w:val="clear" w:color="auto" w:fill="FFFFFF"/>
        </w:rPr>
        <w:t>Translation and psychometric evaluation of a Standard Chinese version of the Body Appreciation Scale-2</w:t>
      </w:r>
      <w:r>
        <w:rPr>
          <w:color w:val="000000" w:themeColor="text1"/>
          <w:shd w:val="clear" w:color="auto" w:fill="FFFFFF"/>
        </w:rPr>
        <w:t xml:space="preserve">. </w:t>
      </w:r>
      <w:r>
        <w:rPr>
          <w:i/>
          <w:color w:val="000000" w:themeColor="text1"/>
          <w:shd w:val="clear" w:color="auto" w:fill="FFFFFF"/>
        </w:rPr>
        <w:t xml:space="preserve">Body Image, 18, </w:t>
      </w:r>
      <w:r>
        <w:rPr>
          <w:color w:val="000000" w:themeColor="text1"/>
          <w:shd w:val="clear" w:color="auto" w:fill="FFFFFF"/>
        </w:rPr>
        <w:t xml:space="preserve">23-26. </w:t>
      </w:r>
      <w:r w:rsidRPr="0095212E">
        <w:rPr>
          <w:color w:val="000000" w:themeColor="text1"/>
          <w:shd w:val="clear" w:color="auto" w:fill="FFFFFF"/>
        </w:rPr>
        <w:t>https://doi.org/10.1016/j.bodyim.2016.04.005</w:t>
      </w:r>
    </w:p>
    <w:p w14:paraId="660554B2" w14:textId="77777777" w:rsidR="006E0A35" w:rsidRDefault="006E0A35" w:rsidP="006E0A35">
      <w:pPr>
        <w:shd w:val="clear" w:color="auto" w:fill="FFFFFF"/>
        <w:spacing w:line="480" w:lineRule="auto"/>
        <w:ind w:left="709" w:right="68" w:hanging="709"/>
        <w:rPr>
          <w:color w:val="000000"/>
        </w:rPr>
      </w:pPr>
      <w:r w:rsidRPr="00130674">
        <w:rPr>
          <w:color w:val="000000"/>
        </w:rPr>
        <w:lastRenderedPageBreak/>
        <w:t xml:space="preserve">Swami, V., Todd, J., </w:t>
      </w:r>
      <w:proofErr w:type="spellStart"/>
      <w:r w:rsidRPr="00130674">
        <w:rPr>
          <w:color w:val="000000"/>
        </w:rPr>
        <w:t>Aspell</w:t>
      </w:r>
      <w:proofErr w:type="spellEnd"/>
      <w:r w:rsidRPr="00130674">
        <w:rPr>
          <w:color w:val="000000"/>
        </w:rPr>
        <w:t xml:space="preserve">, J. E., </w:t>
      </w:r>
      <w:proofErr w:type="spellStart"/>
      <w:r w:rsidRPr="00130674">
        <w:rPr>
          <w:color w:val="000000"/>
        </w:rPr>
        <w:t>Mohd</w:t>
      </w:r>
      <w:proofErr w:type="spellEnd"/>
      <w:r w:rsidRPr="00130674">
        <w:rPr>
          <w:color w:val="000000"/>
        </w:rPr>
        <w:t xml:space="preserve">. Khatib, N. A., </w:t>
      </w:r>
      <w:proofErr w:type="spellStart"/>
      <w:r w:rsidRPr="00130674">
        <w:rPr>
          <w:color w:val="000000"/>
        </w:rPr>
        <w:t>Toh</w:t>
      </w:r>
      <w:proofErr w:type="spellEnd"/>
      <w:r w:rsidRPr="00130674">
        <w:rPr>
          <w:color w:val="000000"/>
        </w:rPr>
        <w:t xml:space="preserve">, E., </w:t>
      </w:r>
      <w:proofErr w:type="spellStart"/>
      <w:r w:rsidRPr="00130674">
        <w:rPr>
          <w:color w:val="000000"/>
        </w:rPr>
        <w:t>Zahari</w:t>
      </w:r>
      <w:proofErr w:type="spellEnd"/>
      <w:r w:rsidRPr="00130674">
        <w:rPr>
          <w:color w:val="000000"/>
        </w:rPr>
        <w:t xml:space="preserve">, H. S., &amp; Barron, D. (2019). Translation and </w:t>
      </w:r>
      <w:r>
        <w:rPr>
          <w:color w:val="000000"/>
        </w:rPr>
        <w:t>v</w:t>
      </w:r>
      <w:r w:rsidRPr="00130674">
        <w:rPr>
          <w:color w:val="000000"/>
        </w:rPr>
        <w:t xml:space="preserve">alidation of a Bahasa Malaysia (Malay) </w:t>
      </w:r>
      <w:r>
        <w:rPr>
          <w:color w:val="000000"/>
        </w:rPr>
        <w:t>v</w:t>
      </w:r>
      <w:r w:rsidRPr="00130674">
        <w:rPr>
          <w:color w:val="000000"/>
        </w:rPr>
        <w:t xml:space="preserve">ersion of the Functionality Appreciation Scale. </w:t>
      </w:r>
      <w:r w:rsidRPr="00130674">
        <w:rPr>
          <w:i/>
          <w:iCs/>
          <w:color w:val="000000"/>
        </w:rPr>
        <w:t xml:space="preserve">Body Image, 30, </w:t>
      </w:r>
      <w:r w:rsidRPr="00130674">
        <w:rPr>
          <w:color w:val="000000"/>
        </w:rPr>
        <w:t xml:space="preserve">114-120. </w:t>
      </w:r>
      <w:r w:rsidRPr="00325DD1">
        <w:rPr>
          <w:color w:val="000000"/>
        </w:rPr>
        <w:t>https://doi.org/10.1016/j.bodyim.2019.06.001</w:t>
      </w:r>
    </w:p>
    <w:p w14:paraId="758F294C" w14:textId="77777777" w:rsidR="006E0A35" w:rsidRPr="00FC1B17" w:rsidRDefault="006E0A35" w:rsidP="006E0A35">
      <w:pPr>
        <w:shd w:val="clear" w:color="auto" w:fill="FFFFFF"/>
        <w:spacing w:line="480" w:lineRule="auto"/>
        <w:ind w:left="709" w:right="68" w:hanging="709"/>
        <w:rPr>
          <w:color w:val="000000" w:themeColor="text1"/>
          <w:shd w:val="clear" w:color="auto" w:fill="FFFFFF"/>
        </w:rPr>
      </w:pPr>
      <w:r w:rsidRPr="00130674">
        <w:rPr>
          <w:color w:val="000000" w:themeColor="text1"/>
          <w:shd w:val="clear" w:color="auto" w:fill="FFFFFF"/>
        </w:rPr>
        <w:t xml:space="preserve">Todd, J., </w:t>
      </w:r>
      <w:proofErr w:type="spellStart"/>
      <w:r w:rsidRPr="00130674">
        <w:rPr>
          <w:color w:val="000000" w:themeColor="text1"/>
          <w:shd w:val="clear" w:color="auto" w:fill="FFFFFF"/>
        </w:rPr>
        <w:t>Aspell</w:t>
      </w:r>
      <w:proofErr w:type="spellEnd"/>
      <w:r w:rsidRPr="00130674">
        <w:rPr>
          <w:color w:val="000000" w:themeColor="text1"/>
          <w:shd w:val="clear" w:color="auto" w:fill="FFFFFF"/>
        </w:rPr>
        <w:t>, J. E.</w:t>
      </w:r>
      <w:r>
        <w:rPr>
          <w:color w:val="000000" w:themeColor="text1"/>
          <w:shd w:val="clear" w:color="auto" w:fill="FFFFFF"/>
        </w:rPr>
        <w:t>, Barron, D., &amp; Swami, V. (2019</w:t>
      </w:r>
      <w:r w:rsidRPr="00130674">
        <w:rPr>
          <w:color w:val="000000" w:themeColor="text1"/>
          <w:shd w:val="clear" w:color="auto" w:fill="FFFFFF"/>
        </w:rPr>
        <w:t xml:space="preserve">). Multiple dimensions of interoceptive awareness are associated with facets of body image in British adults. </w:t>
      </w:r>
      <w:r w:rsidRPr="00130674">
        <w:rPr>
          <w:i/>
          <w:color w:val="000000" w:themeColor="text1"/>
          <w:shd w:val="clear" w:color="auto" w:fill="FFFFFF"/>
        </w:rPr>
        <w:t>Body Image, 29,</w:t>
      </w:r>
      <w:r w:rsidRPr="00130674">
        <w:rPr>
          <w:color w:val="000000" w:themeColor="text1"/>
          <w:shd w:val="clear" w:color="auto" w:fill="FFFFFF"/>
        </w:rPr>
        <w:t xml:space="preserve"> 6-16. </w:t>
      </w:r>
      <w:r w:rsidRPr="00ED52D0">
        <w:rPr>
          <w:color w:val="000000" w:themeColor="text1"/>
          <w:shd w:val="clear" w:color="auto" w:fill="FFFFFF"/>
        </w:rPr>
        <w:t>https://doi.org/10.1016/j.bodyim.2019.02.003</w:t>
      </w:r>
    </w:p>
    <w:p w14:paraId="10303363" w14:textId="77777777" w:rsidR="006E0A35" w:rsidRDefault="006E0A35" w:rsidP="006E0A35">
      <w:pPr>
        <w:shd w:val="clear" w:color="auto" w:fill="FFFFFF"/>
        <w:spacing w:line="480" w:lineRule="auto"/>
        <w:ind w:left="709" w:right="68" w:hanging="709"/>
        <w:rPr>
          <w:color w:val="000000" w:themeColor="text1"/>
          <w:shd w:val="clear" w:color="auto" w:fill="FFFFFF"/>
        </w:rPr>
      </w:pPr>
      <w:r w:rsidRPr="00130674">
        <w:rPr>
          <w:color w:val="000000" w:themeColor="text1"/>
          <w:shd w:val="clear" w:color="auto" w:fill="FFFFFF"/>
        </w:rPr>
        <w:t xml:space="preserve">Tylka, T. L. (2018). Overview of the field of positive body image. In E. A. Daniels, M. M. Gillen, &amp; C. H. Markey (Eds.), </w:t>
      </w:r>
      <w:r w:rsidRPr="00130674">
        <w:rPr>
          <w:i/>
          <w:color w:val="000000" w:themeColor="text1"/>
          <w:shd w:val="clear" w:color="auto" w:fill="FFFFFF"/>
        </w:rPr>
        <w:t>Body positive: Understanding and improving body image in science and practice</w:t>
      </w:r>
      <w:r w:rsidRPr="00130674">
        <w:rPr>
          <w:color w:val="000000" w:themeColor="text1"/>
          <w:shd w:val="clear" w:color="auto" w:fill="FFFFFF"/>
        </w:rPr>
        <w:t xml:space="preserve"> (pp. 6-33). Cambridge University Press. </w:t>
      </w:r>
    </w:p>
    <w:p w14:paraId="24300A4C" w14:textId="77777777" w:rsidR="006E0A35" w:rsidRPr="00FC1B17" w:rsidRDefault="006E0A35" w:rsidP="006E0A35">
      <w:pPr>
        <w:spacing w:line="480" w:lineRule="auto"/>
        <w:ind w:left="567" w:hanging="567"/>
        <w:rPr>
          <w:color w:val="222222"/>
          <w:shd w:val="clear" w:color="auto" w:fill="FFFFFF"/>
        </w:rPr>
      </w:pPr>
      <w:r w:rsidRPr="00302D62">
        <w:rPr>
          <w:color w:val="222222"/>
          <w:shd w:val="clear" w:color="auto" w:fill="FFFFFF"/>
        </w:rPr>
        <w:t>Tylka, T. L., &amp; Wood-Barcalow, N. L. (2015)</w:t>
      </w:r>
      <w:r>
        <w:rPr>
          <w:color w:val="222222"/>
          <w:shd w:val="clear" w:color="auto" w:fill="FFFFFF"/>
        </w:rPr>
        <w:t>.</w:t>
      </w:r>
      <w:r w:rsidRPr="00302D62">
        <w:rPr>
          <w:color w:val="222222"/>
          <w:shd w:val="clear" w:color="auto" w:fill="FFFFFF"/>
        </w:rPr>
        <w:t xml:space="preserve"> The Body Appreciation Scale-2: Item refinement and psychometric evaluation. </w:t>
      </w:r>
      <w:r w:rsidRPr="00302D62">
        <w:rPr>
          <w:i/>
          <w:iCs/>
          <w:color w:val="222222"/>
          <w:shd w:val="clear" w:color="auto" w:fill="FFFFFF"/>
        </w:rPr>
        <w:t>Body Image</w:t>
      </w:r>
      <w:r w:rsidRPr="00FC1B17">
        <w:rPr>
          <w:iCs/>
          <w:color w:val="222222"/>
          <w:shd w:val="clear" w:color="auto" w:fill="FFFFFF"/>
        </w:rPr>
        <w:t>,</w:t>
      </w:r>
      <w:r w:rsidRPr="00302D62">
        <w:rPr>
          <w:i/>
          <w:iCs/>
          <w:color w:val="222222"/>
          <w:shd w:val="clear" w:color="auto" w:fill="FFFFFF"/>
        </w:rPr>
        <w:t xml:space="preserve"> 12</w:t>
      </w:r>
      <w:r w:rsidRPr="00302D62">
        <w:rPr>
          <w:color w:val="222222"/>
          <w:shd w:val="clear" w:color="auto" w:fill="FFFFFF"/>
        </w:rPr>
        <w:t xml:space="preserve">, 53-67. </w:t>
      </w:r>
      <w:r w:rsidRPr="00A72F96">
        <w:rPr>
          <w:color w:val="222222"/>
          <w:shd w:val="clear" w:color="auto" w:fill="FFFFFF"/>
        </w:rPr>
        <w:t>https://10.1016/j.bodyim.2014.09.006</w:t>
      </w:r>
    </w:p>
    <w:p w14:paraId="6207DB53" w14:textId="77777777" w:rsidR="006E0A35" w:rsidRDefault="006E0A35" w:rsidP="006E0A35">
      <w:pPr>
        <w:spacing w:line="480" w:lineRule="auto"/>
        <w:ind w:left="567" w:hanging="567"/>
        <w:rPr>
          <w:color w:val="222222"/>
          <w:shd w:val="clear" w:color="auto" w:fill="FFFFFF"/>
        </w:rPr>
      </w:pPr>
      <w:r w:rsidRPr="00A72F96">
        <w:rPr>
          <w:color w:val="222222"/>
          <w:shd w:val="clear" w:color="auto" w:fill="FFFFFF"/>
        </w:rPr>
        <w:t xml:space="preserve">Webb, J. B., Wood-Barcalow, N. L., &amp; Tylka, T. L. (2015). Assessing positive body image: Contemporary approaches and future directions. </w:t>
      </w:r>
      <w:r>
        <w:rPr>
          <w:i/>
          <w:color w:val="222222"/>
          <w:shd w:val="clear" w:color="auto" w:fill="FFFFFF"/>
        </w:rPr>
        <w:t>Body I</w:t>
      </w:r>
      <w:r w:rsidRPr="00A72F96">
        <w:rPr>
          <w:i/>
          <w:color w:val="222222"/>
          <w:shd w:val="clear" w:color="auto" w:fill="FFFFFF"/>
        </w:rPr>
        <w:t>mage</w:t>
      </w:r>
      <w:r w:rsidRPr="00FC1B17">
        <w:rPr>
          <w:color w:val="222222"/>
          <w:shd w:val="clear" w:color="auto" w:fill="FFFFFF"/>
        </w:rPr>
        <w:t>,</w:t>
      </w:r>
      <w:r w:rsidRPr="00A72F96">
        <w:rPr>
          <w:i/>
          <w:color w:val="222222"/>
          <w:shd w:val="clear" w:color="auto" w:fill="FFFFFF"/>
        </w:rPr>
        <w:t xml:space="preserve"> 14</w:t>
      </w:r>
      <w:r w:rsidRPr="00A72F96">
        <w:rPr>
          <w:color w:val="222222"/>
          <w:shd w:val="clear" w:color="auto" w:fill="FFFFFF"/>
        </w:rPr>
        <w:t>, 130-145.</w:t>
      </w:r>
      <w:r>
        <w:rPr>
          <w:color w:val="222222"/>
          <w:shd w:val="clear" w:color="auto" w:fill="FFFFFF"/>
        </w:rPr>
        <w:t xml:space="preserve"> </w:t>
      </w:r>
      <w:r w:rsidRPr="00A72F96">
        <w:rPr>
          <w:color w:val="222222"/>
          <w:shd w:val="clear" w:color="auto" w:fill="FFFFFF"/>
        </w:rPr>
        <w:t>https://doi.org/10.1016/j.bodyim.2015.03.010</w:t>
      </w:r>
    </w:p>
    <w:p w14:paraId="324423A3" w14:textId="77777777" w:rsidR="00A72F96" w:rsidRPr="00E338BF" w:rsidRDefault="00A72F96" w:rsidP="00A72F96">
      <w:pPr>
        <w:spacing w:line="480" w:lineRule="auto"/>
        <w:rPr>
          <w:color w:val="000000" w:themeColor="text1"/>
        </w:rPr>
        <w:sectPr w:rsidR="00A72F96" w:rsidRPr="00E338BF" w:rsidSect="0032324C">
          <w:headerReference w:type="even" r:id="rId8"/>
          <w:headerReference w:type="default" r:id="rId9"/>
          <w:pgSz w:w="11906" w:h="16838"/>
          <w:pgMar w:top="1440" w:right="1797" w:bottom="1440" w:left="1797" w:header="709" w:footer="709" w:gutter="0"/>
          <w:cols w:space="708"/>
          <w:titlePg/>
          <w:docGrid w:linePitch="360"/>
        </w:sectPr>
      </w:pPr>
    </w:p>
    <w:p w14:paraId="11DA71B5" w14:textId="77777777" w:rsidR="00796EBD" w:rsidRDefault="00CB3883" w:rsidP="00796EBD">
      <w:pPr>
        <w:spacing w:line="480" w:lineRule="auto"/>
      </w:pPr>
      <w:r>
        <w:lastRenderedPageBreak/>
        <w:t xml:space="preserve">Table 1. </w:t>
      </w:r>
    </w:p>
    <w:p w14:paraId="1F6D3FDF" w14:textId="63FA3BF1" w:rsidR="00DA5F96" w:rsidRDefault="002E6EBA" w:rsidP="00796EBD">
      <w:pPr>
        <w:spacing w:line="480" w:lineRule="auto"/>
        <w:rPr>
          <w:i/>
        </w:rPr>
      </w:pPr>
      <w:r w:rsidRPr="002E6EBA">
        <w:rPr>
          <w:i/>
        </w:rPr>
        <w:t>Measurement Invariance Across National group for the Body Appreciation Scale-2 and the Functionality Appreciation Scale</w:t>
      </w:r>
    </w:p>
    <w:tbl>
      <w:tblPr>
        <w:tblStyle w:val="TableGrid"/>
        <w:tblpPr w:leftFromText="180" w:rightFromText="180" w:vertAnchor="text" w:horzAnchor="margin" w:tblpY="141"/>
        <w:tblW w:w="47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277"/>
        <w:gridCol w:w="895"/>
        <w:gridCol w:w="474"/>
        <w:gridCol w:w="916"/>
        <w:gridCol w:w="1159"/>
        <w:gridCol w:w="906"/>
        <w:gridCol w:w="1575"/>
        <w:gridCol w:w="932"/>
        <w:gridCol w:w="577"/>
        <w:gridCol w:w="1074"/>
        <w:gridCol w:w="1261"/>
        <w:gridCol w:w="1056"/>
      </w:tblGrid>
      <w:tr w:rsidR="00796EBD" w:rsidRPr="005F79B8" w14:paraId="68633A4D" w14:textId="77777777" w:rsidTr="00796EBD">
        <w:tc>
          <w:tcPr>
            <w:tcW w:w="404" w:type="pct"/>
            <w:tcBorders>
              <w:top w:val="single" w:sz="4" w:space="0" w:color="auto"/>
              <w:bottom w:val="single" w:sz="4" w:space="0" w:color="auto"/>
            </w:tcBorders>
          </w:tcPr>
          <w:p w14:paraId="44AAE35B" w14:textId="77777777" w:rsidR="00796EBD" w:rsidRPr="00DA5F96" w:rsidRDefault="00796EBD" w:rsidP="00796EBD">
            <w:pPr>
              <w:spacing w:line="276" w:lineRule="auto"/>
              <w:rPr>
                <w:sz w:val="22"/>
              </w:rPr>
            </w:pPr>
            <w:r w:rsidRPr="00DA5F96">
              <w:rPr>
                <w:sz w:val="22"/>
              </w:rPr>
              <w:t>Measure</w:t>
            </w:r>
          </w:p>
        </w:tc>
        <w:tc>
          <w:tcPr>
            <w:tcW w:w="485" w:type="pct"/>
            <w:tcBorders>
              <w:top w:val="single" w:sz="4" w:space="0" w:color="auto"/>
              <w:bottom w:val="single" w:sz="4" w:space="0" w:color="auto"/>
            </w:tcBorders>
          </w:tcPr>
          <w:p w14:paraId="6AE104C1" w14:textId="77777777" w:rsidR="00796EBD" w:rsidRPr="00DA5F96" w:rsidRDefault="00796EBD" w:rsidP="00796EBD">
            <w:pPr>
              <w:spacing w:line="276" w:lineRule="auto"/>
              <w:rPr>
                <w:sz w:val="22"/>
              </w:rPr>
            </w:pPr>
            <w:r w:rsidRPr="00DA5F96">
              <w:rPr>
                <w:sz w:val="22"/>
              </w:rPr>
              <w:t>Model</w:t>
            </w:r>
          </w:p>
        </w:tc>
        <w:tc>
          <w:tcPr>
            <w:tcW w:w="340" w:type="pct"/>
            <w:tcBorders>
              <w:top w:val="single" w:sz="4" w:space="0" w:color="auto"/>
              <w:bottom w:val="single" w:sz="4" w:space="0" w:color="auto"/>
            </w:tcBorders>
          </w:tcPr>
          <w:p w14:paraId="55805321" w14:textId="77777777" w:rsidR="00796EBD" w:rsidRPr="00DA5F96" w:rsidRDefault="00796EBD" w:rsidP="00796EBD">
            <w:pPr>
              <w:spacing w:line="276" w:lineRule="auto"/>
              <w:rPr>
                <w:sz w:val="22"/>
              </w:rPr>
            </w:pPr>
            <w:r w:rsidRPr="00DA5F96">
              <w:rPr>
                <w:bCs/>
                <w:iCs/>
                <w:color w:val="000000" w:themeColor="text1"/>
                <w:sz w:val="22"/>
                <w:shd w:val="clear" w:color="auto" w:fill="FFFFFF"/>
              </w:rPr>
              <w:t>SB</w:t>
            </w:r>
            <w:r w:rsidRPr="00595628">
              <w:rPr>
                <w:bCs/>
                <w:i/>
                <w:iCs/>
                <w:color w:val="000000" w:themeColor="text1"/>
                <w:sz w:val="22"/>
                <w:shd w:val="clear" w:color="auto" w:fill="FFFFFF"/>
              </w:rPr>
              <w:t>χ</w:t>
            </w:r>
            <w:r w:rsidRPr="00DA5F96">
              <w:rPr>
                <w:bCs/>
                <w:color w:val="000000" w:themeColor="text1"/>
                <w:sz w:val="22"/>
                <w:shd w:val="clear" w:color="auto" w:fill="FFFFFF"/>
              </w:rPr>
              <w:t>²</w:t>
            </w:r>
          </w:p>
        </w:tc>
        <w:tc>
          <w:tcPr>
            <w:tcW w:w="180" w:type="pct"/>
            <w:tcBorders>
              <w:top w:val="single" w:sz="4" w:space="0" w:color="auto"/>
              <w:bottom w:val="single" w:sz="4" w:space="0" w:color="auto"/>
            </w:tcBorders>
          </w:tcPr>
          <w:p w14:paraId="3701EBEF" w14:textId="77777777" w:rsidR="00796EBD" w:rsidRPr="00DA5F96" w:rsidRDefault="00796EBD" w:rsidP="00796EBD">
            <w:pPr>
              <w:spacing w:line="276" w:lineRule="auto"/>
              <w:rPr>
                <w:i/>
                <w:sz w:val="22"/>
              </w:rPr>
            </w:pPr>
            <w:r w:rsidRPr="00DA5F96">
              <w:rPr>
                <w:i/>
                <w:sz w:val="22"/>
              </w:rPr>
              <w:t>df</w:t>
            </w:r>
          </w:p>
        </w:tc>
        <w:tc>
          <w:tcPr>
            <w:tcW w:w="348" w:type="pct"/>
            <w:tcBorders>
              <w:top w:val="single" w:sz="4" w:space="0" w:color="auto"/>
              <w:bottom w:val="single" w:sz="4" w:space="0" w:color="auto"/>
            </w:tcBorders>
          </w:tcPr>
          <w:p w14:paraId="5FC50C95" w14:textId="77777777" w:rsidR="00796EBD" w:rsidRPr="00DA5F96" w:rsidRDefault="00796EBD" w:rsidP="00796EBD">
            <w:pPr>
              <w:spacing w:line="276" w:lineRule="auto"/>
              <w:rPr>
                <w:sz w:val="22"/>
              </w:rPr>
            </w:pPr>
            <w:r w:rsidRPr="00DA5F96">
              <w:rPr>
                <w:sz w:val="22"/>
              </w:rPr>
              <w:t>Robust CFI</w:t>
            </w:r>
          </w:p>
        </w:tc>
        <w:tc>
          <w:tcPr>
            <w:tcW w:w="440" w:type="pct"/>
            <w:tcBorders>
              <w:top w:val="single" w:sz="4" w:space="0" w:color="auto"/>
              <w:bottom w:val="single" w:sz="4" w:space="0" w:color="auto"/>
            </w:tcBorders>
          </w:tcPr>
          <w:p w14:paraId="2580AB63" w14:textId="77777777" w:rsidR="00796EBD" w:rsidRPr="00DA5F96" w:rsidRDefault="00796EBD" w:rsidP="00796EBD">
            <w:pPr>
              <w:spacing w:line="276" w:lineRule="auto"/>
              <w:rPr>
                <w:sz w:val="22"/>
              </w:rPr>
            </w:pPr>
            <w:r w:rsidRPr="00DA5F96">
              <w:rPr>
                <w:sz w:val="22"/>
              </w:rPr>
              <w:t>Robust RMSEA</w:t>
            </w:r>
          </w:p>
        </w:tc>
        <w:tc>
          <w:tcPr>
            <w:tcW w:w="344" w:type="pct"/>
            <w:tcBorders>
              <w:top w:val="single" w:sz="4" w:space="0" w:color="auto"/>
              <w:bottom w:val="single" w:sz="4" w:space="0" w:color="auto"/>
            </w:tcBorders>
          </w:tcPr>
          <w:p w14:paraId="543BC716" w14:textId="77777777" w:rsidR="00796EBD" w:rsidRPr="00DA5F96" w:rsidRDefault="00796EBD" w:rsidP="00796EBD">
            <w:pPr>
              <w:spacing w:line="276" w:lineRule="auto"/>
              <w:rPr>
                <w:sz w:val="22"/>
              </w:rPr>
            </w:pPr>
            <w:r w:rsidRPr="00DA5F96">
              <w:rPr>
                <w:sz w:val="22"/>
              </w:rPr>
              <w:t>SRMR</w:t>
            </w:r>
          </w:p>
        </w:tc>
        <w:tc>
          <w:tcPr>
            <w:tcW w:w="598" w:type="pct"/>
            <w:tcBorders>
              <w:top w:val="single" w:sz="4" w:space="0" w:color="auto"/>
              <w:bottom w:val="single" w:sz="4" w:space="0" w:color="auto"/>
            </w:tcBorders>
          </w:tcPr>
          <w:p w14:paraId="145173D5" w14:textId="77777777" w:rsidR="00796EBD" w:rsidRPr="00DA5F96" w:rsidRDefault="00796EBD" w:rsidP="00796EBD">
            <w:pPr>
              <w:spacing w:line="276" w:lineRule="auto"/>
              <w:rPr>
                <w:sz w:val="22"/>
              </w:rPr>
            </w:pPr>
            <w:r w:rsidRPr="00DA5F96">
              <w:rPr>
                <w:sz w:val="22"/>
              </w:rPr>
              <w:t>Model Comparison</w:t>
            </w:r>
          </w:p>
        </w:tc>
        <w:tc>
          <w:tcPr>
            <w:tcW w:w="354" w:type="pct"/>
            <w:tcBorders>
              <w:top w:val="single" w:sz="4" w:space="0" w:color="auto"/>
              <w:bottom w:val="single" w:sz="4" w:space="0" w:color="auto"/>
            </w:tcBorders>
          </w:tcPr>
          <w:p w14:paraId="13D567E1" w14:textId="77777777" w:rsidR="00796EBD" w:rsidRPr="00DA5F96" w:rsidRDefault="00796EBD" w:rsidP="00796EBD">
            <w:pPr>
              <w:spacing w:line="276" w:lineRule="auto"/>
              <w:rPr>
                <w:sz w:val="22"/>
              </w:rPr>
            </w:pPr>
            <w:r w:rsidRPr="00DA5F96">
              <w:rPr>
                <w:rFonts w:eastAsia="Arial Unicode MS"/>
                <w:color w:val="000000" w:themeColor="text1"/>
                <w:sz w:val="22"/>
                <w:shd w:val="clear" w:color="auto" w:fill="FFFFFF"/>
              </w:rPr>
              <w:t>ΔSB</w:t>
            </w:r>
            <w:r w:rsidRPr="00DA5F96">
              <w:rPr>
                <w:bCs/>
                <w:i/>
                <w:iCs/>
                <w:color w:val="000000" w:themeColor="text1"/>
                <w:sz w:val="22"/>
                <w:shd w:val="clear" w:color="auto" w:fill="FFFFFF"/>
              </w:rPr>
              <w:t>χ</w:t>
            </w:r>
            <w:r w:rsidRPr="00DA5F96">
              <w:rPr>
                <w:bCs/>
                <w:color w:val="000000" w:themeColor="text1"/>
                <w:sz w:val="22"/>
                <w:shd w:val="clear" w:color="auto" w:fill="FFFFFF"/>
              </w:rPr>
              <w:t>²</w:t>
            </w:r>
          </w:p>
        </w:tc>
        <w:tc>
          <w:tcPr>
            <w:tcW w:w="219" w:type="pct"/>
            <w:tcBorders>
              <w:top w:val="single" w:sz="4" w:space="0" w:color="auto"/>
              <w:bottom w:val="single" w:sz="4" w:space="0" w:color="auto"/>
            </w:tcBorders>
          </w:tcPr>
          <w:p w14:paraId="7CFEF0BC" w14:textId="77777777" w:rsidR="00796EBD" w:rsidRPr="00DA5F96" w:rsidRDefault="00796EBD" w:rsidP="00796EBD">
            <w:pPr>
              <w:spacing w:line="276" w:lineRule="auto"/>
              <w:rPr>
                <w:rFonts w:eastAsia="Arial Unicode MS"/>
                <w:color w:val="000000" w:themeColor="text1"/>
                <w:sz w:val="22"/>
                <w:shd w:val="clear" w:color="auto" w:fill="FFFFFF"/>
              </w:rPr>
            </w:pPr>
            <w:proofErr w:type="spellStart"/>
            <w:r w:rsidRPr="00DA5F96">
              <w:rPr>
                <w:rFonts w:eastAsia="Arial Unicode MS"/>
                <w:color w:val="000000" w:themeColor="text1"/>
                <w:sz w:val="22"/>
                <w:shd w:val="clear" w:color="auto" w:fill="FFFFFF"/>
              </w:rPr>
              <w:t>Δ</w:t>
            </w:r>
            <w:r w:rsidRPr="00DA5F96">
              <w:rPr>
                <w:rFonts w:eastAsia="Arial Unicode MS"/>
                <w:i/>
                <w:color w:val="000000" w:themeColor="text1"/>
                <w:sz w:val="22"/>
                <w:shd w:val="clear" w:color="auto" w:fill="FFFFFF"/>
              </w:rPr>
              <w:t>df</w:t>
            </w:r>
            <w:proofErr w:type="spellEnd"/>
          </w:p>
        </w:tc>
        <w:tc>
          <w:tcPr>
            <w:tcW w:w="408" w:type="pct"/>
            <w:tcBorders>
              <w:top w:val="single" w:sz="4" w:space="0" w:color="auto"/>
              <w:bottom w:val="single" w:sz="4" w:space="0" w:color="auto"/>
            </w:tcBorders>
          </w:tcPr>
          <w:p w14:paraId="0178C65B" w14:textId="77777777" w:rsidR="00796EBD" w:rsidRPr="00DA5F96" w:rsidRDefault="00796EBD" w:rsidP="00796EBD">
            <w:pPr>
              <w:spacing w:line="276" w:lineRule="auto"/>
              <w:rPr>
                <w:sz w:val="22"/>
              </w:rPr>
            </w:pPr>
            <w:proofErr w:type="spellStart"/>
            <w:r w:rsidRPr="00DA5F96">
              <w:rPr>
                <w:rFonts w:eastAsia="Arial Unicode MS"/>
                <w:color w:val="000000" w:themeColor="text1"/>
                <w:sz w:val="22"/>
                <w:shd w:val="clear" w:color="auto" w:fill="FFFFFF"/>
              </w:rPr>
              <w:t>ΔRobust</w:t>
            </w:r>
            <w:proofErr w:type="spellEnd"/>
            <w:r w:rsidRPr="00DA5F96">
              <w:rPr>
                <w:rFonts w:eastAsia="Arial Unicode MS"/>
                <w:color w:val="000000" w:themeColor="text1"/>
                <w:sz w:val="22"/>
                <w:shd w:val="clear" w:color="auto" w:fill="FFFFFF"/>
              </w:rPr>
              <w:t xml:space="preserve"> CFI</w:t>
            </w:r>
          </w:p>
        </w:tc>
        <w:tc>
          <w:tcPr>
            <w:tcW w:w="479" w:type="pct"/>
            <w:tcBorders>
              <w:top w:val="single" w:sz="4" w:space="0" w:color="auto"/>
              <w:bottom w:val="single" w:sz="4" w:space="0" w:color="auto"/>
            </w:tcBorders>
          </w:tcPr>
          <w:p w14:paraId="115E4A75" w14:textId="77777777" w:rsidR="00796EBD" w:rsidRPr="00DA5F96" w:rsidRDefault="00796EBD" w:rsidP="00796EBD">
            <w:pPr>
              <w:spacing w:line="276" w:lineRule="auto"/>
              <w:rPr>
                <w:sz w:val="22"/>
              </w:rPr>
            </w:pPr>
            <w:proofErr w:type="spellStart"/>
            <w:r w:rsidRPr="00DA5F96">
              <w:rPr>
                <w:rFonts w:eastAsia="Arial Unicode MS"/>
                <w:color w:val="000000" w:themeColor="text1"/>
                <w:sz w:val="22"/>
                <w:shd w:val="clear" w:color="auto" w:fill="FFFFFF"/>
              </w:rPr>
              <w:t>ΔRobust</w:t>
            </w:r>
            <w:proofErr w:type="spellEnd"/>
            <w:r w:rsidRPr="00DA5F96">
              <w:rPr>
                <w:rFonts w:eastAsia="Arial Unicode MS"/>
                <w:color w:val="000000" w:themeColor="text1"/>
                <w:sz w:val="22"/>
                <w:shd w:val="clear" w:color="auto" w:fill="FFFFFF"/>
              </w:rPr>
              <w:t xml:space="preserve"> RMSEA</w:t>
            </w:r>
          </w:p>
        </w:tc>
        <w:tc>
          <w:tcPr>
            <w:tcW w:w="402" w:type="pct"/>
            <w:tcBorders>
              <w:top w:val="single" w:sz="4" w:space="0" w:color="auto"/>
              <w:bottom w:val="single" w:sz="4" w:space="0" w:color="auto"/>
            </w:tcBorders>
          </w:tcPr>
          <w:p w14:paraId="695B2339" w14:textId="77777777" w:rsidR="00796EBD" w:rsidRPr="00DA5F96" w:rsidRDefault="00796EBD" w:rsidP="00796EBD">
            <w:pPr>
              <w:spacing w:line="276" w:lineRule="auto"/>
              <w:rPr>
                <w:rFonts w:eastAsia="Arial Unicode MS"/>
                <w:color w:val="000000" w:themeColor="text1"/>
                <w:sz w:val="22"/>
                <w:shd w:val="clear" w:color="auto" w:fill="FFFFFF"/>
              </w:rPr>
            </w:pPr>
            <w:r w:rsidRPr="00DA5F96">
              <w:rPr>
                <w:rFonts w:eastAsia="Arial Unicode MS"/>
                <w:color w:val="000000" w:themeColor="text1"/>
                <w:sz w:val="22"/>
                <w:shd w:val="clear" w:color="auto" w:fill="FFFFFF"/>
              </w:rPr>
              <w:t>ΔSRMR</w:t>
            </w:r>
          </w:p>
        </w:tc>
      </w:tr>
      <w:tr w:rsidR="00796EBD" w:rsidRPr="005F79B8" w14:paraId="4506C3F7" w14:textId="77777777" w:rsidTr="00796EBD">
        <w:tc>
          <w:tcPr>
            <w:tcW w:w="404" w:type="pct"/>
            <w:tcBorders>
              <w:top w:val="single" w:sz="4" w:space="0" w:color="auto"/>
            </w:tcBorders>
          </w:tcPr>
          <w:p w14:paraId="41C09668" w14:textId="77777777" w:rsidR="00796EBD" w:rsidRPr="00DA5F96" w:rsidRDefault="00796EBD" w:rsidP="00796EBD">
            <w:pPr>
              <w:spacing w:line="276" w:lineRule="auto"/>
              <w:rPr>
                <w:sz w:val="22"/>
              </w:rPr>
            </w:pPr>
            <w:r w:rsidRPr="00DA5F96">
              <w:rPr>
                <w:sz w:val="22"/>
              </w:rPr>
              <w:t>BAS</w:t>
            </w:r>
          </w:p>
        </w:tc>
        <w:tc>
          <w:tcPr>
            <w:tcW w:w="485" w:type="pct"/>
            <w:tcBorders>
              <w:top w:val="single" w:sz="4" w:space="0" w:color="auto"/>
            </w:tcBorders>
          </w:tcPr>
          <w:p w14:paraId="1456E5FB" w14:textId="77777777" w:rsidR="00796EBD" w:rsidRPr="00DA5F96" w:rsidRDefault="00796EBD" w:rsidP="00796EBD">
            <w:pPr>
              <w:spacing w:line="276" w:lineRule="auto"/>
              <w:rPr>
                <w:sz w:val="22"/>
              </w:rPr>
            </w:pPr>
            <w:r w:rsidRPr="00DA5F96">
              <w:rPr>
                <w:sz w:val="22"/>
              </w:rPr>
              <w:t>Configural</w:t>
            </w:r>
          </w:p>
        </w:tc>
        <w:tc>
          <w:tcPr>
            <w:tcW w:w="340" w:type="pct"/>
            <w:tcBorders>
              <w:top w:val="single" w:sz="4" w:space="0" w:color="auto"/>
            </w:tcBorders>
          </w:tcPr>
          <w:p w14:paraId="64C18B9F" w14:textId="77777777" w:rsidR="00796EBD" w:rsidRPr="00DA5F96" w:rsidRDefault="00796EBD" w:rsidP="00796EBD">
            <w:pPr>
              <w:spacing w:line="276" w:lineRule="auto"/>
              <w:rPr>
                <w:sz w:val="22"/>
              </w:rPr>
            </w:pPr>
            <w:r w:rsidRPr="00DA5F96">
              <w:rPr>
                <w:sz w:val="22"/>
              </w:rPr>
              <w:t>287.66</w:t>
            </w:r>
          </w:p>
        </w:tc>
        <w:tc>
          <w:tcPr>
            <w:tcW w:w="180" w:type="pct"/>
            <w:tcBorders>
              <w:top w:val="single" w:sz="4" w:space="0" w:color="auto"/>
            </w:tcBorders>
          </w:tcPr>
          <w:p w14:paraId="701650DD" w14:textId="77777777" w:rsidR="00796EBD" w:rsidRPr="00DA5F96" w:rsidRDefault="00796EBD" w:rsidP="00796EBD">
            <w:pPr>
              <w:spacing w:line="276" w:lineRule="auto"/>
              <w:rPr>
                <w:sz w:val="22"/>
              </w:rPr>
            </w:pPr>
            <w:r w:rsidRPr="00DA5F96">
              <w:rPr>
                <w:sz w:val="22"/>
              </w:rPr>
              <w:t>70</w:t>
            </w:r>
          </w:p>
        </w:tc>
        <w:tc>
          <w:tcPr>
            <w:tcW w:w="348" w:type="pct"/>
            <w:tcBorders>
              <w:top w:val="single" w:sz="4" w:space="0" w:color="auto"/>
            </w:tcBorders>
          </w:tcPr>
          <w:p w14:paraId="23292307" w14:textId="77777777" w:rsidR="00796EBD" w:rsidRPr="00DA5F96" w:rsidRDefault="00796EBD" w:rsidP="00796EBD">
            <w:pPr>
              <w:spacing w:line="276" w:lineRule="auto"/>
              <w:rPr>
                <w:sz w:val="22"/>
              </w:rPr>
            </w:pPr>
            <w:r w:rsidRPr="00DA5F96">
              <w:rPr>
                <w:sz w:val="22"/>
              </w:rPr>
              <w:t>.968</w:t>
            </w:r>
          </w:p>
        </w:tc>
        <w:tc>
          <w:tcPr>
            <w:tcW w:w="440" w:type="pct"/>
            <w:tcBorders>
              <w:top w:val="single" w:sz="4" w:space="0" w:color="auto"/>
            </w:tcBorders>
          </w:tcPr>
          <w:p w14:paraId="7C317704" w14:textId="77777777" w:rsidR="00796EBD" w:rsidRPr="00DA5F96" w:rsidRDefault="00796EBD" w:rsidP="00796EBD">
            <w:pPr>
              <w:spacing w:line="276" w:lineRule="auto"/>
              <w:rPr>
                <w:sz w:val="22"/>
              </w:rPr>
            </w:pPr>
            <w:r w:rsidRPr="00DA5F96">
              <w:rPr>
                <w:sz w:val="22"/>
              </w:rPr>
              <w:t>.079</w:t>
            </w:r>
          </w:p>
        </w:tc>
        <w:tc>
          <w:tcPr>
            <w:tcW w:w="344" w:type="pct"/>
            <w:tcBorders>
              <w:top w:val="single" w:sz="4" w:space="0" w:color="auto"/>
            </w:tcBorders>
          </w:tcPr>
          <w:p w14:paraId="10AFCC7E" w14:textId="77777777" w:rsidR="00796EBD" w:rsidRPr="00DA5F96" w:rsidRDefault="00796EBD" w:rsidP="00796EBD">
            <w:pPr>
              <w:spacing w:line="276" w:lineRule="auto"/>
              <w:rPr>
                <w:sz w:val="22"/>
              </w:rPr>
            </w:pPr>
            <w:r w:rsidRPr="00DA5F96">
              <w:rPr>
                <w:sz w:val="22"/>
              </w:rPr>
              <w:t>.030</w:t>
            </w:r>
          </w:p>
        </w:tc>
        <w:tc>
          <w:tcPr>
            <w:tcW w:w="598" w:type="pct"/>
            <w:tcBorders>
              <w:top w:val="single" w:sz="4" w:space="0" w:color="auto"/>
            </w:tcBorders>
          </w:tcPr>
          <w:p w14:paraId="4344B0F3" w14:textId="77777777" w:rsidR="00796EBD" w:rsidRPr="00DA5F96" w:rsidRDefault="00796EBD" w:rsidP="00796EBD">
            <w:pPr>
              <w:spacing w:line="276" w:lineRule="auto"/>
              <w:rPr>
                <w:sz w:val="22"/>
              </w:rPr>
            </w:pPr>
          </w:p>
        </w:tc>
        <w:tc>
          <w:tcPr>
            <w:tcW w:w="354" w:type="pct"/>
            <w:tcBorders>
              <w:top w:val="single" w:sz="4" w:space="0" w:color="auto"/>
            </w:tcBorders>
          </w:tcPr>
          <w:p w14:paraId="3D453671" w14:textId="77777777" w:rsidR="00796EBD" w:rsidRPr="00DA5F96" w:rsidRDefault="00796EBD" w:rsidP="00796EBD">
            <w:pPr>
              <w:spacing w:line="276" w:lineRule="auto"/>
              <w:rPr>
                <w:sz w:val="22"/>
              </w:rPr>
            </w:pPr>
          </w:p>
        </w:tc>
        <w:tc>
          <w:tcPr>
            <w:tcW w:w="219" w:type="pct"/>
            <w:tcBorders>
              <w:top w:val="single" w:sz="4" w:space="0" w:color="auto"/>
            </w:tcBorders>
          </w:tcPr>
          <w:p w14:paraId="23465090" w14:textId="77777777" w:rsidR="00796EBD" w:rsidRPr="00DA5F96" w:rsidRDefault="00796EBD" w:rsidP="00796EBD">
            <w:pPr>
              <w:spacing w:line="276" w:lineRule="auto"/>
              <w:rPr>
                <w:sz w:val="22"/>
              </w:rPr>
            </w:pPr>
          </w:p>
        </w:tc>
        <w:tc>
          <w:tcPr>
            <w:tcW w:w="408" w:type="pct"/>
            <w:tcBorders>
              <w:top w:val="single" w:sz="4" w:space="0" w:color="auto"/>
            </w:tcBorders>
          </w:tcPr>
          <w:p w14:paraId="5C366678" w14:textId="77777777" w:rsidR="00796EBD" w:rsidRPr="00DA5F96" w:rsidRDefault="00796EBD" w:rsidP="00796EBD">
            <w:pPr>
              <w:spacing w:line="276" w:lineRule="auto"/>
              <w:rPr>
                <w:sz w:val="22"/>
              </w:rPr>
            </w:pPr>
          </w:p>
        </w:tc>
        <w:tc>
          <w:tcPr>
            <w:tcW w:w="479" w:type="pct"/>
            <w:tcBorders>
              <w:top w:val="single" w:sz="4" w:space="0" w:color="auto"/>
            </w:tcBorders>
          </w:tcPr>
          <w:p w14:paraId="2E0601A1" w14:textId="77777777" w:rsidR="00796EBD" w:rsidRPr="00DA5F96" w:rsidRDefault="00796EBD" w:rsidP="00796EBD">
            <w:pPr>
              <w:spacing w:line="276" w:lineRule="auto"/>
              <w:rPr>
                <w:sz w:val="22"/>
              </w:rPr>
            </w:pPr>
          </w:p>
        </w:tc>
        <w:tc>
          <w:tcPr>
            <w:tcW w:w="402" w:type="pct"/>
            <w:tcBorders>
              <w:top w:val="single" w:sz="4" w:space="0" w:color="auto"/>
            </w:tcBorders>
          </w:tcPr>
          <w:p w14:paraId="377956E1" w14:textId="77777777" w:rsidR="00796EBD" w:rsidRPr="00DA5F96" w:rsidRDefault="00796EBD" w:rsidP="00796EBD">
            <w:pPr>
              <w:spacing w:line="276" w:lineRule="auto"/>
              <w:rPr>
                <w:sz w:val="22"/>
              </w:rPr>
            </w:pPr>
          </w:p>
        </w:tc>
      </w:tr>
      <w:tr w:rsidR="00796EBD" w:rsidRPr="005F79B8" w14:paraId="77554B45" w14:textId="77777777" w:rsidTr="00796EBD">
        <w:tc>
          <w:tcPr>
            <w:tcW w:w="404" w:type="pct"/>
          </w:tcPr>
          <w:p w14:paraId="2F98A67C" w14:textId="77777777" w:rsidR="00796EBD" w:rsidRPr="00DA5F96" w:rsidRDefault="00796EBD" w:rsidP="00796EBD">
            <w:pPr>
              <w:spacing w:line="276" w:lineRule="auto"/>
              <w:rPr>
                <w:sz w:val="22"/>
              </w:rPr>
            </w:pPr>
          </w:p>
        </w:tc>
        <w:tc>
          <w:tcPr>
            <w:tcW w:w="485" w:type="pct"/>
          </w:tcPr>
          <w:p w14:paraId="0E37AF07" w14:textId="77777777" w:rsidR="00796EBD" w:rsidRPr="00DA5F96" w:rsidRDefault="00796EBD" w:rsidP="00796EBD">
            <w:pPr>
              <w:spacing w:line="276" w:lineRule="auto"/>
              <w:rPr>
                <w:sz w:val="22"/>
              </w:rPr>
            </w:pPr>
            <w:r w:rsidRPr="00DA5F96">
              <w:rPr>
                <w:sz w:val="22"/>
              </w:rPr>
              <w:t>Metric</w:t>
            </w:r>
          </w:p>
        </w:tc>
        <w:tc>
          <w:tcPr>
            <w:tcW w:w="340" w:type="pct"/>
          </w:tcPr>
          <w:p w14:paraId="09425A11" w14:textId="77777777" w:rsidR="00796EBD" w:rsidRPr="00DA5F96" w:rsidRDefault="00796EBD" w:rsidP="00796EBD">
            <w:pPr>
              <w:spacing w:line="276" w:lineRule="auto"/>
              <w:rPr>
                <w:sz w:val="22"/>
              </w:rPr>
            </w:pPr>
            <w:r w:rsidRPr="00DA5F96">
              <w:rPr>
                <w:sz w:val="22"/>
              </w:rPr>
              <w:t>356.65</w:t>
            </w:r>
          </w:p>
        </w:tc>
        <w:tc>
          <w:tcPr>
            <w:tcW w:w="180" w:type="pct"/>
          </w:tcPr>
          <w:p w14:paraId="5185EC55" w14:textId="77777777" w:rsidR="00796EBD" w:rsidRPr="00DA5F96" w:rsidRDefault="00796EBD" w:rsidP="00796EBD">
            <w:pPr>
              <w:spacing w:line="276" w:lineRule="auto"/>
              <w:rPr>
                <w:sz w:val="22"/>
              </w:rPr>
            </w:pPr>
            <w:r w:rsidRPr="00DA5F96">
              <w:rPr>
                <w:sz w:val="22"/>
              </w:rPr>
              <w:t>79</w:t>
            </w:r>
          </w:p>
        </w:tc>
        <w:tc>
          <w:tcPr>
            <w:tcW w:w="348" w:type="pct"/>
          </w:tcPr>
          <w:p w14:paraId="19C84E86" w14:textId="77777777" w:rsidR="00796EBD" w:rsidRPr="00DA5F96" w:rsidRDefault="00796EBD" w:rsidP="00796EBD">
            <w:pPr>
              <w:spacing w:line="276" w:lineRule="auto"/>
              <w:rPr>
                <w:sz w:val="22"/>
              </w:rPr>
            </w:pPr>
            <w:r w:rsidRPr="00DA5F96">
              <w:rPr>
                <w:sz w:val="22"/>
              </w:rPr>
              <w:t>.961</w:t>
            </w:r>
          </w:p>
        </w:tc>
        <w:tc>
          <w:tcPr>
            <w:tcW w:w="440" w:type="pct"/>
          </w:tcPr>
          <w:p w14:paraId="347935C2" w14:textId="77777777" w:rsidR="00796EBD" w:rsidRPr="00DA5F96" w:rsidRDefault="00796EBD" w:rsidP="00796EBD">
            <w:pPr>
              <w:spacing w:line="276" w:lineRule="auto"/>
              <w:rPr>
                <w:sz w:val="22"/>
              </w:rPr>
            </w:pPr>
            <w:r w:rsidRPr="00DA5F96">
              <w:rPr>
                <w:sz w:val="22"/>
              </w:rPr>
              <w:t>.082</w:t>
            </w:r>
          </w:p>
        </w:tc>
        <w:tc>
          <w:tcPr>
            <w:tcW w:w="344" w:type="pct"/>
          </w:tcPr>
          <w:p w14:paraId="29102D78" w14:textId="77777777" w:rsidR="00796EBD" w:rsidRPr="00DA5F96" w:rsidRDefault="00796EBD" w:rsidP="00796EBD">
            <w:pPr>
              <w:spacing w:line="276" w:lineRule="auto"/>
              <w:rPr>
                <w:sz w:val="22"/>
              </w:rPr>
            </w:pPr>
            <w:r w:rsidRPr="00DA5F96">
              <w:rPr>
                <w:sz w:val="22"/>
              </w:rPr>
              <w:t>.062</w:t>
            </w:r>
          </w:p>
        </w:tc>
        <w:tc>
          <w:tcPr>
            <w:tcW w:w="598" w:type="pct"/>
          </w:tcPr>
          <w:p w14:paraId="6CAD0DD6" w14:textId="77777777" w:rsidR="00796EBD" w:rsidRPr="00DA5F96" w:rsidRDefault="00796EBD" w:rsidP="00796EBD">
            <w:pPr>
              <w:spacing w:line="276" w:lineRule="auto"/>
              <w:rPr>
                <w:sz w:val="22"/>
              </w:rPr>
            </w:pPr>
            <w:r w:rsidRPr="00DA5F96">
              <w:rPr>
                <w:sz w:val="22"/>
              </w:rPr>
              <w:t>Configural vs metric</w:t>
            </w:r>
          </w:p>
        </w:tc>
        <w:tc>
          <w:tcPr>
            <w:tcW w:w="354" w:type="pct"/>
          </w:tcPr>
          <w:p w14:paraId="45F8C241" w14:textId="17980DD8" w:rsidR="00796EBD" w:rsidRPr="00DA5F96" w:rsidRDefault="00796EBD" w:rsidP="00796EBD">
            <w:pPr>
              <w:spacing w:line="276" w:lineRule="auto"/>
              <w:rPr>
                <w:sz w:val="22"/>
              </w:rPr>
            </w:pPr>
            <w:r>
              <w:rPr>
                <w:sz w:val="22"/>
              </w:rPr>
              <w:t>68.99*</w:t>
            </w:r>
          </w:p>
        </w:tc>
        <w:tc>
          <w:tcPr>
            <w:tcW w:w="219" w:type="pct"/>
          </w:tcPr>
          <w:p w14:paraId="734106A9" w14:textId="77777777" w:rsidR="00796EBD" w:rsidRPr="00DA5F96" w:rsidRDefault="00796EBD" w:rsidP="00796EBD">
            <w:pPr>
              <w:spacing w:line="276" w:lineRule="auto"/>
              <w:rPr>
                <w:sz w:val="22"/>
              </w:rPr>
            </w:pPr>
            <w:r w:rsidRPr="00DA5F96">
              <w:rPr>
                <w:sz w:val="22"/>
              </w:rPr>
              <w:t>9</w:t>
            </w:r>
          </w:p>
        </w:tc>
        <w:tc>
          <w:tcPr>
            <w:tcW w:w="408" w:type="pct"/>
          </w:tcPr>
          <w:p w14:paraId="1FBE54D9" w14:textId="77777777" w:rsidR="00796EBD" w:rsidRPr="00DA5F96" w:rsidRDefault="00796EBD" w:rsidP="00796EBD">
            <w:pPr>
              <w:spacing w:line="276" w:lineRule="auto"/>
              <w:rPr>
                <w:sz w:val="22"/>
              </w:rPr>
            </w:pPr>
            <w:r w:rsidRPr="00DA5F96">
              <w:rPr>
                <w:sz w:val="22"/>
              </w:rPr>
              <w:t>.007</w:t>
            </w:r>
          </w:p>
        </w:tc>
        <w:tc>
          <w:tcPr>
            <w:tcW w:w="479" w:type="pct"/>
          </w:tcPr>
          <w:p w14:paraId="63C9D568" w14:textId="77777777" w:rsidR="00796EBD" w:rsidRPr="00DA5F96" w:rsidRDefault="00796EBD" w:rsidP="00796EBD">
            <w:pPr>
              <w:spacing w:line="276" w:lineRule="auto"/>
              <w:rPr>
                <w:sz w:val="22"/>
              </w:rPr>
            </w:pPr>
            <w:r w:rsidRPr="00DA5F96">
              <w:rPr>
                <w:sz w:val="22"/>
              </w:rPr>
              <w:t>.003</w:t>
            </w:r>
          </w:p>
        </w:tc>
        <w:tc>
          <w:tcPr>
            <w:tcW w:w="402" w:type="pct"/>
          </w:tcPr>
          <w:p w14:paraId="510CE90C" w14:textId="77777777" w:rsidR="00796EBD" w:rsidRPr="00DA5F96" w:rsidRDefault="00796EBD" w:rsidP="00796EBD">
            <w:pPr>
              <w:spacing w:line="276" w:lineRule="auto"/>
              <w:rPr>
                <w:sz w:val="22"/>
              </w:rPr>
            </w:pPr>
            <w:r w:rsidRPr="00DA5F96">
              <w:rPr>
                <w:sz w:val="22"/>
              </w:rPr>
              <w:t>.032</w:t>
            </w:r>
          </w:p>
        </w:tc>
      </w:tr>
      <w:tr w:rsidR="00796EBD" w:rsidRPr="005F79B8" w14:paraId="60541396" w14:textId="77777777" w:rsidTr="00796EBD">
        <w:tc>
          <w:tcPr>
            <w:tcW w:w="404" w:type="pct"/>
          </w:tcPr>
          <w:p w14:paraId="1E359512" w14:textId="77777777" w:rsidR="00796EBD" w:rsidRPr="00DA5F96" w:rsidRDefault="00796EBD" w:rsidP="00796EBD">
            <w:pPr>
              <w:spacing w:line="276" w:lineRule="auto"/>
              <w:rPr>
                <w:sz w:val="22"/>
              </w:rPr>
            </w:pPr>
          </w:p>
        </w:tc>
        <w:tc>
          <w:tcPr>
            <w:tcW w:w="485" w:type="pct"/>
          </w:tcPr>
          <w:p w14:paraId="08A4A8E3" w14:textId="77777777" w:rsidR="00796EBD" w:rsidRPr="00DA5F96" w:rsidRDefault="00796EBD" w:rsidP="00796EBD">
            <w:pPr>
              <w:spacing w:line="276" w:lineRule="auto"/>
              <w:rPr>
                <w:sz w:val="22"/>
              </w:rPr>
            </w:pPr>
            <w:r w:rsidRPr="00DA5F96">
              <w:rPr>
                <w:sz w:val="22"/>
              </w:rPr>
              <w:t>Scalar</w:t>
            </w:r>
          </w:p>
        </w:tc>
        <w:tc>
          <w:tcPr>
            <w:tcW w:w="340" w:type="pct"/>
          </w:tcPr>
          <w:p w14:paraId="2FEFBBAC" w14:textId="77777777" w:rsidR="00796EBD" w:rsidRPr="00DA5F96" w:rsidRDefault="00796EBD" w:rsidP="00796EBD">
            <w:pPr>
              <w:spacing w:line="276" w:lineRule="auto"/>
              <w:rPr>
                <w:sz w:val="22"/>
              </w:rPr>
            </w:pPr>
            <w:r w:rsidRPr="00DA5F96">
              <w:rPr>
                <w:sz w:val="22"/>
              </w:rPr>
              <w:t>717.12</w:t>
            </w:r>
          </w:p>
        </w:tc>
        <w:tc>
          <w:tcPr>
            <w:tcW w:w="180" w:type="pct"/>
          </w:tcPr>
          <w:p w14:paraId="1AFF7999" w14:textId="77777777" w:rsidR="00796EBD" w:rsidRPr="00DA5F96" w:rsidRDefault="00796EBD" w:rsidP="00796EBD">
            <w:pPr>
              <w:spacing w:line="276" w:lineRule="auto"/>
              <w:rPr>
                <w:sz w:val="22"/>
              </w:rPr>
            </w:pPr>
            <w:r w:rsidRPr="00DA5F96">
              <w:rPr>
                <w:sz w:val="22"/>
              </w:rPr>
              <w:t>88</w:t>
            </w:r>
          </w:p>
        </w:tc>
        <w:tc>
          <w:tcPr>
            <w:tcW w:w="348" w:type="pct"/>
          </w:tcPr>
          <w:p w14:paraId="55E89A54" w14:textId="77777777" w:rsidR="00796EBD" w:rsidRPr="00DA5F96" w:rsidRDefault="00796EBD" w:rsidP="00796EBD">
            <w:pPr>
              <w:spacing w:line="276" w:lineRule="auto"/>
              <w:rPr>
                <w:sz w:val="22"/>
              </w:rPr>
            </w:pPr>
            <w:r w:rsidRPr="00DA5F96">
              <w:rPr>
                <w:sz w:val="22"/>
              </w:rPr>
              <w:t>.917</w:t>
            </w:r>
          </w:p>
        </w:tc>
        <w:tc>
          <w:tcPr>
            <w:tcW w:w="440" w:type="pct"/>
          </w:tcPr>
          <w:p w14:paraId="577567C0" w14:textId="77777777" w:rsidR="00796EBD" w:rsidRPr="00DA5F96" w:rsidRDefault="00796EBD" w:rsidP="00796EBD">
            <w:pPr>
              <w:spacing w:line="276" w:lineRule="auto"/>
              <w:rPr>
                <w:sz w:val="22"/>
              </w:rPr>
            </w:pPr>
            <w:r w:rsidRPr="00DA5F96">
              <w:rPr>
                <w:sz w:val="22"/>
              </w:rPr>
              <w:t>.113</w:t>
            </w:r>
          </w:p>
        </w:tc>
        <w:tc>
          <w:tcPr>
            <w:tcW w:w="344" w:type="pct"/>
          </w:tcPr>
          <w:p w14:paraId="4E1A056B" w14:textId="77777777" w:rsidR="00796EBD" w:rsidRPr="00DA5F96" w:rsidRDefault="00796EBD" w:rsidP="00796EBD">
            <w:pPr>
              <w:spacing w:line="276" w:lineRule="auto"/>
              <w:rPr>
                <w:sz w:val="22"/>
              </w:rPr>
            </w:pPr>
            <w:r w:rsidRPr="00DA5F96">
              <w:rPr>
                <w:sz w:val="22"/>
              </w:rPr>
              <w:t>.101</w:t>
            </w:r>
          </w:p>
        </w:tc>
        <w:tc>
          <w:tcPr>
            <w:tcW w:w="598" w:type="pct"/>
          </w:tcPr>
          <w:p w14:paraId="574EBD73" w14:textId="77777777" w:rsidR="00796EBD" w:rsidRPr="00DA5F96" w:rsidRDefault="00796EBD" w:rsidP="00796EBD">
            <w:pPr>
              <w:spacing w:line="276" w:lineRule="auto"/>
              <w:rPr>
                <w:sz w:val="22"/>
              </w:rPr>
            </w:pPr>
            <w:r w:rsidRPr="00DA5F96">
              <w:rPr>
                <w:sz w:val="22"/>
              </w:rPr>
              <w:t>Metric vs scalar</w:t>
            </w:r>
          </w:p>
        </w:tc>
        <w:tc>
          <w:tcPr>
            <w:tcW w:w="354" w:type="pct"/>
          </w:tcPr>
          <w:p w14:paraId="02C6CDFB" w14:textId="3F57DA9B" w:rsidR="00796EBD" w:rsidRPr="00DA5F96" w:rsidRDefault="00796EBD" w:rsidP="00796EBD">
            <w:pPr>
              <w:spacing w:line="276" w:lineRule="auto"/>
              <w:rPr>
                <w:sz w:val="22"/>
              </w:rPr>
            </w:pPr>
            <w:r>
              <w:rPr>
                <w:sz w:val="22"/>
              </w:rPr>
              <w:t>360.47*</w:t>
            </w:r>
          </w:p>
        </w:tc>
        <w:tc>
          <w:tcPr>
            <w:tcW w:w="219" w:type="pct"/>
          </w:tcPr>
          <w:p w14:paraId="1FD8CA90" w14:textId="77777777" w:rsidR="00796EBD" w:rsidRPr="00DA5F96" w:rsidRDefault="00796EBD" w:rsidP="00796EBD">
            <w:pPr>
              <w:spacing w:line="276" w:lineRule="auto"/>
              <w:rPr>
                <w:sz w:val="22"/>
              </w:rPr>
            </w:pPr>
            <w:r w:rsidRPr="00DA5F96">
              <w:rPr>
                <w:sz w:val="22"/>
              </w:rPr>
              <w:t>9</w:t>
            </w:r>
          </w:p>
        </w:tc>
        <w:tc>
          <w:tcPr>
            <w:tcW w:w="408" w:type="pct"/>
          </w:tcPr>
          <w:p w14:paraId="5150B541" w14:textId="77777777" w:rsidR="00796EBD" w:rsidRPr="00DA5F96" w:rsidRDefault="00796EBD" w:rsidP="00796EBD">
            <w:pPr>
              <w:spacing w:line="276" w:lineRule="auto"/>
              <w:rPr>
                <w:sz w:val="22"/>
              </w:rPr>
            </w:pPr>
            <w:r w:rsidRPr="00DA5F96">
              <w:rPr>
                <w:sz w:val="22"/>
              </w:rPr>
              <w:t>.044</w:t>
            </w:r>
          </w:p>
        </w:tc>
        <w:tc>
          <w:tcPr>
            <w:tcW w:w="479" w:type="pct"/>
          </w:tcPr>
          <w:p w14:paraId="20466EA2" w14:textId="77777777" w:rsidR="00796EBD" w:rsidRPr="00DA5F96" w:rsidRDefault="00796EBD" w:rsidP="00796EBD">
            <w:pPr>
              <w:spacing w:line="276" w:lineRule="auto"/>
              <w:rPr>
                <w:sz w:val="22"/>
              </w:rPr>
            </w:pPr>
            <w:r w:rsidRPr="00DA5F96">
              <w:rPr>
                <w:sz w:val="22"/>
              </w:rPr>
              <w:t>.031</w:t>
            </w:r>
          </w:p>
        </w:tc>
        <w:tc>
          <w:tcPr>
            <w:tcW w:w="402" w:type="pct"/>
          </w:tcPr>
          <w:p w14:paraId="490F0588" w14:textId="77777777" w:rsidR="00796EBD" w:rsidRPr="00DA5F96" w:rsidRDefault="00796EBD" w:rsidP="00796EBD">
            <w:pPr>
              <w:spacing w:line="276" w:lineRule="auto"/>
              <w:rPr>
                <w:sz w:val="22"/>
              </w:rPr>
            </w:pPr>
            <w:r w:rsidRPr="00DA5F96">
              <w:rPr>
                <w:sz w:val="22"/>
              </w:rPr>
              <w:t>.039</w:t>
            </w:r>
          </w:p>
        </w:tc>
      </w:tr>
      <w:tr w:rsidR="00796EBD" w:rsidRPr="005F79B8" w14:paraId="10F33B47" w14:textId="77777777" w:rsidTr="00796EBD">
        <w:tc>
          <w:tcPr>
            <w:tcW w:w="404" w:type="pct"/>
          </w:tcPr>
          <w:p w14:paraId="148051E3" w14:textId="77777777" w:rsidR="00796EBD" w:rsidRPr="00DA5F96" w:rsidRDefault="00796EBD" w:rsidP="00796EBD">
            <w:pPr>
              <w:spacing w:line="276" w:lineRule="auto"/>
              <w:rPr>
                <w:sz w:val="22"/>
              </w:rPr>
            </w:pPr>
          </w:p>
        </w:tc>
        <w:tc>
          <w:tcPr>
            <w:tcW w:w="485" w:type="pct"/>
          </w:tcPr>
          <w:p w14:paraId="19D236A0" w14:textId="77777777" w:rsidR="00796EBD" w:rsidRPr="00DA5F96" w:rsidRDefault="00796EBD" w:rsidP="00796EBD">
            <w:pPr>
              <w:spacing w:line="276" w:lineRule="auto"/>
              <w:rPr>
                <w:sz w:val="22"/>
              </w:rPr>
            </w:pPr>
            <w:r>
              <w:rPr>
                <w:sz w:val="22"/>
              </w:rPr>
              <w:t>Partial scalar: Item 6</w:t>
            </w:r>
          </w:p>
        </w:tc>
        <w:tc>
          <w:tcPr>
            <w:tcW w:w="340" w:type="pct"/>
          </w:tcPr>
          <w:p w14:paraId="308664B4" w14:textId="77777777" w:rsidR="00796EBD" w:rsidRPr="00DA5F96" w:rsidRDefault="00796EBD" w:rsidP="00796EBD">
            <w:pPr>
              <w:spacing w:line="276" w:lineRule="auto"/>
              <w:rPr>
                <w:sz w:val="22"/>
              </w:rPr>
            </w:pPr>
            <w:r>
              <w:rPr>
                <w:sz w:val="22"/>
              </w:rPr>
              <w:t>499.08</w:t>
            </w:r>
          </w:p>
        </w:tc>
        <w:tc>
          <w:tcPr>
            <w:tcW w:w="180" w:type="pct"/>
          </w:tcPr>
          <w:p w14:paraId="2ED2194B" w14:textId="77777777" w:rsidR="00796EBD" w:rsidRPr="00DA5F96" w:rsidRDefault="00796EBD" w:rsidP="00796EBD">
            <w:pPr>
              <w:spacing w:line="276" w:lineRule="auto"/>
              <w:rPr>
                <w:sz w:val="22"/>
              </w:rPr>
            </w:pPr>
            <w:r>
              <w:rPr>
                <w:sz w:val="22"/>
              </w:rPr>
              <w:t>87</w:t>
            </w:r>
          </w:p>
        </w:tc>
        <w:tc>
          <w:tcPr>
            <w:tcW w:w="348" w:type="pct"/>
          </w:tcPr>
          <w:p w14:paraId="4D212C29" w14:textId="77777777" w:rsidR="00796EBD" w:rsidRPr="00DA5F96" w:rsidRDefault="00796EBD" w:rsidP="00796EBD">
            <w:pPr>
              <w:spacing w:line="276" w:lineRule="auto"/>
              <w:rPr>
                <w:sz w:val="22"/>
              </w:rPr>
            </w:pPr>
            <w:r>
              <w:rPr>
                <w:sz w:val="22"/>
              </w:rPr>
              <w:t>.944</w:t>
            </w:r>
          </w:p>
        </w:tc>
        <w:tc>
          <w:tcPr>
            <w:tcW w:w="440" w:type="pct"/>
          </w:tcPr>
          <w:p w14:paraId="0CA7F98A" w14:textId="77777777" w:rsidR="00796EBD" w:rsidRPr="00DA5F96" w:rsidRDefault="00796EBD" w:rsidP="00796EBD">
            <w:pPr>
              <w:spacing w:line="276" w:lineRule="auto"/>
              <w:rPr>
                <w:sz w:val="22"/>
              </w:rPr>
            </w:pPr>
            <w:r>
              <w:rPr>
                <w:sz w:val="22"/>
              </w:rPr>
              <w:t>.093</w:t>
            </w:r>
          </w:p>
        </w:tc>
        <w:tc>
          <w:tcPr>
            <w:tcW w:w="344" w:type="pct"/>
          </w:tcPr>
          <w:p w14:paraId="231CD20A" w14:textId="77777777" w:rsidR="00796EBD" w:rsidRPr="00DA5F96" w:rsidRDefault="00796EBD" w:rsidP="00796EBD">
            <w:pPr>
              <w:spacing w:line="276" w:lineRule="auto"/>
              <w:rPr>
                <w:sz w:val="22"/>
              </w:rPr>
            </w:pPr>
            <w:r>
              <w:rPr>
                <w:sz w:val="22"/>
              </w:rPr>
              <w:t>.075</w:t>
            </w:r>
          </w:p>
        </w:tc>
        <w:tc>
          <w:tcPr>
            <w:tcW w:w="598" w:type="pct"/>
          </w:tcPr>
          <w:p w14:paraId="23B2983C" w14:textId="77777777" w:rsidR="00796EBD" w:rsidRPr="00DA5F96" w:rsidRDefault="00796EBD" w:rsidP="00796EBD">
            <w:pPr>
              <w:spacing w:line="276" w:lineRule="auto"/>
              <w:rPr>
                <w:sz w:val="22"/>
              </w:rPr>
            </w:pPr>
            <w:r>
              <w:rPr>
                <w:sz w:val="22"/>
              </w:rPr>
              <w:t>Metric vs partial scalar</w:t>
            </w:r>
          </w:p>
        </w:tc>
        <w:tc>
          <w:tcPr>
            <w:tcW w:w="354" w:type="pct"/>
          </w:tcPr>
          <w:p w14:paraId="1586FE08" w14:textId="286A3C8F" w:rsidR="00796EBD" w:rsidRPr="00DA5F96" w:rsidRDefault="00796EBD" w:rsidP="00796EBD">
            <w:pPr>
              <w:spacing w:line="276" w:lineRule="auto"/>
              <w:rPr>
                <w:sz w:val="22"/>
              </w:rPr>
            </w:pPr>
            <w:r>
              <w:rPr>
                <w:sz w:val="22"/>
              </w:rPr>
              <w:t>142.43*</w:t>
            </w:r>
          </w:p>
        </w:tc>
        <w:tc>
          <w:tcPr>
            <w:tcW w:w="219" w:type="pct"/>
          </w:tcPr>
          <w:p w14:paraId="76CC3046" w14:textId="77777777" w:rsidR="00796EBD" w:rsidRPr="00DA5F96" w:rsidRDefault="00796EBD" w:rsidP="00796EBD">
            <w:pPr>
              <w:spacing w:line="276" w:lineRule="auto"/>
              <w:rPr>
                <w:sz w:val="22"/>
              </w:rPr>
            </w:pPr>
            <w:r>
              <w:rPr>
                <w:sz w:val="22"/>
              </w:rPr>
              <w:t>8</w:t>
            </w:r>
          </w:p>
        </w:tc>
        <w:tc>
          <w:tcPr>
            <w:tcW w:w="408" w:type="pct"/>
          </w:tcPr>
          <w:p w14:paraId="46534249" w14:textId="77777777" w:rsidR="00796EBD" w:rsidRPr="00DA5F96" w:rsidRDefault="00796EBD" w:rsidP="00796EBD">
            <w:pPr>
              <w:spacing w:line="276" w:lineRule="auto"/>
              <w:rPr>
                <w:sz w:val="22"/>
              </w:rPr>
            </w:pPr>
            <w:r>
              <w:rPr>
                <w:sz w:val="22"/>
              </w:rPr>
              <w:t>.017</w:t>
            </w:r>
          </w:p>
        </w:tc>
        <w:tc>
          <w:tcPr>
            <w:tcW w:w="479" w:type="pct"/>
          </w:tcPr>
          <w:p w14:paraId="0322B3CE" w14:textId="77777777" w:rsidR="00796EBD" w:rsidRPr="00DA5F96" w:rsidRDefault="00796EBD" w:rsidP="00796EBD">
            <w:pPr>
              <w:spacing w:line="276" w:lineRule="auto"/>
              <w:rPr>
                <w:sz w:val="22"/>
              </w:rPr>
            </w:pPr>
            <w:r>
              <w:rPr>
                <w:sz w:val="22"/>
              </w:rPr>
              <w:t>.011</w:t>
            </w:r>
          </w:p>
        </w:tc>
        <w:tc>
          <w:tcPr>
            <w:tcW w:w="402" w:type="pct"/>
          </w:tcPr>
          <w:p w14:paraId="65588BAC" w14:textId="77777777" w:rsidR="00796EBD" w:rsidRPr="00DA5F96" w:rsidRDefault="00796EBD" w:rsidP="00796EBD">
            <w:pPr>
              <w:spacing w:line="276" w:lineRule="auto"/>
              <w:rPr>
                <w:sz w:val="22"/>
              </w:rPr>
            </w:pPr>
            <w:r>
              <w:rPr>
                <w:sz w:val="22"/>
              </w:rPr>
              <w:t>.013</w:t>
            </w:r>
          </w:p>
        </w:tc>
      </w:tr>
      <w:tr w:rsidR="00796EBD" w:rsidRPr="005F79B8" w14:paraId="0D5E1FFF" w14:textId="77777777" w:rsidTr="00796EBD">
        <w:tc>
          <w:tcPr>
            <w:tcW w:w="404" w:type="pct"/>
          </w:tcPr>
          <w:p w14:paraId="5E35CB96" w14:textId="77777777" w:rsidR="00796EBD" w:rsidRDefault="00796EBD" w:rsidP="00796EBD">
            <w:pPr>
              <w:spacing w:line="276" w:lineRule="auto"/>
              <w:rPr>
                <w:sz w:val="22"/>
              </w:rPr>
            </w:pPr>
          </w:p>
        </w:tc>
        <w:tc>
          <w:tcPr>
            <w:tcW w:w="485" w:type="pct"/>
          </w:tcPr>
          <w:p w14:paraId="50D02D8E" w14:textId="77777777" w:rsidR="00796EBD" w:rsidRDefault="00796EBD" w:rsidP="00796EBD">
            <w:pPr>
              <w:spacing w:line="276" w:lineRule="auto"/>
              <w:rPr>
                <w:sz w:val="22"/>
              </w:rPr>
            </w:pPr>
            <w:r>
              <w:rPr>
                <w:sz w:val="22"/>
              </w:rPr>
              <w:t>Partial scalar 2: Items 6 and 8</w:t>
            </w:r>
          </w:p>
        </w:tc>
        <w:tc>
          <w:tcPr>
            <w:tcW w:w="340" w:type="pct"/>
          </w:tcPr>
          <w:p w14:paraId="5D708849" w14:textId="77777777" w:rsidR="00796EBD" w:rsidRDefault="00796EBD" w:rsidP="00796EBD">
            <w:pPr>
              <w:spacing w:line="276" w:lineRule="auto"/>
              <w:rPr>
                <w:sz w:val="22"/>
              </w:rPr>
            </w:pPr>
            <w:r>
              <w:rPr>
                <w:sz w:val="22"/>
              </w:rPr>
              <w:t>474.41</w:t>
            </w:r>
          </w:p>
        </w:tc>
        <w:tc>
          <w:tcPr>
            <w:tcW w:w="180" w:type="pct"/>
          </w:tcPr>
          <w:p w14:paraId="41294158" w14:textId="77777777" w:rsidR="00796EBD" w:rsidRDefault="00796EBD" w:rsidP="00796EBD">
            <w:pPr>
              <w:spacing w:line="276" w:lineRule="auto"/>
              <w:rPr>
                <w:sz w:val="22"/>
              </w:rPr>
            </w:pPr>
            <w:r>
              <w:rPr>
                <w:sz w:val="22"/>
              </w:rPr>
              <w:t>86</w:t>
            </w:r>
          </w:p>
        </w:tc>
        <w:tc>
          <w:tcPr>
            <w:tcW w:w="348" w:type="pct"/>
          </w:tcPr>
          <w:p w14:paraId="66BCAB3A" w14:textId="77777777" w:rsidR="00796EBD" w:rsidRDefault="00796EBD" w:rsidP="00796EBD">
            <w:pPr>
              <w:spacing w:line="276" w:lineRule="auto"/>
              <w:rPr>
                <w:sz w:val="22"/>
              </w:rPr>
            </w:pPr>
            <w:r>
              <w:rPr>
                <w:sz w:val="22"/>
              </w:rPr>
              <w:t>.951</w:t>
            </w:r>
          </w:p>
        </w:tc>
        <w:tc>
          <w:tcPr>
            <w:tcW w:w="440" w:type="pct"/>
          </w:tcPr>
          <w:p w14:paraId="6F01BD3D" w14:textId="77777777" w:rsidR="00796EBD" w:rsidRDefault="00796EBD" w:rsidP="00796EBD">
            <w:pPr>
              <w:spacing w:line="276" w:lineRule="auto"/>
              <w:rPr>
                <w:sz w:val="22"/>
              </w:rPr>
            </w:pPr>
            <w:r>
              <w:rPr>
                <w:sz w:val="22"/>
              </w:rPr>
              <w:t>.092</w:t>
            </w:r>
          </w:p>
        </w:tc>
        <w:tc>
          <w:tcPr>
            <w:tcW w:w="344" w:type="pct"/>
          </w:tcPr>
          <w:p w14:paraId="30C5BFF4" w14:textId="77777777" w:rsidR="00796EBD" w:rsidRDefault="00796EBD" w:rsidP="00796EBD">
            <w:pPr>
              <w:spacing w:line="276" w:lineRule="auto"/>
              <w:rPr>
                <w:sz w:val="22"/>
              </w:rPr>
            </w:pPr>
            <w:r>
              <w:rPr>
                <w:sz w:val="22"/>
              </w:rPr>
              <w:t>.072</w:t>
            </w:r>
          </w:p>
        </w:tc>
        <w:tc>
          <w:tcPr>
            <w:tcW w:w="598" w:type="pct"/>
          </w:tcPr>
          <w:p w14:paraId="2D61B19C" w14:textId="77777777" w:rsidR="00796EBD" w:rsidRDefault="00796EBD" w:rsidP="00796EBD">
            <w:pPr>
              <w:spacing w:line="276" w:lineRule="auto"/>
              <w:rPr>
                <w:sz w:val="22"/>
              </w:rPr>
            </w:pPr>
            <w:r>
              <w:rPr>
                <w:sz w:val="22"/>
              </w:rPr>
              <w:t>Metric vs partial scalar 2</w:t>
            </w:r>
          </w:p>
        </w:tc>
        <w:tc>
          <w:tcPr>
            <w:tcW w:w="354" w:type="pct"/>
          </w:tcPr>
          <w:p w14:paraId="17E76978" w14:textId="0EA20209" w:rsidR="00796EBD" w:rsidRPr="00DA5F96" w:rsidRDefault="00796EBD" w:rsidP="00796EBD">
            <w:pPr>
              <w:spacing w:line="276" w:lineRule="auto"/>
              <w:rPr>
                <w:sz w:val="22"/>
              </w:rPr>
            </w:pPr>
            <w:r>
              <w:rPr>
                <w:sz w:val="22"/>
              </w:rPr>
              <w:t>117.76*</w:t>
            </w:r>
          </w:p>
        </w:tc>
        <w:tc>
          <w:tcPr>
            <w:tcW w:w="219" w:type="pct"/>
          </w:tcPr>
          <w:p w14:paraId="23C5D220" w14:textId="77777777" w:rsidR="00796EBD" w:rsidRDefault="00796EBD" w:rsidP="00796EBD">
            <w:pPr>
              <w:spacing w:line="276" w:lineRule="auto"/>
              <w:rPr>
                <w:sz w:val="22"/>
              </w:rPr>
            </w:pPr>
            <w:r>
              <w:rPr>
                <w:sz w:val="22"/>
              </w:rPr>
              <w:t>7</w:t>
            </w:r>
          </w:p>
        </w:tc>
        <w:tc>
          <w:tcPr>
            <w:tcW w:w="408" w:type="pct"/>
          </w:tcPr>
          <w:p w14:paraId="5A0097D9" w14:textId="77777777" w:rsidR="00796EBD" w:rsidRDefault="00796EBD" w:rsidP="00796EBD">
            <w:pPr>
              <w:spacing w:line="276" w:lineRule="auto"/>
              <w:rPr>
                <w:sz w:val="22"/>
              </w:rPr>
            </w:pPr>
            <w:r>
              <w:rPr>
                <w:sz w:val="22"/>
              </w:rPr>
              <w:t>.010</w:t>
            </w:r>
          </w:p>
        </w:tc>
        <w:tc>
          <w:tcPr>
            <w:tcW w:w="479" w:type="pct"/>
          </w:tcPr>
          <w:p w14:paraId="63CE4AC1" w14:textId="77777777" w:rsidR="00796EBD" w:rsidRDefault="00796EBD" w:rsidP="00796EBD">
            <w:pPr>
              <w:spacing w:line="276" w:lineRule="auto"/>
              <w:rPr>
                <w:sz w:val="22"/>
              </w:rPr>
            </w:pPr>
            <w:r>
              <w:rPr>
                <w:sz w:val="22"/>
              </w:rPr>
              <w:t>.010</w:t>
            </w:r>
          </w:p>
        </w:tc>
        <w:tc>
          <w:tcPr>
            <w:tcW w:w="402" w:type="pct"/>
          </w:tcPr>
          <w:p w14:paraId="7C16AFAB" w14:textId="77777777" w:rsidR="00796EBD" w:rsidRDefault="00796EBD" w:rsidP="00796EBD">
            <w:pPr>
              <w:spacing w:line="276" w:lineRule="auto"/>
              <w:rPr>
                <w:sz w:val="22"/>
              </w:rPr>
            </w:pPr>
            <w:r>
              <w:rPr>
                <w:sz w:val="22"/>
              </w:rPr>
              <w:t>.010</w:t>
            </w:r>
          </w:p>
        </w:tc>
      </w:tr>
      <w:tr w:rsidR="00796EBD" w:rsidRPr="005F79B8" w14:paraId="407B6BF8" w14:textId="77777777" w:rsidTr="00796EBD">
        <w:tc>
          <w:tcPr>
            <w:tcW w:w="404" w:type="pct"/>
            <w:tcBorders>
              <w:top w:val="single" w:sz="4" w:space="0" w:color="auto"/>
            </w:tcBorders>
          </w:tcPr>
          <w:p w14:paraId="6EFE2A43" w14:textId="77777777" w:rsidR="00796EBD" w:rsidRPr="00DA5F96" w:rsidRDefault="00796EBD" w:rsidP="00796EBD">
            <w:pPr>
              <w:spacing w:line="276" w:lineRule="auto"/>
              <w:rPr>
                <w:sz w:val="22"/>
              </w:rPr>
            </w:pPr>
            <w:r>
              <w:rPr>
                <w:sz w:val="22"/>
              </w:rPr>
              <w:t>FAS</w:t>
            </w:r>
          </w:p>
        </w:tc>
        <w:tc>
          <w:tcPr>
            <w:tcW w:w="485" w:type="pct"/>
            <w:tcBorders>
              <w:top w:val="single" w:sz="4" w:space="0" w:color="auto"/>
            </w:tcBorders>
          </w:tcPr>
          <w:p w14:paraId="27A84820" w14:textId="77777777" w:rsidR="00796EBD" w:rsidRPr="00DA5F96" w:rsidRDefault="00796EBD" w:rsidP="00796EBD">
            <w:pPr>
              <w:spacing w:line="276" w:lineRule="auto"/>
              <w:rPr>
                <w:sz w:val="22"/>
              </w:rPr>
            </w:pPr>
            <w:r w:rsidRPr="00DA5F96">
              <w:rPr>
                <w:sz w:val="22"/>
              </w:rPr>
              <w:t>Configural</w:t>
            </w:r>
          </w:p>
        </w:tc>
        <w:tc>
          <w:tcPr>
            <w:tcW w:w="340" w:type="pct"/>
            <w:tcBorders>
              <w:top w:val="single" w:sz="4" w:space="0" w:color="auto"/>
            </w:tcBorders>
          </w:tcPr>
          <w:p w14:paraId="7DE3A9CB" w14:textId="77777777" w:rsidR="00796EBD" w:rsidRPr="00DA5F96" w:rsidRDefault="00796EBD" w:rsidP="00796EBD">
            <w:pPr>
              <w:spacing w:line="276" w:lineRule="auto"/>
              <w:rPr>
                <w:sz w:val="22"/>
              </w:rPr>
            </w:pPr>
            <w:r>
              <w:rPr>
                <w:sz w:val="22"/>
              </w:rPr>
              <w:t>60.07</w:t>
            </w:r>
          </w:p>
        </w:tc>
        <w:tc>
          <w:tcPr>
            <w:tcW w:w="180" w:type="pct"/>
            <w:tcBorders>
              <w:top w:val="single" w:sz="4" w:space="0" w:color="auto"/>
            </w:tcBorders>
          </w:tcPr>
          <w:p w14:paraId="21F5DD77" w14:textId="77777777" w:rsidR="00796EBD" w:rsidRPr="00DA5F96" w:rsidRDefault="00796EBD" w:rsidP="00796EBD">
            <w:pPr>
              <w:spacing w:line="276" w:lineRule="auto"/>
              <w:rPr>
                <w:sz w:val="22"/>
              </w:rPr>
            </w:pPr>
            <w:r>
              <w:rPr>
                <w:sz w:val="22"/>
              </w:rPr>
              <w:t>28</w:t>
            </w:r>
          </w:p>
        </w:tc>
        <w:tc>
          <w:tcPr>
            <w:tcW w:w="348" w:type="pct"/>
            <w:tcBorders>
              <w:top w:val="single" w:sz="4" w:space="0" w:color="auto"/>
            </w:tcBorders>
          </w:tcPr>
          <w:p w14:paraId="703DD680" w14:textId="77777777" w:rsidR="00796EBD" w:rsidRPr="00DA5F96" w:rsidRDefault="00796EBD" w:rsidP="00796EBD">
            <w:pPr>
              <w:spacing w:line="276" w:lineRule="auto"/>
              <w:rPr>
                <w:sz w:val="22"/>
              </w:rPr>
            </w:pPr>
            <w:r>
              <w:rPr>
                <w:sz w:val="22"/>
              </w:rPr>
              <w:t>.989</w:t>
            </w:r>
          </w:p>
        </w:tc>
        <w:tc>
          <w:tcPr>
            <w:tcW w:w="440" w:type="pct"/>
            <w:tcBorders>
              <w:top w:val="single" w:sz="4" w:space="0" w:color="auto"/>
            </w:tcBorders>
          </w:tcPr>
          <w:p w14:paraId="0F5AD627" w14:textId="77777777" w:rsidR="00796EBD" w:rsidRPr="00DA5F96" w:rsidRDefault="00796EBD" w:rsidP="00796EBD">
            <w:pPr>
              <w:spacing w:line="276" w:lineRule="auto"/>
              <w:rPr>
                <w:sz w:val="22"/>
              </w:rPr>
            </w:pPr>
            <w:r>
              <w:rPr>
                <w:sz w:val="22"/>
              </w:rPr>
              <w:t>.055</w:t>
            </w:r>
          </w:p>
        </w:tc>
        <w:tc>
          <w:tcPr>
            <w:tcW w:w="344" w:type="pct"/>
            <w:tcBorders>
              <w:top w:val="single" w:sz="4" w:space="0" w:color="auto"/>
            </w:tcBorders>
          </w:tcPr>
          <w:p w14:paraId="2AD64E24" w14:textId="77777777" w:rsidR="00796EBD" w:rsidRPr="00DA5F96" w:rsidRDefault="00796EBD" w:rsidP="00796EBD">
            <w:pPr>
              <w:spacing w:line="276" w:lineRule="auto"/>
              <w:rPr>
                <w:sz w:val="22"/>
              </w:rPr>
            </w:pPr>
            <w:r>
              <w:rPr>
                <w:sz w:val="22"/>
              </w:rPr>
              <w:t>.021</w:t>
            </w:r>
          </w:p>
        </w:tc>
        <w:tc>
          <w:tcPr>
            <w:tcW w:w="598" w:type="pct"/>
            <w:tcBorders>
              <w:top w:val="single" w:sz="4" w:space="0" w:color="auto"/>
            </w:tcBorders>
          </w:tcPr>
          <w:p w14:paraId="7A8088DA" w14:textId="77777777" w:rsidR="00796EBD" w:rsidRPr="00DA5F96" w:rsidRDefault="00796EBD" w:rsidP="00796EBD">
            <w:pPr>
              <w:spacing w:line="276" w:lineRule="auto"/>
              <w:rPr>
                <w:sz w:val="22"/>
              </w:rPr>
            </w:pPr>
          </w:p>
        </w:tc>
        <w:tc>
          <w:tcPr>
            <w:tcW w:w="354" w:type="pct"/>
            <w:tcBorders>
              <w:top w:val="single" w:sz="4" w:space="0" w:color="auto"/>
            </w:tcBorders>
          </w:tcPr>
          <w:p w14:paraId="300F01DE" w14:textId="77777777" w:rsidR="00796EBD" w:rsidRPr="00DA5F96" w:rsidRDefault="00796EBD" w:rsidP="00796EBD">
            <w:pPr>
              <w:spacing w:line="276" w:lineRule="auto"/>
              <w:rPr>
                <w:sz w:val="22"/>
              </w:rPr>
            </w:pPr>
          </w:p>
        </w:tc>
        <w:tc>
          <w:tcPr>
            <w:tcW w:w="219" w:type="pct"/>
            <w:tcBorders>
              <w:top w:val="single" w:sz="4" w:space="0" w:color="auto"/>
            </w:tcBorders>
          </w:tcPr>
          <w:p w14:paraId="4AC76010" w14:textId="77777777" w:rsidR="00796EBD" w:rsidRPr="00DA5F96" w:rsidRDefault="00796EBD" w:rsidP="00796EBD">
            <w:pPr>
              <w:spacing w:line="276" w:lineRule="auto"/>
              <w:rPr>
                <w:sz w:val="22"/>
              </w:rPr>
            </w:pPr>
          </w:p>
        </w:tc>
        <w:tc>
          <w:tcPr>
            <w:tcW w:w="408" w:type="pct"/>
            <w:tcBorders>
              <w:top w:val="single" w:sz="4" w:space="0" w:color="auto"/>
            </w:tcBorders>
          </w:tcPr>
          <w:p w14:paraId="3D376709" w14:textId="77777777" w:rsidR="00796EBD" w:rsidRPr="00DA5F96" w:rsidRDefault="00796EBD" w:rsidP="00796EBD">
            <w:pPr>
              <w:spacing w:line="276" w:lineRule="auto"/>
              <w:rPr>
                <w:sz w:val="22"/>
              </w:rPr>
            </w:pPr>
          </w:p>
        </w:tc>
        <w:tc>
          <w:tcPr>
            <w:tcW w:w="479" w:type="pct"/>
            <w:tcBorders>
              <w:top w:val="single" w:sz="4" w:space="0" w:color="auto"/>
            </w:tcBorders>
          </w:tcPr>
          <w:p w14:paraId="1178A2D5" w14:textId="77777777" w:rsidR="00796EBD" w:rsidRPr="00DA5F96" w:rsidRDefault="00796EBD" w:rsidP="00796EBD">
            <w:pPr>
              <w:spacing w:line="276" w:lineRule="auto"/>
              <w:rPr>
                <w:sz w:val="22"/>
              </w:rPr>
            </w:pPr>
          </w:p>
        </w:tc>
        <w:tc>
          <w:tcPr>
            <w:tcW w:w="402" w:type="pct"/>
            <w:tcBorders>
              <w:top w:val="single" w:sz="4" w:space="0" w:color="auto"/>
            </w:tcBorders>
          </w:tcPr>
          <w:p w14:paraId="5C0B81B2" w14:textId="77777777" w:rsidR="00796EBD" w:rsidRPr="00DA5F96" w:rsidRDefault="00796EBD" w:rsidP="00796EBD">
            <w:pPr>
              <w:spacing w:line="276" w:lineRule="auto"/>
              <w:rPr>
                <w:sz w:val="22"/>
              </w:rPr>
            </w:pPr>
          </w:p>
        </w:tc>
      </w:tr>
      <w:tr w:rsidR="00796EBD" w:rsidRPr="005F79B8" w14:paraId="2342E13D" w14:textId="77777777" w:rsidTr="00796EBD">
        <w:tc>
          <w:tcPr>
            <w:tcW w:w="404" w:type="pct"/>
          </w:tcPr>
          <w:p w14:paraId="59E9EEEC" w14:textId="77777777" w:rsidR="00796EBD" w:rsidRPr="00DA5F96" w:rsidRDefault="00796EBD" w:rsidP="00796EBD">
            <w:pPr>
              <w:spacing w:line="276" w:lineRule="auto"/>
              <w:rPr>
                <w:sz w:val="22"/>
              </w:rPr>
            </w:pPr>
          </w:p>
        </w:tc>
        <w:tc>
          <w:tcPr>
            <w:tcW w:w="485" w:type="pct"/>
          </w:tcPr>
          <w:p w14:paraId="7E7FA7CD" w14:textId="77777777" w:rsidR="00796EBD" w:rsidRPr="00DA5F96" w:rsidRDefault="00796EBD" w:rsidP="00796EBD">
            <w:pPr>
              <w:spacing w:line="276" w:lineRule="auto"/>
              <w:rPr>
                <w:sz w:val="22"/>
              </w:rPr>
            </w:pPr>
            <w:r w:rsidRPr="00DA5F96">
              <w:rPr>
                <w:sz w:val="22"/>
              </w:rPr>
              <w:t>Metric</w:t>
            </w:r>
          </w:p>
        </w:tc>
        <w:tc>
          <w:tcPr>
            <w:tcW w:w="340" w:type="pct"/>
          </w:tcPr>
          <w:p w14:paraId="02555C09" w14:textId="77777777" w:rsidR="00796EBD" w:rsidRPr="00DA5F96" w:rsidRDefault="00796EBD" w:rsidP="00796EBD">
            <w:pPr>
              <w:spacing w:line="276" w:lineRule="auto"/>
              <w:rPr>
                <w:sz w:val="22"/>
              </w:rPr>
            </w:pPr>
            <w:r>
              <w:rPr>
                <w:sz w:val="22"/>
              </w:rPr>
              <w:t>87.95</w:t>
            </w:r>
          </w:p>
        </w:tc>
        <w:tc>
          <w:tcPr>
            <w:tcW w:w="180" w:type="pct"/>
          </w:tcPr>
          <w:p w14:paraId="1FB882CA" w14:textId="77777777" w:rsidR="00796EBD" w:rsidRPr="00DA5F96" w:rsidRDefault="00796EBD" w:rsidP="00796EBD">
            <w:pPr>
              <w:spacing w:line="276" w:lineRule="auto"/>
              <w:rPr>
                <w:sz w:val="22"/>
              </w:rPr>
            </w:pPr>
            <w:r>
              <w:rPr>
                <w:sz w:val="22"/>
              </w:rPr>
              <w:t>34</w:t>
            </w:r>
          </w:p>
        </w:tc>
        <w:tc>
          <w:tcPr>
            <w:tcW w:w="348" w:type="pct"/>
          </w:tcPr>
          <w:p w14:paraId="047E37BC" w14:textId="77777777" w:rsidR="00796EBD" w:rsidRPr="00DA5F96" w:rsidRDefault="00796EBD" w:rsidP="00796EBD">
            <w:pPr>
              <w:spacing w:line="276" w:lineRule="auto"/>
              <w:rPr>
                <w:sz w:val="22"/>
              </w:rPr>
            </w:pPr>
            <w:r>
              <w:rPr>
                <w:sz w:val="22"/>
              </w:rPr>
              <w:t>.980</w:t>
            </w:r>
          </w:p>
        </w:tc>
        <w:tc>
          <w:tcPr>
            <w:tcW w:w="440" w:type="pct"/>
          </w:tcPr>
          <w:p w14:paraId="792CE230" w14:textId="77777777" w:rsidR="00796EBD" w:rsidRPr="00DA5F96" w:rsidRDefault="00796EBD" w:rsidP="00796EBD">
            <w:pPr>
              <w:spacing w:line="276" w:lineRule="auto"/>
              <w:rPr>
                <w:sz w:val="22"/>
              </w:rPr>
            </w:pPr>
            <w:r>
              <w:rPr>
                <w:sz w:val="22"/>
              </w:rPr>
              <w:t>.063</w:t>
            </w:r>
          </w:p>
        </w:tc>
        <w:tc>
          <w:tcPr>
            <w:tcW w:w="344" w:type="pct"/>
          </w:tcPr>
          <w:p w14:paraId="49EE42CC" w14:textId="77777777" w:rsidR="00796EBD" w:rsidRPr="00DA5F96" w:rsidRDefault="00796EBD" w:rsidP="00796EBD">
            <w:pPr>
              <w:spacing w:line="276" w:lineRule="auto"/>
              <w:rPr>
                <w:sz w:val="22"/>
              </w:rPr>
            </w:pPr>
            <w:r>
              <w:rPr>
                <w:sz w:val="22"/>
              </w:rPr>
              <w:t>.049</w:t>
            </w:r>
          </w:p>
        </w:tc>
        <w:tc>
          <w:tcPr>
            <w:tcW w:w="598" w:type="pct"/>
          </w:tcPr>
          <w:p w14:paraId="54857396" w14:textId="77777777" w:rsidR="00796EBD" w:rsidRPr="00DA5F96" w:rsidRDefault="00796EBD" w:rsidP="00796EBD">
            <w:pPr>
              <w:spacing w:line="276" w:lineRule="auto"/>
              <w:rPr>
                <w:sz w:val="22"/>
              </w:rPr>
            </w:pPr>
            <w:r w:rsidRPr="00DA5F96">
              <w:rPr>
                <w:sz w:val="22"/>
              </w:rPr>
              <w:t>Configural vs metric</w:t>
            </w:r>
          </w:p>
        </w:tc>
        <w:tc>
          <w:tcPr>
            <w:tcW w:w="354" w:type="pct"/>
          </w:tcPr>
          <w:p w14:paraId="1EB0156A" w14:textId="7834BCB4" w:rsidR="00796EBD" w:rsidRPr="00DA5F96" w:rsidRDefault="00796EBD" w:rsidP="00796EBD">
            <w:pPr>
              <w:spacing w:line="276" w:lineRule="auto"/>
              <w:rPr>
                <w:sz w:val="22"/>
              </w:rPr>
            </w:pPr>
            <w:r>
              <w:rPr>
                <w:sz w:val="22"/>
              </w:rPr>
              <w:t>27.88*</w:t>
            </w:r>
          </w:p>
        </w:tc>
        <w:tc>
          <w:tcPr>
            <w:tcW w:w="219" w:type="pct"/>
          </w:tcPr>
          <w:p w14:paraId="643247C4" w14:textId="77777777" w:rsidR="00796EBD" w:rsidRPr="00DA5F96" w:rsidRDefault="00796EBD" w:rsidP="00796EBD">
            <w:pPr>
              <w:spacing w:line="276" w:lineRule="auto"/>
              <w:rPr>
                <w:sz w:val="22"/>
              </w:rPr>
            </w:pPr>
            <w:r>
              <w:rPr>
                <w:sz w:val="22"/>
              </w:rPr>
              <w:t>6</w:t>
            </w:r>
          </w:p>
        </w:tc>
        <w:tc>
          <w:tcPr>
            <w:tcW w:w="408" w:type="pct"/>
          </w:tcPr>
          <w:p w14:paraId="037A6C3F" w14:textId="77777777" w:rsidR="00796EBD" w:rsidRPr="00DA5F96" w:rsidRDefault="00796EBD" w:rsidP="00796EBD">
            <w:pPr>
              <w:spacing w:line="276" w:lineRule="auto"/>
              <w:rPr>
                <w:sz w:val="22"/>
              </w:rPr>
            </w:pPr>
            <w:r>
              <w:rPr>
                <w:sz w:val="22"/>
              </w:rPr>
              <w:t>.009</w:t>
            </w:r>
          </w:p>
        </w:tc>
        <w:tc>
          <w:tcPr>
            <w:tcW w:w="479" w:type="pct"/>
          </w:tcPr>
          <w:p w14:paraId="0A975C05" w14:textId="77777777" w:rsidR="00796EBD" w:rsidRPr="00DA5F96" w:rsidRDefault="00796EBD" w:rsidP="00796EBD">
            <w:pPr>
              <w:spacing w:line="276" w:lineRule="auto"/>
              <w:rPr>
                <w:sz w:val="22"/>
              </w:rPr>
            </w:pPr>
            <w:r>
              <w:rPr>
                <w:sz w:val="22"/>
              </w:rPr>
              <w:t>.008</w:t>
            </w:r>
          </w:p>
        </w:tc>
        <w:tc>
          <w:tcPr>
            <w:tcW w:w="402" w:type="pct"/>
          </w:tcPr>
          <w:p w14:paraId="6BB1E8F5" w14:textId="77777777" w:rsidR="00796EBD" w:rsidRPr="00DA5F96" w:rsidRDefault="00796EBD" w:rsidP="00796EBD">
            <w:pPr>
              <w:spacing w:line="276" w:lineRule="auto"/>
              <w:rPr>
                <w:sz w:val="22"/>
              </w:rPr>
            </w:pPr>
            <w:r>
              <w:rPr>
                <w:sz w:val="22"/>
              </w:rPr>
              <w:t>.028</w:t>
            </w:r>
          </w:p>
        </w:tc>
      </w:tr>
      <w:tr w:rsidR="00796EBD" w:rsidRPr="005F79B8" w14:paraId="07FF7912" w14:textId="77777777" w:rsidTr="00796EBD">
        <w:tc>
          <w:tcPr>
            <w:tcW w:w="404" w:type="pct"/>
          </w:tcPr>
          <w:p w14:paraId="57C799BB" w14:textId="77777777" w:rsidR="00796EBD" w:rsidRPr="00DA5F96" w:rsidRDefault="00796EBD" w:rsidP="00796EBD">
            <w:pPr>
              <w:spacing w:line="276" w:lineRule="auto"/>
              <w:rPr>
                <w:sz w:val="22"/>
              </w:rPr>
            </w:pPr>
          </w:p>
        </w:tc>
        <w:tc>
          <w:tcPr>
            <w:tcW w:w="485" w:type="pct"/>
          </w:tcPr>
          <w:p w14:paraId="1F617A18" w14:textId="77777777" w:rsidR="00796EBD" w:rsidRPr="00DA5F96" w:rsidRDefault="00796EBD" w:rsidP="00796EBD">
            <w:pPr>
              <w:spacing w:line="276" w:lineRule="auto"/>
              <w:rPr>
                <w:sz w:val="22"/>
              </w:rPr>
            </w:pPr>
            <w:r w:rsidRPr="00DA5F96">
              <w:rPr>
                <w:sz w:val="22"/>
              </w:rPr>
              <w:t>Scalar</w:t>
            </w:r>
          </w:p>
        </w:tc>
        <w:tc>
          <w:tcPr>
            <w:tcW w:w="340" w:type="pct"/>
          </w:tcPr>
          <w:p w14:paraId="7995B86B" w14:textId="77777777" w:rsidR="00796EBD" w:rsidRPr="00DA5F96" w:rsidRDefault="00796EBD" w:rsidP="00796EBD">
            <w:pPr>
              <w:spacing w:line="276" w:lineRule="auto"/>
              <w:rPr>
                <w:sz w:val="22"/>
              </w:rPr>
            </w:pPr>
            <w:r>
              <w:rPr>
                <w:sz w:val="22"/>
              </w:rPr>
              <w:t>150.51</w:t>
            </w:r>
          </w:p>
        </w:tc>
        <w:tc>
          <w:tcPr>
            <w:tcW w:w="180" w:type="pct"/>
          </w:tcPr>
          <w:p w14:paraId="7FD0C891" w14:textId="77777777" w:rsidR="00796EBD" w:rsidRPr="00DA5F96" w:rsidRDefault="00796EBD" w:rsidP="00796EBD">
            <w:pPr>
              <w:spacing w:line="276" w:lineRule="auto"/>
              <w:rPr>
                <w:sz w:val="22"/>
              </w:rPr>
            </w:pPr>
            <w:r>
              <w:rPr>
                <w:sz w:val="22"/>
              </w:rPr>
              <w:t>40</w:t>
            </w:r>
          </w:p>
        </w:tc>
        <w:tc>
          <w:tcPr>
            <w:tcW w:w="348" w:type="pct"/>
          </w:tcPr>
          <w:p w14:paraId="07AB71DE" w14:textId="77777777" w:rsidR="00796EBD" w:rsidRPr="00DA5F96" w:rsidRDefault="00796EBD" w:rsidP="00796EBD">
            <w:pPr>
              <w:spacing w:line="276" w:lineRule="auto"/>
              <w:rPr>
                <w:sz w:val="22"/>
              </w:rPr>
            </w:pPr>
            <w:r>
              <w:rPr>
                <w:sz w:val="22"/>
              </w:rPr>
              <w:t>.962</w:t>
            </w:r>
          </w:p>
        </w:tc>
        <w:tc>
          <w:tcPr>
            <w:tcW w:w="440" w:type="pct"/>
          </w:tcPr>
          <w:p w14:paraId="573C099E" w14:textId="77777777" w:rsidR="00796EBD" w:rsidRPr="00DA5F96" w:rsidRDefault="00796EBD" w:rsidP="00796EBD">
            <w:pPr>
              <w:spacing w:line="276" w:lineRule="auto"/>
              <w:rPr>
                <w:sz w:val="22"/>
              </w:rPr>
            </w:pPr>
            <w:r>
              <w:rPr>
                <w:sz w:val="22"/>
              </w:rPr>
              <w:t>.080</w:t>
            </w:r>
          </w:p>
        </w:tc>
        <w:tc>
          <w:tcPr>
            <w:tcW w:w="344" w:type="pct"/>
          </w:tcPr>
          <w:p w14:paraId="3549E68A" w14:textId="77777777" w:rsidR="00796EBD" w:rsidRPr="00DA5F96" w:rsidRDefault="00796EBD" w:rsidP="00796EBD">
            <w:pPr>
              <w:spacing w:line="276" w:lineRule="auto"/>
              <w:rPr>
                <w:sz w:val="22"/>
              </w:rPr>
            </w:pPr>
            <w:r>
              <w:rPr>
                <w:sz w:val="22"/>
              </w:rPr>
              <w:t>.062</w:t>
            </w:r>
          </w:p>
        </w:tc>
        <w:tc>
          <w:tcPr>
            <w:tcW w:w="598" w:type="pct"/>
          </w:tcPr>
          <w:p w14:paraId="6F1E0470" w14:textId="77777777" w:rsidR="00796EBD" w:rsidRPr="00DA5F96" w:rsidRDefault="00796EBD" w:rsidP="00796EBD">
            <w:pPr>
              <w:spacing w:line="276" w:lineRule="auto"/>
              <w:rPr>
                <w:sz w:val="22"/>
              </w:rPr>
            </w:pPr>
            <w:r w:rsidRPr="00DA5F96">
              <w:rPr>
                <w:sz w:val="22"/>
              </w:rPr>
              <w:t>Metric vs scalar</w:t>
            </w:r>
          </w:p>
        </w:tc>
        <w:tc>
          <w:tcPr>
            <w:tcW w:w="354" w:type="pct"/>
          </w:tcPr>
          <w:p w14:paraId="6D9D2163" w14:textId="1A383064" w:rsidR="00796EBD" w:rsidRPr="00DA5F96" w:rsidRDefault="00796EBD" w:rsidP="00796EBD">
            <w:pPr>
              <w:spacing w:line="276" w:lineRule="auto"/>
              <w:rPr>
                <w:sz w:val="22"/>
              </w:rPr>
            </w:pPr>
            <w:r>
              <w:rPr>
                <w:sz w:val="22"/>
              </w:rPr>
              <w:t>62.56*</w:t>
            </w:r>
          </w:p>
        </w:tc>
        <w:tc>
          <w:tcPr>
            <w:tcW w:w="219" w:type="pct"/>
          </w:tcPr>
          <w:p w14:paraId="4016D7F6" w14:textId="77777777" w:rsidR="00796EBD" w:rsidRPr="00DA5F96" w:rsidRDefault="00796EBD" w:rsidP="00796EBD">
            <w:pPr>
              <w:spacing w:line="276" w:lineRule="auto"/>
              <w:rPr>
                <w:sz w:val="22"/>
              </w:rPr>
            </w:pPr>
            <w:r>
              <w:rPr>
                <w:sz w:val="22"/>
              </w:rPr>
              <w:t>6</w:t>
            </w:r>
          </w:p>
        </w:tc>
        <w:tc>
          <w:tcPr>
            <w:tcW w:w="408" w:type="pct"/>
          </w:tcPr>
          <w:p w14:paraId="77597181" w14:textId="77777777" w:rsidR="00796EBD" w:rsidRPr="00DA5F96" w:rsidRDefault="00796EBD" w:rsidP="00796EBD">
            <w:pPr>
              <w:spacing w:line="276" w:lineRule="auto"/>
              <w:rPr>
                <w:sz w:val="22"/>
              </w:rPr>
            </w:pPr>
            <w:r>
              <w:rPr>
                <w:sz w:val="22"/>
              </w:rPr>
              <w:t>.018</w:t>
            </w:r>
          </w:p>
        </w:tc>
        <w:tc>
          <w:tcPr>
            <w:tcW w:w="479" w:type="pct"/>
          </w:tcPr>
          <w:p w14:paraId="3D646A4F" w14:textId="77777777" w:rsidR="00796EBD" w:rsidRPr="00DA5F96" w:rsidRDefault="00796EBD" w:rsidP="00796EBD">
            <w:pPr>
              <w:spacing w:line="276" w:lineRule="auto"/>
              <w:rPr>
                <w:sz w:val="22"/>
              </w:rPr>
            </w:pPr>
            <w:r>
              <w:rPr>
                <w:sz w:val="22"/>
              </w:rPr>
              <w:t>.017</w:t>
            </w:r>
          </w:p>
        </w:tc>
        <w:tc>
          <w:tcPr>
            <w:tcW w:w="402" w:type="pct"/>
          </w:tcPr>
          <w:p w14:paraId="504F29B2" w14:textId="77777777" w:rsidR="00796EBD" w:rsidRPr="00DA5F96" w:rsidRDefault="00796EBD" w:rsidP="00796EBD">
            <w:pPr>
              <w:spacing w:line="276" w:lineRule="auto"/>
              <w:rPr>
                <w:sz w:val="22"/>
              </w:rPr>
            </w:pPr>
            <w:r>
              <w:rPr>
                <w:sz w:val="22"/>
              </w:rPr>
              <w:t>.013</w:t>
            </w:r>
          </w:p>
        </w:tc>
      </w:tr>
      <w:tr w:rsidR="00796EBD" w:rsidRPr="005F79B8" w14:paraId="732D73F6" w14:textId="77777777" w:rsidTr="00796EBD">
        <w:tc>
          <w:tcPr>
            <w:tcW w:w="404" w:type="pct"/>
            <w:tcBorders>
              <w:bottom w:val="single" w:sz="4" w:space="0" w:color="auto"/>
            </w:tcBorders>
          </w:tcPr>
          <w:p w14:paraId="6ED44E20" w14:textId="77777777" w:rsidR="00796EBD" w:rsidRPr="00DA5F96" w:rsidRDefault="00796EBD" w:rsidP="00796EBD">
            <w:pPr>
              <w:spacing w:line="276" w:lineRule="auto"/>
              <w:rPr>
                <w:sz w:val="22"/>
              </w:rPr>
            </w:pPr>
          </w:p>
        </w:tc>
        <w:tc>
          <w:tcPr>
            <w:tcW w:w="485" w:type="pct"/>
            <w:tcBorders>
              <w:bottom w:val="single" w:sz="4" w:space="0" w:color="auto"/>
            </w:tcBorders>
          </w:tcPr>
          <w:p w14:paraId="61C6105E" w14:textId="77777777" w:rsidR="00796EBD" w:rsidRPr="00DA5F96" w:rsidRDefault="00796EBD" w:rsidP="00796EBD">
            <w:pPr>
              <w:spacing w:line="276" w:lineRule="auto"/>
              <w:rPr>
                <w:sz w:val="22"/>
              </w:rPr>
            </w:pPr>
            <w:r>
              <w:rPr>
                <w:sz w:val="22"/>
              </w:rPr>
              <w:t>Partial scalar: Item 4</w:t>
            </w:r>
          </w:p>
        </w:tc>
        <w:tc>
          <w:tcPr>
            <w:tcW w:w="340" w:type="pct"/>
            <w:tcBorders>
              <w:bottom w:val="single" w:sz="4" w:space="0" w:color="auto"/>
            </w:tcBorders>
          </w:tcPr>
          <w:p w14:paraId="066ED1F9" w14:textId="77777777" w:rsidR="00796EBD" w:rsidRPr="00DA5F96" w:rsidRDefault="00796EBD" w:rsidP="00796EBD">
            <w:pPr>
              <w:spacing w:line="276" w:lineRule="auto"/>
              <w:rPr>
                <w:sz w:val="22"/>
              </w:rPr>
            </w:pPr>
            <w:r>
              <w:rPr>
                <w:sz w:val="22"/>
              </w:rPr>
              <w:t>123.66</w:t>
            </w:r>
          </w:p>
        </w:tc>
        <w:tc>
          <w:tcPr>
            <w:tcW w:w="180" w:type="pct"/>
            <w:tcBorders>
              <w:bottom w:val="single" w:sz="4" w:space="0" w:color="auto"/>
            </w:tcBorders>
          </w:tcPr>
          <w:p w14:paraId="6479FF8B" w14:textId="77777777" w:rsidR="00796EBD" w:rsidRPr="00DA5F96" w:rsidRDefault="00796EBD" w:rsidP="00796EBD">
            <w:pPr>
              <w:spacing w:line="276" w:lineRule="auto"/>
              <w:rPr>
                <w:sz w:val="22"/>
              </w:rPr>
            </w:pPr>
            <w:r>
              <w:rPr>
                <w:sz w:val="22"/>
              </w:rPr>
              <w:t>39</w:t>
            </w:r>
          </w:p>
        </w:tc>
        <w:tc>
          <w:tcPr>
            <w:tcW w:w="348" w:type="pct"/>
            <w:tcBorders>
              <w:bottom w:val="single" w:sz="4" w:space="0" w:color="auto"/>
            </w:tcBorders>
          </w:tcPr>
          <w:p w14:paraId="374D5947" w14:textId="77777777" w:rsidR="00796EBD" w:rsidRPr="00DA5F96" w:rsidRDefault="00796EBD" w:rsidP="00796EBD">
            <w:pPr>
              <w:spacing w:line="276" w:lineRule="auto"/>
              <w:rPr>
                <w:sz w:val="22"/>
              </w:rPr>
            </w:pPr>
            <w:r>
              <w:rPr>
                <w:sz w:val="22"/>
              </w:rPr>
              <w:t>.974</w:t>
            </w:r>
          </w:p>
        </w:tc>
        <w:tc>
          <w:tcPr>
            <w:tcW w:w="440" w:type="pct"/>
            <w:tcBorders>
              <w:bottom w:val="single" w:sz="4" w:space="0" w:color="auto"/>
            </w:tcBorders>
          </w:tcPr>
          <w:p w14:paraId="2D66D435" w14:textId="77777777" w:rsidR="00796EBD" w:rsidRPr="00DA5F96" w:rsidRDefault="00796EBD" w:rsidP="00796EBD">
            <w:pPr>
              <w:spacing w:line="276" w:lineRule="auto"/>
              <w:rPr>
                <w:sz w:val="22"/>
              </w:rPr>
            </w:pPr>
            <w:r>
              <w:rPr>
                <w:sz w:val="22"/>
              </w:rPr>
              <w:t>.072</w:t>
            </w:r>
          </w:p>
        </w:tc>
        <w:tc>
          <w:tcPr>
            <w:tcW w:w="344" w:type="pct"/>
            <w:tcBorders>
              <w:bottom w:val="single" w:sz="4" w:space="0" w:color="auto"/>
            </w:tcBorders>
          </w:tcPr>
          <w:p w14:paraId="5CE7BFCE" w14:textId="77777777" w:rsidR="00796EBD" w:rsidRPr="00DA5F96" w:rsidRDefault="00796EBD" w:rsidP="00796EBD">
            <w:pPr>
              <w:spacing w:line="276" w:lineRule="auto"/>
              <w:rPr>
                <w:sz w:val="22"/>
              </w:rPr>
            </w:pPr>
            <w:r>
              <w:rPr>
                <w:sz w:val="22"/>
              </w:rPr>
              <w:t>.056</w:t>
            </w:r>
          </w:p>
        </w:tc>
        <w:tc>
          <w:tcPr>
            <w:tcW w:w="598" w:type="pct"/>
            <w:tcBorders>
              <w:bottom w:val="single" w:sz="4" w:space="0" w:color="auto"/>
            </w:tcBorders>
          </w:tcPr>
          <w:p w14:paraId="41B637C6" w14:textId="77777777" w:rsidR="00796EBD" w:rsidRPr="00DA5F96" w:rsidRDefault="00796EBD" w:rsidP="00796EBD">
            <w:pPr>
              <w:spacing w:line="276" w:lineRule="auto"/>
              <w:rPr>
                <w:sz w:val="22"/>
              </w:rPr>
            </w:pPr>
            <w:r>
              <w:rPr>
                <w:sz w:val="22"/>
              </w:rPr>
              <w:t>Metric vs partial scalar</w:t>
            </w:r>
          </w:p>
        </w:tc>
        <w:tc>
          <w:tcPr>
            <w:tcW w:w="354" w:type="pct"/>
            <w:tcBorders>
              <w:bottom w:val="single" w:sz="4" w:space="0" w:color="auto"/>
            </w:tcBorders>
          </w:tcPr>
          <w:p w14:paraId="06867D07" w14:textId="78A52E7D" w:rsidR="00796EBD" w:rsidRPr="00DA5F96" w:rsidRDefault="00796EBD" w:rsidP="00796EBD">
            <w:pPr>
              <w:spacing w:line="276" w:lineRule="auto"/>
              <w:rPr>
                <w:sz w:val="22"/>
              </w:rPr>
            </w:pPr>
            <w:r>
              <w:rPr>
                <w:sz w:val="22"/>
              </w:rPr>
              <w:t>35.71*</w:t>
            </w:r>
          </w:p>
        </w:tc>
        <w:tc>
          <w:tcPr>
            <w:tcW w:w="219" w:type="pct"/>
            <w:tcBorders>
              <w:bottom w:val="single" w:sz="4" w:space="0" w:color="auto"/>
            </w:tcBorders>
          </w:tcPr>
          <w:p w14:paraId="70771DB4" w14:textId="77777777" w:rsidR="00796EBD" w:rsidRPr="00DA5F96" w:rsidRDefault="00796EBD" w:rsidP="00796EBD">
            <w:pPr>
              <w:spacing w:line="276" w:lineRule="auto"/>
              <w:rPr>
                <w:sz w:val="22"/>
              </w:rPr>
            </w:pPr>
            <w:r>
              <w:rPr>
                <w:sz w:val="22"/>
              </w:rPr>
              <w:t>5</w:t>
            </w:r>
          </w:p>
        </w:tc>
        <w:tc>
          <w:tcPr>
            <w:tcW w:w="408" w:type="pct"/>
            <w:tcBorders>
              <w:bottom w:val="single" w:sz="4" w:space="0" w:color="auto"/>
            </w:tcBorders>
          </w:tcPr>
          <w:p w14:paraId="44DEFD62" w14:textId="77777777" w:rsidR="00796EBD" w:rsidRPr="00DA5F96" w:rsidRDefault="00796EBD" w:rsidP="00796EBD">
            <w:pPr>
              <w:spacing w:line="276" w:lineRule="auto"/>
              <w:rPr>
                <w:sz w:val="22"/>
              </w:rPr>
            </w:pPr>
            <w:r>
              <w:rPr>
                <w:sz w:val="22"/>
              </w:rPr>
              <w:t>.006</w:t>
            </w:r>
          </w:p>
        </w:tc>
        <w:tc>
          <w:tcPr>
            <w:tcW w:w="479" w:type="pct"/>
            <w:tcBorders>
              <w:bottom w:val="single" w:sz="4" w:space="0" w:color="auto"/>
            </w:tcBorders>
          </w:tcPr>
          <w:p w14:paraId="39AB81F4" w14:textId="77777777" w:rsidR="00796EBD" w:rsidRPr="00DA5F96" w:rsidRDefault="00796EBD" w:rsidP="00796EBD">
            <w:pPr>
              <w:spacing w:line="276" w:lineRule="auto"/>
              <w:rPr>
                <w:sz w:val="22"/>
              </w:rPr>
            </w:pPr>
            <w:r>
              <w:rPr>
                <w:sz w:val="22"/>
              </w:rPr>
              <w:t>.009</w:t>
            </w:r>
          </w:p>
        </w:tc>
        <w:tc>
          <w:tcPr>
            <w:tcW w:w="402" w:type="pct"/>
            <w:tcBorders>
              <w:bottom w:val="single" w:sz="4" w:space="0" w:color="auto"/>
            </w:tcBorders>
          </w:tcPr>
          <w:p w14:paraId="03A52FF5" w14:textId="77777777" w:rsidR="00796EBD" w:rsidRPr="00DA5F96" w:rsidRDefault="00796EBD" w:rsidP="00796EBD">
            <w:pPr>
              <w:spacing w:line="276" w:lineRule="auto"/>
              <w:rPr>
                <w:sz w:val="22"/>
              </w:rPr>
            </w:pPr>
            <w:r>
              <w:rPr>
                <w:sz w:val="22"/>
              </w:rPr>
              <w:t>.007</w:t>
            </w:r>
          </w:p>
        </w:tc>
      </w:tr>
    </w:tbl>
    <w:p w14:paraId="1841A094" w14:textId="77777777" w:rsidR="00796EBD" w:rsidRDefault="00796EBD" w:rsidP="001C40FC">
      <w:pPr>
        <w:spacing w:line="480" w:lineRule="auto"/>
        <w:rPr>
          <w:i/>
          <w:iCs/>
          <w:color w:val="000000" w:themeColor="text1"/>
        </w:rPr>
      </w:pPr>
    </w:p>
    <w:p w14:paraId="07074893" w14:textId="77777777" w:rsidR="00796EBD" w:rsidRDefault="00796EBD" w:rsidP="001C40FC">
      <w:pPr>
        <w:spacing w:line="480" w:lineRule="auto"/>
        <w:rPr>
          <w:i/>
          <w:iCs/>
          <w:color w:val="000000" w:themeColor="text1"/>
        </w:rPr>
      </w:pPr>
    </w:p>
    <w:p w14:paraId="38F77E0D" w14:textId="77777777" w:rsidR="00796EBD" w:rsidRDefault="00796EBD" w:rsidP="001C40FC">
      <w:pPr>
        <w:spacing w:line="480" w:lineRule="auto"/>
        <w:rPr>
          <w:i/>
          <w:iCs/>
          <w:color w:val="000000" w:themeColor="text1"/>
        </w:rPr>
      </w:pPr>
    </w:p>
    <w:p w14:paraId="16CEE83A" w14:textId="77777777" w:rsidR="00796EBD" w:rsidRDefault="00796EBD" w:rsidP="001C40FC">
      <w:pPr>
        <w:spacing w:line="480" w:lineRule="auto"/>
        <w:rPr>
          <w:i/>
          <w:iCs/>
          <w:color w:val="000000" w:themeColor="text1"/>
        </w:rPr>
      </w:pPr>
    </w:p>
    <w:p w14:paraId="639A6494" w14:textId="77777777" w:rsidR="00796EBD" w:rsidRDefault="00796EBD" w:rsidP="001C40FC">
      <w:pPr>
        <w:spacing w:line="480" w:lineRule="auto"/>
        <w:rPr>
          <w:i/>
          <w:iCs/>
          <w:color w:val="000000" w:themeColor="text1"/>
        </w:rPr>
      </w:pPr>
    </w:p>
    <w:p w14:paraId="76AC12B3" w14:textId="77777777" w:rsidR="00796EBD" w:rsidRDefault="00796EBD" w:rsidP="001C40FC">
      <w:pPr>
        <w:spacing w:line="480" w:lineRule="auto"/>
        <w:rPr>
          <w:i/>
          <w:iCs/>
          <w:color w:val="000000" w:themeColor="text1"/>
        </w:rPr>
      </w:pPr>
    </w:p>
    <w:p w14:paraId="06EA2AAF" w14:textId="77777777" w:rsidR="00796EBD" w:rsidRDefault="00796EBD" w:rsidP="001C40FC">
      <w:pPr>
        <w:spacing w:line="480" w:lineRule="auto"/>
        <w:rPr>
          <w:i/>
          <w:iCs/>
          <w:color w:val="000000" w:themeColor="text1"/>
        </w:rPr>
      </w:pPr>
    </w:p>
    <w:p w14:paraId="63E4BB67" w14:textId="77777777" w:rsidR="00796EBD" w:rsidRDefault="00796EBD" w:rsidP="001C40FC">
      <w:pPr>
        <w:spacing w:line="480" w:lineRule="auto"/>
        <w:rPr>
          <w:i/>
          <w:iCs/>
          <w:color w:val="000000" w:themeColor="text1"/>
        </w:rPr>
      </w:pPr>
    </w:p>
    <w:p w14:paraId="7AAD9891" w14:textId="77777777" w:rsidR="00796EBD" w:rsidRDefault="00796EBD" w:rsidP="001C40FC">
      <w:pPr>
        <w:spacing w:line="480" w:lineRule="auto"/>
        <w:rPr>
          <w:i/>
          <w:iCs/>
          <w:color w:val="000000" w:themeColor="text1"/>
        </w:rPr>
      </w:pPr>
    </w:p>
    <w:p w14:paraId="7EECF5F0" w14:textId="77777777" w:rsidR="00796EBD" w:rsidRDefault="00796EBD" w:rsidP="001C40FC">
      <w:pPr>
        <w:spacing w:line="480" w:lineRule="auto"/>
        <w:rPr>
          <w:i/>
          <w:iCs/>
          <w:color w:val="000000" w:themeColor="text1"/>
        </w:rPr>
      </w:pPr>
    </w:p>
    <w:p w14:paraId="2299FBCE" w14:textId="77777777" w:rsidR="00796EBD" w:rsidRDefault="00796EBD" w:rsidP="001C40FC">
      <w:pPr>
        <w:spacing w:line="480" w:lineRule="auto"/>
        <w:rPr>
          <w:i/>
          <w:iCs/>
          <w:color w:val="000000" w:themeColor="text1"/>
        </w:rPr>
      </w:pPr>
    </w:p>
    <w:p w14:paraId="110CFD62" w14:textId="77777777" w:rsidR="00796EBD" w:rsidRDefault="00796EBD" w:rsidP="001C40FC">
      <w:pPr>
        <w:spacing w:line="480" w:lineRule="auto"/>
        <w:rPr>
          <w:i/>
          <w:iCs/>
          <w:color w:val="000000" w:themeColor="text1"/>
        </w:rPr>
      </w:pPr>
    </w:p>
    <w:p w14:paraId="78EBF1F7" w14:textId="14DEACC7" w:rsidR="001C40FC" w:rsidRPr="00796EBD" w:rsidRDefault="54828480" w:rsidP="001C40FC">
      <w:pPr>
        <w:spacing w:line="480" w:lineRule="auto"/>
        <w:rPr>
          <w:iCs/>
          <w:color w:val="000000" w:themeColor="text1"/>
        </w:rPr>
      </w:pPr>
      <w:r w:rsidRPr="54828480">
        <w:rPr>
          <w:i/>
          <w:iCs/>
          <w:color w:val="000000" w:themeColor="text1"/>
        </w:rPr>
        <w:lastRenderedPageBreak/>
        <w:t xml:space="preserve">Note. N </w:t>
      </w:r>
      <w:r w:rsidR="0098103D">
        <w:rPr>
          <w:color w:val="000000" w:themeColor="text1"/>
        </w:rPr>
        <w:t>= 1411</w:t>
      </w:r>
      <w:r w:rsidRPr="54828480">
        <w:rPr>
          <w:color w:val="000000" w:themeColor="text1"/>
        </w:rPr>
        <w:t>; United Kingdom</w:t>
      </w:r>
      <w:r w:rsidRPr="54828480">
        <w:rPr>
          <w:i/>
          <w:iCs/>
          <w:color w:val="000000" w:themeColor="text1"/>
        </w:rPr>
        <w:t xml:space="preserve"> </w:t>
      </w:r>
      <w:r w:rsidR="0098103D">
        <w:rPr>
          <w:color w:val="000000" w:themeColor="text1"/>
        </w:rPr>
        <w:t>= 596</w:t>
      </w:r>
      <w:r w:rsidRPr="54828480">
        <w:rPr>
          <w:color w:val="000000" w:themeColor="text1"/>
        </w:rPr>
        <w:t xml:space="preserve"> (women </w:t>
      </w:r>
      <w:r w:rsidRPr="54828480">
        <w:rPr>
          <w:i/>
          <w:iCs/>
          <w:color w:val="000000" w:themeColor="text1"/>
        </w:rPr>
        <w:t xml:space="preserve">n </w:t>
      </w:r>
      <w:r w:rsidR="0098103D">
        <w:rPr>
          <w:color w:val="000000" w:themeColor="text1"/>
        </w:rPr>
        <w:t>= 41</w:t>
      </w:r>
      <w:r w:rsidRPr="54828480">
        <w:rPr>
          <w:color w:val="000000" w:themeColor="text1"/>
        </w:rPr>
        <w:t xml:space="preserve">6, men </w:t>
      </w:r>
      <w:r w:rsidRPr="54828480">
        <w:rPr>
          <w:i/>
          <w:iCs/>
          <w:color w:val="000000" w:themeColor="text1"/>
        </w:rPr>
        <w:t xml:space="preserve">n </w:t>
      </w:r>
      <w:r w:rsidR="0098103D">
        <w:rPr>
          <w:color w:val="000000" w:themeColor="text1"/>
        </w:rPr>
        <w:t>= 180</w:t>
      </w:r>
      <w:r w:rsidRPr="54828480">
        <w:rPr>
          <w:color w:val="000000" w:themeColor="text1"/>
        </w:rPr>
        <w:t xml:space="preserve">), Malaysia = 815 (women </w:t>
      </w:r>
      <w:r w:rsidRPr="54828480">
        <w:rPr>
          <w:i/>
          <w:iCs/>
          <w:color w:val="000000" w:themeColor="text1"/>
        </w:rPr>
        <w:t xml:space="preserve">n </w:t>
      </w:r>
      <w:r w:rsidRPr="54828480">
        <w:rPr>
          <w:color w:val="000000" w:themeColor="text1"/>
        </w:rPr>
        <w:t xml:space="preserve">= 403, men </w:t>
      </w:r>
      <w:r w:rsidRPr="54828480">
        <w:rPr>
          <w:i/>
          <w:iCs/>
          <w:color w:val="000000" w:themeColor="text1"/>
        </w:rPr>
        <w:t xml:space="preserve">n </w:t>
      </w:r>
      <w:r w:rsidRPr="54828480">
        <w:rPr>
          <w:color w:val="000000" w:themeColor="text1"/>
        </w:rPr>
        <w:t xml:space="preserve">= 412); CFI = comparative fit index; RMSEA = </w:t>
      </w:r>
      <w:proofErr w:type="spellStart"/>
      <w:r w:rsidRPr="54828480">
        <w:rPr>
          <w:color w:val="000000" w:themeColor="text1"/>
        </w:rPr>
        <w:t>Steiger</w:t>
      </w:r>
      <w:proofErr w:type="spellEnd"/>
      <w:r w:rsidRPr="54828480">
        <w:rPr>
          <w:color w:val="000000" w:themeColor="text1"/>
        </w:rPr>
        <w:t xml:space="preserve">-Lind root mean square error of approximation; SRMR = standardised root </w:t>
      </w:r>
      <w:proofErr w:type="gramStart"/>
      <w:r w:rsidRPr="54828480">
        <w:rPr>
          <w:color w:val="000000" w:themeColor="text1"/>
        </w:rPr>
        <w:t>mean</w:t>
      </w:r>
      <w:proofErr w:type="gramEnd"/>
      <w:r w:rsidRPr="54828480">
        <w:rPr>
          <w:color w:val="000000" w:themeColor="text1"/>
        </w:rPr>
        <w:t xml:space="preserve"> square residual</w:t>
      </w:r>
      <w:r w:rsidR="009078CB">
        <w:rPr>
          <w:color w:val="000000" w:themeColor="text1"/>
        </w:rPr>
        <w:t xml:space="preserve">; SB = </w:t>
      </w:r>
      <w:proofErr w:type="spellStart"/>
      <w:r w:rsidR="009078CB">
        <w:rPr>
          <w:color w:val="000000" w:themeColor="text1"/>
        </w:rPr>
        <w:t>Satorra-Bentler</w:t>
      </w:r>
      <w:proofErr w:type="spellEnd"/>
      <w:r w:rsidR="009078CB">
        <w:rPr>
          <w:color w:val="000000" w:themeColor="text1"/>
        </w:rPr>
        <w:t>.</w:t>
      </w:r>
      <w:r w:rsidR="00796EBD">
        <w:rPr>
          <w:color w:val="000000" w:themeColor="text1"/>
        </w:rPr>
        <w:t xml:space="preserve"> * </w:t>
      </w:r>
      <w:r w:rsidR="00796EBD">
        <w:rPr>
          <w:i/>
          <w:color w:val="000000" w:themeColor="text1"/>
        </w:rPr>
        <w:t xml:space="preserve">p </w:t>
      </w:r>
      <w:r w:rsidR="00796EBD">
        <w:rPr>
          <w:color w:val="000000" w:themeColor="text1"/>
        </w:rPr>
        <w:t xml:space="preserve">&lt; .001. </w:t>
      </w:r>
    </w:p>
    <w:p w14:paraId="0F4FCF26" w14:textId="77777777" w:rsidR="00796EBD" w:rsidRDefault="00796EBD">
      <w:r>
        <w:br w:type="page"/>
      </w:r>
    </w:p>
    <w:p w14:paraId="0D74BD03" w14:textId="77777777" w:rsidR="00796EBD" w:rsidRDefault="54828480" w:rsidP="00EE05DA">
      <w:pPr>
        <w:spacing w:line="480" w:lineRule="auto"/>
        <w:ind w:right="68"/>
      </w:pPr>
      <w:r w:rsidRPr="54828480">
        <w:lastRenderedPageBreak/>
        <w:t xml:space="preserve">Table 2. </w:t>
      </w:r>
    </w:p>
    <w:p w14:paraId="0CDCD270" w14:textId="03CA92F7" w:rsidR="00353EF5" w:rsidRDefault="54828480" w:rsidP="00EE05DA">
      <w:pPr>
        <w:spacing w:line="480" w:lineRule="auto"/>
        <w:ind w:right="68"/>
        <w:rPr>
          <w:i/>
          <w:iCs/>
        </w:rPr>
      </w:pPr>
      <w:r w:rsidRPr="54828480">
        <w:rPr>
          <w:i/>
          <w:iCs/>
        </w:rPr>
        <w:t xml:space="preserve">Descriptive Statistics for the Analyses of Variance.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100"/>
        <w:gridCol w:w="3099"/>
        <w:gridCol w:w="3096"/>
        <w:gridCol w:w="1551"/>
        <w:gridCol w:w="1551"/>
        <w:gridCol w:w="1551"/>
      </w:tblGrid>
      <w:tr w:rsidR="00353EF5" w14:paraId="01FF7D9D" w14:textId="77777777" w:rsidTr="54828480">
        <w:tc>
          <w:tcPr>
            <w:tcW w:w="1111" w:type="pct"/>
            <w:tcBorders>
              <w:left w:val="single" w:sz="4" w:space="0" w:color="FFFFFF" w:themeColor="background1"/>
              <w:bottom w:val="single" w:sz="4" w:space="0" w:color="000000" w:themeColor="text1"/>
            </w:tcBorders>
          </w:tcPr>
          <w:p w14:paraId="0E81C3FE" w14:textId="77777777" w:rsidR="00353EF5" w:rsidRPr="003C4420" w:rsidRDefault="54828480" w:rsidP="54828480">
            <w:pPr>
              <w:spacing w:line="276" w:lineRule="auto"/>
              <w:ind w:right="68"/>
            </w:pPr>
            <w:r w:rsidRPr="54828480">
              <w:t>Variable</w:t>
            </w:r>
          </w:p>
        </w:tc>
        <w:tc>
          <w:tcPr>
            <w:tcW w:w="1111" w:type="pct"/>
            <w:tcBorders>
              <w:bottom w:val="single" w:sz="4" w:space="0" w:color="000000" w:themeColor="text1"/>
            </w:tcBorders>
          </w:tcPr>
          <w:p w14:paraId="2348AEAF" w14:textId="77777777" w:rsidR="00353EF5" w:rsidRPr="003C4420" w:rsidRDefault="54828480" w:rsidP="54828480">
            <w:pPr>
              <w:spacing w:line="276" w:lineRule="auto"/>
              <w:ind w:right="68"/>
            </w:pPr>
            <w:r w:rsidRPr="54828480">
              <w:t>National group</w:t>
            </w:r>
          </w:p>
        </w:tc>
        <w:tc>
          <w:tcPr>
            <w:tcW w:w="1110" w:type="pct"/>
            <w:tcBorders>
              <w:top w:val="single" w:sz="4" w:space="0" w:color="auto"/>
              <w:bottom w:val="single" w:sz="4" w:space="0" w:color="000000" w:themeColor="text1"/>
            </w:tcBorders>
          </w:tcPr>
          <w:p w14:paraId="36622706" w14:textId="77777777" w:rsidR="00353EF5" w:rsidRPr="003C4420" w:rsidRDefault="54828480" w:rsidP="54828480">
            <w:pPr>
              <w:spacing w:line="276" w:lineRule="auto"/>
              <w:ind w:right="68"/>
            </w:pPr>
            <w:r w:rsidRPr="54828480">
              <w:t>Gender</w:t>
            </w:r>
          </w:p>
        </w:tc>
        <w:tc>
          <w:tcPr>
            <w:tcW w:w="556" w:type="pct"/>
            <w:tcBorders>
              <w:top w:val="single" w:sz="4" w:space="0" w:color="auto"/>
              <w:bottom w:val="single" w:sz="4" w:space="0" w:color="000000" w:themeColor="text1"/>
            </w:tcBorders>
          </w:tcPr>
          <w:p w14:paraId="6E7FD48A" w14:textId="77777777" w:rsidR="00353EF5" w:rsidRPr="00331317" w:rsidRDefault="54828480" w:rsidP="54828480">
            <w:pPr>
              <w:spacing w:line="276" w:lineRule="auto"/>
              <w:ind w:right="68"/>
              <w:rPr>
                <w:i/>
                <w:iCs/>
              </w:rPr>
            </w:pPr>
            <w:r w:rsidRPr="54828480">
              <w:rPr>
                <w:i/>
                <w:iCs/>
              </w:rPr>
              <w:t>N</w:t>
            </w:r>
          </w:p>
        </w:tc>
        <w:tc>
          <w:tcPr>
            <w:tcW w:w="556" w:type="pct"/>
            <w:tcBorders>
              <w:top w:val="single" w:sz="4" w:space="0" w:color="auto"/>
              <w:bottom w:val="single" w:sz="4" w:space="0" w:color="000000" w:themeColor="text1"/>
            </w:tcBorders>
          </w:tcPr>
          <w:p w14:paraId="39099749" w14:textId="77777777" w:rsidR="00353EF5" w:rsidRPr="003C4420" w:rsidRDefault="54828480" w:rsidP="54828480">
            <w:pPr>
              <w:spacing w:line="276" w:lineRule="auto"/>
              <w:ind w:right="68"/>
              <w:rPr>
                <w:i/>
                <w:iCs/>
              </w:rPr>
            </w:pPr>
            <w:r w:rsidRPr="54828480">
              <w:rPr>
                <w:i/>
                <w:iCs/>
              </w:rPr>
              <w:t>M</w:t>
            </w:r>
          </w:p>
        </w:tc>
        <w:tc>
          <w:tcPr>
            <w:tcW w:w="556" w:type="pct"/>
            <w:tcBorders>
              <w:top w:val="single" w:sz="4" w:space="0" w:color="auto"/>
              <w:bottom w:val="single" w:sz="4" w:space="0" w:color="000000" w:themeColor="text1"/>
              <w:right w:val="single" w:sz="4" w:space="0" w:color="FFFFFF" w:themeColor="background1"/>
            </w:tcBorders>
          </w:tcPr>
          <w:p w14:paraId="3FFDADC0" w14:textId="77777777" w:rsidR="00353EF5" w:rsidRPr="003C4420" w:rsidRDefault="54828480" w:rsidP="54828480">
            <w:pPr>
              <w:spacing w:line="276" w:lineRule="auto"/>
              <w:ind w:right="68"/>
              <w:rPr>
                <w:i/>
                <w:iCs/>
              </w:rPr>
            </w:pPr>
            <w:r w:rsidRPr="54828480">
              <w:rPr>
                <w:i/>
                <w:iCs/>
              </w:rPr>
              <w:t>SD</w:t>
            </w:r>
          </w:p>
        </w:tc>
      </w:tr>
      <w:tr w:rsidR="009F560A" w14:paraId="6C9832EB" w14:textId="77777777" w:rsidTr="54828480">
        <w:tc>
          <w:tcPr>
            <w:tcW w:w="1111" w:type="pct"/>
            <w:tcBorders>
              <w:left w:val="single" w:sz="4" w:space="0" w:color="FFFFFF" w:themeColor="background1"/>
            </w:tcBorders>
          </w:tcPr>
          <w:p w14:paraId="4182A1DD" w14:textId="3C45519F" w:rsidR="009F560A" w:rsidRPr="00E8321F" w:rsidRDefault="009F560A" w:rsidP="009F560A">
            <w:pPr>
              <w:spacing w:line="276" w:lineRule="auto"/>
              <w:ind w:right="68"/>
            </w:pPr>
            <w:r w:rsidRPr="54828480">
              <w:t>Body appreciation</w:t>
            </w:r>
          </w:p>
        </w:tc>
        <w:tc>
          <w:tcPr>
            <w:tcW w:w="1111" w:type="pct"/>
          </w:tcPr>
          <w:p w14:paraId="4B886D1C" w14:textId="77777777" w:rsidR="009F560A" w:rsidRPr="00E8321F" w:rsidRDefault="009F560A" w:rsidP="009F560A">
            <w:pPr>
              <w:spacing w:line="276" w:lineRule="auto"/>
              <w:ind w:right="68"/>
            </w:pPr>
            <w:r w:rsidRPr="54828480">
              <w:t>United Kingdom</w:t>
            </w:r>
          </w:p>
        </w:tc>
        <w:tc>
          <w:tcPr>
            <w:tcW w:w="1110" w:type="pct"/>
            <w:tcBorders>
              <w:top w:val="single" w:sz="4" w:space="0" w:color="000000" w:themeColor="text1"/>
              <w:right w:val="nil"/>
            </w:tcBorders>
          </w:tcPr>
          <w:p w14:paraId="4BCEA323" w14:textId="77777777" w:rsidR="009F560A" w:rsidRPr="00E8321F" w:rsidRDefault="009F560A" w:rsidP="009F560A">
            <w:pPr>
              <w:spacing w:line="276" w:lineRule="auto"/>
              <w:ind w:right="68"/>
            </w:pPr>
            <w:r w:rsidRPr="54828480">
              <w:t>Women</w:t>
            </w:r>
          </w:p>
        </w:tc>
        <w:tc>
          <w:tcPr>
            <w:tcW w:w="556" w:type="pct"/>
            <w:tcBorders>
              <w:top w:val="nil"/>
              <w:right w:val="nil"/>
            </w:tcBorders>
          </w:tcPr>
          <w:p w14:paraId="515558FE" w14:textId="58379C98" w:rsidR="009F560A" w:rsidRPr="00331317" w:rsidRDefault="009F560A" w:rsidP="009F560A">
            <w:pPr>
              <w:spacing w:line="276" w:lineRule="auto"/>
              <w:ind w:right="68"/>
            </w:pPr>
            <w:r>
              <w:t>416</w:t>
            </w:r>
          </w:p>
        </w:tc>
        <w:tc>
          <w:tcPr>
            <w:tcW w:w="556" w:type="pct"/>
            <w:tcBorders>
              <w:top w:val="nil"/>
              <w:left w:val="nil"/>
              <w:bottom w:val="nil"/>
              <w:right w:val="nil"/>
            </w:tcBorders>
          </w:tcPr>
          <w:p w14:paraId="5243FBF6" w14:textId="7555C0FB" w:rsidR="009F560A" w:rsidRPr="00E8321F" w:rsidRDefault="009F560A" w:rsidP="009F560A">
            <w:pPr>
              <w:spacing w:line="276" w:lineRule="auto"/>
              <w:ind w:right="68"/>
            </w:pPr>
            <w:r>
              <w:t>3.03</w:t>
            </w:r>
          </w:p>
        </w:tc>
        <w:tc>
          <w:tcPr>
            <w:tcW w:w="556" w:type="pct"/>
            <w:tcBorders>
              <w:top w:val="nil"/>
              <w:left w:val="nil"/>
              <w:bottom w:val="nil"/>
              <w:right w:val="nil"/>
            </w:tcBorders>
          </w:tcPr>
          <w:p w14:paraId="1525F798" w14:textId="2C2FA352" w:rsidR="009F560A" w:rsidRPr="00E8321F" w:rsidRDefault="009F560A" w:rsidP="009F560A">
            <w:pPr>
              <w:spacing w:line="276" w:lineRule="auto"/>
              <w:ind w:right="68"/>
            </w:pPr>
            <w:r>
              <w:t>0.84</w:t>
            </w:r>
          </w:p>
        </w:tc>
      </w:tr>
      <w:tr w:rsidR="009F560A" w14:paraId="736731CC" w14:textId="77777777" w:rsidTr="009B462B">
        <w:tc>
          <w:tcPr>
            <w:tcW w:w="1111" w:type="pct"/>
            <w:tcBorders>
              <w:left w:val="single" w:sz="4" w:space="0" w:color="FFFFFF" w:themeColor="background1"/>
            </w:tcBorders>
          </w:tcPr>
          <w:p w14:paraId="25E6641F" w14:textId="77777777" w:rsidR="009F560A" w:rsidRPr="00E8321F" w:rsidRDefault="009F560A" w:rsidP="009F560A">
            <w:pPr>
              <w:spacing w:line="276" w:lineRule="auto"/>
              <w:ind w:right="68"/>
            </w:pPr>
          </w:p>
        </w:tc>
        <w:tc>
          <w:tcPr>
            <w:tcW w:w="1111" w:type="pct"/>
          </w:tcPr>
          <w:p w14:paraId="129BD1C1" w14:textId="77777777" w:rsidR="009F560A" w:rsidRPr="00E8321F" w:rsidRDefault="009F560A" w:rsidP="009F560A">
            <w:pPr>
              <w:spacing w:line="276" w:lineRule="auto"/>
              <w:ind w:right="68"/>
            </w:pPr>
          </w:p>
        </w:tc>
        <w:tc>
          <w:tcPr>
            <w:tcW w:w="1110" w:type="pct"/>
          </w:tcPr>
          <w:p w14:paraId="7ECAA071" w14:textId="77777777" w:rsidR="009F560A" w:rsidRPr="00E8321F" w:rsidRDefault="009F560A" w:rsidP="009F560A">
            <w:pPr>
              <w:spacing w:line="276" w:lineRule="auto"/>
              <w:ind w:right="68"/>
            </w:pPr>
            <w:r w:rsidRPr="54828480">
              <w:t>Men</w:t>
            </w:r>
          </w:p>
        </w:tc>
        <w:tc>
          <w:tcPr>
            <w:tcW w:w="556" w:type="pct"/>
            <w:tcBorders>
              <w:top w:val="nil"/>
            </w:tcBorders>
          </w:tcPr>
          <w:p w14:paraId="3E7A0C42" w14:textId="79626B99" w:rsidR="009F560A" w:rsidRPr="00331317" w:rsidRDefault="009F560A" w:rsidP="009F560A">
            <w:pPr>
              <w:spacing w:line="276" w:lineRule="auto"/>
              <w:ind w:right="68"/>
            </w:pPr>
            <w:r>
              <w:t>180</w:t>
            </w:r>
          </w:p>
        </w:tc>
        <w:tc>
          <w:tcPr>
            <w:tcW w:w="556" w:type="pct"/>
            <w:tcBorders>
              <w:top w:val="nil"/>
            </w:tcBorders>
          </w:tcPr>
          <w:p w14:paraId="6B350788" w14:textId="7E2FD42C" w:rsidR="009F560A" w:rsidRPr="00E8321F" w:rsidRDefault="006544AB" w:rsidP="009F560A">
            <w:pPr>
              <w:spacing w:line="276" w:lineRule="auto"/>
              <w:ind w:right="68"/>
            </w:pPr>
            <w:r>
              <w:t>3.37</w:t>
            </w:r>
          </w:p>
        </w:tc>
        <w:tc>
          <w:tcPr>
            <w:tcW w:w="556" w:type="pct"/>
            <w:tcBorders>
              <w:top w:val="nil"/>
              <w:right w:val="single" w:sz="4" w:space="0" w:color="FFFFFF" w:themeColor="background1"/>
            </w:tcBorders>
          </w:tcPr>
          <w:p w14:paraId="6C6ED827" w14:textId="21984C4F" w:rsidR="009F560A" w:rsidRPr="00E8321F" w:rsidRDefault="006544AB" w:rsidP="009F560A">
            <w:pPr>
              <w:spacing w:line="276" w:lineRule="auto"/>
              <w:ind w:right="68"/>
            </w:pPr>
            <w:r>
              <w:t>0.85</w:t>
            </w:r>
          </w:p>
        </w:tc>
      </w:tr>
      <w:tr w:rsidR="009F560A" w14:paraId="3C3680B6" w14:textId="77777777" w:rsidTr="54828480">
        <w:tc>
          <w:tcPr>
            <w:tcW w:w="1111" w:type="pct"/>
            <w:tcBorders>
              <w:left w:val="single" w:sz="4" w:space="0" w:color="FFFFFF" w:themeColor="background1"/>
            </w:tcBorders>
          </w:tcPr>
          <w:p w14:paraId="58EE5306" w14:textId="77777777" w:rsidR="009F560A" w:rsidRPr="00E8321F" w:rsidRDefault="009F560A" w:rsidP="009F560A">
            <w:pPr>
              <w:spacing w:line="276" w:lineRule="auto"/>
              <w:ind w:right="68"/>
            </w:pPr>
          </w:p>
        </w:tc>
        <w:tc>
          <w:tcPr>
            <w:tcW w:w="1111" w:type="pct"/>
            <w:tcBorders>
              <w:bottom w:val="single" w:sz="4" w:space="0" w:color="000000" w:themeColor="text1"/>
            </w:tcBorders>
          </w:tcPr>
          <w:p w14:paraId="49F3E705" w14:textId="77777777" w:rsidR="009F560A" w:rsidRPr="00E8321F" w:rsidRDefault="009F560A" w:rsidP="009F560A">
            <w:pPr>
              <w:spacing w:line="276" w:lineRule="auto"/>
              <w:ind w:right="68"/>
            </w:pPr>
          </w:p>
        </w:tc>
        <w:tc>
          <w:tcPr>
            <w:tcW w:w="1110" w:type="pct"/>
            <w:tcBorders>
              <w:bottom w:val="single" w:sz="4" w:space="0" w:color="000000" w:themeColor="text1"/>
            </w:tcBorders>
          </w:tcPr>
          <w:p w14:paraId="2CF27C7D" w14:textId="77777777" w:rsidR="009F560A" w:rsidRPr="00E8321F" w:rsidRDefault="009F560A" w:rsidP="009F560A">
            <w:pPr>
              <w:spacing w:line="276" w:lineRule="auto"/>
              <w:ind w:right="68"/>
            </w:pPr>
            <w:r w:rsidRPr="54828480">
              <w:t>Total</w:t>
            </w:r>
          </w:p>
        </w:tc>
        <w:tc>
          <w:tcPr>
            <w:tcW w:w="556" w:type="pct"/>
            <w:tcBorders>
              <w:bottom w:val="single" w:sz="4" w:space="0" w:color="000000" w:themeColor="text1"/>
            </w:tcBorders>
          </w:tcPr>
          <w:p w14:paraId="6D9EA0CC" w14:textId="169464D3" w:rsidR="009F560A" w:rsidRPr="00331317" w:rsidRDefault="009F560A" w:rsidP="009F560A">
            <w:pPr>
              <w:spacing w:line="276" w:lineRule="auto"/>
              <w:ind w:right="68"/>
            </w:pPr>
            <w:r>
              <w:t>596</w:t>
            </w:r>
          </w:p>
        </w:tc>
        <w:tc>
          <w:tcPr>
            <w:tcW w:w="556" w:type="pct"/>
            <w:tcBorders>
              <w:top w:val="nil"/>
              <w:bottom w:val="single" w:sz="4" w:space="0" w:color="000000" w:themeColor="text1"/>
            </w:tcBorders>
          </w:tcPr>
          <w:p w14:paraId="798BA6B2" w14:textId="2D088FF5" w:rsidR="009F560A" w:rsidRPr="00E8321F" w:rsidRDefault="006544AB" w:rsidP="009F560A">
            <w:pPr>
              <w:spacing w:line="276" w:lineRule="auto"/>
              <w:ind w:right="68"/>
            </w:pPr>
            <w:r>
              <w:t>3.14</w:t>
            </w:r>
          </w:p>
        </w:tc>
        <w:tc>
          <w:tcPr>
            <w:tcW w:w="556" w:type="pct"/>
            <w:tcBorders>
              <w:top w:val="nil"/>
              <w:bottom w:val="single" w:sz="4" w:space="0" w:color="000000" w:themeColor="text1"/>
              <w:right w:val="single" w:sz="4" w:space="0" w:color="FFFFFF" w:themeColor="background1"/>
            </w:tcBorders>
          </w:tcPr>
          <w:p w14:paraId="7D86ECC7" w14:textId="293997A6" w:rsidR="009F560A" w:rsidRPr="00E8321F" w:rsidRDefault="006544AB" w:rsidP="009F560A">
            <w:pPr>
              <w:spacing w:line="276" w:lineRule="auto"/>
              <w:ind w:right="68"/>
            </w:pPr>
            <w:r>
              <w:t>0.86</w:t>
            </w:r>
          </w:p>
        </w:tc>
      </w:tr>
      <w:tr w:rsidR="009F560A" w14:paraId="41FFD555" w14:textId="77777777" w:rsidTr="54828480">
        <w:tc>
          <w:tcPr>
            <w:tcW w:w="1111" w:type="pct"/>
            <w:tcBorders>
              <w:left w:val="single" w:sz="4" w:space="0" w:color="FFFFFF" w:themeColor="background1"/>
            </w:tcBorders>
          </w:tcPr>
          <w:p w14:paraId="11F487AF" w14:textId="77777777" w:rsidR="009F560A" w:rsidRPr="00E8321F" w:rsidRDefault="009F560A" w:rsidP="009F560A">
            <w:pPr>
              <w:spacing w:line="276" w:lineRule="auto"/>
              <w:ind w:right="68"/>
            </w:pPr>
          </w:p>
        </w:tc>
        <w:tc>
          <w:tcPr>
            <w:tcW w:w="1111" w:type="pct"/>
            <w:tcBorders>
              <w:top w:val="single" w:sz="4" w:space="0" w:color="000000" w:themeColor="text1"/>
            </w:tcBorders>
          </w:tcPr>
          <w:p w14:paraId="6D05F593" w14:textId="77777777" w:rsidR="009F560A" w:rsidRPr="00E8321F" w:rsidRDefault="009F560A" w:rsidP="009F560A">
            <w:pPr>
              <w:spacing w:line="276" w:lineRule="auto"/>
              <w:ind w:right="68"/>
            </w:pPr>
            <w:r w:rsidRPr="54828480">
              <w:t>Malaysian</w:t>
            </w:r>
          </w:p>
        </w:tc>
        <w:tc>
          <w:tcPr>
            <w:tcW w:w="1110" w:type="pct"/>
            <w:tcBorders>
              <w:top w:val="single" w:sz="4" w:space="0" w:color="000000" w:themeColor="text1"/>
            </w:tcBorders>
          </w:tcPr>
          <w:p w14:paraId="18AB00AA" w14:textId="77777777" w:rsidR="009F560A" w:rsidRPr="00E8321F" w:rsidRDefault="009F560A" w:rsidP="009F560A">
            <w:pPr>
              <w:spacing w:line="276" w:lineRule="auto"/>
              <w:ind w:right="68"/>
            </w:pPr>
            <w:r w:rsidRPr="54828480">
              <w:t>Women</w:t>
            </w:r>
          </w:p>
        </w:tc>
        <w:tc>
          <w:tcPr>
            <w:tcW w:w="556" w:type="pct"/>
            <w:tcBorders>
              <w:top w:val="single" w:sz="4" w:space="0" w:color="000000" w:themeColor="text1"/>
            </w:tcBorders>
          </w:tcPr>
          <w:p w14:paraId="734541C3" w14:textId="341EB290" w:rsidR="009F560A" w:rsidRPr="00331317" w:rsidRDefault="009F560A" w:rsidP="009F560A">
            <w:pPr>
              <w:spacing w:line="276" w:lineRule="auto"/>
              <w:ind w:right="68"/>
            </w:pPr>
            <w:r w:rsidRPr="54828480">
              <w:t>403</w:t>
            </w:r>
          </w:p>
        </w:tc>
        <w:tc>
          <w:tcPr>
            <w:tcW w:w="556" w:type="pct"/>
            <w:tcBorders>
              <w:top w:val="single" w:sz="4" w:space="0" w:color="000000" w:themeColor="text1"/>
            </w:tcBorders>
          </w:tcPr>
          <w:p w14:paraId="42F8C509" w14:textId="67D89AEC" w:rsidR="009F560A" w:rsidRPr="00E8321F" w:rsidRDefault="009F560A" w:rsidP="009F560A">
            <w:pPr>
              <w:spacing w:line="276" w:lineRule="auto"/>
              <w:ind w:right="68"/>
            </w:pPr>
            <w:r w:rsidRPr="54828480">
              <w:t>4.17</w:t>
            </w:r>
          </w:p>
        </w:tc>
        <w:tc>
          <w:tcPr>
            <w:tcW w:w="556" w:type="pct"/>
            <w:tcBorders>
              <w:top w:val="single" w:sz="4" w:space="0" w:color="000000" w:themeColor="text1"/>
              <w:right w:val="single" w:sz="4" w:space="0" w:color="FFFFFF" w:themeColor="background1"/>
            </w:tcBorders>
          </w:tcPr>
          <w:p w14:paraId="5CABB306" w14:textId="5972004D" w:rsidR="009F560A" w:rsidRPr="00E8321F" w:rsidRDefault="009F560A" w:rsidP="009F560A">
            <w:pPr>
              <w:spacing w:line="276" w:lineRule="auto"/>
              <w:ind w:right="68"/>
            </w:pPr>
            <w:r w:rsidRPr="54828480">
              <w:t>0.67</w:t>
            </w:r>
          </w:p>
        </w:tc>
      </w:tr>
      <w:tr w:rsidR="009F560A" w14:paraId="02881022" w14:textId="77777777" w:rsidTr="54828480">
        <w:tc>
          <w:tcPr>
            <w:tcW w:w="1111" w:type="pct"/>
            <w:tcBorders>
              <w:left w:val="single" w:sz="4" w:space="0" w:color="FFFFFF" w:themeColor="background1"/>
            </w:tcBorders>
          </w:tcPr>
          <w:p w14:paraId="0EA7E3CA" w14:textId="77777777" w:rsidR="009F560A" w:rsidRPr="00E8321F" w:rsidRDefault="009F560A" w:rsidP="009F560A">
            <w:pPr>
              <w:spacing w:line="276" w:lineRule="auto"/>
              <w:ind w:right="68"/>
            </w:pPr>
          </w:p>
        </w:tc>
        <w:tc>
          <w:tcPr>
            <w:tcW w:w="1111" w:type="pct"/>
          </w:tcPr>
          <w:p w14:paraId="59DA81EA" w14:textId="77777777" w:rsidR="009F560A" w:rsidRPr="00E8321F" w:rsidRDefault="009F560A" w:rsidP="009F560A">
            <w:pPr>
              <w:spacing w:line="276" w:lineRule="auto"/>
              <w:ind w:right="68"/>
            </w:pPr>
          </w:p>
        </w:tc>
        <w:tc>
          <w:tcPr>
            <w:tcW w:w="1110" w:type="pct"/>
          </w:tcPr>
          <w:p w14:paraId="2EB6DD6D" w14:textId="77777777" w:rsidR="009F560A" w:rsidRPr="00E8321F" w:rsidRDefault="009F560A" w:rsidP="009F560A">
            <w:pPr>
              <w:spacing w:line="276" w:lineRule="auto"/>
              <w:ind w:right="68"/>
            </w:pPr>
            <w:r w:rsidRPr="54828480">
              <w:t>Men</w:t>
            </w:r>
          </w:p>
        </w:tc>
        <w:tc>
          <w:tcPr>
            <w:tcW w:w="556" w:type="pct"/>
          </w:tcPr>
          <w:p w14:paraId="38597C42" w14:textId="0DBD69EA" w:rsidR="009F560A" w:rsidRPr="00331317" w:rsidRDefault="009F560A" w:rsidP="009F560A">
            <w:pPr>
              <w:spacing w:line="276" w:lineRule="auto"/>
              <w:ind w:right="68"/>
            </w:pPr>
            <w:r w:rsidRPr="54828480">
              <w:t>412</w:t>
            </w:r>
          </w:p>
        </w:tc>
        <w:tc>
          <w:tcPr>
            <w:tcW w:w="556" w:type="pct"/>
          </w:tcPr>
          <w:p w14:paraId="5C00CBC3" w14:textId="7D608E1B" w:rsidR="009F560A" w:rsidRPr="00E8321F" w:rsidRDefault="009F560A" w:rsidP="009F560A">
            <w:pPr>
              <w:spacing w:line="276" w:lineRule="auto"/>
              <w:ind w:right="68"/>
            </w:pPr>
            <w:r w:rsidRPr="54828480">
              <w:t>4.08</w:t>
            </w:r>
          </w:p>
        </w:tc>
        <w:tc>
          <w:tcPr>
            <w:tcW w:w="556" w:type="pct"/>
            <w:tcBorders>
              <w:right w:val="single" w:sz="4" w:space="0" w:color="FFFFFF" w:themeColor="background1"/>
            </w:tcBorders>
          </w:tcPr>
          <w:p w14:paraId="2595E53D" w14:textId="556FCA52" w:rsidR="009F560A" w:rsidRPr="00E8321F" w:rsidRDefault="009F560A" w:rsidP="009F560A">
            <w:pPr>
              <w:spacing w:line="276" w:lineRule="auto"/>
              <w:ind w:right="68"/>
            </w:pPr>
            <w:r w:rsidRPr="54828480">
              <w:t>0.76</w:t>
            </w:r>
          </w:p>
        </w:tc>
      </w:tr>
      <w:tr w:rsidR="009F560A" w14:paraId="3E915292" w14:textId="77777777" w:rsidTr="54828480">
        <w:tc>
          <w:tcPr>
            <w:tcW w:w="1111" w:type="pct"/>
            <w:tcBorders>
              <w:left w:val="single" w:sz="4" w:space="0" w:color="FFFFFF" w:themeColor="background1"/>
              <w:bottom w:val="nil"/>
            </w:tcBorders>
          </w:tcPr>
          <w:p w14:paraId="38DF99F4" w14:textId="77777777" w:rsidR="009F560A" w:rsidRPr="00E8321F" w:rsidRDefault="009F560A" w:rsidP="009F560A">
            <w:pPr>
              <w:spacing w:line="276" w:lineRule="auto"/>
              <w:ind w:right="68"/>
            </w:pPr>
            <w:bookmarkStart w:id="0" w:name="_GoBack"/>
            <w:bookmarkEnd w:id="0"/>
          </w:p>
        </w:tc>
        <w:tc>
          <w:tcPr>
            <w:tcW w:w="1111" w:type="pct"/>
            <w:tcBorders>
              <w:bottom w:val="single" w:sz="4" w:space="0" w:color="000000" w:themeColor="text1"/>
            </w:tcBorders>
          </w:tcPr>
          <w:p w14:paraId="752208EC" w14:textId="77777777" w:rsidR="009F560A" w:rsidRPr="00E8321F" w:rsidRDefault="009F560A" w:rsidP="009F560A">
            <w:pPr>
              <w:spacing w:line="276" w:lineRule="auto"/>
              <w:ind w:right="68"/>
            </w:pPr>
          </w:p>
        </w:tc>
        <w:tc>
          <w:tcPr>
            <w:tcW w:w="1110" w:type="pct"/>
            <w:tcBorders>
              <w:bottom w:val="single" w:sz="4" w:space="0" w:color="000000" w:themeColor="text1"/>
            </w:tcBorders>
          </w:tcPr>
          <w:p w14:paraId="35BD2A10" w14:textId="77777777" w:rsidR="009F560A" w:rsidRPr="00BD66FF" w:rsidRDefault="009F560A" w:rsidP="009F560A">
            <w:pPr>
              <w:spacing w:line="276" w:lineRule="auto"/>
              <w:ind w:right="68"/>
            </w:pPr>
            <w:r w:rsidRPr="54828480">
              <w:t xml:space="preserve">Total </w:t>
            </w:r>
          </w:p>
        </w:tc>
        <w:tc>
          <w:tcPr>
            <w:tcW w:w="556" w:type="pct"/>
            <w:tcBorders>
              <w:bottom w:val="single" w:sz="4" w:space="0" w:color="000000" w:themeColor="text1"/>
            </w:tcBorders>
          </w:tcPr>
          <w:p w14:paraId="35038A0B" w14:textId="75E5AA70" w:rsidR="009F560A" w:rsidRPr="00331317" w:rsidRDefault="009F560A" w:rsidP="009F560A">
            <w:pPr>
              <w:spacing w:line="276" w:lineRule="auto"/>
              <w:ind w:right="68"/>
            </w:pPr>
            <w:r w:rsidRPr="54828480">
              <w:t>815</w:t>
            </w:r>
          </w:p>
        </w:tc>
        <w:tc>
          <w:tcPr>
            <w:tcW w:w="556" w:type="pct"/>
            <w:tcBorders>
              <w:bottom w:val="single" w:sz="4" w:space="0" w:color="000000" w:themeColor="text1"/>
            </w:tcBorders>
          </w:tcPr>
          <w:p w14:paraId="63D3A6DA" w14:textId="00C96680" w:rsidR="009F560A" w:rsidRPr="00E8321F" w:rsidRDefault="009F560A" w:rsidP="009F560A">
            <w:pPr>
              <w:spacing w:line="276" w:lineRule="auto"/>
              <w:ind w:right="68"/>
            </w:pPr>
            <w:r w:rsidRPr="54828480">
              <w:t>4.12</w:t>
            </w:r>
          </w:p>
        </w:tc>
        <w:tc>
          <w:tcPr>
            <w:tcW w:w="556" w:type="pct"/>
            <w:tcBorders>
              <w:bottom w:val="single" w:sz="4" w:space="0" w:color="000000" w:themeColor="text1"/>
              <w:right w:val="single" w:sz="4" w:space="0" w:color="FFFFFF" w:themeColor="background1"/>
            </w:tcBorders>
          </w:tcPr>
          <w:p w14:paraId="49B4F7C0" w14:textId="2336C71C" w:rsidR="009F560A" w:rsidRPr="00E8321F" w:rsidRDefault="009F560A" w:rsidP="009F560A">
            <w:pPr>
              <w:spacing w:line="276" w:lineRule="auto"/>
              <w:ind w:right="68"/>
            </w:pPr>
            <w:r w:rsidRPr="54828480">
              <w:t>0.72</w:t>
            </w:r>
          </w:p>
        </w:tc>
      </w:tr>
      <w:tr w:rsidR="009F560A" w14:paraId="71C3EE05" w14:textId="77777777" w:rsidTr="009B462B">
        <w:tc>
          <w:tcPr>
            <w:tcW w:w="1111" w:type="pct"/>
            <w:tcBorders>
              <w:top w:val="nil"/>
              <w:left w:val="nil"/>
              <w:bottom w:val="nil"/>
            </w:tcBorders>
          </w:tcPr>
          <w:p w14:paraId="6819925D" w14:textId="1EC19128" w:rsidR="009F560A" w:rsidRPr="00E8321F" w:rsidRDefault="009F560A" w:rsidP="009F560A">
            <w:pPr>
              <w:spacing w:line="276" w:lineRule="auto"/>
              <w:ind w:right="68"/>
            </w:pPr>
          </w:p>
        </w:tc>
        <w:tc>
          <w:tcPr>
            <w:tcW w:w="1111" w:type="pct"/>
            <w:tcBorders>
              <w:top w:val="single" w:sz="4" w:space="0" w:color="000000" w:themeColor="text1"/>
              <w:bottom w:val="nil"/>
            </w:tcBorders>
          </w:tcPr>
          <w:p w14:paraId="3810E622" w14:textId="77777777" w:rsidR="009F560A" w:rsidRPr="0050481D" w:rsidRDefault="009F560A" w:rsidP="009F560A">
            <w:pPr>
              <w:spacing w:line="276" w:lineRule="auto"/>
              <w:ind w:right="68"/>
            </w:pPr>
            <w:r w:rsidRPr="54828480">
              <w:t>Total</w:t>
            </w:r>
          </w:p>
        </w:tc>
        <w:tc>
          <w:tcPr>
            <w:tcW w:w="1110" w:type="pct"/>
            <w:tcBorders>
              <w:top w:val="single" w:sz="4" w:space="0" w:color="000000" w:themeColor="text1"/>
              <w:bottom w:val="nil"/>
            </w:tcBorders>
          </w:tcPr>
          <w:p w14:paraId="7B5972DA" w14:textId="77777777" w:rsidR="009F560A" w:rsidRPr="0050481D" w:rsidRDefault="009F560A" w:rsidP="009F560A">
            <w:pPr>
              <w:spacing w:line="276" w:lineRule="auto"/>
              <w:ind w:right="68"/>
            </w:pPr>
            <w:r w:rsidRPr="54828480">
              <w:t>Women</w:t>
            </w:r>
          </w:p>
        </w:tc>
        <w:tc>
          <w:tcPr>
            <w:tcW w:w="556" w:type="pct"/>
            <w:tcBorders>
              <w:top w:val="single" w:sz="4" w:space="0" w:color="000000" w:themeColor="text1"/>
            </w:tcBorders>
          </w:tcPr>
          <w:p w14:paraId="3198007E" w14:textId="6612E33E" w:rsidR="009F560A" w:rsidRPr="00331317" w:rsidRDefault="009F560A" w:rsidP="009F560A">
            <w:pPr>
              <w:spacing w:line="276" w:lineRule="auto"/>
              <w:ind w:right="68"/>
            </w:pPr>
            <w:r>
              <w:t>819</w:t>
            </w:r>
          </w:p>
        </w:tc>
        <w:tc>
          <w:tcPr>
            <w:tcW w:w="556" w:type="pct"/>
            <w:tcBorders>
              <w:top w:val="single" w:sz="4" w:space="0" w:color="000000" w:themeColor="text1"/>
              <w:bottom w:val="nil"/>
            </w:tcBorders>
          </w:tcPr>
          <w:p w14:paraId="2F57BFCF" w14:textId="3C3F8E1E" w:rsidR="009F560A" w:rsidRPr="00D10106" w:rsidRDefault="006544AB" w:rsidP="009F560A">
            <w:pPr>
              <w:spacing w:line="276" w:lineRule="auto"/>
              <w:ind w:right="68"/>
            </w:pPr>
            <w:r>
              <w:t>3.59</w:t>
            </w:r>
          </w:p>
        </w:tc>
        <w:tc>
          <w:tcPr>
            <w:tcW w:w="556" w:type="pct"/>
            <w:tcBorders>
              <w:top w:val="single" w:sz="4" w:space="0" w:color="000000" w:themeColor="text1"/>
              <w:bottom w:val="nil"/>
              <w:right w:val="nil"/>
            </w:tcBorders>
          </w:tcPr>
          <w:p w14:paraId="54664077" w14:textId="3E050B14" w:rsidR="009F560A" w:rsidRPr="00D10106" w:rsidRDefault="006544AB" w:rsidP="009F560A">
            <w:pPr>
              <w:spacing w:line="276" w:lineRule="auto"/>
              <w:ind w:right="68"/>
            </w:pPr>
            <w:r>
              <w:t>0.95</w:t>
            </w:r>
          </w:p>
        </w:tc>
      </w:tr>
      <w:tr w:rsidR="009F560A" w14:paraId="5E032C3B" w14:textId="77777777" w:rsidTr="009B462B">
        <w:tc>
          <w:tcPr>
            <w:tcW w:w="1111" w:type="pct"/>
            <w:tcBorders>
              <w:top w:val="nil"/>
              <w:left w:val="nil"/>
              <w:bottom w:val="nil"/>
            </w:tcBorders>
          </w:tcPr>
          <w:p w14:paraId="048F1907" w14:textId="57114E40" w:rsidR="009F560A" w:rsidRPr="00E8321F" w:rsidRDefault="009F560A" w:rsidP="009F560A">
            <w:pPr>
              <w:spacing w:line="276" w:lineRule="auto"/>
              <w:ind w:right="68"/>
            </w:pPr>
          </w:p>
        </w:tc>
        <w:tc>
          <w:tcPr>
            <w:tcW w:w="1111" w:type="pct"/>
            <w:tcBorders>
              <w:top w:val="nil"/>
              <w:bottom w:val="nil"/>
            </w:tcBorders>
          </w:tcPr>
          <w:p w14:paraId="00BFC18B" w14:textId="77777777" w:rsidR="009F560A" w:rsidRPr="0050481D" w:rsidRDefault="009F560A" w:rsidP="009F560A">
            <w:pPr>
              <w:spacing w:line="276" w:lineRule="auto"/>
              <w:ind w:right="68"/>
            </w:pPr>
          </w:p>
        </w:tc>
        <w:tc>
          <w:tcPr>
            <w:tcW w:w="1110" w:type="pct"/>
            <w:tcBorders>
              <w:top w:val="nil"/>
              <w:bottom w:val="nil"/>
            </w:tcBorders>
          </w:tcPr>
          <w:p w14:paraId="5770941D" w14:textId="77777777" w:rsidR="009F560A" w:rsidRPr="0050481D" w:rsidRDefault="009F560A" w:rsidP="009F560A">
            <w:pPr>
              <w:spacing w:line="276" w:lineRule="auto"/>
              <w:ind w:right="68"/>
            </w:pPr>
            <w:r w:rsidRPr="54828480">
              <w:t>Men</w:t>
            </w:r>
          </w:p>
        </w:tc>
        <w:tc>
          <w:tcPr>
            <w:tcW w:w="556" w:type="pct"/>
          </w:tcPr>
          <w:p w14:paraId="14EEF33B" w14:textId="7DA4A759" w:rsidR="009F560A" w:rsidRPr="00331317" w:rsidRDefault="009F560A" w:rsidP="009F560A">
            <w:pPr>
              <w:spacing w:line="276" w:lineRule="auto"/>
              <w:ind w:right="68"/>
            </w:pPr>
            <w:r>
              <w:t>592</w:t>
            </w:r>
          </w:p>
        </w:tc>
        <w:tc>
          <w:tcPr>
            <w:tcW w:w="556" w:type="pct"/>
            <w:tcBorders>
              <w:top w:val="nil"/>
              <w:bottom w:val="nil"/>
            </w:tcBorders>
          </w:tcPr>
          <w:p w14:paraId="2DF5E372" w14:textId="4E4D80E2" w:rsidR="009F560A" w:rsidRPr="00D10106" w:rsidRDefault="006544AB" w:rsidP="009F560A">
            <w:pPr>
              <w:spacing w:line="276" w:lineRule="auto"/>
              <w:ind w:right="68"/>
            </w:pPr>
            <w:r>
              <w:t>3.87</w:t>
            </w:r>
          </w:p>
        </w:tc>
        <w:tc>
          <w:tcPr>
            <w:tcW w:w="556" w:type="pct"/>
            <w:tcBorders>
              <w:top w:val="nil"/>
              <w:bottom w:val="nil"/>
              <w:right w:val="nil"/>
            </w:tcBorders>
          </w:tcPr>
          <w:p w14:paraId="4D234B0E" w14:textId="5E5C4A59" w:rsidR="009F560A" w:rsidRPr="00D10106" w:rsidRDefault="006544AB" w:rsidP="009F560A">
            <w:pPr>
              <w:spacing w:line="276" w:lineRule="auto"/>
              <w:ind w:right="68"/>
            </w:pPr>
            <w:r>
              <w:t>0.85</w:t>
            </w:r>
          </w:p>
        </w:tc>
      </w:tr>
      <w:tr w:rsidR="009F560A" w14:paraId="1DBA7C96" w14:textId="77777777" w:rsidTr="00955A03">
        <w:tc>
          <w:tcPr>
            <w:tcW w:w="1111" w:type="pct"/>
            <w:tcBorders>
              <w:top w:val="nil"/>
              <w:left w:val="nil"/>
              <w:bottom w:val="single" w:sz="4" w:space="0" w:color="000000" w:themeColor="text1"/>
            </w:tcBorders>
          </w:tcPr>
          <w:p w14:paraId="3AC4AC99" w14:textId="7EAD41B7" w:rsidR="009F560A" w:rsidRPr="00E8321F" w:rsidRDefault="009F560A" w:rsidP="009F560A">
            <w:pPr>
              <w:spacing w:line="276" w:lineRule="auto"/>
              <w:ind w:right="68"/>
            </w:pPr>
          </w:p>
        </w:tc>
        <w:tc>
          <w:tcPr>
            <w:tcW w:w="1111" w:type="pct"/>
            <w:tcBorders>
              <w:top w:val="nil"/>
              <w:bottom w:val="single" w:sz="4" w:space="0" w:color="000000" w:themeColor="text1"/>
            </w:tcBorders>
          </w:tcPr>
          <w:p w14:paraId="261E4944" w14:textId="77777777" w:rsidR="009F560A" w:rsidRPr="0050481D" w:rsidRDefault="009F560A" w:rsidP="009F560A">
            <w:pPr>
              <w:spacing w:line="276" w:lineRule="auto"/>
              <w:ind w:right="68"/>
            </w:pPr>
          </w:p>
        </w:tc>
        <w:tc>
          <w:tcPr>
            <w:tcW w:w="1110" w:type="pct"/>
            <w:tcBorders>
              <w:top w:val="nil"/>
              <w:bottom w:val="single" w:sz="4" w:space="0" w:color="000000" w:themeColor="text1"/>
            </w:tcBorders>
          </w:tcPr>
          <w:p w14:paraId="72ED8DD1" w14:textId="77777777" w:rsidR="009F560A" w:rsidRPr="0050481D" w:rsidRDefault="009F560A" w:rsidP="009F560A">
            <w:pPr>
              <w:spacing w:line="276" w:lineRule="auto"/>
              <w:ind w:right="68"/>
            </w:pPr>
            <w:r w:rsidRPr="54828480">
              <w:t>Grand average</w:t>
            </w:r>
          </w:p>
        </w:tc>
        <w:tc>
          <w:tcPr>
            <w:tcW w:w="556" w:type="pct"/>
            <w:tcBorders>
              <w:bottom w:val="single" w:sz="4" w:space="0" w:color="auto"/>
            </w:tcBorders>
          </w:tcPr>
          <w:p w14:paraId="1E667C25" w14:textId="30B4FBC4" w:rsidR="009F560A" w:rsidRPr="00331317" w:rsidRDefault="009F560A" w:rsidP="009F560A">
            <w:pPr>
              <w:spacing w:line="276" w:lineRule="auto"/>
              <w:ind w:right="68"/>
            </w:pPr>
            <w:r>
              <w:t>1411</w:t>
            </w:r>
          </w:p>
        </w:tc>
        <w:tc>
          <w:tcPr>
            <w:tcW w:w="556" w:type="pct"/>
            <w:tcBorders>
              <w:top w:val="nil"/>
              <w:bottom w:val="single" w:sz="4" w:space="0" w:color="000000" w:themeColor="text1"/>
            </w:tcBorders>
          </w:tcPr>
          <w:p w14:paraId="5CB55C99" w14:textId="39FAD956" w:rsidR="009F560A" w:rsidRPr="00D10106" w:rsidRDefault="006544AB" w:rsidP="009F560A">
            <w:pPr>
              <w:spacing w:line="276" w:lineRule="auto"/>
              <w:ind w:right="68"/>
            </w:pPr>
            <w:r>
              <w:t>3.71</w:t>
            </w:r>
          </w:p>
        </w:tc>
        <w:tc>
          <w:tcPr>
            <w:tcW w:w="556" w:type="pct"/>
            <w:tcBorders>
              <w:top w:val="nil"/>
              <w:bottom w:val="single" w:sz="4" w:space="0" w:color="000000" w:themeColor="text1"/>
              <w:right w:val="nil"/>
            </w:tcBorders>
          </w:tcPr>
          <w:p w14:paraId="34AE4C86" w14:textId="28F66DCA" w:rsidR="009F560A" w:rsidRPr="00D10106" w:rsidRDefault="006544AB" w:rsidP="009F560A">
            <w:pPr>
              <w:spacing w:line="276" w:lineRule="auto"/>
              <w:ind w:right="68"/>
            </w:pPr>
            <w:r>
              <w:t>0.92</w:t>
            </w:r>
          </w:p>
        </w:tc>
      </w:tr>
      <w:tr w:rsidR="009F560A" w14:paraId="6118F19E" w14:textId="77777777" w:rsidTr="00955A03">
        <w:tc>
          <w:tcPr>
            <w:tcW w:w="1111" w:type="pct"/>
            <w:tcBorders>
              <w:top w:val="single" w:sz="4" w:space="0" w:color="000000" w:themeColor="text1"/>
              <w:left w:val="single" w:sz="4" w:space="0" w:color="FFFFFF" w:themeColor="background1"/>
              <w:bottom w:val="nil"/>
            </w:tcBorders>
          </w:tcPr>
          <w:p w14:paraId="164A3A0C" w14:textId="25941813" w:rsidR="009F560A" w:rsidRPr="00E8321F" w:rsidRDefault="009F560A" w:rsidP="009F560A">
            <w:pPr>
              <w:spacing w:line="276" w:lineRule="auto"/>
              <w:ind w:right="68"/>
            </w:pPr>
            <w:r w:rsidRPr="54828480">
              <w:t>Functionality appreciation</w:t>
            </w:r>
          </w:p>
        </w:tc>
        <w:tc>
          <w:tcPr>
            <w:tcW w:w="1111" w:type="pct"/>
            <w:tcBorders>
              <w:top w:val="single" w:sz="4" w:space="0" w:color="000000" w:themeColor="text1"/>
              <w:bottom w:val="nil"/>
            </w:tcBorders>
          </w:tcPr>
          <w:p w14:paraId="38A190A3" w14:textId="77777777" w:rsidR="009F560A" w:rsidRPr="00E8321F" w:rsidRDefault="009F560A" w:rsidP="009F560A">
            <w:pPr>
              <w:spacing w:line="276" w:lineRule="auto"/>
              <w:ind w:right="68"/>
            </w:pPr>
            <w:r w:rsidRPr="54828480">
              <w:t>United Kingdom</w:t>
            </w:r>
          </w:p>
        </w:tc>
        <w:tc>
          <w:tcPr>
            <w:tcW w:w="1110" w:type="pct"/>
            <w:tcBorders>
              <w:top w:val="single" w:sz="4" w:space="0" w:color="000000" w:themeColor="text1"/>
              <w:bottom w:val="nil"/>
            </w:tcBorders>
          </w:tcPr>
          <w:p w14:paraId="2936927C" w14:textId="77777777" w:rsidR="009F560A" w:rsidRPr="00E8321F" w:rsidRDefault="009F560A" w:rsidP="009F560A">
            <w:pPr>
              <w:spacing w:line="276" w:lineRule="auto"/>
              <w:ind w:right="68"/>
            </w:pPr>
            <w:r w:rsidRPr="54828480">
              <w:t>Women</w:t>
            </w:r>
          </w:p>
        </w:tc>
        <w:tc>
          <w:tcPr>
            <w:tcW w:w="556" w:type="pct"/>
            <w:tcBorders>
              <w:top w:val="single" w:sz="4" w:space="0" w:color="auto"/>
              <w:right w:val="nil"/>
            </w:tcBorders>
          </w:tcPr>
          <w:p w14:paraId="098B5F16" w14:textId="2123F9CB" w:rsidR="009F560A" w:rsidRDefault="009F560A" w:rsidP="009F560A">
            <w:pPr>
              <w:spacing w:line="276" w:lineRule="auto"/>
              <w:ind w:right="68"/>
            </w:pPr>
            <w:r>
              <w:t>416</w:t>
            </w:r>
          </w:p>
        </w:tc>
        <w:tc>
          <w:tcPr>
            <w:tcW w:w="556" w:type="pct"/>
            <w:tcBorders>
              <w:top w:val="nil"/>
              <w:left w:val="nil"/>
              <w:bottom w:val="nil"/>
              <w:right w:val="nil"/>
            </w:tcBorders>
          </w:tcPr>
          <w:p w14:paraId="4D67F296" w14:textId="3C085965" w:rsidR="009F560A" w:rsidRDefault="009F560A" w:rsidP="009F560A">
            <w:pPr>
              <w:spacing w:line="276" w:lineRule="auto"/>
              <w:ind w:right="68"/>
            </w:pPr>
            <w:r>
              <w:t>3.94</w:t>
            </w:r>
          </w:p>
        </w:tc>
        <w:tc>
          <w:tcPr>
            <w:tcW w:w="556" w:type="pct"/>
            <w:tcBorders>
              <w:top w:val="nil"/>
              <w:left w:val="nil"/>
              <w:bottom w:val="nil"/>
              <w:right w:val="nil"/>
            </w:tcBorders>
          </w:tcPr>
          <w:p w14:paraId="43C1CE2F" w14:textId="7F6A2180" w:rsidR="009F560A" w:rsidRDefault="009F560A" w:rsidP="009F560A">
            <w:pPr>
              <w:spacing w:line="276" w:lineRule="auto"/>
              <w:ind w:right="68"/>
            </w:pPr>
            <w:r>
              <w:t>0.69</w:t>
            </w:r>
          </w:p>
        </w:tc>
      </w:tr>
      <w:tr w:rsidR="009F560A" w14:paraId="6FA105CD" w14:textId="77777777" w:rsidTr="54828480">
        <w:tc>
          <w:tcPr>
            <w:tcW w:w="1111" w:type="pct"/>
            <w:tcBorders>
              <w:top w:val="nil"/>
              <w:left w:val="single" w:sz="4" w:space="0" w:color="FFFFFF" w:themeColor="background1"/>
            </w:tcBorders>
          </w:tcPr>
          <w:p w14:paraId="14FA23AD" w14:textId="2A7C58DF" w:rsidR="009F560A" w:rsidRPr="00E8321F" w:rsidRDefault="009F560A" w:rsidP="009F560A">
            <w:pPr>
              <w:spacing w:line="276" w:lineRule="auto"/>
              <w:ind w:right="68"/>
            </w:pPr>
          </w:p>
        </w:tc>
        <w:tc>
          <w:tcPr>
            <w:tcW w:w="1111" w:type="pct"/>
            <w:tcBorders>
              <w:top w:val="nil"/>
            </w:tcBorders>
          </w:tcPr>
          <w:p w14:paraId="5B375F31" w14:textId="77777777" w:rsidR="009F560A" w:rsidRPr="00E8321F" w:rsidRDefault="009F560A" w:rsidP="009F560A">
            <w:pPr>
              <w:spacing w:line="276" w:lineRule="auto"/>
              <w:ind w:right="68"/>
            </w:pPr>
          </w:p>
        </w:tc>
        <w:tc>
          <w:tcPr>
            <w:tcW w:w="1110" w:type="pct"/>
            <w:tcBorders>
              <w:top w:val="nil"/>
            </w:tcBorders>
          </w:tcPr>
          <w:p w14:paraId="764BAF3E" w14:textId="77777777" w:rsidR="009F560A" w:rsidRPr="00E8321F" w:rsidRDefault="009F560A" w:rsidP="009F560A">
            <w:pPr>
              <w:spacing w:line="276" w:lineRule="auto"/>
              <w:ind w:right="68"/>
            </w:pPr>
            <w:r w:rsidRPr="54828480">
              <w:t>Men</w:t>
            </w:r>
          </w:p>
        </w:tc>
        <w:tc>
          <w:tcPr>
            <w:tcW w:w="556" w:type="pct"/>
            <w:tcBorders>
              <w:top w:val="nil"/>
            </w:tcBorders>
          </w:tcPr>
          <w:p w14:paraId="02EE71C7" w14:textId="0D627AC4" w:rsidR="009F560A" w:rsidRDefault="009F560A" w:rsidP="009F560A">
            <w:pPr>
              <w:spacing w:line="276" w:lineRule="auto"/>
              <w:ind w:right="68"/>
            </w:pPr>
            <w:r>
              <w:t>180</w:t>
            </w:r>
          </w:p>
        </w:tc>
        <w:tc>
          <w:tcPr>
            <w:tcW w:w="556" w:type="pct"/>
            <w:tcBorders>
              <w:top w:val="nil"/>
            </w:tcBorders>
          </w:tcPr>
          <w:p w14:paraId="5854E903" w14:textId="329513AF" w:rsidR="009F560A" w:rsidRDefault="009F560A" w:rsidP="009F560A">
            <w:pPr>
              <w:spacing w:line="276" w:lineRule="auto"/>
              <w:ind w:right="68"/>
            </w:pPr>
            <w:r>
              <w:t>4.07</w:t>
            </w:r>
          </w:p>
        </w:tc>
        <w:tc>
          <w:tcPr>
            <w:tcW w:w="556" w:type="pct"/>
            <w:tcBorders>
              <w:top w:val="nil"/>
              <w:right w:val="single" w:sz="4" w:space="0" w:color="FFFFFF" w:themeColor="background1"/>
            </w:tcBorders>
          </w:tcPr>
          <w:p w14:paraId="7BEF63F4" w14:textId="1A758BAE" w:rsidR="009F560A" w:rsidRDefault="009F560A" w:rsidP="009F560A">
            <w:pPr>
              <w:spacing w:line="276" w:lineRule="auto"/>
              <w:ind w:right="68"/>
            </w:pPr>
            <w:r>
              <w:t>0.62</w:t>
            </w:r>
          </w:p>
        </w:tc>
      </w:tr>
      <w:tr w:rsidR="009F560A" w14:paraId="5A739839" w14:textId="77777777" w:rsidTr="54828480">
        <w:tc>
          <w:tcPr>
            <w:tcW w:w="1111" w:type="pct"/>
            <w:tcBorders>
              <w:left w:val="single" w:sz="4" w:space="0" w:color="FFFFFF" w:themeColor="background1"/>
            </w:tcBorders>
          </w:tcPr>
          <w:p w14:paraId="0F68700E" w14:textId="7F708399" w:rsidR="009F560A" w:rsidRPr="00E8321F" w:rsidRDefault="009F560A" w:rsidP="009F560A">
            <w:pPr>
              <w:spacing w:line="276" w:lineRule="auto"/>
              <w:ind w:right="68"/>
            </w:pPr>
          </w:p>
        </w:tc>
        <w:tc>
          <w:tcPr>
            <w:tcW w:w="1111" w:type="pct"/>
            <w:tcBorders>
              <w:bottom w:val="single" w:sz="4" w:space="0" w:color="000000" w:themeColor="text1"/>
            </w:tcBorders>
          </w:tcPr>
          <w:p w14:paraId="349F6FD3" w14:textId="77777777" w:rsidR="009F560A" w:rsidRPr="00E8321F" w:rsidRDefault="009F560A" w:rsidP="009F560A">
            <w:pPr>
              <w:spacing w:line="276" w:lineRule="auto"/>
              <w:ind w:right="68"/>
            </w:pPr>
          </w:p>
        </w:tc>
        <w:tc>
          <w:tcPr>
            <w:tcW w:w="1110" w:type="pct"/>
            <w:tcBorders>
              <w:bottom w:val="single" w:sz="4" w:space="0" w:color="000000" w:themeColor="text1"/>
            </w:tcBorders>
          </w:tcPr>
          <w:p w14:paraId="6391C7F8" w14:textId="77777777" w:rsidR="009F560A" w:rsidRPr="00E8321F" w:rsidRDefault="009F560A" w:rsidP="009F560A">
            <w:pPr>
              <w:spacing w:line="276" w:lineRule="auto"/>
              <w:ind w:right="68"/>
            </w:pPr>
            <w:r w:rsidRPr="54828480">
              <w:t>Total</w:t>
            </w:r>
          </w:p>
        </w:tc>
        <w:tc>
          <w:tcPr>
            <w:tcW w:w="556" w:type="pct"/>
            <w:tcBorders>
              <w:bottom w:val="single" w:sz="4" w:space="0" w:color="000000" w:themeColor="text1"/>
            </w:tcBorders>
          </w:tcPr>
          <w:p w14:paraId="6161A681" w14:textId="2D95A92A" w:rsidR="009F560A" w:rsidRDefault="009F560A" w:rsidP="009F560A">
            <w:pPr>
              <w:spacing w:line="276" w:lineRule="auto"/>
              <w:ind w:right="68"/>
            </w:pPr>
            <w:r>
              <w:t>596</w:t>
            </w:r>
          </w:p>
        </w:tc>
        <w:tc>
          <w:tcPr>
            <w:tcW w:w="556" w:type="pct"/>
            <w:tcBorders>
              <w:bottom w:val="single" w:sz="4" w:space="0" w:color="000000" w:themeColor="text1"/>
            </w:tcBorders>
          </w:tcPr>
          <w:p w14:paraId="4013A1E1" w14:textId="2B01D745" w:rsidR="009F560A" w:rsidRDefault="009F560A" w:rsidP="009F560A">
            <w:pPr>
              <w:spacing w:line="276" w:lineRule="auto"/>
              <w:ind w:right="68"/>
            </w:pPr>
            <w:r>
              <w:t>3.98</w:t>
            </w:r>
          </w:p>
        </w:tc>
        <w:tc>
          <w:tcPr>
            <w:tcW w:w="556" w:type="pct"/>
            <w:tcBorders>
              <w:bottom w:val="single" w:sz="4" w:space="0" w:color="000000" w:themeColor="text1"/>
              <w:right w:val="single" w:sz="4" w:space="0" w:color="FFFFFF" w:themeColor="background1"/>
            </w:tcBorders>
          </w:tcPr>
          <w:p w14:paraId="1B82F1F3" w14:textId="263FFA42" w:rsidR="009F560A" w:rsidRDefault="009F560A" w:rsidP="009F560A">
            <w:pPr>
              <w:spacing w:line="276" w:lineRule="auto"/>
              <w:ind w:right="68"/>
            </w:pPr>
            <w:r>
              <w:t>0.67</w:t>
            </w:r>
          </w:p>
        </w:tc>
      </w:tr>
      <w:tr w:rsidR="009F560A" w14:paraId="3DDE08A7" w14:textId="77777777" w:rsidTr="54828480">
        <w:tc>
          <w:tcPr>
            <w:tcW w:w="1111" w:type="pct"/>
            <w:tcBorders>
              <w:left w:val="single" w:sz="4" w:space="0" w:color="FFFFFF" w:themeColor="background1"/>
            </w:tcBorders>
          </w:tcPr>
          <w:p w14:paraId="1FA3980D" w14:textId="1F1C92FF" w:rsidR="009F560A" w:rsidRPr="00E8321F" w:rsidRDefault="009F560A" w:rsidP="009F560A">
            <w:pPr>
              <w:spacing w:line="276" w:lineRule="auto"/>
              <w:ind w:right="68"/>
            </w:pPr>
          </w:p>
        </w:tc>
        <w:tc>
          <w:tcPr>
            <w:tcW w:w="1111" w:type="pct"/>
            <w:tcBorders>
              <w:top w:val="single" w:sz="4" w:space="0" w:color="000000" w:themeColor="text1"/>
              <w:bottom w:val="single" w:sz="4" w:space="0" w:color="FFFFFF" w:themeColor="background1"/>
            </w:tcBorders>
          </w:tcPr>
          <w:p w14:paraId="620D004A" w14:textId="77777777" w:rsidR="009F560A" w:rsidRPr="00E8321F" w:rsidRDefault="009F560A" w:rsidP="009F560A">
            <w:pPr>
              <w:spacing w:line="276" w:lineRule="auto"/>
              <w:ind w:right="68"/>
            </w:pPr>
            <w:r w:rsidRPr="54828480">
              <w:t>Malaysian</w:t>
            </w:r>
          </w:p>
        </w:tc>
        <w:tc>
          <w:tcPr>
            <w:tcW w:w="1110" w:type="pct"/>
            <w:tcBorders>
              <w:top w:val="single" w:sz="4" w:space="0" w:color="000000" w:themeColor="text1"/>
              <w:bottom w:val="single" w:sz="4" w:space="0" w:color="FFFFFF" w:themeColor="background1"/>
            </w:tcBorders>
          </w:tcPr>
          <w:p w14:paraId="27D1015C" w14:textId="77777777" w:rsidR="009F560A" w:rsidRPr="00E8321F" w:rsidRDefault="009F560A" w:rsidP="009F560A">
            <w:pPr>
              <w:spacing w:line="276" w:lineRule="auto"/>
              <w:ind w:right="68"/>
            </w:pPr>
            <w:r w:rsidRPr="54828480">
              <w:t>Women</w:t>
            </w:r>
          </w:p>
        </w:tc>
        <w:tc>
          <w:tcPr>
            <w:tcW w:w="556" w:type="pct"/>
            <w:tcBorders>
              <w:top w:val="single" w:sz="4" w:space="0" w:color="000000" w:themeColor="text1"/>
              <w:bottom w:val="single" w:sz="4" w:space="0" w:color="FFFFFF" w:themeColor="background1"/>
            </w:tcBorders>
          </w:tcPr>
          <w:p w14:paraId="5D416BE9" w14:textId="341EB290" w:rsidR="009F560A" w:rsidRDefault="009F560A" w:rsidP="009F560A">
            <w:pPr>
              <w:spacing w:line="276" w:lineRule="auto"/>
              <w:ind w:right="68"/>
            </w:pPr>
            <w:r w:rsidRPr="54828480">
              <w:t>403</w:t>
            </w:r>
          </w:p>
        </w:tc>
        <w:tc>
          <w:tcPr>
            <w:tcW w:w="556" w:type="pct"/>
            <w:tcBorders>
              <w:top w:val="single" w:sz="4" w:space="0" w:color="000000" w:themeColor="text1"/>
              <w:bottom w:val="single" w:sz="4" w:space="0" w:color="FFFFFF" w:themeColor="background1"/>
            </w:tcBorders>
          </w:tcPr>
          <w:p w14:paraId="7EB5530E" w14:textId="213240F8" w:rsidR="009F560A" w:rsidRDefault="009F560A" w:rsidP="009F560A">
            <w:pPr>
              <w:spacing w:line="276" w:lineRule="auto"/>
              <w:ind w:right="68"/>
            </w:pPr>
            <w:r w:rsidRPr="54828480">
              <w:t>4.43</w:t>
            </w:r>
          </w:p>
        </w:tc>
        <w:tc>
          <w:tcPr>
            <w:tcW w:w="556" w:type="pct"/>
            <w:tcBorders>
              <w:top w:val="single" w:sz="4" w:space="0" w:color="000000" w:themeColor="text1"/>
              <w:bottom w:val="single" w:sz="4" w:space="0" w:color="FFFFFF" w:themeColor="background1"/>
              <w:right w:val="single" w:sz="4" w:space="0" w:color="FFFFFF" w:themeColor="background1"/>
            </w:tcBorders>
          </w:tcPr>
          <w:p w14:paraId="42A33832" w14:textId="12749FA1" w:rsidR="009F560A" w:rsidRDefault="009F560A" w:rsidP="009F560A">
            <w:pPr>
              <w:spacing w:line="276" w:lineRule="auto"/>
              <w:ind w:right="68"/>
            </w:pPr>
            <w:r w:rsidRPr="54828480">
              <w:t>0.61</w:t>
            </w:r>
          </w:p>
        </w:tc>
      </w:tr>
      <w:tr w:rsidR="009F560A" w14:paraId="5245CD86" w14:textId="77777777" w:rsidTr="54828480">
        <w:tc>
          <w:tcPr>
            <w:tcW w:w="1111" w:type="pct"/>
            <w:tcBorders>
              <w:left w:val="single" w:sz="4" w:space="0" w:color="FFFFFF" w:themeColor="background1"/>
            </w:tcBorders>
          </w:tcPr>
          <w:p w14:paraId="09FEB182" w14:textId="0DE482A5" w:rsidR="009F560A" w:rsidRPr="00E8321F" w:rsidRDefault="009F560A" w:rsidP="009F560A">
            <w:pPr>
              <w:spacing w:line="276" w:lineRule="auto"/>
              <w:ind w:right="68"/>
            </w:pPr>
          </w:p>
        </w:tc>
        <w:tc>
          <w:tcPr>
            <w:tcW w:w="1111" w:type="pct"/>
            <w:tcBorders>
              <w:top w:val="single" w:sz="4" w:space="0" w:color="FFFFFF" w:themeColor="background1"/>
            </w:tcBorders>
          </w:tcPr>
          <w:p w14:paraId="0AEC7C9B" w14:textId="77777777" w:rsidR="009F560A" w:rsidRPr="00E8321F" w:rsidRDefault="009F560A" w:rsidP="009F560A">
            <w:pPr>
              <w:spacing w:line="276" w:lineRule="auto"/>
              <w:ind w:right="68"/>
            </w:pPr>
          </w:p>
        </w:tc>
        <w:tc>
          <w:tcPr>
            <w:tcW w:w="1110" w:type="pct"/>
            <w:tcBorders>
              <w:top w:val="single" w:sz="4" w:space="0" w:color="FFFFFF" w:themeColor="background1"/>
            </w:tcBorders>
          </w:tcPr>
          <w:p w14:paraId="2D74F883" w14:textId="77777777" w:rsidR="009F560A" w:rsidRPr="00E8321F" w:rsidRDefault="009F560A" w:rsidP="009F560A">
            <w:pPr>
              <w:spacing w:line="276" w:lineRule="auto"/>
              <w:ind w:right="68"/>
            </w:pPr>
            <w:r w:rsidRPr="54828480">
              <w:t>Men</w:t>
            </w:r>
          </w:p>
        </w:tc>
        <w:tc>
          <w:tcPr>
            <w:tcW w:w="556" w:type="pct"/>
            <w:tcBorders>
              <w:top w:val="single" w:sz="4" w:space="0" w:color="FFFFFF" w:themeColor="background1"/>
            </w:tcBorders>
          </w:tcPr>
          <w:p w14:paraId="10E9A073" w14:textId="0DBD69EA" w:rsidR="009F560A" w:rsidRDefault="009F560A" w:rsidP="009F560A">
            <w:pPr>
              <w:spacing w:line="276" w:lineRule="auto"/>
              <w:ind w:right="68"/>
            </w:pPr>
            <w:r w:rsidRPr="54828480">
              <w:t>412</w:t>
            </w:r>
          </w:p>
        </w:tc>
        <w:tc>
          <w:tcPr>
            <w:tcW w:w="556" w:type="pct"/>
            <w:tcBorders>
              <w:top w:val="single" w:sz="4" w:space="0" w:color="FFFFFF" w:themeColor="background1"/>
            </w:tcBorders>
          </w:tcPr>
          <w:p w14:paraId="697A4F43" w14:textId="68FEFACB" w:rsidR="009F560A" w:rsidRDefault="009F560A" w:rsidP="009F560A">
            <w:pPr>
              <w:spacing w:line="276" w:lineRule="auto"/>
              <w:ind w:right="68"/>
            </w:pPr>
            <w:r w:rsidRPr="54828480">
              <w:t>4.38</w:t>
            </w:r>
          </w:p>
        </w:tc>
        <w:tc>
          <w:tcPr>
            <w:tcW w:w="556" w:type="pct"/>
            <w:tcBorders>
              <w:top w:val="single" w:sz="4" w:space="0" w:color="FFFFFF" w:themeColor="background1"/>
              <w:right w:val="single" w:sz="4" w:space="0" w:color="FFFFFF" w:themeColor="background1"/>
            </w:tcBorders>
          </w:tcPr>
          <w:p w14:paraId="2C93EF14" w14:textId="74F248EC" w:rsidR="009F560A" w:rsidRDefault="009F560A" w:rsidP="009F560A">
            <w:pPr>
              <w:spacing w:line="276" w:lineRule="auto"/>
              <w:ind w:right="68"/>
            </w:pPr>
            <w:r w:rsidRPr="54828480">
              <w:t>0.71</w:t>
            </w:r>
          </w:p>
        </w:tc>
      </w:tr>
      <w:tr w:rsidR="009F560A" w14:paraId="0CA7F237" w14:textId="77777777" w:rsidTr="54828480">
        <w:tc>
          <w:tcPr>
            <w:tcW w:w="1111" w:type="pct"/>
            <w:tcBorders>
              <w:left w:val="single" w:sz="4" w:space="0" w:color="FFFFFF" w:themeColor="background1"/>
              <w:bottom w:val="single" w:sz="4" w:space="0" w:color="FFFFFF" w:themeColor="background1"/>
            </w:tcBorders>
          </w:tcPr>
          <w:p w14:paraId="5AEA5EAD" w14:textId="4B757ABC" w:rsidR="009F560A" w:rsidRPr="00E8321F" w:rsidRDefault="009F560A" w:rsidP="009F560A">
            <w:pPr>
              <w:spacing w:line="276" w:lineRule="auto"/>
              <w:ind w:right="68"/>
            </w:pPr>
          </w:p>
        </w:tc>
        <w:tc>
          <w:tcPr>
            <w:tcW w:w="1111" w:type="pct"/>
            <w:tcBorders>
              <w:bottom w:val="single" w:sz="4" w:space="0" w:color="000000" w:themeColor="text1"/>
            </w:tcBorders>
          </w:tcPr>
          <w:p w14:paraId="6C3EFA3F" w14:textId="77777777" w:rsidR="009F560A" w:rsidRPr="00E8321F" w:rsidRDefault="009F560A" w:rsidP="009F560A">
            <w:pPr>
              <w:spacing w:line="276" w:lineRule="auto"/>
              <w:ind w:right="68"/>
            </w:pPr>
          </w:p>
        </w:tc>
        <w:tc>
          <w:tcPr>
            <w:tcW w:w="1110" w:type="pct"/>
            <w:tcBorders>
              <w:bottom w:val="single" w:sz="4" w:space="0" w:color="000000" w:themeColor="text1"/>
            </w:tcBorders>
          </w:tcPr>
          <w:p w14:paraId="47133634" w14:textId="77777777" w:rsidR="009F560A" w:rsidRPr="00E8321F" w:rsidRDefault="009F560A" w:rsidP="009F560A">
            <w:pPr>
              <w:spacing w:line="276" w:lineRule="auto"/>
              <w:ind w:right="68"/>
            </w:pPr>
            <w:r w:rsidRPr="54828480">
              <w:t>Total</w:t>
            </w:r>
          </w:p>
        </w:tc>
        <w:tc>
          <w:tcPr>
            <w:tcW w:w="556" w:type="pct"/>
            <w:tcBorders>
              <w:bottom w:val="single" w:sz="4" w:space="0" w:color="000000" w:themeColor="text1"/>
            </w:tcBorders>
          </w:tcPr>
          <w:p w14:paraId="75FA352A" w14:textId="75E5AA70" w:rsidR="009F560A" w:rsidRDefault="009F560A" w:rsidP="009F560A">
            <w:pPr>
              <w:spacing w:line="276" w:lineRule="auto"/>
              <w:ind w:right="68"/>
            </w:pPr>
            <w:r w:rsidRPr="54828480">
              <w:t>815</w:t>
            </w:r>
          </w:p>
        </w:tc>
        <w:tc>
          <w:tcPr>
            <w:tcW w:w="556" w:type="pct"/>
            <w:tcBorders>
              <w:bottom w:val="single" w:sz="4" w:space="0" w:color="000000" w:themeColor="text1"/>
            </w:tcBorders>
          </w:tcPr>
          <w:p w14:paraId="1050DF1C" w14:textId="024A5A22" w:rsidR="009F560A" w:rsidRDefault="009F560A" w:rsidP="009F560A">
            <w:pPr>
              <w:spacing w:line="276" w:lineRule="auto"/>
              <w:ind w:right="68"/>
            </w:pPr>
            <w:r w:rsidRPr="54828480">
              <w:t>4.40</w:t>
            </w:r>
          </w:p>
        </w:tc>
        <w:tc>
          <w:tcPr>
            <w:tcW w:w="556" w:type="pct"/>
            <w:tcBorders>
              <w:bottom w:val="single" w:sz="4" w:space="0" w:color="000000" w:themeColor="text1"/>
              <w:right w:val="single" w:sz="4" w:space="0" w:color="FFFFFF" w:themeColor="background1"/>
            </w:tcBorders>
          </w:tcPr>
          <w:p w14:paraId="73066BCE" w14:textId="65E63469" w:rsidR="009F560A" w:rsidRDefault="009F560A" w:rsidP="009F560A">
            <w:pPr>
              <w:spacing w:line="276" w:lineRule="auto"/>
              <w:ind w:right="68"/>
            </w:pPr>
            <w:r w:rsidRPr="54828480">
              <w:t>0.66</w:t>
            </w:r>
          </w:p>
        </w:tc>
      </w:tr>
      <w:tr w:rsidR="009F560A" w14:paraId="1160811D" w14:textId="77777777" w:rsidTr="54828480">
        <w:tc>
          <w:tcPr>
            <w:tcW w:w="1111" w:type="pct"/>
            <w:tcBorders>
              <w:top w:val="single" w:sz="4" w:space="0" w:color="FFFFFF" w:themeColor="background1"/>
              <w:left w:val="single" w:sz="4" w:space="0" w:color="FFFFFF" w:themeColor="background1"/>
            </w:tcBorders>
          </w:tcPr>
          <w:p w14:paraId="2203D8C3" w14:textId="0E04B6D1" w:rsidR="009F560A" w:rsidRPr="00E8321F" w:rsidRDefault="009F560A" w:rsidP="009F560A">
            <w:pPr>
              <w:spacing w:line="276" w:lineRule="auto"/>
              <w:ind w:right="68"/>
            </w:pPr>
          </w:p>
        </w:tc>
        <w:tc>
          <w:tcPr>
            <w:tcW w:w="1111" w:type="pct"/>
            <w:tcBorders>
              <w:top w:val="single" w:sz="4" w:space="0" w:color="000000" w:themeColor="text1"/>
            </w:tcBorders>
          </w:tcPr>
          <w:p w14:paraId="089F6DD6" w14:textId="77777777" w:rsidR="009F560A" w:rsidRPr="00E8321F" w:rsidRDefault="009F560A" w:rsidP="009F560A">
            <w:pPr>
              <w:spacing w:line="276" w:lineRule="auto"/>
              <w:ind w:right="68"/>
            </w:pPr>
            <w:r w:rsidRPr="54828480">
              <w:t>Total</w:t>
            </w:r>
          </w:p>
        </w:tc>
        <w:tc>
          <w:tcPr>
            <w:tcW w:w="1110" w:type="pct"/>
            <w:tcBorders>
              <w:top w:val="single" w:sz="4" w:space="0" w:color="000000" w:themeColor="text1"/>
            </w:tcBorders>
          </w:tcPr>
          <w:p w14:paraId="674558AC" w14:textId="77777777" w:rsidR="009F560A" w:rsidRPr="00E8321F" w:rsidRDefault="009F560A" w:rsidP="009F560A">
            <w:pPr>
              <w:spacing w:line="276" w:lineRule="auto"/>
              <w:ind w:right="68"/>
            </w:pPr>
            <w:r w:rsidRPr="54828480">
              <w:t>Women</w:t>
            </w:r>
          </w:p>
        </w:tc>
        <w:tc>
          <w:tcPr>
            <w:tcW w:w="556" w:type="pct"/>
            <w:tcBorders>
              <w:top w:val="single" w:sz="4" w:space="0" w:color="000000" w:themeColor="text1"/>
            </w:tcBorders>
          </w:tcPr>
          <w:p w14:paraId="12BA3AB4" w14:textId="1547C02F" w:rsidR="009F560A" w:rsidRDefault="009F560A" w:rsidP="009F560A">
            <w:pPr>
              <w:spacing w:line="276" w:lineRule="auto"/>
              <w:ind w:right="68"/>
            </w:pPr>
            <w:r>
              <w:t>819</w:t>
            </w:r>
          </w:p>
        </w:tc>
        <w:tc>
          <w:tcPr>
            <w:tcW w:w="556" w:type="pct"/>
            <w:tcBorders>
              <w:top w:val="single" w:sz="4" w:space="0" w:color="000000" w:themeColor="text1"/>
              <w:bottom w:val="single" w:sz="4" w:space="0" w:color="FFFFFF" w:themeColor="background1"/>
            </w:tcBorders>
          </w:tcPr>
          <w:p w14:paraId="4B95DC5A" w14:textId="0592A914" w:rsidR="009F560A" w:rsidRDefault="009F560A" w:rsidP="009F560A">
            <w:pPr>
              <w:spacing w:line="276" w:lineRule="auto"/>
              <w:ind w:right="68"/>
            </w:pPr>
            <w:r>
              <w:t>4.18</w:t>
            </w:r>
          </w:p>
        </w:tc>
        <w:tc>
          <w:tcPr>
            <w:tcW w:w="556" w:type="pct"/>
            <w:tcBorders>
              <w:top w:val="single" w:sz="4" w:space="0" w:color="000000" w:themeColor="text1"/>
              <w:right w:val="single" w:sz="4" w:space="0" w:color="FFFFFF" w:themeColor="background1"/>
            </w:tcBorders>
          </w:tcPr>
          <w:p w14:paraId="5D3946E9" w14:textId="19DEA8F6" w:rsidR="009F560A" w:rsidRDefault="009F560A" w:rsidP="009F560A">
            <w:pPr>
              <w:spacing w:line="276" w:lineRule="auto"/>
              <w:ind w:right="68"/>
            </w:pPr>
            <w:r>
              <w:t>0.70</w:t>
            </w:r>
          </w:p>
        </w:tc>
      </w:tr>
      <w:tr w:rsidR="009F560A" w14:paraId="378017F8" w14:textId="77777777" w:rsidTr="54828480">
        <w:tc>
          <w:tcPr>
            <w:tcW w:w="1111" w:type="pct"/>
            <w:tcBorders>
              <w:left w:val="single" w:sz="4" w:space="0" w:color="FFFFFF" w:themeColor="background1"/>
            </w:tcBorders>
          </w:tcPr>
          <w:p w14:paraId="3E45F7C6" w14:textId="2C5A28DE" w:rsidR="009F560A" w:rsidRPr="00E8321F" w:rsidRDefault="009F560A" w:rsidP="009F560A">
            <w:pPr>
              <w:spacing w:line="276" w:lineRule="auto"/>
              <w:ind w:right="68"/>
            </w:pPr>
          </w:p>
        </w:tc>
        <w:tc>
          <w:tcPr>
            <w:tcW w:w="1111" w:type="pct"/>
          </w:tcPr>
          <w:p w14:paraId="1D3F3049" w14:textId="77777777" w:rsidR="009F560A" w:rsidRPr="0050481D" w:rsidRDefault="009F560A" w:rsidP="009F560A">
            <w:pPr>
              <w:spacing w:line="276" w:lineRule="auto"/>
              <w:ind w:right="68"/>
            </w:pPr>
          </w:p>
        </w:tc>
        <w:tc>
          <w:tcPr>
            <w:tcW w:w="1110" w:type="pct"/>
          </w:tcPr>
          <w:p w14:paraId="1C2C33B1" w14:textId="77777777" w:rsidR="009F560A" w:rsidRPr="0050481D" w:rsidRDefault="009F560A" w:rsidP="009F560A">
            <w:pPr>
              <w:spacing w:line="276" w:lineRule="auto"/>
              <w:ind w:right="68"/>
            </w:pPr>
            <w:r w:rsidRPr="54828480">
              <w:t>Men</w:t>
            </w:r>
          </w:p>
        </w:tc>
        <w:tc>
          <w:tcPr>
            <w:tcW w:w="556" w:type="pct"/>
          </w:tcPr>
          <w:p w14:paraId="05421DC0" w14:textId="7E15CFBF" w:rsidR="009F560A" w:rsidRDefault="009F560A" w:rsidP="009F560A">
            <w:pPr>
              <w:spacing w:line="276" w:lineRule="auto"/>
              <w:ind w:right="68"/>
            </w:pPr>
            <w:r>
              <w:t>592</w:t>
            </w:r>
          </w:p>
        </w:tc>
        <w:tc>
          <w:tcPr>
            <w:tcW w:w="556" w:type="pct"/>
            <w:tcBorders>
              <w:top w:val="single" w:sz="4" w:space="0" w:color="FFFFFF" w:themeColor="background1"/>
            </w:tcBorders>
          </w:tcPr>
          <w:p w14:paraId="41E7AF6A" w14:textId="3A832D80" w:rsidR="009F560A" w:rsidRDefault="009F560A" w:rsidP="009F560A">
            <w:pPr>
              <w:spacing w:line="276" w:lineRule="auto"/>
              <w:ind w:right="68"/>
            </w:pPr>
            <w:r>
              <w:t>4.28</w:t>
            </w:r>
          </w:p>
        </w:tc>
        <w:tc>
          <w:tcPr>
            <w:tcW w:w="556" w:type="pct"/>
            <w:tcBorders>
              <w:right w:val="single" w:sz="4" w:space="0" w:color="FFFFFF" w:themeColor="background1"/>
            </w:tcBorders>
          </w:tcPr>
          <w:p w14:paraId="27C42914" w14:textId="07A05143" w:rsidR="009F560A" w:rsidRDefault="009F560A" w:rsidP="009F560A">
            <w:pPr>
              <w:spacing w:line="276" w:lineRule="auto"/>
              <w:ind w:right="68"/>
            </w:pPr>
            <w:r>
              <w:t>0.70</w:t>
            </w:r>
          </w:p>
        </w:tc>
      </w:tr>
      <w:tr w:rsidR="009F560A" w14:paraId="0981B15C" w14:textId="77777777" w:rsidTr="54828480">
        <w:tc>
          <w:tcPr>
            <w:tcW w:w="1111" w:type="pct"/>
            <w:tcBorders>
              <w:left w:val="single" w:sz="4" w:space="0" w:color="FFFFFF" w:themeColor="background1"/>
            </w:tcBorders>
          </w:tcPr>
          <w:p w14:paraId="48244981" w14:textId="43DCC5E2" w:rsidR="009F560A" w:rsidRPr="00E8321F" w:rsidRDefault="009F560A" w:rsidP="009F560A">
            <w:pPr>
              <w:spacing w:line="276" w:lineRule="auto"/>
              <w:ind w:right="68"/>
            </w:pPr>
          </w:p>
        </w:tc>
        <w:tc>
          <w:tcPr>
            <w:tcW w:w="1111" w:type="pct"/>
          </w:tcPr>
          <w:p w14:paraId="3324AD7C" w14:textId="77777777" w:rsidR="009F560A" w:rsidRPr="0050481D" w:rsidRDefault="009F560A" w:rsidP="009F560A">
            <w:pPr>
              <w:spacing w:line="276" w:lineRule="auto"/>
              <w:ind w:right="68"/>
            </w:pPr>
          </w:p>
        </w:tc>
        <w:tc>
          <w:tcPr>
            <w:tcW w:w="1110" w:type="pct"/>
          </w:tcPr>
          <w:p w14:paraId="21203CCC" w14:textId="77777777" w:rsidR="009F560A" w:rsidRPr="0050481D" w:rsidRDefault="009F560A" w:rsidP="009F560A">
            <w:pPr>
              <w:spacing w:line="276" w:lineRule="auto"/>
              <w:ind w:right="68"/>
            </w:pPr>
            <w:r w:rsidRPr="54828480">
              <w:t>Grand average</w:t>
            </w:r>
          </w:p>
        </w:tc>
        <w:tc>
          <w:tcPr>
            <w:tcW w:w="556" w:type="pct"/>
          </w:tcPr>
          <w:p w14:paraId="6AE37487" w14:textId="40D50D35" w:rsidR="009F560A" w:rsidRDefault="009F560A" w:rsidP="009F560A">
            <w:pPr>
              <w:spacing w:line="276" w:lineRule="auto"/>
              <w:ind w:right="68"/>
            </w:pPr>
            <w:r>
              <w:t>1411</w:t>
            </w:r>
          </w:p>
        </w:tc>
        <w:tc>
          <w:tcPr>
            <w:tcW w:w="556" w:type="pct"/>
          </w:tcPr>
          <w:p w14:paraId="49F62A16" w14:textId="75B6491C" w:rsidR="009F560A" w:rsidRDefault="009F560A" w:rsidP="009F560A">
            <w:pPr>
              <w:spacing w:line="276" w:lineRule="auto"/>
              <w:ind w:right="68"/>
            </w:pPr>
            <w:r>
              <w:t>4.23</w:t>
            </w:r>
          </w:p>
        </w:tc>
        <w:tc>
          <w:tcPr>
            <w:tcW w:w="556" w:type="pct"/>
            <w:tcBorders>
              <w:right w:val="single" w:sz="4" w:space="0" w:color="FFFFFF" w:themeColor="background1"/>
            </w:tcBorders>
          </w:tcPr>
          <w:p w14:paraId="401AB90A" w14:textId="4C7872E6" w:rsidR="009F560A" w:rsidRDefault="009F560A" w:rsidP="009F560A">
            <w:pPr>
              <w:spacing w:line="276" w:lineRule="auto"/>
              <w:ind w:right="68"/>
            </w:pPr>
            <w:r>
              <w:t>0.70</w:t>
            </w:r>
          </w:p>
        </w:tc>
      </w:tr>
    </w:tbl>
    <w:p w14:paraId="6A012126" w14:textId="77777777" w:rsidR="00590BF8" w:rsidRPr="001C40FC" w:rsidRDefault="00590BF8" w:rsidP="001C40FC">
      <w:pPr>
        <w:spacing w:line="480" w:lineRule="auto"/>
      </w:pPr>
    </w:p>
    <w:p w14:paraId="6CD9C1C7" w14:textId="77777777" w:rsidR="001C40FC" w:rsidRPr="00DA5F96" w:rsidRDefault="001C40FC" w:rsidP="001B101D"/>
    <w:sectPr w:rsidR="001C40FC" w:rsidRPr="00DA5F96" w:rsidSect="00DA5F9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7986" w14:textId="77777777" w:rsidR="00427914" w:rsidRDefault="00427914" w:rsidP="00286FC5">
      <w:r>
        <w:separator/>
      </w:r>
    </w:p>
  </w:endnote>
  <w:endnote w:type="continuationSeparator" w:id="0">
    <w:p w14:paraId="501F4587" w14:textId="77777777" w:rsidR="00427914" w:rsidRDefault="00427914" w:rsidP="00286FC5">
      <w:r>
        <w:continuationSeparator/>
      </w:r>
    </w:p>
  </w:endnote>
  <w:endnote w:type="continuationNotice" w:id="1">
    <w:p w14:paraId="5B74E092" w14:textId="77777777" w:rsidR="00427914" w:rsidRDefault="0042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4BE1" w14:textId="77777777" w:rsidR="00427914" w:rsidRDefault="00427914" w:rsidP="00286FC5">
      <w:r>
        <w:separator/>
      </w:r>
    </w:p>
  </w:footnote>
  <w:footnote w:type="continuationSeparator" w:id="0">
    <w:p w14:paraId="724E1732" w14:textId="77777777" w:rsidR="00427914" w:rsidRDefault="00427914" w:rsidP="00286FC5">
      <w:r>
        <w:continuationSeparator/>
      </w:r>
    </w:p>
  </w:footnote>
  <w:footnote w:type="continuationNotice" w:id="1">
    <w:p w14:paraId="084A2267" w14:textId="77777777" w:rsidR="00427914" w:rsidRDefault="00427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3857752"/>
      <w:docPartObj>
        <w:docPartGallery w:val="Page Numbers (Top of Page)"/>
        <w:docPartUnique/>
      </w:docPartObj>
    </w:sdtPr>
    <w:sdtEndPr>
      <w:rPr>
        <w:rStyle w:val="PageNumber"/>
      </w:rPr>
    </w:sdtEndPr>
    <w:sdtContent>
      <w:p w14:paraId="4EEF114B" w14:textId="316FCFA7" w:rsidR="0032324C" w:rsidRDefault="0032324C" w:rsidP="00C61F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4A712" w14:textId="77777777" w:rsidR="009B462B" w:rsidRDefault="009B462B" w:rsidP="003232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Cs w:val="24"/>
      </w:rPr>
      <w:id w:val="1099214600"/>
      <w:docPartObj>
        <w:docPartGallery w:val="Page Numbers (Top of Page)"/>
        <w:docPartUnique/>
      </w:docPartObj>
    </w:sdtPr>
    <w:sdtEndPr>
      <w:rPr>
        <w:rStyle w:val="PageNumber"/>
      </w:rPr>
    </w:sdtEndPr>
    <w:sdtContent>
      <w:p w14:paraId="36538ECC" w14:textId="49FF1D1A" w:rsidR="0032324C" w:rsidRPr="0032324C" w:rsidRDefault="0032324C" w:rsidP="00C61F5B">
        <w:pPr>
          <w:pStyle w:val="Header"/>
          <w:framePr w:wrap="none" w:vAnchor="text" w:hAnchor="margin" w:xAlign="right" w:y="1"/>
          <w:rPr>
            <w:rStyle w:val="PageNumber"/>
            <w:rFonts w:ascii="Times New Roman" w:hAnsi="Times New Roman"/>
            <w:szCs w:val="24"/>
          </w:rPr>
        </w:pPr>
        <w:r w:rsidRPr="0032324C">
          <w:rPr>
            <w:rStyle w:val="PageNumber"/>
            <w:rFonts w:ascii="Times New Roman" w:hAnsi="Times New Roman"/>
            <w:szCs w:val="24"/>
          </w:rPr>
          <w:fldChar w:fldCharType="begin"/>
        </w:r>
        <w:r w:rsidRPr="0032324C">
          <w:rPr>
            <w:rStyle w:val="PageNumber"/>
            <w:rFonts w:ascii="Times New Roman" w:hAnsi="Times New Roman"/>
            <w:szCs w:val="24"/>
          </w:rPr>
          <w:instrText xml:space="preserve"> PAGE </w:instrText>
        </w:r>
        <w:r w:rsidRPr="0032324C">
          <w:rPr>
            <w:rStyle w:val="PageNumber"/>
            <w:rFonts w:ascii="Times New Roman" w:hAnsi="Times New Roman"/>
            <w:szCs w:val="24"/>
          </w:rPr>
          <w:fldChar w:fldCharType="separate"/>
        </w:r>
        <w:r w:rsidRPr="0032324C">
          <w:rPr>
            <w:rStyle w:val="PageNumber"/>
            <w:rFonts w:ascii="Times New Roman" w:hAnsi="Times New Roman"/>
            <w:noProof/>
            <w:szCs w:val="24"/>
          </w:rPr>
          <w:t>2</w:t>
        </w:r>
        <w:r w:rsidRPr="0032324C">
          <w:rPr>
            <w:rStyle w:val="PageNumber"/>
            <w:rFonts w:ascii="Times New Roman" w:hAnsi="Times New Roman"/>
            <w:szCs w:val="24"/>
          </w:rPr>
          <w:fldChar w:fldCharType="end"/>
        </w:r>
      </w:p>
    </w:sdtContent>
  </w:sdt>
  <w:p w14:paraId="5F35859D" w14:textId="4D0492D6" w:rsidR="009B462B" w:rsidRPr="0032324C" w:rsidRDefault="0032324C" w:rsidP="0032324C">
    <w:pPr>
      <w:pStyle w:val="Header"/>
      <w:ind w:right="360"/>
      <w:rPr>
        <w:rFonts w:ascii="Times New Roman" w:hAnsi="Times New Roman"/>
        <w:szCs w:val="24"/>
      </w:rPr>
    </w:pPr>
    <w:r w:rsidRPr="0032324C">
      <w:rPr>
        <w:rFonts w:ascii="Times New Roman" w:hAnsi="Times New Roman"/>
        <w:szCs w:val="24"/>
      </w:rPr>
      <w:t>Positive body image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274"/>
    <w:multiLevelType w:val="hybridMultilevel"/>
    <w:tmpl w:val="309E87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72929E7"/>
    <w:multiLevelType w:val="hybridMultilevel"/>
    <w:tmpl w:val="73667D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43"/>
    <w:rsid w:val="00005422"/>
    <w:rsid w:val="00010562"/>
    <w:rsid w:val="000112F1"/>
    <w:rsid w:val="00021362"/>
    <w:rsid w:val="00022F9C"/>
    <w:rsid w:val="000258D2"/>
    <w:rsid w:val="000377A3"/>
    <w:rsid w:val="00040D80"/>
    <w:rsid w:val="00043A11"/>
    <w:rsid w:val="00046334"/>
    <w:rsid w:val="00061CC7"/>
    <w:rsid w:val="00071EA0"/>
    <w:rsid w:val="000742D9"/>
    <w:rsid w:val="00074798"/>
    <w:rsid w:val="00084096"/>
    <w:rsid w:val="00090A1A"/>
    <w:rsid w:val="000A2C4B"/>
    <w:rsid w:val="000A597B"/>
    <w:rsid w:val="000B1540"/>
    <w:rsid w:val="000B4946"/>
    <w:rsid w:val="000B5316"/>
    <w:rsid w:val="000B5D00"/>
    <w:rsid w:val="000B77D4"/>
    <w:rsid w:val="000C2DC7"/>
    <w:rsid w:val="000D2269"/>
    <w:rsid w:val="000D249B"/>
    <w:rsid w:val="000E2B0C"/>
    <w:rsid w:val="000F5029"/>
    <w:rsid w:val="00104EC2"/>
    <w:rsid w:val="001221F0"/>
    <w:rsid w:val="00127924"/>
    <w:rsid w:val="00127EF7"/>
    <w:rsid w:val="00136134"/>
    <w:rsid w:val="001379EE"/>
    <w:rsid w:val="0014111A"/>
    <w:rsid w:val="00144AFD"/>
    <w:rsid w:val="00151ED9"/>
    <w:rsid w:val="00167364"/>
    <w:rsid w:val="00173497"/>
    <w:rsid w:val="001760D4"/>
    <w:rsid w:val="0018378E"/>
    <w:rsid w:val="00186F7D"/>
    <w:rsid w:val="001A1AB7"/>
    <w:rsid w:val="001A44DC"/>
    <w:rsid w:val="001A626F"/>
    <w:rsid w:val="001B101D"/>
    <w:rsid w:val="001C0760"/>
    <w:rsid w:val="001C40FC"/>
    <w:rsid w:val="001D1367"/>
    <w:rsid w:val="001D49C7"/>
    <w:rsid w:val="001D5BC2"/>
    <w:rsid w:val="001E187F"/>
    <w:rsid w:val="001E33B4"/>
    <w:rsid w:val="001E426B"/>
    <w:rsid w:val="001F4ED0"/>
    <w:rsid w:val="00216845"/>
    <w:rsid w:val="002244CC"/>
    <w:rsid w:val="002268D8"/>
    <w:rsid w:val="00230905"/>
    <w:rsid w:val="00231478"/>
    <w:rsid w:val="00233863"/>
    <w:rsid w:val="00234A3D"/>
    <w:rsid w:val="00257886"/>
    <w:rsid w:val="00260E21"/>
    <w:rsid w:val="00274DE9"/>
    <w:rsid w:val="002829FE"/>
    <w:rsid w:val="0028310D"/>
    <w:rsid w:val="00283472"/>
    <w:rsid w:val="00286FC5"/>
    <w:rsid w:val="00295FA9"/>
    <w:rsid w:val="002A6AC7"/>
    <w:rsid w:val="002B127B"/>
    <w:rsid w:val="002C2837"/>
    <w:rsid w:val="002C4342"/>
    <w:rsid w:val="002E58FE"/>
    <w:rsid w:val="002E5B61"/>
    <w:rsid w:val="002E6EBA"/>
    <w:rsid w:val="002F2F31"/>
    <w:rsid w:val="002F3E07"/>
    <w:rsid w:val="002F5F52"/>
    <w:rsid w:val="003022D9"/>
    <w:rsid w:val="0030289F"/>
    <w:rsid w:val="00315B5C"/>
    <w:rsid w:val="0032324C"/>
    <w:rsid w:val="00325DD1"/>
    <w:rsid w:val="00332895"/>
    <w:rsid w:val="003411F6"/>
    <w:rsid w:val="003518B5"/>
    <w:rsid w:val="00352D37"/>
    <w:rsid w:val="00353EF5"/>
    <w:rsid w:val="00363AC5"/>
    <w:rsid w:val="003746CC"/>
    <w:rsid w:val="0037765B"/>
    <w:rsid w:val="00380362"/>
    <w:rsid w:val="00382676"/>
    <w:rsid w:val="003844AE"/>
    <w:rsid w:val="003A45FA"/>
    <w:rsid w:val="003A4FB5"/>
    <w:rsid w:val="003A6D2E"/>
    <w:rsid w:val="003B07A5"/>
    <w:rsid w:val="003B7AC2"/>
    <w:rsid w:val="003C09C8"/>
    <w:rsid w:val="003C7318"/>
    <w:rsid w:val="003D26AF"/>
    <w:rsid w:val="003D39A0"/>
    <w:rsid w:val="003D651E"/>
    <w:rsid w:val="003D7713"/>
    <w:rsid w:val="003E00AE"/>
    <w:rsid w:val="003E18A1"/>
    <w:rsid w:val="003E3265"/>
    <w:rsid w:val="00404783"/>
    <w:rsid w:val="00405844"/>
    <w:rsid w:val="00411190"/>
    <w:rsid w:val="00411B15"/>
    <w:rsid w:val="004228F9"/>
    <w:rsid w:val="00422AB4"/>
    <w:rsid w:val="00427914"/>
    <w:rsid w:val="0043174E"/>
    <w:rsid w:val="00431892"/>
    <w:rsid w:val="004325DE"/>
    <w:rsid w:val="00434CD4"/>
    <w:rsid w:val="004355F6"/>
    <w:rsid w:val="00445AFF"/>
    <w:rsid w:val="00446483"/>
    <w:rsid w:val="00463A00"/>
    <w:rsid w:val="00464606"/>
    <w:rsid w:val="0046539F"/>
    <w:rsid w:val="00467F06"/>
    <w:rsid w:val="00472F69"/>
    <w:rsid w:val="00475603"/>
    <w:rsid w:val="004775E7"/>
    <w:rsid w:val="00497B42"/>
    <w:rsid w:val="004A1774"/>
    <w:rsid w:val="004A260F"/>
    <w:rsid w:val="004A3396"/>
    <w:rsid w:val="004B786F"/>
    <w:rsid w:val="004C383F"/>
    <w:rsid w:val="004C4B1D"/>
    <w:rsid w:val="004C790C"/>
    <w:rsid w:val="004D1C3D"/>
    <w:rsid w:val="004D6BCE"/>
    <w:rsid w:val="004D728A"/>
    <w:rsid w:val="004D73AA"/>
    <w:rsid w:val="004E4A88"/>
    <w:rsid w:val="004E7CC6"/>
    <w:rsid w:val="004F34CA"/>
    <w:rsid w:val="004F3ED3"/>
    <w:rsid w:val="0050048C"/>
    <w:rsid w:val="005036B2"/>
    <w:rsid w:val="00507C04"/>
    <w:rsid w:val="00511517"/>
    <w:rsid w:val="00517795"/>
    <w:rsid w:val="005236F1"/>
    <w:rsid w:val="00524F55"/>
    <w:rsid w:val="0053135E"/>
    <w:rsid w:val="00534763"/>
    <w:rsid w:val="00536C86"/>
    <w:rsid w:val="00550007"/>
    <w:rsid w:val="00552F48"/>
    <w:rsid w:val="00554FCA"/>
    <w:rsid w:val="00556DE4"/>
    <w:rsid w:val="00565496"/>
    <w:rsid w:val="005737BE"/>
    <w:rsid w:val="005757DF"/>
    <w:rsid w:val="00577A41"/>
    <w:rsid w:val="00590BF8"/>
    <w:rsid w:val="0059172A"/>
    <w:rsid w:val="0059540B"/>
    <w:rsid w:val="00595628"/>
    <w:rsid w:val="005972FA"/>
    <w:rsid w:val="005A3188"/>
    <w:rsid w:val="005A7E0C"/>
    <w:rsid w:val="005B15B8"/>
    <w:rsid w:val="005B5E10"/>
    <w:rsid w:val="005C0C1C"/>
    <w:rsid w:val="005C18F0"/>
    <w:rsid w:val="005C4591"/>
    <w:rsid w:val="005D2AD6"/>
    <w:rsid w:val="005E0F15"/>
    <w:rsid w:val="005E6F32"/>
    <w:rsid w:val="005F0400"/>
    <w:rsid w:val="005F43EF"/>
    <w:rsid w:val="005F79B8"/>
    <w:rsid w:val="006014F2"/>
    <w:rsid w:val="006118FA"/>
    <w:rsid w:val="006152A1"/>
    <w:rsid w:val="00617CBC"/>
    <w:rsid w:val="006212EE"/>
    <w:rsid w:val="00635F56"/>
    <w:rsid w:val="006421DB"/>
    <w:rsid w:val="00646734"/>
    <w:rsid w:val="00653C59"/>
    <w:rsid w:val="006544AB"/>
    <w:rsid w:val="00655E35"/>
    <w:rsid w:val="006574E3"/>
    <w:rsid w:val="006718D0"/>
    <w:rsid w:val="00672AEF"/>
    <w:rsid w:val="00690674"/>
    <w:rsid w:val="006920CD"/>
    <w:rsid w:val="00692A96"/>
    <w:rsid w:val="00696408"/>
    <w:rsid w:val="0069672D"/>
    <w:rsid w:val="006A1081"/>
    <w:rsid w:val="006A2AEF"/>
    <w:rsid w:val="006A494E"/>
    <w:rsid w:val="006A5487"/>
    <w:rsid w:val="006B4BA2"/>
    <w:rsid w:val="006C1810"/>
    <w:rsid w:val="006C5416"/>
    <w:rsid w:val="006E0391"/>
    <w:rsid w:val="006E0A35"/>
    <w:rsid w:val="006F4E41"/>
    <w:rsid w:val="006F546B"/>
    <w:rsid w:val="006F67A7"/>
    <w:rsid w:val="00700BBE"/>
    <w:rsid w:val="00704383"/>
    <w:rsid w:val="007060D1"/>
    <w:rsid w:val="00711ED4"/>
    <w:rsid w:val="00724193"/>
    <w:rsid w:val="00733E7B"/>
    <w:rsid w:val="00741BC7"/>
    <w:rsid w:val="00744A1A"/>
    <w:rsid w:val="0074562D"/>
    <w:rsid w:val="00747E81"/>
    <w:rsid w:val="007506CC"/>
    <w:rsid w:val="007523D5"/>
    <w:rsid w:val="00763439"/>
    <w:rsid w:val="00771A73"/>
    <w:rsid w:val="00776D1B"/>
    <w:rsid w:val="0078054E"/>
    <w:rsid w:val="00790559"/>
    <w:rsid w:val="007932A6"/>
    <w:rsid w:val="00796EBD"/>
    <w:rsid w:val="007A0451"/>
    <w:rsid w:val="007A3CBD"/>
    <w:rsid w:val="007A6606"/>
    <w:rsid w:val="007A6F67"/>
    <w:rsid w:val="007A7B70"/>
    <w:rsid w:val="007B0F1B"/>
    <w:rsid w:val="007B143E"/>
    <w:rsid w:val="007C0CE6"/>
    <w:rsid w:val="007C4412"/>
    <w:rsid w:val="007C60F6"/>
    <w:rsid w:val="007D02F0"/>
    <w:rsid w:val="007D5FFE"/>
    <w:rsid w:val="007D6165"/>
    <w:rsid w:val="007D78D7"/>
    <w:rsid w:val="007E1069"/>
    <w:rsid w:val="007F6D95"/>
    <w:rsid w:val="00815637"/>
    <w:rsid w:val="00825D46"/>
    <w:rsid w:val="00825E45"/>
    <w:rsid w:val="008320B4"/>
    <w:rsid w:val="008334C4"/>
    <w:rsid w:val="00836E31"/>
    <w:rsid w:val="0084276B"/>
    <w:rsid w:val="00850035"/>
    <w:rsid w:val="00857661"/>
    <w:rsid w:val="00864D76"/>
    <w:rsid w:val="00871C04"/>
    <w:rsid w:val="008852FC"/>
    <w:rsid w:val="0089332B"/>
    <w:rsid w:val="008A50EB"/>
    <w:rsid w:val="008A7650"/>
    <w:rsid w:val="008B1D77"/>
    <w:rsid w:val="008B51FD"/>
    <w:rsid w:val="008B76CA"/>
    <w:rsid w:val="008C16F4"/>
    <w:rsid w:val="008C1C18"/>
    <w:rsid w:val="008C39F0"/>
    <w:rsid w:val="008C6B50"/>
    <w:rsid w:val="008D525F"/>
    <w:rsid w:val="009078CB"/>
    <w:rsid w:val="00913307"/>
    <w:rsid w:val="00921BEA"/>
    <w:rsid w:val="00923A85"/>
    <w:rsid w:val="00932DA6"/>
    <w:rsid w:val="009339E0"/>
    <w:rsid w:val="00933E49"/>
    <w:rsid w:val="009353AB"/>
    <w:rsid w:val="009410E0"/>
    <w:rsid w:val="00943A98"/>
    <w:rsid w:val="0094748F"/>
    <w:rsid w:val="00947521"/>
    <w:rsid w:val="00947625"/>
    <w:rsid w:val="00950F15"/>
    <w:rsid w:val="0095212E"/>
    <w:rsid w:val="00954FEB"/>
    <w:rsid w:val="00955A03"/>
    <w:rsid w:val="009602F2"/>
    <w:rsid w:val="009639B9"/>
    <w:rsid w:val="009769B7"/>
    <w:rsid w:val="0098103D"/>
    <w:rsid w:val="00996C7C"/>
    <w:rsid w:val="009A63F6"/>
    <w:rsid w:val="009A7317"/>
    <w:rsid w:val="009B435E"/>
    <w:rsid w:val="009B462B"/>
    <w:rsid w:val="009B6E5A"/>
    <w:rsid w:val="009B7D62"/>
    <w:rsid w:val="009D31B1"/>
    <w:rsid w:val="009E0B37"/>
    <w:rsid w:val="009E3CBA"/>
    <w:rsid w:val="009E684E"/>
    <w:rsid w:val="009F560A"/>
    <w:rsid w:val="009F7960"/>
    <w:rsid w:val="00A17781"/>
    <w:rsid w:val="00A234AB"/>
    <w:rsid w:val="00A23A09"/>
    <w:rsid w:val="00A27466"/>
    <w:rsid w:val="00A32401"/>
    <w:rsid w:val="00A34903"/>
    <w:rsid w:val="00A4429A"/>
    <w:rsid w:val="00A4756E"/>
    <w:rsid w:val="00A53E21"/>
    <w:rsid w:val="00A632F9"/>
    <w:rsid w:val="00A646C7"/>
    <w:rsid w:val="00A72E7E"/>
    <w:rsid w:val="00A72F96"/>
    <w:rsid w:val="00A81B9D"/>
    <w:rsid w:val="00A837C2"/>
    <w:rsid w:val="00A90F16"/>
    <w:rsid w:val="00A9779C"/>
    <w:rsid w:val="00AB5FDB"/>
    <w:rsid w:val="00AD0E3F"/>
    <w:rsid w:val="00AE589D"/>
    <w:rsid w:val="00AF4787"/>
    <w:rsid w:val="00AF6BFB"/>
    <w:rsid w:val="00AF7668"/>
    <w:rsid w:val="00B00B34"/>
    <w:rsid w:val="00B00C36"/>
    <w:rsid w:val="00B02F33"/>
    <w:rsid w:val="00B13604"/>
    <w:rsid w:val="00B144DB"/>
    <w:rsid w:val="00B24053"/>
    <w:rsid w:val="00B248CA"/>
    <w:rsid w:val="00B30AE4"/>
    <w:rsid w:val="00B37E18"/>
    <w:rsid w:val="00B424BE"/>
    <w:rsid w:val="00B530BB"/>
    <w:rsid w:val="00B56B1E"/>
    <w:rsid w:val="00B80554"/>
    <w:rsid w:val="00B81590"/>
    <w:rsid w:val="00B84D5D"/>
    <w:rsid w:val="00B90EFB"/>
    <w:rsid w:val="00BB0AD8"/>
    <w:rsid w:val="00BB3520"/>
    <w:rsid w:val="00BB4446"/>
    <w:rsid w:val="00BC0DD3"/>
    <w:rsid w:val="00BE2B30"/>
    <w:rsid w:val="00BE4B5B"/>
    <w:rsid w:val="00BE5C19"/>
    <w:rsid w:val="00BF1614"/>
    <w:rsid w:val="00C12E9C"/>
    <w:rsid w:val="00C16460"/>
    <w:rsid w:val="00C1672A"/>
    <w:rsid w:val="00C2587E"/>
    <w:rsid w:val="00C37539"/>
    <w:rsid w:val="00C50643"/>
    <w:rsid w:val="00C51A36"/>
    <w:rsid w:val="00C51C57"/>
    <w:rsid w:val="00C52FA5"/>
    <w:rsid w:val="00C65970"/>
    <w:rsid w:val="00C6600D"/>
    <w:rsid w:val="00C77697"/>
    <w:rsid w:val="00C77F66"/>
    <w:rsid w:val="00C80171"/>
    <w:rsid w:val="00C811F6"/>
    <w:rsid w:val="00C82DF6"/>
    <w:rsid w:val="00C967B5"/>
    <w:rsid w:val="00CA0587"/>
    <w:rsid w:val="00CA2263"/>
    <w:rsid w:val="00CB2081"/>
    <w:rsid w:val="00CB22ED"/>
    <w:rsid w:val="00CB3883"/>
    <w:rsid w:val="00CB42A6"/>
    <w:rsid w:val="00CC0ECE"/>
    <w:rsid w:val="00CC4630"/>
    <w:rsid w:val="00CD6E72"/>
    <w:rsid w:val="00CE422B"/>
    <w:rsid w:val="00CE4BA7"/>
    <w:rsid w:val="00D03A9B"/>
    <w:rsid w:val="00D077C2"/>
    <w:rsid w:val="00D079F8"/>
    <w:rsid w:val="00D11B18"/>
    <w:rsid w:val="00D300D4"/>
    <w:rsid w:val="00D32E7E"/>
    <w:rsid w:val="00D43018"/>
    <w:rsid w:val="00D435F3"/>
    <w:rsid w:val="00D51435"/>
    <w:rsid w:val="00D55B24"/>
    <w:rsid w:val="00D56F66"/>
    <w:rsid w:val="00DA3722"/>
    <w:rsid w:val="00DA4E0B"/>
    <w:rsid w:val="00DA5F96"/>
    <w:rsid w:val="00DB1094"/>
    <w:rsid w:val="00DB5292"/>
    <w:rsid w:val="00DB54BC"/>
    <w:rsid w:val="00DD3657"/>
    <w:rsid w:val="00DD58FF"/>
    <w:rsid w:val="00DD5CAB"/>
    <w:rsid w:val="00DD7187"/>
    <w:rsid w:val="00DE053A"/>
    <w:rsid w:val="00DE2300"/>
    <w:rsid w:val="00DE2D9F"/>
    <w:rsid w:val="00DE3171"/>
    <w:rsid w:val="00DE6FB7"/>
    <w:rsid w:val="00DE7CB1"/>
    <w:rsid w:val="00E043D3"/>
    <w:rsid w:val="00E11589"/>
    <w:rsid w:val="00E20E62"/>
    <w:rsid w:val="00E270E4"/>
    <w:rsid w:val="00E338BF"/>
    <w:rsid w:val="00E3703F"/>
    <w:rsid w:val="00E40252"/>
    <w:rsid w:val="00E50C0F"/>
    <w:rsid w:val="00E5154C"/>
    <w:rsid w:val="00E55FDA"/>
    <w:rsid w:val="00E57374"/>
    <w:rsid w:val="00E92185"/>
    <w:rsid w:val="00E92B09"/>
    <w:rsid w:val="00EA47C7"/>
    <w:rsid w:val="00EA6368"/>
    <w:rsid w:val="00EB2AC0"/>
    <w:rsid w:val="00EC784E"/>
    <w:rsid w:val="00EE05DA"/>
    <w:rsid w:val="00EF093A"/>
    <w:rsid w:val="00F10112"/>
    <w:rsid w:val="00F1077F"/>
    <w:rsid w:val="00F4092B"/>
    <w:rsid w:val="00F43946"/>
    <w:rsid w:val="00F44A9A"/>
    <w:rsid w:val="00F46A84"/>
    <w:rsid w:val="00F52DCF"/>
    <w:rsid w:val="00F660D4"/>
    <w:rsid w:val="00F767B0"/>
    <w:rsid w:val="00F76E1A"/>
    <w:rsid w:val="00F90EFB"/>
    <w:rsid w:val="00F9132F"/>
    <w:rsid w:val="00F9307C"/>
    <w:rsid w:val="00F9332E"/>
    <w:rsid w:val="00FA0323"/>
    <w:rsid w:val="00FA10F2"/>
    <w:rsid w:val="00FB3030"/>
    <w:rsid w:val="00FC0AB8"/>
    <w:rsid w:val="00FC3777"/>
    <w:rsid w:val="00FE20AC"/>
    <w:rsid w:val="00FE2D26"/>
    <w:rsid w:val="00FE4048"/>
    <w:rsid w:val="00FF4E5A"/>
    <w:rsid w:val="2D9DABFD"/>
    <w:rsid w:val="54828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3EA8A"/>
  <w15:chartTrackingRefBased/>
  <w15:docId w15:val="{46F143EC-0010-0540-BE5E-762B0B69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9B7"/>
    <w:rPr>
      <w:sz w:val="24"/>
      <w:szCs w:val="24"/>
      <w:lang w:eastAsia="en-US"/>
    </w:rPr>
  </w:style>
  <w:style w:type="paragraph" w:styleId="Heading1">
    <w:name w:val="heading 1"/>
    <w:basedOn w:val="Normal"/>
    <w:next w:val="Normal"/>
    <w:autoRedefine/>
    <w:qFormat/>
    <w:rsid w:val="007C0CE6"/>
    <w:pPr>
      <w:keepNext/>
      <w:spacing w:before="240" w:after="60" w:line="360" w:lineRule="auto"/>
      <w:outlineLvl w:val="0"/>
    </w:pPr>
    <w:rPr>
      <w:rFonts w:ascii="Arial" w:hAnsi="Arial" w:cs="Arial"/>
      <w:b/>
      <w:bCs/>
      <w:color w:val="1F4E79" w:themeColor="accent1" w:themeShade="80"/>
      <w:kern w:val="32"/>
      <w:sz w:val="36"/>
      <w:szCs w:val="32"/>
      <w:lang w:eastAsia="en-GB"/>
    </w:rPr>
  </w:style>
  <w:style w:type="paragraph" w:styleId="Heading2">
    <w:name w:val="heading 2"/>
    <w:basedOn w:val="Normal"/>
    <w:next w:val="Normal"/>
    <w:autoRedefine/>
    <w:qFormat/>
    <w:rsid w:val="007C0CE6"/>
    <w:pPr>
      <w:keepNext/>
      <w:spacing w:before="240" w:after="60" w:line="360" w:lineRule="auto"/>
      <w:outlineLvl w:val="1"/>
    </w:pPr>
    <w:rPr>
      <w:rFonts w:ascii="Arial" w:hAnsi="Arial" w:cs="Arial"/>
      <w:bCs/>
      <w:iCs/>
      <w:color w:val="1F4E79" w:themeColor="accent1" w:themeShade="80"/>
      <w:sz w:val="32"/>
      <w:szCs w:val="28"/>
      <w:lang w:eastAsia="en-GB"/>
    </w:rPr>
  </w:style>
  <w:style w:type="paragraph" w:styleId="Heading3">
    <w:name w:val="heading 3"/>
    <w:basedOn w:val="Normal"/>
    <w:next w:val="Normal"/>
    <w:autoRedefine/>
    <w:qFormat/>
    <w:rsid w:val="007C0CE6"/>
    <w:pPr>
      <w:keepNext/>
      <w:spacing w:after="96" w:line="360" w:lineRule="auto"/>
      <w:outlineLvl w:val="2"/>
    </w:pPr>
    <w:rPr>
      <w:rFonts w:ascii="Arial" w:hAnsi="Arial"/>
      <w:b/>
      <w:color w:val="1F4E79" w:themeColor="accent1" w:themeShade="80"/>
      <w:spacing w:val="10"/>
      <w:sz w:val="25"/>
      <w:szCs w:val="20"/>
      <w:lang w:val="en-US" w:eastAsia="en-GB"/>
    </w:rPr>
  </w:style>
  <w:style w:type="paragraph" w:styleId="Heading5">
    <w:name w:val="heading 5"/>
    <w:basedOn w:val="Normal"/>
    <w:next w:val="Normal"/>
    <w:autoRedefine/>
    <w:qFormat/>
    <w:rsid w:val="00B144DB"/>
    <w:pPr>
      <w:spacing w:before="240" w:after="60" w:line="360" w:lineRule="auto"/>
      <w:outlineLvl w:val="4"/>
    </w:pPr>
    <w:rPr>
      <w:rFonts w:ascii="Arial" w:hAnsi="Arial"/>
      <w:b/>
      <w:bCs/>
      <w:i/>
      <w:i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71EA0"/>
    <w:pPr>
      <w:spacing w:after="240" w:line="360" w:lineRule="auto"/>
      <w:contextualSpacing/>
    </w:pPr>
    <w:rPr>
      <w:rFonts w:ascii="Arial" w:eastAsiaTheme="majorEastAsia" w:hAnsi="Arial" w:cs="Arial"/>
      <w:color w:val="1F4E79" w:themeColor="accent1" w:themeShade="80"/>
      <w:spacing w:val="-10"/>
      <w:kern w:val="28"/>
      <w:sz w:val="56"/>
      <w:szCs w:val="56"/>
      <w:lang w:eastAsia="en-GB"/>
    </w:rPr>
  </w:style>
  <w:style w:type="character" w:customStyle="1" w:styleId="TitleChar">
    <w:name w:val="Title Char"/>
    <w:basedOn w:val="DefaultParagraphFont"/>
    <w:link w:val="Title"/>
    <w:uiPriority w:val="10"/>
    <w:rsid w:val="00071EA0"/>
    <w:rPr>
      <w:rFonts w:ascii="Arial" w:eastAsiaTheme="majorEastAsia" w:hAnsi="Arial" w:cs="Arial"/>
      <w:color w:val="1F4E79" w:themeColor="accent1" w:themeShade="80"/>
      <w:spacing w:val="-10"/>
      <w:kern w:val="28"/>
      <w:sz w:val="56"/>
      <w:szCs w:val="56"/>
    </w:rPr>
  </w:style>
  <w:style w:type="paragraph" w:styleId="Subtitle">
    <w:name w:val="Subtitle"/>
    <w:basedOn w:val="Normal"/>
    <w:next w:val="Normal"/>
    <w:link w:val="SubtitleChar"/>
    <w:autoRedefine/>
    <w:uiPriority w:val="11"/>
    <w:qFormat/>
    <w:rsid w:val="007C0CE6"/>
    <w:pPr>
      <w:numPr>
        <w:ilvl w:val="1"/>
      </w:numPr>
      <w:spacing w:after="160" w:line="360" w:lineRule="auto"/>
    </w:pPr>
    <w:rPr>
      <w:rFonts w:ascii="Arial" w:eastAsiaTheme="minorEastAsia" w:hAnsi="Arial" w:cstheme="minorBidi"/>
      <w:color w:val="1F4E79" w:themeColor="accent1" w:themeShade="80"/>
      <w:spacing w:val="15"/>
      <w:sz w:val="25"/>
      <w:szCs w:val="22"/>
      <w:lang w:eastAsia="en-GB"/>
    </w:rPr>
  </w:style>
  <w:style w:type="character" w:customStyle="1" w:styleId="SubtitleChar">
    <w:name w:val="Subtitle Char"/>
    <w:basedOn w:val="DefaultParagraphFont"/>
    <w:link w:val="Subtitle"/>
    <w:uiPriority w:val="11"/>
    <w:rsid w:val="007C0CE6"/>
    <w:rPr>
      <w:rFonts w:ascii="Arial" w:eastAsiaTheme="minorEastAsia" w:hAnsi="Arial" w:cstheme="minorBidi"/>
      <w:color w:val="1F4E79" w:themeColor="accent1" w:themeShade="80"/>
      <w:spacing w:val="15"/>
      <w:sz w:val="25"/>
      <w:szCs w:val="22"/>
    </w:rPr>
  </w:style>
  <w:style w:type="character" w:styleId="SubtleEmphasis">
    <w:name w:val="Subtle Emphasis"/>
    <w:basedOn w:val="DefaultParagraphFont"/>
    <w:uiPriority w:val="19"/>
    <w:qFormat/>
    <w:rsid w:val="00071EA0"/>
    <w:rPr>
      <w:rFonts w:ascii="Arial Rounded MT Bold" w:hAnsi="Arial Rounded MT Bold"/>
      <w:i w:val="0"/>
      <w:iCs/>
      <w:color w:val="1F4E79" w:themeColor="accent1" w:themeShade="80"/>
      <w:sz w:val="25"/>
    </w:rPr>
  </w:style>
  <w:style w:type="paragraph" w:styleId="BalloonText">
    <w:name w:val="Balloon Text"/>
    <w:basedOn w:val="Normal"/>
    <w:link w:val="BalloonTextChar"/>
    <w:uiPriority w:val="99"/>
    <w:semiHidden/>
    <w:unhideWhenUsed/>
    <w:rsid w:val="00913307"/>
    <w:pPr>
      <w:spacing w:after="240" w:line="36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913307"/>
    <w:rPr>
      <w:rFonts w:ascii="Segoe UI" w:hAnsi="Segoe UI" w:cs="Segoe UI"/>
      <w:sz w:val="18"/>
      <w:szCs w:val="18"/>
    </w:rPr>
  </w:style>
  <w:style w:type="paragraph" w:styleId="Header">
    <w:name w:val="header"/>
    <w:basedOn w:val="Normal"/>
    <w:link w:val="HeaderChar"/>
    <w:uiPriority w:val="99"/>
    <w:unhideWhenUsed/>
    <w:rsid w:val="00286FC5"/>
    <w:pPr>
      <w:tabs>
        <w:tab w:val="center" w:pos="4320"/>
        <w:tab w:val="right" w:pos="8640"/>
      </w:tabs>
      <w:spacing w:after="240" w:line="360" w:lineRule="auto"/>
    </w:pPr>
    <w:rPr>
      <w:rFonts w:ascii="Arial" w:hAnsi="Arial"/>
      <w:szCs w:val="22"/>
      <w:lang w:eastAsia="en-GB"/>
    </w:rPr>
  </w:style>
  <w:style w:type="character" w:customStyle="1" w:styleId="HeaderChar">
    <w:name w:val="Header Char"/>
    <w:basedOn w:val="DefaultParagraphFont"/>
    <w:link w:val="Header"/>
    <w:uiPriority w:val="99"/>
    <w:rsid w:val="00286FC5"/>
    <w:rPr>
      <w:rFonts w:ascii="Arial" w:hAnsi="Arial"/>
      <w:sz w:val="22"/>
      <w:szCs w:val="22"/>
    </w:rPr>
  </w:style>
  <w:style w:type="paragraph" w:styleId="Footer">
    <w:name w:val="footer"/>
    <w:basedOn w:val="Normal"/>
    <w:link w:val="FooterChar"/>
    <w:uiPriority w:val="99"/>
    <w:unhideWhenUsed/>
    <w:rsid w:val="00286FC5"/>
    <w:pPr>
      <w:tabs>
        <w:tab w:val="center" w:pos="4320"/>
        <w:tab w:val="right" w:pos="8640"/>
      </w:tabs>
      <w:spacing w:after="240" w:line="360" w:lineRule="auto"/>
    </w:pPr>
    <w:rPr>
      <w:rFonts w:ascii="Arial" w:hAnsi="Arial"/>
      <w:szCs w:val="22"/>
      <w:lang w:eastAsia="en-GB"/>
    </w:rPr>
  </w:style>
  <w:style w:type="character" w:customStyle="1" w:styleId="FooterChar">
    <w:name w:val="Footer Char"/>
    <w:basedOn w:val="DefaultParagraphFont"/>
    <w:link w:val="Footer"/>
    <w:uiPriority w:val="99"/>
    <w:rsid w:val="00286FC5"/>
    <w:rPr>
      <w:rFonts w:ascii="Arial" w:hAnsi="Arial"/>
      <w:sz w:val="22"/>
      <w:szCs w:val="22"/>
    </w:rPr>
  </w:style>
  <w:style w:type="paragraph" w:styleId="Caption">
    <w:name w:val="caption"/>
    <w:basedOn w:val="Normal"/>
    <w:next w:val="Normal"/>
    <w:uiPriority w:val="35"/>
    <w:unhideWhenUsed/>
    <w:qFormat/>
    <w:rsid w:val="004325DE"/>
    <w:pPr>
      <w:spacing w:after="200"/>
      <w:jc w:val="center"/>
    </w:pPr>
    <w:rPr>
      <w:rFonts w:ascii="Arial" w:hAnsi="Arial"/>
      <w:iCs/>
      <w:sz w:val="18"/>
      <w:szCs w:val="18"/>
      <w:lang w:eastAsia="en-GB"/>
    </w:rPr>
  </w:style>
  <w:style w:type="table" w:styleId="TableGrid">
    <w:name w:val="Table Grid"/>
    <w:basedOn w:val="TableNormal"/>
    <w:uiPriority w:val="39"/>
    <w:rsid w:val="00B0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1081"/>
    <w:rPr>
      <w:i/>
      <w:iCs/>
    </w:rPr>
  </w:style>
  <w:style w:type="character" w:styleId="CommentReference">
    <w:name w:val="annotation reference"/>
    <w:basedOn w:val="DefaultParagraphFont"/>
    <w:uiPriority w:val="99"/>
    <w:semiHidden/>
    <w:unhideWhenUsed/>
    <w:rsid w:val="00010562"/>
    <w:rPr>
      <w:sz w:val="16"/>
      <w:szCs w:val="16"/>
    </w:rPr>
  </w:style>
  <w:style w:type="paragraph" w:styleId="CommentText">
    <w:name w:val="annotation text"/>
    <w:basedOn w:val="Normal"/>
    <w:link w:val="CommentTextChar"/>
    <w:uiPriority w:val="99"/>
    <w:semiHidden/>
    <w:unhideWhenUsed/>
    <w:rsid w:val="00010562"/>
    <w:pPr>
      <w:spacing w:after="240"/>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010562"/>
    <w:rPr>
      <w:rFonts w:ascii="Arial" w:hAnsi="Arial"/>
    </w:rPr>
  </w:style>
  <w:style w:type="paragraph" w:styleId="CommentSubject">
    <w:name w:val="annotation subject"/>
    <w:basedOn w:val="CommentText"/>
    <w:next w:val="CommentText"/>
    <w:link w:val="CommentSubjectChar"/>
    <w:uiPriority w:val="99"/>
    <w:semiHidden/>
    <w:unhideWhenUsed/>
    <w:rsid w:val="00010562"/>
    <w:rPr>
      <w:b/>
      <w:bCs/>
    </w:rPr>
  </w:style>
  <w:style w:type="character" w:customStyle="1" w:styleId="CommentSubjectChar">
    <w:name w:val="Comment Subject Char"/>
    <w:basedOn w:val="CommentTextChar"/>
    <w:link w:val="CommentSubject"/>
    <w:uiPriority w:val="99"/>
    <w:semiHidden/>
    <w:rsid w:val="00010562"/>
    <w:rPr>
      <w:rFonts w:ascii="Arial" w:hAnsi="Arial"/>
      <w:b/>
      <w:bCs/>
    </w:rPr>
  </w:style>
  <w:style w:type="paragraph" w:customStyle="1" w:styleId="BodyA">
    <w:name w:val="Body A"/>
    <w:rsid w:val="00E338B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styleId="NormalWeb">
    <w:name w:val="Normal (Web)"/>
    <w:basedOn w:val="Normal"/>
    <w:uiPriority w:val="99"/>
    <w:semiHidden/>
    <w:unhideWhenUsed/>
    <w:rsid w:val="00733E7B"/>
    <w:pPr>
      <w:spacing w:before="100" w:beforeAutospacing="1" w:after="100" w:afterAutospacing="1"/>
    </w:pPr>
  </w:style>
  <w:style w:type="character" w:styleId="Hyperlink">
    <w:name w:val="Hyperlink"/>
    <w:basedOn w:val="DefaultParagraphFont"/>
    <w:uiPriority w:val="99"/>
    <w:unhideWhenUsed/>
    <w:rsid w:val="00A72F96"/>
    <w:rPr>
      <w:color w:val="0563C1" w:themeColor="hyperlink"/>
      <w:u w:val="single"/>
    </w:rPr>
  </w:style>
  <w:style w:type="paragraph" w:styleId="ListParagraph">
    <w:name w:val="List Paragraph"/>
    <w:basedOn w:val="Normal"/>
    <w:uiPriority w:val="34"/>
    <w:qFormat/>
    <w:rsid w:val="005C18F0"/>
    <w:pPr>
      <w:ind w:left="720"/>
      <w:contextualSpacing/>
    </w:pPr>
    <w:rPr>
      <w:lang w:eastAsia="en-GB"/>
    </w:rPr>
  </w:style>
  <w:style w:type="character" w:styleId="PageNumber">
    <w:name w:val="page number"/>
    <w:basedOn w:val="DefaultParagraphFont"/>
    <w:uiPriority w:val="99"/>
    <w:semiHidden/>
    <w:unhideWhenUsed/>
    <w:rsid w:val="0032324C"/>
  </w:style>
  <w:style w:type="character" w:customStyle="1" w:styleId="apple-converted-space">
    <w:name w:val="apple-converted-space"/>
    <w:basedOn w:val="DefaultParagraphFont"/>
    <w:rsid w:val="0032324C"/>
  </w:style>
  <w:style w:type="character" w:customStyle="1" w:styleId="source">
    <w:name w:val="source"/>
    <w:basedOn w:val="DefaultParagraphFont"/>
    <w:rsid w:val="005B5E10"/>
  </w:style>
  <w:style w:type="character" w:customStyle="1" w:styleId="vol">
    <w:name w:val="vol"/>
    <w:basedOn w:val="DefaultParagraphFont"/>
    <w:rsid w:val="005B5E10"/>
  </w:style>
  <w:style w:type="character" w:styleId="UnresolvedMention">
    <w:name w:val="Unresolved Mention"/>
    <w:basedOn w:val="DefaultParagraphFont"/>
    <w:uiPriority w:val="99"/>
    <w:semiHidden/>
    <w:unhideWhenUsed/>
    <w:rsid w:val="0097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6690">
      <w:bodyDiv w:val="1"/>
      <w:marLeft w:val="0"/>
      <w:marRight w:val="0"/>
      <w:marTop w:val="0"/>
      <w:marBottom w:val="0"/>
      <w:divBdr>
        <w:top w:val="none" w:sz="0" w:space="0" w:color="auto"/>
        <w:left w:val="none" w:sz="0" w:space="0" w:color="auto"/>
        <w:bottom w:val="none" w:sz="0" w:space="0" w:color="auto"/>
        <w:right w:val="none" w:sz="0" w:space="0" w:color="auto"/>
      </w:divBdr>
    </w:div>
    <w:div w:id="311445192">
      <w:bodyDiv w:val="1"/>
      <w:marLeft w:val="0"/>
      <w:marRight w:val="0"/>
      <w:marTop w:val="0"/>
      <w:marBottom w:val="0"/>
      <w:divBdr>
        <w:top w:val="none" w:sz="0" w:space="0" w:color="auto"/>
        <w:left w:val="none" w:sz="0" w:space="0" w:color="auto"/>
        <w:bottom w:val="none" w:sz="0" w:space="0" w:color="auto"/>
        <w:right w:val="none" w:sz="0" w:space="0" w:color="auto"/>
      </w:divBdr>
    </w:div>
    <w:div w:id="571427931">
      <w:bodyDiv w:val="1"/>
      <w:marLeft w:val="0"/>
      <w:marRight w:val="0"/>
      <w:marTop w:val="0"/>
      <w:marBottom w:val="0"/>
      <w:divBdr>
        <w:top w:val="none" w:sz="0" w:space="0" w:color="auto"/>
        <w:left w:val="none" w:sz="0" w:space="0" w:color="auto"/>
        <w:bottom w:val="none" w:sz="0" w:space="0" w:color="auto"/>
        <w:right w:val="none" w:sz="0" w:space="0" w:color="auto"/>
      </w:divBdr>
    </w:div>
    <w:div w:id="988823384">
      <w:bodyDiv w:val="1"/>
      <w:marLeft w:val="0"/>
      <w:marRight w:val="0"/>
      <w:marTop w:val="0"/>
      <w:marBottom w:val="0"/>
      <w:divBdr>
        <w:top w:val="none" w:sz="0" w:space="0" w:color="auto"/>
        <w:left w:val="none" w:sz="0" w:space="0" w:color="auto"/>
        <w:bottom w:val="none" w:sz="0" w:space="0" w:color="auto"/>
        <w:right w:val="none" w:sz="0" w:space="0" w:color="auto"/>
      </w:divBdr>
    </w:div>
    <w:div w:id="1460536654">
      <w:bodyDiv w:val="1"/>
      <w:marLeft w:val="0"/>
      <w:marRight w:val="0"/>
      <w:marTop w:val="0"/>
      <w:marBottom w:val="0"/>
      <w:divBdr>
        <w:top w:val="none" w:sz="0" w:space="0" w:color="auto"/>
        <w:left w:val="none" w:sz="0" w:space="0" w:color="auto"/>
        <w:bottom w:val="none" w:sz="0" w:space="0" w:color="auto"/>
        <w:right w:val="none" w:sz="0" w:space="0" w:color="auto"/>
      </w:divBdr>
    </w:div>
    <w:div w:id="1464425728">
      <w:bodyDiv w:val="1"/>
      <w:marLeft w:val="0"/>
      <w:marRight w:val="0"/>
      <w:marTop w:val="0"/>
      <w:marBottom w:val="0"/>
      <w:divBdr>
        <w:top w:val="none" w:sz="0" w:space="0" w:color="auto"/>
        <w:left w:val="none" w:sz="0" w:space="0" w:color="auto"/>
        <w:bottom w:val="none" w:sz="0" w:space="0" w:color="auto"/>
        <w:right w:val="none" w:sz="0" w:space="0" w:color="auto"/>
      </w:divBdr>
    </w:div>
    <w:div w:id="1692074569">
      <w:bodyDiv w:val="1"/>
      <w:marLeft w:val="0"/>
      <w:marRight w:val="0"/>
      <w:marTop w:val="0"/>
      <w:marBottom w:val="0"/>
      <w:divBdr>
        <w:top w:val="none" w:sz="0" w:space="0" w:color="auto"/>
        <w:left w:val="none" w:sz="0" w:space="0" w:color="auto"/>
        <w:bottom w:val="none" w:sz="0" w:space="0" w:color="auto"/>
        <w:right w:val="none" w:sz="0" w:space="0" w:color="auto"/>
      </w:divBdr>
    </w:div>
    <w:div w:id="1857114559">
      <w:bodyDiv w:val="1"/>
      <w:marLeft w:val="0"/>
      <w:marRight w:val="0"/>
      <w:marTop w:val="0"/>
      <w:marBottom w:val="0"/>
      <w:divBdr>
        <w:top w:val="none" w:sz="0" w:space="0" w:color="auto"/>
        <w:left w:val="none" w:sz="0" w:space="0" w:color="auto"/>
        <w:bottom w:val="none" w:sz="0" w:space="0" w:color="auto"/>
        <w:right w:val="none" w:sz="0" w:space="0" w:color="auto"/>
      </w:divBdr>
    </w:div>
    <w:div w:id="20631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A399-90F2-5248-A860-F267B918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Jenny (Postgraduate Researcher)</dc:creator>
  <cp:keywords/>
  <dc:description/>
  <cp:lastModifiedBy>Viren Swami</cp:lastModifiedBy>
  <cp:revision>2</cp:revision>
  <cp:lastPrinted>2015-02-26T14:03:00Z</cp:lastPrinted>
  <dcterms:created xsi:type="dcterms:W3CDTF">2020-05-15T04:10:00Z</dcterms:created>
  <dcterms:modified xsi:type="dcterms:W3CDTF">2020-05-15T04:10:00Z</dcterms:modified>
</cp:coreProperties>
</file>