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B70CA" w14:textId="77777777" w:rsidR="003B6702" w:rsidRDefault="003B6702" w:rsidP="003B6702">
      <w:pPr>
        <w:spacing w:line="360" w:lineRule="auto"/>
        <w:jc w:val="both"/>
        <w:rPr>
          <w:lang w:eastAsia="ja-JP"/>
        </w:rPr>
      </w:pPr>
    </w:p>
    <w:p w14:paraId="0C32F0DE" w14:textId="77777777" w:rsidR="003B6702" w:rsidRDefault="003B6702" w:rsidP="003B6702">
      <w:pPr>
        <w:spacing w:line="360" w:lineRule="auto"/>
        <w:jc w:val="both"/>
        <w:rPr>
          <w:lang w:eastAsia="ja-JP"/>
        </w:rPr>
      </w:pPr>
    </w:p>
    <w:p w14:paraId="194F3550" w14:textId="77777777" w:rsidR="003B6702" w:rsidRDefault="003B6702" w:rsidP="003B6702">
      <w:pPr>
        <w:spacing w:line="360" w:lineRule="auto"/>
        <w:jc w:val="both"/>
        <w:rPr>
          <w:lang w:eastAsia="ja-JP"/>
        </w:rPr>
      </w:pPr>
    </w:p>
    <w:p w14:paraId="0EBD0E8A" w14:textId="77777777" w:rsidR="003B6702" w:rsidRDefault="003B6702" w:rsidP="003B6702">
      <w:pPr>
        <w:spacing w:line="360" w:lineRule="auto"/>
        <w:jc w:val="both"/>
        <w:rPr>
          <w:lang w:eastAsia="ja-JP"/>
        </w:rPr>
      </w:pPr>
    </w:p>
    <w:p w14:paraId="05E37AC2" w14:textId="77777777" w:rsidR="003B6702" w:rsidRDefault="003B6702" w:rsidP="003B6702">
      <w:pPr>
        <w:spacing w:line="360" w:lineRule="auto"/>
        <w:jc w:val="both"/>
        <w:rPr>
          <w:lang w:eastAsia="ja-JP"/>
        </w:rPr>
      </w:pPr>
    </w:p>
    <w:p w14:paraId="02E927EB" w14:textId="77777777" w:rsidR="003B6702" w:rsidRPr="00524F67" w:rsidRDefault="003B6702" w:rsidP="00524F67">
      <w:pPr>
        <w:ind w:left="945"/>
        <w:jc w:val="both"/>
        <w:rPr>
          <w:rFonts w:ascii="Times" w:hAnsi="Times"/>
          <w:b/>
          <w:sz w:val="36"/>
          <w:szCs w:val="36"/>
          <w:lang w:eastAsia="ja-JP"/>
        </w:rPr>
      </w:pPr>
      <w:r w:rsidRPr="00524F67">
        <w:rPr>
          <w:rFonts w:ascii="Times" w:hAnsi="Times"/>
          <w:b/>
          <w:sz w:val="40"/>
          <w:szCs w:val="40"/>
          <w:lang w:eastAsia="ja-JP"/>
        </w:rPr>
        <w:t>H</w:t>
      </w:r>
      <w:r w:rsidR="00524F67">
        <w:rPr>
          <w:rFonts w:ascii="Times" w:hAnsi="Times"/>
          <w:b/>
          <w:sz w:val="40"/>
          <w:szCs w:val="40"/>
          <w:lang w:eastAsia="ja-JP"/>
        </w:rPr>
        <w:t xml:space="preserve">ighlights of the San Antonio </w:t>
      </w:r>
      <w:r w:rsidRPr="00524F67">
        <w:rPr>
          <w:rFonts w:ascii="Times" w:hAnsi="Times"/>
          <w:b/>
          <w:sz w:val="40"/>
          <w:szCs w:val="40"/>
          <w:lang w:eastAsia="ja-JP"/>
        </w:rPr>
        <w:t xml:space="preserve">Breast Cancer </w:t>
      </w:r>
      <w:r w:rsidR="00524F67">
        <w:rPr>
          <w:rFonts w:ascii="Times" w:hAnsi="Times"/>
          <w:b/>
          <w:sz w:val="40"/>
          <w:szCs w:val="40"/>
          <w:lang w:eastAsia="ja-JP"/>
        </w:rPr>
        <w:t xml:space="preserve">  </w:t>
      </w:r>
      <w:r w:rsidRPr="00524F67">
        <w:rPr>
          <w:rFonts w:ascii="Times" w:hAnsi="Times"/>
          <w:b/>
          <w:sz w:val="40"/>
          <w:szCs w:val="40"/>
          <w:lang w:eastAsia="ja-JP"/>
        </w:rPr>
        <w:t>Symposium 2019</w:t>
      </w:r>
      <w:r w:rsidR="00524F67" w:rsidRPr="00524F67">
        <w:rPr>
          <w:rFonts w:ascii="Times" w:hAnsi="Times"/>
          <w:b/>
          <w:sz w:val="40"/>
          <w:szCs w:val="40"/>
          <w:lang w:eastAsia="ja-JP"/>
        </w:rPr>
        <w:t xml:space="preserve">: </w:t>
      </w:r>
      <w:r w:rsidR="00524F67" w:rsidRPr="00524F67">
        <w:rPr>
          <w:rFonts w:ascii="Times" w:hAnsi="Times"/>
          <w:b/>
          <w:sz w:val="36"/>
          <w:szCs w:val="36"/>
          <w:lang w:eastAsia="ja-JP"/>
        </w:rPr>
        <w:t>the challenge of tumour heterogeneity</w:t>
      </w:r>
    </w:p>
    <w:p w14:paraId="45AD01C4" w14:textId="77777777" w:rsidR="003B6702" w:rsidRPr="002D7CA3" w:rsidRDefault="003B6702" w:rsidP="003B6702">
      <w:pPr>
        <w:jc w:val="both"/>
        <w:rPr>
          <w:rFonts w:ascii="Times" w:hAnsi="Times"/>
          <w:b/>
          <w:sz w:val="56"/>
          <w:lang w:eastAsia="ja-JP"/>
        </w:rPr>
      </w:pPr>
      <w:r w:rsidRPr="002D7CA3">
        <w:rPr>
          <w:rFonts w:ascii="Times" w:hAnsi="Times"/>
          <w:b/>
          <w:sz w:val="56"/>
          <w:lang w:eastAsia="ja-JP"/>
        </w:rPr>
        <w:t xml:space="preserve">                  </w:t>
      </w:r>
    </w:p>
    <w:p w14:paraId="19299A2B" w14:textId="77777777" w:rsidR="003B6702" w:rsidRPr="002D7CA3" w:rsidRDefault="003B6702" w:rsidP="003B6702">
      <w:pPr>
        <w:jc w:val="both"/>
        <w:rPr>
          <w:rFonts w:ascii="Times" w:hAnsi="Times"/>
          <w:b/>
          <w:sz w:val="56"/>
          <w:lang w:eastAsia="ja-JP"/>
        </w:rPr>
      </w:pPr>
    </w:p>
    <w:p w14:paraId="6C0C258E" w14:textId="77777777" w:rsidR="003B6702" w:rsidRDefault="003B6702" w:rsidP="003B6702">
      <w:pPr>
        <w:jc w:val="both"/>
        <w:rPr>
          <w:rFonts w:ascii="Times" w:hAnsi="Times"/>
          <w:sz w:val="40"/>
          <w:lang w:eastAsia="ja-JP"/>
        </w:rPr>
      </w:pPr>
      <w:r w:rsidRPr="002D7CA3">
        <w:rPr>
          <w:rFonts w:ascii="Times" w:hAnsi="Times"/>
          <w:b/>
          <w:sz w:val="56"/>
          <w:lang w:eastAsia="ja-JP"/>
        </w:rPr>
        <w:t xml:space="preserve">            </w:t>
      </w:r>
      <w:r>
        <w:rPr>
          <w:rFonts w:ascii="Times" w:hAnsi="Times"/>
          <w:b/>
          <w:sz w:val="56"/>
          <w:lang w:eastAsia="ja-JP"/>
        </w:rPr>
        <w:t xml:space="preserve">         </w:t>
      </w:r>
      <w:r w:rsidRPr="002D7CA3">
        <w:rPr>
          <w:rFonts w:ascii="Times" w:hAnsi="Times"/>
          <w:sz w:val="40"/>
          <w:lang w:eastAsia="ja-JP"/>
        </w:rPr>
        <w:t>[CONFERENCE REPORT]</w:t>
      </w:r>
    </w:p>
    <w:p w14:paraId="2909B2CC" w14:textId="77777777" w:rsidR="003B6702" w:rsidRDefault="003B6702" w:rsidP="003B6702">
      <w:pPr>
        <w:jc w:val="both"/>
        <w:rPr>
          <w:rFonts w:ascii="Times" w:hAnsi="Times"/>
          <w:sz w:val="40"/>
          <w:lang w:eastAsia="ja-JP"/>
        </w:rPr>
      </w:pPr>
    </w:p>
    <w:p w14:paraId="741CF979" w14:textId="77777777" w:rsidR="003B6702" w:rsidRPr="002D7CA3" w:rsidRDefault="003B6702" w:rsidP="003B6702">
      <w:pPr>
        <w:jc w:val="both"/>
        <w:rPr>
          <w:rFonts w:ascii="Times" w:hAnsi="Times"/>
          <w:sz w:val="40"/>
          <w:lang w:eastAsia="ja-JP"/>
        </w:rPr>
      </w:pPr>
      <w:r>
        <w:rPr>
          <w:rFonts w:ascii="Times" w:hAnsi="Times"/>
          <w:sz w:val="40"/>
          <w:lang w:eastAsia="ja-JP"/>
        </w:rPr>
        <w:t xml:space="preserve">                                         PART 2 </w:t>
      </w:r>
    </w:p>
    <w:p w14:paraId="169B8E19" w14:textId="77777777" w:rsidR="003B6702" w:rsidRPr="002D7CA3" w:rsidRDefault="003B6702" w:rsidP="003B6702">
      <w:pPr>
        <w:jc w:val="both"/>
        <w:rPr>
          <w:rFonts w:ascii="Times" w:hAnsi="Times"/>
          <w:sz w:val="40"/>
          <w:lang w:eastAsia="ja-JP"/>
        </w:rPr>
      </w:pPr>
    </w:p>
    <w:p w14:paraId="68A7015D" w14:textId="77777777" w:rsidR="003B6702" w:rsidRPr="002D7CA3" w:rsidRDefault="003B6702" w:rsidP="003B6702">
      <w:pPr>
        <w:jc w:val="both"/>
        <w:rPr>
          <w:rFonts w:ascii="Times" w:hAnsi="Times"/>
          <w:sz w:val="40"/>
          <w:lang w:eastAsia="ja-JP"/>
        </w:rPr>
      </w:pPr>
    </w:p>
    <w:p w14:paraId="69EC3409" w14:textId="77777777" w:rsidR="003B6702" w:rsidRPr="002D7CA3" w:rsidRDefault="003B6702" w:rsidP="003B6702">
      <w:pPr>
        <w:jc w:val="both"/>
        <w:rPr>
          <w:rFonts w:ascii="Times" w:hAnsi="Times"/>
          <w:sz w:val="40"/>
          <w:lang w:eastAsia="ja-JP"/>
        </w:rPr>
      </w:pPr>
    </w:p>
    <w:p w14:paraId="259522A6" w14:textId="77777777" w:rsidR="003B6702" w:rsidRPr="00B53A80" w:rsidRDefault="003B6702" w:rsidP="003B6702">
      <w:pPr>
        <w:jc w:val="both"/>
        <w:rPr>
          <w:rFonts w:ascii="Times" w:hAnsi="Times"/>
          <w:i/>
          <w:sz w:val="28"/>
          <w:lang w:eastAsia="ja-JP"/>
        </w:rPr>
      </w:pPr>
      <w:r>
        <w:rPr>
          <w:rFonts w:ascii="Times" w:hAnsi="Times"/>
          <w:i/>
          <w:lang w:eastAsia="ja-JP"/>
        </w:rPr>
        <w:t>John R Benson DM (Oxon) MD (C</w:t>
      </w:r>
      <w:r w:rsidRPr="00A72059">
        <w:rPr>
          <w:rFonts w:ascii="Times" w:hAnsi="Times"/>
          <w:i/>
          <w:lang w:eastAsia="ja-JP"/>
        </w:rPr>
        <w:t>antab) FRCS</w:t>
      </w:r>
      <w:r w:rsidRPr="004E74F4">
        <w:rPr>
          <w:rFonts w:ascii="Times" w:hAnsi="Times"/>
          <w:i/>
          <w:vertAlign w:val="superscript"/>
          <w:lang w:eastAsia="ja-JP"/>
        </w:rPr>
        <w:t xml:space="preserve"> </w:t>
      </w:r>
      <w:r w:rsidRPr="00A72059">
        <w:rPr>
          <w:rFonts w:ascii="Times" w:hAnsi="Times"/>
          <w:i/>
          <w:vertAlign w:val="superscript"/>
          <w:lang w:eastAsia="ja-JP"/>
        </w:rPr>
        <w:t>a</w:t>
      </w:r>
      <w:r>
        <w:rPr>
          <w:rFonts w:ascii="Times" w:hAnsi="Times"/>
          <w:i/>
          <w:lang w:eastAsia="ja-JP"/>
        </w:rPr>
        <w:t>, Dorin Dumitru MD</w:t>
      </w:r>
      <w:r w:rsidRPr="00A74ECF">
        <w:rPr>
          <w:rFonts w:ascii="Times" w:hAnsi="Times"/>
          <w:i/>
          <w:vertAlign w:val="superscript"/>
          <w:lang w:eastAsia="ja-JP"/>
        </w:rPr>
        <w:t xml:space="preserve"> </w:t>
      </w:r>
      <w:r>
        <w:rPr>
          <w:rFonts w:ascii="Times" w:hAnsi="Times"/>
          <w:i/>
          <w:vertAlign w:val="superscript"/>
          <w:lang w:eastAsia="ja-JP"/>
        </w:rPr>
        <w:t>b</w:t>
      </w:r>
      <w:r>
        <w:rPr>
          <w:rFonts w:ascii="Times" w:hAnsi="Times"/>
          <w:i/>
          <w:lang w:eastAsia="ja-JP"/>
        </w:rPr>
        <w:t xml:space="preserve"> </w:t>
      </w:r>
      <w:r w:rsidRPr="00A72059">
        <w:rPr>
          <w:rFonts w:ascii="Times" w:hAnsi="Times"/>
          <w:i/>
          <w:lang w:eastAsia="ja-JP"/>
        </w:rPr>
        <w:t>and Ismail Jatoi MD PhD</w:t>
      </w:r>
      <w:r>
        <w:rPr>
          <w:rFonts w:ascii="Times" w:hAnsi="Times"/>
          <w:i/>
          <w:lang w:eastAsia="ja-JP"/>
        </w:rPr>
        <w:t xml:space="preserve"> FACS </w:t>
      </w:r>
      <w:r>
        <w:rPr>
          <w:rFonts w:ascii="Times" w:hAnsi="Times"/>
          <w:i/>
          <w:vertAlign w:val="superscript"/>
          <w:lang w:eastAsia="ja-JP"/>
        </w:rPr>
        <w:t>c</w:t>
      </w:r>
    </w:p>
    <w:p w14:paraId="655F0AED" w14:textId="77777777" w:rsidR="003B6702" w:rsidRPr="00B53A80" w:rsidRDefault="003B6702" w:rsidP="003B6702">
      <w:pPr>
        <w:jc w:val="both"/>
        <w:rPr>
          <w:rFonts w:ascii="Times" w:hAnsi="Times"/>
          <w:i/>
          <w:sz w:val="28"/>
          <w:lang w:eastAsia="ja-JP"/>
        </w:rPr>
      </w:pPr>
    </w:p>
    <w:p w14:paraId="0A331106" w14:textId="77777777" w:rsidR="003B6702" w:rsidRPr="00B53A80" w:rsidRDefault="003B6702" w:rsidP="003B6702">
      <w:pPr>
        <w:jc w:val="both"/>
        <w:rPr>
          <w:rFonts w:ascii="Times" w:hAnsi="Times"/>
          <w:i/>
          <w:sz w:val="28"/>
          <w:lang w:eastAsia="ja-JP"/>
        </w:rPr>
      </w:pPr>
    </w:p>
    <w:p w14:paraId="6420CE5F" w14:textId="77777777" w:rsidR="003B6702" w:rsidRPr="00B53A80" w:rsidRDefault="003B6702" w:rsidP="003B6702">
      <w:pPr>
        <w:jc w:val="both"/>
        <w:rPr>
          <w:rFonts w:ascii="Times" w:hAnsi="Times"/>
          <w:i/>
          <w:sz w:val="28"/>
          <w:lang w:eastAsia="ja-JP"/>
        </w:rPr>
      </w:pPr>
    </w:p>
    <w:p w14:paraId="5999FF62" w14:textId="77777777" w:rsidR="003B6702" w:rsidRPr="00B53A80" w:rsidRDefault="003B6702" w:rsidP="003B6702">
      <w:pPr>
        <w:jc w:val="both"/>
        <w:rPr>
          <w:rFonts w:ascii="Times" w:hAnsi="Times"/>
          <w:sz w:val="18"/>
          <w:lang w:eastAsia="ja-JP"/>
        </w:rPr>
      </w:pPr>
      <w:r w:rsidRPr="00B53A80">
        <w:rPr>
          <w:rFonts w:ascii="Times" w:hAnsi="Times"/>
          <w:i/>
          <w:sz w:val="18"/>
          <w:vertAlign w:val="superscript"/>
          <w:lang w:eastAsia="ja-JP"/>
        </w:rPr>
        <w:t>a</w:t>
      </w:r>
      <w:r w:rsidRPr="00B53A80">
        <w:rPr>
          <w:rFonts w:ascii="Times" w:hAnsi="Times"/>
          <w:sz w:val="18"/>
          <w:lang w:eastAsia="ja-JP"/>
        </w:rPr>
        <w:t xml:space="preserve">CAMBRIDGE BREAST UNIT, </w:t>
      </w:r>
      <w:r>
        <w:rPr>
          <w:rFonts w:ascii="Times" w:hAnsi="Times"/>
          <w:sz w:val="18"/>
          <w:lang w:eastAsia="ja-JP"/>
        </w:rPr>
        <w:t xml:space="preserve">CAMBRIDGE UNIVERSITY HOSPITALS NHS FOUNDATION TRUST, </w:t>
      </w:r>
      <w:r w:rsidRPr="00B53A80">
        <w:rPr>
          <w:rFonts w:ascii="Times" w:hAnsi="Times"/>
          <w:sz w:val="18"/>
          <w:lang w:eastAsia="ja-JP"/>
        </w:rPr>
        <w:t>AND</w:t>
      </w:r>
      <w:r>
        <w:rPr>
          <w:rFonts w:ascii="Times" w:hAnsi="Times"/>
          <w:sz w:val="18"/>
          <w:lang w:eastAsia="ja-JP"/>
        </w:rPr>
        <w:t xml:space="preserve"> SCHOOL OF MEDICINE, ANGLIA RUSKIN UNIVERSITY</w:t>
      </w:r>
      <w:r w:rsidRPr="00B53A80">
        <w:rPr>
          <w:rFonts w:ascii="Times" w:hAnsi="Times"/>
          <w:sz w:val="18"/>
          <w:lang w:eastAsia="ja-JP"/>
        </w:rPr>
        <w:t>, CAMBRIDGE, UK;</w:t>
      </w:r>
      <w:r>
        <w:rPr>
          <w:rFonts w:ascii="Times" w:hAnsi="Times"/>
          <w:sz w:val="18"/>
          <w:lang w:eastAsia="ja-JP"/>
        </w:rPr>
        <w:t xml:space="preserve"> </w:t>
      </w:r>
      <w:r w:rsidRPr="00B53A80">
        <w:rPr>
          <w:rFonts w:ascii="Times" w:hAnsi="Times"/>
          <w:i/>
          <w:sz w:val="18"/>
          <w:vertAlign w:val="superscript"/>
          <w:lang w:eastAsia="ja-JP"/>
        </w:rPr>
        <w:t>b</w:t>
      </w:r>
      <w:r>
        <w:rPr>
          <w:rFonts w:ascii="Times" w:hAnsi="Times"/>
          <w:sz w:val="18"/>
          <w:lang w:eastAsia="ja-JP"/>
        </w:rPr>
        <w:t>BREAST UNIT, CASTLEHILL HOSPITAL AND HULL YORK MEDICAL SCHOOL, HULL, UK</w:t>
      </w:r>
      <w:r w:rsidRPr="00B53A80">
        <w:rPr>
          <w:rFonts w:ascii="Times" w:hAnsi="Times"/>
          <w:sz w:val="18"/>
          <w:lang w:eastAsia="ja-JP"/>
        </w:rPr>
        <w:t xml:space="preserve"> </w:t>
      </w:r>
      <w:r>
        <w:rPr>
          <w:rFonts w:ascii="Times" w:hAnsi="Times"/>
          <w:i/>
          <w:sz w:val="18"/>
          <w:vertAlign w:val="superscript"/>
          <w:lang w:eastAsia="ja-JP"/>
        </w:rPr>
        <w:t>c</w:t>
      </w:r>
      <w:r w:rsidRPr="00B53A80">
        <w:rPr>
          <w:rFonts w:ascii="Times" w:hAnsi="Times"/>
          <w:sz w:val="18"/>
          <w:lang w:eastAsia="ja-JP"/>
        </w:rPr>
        <w:t>DIVISION OF SURGICAL ONCOLOGY, DALE H. DORN CHAIR IN SURGERY, UNIVERSITY OF TEXAS HEALTH SCIENCE CENTRE, SAN ANTONIO, TEXAS, USA</w:t>
      </w:r>
    </w:p>
    <w:p w14:paraId="03E72986" w14:textId="77777777" w:rsidR="003B6702" w:rsidRPr="00B53A80" w:rsidRDefault="003B6702" w:rsidP="003B6702">
      <w:pPr>
        <w:jc w:val="both"/>
        <w:rPr>
          <w:rFonts w:ascii="Times" w:hAnsi="Times"/>
          <w:i/>
          <w:sz w:val="28"/>
          <w:lang w:eastAsia="ja-JP"/>
        </w:rPr>
      </w:pPr>
    </w:p>
    <w:p w14:paraId="5630A1C4" w14:textId="77777777" w:rsidR="003B6702" w:rsidRDefault="003B6702" w:rsidP="003B6702">
      <w:pPr>
        <w:jc w:val="both"/>
        <w:rPr>
          <w:rFonts w:ascii="Times" w:hAnsi="Times"/>
          <w:sz w:val="40"/>
          <w:lang w:eastAsia="ja-JP"/>
        </w:rPr>
      </w:pPr>
    </w:p>
    <w:p w14:paraId="22BABCDD" w14:textId="77777777" w:rsidR="003B6702" w:rsidRDefault="003B6702" w:rsidP="003B6702">
      <w:pPr>
        <w:jc w:val="both"/>
        <w:rPr>
          <w:rFonts w:ascii="Times" w:hAnsi="Times"/>
          <w:sz w:val="40"/>
          <w:lang w:eastAsia="ja-JP"/>
        </w:rPr>
      </w:pPr>
    </w:p>
    <w:p w14:paraId="70EC29E6" w14:textId="77777777" w:rsidR="003B6702" w:rsidRPr="002D7CA3" w:rsidRDefault="003B6702" w:rsidP="003B6702">
      <w:pPr>
        <w:jc w:val="both"/>
        <w:rPr>
          <w:rFonts w:ascii="Times" w:hAnsi="Times"/>
          <w:sz w:val="40"/>
          <w:lang w:eastAsia="ja-JP"/>
        </w:rPr>
      </w:pPr>
    </w:p>
    <w:p w14:paraId="2F103E90" w14:textId="77777777" w:rsidR="003B6702" w:rsidRPr="00124B7A" w:rsidRDefault="003B6702" w:rsidP="003B6702">
      <w:pPr>
        <w:jc w:val="both"/>
        <w:rPr>
          <w:rFonts w:ascii="Times" w:hAnsi="Times"/>
          <w:sz w:val="40"/>
          <w:lang w:eastAsia="ja-JP"/>
        </w:rPr>
      </w:pPr>
      <w:r w:rsidRPr="002D7CA3">
        <w:rPr>
          <w:rFonts w:ascii="Times" w:hAnsi="Times"/>
          <w:sz w:val="40"/>
          <w:lang w:eastAsia="ja-JP"/>
        </w:rPr>
        <w:t xml:space="preserve">                                   </w:t>
      </w:r>
    </w:p>
    <w:p w14:paraId="1D3CE445" w14:textId="77777777" w:rsidR="003B6702" w:rsidRPr="00442D57" w:rsidRDefault="003B6702" w:rsidP="003B6702">
      <w:pPr>
        <w:jc w:val="both"/>
        <w:rPr>
          <w:color w:val="000000"/>
          <w:sz w:val="18"/>
        </w:rPr>
      </w:pPr>
    </w:p>
    <w:p w14:paraId="440DE942" w14:textId="77777777" w:rsidR="003B6702" w:rsidRPr="00442D57" w:rsidRDefault="003B6702" w:rsidP="003B6702">
      <w:pPr>
        <w:jc w:val="both"/>
        <w:rPr>
          <w:color w:val="000000"/>
          <w:sz w:val="18"/>
        </w:rPr>
      </w:pPr>
      <w:r w:rsidRPr="00442D57">
        <w:rPr>
          <w:color w:val="000000"/>
          <w:sz w:val="18"/>
        </w:rPr>
        <w:t xml:space="preserve">Correspondence </w:t>
      </w:r>
      <w:proofErr w:type="gramStart"/>
      <w:r w:rsidRPr="00442D57">
        <w:rPr>
          <w:color w:val="000000"/>
          <w:sz w:val="18"/>
        </w:rPr>
        <w:t>to:-</w:t>
      </w:r>
      <w:proofErr w:type="gramEnd"/>
    </w:p>
    <w:p w14:paraId="64BA59AC" w14:textId="77777777" w:rsidR="003B6702" w:rsidRPr="00442D57" w:rsidRDefault="003B6702" w:rsidP="003B6702">
      <w:pPr>
        <w:jc w:val="both"/>
        <w:rPr>
          <w:color w:val="000000"/>
          <w:sz w:val="18"/>
        </w:rPr>
      </w:pPr>
    </w:p>
    <w:p w14:paraId="5C0F0D60" w14:textId="77777777" w:rsidR="003B6702" w:rsidRPr="00442D57" w:rsidRDefault="003B6702" w:rsidP="003B6702">
      <w:pPr>
        <w:jc w:val="both"/>
        <w:rPr>
          <w:color w:val="000000"/>
          <w:sz w:val="18"/>
        </w:rPr>
      </w:pPr>
      <w:r w:rsidRPr="00442D57">
        <w:rPr>
          <w:color w:val="000000"/>
          <w:sz w:val="18"/>
        </w:rPr>
        <w:t>JR Benson</w:t>
      </w:r>
      <w:r>
        <w:rPr>
          <w:color w:val="000000"/>
          <w:sz w:val="18"/>
        </w:rPr>
        <w:t>\</w:t>
      </w:r>
    </w:p>
    <w:p w14:paraId="4880F94F" w14:textId="77777777" w:rsidR="003B6702" w:rsidRPr="00442D57" w:rsidRDefault="003B6702" w:rsidP="003B6702">
      <w:pPr>
        <w:jc w:val="both"/>
        <w:rPr>
          <w:color w:val="000000"/>
          <w:sz w:val="18"/>
        </w:rPr>
      </w:pPr>
      <w:r w:rsidRPr="00442D57">
        <w:rPr>
          <w:color w:val="000000"/>
          <w:sz w:val="18"/>
        </w:rPr>
        <w:t>Cambridge Breast Unit</w:t>
      </w:r>
    </w:p>
    <w:p w14:paraId="16E938F3" w14:textId="77777777" w:rsidR="003B6702" w:rsidRPr="00442D57" w:rsidRDefault="003B6702" w:rsidP="003B6702">
      <w:pPr>
        <w:jc w:val="both"/>
        <w:rPr>
          <w:color w:val="000000"/>
          <w:sz w:val="18"/>
        </w:rPr>
      </w:pPr>
      <w:r w:rsidRPr="00442D57">
        <w:rPr>
          <w:color w:val="000000"/>
          <w:sz w:val="18"/>
        </w:rPr>
        <w:t>Addenbrooke’s Hospital,</w:t>
      </w:r>
    </w:p>
    <w:p w14:paraId="0C3A6F50" w14:textId="77777777" w:rsidR="003B6702" w:rsidRPr="00442D57" w:rsidRDefault="003B6702" w:rsidP="003B6702">
      <w:pPr>
        <w:jc w:val="both"/>
        <w:rPr>
          <w:color w:val="000000"/>
          <w:sz w:val="18"/>
        </w:rPr>
      </w:pPr>
      <w:r w:rsidRPr="00442D57">
        <w:rPr>
          <w:color w:val="000000"/>
          <w:sz w:val="18"/>
        </w:rPr>
        <w:t>Hills Road,</w:t>
      </w:r>
    </w:p>
    <w:p w14:paraId="38CD09E8" w14:textId="77777777" w:rsidR="003B6702" w:rsidRPr="00442D57" w:rsidRDefault="003B6702" w:rsidP="003B6702">
      <w:pPr>
        <w:jc w:val="both"/>
        <w:rPr>
          <w:color w:val="000000"/>
          <w:sz w:val="18"/>
        </w:rPr>
      </w:pPr>
      <w:r w:rsidRPr="00442D57">
        <w:rPr>
          <w:color w:val="000000"/>
          <w:sz w:val="18"/>
        </w:rPr>
        <w:t xml:space="preserve">Cambridge CB2 0QQ  </w:t>
      </w:r>
    </w:p>
    <w:p w14:paraId="2D01EBD0" w14:textId="77777777" w:rsidR="003B6702" w:rsidRPr="00442D57" w:rsidRDefault="003B6702" w:rsidP="003B6702">
      <w:pPr>
        <w:jc w:val="both"/>
        <w:rPr>
          <w:color w:val="000000"/>
          <w:sz w:val="18"/>
        </w:rPr>
      </w:pPr>
      <w:r w:rsidRPr="00442D57">
        <w:rPr>
          <w:color w:val="000000"/>
          <w:sz w:val="18"/>
        </w:rPr>
        <w:t>UNITED KINGDOM</w:t>
      </w:r>
    </w:p>
    <w:p w14:paraId="3DC05EEF" w14:textId="77777777" w:rsidR="003B6702" w:rsidRPr="00442D57" w:rsidRDefault="003B6702" w:rsidP="003B6702">
      <w:pPr>
        <w:jc w:val="both"/>
        <w:rPr>
          <w:color w:val="000000"/>
          <w:sz w:val="18"/>
        </w:rPr>
      </w:pPr>
      <w:r w:rsidRPr="00442D57">
        <w:rPr>
          <w:color w:val="000000"/>
          <w:sz w:val="18"/>
        </w:rPr>
        <w:t>Tel:  00 44 1223 586577    Fax: 00 44 1223 586932</w:t>
      </w:r>
    </w:p>
    <w:p w14:paraId="1806BE89" w14:textId="77777777" w:rsidR="003B6702" w:rsidRPr="00442D57" w:rsidRDefault="003B6702" w:rsidP="003B6702">
      <w:pPr>
        <w:jc w:val="both"/>
        <w:rPr>
          <w:color w:val="000000"/>
          <w:sz w:val="18"/>
        </w:rPr>
      </w:pPr>
      <w:r w:rsidRPr="00442D57">
        <w:rPr>
          <w:color w:val="000000"/>
          <w:sz w:val="18"/>
        </w:rPr>
        <w:t xml:space="preserve">e-mail – </w:t>
      </w:r>
      <w:hyperlink r:id="rId5" w:history="1">
        <w:r w:rsidRPr="00122ECC">
          <w:rPr>
            <w:rStyle w:val="Hyperlink"/>
            <w:sz w:val="18"/>
          </w:rPr>
          <w:t>john.benson@addenbrookes.nhs.uk</w:t>
        </w:r>
      </w:hyperlink>
    </w:p>
    <w:p w14:paraId="55C83ABA" w14:textId="77777777" w:rsidR="003B6702" w:rsidRDefault="003B6702" w:rsidP="003B6702">
      <w:pPr>
        <w:spacing w:line="360" w:lineRule="auto"/>
        <w:jc w:val="both"/>
        <w:rPr>
          <w:sz w:val="22"/>
          <w:u w:val="single"/>
          <w:lang w:eastAsia="ja-JP"/>
        </w:rPr>
      </w:pPr>
    </w:p>
    <w:p w14:paraId="7D81CACE" w14:textId="77777777" w:rsidR="003B6702" w:rsidRPr="001E1473" w:rsidRDefault="003B6702" w:rsidP="003B6702">
      <w:pPr>
        <w:spacing w:line="360" w:lineRule="auto"/>
        <w:jc w:val="both"/>
        <w:rPr>
          <w:sz w:val="22"/>
          <w:u w:val="single"/>
          <w:lang w:eastAsia="ja-JP"/>
        </w:rPr>
      </w:pPr>
      <w:r w:rsidRPr="001E1473">
        <w:rPr>
          <w:sz w:val="22"/>
          <w:u w:val="single"/>
          <w:lang w:eastAsia="ja-JP"/>
        </w:rPr>
        <w:lastRenderedPageBreak/>
        <w:t>Abstract</w:t>
      </w:r>
    </w:p>
    <w:p w14:paraId="774E4DD9" w14:textId="77777777" w:rsidR="003B6702" w:rsidRPr="00F54AB5" w:rsidRDefault="003B6702" w:rsidP="003B6702">
      <w:pPr>
        <w:spacing w:line="360" w:lineRule="auto"/>
        <w:jc w:val="both"/>
        <w:rPr>
          <w:lang w:eastAsia="ja-JP"/>
        </w:rPr>
      </w:pPr>
      <w:r w:rsidRPr="00F54AB5">
        <w:rPr>
          <w:lang w:eastAsia="ja-JP"/>
        </w:rPr>
        <w:t>The 42nd annual San Antonio Breast Cancer Symposium (SABCS) was convened in San Antonio Texas on December 10 – 14, 2019. More than 7000 clinicians and scientists from around the world participated in the symposium which featured a range of presentations and keynote talks pertaining to breast cancer screening, prevention, loco-regional and systemic therapies. This two-part report highlights a selection of important studies presented at this premier breast cancer event with the second part discussing a range of topics including extended hormonal therapy, capecitabine for partial responders after neoadjuvant chemotherapy (NACT), anti-HER2 therapies and immunotherapy with checkpoint inhibitors.</w:t>
      </w:r>
    </w:p>
    <w:p w14:paraId="120D7858" w14:textId="77777777" w:rsidR="003B6702" w:rsidRDefault="003B6702" w:rsidP="003B6702">
      <w:pPr>
        <w:spacing w:line="360" w:lineRule="auto"/>
        <w:jc w:val="both"/>
        <w:rPr>
          <w:lang w:eastAsia="ja-JP"/>
        </w:rPr>
      </w:pPr>
    </w:p>
    <w:p w14:paraId="29CE7AD9" w14:textId="77777777" w:rsidR="003B6702" w:rsidRPr="00125EF4" w:rsidRDefault="003B6702" w:rsidP="003B6702">
      <w:pPr>
        <w:jc w:val="both"/>
        <w:rPr>
          <w:sz w:val="24"/>
          <w:u w:val="single"/>
          <w:lang w:eastAsia="ja-JP"/>
        </w:rPr>
      </w:pPr>
      <w:r w:rsidRPr="00125EF4">
        <w:rPr>
          <w:sz w:val="24"/>
          <w:u w:val="single"/>
          <w:lang w:eastAsia="ja-JP"/>
        </w:rPr>
        <w:t>Keywords</w:t>
      </w:r>
    </w:p>
    <w:p w14:paraId="714B971E" w14:textId="77777777" w:rsidR="003B6702" w:rsidRPr="00125EF4" w:rsidRDefault="003B6702" w:rsidP="003B6702">
      <w:pPr>
        <w:jc w:val="both"/>
        <w:rPr>
          <w:sz w:val="24"/>
          <w:lang w:eastAsia="ja-JP"/>
        </w:rPr>
      </w:pPr>
      <w:r w:rsidRPr="00125EF4">
        <w:rPr>
          <w:sz w:val="24"/>
          <w:lang w:eastAsia="ja-JP"/>
        </w:rPr>
        <w:t>Extended hormone therapy, capecitabine, HER2 positive, capecitabine, immunotherapy, checkpoint inhibitors, San Antonio</w:t>
      </w:r>
    </w:p>
    <w:p w14:paraId="7BF15441" w14:textId="77777777" w:rsidR="003B6702" w:rsidRPr="00125EF4" w:rsidRDefault="003B6702" w:rsidP="003B6702">
      <w:pPr>
        <w:spacing w:line="360" w:lineRule="auto"/>
        <w:jc w:val="both"/>
        <w:rPr>
          <w:sz w:val="24"/>
          <w:lang w:eastAsia="ja-JP"/>
        </w:rPr>
      </w:pPr>
    </w:p>
    <w:p w14:paraId="743A3347" w14:textId="77777777" w:rsidR="003B6702" w:rsidRPr="00125EF4" w:rsidRDefault="003B6702" w:rsidP="003B6702">
      <w:pPr>
        <w:jc w:val="both"/>
        <w:rPr>
          <w:sz w:val="24"/>
          <w:u w:val="single"/>
          <w:lang w:eastAsia="ja-JP"/>
        </w:rPr>
      </w:pPr>
      <w:r w:rsidRPr="00125EF4">
        <w:rPr>
          <w:sz w:val="24"/>
          <w:u w:val="single"/>
          <w:lang w:eastAsia="ja-JP"/>
        </w:rPr>
        <w:t>Financial Disclosure/Conflict of Interest</w:t>
      </w:r>
    </w:p>
    <w:p w14:paraId="77CE19C2" w14:textId="77777777" w:rsidR="003B6702" w:rsidRPr="00384D81" w:rsidRDefault="003B6702" w:rsidP="003B6702">
      <w:pPr>
        <w:jc w:val="both"/>
        <w:rPr>
          <w:sz w:val="24"/>
          <w:lang w:eastAsia="ja-JP"/>
        </w:rPr>
      </w:pPr>
      <w:r w:rsidRPr="00125EF4">
        <w:rPr>
          <w:sz w:val="24"/>
          <w:lang w:eastAsia="ja-JP"/>
        </w:rPr>
        <w:t>None of the authors declare any conflict of interest nor have any relevant financial disclosure. JRB was on the Planning Committee and IJ the Executive Committee for the above meeting</w:t>
      </w:r>
    </w:p>
    <w:p w14:paraId="38BF2821" w14:textId="77777777" w:rsidR="003B6702" w:rsidRPr="00384D81" w:rsidRDefault="003B6702" w:rsidP="003B6702">
      <w:pPr>
        <w:pStyle w:val="NormalWeb"/>
        <w:spacing w:line="360" w:lineRule="auto"/>
        <w:jc w:val="both"/>
        <w:rPr>
          <w:rFonts w:ascii="Times" w:hAnsi="Times"/>
          <w:sz w:val="24"/>
          <w:u w:val="single"/>
          <w:lang w:eastAsia="ja-JP"/>
        </w:rPr>
      </w:pPr>
      <w:r w:rsidRPr="00384D81">
        <w:rPr>
          <w:rFonts w:ascii="Times" w:hAnsi="Times"/>
          <w:sz w:val="24"/>
          <w:u w:val="single"/>
          <w:lang w:eastAsia="ja-JP"/>
        </w:rPr>
        <w:t xml:space="preserve">Introduction </w:t>
      </w:r>
    </w:p>
    <w:p w14:paraId="18734F2F" w14:textId="77777777" w:rsidR="003B6702" w:rsidRPr="00384D81" w:rsidRDefault="003B6702" w:rsidP="003B6702">
      <w:pPr>
        <w:pStyle w:val="NormalWeb"/>
        <w:spacing w:line="360" w:lineRule="auto"/>
        <w:jc w:val="both"/>
        <w:rPr>
          <w:sz w:val="24"/>
          <w:u w:val="single"/>
          <w:lang w:eastAsia="ja-JP"/>
        </w:rPr>
      </w:pPr>
      <w:r w:rsidRPr="00384D81">
        <w:rPr>
          <w:sz w:val="24"/>
          <w:lang w:eastAsia="ja-JP"/>
        </w:rPr>
        <w:t>The annual SABCS uniquely combines the principles of multidisciplinary management with the basic science underlying pathobiological processes in breast cancer. The 42</w:t>
      </w:r>
      <w:r w:rsidRPr="00384D81">
        <w:rPr>
          <w:sz w:val="24"/>
          <w:vertAlign w:val="superscript"/>
          <w:lang w:eastAsia="ja-JP"/>
        </w:rPr>
        <w:t>nd</w:t>
      </w:r>
      <w:r w:rsidRPr="00384D81">
        <w:rPr>
          <w:sz w:val="24"/>
          <w:lang w:eastAsia="ja-JP"/>
        </w:rPr>
        <w:t xml:space="preserve"> meeting was held at the Henry B Gonzales Convention Centre in downtown San Antonio, Texas on 10 – 14</w:t>
      </w:r>
      <w:r w:rsidRPr="00384D81">
        <w:rPr>
          <w:sz w:val="24"/>
          <w:vertAlign w:val="superscript"/>
          <w:lang w:eastAsia="ja-JP"/>
        </w:rPr>
        <w:t>th</w:t>
      </w:r>
      <w:r w:rsidRPr="00384D81">
        <w:rPr>
          <w:sz w:val="24"/>
          <w:lang w:eastAsia="ja-JP"/>
        </w:rPr>
        <w:t xml:space="preserve"> </w:t>
      </w:r>
      <w:proofErr w:type="gramStart"/>
      <w:r w:rsidRPr="00384D81">
        <w:rPr>
          <w:sz w:val="24"/>
          <w:lang w:eastAsia="ja-JP"/>
        </w:rPr>
        <w:t>December,</w:t>
      </w:r>
      <w:proofErr w:type="gramEnd"/>
      <w:r w:rsidRPr="00384D81">
        <w:rPr>
          <w:sz w:val="24"/>
          <w:lang w:eastAsia="ja-JP"/>
        </w:rPr>
        <w:t xml:space="preserve"> 2019. The symposium delivers a range of presentations covering basic, translational and clinical sciences. Important trials that are potentially practice changing are often presented at SABCS and published concurrently or shortly thereafter. This is the second of a two-part report highlighting important presentations and focuses on topics relating to a) extended endocrine therapy b) chemoprevention of breast cancer c) alternate approaches to adjuvant chemotherapy d) anti-HER2 therapies and e) immunotherapy with checkpoint inhibitors. Relevant background information is included where context appropriate. </w:t>
      </w:r>
    </w:p>
    <w:p w14:paraId="1AB185B5" w14:textId="77777777" w:rsidR="003B6702" w:rsidRPr="00384D81" w:rsidRDefault="003B6702" w:rsidP="003B6702">
      <w:pPr>
        <w:spacing w:line="360" w:lineRule="auto"/>
        <w:jc w:val="both"/>
        <w:rPr>
          <w:sz w:val="24"/>
          <w:u w:val="single"/>
          <w:lang w:eastAsia="ja-JP"/>
        </w:rPr>
      </w:pPr>
      <w:r w:rsidRPr="00384D81">
        <w:rPr>
          <w:sz w:val="24"/>
          <w:u w:val="single"/>
          <w:lang w:eastAsia="ja-JP"/>
        </w:rPr>
        <w:t>Extended hormonal therapy</w:t>
      </w:r>
    </w:p>
    <w:p w14:paraId="27633D1C" w14:textId="77777777" w:rsidR="003B6702" w:rsidRPr="00125EF4" w:rsidRDefault="003B6702" w:rsidP="003B6702">
      <w:pPr>
        <w:spacing w:line="360" w:lineRule="auto"/>
        <w:jc w:val="both"/>
        <w:rPr>
          <w:sz w:val="24"/>
          <w:lang w:eastAsia="ja-JP"/>
        </w:rPr>
      </w:pPr>
      <w:r>
        <w:rPr>
          <w:sz w:val="24"/>
          <w:szCs w:val="24"/>
        </w:rPr>
        <w:t xml:space="preserve">With the advent of aromatase inhibitors, hormonal therapy has become increasingly complex and no longer are breast cancer patients offered the ubiquitous 5 years of tamoxifen therapy irrespective of hormonal status. The optimum schedule for adjuvant systemic hormonal therapy in terms of choice of agent and duration of usage remains uncertain but emerging evidence supports a risk stratified approach with extended schedules of between 7.5 – 10 years recommended for most patients [1]. It should be noted that there is a significant Risk of relapse for many hormone receptor positive breast cancers persists throughout the first 20 years of follow up with half of these cases occurring beyond 5 years. </w:t>
      </w:r>
      <w:r w:rsidRPr="00125EF4">
        <w:rPr>
          <w:sz w:val="24"/>
          <w:lang w:eastAsia="ja-JP"/>
        </w:rPr>
        <w:lastRenderedPageBreak/>
        <w:t xml:space="preserve">Extended adjuvant endocrine therapy with an aromatase inhibitor (AI) or tamoxifen after a standard 5 years tamoxifen treatment span is associated with improved disease-free survival, although the optimum duration of AI therapy in these circumstances is unclear. Seven-year results (6.9 months) of the NSABP B-42 trial were presented at SABCS in 2016 [2]. </w:t>
      </w:r>
      <w:r w:rsidRPr="00125EF4">
        <w:rPr>
          <w:sz w:val="24"/>
          <w:lang w:val="en-GB" w:eastAsia="ja-JP"/>
        </w:rPr>
        <w:t>This trial randomised 3966 post-menopausal hormone receptor positive patients to 5 years of letrozole or placebo after 5 years of standard endocrine therapy (AI alone or TAM/AI switch).</w:t>
      </w:r>
      <w:r w:rsidRPr="00125EF4">
        <w:rPr>
          <w:sz w:val="24"/>
          <w:lang w:eastAsia="ja-JP"/>
        </w:rPr>
        <w:t xml:space="preserve">  Although there was a 15% reduction in the primary endpoint of disease-free survival in favour of letrozole (p=0.048), this was not deemed statistically significant due to adjustment of a pre-defined 2-sided p-value to 0.0418. Eleftherios Mamounas </w:t>
      </w:r>
      <w:r w:rsidRPr="00384D81">
        <w:rPr>
          <w:szCs w:val="22"/>
          <w:lang w:eastAsia="ja-JP"/>
        </w:rPr>
        <w:t>[NRG Oncology, Pittsburg, USA]</w:t>
      </w:r>
      <w:r w:rsidRPr="00125EF4">
        <w:rPr>
          <w:sz w:val="24"/>
          <w:szCs w:val="22"/>
          <w:lang w:eastAsia="ja-JP"/>
        </w:rPr>
        <w:t xml:space="preserve"> </w:t>
      </w:r>
      <w:r w:rsidRPr="00125EF4">
        <w:rPr>
          <w:sz w:val="24"/>
          <w:lang w:eastAsia="ja-JP"/>
        </w:rPr>
        <w:t xml:space="preserve">presented updated trial results at 10 years showing a statistically significant reduction in disease-free survival events for letrozole [HR 0.84; p=0.011] with an absolute decrease of 4%.  There was also a 29% decrease in risk of distant recurrence with letrozole (7.5% versus 5.7%) and a 26% reduction in breast cancer-free interval events (13.3% versus 10.3%). Subgroup analysis revealed letrozole to be associated with a significant disease-free survival benefit in a) node positive patients b) prior tamoxifen users c) patients aged ≥ 60 years d) bone mineral density t-score ≤2.0 and e) previous mastectomy. There were no differences in overall survival between groups or rates of adverse events such as osteoporotic fractures (6.5% v 6.4%) and arterial thrombotic events. Extended endocrine therapy may be relevant to hormone receptor positive patients at higher risk of relapse – this includes most pre/post-menopausal women receiving chemotherapy. Genomic classifiers </w:t>
      </w:r>
      <w:r w:rsidRPr="00384D81">
        <w:rPr>
          <w:lang w:eastAsia="ja-JP"/>
        </w:rPr>
        <w:t xml:space="preserve">[Oncotype-DX, PAM50, Endopredict, IHC-4, Breast Cancer Index] </w:t>
      </w:r>
      <w:r w:rsidRPr="00125EF4">
        <w:rPr>
          <w:sz w:val="24"/>
          <w:lang w:eastAsia="ja-JP"/>
        </w:rPr>
        <w:t>may help identify patients at risk of late distant recurrence and who are most likely to respond to extended therapy. However, decisions for extended therapy should also take account of factors such as patient age, preference and adherence to prescribed medications together with cost implications within different healthcare systems. Compliance is a potential problem for endocrine therapy with up to one-quarter of patients taking medication intermittently or discontinuing medication early due to musculoskeletal side-effects of joint stiffness and pain (occurring in 43% and 47% of patients respectively). Rates of compliance for aromatase inhibitors is correlated with household net worth and a switch from a brand name to a cheaper alternative increases adherence.</w:t>
      </w:r>
    </w:p>
    <w:p w14:paraId="252C122C" w14:textId="77777777" w:rsidR="003B6702" w:rsidRPr="00125EF4" w:rsidRDefault="003B6702" w:rsidP="003B6702">
      <w:pPr>
        <w:spacing w:line="360" w:lineRule="auto"/>
        <w:jc w:val="both"/>
        <w:rPr>
          <w:sz w:val="24"/>
          <w:lang w:eastAsia="ja-JP"/>
        </w:rPr>
      </w:pPr>
    </w:p>
    <w:p w14:paraId="26C1E1E6" w14:textId="77777777" w:rsidR="003B6702" w:rsidRPr="00384D81" w:rsidRDefault="003B6702" w:rsidP="003B6702">
      <w:pPr>
        <w:spacing w:line="360" w:lineRule="auto"/>
        <w:jc w:val="both"/>
        <w:rPr>
          <w:sz w:val="24"/>
          <w:u w:val="single"/>
          <w:lang w:eastAsia="ja-JP"/>
        </w:rPr>
      </w:pPr>
      <w:r w:rsidRPr="00384D81">
        <w:rPr>
          <w:sz w:val="24"/>
          <w:u w:val="single"/>
          <w:lang w:eastAsia="ja-JP"/>
        </w:rPr>
        <w:t>Chemoprevention of breast cancer</w:t>
      </w:r>
    </w:p>
    <w:p w14:paraId="77040C11" w14:textId="77777777" w:rsidR="003B6702" w:rsidRPr="00125EF4" w:rsidRDefault="003B6702" w:rsidP="003B6702">
      <w:pPr>
        <w:spacing w:line="360" w:lineRule="auto"/>
        <w:jc w:val="both"/>
        <w:rPr>
          <w:sz w:val="24"/>
          <w:lang w:eastAsia="ja-JP"/>
        </w:rPr>
      </w:pPr>
      <w:r w:rsidRPr="00125EF4">
        <w:rPr>
          <w:sz w:val="24"/>
          <w:lang w:eastAsia="ja-JP"/>
        </w:rPr>
        <w:t xml:space="preserve">The international breast cancer intervention study II was designed to determine if a 5-year pulse of anastrozole therapy can safely and effectively prevent breast cancer in high-risk post-menopausal women. A total of 3864 patients were recruited with 1920 in the anastrozole arm and 1944 placebo cases. Eligibility criteria included a) ≥2 relatives with breast cancer b) mother or sister with breast cancer &lt;50 years or c) mother or sister with bilateral breast cancer [3].  The primary endpoint for this </w:t>
      </w:r>
      <w:r w:rsidRPr="00125EF4">
        <w:rPr>
          <w:sz w:val="24"/>
          <w:lang w:eastAsia="ja-JP"/>
        </w:rPr>
        <w:lastRenderedPageBreak/>
        <w:t>study is the incidence of invasive or non-invasive breast cancer with evaluation of overall incidence and for the post-</w:t>
      </w:r>
      <w:proofErr w:type="gramStart"/>
      <w:r w:rsidRPr="00125EF4">
        <w:rPr>
          <w:sz w:val="24"/>
          <w:lang w:eastAsia="ja-JP"/>
        </w:rPr>
        <w:t>5 year</w:t>
      </w:r>
      <w:proofErr w:type="gramEnd"/>
      <w:r w:rsidRPr="00125EF4">
        <w:rPr>
          <w:sz w:val="24"/>
          <w:lang w:eastAsia="ja-JP"/>
        </w:rPr>
        <w:t xml:space="preserve"> time period.  Jack Cuzik </w:t>
      </w:r>
      <w:r w:rsidRPr="00125EF4">
        <w:rPr>
          <w:szCs w:val="18"/>
          <w:lang w:eastAsia="ja-JP"/>
        </w:rPr>
        <w:t>[Queen Mary University of London, UK]</w:t>
      </w:r>
      <w:r w:rsidRPr="00125EF4">
        <w:rPr>
          <w:sz w:val="24"/>
          <w:lang w:eastAsia="ja-JP"/>
        </w:rPr>
        <w:t xml:space="preserve"> provided an update of this trial at a median follow up of 10.9 years that revealed continuing benefit throughout the second 5 years. </w:t>
      </w:r>
      <w:proofErr w:type="gramStart"/>
      <w:r w:rsidRPr="00125EF4">
        <w:rPr>
          <w:sz w:val="24"/>
          <w:lang w:eastAsia="ja-JP"/>
        </w:rPr>
        <w:t>Thus</w:t>
      </w:r>
      <w:proofErr w:type="gramEnd"/>
      <w:r w:rsidRPr="00125EF4">
        <w:rPr>
          <w:sz w:val="24"/>
          <w:lang w:eastAsia="ja-JP"/>
        </w:rPr>
        <w:t xml:space="preserve"> anastrozole halved the incidence of breast cancer overall [HR 0.50; 95% CI 0.38 - 0.65 (p&lt;0.0001)] with evidence of a greater reduction in the first 5 years [HR 0.39] but a substantial reduction in the second 5 years. Moreover, the effects of chemoprevention in each </w:t>
      </w:r>
      <w:proofErr w:type="gramStart"/>
      <w:r w:rsidRPr="00125EF4">
        <w:rPr>
          <w:sz w:val="24"/>
          <w:lang w:eastAsia="ja-JP"/>
        </w:rPr>
        <w:t>5 year</w:t>
      </w:r>
      <w:proofErr w:type="gramEnd"/>
      <w:r w:rsidRPr="00125EF4">
        <w:rPr>
          <w:sz w:val="24"/>
          <w:lang w:eastAsia="ja-JP"/>
        </w:rPr>
        <w:t xml:space="preserve"> time period were not significantly different and reductions in incidence of invasive disease did not reach significance for hormone receptor negative tumours (ER positive [HR 0. 46; 95% CI 0.33 - 0.65; (p&lt;0.0001)] versus ER negative [HR 0. 76; 95% CI 0.39 - 1.45 (p=0.4)].  Hence these updated results show a continued impact of anastrozole on breast cancer incidence after stopping treatment at 5 years and there may be potential advantages of using an aromatase inhibitor over tamoxifen for chemoprevention because fewer women need to be treated with anastrozole for 5 years to prevent one breast cancer (29 versus 49 women). Yet chemoprevention (i.e. the use of drugs to reduce breast cancer risk) has not been widely adopted into clinical practice. This might be attributable to failure of trials to show any reduction in mortality despite several chemopreventive agents having been shown to reduce disease the incidence of breast cancer. </w:t>
      </w:r>
    </w:p>
    <w:p w14:paraId="714FEE5F" w14:textId="77777777" w:rsidR="003B6702" w:rsidRPr="00125EF4" w:rsidRDefault="003B6702" w:rsidP="003B6702">
      <w:pPr>
        <w:spacing w:line="360" w:lineRule="auto"/>
        <w:jc w:val="both"/>
        <w:rPr>
          <w:sz w:val="24"/>
          <w:lang w:eastAsia="ja-JP"/>
        </w:rPr>
      </w:pPr>
    </w:p>
    <w:p w14:paraId="227898A4" w14:textId="77777777" w:rsidR="003B6702" w:rsidRPr="00384D81" w:rsidRDefault="003B6702" w:rsidP="003B6702">
      <w:pPr>
        <w:spacing w:line="360" w:lineRule="auto"/>
        <w:jc w:val="both"/>
        <w:rPr>
          <w:sz w:val="24"/>
          <w:u w:val="single"/>
          <w:lang w:eastAsia="ja-JP"/>
        </w:rPr>
      </w:pPr>
      <w:r w:rsidRPr="00384D81">
        <w:rPr>
          <w:sz w:val="24"/>
          <w:u w:val="single"/>
          <w:lang w:eastAsia="ja-JP"/>
        </w:rPr>
        <w:t>Alternate adjuvant systemic chemotherapy</w:t>
      </w:r>
    </w:p>
    <w:p w14:paraId="0784953D" w14:textId="77777777" w:rsidR="003B6702" w:rsidRPr="00125EF4" w:rsidRDefault="003B6702" w:rsidP="003B6702">
      <w:pPr>
        <w:spacing w:line="360" w:lineRule="auto"/>
        <w:jc w:val="both"/>
        <w:rPr>
          <w:sz w:val="24"/>
          <w:lang w:eastAsia="ja-JP"/>
        </w:rPr>
      </w:pPr>
      <w:r>
        <w:rPr>
          <w:sz w:val="24"/>
          <w:szCs w:val="24"/>
          <w:lang w:eastAsia="ja-JP"/>
        </w:rPr>
        <w:t xml:space="preserve">Results from the open labeled multicentre phase III Create-X trial were presented at SABCS in 2016 and have since been published [4]. This </w:t>
      </w:r>
      <w:proofErr w:type="gramStart"/>
      <w:r>
        <w:rPr>
          <w:sz w:val="24"/>
          <w:szCs w:val="24"/>
          <w:lang w:eastAsia="ja-JP"/>
        </w:rPr>
        <w:t>Japanese-Korean</w:t>
      </w:r>
      <w:proofErr w:type="gramEnd"/>
      <w:r>
        <w:rPr>
          <w:sz w:val="24"/>
          <w:szCs w:val="24"/>
          <w:lang w:eastAsia="ja-JP"/>
        </w:rPr>
        <w:t xml:space="preserve"> study examined adjuvant capecitabine after NACT in partial responders. A total of 900 non-pCR or node positive, HER2 negative patients were randomized following surgical treatment to either control or oral capecitabine on days 1 – 14 (repeated 3 </w:t>
      </w:r>
      <w:proofErr w:type="gramStart"/>
      <w:r>
        <w:rPr>
          <w:sz w:val="24"/>
          <w:szCs w:val="24"/>
          <w:lang w:eastAsia="ja-JP"/>
        </w:rPr>
        <w:t>weekly</w:t>
      </w:r>
      <w:proofErr w:type="gramEnd"/>
      <w:r>
        <w:rPr>
          <w:sz w:val="24"/>
          <w:szCs w:val="24"/>
          <w:lang w:eastAsia="ja-JP"/>
        </w:rPr>
        <w:t xml:space="preserve"> for 8 cycles). Patients with residual disease after induction chemotherapy are more likely to relapse and it remains unclear whether further post-operative (adjuvant) chemotherapy can improve survival. Patients within this trial received a spectrum of standard neoadjuvant schedules containing anthracyclines and/or taxanes. The primary endpoint was disease-free survival with secondary endpoints of overall survival, safety and cost-effectiveness. The study reported statistically significant improvement in both disease-free (HR 0.70; 95% CI 0.53 – 0.93; one-sided p = 0.00524) and overall survival (HR 0.60; 95% CI 0.40 - 0.92; one-sided p&lt;0.01). Side effects were minimal with slight increase of neutropenia and diarrhoea and compliance high. The investigators concluded that further investigation of postoperative capecitabine and cost-effectiveness analysis is justified despite multiple negative studies for addition of </w:t>
      </w:r>
      <w:r w:rsidR="00005FCB">
        <w:rPr>
          <w:sz w:val="24"/>
          <w:szCs w:val="24"/>
          <w:lang w:eastAsia="ja-JP"/>
        </w:rPr>
        <w:t>capecitabine in the adjuvant</w:t>
      </w:r>
      <w:r>
        <w:rPr>
          <w:sz w:val="24"/>
          <w:szCs w:val="24"/>
          <w:lang w:eastAsia="ja-JP"/>
        </w:rPr>
        <w:t xml:space="preserve"> setting. </w:t>
      </w:r>
      <w:r w:rsidRPr="00125EF4">
        <w:rPr>
          <w:sz w:val="24"/>
          <w:lang w:eastAsia="ja-JP"/>
        </w:rPr>
        <w:t xml:space="preserve">Following publication of the Create-X study there has been persistent uncertainty about which triple negative breast cancer (TNBC) patients </w:t>
      </w:r>
      <w:r w:rsidRPr="00125EF4">
        <w:rPr>
          <w:sz w:val="24"/>
          <w:lang w:eastAsia="ja-JP"/>
        </w:rPr>
        <w:lastRenderedPageBreak/>
        <w:t xml:space="preserve">with residual disease will benefit from adjuvant capecitabine. The Create-X study recruited patients from oriental populations that may have intrinsic genetic differences influencing response to what was an </w:t>
      </w:r>
      <w:r w:rsidRPr="00125EF4">
        <w:rPr>
          <w:i/>
          <w:iCs/>
          <w:sz w:val="24"/>
          <w:lang w:eastAsia="ja-JP"/>
        </w:rPr>
        <w:t>eclectic</w:t>
      </w:r>
      <w:r w:rsidRPr="00125EF4">
        <w:rPr>
          <w:sz w:val="24"/>
          <w:lang w:eastAsia="ja-JP"/>
        </w:rPr>
        <w:t xml:space="preserve"> range of chemotherapy regimens within this trial.</w:t>
      </w:r>
      <w:r w:rsidRPr="00125EF4">
        <w:rPr>
          <w:sz w:val="24"/>
          <w:lang w:val="en-GB" w:eastAsia="ja-JP"/>
        </w:rPr>
        <w:t xml:space="preserve"> Patients with residual disease</w:t>
      </w:r>
      <w:r w:rsidRPr="00125EF4">
        <w:rPr>
          <w:bCs/>
          <w:sz w:val="24"/>
          <w:lang w:val="en-GB" w:eastAsia="ja-JP"/>
        </w:rPr>
        <w:t xml:space="preserve"> </w:t>
      </w:r>
      <w:r w:rsidRPr="00125EF4">
        <w:rPr>
          <w:sz w:val="24"/>
          <w:lang w:val="en-GB" w:eastAsia="ja-JP"/>
        </w:rPr>
        <w:t xml:space="preserve">after </w:t>
      </w:r>
      <w:r w:rsidRPr="00125EF4">
        <w:rPr>
          <w:sz w:val="24"/>
          <w:lang w:eastAsia="ja-JP"/>
        </w:rPr>
        <w:t xml:space="preserve">NACT </w:t>
      </w:r>
      <w:r w:rsidRPr="00125EF4">
        <w:rPr>
          <w:sz w:val="24"/>
          <w:lang w:val="en-GB" w:eastAsia="ja-JP"/>
        </w:rPr>
        <w:t xml:space="preserve">have a higher chance of relapse but it </w:t>
      </w:r>
      <w:r w:rsidRPr="00125EF4">
        <w:rPr>
          <w:sz w:val="24"/>
          <w:lang w:eastAsia="ja-JP"/>
        </w:rPr>
        <w:t>remains unclear whether any prolongation of survival with post-operative chemotherapy can be justified in terms o</w:t>
      </w:r>
      <w:r w:rsidR="00005FCB">
        <w:rPr>
          <w:sz w:val="24"/>
          <w:lang w:eastAsia="ja-JP"/>
        </w:rPr>
        <w:t xml:space="preserve">f side-effects and added costs. </w:t>
      </w:r>
      <w:r w:rsidRPr="00125EF4">
        <w:rPr>
          <w:sz w:val="24"/>
          <w:lang w:eastAsia="ja-JP"/>
        </w:rPr>
        <w:t xml:space="preserve">Against this background, the German Breast Group have undertaken a meta-analysis of individual patient data from 12 randomised trials involving capecitabine as adjuvant (three-quarters) or NACT. Marion van Mackelenberg </w:t>
      </w:r>
      <w:r w:rsidRPr="00125EF4">
        <w:rPr>
          <w:szCs w:val="22"/>
          <w:lang w:eastAsia="ja-JP"/>
        </w:rPr>
        <w:t>[University Medical Center, Schleswig-Holstein, Keil, Germany]</w:t>
      </w:r>
      <w:r w:rsidRPr="00125EF4">
        <w:rPr>
          <w:sz w:val="24"/>
          <w:lang w:eastAsia="ja-JP"/>
        </w:rPr>
        <w:t xml:space="preserve"> reported on this meta-analysis of 15,457 patients enrolled in trials involving both TNBC and other subtypes. The primary objective was to determine the effect of capecitabine on disease-free survival with overall survival a secondary outcome. </w:t>
      </w:r>
      <w:proofErr w:type="gramStart"/>
      <w:r w:rsidRPr="00125EF4">
        <w:rPr>
          <w:sz w:val="24"/>
          <w:lang w:eastAsia="ja-JP"/>
        </w:rPr>
        <w:t>In particular, this</w:t>
      </w:r>
      <w:proofErr w:type="gramEnd"/>
      <w:r w:rsidRPr="00125EF4">
        <w:rPr>
          <w:sz w:val="24"/>
          <w:lang w:eastAsia="ja-JP"/>
        </w:rPr>
        <w:t xml:space="preserve"> large meta-analysis aimed to ascertain whether there was any interaction between capecitabine-specific toxicity and treatment effect. There was no overall improvement in disease-free survival except for those trial designs where capecitabine was an </w:t>
      </w:r>
      <w:r w:rsidRPr="00125EF4">
        <w:rPr>
          <w:i/>
          <w:iCs/>
          <w:sz w:val="24"/>
          <w:lang w:eastAsia="ja-JP"/>
        </w:rPr>
        <w:t>additional</w:t>
      </w:r>
      <w:r w:rsidRPr="00125EF4">
        <w:rPr>
          <w:sz w:val="24"/>
          <w:lang w:eastAsia="ja-JP"/>
        </w:rPr>
        <w:t xml:space="preserve"> agent to any standard chemotherapy schedule [HR 0.888]. This hazard ratio was only significant for the endpoint of disease-free survival in respect of the Create-X trial, proclaiming benefit from addition of capecitabine. When analysis was confined to TNBC, there were benefits for disease-free survival from addition of capecitabine to other systemic treatments [HR0.818] but once again this was only statistically significant for a minority of trials (Create-X and FinXX). It was concluded that capecitabine can be considered as adjuvant therapy for TNBC patients with residual tumour after NACT but further prospective trials of TNBC are required that incorporate both capecitabine and platinum agents (carboplatin). </w:t>
      </w:r>
    </w:p>
    <w:p w14:paraId="045DE77B" w14:textId="77777777" w:rsidR="003B6702" w:rsidRPr="00125EF4" w:rsidRDefault="003B6702" w:rsidP="003B6702">
      <w:pPr>
        <w:spacing w:line="360" w:lineRule="auto"/>
        <w:jc w:val="both"/>
        <w:rPr>
          <w:sz w:val="24"/>
          <w:lang w:eastAsia="ja-JP"/>
        </w:rPr>
      </w:pPr>
    </w:p>
    <w:p w14:paraId="21861481" w14:textId="77777777" w:rsidR="003B6702" w:rsidRPr="00125EF4" w:rsidRDefault="003B6702" w:rsidP="003B6702">
      <w:pPr>
        <w:spacing w:line="360" w:lineRule="auto"/>
        <w:jc w:val="both"/>
        <w:rPr>
          <w:sz w:val="24"/>
          <w:lang w:eastAsia="ja-JP"/>
        </w:rPr>
      </w:pPr>
      <w:r w:rsidRPr="00125EF4">
        <w:rPr>
          <w:sz w:val="24"/>
          <w:lang w:eastAsia="ja-JP"/>
        </w:rPr>
        <w:t xml:space="preserve">Masakasu Toi </w:t>
      </w:r>
      <w:r w:rsidRPr="00384D81">
        <w:rPr>
          <w:szCs w:val="22"/>
          <w:lang w:eastAsia="ja-JP"/>
        </w:rPr>
        <w:t>[Kyoto University Hospital, Japan]</w:t>
      </w:r>
      <w:r w:rsidRPr="00125EF4">
        <w:rPr>
          <w:sz w:val="24"/>
          <w:szCs w:val="22"/>
          <w:lang w:eastAsia="ja-JP"/>
        </w:rPr>
        <w:t xml:space="preserve"> </w:t>
      </w:r>
      <w:r w:rsidRPr="00125EF4">
        <w:rPr>
          <w:sz w:val="24"/>
          <w:lang w:eastAsia="ja-JP"/>
        </w:rPr>
        <w:t xml:space="preserve">presented results from the Japanese phase III POTENT trial investigating whether addition of an oral derivative of biochemically modified fluorouracil (S-1) can enhance standard adjuvant systemic therapy. The trial recruited almost 2000 patients from 130 institutions in Japan with stage I-IIIB hormone receptor positive, HER2 negative breast cancer deemed to be at intermediate to high risk of recurrence. The combination of S-1 with endocrine therapy as adjuvant treatment for hormone receptor positive, HER2 negative breast cancer was associated with an increase for invasive disease-free survival of approximately 5%. At a median follow up of 51.4 months there were significantly more cognate events in the control (15.9%) than S-1 (10.6%) arms [HR 0.63 (p=0.0003)]. Addition of this agent led to an increase in grade 3-4 diarrhoea and neutropenia but these adverse effects are likely to be offset by improved efficacy in selected higher risk hormone receptor positive patients for whom conventional chemotherapy is not considered optimal therapy. Use of multi-gene assays may help identify those patients likely to derive greatest benefit from this novel agent. </w:t>
      </w:r>
    </w:p>
    <w:p w14:paraId="2FCD62E5" w14:textId="77777777" w:rsidR="003B6702" w:rsidRPr="00125EF4" w:rsidRDefault="003B6702" w:rsidP="003B6702">
      <w:pPr>
        <w:spacing w:line="360" w:lineRule="auto"/>
        <w:jc w:val="both"/>
        <w:rPr>
          <w:sz w:val="24"/>
          <w:lang w:eastAsia="ja-JP"/>
        </w:rPr>
      </w:pPr>
    </w:p>
    <w:p w14:paraId="7557B059" w14:textId="77777777" w:rsidR="003B6702" w:rsidRPr="00384D81" w:rsidRDefault="003B6702" w:rsidP="003B6702">
      <w:pPr>
        <w:spacing w:line="360" w:lineRule="auto"/>
        <w:jc w:val="both"/>
        <w:rPr>
          <w:sz w:val="24"/>
          <w:u w:val="single"/>
          <w:lang w:eastAsia="ja-JP"/>
        </w:rPr>
      </w:pPr>
      <w:r w:rsidRPr="00384D81">
        <w:rPr>
          <w:sz w:val="24"/>
          <w:u w:val="single"/>
          <w:lang w:eastAsia="ja-JP"/>
        </w:rPr>
        <w:t>Anti-HER2 directed therapies</w:t>
      </w:r>
    </w:p>
    <w:p w14:paraId="40153946" w14:textId="77777777" w:rsidR="003B6702" w:rsidRDefault="003B6702" w:rsidP="003B6702">
      <w:pPr>
        <w:spacing w:line="360" w:lineRule="auto"/>
        <w:jc w:val="both"/>
        <w:rPr>
          <w:sz w:val="24"/>
          <w:szCs w:val="24"/>
          <w:lang w:eastAsia="ja-JP"/>
        </w:rPr>
      </w:pPr>
      <w:r w:rsidRPr="00C011BC">
        <w:rPr>
          <w:sz w:val="24"/>
          <w:szCs w:val="24"/>
          <w:lang w:eastAsia="ja-JP"/>
        </w:rPr>
        <w:t xml:space="preserve">Trastuzumab is a humanized monoclonal antibody directed against the extracellular domain of the HER2/neu growth factor. Over-expression of HER2/neu occurs in approximately 30% of invasive breast cancers and is associated with a worse prognosis [5]. When combined with taxane-based chemotherapy for management of advanced breast cancer, trastuzumab improved time to disease progression (4.6 months versus 7.4 </w:t>
      </w:r>
      <w:proofErr w:type="gramStart"/>
      <w:r w:rsidRPr="00C011BC">
        <w:rPr>
          <w:sz w:val="24"/>
          <w:szCs w:val="24"/>
          <w:lang w:eastAsia="ja-JP"/>
        </w:rPr>
        <w:t>months( [</w:t>
      </w:r>
      <w:proofErr w:type="gramEnd"/>
      <w:r w:rsidRPr="00C011BC">
        <w:rPr>
          <w:sz w:val="24"/>
          <w:szCs w:val="24"/>
          <w:lang w:eastAsia="ja-JP"/>
        </w:rPr>
        <w:t xml:space="preserve">6]. Clinical trials have confirmed improvements in both disease-free and overall survival. Two American trials reported a reduction in risk of recurrence of about 50% from at least 12 months of trastuzumab treatment and show a sustained and robust survival benefit favouring anti-HER2 therapy with more prolonged follow up (despite some issues of patient cross-over after publication of initial trial results)[7,8]. Despite dramatic responses to anti-HER2 therapies in both early and advanced disease settings, most patients with metastatic HER2 positive breast cancer will eventually progress due to development of either de novo disease or resistance. Several strategies have been devised for improving survival outcomes in HER2 positive disease that aim to more effectively inhibit the HER2 signaling pathway. One approach is dual-blockade using </w:t>
      </w:r>
      <w:r>
        <w:rPr>
          <w:sz w:val="24"/>
          <w:szCs w:val="24"/>
          <w:lang w:eastAsia="ja-JP"/>
        </w:rPr>
        <w:t xml:space="preserve">pertuzumab that targets a different epitope of HER2 and interferes with homo- and heterodimer formation and in turn disrupts intracellular signal transduction pathways. Functional redundancy within these more distal elements can potentially be overcome with combinatorial therapies in which agents such as CDK4/6 inhibitors or P13K/AKT/mTOR inhibitors are added to anti-HER2 therapy. </w:t>
      </w:r>
      <w:r w:rsidRPr="006F16CE">
        <w:rPr>
          <w:sz w:val="24"/>
          <w:szCs w:val="24"/>
          <w:lang w:eastAsia="ja-JP"/>
        </w:rPr>
        <w:t xml:space="preserve">Tumours associated with infiltrating lymphocytes (TILs) benefit more from trastuzumab treatment that may modulate the microenvironment and interact synergistically with T-cell checkpoint inhibitors. There is a complex relationship between anti-tumour effector immunity and HER2 that influences the tumour immunosuppressive microenvironment. </w:t>
      </w:r>
      <w:r>
        <w:rPr>
          <w:sz w:val="24"/>
          <w:szCs w:val="24"/>
          <w:lang w:eastAsia="ja-JP"/>
        </w:rPr>
        <w:t>There is evidence from pre-clinical models that CDK4/6 inhibitors can overcome development of resistance to anti-HER2 therapy [9] and clinical studies are evaluating combinations CDK 4/6 inhibitors, trastuzumab, pertuzumab and aromatase inhibitors after standard first line therapies for metastatic (MBC) [ClinicalTrials.gov: NCT02947685 and NCT02448420].</w:t>
      </w:r>
    </w:p>
    <w:p w14:paraId="0942FE7C" w14:textId="77777777" w:rsidR="003B6702" w:rsidRDefault="003B6702" w:rsidP="003B6702">
      <w:pPr>
        <w:spacing w:line="360" w:lineRule="auto"/>
        <w:jc w:val="both"/>
        <w:rPr>
          <w:sz w:val="24"/>
          <w:szCs w:val="24"/>
          <w:lang w:eastAsia="ja-JP"/>
        </w:rPr>
      </w:pPr>
    </w:p>
    <w:p w14:paraId="6A299C88" w14:textId="77777777" w:rsidR="003B6702" w:rsidRDefault="003B6702" w:rsidP="003B6702">
      <w:pPr>
        <w:spacing w:line="360" w:lineRule="auto"/>
        <w:jc w:val="both"/>
        <w:rPr>
          <w:sz w:val="24"/>
          <w:szCs w:val="24"/>
          <w:lang w:eastAsia="ja-JP"/>
        </w:rPr>
      </w:pPr>
      <w:r>
        <w:rPr>
          <w:sz w:val="24"/>
          <w:szCs w:val="24"/>
          <w:lang w:eastAsia="ja-JP"/>
        </w:rPr>
        <w:t xml:space="preserve">The antibody-drug conjugate trastuzumab emtansine (T-DM1) also targets the HER2 pathway but acts by inducing mitotic catastrophe after binding to the HER2 receptor and releasing its payload (DM1) that interferes with spindle formation after internalization. </w:t>
      </w:r>
      <w:r w:rsidR="00005FCB">
        <w:rPr>
          <w:sz w:val="24"/>
          <w:szCs w:val="24"/>
          <w:lang w:eastAsia="ja-JP"/>
        </w:rPr>
        <w:t>T–DM1</w:t>
      </w:r>
      <w:r>
        <w:rPr>
          <w:sz w:val="24"/>
          <w:szCs w:val="24"/>
          <w:lang w:eastAsia="ja-JP"/>
        </w:rPr>
        <w:t xml:space="preserve">was compared with capecitabine and lapatinib in the EMILIA trial which showed an increase in progression-free survival (HR 0.68) </w:t>
      </w:r>
      <w:proofErr w:type="gramStart"/>
      <w:r>
        <w:rPr>
          <w:sz w:val="24"/>
          <w:szCs w:val="24"/>
          <w:lang w:eastAsia="ja-JP"/>
        </w:rPr>
        <w:t>and also</w:t>
      </w:r>
      <w:proofErr w:type="gramEnd"/>
      <w:r>
        <w:rPr>
          <w:sz w:val="24"/>
          <w:szCs w:val="24"/>
          <w:lang w:eastAsia="ja-JP"/>
        </w:rPr>
        <w:t xml:space="preserve"> an improvement in overall survival. The role of T-DM1 in the metastatic setting was reinforced by results of the phase III TH3RESA study demonstrating a clinically meaningful improvement in overall </w:t>
      </w:r>
      <w:r>
        <w:rPr>
          <w:sz w:val="24"/>
          <w:szCs w:val="24"/>
          <w:lang w:eastAsia="ja-JP"/>
        </w:rPr>
        <w:lastRenderedPageBreak/>
        <w:t xml:space="preserve">survival (median 22.7 months [95% CI 19.4 – 27.5] versus 15.8 months [95% CI 0.54 – 0.85]) in HER2 positive metastatic patients previously treated with taxane, trastuzumab and lapatinib [9]. </w:t>
      </w:r>
    </w:p>
    <w:p w14:paraId="5967042B" w14:textId="77777777" w:rsidR="003B6702" w:rsidRDefault="003B6702" w:rsidP="003B6702">
      <w:pPr>
        <w:spacing w:line="360" w:lineRule="auto"/>
        <w:jc w:val="both"/>
        <w:rPr>
          <w:sz w:val="24"/>
          <w:szCs w:val="24"/>
          <w:lang w:eastAsia="ja-JP"/>
        </w:rPr>
      </w:pPr>
    </w:p>
    <w:p w14:paraId="6017BBA3" w14:textId="77777777" w:rsidR="003B6702" w:rsidRPr="00125EF4" w:rsidRDefault="003B6702" w:rsidP="003B6702">
      <w:pPr>
        <w:spacing w:line="360" w:lineRule="auto"/>
        <w:jc w:val="both"/>
        <w:rPr>
          <w:sz w:val="24"/>
          <w:lang w:val="en-GB" w:eastAsia="ja-JP"/>
        </w:rPr>
      </w:pPr>
      <w:r w:rsidRPr="00125EF4">
        <w:rPr>
          <w:sz w:val="24"/>
          <w:lang w:eastAsia="ja-JP"/>
        </w:rPr>
        <w:t xml:space="preserve">In the first general session of the meeting, Rashmi Murthy </w:t>
      </w:r>
      <w:r w:rsidRPr="00125EF4">
        <w:rPr>
          <w:lang w:eastAsia="ja-JP"/>
        </w:rPr>
        <w:t>[MD Anderson Cancer Centre, Houston, Tx]</w:t>
      </w:r>
      <w:r w:rsidRPr="00125EF4">
        <w:rPr>
          <w:sz w:val="24"/>
          <w:lang w:eastAsia="ja-JP"/>
        </w:rPr>
        <w:t xml:space="preserve"> </w:t>
      </w:r>
      <w:r w:rsidRPr="00125EF4">
        <w:rPr>
          <w:sz w:val="24"/>
          <w:lang w:val="en-GB" w:eastAsia="ja-JP"/>
        </w:rPr>
        <w:t xml:space="preserve">emphasized that no single therapy represents standard of care for HER2 positive MBC patients previously exposed to trastuzumab, pertuzumab and T-DM1. </w:t>
      </w:r>
      <w:r w:rsidRPr="00125EF4">
        <w:rPr>
          <w:sz w:val="24"/>
          <w:lang w:eastAsia="ja-JP"/>
        </w:rPr>
        <w:t>Up to half of HER2 positive stage IV patients now develop brain metastases as survival is prolonged, although this group of patients are often excluded from clinical trials.</w:t>
      </w:r>
      <w:r w:rsidRPr="00125EF4">
        <w:rPr>
          <w:sz w:val="24"/>
          <w:lang w:val="en-GB" w:eastAsia="ja-JP"/>
        </w:rPr>
        <w:t xml:space="preserve"> The </w:t>
      </w:r>
      <w:r w:rsidRPr="00125EF4">
        <w:rPr>
          <w:sz w:val="24"/>
          <w:lang w:eastAsia="ja-JP"/>
        </w:rPr>
        <w:t xml:space="preserve">HER2CLIMB study investigated the clinical efficacy of an oral tyrosine kinase inhibitor (TKI) in patients with untreated or previously treated brain metastases. Tucatinib is an investigational TKI that is highly selective for the intracellular kinase domain of the HER2 receptor </w:t>
      </w:r>
      <w:r w:rsidRPr="00125EF4">
        <w:rPr>
          <w:sz w:val="24"/>
          <w:szCs w:val="22"/>
          <w:lang w:eastAsia="ja-JP"/>
        </w:rPr>
        <w:t>(Figure 1)</w:t>
      </w:r>
      <w:r w:rsidRPr="00125EF4">
        <w:rPr>
          <w:sz w:val="24"/>
          <w:lang w:eastAsia="ja-JP"/>
        </w:rPr>
        <w:t xml:space="preserve">. More than 600 patients were randomized in a double-blind placebo controlled, active comparator trial and received either tucatinib or placebo in combination with trastuzumab and capecitabine. Approximately half of these trial patients had brain metastases that were previously treated and stable or in the case of untreated or progressive lesions not mandating immediate local treatment intervention. </w:t>
      </w:r>
      <w:r w:rsidRPr="00125EF4">
        <w:rPr>
          <w:sz w:val="24"/>
          <w:lang w:val="en-GB" w:eastAsia="ja-JP"/>
        </w:rPr>
        <w:t xml:space="preserve">Of note, tucatinib was </w:t>
      </w:r>
      <w:r w:rsidRPr="00125EF4">
        <w:rPr>
          <w:sz w:val="24"/>
          <w:lang w:eastAsia="ja-JP"/>
        </w:rPr>
        <w:t>generally well tolerated when combined with both trastuzuamb and capecitabine with low-grade adverse effects manifested in a small proportion of patients. The observed objective response rate increased from 23% to 41% across all subgroups with an overall reduction in risk of death by one-third</w:t>
      </w:r>
      <w:r w:rsidRPr="00125EF4">
        <w:rPr>
          <w:bCs/>
          <w:sz w:val="24"/>
          <w:lang w:eastAsia="ja-JP"/>
        </w:rPr>
        <w:t xml:space="preserve"> </w:t>
      </w:r>
      <w:r w:rsidRPr="00125EF4">
        <w:rPr>
          <w:sz w:val="24"/>
          <w:lang w:eastAsia="ja-JP"/>
        </w:rPr>
        <w:t>and risk of progression or death by half in the TKI arm. There was an increase in overall survival of 4.5 months from 17.4 months to 21.9 months and for those patients with brain metastases the median progression-free survival increased from 5.4 to 7.6 months. It was commented that HER2CLIMB is the ‘</w:t>
      </w:r>
      <w:r w:rsidRPr="00125EF4">
        <w:rPr>
          <w:i/>
          <w:iCs/>
          <w:sz w:val="24"/>
          <w:lang w:eastAsia="ja-JP"/>
        </w:rPr>
        <w:t>most exciting study presented today</w:t>
      </w:r>
      <w:r w:rsidRPr="00125EF4">
        <w:rPr>
          <w:sz w:val="24"/>
          <w:lang w:eastAsia="ja-JP"/>
        </w:rPr>
        <w:t>’ with the potential for tucatinib to become a new standard of care</w:t>
      </w:r>
      <w:r w:rsidRPr="00125EF4">
        <w:rPr>
          <w:bCs/>
          <w:sz w:val="24"/>
          <w:lang w:eastAsia="ja-JP"/>
        </w:rPr>
        <w:t xml:space="preserve"> </w:t>
      </w:r>
      <w:r w:rsidRPr="00125EF4">
        <w:rPr>
          <w:sz w:val="24"/>
          <w:lang w:eastAsia="ja-JP"/>
        </w:rPr>
        <w:t xml:space="preserve">in HER2 positive MBC populations </w:t>
      </w:r>
      <w:r w:rsidRPr="00125EF4">
        <w:rPr>
          <w:i/>
          <w:iCs/>
          <w:sz w:val="24"/>
          <w:lang w:eastAsia="ja-JP"/>
        </w:rPr>
        <w:t>with</w:t>
      </w:r>
      <w:r w:rsidRPr="00125EF4">
        <w:rPr>
          <w:sz w:val="24"/>
          <w:lang w:eastAsia="ja-JP"/>
        </w:rPr>
        <w:t xml:space="preserve"> and </w:t>
      </w:r>
      <w:r w:rsidRPr="00125EF4">
        <w:rPr>
          <w:i/>
          <w:iCs/>
          <w:sz w:val="24"/>
          <w:lang w:eastAsia="ja-JP"/>
        </w:rPr>
        <w:t>without</w:t>
      </w:r>
      <w:r w:rsidRPr="00125EF4">
        <w:rPr>
          <w:sz w:val="24"/>
          <w:lang w:eastAsia="ja-JP"/>
        </w:rPr>
        <w:t xml:space="preserve"> brain metastases. Equally exciting were results from the DESTINY-Breast01 study presented by Ian Krop [</w:t>
      </w:r>
      <w:r w:rsidRPr="00125EF4">
        <w:rPr>
          <w:sz w:val="24"/>
          <w:szCs w:val="22"/>
          <w:lang w:eastAsia="ja-JP"/>
        </w:rPr>
        <w:t>Dana Farber Cancer Institute, MA, USA]</w:t>
      </w:r>
      <w:r w:rsidRPr="00125EF4">
        <w:rPr>
          <w:sz w:val="24"/>
          <w:lang w:eastAsia="ja-JP"/>
        </w:rPr>
        <w:t xml:space="preserve"> in the same session. This o</w:t>
      </w:r>
      <w:r w:rsidRPr="00125EF4">
        <w:rPr>
          <w:sz w:val="24"/>
          <w:lang w:val="en-GB" w:eastAsia="ja-JP"/>
        </w:rPr>
        <w:t xml:space="preserve">pen-label phase II multi-centre trial evaluated the drug conjugate T-DXd that is designed to deliver an optimal anti-tumour effect and has a different cytotoxic payload to T-DM1. </w:t>
      </w:r>
      <w:proofErr w:type="gramStart"/>
      <w:r w:rsidRPr="00125EF4">
        <w:rPr>
          <w:sz w:val="24"/>
          <w:lang w:val="en-GB" w:eastAsia="ja-JP"/>
        </w:rPr>
        <w:t>Thus</w:t>
      </w:r>
      <w:proofErr w:type="gramEnd"/>
      <w:r w:rsidRPr="00125EF4">
        <w:rPr>
          <w:sz w:val="24"/>
          <w:lang w:val="en-GB" w:eastAsia="ja-JP"/>
        </w:rPr>
        <w:t xml:space="preserve"> whilst T-DM1 is a microtubule inhibitor conjugate, T-DXd is a potent topoisomerase I inhibitor and tumours may be less likely to develop resistance. This trial of T-DXd recruited </w:t>
      </w:r>
      <w:r w:rsidRPr="00125EF4">
        <w:rPr>
          <w:sz w:val="24"/>
          <w:lang w:eastAsia="ja-JP"/>
        </w:rPr>
        <w:t xml:space="preserve">253 patients with either unresectable or MBC </w:t>
      </w:r>
      <w:r w:rsidRPr="00125EF4">
        <w:rPr>
          <w:sz w:val="24"/>
          <w:lang w:val="en-GB" w:eastAsia="ja-JP"/>
        </w:rPr>
        <w:t>(or both) and prior treatment with T-DM1. C</w:t>
      </w:r>
      <w:r w:rsidRPr="00125EF4">
        <w:rPr>
          <w:sz w:val="24"/>
          <w:lang w:eastAsia="ja-JP"/>
        </w:rPr>
        <w:t xml:space="preserve">onfirmation of HER2 status on central archival tissue was essential and brain metastases were not an exclusion </w:t>
      </w:r>
      <w:proofErr w:type="gramStart"/>
      <w:r w:rsidRPr="00125EF4">
        <w:rPr>
          <w:sz w:val="24"/>
          <w:lang w:eastAsia="ja-JP"/>
        </w:rPr>
        <w:t>criteria</w:t>
      </w:r>
      <w:proofErr w:type="gramEnd"/>
      <w:r w:rsidRPr="00125EF4">
        <w:rPr>
          <w:sz w:val="24"/>
          <w:lang w:eastAsia="ja-JP"/>
        </w:rPr>
        <w:t xml:space="preserve">. A relatively high objective response rate of 61% (112/184 patients) was noted with an increase in median progression-free survival of 19 months that is 2 – </w:t>
      </w:r>
      <w:proofErr w:type="gramStart"/>
      <w:r w:rsidRPr="00125EF4">
        <w:rPr>
          <w:sz w:val="24"/>
          <w:lang w:eastAsia="ja-JP"/>
        </w:rPr>
        <w:t>3 fold</w:t>
      </w:r>
      <w:proofErr w:type="gramEnd"/>
      <w:r w:rsidRPr="00125EF4">
        <w:rPr>
          <w:sz w:val="24"/>
          <w:lang w:eastAsia="ja-JP"/>
        </w:rPr>
        <w:t xml:space="preserve"> greater than the usual period of 4 – 5 months. Furthermore, there was durable benefit in heavily pretreated patients</w:t>
      </w:r>
      <w:r w:rsidRPr="00125EF4">
        <w:rPr>
          <w:sz w:val="24"/>
          <w:lang w:val="en-GB" w:eastAsia="ja-JP"/>
        </w:rPr>
        <w:t xml:space="preserve"> with </w:t>
      </w:r>
      <w:r w:rsidRPr="00125EF4">
        <w:rPr>
          <w:sz w:val="24"/>
          <w:lang w:eastAsia="ja-JP"/>
        </w:rPr>
        <w:t>11 complete (6%) and 101 partial responses (54.9%).</w:t>
      </w:r>
      <w:r w:rsidRPr="00125EF4">
        <w:rPr>
          <w:sz w:val="24"/>
          <w:lang w:val="en-GB" w:eastAsia="ja-JP"/>
        </w:rPr>
        <w:t xml:space="preserve"> These preliminary data on a novel drug-conjugate </w:t>
      </w:r>
      <w:r w:rsidRPr="00125EF4">
        <w:rPr>
          <w:sz w:val="24"/>
          <w:lang w:val="en-GB" w:eastAsia="ja-JP"/>
        </w:rPr>
        <w:lastRenderedPageBreak/>
        <w:t xml:space="preserve">were </w:t>
      </w:r>
      <w:r w:rsidRPr="00125EF4">
        <w:rPr>
          <w:sz w:val="24"/>
          <w:lang w:eastAsia="ja-JP"/>
        </w:rPr>
        <w:t xml:space="preserve">described as </w:t>
      </w:r>
      <w:r w:rsidRPr="00125EF4">
        <w:rPr>
          <w:i/>
          <w:iCs/>
          <w:sz w:val="24"/>
          <w:lang w:val="en-GB" w:eastAsia="ja-JP"/>
        </w:rPr>
        <w:t>‘</w:t>
      </w:r>
      <w:r w:rsidRPr="00125EF4">
        <w:rPr>
          <w:i/>
          <w:iCs/>
          <w:sz w:val="24"/>
          <w:lang w:eastAsia="ja-JP"/>
        </w:rPr>
        <w:t>fantastic</w:t>
      </w:r>
      <w:r w:rsidRPr="00125EF4">
        <w:rPr>
          <w:i/>
          <w:iCs/>
          <w:sz w:val="24"/>
          <w:lang w:val="en-GB" w:eastAsia="ja-JP"/>
        </w:rPr>
        <w:t>’</w:t>
      </w:r>
      <w:r w:rsidRPr="00125EF4">
        <w:rPr>
          <w:sz w:val="24"/>
          <w:lang w:eastAsia="ja-JP"/>
        </w:rPr>
        <w:t xml:space="preserve"> by Carlos Arteaga [SABCS co-director]. However, </w:t>
      </w:r>
      <w:r w:rsidRPr="00125EF4">
        <w:rPr>
          <w:sz w:val="24"/>
          <w:lang w:val="en-GB" w:eastAsia="ja-JP"/>
        </w:rPr>
        <w:t xml:space="preserve">despite low-grade </w:t>
      </w:r>
      <w:r w:rsidRPr="00125EF4">
        <w:rPr>
          <w:iCs/>
          <w:sz w:val="24"/>
          <w:lang w:val="en-GB" w:eastAsia="ja-JP"/>
        </w:rPr>
        <w:t xml:space="preserve">adverse effects </w:t>
      </w:r>
      <w:r w:rsidRPr="00125EF4">
        <w:rPr>
          <w:sz w:val="24"/>
          <w:lang w:val="en-GB" w:eastAsia="ja-JP"/>
        </w:rPr>
        <w:t>there was notable occurrence of interstitial lung disease (ILD), some cases of which required corticosteroid treatment with 4 deaths recorded on trial.</w:t>
      </w:r>
    </w:p>
    <w:p w14:paraId="09864A23" w14:textId="77777777" w:rsidR="003B6702" w:rsidRPr="00125EF4" w:rsidRDefault="003B6702" w:rsidP="003B6702">
      <w:pPr>
        <w:spacing w:line="360" w:lineRule="auto"/>
        <w:jc w:val="both"/>
        <w:rPr>
          <w:sz w:val="24"/>
          <w:lang w:val="en-GB" w:eastAsia="ja-JP"/>
        </w:rPr>
      </w:pPr>
    </w:p>
    <w:p w14:paraId="7FD6E618" w14:textId="77777777" w:rsidR="003B6702" w:rsidRPr="00125EF4" w:rsidRDefault="003B6702" w:rsidP="003B6702">
      <w:pPr>
        <w:spacing w:line="360" w:lineRule="auto"/>
        <w:jc w:val="both"/>
        <w:rPr>
          <w:sz w:val="24"/>
          <w:lang w:val="en-GB" w:eastAsia="ja-JP"/>
        </w:rPr>
      </w:pPr>
      <w:r w:rsidRPr="00125EF4">
        <w:rPr>
          <w:sz w:val="24"/>
          <w:lang w:val="en-GB" w:eastAsia="ja-JP"/>
        </w:rPr>
        <w:t xml:space="preserve">Anti-HER2 strategies were further discussed in the Clinical Science Forum moderated by Sibylle Loibl </w:t>
      </w:r>
      <w:r w:rsidRPr="00384D81">
        <w:rPr>
          <w:szCs w:val="22"/>
          <w:lang w:val="en-GB" w:eastAsia="ja-JP"/>
        </w:rPr>
        <w:t>[German Breast Group, Frankfurt, Germany]</w:t>
      </w:r>
      <w:r w:rsidRPr="00125EF4">
        <w:rPr>
          <w:sz w:val="24"/>
          <w:lang w:val="en-GB" w:eastAsia="ja-JP"/>
        </w:rPr>
        <w:t xml:space="preserve"> who reminded the audience of the heterogeneity of HER2 receptor expression at both the protein and mRNA levels. Median survival for patients with HER2 positive disease has doubled in recent years with first line therapies based on trastuzumab and pertuzumab combined with a taxane. Second line treatment to date has involved the prototype drug conjugate T-DM1 whose mechanism of action relies on inhibition of microtubule formation. These agents combine antigen specificity with potent cytotoxic effects in a single molecule and T-DM1 benefits MBC previously treated with anti-HER2 therapies is an effective adjuvant agent following induction chemotherapy in HER2 positive patients [10]. Another example is the </w:t>
      </w:r>
      <w:proofErr w:type="gramStart"/>
      <w:r w:rsidRPr="00125EF4">
        <w:rPr>
          <w:sz w:val="24"/>
          <w:lang w:val="en-GB" w:eastAsia="ja-JP"/>
        </w:rPr>
        <w:t>aforementioned T-DXd</w:t>
      </w:r>
      <w:proofErr w:type="gramEnd"/>
      <w:r w:rsidRPr="00125EF4">
        <w:rPr>
          <w:sz w:val="24"/>
          <w:lang w:val="en-GB" w:eastAsia="ja-JP"/>
        </w:rPr>
        <w:t xml:space="preserve"> (DS-8201) that is especially effective in HER2 lower expressing tumours and achieved disease control in 97% of cases in the DESTINY-Breast01 trial. The latter provided compelling efficacy data with manageable toxicity provided patients are monitored for ILD.  Tyrosine kinase inhibitors are small molecules that can cross the blood-brain barrier and a pan-HER inhibitor (neratinib) has been investigated for HER2 positive MBC in the NALA trial [11].  Tucatinib is another TKI inhibitor that spares HER1 and consequently is associated with less gastrointestinal and cutaneous toxicity. This agent could be combined with T-DM1 to treat brain metastases that hitherto have not been impacted by adjuvant anti-HER2 therapies. </w:t>
      </w:r>
    </w:p>
    <w:p w14:paraId="72462E90" w14:textId="77777777" w:rsidR="003B6702" w:rsidRPr="00125EF4" w:rsidRDefault="003B6702" w:rsidP="003B6702">
      <w:pPr>
        <w:spacing w:line="360" w:lineRule="auto"/>
        <w:jc w:val="both"/>
        <w:rPr>
          <w:sz w:val="24"/>
          <w:lang w:val="en-GB" w:eastAsia="ja-JP"/>
        </w:rPr>
      </w:pPr>
    </w:p>
    <w:p w14:paraId="0975304B" w14:textId="77777777" w:rsidR="003B6702" w:rsidRPr="00125EF4" w:rsidRDefault="003B6702" w:rsidP="003B6702">
      <w:pPr>
        <w:spacing w:line="360" w:lineRule="auto"/>
        <w:jc w:val="both"/>
        <w:rPr>
          <w:sz w:val="24"/>
          <w:lang w:eastAsia="ja-JP"/>
        </w:rPr>
      </w:pPr>
      <w:r w:rsidRPr="00125EF4">
        <w:rPr>
          <w:sz w:val="24"/>
          <w:lang w:eastAsia="ja-JP"/>
        </w:rPr>
        <w:t>APHINITY (BIG 4-11) is a randomized multicentre trial comparing chemotherapy with either dual (trastuzumab plus pertuzumab) or single anti-HER2 therapy (trastuzumab) as adjuvant therapy in operable early stage HER2 positive breast cancer [12].</w:t>
      </w:r>
      <w:r w:rsidRPr="00125EF4">
        <w:rPr>
          <w:sz w:val="24"/>
          <w:lang w:val="en-GB" w:eastAsia="ja-JP"/>
        </w:rPr>
        <w:t xml:space="preserve"> This trial </w:t>
      </w:r>
      <w:r w:rsidRPr="00125EF4">
        <w:rPr>
          <w:sz w:val="24"/>
          <w:lang w:eastAsia="ja-JP"/>
        </w:rPr>
        <w:t xml:space="preserve">previously demonstrated a modest effect from addition of pertuzumab to trastuzumab as adjuvant targeted therapy with an increase of invasive disease-free survival from 90.6% to 92.3% with benefit mainly for node positive or hormone receptor negative disease. </w:t>
      </w:r>
      <w:r w:rsidRPr="00125EF4">
        <w:rPr>
          <w:sz w:val="24"/>
          <w:lang w:val="en-GB" w:eastAsia="ja-JP"/>
        </w:rPr>
        <w:t xml:space="preserve">Nonetheless, despite these small absolute gains from dual treatment, there was a </w:t>
      </w:r>
      <w:r w:rsidRPr="00125EF4">
        <w:rPr>
          <w:sz w:val="24"/>
          <w:lang w:eastAsia="ja-JP"/>
        </w:rPr>
        <w:t xml:space="preserve">statistically significant improvement for invasive </w:t>
      </w:r>
      <w:proofErr w:type="gramStart"/>
      <w:r w:rsidRPr="00125EF4">
        <w:rPr>
          <w:sz w:val="24"/>
          <w:lang w:eastAsia="ja-JP"/>
        </w:rPr>
        <w:t>disease free</w:t>
      </w:r>
      <w:proofErr w:type="gramEnd"/>
      <w:r w:rsidRPr="00125EF4">
        <w:rPr>
          <w:sz w:val="24"/>
          <w:lang w:eastAsia="ja-JP"/>
        </w:rPr>
        <w:t xml:space="preserve"> survival at interim analysis with a median follow up of 45.4 months. Martine Piccard </w:t>
      </w:r>
      <w:r w:rsidRPr="00125EF4">
        <w:rPr>
          <w:sz w:val="24"/>
          <w:szCs w:val="22"/>
          <w:lang w:eastAsia="ja-JP"/>
        </w:rPr>
        <w:t xml:space="preserve">[Jules Bordet Institute, Brussels, Belgium] </w:t>
      </w:r>
      <w:r w:rsidRPr="00125EF4">
        <w:rPr>
          <w:sz w:val="24"/>
          <w:lang w:eastAsia="ja-JP"/>
        </w:rPr>
        <w:t>presented an updated</w:t>
      </w:r>
      <w:r w:rsidRPr="00125EF4">
        <w:rPr>
          <w:bCs/>
          <w:sz w:val="24"/>
          <w:lang w:eastAsia="ja-JP"/>
        </w:rPr>
        <w:t xml:space="preserve"> </w:t>
      </w:r>
      <w:r w:rsidRPr="00125EF4">
        <w:rPr>
          <w:sz w:val="24"/>
          <w:lang w:eastAsia="ja-JP"/>
        </w:rPr>
        <w:t xml:space="preserve">analysis of trial data at 6 years follow up (74.1 months) and confirmed there was a continued reduction in risk of recurrence and death amongst these HER2 positive patients. Significant fewer events occurred in the pertuzumab group (n = 221) compared with placebo (n = 287) [HR 0.85 (p-value = ns)] </w:t>
      </w:r>
      <w:r w:rsidRPr="00125EF4">
        <w:rPr>
          <w:sz w:val="24"/>
          <w:lang w:eastAsia="ja-JP"/>
        </w:rPr>
        <w:lastRenderedPageBreak/>
        <w:t xml:space="preserve">and the overall absolute benefit from dual anti-HER2 therapy was 2.8%. Benefits from addition of pertuzumab were proportionately much greater for node positive patients for whom the absolute benefit was 4.5%. It was emphasized that although no gain in sruvival was seen for node negative patients, this group nonetheless had an impressive overall survival of 95%. About 10% of patients discontinued pertuzumab due to troublesome diarrhoea.  </w:t>
      </w:r>
    </w:p>
    <w:p w14:paraId="6FCA68F6" w14:textId="77777777" w:rsidR="003B6702" w:rsidRPr="00125EF4" w:rsidRDefault="003B6702" w:rsidP="003B6702">
      <w:pPr>
        <w:spacing w:line="360" w:lineRule="auto"/>
        <w:jc w:val="both"/>
        <w:rPr>
          <w:sz w:val="24"/>
          <w:lang w:eastAsia="ja-JP"/>
        </w:rPr>
      </w:pPr>
    </w:p>
    <w:p w14:paraId="43299CA7" w14:textId="77777777" w:rsidR="003B6702" w:rsidRPr="00384D81" w:rsidRDefault="003B6702" w:rsidP="003B6702">
      <w:pPr>
        <w:spacing w:line="360" w:lineRule="auto"/>
        <w:jc w:val="both"/>
        <w:rPr>
          <w:sz w:val="24"/>
          <w:u w:val="single"/>
          <w:lang w:eastAsia="ja-JP"/>
        </w:rPr>
      </w:pPr>
      <w:r w:rsidRPr="00384D81">
        <w:rPr>
          <w:sz w:val="24"/>
          <w:u w:val="single"/>
          <w:lang w:eastAsia="ja-JP"/>
        </w:rPr>
        <w:t>Immunotherapy with checkpoint inhibitors</w:t>
      </w:r>
    </w:p>
    <w:p w14:paraId="2E6B931A" w14:textId="77777777" w:rsidR="003B6702" w:rsidRPr="00125EF4" w:rsidRDefault="003B6702" w:rsidP="003B6702">
      <w:pPr>
        <w:spacing w:line="360" w:lineRule="auto"/>
        <w:jc w:val="both"/>
        <w:rPr>
          <w:sz w:val="24"/>
          <w:lang w:eastAsia="ja-JP"/>
        </w:rPr>
      </w:pPr>
      <w:r w:rsidRPr="00125EF4">
        <w:rPr>
          <w:sz w:val="24"/>
          <w:lang w:eastAsia="ja-JP"/>
        </w:rPr>
        <w:t xml:space="preserve">Previous phase 1 and II studies have evaluated the combination of a checkpoint inhibitor (pembrolizumab) with chemotherapy as neoadjuvant therapy for locally advanced forms of TNBC. These have consistently demonstrated enhanced anti-tumor efficacy with a manageable side-effect profile. Keynote-522 is a randomised study of pembrolizumab versus placebo plus chemotherapy as a neoadjuvant schedule, followed by pembrolizumab vs placebo as adjuvant treatment for early triple-negative breast cancer (n= 1174) </w:t>
      </w:r>
      <w:r w:rsidRPr="00125EF4">
        <w:rPr>
          <w:sz w:val="24"/>
          <w:szCs w:val="22"/>
          <w:lang w:eastAsia="ja-JP"/>
        </w:rPr>
        <w:t>(Figure 2)</w:t>
      </w:r>
      <w:r w:rsidRPr="00125EF4">
        <w:rPr>
          <w:sz w:val="24"/>
          <w:lang w:eastAsia="ja-JP"/>
        </w:rPr>
        <w:t>.</w:t>
      </w:r>
      <w:r w:rsidRPr="00125EF4">
        <w:rPr>
          <w:sz w:val="24"/>
          <w:lang w:val="en-GB" w:eastAsia="ja-JP"/>
        </w:rPr>
        <w:t xml:space="preserve"> Peter Schmidt </w:t>
      </w:r>
      <w:r w:rsidRPr="00384D81">
        <w:rPr>
          <w:szCs w:val="22"/>
          <w:lang w:val="en-GB" w:eastAsia="ja-JP"/>
        </w:rPr>
        <w:t>[Barts Cancer Institute, London, UK]</w:t>
      </w:r>
      <w:r w:rsidRPr="00125EF4">
        <w:rPr>
          <w:sz w:val="24"/>
          <w:lang w:val="en-GB" w:eastAsia="ja-JP"/>
        </w:rPr>
        <w:t xml:space="preserve"> presented results of this trial that showed s</w:t>
      </w:r>
      <w:r w:rsidRPr="00125EF4">
        <w:rPr>
          <w:sz w:val="24"/>
          <w:lang w:eastAsia="ja-JP"/>
        </w:rPr>
        <w:t xml:space="preserve">ignificant improvement in rates of pCR from the addition of pembrolizumab to standard chemotherapy (difference in pCR = 13.6%; 64.8% v 51.2%; 9p=0.0050). Interestingly, the response to immunotherapy was not confined to PD-L1 positive tumours and significant benefit was observed for PD-L1 negative tumours.  The extent of immune infiltration by lymphocytes in TNBC is related to prognosis and reflected by expression of PD-L1 [14]. Hence PD-1/PD-L1 blockade should enhance response to chemotherapy through immune modulation in those patients with PD-L1 positive tumours. Schmidt surmised that due to innate plasticity of tumours, some might change from being PD-L1 negative at presentation with conversion to positivity after commencement of immunotherapy. </w:t>
      </w:r>
      <w:r w:rsidRPr="00125EF4">
        <w:rPr>
          <w:sz w:val="24"/>
          <w:lang w:val="en-GB" w:eastAsia="ja-JP"/>
        </w:rPr>
        <w:t xml:space="preserve">A </w:t>
      </w:r>
      <w:r w:rsidRPr="00125EF4">
        <w:rPr>
          <w:sz w:val="24"/>
          <w:lang w:eastAsia="ja-JP"/>
        </w:rPr>
        <w:t>subgroup analysis of patients with lymph node involvement (approximately 50%) revealed an even greater difference in pCR for pembrolizumab plus chemotherapy (64.8%)</w:t>
      </w:r>
      <w:r w:rsidRPr="00125EF4">
        <w:rPr>
          <w:sz w:val="24"/>
          <w:lang w:val="en-GB" w:eastAsia="ja-JP"/>
        </w:rPr>
        <w:t xml:space="preserve"> compared with </w:t>
      </w:r>
      <w:r w:rsidRPr="00125EF4">
        <w:rPr>
          <w:sz w:val="24"/>
          <w:lang w:eastAsia="ja-JP"/>
        </w:rPr>
        <w:t xml:space="preserve">placebo plus chemotherapy (44.1%). Furthermore, rates of response appear higher for patients with stage III disease and it was recommended that immunotherapy be considered for patients with more aggressive disease – whether this be TNBC or otherwise. Schmidt reiterated that tumours are functionally dynamic in the early stages of carcinogenesis </w:t>
      </w:r>
      <w:r w:rsidRPr="00125EF4">
        <w:rPr>
          <w:sz w:val="24"/>
          <w:lang w:val="en-GB" w:eastAsia="ja-JP"/>
        </w:rPr>
        <w:t xml:space="preserve">when </w:t>
      </w:r>
      <w:r w:rsidRPr="00125EF4">
        <w:rPr>
          <w:sz w:val="24"/>
          <w:lang w:eastAsia="ja-JP"/>
        </w:rPr>
        <w:t xml:space="preserve">immune cells can </w:t>
      </w:r>
      <w:proofErr w:type="gramStart"/>
      <w:r w:rsidRPr="00125EF4">
        <w:rPr>
          <w:sz w:val="24"/>
          <w:lang w:eastAsia="ja-JP"/>
        </w:rPr>
        <w:t>penetrate into</w:t>
      </w:r>
      <w:proofErr w:type="gramEnd"/>
      <w:r w:rsidRPr="00125EF4">
        <w:rPr>
          <w:sz w:val="24"/>
          <w:lang w:eastAsia="ja-JP"/>
        </w:rPr>
        <w:t xml:space="preserve"> the tumour bolus more readily. It is imperative that adequate numbers of immune cells be present and activated within a tumour in order to effectively kill cancer cells. Kent Osborne </w:t>
      </w:r>
      <w:r w:rsidRPr="00125EF4">
        <w:rPr>
          <w:sz w:val="24"/>
          <w:szCs w:val="22"/>
          <w:lang w:eastAsia="ja-JP"/>
        </w:rPr>
        <w:t>[Director SABCS]</w:t>
      </w:r>
      <w:r w:rsidRPr="00125EF4">
        <w:rPr>
          <w:sz w:val="24"/>
          <w:lang w:eastAsia="ja-JP"/>
        </w:rPr>
        <w:t xml:space="preserve"> stated that use of immunotherapy remained ‘</w:t>
      </w:r>
      <w:r w:rsidRPr="00125EF4">
        <w:rPr>
          <w:i/>
          <w:iCs/>
          <w:sz w:val="24"/>
          <w:lang w:eastAsia="ja-JP"/>
        </w:rPr>
        <w:t>in its infancy</w:t>
      </w:r>
      <w:r w:rsidRPr="00125EF4">
        <w:rPr>
          <w:sz w:val="24"/>
          <w:lang w:eastAsia="ja-JP"/>
        </w:rPr>
        <w:t xml:space="preserve">’ for breast cancer patients but results to-date are intriguing.  In contrast to Keynote-522, another study of similar design </w:t>
      </w:r>
      <w:r w:rsidRPr="00125EF4">
        <w:rPr>
          <w:i/>
          <w:iCs/>
          <w:sz w:val="24"/>
          <w:lang w:eastAsia="ja-JP"/>
        </w:rPr>
        <w:t>prima facie</w:t>
      </w:r>
      <w:r w:rsidRPr="00125EF4">
        <w:rPr>
          <w:sz w:val="24"/>
          <w:lang w:eastAsia="ja-JP"/>
        </w:rPr>
        <w:t xml:space="preserve"> showed no benefit from addition of an immune checkpoint inhibitor. Luco Gianni </w:t>
      </w:r>
      <w:r w:rsidRPr="00384D81">
        <w:rPr>
          <w:szCs w:val="22"/>
          <w:lang w:eastAsia="ja-JP"/>
        </w:rPr>
        <w:t>[Milan, Italy]</w:t>
      </w:r>
      <w:r w:rsidRPr="00125EF4">
        <w:rPr>
          <w:sz w:val="24"/>
          <w:lang w:eastAsia="ja-JP"/>
        </w:rPr>
        <w:t xml:space="preserve"> reported results from the NeoTRIP study that evaluated addition of a different checkpoint inhibitor (atezolizumab) to </w:t>
      </w:r>
      <w:r w:rsidRPr="00125EF4">
        <w:rPr>
          <w:sz w:val="24"/>
          <w:lang w:eastAsia="ja-JP"/>
        </w:rPr>
        <w:lastRenderedPageBreak/>
        <w:t xml:space="preserve">chemotherapy in a seemingly similar group of TNBC patients. This Italian trial found no difference in rates of pCR between immunotherapy (43.5% </w:t>
      </w:r>
      <w:r w:rsidRPr="00125EF4">
        <w:rPr>
          <w:sz w:val="24"/>
          <w:szCs w:val="22"/>
          <w:lang w:eastAsia="ja-JP"/>
        </w:rPr>
        <w:t>(95% CI 35.1 – 52.2)</w:t>
      </w:r>
      <w:r w:rsidRPr="00125EF4">
        <w:rPr>
          <w:sz w:val="24"/>
          <w:lang w:eastAsia="ja-JP"/>
        </w:rPr>
        <w:t xml:space="preserve">) and placebo (40.8% </w:t>
      </w:r>
      <w:r w:rsidRPr="00125EF4">
        <w:rPr>
          <w:sz w:val="24"/>
          <w:szCs w:val="22"/>
          <w:lang w:eastAsia="ja-JP"/>
        </w:rPr>
        <w:t>(95% CI 32.7 – 49.4)</w:t>
      </w:r>
      <w:r w:rsidRPr="00125EF4">
        <w:rPr>
          <w:sz w:val="24"/>
          <w:lang w:eastAsia="ja-JP"/>
        </w:rPr>
        <w:t xml:space="preserve">) groups (p=0.66). However, although this trial also recruited higher stage patients, the precise selection criteria varied from Keynote-522. Moreover, PDL1 may not necessarily be the best predictor of response to immunotherapy and potential </w:t>
      </w:r>
      <w:proofErr w:type="gramStart"/>
      <w:r w:rsidRPr="00125EF4">
        <w:rPr>
          <w:sz w:val="24"/>
          <w:lang w:eastAsia="ja-JP"/>
        </w:rPr>
        <w:t>long term</w:t>
      </w:r>
      <w:proofErr w:type="gramEnd"/>
      <w:r w:rsidRPr="00125EF4">
        <w:rPr>
          <w:sz w:val="24"/>
          <w:lang w:eastAsia="ja-JP"/>
        </w:rPr>
        <w:t xml:space="preserve"> toxicity (including ‘financial toxicity’) should be considered. </w:t>
      </w:r>
    </w:p>
    <w:p w14:paraId="6FF71D84" w14:textId="77777777" w:rsidR="003B6702" w:rsidRPr="00125EF4" w:rsidRDefault="003B6702" w:rsidP="003B6702">
      <w:pPr>
        <w:spacing w:line="360" w:lineRule="auto"/>
        <w:jc w:val="both"/>
        <w:rPr>
          <w:sz w:val="24"/>
          <w:lang w:eastAsia="ja-JP"/>
        </w:rPr>
      </w:pPr>
    </w:p>
    <w:p w14:paraId="76343F52" w14:textId="77777777" w:rsidR="003B6702" w:rsidRDefault="003B6702" w:rsidP="003B6702">
      <w:pPr>
        <w:spacing w:line="360" w:lineRule="auto"/>
        <w:jc w:val="both"/>
        <w:rPr>
          <w:lang w:eastAsia="ja-JP"/>
        </w:rPr>
      </w:pPr>
      <w:r>
        <w:rPr>
          <w:sz w:val="24"/>
          <w:szCs w:val="24"/>
          <w:lang w:eastAsia="ja-JP"/>
        </w:rPr>
        <w:t xml:space="preserve">The SABCS 2019 featured work of many investigators not mentioned above but who have worked diligently to reduce to the burden of breast cancer. More importantly, the symposium continues to demonstrate the courage of thousands of women around the world who have participated in clinical trials and contributed to advances in the field of both clinical and translational research. International collaboration will aid identification of biomarkers of response and help select those patients who benefit most from systemic interventions whilst allowing </w:t>
      </w:r>
      <w:proofErr w:type="gramStart"/>
      <w:r>
        <w:rPr>
          <w:sz w:val="24"/>
          <w:szCs w:val="24"/>
          <w:lang w:eastAsia="ja-JP"/>
        </w:rPr>
        <w:t>less</w:t>
      </w:r>
      <w:proofErr w:type="gramEnd"/>
      <w:r>
        <w:rPr>
          <w:sz w:val="24"/>
          <w:szCs w:val="24"/>
          <w:lang w:eastAsia="ja-JP"/>
        </w:rPr>
        <w:t xml:space="preserve"> intensive therapies in others with concomitant reduction of adverse side-effects and improved quality of life. This strategy of de-escalation applies to both systemic and loco-regional treatments with surgery and radiotherapy, but robust data on clinical outcomes is essential before lesser forms of treatment become standard of care.  </w:t>
      </w:r>
    </w:p>
    <w:p w14:paraId="4D6E1C0F" w14:textId="77777777" w:rsidR="003B6702" w:rsidRDefault="003B6702" w:rsidP="003B6702">
      <w:pPr>
        <w:spacing w:line="360" w:lineRule="auto"/>
        <w:jc w:val="both"/>
        <w:rPr>
          <w:lang w:eastAsia="ja-JP"/>
        </w:rPr>
      </w:pPr>
    </w:p>
    <w:p w14:paraId="14373B40" w14:textId="77777777" w:rsidR="003B6702" w:rsidRPr="00125EF4" w:rsidRDefault="003B6702" w:rsidP="003B6702">
      <w:pPr>
        <w:spacing w:line="360" w:lineRule="auto"/>
        <w:jc w:val="both"/>
        <w:rPr>
          <w:sz w:val="24"/>
          <w:lang w:val="en-GB" w:eastAsia="ja-JP"/>
        </w:rPr>
      </w:pPr>
    </w:p>
    <w:p w14:paraId="25E8CAE3" w14:textId="77777777" w:rsidR="003B6702" w:rsidRPr="00125EF4" w:rsidRDefault="003B6702" w:rsidP="003B6702">
      <w:pPr>
        <w:spacing w:line="360" w:lineRule="auto"/>
        <w:jc w:val="both"/>
        <w:rPr>
          <w:sz w:val="24"/>
          <w:szCs w:val="28"/>
          <w:lang w:eastAsia="ja-JP"/>
        </w:rPr>
      </w:pPr>
    </w:p>
    <w:p w14:paraId="6EBC28A0" w14:textId="77777777" w:rsidR="003B6702" w:rsidRPr="00384D81" w:rsidRDefault="003B6702" w:rsidP="003B6702">
      <w:pPr>
        <w:spacing w:line="360" w:lineRule="auto"/>
        <w:jc w:val="both"/>
        <w:rPr>
          <w:sz w:val="18"/>
          <w:szCs w:val="18"/>
          <w:lang w:eastAsia="ja-JP"/>
        </w:rPr>
      </w:pPr>
      <w:r>
        <w:rPr>
          <w:u w:val="single"/>
          <w:lang w:val="en-GB" w:eastAsia="ja-JP"/>
        </w:rPr>
        <w:t>References</w:t>
      </w:r>
    </w:p>
    <w:p w14:paraId="436F6AE0" w14:textId="77777777" w:rsidR="003B6702" w:rsidRPr="00384D81" w:rsidRDefault="003B6702" w:rsidP="003B6702">
      <w:pPr>
        <w:pStyle w:val="Paragrafoelenco"/>
        <w:numPr>
          <w:ilvl w:val="0"/>
          <w:numId w:val="41"/>
        </w:numPr>
        <w:jc w:val="both"/>
        <w:rPr>
          <w:color w:val="000000"/>
          <w:sz w:val="18"/>
          <w:szCs w:val="18"/>
          <w:lang w:eastAsia="ja-JP"/>
        </w:rPr>
      </w:pPr>
      <w:r w:rsidRPr="00384D81">
        <w:rPr>
          <w:sz w:val="18"/>
          <w:lang w:eastAsia="ja-JP"/>
        </w:rPr>
        <w:t>Benson JR, Jatoi I.  Extended endocrine therapy in early breast cancer: how long and for whom? Future Oncol 2020;</w:t>
      </w:r>
      <w:r w:rsidRPr="00384D81">
        <w:rPr>
          <w:sz w:val="18"/>
          <w:lang w:eastAsia="ja-JP"/>
        </w:rPr>
        <w:tab/>
        <w:t>15(11): 1193 - 119</w:t>
      </w:r>
    </w:p>
    <w:p w14:paraId="2463EAD1" w14:textId="77777777" w:rsidR="003B6702" w:rsidRPr="00384D81" w:rsidRDefault="003B6702" w:rsidP="003B6702">
      <w:pPr>
        <w:pStyle w:val="Paragrafoelenco"/>
        <w:numPr>
          <w:ilvl w:val="0"/>
          <w:numId w:val="41"/>
        </w:numPr>
        <w:jc w:val="both"/>
        <w:rPr>
          <w:color w:val="000000"/>
          <w:sz w:val="18"/>
          <w:szCs w:val="18"/>
          <w:lang w:eastAsia="ja-JP"/>
        </w:rPr>
      </w:pPr>
      <w:r w:rsidRPr="00384D81">
        <w:rPr>
          <w:color w:val="000000"/>
          <w:sz w:val="18"/>
          <w:szCs w:val="18"/>
        </w:rPr>
        <w:t>Mamounas E, Bandos H, Lembersky B, et al. Use of letrozole after aromatase inhibitor-based therapy in post-menopausal breast cancer (NRG Oncology/NSABP B-42): a randomized, double blind placebo controlled, phase 3 trial. Lancet 2019; 20(1): 88 – 99</w:t>
      </w:r>
    </w:p>
    <w:p w14:paraId="28342CCB" w14:textId="77777777" w:rsidR="003B6702" w:rsidRPr="00384D81" w:rsidRDefault="003B6702" w:rsidP="003B6702">
      <w:pPr>
        <w:pStyle w:val="Paragrafoelenco"/>
        <w:numPr>
          <w:ilvl w:val="0"/>
          <w:numId w:val="41"/>
        </w:numPr>
        <w:jc w:val="both"/>
        <w:rPr>
          <w:color w:val="000000"/>
          <w:sz w:val="18"/>
          <w:szCs w:val="18"/>
          <w:lang w:eastAsia="ja-JP"/>
        </w:rPr>
      </w:pPr>
      <w:r w:rsidRPr="00384D81">
        <w:rPr>
          <w:color w:val="000000"/>
          <w:sz w:val="18"/>
          <w:szCs w:val="18"/>
        </w:rPr>
        <w:t>Cuzik J, Sestak I, Forbes JF, et al. Use of anastrozole for breast cancer prevention (IBIS II): long term results of a randomised controlled trial. Lancet 2020; 395: 117 – 122</w:t>
      </w:r>
    </w:p>
    <w:p w14:paraId="74A72B8E" w14:textId="77777777" w:rsidR="003B6702" w:rsidRPr="00384D81" w:rsidRDefault="003B6702" w:rsidP="003B6702">
      <w:pPr>
        <w:pStyle w:val="Paragrafoelenco"/>
        <w:numPr>
          <w:ilvl w:val="0"/>
          <w:numId w:val="41"/>
        </w:numPr>
        <w:jc w:val="both"/>
        <w:rPr>
          <w:color w:val="000000"/>
          <w:sz w:val="18"/>
          <w:szCs w:val="18"/>
          <w:lang w:eastAsia="ja-JP"/>
        </w:rPr>
      </w:pPr>
      <w:r w:rsidRPr="00384D81">
        <w:rPr>
          <w:color w:val="000000"/>
          <w:sz w:val="18"/>
          <w:szCs w:val="18"/>
          <w:lang w:eastAsia="ja-JP"/>
        </w:rPr>
        <w:t>Masuda N, Lee S-J, Ohtani S, et al. Adjuvant capecitabine for breast cancer after pre-operative chemotherapy.  N Eng J Med 2017; 376: 2147 – 215</w:t>
      </w:r>
    </w:p>
    <w:p w14:paraId="4C3ECF2F" w14:textId="77777777" w:rsidR="003B6702" w:rsidRPr="00384D81" w:rsidRDefault="003B6702" w:rsidP="003B6702">
      <w:pPr>
        <w:jc w:val="both"/>
        <w:rPr>
          <w:sz w:val="18"/>
          <w:szCs w:val="24"/>
          <w:lang w:eastAsia="ja-JP"/>
        </w:rPr>
      </w:pPr>
      <w:r w:rsidRPr="00384D81">
        <w:rPr>
          <w:sz w:val="18"/>
          <w:szCs w:val="24"/>
          <w:lang w:eastAsia="ja-JP"/>
        </w:rPr>
        <w:t xml:space="preserve">        5)    Slamon DJ, Clark GM, Wong SG, et al.  Human breast cancer: correlation of relapse and survival with amplication of the HER</w:t>
      </w:r>
      <w:proofErr w:type="gramStart"/>
      <w:r w:rsidRPr="00384D81">
        <w:rPr>
          <w:sz w:val="18"/>
          <w:szCs w:val="24"/>
          <w:lang w:eastAsia="ja-JP"/>
        </w:rPr>
        <w:t xml:space="preserve">-  </w:t>
      </w:r>
      <w:r w:rsidRPr="00384D81">
        <w:rPr>
          <w:sz w:val="18"/>
          <w:szCs w:val="24"/>
          <w:lang w:eastAsia="ja-JP"/>
        </w:rPr>
        <w:tab/>
      </w:r>
      <w:proofErr w:type="gramEnd"/>
      <w:r w:rsidRPr="00384D81">
        <w:rPr>
          <w:sz w:val="18"/>
          <w:szCs w:val="24"/>
          <w:lang w:eastAsia="ja-JP"/>
        </w:rPr>
        <w:t>2/neu oncogene.   Science 1987; 235: 177 – 182</w:t>
      </w:r>
    </w:p>
    <w:p w14:paraId="209F2DCB" w14:textId="77777777" w:rsidR="003B6702" w:rsidRPr="00384D81" w:rsidRDefault="003B6702" w:rsidP="003B6702">
      <w:pPr>
        <w:jc w:val="both"/>
        <w:rPr>
          <w:sz w:val="18"/>
          <w:szCs w:val="24"/>
          <w:lang w:eastAsia="ja-JP"/>
        </w:rPr>
      </w:pPr>
      <w:r w:rsidRPr="00A05067">
        <w:rPr>
          <w:szCs w:val="24"/>
          <w:lang w:eastAsia="ja-JP"/>
        </w:rPr>
        <w:t xml:space="preserve">       6)   </w:t>
      </w:r>
      <w:r w:rsidRPr="00384D81">
        <w:rPr>
          <w:sz w:val="18"/>
          <w:szCs w:val="24"/>
          <w:lang w:eastAsia="ja-JP"/>
        </w:rPr>
        <w:t xml:space="preserve">Slamon DJ, Leyland-Jones B, Shak S, et al.  Use of chemotherapy plus a monoclonal antibody against HER2 for metastatic </w:t>
      </w:r>
      <w:proofErr w:type="gramStart"/>
      <w:r w:rsidRPr="00384D81">
        <w:rPr>
          <w:sz w:val="18"/>
          <w:szCs w:val="24"/>
          <w:lang w:eastAsia="ja-JP"/>
        </w:rPr>
        <w:t xml:space="preserve">breast  </w:t>
      </w:r>
      <w:r w:rsidRPr="00384D81">
        <w:rPr>
          <w:sz w:val="18"/>
          <w:szCs w:val="24"/>
          <w:lang w:eastAsia="ja-JP"/>
        </w:rPr>
        <w:tab/>
      </w:r>
      <w:proofErr w:type="gramEnd"/>
      <w:r w:rsidRPr="00384D81">
        <w:rPr>
          <w:sz w:val="18"/>
          <w:szCs w:val="24"/>
          <w:lang w:eastAsia="ja-JP"/>
        </w:rPr>
        <w:t>cancer overexpresses HER2.   N Eng J Med 2001; 344: 783 – 79</w:t>
      </w:r>
    </w:p>
    <w:p w14:paraId="15AC97EB" w14:textId="77777777" w:rsidR="003B6702" w:rsidRPr="00384D81" w:rsidRDefault="003B6702" w:rsidP="003B6702">
      <w:pPr>
        <w:jc w:val="both"/>
        <w:rPr>
          <w:sz w:val="18"/>
          <w:szCs w:val="18"/>
          <w:lang w:eastAsia="ja-JP"/>
        </w:rPr>
      </w:pPr>
      <w:r w:rsidRPr="00384D81">
        <w:rPr>
          <w:szCs w:val="24"/>
          <w:lang w:eastAsia="ja-JP"/>
        </w:rPr>
        <w:t xml:space="preserve">        7)   </w:t>
      </w:r>
      <w:r w:rsidRPr="00384D81">
        <w:rPr>
          <w:sz w:val="18"/>
          <w:szCs w:val="24"/>
          <w:lang w:eastAsia="ja-JP"/>
        </w:rPr>
        <w:t xml:space="preserve">Romond EH, Perez EA, Bryant J, et al. Trastuzumab plus adjuvant chemotherapy for operable HER2 positive breast cancer.    </w:t>
      </w:r>
      <w:r w:rsidRPr="00384D81">
        <w:rPr>
          <w:sz w:val="18"/>
          <w:szCs w:val="24"/>
          <w:lang w:eastAsia="ja-JP"/>
        </w:rPr>
        <w:tab/>
        <w:t xml:space="preserve"> </w:t>
      </w:r>
      <w:r w:rsidRPr="00384D81">
        <w:rPr>
          <w:sz w:val="18"/>
          <w:szCs w:val="24"/>
          <w:lang w:eastAsia="ja-JP"/>
        </w:rPr>
        <w:tab/>
        <w:t xml:space="preserve">NEng J Med </w:t>
      </w:r>
      <w:proofErr w:type="gramStart"/>
      <w:r w:rsidRPr="00384D81">
        <w:rPr>
          <w:sz w:val="18"/>
          <w:szCs w:val="24"/>
          <w:lang w:eastAsia="ja-JP"/>
        </w:rPr>
        <w:t>2005;  353</w:t>
      </w:r>
      <w:proofErr w:type="gramEnd"/>
      <w:r w:rsidRPr="00384D81">
        <w:rPr>
          <w:sz w:val="18"/>
          <w:szCs w:val="24"/>
          <w:lang w:eastAsia="ja-JP"/>
        </w:rPr>
        <w:t>: 1659 – 1684</w:t>
      </w:r>
    </w:p>
    <w:p w14:paraId="194CDDAD" w14:textId="77777777" w:rsidR="003B6702" w:rsidRPr="00384D81" w:rsidRDefault="003B6702" w:rsidP="003B6702">
      <w:pPr>
        <w:pStyle w:val="Paragrafoelenco"/>
        <w:numPr>
          <w:ilvl w:val="0"/>
          <w:numId w:val="43"/>
        </w:numPr>
        <w:jc w:val="both"/>
        <w:rPr>
          <w:color w:val="000000"/>
          <w:sz w:val="18"/>
          <w:szCs w:val="18"/>
          <w:lang w:eastAsia="ja-JP"/>
        </w:rPr>
      </w:pPr>
      <w:r w:rsidRPr="00384D81">
        <w:rPr>
          <w:color w:val="000000"/>
          <w:sz w:val="18"/>
          <w:szCs w:val="18"/>
          <w:lang w:eastAsia="ja-JP"/>
        </w:rPr>
        <w:t>Goel S, Wang Q, Watt AC, et al. Overcoming therapeutic resisttance in HER2 positive breast cancers with CDK4/6 inhibitors. Cancer Cell 2016; 29: 255 – 269</w:t>
      </w:r>
    </w:p>
    <w:p w14:paraId="34E0FE61" w14:textId="77777777" w:rsidR="003B6702" w:rsidRPr="00384D81" w:rsidRDefault="003B6702" w:rsidP="003B6702">
      <w:pPr>
        <w:pStyle w:val="Paragrafoelenco"/>
        <w:numPr>
          <w:ilvl w:val="0"/>
          <w:numId w:val="43"/>
        </w:numPr>
        <w:jc w:val="both"/>
        <w:rPr>
          <w:color w:val="000000"/>
          <w:sz w:val="18"/>
          <w:szCs w:val="18"/>
          <w:lang w:eastAsia="ja-JP"/>
        </w:rPr>
      </w:pPr>
      <w:r w:rsidRPr="00384D81">
        <w:rPr>
          <w:color w:val="000000"/>
          <w:sz w:val="18"/>
          <w:szCs w:val="18"/>
          <w:lang w:eastAsia="ja-JP"/>
        </w:rPr>
        <w:t>Krop I, Kim S-B, Gonzales Martin A, et al. Trastuzumab emtansine versus treatment of physician’s choice in patients with previously treated HER2 positive metastatic breast cancer (TH3RESA): final overall survival results from a randomised open-label phase 3 trial. Lancet Oncol 2017; 18(6): 743 - 754</w:t>
      </w:r>
    </w:p>
    <w:p w14:paraId="368BA27C" w14:textId="77777777" w:rsidR="003B6702" w:rsidRPr="00384D81" w:rsidRDefault="003B6702" w:rsidP="003B6702">
      <w:pPr>
        <w:pStyle w:val="Paragrafoelenco"/>
        <w:numPr>
          <w:ilvl w:val="0"/>
          <w:numId w:val="43"/>
        </w:numPr>
        <w:jc w:val="both"/>
        <w:rPr>
          <w:color w:val="000000"/>
          <w:sz w:val="18"/>
          <w:szCs w:val="18"/>
          <w:lang w:eastAsia="ja-JP"/>
        </w:rPr>
      </w:pPr>
      <w:r w:rsidRPr="00384D81">
        <w:rPr>
          <w:color w:val="000000"/>
          <w:sz w:val="18"/>
          <w:szCs w:val="18"/>
          <w:lang w:eastAsia="ja-JP"/>
        </w:rPr>
        <w:t>Von Minckwitz G, Huang C-S, Mano MS, et al. Trastuzumab emtansine residual invasive HER2-positive breast cancer. N Eng J Med 2019; 380: 617 – 628</w:t>
      </w:r>
    </w:p>
    <w:p w14:paraId="25E54152" w14:textId="77777777" w:rsidR="003B6702" w:rsidRPr="00384D81" w:rsidRDefault="003B6702" w:rsidP="003B6702">
      <w:pPr>
        <w:pStyle w:val="Paragrafoelenco"/>
        <w:numPr>
          <w:ilvl w:val="0"/>
          <w:numId w:val="43"/>
        </w:numPr>
        <w:jc w:val="both"/>
        <w:rPr>
          <w:sz w:val="18"/>
        </w:rPr>
      </w:pPr>
      <w:r w:rsidRPr="00384D81">
        <w:rPr>
          <w:sz w:val="18"/>
          <w:szCs w:val="18"/>
          <w:lang w:eastAsia="ja-JP"/>
        </w:rPr>
        <w:t xml:space="preserve">Saura C, Oliviera M, Feng YH, et al. Neratinib + </w:t>
      </w:r>
      <w:proofErr w:type="gramStart"/>
      <w:r w:rsidRPr="00384D81">
        <w:rPr>
          <w:sz w:val="18"/>
          <w:szCs w:val="18"/>
          <w:lang w:eastAsia="ja-JP"/>
        </w:rPr>
        <w:t>capecitabine  versus</w:t>
      </w:r>
      <w:proofErr w:type="gramEnd"/>
      <w:r w:rsidRPr="00384D81">
        <w:rPr>
          <w:sz w:val="18"/>
          <w:szCs w:val="18"/>
          <w:lang w:eastAsia="ja-JP"/>
        </w:rPr>
        <w:t xml:space="preserve"> lapatinib + capecitabine in patients with HER2 positive metastatic cancer previously treated with &gt;/= HER2 directed regimens: Findings from the multinational, randomized, phase III NALA trial.  ASCO meeting 2019. Abstract 1002, June 4, 2019</w:t>
      </w:r>
    </w:p>
    <w:p w14:paraId="6707AB32" w14:textId="77777777" w:rsidR="003B6702" w:rsidRPr="00384D81" w:rsidRDefault="003B6702" w:rsidP="003B6702">
      <w:pPr>
        <w:pStyle w:val="Paragrafoelenco"/>
        <w:numPr>
          <w:ilvl w:val="0"/>
          <w:numId w:val="43"/>
        </w:numPr>
        <w:jc w:val="both"/>
        <w:rPr>
          <w:sz w:val="18"/>
          <w:szCs w:val="18"/>
          <w:lang w:eastAsia="ja-JP"/>
        </w:rPr>
      </w:pPr>
      <w:r w:rsidRPr="00384D81">
        <w:rPr>
          <w:sz w:val="18"/>
          <w:szCs w:val="18"/>
          <w:shd w:val="clear" w:color="auto" w:fill="FFFFFF"/>
        </w:rPr>
        <w:t>von Minckwitz G, Baselga J, Bradbury I, et al. Adjuvant Pertuzumab and Herceptin in initial therapy of breast cancer</w:t>
      </w:r>
      <w:proofErr w:type="gramStart"/>
      <w:r w:rsidRPr="00384D81">
        <w:rPr>
          <w:sz w:val="18"/>
          <w:szCs w:val="18"/>
          <w:shd w:val="clear" w:color="auto" w:fill="FFFFFF"/>
        </w:rPr>
        <w:t>:.N</w:t>
      </w:r>
      <w:proofErr w:type="gramEnd"/>
      <w:r w:rsidRPr="00384D81">
        <w:rPr>
          <w:sz w:val="18"/>
          <w:szCs w:val="18"/>
          <w:shd w:val="clear" w:color="auto" w:fill="FFFFFF"/>
        </w:rPr>
        <w:t xml:space="preserve"> Engl J Med 2017; 377:122-131 </w:t>
      </w:r>
    </w:p>
    <w:p w14:paraId="2C3F9726" w14:textId="77777777" w:rsidR="003B6702" w:rsidRPr="00384D81" w:rsidRDefault="003B6702" w:rsidP="003B6702">
      <w:pPr>
        <w:pStyle w:val="Paragrafoelenco"/>
        <w:numPr>
          <w:ilvl w:val="0"/>
          <w:numId w:val="43"/>
        </w:numPr>
        <w:jc w:val="both"/>
        <w:rPr>
          <w:color w:val="000000"/>
          <w:sz w:val="18"/>
          <w:szCs w:val="18"/>
          <w:lang w:eastAsia="ja-JP"/>
        </w:rPr>
      </w:pPr>
      <w:r w:rsidRPr="00384D81">
        <w:rPr>
          <w:color w:val="000000"/>
          <w:sz w:val="18"/>
          <w:szCs w:val="18"/>
          <w:lang w:eastAsia="ja-JP"/>
        </w:rPr>
        <w:lastRenderedPageBreak/>
        <w:t>Schmid P. Cortes J, Pusztai L et al. Pembrolizumab for early triple-negative breast cancer. N Eng J Med 2020; 382:810-821</w:t>
      </w:r>
    </w:p>
    <w:p w14:paraId="1E965B8F" w14:textId="77777777" w:rsidR="003B6702" w:rsidRPr="00384D81" w:rsidRDefault="003B6702" w:rsidP="003B6702">
      <w:pPr>
        <w:pStyle w:val="Paragrafoelenco"/>
        <w:jc w:val="both"/>
        <w:rPr>
          <w:color w:val="000000"/>
          <w:sz w:val="18"/>
          <w:szCs w:val="18"/>
          <w:lang w:eastAsia="ja-JP"/>
        </w:rPr>
      </w:pPr>
    </w:p>
    <w:p w14:paraId="09432CC2" w14:textId="77777777" w:rsidR="003B6702" w:rsidRPr="00384D81" w:rsidRDefault="003B6702" w:rsidP="003B6702">
      <w:pPr>
        <w:pStyle w:val="Paragrafoelenco"/>
        <w:jc w:val="both"/>
        <w:rPr>
          <w:color w:val="000000"/>
          <w:sz w:val="18"/>
          <w:szCs w:val="18"/>
          <w:lang w:eastAsia="ja-JP"/>
        </w:rPr>
      </w:pPr>
    </w:p>
    <w:p w14:paraId="7118BD9B" w14:textId="77777777" w:rsidR="003B6702" w:rsidRPr="00384D81" w:rsidRDefault="003B6702" w:rsidP="003B6702">
      <w:pPr>
        <w:pStyle w:val="Paragrafoelenco"/>
        <w:jc w:val="both"/>
        <w:rPr>
          <w:color w:val="000000"/>
          <w:sz w:val="18"/>
          <w:szCs w:val="18"/>
          <w:lang w:eastAsia="ja-JP"/>
        </w:rPr>
      </w:pPr>
    </w:p>
    <w:p w14:paraId="5D2EC6D0" w14:textId="77777777" w:rsidR="003B6702" w:rsidRDefault="003B6702" w:rsidP="003B6702">
      <w:pPr>
        <w:spacing w:line="360" w:lineRule="auto"/>
        <w:jc w:val="both"/>
        <w:rPr>
          <w:lang w:eastAsia="ja-JP"/>
        </w:rPr>
      </w:pPr>
    </w:p>
    <w:p w14:paraId="668DFBCB" w14:textId="77777777" w:rsidR="003B6702" w:rsidRDefault="003B6702" w:rsidP="003B6702">
      <w:pPr>
        <w:spacing w:line="360" w:lineRule="auto"/>
        <w:jc w:val="both"/>
        <w:rPr>
          <w:lang w:eastAsia="ja-JP"/>
        </w:rPr>
      </w:pPr>
    </w:p>
    <w:p w14:paraId="7001799A" w14:textId="77777777" w:rsidR="003B6702" w:rsidRDefault="003B6702" w:rsidP="003B6702">
      <w:pPr>
        <w:spacing w:line="360" w:lineRule="auto"/>
        <w:jc w:val="both"/>
        <w:rPr>
          <w:lang w:eastAsia="ja-JP"/>
        </w:rPr>
      </w:pPr>
    </w:p>
    <w:p w14:paraId="03A30781" w14:textId="77777777" w:rsidR="003B6702" w:rsidRDefault="003B6702" w:rsidP="003B6702">
      <w:pPr>
        <w:spacing w:line="360" w:lineRule="auto"/>
        <w:jc w:val="both"/>
        <w:rPr>
          <w:lang w:eastAsia="ja-JP"/>
        </w:rPr>
      </w:pPr>
    </w:p>
    <w:p w14:paraId="20638B66" w14:textId="77777777" w:rsidR="003B6702" w:rsidRDefault="003B6702" w:rsidP="003B6702">
      <w:pPr>
        <w:spacing w:line="360" w:lineRule="auto"/>
        <w:jc w:val="both"/>
        <w:rPr>
          <w:lang w:eastAsia="ja-JP"/>
        </w:rPr>
      </w:pPr>
    </w:p>
    <w:p w14:paraId="25E78FFD" w14:textId="77777777" w:rsidR="003B6702" w:rsidRDefault="003B6702" w:rsidP="003B6702">
      <w:pPr>
        <w:spacing w:line="360" w:lineRule="auto"/>
        <w:jc w:val="both"/>
        <w:rPr>
          <w:lang w:eastAsia="ja-JP"/>
        </w:rPr>
      </w:pPr>
    </w:p>
    <w:p w14:paraId="3F8B9EC6" w14:textId="77777777" w:rsidR="003B6702" w:rsidRDefault="003B6702" w:rsidP="003B6702">
      <w:pPr>
        <w:spacing w:line="360" w:lineRule="auto"/>
        <w:jc w:val="both"/>
        <w:rPr>
          <w:lang w:eastAsia="ja-JP"/>
        </w:rPr>
      </w:pPr>
    </w:p>
    <w:p w14:paraId="6A56DECE" w14:textId="77777777" w:rsidR="003B6702" w:rsidRDefault="003B6702" w:rsidP="003B6702">
      <w:pPr>
        <w:spacing w:line="360" w:lineRule="auto"/>
        <w:jc w:val="both"/>
        <w:rPr>
          <w:lang w:eastAsia="ja-JP"/>
        </w:rPr>
      </w:pPr>
    </w:p>
    <w:p w14:paraId="21AE6C9D" w14:textId="77777777" w:rsidR="003B6702" w:rsidRDefault="003B6702" w:rsidP="003B6702">
      <w:pPr>
        <w:spacing w:line="360" w:lineRule="auto"/>
        <w:jc w:val="both"/>
        <w:rPr>
          <w:lang w:eastAsia="ja-JP"/>
        </w:rPr>
      </w:pPr>
    </w:p>
    <w:p w14:paraId="3B898C77" w14:textId="77777777" w:rsidR="003B6702" w:rsidRDefault="003B6702" w:rsidP="003B6702">
      <w:pPr>
        <w:spacing w:line="360" w:lineRule="auto"/>
        <w:jc w:val="both"/>
        <w:rPr>
          <w:lang w:eastAsia="ja-JP"/>
        </w:rPr>
      </w:pPr>
    </w:p>
    <w:p w14:paraId="26DE8B5F" w14:textId="77777777" w:rsidR="003B6702" w:rsidRDefault="003B6702" w:rsidP="003B6702">
      <w:pPr>
        <w:spacing w:line="360" w:lineRule="auto"/>
        <w:jc w:val="both"/>
        <w:rPr>
          <w:lang w:eastAsia="ja-JP"/>
        </w:rPr>
      </w:pPr>
    </w:p>
    <w:p w14:paraId="429582B2" w14:textId="77777777" w:rsidR="003B6702" w:rsidRDefault="003B6702" w:rsidP="003B6702">
      <w:pPr>
        <w:spacing w:line="360" w:lineRule="auto"/>
        <w:jc w:val="both"/>
        <w:rPr>
          <w:lang w:eastAsia="ja-JP"/>
        </w:rPr>
      </w:pPr>
    </w:p>
    <w:p w14:paraId="7CC3AF91" w14:textId="77777777" w:rsidR="003B6702" w:rsidRDefault="003B6702" w:rsidP="003B6702">
      <w:pPr>
        <w:spacing w:line="360" w:lineRule="auto"/>
        <w:jc w:val="both"/>
        <w:rPr>
          <w:lang w:eastAsia="ja-JP"/>
        </w:rPr>
      </w:pPr>
    </w:p>
    <w:p w14:paraId="7A3343C2" w14:textId="77777777" w:rsidR="003B6702" w:rsidRDefault="003B6702" w:rsidP="003B6702">
      <w:pPr>
        <w:spacing w:line="360" w:lineRule="auto"/>
        <w:jc w:val="both"/>
        <w:rPr>
          <w:lang w:eastAsia="ja-JP"/>
        </w:rPr>
      </w:pPr>
    </w:p>
    <w:p w14:paraId="1BBB73DF" w14:textId="77777777" w:rsidR="003B6702" w:rsidRDefault="003B6702" w:rsidP="003B6702">
      <w:pPr>
        <w:spacing w:line="360" w:lineRule="auto"/>
        <w:jc w:val="both"/>
        <w:rPr>
          <w:lang w:eastAsia="ja-JP"/>
        </w:rPr>
      </w:pPr>
    </w:p>
    <w:p w14:paraId="0158F860" w14:textId="77777777" w:rsidR="003B6702" w:rsidRDefault="003B6702" w:rsidP="003B6702"/>
    <w:sectPr w:rsidR="003B6702" w:rsidSect="003B6702">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ew 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FIKC I+ Optima">
    <w:altName w:val="Optima"/>
    <w:panose1 w:val="00000000000000000000"/>
    <w:charset w:val="00"/>
    <w:family w:val="swiss"/>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6C1D"/>
    <w:multiLevelType w:val="multilevel"/>
    <w:tmpl w:val="B83A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22ABC"/>
    <w:multiLevelType w:val="multilevel"/>
    <w:tmpl w:val="76F6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A4B67"/>
    <w:multiLevelType w:val="hybridMultilevel"/>
    <w:tmpl w:val="B254E7E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8872294"/>
    <w:multiLevelType w:val="multilevel"/>
    <w:tmpl w:val="6894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865A1"/>
    <w:multiLevelType w:val="hybridMultilevel"/>
    <w:tmpl w:val="6D94398A"/>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80C5C"/>
    <w:multiLevelType w:val="hybridMultilevel"/>
    <w:tmpl w:val="D6F2AA06"/>
    <w:lvl w:ilvl="0" w:tplc="E0188A2C">
      <w:start w:val="1"/>
      <w:numFmt w:val="bullet"/>
      <w:pStyle w:val="ListItem3"/>
      <w:lvlText w:val=""/>
      <w:lvlJc w:val="left"/>
      <w:pPr>
        <w:tabs>
          <w:tab w:val="num" w:pos="864"/>
        </w:tabs>
        <w:ind w:left="864"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D19E6"/>
    <w:multiLevelType w:val="hybridMultilevel"/>
    <w:tmpl w:val="0E120CF8"/>
    <w:lvl w:ilvl="0" w:tplc="A986EB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E2CCE"/>
    <w:multiLevelType w:val="multilevel"/>
    <w:tmpl w:val="1E7A7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BB1AB1"/>
    <w:multiLevelType w:val="multilevel"/>
    <w:tmpl w:val="516E6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8824CC"/>
    <w:multiLevelType w:val="multilevel"/>
    <w:tmpl w:val="997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646F61"/>
    <w:multiLevelType w:val="hybridMultilevel"/>
    <w:tmpl w:val="0DEEB8B2"/>
    <w:lvl w:ilvl="0" w:tplc="49C0B540">
      <w:start w:val="1"/>
      <w:numFmt w:val="bullet"/>
      <w:pStyle w:val="ListItem1"/>
      <w:lvlText w:val=""/>
      <w:lvlJc w:val="left"/>
      <w:pPr>
        <w:tabs>
          <w:tab w:val="num" w:pos="432"/>
        </w:tabs>
        <w:ind w:left="432"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187014"/>
    <w:multiLevelType w:val="multilevel"/>
    <w:tmpl w:val="F002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435380"/>
    <w:multiLevelType w:val="hybridMultilevel"/>
    <w:tmpl w:val="D2C8F964"/>
    <w:lvl w:ilvl="0" w:tplc="C65A0E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ED5F25"/>
    <w:multiLevelType w:val="multilevel"/>
    <w:tmpl w:val="91D0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5573DC"/>
    <w:multiLevelType w:val="multilevel"/>
    <w:tmpl w:val="2448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49668A"/>
    <w:multiLevelType w:val="multilevel"/>
    <w:tmpl w:val="11D6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BB0522"/>
    <w:multiLevelType w:val="multilevel"/>
    <w:tmpl w:val="19EE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070958"/>
    <w:multiLevelType w:val="hybridMultilevel"/>
    <w:tmpl w:val="5A98F340"/>
    <w:lvl w:ilvl="0" w:tplc="67720F5C">
      <w:start w:val="1"/>
      <w:numFmt w:val="bullet"/>
      <w:pStyle w:val="ListItem4"/>
      <w:lvlText w:val="o"/>
      <w:lvlJc w:val="left"/>
      <w:pPr>
        <w:tabs>
          <w:tab w:val="num" w:pos="1080"/>
        </w:tabs>
        <w:ind w:left="1080" w:hanging="216"/>
      </w:pPr>
      <w:rPr>
        <w:rFonts w:ascii="Courier New" w:hAnsi="Courier New" w:cs="Times New Roman" w:hint="default"/>
        <w:b w:val="0"/>
        <w:i w:val="0"/>
        <w:sz w:val="14"/>
        <w:szCs w:val="14"/>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1C05C9"/>
    <w:multiLevelType w:val="multilevel"/>
    <w:tmpl w:val="2310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101EC0"/>
    <w:multiLevelType w:val="multilevel"/>
    <w:tmpl w:val="CC8C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A364AB"/>
    <w:multiLevelType w:val="hybridMultilevel"/>
    <w:tmpl w:val="ECB0D790"/>
    <w:lvl w:ilvl="0" w:tplc="5066D4AC">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27F6977"/>
    <w:multiLevelType w:val="hybridMultilevel"/>
    <w:tmpl w:val="D7FC80CE"/>
    <w:lvl w:ilvl="0" w:tplc="00110409">
      <w:start w:val="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2A06744"/>
    <w:multiLevelType w:val="hybridMultilevel"/>
    <w:tmpl w:val="AF165A1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39517B1"/>
    <w:multiLevelType w:val="hybridMultilevel"/>
    <w:tmpl w:val="98023350"/>
    <w:lvl w:ilvl="0" w:tplc="10F00900">
      <w:start w:val="1"/>
      <w:numFmt w:val="bullet"/>
      <w:pStyle w:val="Question"/>
      <w:lvlText w:val=""/>
      <w:lvlJc w:val="left"/>
      <w:pPr>
        <w:tabs>
          <w:tab w:val="num" w:pos="0"/>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6E43BF"/>
    <w:multiLevelType w:val="hybridMultilevel"/>
    <w:tmpl w:val="47F02EB6"/>
    <w:lvl w:ilvl="0" w:tplc="0011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7A56F78"/>
    <w:multiLevelType w:val="multilevel"/>
    <w:tmpl w:val="35D4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2A6081"/>
    <w:multiLevelType w:val="multilevel"/>
    <w:tmpl w:val="2516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094B2F"/>
    <w:multiLevelType w:val="multilevel"/>
    <w:tmpl w:val="0744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B599B"/>
    <w:multiLevelType w:val="multilevel"/>
    <w:tmpl w:val="CC44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4174C9"/>
    <w:multiLevelType w:val="hybridMultilevel"/>
    <w:tmpl w:val="6EBA6D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52E3DA9"/>
    <w:multiLevelType w:val="hybridMultilevel"/>
    <w:tmpl w:val="10F4DD8E"/>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1" w15:restartNumberingAfterBreak="0">
    <w:nsid w:val="76F3198B"/>
    <w:multiLevelType w:val="multilevel"/>
    <w:tmpl w:val="6332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E43C5D"/>
    <w:multiLevelType w:val="hybridMultilevel"/>
    <w:tmpl w:val="33F49AEA"/>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3" w15:restartNumberingAfterBreak="0">
    <w:nsid w:val="78A47797"/>
    <w:multiLevelType w:val="multilevel"/>
    <w:tmpl w:val="480A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07662F"/>
    <w:multiLevelType w:val="multilevel"/>
    <w:tmpl w:val="C8BC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B02115"/>
    <w:multiLevelType w:val="hybridMultilevel"/>
    <w:tmpl w:val="D840B056"/>
    <w:lvl w:ilvl="0" w:tplc="F6DC1068">
      <w:start w:val="1"/>
      <w:numFmt w:val="bullet"/>
      <w:pStyle w:val="ListItem2"/>
      <w:lvlText w:val="o"/>
      <w:lvlJc w:val="left"/>
      <w:pPr>
        <w:tabs>
          <w:tab w:val="num" w:pos="648"/>
        </w:tabs>
        <w:ind w:left="648" w:hanging="216"/>
      </w:pPr>
      <w:rPr>
        <w:rFonts w:ascii="Courier New" w:hAnsi="Courier New" w:cs="Times New Roman" w:hint="default"/>
        <w:b w:val="0"/>
        <w:i w:val="0"/>
        <w:sz w:val="16"/>
        <w:szCs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
  </w:num>
  <w:num w:numId="3">
    <w:abstractNumId w:val="16"/>
  </w:num>
  <w:num w:numId="4">
    <w:abstractNumId w:val="14"/>
  </w:num>
  <w:num w:numId="5">
    <w:abstractNumId w:val="19"/>
  </w:num>
  <w:num w:numId="6">
    <w:abstractNumId w:val="26"/>
  </w:num>
  <w:num w:numId="7">
    <w:abstractNumId w:val="11"/>
  </w:num>
  <w:num w:numId="8">
    <w:abstractNumId w:val="13"/>
  </w:num>
  <w:num w:numId="9">
    <w:abstractNumId w:val="31"/>
  </w:num>
  <w:num w:numId="10">
    <w:abstractNumId w:val="34"/>
  </w:num>
  <w:num w:numId="11">
    <w:abstractNumId w:val="18"/>
  </w:num>
  <w:num w:numId="12">
    <w:abstractNumId w:val="9"/>
  </w:num>
  <w:num w:numId="13">
    <w:abstractNumId w:val="15"/>
  </w:num>
  <w:num w:numId="14">
    <w:abstractNumId w:val="28"/>
  </w:num>
  <w:num w:numId="15">
    <w:abstractNumId w:val="0"/>
  </w:num>
  <w:num w:numId="16">
    <w:abstractNumId w:val="33"/>
  </w:num>
  <w:num w:numId="17">
    <w:abstractNumId w:val="3"/>
  </w:num>
  <w:num w:numId="18">
    <w:abstractNumId w:val="8"/>
  </w:num>
  <w:num w:numId="19">
    <w:abstractNumId w:val="25"/>
  </w:num>
  <w:num w:numId="20">
    <w:abstractNumId w:val="27"/>
  </w:num>
  <w:num w:numId="21">
    <w:abstractNumId w:val="7"/>
  </w:num>
  <w:num w:numId="22">
    <w:abstractNumId w:val="1"/>
  </w:num>
  <w:num w:numId="23">
    <w:abstractNumId w:val="6"/>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lvlOverride w:ilvl="1"/>
    <w:lvlOverride w:ilvl="2"/>
    <w:lvlOverride w:ilvl="3"/>
    <w:lvlOverride w:ilvl="4"/>
    <w:lvlOverride w:ilvl="5"/>
    <w:lvlOverride w:ilvl="6"/>
    <w:lvlOverride w:ilvl="7"/>
    <w:lvlOverride w:ilvl="8"/>
  </w:num>
  <w:num w:numId="27">
    <w:abstractNumId w:val="35"/>
  </w:num>
  <w:num w:numId="28">
    <w:abstractNumId w:val="35"/>
    <w:lvlOverride w:ilvl="0"/>
    <w:lvlOverride w:ilvl="1"/>
    <w:lvlOverride w:ilvl="2"/>
    <w:lvlOverride w:ilvl="3"/>
    <w:lvlOverride w:ilvl="4"/>
    <w:lvlOverride w:ilvl="5"/>
    <w:lvlOverride w:ilvl="6"/>
    <w:lvlOverride w:ilvl="7"/>
    <w:lvlOverride w:ilvl="8"/>
  </w:num>
  <w:num w:numId="29">
    <w:abstractNumId w:val="5"/>
  </w:num>
  <w:num w:numId="30">
    <w:abstractNumId w:val="5"/>
    <w:lvlOverride w:ilvl="0"/>
    <w:lvlOverride w:ilvl="1"/>
    <w:lvlOverride w:ilvl="2"/>
    <w:lvlOverride w:ilvl="3"/>
    <w:lvlOverride w:ilvl="4"/>
    <w:lvlOverride w:ilvl="5"/>
    <w:lvlOverride w:ilvl="6"/>
    <w:lvlOverride w:ilvl="7"/>
    <w:lvlOverride w:ilvl="8"/>
  </w:num>
  <w:num w:numId="31">
    <w:abstractNumId w:val="17"/>
  </w:num>
  <w:num w:numId="32">
    <w:abstractNumId w:val="17"/>
    <w:lvlOverride w:ilvl="0"/>
    <w:lvlOverride w:ilvl="1"/>
    <w:lvlOverride w:ilvl="2"/>
    <w:lvlOverride w:ilvl="3"/>
    <w:lvlOverride w:ilvl="4"/>
    <w:lvlOverride w:ilvl="5"/>
    <w:lvlOverride w:ilvl="6"/>
    <w:lvlOverride w:ilvl="7"/>
    <w:lvlOverride w:ilvl="8"/>
  </w:num>
  <w:num w:numId="33">
    <w:abstractNumId w:val="23"/>
  </w:num>
  <w:num w:numId="34">
    <w:abstractNumId w:val="23"/>
    <w:lvlOverride w:ilvl="0"/>
    <w:lvlOverride w:ilvl="1"/>
    <w:lvlOverride w:ilvl="2"/>
    <w:lvlOverride w:ilvl="3"/>
    <w:lvlOverride w:ilvl="4"/>
    <w:lvlOverride w:ilvl="5"/>
    <w:lvlOverride w:ilvl="6"/>
    <w:lvlOverride w:ilvl="7"/>
    <w:lvlOverride w:ilvl="8"/>
  </w:num>
  <w:num w:numId="35">
    <w:abstractNumId w:val="3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1"/>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grammar="clean"/>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08A1"/>
    <w:rsid w:val="00005FCB"/>
    <w:rsid w:val="00146656"/>
    <w:rsid w:val="003B6702"/>
    <w:rsid w:val="00524F67"/>
    <w:rsid w:val="00963C35"/>
    <w:rsid w:val="00D92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3CA14178"/>
  <w15:chartTrackingRefBased/>
  <w15:docId w15:val="{B653AB73-0099-4B89-9305-EEE1312A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6C3"/>
    <w:rPr>
      <w:lang w:val="en-US" w:eastAsia="en-US"/>
    </w:rPr>
  </w:style>
  <w:style w:type="paragraph" w:styleId="Heading1">
    <w:name w:val="heading 1"/>
    <w:basedOn w:val="Normal"/>
    <w:next w:val="Normal"/>
    <w:link w:val="Heading1Char"/>
    <w:uiPriority w:val="9"/>
    <w:qFormat/>
    <w:rsid w:val="00D10CF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677F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pPr>
      <w:keepNext/>
      <w:outlineLvl w:val="2"/>
    </w:pPr>
    <w:rPr>
      <w:b/>
      <w:sz w:val="22"/>
    </w:rPr>
  </w:style>
  <w:style w:type="paragraph" w:styleId="Heading4">
    <w:name w:val="heading 4"/>
    <w:basedOn w:val="Normal"/>
    <w:next w:val="Normal"/>
    <w:link w:val="Heading4Char"/>
    <w:uiPriority w:val="9"/>
    <w:qFormat/>
    <w:rsid w:val="0024001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723F24"/>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723F2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mmary-citation-pubmed1">
    <w:name w:val="summary-citation-pubmed1"/>
    <w:rPr>
      <w:sz w:val="15"/>
      <w:szCs w:val="15"/>
    </w:rPr>
  </w:style>
  <w:style w:type="paragraph" w:styleId="BodyTextIndent">
    <w:name w:val="Body Text Indent"/>
    <w:basedOn w:val="Normal"/>
    <w:link w:val="BodyTextIndentChar"/>
    <w:pPr>
      <w:spacing w:line="480" w:lineRule="auto"/>
    </w:pPr>
    <w:rPr>
      <w:rFonts w:ascii="new times roman" w:hAnsi="new times roman"/>
      <w:sz w:val="22"/>
      <w:lang w:val="en-GB"/>
    </w:rPr>
  </w:style>
  <w:style w:type="paragraph" w:styleId="BodyText2">
    <w:name w:val="Body Text 2"/>
    <w:basedOn w:val="Normal"/>
    <w:link w:val="BodyText2Char"/>
    <w:pPr>
      <w:spacing w:after="120" w:line="480" w:lineRule="auto"/>
    </w:pPr>
  </w:style>
  <w:style w:type="paragraph" w:styleId="NormalWeb">
    <w:name w:val="Normal (Web)"/>
    <w:basedOn w:val="Normal"/>
    <w:uiPriority w:val="99"/>
    <w:pPr>
      <w:spacing w:before="100" w:beforeAutospacing="1" w:after="100" w:afterAutospacing="1"/>
    </w:pPr>
    <w:rPr>
      <w:lang w:val="en-GB" w:eastAsia="en-GB"/>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customStyle="1" w:styleId="Paragrafoelenco">
    <w:name w:val="Paragrafo elenco"/>
    <w:basedOn w:val="Normal"/>
    <w:uiPriority w:val="34"/>
    <w:qFormat/>
    <w:rsid w:val="000760C3"/>
    <w:pPr>
      <w:ind w:left="720"/>
      <w:contextualSpacing/>
    </w:pPr>
    <w:rPr>
      <w:sz w:val="24"/>
      <w:szCs w:val="24"/>
      <w:lang w:val="en-GB" w:eastAsia="en-GB"/>
    </w:rPr>
  </w:style>
  <w:style w:type="paragraph" w:styleId="Footer">
    <w:name w:val="footer"/>
    <w:basedOn w:val="Normal"/>
    <w:link w:val="FooterChar"/>
    <w:semiHidden/>
    <w:rsid w:val="006D3EA7"/>
    <w:pPr>
      <w:tabs>
        <w:tab w:val="center" w:pos="4320"/>
        <w:tab w:val="right" w:pos="8640"/>
      </w:tabs>
    </w:pPr>
  </w:style>
  <w:style w:type="character" w:customStyle="1" w:styleId="FooterChar">
    <w:name w:val="Footer Char"/>
    <w:link w:val="Footer"/>
    <w:semiHidden/>
    <w:rsid w:val="006D3EA7"/>
    <w:rPr>
      <w:lang w:val="en-US" w:eastAsia="en-US"/>
    </w:rPr>
  </w:style>
  <w:style w:type="character" w:customStyle="1" w:styleId="Heading1Char">
    <w:name w:val="Heading 1 Char"/>
    <w:link w:val="Heading1"/>
    <w:uiPriority w:val="9"/>
    <w:rsid w:val="00D10CFE"/>
    <w:rPr>
      <w:rFonts w:ascii="Cambria" w:eastAsia="Times New Roman" w:hAnsi="Cambria" w:cs="Times New Roman"/>
      <w:b/>
      <w:bCs/>
      <w:kern w:val="32"/>
      <w:sz w:val="32"/>
      <w:szCs w:val="32"/>
      <w:lang w:val="en-US" w:eastAsia="en-US"/>
    </w:rPr>
  </w:style>
  <w:style w:type="paragraph" w:customStyle="1" w:styleId="CM2">
    <w:name w:val="CM2"/>
    <w:basedOn w:val="Normal"/>
    <w:next w:val="Normal"/>
    <w:rsid w:val="00514981"/>
    <w:pPr>
      <w:widowControl w:val="0"/>
      <w:autoSpaceDE w:val="0"/>
      <w:autoSpaceDN w:val="0"/>
      <w:adjustRightInd w:val="0"/>
    </w:pPr>
    <w:rPr>
      <w:rFonts w:ascii="IFIKC I+ Optima" w:hAnsi="IFIKC I+ Optima"/>
      <w:sz w:val="24"/>
      <w:szCs w:val="24"/>
    </w:rPr>
  </w:style>
  <w:style w:type="character" w:customStyle="1" w:styleId="obitstile">
    <w:name w:val="obitstile"/>
    <w:rsid w:val="008408D6"/>
  </w:style>
  <w:style w:type="paragraph" w:customStyle="1" w:styleId="HTMLAcronym1">
    <w:name w:val="HTML Acronym1"/>
    <w:basedOn w:val="z-TopofForm"/>
    <w:rsid w:val="00FC401E"/>
    <w:pPr>
      <w:pBdr>
        <w:bottom w:val="none" w:sz="0" w:space="0" w:color="auto"/>
      </w:pBdr>
      <w:jc w:val="left"/>
    </w:pPr>
    <w:rPr>
      <w:rFonts w:ascii="Times New Roman" w:hAnsi="Times New Roman" w:cs="Times New Roman"/>
      <w:vanish w:val="0"/>
      <w:sz w:val="24"/>
      <w:szCs w:val="20"/>
    </w:rPr>
  </w:style>
  <w:style w:type="paragraph" w:styleId="z-TopofForm">
    <w:name w:val="HTML Top of Form"/>
    <w:basedOn w:val="Normal"/>
    <w:next w:val="Normal"/>
    <w:link w:val="z-TopofFormChar"/>
    <w:hidden/>
    <w:semiHidden/>
    <w:unhideWhenUsed/>
    <w:rsid w:val="00FC401E"/>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semiHidden/>
    <w:rsid w:val="00FC401E"/>
    <w:rPr>
      <w:rFonts w:ascii="Arial" w:hAnsi="Arial" w:cs="Arial"/>
      <w:vanish/>
      <w:sz w:val="16"/>
      <w:szCs w:val="16"/>
      <w:lang w:val="en-US" w:eastAsia="en-US"/>
    </w:rPr>
  </w:style>
  <w:style w:type="character" w:customStyle="1" w:styleId="descriptionphoto1">
    <w:name w:val="descriptionphoto1"/>
    <w:rsid w:val="00723F24"/>
    <w:rPr>
      <w:rFonts w:ascii="Arial" w:hAnsi="Arial" w:cs="Arial" w:hint="default"/>
      <w:b w:val="0"/>
      <w:bCs w:val="0"/>
      <w:i w:val="0"/>
      <w:iCs w:val="0"/>
      <w:vanish w:val="0"/>
      <w:webHidden w:val="0"/>
      <w:color w:val="726C48"/>
      <w:sz w:val="22"/>
      <w:szCs w:val="22"/>
      <w:shd w:val="clear" w:color="auto" w:fill="F5F4F0"/>
      <w:specVanish w:val="0"/>
    </w:rPr>
  </w:style>
  <w:style w:type="character" w:customStyle="1" w:styleId="Heading5Char">
    <w:name w:val="Heading 5 Char"/>
    <w:link w:val="Heading5"/>
    <w:uiPriority w:val="9"/>
    <w:semiHidden/>
    <w:rsid w:val="00723F24"/>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723F24"/>
    <w:rPr>
      <w:rFonts w:ascii="Calibri" w:eastAsia="Times New Roman" w:hAnsi="Calibri" w:cs="Times New Roman"/>
      <w:b/>
      <w:bCs/>
      <w:sz w:val="22"/>
      <w:szCs w:val="22"/>
      <w:lang w:val="en-US" w:eastAsia="en-US"/>
    </w:rPr>
  </w:style>
  <w:style w:type="character" w:customStyle="1" w:styleId="Heading2Char">
    <w:name w:val="Heading 2 Char"/>
    <w:link w:val="Heading2"/>
    <w:uiPriority w:val="9"/>
    <w:semiHidden/>
    <w:rsid w:val="009677F2"/>
    <w:rPr>
      <w:rFonts w:ascii="Cambria" w:eastAsia="Times New Roman" w:hAnsi="Cambria" w:cs="Times New Roman"/>
      <w:b/>
      <w:bCs/>
      <w:i/>
      <w:iCs/>
      <w:sz w:val="28"/>
      <w:szCs w:val="28"/>
      <w:lang w:val="en-US" w:eastAsia="en-US"/>
    </w:rPr>
  </w:style>
  <w:style w:type="character" w:customStyle="1" w:styleId="Heading4Char">
    <w:name w:val="Heading 4 Char"/>
    <w:link w:val="Heading4"/>
    <w:uiPriority w:val="9"/>
    <w:semiHidden/>
    <w:rsid w:val="00240013"/>
    <w:rPr>
      <w:rFonts w:ascii="Calibri" w:eastAsia="Times New Roman" w:hAnsi="Calibri" w:cs="Times New Roman"/>
      <w:b/>
      <w:bCs/>
      <w:sz w:val="28"/>
      <w:szCs w:val="28"/>
      <w:lang w:val="en-US" w:eastAsia="en-US"/>
    </w:rPr>
  </w:style>
  <w:style w:type="paragraph" w:customStyle="1" w:styleId="yiv884099649msonormal">
    <w:name w:val="yiv884099649msonormal"/>
    <w:basedOn w:val="Normal"/>
    <w:rsid w:val="00CF213D"/>
    <w:pPr>
      <w:spacing w:before="100" w:beforeAutospacing="1" w:after="100" w:afterAutospacing="1"/>
    </w:pPr>
    <w:rPr>
      <w:rFonts w:eastAsia="Calibri"/>
      <w:sz w:val="24"/>
      <w:szCs w:val="24"/>
      <w:lang w:val="en-GB" w:eastAsia="en-GB"/>
    </w:rPr>
  </w:style>
  <w:style w:type="character" w:customStyle="1" w:styleId="email">
    <w:name w:val="email"/>
    <w:rsid w:val="00CF213D"/>
  </w:style>
  <w:style w:type="paragraph" w:styleId="Header">
    <w:name w:val="header"/>
    <w:basedOn w:val="Normal"/>
    <w:link w:val="HeaderChar"/>
    <w:semiHidden/>
    <w:unhideWhenUsed/>
    <w:rsid w:val="002F0DEE"/>
    <w:pPr>
      <w:tabs>
        <w:tab w:val="center" w:pos="4320"/>
        <w:tab w:val="right" w:pos="8640"/>
      </w:tabs>
    </w:pPr>
  </w:style>
  <w:style w:type="character" w:customStyle="1" w:styleId="HeaderChar">
    <w:name w:val="Header Char"/>
    <w:link w:val="Header"/>
    <w:semiHidden/>
    <w:rsid w:val="002F0DEE"/>
    <w:rPr>
      <w:lang w:val="en-US" w:eastAsia="en-US"/>
    </w:rPr>
  </w:style>
  <w:style w:type="paragraph" w:styleId="PlainText">
    <w:name w:val="Plain Text"/>
    <w:basedOn w:val="Normal"/>
    <w:link w:val="PlainTextChar"/>
    <w:semiHidden/>
    <w:unhideWhenUsed/>
    <w:rsid w:val="00AF2BE6"/>
    <w:rPr>
      <w:rFonts w:ascii="Calibri" w:eastAsia="Calibri" w:hAnsi="Calibri" w:cs="Consolas"/>
      <w:sz w:val="22"/>
      <w:szCs w:val="21"/>
      <w:lang w:val="en-GB"/>
    </w:rPr>
  </w:style>
  <w:style w:type="character" w:customStyle="1" w:styleId="PlainTextChar">
    <w:name w:val="Plain Text Char"/>
    <w:link w:val="PlainText"/>
    <w:semiHidden/>
    <w:rsid w:val="00AF2BE6"/>
    <w:rPr>
      <w:rFonts w:ascii="Calibri" w:eastAsia="Calibri" w:hAnsi="Calibri" w:cs="Consolas"/>
      <w:sz w:val="22"/>
      <w:szCs w:val="21"/>
      <w:lang w:eastAsia="en-US"/>
    </w:rPr>
  </w:style>
  <w:style w:type="character" w:customStyle="1" w:styleId="Heading3Char">
    <w:name w:val="Heading 3 Char"/>
    <w:link w:val="Heading3"/>
    <w:rsid w:val="003C036E"/>
    <w:rPr>
      <w:b/>
      <w:sz w:val="22"/>
      <w:lang w:val="en-US" w:eastAsia="en-US"/>
    </w:rPr>
  </w:style>
  <w:style w:type="character" w:styleId="FollowedHyperlink">
    <w:name w:val="FollowedHyperlink"/>
    <w:semiHidden/>
    <w:unhideWhenUsed/>
    <w:rsid w:val="003C036E"/>
    <w:rPr>
      <w:color w:val="800080"/>
      <w:u w:val="single"/>
    </w:rPr>
  </w:style>
  <w:style w:type="paragraph" w:styleId="HTMLAddress">
    <w:name w:val="HTML Address"/>
    <w:basedOn w:val="z-TopofForm"/>
    <w:link w:val="HTMLAddressChar"/>
    <w:semiHidden/>
    <w:unhideWhenUsed/>
    <w:rsid w:val="003C036E"/>
    <w:pPr>
      <w:pBdr>
        <w:bottom w:val="none" w:sz="0" w:space="0" w:color="auto"/>
      </w:pBdr>
    </w:pPr>
    <w:rPr>
      <w:rFonts w:ascii="Times New Roman" w:hAnsi="Times New Roman" w:cs="Times New Roman"/>
      <w:i/>
      <w:vanish w:val="0"/>
      <w:sz w:val="24"/>
      <w:szCs w:val="20"/>
    </w:rPr>
  </w:style>
  <w:style w:type="character" w:customStyle="1" w:styleId="HTMLAddressChar">
    <w:name w:val="HTML Address Char"/>
    <w:link w:val="HTMLAddress"/>
    <w:semiHidden/>
    <w:rsid w:val="003C036E"/>
    <w:rPr>
      <w:i/>
      <w:sz w:val="24"/>
      <w:lang w:val="en-US" w:eastAsia="en-US"/>
    </w:rPr>
  </w:style>
  <w:style w:type="character" w:styleId="HTMLCode">
    <w:name w:val="HTML Code"/>
    <w:semiHidden/>
    <w:unhideWhenUsed/>
    <w:rsid w:val="003C036E"/>
    <w:rPr>
      <w:rFonts w:ascii="Times New Roman" w:eastAsia="Times New Roman" w:hAnsi="Times New Roman" w:cs="Times New Roman" w:hint="default"/>
      <w:sz w:val="20"/>
      <w:szCs w:val="20"/>
      <w:vertAlign w:val="superscript"/>
    </w:rPr>
  </w:style>
  <w:style w:type="character" w:customStyle="1" w:styleId="BodyTextIndentChar">
    <w:name w:val="Body Text Indent Char"/>
    <w:link w:val="BodyTextIndent"/>
    <w:rsid w:val="003C036E"/>
    <w:rPr>
      <w:rFonts w:ascii="new times roman" w:hAnsi="new times roman"/>
      <w:sz w:val="22"/>
      <w:lang w:eastAsia="en-US"/>
    </w:rPr>
  </w:style>
  <w:style w:type="character" w:customStyle="1" w:styleId="BodyText2Char">
    <w:name w:val="Body Text 2 Char"/>
    <w:link w:val="BodyText2"/>
    <w:rsid w:val="003C036E"/>
    <w:rPr>
      <w:lang w:val="en-US" w:eastAsia="en-US"/>
    </w:rPr>
  </w:style>
  <w:style w:type="paragraph" w:customStyle="1" w:styleId="Style2">
    <w:name w:val="Style2"/>
    <w:basedOn w:val="z-TopofForm"/>
    <w:rsid w:val="003C036E"/>
    <w:pPr>
      <w:pBdr>
        <w:bottom w:val="none" w:sz="0" w:space="0" w:color="auto"/>
      </w:pBdr>
      <w:jc w:val="left"/>
    </w:pPr>
    <w:rPr>
      <w:rFonts w:ascii="Garamond" w:hAnsi="Garamond" w:cs="Times New Roman"/>
      <w:vanish w:val="0"/>
      <w:sz w:val="36"/>
      <w:szCs w:val="36"/>
    </w:rPr>
  </w:style>
  <w:style w:type="paragraph" w:customStyle="1" w:styleId="AffilAdd">
    <w:name w:val="AffilAdd"/>
    <w:basedOn w:val="z-TopofForm"/>
    <w:rsid w:val="003C036E"/>
    <w:pPr>
      <w:pBdr>
        <w:top w:val="single" w:sz="4" w:space="1" w:color="auto"/>
        <w:left w:val="single" w:sz="4" w:space="4" w:color="auto"/>
        <w:bottom w:val="single" w:sz="4" w:space="1" w:color="auto"/>
        <w:right w:val="single" w:sz="4" w:space="4" w:color="auto"/>
      </w:pBdr>
      <w:jc w:val="left"/>
    </w:pPr>
    <w:rPr>
      <w:rFonts w:ascii="Verdana" w:hAnsi="Verdana" w:cs="Times New Roman"/>
      <w:vanish w:val="0"/>
      <w:szCs w:val="24"/>
    </w:rPr>
  </w:style>
  <w:style w:type="paragraph" w:customStyle="1" w:styleId="AffilInst">
    <w:name w:val="AffilInst"/>
    <w:basedOn w:val="AffilAdd"/>
    <w:rsid w:val="003C036E"/>
  </w:style>
  <w:style w:type="paragraph" w:customStyle="1" w:styleId="AffilTitle">
    <w:name w:val="AffilTitle"/>
    <w:basedOn w:val="AffilAdd"/>
    <w:rsid w:val="003C036E"/>
    <w:pPr>
      <w:spacing w:before="120"/>
    </w:pPr>
  </w:style>
  <w:style w:type="paragraph" w:customStyle="1" w:styleId="AuthAll">
    <w:name w:val="AuthAll"/>
    <w:basedOn w:val="z-TopofForm"/>
    <w:rsid w:val="003C036E"/>
    <w:pPr>
      <w:pBdr>
        <w:bottom w:val="none" w:sz="0" w:space="0" w:color="auto"/>
      </w:pBdr>
      <w:spacing w:before="240"/>
    </w:pPr>
    <w:rPr>
      <w:rFonts w:ascii="Verdana" w:hAnsi="Verdana" w:cs="Times New Roman"/>
      <w:vanish w:val="0"/>
      <w:sz w:val="20"/>
      <w:szCs w:val="24"/>
    </w:rPr>
  </w:style>
  <w:style w:type="paragraph" w:customStyle="1" w:styleId="AuthName">
    <w:name w:val="AuthName"/>
    <w:basedOn w:val="AffilAdd"/>
    <w:rsid w:val="003C036E"/>
    <w:pPr>
      <w:spacing w:before="360"/>
    </w:pPr>
    <w:rPr>
      <w:b/>
    </w:rPr>
  </w:style>
  <w:style w:type="paragraph" w:customStyle="1" w:styleId="AuthRole">
    <w:name w:val="AuthRole"/>
    <w:basedOn w:val="AffilAdd"/>
    <w:rsid w:val="003C036E"/>
  </w:style>
  <w:style w:type="paragraph" w:customStyle="1" w:styleId="CellTxtC">
    <w:name w:val="CellTxtC"/>
    <w:basedOn w:val="z-TopofForm"/>
    <w:rsid w:val="003C036E"/>
    <w:pPr>
      <w:pBdr>
        <w:bottom w:val="none" w:sz="0" w:space="0" w:color="auto"/>
      </w:pBdr>
    </w:pPr>
    <w:rPr>
      <w:rFonts w:ascii="Verdana" w:hAnsi="Verdana" w:cs="Times New Roman"/>
      <w:vanish w:val="0"/>
      <w:szCs w:val="24"/>
    </w:rPr>
  </w:style>
  <w:style w:type="paragraph" w:customStyle="1" w:styleId="CellTxtL">
    <w:name w:val="CellTxtL"/>
    <w:basedOn w:val="CellTxtC"/>
    <w:rsid w:val="003C036E"/>
    <w:pPr>
      <w:jc w:val="left"/>
    </w:pPr>
  </w:style>
  <w:style w:type="paragraph" w:customStyle="1" w:styleId="CellTxtLi">
    <w:name w:val="CellTxtLi"/>
    <w:basedOn w:val="CellTxtL"/>
    <w:rsid w:val="003C036E"/>
    <w:pPr>
      <w:ind w:left="144"/>
    </w:pPr>
  </w:style>
  <w:style w:type="paragraph" w:customStyle="1" w:styleId="CellTxtLii">
    <w:name w:val="CellTxtLii"/>
    <w:basedOn w:val="CellTxtL"/>
    <w:rsid w:val="003C036E"/>
    <w:pPr>
      <w:ind w:left="288"/>
    </w:pPr>
  </w:style>
  <w:style w:type="paragraph" w:customStyle="1" w:styleId="CellTxtLiii">
    <w:name w:val="CellTxtLiii"/>
    <w:basedOn w:val="CellTxtL"/>
    <w:rsid w:val="003C036E"/>
    <w:pPr>
      <w:ind w:left="432"/>
    </w:pPr>
  </w:style>
  <w:style w:type="paragraph" w:customStyle="1" w:styleId="ColHdC">
    <w:name w:val="ColHdC"/>
    <w:basedOn w:val="CellTxtC"/>
    <w:rsid w:val="003C036E"/>
    <w:rPr>
      <w:b/>
    </w:rPr>
  </w:style>
  <w:style w:type="paragraph" w:customStyle="1" w:styleId="ColHdC2">
    <w:name w:val="ColHdC2"/>
    <w:basedOn w:val="ColHdC"/>
    <w:rsid w:val="003C036E"/>
  </w:style>
  <w:style w:type="paragraph" w:customStyle="1" w:styleId="ColHdC3">
    <w:name w:val="ColHdC3"/>
    <w:basedOn w:val="ColHdC"/>
    <w:rsid w:val="003C036E"/>
  </w:style>
  <w:style w:type="paragraph" w:customStyle="1" w:styleId="ColHdC4">
    <w:name w:val="ColHdC4"/>
    <w:basedOn w:val="ColHdC"/>
    <w:rsid w:val="003C036E"/>
  </w:style>
  <w:style w:type="paragraph" w:customStyle="1" w:styleId="ColHdC5">
    <w:name w:val="ColHdC5"/>
    <w:basedOn w:val="ColHdC"/>
    <w:rsid w:val="003C036E"/>
  </w:style>
  <w:style w:type="paragraph" w:customStyle="1" w:styleId="ColHdL">
    <w:name w:val="ColHdL"/>
    <w:basedOn w:val="CellTxtL"/>
    <w:rsid w:val="003C036E"/>
    <w:rPr>
      <w:b/>
    </w:rPr>
  </w:style>
  <w:style w:type="paragraph" w:customStyle="1" w:styleId="Comment">
    <w:name w:val="Comment"/>
    <w:basedOn w:val="z-TopofForm"/>
    <w:rsid w:val="003C036E"/>
    <w:pPr>
      <w:pBdr>
        <w:bottom w:val="none" w:sz="0" w:space="0" w:color="auto"/>
      </w:pBdr>
      <w:spacing w:before="240" w:after="240"/>
      <w:ind w:left="216"/>
      <w:jc w:val="left"/>
    </w:pPr>
    <w:rPr>
      <w:rFonts w:ascii="Verdana" w:hAnsi="Verdana" w:cs="Times New Roman"/>
      <w:b/>
      <w:vanish w:val="0"/>
      <w:sz w:val="18"/>
      <w:szCs w:val="24"/>
    </w:rPr>
  </w:style>
  <w:style w:type="paragraph" w:customStyle="1" w:styleId="eof">
    <w:name w:val="eof"/>
    <w:basedOn w:val="z-TopofForm"/>
    <w:rsid w:val="003C036E"/>
    <w:pPr>
      <w:pBdr>
        <w:bottom w:val="none" w:sz="0" w:space="0" w:color="auto"/>
      </w:pBdr>
      <w:jc w:val="left"/>
    </w:pPr>
    <w:rPr>
      <w:rFonts w:ascii="Verdana" w:hAnsi="Verdana" w:cs="Times New Roman"/>
      <w:vanish w:val="0"/>
      <w:szCs w:val="24"/>
    </w:rPr>
  </w:style>
  <w:style w:type="paragraph" w:customStyle="1" w:styleId="Evidence">
    <w:name w:val="Evidence"/>
    <w:basedOn w:val="Comment"/>
    <w:rsid w:val="003C036E"/>
  </w:style>
  <w:style w:type="paragraph" w:customStyle="1" w:styleId="FigLeg">
    <w:name w:val="FigLeg"/>
    <w:basedOn w:val="z-TopofForm"/>
    <w:rsid w:val="003C036E"/>
    <w:pPr>
      <w:pBdr>
        <w:bottom w:val="none" w:sz="0" w:space="0" w:color="auto"/>
      </w:pBdr>
      <w:spacing w:before="60"/>
      <w:jc w:val="left"/>
    </w:pPr>
    <w:rPr>
      <w:rFonts w:ascii="Verdana" w:hAnsi="Verdana" w:cs="Times New Roman"/>
      <w:vanish w:val="0"/>
      <w:szCs w:val="24"/>
    </w:rPr>
  </w:style>
  <w:style w:type="paragraph" w:customStyle="1" w:styleId="FigCite">
    <w:name w:val="FigCite"/>
    <w:basedOn w:val="FigLeg"/>
    <w:rsid w:val="003C036E"/>
    <w:rPr>
      <w:i/>
    </w:rPr>
  </w:style>
  <w:style w:type="paragraph" w:customStyle="1" w:styleId="FigName">
    <w:name w:val="FigName"/>
    <w:basedOn w:val="FigLeg"/>
    <w:rsid w:val="003C036E"/>
    <w:rPr>
      <w:b/>
      <w:color w:val="808080"/>
    </w:rPr>
  </w:style>
  <w:style w:type="paragraph" w:customStyle="1" w:styleId="FigTitle">
    <w:name w:val="FigTitle"/>
    <w:basedOn w:val="FigLeg"/>
    <w:rsid w:val="003C036E"/>
    <w:pPr>
      <w:spacing w:before="240"/>
    </w:pPr>
    <w:rPr>
      <w:b/>
      <w:sz w:val="20"/>
    </w:rPr>
  </w:style>
  <w:style w:type="paragraph" w:customStyle="1" w:styleId="GlossDef">
    <w:name w:val="GlossDef"/>
    <w:basedOn w:val="z-TopofForm"/>
    <w:rsid w:val="003C036E"/>
    <w:pPr>
      <w:pBdr>
        <w:bottom w:val="none" w:sz="0" w:space="0" w:color="auto"/>
      </w:pBdr>
      <w:jc w:val="left"/>
    </w:pPr>
    <w:rPr>
      <w:rFonts w:ascii="Verdana" w:hAnsi="Verdana" w:cs="Times New Roman"/>
      <w:vanish w:val="0"/>
      <w:szCs w:val="24"/>
    </w:rPr>
  </w:style>
  <w:style w:type="paragraph" w:customStyle="1" w:styleId="GlossHead">
    <w:name w:val="GlossHead"/>
    <w:basedOn w:val="GlossDef"/>
    <w:rsid w:val="003C036E"/>
    <w:rPr>
      <w:b/>
      <w:sz w:val="20"/>
    </w:rPr>
  </w:style>
  <w:style w:type="paragraph" w:customStyle="1" w:styleId="GlossTerm">
    <w:name w:val="GlossTerm"/>
    <w:basedOn w:val="GlossDef"/>
    <w:rsid w:val="003C036E"/>
    <w:rPr>
      <w:b/>
    </w:rPr>
  </w:style>
  <w:style w:type="paragraph" w:customStyle="1" w:styleId="GuideTopText">
    <w:name w:val="GuideTopText"/>
    <w:basedOn w:val="z-TopofForm"/>
    <w:rsid w:val="003C036E"/>
    <w:pPr>
      <w:pBdr>
        <w:bottom w:val="none" w:sz="0" w:space="0" w:color="auto"/>
      </w:pBdr>
      <w:spacing w:before="240"/>
      <w:ind w:left="432" w:right="432"/>
    </w:pPr>
    <w:rPr>
      <w:rFonts w:ascii="Verdana" w:hAnsi="Verdana" w:cs="Times New Roman"/>
      <w:vanish w:val="0"/>
      <w:sz w:val="20"/>
      <w:szCs w:val="24"/>
    </w:rPr>
  </w:style>
  <w:style w:type="paragraph" w:customStyle="1" w:styleId="GuideSubHead">
    <w:name w:val="GuideSubHead"/>
    <w:basedOn w:val="GuideTopText"/>
    <w:rsid w:val="003C036E"/>
    <w:pPr>
      <w:spacing w:before="360" w:after="120"/>
      <w:ind w:left="0" w:right="0"/>
      <w:jc w:val="left"/>
    </w:pPr>
    <w:rPr>
      <w:b/>
    </w:rPr>
  </w:style>
  <w:style w:type="paragraph" w:customStyle="1" w:styleId="GuideSubText">
    <w:name w:val="GuideSubText"/>
    <w:basedOn w:val="GuideTopText"/>
    <w:rsid w:val="003C036E"/>
    <w:pPr>
      <w:spacing w:before="120"/>
      <w:ind w:left="0" w:right="0"/>
      <w:jc w:val="left"/>
    </w:pPr>
  </w:style>
  <w:style w:type="paragraph" w:customStyle="1" w:styleId="GuideTopFirst">
    <w:name w:val="GuideTopFirst"/>
    <w:basedOn w:val="GuideTopText"/>
    <w:rsid w:val="003C036E"/>
    <w:rPr>
      <w:b/>
      <w:sz w:val="28"/>
    </w:rPr>
  </w:style>
  <w:style w:type="paragraph" w:customStyle="1" w:styleId="GuideTopHead">
    <w:name w:val="GuideTopHead"/>
    <w:basedOn w:val="GuideTopText"/>
    <w:rsid w:val="003C036E"/>
    <w:pPr>
      <w:spacing w:before="480" w:after="240"/>
    </w:pPr>
    <w:rPr>
      <w:b/>
      <w:sz w:val="28"/>
    </w:rPr>
  </w:style>
  <w:style w:type="paragraph" w:customStyle="1" w:styleId="Keywords">
    <w:name w:val="Keywords"/>
    <w:basedOn w:val="z-TopofForm"/>
    <w:rsid w:val="003C036E"/>
    <w:pPr>
      <w:pBdr>
        <w:bottom w:val="none" w:sz="0" w:space="0" w:color="auto"/>
      </w:pBdr>
      <w:jc w:val="left"/>
    </w:pPr>
    <w:rPr>
      <w:rFonts w:ascii="Verdana" w:hAnsi="Verdana" w:cs="Times New Roman"/>
      <w:vanish w:val="0"/>
      <w:szCs w:val="24"/>
    </w:rPr>
  </w:style>
  <w:style w:type="paragraph" w:customStyle="1" w:styleId="ListItem1">
    <w:name w:val="ListItem1"/>
    <w:basedOn w:val="z-TopofForm"/>
    <w:rsid w:val="003C036E"/>
    <w:pPr>
      <w:numPr>
        <w:numId w:val="25"/>
      </w:numPr>
      <w:pBdr>
        <w:bottom w:val="none" w:sz="0" w:space="0" w:color="auto"/>
      </w:pBdr>
      <w:spacing w:before="60"/>
      <w:jc w:val="left"/>
    </w:pPr>
    <w:rPr>
      <w:rFonts w:ascii="Verdana" w:hAnsi="Verdana" w:cs="Times New Roman"/>
      <w:vanish w:val="0"/>
      <w:szCs w:val="24"/>
    </w:rPr>
  </w:style>
  <w:style w:type="paragraph" w:customStyle="1" w:styleId="ListItem2">
    <w:name w:val="ListItem2"/>
    <w:basedOn w:val="z-TopofForm"/>
    <w:rsid w:val="003C036E"/>
    <w:pPr>
      <w:numPr>
        <w:numId w:val="27"/>
      </w:numPr>
      <w:pBdr>
        <w:bottom w:val="none" w:sz="0" w:space="0" w:color="auto"/>
      </w:pBdr>
      <w:spacing w:before="60"/>
      <w:jc w:val="left"/>
    </w:pPr>
    <w:rPr>
      <w:rFonts w:ascii="Verdana" w:hAnsi="Verdana" w:cs="Times New Roman"/>
      <w:vanish w:val="0"/>
      <w:szCs w:val="24"/>
    </w:rPr>
  </w:style>
  <w:style w:type="paragraph" w:customStyle="1" w:styleId="ListItem3">
    <w:name w:val="ListItem3"/>
    <w:basedOn w:val="z-TopofForm"/>
    <w:rsid w:val="003C036E"/>
    <w:pPr>
      <w:numPr>
        <w:numId w:val="29"/>
      </w:numPr>
      <w:pBdr>
        <w:bottom w:val="none" w:sz="0" w:space="0" w:color="auto"/>
      </w:pBdr>
      <w:spacing w:before="60"/>
      <w:jc w:val="left"/>
    </w:pPr>
    <w:rPr>
      <w:rFonts w:ascii="Verdana" w:hAnsi="Verdana" w:cs="Times New Roman"/>
      <w:vanish w:val="0"/>
      <w:szCs w:val="24"/>
    </w:rPr>
  </w:style>
  <w:style w:type="paragraph" w:customStyle="1" w:styleId="ListItem4">
    <w:name w:val="ListItem4"/>
    <w:basedOn w:val="z-TopofForm"/>
    <w:rsid w:val="003C036E"/>
    <w:pPr>
      <w:numPr>
        <w:numId w:val="31"/>
      </w:numPr>
      <w:pBdr>
        <w:bottom w:val="none" w:sz="0" w:space="0" w:color="auto"/>
      </w:pBdr>
      <w:spacing w:before="60"/>
      <w:jc w:val="left"/>
    </w:pPr>
    <w:rPr>
      <w:rFonts w:ascii="Verdana" w:hAnsi="Verdana" w:cs="Times New Roman"/>
      <w:vanish w:val="0"/>
      <w:szCs w:val="24"/>
    </w:rPr>
  </w:style>
  <w:style w:type="paragraph" w:customStyle="1" w:styleId="ModTitle">
    <w:name w:val="ModTitle"/>
    <w:basedOn w:val="GuideTopFirst"/>
    <w:rsid w:val="003C036E"/>
    <w:pPr>
      <w:spacing w:before="480"/>
    </w:pPr>
    <w:rPr>
      <w:sz w:val="40"/>
    </w:rPr>
  </w:style>
  <w:style w:type="paragraph" w:customStyle="1" w:styleId="Quality">
    <w:name w:val="Quality"/>
    <w:basedOn w:val="z-TopofForm"/>
    <w:rsid w:val="003C036E"/>
    <w:pPr>
      <w:pBdr>
        <w:bottom w:val="none" w:sz="0" w:space="0" w:color="auto"/>
      </w:pBdr>
      <w:jc w:val="left"/>
    </w:pPr>
    <w:rPr>
      <w:rFonts w:ascii="Verdana" w:hAnsi="Verdana" w:cs="Times New Roman"/>
      <w:vanish w:val="0"/>
      <w:szCs w:val="24"/>
    </w:rPr>
  </w:style>
  <w:style w:type="paragraph" w:customStyle="1" w:styleId="Question">
    <w:name w:val="Question"/>
    <w:basedOn w:val="z-TopofForm"/>
    <w:rsid w:val="003C036E"/>
    <w:pPr>
      <w:numPr>
        <w:numId w:val="33"/>
      </w:numPr>
      <w:pBdr>
        <w:bottom w:val="none" w:sz="0" w:space="0" w:color="auto"/>
      </w:pBdr>
      <w:spacing w:before="120"/>
      <w:contextualSpacing/>
      <w:jc w:val="left"/>
    </w:pPr>
    <w:rPr>
      <w:rFonts w:ascii="Verdana" w:hAnsi="Verdana" w:cs="Times New Roman"/>
      <w:vanish w:val="0"/>
      <w:szCs w:val="24"/>
    </w:rPr>
  </w:style>
  <w:style w:type="paragraph" w:customStyle="1" w:styleId="Rationale">
    <w:name w:val="Rationale"/>
    <w:basedOn w:val="Comment"/>
    <w:rsid w:val="003C036E"/>
  </w:style>
  <w:style w:type="paragraph" w:customStyle="1" w:styleId="RefText">
    <w:name w:val="RefText"/>
    <w:basedOn w:val="z-TopofForm"/>
    <w:rsid w:val="003C036E"/>
    <w:pPr>
      <w:pBdr>
        <w:bottom w:val="none" w:sz="0" w:space="0" w:color="auto"/>
      </w:pBdr>
      <w:spacing w:before="120"/>
      <w:ind w:left="562" w:hanging="562"/>
      <w:jc w:val="left"/>
    </w:pPr>
    <w:rPr>
      <w:rFonts w:ascii="Verdana" w:hAnsi="Verdana" w:cs="Times New Roman"/>
      <w:vanish w:val="0"/>
      <w:szCs w:val="24"/>
    </w:rPr>
  </w:style>
  <w:style w:type="paragraph" w:customStyle="1" w:styleId="RefEvid">
    <w:name w:val="RefEvid"/>
    <w:basedOn w:val="RefText"/>
    <w:rsid w:val="003C036E"/>
  </w:style>
  <w:style w:type="paragraph" w:customStyle="1" w:styleId="RefHead">
    <w:name w:val="RefHead"/>
    <w:basedOn w:val="RefText"/>
    <w:rsid w:val="003C036E"/>
    <w:pPr>
      <w:jc w:val="center"/>
    </w:pPr>
    <w:rPr>
      <w:b/>
      <w:sz w:val="28"/>
    </w:rPr>
  </w:style>
  <w:style w:type="paragraph" w:customStyle="1" w:styleId="RefNum">
    <w:name w:val="RefNum"/>
    <w:basedOn w:val="RefText"/>
    <w:rsid w:val="003C036E"/>
  </w:style>
  <w:style w:type="paragraph" w:customStyle="1" w:styleId="RefType">
    <w:name w:val="RefType"/>
    <w:basedOn w:val="RefText"/>
    <w:rsid w:val="003C036E"/>
  </w:style>
  <w:style w:type="paragraph" w:customStyle="1" w:styleId="ResDescr">
    <w:name w:val="ResDescr"/>
    <w:basedOn w:val="z-TopofForm"/>
    <w:rsid w:val="003C036E"/>
    <w:pPr>
      <w:pBdr>
        <w:bottom w:val="none" w:sz="0" w:space="0" w:color="auto"/>
      </w:pBdr>
      <w:jc w:val="left"/>
    </w:pPr>
    <w:rPr>
      <w:rFonts w:ascii="Verdana" w:hAnsi="Verdana" w:cs="Times New Roman"/>
      <w:vanish w:val="0"/>
      <w:szCs w:val="24"/>
    </w:rPr>
  </w:style>
  <w:style w:type="paragraph" w:customStyle="1" w:styleId="ResId">
    <w:name w:val="ResId"/>
    <w:basedOn w:val="ResDescr"/>
    <w:rsid w:val="003C036E"/>
  </w:style>
  <w:style w:type="paragraph" w:customStyle="1" w:styleId="ResPub">
    <w:name w:val="ResPub"/>
    <w:basedOn w:val="ResDescr"/>
    <w:rsid w:val="003C036E"/>
    <w:rPr>
      <w:i/>
    </w:rPr>
  </w:style>
  <w:style w:type="paragraph" w:customStyle="1" w:styleId="ResSource">
    <w:name w:val="ResSource"/>
    <w:basedOn w:val="ResDescr"/>
    <w:rsid w:val="003C036E"/>
    <w:rPr>
      <w:b/>
    </w:rPr>
  </w:style>
  <w:style w:type="paragraph" w:customStyle="1" w:styleId="ResTitle">
    <w:name w:val="ResTitle"/>
    <w:basedOn w:val="ResDescr"/>
    <w:rsid w:val="003C036E"/>
  </w:style>
  <w:style w:type="paragraph" w:customStyle="1" w:styleId="ResType">
    <w:name w:val="ResType"/>
    <w:basedOn w:val="ResDescr"/>
    <w:rsid w:val="003C036E"/>
    <w:pPr>
      <w:spacing w:before="120"/>
    </w:pPr>
    <w:rPr>
      <w:b/>
    </w:rPr>
  </w:style>
  <w:style w:type="paragraph" w:customStyle="1" w:styleId="Specific">
    <w:name w:val="Specific"/>
    <w:basedOn w:val="Comment"/>
    <w:rsid w:val="003C036E"/>
    <w:pPr>
      <w:spacing w:before="120"/>
    </w:pPr>
  </w:style>
  <w:style w:type="paragraph" w:customStyle="1" w:styleId="TableFoot">
    <w:name w:val="TableFoot"/>
    <w:basedOn w:val="z-TopofForm"/>
    <w:rsid w:val="003C036E"/>
    <w:pPr>
      <w:pBdr>
        <w:bottom w:val="none" w:sz="0" w:space="0" w:color="auto"/>
      </w:pBdr>
      <w:jc w:val="left"/>
    </w:pPr>
    <w:rPr>
      <w:rFonts w:ascii="Verdana" w:hAnsi="Verdana" w:cs="Times New Roman"/>
      <w:vanish w:val="0"/>
      <w:szCs w:val="24"/>
    </w:rPr>
  </w:style>
  <w:style w:type="paragraph" w:customStyle="1" w:styleId="TableTitle">
    <w:name w:val="TableTitle"/>
    <w:basedOn w:val="z-TopofForm"/>
    <w:rsid w:val="003C036E"/>
    <w:pPr>
      <w:pBdr>
        <w:bottom w:val="none" w:sz="0" w:space="0" w:color="auto"/>
      </w:pBdr>
      <w:spacing w:before="480" w:after="120"/>
      <w:jc w:val="left"/>
    </w:pPr>
    <w:rPr>
      <w:rFonts w:ascii="Verdana" w:hAnsi="Verdana" w:cs="Times New Roman"/>
      <w:b/>
      <w:vanish w:val="0"/>
      <w:sz w:val="20"/>
      <w:szCs w:val="24"/>
    </w:rPr>
  </w:style>
  <w:style w:type="paragraph" w:customStyle="1" w:styleId="UpdateText">
    <w:name w:val="UpdateText"/>
    <w:basedOn w:val="z-TopofForm"/>
    <w:rsid w:val="003C036E"/>
    <w:pPr>
      <w:pBdr>
        <w:bottom w:val="none" w:sz="0" w:space="0" w:color="auto"/>
      </w:pBdr>
      <w:spacing w:before="120"/>
      <w:jc w:val="left"/>
    </w:pPr>
    <w:rPr>
      <w:rFonts w:ascii="Verdana" w:hAnsi="Verdana" w:cs="Times New Roman"/>
      <w:vanish w:val="0"/>
      <w:szCs w:val="24"/>
    </w:rPr>
  </w:style>
  <w:style w:type="paragraph" w:customStyle="1" w:styleId="UpdateDate">
    <w:name w:val="UpdateDate"/>
    <w:basedOn w:val="UpdateText"/>
    <w:rsid w:val="003C036E"/>
  </w:style>
  <w:style w:type="paragraph" w:customStyle="1" w:styleId="UpdateHead">
    <w:name w:val="UpdateHead"/>
    <w:basedOn w:val="UpdateText"/>
    <w:rsid w:val="003C036E"/>
    <w:rPr>
      <w:b/>
    </w:rPr>
  </w:style>
  <w:style w:type="character" w:customStyle="1" w:styleId="Char">
    <w:name w:val="Char"/>
    <w:rsid w:val="003C036E"/>
    <w:rPr>
      <w:rFonts w:ascii="Verdana" w:hAnsi="Verdana" w:cs="Courier New" w:hint="default"/>
      <w:sz w:val="16"/>
      <w:szCs w:val="24"/>
    </w:rPr>
  </w:style>
  <w:style w:type="paragraph" w:styleId="CommentText">
    <w:name w:val="annotation text"/>
    <w:basedOn w:val="Normal"/>
    <w:link w:val="CommentTextChar"/>
    <w:uiPriority w:val="99"/>
    <w:semiHidden/>
    <w:unhideWhenUsed/>
    <w:rsid w:val="000A6BE1"/>
  </w:style>
  <w:style w:type="character" w:customStyle="1" w:styleId="CommentTextChar">
    <w:name w:val="Comment Text Char"/>
    <w:link w:val="CommentText"/>
    <w:uiPriority w:val="99"/>
    <w:semiHidden/>
    <w:rsid w:val="000A6BE1"/>
    <w:rPr>
      <w:lang w:val="en-US" w:eastAsia="en-US"/>
    </w:rPr>
  </w:style>
  <w:style w:type="character" w:customStyle="1" w:styleId="EndNoteBibliographyChar">
    <w:name w:val="EndNote Bibliography Char"/>
    <w:link w:val="EndNoteBibliography"/>
    <w:locked/>
    <w:rsid w:val="000A6BE1"/>
    <w:rPr>
      <w:noProof/>
      <w:lang w:val="en-US" w:eastAsia="en-US"/>
    </w:rPr>
  </w:style>
  <w:style w:type="paragraph" w:customStyle="1" w:styleId="EndNoteBibliography">
    <w:name w:val="EndNote Bibliography"/>
    <w:basedOn w:val="Normal"/>
    <w:link w:val="EndNoteBibliographyChar"/>
    <w:rsid w:val="000A6BE1"/>
    <w:pPr>
      <w:jc w:val="both"/>
    </w:pPr>
    <w:rPr>
      <w:noProof/>
    </w:rPr>
  </w:style>
  <w:style w:type="character" w:styleId="CommentReference">
    <w:name w:val="annotation reference"/>
    <w:uiPriority w:val="99"/>
    <w:semiHidden/>
    <w:unhideWhenUsed/>
    <w:rsid w:val="000A6BE1"/>
    <w:rPr>
      <w:sz w:val="16"/>
      <w:szCs w:val="16"/>
    </w:rPr>
  </w:style>
  <w:style w:type="paragraph" w:customStyle="1" w:styleId="m3139822957496245546m1365370892947301765gmail-msoplaintext">
    <w:name w:val="m_3139822957496245546m1365370892947301765gmail-msoplaintext"/>
    <w:basedOn w:val="Normal"/>
    <w:uiPriority w:val="99"/>
    <w:semiHidden/>
    <w:rsid w:val="007E2897"/>
    <w:pPr>
      <w:spacing w:before="100" w:beforeAutospacing="1" w:after="100" w:afterAutospacing="1"/>
    </w:pPr>
    <w:rPr>
      <w:rFonts w:eastAsia="Calibri"/>
      <w:sz w:val="24"/>
      <w:szCs w:val="24"/>
      <w:lang w:val="en-GB" w:eastAsia="en-GB"/>
    </w:rPr>
  </w:style>
  <w:style w:type="character" w:customStyle="1" w:styleId="date">
    <w:name w:val="date"/>
    <w:rsid w:val="007E2897"/>
  </w:style>
  <w:style w:type="character" w:styleId="Emphasis">
    <w:name w:val="Emphasis"/>
    <w:uiPriority w:val="20"/>
    <w:qFormat/>
    <w:rsid w:val="00350C31"/>
    <w:rPr>
      <w:i/>
      <w:iCs/>
    </w:rPr>
  </w:style>
  <w:style w:type="paragraph" w:customStyle="1" w:styleId="gmail-msolistparagraph">
    <w:name w:val="gmail-msolistparagraph"/>
    <w:basedOn w:val="Normal"/>
    <w:rsid w:val="000E42FA"/>
    <w:pPr>
      <w:spacing w:before="100" w:beforeAutospacing="1" w:after="100" w:afterAutospacing="1"/>
    </w:pPr>
    <w:rPr>
      <w:rFonts w:eastAsia="Cambri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benson@addenbrookes.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4367</Words>
  <Characters>24896</Characters>
  <Application>Microsoft Office Word</Application>
  <DocSecurity>0</DocSecurity>
  <Lines>207</Lines>
  <Paragraphs>58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Radiotherapy in Early Breast Cancer</vt:lpstr>
      <vt:lpstr>Radiotherapy in Early Breast Cancer</vt:lpstr>
    </vt:vector>
  </TitlesOfParts>
  <Company>Addenbrookes Hospital</Company>
  <LinksUpToDate>false</LinksUpToDate>
  <CharactersWithSpaces>29205</CharactersWithSpaces>
  <SharedDoc>false</SharedDoc>
  <HLinks>
    <vt:vector size="6" baseType="variant">
      <vt:variant>
        <vt:i4>2490388</vt:i4>
      </vt:variant>
      <vt:variant>
        <vt:i4>0</vt:i4>
      </vt:variant>
      <vt:variant>
        <vt:i4>0</vt:i4>
      </vt:variant>
      <vt:variant>
        <vt:i4>5</vt:i4>
      </vt:variant>
      <vt:variant>
        <vt:lpwstr>mailto:john.benson@addenbrookes.nhs.uk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Radiotherapy in Early Breast Cancer</dc:title>
  <dc:subject/>
  <dc:creator>Dr Basil Matta</dc:creator>
  <cp:keywords/>
  <cp:lastModifiedBy>Blanshard, Lisa</cp:lastModifiedBy>
  <cp:revision>2</cp:revision>
  <cp:lastPrinted>2016-01-27T17:48:00Z</cp:lastPrinted>
  <dcterms:created xsi:type="dcterms:W3CDTF">2020-04-30T09:16:00Z</dcterms:created>
  <dcterms:modified xsi:type="dcterms:W3CDTF">2020-04-30T09:16:00Z</dcterms:modified>
</cp:coreProperties>
</file>