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8583" w14:textId="77777777" w:rsidR="005210C0" w:rsidRPr="00182575" w:rsidRDefault="005210C0" w:rsidP="005210C0">
      <w:pPr>
        <w:jc w:val="both"/>
        <w:rPr>
          <w:szCs w:val="22"/>
          <w:lang w:val="en-GB"/>
        </w:rPr>
      </w:pPr>
    </w:p>
    <w:p w14:paraId="32E9D93E" w14:textId="77777777" w:rsidR="005210C0" w:rsidRPr="00FB4CE5" w:rsidRDefault="005210C0" w:rsidP="00AA04D9">
      <w:pPr>
        <w:jc w:val="both"/>
        <w:rPr>
          <w:sz w:val="22"/>
          <w:szCs w:val="22"/>
          <w:lang w:val="en-GB"/>
        </w:rPr>
      </w:pPr>
    </w:p>
    <w:p w14:paraId="503FF384" w14:textId="77777777" w:rsidR="0079161F" w:rsidRPr="0060051A" w:rsidRDefault="0079161F" w:rsidP="005F55CB">
      <w:pPr>
        <w:widowControl w:val="0"/>
        <w:autoSpaceDE w:val="0"/>
        <w:autoSpaceDN w:val="0"/>
        <w:adjustRightInd w:val="0"/>
        <w:jc w:val="center"/>
        <w:rPr>
          <w:rFonts w:ascii="Georgia" w:hAnsi="Georgia"/>
          <w:b/>
          <w:bCs/>
          <w:sz w:val="16"/>
          <w:szCs w:val="16"/>
          <w:lang w:val="en-US" w:eastAsia="en-US"/>
        </w:rPr>
      </w:pPr>
    </w:p>
    <w:p w14:paraId="5E85855D" w14:textId="77777777" w:rsidR="00D74DC6" w:rsidRPr="0060051A" w:rsidRDefault="00D74DC6" w:rsidP="00D74DC6">
      <w:pPr>
        <w:jc w:val="both"/>
        <w:rPr>
          <w:sz w:val="16"/>
          <w:szCs w:val="16"/>
        </w:rPr>
      </w:pPr>
    </w:p>
    <w:p w14:paraId="1BAF5450" w14:textId="77777777" w:rsidR="000E2730" w:rsidRDefault="000E2730" w:rsidP="000F02BD">
      <w:pPr>
        <w:spacing w:line="276" w:lineRule="auto"/>
        <w:jc w:val="center"/>
        <w:rPr>
          <w:rFonts w:ascii="Georgia" w:hAnsi="Georgia"/>
          <w:b/>
          <w:sz w:val="20"/>
          <w:szCs w:val="20"/>
        </w:rPr>
      </w:pPr>
    </w:p>
    <w:p w14:paraId="5F28850F" w14:textId="77777777" w:rsidR="00246EE5" w:rsidRDefault="00D74DC6" w:rsidP="000F02BD">
      <w:pPr>
        <w:spacing w:line="276" w:lineRule="auto"/>
        <w:jc w:val="center"/>
        <w:rPr>
          <w:rFonts w:ascii="Georgia" w:hAnsi="Georgia"/>
          <w:b/>
          <w:sz w:val="20"/>
          <w:szCs w:val="20"/>
        </w:rPr>
      </w:pPr>
      <w:r>
        <w:rPr>
          <w:rFonts w:ascii="Georgia" w:hAnsi="Georgia"/>
          <w:b/>
          <w:sz w:val="20"/>
          <w:szCs w:val="20"/>
        </w:rPr>
        <w:t>“</w:t>
      </w:r>
      <w:r w:rsidR="000E2730">
        <w:rPr>
          <w:rFonts w:ascii="Georgia" w:hAnsi="Georgia"/>
          <w:b/>
          <w:sz w:val="20"/>
          <w:szCs w:val="20"/>
        </w:rPr>
        <w:t>BLACK COAT” SCOTTISH SPIES</w:t>
      </w:r>
      <w:r w:rsidR="00246EE5">
        <w:rPr>
          <w:rFonts w:ascii="Georgia" w:hAnsi="Georgia"/>
          <w:b/>
          <w:sz w:val="20"/>
          <w:szCs w:val="20"/>
        </w:rPr>
        <w:t xml:space="preserve">: </w:t>
      </w:r>
    </w:p>
    <w:p w14:paraId="097DB479" w14:textId="3C03217D" w:rsidR="000E2730" w:rsidRDefault="00246EE5" w:rsidP="000F02BD">
      <w:pPr>
        <w:spacing w:line="276" w:lineRule="auto"/>
        <w:jc w:val="center"/>
        <w:rPr>
          <w:rFonts w:ascii="Georgia" w:hAnsi="Georgia"/>
          <w:b/>
          <w:sz w:val="20"/>
          <w:szCs w:val="20"/>
        </w:rPr>
      </w:pPr>
      <w:r>
        <w:rPr>
          <w:rFonts w:ascii="Georgia" w:hAnsi="Georgia"/>
          <w:b/>
          <w:sz w:val="20"/>
          <w:szCs w:val="20"/>
        </w:rPr>
        <w:t xml:space="preserve">CLERICAL INFORMERS IN 1820 </w:t>
      </w:r>
    </w:p>
    <w:p w14:paraId="2EC3B967" w14:textId="77777777" w:rsidR="000F02BD" w:rsidRDefault="000F02BD" w:rsidP="00343BC9">
      <w:pPr>
        <w:spacing w:line="276" w:lineRule="auto"/>
        <w:jc w:val="center"/>
        <w:rPr>
          <w:rFonts w:ascii="Georgia" w:hAnsi="Georgia"/>
          <w:i/>
          <w:sz w:val="20"/>
          <w:szCs w:val="20"/>
        </w:rPr>
      </w:pPr>
    </w:p>
    <w:p w14:paraId="61DCA508" w14:textId="1C87A11C" w:rsidR="00A54BDE" w:rsidRDefault="00D74DC6" w:rsidP="00D74DC6">
      <w:pPr>
        <w:spacing w:line="276" w:lineRule="auto"/>
        <w:jc w:val="center"/>
        <w:rPr>
          <w:sz w:val="20"/>
        </w:rPr>
      </w:pPr>
      <w:r>
        <w:rPr>
          <w:rFonts w:ascii="Georgia" w:hAnsi="Georgia"/>
          <w:i/>
          <w:sz w:val="20"/>
          <w:szCs w:val="20"/>
        </w:rPr>
        <w:t>J</w:t>
      </w:r>
      <w:r w:rsidR="000E2730">
        <w:rPr>
          <w:rFonts w:ascii="Georgia" w:hAnsi="Georgia"/>
          <w:i/>
          <w:sz w:val="20"/>
          <w:szCs w:val="20"/>
        </w:rPr>
        <w:t>ohn Gardner</w:t>
      </w:r>
    </w:p>
    <w:p w14:paraId="15E101D1" w14:textId="77777777" w:rsidR="0060051A" w:rsidRPr="000E2730" w:rsidRDefault="0060051A" w:rsidP="000E2730">
      <w:pPr>
        <w:jc w:val="both"/>
        <w:rPr>
          <w:sz w:val="20"/>
          <w:szCs w:val="20"/>
        </w:rPr>
      </w:pPr>
    </w:p>
    <w:p w14:paraId="35842AA8" w14:textId="77777777" w:rsidR="00200DC1" w:rsidRPr="000E2730" w:rsidRDefault="00200DC1" w:rsidP="000E2730">
      <w:pPr>
        <w:jc w:val="both"/>
        <w:rPr>
          <w:color w:val="000000" w:themeColor="text1"/>
          <w:sz w:val="20"/>
          <w:szCs w:val="20"/>
        </w:rPr>
      </w:pPr>
    </w:p>
    <w:p w14:paraId="2A653491" w14:textId="0807F387" w:rsidR="00200DC1" w:rsidRPr="000E2730" w:rsidRDefault="00200DC1" w:rsidP="009E5221">
      <w:pPr>
        <w:jc w:val="both"/>
        <w:rPr>
          <w:color w:val="000000" w:themeColor="text1"/>
          <w:sz w:val="20"/>
          <w:szCs w:val="20"/>
        </w:rPr>
      </w:pPr>
      <w:r w:rsidRPr="000E2730">
        <w:rPr>
          <w:color w:val="000000" w:themeColor="text1"/>
          <w:sz w:val="20"/>
          <w:szCs w:val="20"/>
        </w:rPr>
        <w:t xml:space="preserve">This essay is about the existence of spies in Scotland in 1820. There is evidence that there were informers at work, and that contemporary literature identified some of the Scottish clergy as government agents. This essay </w:t>
      </w:r>
      <w:r w:rsidR="00023F3B">
        <w:rPr>
          <w:color w:val="000000" w:themeColor="text1"/>
          <w:sz w:val="20"/>
          <w:szCs w:val="20"/>
        </w:rPr>
        <w:t xml:space="preserve">reviews modern historical commentary </w:t>
      </w:r>
      <w:r w:rsidRPr="000E2730">
        <w:rPr>
          <w:color w:val="000000" w:themeColor="text1"/>
          <w:sz w:val="20"/>
          <w:szCs w:val="20"/>
        </w:rPr>
        <w:t>on the use of spies during the period of the risings</w:t>
      </w:r>
      <w:r w:rsidR="00023F3B">
        <w:rPr>
          <w:color w:val="000000" w:themeColor="text1"/>
          <w:sz w:val="20"/>
          <w:szCs w:val="20"/>
        </w:rPr>
        <w:t xml:space="preserve">, and then turns to </w:t>
      </w:r>
      <w:r w:rsidRPr="000E2730">
        <w:rPr>
          <w:color w:val="000000" w:themeColor="text1"/>
          <w:sz w:val="20"/>
          <w:szCs w:val="20"/>
        </w:rPr>
        <w:t xml:space="preserve">poetry </w:t>
      </w:r>
      <w:r w:rsidR="00023F3B">
        <w:rPr>
          <w:color w:val="000000" w:themeColor="text1"/>
          <w:sz w:val="20"/>
          <w:szCs w:val="20"/>
        </w:rPr>
        <w:t xml:space="preserve">from the period </w:t>
      </w:r>
      <w:r w:rsidRPr="000E2730">
        <w:rPr>
          <w:color w:val="000000" w:themeColor="text1"/>
          <w:sz w:val="20"/>
          <w:szCs w:val="20"/>
        </w:rPr>
        <w:t xml:space="preserve">by </w:t>
      </w:r>
      <w:r w:rsidR="00023F3B">
        <w:rPr>
          <w:color w:val="000000" w:themeColor="text1"/>
          <w:sz w:val="20"/>
          <w:szCs w:val="20"/>
        </w:rPr>
        <w:t xml:space="preserve">Janet Hamilton and </w:t>
      </w:r>
      <w:r w:rsidRPr="000E2730">
        <w:rPr>
          <w:color w:val="000000" w:themeColor="text1"/>
          <w:sz w:val="20"/>
          <w:szCs w:val="20"/>
        </w:rPr>
        <w:t xml:space="preserve">Alexander </w:t>
      </w:r>
      <w:r w:rsidR="004943B8">
        <w:rPr>
          <w:color w:val="000000" w:themeColor="text1"/>
          <w:sz w:val="20"/>
          <w:szCs w:val="20"/>
        </w:rPr>
        <w:t xml:space="preserve">Rodger </w:t>
      </w:r>
      <w:r w:rsidRPr="000E2730">
        <w:rPr>
          <w:color w:val="000000" w:themeColor="text1"/>
          <w:sz w:val="20"/>
          <w:szCs w:val="20"/>
        </w:rPr>
        <w:t xml:space="preserve">that insists </w:t>
      </w:r>
      <w:r w:rsidR="004943B8">
        <w:rPr>
          <w:color w:val="000000" w:themeColor="text1"/>
          <w:sz w:val="20"/>
          <w:szCs w:val="20"/>
        </w:rPr>
        <w:t xml:space="preserve">that </w:t>
      </w:r>
      <w:r w:rsidR="00023F3B">
        <w:rPr>
          <w:color w:val="000000" w:themeColor="text1"/>
          <w:sz w:val="20"/>
          <w:szCs w:val="20"/>
        </w:rPr>
        <w:t>spies were used</w:t>
      </w:r>
      <w:r w:rsidR="004943B8">
        <w:rPr>
          <w:color w:val="000000" w:themeColor="text1"/>
          <w:sz w:val="20"/>
          <w:szCs w:val="20"/>
        </w:rPr>
        <w:t xml:space="preserve">, including clergymen. </w:t>
      </w:r>
      <w:r w:rsidR="00023F3B">
        <w:rPr>
          <w:color w:val="000000" w:themeColor="text1"/>
          <w:sz w:val="20"/>
          <w:szCs w:val="20"/>
        </w:rPr>
        <w:t xml:space="preserve"> </w:t>
      </w:r>
      <w:r w:rsidRPr="000E2730">
        <w:rPr>
          <w:color w:val="000000" w:themeColor="text1"/>
          <w:sz w:val="20"/>
          <w:szCs w:val="20"/>
        </w:rPr>
        <w:t xml:space="preserve">Finally, I examine evidence of </w:t>
      </w:r>
      <w:r w:rsidR="004943B8">
        <w:rPr>
          <w:color w:val="000000" w:themeColor="text1"/>
          <w:sz w:val="20"/>
          <w:szCs w:val="20"/>
        </w:rPr>
        <w:t xml:space="preserve">clerical </w:t>
      </w:r>
      <w:r w:rsidRPr="000E2730">
        <w:rPr>
          <w:color w:val="000000" w:themeColor="text1"/>
          <w:sz w:val="20"/>
          <w:szCs w:val="20"/>
        </w:rPr>
        <w:t xml:space="preserve">espionage from the National Archives at Kew. </w:t>
      </w:r>
    </w:p>
    <w:p w14:paraId="6DB21D44" w14:textId="36F0D567" w:rsidR="002579BB" w:rsidRDefault="00C12B94" w:rsidP="009E5221">
      <w:pPr>
        <w:jc w:val="both"/>
        <w:rPr>
          <w:i/>
          <w:iCs/>
          <w:sz w:val="20"/>
          <w:szCs w:val="20"/>
        </w:rPr>
      </w:pPr>
      <w:r>
        <w:rPr>
          <w:color w:val="000000" w:themeColor="text1"/>
          <w:sz w:val="20"/>
          <w:szCs w:val="20"/>
        </w:rPr>
        <w:tab/>
      </w:r>
      <w:r w:rsidR="00200DC1" w:rsidRPr="000E2730">
        <w:rPr>
          <w:color w:val="000000" w:themeColor="text1"/>
          <w:sz w:val="20"/>
          <w:szCs w:val="20"/>
        </w:rPr>
        <w:t xml:space="preserve">While it has been established that spies and informers were at work during the Cato Street Conspiracy in London, there are still conflicting views </w:t>
      </w:r>
      <w:r w:rsidR="00200DC1" w:rsidRPr="002579BB">
        <w:rPr>
          <w:color w:val="000000" w:themeColor="text1"/>
          <w:sz w:val="20"/>
          <w:szCs w:val="20"/>
        </w:rPr>
        <w:t>on the use of spies around the time of the risings in Scotland.</w:t>
      </w:r>
      <w:r w:rsidR="002579BB">
        <w:rPr>
          <w:rStyle w:val="FootnoteReference"/>
          <w:color w:val="000000" w:themeColor="text1"/>
          <w:sz w:val="20"/>
          <w:szCs w:val="20"/>
        </w:rPr>
        <w:footnoteReference w:id="1"/>
      </w:r>
      <w:r w:rsidR="00200DC1" w:rsidRPr="002579BB">
        <w:rPr>
          <w:color w:val="000000" w:themeColor="text1"/>
          <w:sz w:val="20"/>
          <w:szCs w:val="20"/>
        </w:rPr>
        <w:t xml:space="preserve"> </w:t>
      </w:r>
      <w:r w:rsidR="002579BB" w:rsidRPr="002579BB">
        <w:rPr>
          <w:color w:val="000000" w:themeColor="text1"/>
          <w:sz w:val="20"/>
          <w:szCs w:val="20"/>
        </w:rPr>
        <w:t xml:space="preserve">Underlying the disputes is how much to trust the influential early account by Peter Mackenzie in his </w:t>
      </w:r>
      <w:r w:rsidR="002579BB" w:rsidRPr="002579BB">
        <w:rPr>
          <w:i/>
          <w:iCs/>
          <w:sz w:val="20"/>
          <w:szCs w:val="20"/>
        </w:rPr>
        <w:t>An Exposure of the Spy System Pursued in Glasgow</w:t>
      </w:r>
    </w:p>
    <w:p w14:paraId="5119F901" w14:textId="1F16ABDD" w:rsidR="00200DC1" w:rsidRPr="000E2730" w:rsidRDefault="002579BB" w:rsidP="009E5221">
      <w:pPr>
        <w:jc w:val="both"/>
        <w:rPr>
          <w:color w:val="000000" w:themeColor="text1"/>
          <w:sz w:val="20"/>
          <w:szCs w:val="20"/>
        </w:rPr>
      </w:pPr>
      <w:r w:rsidRPr="002579BB">
        <w:rPr>
          <w:sz w:val="20"/>
          <w:szCs w:val="20"/>
        </w:rPr>
        <w:t>(1835).</w:t>
      </w:r>
      <w:r w:rsidRPr="002579BB">
        <w:rPr>
          <w:rStyle w:val="FootnoteReference"/>
          <w:sz w:val="20"/>
          <w:szCs w:val="20"/>
        </w:rPr>
        <w:footnoteReference w:id="2"/>
      </w:r>
      <w:r w:rsidR="009B4754">
        <w:rPr>
          <w:sz w:val="20"/>
          <w:szCs w:val="20"/>
        </w:rPr>
        <w:t xml:space="preserve"> </w:t>
      </w:r>
      <w:r w:rsidR="00200DC1" w:rsidRPr="002579BB">
        <w:rPr>
          <w:color w:val="000000" w:themeColor="text1"/>
          <w:sz w:val="20"/>
          <w:szCs w:val="20"/>
          <w:shd w:val="clear" w:color="auto" w:fill="FFFFFF"/>
          <w:lang w:eastAsia="en-GB"/>
        </w:rPr>
        <w:t xml:space="preserve">F. K. Donnelly </w:t>
      </w:r>
      <w:r w:rsidR="009B4754">
        <w:rPr>
          <w:color w:val="000000" w:themeColor="text1"/>
          <w:sz w:val="20"/>
          <w:szCs w:val="20"/>
          <w:shd w:val="clear" w:color="auto" w:fill="FFFFFF"/>
          <w:lang w:eastAsia="en-GB"/>
        </w:rPr>
        <w:t>distinguishes two ways of interpreting the 1820 Scottish: f</w:t>
      </w:r>
      <w:r w:rsidR="00200DC1" w:rsidRPr="002579BB">
        <w:rPr>
          <w:color w:val="000000" w:themeColor="text1"/>
          <w:sz w:val="20"/>
          <w:szCs w:val="20"/>
          <w:shd w:val="clear" w:color="auto" w:fill="FFFFFF"/>
          <w:lang w:eastAsia="en-GB"/>
        </w:rPr>
        <w:t xml:space="preserve">irst, </w:t>
      </w:r>
      <w:r w:rsidR="00C12B94" w:rsidRPr="002579BB">
        <w:rPr>
          <w:color w:val="000000" w:themeColor="text1"/>
          <w:sz w:val="20"/>
          <w:szCs w:val="20"/>
          <w:shd w:val="clear" w:color="auto" w:fill="FFFFFF"/>
          <w:lang w:eastAsia="en-GB"/>
        </w:rPr>
        <w:t>“</w:t>
      </w:r>
      <w:r w:rsidR="00200DC1" w:rsidRPr="002579BB">
        <w:rPr>
          <w:color w:val="000000" w:themeColor="text1"/>
          <w:sz w:val="20"/>
          <w:szCs w:val="20"/>
          <w:shd w:val="clear" w:color="auto" w:fill="FFFFFF"/>
          <w:lang w:eastAsia="en-GB"/>
        </w:rPr>
        <w:t>the nationalist view asserts that the general rising in Scotland was a</w:t>
      </w:r>
      <w:r w:rsidR="00200DC1" w:rsidRPr="000E2730">
        <w:rPr>
          <w:color w:val="000000" w:themeColor="text1"/>
          <w:sz w:val="20"/>
          <w:szCs w:val="20"/>
          <w:shd w:val="clear" w:color="auto" w:fill="FFFFFF"/>
          <w:lang w:eastAsia="en-GB"/>
        </w:rPr>
        <w:t xml:space="preserve"> secessionist or separatist movement of Celtic liberation</w:t>
      </w:r>
      <w:r w:rsidR="00C12B94">
        <w:rPr>
          <w:color w:val="000000" w:themeColor="text1"/>
          <w:sz w:val="20"/>
          <w:szCs w:val="20"/>
          <w:shd w:val="clear" w:color="auto" w:fill="FFFFFF"/>
          <w:lang w:eastAsia="en-GB"/>
        </w:rPr>
        <w:t>,” while, second, “</w:t>
      </w:r>
      <w:r w:rsidR="00200DC1" w:rsidRPr="000E2730">
        <w:rPr>
          <w:color w:val="000000" w:themeColor="text1"/>
          <w:sz w:val="20"/>
          <w:szCs w:val="20"/>
          <w:shd w:val="clear" w:color="auto" w:fill="FFFFFF"/>
          <w:lang w:eastAsia="en-GB"/>
        </w:rPr>
        <w:t xml:space="preserve">the rising is thought to have been triggered by the activities of </w:t>
      </w:r>
      <w:r w:rsidR="00C12B94">
        <w:rPr>
          <w:color w:val="000000" w:themeColor="text1"/>
          <w:sz w:val="20"/>
          <w:szCs w:val="20"/>
          <w:shd w:val="clear" w:color="auto" w:fill="FFFFFF"/>
          <w:lang w:eastAsia="en-GB"/>
        </w:rPr>
        <w:t>‘</w:t>
      </w:r>
      <w:r w:rsidR="00200DC1" w:rsidRPr="000E2730">
        <w:rPr>
          <w:color w:val="000000" w:themeColor="text1"/>
          <w:sz w:val="20"/>
          <w:szCs w:val="20"/>
          <w:shd w:val="clear" w:color="auto" w:fill="FFFFFF"/>
          <w:lang w:eastAsia="en-GB"/>
        </w:rPr>
        <w:t>agents provocateurs</w:t>
      </w:r>
      <w:r w:rsidR="00C12B94">
        <w:rPr>
          <w:color w:val="000000" w:themeColor="text1"/>
          <w:sz w:val="20"/>
          <w:szCs w:val="20"/>
          <w:shd w:val="clear" w:color="auto" w:fill="FFFFFF"/>
          <w:lang w:eastAsia="en-GB"/>
        </w:rPr>
        <w:t>’</w:t>
      </w:r>
      <w:r w:rsidR="00200DC1" w:rsidRPr="000E2730">
        <w:rPr>
          <w:color w:val="000000" w:themeColor="text1"/>
          <w:sz w:val="20"/>
          <w:szCs w:val="20"/>
          <w:shd w:val="clear" w:color="auto" w:fill="FFFFFF"/>
          <w:lang w:eastAsia="en-GB"/>
        </w:rPr>
        <w:t xml:space="preserve"> working on behalf of the central government in London</w:t>
      </w:r>
      <w:r w:rsidR="00C12B94">
        <w:rPr>
          <w:color w:val="000000" w:themeColor="text1"/>
          <w:sz w:val="20"/>
          <w:szCs w:val="20"/>
          <w:shd w:val="clear" w:color="auto" w:fill="FFFFFF"/>
          <w:lang w:eastAsia="en-GB"/>
        </w:rPr>
        <w:t>.”</w:t>
      </w:r>
      <w:r w:rsidR="00200DC1" w:rsidRPr="000E2730">
        <w:rPr>
          <w:rStyle w:val="FootnoteReference"/>
          <w:color w:val="000000" w:themeColor="text1"/>
          <w:sz w:val="20"/>
          <w:szCs w:val="20"/>
          <w:shd w:val="clear" w:color="auto" w:fill="FFFFFF"/>
          <w:lang w:eastAsia="en-GB"/>
        </w:rPr>
        <w:footnoteReference w:id="3"/>
      </w:r>
      <w:r w:rsidR="00200DC1" w:rsidRPr="000E2730">
        <w:rPr>
          <w:color w:val="000000" w:themeColor="text1"/>
          <w:sz w:val="20"/>
          <w:szCs w:val="20"/>
          <w:shd w:val="clear" w:color="auto" w:fill="FFFFFF"/>
          <w:lang w:eastAsia="en-GB"/>
        </w:rPr>
        <w:t xml:space="preserve"> Donnelly states that </w:t>
      </w:r>
      <w:r w:rsidR="00E265FE">
        <w:rPr>
          <w:color w:val="000000" w:themeColor="text1"/>
          <w:sz w:val="20"/>
          <w:szCs w:val="20"/>
          <w:shd w:val="clear" w:color="auto" w:fill="FFFFFF"/>
          <w:lang w:eastAsia="en-GB"/>
        </w:rPr>
        <w:t>“</w:t>
      </w:r>
      <w:r w:rsidR="00200DC1" w:rsidRPr="000E2730">
        <w:rPr>
          <w:color w:val="000000" w:themeColor="text1"/>
          <w:sz w:val="20"/>
          <w:szCs w:val="20"/>
          <w:shd w:val="clear" w:color="auto" w:fill="FFFFFF"/>
          <w:lang w:eastAsia="en-GB"/>
        </w:rPr>
        <w:t>the later claim is based on the writings of one Peter Mackenzie whose views are not borne out by the official records of either the Home Office or the Scottish authorities</w:t>
      </w:r>
      <w:r w:rsidR="00E265FE">
        <w:rPr>
          <w:color w:val="000000" w:themeColor="text1"/>
          <w:sz w:val="20"/>
          <w:szCs w:val="20"/>
          <w:shd w:val="clear" w:color="auto" w:fill="FFFFFF"/>
          <w:lang w:eastAsia="en-GB"/>
        </w:rPr>
        <w:t>” (</w:t>
      </w:r>
      <w:r w:rsidR="00E265FE" w:rsidRPr="00E265FE">
        <w:rPr>
          <w:i/>
          <w:iCs/>
          <w:color w:val="000000" w:themeColor="text1"/>
          <w:sz w:val="20"/>
          <w:szCs w:val="20"/>
          <w:shd w:val="clear" w:color="auto" w:fill="FFFFFF"/>
          <w:lang w:eastAsia="en-GB"/>
        </w:rPr>
        <w:t>ibid.</w:t>
      </w:r>
      <w:r w:rsidR="00E265FE">
        <w:rPr>
          <w:color w:val="000000" w:themeColor="text1"/>
          <w:sz w:val="20"/>
          <w:szCs w:val="20"/>
          <w:shd w:val="clear" w:color="auto" w:fill="FFFFFF"/>
          <w:lang w:eastAsia="en-GB"/>
        </w:rPr>
        <w:t>)</w:t>
      </w:r>
      <w:r w:rsidR="00200DC1" w:rsidRPr="000E2730">
        <w:rPr>
          <w:color w:val="000000" w:themeColor="text1"/>
          <w:sz w:val="20"/>
          <w:szCs w:val="20"/>
          <w:shd w:val="clear" w:color="auto" w:fill="FFFFFF"/>
          <w:lang w:eastAsia="en-GB"/>
        </w:rPr>
        <w:t xml:space="preserve">. </w:t>
      </w:r>
      <w:r w:rsidR="00CE272A">
        <w:rPr>
          <w:color w:val="000000" w:themeColor="text1"/>
          <w:sz w:val="20"/>
          <w:szCs w:val="20"/>
          <w:shd w:val="clear" w:color="auto" w:fill="FFFFFF"/>
          <w:lang w:eastAsia="en-GB"/>
        </w:rPr>
        <w:t xml:space="preserve"> </w:t>
      </w:r>
      <w:r w:rsidR="00200DC1" w:rsidRPr="000E2730">
        <w:rPr>
          <w:color w:val="000000" w:themeColor="text1"/>
          <w:sz w:val="20"/>
          <w:szCs w:val="20"/>
          <w:shd w:val="clear" w:color="auto" w:fill="FFFFFF"/>
          <w:lang w:eastAsia="en-GB"/>
        </w:rPr>
        <w:t xml:space="preserve">I will come back to those records. </w:t>
      </w:r>
      <w:r>
        <w:rPr>
          <w:color w:val="000000" w:themeColor="text1"/>
          <w:sz w:val="20"/>
          <w:szCs w:val="20"/>
          <w:shd w:val="clear" w:color="auto" w:fill="FFFFFF"/>
          <w:lang w:eastAsia="en-GB"/>
        </w:rPr>
        <w:t xml:space="preserve">To support </w:t>
      </w:r>
      <w:proofErr w:type="spellStart"/>
      <w:r>
        <w:rPr>
          <w:color w:val="000000" w:themeColor="text1"/>
          <w:sz w:val="20"/>
          <w:szCs w:val="20"/>
          <w:shd w:val="clear" w:color="auto" w:fill="FFFFFF"/>
          <w:lang w:eastAsia="en-GB"/>
        </w:rPr>
        <w:t>his</w:t>
      </w:r>
      <w:proofErr w:type="spellEnd"/>
      <w:r>
        <w:rPr>
          <w:color w:val="000000" w:themeColor="text1"/>
          <w:sz w:val="20"/>
          <w:szCs w:val="20"/>
          <w:shd w:val="clear" w:color="auto" w:fill="FFFFFF"/>
          <w:lang w:eastAsia="en-GB"/>
        </w:rPr>
        <w:t xml:space="preserve"> </w:t>
      </w:r>
      <w:proofErr w:type="spellStart"/>
      <w:r>
        <w:rPr>
          <w:color w:val="000000" w:themeColor="text1"/>
          <w:sz w:val="20"/>
          <w:szCs w:val="20"/>
          <w:shd w:val="clear" w:color="auto" w:fill="FFFFFF"/>
          <w:lang w:eastAsia="en-GB"/>
        </w:rPr>
        <w:t>view</w:t>
      </w:r>
      <w:proofErr w:type="spellEnd"/>
      <w:r>
        <w:rPr>
          <w:color w:val="000000" w:themeColor="text1"/>
          <w:sz w:val="20"/>
          <w:szCs w:val="20"/>
          <w:shd w:val="clear" w:color="auto" w:fill="FFFFFF"/>
          <w:lang w:eastAsia="en-GB"/>
        </w:rPr>
        <w:t xml:space="preserve">, </w:t>
      </w:r>
      <w:proofErr w:type="spellStart"/>
      <w:r>
        <w:rPr>
          <w:color w:val="000000" w:themeColor="text1"/>
          <w:sz w:val="20"/>
          <w:szCs w:val="20"/>
          <w:shd w:val="clear" w:color="auto" w:fill="FFFFFF"/>
          <w:lang w:eastAsia="en-GB"/>
        </w:rPr>
        <w:t>Donnelly</w:t>
      </w:r>
      <w:proofErr w:type="spellEnd"/>
      <w:r>
        <w:rPr>
          <w:color w:val="000000" w:themeColor="text1"/>
          <w:sz w:val="20"/>
          <w:szCs w:val="20"/>
          <w:shd w:val="clear" w:color="auto" w:fill="FFFFFF"/>
          <w:lang w:eastAsia="en-GB"/>
        </w:rPr>
        <w:t xml:space="preserve"> </w:t>
      </w:r>
      <w:proofErr w:type="spellStart"/>
      <w:r w:rsidR="00E265FE">
        <w:rPr>
          <w:color w:val="000000" w:themeColor="text1"/>
          <w:sz w:val="20"/>
          <w:szCs w:val="20"/>
        </w:rPr>
        <w:t>cites</w:t>
      </w:r>
      <w:proofErr w:type="spellEnd"/>
      <w:r w:rsidR="00E265FE">
        <w:rPr>
          <w:color w:val="000000" w:themeColor="text1"/>
          <w:sz w:val="20"/>
          <w:szCs w:val="20"/>
        </w:rPr>
        <w:t xml:space="preserve"> </w:t>
      </w:r>
      <w:r>
        <w:rPr>
          <w:color w:val="000000" w:themeColor="text1"/>
          <w:sz w:val="20"/>
          <w:szCs w:val="20"/>
        </w:rPr>
        <w:t xml:space="preserve">a </w:t>
      </w:r>
      <w:proofErr w:type="spellStart"/>
      <w:r>
        <w:rPr>
          <w:color w:val="000000" w:themeColor="text1"/>
          <w:sz w:val="20"/>
          <w:szCs w:val="20"/>
        </w:rPr>
        <w:t>brilliant</w:t>
      </w:r>
      <w:proofErr w:type="spellEnd"/>
      <w:r>
        <w:rPr>
          <w:color w:val="000000" w:themeColor="text1"/>
          <w:sz w:val="20"/>
          <w:szCs w:val="20"/>
        </w:rPr>
        <w:t xml:space="preserve"> </w:t>
      </w:r>
      <w:r w:rsidR="009B4754">
        <w:rPr>
          <w:color w:val="000000" w:themeColor="text1"/>
          <w:sz w:val="20"/>
          <w:szCs w:val="20"/>
        </w:rPr>
        <w:t xml:space="preserve">and </w:t>
      </w:r>
      <w:proofErr w:type="spellStart"/>
      <w:r w:rsidR="009B4754">
        <w:rPr>
          <w:color w:val="000000" w:themeColor="text1"/>
          <w:sz w:val="20"/>
          <w:szCs w:val="20"/>
        </w:rPr>
        <w:lastRenderedPageBreak/>
        <w:t>influential</w:t>
      </w:r>
      <w:proofErr w:type="spellEnd"/>
      <w:r w:rsidR="009B4754">
        <w:rPr>
          <w:color w:val="000000" w:themeColor="text1"/>
          <w:sz w:val="20"/>
          <w:szCs w:val="20"/>
        </w:rPr>
        <w:t xml:space="preserve"> </w:t>
      </w:r>
      <w:proofErr w:type="spellStart"/>
      <w:r w:rsidRPr="000E2730">
        <w:rPr>
          <w:color w:val="000000" w:themeColor="text1"/>
          <w:sz w:val="20"/>
          <w:szCs w:val="20"/>
        </w:rPr>
        <w:t>PhD</w:t>
      </w:r>
      <w:proofErr w:type="spellEnd"/>
      <w:r w:rsidRPr="000E2730">
        <w:rPr>
          <w:color w:val="000000" w:themeColor="text1"/>
          <w:sz w:val="20"/>
          <w:szCs w:val="20"/>
        </w:rPr>
        <w:t xml:space="preserve"> </w:t>
      </w:r>
      <w:proofErr w:type="spellStart"/>
      <w:r w:rsidRPr="000E2730">
        <w:rPr>
          <w:color w:val="000000" w:themeColor="text1"/>
          <w:sz w:val="20"/>
          <w:szCs w:val="20"/>
        </w:rPr>
        <w:t>thesis</w:t>
      </w:r>
      <w:proofErr w:type="spellEnd"/>
      <w:r>
        <w:rPr>
          <w:color w:val="000000" w:themeColor="text1"/>
          <w:sz w:val="20"/>
          <w:szCs w:val="20"/>
        </w:rPr>
        <w:t xml:space="preserve"> by </w:t>
      </w:r>
      <w:r w:rsidR="00200DC1" w:rsidRPr="000E2730">
        <w:rPr>
          <w:color w:val="000000" w:themeColor="text1"/>
          <w:sz w:val="20"/>
          <w:szCs w:val="20"/>
        </w:rPr>
        <w:t>William Roach</w:t>
      </w:r>
      <w:r>
        <w:rPr>
          <w:color w:val="000000" w:themeColor="text1"/>
          <w:sz w:val="20"/>
          <w:szCs w:val="20"/>
        </w:rPr>
        <w:t xml:space="preserve">, saying Roach has </w:t>
      </w:r>
      <w:r w:rsidR="00E265FE">
        <w:rPr>
          <w:color w:val="000000" w:themeColor="text1"/>
          <w:sz w:val="20"/>
          <w:szCs w:val="20"/>
        </w:rPr>
        <w:t>“</w:t>
      </w:r>
      <w:r w:rsidR="00200DC1" w:rsidRPr="000E2730">
        <w:rPr>
          <w:color w:val="000000" w:themeColor="text1"/>
          <w:sz w:val="20"/>
          <w:szCs w:val="20"/>
        </w:rPr>
        <w:t xml:space="preserve">completely discredited Mackenzie as a reliable chronicler of these events and at the same time exonerated Alexander Richmond, the Glasgow weaver accused of being a government </w:t>
      </w:r>
      <w:r w:rsidR="00E265FE">
        <w:rPr>
          <w:color w:val="000000" w:themeColor="text1"/>
          <w:sz w:val="20"/>
          <w:szCs w:val="20"/>
        </w:rPr>
        <w:t>‘</w:t>
      </w:r>
      <w:r w:rsidR="00200DC1" w:rsidRPr="000E2730">
        <w:rPr>
          <w:color w:val="000000" w:themeColor="text1"/>
          <w:sz w:val="20"/>
          <w:szCs w:val="20"/>
        </w:rPr>
        <w:t>agent provocateur</w:t>
      </w:r>
      <w:r w:rsidR="00E265FE">
        <w:rPr>
          <w:color w:val="000000" w:themeColor="text1"/>
          <w:sz w:val="20"/>
          <w:szCs w:val="20"/>
        </w:rPr>
        <w:t>’” (</w:t>
      </w:r>
      <w:r w:rsidR="00E265FE" w:rsidRPr="00E265FE">
        <w:rPr>
          <w:i/>
          <w:iCs/>
          <w:color w:val="000000" w:themeColor="text1"/>
          <w:sz w:val="20"/>
          <w:szCs w:val="20"/>
        </w:rPr>
        <w:t>ibid.</w:t>
      </w:r>
      <w:r w:rsidR="00E265FE">
        <w:rPr>
          <w:color w:val="000000" w:themeColor="text1"/>
          <w:sz w:val="20"/>
          <w:szCs w:val="20"/>
        </w:rPr>
        <w:t>).</w:t>
      </w:r>
      <w:r w:rsidR="00200DC1" w:rsidRPr="000E2730">
        <w:rPr>
          <w:color w:val="000000" w:themeColor="text1"/>
          <w:sz w:val="20"/>
          <w:szCs w:val="20"/>
        </w:rPr>
        <w:t xml:space="preserve"> Roach </w:t>
      </w:r>
      <w:r w:rsidR="00E265FE">
        <w:rPr>
          <w:color w:val="000000" w:themeColor="text1"/>
          <w:sz w:val="20"/>
          <w:szCs w:val="20"/>
        </w:rPr>
        <w:t xml:space="preserve">had </w:t>
      </w:r>
      <w:r w:rsidR="005D5676">
        <w:rPr>
          <w:color w:val="000000" w:themeColor="text1"/>
          <w:sz w:val="20"/>
          <w:szCs w:val="20"/>
        </w:rPr>
        <w:t xml:space="preserve">allowed that </w:t>
      </w:r>
      <w:r w:rsidR="00E265FE">
        <w:rPr>
          <w:color w:val="000000" w:themeColor="text1"/>
          <w:sz w:val="20"/>
          <w:szCs w:val="20"/>
        </w:rPr>
        <w:t>“</w:t>
      </w:r>
      <w:r w:rsidR="00200DC1" w:rsidRPr="000E2730">
        <w:rPr>
          <w:color w:val="000000" w:themeColor="text1"/>
          <w:sz w:val="20"/>
          <w:szCs w:val="20"/>
        </w:rPr>
        <w:t>a spy system might have been organised by Kirkman Finlay and James Reddie</w:t>
      </w:r>
      <w:r w:rsidR="00C12B94">
        <w:rPr>
          <w:color w:val="000000" w:themeColor="text1"/>
          <w:sz w:val="20"/>
          <w:szCs w:val="20"/>
        </w:rPr>
        <w:t>,”</w:t>
      </w:r>
      <w:r w:rsidR="00200DC1" w:rsidRPr="000E2730">
        <w:rPr>
          <w:color w:val="000000" w:themeColor="text1"/>
          <w:sz w:val="20"/>
          <w:szCs w:val="20"/>
        </w:rPr>
        <w:t xml:space="preserve"> </w:t>
      </w:r>
      <w:r w:rsidR="00C12B94">
        <w:rPr>
          <w:color w:val="000000" w:themeColor="text1"/>
          <w:sz w:val="20"/>
          <w:szCs w:val="20"/>
        </w:rPr>
        <w:t xml:space="preserve">and that </w:t>
      </w:r>
      <w:r w:rsidR="00200DC1" w:rsidRPr="000E2730">
        <w:rPr>
          <w:color w:val="000000" w:themeColor="text1"/>
          <w:sz w:val="20"/>
          <w:szCs w:val="20"/>
        </w:rPr>
        <w:t>Finlay, an MP</w:t>
      </w:r>
      <w:r w:rsidR="00E265FE">
        <w:rPr>
          <w:color w:val="000000" w:themeColor="text1"/>
          <w:sz w:val="20"/>
          <w:szCs w:val="20"/>
        </w:rPr>
        <w:t>,</w:t>
      </w:r>
      <w:r w:rsidR="00200DC1" w:rsidRPr="000E2730">
        <w:rPr>
          <w:color w:val="000000" w:themeColor="text1"/>
          <w:sz w:val="20"/>
          <w:szCs w:val="20"/>
        </w:rPr>
        <w:t xml:space="preserve"> and Reddie, a Town Clerk, employed Richmond as one of their </w:t>
      </w:r>
      <w:r w:rsidR="00E265FE">
        <w:rPr>
          <w:color w:val="000000" w:themeColor="text1"/>
          <w:sz w:val="20"/>
          <w:szCs w:val="20"/>
        </w:rPr>
        <w:t>“</w:t>
      </w:r>
      <w:r w:rsidR="00200DC1" w:rsidRPr="000E2730">
        <w:rPr>
          <w:color w:val="000000" w:themeColor="text1"/>
          <w:sz w:val="20"/>
          <w:szCs w:val="20"/>
        </w:rPr>
        <w:t xml:space="preserve">agents or </w:t>
      </w:r>
      <w:r w:rsidR="00E265FE">
        <w:rPr>
          <w:color w:val="000000" w:themeColor="text1"/>
          <w:sz w:val="20"/>
          <w:szCs w:val="20"/>
        </w:rPr>
        <w:t>‘</w:t>
      </w:r>
      <w:r w:rsidR="00200DC1" w:rsidRPr="000E2730">
        <w:rPr>
          <w:color w:val="000000" w:themeColor="text1"/>
          <w:sz w:val="20"/>
          <w:szCs w:val="20"/>
        </w:rPr>
        <w:t>spies</w:t>
      </w:r>
      <w:r w:rsidR="00E265FE">
        <w:rPr>
          <w:color w:val="000000" w:themeColor="text1"/>
          <w:sz w:val="20"/>
          <w:szCs w:val="20"/>
        </w:rPr>
        <w:t xml:space="preserve">’ </w:t>
      </w:r>
      <w:r w:rsidR="00200DC1" w:rsidRPr="000E2730">
        <w:rPr>
          <w:color w:val="000000" w:themeColor="text1"/>
          <w:sz w:val="20"/>
          <w:szCs w:val="20"/>
        </w:rPr>
        <w:t>… to provide them with information about the secret radical conspirators</w:t>
      </w:r>
      <w:r w:rsidR="00E265FE">
        <w:rPr>
          <w:color w:val="000000" w:themeColor="text1"/>
          <w:sz w:val="20"/>
          <w:szCs w:val="20"/>
        </w:rPr>
        <w:t>”</w:t>
      </w:r>
      <w:r w:rsidR="00200DC1" w:rsidRPr="000E2730">
        <w:rPr>
          <w:color w:val="000000" w:themeColor="text1"/>
          <w:sz w:val="20"/>
          <w:szCs w:val="20"/>
        </w:rPr>
        <w:t xml:space="preserve"> in 1816</w:t>
      </w:r>
      <w:r w:rsidR="00C12B94">
        <w:rPr>
          <w:color w:val="000000" w:themeColor="text1"/>
          <w:sz w:val="20"/>
          <w:szCs w:val="20"/>
        </w:rPr>
        <w:t>.</w:t>
      </w:r>
      <w:r w:rsidR="00C12B94" w:rsidRPr="000E2730">
        <w:rPr>
          <w:rStyle w:val="FootnoteReference"/>
          <w:color w:val="000000" w:themeColor="text1"/>
          <w:sz w:val="20"/>
          <w:szCs w:val="20"/>
        </w:rPr>
        <w:footnoteReference w:id="4"/>
      </w:r>
      <w:r w:rsidR="00C12B94" w:rsidRPr="000E2730">
        <w:rPr>
          <w:color w:val="000000" w:themeColor="text1"/>
          <w:sz w:val="20"/>
          <w:szCs w:val="20"/>
        </w:rPr>
        <w:t xml:space="preserve"> </w:t>
      </w:r>
      <w:r w:rsidR="00200DC1" w:rsidRPr="000E2730">
        <w:rPr>
          <w:color w:val="000000" w:themeColor="text1"/>
          <w:sz w:val="20"/>
          <w:szCs w:val="20"/>
        </w:rPr>
        <w:t xml:space="preserve"> Richmond is supposed to have spied for only three months, but Mackenzie says he continued through until 1820. Richmond admitted that in 1816-17 he had been a spy but denied that he had been involved in the 1820 rebellions. Mackenzie asserts at the outset of his book that:</w:t>
      </w:r>
    </w:p>
    <w:p w14:paraId="6C7288C2" w14:textId="77777777" w:rsidR="00200DC1" w:rsidRPr="00E265FE" w:rsidRDefault="00200DC1" w:rsidP="00B62D18">
      <w:pPr>
        <w:ind w:left="576" w:right="576"/>
        <w:jc w:val="both"/>
        <w:rPr>
          <w:color w:val="000000" w:themeColor="text1"/>
          <w:sz w:val="18"/>
          <w:szCs w:val="18"/>
        </w:rPr>
      </w:pPr>
      <w:r w:rsidRPr="00E265FE">
        <w:rPr>
          <w:color w:val="000000" w:themeColor="text1"/>
          <w:sz w:val="18"/>
          <w:szCs w:val="18"/>
        </w:rPr>
        <w:t xml:space="preserve">We are thoroughly convinced that Andrew Hardie and his unfortunate companions were the victims of </w:t>
      </w:r>
      <w:r w:rsidRPr="00E265FE">
        <w:rPr>
          <w:i/>
          <w:iCs/>
          <w:color w:val="000000" w:themeColor="text1"/>
          <w:sz w:val="18"/>
          <w:szCs w:val="18"/>
        </w:rPr>
        <w:t>blood-thirsty scoundrels</w:t>
      </w:r>
      <w:r w:rsidRPr="00E265FE">
        <w:rPr>
          <w:color w:val="000000" w:themeColor="text1"/>
          <w:sz w:val="18"/>
          <w:szCs w:val="18"/>
        </w:rPr>
        <w:t xml:space="preserve">, better known by the name of </w:t>
      </w:r>
      <w:r w:rsidRPr="00E265FE">
        <w:rPr>
          <w:i/>
          <w:iCs/>
          <w:color w:val="000000" w:themeColor="text1"/>
          <w:sz w:val="18"/>
          <w:szCs w:val="18"/>
        </w:rPr>
        <w:t>spies</w:t>
      </w:r>
      <w:r w:rsidRPr="00E265FE">
        <w:rPr>
          <w:color w:val="000000" w:themeColor="text1"/>
          <w:sz w:val="18"/>
          <w:szCs w:val="18"/>
        </w:rPr>
        <w:t>, who at that time infested this country, to the scandal, to the everlasting disgrace of its then government, by whom they were encouraged and protected.</w:t>
      </w:r>
      <w:r w:rsidRPr="00E265FE">
        <w:rPr>
          <w:rStyle w:val="FootnoteReference"/>
          <w:color w:val="000000" w:themeColor="text1"/>
          <w:sz w:val="18"/>
          <w:szCs w:val="18"/>
        </w:rPr>
        <w:footnoteReference w:id="5"/>
      </w:r>
    </w:p>
    <w:p w14:paraId="0F445E35" w14:textId="3ECBE1C8" w:rsidR="005D5676" w:rsidRDefault="00200DC1" w:rsidP="009E5221">
      <w:pPr>
        <w:pStyle w:val="NormalWeb"/>
        <w:spacing w:before="0" w:beforeAutospacing="0" w:after="0" w:afterAutospacing="0"/>
        <w:jc w:val="both"/>
        <w:rPr>
          <w:color w:val="000000" w:themeColor="text1"/>
          <w:sz w:val="20"/>
          <w:szCs w:val="20"/>
        </w:rPr>
      </w:pPr>
      <w:r w:rsidRPr="000E2730">
        <w:rPr>
          <w:rFonts w:eastAsia="Times New Roman"/>
          <w:color w:val="000000" w:themeColor="text1"/>
          <w:sz w:val="20"/>
          <w:szCs w:val="20"/>
        </w:rPr>
        <w:t xml:space="preserve">Mackenzie refers to Hardie, who along with Baird was executed in Stirling on 8 September 1820 for High Treason, as was James Wilson in Glasgow on 30 August and the five Cato Street conspirators on 1 May.  Gordon Pentland comments that </w:t>
      </w:r>
      <w:r w:rsidR="005D5676">
        <w:rPr>
          <w:rFonts w:eastAsia="Times New Roman"/>
          <w:color w:val="000000" w:themeColor="text1"/>
          <w:sz w:val="20"/>
          <w:szCs w:val="20"/>
        </w:rPr>
        <w:t>“</w:t>
      </w:r>
      <w:r w:rsidRPr="000E2730">
        <w:rPr>
          <w:rFonts w:eastAsia="Times New Roman"/>
          <w:color w:val="000000" w:themeColor="text1"/>
          <w:sz w:val="20"/>
          <w:szCs w:val="20"/>
          <w:lang w:eastAsia="en-GB"/>
        </w:rPr>
        <w:t>Mackenzie sought to convey an interpretation of the post-war radicals as having been seduced into violence by spies and agents-provocateurs.</w:t>
      </w:r>
      <w:r w:rsidR="005D5676">
        <w:rPr>
          <w:rFonts w:eastAsia="Times New Roman"/>
          <w:color w:val="000000" w:themeColor="text1"/>
          <w:sz w:val="20"/>
          <w:szCs w:val="20"/>
          <w:lang w:eastAsia="en-GB"/>
        </w:rPr>
        <w:t>”</w:t>
      </w:r>
      <w:r w:rsidRPr="000E2730">
        <w:rPr>
          <w:rStyle w:val="FootnoteReference"/>
          <w:rFonts w:eastAsia="Times New Roman"/>
          <w:color w:val="000000" w:themeColor="text1"/>
          <w:sz w:val="20"/>
          <w:szCs w:val="20"/>
          <w:lang w:eastAsia="en-GB"/>
        </w:rPr>
        <w:footnoteReference w:id="6"/>
      </w:r>
      <w:r w:rsidRPr="000E2730">
        <w:rPr>
          <w:rFonts w:eastAsia="Times New Roman"/>
          <w:color w:val="000000" w:themeColor="text1"/>
          <w:sz w:val="20"/>
          <w:szCs w:val="20"/>
        </w:rPr>
        <w:t xml:space="preserve"> </w:t>
      </w:r>
      <w:r w:rsidRPr="000E2730">
        <w:rPr>
          <w:rFonts w:eastAsia="Times New Roman"/>
          <w:color w:val="000000" w:themeColor="text1"/>
          <w:sz w:val="20"/>
          <w:szCs w:val="20"/>
          <w:shd w:val="clear" w:color="auto" w:fill="FFFFFF"/>
          <w:lang w:eastAsia="en-GB"/>
        </w:rPr>
        <w:t xml:space="preserve">In </w:t>
      </w:r>
      <w:r w:rsidRPr="000E2730">
        <w:rPr>
          <w:rFonts w:eastAsia="Times New Roman"/>
          <w:color w:val="000000" w:themeColor="text1"/>
          <w:sz w:val="20"/>
          <w:szCs w:val="20"/>
          <w:lang w:val="en-GB" w:eastAsia="en-GB"/>
        </w:rPr>
        <w:t>Roach’s opinion</w:t>
      </w:r>
      <w:r w:rsidR="005D5676">
        <w:rPr>
          <w:rFonts w:eastAsia="Times New Roman"/>
          <w:color w:val="000000" w:themeColor="text1"/>
          <w:sz w:val="20"/>
          <w:szCs w:val="20"/>
          <w:lang w:val="en-GB" w:eastAsia="en-GB"/>
        </w:rPr>
        <w:t>,</w:t>
      </w:r>
      <w:r w:rsidRPr="000E2730">
        <w:rPr>
          <w:rFonts w:eastAsia="Times New Roman"/>
          <w:color w:val="000000" w:themeColor="text1"/>
          <w:sz w:val="20"/>
          <w:szCs w:val="20"/>
          <w:lang w:val="en-GB" w:eastAsia="en-GB"/>
        </w:rPr>
        <w:t xml:space="preserve"> </w:t>
      </w:r>
      <w:r w:rsidR="005D5676">
        <w:rPr>
          <w:rFonts w:eastAsia="Times New Roman"/>
          <w:color w:val="000000" w:themeColor="text1"/>
          <w:sz w:val="20"/>
          <w:szCs w:val="20"/>
          <w:lang w:val="en-GB" w:eastAsia="en-GB"/>
        </w:rPr>
        <w:t>“</w:t>
      </w:r>
      <w:r w:rsidRPr="000E2730">
        <w:rPr>
          <w:rFonts w:eastAsia="Times New Roman"/>
          <w:color w:val="000000" w:themeColor="text1"/>
          <w:sz w:val="20"/>
          <w:szCs w:val="20"/>
          <w:lang w:val="en-GB" w:eastAsia="en-GB"/>
        </w:rPr>
        <w:t xml:space="preserve">it is probably wise to reject everything that </w:t>
      </w:r>
      <w:proofErr w:type="spellStart"/>
      <w:r w:rsidRPr="000E2730">
        <w:rPr>
          <w:rFonts w:eastAsia="Times New Roman"/>
          <w:color w:val="000000" w:themeColor="text1"/>
          <w:sz w:val="20"/>
          <w:szCs w:val="20"/>
          <w:lang w:val="en-GB" w:eastAsia="en-GB"/>
        </w:rPr>
        <w:t>MacKenzie</w:t>
      </w:r>
      <w:proofErr w:type="spellEnd"/>
      <w:r w:rsidRPr="000E2730">
        <w:rPr>
          <w:rFonts w:eastAsia="Times New Roman"/>
          <w:color w:val="000000" w:themeColor="text1"/>
          <w:sz w:val="20"/>
          <w:szCs w:val="20"/>
          <w:lang w:val="en-GB" w:eastAsia="en-GB"/>
        </w:rPr>
        <w:t xml:space="preserve"> wrote except when ... he had </w:t>
      </w:r>
      <w:proofErr w:type="spellStart"/>
      <w:r w:rsidRPr="000E2730">
        <w:rPr>
          <w:rFonts w:eastAsia="Times New Roman"/>
          <w:color w:val="000000" w:themeColor="text1"/>
          <w:sz w:val="20"/>
          <w:szCs w:val="20"/>
          <w:lang w:val="en-GB" w:eastAsia="en-GB"/>
        </w:rPr>
        <w:t>firsthand</w:t>
      </w:r>
      <w:proofErr w:type="spellEnd"/>
      <w:r w:rsidRPr="000E2730">
        <w:rPr>
          <w:rFonts w:eastAsia="Times New Roman"/>
          <w:color w:val="000000" w:themeColor="text1"/>
          <w:sz w:val="20"/>
          <w:szCs w:val="20"/>
          <w:lang w:val="en-GB" w:eastAsia="en-GB"/>
        </w:rPr>
        <w:t xml:space="preserve"> knowledge of events</w:t>
      </w:r>
      <w:r w:rsidR="005D5676">
        <w:rPr>
          <w:rFonts w:eastAsia="Times New Roman"/>
          <w:color w:val="000000" w:themeColor="text1"/>
          <w:sz w:val="20"/>
          <w:szCs w:val="20"/>
          <w:lang w:val="en-GB" w:eastAsia="en-GB"/>
        </w:rPr>
        <w:t xml:space="preserve">” (Roach, xii). </w:t>
      </w:r>
      <w:r w:rsidRPr="000E2730">
        <w:rPr>
          <w:iCs/>
          <w:color w:val="000000" w:themeColor="text1"/>
          <w:sz w:val="20"/>
          <w:szCs w:val="20"/>
        </w:rPr>
        <w:t xml:space="preserve">Roach </w:t>
      </w:r>
      <w:r w:rsidRPr="000E2730">
        <w:rPr>
          <w:color w:val="000000" w:themeColor="text1"/>
          <w:sz w:val="20"/>
          <w:szCs w:val="20"/>
        </w:rPr>
        <w:t>rejects the use of spies during the rising writing</w:t>
      </w:r>
      <w:r w:rsidR="005D5676">
        <w:rPr>
          <w:color w:val="000000" w:themeColor="text1"/>
          <w:sz w:val="20"/>
          <w:szCs w:val="20"/>
        </w:rPr>
        <w:t>:</w:t>
      </w:r>
      <w:r w:rsidRPr="000E2730">
        <w:rPr>
          <w:color w:val="000000" w:themeColor="text1"/>
          <w:sz w:val="20"/>
          <w:szCs w:val="20"/>
        </w:rPr>
        <w:t xml:space="preserve"> </w:t>
      </w:r>
      <w:r w:rsidR="005D5676">
        <w:rPr>
          <w:color w:val="000000" w:themeColor="text1"/>
          <w:sz w:val="20"/>
          <w:szCs w:val="20"/>
        </w:rPr>
        <w:t>“</w:t>
      </w:r>
      <w:r w:rsidRPr="000E2730">
        <w:rPr>
          <w:color w:val="000000" w:themeColor="text1"/>
          <w:sz w:val="20"/>
          <w:szCs w:val="20"/>
        </w:rPr>
        <w:t>Hardie, Baird and Wilson were the victims not of a spy system but of inefficiency and folly</w:t>
      </w:r>
      <w:r w:rsidR="005D5676">
        <w:rPr>
          <w:color w:val="000000" w:themeColor="text1"/>
          <w:sz w:val="20"/>
          <w:szCs w:val="20"/>
        </w:rPr>
        <w:t xml:space="preserve">” (Roach, 249). </w:t>
      </w:r>
      <w:r w:rsidR="007B172D">
        <w:rPr>
          <w:color w:val="000000" w:themeColor="text1"/>
          <w:sz w:val="20"/>
          <w:szCs w:val="20"/>
        </w:rPr>
        <w:t>W</w:t>
      </w:r>
      <w:r w:rsidR="005D5676">
        <w:rPr>
          <w:color w:val="000000" w:themeColor="text1"/>
          <w:sz w:val="20"/>
          <w:szCs w:val="20"/>
        </w:rPr>
        <w:t xml:space="preserve">hile </w:t>
      </w:r>
      <w:r w:rsidRPr="000E2730">
        <w:rPr>
          <w:color w:val="000000" w:themeColor="text1"/>
          <w:sz w:val="20"/>
          <w:szCs w:val="20"/>
        </w:rPr>
        <w:t>stat</w:t>
      </w:r>
      <w:r w:rsidR="005D5676">
        <w:rPr>
          <w:color w:val="000000" w:themeColor="text1"/>
          <w:sz w:val="20"/>
          <w:szCs w:val="20"/>
        </w:rPr>
        <w:t xml:space="preserve">ing </w:t>
      </w:r>
      <w:r w:rsidRPr="000E2730">
        <w:rPr>
          <w:color w:val="000000" w:themeColor="text1"/>
          <w:sz w:val="20"/>
          <w:szCs w:val="20"/>
        </w:rPr>
        <w:t xml:space="preserve">that </w:t>
      </w:r>
      <w:r w:rsidR="005D5676">
        <w:rPr>
          <w:color w:val="000000" w:themeColor="text1"/>
          <w:sz w:val="20"/>
          <w:szCs w:val="20"/>
        </w:rPr>
        <w:t>“</w:t>
      </w:r>
      <w:r w:rsidRPr="000E2730">
        <w:rPr>
          <w:color w:val="000000" w:themeColor="text1"/>
          <w:sz w:val="20"/>
          <w:szCs w:val="20"/>
        </w:rPr>
        <w:t xml:space="preserve">belief that </w:t>
      </w:r>
      <w:r w:rsidR="00023F3B">
        <w:rPr>
          <w:color w:val="000000" w:themeColor="text1"/>
          <w:sz w:val="20"/>
          <w:szCs w:val="20"/>
        </w:rPr>
        <w:t xml:space="preserve">[the insurrection] </w:t>
      </w:r>
      <w:r w:rsidRPr="000E2730">
        <w:rPr>
          <w:color w:val="000000" w:themeColor="text1"/>
          <w:sz w:val="20"/>
          <w:szCs w:val="20"/>
        </w:rPr>
        <w:t xml:space="preserve">was simply the work of </w:t>
      </w:r>
      <w:r w:rsidRPr="000E2730">
        <w:rPr>
          <w:i/>
          <w:color w:val="000000" w:themeColor="text1"/>
          <w:sz w:val="20"/>
          <w:szCs w:val="20"/>
        </w:rPr>
        <w:t>agents provocateurs</w:t>
      </w:r>
      <w:r w:rsidR="005D5676">
        <w:rPr>
          <w:iCs/>
          <w:color w:val="000000" w:themeColor="text1"/>
          <w:sz w:val="20"/>
          <w:szCs w:val="20"/>
        </w:rPr>
        <w:t xml:space="preserve"> … </w:t>
      </w:r>
      <w:r w:rsidRPr="000E2730">
        <w:rPr>
          <w:color w:val="000000" w:themeColor="text1"/>
          <w:sz w:val="20"/>
          <w:szCs w:val="20"/>
        </w:rPr>
        <w:t>has been soundly refuted and finds no substantial evidence in its support</w:t>
      </w:r>
      <w:r w:rsidR="005D5676">
        <w:rPr>
          <w:color w:val="000000" w:themeColor="text1"/>
          <w:sz w:val="20"/>
          <w:szCs w:val="20"/>
        </w:rPr>
        <w:t>,”</w:t>
      </w:r>
      <w:r w:rsidRPr="000E2730">
        <w:rPr>
          <w:color w:val="000000" w:themeColor="text1"/>
          <w:sz w:val="20"/>
          <w:szCs w:val="20"/>
        </w:rPr>
        <w:t xml:space="preserve"> </w:t>
      </w:r>
      <w:r w:rsidR="005D5676" w:rsidRPr="000E2730">
        <w:rPr>
          <w:color w:val="000000" w:themeColor="text1"/>
          <w:sz w:val="20"/>
          <w:szCs w:val="20"/>
        </w:rPr>
        <w:t xml:space="preserve">Christopher Whatley </w:t>
      </w:r>
      <w:r w:rsidR="00023F3B">
        <w:rPr>
          <w:color w:val="000000" w:themeColor="text1"/>
          <w:sz w:val="20"/>
          <w:szCs w:val="20"/>
        </w:rPr>
        <w:t xml:space="preserve">nonetheless </w:t>
      </w:r>
      <w:r w:rsidRPr="000E2730">
        <w:rPr>
          <w:color w:val="000000" w:themeColor="text1"/>
          <w:sz w:val="20"/>
          <w:szCs w:val="20"/>
        </w:rPr>
        <w:t xml:space="preserve">sees a spy system of sorts in existence: </w:t>
      </w:r>
    </w:p>
    <w:p w14:paraId="7DC85CB2" w14:textId="705E4492" w:rsidR="005D5676" w:rsidRPr="005D5676" w:rsidRDefault="00200DC1" w:rsidP="00B62D18">
      <w:pPr>
        <w:pStyle w:val="NormalWeb"/>
        <w:spacing w:before="0" w:beforeAutospacing="0" w:after="0" w:afterAutospacing="0"/>
        <w:ind w:left="576" w:right="576"/>
        <w:jc w:val="both"/>
        <w:rPr>
          <w:color w:val="000000" w:themeColor="text1"/>
          <w:sz w:val="18"/>
          <w:szCs w:val="18"/>
        </w:rPr>
      </w:pPr>
      <w:r w:rsidRPr="005D5676">
        <w:rPr>
          <w:color w:val="000000" w:themeColor="text1"/>
          <w:sz w:val="18"/>
          <w:szCs w:val="18"/>
        </w:rPr>
        <w:t>Spies and informers appointed on the instruction of the Lord Advocate, Sir William Rae, and Lord Sidmouth ensured that the authorities were invariably one step ahead of those radicals who were plotting insurrection.</w:t>
      </w:r>
      <w:r w:rsidR="005D5676" w:rsidRPr="005D5676">
        <w:rPr>
          <w:rStyle w:val="FootnoteReference"/>
          <w:color w:val="000000" w:themeColor="text1"/>
          <w:sz w:val="18"/>
          <w:szCs w:val="18"/>
        </w:rPr>
        <w:footnoteReference w:id="7"/>
      </w:r>
    </w:p>
    <w:p w14:paraId="00F55BD0" w14:textId="1A06466C" w:rsidR="00200DC1" w:rsidRPr="000E2730" w:rsidRDefault="00200DC1" w:rsidP="009E5221">
      <w:pPr>
        <w:pStyle w:val="NormalWeb"/>
        <w:spacing w:before="0" w:beforeAutospacing="0" w:after="0" w:afterAutospacing="0"/>
        <w:jc w:val="both"/>
        <w:rPr>
          <w:rFonts w:eastAsia="Times New Roman"/>
          <w:color w:val="000000" w:themeColor="text1"/>
          <w:sz w:val="20"/>
          <w:szCs w:val="20"/>
          <w:shd w:val="clear" w:color="auto" w:fill="FFFFFF"/>
          <w:lang w:eastAsia="en-GB"/>
        </w:rPr>
      </w:pPr>
      <w:r w:rsidRPr="000E2730">
        <w:rPr>
          <w:rFonts w:eastAsia="Times New Roman"/>
          <w:color w:val="000000" w:themeColor="text1"/>
          <w:sz w:val="20"/>
          <w:szCs w:val="20"/>
        </w:rPr>
        <w:t>Alistair Goldsmith is convinced that Richmond was a spy, writing:</w:t>
      </w:r>
    </w:p>
    <w:p w14:paraId="5FCFEC3D" w14:textId="31BB8289" w:rsidR="00200DC1" w:rsidRPr="007B172D" w:rsidRDefault="00200DC1" w:rsidP="00B62D18">
      <w:pPr>
        <w:pStyle w:val="NormalWeb"/>
        <w:spacing w:before="0" w:beforeAutospacing="0" w:after="0" w:afterAutospacing="0"/>
        <w:ind w:left="576" w:right="576"/>
        <w:jc w:val="both"/>
        <w:rPr>
          <w:rFonts w:eastAsia="Times New Roman"/>
          <w:color w:val="000000" w:themeColor="text1"/>
          <w:sz w:val="18"/>
          <w:szCs w:val="18"/>
          <w:shd w:val="clear" w:color="auto" w:fill="FFFFFF"/>
          <w:lang w:eastAsia="en-GB"/>
        </w:rPr>
      </w:pPr>
      <w:r w:rsidRPr="007B172D">
        <w:rPr>
          <w:rFonts w:eastAsia="Times New Roman"/>
          <w:color w:val="000000" w:themeColor="text1"/>
          <w:sz w:val="18"/>
          <w:szCs w:val="18"/>
          <w:shd w:val="clear" w:color="auto" w:fill="FFFFFF"/>
          <w:lang w:eastAsia="en-GB"/>
        </w:rPr>
        <w:lastRenderedPageBreak/>
        <w:t>Alexander Richmond, known as the</w:t>
      </w:r>
      <w:r w:rsidR="007B172D" w:rsidRPr="007B172D">
        <w:rPr>
          <w:rFonts w:eastAsia="Times New Roman"/>
          <w:color w:val="000000" w:themeColor="text1"/>
          <w:sz w:val="18"/>
          <w:szCs w:val="18"/>
          <w:shd w:val="clear" w:color="auto" w:fill="FFFFFF"/>
          <w:lang w:eastAsia="en-GB"/>
        </w:rPr>
        <w:t xml:space="preserve"> “</w:t>
      </w:r>
      <w:r w:rsidRPr="007B172D">
        <w:rPr>
          <w:rFonts w:eastAsia="Times New Roman"/>
          <w:color w:val="000000" w:themeColor="text1"/>
          <w:sz w:val="18"/>
          <w:szCs w:val="18"/>
          <w:shd w:val="clear" w:color="auto" w:fill="FFFFFF"/>
          <w:lang w:eastAsia="en-GB"/>
        </w:rPr>
        <w:t>Parliamentary agent</w:t>
      </w:r>
      <w:r w:rsidR="007B172D" w:rsidRPr="007B172D">
        <w:rPr>
          <w:rFonts w:eastAsia="Times New Roman"/>
          <w:color w:val="000000" w:themeColor="text1"/>
          <w:sz w:val="18"/>
          <w:szCs w:val="18"/>
          <w:shd w:val="clear" w:color="auto" w:fill="FFFFFF"/>
          <w:lang w:eastAsia="en-GB"/>
        </w:rPr>
        <w:t xml:space="preserve">,” </w:t>
      </w:r>
      <w:r w:rsidRPr="007B172D">
        <w:rPr>
          <w:rFonts w:eastAsia="Times New Roman"/>
          <w:color w:val="000000" w:themeColor="text1"/>
          <w:sz w:val="18"/>
          <w:szCs w:val="18"/>
          <w:shd w:val="clear" w:color="auto" w:fill="FFFFFF"/>
          <w:lang w:eastAsia="en-GB"/>
        </w:rPr>
        <w:t>and his coterie in Glasgow infiltrated the weavers</w:t>
      </w:r>
      <w:r w:rsidR="007B172D" w:rsidRPr="007B172D">
        <w:rPr>
          <w:rFonts w:eastAsia="Times New Roman"/>
          <w:color w:val="000000" w:themeColor="text1"/>
          <w:sz w:val="18"/>
          <w:szCs w:val="18"/>
          <w:shd w:val="clear" w:color="auto" w:fill="FFFFFF"/>
          <w:lang w:eastAsia="en-GB"/>
        </w:rPr>
        <w:t>’</w:t>
      </w:r>
      <w:r w:rsidRPr="007B172D">
        <w:rPr>
          <w:rFonts w:eastAsia="Times New Roman"/>
          <w:color w:val="000000" w:themeColor="text1"/>
          <w:sz w:val="18"/>
          <w:szCs w:val="18"/>
          <w:shd w:val="clear" w:color="auto" w:fill="FFFFFF"/>
          <w:lang w:eastAsia="en-GB"/>
        </w:rPr>
        <w:t xml:space="preserve"> unions from 1819 and their activities led to several prosecutions. After he was exposed in 1834 the case was reviewed at the instigation of the Court of Exchequer. It became clear that Richmond had reported directly to Lords Sidmouth and Castlereagh on the political situation in the city.</w:t>
      </w:r>
      <w:r w:rsidRPr="007B172D">
        <w:rPr>
          <w:rStyle w:val="FootnoteReference"/>
          <w:rFonts w:eastAsia="Times New Roman"/>
          <w:color w:val="000000" w:themeColor="text1"/>
          <w:sz w:val="18"/>
          <w:szCs w:val="18"/>
          <w:shd w:val="clear" w:color="auto" w:fill="FFFFFF"/>
          <w:lang w:eastAsia="en-GB"/>
        </w:rPr>
        <w:footnoteReference w:id="8"/>
      </w:r>
      <w:r w:rsidRPr="007B172D">
        <w:rPr>
          <w:rFonts w:eastAsia="Times New Roman"/>
          <w:color w:val="000000" w:themeColor="text1"/>
          <w:sz w:val="18"/>
          <w:szCs w:val="18"/>
          <w:shd w:val="clear" w:color="auto" w:fill="FFFFFF"/>
          <w:lang w:eastAsia="en-GB"/>
        </w:rPr>
        <w:t xml:space="preserve"> </w:t>
      </w:r>
    </w:p>
    <w:p w14:paraId="4558BFDE" w14:textId="77777777" w:rsidR="007B172D" w:rsidRDefault="00200DC1" w:rsidP="009E5221">
      <w:pPr>
        <w:pStyle w:val="NormalWeb"/>
        <w:spacing w:before="0" w:beforeAutospacing="0" w:after="0" w:afterAutospacing="0"/>
        <w:jc w:val="both"/>
        <w:rPr>
          <w:rFonts w:eastAsia="Times New Roman"/>
          <w:color w:val="000000" w:themeColor="text1"/>
          <w:sz w:val="20"/>
          <w:szCs w:val="20"/>
        </w:rPr>
      </w:pPr>
      <w:r w:rsidRPr="000E2730">
        <w:rPr>
          <w:rFonts w:eastAsia="Times New Roman"/>
          <w:color w:val="000000" w:themeColor="text1"/>
          <w:sz w:val="20"/>
          <w:szCs w:val="20"/>
        </w:rPr>
        <w:t xml:space="preserve">Bernard Porter writes that </w:t>
      </w:r>
      <w:r w:rsidR="007B172D">
        <w:rPr>
          <w:rFonts w:eastAsia="Times New Roman"/>
          <w:color w:val="000000" w:themeColor="text1"/>
          <w:sz w:val="20"/>
          <w:szCs w:val="20"/>
        </w:rPr>
        <w:t>“</w:t>
      </w:r>
      <w:r w:rsidRPr="000E2730">
        <w:rPr>
          <w:rFonts w:eastAsia="Times New Roman"/>
          <w:color w:val="000000" w:themeColor="text1"/>
          <w:sz w:val="20"/>
          <w:szCs w:val="20"/>
        </w:rPr>
        <w:t>Spies were certainly involved in the whole affair</w:t>
      </w:r>
      <w:r w:rsidR="007B172D">
        <w:rPr>
          <w:rFonts w:eastAsia="Times New Roman"/>
          <w:color w:val="000000" w:themeColor="text1"/>
          <w:sz w:val="20"/>
          <w:szCs w:val="20"/>
        </w:rPr>
        <w:t>,”</w:t>
      </w:r>
      <w:r w:rsidRPr="000E2730">
        <w:rPr>
          <w:rFonts w:eastAsia="Times New Roman"/>
          <w:color w:val="000000" w:themeColor="text1"/>
          <w:sz w:val="20"/>
          <w:szCs w:val="20"/>
        </w:rPr>
        <w:t xml:space="preserve"> and quotes Captain James Mitchell who wrote to Lord Sidmouth in March 1820 that </w:t>
      </w:r>
    </w:p>
    <w:p w14:paraId="4A421E63" w14:textId="49385BF8" w:rsidR="007B172D" w:rsidRPr="007B172D" w:rsidRDefault="00200DC1" w:rsidP="00B62D18">
      <w:pPr>
        <w:pStyle w:val="NormalWeb"/>
        <w:spacing w:before="0" w:beforeAutospacing="0" w:after="0" w:afterAutospacing="0"/>
        <w:ind w:left="576" w:right="576"/>
        <w:jc w:val="both"/>
        <w:rPr>
          <w:rFonts w:eastAsia="Times New Roman"/>
          <w:color w:val="000000" w:themeColor="text1"/>
          <w:sz w:val="18"/>
          <w:szCs w:val="18"/>
        </w:rPr>
      </w:pPr>
      <w:r w:rsidRPr="007B172D">
        <w:rPr>
          <w:rFonts w:eastAsia="Times New Roman"/>
          <w:color w:val="000000" w:themeColor="text1"/>
          <w:sz w:val="18"/>
          <w:szCs w:val="18"/>
        </w:rPr>
        <w:t>if some plan were conceived by which the disaffected could be lured out of their lairs—being made to think that the day of ‘liberty’ had come—we would catch them abroad and undefended.</w:t>
      </w:r>
      <w:r w:rsidRPr="007B172D">
        <w:rPr>
          <w:rStyle w:val="FootnoteReference"/>
          <w:rFonts w:eastAsia="Times New Roman"/>
          <w:color w:val="000000" w:themeColor="text1"/>
          <w:sz w:val="18"/>
          <w:szCs w:val="18"/>
        </w:rPr>
        <w:footnoteReference w:id="9"/>
      </w:r>
      <w:r w:rsidRPr="007B172D">
        <w:rPr>
          <w:rFonts w:eastAsia="Times New Roman"/>
          <w:color w:val="000000" w:themeColor="text1"/>
          <w:sz w:val="18"/>
          <w:szCs w:val="18"/>
        </w:rPr>
        <w:t xml:space="preserve"> </w:t>
      </w:r>
    </w:p>
    <w:p w14:paraId="46A6CA69" w14:textId="4C21842D" w:rsidR="00200DC1" w:rsidRPr="000E2730" w:rsidRDefault="00200DC1" w:rsidP="007B172D">
      <w:pPr>
        <w:pStyle w:val="FootnoteText"/>
        <w:jc w:val="both"/>
        <w:rPr>
          <w:color w:val="000000" w:themeColor="text1"/>
          <w:lang w:val="en-GB" w:eastAsia="en-GB"/>
        </w:rPr>
      </w:pPr>
      <w:r w:rsidRPr="000E2730">
        <w:rPr>
          <w:color w:val="000000" w:themeColor="text1"/>
        </w:rPr>
        <w:t xml:space="preserve">Porter asserts that </w:t>
      </w:r>
      <w:r w:rsidR="007B172D">
        <w:rPr>
          <w:color w:val="000000" w:themeColor="text1"/>
        </w:rPr>
        <w:t>“</w:t>
      </w:r>
      <w:r w:rsidRPr="000E2730">
        <w:rPr>
          <w:color w:val="000000" w:themeColor="text1"/>
        </w:rPr>
        <w:t xml:space="preserve">Sidmouth’s </w:t>
      </w:r>
      <w:r w:rsidR="007B172D">
        <w:rPr>
          <w:color w:val="000000" w:themeColor="text1"/>
        </w:rPr>
        <w:t>‘</w:t>
      </w:r>
      <w:r w:rsidRPr="000E2730">
        <w:rPr>
          <w:color w:val="000000" w:themeColor="text1"/>
        </w:rPr>
        <w:t>spy system</w:t>
      </w:r>
      <w:r w:rsidR="007B172D">
        <w:rPr>
          <w:color w:val="000000" w:themeColor="text1"/>
        </w:rPr>
        <w:t>’</w:t>
      </w:r>
      <w:r w:rsidRPr="000E2730">
        <w:rPr>
          <w:color w:val="000000" w:themeColor="text1"/>
        </w:rPr>
        <w:t xml:space="preserve"> …</w:t>
      </w:r>
      <w:r w:rsidR="007B172D">
        <w:rPr>
          <w:color w:val="000000" w:themeColor="text1"/>
        </w:rPr>
        <w:t xml:space="preserve"> </w:t>
      </w:r>
      <w:r w:rsidRPr="000E2730">
        <w:rPr>
          <w:color w:val="000000" w:themeColor="text1"/>
        </w:rPr>
        <w:t>was highly decentralized</w:t>
      </w:r>
      <w:r w:rsidR="007B172D">
        <w:rPr>
          <w:color w:val="000000" w:themeColor="text1"/>
        </w:rPr>
        <w:t>,”</w:t>
      </w:r>
      <w:r w:rsidRPr="000E2730">
        <w:rPr>
          <w:color w:val="000000" w:themeColor="text1"/>
        </w:rPr>
        <w:t xml:space="preserve"> with the spies being recruited </w:t>
      </w:r>
      <w:r w:rsidR="007B172D">
        <w:rPr>
          <w:color w:val="000000" w:themeColor="text1"/>
        </w:rPr>
        <w:t>“</w:t>
      </w:r>
      <w:r w:rsidRPr="000E2730">
        <w:rPr>
          <w:color w:val="000000" w:themeColor="text1"/>
        </w:rPr>
        <w:t>by local law men</w:t>
      </w:r>
      <w:r w:rsidR="007B172D">
        <w:rPr>
          <w:color w:val="000000" w:themeColor="text1"/>
        </w:rPr>
        <w:t>,”</w:t>
      </w:r>
      <w:r w:rsidRPr="000E2730">
        <w:rPr>
          <w:color w:val="000000" w:themeColor="text1"/>
        </w:rPr>
        <w:t xml:space="preserve"> or else they </w:t>
      </w:r>
      <w:r w:rsidR="007B172D">
        <w:rPr>
          <w:color w:val="000000" w:themeColor="text1"/>
        </w:rPr>
        <w:t>“</w:t>
      </w:r>
      <w:r w:rsidRPr="000E2730">
        <w:rPr>
          <w:color w:val="000000" w:themeColor="text1"/>
        </w:rPr>
        <w:t>more or less recruited themselves</w:t>
      </w:r>
      <w:r w:rsidR="007B172D" w:rsidRPr="007B172D">
        <w:rPr>
          <w:color w:val="000000" w:themeColor="text1"/>
        </w:rPr>
        <w:t xml:space="preserve">” (Porter, </w:t>
      </w:r>
      <w:r w:rsidR="007B172D" w:rsidRPr="007B172D">
        <w:t xml:space="preserve">90-91). </w:t>
      </w:r>
      <w:r w:rsidRPr="007B172D">
        <w:rPr>
          <w:color w:val="000000" w:themeColor="text1"/>
        </w:rPr>
        <w:t>Kenny</w:t>
      </w:r>
      <w:r w:rsidRPr="000E2730">
        <w:rPr>
          <w:color w:val="000000" w:themeColor="text1"/>
        </w:rPr>
        <w:t xml:space="preserve"> MacAskill writes that </w:t>
      </w:r>
      <w:r w:rsidR="007B172D">
        <w:rPr>
          <w:color w:val="000000" w:themeColor="text1"/>
        </w:rPr>
        <w:t>“</w:t>
      </w:r>
      <w:r w:rsidRPr="000E2730">
        <w:rPr>
          <w:color w:val="000000" w:themeColor="text1"/>
        </w:rPr>
        <w:t>the authorities must have still known that something was being planned</w:t>
      </w:r>
      <w:r w:rsidR="00752786">
        <w:rPr>
          <w:color w:val="000000" w:themeColor="text1"/>
        </w:rPr>
        <w:t>,”</w:t>
      </w:r>
      <w:r w:rsidRPr="000E2730">
        <w:rPr>
          <w:color w:val="000000" w:themeColor="text1"/>
        </w:rPr>
        <w:t xml:space="preserve"> but holds back from </w:t>
      </w:r>
      <w:r w:rsidR="00752786">
        <w:rPr>
          <w:color w:val="000000" w:themeColor="text1"/>
        </w:rPr>
        <w:t xml:space="preserve">having </w:t>
      </w:r>
      <w:r w:rsidRPr="000E2730">
        <w:rPr>
          <w:color w:val="000000" w:themeColor="text1"/>
        </w:rPr>
        <w:t>spies doing the organi</w:t>
      </w:r>
      <w:r w:rsidR="00752786">
        <w:rPr>
          <w:color w:val="000000" w:themeColor="text1"/>
        </w:rPr>
        <w:t>z</w:t>
      </w:r>
      <w:r w:rsidRPr="000E2730">
        <w:rPr>
          <w:color w:val="000000" w:themeColor="text1"/>
        </w:rPr>
        <w:t>ing.</w:t>
      </w:r>
      <w:r w:rsidRPr="000E2730">
        <w:rPr>
          <w:rStyle w:val="FootnoteReference"/>
          <w:color w:val="000000" w:themeColor="text1"/>
        </w:rPr>
        <w:footnoteReference w:id="10"/>
      </w:r>
      <w:r w:rsidRPr="000E2730">
        <w:rPr>
          <w:color w:val="000000" w:themeColor="text1"/>
        </w:rPr>
        <w:t xml:space="preserve"> MacAskill thinks it likely that </w:t>
      </w:r>
      <w:r w:rsidR="00AF3C9C">
        <w:rPr>
          <w:color w:val="000000" w:themeColor="text1"/>
        </w:rPr>
        <w:t>“</w:t>
      </w:r>
      <w:r w:rsidRPr="000E2730">
        <w:rPr>
          <w:color w:val="000000" w:themeColor="text1"/>
        </w:rPr>
        <w:t>the intentions of the rebels were genuine and that spies had infiltrated the group and had provided misleading information</w:t>
      </w:r>
      <w:r w:rsidR="00AF3C9C">
        <w:rPr>
          <w:color w:val="000000" w:themeColor="text1"/>
        </w:rPr>
        <w:t>”</w:t>
      </w:r>
      <w:r w:rsidR="007B172D">
        <w:rPr>
          <w:color w:val="000000" w:themeColor="text1"/>
        </w:rPr>
        <w:t xml:space="preserve"> (MacAskill, 284). </w:t>
      </w:r>
      <w:r w:rsidR="00023F3B">
        <w:rPr>
          <w:color w:val="000000" w:themeColor="text1"/>
        </w:rPr>
        <w:t>In summary, t</w:t>
      </w:r>
      <w:r w:rsidRPr="000E2730">
        <w:rPr>
          <w:color w:val="000000" w:themeColor="text1"/>
          <w:lang w:val="en-GB" w:eastAsia="en-GB"/>
        </w:rPr>
        <w:t xml:space="preserve">here is uncertainty whether spies were used at all, and if they were, to what extent, and who </w:t>
      </w:r>
      <w:r w:rsidR="007B172D">
        <w:rPr>
          <w:color w:val="000000" w:themeColor="text1"/>
          <w:lang w:val="en-GB" w:eastAsia="en-GB"/>
        </w:rPr>
        <w:t>they were</w:t>
      </w:r>
      <w:r w:rsidRPr="000E2730">
        <w:rPr>
          <w:color w:val="000000" w:themeColor="text1"/>
          <w:lang w:val="en-GB" w:eastAsia="en-GB"/>
        </w:rPr>
        <w:t>?</w:t>
      </w:r>
    </w:p>
    <w:p w14:paraId="0402F925" w14:textId="2959AAC5" w:rsidR="00200DC1" w:rsidRPr="000E2730" w:rsidRDefault="00AF3C9C" w:rsidP="009E5221">
      <w:pPr>
        <w:pStyle w:val="NormalWeb"/>
        <w:spacing w:before="0" w:beforeAutospacing="0" w:after="0" w:afterAutospacing="0"/>
        <w:jc w:val="both"/>
        <w:rPr>
          <w:rFonts w:eastAsia="Times New Roman"/>
          <w:color w:val="000000" w:themeColor="text1"/>
          <w:sz w:val="20"/>
          <w:szCs w:val="20"/>
          <w:shd w:val="clear" w:color="auto" w:fill="FFFFFF"/>
          <w:lang w:eastAsia="en-GB"/>
        </w:rPr>
      </w:pPr>
      <w:r>
        <w:rPr>
          <w:rFonts w:eastAsia="Times New Roman"/>
          <w:color w:val="000000" w:themeColor="text1"/>
          <w:sz w:val="20"/>
          <w:szCs w:val="20"/>
          <w:lang w:val="en-GB" w:eastAsia="en-GB"/>
        </w:rPr>
        <w:tab/>
      </w:r>
      <w:r w:rsidR="00200DC1" w:rsidRPr="000E2730">
        <w:rPr>
          <w:color w:val="000000" w:themeColor="text1"/>
          <w:sz w:val="20"/>
          <w:szCs w:val="20"/>
        </w:rPr>
        <w:t xml:space="preserve">If </w:t>
      </w:r>
      <w:r w:rsidR="009B4754">
        <w:rPr>
          <w:color w:val="000000" w:themeColor="text1"/>
          <w:sz w:val="20"/>
          <w:szCs w:val="20"/>
        </w:rPr>
        <w:t xml:space="preserve">modern </w:t>
      </w:r>
      <w:r w:rsidR="00200DC1" w:rsidRPr="000E2730">
        <w:rPr>
          <w:color w:val="000000" w:themeColor="text1"/>
          <w:sz w:val="20"/>
          <w:szCs w:val="20"/>
        </w:rPr>
        <w:t xml:space="preserve">historians are unsure about the use of informers, then some literature of the period is certain that spies were </w:t>
      </w:r>
      <w:r w:rsidR="00200DC1" w:rsidRPr="000E2730">
        <w:rPr>
          <w:rFonts w:eastAsia="Times New Roman"/>
          <w:color w:val="000000" w:themeColor="text1"/>
          <w:sz w:val="20"/>
          <w:szCs w:val="20"/>
        </w:rPr>
        <w:t xml:space="preserve">active in Scotland in 1820. </w:t>
      </w:r>
      <w:r w:rsidR="00200DC1" w:rsidRPr="000E2730">
        <w:rPr>
          <w:color w:val="000000" w:themeColor="text1"/>
          <w:sz w:val="20"/>
          <w:szCs w:val="20"/>
        </w:rPr>
        <w:t xml:space="preserve">Janet Hamilton </w:t>
      </w:r>
      <w:r w:rsidR="006F5995">
        <w:rPr>
          <w:color w:val="000000" w:themeColor="text1"/>
          <w:sz w:val="20"/>
          <w:szCs w:val="20"/>
        </w:rPr>
        <w:t xml:space="preserve">(1795-1867), who in 1820 was the twenty-five-year old wife of a shoemaker in </w:t>
      </w:r>
      <w:proofErr w:type="spellStart"/>
      <w:r w:rsidR="006F5995">
        <w:rPr>
          <w:color w:val="000000" w:themeColor="text1"/>
          <w:sz w:val="20"/>
          <w:szCs w:val="20"/>
        </w:rPr>
        <w:t>Langloan</w:t>
      </w:r>
      <w:proofErr w:type="spellEnd"/>
      <w:r w:rsidR="006F5995">
        <w:rPr>
          <w:color w:val="000000" w:themeColor="text1"/>
          <w:sz w:val="20"/>
          <w:szCs w:val="20"/>
        </w:rPr>
        <w:t xml:space="preserve">, Lanarkshire, </w:t>
      </w:r>
      <w:r w:rsidR="00C3150C">
        <w:rPr>
          <w:color w:val="000000" w:themeColor="text1"/>
          <w:sz w:val="20"/>
          <w:szCs w:val="20"/>
        </w:rPr>
        <w:t xml:space="preserve">saw </w:t>
      </w:r>
      <w:r w:rsidR="00200DC1" w:rsidRPr="000E2730">
        <w:rPr>
          <w:color w:val="000000" w:themeColor="text1"/>
          <w:sz w:val="20"/>
          <w:szCs w:val="20"/>
        </w:rPr>
        <w:t xml:space="preserve">the story of the Scottish radicals as a play written by others, </w:t>
      </w:r>
      <w:r w:rsidR="009B4754">
        <w:rPr>
          <w:color w:val="000000" w:themeColor="text1"/>
          <w:sz w:val="20"/>
          <w:szCs w:val="20"/>
        </w:rPr>
        <w:t xml:space="preserve">memorably </w:t>
      </w:r>
      <w:r w:rsidR="00C3150C">
        <w:rPr>
          <w:color w:val="000000" w:themeColor="text1"/>
          <w:sz w:val="20"/>
          <w:szCs w:val="20"/>
        </w:rPr>
        <w:t xml:space="preserve">describing </w:t>
      </w:r>
      <w:r w:rsidR="00200DC1" w:rsidRPr="000E2730">
        <w:rPr>
          <w:color w:val="000000" w:themeColor="text1"/>
          <w:sz w:val="20"/>
          <w:szCs w:val="20"/>
        </w:rPr>
        <w:t xml:space="preserve">those involved </w:t>
      </w:r>
      <w:r>
        <w:rPr>
          <w:color w:val="000000" w:themeColor="text1"/>
          <w:sz w:val="20"/>
          <w:szCs w:val="20"/>
        </w:rPr>
        <w:t>“</w:t>
      </w:r>
      <w:r w:rsidR="00200DC1" w:rsidRPr="000E2730">
        <w:rPr>
          <w:color w:val="000000" w:themeColor="text1"/>
          <w:sz w:val="20"/>
          <w:szCs w:val="20"/>
        </w:rPr>
        <w:t>in this miserable drama</w:t>
      </w:r>
      <w:r>
        <w:rPr>
          <w:color w:val="000000" w:themeColor="text1"/>
          <w:sz w:val="20"/>
          <w:szCs w:val="20"/>
        </w:rPr>
        <w:t>”</w:t>
      </w:r>
      <w:r w:rsidR="00200DC1" w:rsidRPr="000E2730">
        <w:rPr>
          <w:color w:val="000000" w:themeColor="text1"/>
          <w:sz w:val="20"/>
          <w:szCs w:val="20"/>
        </w:rPr>
        <w:t xml:space="preserve"> </w:t>
      </w:r>
      <w:r w:rsidR="00C3150C">
        <w:rPr>
          <w:color w:val="000000" w:themeColor="text1"/>
          <w:sz w:val="20"/>
          <w:szCs w:val="20"/>
        </w:rPr>
        <w:t xml:space="preserve">as </w:t>
      </w:r>
      <w:r w:rsidR="00200DC1" w:rsidRPr="000E2730">
        <w:rPr>
          <w:color w:val="000000" w:themeColor="text1"/>
          <w:sz w:val="20"/>
          <w:szCs w:val="20"/>
        </w:rPr>
        <w:t xml:space="preserve">deluded by operators, including </w:t>
      </w:r>
      <w:r>
        <w:rPr>
          <w:color w:val="000000" w:themeColor="text1"/>
          <w:sz w:val="20"/>
          <w:szCs w:val="20"/>
        </w:rPr>
        <w:t>“</w:t>
      </w:r>
      <w:r w:rsidR="00200DC1" w:rsidRPr="000E2730">
        <w:rPr>
          <w:color w:val="000000" w:themeColor="text1"/>
          <w:sz w:val="20"/>
          <w:szCs w:val="20"/>
        </w:rPr>
        <w:t>government spies</w:t>
      </w:r>
      <w:r>
        <w:rPr>
          <w:color w:val="000000" w:themeColor="text1"/>
          <w:sz w:val="20"/>
          <w:szCs w:val="20"/>
        </w:rPr>
        <w:t>,”</w:t>
      </w:r>
      <w:r w:rsidR="00023F3B">
        <w:rPr>
          <w:color w:val="000000" w:themeColor="text1"/>
          <w:sz w:val="20"/>
          <w:szCs w:val="20"/>
        </w:rPr>
        <w:t xml:space="preserve"> </w:t>
      </w:r>
      <w:r w:rsidR="00200DC1" w:rsidRPr="000E2730">
        <w:rPr>
          <w:color w:val="000000" w:themeColor="text1"/>
          <w:sz w:val="20"/>
          <w:szCs w:val="20"/>
        </w:rPr>
        <w:t xml:space="preserve">who </w:t>
      </w:r>
      <w:r>
        <w:rPr>
          <w:color w:val="000000" w:themeColor="text1"/>
          <w:sz w:val="20"/>
          <w:szCs w:val="20"/>
        </w:rPr>
        <w:t>“</w:t>
      </w:r>
      <w:r w:rsidR="00200DC1" w:rsidRPr="000E2730">
        <w:rPr>
          <w:color w:val="000000" w:themeColor="text1"/>
          <w:sz w:val="20"/>
          <w:szCs w:val="20"/>
        </w:rPr>
        <w:t>moved the wires that made the poor puppets dance</w:t>
      </w:r>
      <w:r>
        <w:rPr>
          <w:color w:val="000000" w:themeColor="text1"/>
          <w:sz w:val="20"/>
          <w:szCs w:val="20"/>
        </w:rPr>
        <w:t>.”</w:t>
      </w:r>
      <w:r w:rsidR="00200DC1" w:rsidRPr="000E2730">
        <w:rPr>
          <w:rStyle w:val="FootnoteReference"/>
          <w:color w:val="000000" w:themeColor="text1"/>
          <w:sz w:val="20"/>
          <w:szCs w:val="20"/>
        </w:rPr>
        <w:footnoteReference w:id="11"/>
      </w:r>
      <w:r w:rsidR="00200DC1" w:rsidRPr="000E2730">
        <w:rPr>
          <w:color w:val="000000" w:themeColor="text1"/>
          <w:sz w:val="20"/>
          <w:szCs w:val="20"/>
        </w:rPr>
        <w:t xml:space="preserve"> </w:t>
      </w:r>
      <w:r w:rsidR="00200DC1" w:rsidRPr="000E2730">
        <w:rPr>
          <w:rFonts w:eastAsia="Times New Roman"/>
          <w:color w:val="000000" w:themeColor="text1"/>
          <w:sz w:val="20"/>
          <w:szCs w:val="20"/>
        </w:rPr>
        <w:t xml:space="preserve">Hamilton’s account of radicals in </w:t>
      </w:r>
      <w:proofErr w:type="spellStart"/>
      <w:r w:rsidR="00200DC1" w:rsidRPr="000E2730">
        <w:rPr>
          <w:rFonts w:eastAsia="Times New Roman"/>
          <w:color w:val="000000" w:themeColor="text1"/>
          <w:sz w:val="20"/>
          <w:szCs w:val="20"/>
        </w:rPr>
        <w:t>Airdrie</w:t>
      </w:r>
      <w:proofErr w:type="spellEnd"/>
      <w:r w:rsidR="00200DC1" w:rsidRPr="000E2730">
        <w:rPr>
          <w:rFonts w:eastAsia="Times New Roman"/>
          <w:color w:val="000000" w:themeColor="text1"/>
          <w:sz w:val="20"/>
          <w:szCs w:val="20"/>
        </w:rPr>
        <w:t xml:space="preserve"> </w:t>
      </w:r>
      <w:r w:rsidR="009B4754">
        <w:rPr>
          <w:rFonts w:eastAsia="Times New Roman"/>
          <w:color w:val="000000" w:themeColor="text1"/>
          <w:sz w:val="20"/>
          <w:szCs w:val="20"/>
        </w:rPr>
        <w:t>emphasizes ho</w:t>
      </w:r>
      <w:r w:rsidR="00200DC1" w:rsidRPr="000E2730">
        <w:rPr>
          <w:rFonts w:eastAsia="Times New Roman"/>
          <w:color w:val="000000" w:themeColor="text1"/>
          <w:sz w:val="20"/>
          <w:szCs w:val="20"/>
        </w:rPr>
        <w:t xml:space="preserve">w impossible it would have been for radicals to hide their activities from others. Instead they needed to show themselves carrying out dangerous activities to convince and threaten others in their community: </w:t>
      </w:r>
    </w:p>
    <w:p w14:paraId="011CC348" w14:textId="025AC9E6" w:rsidR="00200DC1" w:rsidRPr="00AF3C9C" w:rsidRDefault="00200DC1" w:rsidP="00B62D18">
      <w:pPr>
        <w:pStyle w:val="NormalWeb"/>
        <w:spacing w:before="0" w:beforeAutospacing="0" w:after="0" w:afterAutospacing="0"/>
        <w:ind w:left="576" w:right="576"/>
        <w:jc w:val="both"/>
        <w:rPr>
          <w:rFonts w:eastAsia="Times New Roman"/>
          <w:color w:val="000000" w:themeColor="text1"/>
          <w:sz w:val="18"/>
          <w:szCs w:val="18"/>
        </w:rPr>
      </w:pPr>
      <w:r w:rsidRPr="00AF3C9C">
        <w:rPr>
          <w:rFonts w:eastAsia="Times New Roman"/>
          <w:color w:val="000000" w:themeColor="text1"/>
          <w:sz w:val="18"/>
          <w:szCs w:val="18"/>
        </w:rPr>
        <w:t xml:space="preserve">there was Will </w:t>
      </w:r>
      <w:proofErr w:type="spellStart"/>
      <w:r w:rsidRPr="00AF3C9C">
        <w:rPr>
          <w:rFonts w:eastAsia="Times New Roman"/>
          <w:color w:val="000000" w:themeColor="text1"/>
          <w:sz w:val="18"/>
          <w:szCs w:val="18"/>
        </w:rPr>
        <w:t>Lightbody</w:t>
      </w:r>
      <w:proofErr w:type="spellEnd"/>
      <w:r w:rsidRPr="00AF3C9C">
        <w:rPr>
          <w:rFonts w:eastAsia="Times New Roman"/>
          <w:color w:val="000000" w:themeColor="text1"/>
          <w:sz w:val="18"/>
          <w:szCs w:val="18"/>
        </w:rPr>
        <w:t xml:space="preserve">, the </w:t>
      </w:r>
      <w:proofErr w:type="spellStart"/>
      <w:r w:rsidRPr="00AF3C9C">
        <w:rPr>
          <w:rFonts w:eastAsia="Times New Roman"/>
          <w:color w:val="000000" w:themeColor="text1"/>
          <w:sz w:val="18"/>
          <w:szCs w:val="18"/>
        </w:rPr>
        <w:t>pulicate</w:t>
      </w:r>
      <w:proofErr w:type="spellEnd"/>
      <w:r w:rsidRPr="00AF3C9C">
        <w:rPr>
          <w:rFonts w:eastAsia="Times New Roman"/>
          <w:color w:val="000000" w:themeColor="text1"/>
          <w:sz w:val="18"/>
          <w:szCs w:val="18"/>
        </w:rPr>
        <w:t xml:space="preserve"> weaver, and his son, busy every night with a couple of </w:t>
      </w:r>
      <w:proofErr w:type="spellStart"/>
      <w:r w:rsidRPr="00AF3C9C">
        <w:rPr>
          <w:rFonts w:eastAsia="Times New Roman"/>
          <w:color w:val="000000" w:themeColor="text1"/>
          <w:sz w:val="18"/>
          <w:szCs w:val="18"/>
        </w:rPr>
        <w:t>moulds</w:t>
      </w:r>
      <w:proofErr w:type="spellEnd"/>
      <w:r w:rsidRPr="00AF3C9C">
        <w:rPr>
          <w:rFonts w:eastAsia="Times New Roman"/>
          <w:color w:val="000000" w:themeColor="text1"/>
          <w:sz w:val="18"/>
          <w:szCs w:val="18"/>
        </w:rPr>
        <w:t xml:space="preserve"> casting bullets, and compounding gunpowder of wood-charcoal, saltpeter, and Sulphur, </w:t>
      </w:r>
      <w:r w:rsidRPr="00AF3C9C">
        <w:rPr>
          <w:rFonts w:eastAsia="Times New Roman"/>
          <w:color w:val="000000" w:themeColor="text1"/>
          <w:sz w:val="18"/>
          <w:szCs w:val="18"/>
        </w:rPr>
        <w:lastRenderedPageBreak/>
        <w:t xml:space="preserve">and </w:t>
      </w:r>
      <w:proofErr w:type="spellStart"/>
      <w:r w:rsidRPr="00AF3C9C">
        <w:rPr>
          <w:rFonts w:eastAsia="Times New Roman"/>
          <w:color w:val="000000" w:themeColor="text1"/>
          <w:sz w:val="18"/>
          <w:szCs w:val="18"/>
        </w:rPr>
        <w:t>Jemmy</w:t>
      </w:r>
      <w:proofErr w:type="spellEnd"/>
      <w:r w:rsidRPr="00AF3C9C">
        <w:rPr>
          <w:rFonts w:eastAsia="Times New Roman"/>
          <w:color w:val="000000" w:themeColor="text1"/>
          <w:sz w:val="18"/>
          <w:szCs w:val="18"/>
        </w:rPr>
        <w:t xml:space="preserve"> Gardner of that Ilk, also laboring in that vocation</w:t>
      </w:r>
      <w:r w:rsidR="00AF3C9C" w:rsidRPr="00AF3C9C">
        <w:rPr>
          <w:rFonts w:eastAsia="Times New Roman"/>
          <w:color w:val="000000" w:themeColor="text1"/>
          <w:sz w:val="18"/>
          <w:szCs w:val="18"/>
        </w:rPr>
        <w:t xml:space="preserve">…. </w:t>
      </w:r>
      <w:r w:rsidRPr="00AF3C9C">
        <w:rPr>
          <w:rFonts w:eastAsia="Times New Roman"/>
          <w:color w:val="000000" w:themeColor="text1"/>
          <w:sz w:val="18"/>
          <w:szCs w:val="18"/>
        </w:rPr>
        <w:t>it was generally understood that a rising would take place in the spring of 1820; and we lived in a state of continual excitement, for the Radicals made no secret of their intentions to take revenge on those</w:t>
      </w:r>
      <w:r w:rsidR="00AF3C9C">
        <w:rPr>
          <w:rFonts w:eastAsia="Times New Roman"/>
          <w:color w:val="000000" w:themeColor="text1"/>
          <w:sz w:val="18"/>
          <w:szCs w:val="18"/>
        </w:rPr>
        <w:t xml:space="preserve"> </w:t>
      </w:r>
      <w:r w:rsidRPr="00AF3C9C">
        <w:rPr>
          <w:rFonts w:eastAsia="Times New Roman"/>
          <w:color w:val="000000" w:themeColor="text1"/>
          <w:sz w:val="18"/>
          <w:szCs w:val="18"/>
        </w:rPr>
        <w:t>who did not join them.</w:t>
      </w:r>
      <w:r w:rsidRPr="00AF3C9C">
        <w:rPr>
          <w:rStyle w:val="FootnoteReference"/>
          <w:rFonts w:eastAsia="Times New Roman"/>
          <w:color w:val="000000" w:themeColor="text1"/>
          <w:sz w:val="18"/>
          <w:szCs w:val="18"/>
        </w:rPr>
        <w:footnoteReference w:id="12"/>
      </w:r>
    </w:p>
    <w:p w14:paraId="477C5588" w14:textId="3135330D" w:rsidR="00200DC1" w:rsidRPr="000E2730" w:rsidRDefault="00200DC1" w:rsidP="00AF3C9C">
      <w:pPr>
        <w:ind w:firstLine="288"/>
        <w:jc w:val="both"/>
        <w:rPr>
          <w:color w:val="000000" w:themeColor="text1"/>
          <w:sz w:val="20"/>
          <w:szCs w:val="20"/>
        </w:rPr>
      </w:pPr>
      <w:r w:rsidRPr="000E2730">
        <w:rPr>
          <w:color w:val="000000" w:themeColor="text1"/>
          <w:sz w:val="20"/>
          <w:szCs w:val="20"/>
        </w:rPr>
        <w:t xml:space="preserve">The fact that they did not get arrested and executed also shows the tightness of the town. However, Hamilton points out that they did not attain their former standing when the rising failed. Hamilton helps confirm that James Wilson was selected as a scapegoat when he was executed for High Treason, as he did much less than the </w:t>
      </w:r>
      <w:r w:rsidR="00023F3B">
        <w:rPr>
          <w:color w:val="000000" w:themeColor="text1"/>
          <w:sz w:val="20"/>
          <w:szCs w:val="20"/>
        </w:rPr>
        <w:t xml:space="preserve">other </w:t>
      </w:r>
      <w:r w:rsidRPr="000E2730">
        <w:rPr>
          <w:color w:val="000000" w:themeColor="text1"/>
          <w:sz w:val="20"/>
          <w:szCs w:val="20"/>
        </w:rPr>
        <w:t>characters named in this account.</w:t>
      </w:r>
      <w:r w:rsidRPr="000E2730">
        <w:rPr>
          <w:b/>
          <w:bCs/>
          <w:color w:val="000000" w:themeColor="text1"/>
          <w:sz w:val="20"/>
          <w:szCs w:val="20"/>
          <w:u w:val="single"/>
        </w:rPr>
        <w:t xml:space="preserve"> </w:t>
      </w:r>
      <w:r w:rsidRPr="000E2730">
        <w:rPr>
          <w:color w:val="000000" w:themeColor="text1"/>
          <w:sz w:val="20"/>
          <w:szCs w:val="20"/>
        </w:rPr>
        <w:t>Hamilton</w:t>
      </w:r>
      <w:r w:rsidR="009B4754">
        <w:rPr>
          <w:color w:val="000000" w:themeColor="text1"/>
          <w:sz w:val="20"/>
          <w:szCs w:val="20"/>
        </w:rPr>
        <w:t xml:space="preserve">’s </w:t>
      </w:r>
      <w:r w:rsidRPr="000E2730">
        <w:rPr>
          <w:color w:val="000000" w:themeColor="text1"/>
          <w:sz w:val="20"/>
          <w:szCs w:val="20"/>
        </w:rPr>
        <w:t xml:space="preserve">verse </w:t>
      </w:r>
      <w:r w:rsidR="009B4754">
        <w:rPr>
          <w:color w:val="000000" w:themeColor="text1"/>
          <w:sz w:val="20"/>
          <w:szCs w:val="20"/>
        </w:rPr>
        <w:t xml:space="preserve">attests to the presence of </w:t>
      </w:r>
      <w:r w:rsidRPr="000E2730">
        <w:rPr>
          <w:color w:val="000000" w:themeColor="text1"/>
          <w:sz w:val="20"/>
          <w:szCs w:val="20"/>
        </w:rPr>
        <w:t xml:space="preserve">spies in Airdrie in 1820: </w:t>
      </w:r>
    </w:p>
    <w:p w14:paraId="07EA1AFA" w14:textId="77777777" w:rsidR="00200DC1" w:rsidRPr="00AF3C9C" w:rsidRDefault="00200DC1" w:rsidP="00B62D18">
      <w:pPr>
        <w:ind w:left="864"/>
        <w:jc w:val="both"/>
        <w:rPr>
          <w:sz w:val="18"/>
          <w:szCs w:val="18"/>
        </w:rPr>
      </w:pPr>
      <w:r w:rsidRPr="00AF3C9C">
        <w:rPr>
          <w:sz w:val="18"/>
          <w:szCs w:val="18"/>
        </w:rPr>
        <w:t>She told him he must not come near</w:t>
      </w:r>
    </w:p>
    <w:p w14:paraId="3B199C39" w14:textId="1B059468" w:rsidR="00200DC1" w:rsidRPr="00AF3C9C" w:rsidRDefault="00200DC1" w:rsidP="00B62D18">
      <w:pPr>
        <w:ind w:left="864"/>
        <w:jc w:val="both"/>
        <w:rPr>
          <w:sz w:val="18"/>
          <w:szCs w:val="18"/>
        </w:rPr>
      </w:pPr>
      <w:r w:rsidRPr="00AF3C9C">
        <w:rPr>
          <w:sz w:val="18"/>
          <w:szCs w:val="18"/>
        </w:rPr>
        <w:t xml:space="preserve">To </w:t>
      </w:r>
      <w:r w:rsidR="00AF3C9C">
        <w:rPr>
          <w:sz w:val="18"/>
          <w:szCs w:val="18"/>
        </w:rPr>
        <w:t>’</w:t>
      </w:r>
      <w:r w:rsidRPr="00AF3C9C">
        <w:rPr>
          <w:sz w:val="18"/>
          <w:szCs w:val="18"/>
        </w:rPr>
        <w:t>tend the funeral—there was fear;</w:t>
      </w:r>
    </w:p>
    <w:p w14:paraId="608B0169" w14:textId="77777777" w:rsidR="00200DC1" w:rsidRPr="00AF3C9C" w:rsidRDefault="00200DC1" w:rsidP="00B62D18">
      <w:pPr>
        <w:ind w:left="864"/>
        <w:jc w:val="both"/>
        <w:rPr>
          <w:sz w:val="18"/>
          <w:szCs w:val="18"/>
        </w:rPr>
      </w:pPr>
      <w:r w:rsidRPr="00AF3C9C">
        <w:rPr>
          <w:sz w:val="18"/>
          <w:szCs w:val="18"/>
        </w:rPr>
        <w:t>For spies were placed, and watch was set,</w:t>
      </w:r>
    </w:p>
    <w:p w14:paraId="4FC1F6A8" w14:textId="48FE18D3" w:rsidR="00200DC1" w:rsidRPr="00AF3C9C" w:rsidRDefault="00200DC1" w:rsidP="00B62D18">
      <w:pPr>
        <w:ind w:left="864"/>
        <w:jc w:val="both"/>
        <w:rPr>
          <w:sz w:val="18"/>
          <w:szCs w:val="18"/>
        </w:rPr>
      </w:pPr>
      <w:r w:rsidRPr="00AF3C9C">
        <w:rPr>
          <w:sz w:val="18"/>
          <w:szCs w:val="18"/>
        </w:rPr>
        <w:t>Assured the rebel they would get</w:t>
      </w:r>
      <w:r w:rsidR="00AF3C9C">
        <w:rPr>
          <w:sz w:val="18"/>
          <w:szCs w:val="18"/>
        </w:rPr>
        <w:t>.</w:t>
      </w:r>
      <w:r w:rsidRPr="00AF3C9C">
        <w:rPr>
          <w:rStyle w:val="FootnoteReference"/>
          <w:sz w:val="18"/>
          <w:szCs w:val="18"/>
        </w:rPr>
        <w:footnoteReference w:id="13"/>
      </w:r>
    </w:p>
    <w:p w14:paraId="5F2058E1" w14:textId="257A2101" w:rsidR="00200DC1" w:rsidRPr="000E2730" w:rsidRDefault="00200DC1" w:rsidP="005E34DA">
      <w:pPr>
        <w:pStyle w:val="NormalWeb"/>
        <w:spacing w:before="0" w:beforeAutospacing="0" w:after="0" w:afterAutospacing="0"/>
        <w:ind w:firstLine="288"/>
        <w:jc w:val="both"/>
        <w:rPr>
          <w:rFonts w:eastAsia="Times New Roman"/>
          <w:color w:val="000000" w:themeColor="text1"/>
          <w:sz w:val="20"/>
          <w:szCs w:val="20"/>
        </w:rPr>
      </w:pPr>
      <w:r w:rsidRPr="000E2730">
        <w:rPr>
          <w:rFonts w:eastAsia="Times New Roman"/>
          <w:color w:val="000000" w:themeColor="text1"/>
          <w:sz w:val="20"/>
          <w:szCs w:val="20"/>
        </w:rPr>
        <w:t>Alexander Rodger</w:t>
      </w:r>
      <w:r w:rsidR="005E34DA">
        <w:rPr>
          <w:rFonts w:eastAsia="Times New Roman"/>
          <w:color w:val="000000" w:themeColor="text1"/>
          <w:sz w:val="20"/>
          <w:szCs w:val="20"/>
        </w:rPr>
        <w:t xml:space="preserve">’s poetry </w:t>
      </w:r>
      <w:r w:rsidR="009B4754">
        <w:rPr>
          <w:rFonts w:eastAsia="Times New Roman"/>
          <w:color w:val="000000" w:themeColor="text1"/>
          <w:sz w:val="20"/>
          <w:szCs w:val="20"/>
        </w:rPr>
        <w:t xml:space="preserve">also </w:t>
      </w:r>
      <w:r w:rsidRPr="000E2730">
        <w:rPr>
          <w:rFonts w:eastAsia="Times New Roman"/>
          <w:color w:val="000000" w:themeColor="text1"/>
          <w:sz w:val="20"/>
          <w:szCs w:val="20"/>
        </w:rPr>
        <w:t>insists that there were informers at work in Scotland</w:t>
      </w:r>
      <w:r w:rsidR="009B4754">
        <w:rPr>
          <w:rFonts w:eastAsia="Times New Roman"/>
          <w:color w:val="000000" w:themeColor="text1"/>
          <w:sz w:val="20"/>
          <w:szCs w:val="20"/>
        </w:rPr>
        <w:t xml:space="preserve">. </w:t>
      </w:r>
      <w:r w:rsidR="009951CB">
        <w:rPr>
          <w:rFonts w:eastAsia="Times New Roman"/>
          <w:color w:val="000000" w:themeColor="text1"/>
          <w:sz w:val="20"/>
          <w:szCs w:val="20"/>
        </w:rPr>
        <w:t xml:space="preserve">In 1819, </w:t>
      </w:r>
      <w:r w:rsidR="00B62D18">
        <w:rPr>
          <w:rFonts w:eastAsia="Times New Roman"/>
          <w:color w:val="000000" w:themeColor="text1"/>
          <w:sz w:val="20"/>
          <w:szCs w:val="20"/>
        </w:rPr>
        <w:t xml:space="preserve">Rodger </w:t>
      </w:r>
      <w:r w:rsidR="005E34DA">
        <w:rPr>
          <w:rFonts w:eastAsia="Times New Roman"/>
          <w:color w:val="000000" w:themeColor="text1"/>
          <w:sz w:val="20"/>
          <w:szCs w:val="20"/>
        </w:rPr>
        <w:t>(1784-1845), a weaver from Bridgeton</w:t>
      </w:r>
      <w:r w:rsidR="009951CB">
        <w:rPr>
          <w:rFonts w:eastAsia="Times New Roman"/>
          <w:color w:val="000000" w:themeColor="text1"/>
          <w:sz w:val="20"/>
          <w:szCs w:val="20"/>
        </w:rPr>
        <w:t xml:space="preserve">, had written for </w:t>
      </w:r>
      <w:r w:rsidR="005E34DA">
        <w:rPr>
          <w:rFonts w:eastAsia="Times New Roman"/>
          <w:color w:val="000000" w:themeColor="text1"/>
          <w:sz w:val="20"/>
          <w:szCs w:val="20"/>
        </w:rPr>
        <w:t xml:space="preserve">the </w:t>
      </w:r>
      <w:r w:rsidR="009951CB">
        <w:rPr>
          <w:rFonts w:eastAsia="Times New Roman"/>
          <w:color w:val="000000" w:themeColor="text1"/>
          <w:sz w:val="20"/>
          <w:szCs w:val="20"/>
        </w:rPr>
        <w:t xml:space="preserve">short-lived </w:t>
      </w:r>
      <w:r w:rsidR="005E34DA">
        <w:rPr>
          <w:rFonts w:eastAsia="Times New Roman"/>
          <w:color w:val="000000" w:themeColor="text1"/>
          <w:sz w:val="20"/>
          <w:szCs w:val="20"/>
        </w:rPr>
        <w:t xml:space="preserve">radical newspaper </w:t>
      </w:r>
      <w:r w:rsidR="005E34DA" w:rsidRPr="005E34DA">
        <w:rPr>
          <w:rFonts w:eastAsia="Times New Roman"/>
          <w:i/>
          <w:iCs/>
          <w:color w:val="000000" w:themeColor="text1"/>
          <w:sz w:val="20"/>
          <w:szCs w:val="20"/>
        </w:rPr>
        <w:t>The Spirit of the Union</w:t>
      </w:r>
      <w:r w:rsidR="009951CB">
        <w:rPr>
          <w:rFonts w:eastAsia="Times New Roman"/>
          <w:i/>
          <w:iCs/>
          <w:color w:val="000000" w:themeColor="text1"/>
          <w:sz w:val="20"/>
          <w:szCs w:val="20"/>
        </w:rPr>
        <w:t xml:space="preserve">. </w:t>
      </w:r>
      <w:r w:rsidR="009951CB" w:rsidRPr="009951CB">
        <w:rPr>
          <w:rFonts w:eastAsia="Times New Roman"/>
          <w:color w:val="000000" w:themeColor="text1"/>
          <w:sz w:val="20"/>
          <w:szCs w:val="20"/>
        </w:rPr>
        <w:t xml:space="preserve">He </w:t>
      </w:r>
      <w:r w:rsidRPr="009951CB">
        <w:rPr>
          <w:rFonts w:eastAsia="Times New Roman"/>
          <w:color w:val="000000" w:themeColor="text1"/>
          <w:sz w:val="20"/>
          <w:szCs w:val="20"/>
        </w:rPr>
        <w:t>is</w:t>
      </w:r>
      <w:r w:rsidRPr="000E2730">
        <w:rPr>
          <w:rFonts w:eastAsia="Times New Roman"/>
          <w:color w:val="000000" w:themeColor="text1"/>
          <w:sz w:val="20"/>
          <w:szCs w:val="20"/>
        </w:rPr>
        <w:t xml:space="preserve"> </w:t>
      </w:r>
      <w:r w:rsidR="005E34DA">
        <w:rPr>
          <w:rFonts w:eastAsia="Times New Roman"/>
          <w:color w:val="000000" w:themeColor="text1"/>
          <w:sz w:val="20"/>
          <w:szCs w:val="20"/>
        </w:rPr>
        <w:t>now p</w:t>
      </w:r>
      <w:r w:rsidRPr="000E2730">
        <w:rPr>
          <w:rFonts w:eastAsia="Times New Roman"/>
          <w:color w:val="000000" w:themeColor="text1"/>
          <w:sz w:val="20"/>
          <w:szCs w:val="20"/>
        </w:rPr>
        <w:t>erhaps best known for his devastating put down of Sir Walter Scott and the classes who would fawn over George IV on his visit to Scotland in 1822:</w:t>
      </w:r>
    </w:p>
    <w:p w14:paraId="5507674B" w14:textId="71FA6DD5" w:rsidR="00520312" w:rsidRDefault="00200DC1" w:rsidP="00B62D18">
      <w:pPr>
        <w:pStyle w:val="NormalWeb"/>
        <w:spacing w:before="0" w:beforeAutospacing="0" w:after="0" w:afterAutospacing="0"/>
        <w:ind w:left="864"/>
        <w:rPr>
          <w:color w:val="000000" w:themeColor="text1"/>
          <w:sz w:val="18"/>
          <w:szCs w:val="18"/>
          <w:shd w:val="clear" w:color="auto" w:fill="FFFFFF"/>
        </w:rPr>
      </w:pPr>
      <w:r w:rsidRPr="00520312">
        <w:rPr>
          <w:color w:val="000000" w:themeColor="text1"/>
          <w:sz w:val="18"/>
          <w:szCs w:val="18"/>
          <w:shd w:val="clear" w:color="auto" w:fill="FFFFFF"/>
        </w:rPr>
        <w:t>Tell him he is great and good,</w:t>
      </w:r>
    </w:p>
    <w:p w14:paraId="7C2F2F35" w14:textId="2F547765" w:rsidR="00520312" w:rsidRDefault="00200DC1" w:rsidP="00B62D18">
      <w:pPr>
        <w:pStyle w:val="NormalWeb"/>
        <w:spacing w:before="0" w:beforeAutospacing="0" w:after="0" w:afterAutospacing="0"/>
        <w:ind w:left="864"/>
        <w:rPr>
          <w:color w:val="000000" w:themeColor="text1"/>
          <w:sz w:val="18"/>
          <w:szCs w:val="18"/>
          <w:shd w:val="clear" w:color="auto" w:fill="FFFFFF"/>
        </w:rPr>
      </w:pPr>
      <w:r w:rsidRPr="00520312">
        <w:rPr>
          <w:color w:val="000000" w:themeColor="text1"/>
          <w:sz w:val="18"/>
          <w:szCs w:val="18"/>
          <w:shd w:val="clear" w:color="auto" w:fill="FFFFFF"/>
        </w:rPr>
        <w:t xml:space="preserve">And come o' Scottish royal </w:t>
      </w:r>
      <w:proofErr w:type="gramStart"/>
      <w:r w:rsidRPr="00520312">
        <w:rPr>
          <w:color w:val="000000" w:themeColor="text1"/>
          <w:sz w:val="18"/>
          <w:szCs w:val="18"/>
          <w:shd w:val="clear" w:color="auto" w:fill="FFFFFF"/>
        </w:rPr>
        <w:t>blood,—</w:t>
      </w:r>
      <w:proofErr w:type="gramEnd"/>
    </w:p>
    <w:p w14:paraId="76FEA55F" w14:textId="567530A3" w:rsidR="00200DC1" w:rsidRPr="00520312" w:rsidRDefault="00200DC1" w:rsidP="00B62D18">
      <w:pPr>
        <w:pStyle w:val="NormalWeb"/>
        <w:spacing w:before="0" w:beforeAutospacing="0" w:after="0" w:afterAutospacing="0"/>
        <w:ind w:left="864"/>
        <w:rPr>
          <w:color w:val="000000" w:themeColor="text1"/>
          <w:sz w:val="18"/>
          <w:szCs w:val="18"/>
          <w:shd w:val="clear" w:color="auto" w:fill="FFFFFF"/>
        </w:rPr>
      </w:pPr>
      <w:r w:rsidRPr="00520312">
        <w:rPr>
          <w:color w:val="000000" w:themeColor="text1"/>
          <w:sz w:val="18"/>
          <w:szCs w:val="18"/>
          <w:shd w:val="clear" w:color="auto" w:fill="FFFFFF"/>
        </w:rPr>
        <w:t>To your hunkers—lick his fud</w:t>
      </w:r>
      <w:r w:rsidR="00520312">
        <w:rPr>
          <w:color w:val="000000" w:themeColor="text1"/>
          <w:sz w:val="18"/>
          <w:szCs w:val="18"/>
          <w:shd w:val="clear" w:color="auto" w:fill="FFFFFF"/>
        </w:rPr>
        <w:t>.</w:t>
      </w:r>
      <w:r w:rsidRPr="00520312">
        <w:rPr>
          <w:rStyle w:val="FootnoteReference"/>
          <w:color w:val="000000" w:themeColor="text1"/>
          <w:sz w:val="18"/>
          <w:szCs w:val="18"/>
          <w:shd w:val="clear" w:color="auto" w:fill="FFFFFF"/>
        </w:rPr>
        <w:footnoteReference w:id="14"/>
      </w:r>
    </w:p>
    <w:p w14:paraId="7AFE290A" w14:textId="4E1CBE6F" w:rsidR="00520312" w:rsidRDefault="00200DC1" w:rsidP="009E5221">
      <w:pPr>
        <w:jc w:val="both"/>
        <w:rPr>
          <w:color w:val="000000" w:themeColor="text1"/>
          <w:sz w:val="20"/>
          <w:szCs w:val="20"/>
        </w:rPr>
      </w:pPr>
      <w:r w:rsidRPr="000E2730">
        <w:rPr>
          <w:color w:val="000000" w:themeColor="text1"/>
          <w:sz w:val="20"/>
          <w:szCs w:val="20"/>
          <w:shd w:val="clear" w:color="auto" w:fill="FFFFFF"/>
        </w:rPr>
        <w:t xml:space="preserve">This brilliantly colloquial jab at the royal </w:t>
      </w:r>
      <w:r w:rsidR="00520312">
        <w:rPr>
          <w:color w:val="000000" w:themeColor="text1"/>
          <w:sz w:val="20"/>
          <w:szCs w:val="20"/>
          <w:shd w:val="clear" w:color="auto" w:fill="FFFFFF"/>
        </w:rPr>
        <w:t>“</w:t>
      </w:r>
      <w:r w:rsidRPr="000E2730">
        <w:rPr>
          <w:color w:val="000000" w:themeColor="text1"/>
          <w:sz w:val="20"/>
          <w:szCs w:val="20"/>
          <w:shd w:val="clear" w:color="auto" w:fill="FFFFFF"/>
        </w:rPr>
        <w:t>lick-fud bailie core</w:t>
      </w:r>
      <w:r w:rsidR="00520312">
        <w:rPr>
          <w:color w:val="000000" w:themeColor="text1"/>
          <w:sz w:val="20"/>
          <w:szCs w:val="20"/>
          <w:shd w:val="clear" w:color="auto" w:fill="FFFFFF"/>
        </w:rPr>
        <w:t>”</w:t>
      </w:r>
      <w:r w:rsidRPr="000E2730">
        <w:rPr>
          <w:color w:val="000000" w:themeColor="text1"/>
          <w:sz w:val="20"/>
          <w:szCs w:val="20"/>
          <w:shd w:val="clear" w:color="auto" w:fill="FFFFFF"/>
        </w:rPr>
        <w:t xml:space="preserve"> (25) gets right to the heart of a class system in Scotland. </w:t>
      </w:r>
      <w:r w:rsidRPr="000E2730">
        <w:rPr>
          <w:color w:val="000000" w:themeColor="text1"/>
          <w:sz w:val="20"/>
          <w:szCs w:val="20"/>
        </w:rPr>
        <w:t xml:space="preserve">Rodger’s </w:t>
      </w:r>
      <w:r w:rsidR="005E34DA">
        <w:rPr>
          <w:color w:val="000000" w:themeColor="text1"/>
          <w:sz w:val="20"/>
          <w:szCs w:val="20"/>
        </w:rPr>
        <w:t xml:space="preserve">song </w:t>
      </w:r>
      <w:r w:rsidR="00520312">
        <w:rPr>
          <w:color w:val="000000" w:themeColor="text1"/>
          <w:sz w:val="20"/>
          <w:szCs w:val="20"/>
        </w:rPr>
        <w:t>“</w:t>
      </w:r>
      <w:r w:rsidR="00871D25">
        <w:rPr>
          <w:color w:val="000000" w:themeColor="text1"/>
          <w:sz w:val="20"/>
          <w:szCs w:val="20"/>
        </w:rPr>
        <w:t>Shonny Cammel; or the Turn-Coat Priest,”</w:t>
      </w:r>
      <w:r w:rsidR="009951CB">
        <w:rPr>
          <w:color w:val="000000" w:themeColor="text1"/>
          <w:sz w:val="20"/>
          <w:szCs w:val="20"/>
        </w:rPr>
        <w:t xml:space="preserve"> satirizes </w:t>
      </w:r>
      <w:r w:rsidR="006B3FA0">
        <w:rPr>
          <w:color w:val="000000" w:themeColor="text1"/>
          <w:sz w:val="20"/>
          <w:szCs w:val="20"/>
        </w:rPr>
        <w:t xml:space="preserve">a socially-ambitious minister </w:t>
      </w:r>
      <w:r w:rsidR="009951CB">
        <w:rPr>
          <w:color w:val="000000" w:themeColor="text1"/>
          <w:sz w:val="20"/>
          <w:szCs w:val="20"/>
        </w:rPr>
        <w:t xml:space="preserve">who </w:t>
      </w:r>
      <w:r w:rsidR="006B3FA0">
        <w:rPr>
          <w:color w:val="000000" w:themeColor="text1"/>
          <w:sz w:val="20"/>
          <w:szCs w:val="20"/>
        </w:rPr>
        <w:t>e</w:t>
      </w:r>
      <w:r w:rsidRPr="000E2730">
        <w:rPr>
          <w:color w:val="000000" w:themeColor="text1"/>
          <w:sz w:val="20"/>
          <w:szCs w:val="20"/>
        </w:rPr>
        <w:t>xhort</w:t>
      </w:r>
      <w:r w:rsidR="006B3FA0">
        <w:rPr>
          <w:color w:val="000000" w:themeColor="text1"/>
          <w:sz w:val="20"/>
          <w:szCs w:val="20"/>
        </w:rPr>
        <w:t>s</w:t>
      </w:r>
      <w:r w:rsidRPr="000E2730">
        <w:rPr>
          <w:color w:val="000000" w:themeColor="text1"/>
          <w:sz w:val="20"/>
          <w:szCs w:val="20"/>
        </w:rPr>
        <w:t xml:space="preserve"> </w:t>
      </w:r>
      <w:r w:rsidR="009951CB">
        <w:rPr>
          <w:color w:val="000000" w:themeColor="text1"/>
          <w:sz w:val="20"/>
          <w:szCs w:val="20"/>
        </w:rPr>
        <w:t xml:space="preserve">his congregation </w:t>
      </w:r>
      <w:r w:rsidRPr="000E2730">
        <w:rPr>
          <w:color w:val="000000" w:themeColor="text1"/>
          <w:sz w:val="20"/>
          <w:szCs w:val="20"/>
        </w:rPr>
        <w:t xml:space="preserve">to </w:t>
      </w:r>
    </w:p>
    <w:p w14:paraId="163C671D" w14:textId="77777777" w:rsidR="00871D25" w:rsidRDefault="00871D25" w:rsidP="00B62D18">
      <w:pPr>
        <w:ind w:left="864"/>
        <w:rPr>
          <w:sz w:val="18"/>
          <w:szCs w:val="18"/>
        </w:rPr>
      </w:pPr>
      <w:r w:rsidRPr="00871D25">
        <w:rPr>
          <w:sz w:val="18"/>
          <w:szCs w:val="18"/>
        </w:rPr>
        <w:t>Now come unto me, all ye loyal and true,</w:t>
      </w:r>
    </w:p>
    <w:p w14:paraId="0162A519" w14:textId="77777777" w:rsidR="00871D25" w:rsidRDefault="00871D25" w:rsidP="00B62D18">
      <w:pPr>
        <w:ind w:left="864"/>
        <w:rPr>
          <w:sz w:val="18"/>
          <w:szCs w:val="18"/>
        </w:rPr>
      </w:pPr>
      <w:r w:rsidRPr="00871D25">
        <w:rPr>
          <w:sz w:val="18"/>
          <w:szCs w:val="18"/>
        </w:rPr>
        <w:t xml:space="preserve">And I will instruct you in what you must do, </w:t>
      </w:r>
    </w:p>
    <w:p w14:paraId="5C1C065F" w14:textId="77777777" w:rsidR="00871D25" w:rsidRDefault="00871D25" w:rsidP="00B62D18">
      <w:pPr>
        <w:ind w:left="864" w:firstLine="288"/>
        <w:rPr>
          <w:sz w:val="18"/>
          <w:szCs w:val="18"/>
        </w:rPr>
      </w:pPr>
      <w:r w:rsidRPr="00871D25">
        <w:rPr>
          <w:sz w:val="18"/>
          <w:szCs w:val="18"/>
        </w:rPr>
        <w:t>Wi' my black coat, and gravat sae white.</w:t>
      </w:r>
    </w:p>
    <w:p w14:paraId="55F9BA62" w14:textId="77777777" w:rsidR="00871D25" w:rsidRDefault="00871D25" w:rsidP="00B62D18">
      <w:pPr>
        <w:ind w:left="864"/>
        <w:rPr>
          <w:sz w:val="18"/>
          <w:szCs w:val="18"/>
        </w:rPr>
      </w:pPr>
      <w:r w:rsidRPr="00871D25">
        <w:rPr>
          <w:sz w:val="18"/>
          <w:szCs w:val="18"/>
        </w:rPr>
        <w:t>Renounce all connection with Radical knaves,</w:t>
      </w:r>
      <w:r>
        <w:rPr>
          <w:sz w:val="18"/>
          <w:szCs w:val="18"/>
        </w:rPr>
        <w:t>—</w:t>
      </w:r>
    </w:p>
    <w:p w14:paraId="0428638C" w14:textId="77777777" w:rsidR="00871D25" w:rsidRDefault="00871D25" w:rsidP="00B62D18">
      <w:pPr>
        <w:ind w:left="864"/>
        <w:rPr>
          <w:sz w:val="18"/>
          <w:szCs w:val="18"/>
        </w:rPr>
      </w:pPr>
      <w:r w:rsidRPr="00871D25">
        <w:rPr>
          <w:sz w:val="18"/>
          <w:szCs w:val="18"/>
        </w:rPr>
        <w:t>Bow down to Lord Sidmouth,</w:t>
      </w:r>
      <w:r>
        <w:rPr>
          <w:sz w:val="18"/>
          <w:szCs w:val="18"/>
        </w:rPr>
        <w:t>—</w:t>
      </w:r>
      <w:r w:rsidRPr="00871D25">
        <w:rPr>
          <w:sz w:val="18"/>
          <w:szCs w:val="18"/>
        </w:rPr>
        <w:t>be his willing slaves;</w:t>
      </w:r>
    </w:p>
    <w:p w14:paraId="32DBE243" w14:textId="77777777" w:rsidR="00871D25" w:rsidRDefault="00871D25" w:rsidP="00B62D18">
      <w:pPr>
        <w:ind w:left="864"/>
        <w:rPr>
          <w:sz w:val="18"/>
          <w:szCs w:val="18"/>
        </w:rPr>
      </w:pPr>
      <w:r w:rsidRPr="00871D25">
        <w:rPr>
          <w:sz w:val="18"/>
          <w:szCs w:val="18"/>
        </w:rPr>
        <w:t>And listen to me, with devotion and awe,</w:t>
      </w:r>
    </w:p>
    <w:p w14:paraId="027A1F42" w14:textId="77777777" w:rsidR="00871D25" w:rsidRDefault="00871D25" w:rsidP="00B62D18">
      <w:pPr>
        <w:ind w:left="864"/>
        <w:rPr>
          <w:sz w:val="18"/>
          <w:szCs w:val="18"/>
        </w:rPr>
      </w:pPr>
      <w:r w:rsidRPr="00871D25">
        <w:rPr>
          <w:sz w:val="18"/>
          <w:szCs w:val="18"/>
        </w:rPr>
        <w:t>While I, from this high place, promulgate his law,</w:t>
      </w:r>
    </w:p>
    <w:p w14:paraId="7FABE2B4" w14:textId="77777777" w:rsidR="00871D25" w:rsidRDefault="00871D25" w:rsidP="00B62D18">
      <w:pPr>
        <w:ind w:left="864" w:firstLine="288"/>
        <w:rPr>
          <w:sz w:val="18"/>
          <w:szCs w:val="18"/>
        </w:rPr>
      </w:pPr>
      <w:r w:rsidRPr="00871D25">
        <w:rPr>
          <w:sz w:val="18"/>
          <w:szCs w:val="18"/>
        </w:rPr>
        <w:t>In my black coat, and gravat sae white.</w:t>
      </w:r>
    </w:p>
    <w:p w14:paraId="203D3307" w14:textId="77777777" w:rsidR="00871D25" w:rsidRDefault="00871D25" w:rsidP="00B62D18">
      <w:pPr>
        <w:ind w:left="864"/>
        <w:rPr>
          <w:sz w:val="18"/>
          <w:szCs w:val="18"/>
        </w:rPr>
      </w:pPr>
    </w:p>
    <w:p w14:paraId="4CB31379" w14:textId="77777777" w:rsidR="00871D25" w:rsidRDefault="00871D25" w:rsidP="00B62D18">
      <w:pPr>
        <w:ind w:left="864"/>
        <w:rPr>
          <w:sz w:val="18"/>
          <w:szCs w:val="18"/>
        </w:rPr>
      </w:pPr>
      <w:r w:rsidRPr="00871D25">
        <w:rPr>
          <w:sz w:val="18"/>
          <w:szCs w:val="18"/>
        </w:rPr>
        <w:lastRenderedPageBreak/>
        <w:t>His law, then, is this, that ye spend not your cash</w:t>
      </w:r>
    </w:p>
    <w:p w14:paraId="2AA1A6F2" w14:textId="77777777" w:rsidR="00871D25" w:rsidRDefault="00871D25" w:rsidP="00B62D18">
      <w:pPr>
        <w:ind w:left="864"/>
        <w:rPr>
          <w:sz w:val="18"/>
          <w:szCs w:val="18"/>
        </w:rPr>
      </w:pPr>
      <w:r w:rsidRPr="00871D25">
        <w:rPr>
          <w:sz w:val="18"/>
          <w:szCs w:val="18"/>
        </w:rPr>
        <w:t xml:space="preserve">In purchasing wicked and blasphemous trash </w:t>
      </w:r>
    </w:p>
    <w:p w14:paraId="06C4D8C7" w14:textId="77777777" w:rsidR="00871D25" w:rsidRDefault="00871D25" w:rsidP="00B62D18">
      <w:pPr>
        <w:ind w:left="864" w:firstLine="288"/>
        <w:rPr>
          <w:sz w:val="18"/>
          <w:szCs w:val="18"/>
        </w:rPr>
      </w:pPr>
      <w:r w:rsidRPr="00871D25">
        <w:rPr>
          <w:sz w:val="18"/>
          <w:szCs w:val="18"/>
        </w:rPr>
        <w:t xml:space="preserve">Against black coats, and gravats sae white. </w:t>
      </w:r>
    </w:p>
    <w:p w14:paraId="5D7CE89E" w14:textId="77777777" w:rsidR="00871D25" w:rsidRDefault="00871D25" w:rsidP="00B62D18">
      <w:pPr>
        <w:ind w:left="864"/>
        <w:rPr>
          <w:sz w:val="18"/>
          <w:szCs w:val="18"/>
        </w:rPr>
      </w:pPr>
      <w:r w:rsidRPr="00871D25">
        <w:rPr>
          <w:sz w:val="18"/>
          <w:szCs w:val="18"/>
        </w:rPr>
        <w:t xml:space="preserve">The </w:t>
      </w:r>
      <w:r>
        <w:rPr>
          <w:sz w:val="18"/>
          <w:szCs w:val="18"/>
        </w:rPr>
        <w:t>“</w:t>
      </w:r>
      <w:r w:rsidRPr="00871D25">
        <w:rPr>
          <w:sz w:val="18"/>
          <w:szCs w:val="18"/>
        </w:rPr>
        <w:t>Spirit of the Union</w:t>
      </w:r>
      <w:r>
        <w:rPr>
          <w:sz w:val="18"/>
          <w:szCs w:val="18"/>
        </w:rPr>
        <w:t>”</w:t>
      </w:r>
      <w:r w:rsidRPr="00871D25">
        <w:rPr>
          <w:sz w:val="18"/>
          <w:szCs w:val="18"/>
        </w:rPr>
        <w:t xml:space="preserve"> no more you must read,</w:t>
      </w:r>
    </w:p>
    <w:p w14:paraId="11DD3A7E" w14:textId="77777777" w:rsidR="00871D25" w:rsidRDefault="00871D25" w:rsidP="00B62D18">
      <w:pPr>
        <w:ind w:left="864"/>
        <w:rPr>
          <w:sz w:val="18"/>
          <w:szCs w:val="18"/>
        </w:rPr>
      </w:pPr>
      <w:r w:rsidRPr="00871D25">
        <w:rPr>
          <w:sz w:val="18"/>
          <w:szCs w:val="18"/>
        </w:rPr>
        <w:t xml:space="preserve">For it is the </w:t>
      </w:r>
      <w:r w:rsidRPr="00871D25">
        <w:rPr>
          <w:rStyle w:val="Emphasis"/>
          <w:sz w:val="18"/>
          <w:szCs w:val="18"/>
        </w:rPr>
        <w:t>spirit of the devil</w:t>
      </w:r>
      <w:r w:rsidRPr="00871D25">
        <w:rPr>
          <w:sz w:val="18"/>
          <w:szCs w:val="18"/>
        </w:rPr>
        <w:t xml:space="preserve"> indeed; </w:t>
      </w:r>
    </w:p>
    <w:p w14:paraId="3B8BE74E" w14:textId="77777777" w:rsidR="00871D25" w:rsidRDefault="00871D25" w:rsidP="00B62D18">
      <w:pPr>
        <w:ind w:left="864"/>
        <w:rPr>
          <w:sz w:val="18"/>
          <w:szCs w:val="18"/>
        </w:rPr>
      </w:pPr>
      <w:r w:rsidRPr="00871D25">
        <w:rPr>
          <w:sz w:val="18"/>
          <w:szCs w:val="18"/>
        </w:rPr>
        <w:t>And its publisher ought to be whippit through</w:t>
      </w:r>
      <w:r>
        <w:rPr>
          <w:sz w:val="18"/>
          <w:szCs w:val="18"/>
        </w:rPr>
        <w:t>—</w:t>
      </w:r>
    </w:p>
    <w:p w14:paraId="13DC83C6" w14:textId="77777777" w:rsidR="00871D25" w:rsidRDefault="00871D25" w:rsidP="00B62D18">
      <w:pPr>
        <w:ind w:left="864"/>
        <w:rPr>
          <w:sz w:val="18"/>
          <w:szCs w:val="18"/>
        </w:rPr>
      </w:pPr>
      <w:r w:rsidRPr="00871D25">
        <w:rPr>
          <w:sz w:val="18"/>
          <w:szCs w:val="18"/>
        </w:rPr>
        <w:t xml:space="preserve">For publishing </w:t>
      </w:r>
      <w:r w:rsidRPr="00871D25">
        <w:rPr>
          <w:rStyle w:val="Emphasis"/>
          <w:sz w:val="18"/>
          <w:szCs w:val="18"/>
        </w:rPr>
        <w:t>truths</w:t>
      </w:r>
      <w:r w:rsidRPr="00871D25">
        <w:rPr>
          <w:sz w:val="18"/>
          <w:szCs w:val="18"/>
        </w:rPr>
        <w:t xml:space="preserve"> unbecoming to tell,</w:t>
      </w:r>
    </w:p>
    <w:p w14:paraId="7B9D2E94" w14:textId="6EE563FE" w:rsidR="00871D25" w:rsidRDefault="00871D25" w:rsidP="00B62D18">
      <w:pPr>
        <w:ind w:left="864" w:firstLine="288"/>
        <w:rPr>
          <w:sz w:val="18"/>
          <w:szCs w:val="18"/>
        </w:rPr>
      </w:pPr>
      <w:r w:rsidRPr="00871D25">
        <w:rPr>
          <w:sz w:val="18"/>
          <w:szCs w:val="18"/>
        </w:rPr>
        <w:t>About black coats, and gravats sae white.</w:t>
      </w:r>
    </w:p>
    <w:p w14:paraId="7139F198" w14:textId="56F64AD4" w:rsidR="00871D25" w:rsidRDefault="00871D25" w:rsidP="00B62D18">
      <w:pPr>
        <w:ind w:left="864"/>
        <w:rPr>
          <w:sz w:val="18"/>
          <w:szCs w:val="18"/>
        </w:rPr>
      </w:pPr>
    </w:p>
    <w:p w14:paraId="7524E591" w14:textId="77777777" w:rsidR="00871D25" w:rsidRDefault="00871D25" w:rsidP="00B62D18">
      <w:pPr>
        <w:ind w:left="864"/>
        <w:rPr>
          <w:sz w:val="18"/>
          <w:szCs w:val="18"/>
        </w:rPr>
      </w:pPr>
      <w:r w:rsidRPr="00871D25">
        <w:rPr>
          <w:sz w:val="18"/>
          <w:szCs w:val="18"/>
        </w:rPr>
        <w:t xml:space="preserve">But depart ye from me, all ye Radical crew, </w:t>
      </w:r>
    </w:p>
    <w:p w14:paraId="1F705253" w14:textId="77777777" w:rsidR="00871D25" w:rsidRDefault="00871D25" w:rsidP="00B62D18">
      <w:pPr>
        <w:ind w:left="864"/>
        <w:rPr>
          <w:sz w:val="18"/>
          <w:szCs w:val="18"/>
        </w:rPr>
      </w:pPr>
      <w:r w:rsidRPr="00871D25">
        <w:rPr>
          <w:sz w:val="18"/>
          <w:szCs w:val="18"/>
        </w:rPr>
        <w:t xml:space="preserve">With you I will henceforth have nothing to do, </w:t>
      </w:r>
    </w:p>
    <w:p w14:paraId="16E9EF9B" w14:textId="77777777" w:rsidR="00871D25" w:rsidRDefault="00871D25" w:rsidP="00B62D18">
      <w:pPr>
        <w:ind w:left="864" w:firstLine="288"/>
        <w:rPr>
          <w:sz w:val="18"/>
          <w:szCs w:val="18"/>
        </w:rPr>
      </w:pPr>
      <w:r w:rsidRPr="00871D25">
        <w:rPr>
          <w:sz w:val="18"/>
          <w:szCs w:val="18"/>
        </w:rPr>
        <w:t>In my black coat, and gravat sae white.</w:t>
      </w:r>
    </w:p>
    <w:p w14:paraId="7B8F3A60" w14:textId="77777777" w:rsidR="00871D25" w:rsidRDefault="00871D25" w:rsidP="00B62D18">
      <w:pPr>
        <w:ind w:left="864"/>
        <w:rPr>
          <w:sz w:val="18"/>
          <w:szCs w:val="18"/>
        </w:rPr>
      </w:pPr>
      <w:r w:rsidRPr="00871D25">
        <w:rPr>
          <w:sz w:val="18"/>
          <w:szCs w:val="18"/>
        </w:rPr>
        <w:t>Your breath is rank poison</w:t>
      </w:r>
      <w:r>
        <w:rPr>
          <w:sz w:val="18"/>
          <w:szCs w:val="18"/>
        </w:rPr>
        <w:t>—</w:t>
      </w:r>
      <w:r w:rsidRPr="00871D25">
        <w:rPr>
          <w:sz w:val="18"/>
          <w:szCs w:val="18"/>
        </w:rPr>
        <w:t xml:space="preserve">your tongues are sharp stings, </w:t>
      </w:r>
    </w:p>
    <w:p w14:paraId="4136DF06" w14:textId="77777777" w:rsidR="00871D25" w:rsidRDefault="00871D25" w:rsidP="00B62D18">
      <w:pPr>
        <w:ind w:left="864"/>
        <w:rPr>
          <w:sz w:val="18"/>
          <w:szCs w:val="18"/>
        </w:rPr>
      </w:pPr>
      <w:r w:rsidRPr="00871D25">
        <w:rPr>
          <w:sz w:val="18"/>
          <w:szCs w:val="18"/>
        </w:rPr>
        <w:t xml:space="preserve">Directing your venom at priests and at kings; </w:t>
      </w:r>
    </w:p>
    <w:p w14:paraId="7CC6006E" w14:textId="43456D6C" w:rsidR="00871D25" w:rsidRDefault="00871D25" w:rsidP="00B62D18">
      <w:pPr>
        <w:ind w:left="864"/>
        <w:rPr>
          <w:sz w:val="18"/>
          <w:szCs w:val="18"/>
        </w:rPr>
      </w:pPr>
      <w:r w:rsidRPr="00871D25">
        <w:rPr>
          <w:sz w:val="18"/>
          <w:szCs w:val="18"/>
        </w:rPr>
        <w:t xml:space="preserve">You're foes to the Kirk, as you're foes to the State, </w:t>
      </w:r>
    </w:p>
    <w:p w14:paraId="3B961E1E" w14:textId="77777777" w:rsidR="00871D25" w:rsidRDefault="00871D25" w:rsidP="00B62D18">
      <w:pPr>
        <w:ind w:left="864"/>
        <w:rPr>
          <w:sz w:val="18"/>
          <w:szCs w:val="18"/>
        </w:rPr>
      </w:pPr>
      <w:r w:rsidRPr="00871D25">
        <w:rPr>
          <w:sz w:val="18"/>
          <w:szCs w:val="18"/>
        </w:rPr>
        <w:t>And therefore ye merit the rancour and hate</w:t>
      </w:r>
    </w:p>
    <w:p w14:paraId="42AD82F3" w14:textId="083B18C6" w:rsidR="00520312" w:rsidRDefault="00871D25" w:rsidP="00B62D18">
      <w:pPr>
        <w:ind w:left="864" w:firstLine="288"/>
        <w:rPr>
          <w:color w:val="000000" w:themeColor="text1"/>
          <w:sz w:val="18"/>
          <w:szCs w:val="18"/>
        </w:rPr>
      </w:pPr>
      <w:r w:rsidRPr="00871D25">
        <w:rPr>
          <w:sz w:val="18"/>
          <w:szCs w:val="18"/>
        </w:rPr>
        <w:t>Of each black coat, and gravat sae white.</w:t>
      </w:r>
      <w:r w:rsidR="00200DC1" w:rsidRPr="00520312">
        <w:rPr>
          <w:rStyle w:val="FootnoteReference"/>
          <w:color w:val="000000" w:themeColor="text1"/>
          <w:sz w:val="18"/>
          <w:szCs w:val="18"/>
        </w:rPr>
        <w:footnoteReference w:id="15"/>
      </w:r>
      <w:r w:rsidR="00200DC1" w:rsidRPr="00520312">
        <w:rPr>
          <w:color w:val="000000" w:themeColor="text1"/>
          <w:sz w:val="18"/>
          <w:szCs w:val="18"/>
        </w:rPr>
        <w:t xml:space="preserve"> </w:t>
      </w:r>
    </w:p>
    <w:p w14:paraId="1F4257F7" w14:textId="7CAAACDD" w:rsidR="00B05C11" w:rsidRDefault="00CB41CB" w:rsidP="006B3FA0">
      <w:pPr>
        <w:ind w:firstLine="288"/>
        <w:jc w:val="both"/>
        <w:rPr>
          <w:color w:val="000000" w:themeColor="text1"/>
          <w:sz w:val="20"/>
          <w:szCs w:val="20"/>
        </w:rPr>
      </w:pPr>
      <w:r>
        <w:rPr>
          <w:rStyle w:val="normaltextrun"/>
          <w:color w:val="000000" w:themeColor="text1"/>
          <w:sz w:val="20"/>
          <w:szCs w:val="20"/>
        </w:rPr>
        <w:t xml:space="preserve">In his song “Advice to the Priest-Ridden,” </w:t>
      </w:r>
      <w:r w:rsidR="00A42C7A">
        <w:rPr>
          <w:rStyle w:val="normaltextrun"/>
          <w:color w:val="000000" w:themeColor="text1"/>
          <w:sz w:val="20"/>
          <w:szCs w:val="20"/>
        </w:rPr>
        <w:t xml:space="preserve">the </w:t>
      </w:r>
      <w:r w:rsidR="005E34DA">
        <w:rPr>
          <w:rStyle w:val="normaltextrun"/>
          <w:color w:val="000000" w:themeColor="text1"/>
          <w:sz w:val="20"/>
          <w:szCs w:val="20"/>
        </w:rPr>
        <w:t xml:space="preserve">opening </w:t>
      </w:r>
      <w:r w:rsidR="00A42C7A">
        <w:rPr>
          <w:rStyle w:val="normaltextrun"/>
          <w:color w:val="000000" w:themeColor="text1"/>
          <w:sz w:val="20"/>
          <w:szCs w:val="20"/>
        </w:rPr>
        <w:t xml:space="preserve">poem in his </w:t>
      </w:r>
      <w:r w:rsidR="005E34DA">
        <w:rPr>
          <w:rStyle w:val="normaltextrun"/>
          <w:color w:val="000000" w:themeColor="text1"/>
          <w:sz w:val="20"/>
          <w:szCs w:val="20"/>
        </w:rPr>
        <w:t xml:space="preserve">first book, </w:t>
      </w:r>
      <w:r w:rsidR="00A42C7A" w:rsidRPr="00A42C7A">
        <w:rPr>
          <w:rStyle w:val="normaltextrun"/>
          <w:i/>
          <w:iCs/>
          <w:color w:val="000000" w:themeColor="text1"/>
          <w:sz w:val="20"/>
          <w:szCs w:val="20"/>
        </w:rPr>
        <w:t xml:space="preserve">Scotch </w:t>
      </w:r>
      <w:proofErr w:type="spellStart"/>
      <w:r w:rsidR="00A42C7A" w:rsidRPr="00A42C7A">
        <w:rPr>
          <w:rStyle w:val="normaltextrun"/>
          <w:i/>
          <w:iCs/>
          <w:color w:val="000000" w:themeColor="text1"/>
          <w:sz w:val="20"/>
          <w:szCs w:val="20"/>
        </w:rPr>
        <w:t>Poetry</w:t>
      </w:r>
      <w:proofErr w:type="spellEnd"/>
      <w:r w:rsidR="00A42C7A">
        <w:rPr>
          <w:rStyle w:val="normaltextrun"/>
          <w:color w:val="000000" w:themeColor="text1"/>
          <w:sz w:val="20"/>
          <w:szCs w:val="20"/>
        </w:rPr>
        <w:t xml:space="preserve"> (1821), </w:t>
      </w:r>
      <w:proofErr w:type="spellStart"/>
      <w:r w:rsidR="00200DC1" w:rsidRPr="000E2730">
        <w:rPr>
          <w:rStyle w:val="normaltextrun"/>
          <w:color w:val="000000" w:themeColor="text1"/>
          <w:sz w:val="20"/>
          <w:szCs w:val="20"/>
        </w:rPr>
        <w:t>Rodger</w:t>
      </w:r>
      <w:proofErr w:type="spellEnd"/>
      <w:r w:rsidR="00200DC1" w:rsidRPr="000E2730">
        <w:rPr>
          <w:rStyle w:val="normaltextrun"/>
          <w:color w:val="000000" w:themeColor="text1"/>
          <w:sz w:val="20"/>
          <w:szCs w:val="20"/>
        </w:rPr>
        <w:t xml:space="preserve"> </w:t>
      </w:r>
      <w:proofErr w:type="spellStart"/>
      <w:r w:rsidR="00200DC1" w:rsidRPr="000E2730">
        <w:rPr>
          <w:rStyle w:val="normaltextrun"/>
          <w:color w:val="000000" w:themeColor="text1"/>
          <w:sz w:val="20"/>
          <w:szCs w:val="20"/>
        </w:rPr>
        <w:t>castigates</w:t>
      </w:r>
      <w:proofErr w:type="spellEnd"/>
      <w:r w:rsidR="00200DC1" w:rsidRPr="000E2730">
        <w:rPr>
          <w:rStyle w:val="normaltextrun"/>
          <w:color w:val="000000" w:themeColor="text1"/>
          <w:sz w:val="20"/>
          <w:szCs w:val="20"/>
        </w:rPr>
        <w:t xml:space="preserve"> </w:t>
      </w:r>
      <w:r w:rsidR="006E0440">
        <w:rPr>
          <w:rStyle w:val="normaltextrun"/>
          <w:color w:val="000000" w:themeColor="text1"/>
          <w:sz w:val="20"/>
          <w:szCs w:val="20"/>
        </w:rPr>
        <w:t>“</w:t>
      </w:r>
      <w:proofErr w:type="spellStart"/>
      <w:r w:rsidR="00200DC1" w:rsidRPr="000E2730">
        <w:rPr>
          <w:rStyle w:val="normaltextrun"/>
          <w:color w:val="000000" w:themeColor="text1"/>
          <w:sz w:val="20"/>
          <w:szCs w:val="20"/>
        </w:rPr>
        <w:t>black</w:t>
      </w:r>
      <w:proofErr w:type="spellEnd"/>
      <w:r w:rsidR="00200DC1" w:rsidRPr="000E2730">
        <w:rPr>
          <w:rStyle w:val="normaltextrun"/>
          <w:color w:val="000000" w:themeColor="text1"/>
          <w:sz w:val="20"/>
          <w:szCs w:val="20"/>
        </w:rPr>
        <w:t xml:space="preserve"> </w:t>
      </w:r>
      <w:proofErr w:type="spellStart"/>
      <w:r w:rsidR="00200DC1" w:rsidRPr="000E2730">
        <w:rPr>
          <w:rStyle w:val="normaltextrun"/>
          <w:color w:val="000000" w:themeColor="text1"/>
          <w:sz w:val="20"/>
          <w:szCs w:val="20"/>
        </w:rPr>
        <w:t>coats</w:t>
      </w:r>
      <w:proofErr w:type="spellEnd"/>
      <w:r>
        <w:rPr>
          <w:rStyle w:val="normaltextrun"/>
          <w:color w:val="000000" w:themeColor="text1"/>
          <w:sz w:val="20"/>
          <w:szCs w:val="20"/>
        </w:rPr>
        <w:t>,</w:t>
      </w:r>
      <w:r w:rsidR="006E0440">
        <w:rPr>
          <w:rStyle w:val="normaltextrun"/>
          <w:color w:val="000000" w:themeColor="text1"/>
          <w:sz w:val="20"/>
          <w:szCs w:val="20"/>
        </w:rPr>
        <w:t>”</w:t>
      </w:r>
      <w:r w:rsidR="00200DC1" w:rsidRPr="000E2730">
        <w:rPr>
          <w:rStyle w:val="normaltextrun"/>
          <w:color w:val="000000" w:themeColor="text1"/>
          <w:sz w:val="20"/>
          <w:szCs w:val="20"/>
        </w:rPr>
        <w:t xml:space="preserve"> </w:t>
      </w:r>
      <w:r w:rsidR="00EC6F00">
        <w:rPr>
          <w:rStyle w:val="normaltextrun"/>
          <w:color w:val="000000" w:themeColor="text1"/>
          <w:sz w:val="20"/>
          <w:szCs w:val="20"/>
        </w:rPr>
        <w:t>v</w:t>
      </w:r>
      <w:r>
        <w:rPr>
          <w:rStyle w:val="normaltextrun"/>
          <w:color w:val="000000" w:themeColor="text1"/>
          <w:sz w:val="20"/>
          <w:szCs w:val="20"/>
        </w:rPr>
        <w:t xml:space="preserve">erse by verse </w:t>
      </w:r>
      <w:proofErr w:type="spellStart"/>
      <w:r>
        <w:rPr>
          <w:rStyle w:val="normaltextrun"/>
          <w:color w:val="000000" w:themeColor="text1"/>
          <w:sz w:val="20"/>
          <w:szCs w:val="20"/>
        </w:rPr>
        <w:t>through</w:t>
      </w:r>
      <w:proofErr w:type="spellEnd"/>
      <w:r>
        <w:rPr>
          <w:rStyle w:val="normaltextrun"/>
          <w:color w:val="000000" w:themeColor="text1"/>
          <w:sz w:val="20"/>
          <w:szCs w:val="20"/>
        </w:rPr>
        <w:t xml:space="preserve"> a </w:t>
      </w:r>
      <w:proofErr w:type="spellStart"/>
      <w:r>
        <w:rPr>
          <w:rStyle w:val="normaltextrun"/>
          <w:color w:val="000000" w:themeColor="text1"/>
          <w:sz w:val="20"/>
          <w:szCs w:val="20"/>
        </w:rPr>
        <w:t>roster</w:t>
      </w:r>
      <w:proofErr w:type="spellEnd"/>
      <w:r>
        <w:rPr>
          <w:rStyle w:val="normaltextrun"/>
          <w:color w:val="000000" w:themeColor="text1"/>
          <w:sz w:val="20"/>
          <w:szCs w:val="20"/>
        </w:rPr>
        <w:t xml:space="preserve"> of clerical villains</w:t>
      </w:r>
      <w:r w:rsidR="00200DC1" w:rsidRPr="000E2730">
        <w:rPr>
          <w:rStyle w:val="normaltextrun"/>
          <w:color w:val="000000" w:themeColor="text1"/>
          <w:sz w:val="20"/>
          <w:szCs w:val="20"/>
        </w:rPr>
        <w:t>.</w:t>
      </w:r>
      <w:r w:rsidR="00B62D18" w:rsidRPr="000E2730">
        <w:rPr>
          <w:rStyle w:val="FootnoteReference"/>
          <w:color w:val="000000" w:themeColor="text1"/>
          <w:sz w:val="20"/>
          <w:szCs w:val="20"/>
        </w:rPr>
        <w:footnoteReference w:id="16"/>
      </w:r>
      <w:r w:rsidR="00B62D18" w:rsidRPr="000E2730">
        <w:rPr>
          <w:color w:val="000000" w:themeColor="text1"/>
          <w:sz w:val="20"/>
          <w:szCs w:val="20"/>
        </w:rPr>
        <w:t xml:space="preserve"> </w:t>
      </w:r>
      <w:r w:rsidR="00B05C11">
        <w:rPr>
          <w:color w:val="000000" w:themeColor="text1"/>
          <w:sz w:val="20"/>
          <w:szCs w:val="20"/>
        </w:rPr>
        <w:t xml:space="preserve">To suggest the sexual hypocrisy of the clergy, </w:t>
      </w:r>
      <w:r w:rsidR="00B05C11" w:rsidRPr="000E2730">
        <w:rPr>
          <w:color w:val="000000" w:themeColor="text1"/>
          <w:sz w:val="20"/>
          <w:szCs w:val="20"/>
        </w:rPr>
        <w:t xml:space="preserve">Rodger </w:t>
      </w:r>
      <w:r w:rsidR="00B05C11">
        <w:rPr>
          <w:color w:val="000000" w:themeColor="text1"/>
          <w:sz w:val="20"/>
          <w:szCs w:val="20"/>
        </w:rPr>
        <w:t xml:space="preserve">sets </w:t>
      </w:r>
      <w:r w:rsidR="00B05C11" w:rsidRPr="000E2730">
        <w:rPr>
          <w:color w:val="000000" w:themeColor="text1"/>
          <w:sz w:val="20"/>
          <w:szCs w:val="20"/>
        </w:rPr>
        <w:t xml:space="preserve">his song to </w:t>
      </w:r>
      <w:r w:rsidR="00B05C11">
        <w:rPr>
          <w:rStyle w:val="contextualspellingandgrammarerror"/>
          <w:color w:val="000000" w:themeColor="text1"/>
          <w:sz w:val="20"/>
          <w:szCs w:val="20"/>
        </w:rPr>
        <w:t>“</w:t>
      </w:r>
      <w:r w:rsidR="00B05C11" w:rsidRPr="000E2730">
        <w:rPr>
          <w:rStyle w:val="contextualspellingandgrammarerror"/>
          <w:color w:val="000000" w:themeColor="text1"/>
          <w:sz w:val="20"/>
          <w:szCs w:val="20"/>
        </w:rPr>
        <w:t xml:space="preserve">The Black </w:t>
      </w:r>
      <w:r w:rsidR="00B05C11">
        <w:rPr>
          <w:rStyle w:val="contextualspellingandgrammarerror"/>
          <w:color w:val="000000" w:themeColor="text1"/>
          <w:sz w:val="20"/>
          <w:szCs w:val="20"/>
        </w:rPr>
        <w:t>J</w:t>
      </w:r>
      <w:r w:rsidR="00B05C11" w:rsidRPr="000E2730">
        <w:rPr>
          <w:rStyle w:val="contextualspellingandgrammarerror"/>
          <w:color w:val="000000" w:themeColor="text1"/>
          <w:sz w:val="20"/>
          <w:szCs w:val="20"/>
        </w:rPr>
        <w:t>oke</w:t>
      </w:r>
      <w:r w:rsidR="00B05C11">
        <w:rPr>
          <w:rStyle w:val="contextualspellingandgrammarerror"/>
          <w:color w:val="000000" w:themeColor="text1"/>
          <w:sz w:val="20"/>
          <w:szCs w:val="20"/>
        </w:rPr>
        <w:t xml:space="preserve">,” </w:t>
      </w:r>
      <w:r w:rsidR="00174B1D">
        <w:rPr>
          <w:rStyle w:val="contextualspellingandgrammarerror"/>
          <w:color w:val="000000" w:themeColor="text1"/>
          <w:sz w:val="20"/>
          <w:szCs w:val="20"/>
        </w:rPr>
        <w:t xml:space="preserve">a tune </w:t>
      </w:r>
      <w:r w:rsidR="00B05C11">
        <w:rPr>
          <w:rStyle w:val="contextualspellingandgrammarerror"/>
          <w:color w:val="000000" w:themeColor="text1"/>
          <w:sz w:val="20"/>
          <w:szCs w:val="20"/>
        </w:rPr>
        <w:t xml:space="preserve">used </w:t>
      </w:r>
      <w:r w:rsidR="00B05C11" w:rsidRPr="000E2730">
        <w:rPr>
          <w:rStyle w:val="contextualspellingandgrammarerror"/>
          <w:color w:val="000000" w:themeColor="text1"/>
          <w:sz w:val="20"/>
          <w:szCs w:val="20"/>
        </w:rPr>
        <w:t>by Robert</w:t>
      </w:r>
      <w:r w:rsidR="00B05C11">
        <w:rPr>
          <w:rStyle w:val="contextualspellingandgrammarerror"/>
          <w:color w:val="000000" w:themeColor="text1"/>
          <w:sz w:val="20"/>
          <w:szCs w:val="20"/>
        </w:rPr>
        <w:t xml:space="preserve"> </w:t>
      </w:r>
      <w:r w:rsidR="00B05C11" w:rsidRPr="000E2730">
        <w:rPr>
          <w:rStyle w:val="eop"/>
          <w:color w:val="000000" w:themeColor="text1"/>
          <w:sz w:val="20"/>
          <w:szCs w:val="20"/>
        </w:rPr>
        <w:t xml:space="preserve">Burns </w:t>
      </w:r>
      <w:r w:rsidR="00B05C11">
        <w:rPr>
          <w:rStyle w:val="eop"/>
          <w:color w:val="000000" w:themeColor="text1"/>
          <w:sz w:val="20"/>
          <w:szCs w:val="20"/>
        </w:rPr>
        <w:t xml:space="preserve">for his </w:t>
      </w:r>
      <w:r w:rsidR="00B05C11">
        <w:rPr>
          <w:color w:val="000000" w:themeColor="text1"/>
          <w:sz w:val="20"/>
          <w:szCs w:val="20"/>
        </w:rPr>
        <w:t xml:space="preserve">sexually-explicit </w:t>
      </w:r>
      <w:r w:rsidR="00B05C11" w:rsidRPr="000E2730">
        <w:rPr>
          <w:color w:val="000000" w:themeColor="text1"/>
          <w:sz w:val="20"/>
          <w:szCs w:val="20"/>
        </w:rPr>
        <w:t xml:space="preserve">song </w:t>
      </w:r>
      <w:r w:rsidR="00B05C11">
        <w:rPr>
          <w:color w:val="000000" w:themeColor="text1"/>
          <w:sz w:val="20"/>
          <w:szCs w:val="20"/>
        </w:rPr>
        <w:t>“</w:t>
      </w:r>
      <w:r w:rsidR="00B05C11" w:rsidRPr="000E2730">
        <w:rPr>
          <w:color w:val="000000" w:themeColor="text1"/>
          <w:sz w:val="20"/>
          <w:szCs w:val="20"/>
        </w:rPr>
        <w:t>My girl she</w:t>
      </w:r>
      <w:r w:rsidR="00B05C11">
        <w:rPr>
          <w:color w:val="000000" w:themeColor="text1"/>
          <w:sz w:val="20"/>
          <w:szCs w:val="20"/>
        </w:rPr>
        <w:t>’</w:t>
      </w:r>
      <w:r w:rsidR="00B05C11" w:rsidRPr="000E2730">
        <w:rPr>
          <w:color w:val="000000" w:themeColor="text1"/>
          <w:sz w:val="20"/>
          <w:szCs w:val="20"/>
        </w:rPr>
        <w:t>s airy, she</w:t>
      </w:r>
      <w:r w:rsidR="006B3FA0">
        <w:rPr>
          <w:color w:val="000000" w:themeColor="text1"/>
          <w:sz w:val="20"/>
          <w:szCs w:val="20"/>
        </w:rPr>
        <w:t>’</w:t>
      </w:r>
      <w:r w:rsidR="00B05C11" w:rsidRPr="000E2730">
        <w:rPr>
          <w:color w:val="000000" w:themeColor="text1"/>
          <w:sz w:val="20"/>
          <w:szCs w:val="20"/>
        </w:rPr>
        <w:t>s buxom and gay</w:t>
      </w:r>
      <w:r w:rsidR="00B05C11">
        <w:rPr>
          <w:color w:val="000000" w:themeColor="text1"/>
          <w:sz w:val="20"/>
          <w:szCs w:val="20"/>
        </w:rPr>
        <w:t>.”</w:t>
      </w:r>
      <w:r w:rsidR="00B05C11" w:rsidRPr="006E0440">
        <w:rPr>
          <w:rStyle w:val="FootnoteReference"/>
          <w:sz w:val="18"/>
          <w:szCs w:val="18"/>
        </w:rPr>
        <w:footnoteReference w:id="17"/>
      </w:r>
      <w:r w:rsidR="00B05C11">
        <w:rPr>
          <w:color w:val="000000" w:themeColor="text1"/>
          <w:sz w:val="20"/>
          <w:szCs w:val="20"/>
        </w:rPr>
        <w:t xml:space="preserve"> Rodgers spells this </w:t>
      </w:r>
      <w:r w:rsidR="00174B1D">
        <w:rPr>
          <w:color w:val="000000" w:themeColor="text1"/>
          <w:sz w:val="20"/>
          <w:szCs w:val="20"/>
        </w:rPr>
        <w:t xml:space="preserve">theme </w:t>
      </w:r>
      <w:r w:rsidR="00B05C11">
        <w:rPr>
          <w:color w:val="000000" w:themeColor="text1"/>
          <w:sz w:val="20"/>
          <w:szCs w:val="20"/>
        </w:rPr>
        <w:t>out in one of the verses:</w:t>
      </w:r>
    </w:p>
    <w:p w14:paraId="4F356BE8" w14:textId="77777777" w:rsidR="00B05C11" w:rsidRDefault="00B05C11" w:rsidP="00B05C11">
      <w:pPr>
        <w:ind w:left="864"/>
        <w:rPr>
          <w:sz w:val="18"/>
          <w:szCs w:val="18"/>
        </w:rPr>
      </w:pPr>
      <w:r w:rsidRPr="00B05C11">
        <w:rPr>
          <w:sz w:val="18"/>
          <w:szCs w:val="18"/>
        </w:rPr>
        <w:t xml:space="preserve">And </w:t>
      </w:r>
      <w:r w:rsidRPr="00B05C11">
        <w:rPr>
          <w:rStyle w:val="Strong"/>
          <w:b w:val="0"/>
          <w:bCs w:val="0"/>
          <w:i/>
          <w:iCs/>
          <w:sz w:val="18"/>
          <w:szCs w:val="18"/>
        </w:rPr>
        <w:t>Johnny M'Greed</w:t>
      </w:r>
      <w:r w:rsidRPr="00B05C11">
        <w:rPr>
          <w:sz w:val="18"/>
          <w:szCs w:val="18"/>
        </w:rPr>
        <w:t xml:space="preserve"> , how he lashes at them</w:t>
      </w:r>
    </w:p>
    <w:p w14:paraId="4F798091" w14:textId="77777777" w:rsidR="00B05C11" w:rsidRDefault="00B05C11" w:rsidP="00B05C11">
      <w:pPr>
        <w:ind w:left="864"/>
        <w:rPr>
          <w:sz w:val="18"/>
          <w:szCs w:val="18"/>
        </w:rPr>
      </w:pPr>
      <w:r w:rsidRPr="00B05C11">
        <w:rPr>
          <w:sz w:val="18"/>
          <w:szCs w:val="18"/>
        </w:rPr>
        <w:t>Wha gang the grey gate that brings lasses to shame,</w:t>
      </w:r>
    </w:p>
    <w:p w14:paraId="034619FD" w14:textId="77777777" w:rsidR="00B05C11" w:rsidRDefault="00B05C11" w:rsidP="00B05C11">
      <w:pPr>
        <w:ind w:left="864" w:firstLine="288"/>
        <w:rPr>
          <w:sz w:val="18"/>
          <w:szCs w:val="18"/>
        </w:rPr>
      </w:pPr>
      <w:r w:rsidRPr="00B05C11">
        <w:rPr>
          <w:sz w:val="18"/>
          <w:szCs w:val="18"/>
        </w:rPr>
        <w:t>Wi</w:t>
      </w:r>
      <w:r>
        <w:rPr>
          <w:sz w:val="18"/>
          <w:szCs w:val="18"/>
        </w:rPr>
        <w:t>’</w:t>
      </w:r>
      <w:r w:rsidRPr="00B05C11">
        <w:rPr>
          <w:sz w:val="18"/>
          <w:szCs w:val="18"/>
        </w:rPr>
        <w:t xml:space="preserve"> his black coat, &amp;c. </w:t>
      </w:r>
    </w:p>
    <w:p w14:paraId="335FB42F" w14:textId="77777777" w:rsidR="00B05C11" w:rsidRDefault="00B05C11" w:rsidP="00B05C11">
      <w:pPr>
        <w:ind w:left="864"/>
        <w:rPr>
          <w:sz w:val="18"/>
          <w:szCs w:val="18"/>
        </w:rPr>
      </w:pPr>
      <w:r w:rsidRPr="00B05C11">
        <w:rPr>
          <w:sz w:val="18"/>
          <w:szCs w:val="18"/>
        </w:rPr>
        <w:t xml:space="preserve">For into </w:t>
      </w:r>
      <w:r w:rsidRPr="00B05C11">
        <w:rPr>
          <w:rStyle w:val="Emphasis"/>
          <w:sz w:val="18"/>
          <w:szCs w:val="18"/>
        </w:rPr>
        <w:t>temptation</w:t>
      </w:r>
      <w:r w:rsidRPr="00B05C11">
        <w:rPr>
          <w:sz w:val="18"/>
          <w:szCs w:val="18"/>
        </w:rPr>
        <w:t xml:space="preserve"> himsel' is ne</w:t>
      </w:r>
      <w:r>
        <w:rPr>
          <w:sz w:val="18"/>
          <w:szCs w:val="18"/>
        </w:rPr>
        <w:t>’</w:t>
      </w:r>
      <w:r w:rsidRPr="00B05C11">
        <w:rPr>
          <w:sz w:val="18"/>
          <w:szCs w:val="18"/>
        </w:rPr>
        <w:t xml:space="preserve">er </w:t>
      </w:r>
      <w:r w:rsidRPr="00B05C11">
        <w:rPr>
          <w:rStyle w:val="Emphasis"/>
          <w:sz w:val="18"/>
          <w:szCs w:val="18"/>
        </w:rPr>
        <w:t>led</w:t>
      </w:r>
      <w:r w:rsidRPr="00B05C11">
        <w:rPr>
          <w:sz w:val="18"/>
          <w:szCs w:val="18"/>
        </w:rPr>
        <w:t xml:space="preserve"> ,</w:t>
      </w:r>
    </w:p>
    <w:p w14:paraId="79904E88" w14:textId="77777777" w:rsidR="00B05C11" w:rsidRDefault="00B05C11" w:rsidP="00B05C11">
      <w:pPr>
        <w:ind w:left="864"/>
        <w:rPr>
          <w:sz w:val="18"/>
          <w:szCs w:val="18"/>
        </w:rPr>
      </w:pPr>
      <w:r w:rsidRPr="00B05C11">
        <w:rPr>
          <w:sz w:val="18"/>
          <w:szCs w:val="18"/>
        </w:rPr>
        <w:t xml:space="preserve">But </w:t>
      </w:r>
      <w:r w:rsidRPr="00B05C11">
        <w:rPr>
          <w:rStyle w:val="Emphasis"/>
          <w:sz w:val="18"/>
          <w:szCs w:val="18"/>
        </w:rPr>
        <w:t>willingly</w:t>
      </w:r>
      <w:r w:rsidRPr="00B05C11">
        <w:rPr>
          <w:sz w:val="18"/>
          <w:szCs w:val="18"/>
        </w:rPr>
        <w:t xml:space="preserve"> enters her </w:t>
      </w:r>
      <w:r w:rsidRPr="00B05C11">
        <w:rPr>
          <w:rStyle w:val="Emphasis"/>
          <w:sz w:val="18"/>
          <w:szCs w:val="18"/>
        </w:rPr>
        <w:t>net</w:t>
      </w:r>
      <w:r w:rsidRPr="00B05C11">
        <w:rPr>
          <w:sz w:val="18"/>
          <w:szCs w:val="18"/>
        </w:rPr>
        <w:t xml:space="preserve"> when </w:t>
      </w:r>
      <w:r>
        <w:rPr>
          <w:sz w:val="18"/>
          <w:szCs w:val="18"/>
        </w:rPr>
        <w:t>’</w:t>
      </w:r>
      <w:r w:rsidRPr="00B05C11">
        <w:rPr>
          <w:sz w:val="18"/>
          <w:szCs w:val="18"/>
        </w:rPr>
        <w:t xml:space="preserve">tis </w:t>
      </w:r>
      <w:r w:rsidRPr="00B05C11">
        <w:rPr>
          <w:rStyle w:val="Emphasis"/>
          <w:sz w:val="18"/>
          <w:szCs w:val="18"/>
        </w:rPr>
        <w:t>spread</w:t>
      </w:r>
      <w:r w:rsidRPr="00B05C11">
        <w:rPr>
          <w:sz w:val="18"/>
          <w:szCs w:val="18"/>
        </w:rPr>
        <w:t>;</w:t>
      </w:r>
    </w:p>
    <w:p w14:paraId="3021B7FC" w14:textId="77777777" w:rsidR="00B05C11" w:rsidRDefault="00B05C11" w:rsidP="00B05C11">
      <w:pPr>
        <w:ind w:left="864"/>
        <w:rPr>
          <w:sz w:val="18"/>
          <w:szCs w:val="18"/>
        </w:rPr>
      </w:pPr>
      <w:r>
        <w:rPr>
          <w:sz w:val="18"/>
          <w:szCs w:val="18"/>
        </w:rPr>
        <w:t>A</w:t>
      </w:r>
      <w:r w:rsidRPr="00B05C11">
        <w:rPr>
          <w:sz w:val="18"/>
          <w:szCs w:val="18"/>
        </w:rPr>
        <w:t xml:space="preserve">nd when he is caught in her </w:t>
      </w:r>
      <w:r w:rsidRPr="00B05C11">
        <w:rPr>
          <w:rStyle w:val="Emphasis"/>
          <w:sz w:val="18"/>
          <w:szCs w:val="18"/>
        </w:rPr>
        <w:t>strait kittle mesh</w:t>
      </w:r>
      <w:r w:rsidRPr="00B05C11">
        <w:rPr>
          <w:sz w:val="18"/>
          <w:szCs w:val="18"/>
        </w:rPr>
        <w:t xml:space="preserve"> , </w:t>
      </w:r>
    </w:p>
    <w:p w14:paraId="189C0CB3" w14:textId="77777777" w:rsidR="00B05C11" w:rsidRDefault="00B05C11" w:rsidP="00B05C11">
      <w:pPr>
        <w:ind w:left="864"/>
        <w:rPr>
          <w:sz w:val="18"/>
          <w:szCs w:val="18"/>
        </w:rPr>
      </w:pPr>
      <w:r w:rsidRPr="00B05C11">
        <w:rPr>
          <w:sz w:val="18"/>
          <w:szCs w:val="18"/>
        </w:rPr>
        <w:t xml:space="preserve">He greets and cries out, </w:t>
      </w:r>
      <w:r>
        <w:rPr>
          <w:sz w:val="18"/>
          <w:szCs w:val="18"/>
        </w:rPr>
        <w:t>“</w:t>
      </w:r>
      <w:r w:rsidRPr="00B05C11">
        <w:rPr>
          <w:sz w:val="18"/>
          <w:szCs w:val="18"/>
        </w:rPr>
        <w:t xml:space="preserve">O! how weak is the </w:t>
      </w:r>
      <w:r w:rsidRPr="00B05C11">
        <w:rPr>
          <w:rStyle w:val="Emphasis"/>
          <w:sz w:val="18"/>
          <w:szCs w:val="18"/>
        </w:rPr>
        <w:t>flesh</w:t>
      </w:r>
      <w:r w:rsidRPr="00B05C11">
        <w:rPr>
          <w:sz w:val="18"/>
          <w:szCs w:val="18"/>
        </w:rPr>
        <w:t>,</w:t>
      </w:r>
      <w:r>
        <w:rPr>
          <w:sz w:val="18"/>
          <w:szCs w:val="18"/>
        </w:rPr>
        <w:t>”</w:t>
      </w:r>
    </w:p>
    <w:p w14:paraId="359FF3D0" w14:textId="77777777" w:rsidR="00B05C11" w:rsidRDefault="00B05C11" w:rsidP="00B05C11">
      <w:pPr>
        <w:ind w:left="864" w:firstLine="288"/>
        <w:rPr>
          <w:sz w:val="18"/>
          <w:szCs w:val="18"/>
        </w:rPr>
      </w:pPr>
      <w:r w:rsidRPr="00B05C11">
        <w:rPr>
          <w:sz w:val="18"/>
          <w:szCs w:val="18"/>
        </w:rPr>
        <w:t>Wi</w:t>
      </w:r>
      <w:r>
        <w:rPr>
          <w:sz w:val="18"/>
          <w:szCs w:val="18"/>
        </w:rPr>
        <w:t>’</w:t>
      </w:r>
      <w:r w:rsidRPr="00B05C11">
        <w:rPr>
          <w:sz w:val="18"/>
          <w:szCs w:val="18"/>
        </w:rPr>
        <w:t xml:space="preserve"> his black coat, &amp;c.</w:t>
      </w:r>
    </w:p>
    <w:p w14:paraId="1D6E5E30" w14:textId="30CA9ABB" w:rsidR="00A42C7A" w:rsidRDefault="00B05C11" w:rsidP="00A42C7A">
      <w:pPr>
        <w:jc w:val="both"/>
        <w:rPr>
          <w:rStyle w:val="normaltextrun"/>
          <w:color w:val="000000" w:themeColor="text1"/>
          <w:sz w:val="20"/>
          <w:szCs w:val="20"/>
        </w:rPr>
      </w:pPr>
      <w:r>
        <w:rPr>
          <w:rStyle w:val="normaltextrun"/>
          <w:color w:val="000000" w:themeColor="text1"/>
          <w:sz w:val="20"/>
          <w:szCs w:val="20"/>
        </w:rPr>
        <w:t xml:space="preserve">But Rodger’s chief accusation is of political collusion. </w:t>
      </w:r>
      <w:r w:rsidR="00A42C7A">
        <w:rPr>
          <w:rStyle w:val="normaltextrun"/>
          <w:color w:val="000000" w:themeColor="text1"/>
          <w:sz w:val="20"/>
          <w:szCs w:val="20"/>
        </w:rPr>
        <w:t>Another portrait makes explicit clerical support for the use of military force in suppressing popular unrest:</w:t>
      </w:r>
    </w:p>
    <w:p w14:paraId="2E201EC5" w14:textId="77777777" w:rsidR="00A42C7A" w:rsidRDefault="00A42C7A" w:rsidP="00A42C7A">
      <w:pPr>
        <w:ind w:left="864"/>
        <w:rPr>
          <w:sz w:val="18"/>
          <w:szCs w:val="18"/>
        </w:rPr>
      </w:pPr>
      <w:r w:rsidRPr="00A42C7A">
        <w:rPr>
          <w:rStyle w:val="Strong"/>
          <w:b w:val="0"/>
          <w:bCs w:val="0"/>
          <w:i/>
          <w:iCs/>
          <w:sz w:val="18"/>
          <w:szCs w:val="18"/>
        </w:rPr>
        <w:t>Johnny Bishop</w:t>
      </w:r>
      <w:r w:rsidRPr="00A42C7A">
        <w:rPr>
          <w:sz w:val="18"/>
          <w:szCs w:val="18"/>
        </w:rPr>
        <w:t xml:space="preserve"> , the kind, the humane, the beloved,</w:t>
      </w:r>
    </w:p>
    <w:p w14:paraId="21494269" w14:textId="77777777" w:rsidR="00A42C7A" w:rsidRDefault="00A42C7A" w:rsidP="00A42C7A">
      <w:pPr>
        <w:ind w:left="864"/>
        <w:rPr>
          <w:sz w:val="18"/>
          <w:szCs w:val="18"/>
        </w:rPr>
      </w:pPr>
      <w:r w:rsidRPr="00A42C7A">
        <w:rPr>
          <w:sz w:val="18"/>
          <w:szCs w:val="18"/>
        </w:rPr>
        <w:t>Wi</w:t>
      </w:r>
      <w:r>
        <w:rPr>
          <w:sz w:val="18"/>
          <w:szCs w:val="18"/>
        </w:rPr>
        <w:t>’</w:t>
      </w:r>
      <w:r w:rsidRPr="00A42C7A">
        <w:rPr>
          <w:sz w:val="18"/>
          <w:szCs w:val="18"/>
        </w:rPr>
        <w:t xml:space="preserve"> the cries o</w:t>
      </w:r>
      <w:r>
        <w:rPr>
          <w:sz w:val="18"/>
          <w:szCs w:val="18"/>
        </w:rPr>
        <w:t>’</w:t>
      </w:r>
      <w:r w:rsidRPr="00A42C7A">
        <w:rPr>
          <w:sz w:val="18"/>
          <w:szCs w:val="18"/>
        </w:rPr>
        <w:t xml:space="preserve"> the starving is now so much moved,</w:t>
      </w:r>
    </w:p>
    <w:p w14:paraId="12857DA1" w14:textId="77777777" w:rsidR="00A42C7A" w:rsidRDefault="00A42C7A" w:rsidP="00651798">
      <w:pPr>
        <w:ind w:left="864" w:firstLine="288"/>
        <w:rPr>
          <w:sz w:val="18"/>
          <w:szCs w:val="18"/>
        </w:rPr>
      </w:pPr>
      <w:r w:rsidRPr="00A42C7A">
        <w:rPr>
          <w:sz w:val="18"/>
          <w:szCs w:val="18"/>
        </w:rPr>
        <w:t>Wi' his black coat, &amp;c.</w:t>
      </w:r>
    </w:p>
    <w:p w14:paraId="263147E8" w14:textId="77777777" w:rsidR="00A42C7A" w:rsidRDefault="00A42C7A" w:rsidP="00A42C7A">
      <w:pPr>
        <w:ind w:left="864"/>
        <w:rPr>
          <w:sz w:val="18"/>
          <w:szCs w:val="18"/>
        </w:rPr>
      </w:pPr>
      <w:r w:rsidRPr="00A42C7A">
        <w:rPr>
          <w:sz w:val="18"/>
          <w:szCs w:val="18"/>
        </w:rPr>
        <w:t xml:space="preserve">That when they look up to him, asking for bread, </w:t>
      </w:r>
    </w:p>
    <w:p w14:paraId="4BA04E85" w14:textId="77777777" w:rsidR="00A42C7A" w:rsidRDefault="00A42C7A" w:rsidP="00A42C7A">
      <w:pPr>
        <w:ind w:left="864"/>
        <w:rPr>
          <w:sz w:val="18"/>
          <w:szCs w:val="18"/>
        </w:rPr>
      </w:pPr>
      <w:r w:rsidRPr="00A42C7A">
        <w:rPr>
          <w:sz w:val="18"/>
          <w:szCs w:val="18"/>
        </w:rPr>
        <w:t xml:space="preserve">He gives not a </w:t>
      </w:r>
      <w:r w:rsidRPr="00A42C7A">
        <w:rPr>
          <w:rStyle w:val="Emphasis"/>
          <w:sz w:val="18"/>
          <w:szCs w:val="18"/>
        </w:rPr>
        <w:t>stone</w:t>
      </w:r>
      <w:r w:rsidRPr="00A42C7A">
        <w:rPr>
          <w:sz w:val="18"/>
          <w:szCs w:val="18"/>
        </w:rPr>
        <w:t>, but provides for them</w:t>
      </w:r>
      <w:r>
        <w:rPr>
          <w:sz w:val="18"/>
          <w:szCs w:val="18"/>
        </w:rPr>
        <w:t>—</w:t>
      </w:r>
      <w:r w:rsidRPr="00A42C7A">
        <w:rPr>
          <w:rStyle w:val="Emphasis"/>
          <w:sz w:val="18"/>
          <w:szCs w:val="18"/>
        </w:rPr>
        <w:t>lead</w:t>
      </w:r>
      <w:r w:rsidRPr="00A42C7A">
        <w:rPr>
          <w:sz w:val="18"/>
          <w:szCs w:val="18"/>
        </w:rPr>
        <w:t xml:space="preserve">; </w:t>
      </w:r>
    </w:p>
    <w:p w14:paraId="5FF129D8" w14:textId="77777777" w:rsidR="00A42C7A" w:rsidRDefault="00A42C7A" w:rsidP="00A42C7A">
      <w:pPr>
        <w:ind w:left="864"/>
        <w:rPr>
          <w:sz w:val="18"/>
          <w:szCs w:val="18"/>
        </w:rPr>
      </w:pPr>
      <w:r w:rsidRPr="00A42C7A">
        <w:rPr>
          <w:sz w:val="18"/>
          <w:szCs w:val="18"/>
        </w:rPr>
        <w:t xml:space="preserve">If they ask for a </w:t>
      </w:r>
      <w:r w:rsidRPr="00A42C7A">
        <w:rPr>
          <w:rStyle w:val="Emphasis"/>
          <w:sz w:val="18"/>
          <w:szCs w:val="18"/>
        </w:rPr>
        <w:t>fish</w:t>
      </w:r>
      <w:r w:rsidRPr="00A42C7A">
        <w:rPr>
          <w:sz w:val="18"/>
          <w:szCs w:val="18"/>
        </w:rPr>
        <w:t xml:space="preserve"> , not a serpent he</w:t>
      </w:r>
      <w:r>
        <w:rPr>
          <w:sz w:val="18"/>
          <w:szCs w:val="18"/>
        </w:rPr>
        <w:t>’</w:t>
      </w:r>
      <w:r w:rsidRPr="00A42C7A">
        <w:rPr>
          <w:sz w:val="18"/>
          <w:szCs w:val="18"/>
        </w:rPr>
        <w:t>ll grant,</w:t>
      </w:r>
    </w:p>
    <w:p w14:paraId="41DF2207" w14:textId="77777777" w:rsidR="00A42C7A" w:rsidRDefault="00A42C7A" w:rsidP="00A42C7A">
      <w:pPr>
        <w:ind w:left="864"/>
        <w:rPr>
          <w:sz w:val="18"/>
          <w:szCs w:val="18"/>
        </w:rPr>
      </w:pPr>
      <w:r w:rsidRPr="00A42C7A">
        <w:rPr>
          <w:sz w:val="18"/>
          <w:szCs w:val="18"/>
        </w:rPr>
        <w:lastRenderedPageBreak/>
        <w:t xml:space="preserve">While a three-edged </w:t>
      </w:r>
      <w:r w:rsidRPr="00A42C7A">
        <w:rPr>
          <w:rStyle w:val="Emphasis"/>
          <w:sz w:val="18"/>
          <w:szCs w:val="18"/>
        </w:rPr>
        <w:t>steel</w:t>
      </w:r>
      <w:r w:rsidRPr="00A42C7A">
        <w:rPr>
          <w:sz w:val="18"/>
          <w:szCs w:val="18"/>
        </w:rPr>
        <w:t xml:space="preserve"> can relieve every want, </w:t>
      </w:r>
    </w:p>
    <w:p w14:paraId="2829493A" w14:textId="77777777" w:rsidR="00A42C7A" w:rsidRDefault="00A42C7A" w:rsidP="00651798">
      <w:pPr>
        <w:ind w:left="864" w:firstLine="288"/>
        <w:rPr>
          <w:sz w:val="18"/>
          <w:szCs w:val="18"/>
        </w:rPr>
      </w:pPr>
      <w:r w:rsidRPr="00A42C7A">
        <w:rPr>
          <w:sz w:val="18"/>
          <w:szCs w:val="18"/>
        </w:rPr>
        <w:t>Wi</w:t>
      </w:r>
      <w:r>
        <w:rPr>
          <w:sz w:val="18"/>
          <w:szCs w:val="18"/>
        </w:rPr>
        <w:t>’</w:t>
      </w:r>
      <w:r w:rsidRPr="00A42C7A">
        <w:rPr>
          <w:sz w:val="18"/>
          <w:szCs w:val="18"/>
        </w:rPr>
        <w:t xml:space="preserve"> his black coat, &amp;c.</w:t>
      </w:r>
    </w:p>
    <w:p w14:paraId="5DAE0301" w14:textId="13421A43" w:rsidR="00B05C11" w:rsidRDefault="00A42C7A" w:rsidP="00A42C7A">
      <w:pPr>
        <w:ind w:firstLine="288"/>
        <w:jc w:val="both"/>
        <w:rPr>
          <w:rStyle w:val="normaltextrun"/>
          <w:color w:val="000000" w:themeColor="text1"/>
          <w:sz w:val="20"/>
          <w:szCs w:val="20"/>
        </w:rPr>
      </w:pPr>
      <w:r>
        <w:rPr>
          <w:rStyle w:val="normaltextrun"/>
          <w:color w:val="000000" w:themeColor="text1"/>
          <w:sz w:val="20"/>
          <w:szCs w:val="20"/>
        </w:rPr>
        <w:t xml:space="preserve">A second political target </w:t>
      </w:r>
      <w:r w:rsidR="00CB41CB">
        <w:rPr>
          <w:rStyle w:val="normaltextrun"/>
          <w:color w:val="000000" w:themeColor="text1"/>
          <w:sz w:val="20"/>
          <w:szCs w:val="20"/>
        </w:rPr>
        <w:t xml:space="preserve">is </w:t>
      </w:r>
      <w:r w:rsidR="00200DC1" w:rsidRPr="000E2730">
        <w:rPr>
          <w:rStyle w:val="normaltextrun"/>
          <w:color w:val="000000" w:themeColor="text1"/>
          <w:sz w:val="20"/>
          <w:szCs w:val="20"/>
        </w:rPr>
        <w:t xml:space="preserve">James Lapslie </w:t>
      </w:r>
      <w:r w:rsidR="00174B1D">
        <w:rPr>
          <w:rStyle w:val="normaltextrun"/>
          <w:color w:val="000000" w:themeColor="text1"/>
          <w:sz w:val="20"/>
          <w:szCs w:val="20"/>
        </w:rPr>
        <w:t xml:space="preserve">(1754-1824), minister of Campsie, </w:t>
      </w:r>
      <w:r w:rsidR="00200DC1" w:rsidRPr="000E2730">
        <w:rPr>
          <w:rStyle w:val="normaltextrun"/>
          <w:color w:val="000000" w:themeColor="text1"/>
          <w:sz w:val="20"/>
          <w:szCs w:val="20"/>
        </w:rPr>
        <w:t>who had spoken against Thomas Muir in 1792</w:t>
      </w:r>
      <w:r w:rsidR="00B05C11">
        <w:rPr>
          <w:rStyle w:val="normaltextrun"/>
          <w:color w:val="000000" w:themeColor="text1"/>
          <w:sz w:val="20"/>
          <w:szCs w:val="20"/>
        </w:rPr>
        <w:t>:</w:t>
      </w:r>
    </w:p>
    <w:p w14:paraId="3C60F2BD" w14:textId="77777777" w:rsidR="006B3FA0" w:rsidRDefault="006B3FA0" w:rsidP="006B3FA0">
      <w:pPr>
        <w:ind w:left="864"/>
        <w:jc w:val="both"/>
        <w:rPr>
          <w:sz w:val="18"/>
          <w:szCs w:val="18"/>
        </w:rPr>
      </w:pPr>
      <w:r>
        <w:rPr>
          <w:sz w:val="18"/>
          <w:szCs w:val="18"/>
        </w:rPr>
        <w:t xml:space="preserve">There’s pensioner </w:t>
      </w:r>
      <w:r w:rsidRPr="00A42C7A">
        <w:rPr>
          <w:i/>
          <w:iCs/>
          <w:sz w:val="18"/>
          <w:szCs w:val="18"/>
        </w:rPr>
        <w:t>Jamie</w:t>
      </w:r>
      <w:r>
        <w:rPr>
          <w:sz w:val="18"/>
          <w:szCs w:val="18"/>
        </w:rPr>
        <w:t>, Corruption’s chief tool,</w:t>
      </w:r>
    </w:p>
    <w:p w14:paraId="510D22AE" w14:textId="4A7317B2" w:rsidR="006B3FA0" w:rsidRDefault="00B05C11" w:rsidP="006B3FA0">
      <w:pPr>
        <w:ind w:left="864"/>
        <w:jc w:val="both"/>
        <w:rPr>
          <w:sz w:val="18"/>
          <w:szCs w:val="18"/>
        </w:rPr>
      </w:pPr>
      <w:r w:rsidRPr="00B05C11">
        <w:rPr>
          <w:sz w:val="18"/>
          <w:szCs w:val="18"/>
        </w:rPr>
        <w:t xml:space="preserve">Whase tears flow as freely as whiskey at yule, </w:t>
      </w:r>
    </w:p>
    <w:p w14:paraId="6904A243" w14:textId="634BAEC1" w:rsidR="006B3FA0" w:rsidRDefault="00B05C11" w:rsidP="006B3FA0">
      <w:pPr>
        <w:ind w:left="864" w:firstLine="288"/>
        <w:jc w:val="both"/>
        <w:rPr>
          <w:sz w:val="18"/>
          <w:szCs w:val="18"/>
        </w:rPr>
      </w:pPr>
      <w:r w:rsidRPr="00B05C11">
        <w:rPr>
          <w:sz w:val="18"/>
          <w:szCs w:val="18"/>
        </w:rPr>
        <w:t>Wi</w:t>
      </w:r>
      <w:r w:rsidR="006B3FA0">
        <w:rPr>
          <w:sz w:val="18"/>
          <w:szCs w:val="18"/>
        </w:rPr>
        <w:t>’</w:t>
      </w:r>
      <w:r w:rsidRPr="00B05C11">
        <w:rPr>
          <w:sz w:val="18"/>
          <w:szCs w:val="18"/>
        </w:rPr>
        <w:t xml:space="preserve"> his black coat, &amp;c. </w:t>
      </w:r>
    </w:p>
    <w:p w14:paraId="4D48957F" w14:textId="77777777" w:rsidR="006B3FA0" w:rsidRDefault="00B05C11" w:rsidP="006B3FA0">
      <w:pPr>
        <w:ind w:left="864"/>
        <w:jc w:val="both"/>
        <w:rPr>
          <w:sz w:val="18"/>
          <w:szCs w:val="18"/>
        </w:rPr>
      </w:pPr>
      <w:r w:rsidRPr="00B05C11">
        <w:rPr>
          <w:sz w:val="18"/>
          <w:szCs w:val="18"/>
        </w:rPr>
        <w:t xml:space="preserve">So keenly he feels for the suffering poor, </w:t>
      </w:r>
    </w:p>
    <w:p w14:paraId="3657F725" w14:textId="77777777" w:rsidR="006B3FA0" w:rsidRDefault="00B05C11" w:rsidP="006B3FA0">
      <w:pPr>
        <w:ind w:left="864"/>
        <w:jc w:val="both"/>
        <w:rPr>
          <w:sz w:val="18"/>
          <w:szCs w:val="18"/>
        </w:rPr>
      </w:pPr>
      <w:r w:rsidRPr="00B05C11">
        <w:rPr>
          <w:sz w:val="18"/>
          <w:szCs w:val="18"/>
        </w:rPr>
        <w:t xml:space="preserve">That he'd willingly do what he did for </w:t>
      </w:r>
      <w:r w:rsidRPr="006B3FA0">
        <w:rPr>
          <w:rStyle w:val="Strong"/>
          <w:b w:val="0"/>
          <w:bCs w:val="0"/>
          <w:i/>
          <w:iCs/>
          <w:sz w:val="18"/>
          <w:szCs w:val="18"/>
        </w:rPr>
        <w:t>Tom Muir</w:t>
      </w:r>
      <w:r w:rsidRPr="00B05C11">
        <w:rPr>
          <w:sz w:val="18"/>
          <w:szCs w:val="18"/>
        </w:rPr>
        <w:t>;</w:t>
      </w:r>
    </w:p>
    <w:p w14:paraId="1FEE44C5" w14:textId="77777777" w:rsidR="006B3FA0" w:rsidRDefault="00B05C11" w:rsidP="006B3FA0">
      <w:pPr>
        <w:ind w:left="864"/>
        <w:jc w:val="both"/>
        <w:rPr>
          <w:sz w:val="18"/>
          <w:szCs w:val="18"/>
        </w:rPr>
      </w:pPr>
      <w:r w:rsidRPr="00B05C11">
        <w:rPr>
          <w:sz w:val="18"/>
          <w:szCs w:val="18"/>
        </w:rPr>
        <w:t xml:space="preserve">To get them sent off to a far better state, </w:t>
      </w:r>
    </w:p>
    <w:p w14:paraId="08F57E04" w14:textId="55F326F6" w:rsidR="006B3FA0" w:rsidRDefault="00B05C11" w:rsidP="006B3FA0">
      <w:pPr>
        <w:ind w:left="864"/>
        <w:jc w:val="both"/>
        <w:rPr>
          <w:sz w:val="18"/>
          <w:szCs w:val="18"/>
        </w:rPr>
      </w:pPr>
      <w:r w:rsidRPr="00B05C11">
        <w:rPr>
          <w:sz w:val="18"/>
          <w:szCs w:val="18"/>
        </w:rPr>
        <w:t>By starving or hanging them out o</w:t>
      </w:r>
      <w:r w:rsidR="006B3FA0">
        <w:rPr>
          <w:sz w:val="18"/>
          <w:szCs w:val="18"/>
        </w:rPr>
        <w:t>’</w:t>
      </w:r>
      <w:r w:rsidRPr="00B05C11">
        <w:rPr>
          <w:sz w:val="18"/>
          <w:szCs w:val="18"/>
        </w:rPr>
        <w:t xml:space="preserve"> the gate,</w:t>
      </w:r>
    </w:p>
    <w:p w14:paraId="227956F9" w14:textId="3BBCCA93" w:rsidR="00B05C11" w:rsidRPr="00B05C11" w:rsidRDefault="00B05C11" w:rsidP="006B3FA0">
      <w:pPr>
        <w:ind w:left="864" w:firstLine="288"/>
        <w:jc w:val="both"/>
        <w:rPr>
          <w:rStyle w:val="normaltextrun"/>
          <w:color w:val="000000" w:themeColor="text1"/>
          <w:sz w:val="18"/>
          <w:szCs w:val="18"/>
        </w:rPr>
      </w:pPr>
      <w:r w:rsidRPr="00B05C11">
        <w:rPr>
          <w:sz w:val="18"/>
          <w:szCs w:val="18"/>
        </w:rPr>
        <w:t>Wi</w:t>
      </w:r>
      <w:r w:rsidR="006B3FA0">
        <w:rPr>
          <w:sz w:val="18"/>
          <w:szCs w:val="18"/>
        </w:rPr>
        <w:t>’</w:t>
      </w:r>
      <w:r w:rsidRPr="00B05C11">
        <w:rPr>
          <w:sz w:val="18"/>
          <w:szCs w:val="18"/>
        </w:rPr>
        <w:t xml:space="preserve"> his black coat, &amp;c.</w:t>
      </w:r>
    </w:p>
    <w:p w14:paraId="221B3476" w14:textId="45D858D7" w:rsidR="00200DC1" w:rsidRPr="000E2730" w:rsidRDefault="006B3FA0" w:rsidP="009E5221">
      <w:pPr>
        <w:jc w:val="both"/>
        <w:rPr>
          <w:rStyle w:val="normaltextrun"/>
          <w:sz w:val="20"/>
          <w:szCs w:val="20"/>
        </w:rPr>
      </w:pPr>
      <w:r>
        <w:rPr>
          <w:rStyle w:val="normaltextrun"/>
          <w:color w:val="000000" w:themeColor="text1"/>
          <w:sz w:val="20"/>
          <w:szCs w:val="20"/>
        </w:rPr>
        <w:t>Rodger’s portrait of Lapslie, “</w:t>
      </w:r>
      <w:r w:rsidRPr="000E2730">
        <w:rPr>
          <w:rStyle w:val="normaltextrun"/>
          <w:color w:val="000000" w:themeColor="text1"/>
          <w:sz w:val="20"/>
          <w:szCs w:val="20"/>
        </w:rPr>
        <w:t>the dreichest of the dreich</w:t>
      </w:r>
      <w:r>
        <w:rPr>
          <w:rStyle w:val="normaltextrun"/>
          <w:color w:val="000000" w:themeColor="text1"/>
          <w:sz w:val="20"/>
          <w:szCs w:val="20"/>
        </w:rPr>
        <w:t>,”</w:t>
      </w:r>
      <w:r w:rsidRPr="000E2730">
        <w:rPr>
          <w:rStyle w:val="normaltextrun"/>
          <w:color w:val="000000" w:themeColor="text1"/>
          <w:sz w:val="20"/>
          <w:szCs w:val="20"/>
        </w:rPr>
        <w:t xml:space="preserve"> </w:t>
      </w:r>
      <w:r>
        <w:rPr>
          <w:rStyle w:val="normaltextrun"/>
          <w:color w:val="000000" w:themeColor="text1"/>
          <w:sz w:val="20"/>
          <w:szCs w:val="20"/>
        </w:rPr>
        <w:t xml:space="preserve">is corroborated by </w:t>
      </w:r>
      <w:r w:rsidR="00200DC1" w:rsidRPr="000E2730">
        <w:rPr>
          <w:rStyle w:val="normaltextrun"/>
          <w:color w:val="000000" w:themeColor="text1"/>
          <w:sz w:val="20"/>
          <w:szCs w:val="20"/>
        </w:rPr>
        <w:t>doggerel</w:t>
      </w:r>
      <w:r>
        <w:rPr>
          <w:rStyle w:val="normaltextrun"/>
          <w:color w:val="000000" w:themeColor="text1"/>
          <w:sz w:val="20"/>
          <w:szCs w:val="20"/>
        </w:rPr>
        <w:t xml:space="preserve"> reported elsewhere</w:t>
      </w:r>
      <w:r w:rsidR="00200DC1" w:rsidRPr="000E2730">
        <w:rPr>
          <w:rStyle w:val="normaltextrun"/>
          <w:color w:val="000000" w:themeColor="text1"/>
          <w:sz w:val="20"/>
          <w:szCs w:val="20"/>
        </w:rPr>
        <w:t xml:space="preserve">: </w:t>
      </w:r>
    </w:p>
    <w:p w14:paraId="08B84B97" w14:textId="77777777" w:rsidR="00200DC1" w:rsidRPr="006E0440" w:rsidRDefault="00200DC1" w:rsidP="00CB41CB">
      <w:pPr>
        <w:ind w:left="864"/>
        <w:jc w:val="both"/>
        <w:rPr>
          <w:rStyle w:val="normaltextrun"/>
          <w:color w:val="000000" w:themeColor="text1"/>
          <w:sz w:val="18"/>
          <w:szCs w:val="18"/>
        </w:rPr>
      </w:pPr>
      <w:r w:rsidRPr="006E0440">
        <w:rPr>
          <w:rStyle w:val="normaltextrun"/>
          <w:color w:val="000000" w:themeColor="text1"/>
          <w:sz w:val="18"/>
          <w:szCs w:val="18"/>
        </w:rPr>
        <w:t xml:space="preserve">My name is Jamie Lapslie, </w:t>
      </w:r>
    </w:p>
    <w:p w14:paraId="2138A697" w14:textId="77777777" w:rsidR="00200DC1" w:rsidRPr="006E0440" w:rsidRDefault="00200DC1" w:rsidP="00CB41CB">
      <w:pPr>
        <w:ind w:left="864" w:firstLine="288"/>
        <w:jc w:val="both"/>
        <w:rPr>
          <w:rStyle w:val="normaltextrun"/>
          <w:color w:val="000000" w:themeColor="text1"/>
          <w:sz w:val="18"/>
          <w:szCs w:val="18"/>
        </w:rPr>
      </w:pPr>
      <w:r w:rsidRPr="006E0440">
        <w:rPr>
          <w:rStyle w:val="normaltextrun"/>
          <w:color w:val="000000" w:themeColor="text1"/>
          <w:sz w:val="18"/>
          <w:szCs w:val="18"/>
        </w:rPr>
        <w:t>I preach, and I pray</w:t>
      </w:r>
    </w:p>
    <w:p w14:paraId="155BB451" w14:textId="77777777" w:rsidR="00200DC1" w:rsidRPr="006E0440" w:rsidRDefault="00200DC1" w:rsidP="00CB41CB">
      <w:pPr>
        <w:ind w:left="864"/>
        <w:jc w:val="both"/>
        <w:rPr>
          <w:rStyle w:val="normaltextrun"/>
          <w:color w:val="000000" w:themeColor="text1"/>
          <w:sz w:val="18"/>
          <w:szCs w:val="18"/>
        </w:rPr>
      </w:pPr>
      <w:r w:rsidRPr="006E0440">
        <w:rPr>
          <w:rStyle w:val="normaltextrun"/>
          <w:color w:val="000000" w:themeColor="text1"/>
          <w:sz w:val="18"/>
          <w:szCs w:val="18"/>
        </w:rPr>
        <w:t xml:space="preserve">And as an informer, </w:t>
      </w:r>
    </w:p>
    <w:p w14:paraId="7A214982" w14:textId="77777777" w:rsidR="00200DC1" w:rsidRPr="006E0440" w:rsidRDefault="00200DC1" w:rsidP="00CB41CB">
      <w:pPr>
        <w:ind w:left="864" w:firstLine="288"/>
        <w:jc w:val="both"/>
        <w:rPr>
          <w:rStyle w:val="normaltextrun"/>
          <w:color w:val="000000" w:themeColor="text1"/>
          <w:sz w:val="18"/>
          <w:szCs w:val="18"/>
        </w:rPr>
      </w:pPr>
      <w:r w:rsidRPr="006E0440">
        <w:rPr>
          <w:rStyle w:val="normaltextrun"/>
          <w:color w:val="000000" w:themeColor="text1"/>
          <w:sz w:val="18"/>
          <w:szCs w:val="18"/>
        </w:rPr>
        <w:t>Expect a good pay’</w:t>
      </w:r>
      <w:r w:rsidRPr="006E0440">
        <w:rPr>
          <w:rStyle w:val="FootnoteReference"/>
          <w:color w:val="000000" w:themeColor="text1"/>
          <w:sz w:val="18"/>
          <w:szCs w:val="18"/>
        </w:rPr>
        <w:footnoteReference w:id="18"/>
      </w:r>
    </w:p>
    <w:p w14:paraId="1AB23A8A" w14:textId="0C3778DD" w:rsidR="00CB41CB" w:rsidRDefault="0095008A" w:rsidP="006F5995">
      <w:pPr>
        <w:jc w:val="both"/>
        <w:rPr>
          <w:rStyle w:val="normaltextrun"/>
          <w:color w:val="000000" w:themeColor="text1"/>
          <w:sz w:val="20"/>
          <w:szCs w:val="20"/>
        </w:rPr>
      </w:pPr>
      <w:r>
        <w:rPr>
          <w:rStyle w:val="normaltextrun"/>
          <w:color w:val="000000" w:themeColor="text1"/>
          <w:sz w:val="20"/>
          <w:szCs w:val="20"/>
        </w:rPr>
        <w:t xml:space="preserve">When challenged by one of Muir’s radical supporters, </w:t>
      </w:r>
      <w:r w:rsidRPr="000E2730">
        <w:rPr>
          <w:rStyle w:val="normaltextrun"/>
          <w:color w:val="000000" w:themeColor="text1"/>
          <w:sz w:val="20"/>
          <w:szCs w:val="20"/>
        </w:rPr>
        <w:t xml:space="preserve">Lapslie was </w:t>
      </w:r>
      <w:proofErr w:type="gramStart"/>
      <w:r>
        <w:rPr>
          <w:rStyle w:val="normaltextrun"/>
          <w:color w:val="000000" w:themeColor="text1"/>
          <w:sz w:val="20"/>
          <w:szCs w:val="20"/>
        </w:rPr>
        <w:t>reported  to</w:t>
      </w:r>
      <w:proofErr w:type="gramEnd"/>
      <w:r>
        <w:rPr>
          <w:rStyle w:val="normaltextrun"/>
          <w:color w:val="000000" w:themeColor="text1"/>
          <w:sz w:val="20"/>
          <w:szCs w:val="20"/>
        </w:rPr>
        <w:t xml:space="preserve"> have thrown </w:t>
      </w:r>
      <w:r w:rsidRPr="000E2730">
        <w:rPr>
          <w:rStyle w:val="normaltextrun"/>
          <w:color w:val="000000" w:themeColor="text1"/>
          <w:sz w:val="20"/>
          <w:szCs w:val="20"/>
        </w:rPr>
        <w:t xml:space="preserve">off his clerical garb to fight </w:t>
      </w:r>
      <w:proofErr w:type="spellStart"/>
      <w:r w:rsidRPr="000E2730">
        <w:rPr>
          <w:rStyle w:val="normaltextrun"/>
          <w:color w:val="000000" w:themeColor="text1"/>
          <w:sz w:val="20"/>
          <w:szCs w:val="20"/>
        </w:rPr>
        <w:t>physically</w:t>
      </w:r>
      <w:proofErr w:type="spellEnd"/>
      <w:r w:rsidRPr="000E2730">
        <w:rPr>
          <w:rStyle w:val="normaltextrun"/>
          <w:color w:val="000000" w:themeColor="text1"/>
          <w:sz w:val="20"/>
          <w:szCs w:val="20"/>
        </w:rPr>
        <w:t xml:space="preserve"> with </w:t>
      </w:r>
      <w:r w:rsidR="00EC6F00">
        <w:rPr>
          <w:rStyle w:val="normaltextrun"/>
          <w:color w:val="000000" w:themeColor="text1"/>
          <w:sz w:val="20"/>
          <w:szCs w:val="20"/>
        </w:rPr>
        <w:t>the man.</w:t>
      </w:r>
      <w:r w:rsidRPr="000E2730">
        <w:rPr>
          <w:rStyle w:val="normaltextrun"/>
          <w:color w:val="000000" w:themeColor="text1"/>
          <w:sz w:val="20"/>
          <w:szCs w:val="20"/>
        </w:rPr>
        <w:t xml:space="preserve"> </w:t>
      </w:r>
      <w:r>
        <w:rPr>
          <w:rStyle w:val="normaltextrun"/>
          <w:color w:val="000000" w:themeColor="text1"/>
          <w:sz w:val="20"/>
          <w:szCs w:val="20"/>
        </w:rPr>
        <w:tab/>
      </w:r>
      <w:proofErr w:type="spellStart"/>
      <w:r>
        <w:rPr>
          <w:rStyle w:val="normaltextrun"/>
          <w:color w:val="000000" w:themeColor="text1"/>
          <w:sz w:val="20"/>
          <w:szCs w:val="20"/>
        </w:rPr>
        <w:t>After</w:t>
      </w:r>
      <w:proofErr w:type="spellEnd"/>
      <w:r>
        <w:rPr>
          <w:rStyle w:val="normaltextrun"/>
          <w:color w:val="000000" w:themeColor="text1"/>
          <w:sz w:val="20"/>
          <w:szCs w:val="20"/>
        </w:rPr>
        <w:t xml:space="preserve"> the trial, in 1793, Lapslie </w:t>
      </w:r>
      <w:proofErr w:type="spellStart"/>
      <w:r>
        <w:rPr>
          <w:rStyle w:val="normaltextrun"/>
          <w:color w:val="000000" w:themeColor="text1"/>
          <w:sz w:val="20"/>
          <w:szCs w:val="20"/>
        </w:rPr>
        <w:t>was</w:t>
      </w:r>
      <w:proofErr w:type="spellEnd"/>
      <w:r>
        <w:rPr>
          <w:rStyle w:val="normaltextrun"/>
          <w:color w:val="000000" w:themeColor="text1"/>
          <w:sz w:val="20"/>
          <w:szCs w:val="20"/>
        </w:rPr>
        <w:t xml:space="preserve"> </w:t>
      </w:r>
      <w:proofErr w:type="spellStart"/>
      <w:r>
        <w:rPr>
          <w:rStyle w:val="normaltextrun"/>
          <w:color w:val="000000" w:themeColor="text1"/>
          <w:sz w:val="20"/>
          <w:szCs w:val="20"/>
        </w:rPr>
        <w:t>appointed</w:t>
      </w:r>
      <w:proofErr w:type="spellEnd"/>
      <w:r>
        <w:rPr>
          <w:rStyle w:val="normaltextrun"/>
          <w:color w:val="000000" w:themeColor="text1"/>
          <w:sz w:val="20"/>
          <w:szCs w:val="20"/>
        </w:rPr>
        <w:t xml:space="preserve"> to a sinecure </w:t>
      </w:r>
      <w:proofErr w:type="spellStart"/>
      <w:r>
        <w:rPr>
          <w:rStyle w:val="normaltextrun"/>
          <w:color w:val="000000" w:themeColor="text1"/>
          <w:sz w:val="20"/>
          <w:szCs w:val="20"/>
        </w:rPr>
        <w:t>giving</w:t>
      </w:r>
      <w:proofErr w:type="spellEnd"/>
      <w:r>
        <w:rPr>
          <w:rStyle w:val="normaltextrun"/>
          <w:color w:val="000000" w:themeColor="text1"/>
          <w:sz w:val="20"/>
          <w:szCs w:val="20"/>
        </w:rPr>
        <w:t xml:space="preserve"> </w:t>
      </w:r>
      <w:proofErr w:type="spellStart"/>
      <w:r>
        <w:rPr>
          <w:rStyle w:val="normaltextrun"/>
          <w:color w:val="000000" w:themeColor="text1"/>
          <w:sz w:val="20"/>
          <w:szCs w:val="20"/>
        </w:rPr>
        <w:t>him</w:t>
      </w:r>
      <w:proofErr w:type="spellEnd"/>
      <w:r>
        <w:rPr>
          <w:rStyle w:val="normaltextrun"/>
          <w:color w:val="000000" w:themeColor="text1"/>
          <w:sz w:val="20"/>
          <w:szCs w:val="20"/>
        </w:rPr>
        <w:t xml:space="preserve"> £50 a </w:t>
      </w:r>
      <w:proofErr w:type="spellStart"/>
      <w:r>
        <w:rPr>
          <w:rStyle w:val="normaltextrun"/>
          <w:color w:val="000000" w:themeColor="text1"/>
          <w:sz w:val="20"/>
          <w:szCs w:val="20"/>
        </w:rPr>
        <w:t>year</w:t>
      </w:r>
      <w:proofErr w:type="spellEnd"/>
      <w:r>
        <w:rPr>
          <w:rStyle w:val="normaltextrun"/>
          <w:color w:val="000000" w:themeColor="text1"/>
          <w:sz w:val="20"/>
          <w:szCs w:val="20"/>
        </w:rPr>
        <w:t xml:space="preserve">, for </w:t>
      </w:r>
      <w:proofErr w:type="spellStart"/>
      <w:r>
        <w:rPr>
          <w:rStyle w:val="normaltextrun"/>
          <w:color w:val="000000" w:themeColor="text1"/>
          <w:sz w:val="20"/>
          <w:szCs w:val="20"/>
        </w:rPr>
        <w:t>preaching</w:t>
      </w:r>
      <w:proofErr w:type="spellEnd"/>
      <w:r>
        <w:rPr>
          <w:rStyle w:val="normaltextrun"/>
          <w:color w:val="000000" w:themeColor="text1"/>
          <w:sz w:val="20"/>
          <w:szCs w:val="20"/>
        </w:rPr>
        <w:t xml:space="preserve"> </w:t>
      </w:r>
      <w:proofErr w:type="spellStart"/>
      <w:r>
        <w:rPr>
          <w:rStyle w:val="normaltextrun"/>
          <w:color w:val="000000" w:themeColor="text1"/>
          <w:sz w:val="20"/>
          <w:szCs w:val="20"/>
        </w:rPr>
        <w:t>one</w:t>
      </w:r>
      <w:proofErr w:type="spellEnd"/>
      <w:r>
        <w:rPr>
          <w:rStyle w:val="normaltextrun"/>
          <w:color w:val="000000" w:themeColor="text1"/>
          <w:sz w:val="20"/>
          <w:szCs w:val="20"/>
        </w:rPr>
        <w:t xml:space="preserve"> </w:t>
      </w:r>
      <w:proofErr w:type="spellStart"/>
      <w:r>
        <w:rPr>
          <w:rStyle w:val="normaltextrun"/>
          <w:color w:val="000000" w:themeColor="text1"/>
          <w:sz w:val="20"/>
          <w:szCs w:val="20"/>
        </w:rPr>
        <w:t>sermon</w:t>
      </w:r>
      <w:proofErr w:type="spellEnd"/>
      <w:r>
        <w:rPr>
          <w:rStyle w:val="normaltextrun"/>
          <w:color w:val="000000" w:themeColor="text1"/>
          <w:sz w:val="20"/>
          <w:szCs w:val="20"/>
        </w:rPr>
        <w:t>.</w:t>
      </w:r>
      <w:r>
        <w:rPr>
          <w:rStyle w:val="FootnoteReference"/>
          <w:color w:val="000000" w:themeColor="text1"/>
          <w:sz w:val="20"/>
          <w:szCs w:val="20"/>
        </w:rPr>
        <w:footnoteReference w:id="19"/>
      </w:r>
      <w:r>
        <w:rPr>
          <w:rStyle w:val="normaltextrun"/>
          <w:color w:val="000000" w:themeColor="text1"/>
          <w:sz w:val="20"/>
          <w:szCs w:val="20"/>
        </w:rPr>
        <w:t xml:space="preserve"> </w:t>
      </w:r>
      <w:bookmarkStart w:id="0" w:name="_GoBack"/>
      <w:bookmarkEnd w:id="0"/>
      <w:r w:rsidR="00A42C7A" w:rsidRPr="000E2730">
        <w:rPr>
          <w:color w:val="000000" w:themeColor="text1"/>
          <w:sz w:val="20"/>
          <w:szCs w:val="20"/>
        </w:rPr>
        <w:t>Rodger does not say all clergymen are bad,</w:t>
      </w:r>
      <w:r w:rsidR="00A42C7A">
        <w:rPr>
          <w:color w:val="000000" w:themeColor="text1"/>
          <w:sz w:val="20"/>
          <w:szCs w:val="20"/>
        </w:rPr>
        <w:t xml:space="preserve"> “</w:t>
      </w:r>
      <w:r w:rsidR="00A42C7A" w:rsidRPr="000E2730">
        <w:rPr>
          <w:color w:val="000000" w:themeColor="text1"/>
          <w:sz w:val="20"/>
          <w:szCs w:val="20"/>
        </w:rPr>
        <w:t>But oh! these exceptions, how trifling, how few, / Compared wi’ the mass who have interest in view</w:t>
      </w:r>
      <w:r w:rsidR="00A42C7A">
        <w:rPr>
          <w:color w:val="000000" w:themeColor="text1"/>
          <w:sz w:val="20"/>
          <w:szCs w:val="20"/>
        </w:rPr>
        <w:t>.”</w:t>
      </w:r>
      <w:r w:rsidR="006F5995">
        <w:rPr>
          <w:color w:val="000000" w:themeColor="text1"/>
          <w:sz w:val="20"/>
          <w:szCs w:val="20"/>
        </w:rPr>
        <w:t xml:space="preserve"> His song, he says, </w:t>
      </w:r>
      <w:r w:rsidR="006B3FA0">
        <w:rPr>
          <w:rStyle w:val="normaltextrun"/>
          <w:color w:val="000000" w:themeColor="text1"/>
          <w:sz w:val="20"/>
          <w:szCs w:val="20"/>
        </w:rPr>
        <w:t>give</w:t>
      </w:r>
      <w:r w:rsidR="00A42C7A">
        <w:rPr>
          <w:rStyle w:val="normaltextrun"/>
          <w:color w:val="000000" w:themeColor="text1"/>
          <w:sz w:val="20"/>
          <w:szCs w:val="20"/>
        </w:rPr>
        <w:t xml:space="preserve">s </w:t>
      </w:r>
    </w:p>
    <w:p w14:paraId="5E4518EE" w14:textId="666254D6" w:rsidR="00CB41CB" w:rsidRDefault="00B62D18" w:rsidP="00B62D18">
      <w:pPr>
        <w:ind w:left="1152" w:firstLine="288"/>
        <w:rPr>
          <w:sz w:val="18"/>
          <w:szCs w:val="18"/>
        </w:rPr>
      </w:pPr>
      <w:r>
        <w:rPr>
          <w:sz w:val="18"/>
          <w:szCs w:val="18"/>
        </w:rPr>
        <w:t xml:space="preserve">... </w:t>
      </w:r>
      <w:r w:rsidR="00CB41CB" w:rsidRPr="00CB41CB">
        <w:rPr>
          <w:sz w:val="18"/>
          <w:szCs w:val="18"/>
        </w:rPr>
        <w:t>but a sample of maist o</w:t>
      </w:r>
      <w:r w:rsidR="006F5995">
        <w:rPr>
          <w:sz w:val="18"/>
          <w:szCs w:val="18"/>
        </w:rPr>
        <w:t>’</w:t>
      </w:r>
      <w:r w:rsidR="00CB41CB" w:rsidRPr="00CB41CB">
        <w:rPr>
          <w:sz w:val="18"/>
          <w:szCs w:val="18"/>
        </w:rPr>
        <w:t xml:space="preserve"> the crew, </w:t>
      </w:r>
    </w:p>
    <w:p w14:paraId="576E481F" w14:textId="77777777" w:rsidR="00CB41CB" w:rsidRDefault="00CB41CB" w:rsidP="00CB41CB">
      <w:pPr>
        <w:ind w:left="864"/>
        <w:rPr>
          <w:sz w:val="18"/>
          <w:szCs w:val="18"/>
        </w:rPr>
      </w:pPr>
      <w:r w:rsidRPr="00CB41CB">
        <w:rPr>
          <w:sz w:val="18"/>
          <w:szCs w:val="18"/>
        </w:rPr>
        <w:t>Wha laugh in their sleeve while they</w:t>
      </w:r>
      <w:r>
        <w:rPr>
          <w:sz w:val="18"/>
          <w:szCs w:val="18"/>
        </w:rPr>
        <w:t>’</w:t>
      </w:r>
      <w:r w:rsidRPr="00CB41CB">
        <w:rPr>
          <w:sz w:val="18"/>
          <w:szCs w:val="18"/>
        </w:rPr>
        <w:t>re hoodwinking you,</w:t>
      </w:r>
    </w:p>
    <w:p w14:paraId="5F3D99BE" w14:textId="0F8094DA" w:rsidR="00CB41CB" w:rsidRDefault="00CB41CB" w:rsidP="00B62D18">
      <w:pPr>
        <w:ind w:left="864" w:firstLine="288"/>
        <w:rPr>
          <w:sz w:val="18"/>
          <w:szCs w:val="18"/>
        </w:rPr>
      </w:pPr>
      <w:r w:rsidRPr="00CB41CB">
        <w:rPr>
          <w:sz w:val="18"/>
          <w:szCs w:val="18"/>
        </w:rPr>
        <w:t>Wi</w:t>
      </w:r>
      <w:r w:rsidR="006F5995">
        <w:rPr>
          <w:sz w:val="18"/>
          <w:szCs w:val="18"/>
        </w:rPr>
        <w:t>’</w:t>
      </w:r>
      <w:r w:rsidRPr="00CB41CB">
        <w:rPr>
          <w:sz w:val="18"/>
          <w:szCs w:val="18"/>
        </w:rPr>
        <w:t xml:space="preserve"> their black coats, &amp;c. </w:t>
      </w:r>
    </w:p>
    <w:p w14:paraId="4825D0F7" w14:textId="77777777" w:rsidR="00CB41CB" w:rsidRDefault="00CB41CB" w:rsidP="00CB41CB">
      <w:pPr>
        <w:ind w:left="864"/>
        <w:rPr>
          <w:sz w:val="18"/>
          <w:szCs w:val="18"/>
        </w:rPr>
      </w:pPr>
      <w:r w:rsidRPr="00CB41CB">
        <w:rPr>
          <w:sz w:val="18"/>
          <w:szCs w:val="18"/>
        </w:rPr>
        <w:t xml:space="preserve">The gospel they preach is the gospel of </w:t>
      </w:r>
      <w:r w:rsidRPr="00B05C11">
        <w:rPr>
          <w:rStyle w:val="Strong"/>
          <w:b w:val="0"/>
          <w:bCs w:val="0"/>
          <w:i/>
          <w:iCs/>
          <w:sz w:val="18"/>
          <w:szCs w:val="18"/>
        </w:rPr>
        <w:t>Pitt</w:t>
      </w:r>
      <w:r w:rsidRPr="00B05C11">
        <w:rPr>
          <w:b/>
          <w:bCs/>
          <w:i/>
          <w:iCs/>
          <w:sz w:val="18"/>
          <w:szCs w:val="18"/>
        </w:rPr>
        <w:t>,</w:t>
      </w:r>
    </w:p>
    <w:p w14:paraId="32FD57DE" w14:textId="77777777" w:rsidR="00CB41CB" w:rsidRDefault="00CB41CB" w:rsidP="00CB41CB">
      <w:pPr>
        <w:ind w:left="864"/>
        <w:rPr>
          <w:sz w:val="18"/>
          <w:szCs w:val="18"/>
        </w:rPr>
      </w:pPr>
      <w:r w:rsidRPr="00CB41CB">
        <w:rPr>
          <w:sz w:val="18"/>
          <w:szCs w:val="18"/>
        </w:rPr>
        <w:t xml:space="preserve">Which teaches that mankind are born to submit, </w:t>
      </w:r>
    </w:p>
    <w:p w14:paraId="5DD13286" w14:textId="77777777" w:rsidR="00CB41CB" w:rsidRDefault="00CB41CB" w:rsidP="00CB41CB">
      <w:pPr>
        <w:ind w:left="864"/>
        <w:rPr>
          <w:sz w:val="18"/>
          <w:szCs w:val="18"/>
        </w:rPr>
      </w:pPr>
      <w:r w:rsidRPr="00CB41CB">
        <w:rPr>
          <w:sz w:val="18"/>
          <w:szCs w:val="18"/>
        </w:rPr>
        <w:t xml:space="preserve">And patiently bend to the haughty behests </w:t>
      </w:r>
    </w:p>
    <w:p w14:paraId="34467A76" w14:textId="77777777" w:rsidR="00CB41CB" w:rsidRDefault="00CB41CB" w:rsidP="00CB41CB">
      <w:pPr>
        <w:ind w:left="864"/>
        <w:rPr>
          <w:sz w:val="18"/>
          <w:szCs w:val="18"/>
        </w:rPr>
      </w:pPr>
      <w:r w:rsidRPr="00CB41CB">
        <w:rPr>
          <w:sz w:val="18"/>
          <w:szCs w:val="18"/>
        </w:rPr>
        <w:t xml:space="preserve">Of legalized robbers, and humbugging priests, </w:t>
      </w:r>
    </w:p>
    <w:p w14:paraId="3C187196" w14:textId="29B3EF07" w:rsidR="00CB41CB" w:rsidRDefault="00CB41CB" w:rsidP="00B62D18">
      <w:pPr>
        <w:ind w:left="864" w:firstLine="288"/>
        <w:rPr>
          <w:sz w:val="18"/>
          <w:szCs w:val="18"/>
        </w:rPr>
      </w:pPr>
      <w:r w:rsidRPr="00CB41CB">
        <w:rPr>
          <w:sz w:val="18"/>
          <w:szCs w:val="18"/>
        </w:rPr>
        <w:t>Wi</w:t>
      </w:r>
      <w:r w:rsidR="006F5995">
        <w:rPr>
          <w:sz w:val="18"/>
          <w:szCs w:val="18"/>
        </w:rPr>
        <w:t>’</w:t>
      </w:r>
      <w:r w:rsidRPr="00CB41CB">
        <w:rPr>
          <w:sz w:val="18"/>
          <w:szCs w:val="18"/>
        </w:rPr>
        <w:t xml:space="preserve"> their black coats, &amp;c.</w:t>
      </w:r>
    </w:p>
    <w:p w14:paraId="3DDBD8B3" w14:textId="0AE45F47" w:rsidR="00520312" w:rsidRDefault="00200DC1" w:rsidP="0096026D">
      <w:pPr>
        <w:ind w:firstLine="288"/>
        <w:jc w:val="both"/>
        <w:rPr>
          <w:color w:val="000000" w:themeColor="text1"/>
          <w:sz w:val="20"/>
          <w:szCs w:val="20"/>
        </w:rPr>
      </w:pPr>
      <w:r w:rsidRPr="000E2730">
        <w:rPr>
          <w:color w:val="000000" w:themeColor="text1"/>
          <w:sz w:val="20"/>
          <w:szCs w:val="20"/>
        </w:rPr>
        <w:t xml:space="preserve">Rodger was not alone in </w:t>
      </w:r>
      <w:r w:rsidR="006F5995">
        <w:rPr>
          <w:color w:val="000000" w:themeColor="text1"/>
          <w:sz w:val="20"/>
          <w:szCs w:val="20"/>
        </w:rPr>
        <w:t xml:space="preserve">accusing the clergy of being government agents.  </w:t>
      </w:r>
      <w:r w:rsidRPr="000E2730">
        <w:rPr>
          <w:color w:val="000000" w:themeColor="text1"/>
          <w:sz w:val="20"/>
          <w:szCs w:val="20"/>
        </w:rPr>
        <w:t xml:space="preserve">Following Peterloo, a spy for Scotland’s Lord Advocate wrote that radicals </w:t>
      </w:r>
      <w:r w:rsidR="006E0440">
        <w:rPr>
          <w:color w:val="000000" w:themeColor="text1"/>
          <w:sz w:val="20"/>
          <w:szCs w:val="20"/>
        </w:rPr>
        <w:t>“</w:t>
      </w:r>
      <w:r w:rsidRPr="000E2730">
        <w:rPr>
          <w:color w:val="000000" w:themeColor="text1"/>
          <w:sz w:val="20"/>
          <w:szCs w:val="20"/>
        </w:rPr>
        <w:t>hold the clergy as the most active tools of the Government in oppressing the people</w:t>
      </w:r>
      <w:r w:rsidR="006E0440">
        <w:rPr>
          <w:color w:val="000000" w:themeColor="text1"/>
          <w:sz w:val="20"/>
          <w:szCs w:val="20"/>
        </w:rPr>
        <w:t>.”</w:t>
      </w:r>
      <w:r w:rsidRPr="000E2730">
        <w:rPr>
          <w:color w:val="000000" w:themeColor="text1"/>
          <w:sz w:val="20"/>
          <w:szCs w:val="20"/>
          <w:vertAlign w:val="superscript"/>
        </w:rPr>
        <w:footnoteReference w:id="20"/>
      </w:r>
      <w:r w:rsidRPr="000E2730">
        <w:rPr>
          <w:color w:val="000000" w:themeColor="text1"/>
          <w:sz w:val="20"/>
          <w:szCs w:val="20"/>
        </w:rPr>
        <w:t xml:space="preserve"> </w:t>
      </w:r>
      <w:r w:rsidR="0096026D">
        <w:rPr>
          <w:color w:val="000000" w:themeColor="text1"/>
          <w:sz w:val="20"/>
          <w:szCs w:val="20"/>
        </w:rPr>
        <w:t xml:space="preserve"> </w:t>
      </w:r>
      <w:r w:rsidRPr="000E2730">
        <w:rPr>
          <w:color w:val="000000" w:themeColor="text1"/>
          <w:sz w:val="20"/>
          <w:szCs w:val="20"/>
        </w:rPr>
        <w:t xml:space="preserve">Evidence of informers might be missing from the Scottish archives, but it is there in  the National Archives at Kew, and it validates contemporary mistrust of the clergy. John Monteath, a Church of Scotland </w:t>
      </w:r>
      <w:r w:rsidRPr="000E2730">
        <w:rPr>
          <w:color w:val="000000" w:themeColor="text1"/>
          <w:sz w:val="20"/>
          <w:szCs w:val="20"/>
        </w:rPr>
        <w:lastRenderedPageBreak/>
        <w:t xml:space="preserve">minister from the manse of the United Parishes of Houston and Killallan in Renfrewshire, wrote to Sidmouth on 6 January 1820 that </w:t>
      </w:r>
      <w:r w:rsidR="00427E4B">
        <w:rPr>
          <w:color w:val="000000" w:themeColor="text1"/>
          <w:sz w:val="20"/>
          <w:szCs w:val="20"/>
        </w:rPr>
        <w:t>“</w:t>
      </w:r>
      <w:r w:rsidRPr="000E2730">
        <w:rPr>
          <w:color w:val="000000" w:themeColor="text1"/>
          <w:sz w:val="20"/>
          <w:szCs w:val="20"/>
        </w:rPr>
        <w:t>Blasphemous Publications … have done a world of mischief among mechanics, and weavers, and cotton spinners</w:t>
      </w:r>
      <w:r w:rsidR="00427E4B">
        <w:rPr>
          <w:color w:val="000000" w:themeColor="text1"/>
          <w:sz w:val="20"/>
          <w:szCs w:val="20"/>
        </w:rPr>
        <w:t>.”</w:t>
      </w:r>
      <w:r w:rsidRPr="000E2730">
        <w:rPr>
          <w:color w:val="000000" w:themeColor="text1"/>
          <w:sz w:val="20"/>
          <w:szCs w:val="20"/>
          <w:vertAlign w:val="superscript"/>
        </w:rPr>
        <w:footnoteReference w:id="21"/>
      </w:r>
      <w:r w:rsidRPr="000E2730">
        <w:rPr>
          <w:color w:val="000000" w:themeColor="text1"/>
          <w:sz w:val="20"/>
          <w:szCs w:val="20"/>
        </w:rPr>
        <w:t xml:space="preserve"> On 2 March 1820, Monteath refers to the Cato Street conspiracy, stating this </w:t>
      </w:r>
      <w:r w:rsidR="00427E4B">
        <w:rPr>
          <w:color w:val="000000" w:themeColor="text1"/>
          <w:sz w:val="20"/>
          <w:szCs w:val="20"/>
        </w:rPr>
        <w:t>“</w:t>
      </w:r>
      <w:r w:rsidRPr="000E2730">
        <w:rPr>
          <w:color w:val="000000" w:themeColor="text1"/>
          <w:sz w:val="20"/>
          <w:szCs w:val="20"/>
        </w:rPr>
        <w:t>was to be the signal for all those desperate men who approved of it, even in the remotest villages, in the counties of Lanark, Renfrew, and Ayr, to rise in a mass, and unite in deeds of violence</w:t>
      </w:r>
      <w:r w:rsidR="00427E4B">
        <w:rPr>
          <w:color w:val="000000" w:themeColor="text1"/>
          <w:sz w:val="20"/>
          <w:szCs w:val="20"/>
        </w:rPr>
        <w:t>.”</w:t>
      </w:r>
      <w:r w:rsidRPr="000E2730">
        <w:rPr>
          <w:color w:val="000000" w:themeColor="text1"/>
          <w:sz w:val="20"/>
          <w:szCs w:val="20"/>
          <w:vertAlign w:val="superscript"/>
        </w:rPr>
        <w:footnoteReference w:id="22"/>
      </w:r>
      <w:r w:rsidRPr="000E2730">
        <w:rPr>
          <w:color w:val="000000" w:themeColor="text1"/>
          <w:sz w:val="20"/>
          <w:szCs w:val="20"/>
        </w:rPr>
        <w:t xml:space="preserve"> On 31 March, Monteath warns Sidmouth of </w:t>
      </w:r>
      <w:r w:rsidR="00427E4B">
        <w:rPr>
          <w:color w:val="000000" w:themeColor="text1"/>
          <w:sz w:val="20"/>
          <w:szCs w:val="20"/>
        </w:rPr>
        <w:t>“</w:t>
      </w:r>
      <w:r w:rsidRPr="000E2730">
        <w:rPr>
          <w:color w:val="000000" w:themeColor="text1"/>
          <w:sz w:val="20"/>
          <w:szCs w:val="20"/>
        </w:rPr>
        <w:t>an intended rising tomorrow</w:t>
      </w:r>
      <w:r w:rsidR="00427E4B">
        <w:rPr>
          <w:color w:val="000000" w:themeColor="text1"/>
          <w:sz w:val="20"/>
          <w:szCs w:val="20"/>
        </w:rPr>
        <w:t>.”</w:t>
      </w:r>
      <w:r w:rsidRPr="000E2730">
        <w:rPr>
          <w:color w:val="000000" w:themeColor="text1"/>
          <w:sz w:val="20"/>
          <w:szCs w:val="20"/>
        </w:rPr>
        <w:t xml:space="preserve"> The next night an </w:t>
      </w:r>
      <w:r w:rsidR="00427E4B">
        <w:rPr>
          <w:color w:val="000000" w:themeColor="text1"/>
          <w:sz w:val="20"/>
          <w:szCs w:val="20"/>
        </w:rPr>
        <w:t>“</w:t>
      </w:r>
      <w:r w:rsidRPr="000E2730">
        <w:rPr>
          <w:color w:val="000000" w:themeColor="text1"/>
          <w:sz w:val="20"/>
          <w:szCs w:val="20"/>
        </w:rPr>
        <w:t>Address to the Inhabitants of Great Britain &amp; Ireland</w:t>
      </w:r>
      <w:r w:rsidR="00427E4B">
        <w:rPr>
          <w:color w:val="000000" w:themeColor="text1"/>
          <w:sz w:val="20"/>
          <w:szCs w:val="20"/>
        </w:rPr>
        <w:t>”</w:t>
      </w:r>
      <w:r w:rsidRPr="000E2730">
        <w:rPr>
          <w:color w:val="000000" w:themeColor="text1"/>
          <w:sz w:val="20"/>
          <w:szCs w:val="20"/>
        </w:rPr>
        <w:t xml:space="preserve"> appeared pasted to walls within a twenty-mile radius around Glasgow, purporting to be from </w:t>
      </w:r>
      <w:r w:rsidR="00427E4B">
        <w:rPr>
          <w:color w:val="000000" w:themeColor="text1"/>
          <w:sz w:val="20"/>
          <w:szCs w:val="20"/>
        </w:rPr>
        <w:t>“</w:t>
      </w:r>
      <w:r w:rsidRPr="000E2730">
        <w:rPr>
          <w:color w:val="000000" w:themeColor="text1"/>
          <w:sz w:val="20"/>
          <w:szCs w:val="20"/>
        </w:rPr>
        <w:t>the Committee of Organization for forming a Provisional Government</w:t>
      </w:r>
      <w:r w:rsidR="00427E4B">
        <w:rPr>
          <w:color w:val="000000" w:themeColor="text1"/>
          <w:sz w:val="20"/>
          <w:szCs w:val="20"/>
        </w:rPr>
        <w:t>.”</w:t>
      </w:r>
      <w:r w:rsidRPr="000E2730">
        <w:rPr>
          <w:color w:val="000000" w:themeColor="text1"/>
          <w:sz w:val="20"/>
          <w:szCs w:val="20"/>
          <w:vertAlign w:val="superscript"/>
        </w:rPr>
        <w:footnoteReference w:id="23"/>
      </w:r>
      <w:r w:rsidRPr="000E2730">
        <w:rPr>
          <w:color w:val="000000" w:themeColor="text1"/>
          <w:sz w:val="20"/>
          <w:szCs w:val="20"/>
        </w:rPr>
        <w:t xml:space="preserve"> This spurred on the risings and consequently the execution of Wilson, Baird and Hardie for High Treason.</w:t>
      </w:r>
      <w:r w:rsidRPr="000E2730">
        <w:rPr>
          <w:color w:val="000000" w:themeColor="text1"/>
          <w:sz w:val="20"/>
          <w:szCs w:val="20"/>
          <w:vertAlign w:val="superscript"/>
        </w:rPr>
        <w:footnoteReference w:id="24"/>
      </w:r>
      <w:r w:rsidRPr="000E2730">
        <w:rPr>
          <w:color w:val="000000" w:themeColor="text1"/>
          <w:sz w:val="20"/>
          <w:szCs w:val="20"/>
        </w:rPr>
        <w:t xml:space="preserve">  </w:t>
      </w:r>
    </w:p>
    <w:p w14:paraId="02864B14" w14:textId="7B59C4B2" w:rsidR="00520312" w:rsidRDefault="00200DC1" w:rsidP="00520312">
      <w:pPr>
        <w:ind w:firstLine="288"/>
        <w:jc w:val="both"/>
        <w:rPr>
          <w:color w:val="000000" w:themeColor="text1"/>
          <w:sz w:val="20"/>
          <w:szCs w:val="20"/>
        </w:rPr>
      </w:pPr>
      <w:r w:rsidRPr="000E2730">
        <w:rPr>
          <w:color w:val="000000" w:themeColor="text1"/>
          <w:sz w:val="20"/>
          <w:szCs w:val="20"/>
        </w:rPr>
        <w:t xml:space="preserve">In Glasgow, Andrew Scott, the Roman Catholic </w:t>
      </w:r>
      <w:r w:rsidR="00520312">
        <w:rPr>
          <w:color w:val="000000" w:themeColor="text1"/>
          <w:sz w:val="20"/>
          <w:szCs w:val="20"/>
        </w:rPr>
        <w:t>p</w:t>
      </w:r>
      <w:r w:rsidRPr="000E2730">
        <w:rPr>
          <w:color w:val="000000" w:themeColor="text1"/>
          <w:sz w:val="20"/>
          <w:szCs w:val="20"/>
        </w:rPr>
        <w:t xml:space="preserve">riest responsible for building St. Andrew’s </w:t>
      </w:r>
      <w:r w:rsidR="00520312">
        <w:rPr>
          <w:color w:val="000000" w:themeColor="text1"/>
          <w:sz w:val="20"/>
          <w:szCs w:val="20"/>
        </w:rPr>
        <w:t>C</w:t>
      </w:r>
      <w:r w:rsidRPr="000E2730">
        <w:rPr>
          <w:color w:val="000000" w:themeColor="text1"/>
          <w:sz w:val="20"/>
          <w:szCs w:val="20"/>
        </w:rPr>
        <w:t xml:space="preserve">athedral (1816), was sending extensive reports directly to the Home Office in London. Amongst these reports is an eight-page document from 22 September 1820 where Scott informs the authorities that </w:t>
      </w:r>
    </w:p>
    <w:p w14:paraId="1C2229FC" w14:textId="77777777" w:rsidR="00520312" w:rsidRPr="00520312" w:rsidRDefault="00200DC1" w:rsidP="00520312">
      <w:pPr>
        <w:ind w:left="576" w:right="576"/>
        <w:jc w:val="both"/>
        <w:rPr>
          <w:color w:val="000000" w:themeColor="text1"/>
          <w:sz w:val="18"/>
          <w:szCs w:val="18"/>
        </w:rPr>
      </w:pPr>
      <w:r w:rsidRPr="00520312">
        <w:rPr>
          <w:color w:val="000000" w:themeColor="text1"/>
          <w:sz w:val="18"/>
          <w:szCs w:val="18"/>
        </w:rPr>
        <w:t>Some hundreds of the malcontents are already in possession of pistols, a number of pikes</w:t>
      </w:r>
      <w:r w:rsidR="00520312" w:rsidRPr="00520312">
        <w:rPr>
          <w:color w:val="000000" w:themeColor="text1"/>
          <w:sz w:val="18"/>
          <w:szCs w:val="18"/>
        </w:rPr>
        <w:t xml:space="preserve">.... </w:t>
      </w:r>
      <w:r w:rsidRPr="00520312">
        <w:rPr>
          <w:color w:val="000000" w:themeColor="text1"/>
          <w:sz w:val="18"/>
          <w:szCs w:val="18"/>
        </w:rPr>
        <w:t xml:space="preserve">I have my information from those who saw the pistols and who saw the pike-heads. The pike-heads were made in the Caltown of Glasgow by a Smith. </w:t>
      </w:r>
    </w:p>
    <w:p w14:paraId="2752CD22" w14:textId="6782B337" w:rsidR="00200DC1" w:rsidRPr="000E2730" w:rsidRDefault="00200DC1" w:rsidP="009E5221">
      <w:pPr>
        <w:jc w:val="both"/>
        <w:rPr>
          <w:color w:val="000000" w:themeColor="text1"/>
          <w:sz w:val="20"/>
          <w:szCs w:val="20"/>
        </w:rPr>
      </w:pPr>
      <w:r w:rsidRPr="000E2730">
        <w:rPr>
          <w:color w:val="000000" w:themeColor="text1"/>
          <w:sz w:val="20"/>
          <w:szCs w:val="20"/>
        </w:rPr>
        <w:t>Contacting Sidmouth directly, Scott perhaps explains why historians have not found spy reports in Scottish archives--the fear of exposure: ‘to drag me before an open court of justice would ruin my character, prevent me from ever receiving any information and expose me to be murdered’.</w:t>
      </w:r>
      <w:r w:rsidRPr="000E2730">
        <w:rPr>
          <w:color w:val="000000" w:themeColor="text1"/>
          <w:sz w:val="20"/>
          <w:szCs w:val="20"/>
          <w:vertAlign w:val="superscript"/>
        </w:rPr>
        <w:footnoteReference w:id="25"/>
      </w:r>
      <w:r w:rsidRPr="000E2730">
        <w:rPr>
          <w:color w:val="000000" w:themeColor="text1"/>
          <w:sz w:val="20"/>
          <w:szCs w:val="20"/>
        </w:rPr>
        <w:t xml:space="preserve"> If Scott could get money</w:t>
      </w:r>
      <w:r w:rsidR="00520312">
        <w:rPr>
          <w:color w:val="000000" w:themeColor="text1"/>
          <w:sz w:val="20"/>
          <w:szCs w:val="20"/>
        </w:rPr>
        <w:t>, he</w:t>
      </w:r>
      <w:r w:rsidRPr="000E2730">
        <w:rPr>
          <w:color w:val="000000" w:themeColor="text1"/>
          <w:sz w:val="20"/>
          <w:szCs w:val="20"/>
        </w:rPr>
        <w:t>:</w:t>
      </w:r>
    </w:p>
    <w:p w14:paraId="0E5FAE4C" w14:textId="436A7A5E" w:rsidR="00200DC1" w:rsidRPr="00520312" w:rsidRDefault="00200DC1" w:rsidP="00520312">
      <w:pPr>
        <w:ind w:left="576" w:right="576"/>
        <w:jc w:val="both"/>
        <w:rPr>
          <w:color w:val="000000" w:themeColor="text1"/>
          <w:sz w:val="18"/>
          <w:szCs w:val="18"/>
        </w:rPr>
      </w:pPr>
      <w:r w:rsidRPr="00520312">
        <w:rPr>
          <w:color w:val="000000" w:themeColor="text1"/>
          <w:sz w:val="18"/>
          <w:szCs w:val="18"/>
        </w:rPr>
        <w:t>would secure the affections and loyalty of at least twenty thousand able bodied men in the Counties alone of Lanark, Renfrew and Ayr. You would do more, you would convert almost every man of them into agents of Government under the influence of their pastors</w:t>
      </w:r>
      <w:r w:rsidR="00520312">
        <w:rPr>
          <w:color w:val="000000" w:themeColor="text1"/>
          <w:sz w:val="18"/>
          <w:szCs w:val="18"/>
        </w:rPr>
        <w:t xml:space="preserve">.... </w:t>
      </w:r>
      <w:r w:rsidRPr="00520312">
        <w:rPr>
          <w:color w:val="000000" w:themeColor="text1"/>
          <w:sz w:val="18"/>
          <w:szCs w:val="18"/>
        </w:rPr>
        <w:t xml:space="preserve">it would be impossible that any conspiracy could be formed without coming to the knowledge of some of them, and if Government was to assist them out of Secret-Service money to pay the debt of their chapels, which in the present distressed times, they are unable to pay </w:t>
      </w:r>
      <w:r w:rsidRPr="00520312">
        <w:rPr>
          <w:color w:val="000000" w:themeColor="text1"/>
          <w:sz w:val="18"/>
          <w:szCs w:val="18"/>
        </w:rPr>
        <w:lastRenderedPageBreak/>
        <w:t>themselves, I am certain that I could prevail upon them to give me private information of every thing that was going on.</w:t>
      </w:r>
      <w:r w:rsidRPr="00520312">
        <w:rPr>
          <w:color w:val="000000" w:themeColor="text1"/>
          <w:sz w:val="18"/>
          <w:szCs w:val="18"/>
          <w:vertAlign w:val="superscript"/>
        </w:rPr>
        <w:footnoteReference w:id="26"/>
      </w:r>
      <w:r w:rsidRPr="00520312">
        <w:rPr>
          <w:color w:val="000000" w:themeColor="text1"/>
          <w:sz w:val="18"/>
          <w:szCs w:val="18"/>
        </w:rPr>
        <w:t xml:space="preserve"> </w:t>
      </w:r>
    </w:p>
    <w:p w14:paraId="43CA826F" w14:textId="6C066AB8" w:rsidR="00200DC1" w:rsidRPr="000E2730" w:rsidRDefault="009E5221" w:rsidP="009E5221">
      <w:pPr>
        <w:jc w:val="both"/>
        <w:rPr>
          <w:color w:val="000000" w:themeColor="text1"/>
          <w:sz w:val="20"/>
          <w:szCs w:val="20"/>
        </w:rPr>
      </w:pPr>
      <w:r>
        <w:rPr>
          <w:color w:val="000000" w:themeColor="text1"/>
          <w:sz w:val="20"/>
          <w:szCs w:val="20"/>
        </w:rPr>
        <w:tab/>
      </w:r>
      <w:r w:rsidR="00200DC1" w:rsidRPr="000E2730">
        <w:rPr>
          <w:color w:val="000000" w:themeColor="text1"/>
          <w:sz w:val="20"/>
          <w:szCs w:val="20"/>
        </w:rPr>
        <w:t xml:space="preserve">Scott recruits himself as a </w:t>
      </w:r>
      <w:r>
        <w:rPr>
          <w:color w:val="000000" w:themeColor="text1"/>
          <w:sz w:val="20"/>
          <w:szCs w:val="20"/>
        </w:rPr>
        <w:t>“</w:t>
      </w:r>
      <w:r w:rsidR="00200DC1" w:rsidRPr="000E2730">
        <w:rPr>
          <w:color w:val="000000" w:themeColor="text1"/>
          <w:sz w:val="20"/>
          <w:szCs w:val="20"/>
        </w:rPr>
        <w:t>Secret-Service</w:t>
      </w:r>
      <w:r>
        <w:rPr>
          <w:color w:val="000000" w:themeColor="text1"/>
          <w:sz w:val="20"/>
          <w:szCs w:val="20"/>
        </w:rPr>
        <w:t>”</w:t>
      </w:r>
      <w:r w:rsidR="00200DC1" w:rsidRPr="000E2730">
        <w:rPr>
          <w:color w:val="000000" w:themeColor="text1"/>
          <w:sz w:val="20"/>
          <w:szCs w:val="20"/>
        </w:rPr>
        <w:t xml:space="preserve"> agent deserving of pay, a </w:t>
      </w:r>
      <w:r>
        <w:rPr>
          <w:color w:val="000000" w:themeColor="text1"/>
          <w:sz w:val="20"/>
          <w:szCs w:val="20"/>
        </w:rPr>
        <w:t>“</w:t>
      </w:r>
      <w:r w:rsidR="00200DC1" w:rsidRPr="000E2730">
        <w:rPr>
          <w:color w:val="000000" w:themeColor="text1"/>
          <w:sz w:val="20"/>
          <w:szCs w:val="20"/>
        </w:rPr>
        <w:t>black coat</w:t>
      </w:r>
      <w:r>
        <w:rPr>
          <w:color w:val="000000" w:themeColor="text1"/>
          <w:sz w:val="20"/>
          <w:szCs w:val="20"/>
        </w:rPr>
        <w:t>”</w:t>
      </w:r>
      <w:r w:rsidR="00200DC1" w:rsidRPr="000E2730">
        <w:rPr>
          <w:color w:val="000000" w:themeColor="text1"/>
          <w:sz w:val="20"/>
          <w:szCs w:val="20"/>
        </w:rPr>
        <w:t xml:space="preserve"> spy. </w:t>
      </w:r>
      <w:r>
        <w:rPr>
          <w:color w:val="000000" w:themeColor="text1"/>
          <w:sz w:val="20"/>
          <w:szCs w:val="20"/>
        </w:rPr>
        <w:t>While t</w:t>
      </w:r>
      <w:r w:rsidR="00200DC1" w:rsidRPr="000E2730">
        <w:rPr>
          <w:color w:val="000000" w:themeColor="text1"/>
          <w:sz w:val="20"/>
          <w:szCs w:val="20"/>
        </w:rPr>
        <w:t xml:space="preserve">here is more of this material at the National Archives, the Home Office documents I have cited serve to confirm three things: </w:t>
      </w:r>
    </w:p>
    <w:p w14:paraId="4AFAAD19" w14:textId="77777777" w:rsidR="00200DC1" w:rsidRPr="006F5995" w:rsidRDefault="00200DC1" w:rsidP="009E5221">
      <w:pPr>
        <w:ind w:left="576" w:right="576"/>
        <w:jc w:val="both"/>
        <w:rPr>
          <w:color w:val="000000" w:themeColor="text1"/>
          <w:sz w:val="18"/>
          <w:szCs w:val="18"/>
        </w:rPr>
      </w:pPr>
      <w:r w:rsidRPr="006F5995">
        <w:rPr>
          <w:color w:val="000000" w:themeColor="text1"/>
          <w:sz w:val="18"/>
          <w:szCs w:val="18"/>
        </w:rPr>
        <w:t>1. there were indeed spies and informers working around the Scottish rebellions of 1820;</w:t>
      </w:r>
    </w:p>
    <w:p w14:paraId="4FE58423" w14:textId="1F4A8701" w:rsidR="009E5221" w:rsidRPr="006F5995" w:rsidRDefault="00200DC1" w:rsidP="009E5221">
      <w:pPr>
        <w:ind w:left="576" w:right="576"/>
        <w:jc w:val="both"/>
        <w:rPr>
          <w:color w:val="000000" w:themeColor="text1"/>
          <w:sz w:val="18"/>
          <w:szCs w:val="18"/>
        </w:rPr>
      </w:pPr>
      <w:r w:rsidRPr="006F5995">
        <w:rPr>
          <w:color w:val="000000" w:themeColor="text1"/>
          <w:sz w:val="18"/>
          <w:szCs w:val="18"/>
        </w:rPr>
        <w:t xml:space="preserve">2. </w:t>
      </w:r>
      <w:r w:rsidR="009E5221" w:rsidRPr="006F5995">
        <w:rPr>
          <w:color w:val="000000" w:themeColor="text1"/>
          <w:sz w:val="18"/>
          <w:szCs w:val="18"/>
        </w:rPr>
        <w:t>i</w:t>
      </w:r>
      <w:r w:rsidRPr="006F5995">
        <w:rPr>
          <w:color w:val="000000" w:themeColor="text1"/>
          <w:sz w:val="18"/>
          <w:szCs w:val="18"/>
        </w:rPr>
        <w:t>nformers avoided the Scottish authorities in case they were exposed and instead went direct to London with their information;</w:t>
      </w:r>
    </w:p>
    <w:p w14:paraId="0DCF6A95" w14:textId="088FC2BA" w:rsidR="00200DC1" w:rsidRPr="006F5995" w:rsidRDefault="009E5221" w:rsidP="009E5221">
      <w:pPr>
        <w:ind w:left="576" w:right="576"/>
        <w:jc w:val="both"/>
        <w:rPr>
          <w:color w:val="000000" w:themeColor="text1"/>
          <w:sz w:val="18"/>
          <w:szCs w:val="18"/>
        </w:rPr>
      </w:pPr>
      <w:r w:rsidRPr="006F5995">
        <w:rPr>
          <w:color w:val="000000" w:themeColor="text1"/>
          <w:sz w:val="18"/>
          <w:szCs w:val="18"/>
        </w:rPr>
        <w:t xml:space="preserve">and </w:t>
      </w:r>
      <w:r w:rsidR="00200DC1" w:rsidRPr="006F5995">
        <w:rPr>
          <w:color w:val="000000" w:themeColor="text1"/>
          <w:sz w:val="18"/>
          <w:szCs w:val="18"/>
        </w:rPr>
        <w:t xml:space="preserve"> </w:t>
      </w:r>
    </w:p>
    <w:p w14:paraId="69388914" w14:textId="75CEDFF2" w:rsidR="00200DC1" w:rsidRPr="006F5995" w:rsidRDefault="00200DC1" w:rsidP="009E5221">
      <w:pPr>
        <w:ind w:left="576" w:right="576"/>
        <w:jc w:val="both"/>
        <w:rPr>
          <w:color w:val="000000" w:themeColor="text1"/>
          <w:sz w:val="18"/>
          <w:szCs w:val="18"/>
        </w:rPr>
      </w:pPr>
      <w:r w:rsidRPr="006F5995">
        <w:rPr>
          <w:color w:val="000000" w:themeColor="text1"/>
          <w:sz w:val="18"/>
          <w:szCs w:val="18"/>
        </w:rPr>
        <w:t>3. Rodger’s and Hamilton’s assertions that spies were at work were accurate</w:t>
      </w:r>
      <w:r w:rsidR="009E5221" w:rsidRPr="006F5995">
        <w:rPr>
          <w:color w:val="000000" w:themeColor="text1"/>
          <w:sz w:val="18"/>
          <w:szCs w:val="18"/>
        </w:rPr>
        <w:t>,</w:t>
      </w:r>
      <w:r w:rsidRPr="006F5995">
        <w:rPr>
          <w:color w:val="000000" w:themeColor="text1"/>
          <w:sz w:val="18"/>
          <w:szCs w:val="18"/>
        </w:rPr>
        <w:t xml:space="preserve"> and their </w:t>
      </w:r>
      <w:r w:rsidR="00246EE5">
        <w:rPr>
          <w:color w:val="000000" w:themeColor="text1"/>
          <w:sz w:val="18"/>
          <w:szCs w:val="18"/>
        </w:rPr>
        <w:t xml:space="preserve">writings </w:t>
      </w:r>
      <w:r w:rsidRPr="006F5995">
        <w:rPr>
          <w:color w:val="000000" w:themeColor="text1"/>
          <w:sz w:val="18"/>
          <w:szCs w:val="18"/>
        </w:rPr>
        <w:t xml:space="preserve">contain reliable historical documentary accounts. Furthermore, Rodger’s mistrust of the </w:t>
      </w:r>
      <w:r w:rsidR="009E5221" w:rsidRPr="006F5995">
        <w:rPr>
          <w:color w:val="000000" w:themeColor="text1"/>
          <w:sz w:val="18"/>
          <w:szCs w:val="18"/>
        </w:rPr>
        <w:t>“</w:t>
      </w:r>
      <w:r w:rsidRPr="006F5995">
        <w:rPr>
          <w:color w:val="000000" w:themeColor="text1"/>
          <w:sz w:val="18"/>
          <w:szCs w:val="18"/>
        </w:rPr>
        <w:t>black coats</w:t>
      </w:r>
      <w:r w:rsidR="009E5221" w:rsidRPr="006F5995">
        <w:rPr>
          <w:color w:val="000000" w:themeColor="text1"/>
          <w:sz w:val="18"/>
          <w:szCs w:val="18"/>
        </w:rPr>
        <w:t>”</w:t>
      </w:r>
      <w:r w:rsidRPr="006F5995">
        <w:rPr>
          <w:color w:val="000000" w:themeColor="text1"/>
          <w:sz w:val="18"/>
          <w:szCs w:val="18"/>
        </w:rPr>
        <w:t xml:space="preserve"> is justifiable given the evidence at Kew.</w:t>
      </w:r>
    </w:p>
    <w:p w14:paraId="38EFB1E3" w14:textId="77777777" w:rsidR="00200DC1" w:rsidRPr="000E2730" w:rsidRDefault="00200DC1" w:rsidP="009E5221">
      <w:pPr>
        <w:contextualSpacing/>
        <w:jc w:val="both"/>
        <w:rPr>
          <w:color w:val="000000" w:themeColor="text1"/>
          <w:sz w:val="20"/>
          <w:szCs w:val="20"/>
        </w:rPr>
      </w:pPr>
    </w:p>
    <w:p w14:paraId="69226434" w14:textId="65974529" w:rsidR="00343BC9" w:rsidRPr="000E2730" w:rsidRDefault="000E2730" w:rsidP="009E5221">
      <w:pPr>
        <w:jc w:val="both"/>
        <w:rPr>
          <w:i/>
          <w:sz w:val="20"/>
          <w:szCs w:val="20"/>
        </w:rPr>
      </w:pPr>
      <w:r w:rsidRPr="000E2730">
        <w:rPr>
          <w:i/>
          <w:sz w:val="20"/>
          <w:szCs w:val="20"/>
        </w:rPr>
        <w:t xml:space="preserve">Anglia Rukin </w:t>
      </w:r>
      <w:r w:rsidR="00343BC9" w:rsidRPr="000E2730">
        <w:rPr>
          <w:i/>
          <w:sz w:val="20"/>
          <w:szCs w:val="20"/>
        </w:rPr>
        <w:t xml:space="preserve">University </w:t>
      </w:r>
    </w:p>
    <w:p w14:paraId="676B041E" w14:textId="77777777" w:rsidR="00343BC9" w:rsidRPr="000E2730" w:rsidRDefault="00343BC9" w:rsidP="009E5221">
      <w:pPr>
        <w:jc w:val="both"/>
        <w:rPr>
          <w:sz w:val="20"/>
          <w:szCs w:val="20"/>
        </w:rPr>
      </w:pPr>
    </w:p>
    <w:sectPr w:rsidR="00343BC9" w:rsidRPr="000E2730" w:rsidSect="0088606C">
      <w:headerReference w:type="even" r:id="rId8"/>
      <w:headerReference w:type="default" r:id="rId9"/>
      <w:type w:val="continuous"/>
      <w:pgSz w:w="8640" w:h="12960" w:code="1"/>
      <w:pgMar w:top="1296" w:right="1296" w:bottom="1728" w:left="1296" w:header="1008" w:footer="720"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129E1" w14:textId="77777777" w:rsidR="00EB5F46" w:rsidRDefault="00EB5F46">
      <w:r>
        <w:separator/>
      </w:r>
    </w:p>
  </w:endnote>
  <w:endnote w:type="continuationSeparator" w:id="0">
    <w:p w14:paraId="3A43DB42" w14:textId="77777777" w:rsidR="00EB5F46" w:rsidRDefault="00EB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owan Old Style Roman">
    <w:altName w:val="Times New Roman"/>
    <w:panose1 w:val="02040602040506020204"/>
    <w:charset w:val="4D"/>
    <w:family w:val="roman"/>
    <w:pitch w:val="variable"/>
    <w:sig w:usb0="A00000EF" w:usb1="400020C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49A2F" w14:textId="77777777" w:rsidR="00EB5F46" w:rsidRDefault="00EB5F46">
      <w:r>
        <w:separator/>
      </w:r>
    </w:p>
  </w:footnote>
  <w:footnote w:type="continuationSeparator" w:id="0">
    <w:p w14:paraId="2CCE17D5" w14:textId="77777777" w:rsidR="00EB5F46" w:rsidRDefault="00EB5F46">
      <w:r>
        <w:continuationSeparator/>
      </w:r>
    </w:p>
  </w:footnote>
  <w:footnote w:id="1">
    <w:p w14:paraId="5037ABAE" w14:textId="3978060B" w:rsidR="002579BB" w:rsidRPr="002579BB" w:rsidRDefault="002579BB" w:rsidP="002579BB">
      <w:pPr>
        <w:pStyle w:val="FootnoteText"/>
        <w:jc w:val="both"/>
        <w:rPr>
          <w:lang w:val="en-US"/>
        </w:rPr>
      </w:pPr>
      <w:r>
        <w:rPr>
          <w:rStyle w:val="FootnoteReference"/>
        </w:rPr>
        <w:footnoteRef/>
      </w:r>
      <w:r>
        <w:t xml:space="preserve"> </w:t>
      </w:r>
      <w:r>
        <w:rPr>
          <w:sz w:val="18"/>
          <w:szCs w:val="18"/>
        </w:rPr>
        <w:t xml:space="preserve">On the </w:t>
      </w:r>
      <w:proofErr w:type="spellStart"/>
      <w:r>
        <w:rPr>
          <w:sz w:val="18"/>
          <w:szCs w:val="18"/>
        </w:rPr>
        <w:t>wider</w:t>
      </w:r>
      <w:proofErr w:type="spellEnd"/>
      <w:r>
        <w:rPr>
          <w:sz w:val="18"/>
          <w:szCs w:val="18"/>
        </w:rPr>
        <w:t xml:space="preserve"> </w:t>
      </w:r>
      <w:proofErr w:type="spellStart"/>
      <w:r>
        <w:rPr>
          <w:sz w:val="18"/>
          <w:szCs w:val="18"/>
        </w:rPr>
        <w:t>issue</w:t>
      </w:r>
      <w:proofErr w:type="spellEnd"/>
      <w:r>
        <w:rPr>
          <w:sz w:val="18"/>
          <w:szCs w:val="18"/>
        </w:rPr>
        <w:t xml:space="preserve"> of </w:t>
      </w:r>
      <w:proofErr w:type="spellStart"/>
      <w:r>
        <w:rPr>
          <w:sz w:val="18"/>
          <w:szCs w:val="18"/>
        </w:rPr>
        <w:t>spies</w:t>
      </w:r>
      <w:proofErr w:type="spellEnd"/>
      <w:r w:rsidR="00EC6F00">
        <w:rPr>
          <w:sz w:val="18"/>
          <w:szCs w:val="18"/>
        </w:rPr>
        <w:t xml:space="preserve"> </w:t>
      </w:r>
      <w:r>
        <w:rPr>
          <w:sz w:val="18"/>
          <w:szCs w:val="18"/>
        </w:rPr>
        <w:t xml:space="preserve">in </w:t>
      </w:r>
      <w:proofErr w:type="gramStart"/>
      <w:r>
        <w:rPr>
          <w:sz w:val="18"/>
          <w:szCs w:val="18"/>
        </w:rPr>
        <w:t xml:space="preserve">1820,  </w:t>
      </w:r>
      <w:proofErr w:type="spellStart"/>
      <w:r>
        <w:rPr>
          <w:sz w:val="18"/>
          <w:szCs w:val="18"/>
        </w:rPr>
        <w:t>cf</w:t>
      </w:r>
      <w:proofErr w:type="spellEnd"/>
      <w:proofErr w:type="gramEnd"/>
      <w:r>
        <w:rPr>
          <w:sz w:val="18"/>
          <w:szCs w:val="18"/>
        </w:rPr>
        <w:t xml:space="preserve">. </w:t>
      </w:r>
      <w:r w:rsidRPr="009E5221">
        <w:rPr>
          <w:sz w:val="18"/>
          <w:szCs w:val="18"/>
        </w:rPr>
        <w:t xml:space="preserve">John Gardner, </w:t>
      </w:r>
      <w:r>
        <w:rPr>
          <w:sz w:val="18"/>
          <w:szCs w:val="18"/>
        </w:rPr>
        <w:t>“</w:t>
      </w:r>
      <w:r w:rsidRPr="009E5221">
        <w:rPr>
          <w:sz w:val="18"/>
          <w:szCs w:val="18"/>
        </w:rPr>
        <w:t>Preventing Revolution: Cato Street, Bonnymuir and Cathkin</w:t>
      </w:r>
      <w:r>
        <w:rPr>
          <w:sz w:val="18"/>
          <w:szCs w:val="18"/>
        </w:rPr>
        <w:t>,”</w:t>
      </w:r>
      <w:r w:rsidRPr="009E5221">
        <w:rPr>
          <w:sz w:val="18"/>
          <w:szCs w:val="18"/>
        </w:rPr>
        <w:t xml:space="preserve"> </w:t>
      </w:r>
      <w:r w:rsidRPr="009E5221">
        <w:rPr>
          <w:i/>
          <w:sz w:val="18"/>
          <w:szCs w:val="18"/>
        </w:rPr>
        <w:t>Studies in Scottish Literature</w:t>
      </w:r>
      <w:r>
        <w:rPr>
          <w:i/>
          <w:sz w:val="18"/>
          <w:szCs w:val="18"/>
        </w:rPr>
        <w:t>,</w:t>
      </w:r>
      <w:r w:rsidRPr="009E5221">
        <w:rPr>
          <w:sz w:val="18"/>
          <w:szCs w:val="18"/>
        </w:rPr>
        <w:t xml:space="preserve"> 39 (2013)</w:t>
      </w:r>
      <w:r>
        <w:rPr>
          <w:sz w:val="18"/>
          <w:szCs w:val="18"/>
        </w:rPr>
        <w:t>:</w:t>
      </w:r>
      <w:r w:rsidRPr="009E5221">
        <w:rPr>
          <w:sz w:val="18"/>
          <w:szCs w:val="18"/>
        </w:rPr>
        <w:t xml:space="preserve"> 162-182</w:t>
      </w:r>
      <w:r>
        <w:rPr>
          <w:sz w:val="18"/>
          <w:szCs w:val="18"/>
        </w:rPr>
        <w:t xml:space="preserve">: online at: </w:t>
      </w:r>
      <w:hyperlink r:id="rId1" w:history="1">
        <w:r w:rsidRPr="0063506B">
          <w:rPr>
            <w:rStyle w:val="Hyperlink"/>
            <w:sz w:val="18"/>
            <w:szCs w:val="18"/>
          </w:rPr>
          <w:t>https://scholarcommons.sc.edu/ssl/vol39/iss1/14/</w:t>
        </w:r>
      </w:hyperlink>
      <w:r>
        <w:rPr>
          <w:sz w:val="18"/>
          <w:szCs w:val="18"/>
        </w:rPr>
        <w:t>.</w:t>
      </w:r>
    </w:p>
  </w:footnote>
  <w:footnote w:id="2">
    <w:p w14:paraId="5FEE4728" w14:textId="5A724B32" w:rsidR="002579BB" w:rsidRPr="002579BB" w:rsidRDefault="002579BB" w:rsidP="002579BB">
      <w:pPr>
        <w:pStyle w:val="FootnoteText"/>
        <w:jc w:val="both"/>
        <w:rPr>
          <w:lang w:val="en-US"/>
        </w:rPr>
      </w:pPr>
      <w:r>
        <w:rPr>
          <w:rStyle w:val="FootnoteReference"/>
        </w:rPr>
        <w:footnoteRef/>
      </w:r>
      <w:r>
        <w:t xml:space="preserve"> Peter Mackenzie, </w:t>
      </w:r>
      <w:r w:rsidRPr="009E5221">
        <w:rPr>
          <w:i/>
          <w:iCs/>
          <w:sz w:val="18"/>
          <w:szCs w:val="18"/>
        </w:rPr>
        <w:t xml:space="preserve">An Exposure of the Spy System Pursued in Glasgow, During the Years 1816-17-18-19 and 20, with copies of the Original Letters of Andrew Hardie </w:t>
      </w:r>
      <w:r w:rsidRPr="009E5221">
        <w:rPr>
          <w:sz w:val="18"/>
          <w:szCs w:val="18"/>
        </w:rPr>
        <w:t>(Glasgow: Muir, Gowans, 1833)</w:t>
      </w:r>
      <w:r>
        <w:rPr>
          <w:sz w:val="18"/>
          <w:szCs w:val="18"/>
        </w:rPr>
        <w:t xml:space="preserve">. </w:t>
      </w:r>
    </w:p>
  </w:footnote>
  <w:footnote w:id="3">
    <w:p w14:paraId="753FFA12" w14:textId="77777777" w:rsidR="00651798"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F. K. Donnelly, </w:t>
      </w:r>
      <w:r>
        <w:rPr>
          <w:sz w:val="18"/>
          <w:szCs w:val="18"/>
        </w:rPr>
        <w:t>“</w:t>
      </w:r>
      <w:r w:rsidRPr="009E5221">
        <w:rPr>
          <w:sz w:val="18"/>
          <w:szCs w:val="18"/>
        </w:rPr>
        <w:t>The Scottish Rising of 1820: A Re-Interpretation</w:t>
      </w:r>
      <w:r>
        <w:rPr>
          <w:sz w:val="18"/>
          <w:szCs w:val="18"/>
        </w:rPr>
        <w:t xml:space="preserve">,” </w:t>
      </w:r>
      <w:r w:rsidRPr="009E5221">
        <w:rPr>
          <w:i/>
          <w:iCs/>
          <w:sz w:val="18"/>
          <w:szCs w:val="18"/>
        </w:rPr>
        <w:t>International Review of Scottish Studies</w:t>
      </w:r>
      <w:r w:rsidRPr="009E5221">
        <w:rPr>
          <w:sz w:val="18"/>
          <w:szCs w:val="18"/>
        </w:rPr>
        <w:t xml:space="preserve">, </w:t>
      </w:r>
      <w:r>
        <w:rPr>
          <w:sz w:val="18"/>
          <w:szCs w:val="18"/>
        </w:rPr>
        <w:t xml:space="preserve">6 </w:t>
      </w:r>
      <w:r w:rsidRPr="009E5221">
        <w:rPr>
          <w:sz w:val="18"/>
          <w:szCs w:val="18"/>
        </w:rPr>
        <w:t>(</w:t>
      </w:r>
      <w:r>
        <w:rPr>
          <w:sz w:val="18"/>
          <w:szCs w:val="18"/>
        </w:rPr>
        <w:t>1976</w:t>
      </w:r>
      <w:r w:rsidRPr="009E5221">
        <w:rPr>
          <w:sz w:val="18"/>
          <w:szCs w:val="18"/>
        </w:rPr>
        <w:t>), 27</w:t>
      </w:r>
      <w:r>
        <w:rPr>
          <w:sz w:val="18"/>
          <w:szCs w:val="18"/>
        </w:rPr>
        <w:t>-37 (27):</w:t>
      </w:r>
    </w:p>
    <w:p w14:paraId="2F1713EC" w14:textId="409BFDD0" w:rsidR="00651798" w:rsidRPr="009E5221" w:rsidRDefault="00FF101B" w:rsidP="00520312">
      <w:pPr>
        <w:pStyle w:val="FootnoteText"/>
        <w:jc w:val="both"/>
        <w:rPr>
          <w:sz w:val="18"/>
          <w:szCs w:val="18"/>
        </w:rPr>
      </w:pPr>
      <w:hyperlink r:id="rId2" w:history="1">
        <w:r w:rsidR="00651798" w:rsidRPr="0063506B">
          <w:rPr>
            <w:rStyle w:val="Hyperlink"/>
            <w:sz w:val="18"/>
            <w:szCs w:val="18"/>
          </w:rPr>
          <w:t>https://www.irss.uoguelph.ca/index.php/irss/article/view/675/1115</w:t>
        </w:r>
      </w:hyperlink>
      <w:r w:rsidR="00651798">
        <w:rPr>
          <w:sz w:val="18"/>
          <w:szCs w:val="18"/>
        </w:rPr>
        <w:t>.</w:t>
      </w:r>
    </w:p>
  </w:footnote>
  <w:footnote w:id="4">
    <w:p w14:paraId="48260AE8" w14:textId="053770C2" w:rsidR="00651798" w:rsidRPr="009E5221" w:rsidRDefault="00651798" w:rsidP="00C12B94">
      <w:pPr>
        <w:pStyle w:val="FootnoteText"/>
        <w:jc w:val="both"/>
        <w:rPr>
          <w:sz w:val="18"/>
          <w:szCs w:val="18"/>
        </w:rPr>
      </w:pPr>
      <w:r w:rsidRPr="009E5221">
        <w:rPr>
          <w:rStyle w:val="FootnoteReference"/>
          <w:sz w:val="18"/>
          <w:szCs w:val="18"/>
        </w:rPr>
        <w:footnoteRef/>
      </w:r>
      <w:r w:rsidRPr="009E5221">
        <w:rPr>
          <w:sz w:val="18"/>
          <w:szCs w:val="18"/>
        </w:rPr>
        <w:t xml:space="preserve"> William N. Roach, </w:t>
      </w:r>
      <w:r>
        <w:rPr>
          <w:sz w:val="18"/>
          <w:szCs w:val="18"/>
        </w:rPr>
        <w:t>“</w:t>
      </w:r>
      <w:r w:rsidRPr="009E5221">
        <w:rPr>
          <w:sz w:val="18"/>
          <w:szCs w:val="18"/>
        </w:rPr>
        <w:t>Radical Reform Movements in Scotland from 1815 to 1822 with Particular Reference to Events in the West of Scotland</w:t>
      </w:r>
      <w:r>
        <w:rPr>
          <w:sz w:val="18"/>
          <w:szCs w:val="18"/>
        </w:rPr>
        <w:t>” (</w:t>
      </w:r>
      <w:r w:rsidRPr="009E5221">
        <w:rPr>
          <w:sz w:val="18"/>
          <w:szCs w:val="18"/>
        </w:rPr>
        <w:t>unpublished PhD thesis</w:t>
      </w:r>
      <w:r>
        <w:rPr>
          <w:sz w:val="18"/>
          <w:szCs w:val="18"/>
        </w:rPr>
        <w:t xml:space="preserve">, </w:t>
      </w:r>
      <w:r w:rsidRPr="009E5221">
        <w:rPr>
          <w:sz w:val="18"/>
          <w:szCs w:val="18"/>
        </w:rPr>
        <w:t>University of Glasgow, 1970), xii</w:t>
      </w:r>
      <w:r>
        <w:rPr>
          <w:sz w:val="18"/>
          <w:szCs w:val="18"/>
        </w:rPr>
        <w:t>, vii</w:t>
      </w:r>
      <w:r w:rsidRPr="009E5221">
        <w:rPr>
          <w:sz w:val="18"/>
          <w:szCs w:val="18"/>
        </w:rPr>
        <w:t>.</w:t>
      </w:r>
    </w:p>
  </w:footnote>
  <w:footnote w:id="5">
    <w:p w14:paraId="4653F608" w14:textId="20BD3A4F"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Mackenzie, </w:t>
      </w:r>
      <w:r w:rsidRPr="009E5221">
        <w:rPr>
          <w:i/>
          <w:iCs/>
          <w:sz w:val="18"/>
          <w:szCs w:val="18"/>
        </w:rPr>
        <w:t>Exposure of the Spy System</w:t>
      </w:r>
      <w:r w:rsidR="009B4754">
        <w:rPr>
          <w:i/>
          <w:iCs/>
          <w:sz w:val="18"/>
          <w:szCs w:val="18"/>
        </w:rPr>
        <w:t xml:space="preserve">, </w:t>
      </w:r>
      <w:r w:rsidRPr="009E5221">
        <w:rPr>
          <w:sz w:val="18"/>
          <w:szCs w:val="18"/>
        </w:rPr>
        <w:t>3.</w:t>
      </w:r>
    </w:p>
  </w:footnote>
  <w:footnote w:id="6">
    <w:p w14:paraId="1E1278D6" w14:textId="57B2F8D8"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Gordon Pentland, </w:t>
      </w:r>
      <w:r>
        <w:rPr>
          <w:sz w:val="18"/>
          <w:szCs w:val="18"/>
        </w:rPr>
        <w:t>“</w:t>
      </w:r>
      <w:r w:rsidRPr="009E5221">
        <w:rPr>
          <w:sz w:val="18"/>
          <w:szCs w:val="18"/>
        </w:rPr>
        <w:t>Scotland and the Creation of a National Reform Movement, 1830-1832</w:t>
      </w:r>
      <w:r>
        <w:rPr>
          <w:sz w:val="18"/>
          <w:szCs w:val="18"/>
        </w:rPr>
        <w:t xml:space="preserve">,” </w:t>
      </w:r>
      <w:r w:rsidRPr="009E5221">
        <w:rPr>
          <w:i/>
          <w:iCs/>
          <w:sz w:val="18"/>
          <w:szCs w:val="18"/>
        </w:rPr>
        <w:t>The Historical Journal</w:t>
      </w:r>
      <w:r w:rsidRPr="009E5221">
        <w:rPr>
          <w:sz w:val="18"/>
          <w:szCs w:val="18"/>
        </w:rPr>
        <w:t>, 48</w:t>
      </w:r>
      <w:r>
        <w:rPr>
          <w:sz w:val="18"/>
          <w:szCs w:val="18"/>
        </w:rPr>
        <w:t>:</w:t>
      </w:r>
      <w:r w:rsidRPr="009E5221">
        <w:rPr>
          <w:sz w:val="18"/>
          <w:szCs w:val="18"/>
        </w:rPr>
        <w:t xml:space="preserve"> 4 (2005), 999-1023</w:t>
      </w:r>
      <w:r>
        <w:rPr>
          <w:sz w:val="18"/>
          <w:szCs w:val="18"/>
        </w:rPr>
        <w:t xml:space="preserve"> (</w:t>
      </w:r>
      <w:r w:rsidRPr="009E5221">
        <w:rPr>
          <w:sz w:val="18"/>
          <w:szCs w:val="18"/>
        </w:rPr>
        <w:t>1015</w:t>
      </w:r>
      <w:r>
        <w:rPr>
          <w:sz w:val="18"/>
          <w:szCs w:val="18"/>
        </w:rPr>
        <w:t xml:space="preserve">). </w:t>
      </w:r>
    </w:p>
  </w:footnote>
  <w:footnote w:id="7">
    <w:p w14:paraId="7D684AA9" w14:textId="09B42395" w:rsidR="00651798" w:rsidRPr="009E5221" w:rsidRDefault="00651798" w:rsidP="005D5676">
      <w:pPr>
        <w:pStyle w:val="FootnoteText"/>
        <w:jc w:val="both"/>
        <w:rPr>
          <w:i/>
          <w:sz w:val="18"/>
          <w:szCs w:val="18"/>
          <w:lang w:val="en-US"/>
        </w:rPr>
      </w:pPr>
      <w:r w:rsidRPr="009E5221">
        <w:rPr>
          <w:rStyle w:val="FootnoteReference"/>
          <w:sz w:val="18"/>
          <w:szCs w:val="18"/>
        </w:rPr>
        <w:footnoteRef/>
      </w:r>
      <w:r w:rsidRPr="009E5221">
        <w:rPr>
          <w:sz w:val="18"/>
          <w:szCs w:val="18"/>
        </w:rPr>
        <w:t xml:space="preserve"> Christopher A. </w:t>
      </w:r>
      <w:r w:rsidRPr="009E5221">
        <w:rPr>
          <w:sz w:val="18"/>
          <w:szCs w:val="18"/>
          <w:lang w:val="en-US"/>
        </w:rPr>
        <w:t xml:space="preserve">Whatley, </w:t>
      </w:r>
      <w:r w:rsidRPr="009E5221">
        <w:rPr>
          <w:i/>
          <w:sz w:val="18"/>
          <w:szCs w:val="18"/>
          <w:lang w:val="en-US"/>
        </w:rPr>
        <w:t xml:space="preserve">Scottish Society 1707-1830: Beyond Jacobitism, Towards </w:t>
      </w:r>
      <w:proofErr w:type="spellStart"/>
      <w:r w:rsidRPr="009E5221">
        <w:rPr>
          <w:i/>
          <w:sz w:val="18"/>
          <w:szCs w:val="18"/>
          <w:lang w:val="en-US"/>
        </w:rPr>
        <w:t>Industrialisation</w:t>
      </w:r>
      <w:proofErr w:type="spellEnd"/>
      <w:r w:rsidRPr="009E5221">
        <w:rPr>
          <w:i/>
          <w:sz w:val="18"/>
          <w:szCs w:val="18"/>
          <w:lang w:val="en-US"/>
        </w:rPr>
        <w:t xml:space="preserve"> </w:t>
      </w:r>
      <w:r w:rsidRPr="009E5221">
        <w:rPr>
          <w:iCs/>
          <w:sz w:val="18"/>
          <w:szCs w:val="18"/>
          <w:lang w:val="en-US"/>
        </w:rPr>
        <w:t>(Manchester: M</w:t>
      </w:r>
      <w:r>
        <w:rPr>
          <w:iCs/>
          <w:sz w:val="18"/>
          <w:szCs w:val="18"/>
          <w:lang w:val="en-US"/>
        </w:rPr>
        <w:t xml:space="preserve">anchester University Press, </w:t>
      </w:r>
      <w:r w:rsidRPr="009E5221">
        <w:rPr>
          <w:iCs/>
          <w:sz w:val="18"/>
          <w:szCs w:val="18"/>
          <w:lang w:val="en-US"/>
        </w:rPr>
        <w:t>2000)</w:t>
      </w:r>
      <w:r w:rsidRPr="009E5221">
        <w:rPr>
          <w:i/>
          <w:sz w:val="18"/>
          <w:szCs w:val="18"/>
          <w:lang w:val="en-US"/>
        </w:rPr>
        <w:t xml:space="preserve">, </w:t>
      </w:r>
      <w:r w:rsidRPr="009E5221">
        <w:rPr>
          <w:sz w:val="18"/>
          <w:szCs w:val="18"/>
          <w:lang w:val="en-US"/>
        </w:rPr>
        <w:t>309</w:t>
      </w:r>
      <w:r>
        <w:rPr>
          <w:sz w:val="18"/>
          <w:szCs w:val="18"/>
          <w:lang w:val="en-US"/>
        </w:rPr>
        <w:t>, 318</w:t>
      </w:r>
      <w:r w:rsidRPr="009E5221">
        <w:rPr>
          <w:sz w:val="18"/>
          <w:szCs w:val="18"/>
          <w:lang w:val="en-US"/>
        </w:rPr>
        <w:t>.</w:t>
      </w:r>
    </w:p>
  </w:footnote>
  <w:footnote w:id="8">
    <w:p w14:paraId="72B82E3D" w14:textId="08014825"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Alexander Goldsmith, </w:t>
      </w:r>
      <w:r>
        <w:rPr>
          <w:sz w:val="18"/>
          <w:szCs w:val="18"/>
        </w:rPr>
        <w:t>“</w:t>
      </w:r>
      <w:r w:rsidRPr="009E5221">
        <w:rPr>
          <w:sz w:val="18"/>
          <w:szCs w:val="18"/>
        </w:rPr>
        <w:t>Confederates on the Clyde</w:t>
      </w:r>
      <w:r>
        <w:rPr>
          <w:sz w:val="18"/>
          <w:szCs w:val="18"/>
        </w:rPr>
        <w:t>,”</w:t>
      </w:r>
      <w:r w:rsidRPr="009E5221">
        <w:rPr>
          <w:sz w:val="18"/>
          <w:szCs w:val="18"/>
        </w:rPr>
        <w:t xml:space="preserve"> </w:t>
      </w:r>
      <w:r w:rsidRPr="009E5221">
        <w:rPr>
          <w:i/>
          <w:iCs/>
          <w:sz w:val="18"/>
          <w:szCs w:val="18"/>
        </w:rPr>
        <w:t>History Today</w:t>
      </w:r>
      <w:r w:rsidRPr="009E5221">
        <w:rPr>
          <w:sz w:val="18"/>
          <w:szCs w:val="18"/>
        </w:rPr>
        <w:t>, 48</w:t>
      </w:r>
      <w:r>
        <w:rPr>
          <w:sz w:val="18"/>
          <w:szCs w:val="18"/>
        </w:rPr>
        <w:t>:</w:t>
      </w:r>
      <w:r w:rsidRPr="009E5221">
        <w:rPr>
          <w:sz w:val="18"/>
          <w:szCs w:val="18"/>
        </w:rPr>
        <w:t>8, (August 1998), 45-50</w:t>
      </w:r>
      <w:r>
        <w:rPr>
          <w:sz w:val="18"/>
          <w:szCs w:val="18"/>
        </w:rPr>
        <w:t xml:space="preserve"> (45).</w:t>
      </w:r>
    </w:p>
  </w:footnote>
  <w:footnote w:id="9">
    <w:p w14:paraId="1ED2C1F0" w14:textId="34396678"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Bernard Porter, </w:t>
      </w:r>
      <w:r w:rsidRPr="009E5221">
        <w:rPr>
          <w:i/>
          <w:iCs/>
          <w:sz w:val="18"/>
          <w:szCs w:val="18"/>
        </w:rPr>
        <w:t>Plots and Paranoia: A History of Political Espionage in Britain 1790-1988</w:t>
      </w:r>
      <w:r w:rsidRPr="009E5221">
        <w:rPr>
          <w:sz w:val="18"/>
          <w:szCs w:val="18"/>
        </w:rPr>
        <w:t xml:space="preserve"> (London: Routledge, 1992), 59.</w:t>
      </w:r>
    </w:p>
  </w:footnote>
  <w:footnote w:id="10">
    <w:p w14:paraId="0353B069" w14:textId="77777777"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Kenny MacAskill, </w:t>
      </w:r>
      <w:r w:rsidRPr="009E5221">
        <w:rPr>
          <w:i/>
          <w:iCs/>
          <w:sz w:val="18"/>
          <w:szCs w:val="18"/>
        </w:rPr>
        <w:t>Radical Scotland: Uncovering Scotland’s Radical History from the French revolutionary Era to the 1820 Rising</w:t>
      </w:r>
      <w:r w:rsidRPr="009E5221">
        <w:rPr>
          <w:sz w:val="18"/>
          <w:szCs w:val="18"/>
        </w:rPr>
        <w:t xml:space="preserve"> (London: Biteback, 2020), 276.</w:t>
      </w:r>
    </w:p>
  </w:footnote>
  <w:footnote w:id="11">
    <w:p w14:paraId="64EE0D89" w14:textId="77777777" w:rsidR="00651798" w:rsidRPr="009E5221" w:rsidRDefault="00651798" w:rsidP="00520312">
      <w:pPr>
        <w:pStyle w:val="FootnoteText"/>
        <w:jc w:val="both"/>
        <w:rPr>
          <w:i/>
          <w:iCs/>
          <w:sz w:val="18"/>
          <w:szCs w:val="18"/>
        </w:rPr>
      </w:pPr>
      <w:r w:rsidRPr="009E5221">
        <w:rPr>
          <w:rStyle w:val="FootnoteReference"/>
          <w:sz w:val="18"/>
          <w:szCs w:val="18"/>
        </w:rPr>
        <w:footnoteRef/>
      </w:r>
      <w:r w:rsidRPr="009E5221">
        <w:rPr>
          <w:sz w:val="18"/>
          <w:szCs w:val="18"/>
        </w:rPr>
        <w:t xml:space="preserve"> Janet Hamilton, </w:t>
      </w:r>
      <w:r w:rsidRPr="009E5221">
        <w:rPr>
          <w:i/>
          <w:iCs/>
          <w:color w:val="333333"/>
          <w:sz w:val="18"/>
          <w:szCs w:val="18"/>
        </w:rPr>
        <w:t>Poems of Purpose and Sketches in Prose of Scottish Peasant Life and Character in Auld Langsyne</w:t>
      </w:r>
      <w:r w:rsidRPr="009E5221">
        <w:rPr>
          <w:color w:val="333333"/>
          <w:sz w:val="18"/>
          <w:szCs w:val="18"/>
        </w:rPr>
        <w:t xml:space="preserve"> (Glasgow: Murray, 1865), 240</w:t>
      </w:r>
    </w:p>
  </w:footnote>
  <w:footnote w:id="12">
    <w:p w14:paraId="1B8A23FA" w14:textId="5EA32BE9"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w:t>
      </w:r>
      <w:r w:rsidRPr="009E5221">
        <w:rPr>
          <w:i/>
          <w:iCs/>
          <w:color w:val="333333"/>
          <w:sz w:val="18"/>
          <w:szCs w:val="18"/>
        </w:rPr>
        <w:t>Poems of Purpose</w:t>
      </w:r>
      <w:r>
        <w:rPr>
          <w:i/>
          <w:iCs/>
          <w:color w:val="333333"/>
          <w:sz w:val="18"/>
          <w:szCs w:val="18"/>
        </w:rPr>
        <w:t xml:space="preserve">, </w:t>
      </w:r>
      <w:r w:rsidRPr="009E5221">
        <w:rPr>
          <w:color w:val="333333"/>
          <w:sz w:val="18"/>
          <w:szCs w:val="18"/>
        </w:rPr>
        <w:t>232-233.</w:t>
      </w:r>
      <w:r>
        <w:rPr>
          <w:color w:val="333333"/>
          <w:sz w:val="18"/>
          <w:szCs w:val="18"/>
        </w:rPr>
        <w:t xml:space="preserve"> “Pulicate” was a kind of gingham cloth, named for the region of India from which the cotton originally came. </w:t>
      </w:r>
    </w:p>
  </w:footnote>
  <w:footnote w:id="13">
    <w:p w14:paraId="1D92F42E" w14:textId="6662FCEA"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Janet Hamilton, </w:t>
      </w:r>
      <w:r>
        <w:rPr>
          <w:sz w:val="18"/>
          <w:szCs w:val="18"/>
        </w:rPr>
        <w:t>“</w:t>
      </w:r>
      <w:r w:rsidRPr="009E5221">
        <w:rPr>
          <w:sz w:val="18"/>
          <w:szCs w:val="18"/>
        </w:rPr>
        <w:t xml:space="preserve"> Real Incident of the Persecuting Times in Scotland</w:t>
      </w:r>
      <w:r>
        <w:rPr>
          <w:sz w:val="18"/>
          <w:szCs w:val="18"/>
        </w:rPr>
        <w:t xml:space="preserve">,” </w:t>
      </w:r>
      <w:r w:rsidRPr="009E5221">
        <w:rPr>
          <w:i/>
          <w:sz w:val="18"/>
          <w:szCs w:val="18"/>
        </w:rPr>
        <w:t>Poems, Essays and Sketches</w:t>
      </w:r>
      <w:r w:rsidRPr="009E5221">
        <w:rPr>
          <w:sz w:val="18"/>
          <w:szCs w:val="18"/>
        </w:rPr>
        <w:t xml:space="preserve"> (Glasgow: MacLehose, 1870), 130.</w:t>
      </w:r>
    </w:p>
  </w:footnote>
  <w:footnote w:id="14">
    <w:p w14:paraId="29AE51B1" w14:textId="79D2F708" w:rsidR="00651798" w:rsidRPr="009E5221" w:rsidRDefault="00651798" w:rsidP="00520312">
      <w:pPr>
        <w:shd w:val="clear" w:color="auto" w:fill="FFFFFF"/>
        <w:jc w:val="both"/>
        <w:rPr>
          <w:sz w:val="18"/>
          <w:szCs w:val="18"/>
        </w:rPr>
      </w:pPr>
      <w:r w:rsidRPr="009E5221">
        <w:rPr>
          <w:rStyle w:val="FootnoteReference"/>
          <w:sz w:val="18"/>
          <w:szCs w:val="18"/>
        </w:rPr>
        <w:footnoteRef/>
      </w:r>
      <w:r w:rsidRPr="009E5221">
        <w:rPr>
          <w:sz w:val="18"/>
          <w:szCs w:val="18"/>
        </w:rPr>
        <w:t xml:space="preserve"> Alexander Rodger, </w:t>
      </w:r>
      <w:r>
        <w:rPr>
          <w:sz w:val="18"/>
          <w:szCs w:val="18"/>
        </w:rPr>
        <w:t>“</w:t>
      </w:r>
      <w:r w:rsidRPr="009E5221">
        <w:rPr>
          <w:sz w:val="18"/>
          <w:szCs w:val="18"/>
        </w:rPr>
        <w:t>Sawney, Now the King’s Come</w:t>
      </w:r>
      <w:r>
        <w:rPr>
          <w:sz w:val="18"/>
          <w:szCs w:val="18"/>
        </w:rPr>
        <w:t>”</w:t>
      </w:r>
      <w:r w:rsidRPr="009E5221">
        <w:rPr>
          <w:sz w:val="18"/>
          <w:szCs w:val="18"/>
        </w:rPr>
        <w:t xml:space="preserve"> [1822], </w:t>
      </w:r>
      <w:r w:rsidRPr="009E5221">
        <w:rPr>
          <w:i/>
          <w:iCs/>
          <w:sz w:val="18"/>
          <w:szCs w:val="18"/>
        </w:rPr>
        <w:t>Stray Leaves from the Portfolios of Alisander the Seer, Andrew Whaup, and Humphrey Henkeckle</w:t>
      </w:r>
      <w:r w:rsidRPr="009E5221">
        <w:rPr>
          <w:sz w:val="18"/>
          <w:szCs w:val="18"/>
        </w:rPr>
        <w:t xml:space="preserve"> (Glasgow</w:t>
      </w:r>
      <w:r>
        <w:rPr>
          <w:sz w:val="18"/>
          <w:szCs w:val="18"/>
        </w:rPr>
        <w:t xml:space="preserve">: Rattray, </w:t>
      </w:r>
      <w:r w:rsidRPr="009E5221">
        <w:rPr>
          <w:sz w:val="18"/>
          <w:szCs w:val="18"/>
        </w:rPr>
        <w:t xml:space="preserve">1842), 60-61.  </w:t>
      </w:r>
    </w:p>
  </w:footnote>
  <w:footnote w:id="15">
    <w:p w14:paraId="1F80C9FF" w14:textId="577C9F8F"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Alexander Rodger, </w:t>
      </w:r>
      <w:r>
        <w:rPr>
          <w:sz w:val="18"/>
          <w:szCs w:val="18"/>
        </w:rPr>
        <w:t>“</w:t>
      </w:r>
      <w:r w:rsidRPr="009E5221">
        <w:rPr>
          <w:sz w:val="18"/>
          <w:szCs w:val="18"/>
        </w:rPr>
        <w:t>Shonny Cammel; or, the Turn-Coat Priest</w:t>
      </w:r>
      <w:r>
        <w:rPr>
          <w:sz w:val="18"/>
          <w:szCs w:val="18"/>
        </w:rPr>
        <w:t>”</w:t>
      </w:r>
      <w:r w:rsidRPr="009E5221">
        <w:rPr>
          <w:sz w:val="18"/>
          <w:szCs w:val="18"/>
        </w:rPr>
        <w:t xml:space="preserve"> [1819], </w:t>
      </w:r>
      <w:r>
        <w:rPr>
          <w:sz w:val="18"/>
          <w:szCs w:val="18"/>
        </w:rPr>
        <w:t>S</w:t>
      </w:r>
      <w:r w:rsidRPr="009E5221">
        <w:rPr>
          <w:i/>
          <w:iCs/>
          <w:sz w:val="18"/>
          <w:szCs w:val="18"/>
        </w:rPr>
        <w:t>tray Leaves</w:t>
      </w:r>
      <w:r w:rsidRPr="009E5221">
        <w:rPr>
          <w:sz w:val="18"/>
          <w:szCs w:val="18"/>
        </w:rPr>
        <w:t>, 61</w:t>
      </w:r>
      <w:r>
        <w:rPr>
          <w:sz w:val="18"/>
          <w:szCs w:val="18"/>
        </w:rPr>
        <w:t>-62</w:t>
      </w:r>
      <w:r w:rsidRPr="009E5221">
        <w:rPr>
          <w:sz w:val="18"/>
          <w:szCs w:val="18"/>
        </w:rPr>
        <w:t>.</w:t>
      </w:r>
    </w:p>
  </w:footnote>
  <w:footnote w:id="16">
    <w:p w14:paraId="6608DC31" w14:textId="38591CE8" w:rsidR="00651798" w:rsidRPr="009E5221" w:rsidRDefault="00651798" w:rsidP="00B62D18">
      <w:pPr>
        <w:pStyle w:val="paragraph"/>
        <w:spacing w:before="0" w:beforeAutospacing="0" w:after="0" w:afterAutospacing="0"/>
        <w:jc w:val="both"/>
        <w:textAlignment w:val="baseline"/>
        <w:rPr>
          <w:color w:val="000000" w:themeColor="text1"/>
          <w:sz w:val="18"/>
          <w:szCs w:val="18"/>
        </w:rPr>
      </w:pPr>
      <w:r w:rsidRPr="009E5221">
        <w:rPr>
          <w:rStyle w:val="FootnoteReference"/>
          <w:sz w:val="18"/>
          <w:szCs w:val="18"/>
        </w:rPr>
        <w:footnoteRef/>
      </w:r>
      <w:r w:rsidRPr="009E5221">
        <w:rPr>
          <w:rStyle w:val="normaltextrun"/>
          <w:color w:val="000000" w:themeColor="text1"/>
          <w:sz w:val="18"/>
          <w:szCs w:val="18"/>
        </w:rPr>
        <w:t xml:space="preserve"> Alexander Rodger,</w:t>
      </w:r>
      <w:r w:rsidRPr="009E5221">
        <w:rPr>
          <w:rStyle w:val="apple-converted-space"/>
          <w:color w:val="000000" w:themeColor="text1"/>
          <w:sz w:val="18"/>
          <w:szCs w:val="18"/>
        </w:rPr>
        <w:t xml:space="preserve"> </w:t>
      </w:r>
      <w:r w:rsidRPr="009E5221">
        <w:rPr>
          <w:rStyle w:val="apple-converted-space"/>
          <w:i/>
          <w:iCs/>
          <w:color w:val="000000" w:themeColor="text1"/>
          <w:sz w:val="18"/>
          <w:szCs w:val="18"/>
        </w:rPr>
        <w:t>Scotch Poetry</w:t>
      </w:r>
      <w:r w:rsidRPr="009E5221">
        <w:rPr>
          <w:rStyle w:val="normaltextrun"/>
          <w:i/>
          <w:iCs/>
          <w:color w:val="000000" w:themeColor="text1"/>
          <w:sz w:val="18"/>
          <w:szCs w:val="18"/>
        </w:rPr>
        <w:t xml:space="preserve"> </w:t>
      </w:r>
      <w:r w:rsidRPr="009E5221">
        <w:rPr>
          <w:rStyle w:val="normaltextrun"/>
          <w:color w:val="000000" w:themeColor="text1"/>
          <w:sz w:val="18"/>
          <w:szCs w:val="18"/>
        </w:rPr>
        <w:t xml:space="preserve">(London: Richard Carlile,1821), </w:t>
      </w:r>
      <w:r>
        <w:rPr>
          <w:rStyle w:val="normaltextrun"/>
          <w:color w:val="000000" w:themeColor="text1"/>
          <w:sz w:val="18"/>
          <w:szCs w:val="18"/>
        </w:rPr>
        <w:t>1-4</w:t>
      </w:r>
      <w:r w:rsidRPr="009E5221">
        <w:rPr>
          <w:rStyle w:val="normaltextrun"/>
          <w:color w:val="000000" w:themeColor="text1"/>
          <w:sz w:val="18"/>
          <w:szCs w:val="18"/>
        </w:rPr>
        <w:t>.</w:t>
      </w:r>
    </w:p>
  </w:footnote>
  <w:footnote w:id="17">
    <w:p w14:paraId="7F5F2DE6" w14:textId="77777777" w:rsidR="00651798" w:rsidRPr="009E5221" w:rsidRDefault="00651798" w:rsidP="00B05C11">
      <w:pPr>
        <w:pStyle w:val="FootnoteText"/>
        <w:jc w:val="both"/>
        <w:rPr>
          <w:sz w:val="18"/>
          <w:szCs w:val="18"/>
        </w:rPr>
      </w:pPr>
      <w:r w:rsidRPr="009E5221">
        <w:rPr>
          <w:rStyle w:val="FootnoteReference"/>
          <w:sz w:val="18"/>
          <w:szCs w:val="18"/>
        </w:rPr>
        <w:footnoteRef/>
      </w:r>
      <w:r w:rsidRPr="009E5221">
        <w:rPr>
          <w:sz w:val="18"/>
          <w:szCs w:val="18"/>
        </w:rPr>
        <w:t xml:space="preserve"> Robert Burns, </w:t>
      </w:r>
      <w:r w:rsidRPr="009E5221">
        <w:rPr>
          <w:i/>
          <w:iCs/>
          <w:sz w:val="18"/>
          <w:szCs w:val="18"/>
        </w:rPr>
        <w:t>Poems and Songs</w:t>
      </w:r>
      <w:r w:rsidRPr="009E5221">
        <w:rPr>
          <w:sz w:val="18"/>
          <w:szCs w:val="18"/>
        </w:rPr>
        <w:t>, ed. James Kinsley</w:t>
      </w:r>
      <w:r>
        <w:rPr>
          <w:sz w:val="18"/>
          <w:szCs w:val="18"/>
        </w:rPr>
        <w:t xml:space="preserve">, 3 vols </w:t>
      </w:r>
      <w:r w:rsidRPr="009E5221">
        <w:rPr>
          <w:sz w:val="18"/>
          <w:szCs w:val="18"/>
        </w:rPr>
        <w:t xml:space="preserve">(Oxford: </w:t>
      </w:r>
      <w:r>
        <w:rPr>
          <w:sz w:val="18"/>
          <w:szCs w:val="18"/>
        </w:rPr>
        <w:t xml:space="preserve">Clarendon, </w:t>
      </w:r>
      <w:r w:rsidRPr="009E5221">
        <w:rPr>
          <w:sz w:val="18"/>
          <w:szCs w:val="18"/>
        </w:rPr>
        <w:t>19</w:t>
      </w:r>
      <w:r>
        <w:rPr>
          <w:sz w:val="18"/>
          <w:szCs w:val="18"/>
        </w:rPr>
        <w:t>6</w:t>
      </w:r>
      <w:r w:rsidRPr="009E5221">
        <w:rPr>
          <w:sz w:val="18"/>
          <w:szCs w:val="18"/>
        </w:rPr>
        <w:t xml:space="preserve">8), </w:t>
      </w:r>
      <w:r>
        <w:rPr>
          <w:sz w:val="18"/>
          <w:szCs w:val="18"/>
        </w:rPr>
        <w:t>I: 60.</w:t>
      </w:r>
    </w:p>
  </w:footnote>
  <w:footnote w:id="18">
    <w:p w14:paraId="2AD1F52F" w14:textId="753B0DA5" w:rsidR="00651798" w:rsidRPr="009E5221" w:rsidRDefault="00651798" w:rsidP="00520312">
      <w:pPr>
        <w:pStyle w:val="FootnoteText"/>
        <w:jc w:val="both"/>
        <w:rPr>
          <w:sz w:val="18"/>
          <w:szCs w:val="18"/>
        </w:rPr>
      </w:pPr>
      <w:r w:rsidRPr="009E5221">
        <w:rPr>
          <w:rStyle w:val="FootnoteReference"/>
          <w:sz w:val="18"/>
          <w:szCs w:val="18"/>
        </w:rPr>
        <w:footnoteRef/>
      </w:r>
      <w:r w:rsidRPr="009E5221">
        <w:rPr>
          <w:sz w:val="18"/>
          <w:szCs w:val="18"/>
        </w:rPr>
        <w:t xml:space="preserve"> John Cameron, </w:t>
      </w:r>
      <w:r w:rsidRPr="009E5221">
        <w:rPr>
          <w:i/>
          <w:iCs/>
          <w:sz w:val="18"/>
          <w:szCs w:val="18"/>
        </w:rPr>
        <w:t xml:space="preserve">The Parish of Campsie </w:t>
      </w:r>
      <w:r w:rsidRPr="009E5221">
        <w:rPr>
          <w:sz w:val="18"/>
          <w:szCs w:val="18"/>
        </w:rPr>
        <w:t>(Kirkintilloch</w:t>
      </w:r>
      <w:r>
        <w:rPr>
          <w:sz w:val="18"/>
          <w:szCs w:val="18"/>
        </w:rPr>
        <w:t xml:space="preserve">: </w:t>
      </w:r>
      <w:r w:rsidRPr="009E5221">
        <w:rPr>
          <w:sz w:val="18"/>
          <w:szCs w:val="18"/>
        </w:rPr>
        <w:t>MacLeod, 1892), 11</w:t>
      </w:r>
      <w:r w:rsidR="0095008A">
        <w:rPr>
          <w:sz w:val="18"/>
          <w:szCs w:val="18"/>
        </w:rPr>
        <w:t xml:space="preserve">; </w:t>
      </w:r>
      <w:r w:rsidR="00843046">
        <w:rPr>
          <w:sz w:val="18"/>
          <w:szCs w:val="18"/>
        </w:rPr>
        <w:t xml:space="preserve">for a more positive view of Lapslie as orator, cf. J.G. Lockhart, </w:t>
      </w:r>
      <w:r w:rsidR="00843046" w:rsidRPr="00843046">
        <w:rPr>
          <w:i/>
          <w:iCs/>
          <w:sz w:val="18"/>
          <w:szCs w:val="18"/>
        </w:rPr>
        <w:t>Peter’s Letters to his Kinsfolk</w:t>
      </w:r>
      <w:r w:rsidR="00843046">
        <w:rPr>
          <w:sz w:val="18"/>
          <w:szCs w:val="18"/>
        </w:rPr>
        <w:t xml:space="preserve"> (Edinburgh: Blacwood, 1819), III: 61-62.</w:t>
      </w:r>
    </w:p>
  </w:footnote>
  <w:footnote w:id="19">
    <w:p w14:paraId="646F205B" w14:textId="3A4EB831" w:rsidR="0095008A" w:rsidRPr="0095008A" w:rsidRDefault="0095008A">
      <w:pPr>
        <w:pStyle w:val="FootnoteText"/>
        <w:rPr>
          <w:sz w:val="18"/>
          <w:szCs w:val="18"/>
          <w:lang w:val="en-US"/>
        </w:rPr>
      </w:pPr>
      <w:r w:rsidRPr="0095008A">
        <w:rPr>
          <w:rStyle w:val="FootnoteReference"/>
          <w:sz w:val="18"/>
          <w:szCs w:val="18"/>
        </w:rPr>
        <w:footnoteRef/>
      </w:r>
      <w:r w:rsidRPr="0095008A">
        <w:rPr>
          <w:sz w:val="18"/>
          <w:szCs w:val="18"/>
        </w:rPr>
        <w:t xml:space="preserve"> </w:t>
      </w:r>
      <w:r w:rsidRPr="0095008A">
        <w:rPr>
          <w:sz w:val="18"/>
          <w:szCs w:val="18"/>
          <w:lang w:val="en-US"/>
        </w:rPr>
        <w:t xml:space="preserve">Cameron, 11. </w:t>
      </w:r>
    </w:p>
  </w:footnote>
  <w:footnote w:id="20">
    <w:p w14:paraId="4FF15543" w14:textId="1055D369" w:rsidR="00651798" w:rsidRPr="009E5221"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Lord Advocate to Sidmouth 19 September 1819, The National Archives, HO 102.30</w:t>
      </w:r>
      <w:r>
        <w:rPr>
          <w:sz w:val="18"/>
          <w:szCs w:val="18"/>
        </w:rPr>
        <w:t>,</w:t>
      </w:r>
      <w:r w:rsidRPr="009E5221">
        <w:rPr>
          <w:sz w:val="18"/>
          <w:szCs w:val="18"/>
        </w:rPr>
        <w:t xml:space="preserve"> f.621-622.</w:t>
      </w:r>
    </w:p>
  </w:footnote>
  <w:footnote w:id="21">
    <w:p w14:paraId="7860CA45" w14:textId="77777777" w:rsidR="00651798" w:rsidRPr="009E5221"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TNA, HO 130/32, f.36. </w:t>
      </w:r>
    </w:p>
  </w:footnote>
  <w:footnote w:id="22">
    <w:p w14:paraId="343CBE97" w14:textId="479C25C1" w:rsidR="00651798" w:rsidRPr="009E5221" w:rsidRDefault="00651798" w:rsidP="00520312">
      <w:pPr>
        <w:pStyle w:val="BodyText"/>
        <w:spacing w:line="240" w:lineRule="auto"/>
        <w:rPr>
          <w:rFonts w:ascii="Times New Roman" w:hAnsi="Times New Roman"/>
          <w:sz w:val="18"/>
          <w:szCs w:val="18"/>
        </w:rPr>
      </w:pPr>
      <w:r w:rsidRPr="009E5221">
        <w:rPr>
          <w:rStyle w:val="FootnoteReference"/>
          <w:rFonts w:ascii="Times New Roman" w:eastAsiaTheme="majorEastAsia" w:hAnsi="Times New Roman"/>
          <w:sz w:val="18"/>
          <w:szCs w:val="18"/>
        </w:rPr>
        <w:footnoteRef/>
      </w:r>
      <w:r w:rsidRPr="009E5221">
        <w:rPr>
          <w:rFonts w:ascii="Times New Roman" w:hAnsi="Times New Roman"/>
          <w:sz w:val="18"/>
          <w:szCs w:val="18"/>
        </w:rPr>
        <w:t xml:space="preserve"> TNA, HO 130/32, f.224.</w:t>
      </w:r>
    </w:p>
  </w:footnote>
  <w:footnote w:id="23">
    <w:p w14:paraId="196874B5" w14:textId="77777777" w:rsidR="00651798" w:rsidRPr="009E5221"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TNA, HO 130/32, f. 297.</w:t>
      </w:r>
    </w:p>
  </w:footnote>
  <w:footnote w:id="24">
    <w:p w14:paraId="7EC8C9B7" w14:textId="52E2C8FA" w:rsidR="00651798"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w:t>
      </w:r>
      <w:r>
        <w:rPr>
          <w:sz w:val="18"/>
          <w:szCs w:val="18"/>
        </w:rPr>
        <w:t xml:space="preserve">On this, see also </w:t>
      </w:r>
      <w:r w:rsidRPr="009E5221">
        <w:rPr>
          <w:sz w:val="18"/>
          <w:szCs w:val="18"/>
        </w:rPr>
        <w:t xml:space="preserve">John Gardner, </w:t>
      </w:r>
      <w:r>
        <w:rPr>
          <w:sz w:val="18"/>
          <w:szCs w:val="18"/>
        </w:rPr>
        <w:t>“</w:t>
      </w:r>
      <w:r w:rsidRPr="009E5221">
        <w:rPr>
          <w:sz w:val="18"/>
          <w:szCs w:val="18"/>
        </w:rPr>
        <w:t>Preventing Revolution: Cato Street, Bonnymuir and Cathkin</w:t>
      </w:r>
      <w:r>
        <w:rPr>
          <w:sz w:val="18"/>
          <w:szCs w:val="18"/>
        </w:rPr>
        <w:t>,”</w:t>
      </w:r>
      <w:r w:rsidRPr="009E5221">
        <w:rPr>
          <w:sz w:val="18"/>
          <w:szCs w:val="18"/>
        </w:rPr>
        <w:t xml:space="preserve"> </w:t>
      </w:r>
      <w:r w:rsidRPr="009E5221">
        <w:rPr>
          <w:i/>
          <w:sz w:val="18"/>
          <w:szCs w:val="18"/>
        </w:rPr>
        <w:t>Studies in Scottish Literature</w:t>
      </w:r>
      <w:r>
        <w:rPr>
          <w:i/>
          <w:sz w:val="18"/>
          <w:szCs w:val="18"/>
        </w:rPr>
        <w:t>,</w:t>
      </w:r>
      <w:r w:rsidRPr="009E5221">
        <w:rPr>
          <w:sz w:val="18"/>
          <w:szCs w:val="18"/>
        </w:rPr>
        <w:t xml:space="preserve"> 39 (2013)</w:t>
      </w:r>
      <w:r>
        <w:rPr>
          <w:sz w:val="18"/>
          <w:szCs w:val="18"/>
        </w:rPr>
        <w:t>:</w:t>
      </w:r>
      <w:r w:rsidRPr="009E5221">
        <w:rPr>
          <w:sz w:val="18"/>
          <w:szCs w:val="18"/>
        </w:rPr>
        <w:t xml:space="preserve"> 162-182</w:t>
      </w:r>
      <w:r>
        <w:rPr>
          <w:sz w:val="18"/>
          <w:szCs w:val="18"/>
        </w:rPr>
        <w:t>: online at:</w:t>
      </w:r>
    </w:p>
    <w:p w14:paraId="101AB20F" w14:textId="5C912C19" w:rsidR="00651798" w:rsidRPr="009E5221" w:rsidRDefault="00FF101B" w:rsidP="00520312">
      <w:pPr>
        <w:pStyle w:val="FootnoteText"/>
        <w:jc w:val="both"/>
        <w:rPr>
          <w:sz w:val="18"/>
          <w:szCs w:val="18"/>
        </w:rPr>
      </w:pPr>
      <w:hyperlink r:id="rId3" w:history="1">
        <w:r w:rsidR="00651798" w:rsidRPr="0063506B">
          <w:rPr>
            <w:rStyle w:val="Hyperlink"/>
            <w:sz w:val="18"/>
            <w:szCs w:val="18"/>
          </w:rPr>
          <w:t>https://scholarcommons.sc.edu/ssl/vol39/iss1/14/</w:t>
        </w:r>
      </w:hyperlink>
      <w:r w:rsidR="00651798">
        <w:rPr>
          <w:sz w:val="18"/>
          <w:szCs w:val="18"/>
        </w:rPr>
        <w:t>.</w:t>
      </w:r>
    </w:p>
  </w:footnote>
  <w:footnote w:id="25">
    <w:p w14:paraId="02B0D421" w14:textId="77777777" w:rsidR="00651798" w:rsidRPr="009E5221"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TNA, HO 130/32, f. 649-652.</w:t>
      </w:r>
    </w:p>
  </w:footnote>
  <w:footnote w:id="26">
    <w:p w14:paraId="54C6AEA2" w14:textId="77777777" w:rsidR="00651798" w:rsidRPr="009E5221" w:rsidRDefault="00651798" w:rsidP="00520312">
      <w:pPr>
        <w:pStyle w:val="FootnoteText"/>
        <w:jc w:val="both"/>
        <w:rPr>
          <w:sz w:val="18"/>
          <w:szCs w:val="18"/>
        </w:rPr>
      </w:pPr>
      <w:r w:rsidRPr="009E5221">
        <w:rPr>
          <w:rStyle w:val="FootnoteReference"/>
          <w:rFonts w:eastAsiaTheme="majorEastAsia"/>
          <w:sz w:val="18"/>
          <w:szCs w:val="18"/>
        </w:rPr>
        <w:footnoteRef/>
      </w:r>
      <w:r w:rsidRPr="009E5221">
        <w:rPr>
          <w:sz w:val="18"/>
          <w:szCs w:val="18"/>
        </w:rPr>
        <w:t xml:space="preserve"> TNA, HO 130/32, f. 652.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82CF" w14:textId="77777777" w:rsidR="00651798" w:rsidRPr="00E20C38" w:rsidRDefault="00651798" w:rsidP="005210C0">
    <w:pPr>
      <w:pStyle w:val="Header"/>
      <w:framePr w:wrap="around" w:vAnchor="text" w:hAnchor="margin" w:xAlign="outside" w:y="1"/>
      <w:rPr>
        <w:rStyle w:val="PageNumber"/>
        <w:rFonts w:ascii="Georgia" w:hAnsi="Georgia"/>
        <w:sz w:val="20"/>
      </w:rPr>
    </w:pPr>
    <w:r w:rsidRPr="00E20C38">
      <w:rPr>
        <w:rStyle w:val="PageNumber"/>
        <w:rFonts w:ascii="Georgia" w:hAnsi="Georgia"/>
        <w:sz w:val="20"/>
      </w:rPr>
      <w:fldChar w:fldCharType="begin"/>
    </w:r>
    <w:r w:rsidRPr="00E20C38">
      <w:rPr>
        <w:rStyle w:val="PageNumber"/>
        <w:rFonts w:ascii="Georgia" w:hAnsi="Georgia"/>
        <w:sz w:val="20"/>
      </w:rPr>
      <w:instrText xml:space="preserve">PAGE  </w:instrText>
    </w:r>
    <w:r w:rsidRPr="00E20C38">
      <w:rPr>
        <w:rStyle w:val="PageNumber"/>
        <w:rFonts w:ascii="Georgia" w:hAnsi="Georgia"/>
        <w:sz w:val="20"/>
      </w:rPr>
      <w:fldChar w:fldCharType="separate"/>
    </w:r>
    <w:r>
      <w:rPr>
        <w:rStyle w:val="PageNumber"/>
        <w:rFonts w:ascii="Georgia" w:hAnsi="Georgia"/>
        <w:noProof/>
        <w:sz w:val="20"/>
      </w:rPr>
      <w:t>114</w:t>
    </w:r>
    <w:r w:rsidRPr="00E20C38">
      <w:rPr>
        <w:rStyle w:val="PageNumber"/>
        <w:rFonts w:ascii="Georgia" w:hAnsi="Georgia"/>
        <w:sz w:val="20"/>
      </w:rPr>
      <w:fldChar w:fldCharType="end"/>
    </w:r>
  </w:p>
  <w:p w14:paraId="6F12E09D" w14:textId="69FCE148" w:rsidR="00651798" w:rsidRPr="00F32613" w:rsidRDefault="00651798" w:rsidP="003A2851">
    <w:pPr>
      <w:pStyle w:val="Header"/>
      <w:ind w:right="360" w:firstLine="360"/>
      <w:jc w:val="center"/>
      <w:rPr>
        <w:rFonts w:ascii="Georgia" w:hAnsi="Georgia"/>
        <w:i/>
        <w:sz w:val="20"/>
        <w:szCs w:val="20"/>
      </w:rPr>
    </w:pPr>
    <w:r>
      <w:rPr>
        <w:rFonts w:ascii="Georgia" w:hAnsi="Georgia"/>
        <w:sz w:val="20"/>
        <w:szCs w:val="20"/>
      </w:rPr>
      <w:t>“BLACK COAT” SCOTTISH SPIES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51CB" w14:textId="77777777" w:rsidR="00651798" w:rsidRPr="00E20C38" w:rsidRDefault="00651798" w:rsidP="005210C0">
    <w:pPr>
      <w:pStyle w:val="Header"/>
      <w:framePr w:wrap="around" w:vAnchor="text" w:hAnchor="margin" w:xAlign="outside" w:y="1"/>
      <w:rPr>
        <w:rStyle w:val="PageNumber"/>
        <w:rFonts w:ascii="Georgia" w:hAnsi="Georgia"/>
        <w:sz w:val="20"/>
      </w:rPr>
    </w:pPr>
    <w:r w:rsidRPr="00E20C38">
      <w:rPr>
        <w:rStyle w:val="PageNumber"/>
        <w:rFonts w:ascii="Georgia" w:hAnsi="Georgia"/>
        <w:sz w:val="20"/>
      </w:rPr>
      <w:fldChar w:fldCharType="begin"/>
    </w:r>
    <w:r w:rsidRPr="00E20C38">
      <w:rPr>
        <w:rStyle w:val="PageNumber"/>
        <w:rFonts w:ascii="Georgia" w:hAnsi="Georgia"/>
        <w:sz w:val="20"/>
      </w:rPr>
      <w:instrText xml:space="preserve">PAGE  </w:instrText>
    </w:r>
    <w:r w:rsidRPr="00E20C38">
      <w:rPr>
        <w:rStyle w:val="PageNumber"/>
        <w:rFonts w:ascii="Georgia" w:hAnsi="Georgia"/>
        <w:sz w:val="20"/>
      </w:rPr>
      <w:fldChar w:fldCharType="separate"/>
    </w:r>
    <w:r>
      <w:rPr>
        <w:rStyle w:val="PageNumber"/>
        <w:rFonts w:ascii="Georgia" w:hAnsi="Georgia"/>
        <w:noProof/>
        <w:sz w:val="20"/>
      </w:rPr>
      <w:t>117</w:t>
    </w:r>
    <w:r w:rsidRPr="00E20C38">
      <w:rPr>
        <w:rStyle w:val="PageNumber"/>
        <w:rFonts w:ascii="Georgia" w:hAnsi="Georgia"/>
        <w:sz w:val="20"/>
      </w:rPr>
      <w:fldChar w:fldCharType="end"/>
    </w:r>
  </w:p>
  <w:p w14:paraId="6B46A9F7" w14:textId="27685E78" w:rsidR="00651798" w:rsidRPr="000F02BD" w:rsidRDefault="00651798" w:rsidP="00DA20E1">
    <w:pPr>
      <w:pStyle w:val="Header"/>
      <w:ind w:right="360" w:firstLine="360"/>
      <w:jc w:val="center"/>
      <w:rPr>
        <w:rFonts w:ascii="Georgia" w:hAnsi="Georgia"/>
        <w:i/>
        <w:sz w:val="20"/>
        <w:szCs w:val="20"/>
      </w:rPr>
    </w:pPr>
    <w:r>
      <w:rPr>
        <w:rFonts w:ascii="Georgia" w:hAnsi="Georgia"/>
        <w:i/>
        <w:sz w:val="20"/>
        <w:szCs w:val="20"/>
      </w:rPr>
      <w:t>John Gardner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85787"/>
    <w:multiLevelType w:val="hybridMultilevel"/>
    <w:tmpl w:val="9C5CE30C"/>
    <w:lvl w:ilvl="0" w:tplc="EB70EF8C">
      <w:numFmt w:val="bullet"/>
      <w:lvlText w:val="-"/>
      <w:lvlJc w:val="left"/>
      <w:pPr>
        <w:tabs>
          <w:tab w:val="num" w:pos="1260"/>
        </w:tabs>
        <w:ind w:left="1260" w:hanging="360"/>
      </w:pPr>
      <w:rPr>
        <w:rFonts w:ascii="Times New Roman" w:eastAsia="Times New Roman" w:hAnsi="Times New Roman" w:cs="Times New Roman" w:hint="default"/>
        <w:lang w:val="en-GB"/>
      </w:rPr>
    </w:lvl>
    <w:lvl w:ilvl="1" w:tplc="04100003" w:tentative="1">
      <w:start w:val="1"/>
      <w:numFmt w:val="bullet"/>
      <w:lvlText w:val="o"/>
      <w:lvlJc w:val="left"/>
      <w:pPr>
        <w:tabs>
          <w:tab w:val="num" w:pos="1980"/>
        </w:tabs>
        <w:ind w:left="1980" w:hanging="360"/>
      </w:pPr>
      <w:rPr>
        <w:rFonts w:ascii="Courier New" w:hAnsi="Courier New" w:cs="Wingdings"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Wingdings"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Wingdings"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701659B6"/>
    <w:multiLevelType w:val="hybridMultilevel"/>
    <w:tmpl w:val="C73E4AD8"/>
    <w:lvl w:ilvl="0" w:tplc="CA522206">
      <w:numFmt w:val="bullet"/>
      <w:lvlText w:val="-"/>
      <w:lvlJc w:val="left"/>
      <w:pPr>
        <w:tabs>
          <w:tab w:val="num" w:pos="900"/>
        </w:tabs>
        <w:ind w:left="900" w:hanging="360"/>
      </w:pPr>
      <w:rPr>
        <w:rFonts w:ascii="Times New Roman" w:eastAsia="Times New Roman" w:hAnsi="Times New Roman" w:cs="Times New Roman" w:hint="default"/>
        <w:lang w:val="en-G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5"/>
    <w:rsid w:val="00001D40"/>
    <w:rsid w:val="000025C9"/>
    <w:rsid w:val="00002D33"/>
    <w:rsid w:val="00006735"/>
    <w:rsid w:val="00016BAB"/>
    <w:rsid w:val="000176CC"/>
    <w:rsid w:val="00022B86"/>
    <w:rsid w:val="00023F3B"/>
    <w:rsid w:val="00026C33"/>
    <w:rsid w:val="00031595"/>
    <w:rsid w:val="000340C5"/>
    <w:rsid w:val="00034F73"/>
    <w:rsid w:val="00035D3B"/>
    <w:rsid w:val="00044BBA"/>
    <w:rsid w:val="00045610"/>
    <w:rsid w:val="000503AC"/>
    <w:rsid w:val="00055C77"/>
    <w:rsid w:val="00060A1C"/>
    <w:rsid w:val="000768A2"/>
    <w:rsid w:val="00091ED5"/>
    <w:rsid w:val="000B03AE"/>
    <w:rsid w:val="000B37CE"/>
    <w:rsid w:val="000B5971"/>
    <w:rsid w:val="000C4531"/>
    <w:rsid w:val="000C5F27"/>
    <w:rsid w:val="000C7BF6"/>
    <w:rsid w:val="000E218B"/>
    <w:rsid w:val="000E2730"/>
    <w:rsid w:val="000F02BD"/>
    <w:rsid w:val="000F5F3E"/>
    <w:rsid w:val="000F73B1"/>
    <w:rsid w:val="0010278B"/>
    <w:rsid w:val="00103743"/>
    <w:rsid w:val="00103857"/>
    <w:rsid w:val="001067EB"/>
    <w:rsid w:val="0012393E"/>
    <w:rsid w:val="0015628E"/>
    <w:rsid w:val="00174B1D"/>
    <w:rsid w:val="00182575"/>
    <w:rsid w:val="0019710F"/>
    <w:rsid w:val="001A03BA"/>
    <w:rsid w:val="001A6410"/>
    <w:rsid w:val="001B1A8F"/>
    <w:rsid w:val="001B6FD7"/>
    <w:rsid w:val="001C05D2"/>
    <w:rsid w:val="001C44AD"/>
    <w:rsid w:val="001C5696"/>
    <w:rsid w:val="001D3DC4"/>
    <w:rsid w:val="001D729B"/>
    <w:rsid w:val="001E0897"/>
    <w:rsid w:val="001E1048"/>
    <w:rsid w:val="001E1A95"/>
    <w:rsid w:val="001E76E3"/>
    <w:rsid w:val="001F1D96"/>
    <w:rsid w:val="00200714"/>
    <w:rsid w:val="00200DC1"/>
    <w:rsid w:val="002114C2"/>
    <w:rsid w:val="00211A15"/>
    <w:rsid w:val="00226694"/>
    <w:rsid w:val="002335C0"/>
    <w:rsid w:val="0023387A"/>
    <w:rsid w:val="00234B7A"/>
    <w:rsid w:val="002450D5"/>
    <w:rsid w:val="0024570E"/>
    <w:rsid w:val="00246EE5"/>
    <w:rsid w:val="002579BB"/>
    <w:rsid w:val="00260325"/>
    <w:rsid w:val="0026443F"/>
    <w:rsid w:val="00266CC0"/>
    <w:rsid w:val="002759A4"/>
    <w:rsid w:val="00281A4A"/>
    <w:rsid w:val="0029090D"/>
    <w:rsid w:val="002943B8"/>
    <w:rsid w:val="00297FBC"/>
    <w:rsid w:val="002A0D79"/>
    <w:rsid w:val="002A4BD5"/>
    <w:rsid w:val="002A658A"/>
    <w:rsid w:val="002B6A1C"/>
    <w:rsid w:val="002C7BC8"/>
    <w:rsid w:val="002D4C5E"/>
    <w:rsid w:val="002F0D29"/>
    <w:rsid w:val="002F403C"/>
    <w:rsid w:val="002F762A"/>
    <w:rsid w:val="00302B20"/>
    <w:rsid w:val="00303855"/>
    <w:rsid w:val="0030408F"/>
    <w:rsid w:val="00312B59"/>
    <w:rsid w:val="003131EC"/>
    <w:rsid w:val="003313DE"/>
    <w:rsid w:val="00337982"/>
    <w:rsid w:val="00340CEF"/>
    <w:rsid w:val="003412C4"/>
    <w:rsid w:val="00343966"/>
    <w:rsid w:val="00343BC9"/>
    <w:rsid w:val="00362DD4"/>
    <w:rsid w:val="00363A49"/>
    <w:rsid w:val="00382803"/>
    <w:rsid w:val="00394E98"/>
    <w:rsid w:val="003A001F"/>
    <w:rsid w:val="003A2851"/>
    <w:rsid w:val="003A3A85"/>
    <w:rsid w:val="003B0353"/>
    <w:rsid w:val="003B6472"/>
    <w:rsid w:val="003B6CB3"/>
    <w:rsid w:val="003B77A3"/>
    <w:rsid w:val="003C55B7"/>
    <w:rsid w:val="003C740A"/>
    <w:rsid w:val="003D3811"/>
    <w:rsid w:val="003D544E"/>
    <w:rsid w:val="003E0293"/>
    <w:rsid w:val="003E4C2D"/>
    <w:rsid w:val="003F2ADE"/>
    <w:rsid w:val="00427E4B"/>
    <w:rsid w:val="004304A5"/>
    <w:rsid w:val="004316CA"/>
    <w:rsid w:val="00434E9C"/>
    <w:rsid w:val="00437E53"/>
    <w:rsid w:val="00446DAD"/>
    <w:rsid w:val="00447D08"/>
    <w:rsid w:val="00450035"/>
    <w:rsid w:val="00464B3E"/>
    <w:rsid w:val="00465BDF"/>
    <w:rsid w:val="004943B8"/>
    <w:rsid w:val="004A1DC4"/>
    <w:rsid w:val="004B5519"/>
    <w:rsid w:val="00520312"/>
    <w:rsid w:val="005210C0"/>
    <w:rsid w:val="005357BC"/>
    <w:rsid w:val="00543883"/>
    <w:rsid w:val="00572218"/>
    <w:rsid w:val="005764BF"/>
    <w:rsid w:val="005778BB"/>
    <w:rsid w:val="00592D48"/>
    <w:rsid w:val="00595D94"/>
    <w:rsid w:val="005C067D"/>
    <w:rsid w:val="005D4318"/>
    <w:rsid w:val="005D5676"/>
    <w:rsid w:val="005E34DA"/>
    <w:rsid w:val="005F099E"/>
    <w:rsid w:val="005F35D9"/>
    <w:rsid w:val="005F45F5"/>
    <w:rsid w:val="005F55CB"/>
    <w:rsid w:val="005F6141"/>
    <w:rsid w:val="0060051A"/>
    <w:rsid w:val="00605D68"/>
    <w:rsid w:val="00607B8D"/>
    <w:rsid w:val="00610735"/>
    <w:rsid w:val="0061274C"/>
    <w:rsid w:val="006129F6"/>
    <w:rsid w:val="00631880"/>
    <w:rsid w:val="006322D5"/>
    <w:rsid w:val="00633E26"/>
    <w:rsid w:val="00640447"/>
    <w:rsid w:val="00651798"/>
    <w:rsid w:val="00655F5B"/>
    <w:rsid w:val="00660748"/>
    <w:rsid w:val="00671BFA"/>
    <w:rsid w:val="0068774D"/>
    <w:rsid w:val="00691924"/>
    <w:rsid w:val="006B1EF1"/>
    <w:rsid w:val="006B3FA0"/>
    <w:rsid w:val="006C0AA1"/>
    <w:rsid w:val="006C7659"/>
    <w:rsid w:val="006C78CB"/>
    <w:rsid w:val="006D2545"/>
    <w:rsid w:val="006E0440"/>
    <w:rsid w:val="006E48F2"/>
    <w:rsid w:val="006F5995"/>
    <w:rsid w:val="00711BF8"/>
    <w:rsid w:val="00711F22"/>
    <w:rsid w:val="00725143"/>
    <w:rsid w:val="00730F6F"/>
    <w:rsid w:val="00752786"/>
    <w:rsid w:val="007567F1"/>
    <w:rsid w:val="00762AA4"/>
    <w:rsid w:val="00785521"/>
    <w:rsid w:val="00785DC8"/>
    <w:rsid w:val="00790015"/>
    <w:rsid w:val="0079161F"/>
    <w:rsid w:val="00791ACF"/>
    <w:rsid w:val="007B172D"/>
    <w:rsid w:val="007D09E2"/>
    <w:rsid w:val="007D65AD"/>
    <w:rsid w:val="007D684E"/>
    <w:rsid w:val="0080411D"/>
    <w:rsid w:val="008061C1"/>
    <w:rsid w:val="0080729B"/>
    <w:rsid w:val="00810AEA"/>
    <w:rsid w:val="00812411"/>
    <w:rsid w:val="00814378"/>
    <w:rsid w:val="008244F3"/>
    <w:rsid w:val="00825BCB"/>
    <w:rsid w:val="0084044A"/>
    <w:rsid w:val="00843046"/>
    <w:rsid w:val="00855A06"/>
    <w:rsid w:val="008571F8"/>
    <w:rsid w:val="00861B0E"/>
    <w:rsid w:val="00871D25"/>
    <w:rsid w:val="0088368C"/>
    <w:rsid w:val="0088606C"/>
    <w:rsid w:val="00892C27"/>
    <w:rsid w:val="00897537"/>
    <w:rsid w:val="008A1B71"/>
    <w:rsid w:val="008A3AAB"/>
    <w:rsid w:val="008B26DF"/>
    <w:rsid w:val="008B3A63"/>
    <w:rsid w:val="008B5E7A"/>
    <w:rsid w:val="008C22D3"/>
    <w:rsid w:val="008C5F6F"/>
    <w:rsid w:val="008C6E5E"/>
    <w:rsid w:val="008D0F31"/>
    <w:rsid w:val="008E13C2"/>
    <w:rsid w:val="00901207"/>
    <w:rsid w:val="00904E8F"/>
    <w:rsid w:val="0090606A"/>
    <w:rsid w:val="00912367"/>
    <w:rsid w:val="00922B71"/>
    <w:rsid w:val="0092364D"/>
    <w:rsid w:val="0095008A"/>
    <w:rsid w:val="0096026D"/>
    <w:rsid w:val="0097362F"/>
    <w:rsid w:val="009951CB"/>
    <w:rsid w:val="009A67C3"/>
    <w:rsid w:val="009A798B"/>
    <w:rsid w:val="009B086C"/>
    <w:rsid w:val="009B4754"/>
    <w:rsid w:val="009C0981"/>
    <w:rsid w:val="009C5BF8"/>
    <w:rsid w:val="009D77CF"/>
    <w:rsid w:val="009D7C69"/>
    <w:rsid w:val="009E3261"/>
    <w:rsid w:val="009E5221"/>
    <w:rsid w:val="009E7844"/>
    <w:rsid w:val="009F4116"/>
    <w:rsid w:val="00A00BC3"/>
    <w:rsid w:val="00A0603B"/>
    <w:rsid w:val="00A20A71"/>
    <w:rsid w:val="00A20B1F"/>
    <w:rsid w:val="00A21289"/>
    <w:rsid w:val="00A36C3F"/>
    <w:rsid w:val="00A42C7A"/>
    <w:rsid w:val="00A47BCA"/>
    <w:rsid w:val="00A5344A"/>
    <w:rsid w:val="00A53611"/>
    <w:rsid w:val="00A54BDE"/>
    <w:rsid w:val="00A54DCC"/>
    <w:rsid w:val="00A55000"/>
    <w:rsid w:val="00A64614"/>
    <w:rsid w:val="00A8004B"/>
    <w:rsid w:val="00A80281"/>
    <w:rsid w:val="00A80F13"/>
    <w:rsid w:val="00AA04D9"/>
    <w:rsid w:val="00AA1A19"/>
    <w:rsid w:val="00AB2860"/>
    <w:rsid w:val="00AB5FF3"/>
    <w:rsid w:val="00AC1E44"/>
    <w:rsid w:val="00AC32E4"/>
    <w:rsid w:val="00AC7C12"/>
    <w:rsid w:val="00AD1529"/>
    <w:rsid w:val="00AD36A3"/>
    <w:rsid w:val="00AD4249"/>
    <w:rsid w:val="00AE06CE"/>
    <w:rsid w:val="00AE0D93"/>
    <w:rsid w:val="00AE1350"/>
    <w:rsid w:val="00AF0E9A"/>
    <w:rsid w:val="00AF1679"/>
    <w:rsid w:val="00AF3C13"/>
    <w:rsid w:val="00AF3C9C"/>
    <w:rsid w:val="00AF3D48"/>
    <w:rsid w:val="00AF5ACA"/>
    <w:rsid w:val="00B05C11"/>
    <w:rsid w:val="00B05D17"/>
    <w:rsid w:val="00B12621"/>
    <w:rsid w:val="00B15111"/>
    <w:rsid w:val="00B214D5"/>
    <w:rsid w:val="00B350E9"/>
    <w:rsid w:val="00B44881"/>
    <w:rsid w:val="00B50AD1"/>
    <w:rsid w:val="00B62690"/>
    <w:rsid w:val="00B62D18"/>
    <w:rsid w:val="00B740B6"/>
    <w:rsid w:val="00B82A26"/>
    <w:rsid w:val="00B9255E"/>
    <w:rsid w:val="00BA577F"/>
    <w:rsid w:val="00BE58B1"/>
    <w:rsid w:val="00C03D04"/>
    <w:rsid w:val="00C10E63"/>
    <w:rsid w:val="00C12B94"/>
    <w:rsid w:val="00C3150C"/>
    <w:rsid w:val="00C8220C"/>
    <w:rsid w:val="00C823B4"/>
    <w:rsid w:val="00C930C2"/>
    <w:rsid w:val="00CA27F9"/>
    <w:rsid w:val="00CB41CB"/>
    <w:rsid w:val="00CE272A"/>
    <w:rsid w:val="00CF0C07"/>
    <w:rsid w:val="00D01C77"/>
    <w:rsid w:val="00D0242A"/>
    <w:rsid w:val="00D0398A"/>
    <w:rsid w:val="00D20F2E"/>
    <w:rsid w:val="00D2193A"/>
    <w:rsid w:val="00D22C45"/>
    <w:rsid w:val="00D2572F"/>
    <w:rsid w:val="00D3212A"/>
    <w:rsid w:val="00D33DC7"/>
    <w:rsid w:val="00D44588"/>
    <w:rsid w:val="00D5046A"/>
    <w:rsid w:val="00D522A0"/>
    <w:rsid w:val="00D54CB0"/>
    <w:rsid w:val="00D603F9"/>
    <w:rsid w:val="00D6229C"/>
    <w:rsid w:val="00D74DC6"/>
    <w:rsid w:val="00D8606D"/>
    <w:rsid w:val="00D8717A"/>
    <w:rsid w:val="00D94121"/>
    <w:rsid w:val="00DA20E1"/>
    <w:rsid w:val="00DB00FE"/>
    <w:rsid w:val="00DB16F5"/>
    <w:rsid w:val="00DB3A1C"/>
    <w:rsid w:val="00DC106D"/>
    <w:rsid w:val="00DD6582"/>
    <w:rsid w:val="00DE066D"/>
    <w:rsid w:val="00DE389E"/>
    <w:rsid w:val="00E04742"/>
    <w:rsid w:val="00E230DF"/>
    <w:rsid w:val="00E2618A"/>
    <w:rsid w:val="00E265FE"/>
    <w:rsid w:val="00E46DCA"/>
    <w:rsid w:val="00E54F91"/>
    <w:rsid w:val="00E666A8"/>
    <w:rsid w:val="00E923E3"/>
    <w:rsid w:val="00EA0D1F"/>
    <w:rsid w:val="00EA117A"/>
    <w:rsid w:val="00EB5F46"/>
    <w:rsid w:val="00EC5F14"/>
    <w:rsid w:val="00EC6F00"/>
    <w:rsid w:val="00ED6A4B"/>
    <w:rsid w:val="00EE1255"/>
    <w:rsid w:val="00EE43BB"/>
    <w:rsid w:val="00F21AAE"/>
    <w:rsid w:val="00F3048B"/>
    <w:rsid w:val="00F32613"/>
    <w:rsid w:val="00F329FF"/>
    <w:rsid w:val="00F5253E"/>
    <w:rsid w:val="00F61ED7"/>
    <w:rsid w:val="00F764C6"/>
    <w:rsid w:val="00F8194A"/>
    <w:rsid w:val="00F82B14"/>
    <w:rsid w:val="00F8313E"/>
    <w:rsid w:val="00F86E01"/>
    <w:rsid w:val="00F90C08"/>
    <w:rsid w:val="00FA3884"/>
    <w:rsid w:val="00FA3D93"/>
    <w:rsid w:val="00FA590C"/>
    <w:rsid w:val="00FB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EA05"/>
  <w15:docId w15:val="{7BC5C230-EF24-4567-9798-BDD12807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3F9"/>
    <w:rPr>
      <w:sz w:val="24"/>
      <w:szCs w:val="24"/>
      <w:lang w:val="it-IT" w:eastAsia="it-IT"/>
    </w:rPr>
  </w:style>
  <w:style w:type="paragraph" w:styleId="Heading1">
    <w:name w:val="heading 1"/>
    <w:basedOn w:val="Normal"/>
    <w:next w:val="Normal"/>
    <w:link w:val="Heading1Char"/>
    <w:qFormat/>
    <w:rsid w:val="00AA04D9"/>
    <w:pPr>
      <w:keepNext/>
      <w:outlineLvl w:val="0"/>
    </w:pPr>
    <w:rPr>
      <w:b/>
      <w:bCs/>
      <w:lang w:val="en-GB" w:eastAsia="en-US"/>
    </w:rPr>
  </w:style>
  <w:style w:type="paragraph" w:styleId="Heading2">
    <w:name w:val="heading 2"/>
    <w:basedOn w:val="Normal"/>
    <w:next w:val="Normal"/>
    <w:link w:val="Heading2Char"/>
    <w:qFormat/>
    <w:rsid w:val="00AA04D9"/>
    <w:pPr>
      <w:keepNext/>
      <w:outlineLvl w:val="1"/>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D2545"/>
    <w:rPr>
      <w:sz w:val="20"/>
      <w:szCs w:val="20"/>
    </w:rPr>
  </w:style>
  <w:style w:type="paragraph" w:styleId="Header">
    <w:name w:val="header"/>
    <w:basedOn w:val="Normal"/>
    <w:link w:val="HeaderChar"/>
    <w:rsid w:val="00322D4D"/>
    <w:pPr>
      <w:tabs>
        <w:tab w:val="center" w:pos="4320"/>
        <w:tab w:val="right" w:pos="8640"/>
      </w:tabs>
    </w:pPr>
  </w:style>
  <w:style w:type="character" w:styleId="PageNumber">
    <w:name w:val="page number"/>
    <w:basedOn w:val="DefaultParagraphFont"/>
    <w:rsid w:val="00322D4D"/>
  </w:style>
  <w:style w:type="paragraph" w:styleId="Footer">
    <w:name w:val="footer"/>
    <w:basedOn w:val="Normal"/>
    <w:rsid w:val="00F25E65"/>
    <w:pPr>
      <w:tabs>
        <w:tab w:val="center" w:pos="4320"/>
        <w:tab w:val="right" w:pos="8640"/>
      </w:tabs>
    </w:pPr>
  </w:style>
  <w:style w:type="character" w:styleId="FootnoteReference">
    <w:name w:val="footnote reference"/>
    <w:rsid w:val="00A36C3F"/>
    <w:rPr>
      <w:vertAlign w:val="superscript"/>
    </w:rPr>
  </w:style>
  <w:style w:type="paragraph" w:styleId="EndnoteText">
    <w:name w:val="endnote text"/>
    <w:basedOn w:val="Normal"/>
    <w:link w:val="EndnoteTextChar"/>
    <w:uiPriority w:val="99"/>
    <w:rsid w:val="005F55CB"/>
    <w:rPr>
      <w:sz w:val="20"/>
      <w:szCs w:val="20"/>
    </w:rPr>
  </w:style>
  <w:style w:type="character" w:customStyle="1" w:styleId="EndnoteTextChar">
    <w:name w:val="Endnote Text Char"/>
    <w:link w:val="EndnoteText"/>
    <w:uiPriority w:val="99"/>
    <w:rsid w:val="005F55CB"/>
    <w:rPr>
      <w:lang w:val="it-IT" w:eastAsia="it-IT"/>
    </w:rPr>
  </w:style>
  <w:style w:type="paragraph" w:customStyle="1" w:styleId="Default">
    <w:name w:val="Default"/>
    <w:uiPriority w:val="99"/>
    <w:rsid w:val="005F55CB"/>
    <w:pPr>
      <w:widowControl w:val="0"/>
      <w:autoSpaceDE w:val="0"/>
      <w:autoSpaceDN w:val="0"/>
      <w:adjustRightInd w:val="0"/>
    </w:pPr>
    <w:rPr>
      <w:rFonts w:ascii="Calibri" w:hAnsi="Calibri" w:cs="Calibri"/>
      <w:color w:val="000000"/>
      <w:sz w:val="24"/>
      <w:szCs w:val="24"/>
    </w:rPr>
  </w:style>
  <w:style w:type="paragraph" w:customStyle="1" w:styleId="CM65">
    <w:name w:val="CM65"/>
    <w:basedOn w:val="Default"/>
    <w:next w:val="Default"/>
    <w:uiPriority w:val="99"/>
    <w:rsid w:val="005F55CB"/>
    <w:pPr>
      <w:spacing w:line="560" w:lineRule="atLeast"/>
    </w:pPr>
    <w:rPr>
      <w:color w:val="auto"/>
    </w:rPr>
  </w:style>
  <w:style w:type="paragraph" w:customStyle="1" w:styleId="CM87">
    <w:name w:val="CM87"/>
    <w:basedOn w:val="Default"/>
    <w:next w:val="Default"/>
    <w:uiPriority w:val="99"/>
    <w:rsid w:val="005F55CB"/>
    <w:rPr>
      <w:color w:val="auto"/>
    </w:rPr>
  </w:style>
  <w:style w:type="character" w:styleId="EndnoteReference">
    <w:name w:val="endnote reference"/>
    <w:uiPriority w:val="99"/>
    <w:rsid w:val="0024570E"/>
    <w:rPr>
      <w:vertAlign w:val="superscript"/>
    </w:rPr>
  </w:style>
  <w:style w:type="character" w:customStyle="1" w:styleId="Heading1Char">
    <w:name w:val="Heading 1 Char"/>
    <w:link w:val="Heading1"/>
    <w:rsid w:val="00AA04D9"/>
    <w:rPr>
      <w:b/>
      <w:bCs/>
      <w:sz w:val="24"/>
      <w:szCs w:val="24"/>
      <w:lang w:val="en-GB"/>
    </w:rPr>
  </w:style>
  <w:style w:type="character" w:customStyle="1" w:styleId="Heading2Char">
    <w:name w:val="Heading 2 Char"/>
    <w:link w:val="Heading2"/>
    <w:rsid w:val="00AA04D9"/>
    <w:rPr>
      <w:i/>
      <w:iCs/>
      <w:sz w:val="24"/>
      <w:szCs w:val="24"/>
      <w:lang w:val="en-GB"/>
    </w:rPr>
  </w:style>
  <w:style w:type="character" w:styleId="Hyperlink">
    <w:name w:val="Hyperlink"/>
    <w:rsid w:val="00AA04D9"/>
    <w:rPr>
      <w:color w:val="0000FF"/>
      <w:u w:val="single"/>
    </w:rPr>
  </w:style>
  <w:style w:type="character" w:customStyle="1" w:styleId="FootnoteTextChar">
    <w:name w:val="Footnote Text Char"/>
    <w:link w:val="FootnoteText"/>
    <w:rsid w:val="00266CC0"/>
    <w:rPr>
      <w:lang w:val="it-IT" w:eastAsia="it-IT"/>
    </w:rPr>
  </w:style>
  <w:style w:type="paragraph" w:styleId="BalloonText">
    <w:name w:val="Balloon Text"/>
    <w:basedOn w:val="Normal"/>
    <w:link w:val="BalloonTextChar"/>
    <w:rsid w:val="00182575"/>
    <w:rPr>
      <w:rFonts w:ascii="Tahoma" w:hAnsi="Tahoma" w:cs="Tahoma"/>
      <w:sz w:val="16"/>
      <w:szCs w:val="16"/>
    </w:rPr>
  </w:style>
  <w:style w:type="character" w:customStyle="1" w:styleId="BalloonTextChar">
    <w:name w:val="Balloon Text Char"/>
    <w:basedOn w:val="DefaultParagraphFont"/>
    <w:link w:val="BalloonText"/>
    <w:rsid w:val="00182575"/>
    <w:rPr>
      <w:rFonts w:ascii="Tahoma" w:hAnsi="Tahoma" w:cs="Tahoma"/>
      <w:sz w:val="16"/>
      <w:szCs w:val="16"/>
      <w:lang w:val="it-IT" w:eastAsia="it-IT"/>
    </w:rPr>
  </w:style>
  <w:style w:type="paragraph" w:customStyle="1" w:styleId="Body">
    <w:name w:val="Body"/>
    <w:rsid w:val="00026C33"/>
    <w:pPr>
      <w:pBdr>
        <w:top w:val="nil"/>
        <w:left w:val="nil"/>
        <w:bottom w:val="nil"/>
        <w:right w:val="nil"/>
        <w:between w:val="nil"/>
        <w:bar w:val="nil"/>
      </w:pBdr>
    </w:pPr>
    <w:rPr>
      <w:rFonts w:ascii="Iowan Old Style Roman" w:eastAsia="Arial Unicode MS" w:hAnsi="Arial Unicode MS" w:cs="Arial Unicode MS"/>
      <w:color w:val="000000"/>
      <w:sz w:val="22"/>
      <w:szCs w:val="22"/>
      <w:bdr w:val="nil"/>
    </w:rPr>
  </w:style>
  <w:style w:type="paragraph" w:styleId="BodyText">
    <w:name w:val="Body Text"/>
    <w:basedOn w:val="Normal"/>
    <w:link w:val="BodyTextChar"/>
    <w:rsid w:val="002F762A"/>
    <w:pPr>
      <w:spacing w:line="360" w:lineRule="auto"/>
      <w:jc w:val="both"/>
    </w:pPr>
    <w:rPr>
      <w:rFonts w:ascii="Georgia" w:eastAsia="Times" w:hAnsi="Georgia"/>
      <w:szCs w:val="20"/>
      <w:lang w:val="en-GB" w:eastAsia="en-US"/>
    </w:rPr>
  </w:style>
  <w:style w:type="character" w:customStyle="1" w:styleId="BodyTextChar">
    <w:name w:val="Body Text Char"/>
    <w:basedOn w:val="DefaultParagraphFont"/>
    <w:link w:val="BodyText"/>
    <w:rsid w:val="002F762A"/>
    <w:rPr>
      <w:rFonts w:ascii="Georgia" w:eastAsia="Times" w:hAnsi="Georgia"/>
      <w:sz w:val="24"/>
      <w:lang w:val="en-GB"/>
    </w:rPr>
  </w:style>
  <w:style w:type="character" w:customStyle="1" w:styleId="HeaderChar">
    <w:name w:val="Header Char"/>
    <w:basedOn w:val="DefaultParagraphFont"/>
    <w:link w:val="Header"/>
    <w:rsid w:val="005F35D9"/>
    <w:rPr>
      <w:sz w:val="24"/>
      <w:szCs w:val="24"/>
      <w:lang w:val="it-IT" w:eastAsia="it-IT"/>
    </w:rPr>
  </w:style>
  <w:style w:type="character" w:customStyle="1" w:styleId="st">
    <w:name w:val="st"/>
    <w:basedOn w:val="DefaultParagraphFont"/>
    <w:rsid w:val="005F099E"/>
  </w:style>
  <w:style w:type="character" w:styleId="CommentReference">
    <w:name w:val="annotation reference"/>
    <w:basedOn w:val="DefaultParagraphFont"/>
    <w:semiHidden/>
    <w:unhideWhenUsed/>
    <w:rsid w:val="00D2193A"/>
    <w:rPr>
      <w:sz w:val="16"/>
      <w:szCs w:val="16"/>
    </w:rPr>
  </w:style>
  <w:style w:type="paragraph" w:styleId="CommentText">
    <w:name w:val="annotation text"/>
    <w:basedOn w:val="Normal"/>
    <w:link w:val="CommentTextChar"/>
    <w:semiHidden/>
    <w:unhideWhenUsed/>
    <w:rsid w:val="00D2193A"/>
    <w:rPr>
      <w:sz w:val="20"/>
      <w:szCs w:val="20"/>
    </w:rPr>
  </w:style>
  <w:style w:type="character" w:customStyle="1" w:styleId="CommentTextChar">
    <w:name w:val="Comment Text Char"/>
    <w:basedOn w:val="DefaultParagraphFont"/>
    <w:link w:val="CommentText"/>
    <w:semiHidden/>
    <w:rsid w:val="00D2193A"/>
    <w:rPr>
      <w:lang w:val="it-IT" w:eastAsia="it-IT"/>
    </w:rPr>
  </w:style>
  <w:style w:type="paragraph" w:styleId="CommentSubject">
    <w:name w:val="annotation subject"/>
    <w:basedOn w:val="CommentText"/>
    <w:next w:val="CommentText"/>
    <w:link w:val="CommentSubjectChar"/>
    <w:semiHidden/>
    <w:unhideWhenUsed/>
    <w:rsid w:val="00D2193A"/>
    <w:rPr>
      <w:b/>
      <w:bCs/>
    </w:rPr>
  </w:style>
  <w:style w:type="character" w:customStyle="1" w:styleId="CommentSubjectChar">
    <w:name w:val="Comment Subject Char"/>
    <w:basedOn w:val="CommentTextChar"/>
    <w:link w:val="CommentSubject"/>
    <w:semiHidden/>
    <w:rsid w:val="00D2193A"/>
    <w:rPr>
      <w:b/>
      <w:bCs/>
      <w:lang w:val="it-IT" w:eastAsia="it-IT"/>
    </w:rPr>
  </w:style>
  <w:style w:type="character" w:customStyle="1" w:styleId="ng-binding">
    <w:name w:val="ng-binding"/>
    <w:basedOn w:val="DefaultParagraphFont"/>
    <w:rsid w:val="0068774D"/>
  </w:style>
  <w:style w:type="character" w:customStyle="1" w:styleId="itempublisher">
    <w:name w:val="itempublisher"/>
    <w:basedOn w:val="DefaultParagraphFont"/>
    <w:rsid w:val="00340CEF"/>
  </w:style>
  <w:style w:type="character" w:styleId="Emphasis">
    <w:name w:val="Emphasis"/>
    <w:basedOn w:val="DefaultParagraphFont"/>
    <w:uiPriority w:val="20"/>
    <w:qFormat/>
    <w:rsid w:val="00AF0E9A"/>
    <w:rPr>
      <w:i/>
      <w:iCs/>
    </w:rPr>
  </w:style>
  <w:style w:type="character" w:customStyle="1" w:styleId="apple-converted-space">
    <w:name w:val="apple-converted-space"/>
    <w:basedOn w:val="DefaultParagraphFont"/>
    <w:rsid w:val="00200DC1"/>
  </w:style>
  <w:style w:type="paragraph" w:styleId="NormalWeb">
    <w:name w:val="Normal (Web)"/>
    <w:basedOn w:val="Normal"/>
    <w:uiPriority w:val="99"/>
    <w:unhideWhenUsed/>
    <w:rsid w:val="00200DC1"/>
    <w:pPr>
      <w:spacing w:before="100" w:beforeAutospacing="1" w:after="100" w:afterAutospacing="1"/>
    </w:pPr>
    <w:rPr>
      <w:rFonts w:eastAsiaTheme="minorHAnsi"/>
      <w:lang w:val="en-US" w:eastAsia="en-US"/>
    </w:rPr>
  </w:style>
  <w:style w:type="paragraph" w:customStyle="1" w:styleId="paragraph">
    <w:name w:val="paragraph"/>
    <w:basedOn w:val="Normal"/>
    <w:rsid w:val="00200DC1"/>
    <w:pPr>
      <w:spacing w:before="100" w:beforeAutospacing="1" w:after="100" w:afterAutospacing="1"/>
    </w:pPr>
    <w:rPr>
      <w:lang w:val="en-GB" w:eastAsia="en-US"/>
    </w:rPr>
  </w:style>
  <w:style w:type="character" w:customStyle="1" w:styleId="normaltextrun">
    <w:name w:val="normaltextrun"/>
    <w:basedOn w:val="DefaultParagraphFont"/>
    <w:rsid w:val="00200DC1"/>
  </w:style>
  <w:style w:type="character" w:customStyle="1" w:styleId="eop">
    <w:name w:val="eop"/>
    <w:basedOn w:val="DefaultParagraphFont"/>
    <w:rsid w:val="00200DC1"/>
  </w:style>
  <w:style w:type="character" w:customStyle="1" w:styleId="contextualspellingandgrammarerror">
    <w:name w:val="contextualspellingandgrammarerror"/>
    <w:basedOn w:val="DefaultParagraphFont"/>
    <w:rsid w:val="00200DC1"/>
  </w:style>
  <w:style w:type="character" w:customStyle="1" w:styleId="scxw101931784">
    <w:name w:val="scxw101931784"/>
    <w:basedOn w:val="DefaultParagraphFont"/>
    <w:rsid w:val="00200DC1"/>
  </w:style>
  <w:style w:type="character" w:customStyle="1" w:styleId="spellingerror">
    <w:name w:val="spellingerror"/>
    <w:basedOn w:val="DefaultParagraphFont"/>
    <w:rsid w:val="00200DC1"/>
  </w:style>
  <w:style w:type="character" w:styleId="UnresolvedMention">
    <w:name w:val="Unresolved Mention"/>
    <w:basedOn w:val="DefaultParagraphFont"/>
    <w:uiPriority w:val="99"/>
    <w:semiHidden/>
    <w:unhideWhenUsed/>
    <w:rsid w:val="00E265FE"/>
    <w:rPr>
      <w:color w:val="605E5C"/>
      <w:shd w:val="clear" w:color="auto" w:fill="E1DFDD"/>
    </w:rPr>
  </w:style>
  <w:style w:type="character" w:styleId="Strong">
    <w:name w:val="Strong"/>
    <w:basedOn w:val="DefaultParagraphFont"/>
    <w:uiPriority w:val="22"/>
    <w:qFormat/>
    <w:rsid w:val="00CB4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5689">
      <w:bodyDiv w:val="1"/>
      <w:marLeft w:val="0"/>
      <w:marRight w:val="0"/>
      <w:marTop w:val="0"/>
      <w:marBottom w:val="0"/>
      <w:divBdr>
        <w:top w:val="none" w:sz="0" w:space="0" w:color="auto"/>
        <w:left w:val="none" w:sz="0" w:space="0" w:color="auto"/>
        <w:bottom w:val="none" w:sz="0" w:space="0" w:color="auto"/>
        <w:right w:val="none" w:sz="0" w:space="0" w:color="auto"/>
      </w:divBdr>
    </w:div>
    <w:div w:id="1368025497">
      <w:bodyDiv w:val="1"/>
      <w:marLeft w:val="0"/>
      <w:marRight w:val="0"/>
      <w:marTop w:val="0"/>
      <w:marBottom w:val="0"/>
      <w:divBdr>
        <w:top w:val="none" w:sz="0" w:space="0" w:color="auto"/>
        <w:left w:val="none" w:sz="0" w:space="0" w:color="auto"/>
        <w:bottom w:val="none" w:sz="0" w:space="0" w:color="auto"/>
        <w:right w:val="none" w:sz="0" w:space="0" w:color="auto"/>
      </w:divBdr>
    </w:div>
    <w:div w:id="168435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cholarcommons.sc.edu/ssl/vol39/iss1/14/" TargetMode="External"/><Relationship Id="rId2" Type="http://schemas.openxmlformats.org/officeDocument/2006/relationships/hyperlink" Target="https://www.irss.uoguelph.ca/index.php/irss/article/view/675/1115" TargetMode="External"/><Relationship Id="rId1" Type="http://schemas.openxmlformats.org/officeDocument/2006/relationships/hyperlink" Target="https://scholarcommons.sc.edu/ssl/vol39/iss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7C0D-D63E-7D4B-A1A7-4082F599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Translating Burns: a Heavenly Paradise and Two Versions of “A Red, Red, Rose”</vt:lpstr>
    </vt:vector>
  </TitlesOfParts>
  <Company>Fazzini</Company>
  <LinksUpToDate>false</LinksUpToDate>
  <CharactersWithSpaces>15347</CharactersWithSpaces>
  <SharedDoc>false</SharedDoc>
  <HLinks>
    <vt:vector size="12" baseType="variant">
      <vt:variant>
        <vt:i4>7667825</vt:i4>
      </vt:variant>
      <vt:variant>
        <vt:i4>3</vt:i4>
      </vt:variant>
      <vt:variant>
        <vt:i4>0</vt:i4>
      </vt:variant>
      <vt:variant>
        <vt:i4>5</vt:i4>
      </vt:variant>
      <vt:variant>
        <vt:lpwstr>http://www.nls.uk/catalogues/resources/scott/intro.cfm</vt:lpwstr>
      </vt:variant>
      <vt:variant>
        <vt:lpwstr/>
      </vt:variant>
      <vt:variant>
        <vt:i4>8126504</vt:i4>
      </vt:variant>
      <vt:variant>
        <vt:i4>0</vt:i4>
      </vt:variant>
      <vt:variant>
        <vt:i4>0</vt:i4>
      </vt:variant>
      <vt:variant>
        <vt:i4>5</vt:i4>
      </vt:variant>
      <vt:variant>
        <vt:lpwstr>http://carlyleletters.dukejournals.org/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Translating Burns: a Heavenly Paradise and Two Versions of “A Red, Red, Rose”</dc:title>
  <dc:creator>Marco Fazzini</dc:creator>
  <cp:lastModifiedBy>Gardner, John</cp:lastModifiedBy>
  <cp:revision>2</cp:revision>
  <cp:lastPrinted>2016-12-12T11:50:00Z</cp:lastPrinted>
  <dcterms:created xsi:type="dcterms:W3CDTF">2020-03-17T10:57:00Z</dcterms:created>
  <dcterms:modified xsi:type="dcterms:W3CDTF">2020-03-17T10:57:00Z</dcterms:modified>
</cp:coreProperties>
</file>