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10618E" w14:textId="77777777" w:rsidR="00787D9B" w:rsidRPr="000E4150" w:rsidRDefault="00787D9B" w:rsidP="00A320B9">
      <w:pPr>
        <w:pStyle w:val="paragraph"/>
        <w:spacing w:before="0" w:beforeAutospacing="0" w:after="0" w:afterAutospacing="0" w:line="480" w:lineRule="auto"/>
        <w:textAlignment w:val="baseline"/>
        <w:rPr>
          <w:rFonts w:asciiTheme="majorBidi" w:hAnsiTheme="majorBidi" w:cstheme="majorBidi"/>
          <w:lang w:val="en-US"/>
        </w:rPr>
      </w:pPr>
      <w:r w:rsidRPr="000E4150">
        <w:rPr>
          <w:rStyle w:val="normaltextrun"/>
          <w:rFonts w:asciiTheme="majorBidi" w:hAnsiTheme="majorBidi" w:cstheme="majorBidi"/>
          <w:lang w:val="en-US"/>
        </w:rPr>
        <w:t>Title:  Network failures: when incentives trigger impulsive responses  </w:t>
      </w:r>
      <w:r w:rsidRPr="000E4150">
        <w:rPr>
          <w:rStyle w:val="eop"/>
          <w:rFonts w:asciiTheme="majorBidi" w:hAnsiTheme="majorBidi" w:cstheme="majorBidi"/>
          <w:lang w:val="en-US"/>
        </w:rPr>
        <w:t> </w:t>
      </w:r>
    </w:p>
    <w:p w14:paraId="0C7B4CAC" w14:textId="77777777" w:rsidR="00787D9B" w:rsidRPr="000E4150" w:rsidRDefault="00787D9B" w:rsidP="00A320B9">
      <w:pPr>
        <w:pStyle w:val="paragraph"/>
        <w:spacing w:before="0" w:beforeAutospacing="0" w:after="0" w:afterAutospacing="0" w:line="480" w:lineRule="auto"/>
        <w:textAlignment w:val="baseline"/>
        <w:rPr>
          <w:rFonts w:asciiTheme="majorBidi" w:hAnsiTheme="majorBidi" w:cstheme="majorBidi"/>
          <w:lang w:val="en-US"/>
        </w:rPr>
      </w:pPr>
      <w:r w:rsidRPr="000E4150">
        <w:rPr>
          <w:rStyle w:val="eop"/>
          <w:rFonts w:asciiTheme="majorBidi" w:hAnsiTheme="majorBidi" w:cstheme="majorBidi"/>
          <w:lang w:val="en-US"/>
        </w:rPr>
        <w:t> </w:t>
      </w:r>
    </w:p>
    <w:p w14:paraId="348B215F" w14:textId="423129C4" w:rsidR="00787D9B" w:rsidRPr="000E4150" w:rsidRDefault="00787D9B" w:rsidP="003D5213">
      <w:pPr>
        <w:pStyle w:val="paragraph"/>
        <w:spacing w:before="0" w:beforeAutospacing="0" w:after="0" w:afterAutospacing="0" w:line="480" w:lineRule="auto"/>
        <w:textAlignment w:val="baseline"/>
        <w:rPr>
          <w:rFonts w:asciiTheme="majorBidi" w:hAnsiTheme="majorBidi" w:cstheme="majorBidi"/>
          <w:lang w:val="de-DE"/>
        </w:rPr>
      </w:pPr>
      <w:r w:rsidRPr="000E4150">
        <w:rPr>
          <w:rStyle w:val="normaltextrun"/>
          <w:rFonts w:asciiTheme="majorBidi" w:hAnsiTheme="majorBidi" w:cstheme="majorBidi"/>
          <w:lang w:val="de-DE"/>
        </w:rPr>
        <w:t>Peter </w:t>
      </w:r>
      <w:r w:rsidRPr="000E4150">
        <w:rPr>
          <w:rStyle w:val="spellingerror"/>
          <w:rFonts w:asciiTheme="majorBidi" w:hAnsiTheme="majorBidi" w:cstheme="majorBidi"/>
          <w:lang w:val="de-DE"/>
        </w:rPr>
        <w:t>Zhukovsky</w:t>
      </w:r>
      <w:r w:rsidR="001C0B24" w:rsidRPr="000E4150">
        <w:rPr>
          <w:rStyle w:val="spellingerror"/>
          <w:rFonts w:asciiTheme="majorBidi" w:hAnsiTheme="majorBidi" w:cstheme="majorBidi"/>
          <w:vertAlign w:val="superscript"/>
          <w:lang w:val="de-DE"/>
        </w:rPr>
        <w:t>1,2</w:t>
      </w:r>
      <w:r w:rsidRPr="000E4150">
        <w:rPr>
          <w:rStyle w:val="normaltextrun"/>
          <w:rFonts w:asciiTheme="majorBidi" w:hAnsiTheme="majorBidi" w:cstheme="majorBidi"/>
          <w:lang w:val="de-DE"/>
        </w:rPr>
        <w:t>*, Sharon </w:t>
      </w:r>
      <w:r w:rsidRPr="000E4150">
        <w:rPr>
          <w:rStyle w:val="spellingerror"/>
          <w:rFonts w:asciiTheme="majorBidi" w:hAnsiTheme="majorBidi" w:cstheme="majorBidi"/>
          <w:lang w:val="de-DE"/>
        </w:rPr>
        <w:t>Morein-Zamir</w:t>
      </w:r>
      <w:r w:rsidR="001C0B24" w:rsidRPr="000E4150">
        <w:rPr>
          <w:rStyle w:val="spellingerror"/>
          <w:rFonts w:asciiTheme="majorBidi" w:hAnsiTheme="majorBidi" w:cstheme="majorBidi"/>
          <w:vertAlign w:val="superscript"/>
          <w:lang w:val="de-DE"/>
        </w:rPr>
        <w:t>,3</w:t>
      </w:r>
      <w:r w:rsidRPr="000E4150">
        <w:rPr>
          <w:rStyle w:val="normaltextrun"/>
          <w:rFonts w:asciiTheme="majorBidi" w:hAnsiTheme="majorBidi" w:cstheme="majorBidi"/>
          <w:lang w:val="de-DE"/>
        </w:rPr>
        <w:t>*, Chun Meng</w:t>
      </w:r>
      <w:r w:rsidR="001C0B24" w:rsidRPr="000E4150">
        <w:rPr>
          <w:rStyle w:val="normaltextrun"/>
          <w:rFonts w:asciiTheme="majorBidi" w:hAnsiTheme="majorBidi" w:cstheme="majorBidi"/>
          <w:vertAlign w:val="superscript"/>
          <w:lang w:val="de-DE"/>
        </w:rPr>
        <w:t>1,4</w:t>
      </w:r>
      <w:r w:rsidRPr="000E4150">
        <w:rPr>
          <w:rStyle w:val="normaltextrun"/>
          <w:rFonts w:asciiTheme="majorBidi" w:hAnsiTheme="majorBidi" w:cstheme="majorBidi"/>
          <w:lang w:val="de-DE"/>
        </w:rPr>
        <w:t>, Jeffrey W </w:t>
      </w:r>
      <w:r w:rsidRPr="000E4150">
        <w:rPr>
          <w:rStyle w:val="spellingerror"/>
          <w:rFonts w:asciiTheme="majorBidi" w:hAnsiTheme="majorBidi" w:cstheme="majorBidi"/>
          <w:lang w:val="de-DE"/>
        </w:rPr>
        <w:t>Dalley</w:t>
      </w:r>
      <w:r w:rsidR="001C0B24" w:rsidRPr="000E4150">
        <w:rPr>
          <w:rStyle w:val="spellingerror"/>
          <w:rFonts w:asciiTheme="majorBidi" w:hAnsiTheme="majorBidi" w:cstheme="majorBidi"/>
          <w:vertAlign w:val="superscript"/>
          <w:lang w:val="de-DE"/>
        </w:rPr>
        <w:t>1,2</w:t>
      </w:r>
      <w:r w:rsidRPr="000E4150">
        <w:rPr>
          <w:rStyle w:val="normaltextrun"/>
          <w:rFonts w:asciiTheme="majorBidi" w:hAnsiTheme="majorBidi" w:cstheme="majorBidi"/>
          <w:lang w:val="de-DE"/>
        </w:rPr>
        <w:t>, Karen D </w:t>
      </w:r>
      <w:r w:rsidRPr="000E4150">
        <w:rPr>
          <w:rStyle w:val="spellingerror"/>
          <w:rFonts w:asciiTheme="majorBidi" w:hAnsiTheme="majorBidi" w:cstheme="majorBidi"/>
          <w:lang w:val="de-DE"/>
        </w:rPr>
        <w:t>Ersche</w:t>
      </w:r>
      <w:r w:rsidR="001C0B24" w:rsidRPr="000E4150">
        <w:rPr>
          <w:rStyle w:val="spellingerror"/>
          <w:rFonts w:asciiTheme="majorBidi" w:hAnsiTheme="majorBidi" w:cstheme="majorBidi"/>
          <w:vertAlign w:val="superscript"/>
          <w:lang w:val="de-DE"/>
        </w:rPr>
        <w:t>1,4</w:t>
      </w:r>
      <w:r w:rsidRPr="000E4150">
        <w:rPr>
          <w:rStyle w:val="eop"/>
          <w:rFonts w:asciiTheme="majorBidi" w:hAnsiTheme="majorBidi" w:cstheme="majorBidi"/>
          <w:lang w:val="de-DE"/>
        </w:rPr>
        <w:t> </w:t>
      </w:r>
    </w:p>
    <w:p w14:paraId="588BFBAC" w14:textId="77777777" w:rsidR="00787D9B" w:rsidRPr="000E4150" w:rsidRDefault="00787D9B" w:rsidP="00A320B9">
      <w:pPr>
        <w:pStyle w:val="paragraph"/>
        <w:spacing w:before="0" w:beforeAutospacing="0" w:after="0" w:afterAutospacing="0" w:line="480" w:lineRule="auto"/>
        <w:textAlignment w:val="baseline"/>
        <w:rPr>
          <w:rFonts w:asciiTheme="majorBidi" w:hAnsiTheme="majorBidi" w:cstheme="majorBidi"/>
          <w:lang w:val="en-US"/>
        </w:rPr>
      </w:pPr>
      <w:r w:rsidRPr="000E4150">
        <w:rPr>
          <w:rStyle w:val="normaltextrun"/>
          <w:rFonts w:asciiTheme="majorBidi" w:hAnsiTheme="majorBidi" w:cstheme="majorBidi"/>
          <w:lang w:val="en-US"/>
        </w:rPr>
        <w:t>*These authors equally contributed to this manuscript</w:t>
      </w:r>
      <w:r w:rsidRPr="000E4150">
        <w:rPr>
          <w:rStyle w:val="eop"/>
          <w:rFonts w:asciiTheme="majorBidi" w:hAnsiTheme="majorBidi" w:cstheme="majorBidi"/>
          <w:lang w:val="en-US"/>
        </w:rPr>
        <w:t> </w:t>
      </w:r>
    </w:p>
    <w:p w14:paraId="0D42DE3D" w14:textId="77777777" w:rsidR="00787D9B" w:rsidRPr="000E4150" w:rsidRDefault="00787D9B" w:rsidP="00A320B9">
      <w:pPr>
        <w:pStyle w:val="paragraph"/>
        <w:spacing w:before="0" w:beforeAutospacing="0" w:after="0" w:afterAutospacing="0" w:line="480" w:lineRule="auto"/>
        <w:textAlignment w:val="baseline"/>
        <w:rPr>
          <w:rFonts w:asciiTheme="majorBidi" w:hAnsiTheme="majorBidi" w:cstheme="majorBidi"/>
          <w:lang w:val="en-US"/>
        </w:rPr>
      </w:pPr>
      <w:r w:rsidRPr="000E4150">
        <w:rPr>
          <w:rStyle w:val="eop"/>
          <w:rFonts w:asciiTheme="majorBidi" w:hAnsiTheme="majorBidi" w:cstheme="majorBidi"/>
          <w:lang w:val="en-US"/>
        </w:rPr>
        <w:t> </w:t>
      </w:r>
    </w:p>
    <w:p w14:paraId="59547B16" w14:textId="77777777" w:rsidR="00787D9B" w:rsidRPr="000E4150" w:rsidRDefault="001C0B24" w:rsidP="00A320B9">
      <w:pPr>
        <w:pStyle w:val="paragraph"/>
        <w:spacing w:before="0" w:beforeAutospacing="0" w:after="0" w:afterAutospacing="0" w:line="480" w:lineRule="auto"/>
        <w:textAlignment w:val="baseline"/>
        <w:rPr>
          <w:rFonts w:asciiTheme="majorBidi" w:hAnsiTheme="majorBidi" w:cstheme="majorBidi"/>
          <w:lang w:val="en-US"/>
        </w:rPr>
      </w:pPr>
      <w:r w:rsidRPr="000E4150">
        <w:rPr>
          <w:rStyle w:val="spellingerror"/>
          <w:rFonts w:asciiTheme="majorBidi" w:hAnsiTheme="majorBidi" w:cstheme="majorBidi"/>
          <w:vertAlign w:val="superscript"/>
          <w:lang w:val="en-US"/>
        </w:rPr>
        <w:t>1</w:t>
      </w:r>
      <w:r w:rsidR="00787D9B" w:rsidRPr="000E4150">
        <w:rPr>
          <w:rStyle w:val="spellingerror"/>
          <w:rFonts w:asciiTheme="majorBidi" w:hAnsiTheme="majorBidi" w:cstheme="majorBidi"/>
          <w:lang w:val="en-US"/>
        </w:rPr>
        <w:t>Behavioural</w:t>
      </w:r>
      <w:r w:rsidR="00787D9B" w:rsidRPr="000E4150">
        <w:rPr>
          <w:rStyle w:val="normaltextrun"/>
          <w:rFonts w:asciiTheme="majorBidi" w:hAnsiTheme="majorBidi" w:cstheme="majorBidi"/>
          <w:lang w:val="en-US"/>
        </w:rPr>
        <w:t> and Clinical Neuroscience Institute, University of Cambridge, Cambridge, UK</w:t>
      </w:r>
      <w:r w:rsidR="00787D9B" w:rsidRPr="000E4150">
        <w:rPr>
          <w:rStyle w:val="eop"/>
          <w:rFonts w:asciiTheme="majorBidi" w:hAnsiTheme="majorBidi" w:cstheme="majorBidi"/>
          <w:lang w:val="en-US"/>
        </w:rPr>
        <w:t> </w:t>
      </w:r>
    </w:p>
    <w:p w14:paraId="1902EC49" w14:textId="77777777" w:rsidR="00787D9B" w:rsidRPr="000E4150" w:rsidRDefault="001C0B24" w:rsidP="00A320B9">
      <w:pPr>
        <w:pStyle w:val="paragraph"/>
        <w:spacing w:before="0" w:beforeAutospacing="0" w:after="0" w:afterAutospacing="0" w:line="480" w:lineRule="auto"/>
        <w:textAlignment w:val="baseline"/>
        <w:rPr>
          <w:rFonts w:asciiTheme="majorBidi" w:hAnsiTheme="majorBidi" w:cstheme="majorBidi"/>
          <w:lang w:val="en-US"/>
        </w:rPr>
      </w:pPr>
      <w:r w:rsidRPr="000E4150">
        <w:rPr>
          <w:rStyle w:val="normaltextrun"/>
          <w:rFonts w:asciiTheme="majorBidi" w:hAnsiTheme="majorBidi" w:cstheme="majorBidi"/>
          <w:vertAlign w:val="superscript"/>
          <w:lang w:val="en-US"/>
        </w:rPr>
        <w:t>2</w:t>
      </w:r>
      <w:r w:rsidR="00787D9B" w:rsidRPr="000E4150">
        <w:rPr>
          <w:rStyle w:val="normaltextrun"/>
          <w:rFonts w:asciiTheme="majorBidi" w:hAnsiTheme="majorBidi" w:cstheme="majorBidi"/>
          <w:lang w:val="en-US"/>
        </w:rPr>
        <w:t>Department of Psychology, University of Cambridge, Cambridge, UK </w:t>
      </w:r>
      <w:r w:rsidR="00787D9B" w:rsidRPr="000E4150">
        <w:rPr>
          <w:rStyle w:val="eop"/>
          <w:rFonts w:asciiTheme="majorBidi" w:hAnsiTheme="majorBidi" w:cstheme="majorBidi"/>
          <w:lang w:val="en-US"/>
        </w:rPr>
        <w:t> </w:t>
      </w:r>
    </w:p>
    <w:p w14:paraId="202F7893" w14:textId="77777777" w:rsidR="00787D9B" w:rsidRPr="000E4150" w:rsidRDefault="001C0B24" w:rsidP="00A320B9">
      <w:pPr>
        <w:pStyle w:val="paragraph"/>
        <w:spacing w:before="0" w:beforeAutospacing="0" w:after="0" w:afterAutospacing="0" w:line="480" w:lineRule="auto"/>
        <w:textAlignment w:val="baseline"/>
        <w:rPr>
          <w:rFonts w:asciiTheme="majorBidi" w:hAnsiTheme="majorBidi" w:cstheme="majorBidi"/>
          <w:lang w:val="en-US"/>
        </w:rPr>
      </w:pPr>
      <w:r w:rsidRPr="000E4150">
        <w:rPr>
          <w:rStyle w:val="normaltextrun"/>
          <w:rFonts w:asciiTheme="majorBidi" w:hAnsiTheme="majorBidi" w:cstheme="majorBidi"/>
          <w:vertAlign w:val="superscript"/>
          <w:lang w:val="en-US"/>
        </w:rPr>
        <w:t>3</w:t>
      </w:r>
      <w:r w:rsidR="00787D9B" w:rsidRPr="000E4150">
        <w:rPr>
          <w:rStyle w:val="normaltextrun"/>
          <w:rFonts w:asciiTheme="majorBidi" w:hAnsiTheme="majorBidi" w:cstheme="majorBidi"/>
          <w:lang w:val="en-US"/>
        </w:rPr>
        <w:t>School of Psychology and Sports Science, Anglia Ruskin University, Cambridge, UK</w:t>
      </w:r>
      <w:r w:rsidR="00787D9B" w:rsidRPr="000E4150">
        <w:rPr>
          <w:rStyle w:val="eop"/>
          <w:rFonts w:asciiTheme="majorBidi" w:hAnsiTheme="majorBidi" w:cstheme="majorBidi"/>
          <w:lang w:val="en-US"/>
        </w:rPr>
        <w:t> </w:t>
      </w:r>
    </w:p>
    <w:p w14:paraId="583160E3" w14:textId="77777777" w:rsidR="00787D9B" w:rsidRPr="000E4150" w:rsidRDefault="001C0B24" w:rsidP="00A320B9">
      <w:pPr>
        <w:pStyle w:val="paragraph"/>
        <w:spacing w:before="0" w:beforeAutospacing="0" w:after="0" w:afterAutospacing="0" w:line="480" w:lineRule="auto"/>
        <w:textAlignment w:val="baseline"/>
        <w:rPr>
          <w:rStyle w:val="eop"/>
          <w:rFonts w:asciiTheme="majorBidi" w:hAnsiTheme="majorBidi" w:cstheme="majorBidi"/>
          <w:lang w:val="en-US"/>
        </w:rPr>
      </w:pPr>
      <w:r w:rsidRPr="000E4150">
        <w:rPr>
          <w:rStyle w:val="normaltextrun"/>
          <w:rFonts w:asciiTheme="majorBidi" w:hAnsiTheme="majorBidi" w:cstheme="majorBidi"/>
          <w:vertAlign w:val="superscript"/>
          <w:lang w:val="en-US"/>
        </w:rPr>
        <w:t>4</w:t>
      </w:r>
      <w:r w:rsidR="00787D9B" w:rsidRPr="000E4150">
        <w:rPr>
          <w:rStyle w:val="normaltextrun"/>
          <w:rFonts w:asciiTheme="majorBidi" w:hAnsiTheme="majorBidi" w:cstheme="majorBidi"/>
          <w:lang w:val="en-US"/>
        </w:rPr>
        <w:t>Department of Psychiatry, University of Cambridge, Cambridge, UK</w:t>
      </w:r>
      <w:r w:rsidR="00787D9B" w:rsidRPr="000E4150">
        <w:rPr>
          <w:rStyle w:val="eop"/>
          <w:rFonts w:asciiTheme="majorBidi" w:hAnsiTheme="majorBidi" w:cstheme="majorBidi"/>
          <w:lang w:val="en-US"/>
        </w:rPr>
        <w:t> </w:t>
      </w:r>
    </w:p>
    <w:p w14:paraId="470D1616" w14:textId="77777777" w:rsidR="001C0B24" w:rsidRPr="000E4150" w:rsidRDefault="001C0B24" w:rsidP="00A320B9">
      <w:pPr>
        <w:pStyle w:val="paragraph"/>
        <w:spacing w:before="0" w:beforeAutospacing="0" w:after="0" w:afterAutospacing="0" w:line="480" w:lineRule="auto"/>
        <w:textAlignment w:val="baseline"/>
        <w:rPr>
          <w:rStyle w:val="normaltextrun"/>
          <w:rFonts w:asciiTheme="majorBidi" w:hAnsiTheme="majorBidi" w:cstheme="majorBidi"/>
          <w:lang w:val="en-US"/>
        </w:rPr>
      </w:pPr>
    </w:p>
    <w:p w14:paraId="350ED164" w14:textId="416D28AD" w:rsidR="00550246" w:rsidRPr="000E4150" w:rsidRDefault="00787D9B" w:rsidP="00550246">
      <w:pPr>
        <w:pStyle w:val="paragraph"/>
        <w:spacing w:before="0" w:beforeAutospacing="0" w:after="0" w:afterAutospacing="0" w:line="480" w:lineRule="auto"/>
        <w:textAlignment w:val="baseline"/>
        <w:rPr>
          <w:rStyle w:val="normaltextrun"/>
          <w:rFonts w:asciiTheme="majorBidi" w:hAnsiTheme="majorBidi" w:cstheme="majorBidi"/>
          <w:lang w:val="en-US"/>
        </w:rPr>
      </w:pPr>
      <w:r w:rsidRPr="000E4150">
        <w:rPr>
          <w:rStyle w:val="normaltextrun"/>
          <w:rFonts w:asciiTheme="majorBidi" w:hAnsiTheme="majorBidi" w:cstheme="majorBidi"/>
          <w:lang w:val="en-US"/>
        </w:rPr>
        <w:t>Correspondence: </w:t>
      </w:r>
      <w:r w:rsidR="000C3076" w:rsidRPr="000E4150">
        <w:rPr>
          <w:rStyle w:val="normaltextrun"/>
          <w:rFonts w:asciiTheme="majorBidi" w:hAnsiTheme="majorBidi" w:cstheme="majorBidi"/>
          <w:lang w:val="en-US"/>
        </w:rPr>
        <w:t>Karen D Ersche</w:t>
      </w:r>
      <w:r w:rsidR="00550246" w:rsidRPr="000E4150">
        <w:rPr>
          <w:rStyle w:val="spellingerror"/>
          <w:rFonts w:asciiTheme="majorBidi" w:hAnsiTheme="majorBidi" w:cstheme="majorBidi"/>
          <w:lang w:val="en-US"/>
        </w:rPr>
        <w:t xml:space="preserve">, </w:t>
      </w:r>
      <w:r w:rsidR="00A320B9" w:rsidRPr="000E4150">
        <w:rPr>
          <w:rStyle w:val="normaltextrun"/>
          <w:rFonts w:asciiTheme="majorBidi" w:hAnsiTheme="majorBidi" w:cstheme="majorBidi"/>
          <w:lang w:val="en-US"/>
        </w:rPr>
        <w:t xml:space="preserve">Department of </w:t>
      </w:r>
      <w:r w:rsidR="00BD10C2" w:rsidRPr="000E4150">
        <w:rPr>
          <w:rStyle w:val="normaltextrun"/>
          <w:rFonts w:asciiTheme="majorBidi" w:hAnsiTheme="majorBidi" w:cstheme="majorBidi"/>
          <w:lang w:val="en-US"/>
        </w:rPr>
        <w:t>Psychiatry</w:t>
      </w:r>
      <w:r w:rsidR="00A320B9" w:rsidRPr="000E4150">
        <w:rPr>
          <w:rStyle w:val="normaltextrun"/>
          <w:rFonts w:asciiTheme="majorBidi" w:hAnsiTheme="majorBidi" w:cstheme="majorBidi"/>
          <w:lang w:val="en-US"/>
        </w:rPr>
        <w:t xml:space="preserve">, University of Cambridge, Cambridge, </w:t>
      </w:r>
      <w:r w:rsidR="00B14E2D" w:rsidRPr="000E4150">
        <w:rPr>
          <w:rStyle w:val="normaltextrun"/>
          <w:rFonts w:asciiTheme="majorBidi" w:hAnsiTheme="majorBidi" w:cstheme="majorBidi"/>
          <w:lang w:val="en-US"/>
        </w:rPr>
        <w:t xml:space="preserve">CB2 3EB, </w:t>
      </w:r>
      <w:r w:rsidR="00A320B9" w:rsidRPr="000E4150">
        <w:rPr>
          <w:rStyle w:val="normaltextrun"/>
          <w:rFonts w:asciiTheme="majorBidi" w:hAnsiTheme="majorBidi" w:cstheme="majorBidi"/>
          <w:lang w:val="en-US"/>
        </w:rPr>
        <w:t>UK</w:t>
      </w:r>
    </w:p>
    <w:p w14:paraId="1483CAD0" w14:textId="77777777" w:rsidR="00550246" w:rsidRPr="000E4150" w:rsidRDefault="00A320B9" w:rsidP="00550246">
      <w:pPr>
        <w:pStyle w:val="paragraph"/>
        <w:spacing w:before="0" w:beforeAutospacing="0" w:after="0" w:afterAutospacing="0" w:line="480" w:lineRule="auto"/>
        <w:textAlignment w:val="baseline"/>
        <w:rPr>
          <w:rStyle w:val="normaltextrun"/>
          <w:rFonts w:asciiTheme="majorBidi" w:hAnsiTheme="majorBidi" w:cstheme="majorBidi"/>
          <w:lang w:val="en-US"/>
        </w:rPr>
      </w:pPr>
      <w:r w:rsidRPr="000E4150">
        <w:rPr>
          <w:rStyle w:val="eop"/>
          <w:rFonts w:asciiTheme="majorBidi" w:hAnsiTheme="majorBidi" w:cstheme="majorBidi"/>
          <w:lang w:val="en-US"/>
        </w:rPr>
        <w:t> </w:t>
      </w:r>
      <w:r w:rsidR="00550246" w:rsidRPr="000E4150">
        <w:rPr>
          <w:rStyle w:val="normaltextrun"/>
          <w:rFonts w:asciiTheme="majorBidi" w:hAnsiTheme="majorBidi" w:cstheme="majorBidi"/>
          <w:lang w:val="en-US"/>
        </w:rPr>
        <w:t xml:space="preserve">Tel. +44-(0)-1223-333-550. Fax. +44-(0)-1223-333-564. </w:t>
      </w:r>
    </w:p>
    <w:p w14:paraId="1F084D1B" w14:textId="51533140" w:rsidR="00A320B9" w:rsidRPr="000E4150" w:rsidRDefault="00550246" w:rsidP="00550246">
      <w:pPr>
        <w:pStyle w:val="paragraph"/>
        <w:spacing w:before="0" w:beforeAutospacing="0" w:after="0" w:afterAutospacing="0" w:line="480" w:lineRule="auto"/>
        <w:textAlignment w:val="baseline"/>
        <w:rPr>
          <w:rFonts w:asciiTheme="majorBidi" w:hAnsiTheme="majorBidi" w:cstheme="majorBidi"/>
          <w:lang w:val="en-US"/>
        </w:rPr>
      </w:pPr>
      <w:r w:rsidRPr="000E4150">
        <w:rPr>
          <w:rStyle w:val="normaltextrun"/>
          <w:rFonts w:asciiTheme="majorBidi" w:hAnsiTheme="majorBidi" w:cstheme="majorBidi"/>
          <w:lang w:val="en-US"/>
        </w:rPr>
        <w:t xml:space="preserve">Email. </w:t>
      </w:r>
      <w:r w:rsidR="000C3076" w:rsidRPr="000E4150">
        <w:rPr>
          <w:rStyle w:val="normaltextrun"/>
          <w:rFonts w:asciiTheme="majorBidi" w:hAnsiTheme="majorBidi" w:cstheme="majorBidi"/>
          <w:lang w:val="en-US"/>
        </w:rPr>
        <w:t>ke220@medschl.cam.ac.uk</w:t>
      </w:r>
    </w:p>
    <w:p w14:paraId="0A62C172" w14:textId="73E43ADB" w:rsidR="00787D9B" w:rsidRPr="000E4150" w:rsidRDefault="00787D9B" w:rsidP="00A320B9">
      <w:pPr>
        <w:pStyle w:val="paragraph"/>
        <w:spacing w:before="0" w:beforeAutospacing="0" w:after="0" w:afterAutospacing="0" w:line="480" w:lineRule="auto"/>
        <w:textAlignment w:val="baseline"/>
        <w:rPr>
          <w:rFonts w:asciiTheme="majorBidi" w:hAnsiTheme="majorBidi" w:cstheme="majorBidi"/>
          <w:lang w:val="en-US"/>
        </w:rPr>
      </w:pPr>
      <w:r w:rsidRPr="000E4150">
        <w:rPr>
          <w:rStyle w:val="normaltextrun"/>
          <w:rFonts w:asciiTheme="majorBidi" w:hAnsiTheme="majorBidi" w:cstheme="majorBidi"/>
          <w:lang w:val="en-US"/>
        </w:rPr>
        <w:t>Key words: Impulsivity; Stimulant Dependence; Monetary Incentive Delay; fMRI</w:t>
      </w:r>
      <w:r w:rsidRPr="000E4150">
        <w:rPr>
          <w:rStyle w:val="eop"/>
          <w:rFonts w:asciiTheme="majorBidi" w:hAnsiTheme="majorBidi" w:cstheme="majorBidi"/>
          <w:lang w:val="en-US"/>
        </w:rPr>
        <w:t> </w:t>
      </w:r>
    </w:p>
    <w:p w14:paraId="48A825D4" w14:textId="77777777" w:rsidR="00225645" w:rsidRPr="000E4150" w:rsidRDefault="00225645" w:rsidP="00923F4D">
      <w:pPr>
        <w:rPr>
          <w:rStyle w:val="normaltextrun"/>
          <w:rFonts w:asciiTheme="majorBidi" w:hAnsiTheme="majorBidi" w:cstheme="majorBidi"/>
          <w:b/>
          <w:bCs/>
          <w:lang w:val="en-US"/>
        </w:rPr>
      </w:pPr>
    </w:p>
    <w:p w14:paraId="4B505A22" w14:textId="77777777" w:rsidR="003E5431" w:rsidRPr="000E4150" w:rsidRDefault="003E5431" w:rsidP="003E5431">
      <w:pPr>
        <w:pStyle w:val="paragraph"/>
        <w:spacing w:before="0" w:beforeAutospacing="0" w:after="0" w:afterAutospacing="0" w:line="480" w:lineRule="auto"/>
        <w:textAlignment w:val="baseline"/>
        <w:rPr>
          <w:rFonts w:asciiTheme="majorBidi" w:hAnsiTheme="majorBidi" w:cstheme="majorBidi"/>
          <w:lang w:val="en-US"/>
        </w:rPr>
      </w:pPr>
      <w:r w:rsidRPr="000E4150">
        <w:rPr>
          <w:rStyle w:val="normaltextrun"/>
          <w:rFonts w:asciiTheme="majorBidi" w:hAnsiTheme="majorBidi" w:cstheme="majorBidi"/>
          <w:lang w:val="en-US"/>
        </w:rPr>
        <w:t>Abstract:</w:t>
      </w:r>
      <w:r w:rsidRPr="000E4150">
        <w:rPr>
          <w:rStyle w:val="eop"/>
          <w:rFonts w:asciiTheme="majorBidi" w:hAnsiTheme="majorBidi" w:cstheme="majorBidi"/>
          <w:lang w:val="en-US"/>
        </w:rPr>
        <w:t> 250</w:t>
      </w:r>
    </w:p>
    <w:p w14:paraId="649EB2CD" w14:textId="77777777" w:rsidR="003E5431" w:rsidRPr="000E4150" w:rsidRDefault="003E5431" w:rsidP="003E5431">
      <w:pPr>
        <w:pStyle w:val="paragraph"/>
        <w:spacing w:before="0" w:beforeAutospacing="0" w:after="0" w:afterAutospacing="0" w:line="480" w:lineRule="auto"/>
        <w:textAlignment w:val="baseline"/>
        <w:rPr>
          <w:rFonts w:asciiTheme="majorBidi" w:hAnsiTheme="majorBidi" w:cstheme="majorBidi"/>
          <w:lang w:val="en-US"/>
        </w:rPr>
      </w:pPr>
      <w:r w:rsidRPr="000E4150">
        <w:rPr>
          <w:rStyle w:val="normaltextrun"/>
          <w:rFonts w:asciiTheme="majorBidi" w:hAnsiTheme="majorBidi" w:cstheme="majorBidi"/>
          <w:lang w:val="en-US"/>
        </w:rPr>
        <w:t>Tables:</w:t>
      </w:r>
      <w:r w:rsidRPr="000E4150">
        <w:rPr>
          <w:rStyle w:val="eop"/>
          <w:rFonts w:asciiTheme="majorBidi" w:hAnsiTheme="majorBidi" w:cstheme="majorBidi"/>
          <w:lang w:val="en-US"/>
        </w:rPr>
        <w:t> 1</w:t>
      </w:r>
    </w:p>
    <w:p w14:paraId="373E4441" w14:textId="23A8DC72" w:rsidR="003E5431" w:rsidRPr="000E4150" w:rsidRDefault="003E5431" w:rsidP="003E5431">
      <w:pPr>
        <w:pStyle w:val="paragraph"/>
        <w:spacing w:before="0" w:beforeAutospacing="0" w:after="0" w:afterAutospacing="0" w:line="480" w:lineRule="auto"/>
        <w:textAlignment w:val="baseline"/>
        <w:rPr>
          <w:rStyle w:val="eop"/>
          <w:rFonts w:asciiTheme="majorBidi" w:hAnsiTheme="majorBidi" w:cstheme="majorBidi"/>
          <w:lang w:val="en-US"/>
        </w:rPr>
      </w:pPr>
      <w:r w:rsidRPr="000E4150">
        <w:rPr>
          <w:rStyle w:val="normaltextrun"/>
          <w:rFonts w:asciiTheme="majorBidi" w:hAnsiTheme="majorBidi" w:cstheme="majorBidi"/>
          <w:lang w:val="en-US"/>
        </w:rPr>
        <w:t>Figures:</w:t>
      </w:r>
      <w:r w:rsidRPr="000E4150">
        <w:rPr>
          <w:rStyle w:val="eop"/>
          <w:rFonts w:asciiTheme="majorBidi" w:hAnsiTheme="majorBidi" w:cstheme="majorBidi"/>
          <w:lang w:val="en-US"/>
        </w:rPr>
        <w:t> 3</w:t>
      </w:r>
    </w:p>
    <w:p w14:paraId="201DD137" w14:textId="77777777" w:rsidR="00F32B49" w:rsidRPr="000E4150" w:rsidRDefault="00F32B49" w:rsidP="003E5431">
      <w:pPr>
        <w:pStyle w:val="paragraph"/>
        <w:spacing w:before="0" w:beforeAutospacing="0" w:after="0" w:afterAutospacing="0" w:line="480" w:lineRule="auto"/>
        <w:textAlignment w:val="baseline"/>
        <w:rPr>
          <w:rFonts w:asciiTheme="majorBidi" w:hAnsiTheme="majorBidi" w:cstheme="majorBidi"/>
          <w:lang w:val="en-US"/>
        </w:rPr>
      </w:pPr>
    </w:p>
    <w:p w14:paraId="531C5A8B" w14:textId="2D62DB67" w:rsidR="00225645" w:rsidRPr="000E4150" w:rsidRDefault="00225645" w:rsidP="00923F4D">
      <w:pPr>
        <w:rPr>
          <w:rFonts w:asciiTheme="majorBidi" w:hAnsiTheme="majorBidi" w:cstheme="majorBidi"/>
          <w:b/>
          <w:bCs/>
          <w:sz w:val="24"/>
          <w:szCs w:val="24"/>
          <w:lang w:val="en-US"/>
        </w:rPr>
      </w:pPr>
    </w:p>
    <w:p w14:paraId="4487D124" w14:textId="296F19F0" w:rsidR="006C62D8" w:rsidRPr="000E4150" w:rsidRDefault="006C62D8" w:rsidP="00923F4D">
      <w:pPr>
        <w:rPr>
          <w:rFonts w:asciiTheme="majorBidi" w:hAnsiTheme="majorBidi" w:cstheme="majorBidi"/>
          <w:b/>
          <w:bCs/>
          <w:sz w:val="24"/>
          <w:szCs w:val="24"/>
          <w:lang w:val="en-US"/>
        </w:rPr>
      </w:pPr>
    </w:p>
    <w:p w14:paraId="2642C715" w14:textId="6ADC41A0" w:rsidR="006C62D8" w:rsidRPr="000E4150" w:rsidRDefault="006C62D8" w:rsidP="00923F4D">
      <w:pPr>
        <w:rPr>
          <w:rFonts w:asciiTheme="majorBidi" w:hAnsiTheme="majorBidi" w:cstheme="majorBidi"/>
          <w:b/>
          <w:bCs/>
          <w:sz w:val="24"/>
          <w:szCs w:val="24"/>
          <w:lang w:val="en-US"/>
        </w:rPr>
      </w:pPr>
    </w:p>
    <w:p w14:paraId="1ECE7E87" w14:textId="72D8CDFE" w:rsidR="006C62D8" w:rsidRPr="000E4150" w:rsidRDefault="006C62D8" w:rsidP="00923F4D">
      <w:pPr>
        <w:rPr>
          <w:rFonts w:asciiTheme="majorBidi" w:hAnsiTheme="majorBidi" w:cstheme="majorBidi"/>
          <w:b/>
          <w:bCs/>
          <w:sz w:val="24"/>
          <w:szCs w:val="24"/>
          <w:lang w:val="en-US"/>
        </w:rPr>
      </w:pPr>
    </w:p>
    <w:p w14:paraId="02637806" w14:textId="77777777" w:rsidR="006C62D8" w:rsidRPr="000E4150" w:rsidRDefault="006C62D8" w:rsidP="00923F4D">
      <w:pPr>
        <w:rPr>
          <w:rStyle w:val="normaltextrun"/>
          <w:rFonts w:asciiTheme="majorBidi" w:hAnsiTheme="majorBidi" w:cstheme="majorBidi"/>
          <w:b/>
          <w:bCs/>
          <w:lang w:val="en-US"/>
        </w:rPr>
      </w:pPr>
    </w:p>
    <w:p w14:paraId="6EDF9732" w14:textId="4D5BBADC" w:rsidR="00787D9B" w:rsidRPr="000E4150" w:rsidRDefault="00787D9B" w:rsidP="00923F4D">
      <w:pPr>
        <w:rPr>
          <w:rStyle w:val="eop"/>
          <w:rFonts w:asciiTheme="majorBidi" w:hAnsiTheme="majorBidi" w:cstheme="majorBidi"/>
          <w:lang w:val="en-US"/>
        </w:rPr>
      </w:pPr>
      <w:r w:rsidRPr="000E4150">
        <w:rPr>
          <w:rStyle w:val="normaltextrun"/>
          <w:rFonts w:asciiTheme="majorBidi" w:hAnsiTheme="majorBidi" w:cstheme="majorBidi"/>
          <w:b/>
          <w:bCs/>
          <w:lang w:val="en-US"/>
        </w:rPr>
        <w:lastRenderedPageBreak/>
        <w:t xml:space="preserve">Abstract </w:t>
      </w:r>
    </w:p>
    <w:p w14:paraId="58D649BA" w14:textId="1DDDDE83" w:rsidR="00F300F2" w:rsidRPr="000E4150" w:rsidRDefault="00F300F2" w:rsidP="001423C3">
      <w:pPr>
        <w:spacing w:line="480" w:lineRule="auto"/>
        <w:rPr>
          <w:rFonts w:asciiTheme="majorBidi" w:hAnsiTheme="majorBidi" w:cstheme="majorBidi"/>
          <w:sz w:val="24"/>
          <w:szCs w:val="24"/>
        </w:rPr>
      </w:pPr>
      <w:r w:rsidRPr="000E4150">
        <w:rPr>
          <w:rStyle w:val="normaltextrun"/>
          <w:rFonts w:ascii="Times New Roman" w:hAnsi="Times New Roman" w:cs="Times New Roman"/>
          <w:sz w:val="24"/>
          <w:szCs w:val="24"/>
          <w:lang w:val="en-US"/>
        </w:rPr>
        <w:t xml:space="preserve">Adequate control of impulsive urges to act is demanded in everyday life but is impaired in neuropsychiatric conditions such as stimulant use disorder. Despite intensive research it remains unclear whether failures in impulse control are caused by impaired suppression of behavior or by the over invigoration of behavior by stimuli associated with salient incentives such as drugs, food and money. We investigated failures in impulse control using functional magnetic resonance imaging (fMRI) to map the neural correlates of premature (impulsive) responses during the anticipation phase of the Monetary Incentive Delay (MID) task in healthy </w:t>
      </w:r>
      <w:r w:rsidR="00D8260E" w:rsidRPr="000E4150">
        <w:rPr>
          <w:rStyle w:val="normaltextrun"/>
          <w:rFonts w:ascii="Times New Roman" w:hAnsi="Times New Roman" w:cs="Times New Roman"/>
          <w:sz w:val="24"/>
          <w:szCs w:val="24"/>
          <w:lang w:val="en-US"/>
        </w:rPr>
        <w:t>controls (HC)</w:t>
      </w:r>
      <w:r w:rsidRPr="000E4150">
        <w:rPr>
          <w:rStyle w:val="normaltextrun"/>
          <w:rFonts w:ascii="Times New Roman" w:hAnsi="Times New Roman" w:cs="Times New Roman"/>
          <w:sz w:val="24"/>
          <w:szCs w:val="24"/>
          <w:lang w:val="en-US"/>
        </w:rPr>
        <w:t>, stimulant dependent individuals (SDIs), and their unaffected first-degree siblings</w:t>
      </w:r>
      <w:r w:rsidR="00D8260E" w:rsidRPr="000E4150">
        <w:rPr>
          <w:rStyle w:val="normaltextrun"/>
          <w:rFonts w:ascii="Times New Roman" w:hAnsi="Times New Roman" w:cs="Times New Roman"/>
          <w:sz w:val="24"/>
          <w:szCs w:val="24"/>
          <w:lang w:val="en-US"/>
        </w:rPr>
        <w:t xml:space="preserve"> (SIB)</w:t>
      </w:r>
      <w:r w:rsidRPr="000E4150">
        <w:rPr>
          <w:rStyle w:val="normaltextrun"/>
          <w:rFonts w:ascii="Times New Roman" w:hAnsi="Times New Roman" w:cs="Times New Roman"/>
          <w:sz w:val="24"/>
          <w:szCs w:val="24"/>
          <w:lang w:val="en-US"/>
        </w:rPr>
        <w:t xml:space="preserve">. We combined task-based fMRI analyses with dynamic causal modeling to show that failures of impulse control were associated with interactions between cingulo-opercular and dorsal striatal networks regardless of group status and incentive type. </w:t>
      </w:r>
      <w:r w:rsidR="00936632" w:rsidRPr="000E4150">
        <w:rPr>
          <w:rStyle w:val="normaltextrun"/>
          <w:rFonts w:ascii="Times New Roman" w:hAnsi="Times New Roman" w:cs="Times New Roman"/>
          <w:sz w:val="24"/>
          <w:szCs w:val="24"/>
          <w:lang w:val="en-US"/>
        </w:rPr>
        <w:t xml:space="preserve">We further report that group-specific incentive salience plays a critical role in modulating impulsivity in SDIs since drug-related incentives specifically increased premature responding and shifted task modulation away from the dorsal striatal network to the cingulo-opercular network. </w:t>
      </w:r>
      <w:r w:rsidR="001423C3" w:rsidRPr="000E4150">
        <w:rPr>
          <w:rStyle w:val="normaltextrun"/>
          <w:rFonts w:ascii="Times New Roman" w:hAnsi="Times New Roman" w:cs="Times New Roman"/>
          <w:sz w:val="24"/>
          <w:szCs w:val="24"/>
          <w:lang w:val="en-US"/>
        </w:rPr>
        <w:t xml:space="preserve">Our findings thus indicate that impulsive actions are elicited by salient </w:t>
      </w:r>
      <w:proofErr w:type="gramStart"/>
      <w:r w:rsidR="001423C3" w:rsidRPr="000E4150">
        <w:rPr>
          <w:rStyle w:val="normaltextrun"/>
          <w:rFonts w:ascii="Times New Roman" w:hAnsi="Times New Roman" w:cs="Times New Roman"/>
          <w:sz w:val="24"/>
          <w:szCs w:val="24"/>
          <w:lang w:val="en-US"/>
        </w:rPr>
        <w:t>personally-relevant</w:t>
      </w:r>
      <w:proofErr w:type="gramEnd"/>
      <w:r w:rsidR="001423C3" w:rsidRPr="000E4150">
        <w:rPr>
          <w:rStyle w:val="normaltextrun"/>
          <w:rFonts w:ascii="Times New Roman" w:hAnsi="Times New Roman" w:cs="Times New Roman"/>
          <w:sz w:val="24"/>
          <w:szCs w:val="24"/>
          <w:lang w:val="en-US"/>
        </w:rPr>
        <w:t xml:space="preserve"> incentive stimuli and that such slips of action recruit a distinct </w:t>
      </w:r>
      <w:proofErr w:type="spellStart"/>
      <w:r w:rsidR="001423C3" w:rsidRPr="000E4150">
        <w:rPr>
          <w:rStyle w:val="normaltextrun"/>
          <w:rFonts w:ascii="Times New Roman" w:hAnsi="Times New Roman" w:cs="Times New Roman"/>
          <w:sz w:val="24"/>
          <w:szCs w:val="24"/>
          <w:lang w:val="en-US"/>
        </w:rPr>
        <w:t>fronto</w:t>
      </w:r>
      <w:proofErr w:type="spellEnd"/>
      <w:r w:rsidR="001423C3" w:rsidRPr="000E4150">
        <w:rPr>
          <w:rStyle w:val="normaltextrun"/>
          <w:rFonts w:ascii="Times New Roman" w:hAnsi="Times New Roman" w:cs="Times New Roman"/>
          <w:sz w:val="24"/>
          <w:szCs w:val="24"/>
          <w:lang w:val="en-US"/>
        </w:rPr>
        <w:t>-striatal network.</w:t>
      </w:r>
    </w:p>
    <w:p w14:paraId="12B85B18" w14:textId="77777777" w:rsidR="007B430A" w:rsidRPr="000E4150" w:rsidRDefault="007B430A" w:rsidP="005C05C6">
      <w:pPr>
        <w:pStyle w:val="paragraph"/>
        <w:spacing w:before="0" w:beforeAutospacing="0" w:after="0" w:afterAutospacing="0"/>
        <w:textAlignment w:val="baseline"/>
        <w:rPr>
          <w:rFonts w:asciiTheme="majorBidi" w:hAnsiTheme="majorBidi" w:cstheme="majorBidi"/>
          <w:lang w:val="en-US"/>
        </w:rPr>
      </w:pPr>
    </w:p>
    <w:p w14:paraId="1B7D05BA" w14:textId="77777777" w:rsidR="00787D9B" w:rsidRPr="000E4150" w:rsidRDefault="00787D9B" w:rsidP="007B430A">
      <w:pPr>
        <w:spacing w:line="600" w:lineRule="auto"/>
        <w:rPr>
          <w:rFonts w:asciiTheme="majorBidi" w:hAnsiTheme="majorBidi" w:cstheme="majorBidi"/>
          <w:sz w:val="24"/>
          <w:szCs w:val="24"/>
          <w:lang w:val="en-US"/>
        </w:rPr>
      </w:pPr>
    </w:p>
    <w:p w14:paraId="26516CD1" w14:textId="77777777" w:rsidR="00787D9B" w:rsidRPr="000E4150" w:rsidRDefault="00787D9B" w:rsidP="005C05C6">
      <w:pPr>
        <w:spacing w:line="240" w:lineRule="auto"/>
        <w:rPr>
          <w:rFonts w:asciiTheme="majorBidi" w:hAnsiTheme="majorBidi" w:cstheme="majorBidi"/>
          <w:sz w:val="24"/>
          <w:szCs w:val="24"/>
          <w:lang w:val="en-US"/>
        </w:rPr>
      </w:pPr>
    </w:p>
    <w:p w14:paraId="1CC842E7" w14:textId="77777777" w:rsidR="00787D9B" w:rsidRPr="000E4150" w:rsidRDefault="00787D9B" w:rsidP="005C05C6">
      <w:pPr>
        <w:spacing w:line="240" w:lineRule="auto"/>
        <w:rPr>
          <w:rFonts w:asciiTheme="majorBidi" w:hAnsiTheme="majorBidi" w:cstheme="majorBidi"/>
          <w:sz w:val="24"/>
          <w:szCs w:val="24"/>
          <w:lang w:val="en-US"/>
        </w:rPr>
      </w:pPr>
    </w:p>
    <w:p w14:paraId="49BB5B81" w14:textId="77777777" w:rsidR="00787D9B" w:rsidRPr="000E4150" w:rsidRDefault="00787D9B" w:rsidP="005C05C6">
      <w:pPr>
        <w:spacing w:line="240" w:lineRule="auto"/>
        <w:rPr>
          <w:rFonts w:asciiTheme="majorBidi" w:hAnsiTheme="majorBidi" w:cstheme="majorBidi"/>
          <w:sz w:val="24"/>
          <w:szCs w:val="24"/>
          <w:lang w:val="en-US"/>
        </w:rPr>
      </w:pPr>
    </w:p>
    <w:p w14:paraId="33B2378F" w14:textId="77777777" w:rsidR="00A320B9" w:rsidRPr="000E4150" w:rsidRDefault="00A320B9" w:rsidP="005C05C6">
      <w:pPr>
        <w:spacing w:line="240" w:lineRule="auto"/>
        <w:rPr>
          <w:rFonts w:asciiTheme="majorBidi" w:hAnsiTheme="majorBidi" w:cstheme="majorBidi"/>
          <w:sz w:val="24"/>
          <w:szCs w:val="24"/>
          <w:lang w:val="en-US"/>
        </w:rPr>
      </w:pPr>
      <w:r w:rsidRPr="000E4150">
        <w:rPr>
          <w:rFonts w:asciiTheme="majorBidi" w:hAnsiTheme="majorBidi" w:cstheme="majorBidi"/>
          <w:sz w:val="24"/>
          <w:szCs w:val="24"/>
          <w:lang w:val="en-US"/>
        </w:rPr>
        <w:br w:type="page"/>
      </w:r>
    </w:p>
    <w:p w14:paraId="7752A7B5" w14:textId="3F910411" w:rsidR="00D312BD" w:rsidRPr="000E4150" w:rsidRDefault="00D312BD" w:rsidP="000E5ABD">
      <w:pPr>
        <w:pStyle w:val="paragraph"/>
        <w:spacing w:before="0" w:beforeAutospacing="0" w:after="0" w:afterAutospacing="0" w:line="480" w:lineRule="auto"/>
        <w:textAlignment w:val="baseline"/>
        <w:rPr>
          <w:rStyle w:val="normaltextrun"/>
          <w:rFonts w:asciiTheme="majorBidi" w:hAnsiTheme="majorBidi" w:cstheme="majorBidi"/>
          <w:b/>
          <w:bCs/>
          <w:lang w:val="en-US"/>
        </w:rPr>
      </w:pPr>
      <w:r w:rsidRPr="000E4150">
        <w:rPr>
          <w:rStyle w:val="normaltextrun"/>
          <w:rFonts w:asciiTheme="majorBidi" w:hAnsiTheme="majorBidi" w:cstheme="majorBidi"/>
          <w:b/>
          <w:bCs/>
          <w:lang w:val="en-US"/>
        </w:rPr>
        <w:lastRenderedPageBreak/>
        <w:t>MAIN DOCUMENT</w:t>
      </w:r>
    </w:p>
    <w:p w14:paraId="570A3EAB" w14:textId="2F414DCE" w:rsidR="00787D9B" w:rsidRPr="000E4150" w:rsidRDefault="00787D9B" w:rsidP="000E5ABD">
      <w:pPr>
        <w:pStyle w:val="paragraph"/>
        <w:spacing w:before="0" w:beforeAutospacing="0" w:after="0" w:afterAutospacing="0" w:line="480" w:lineRule="auto"/>
        <w:textAlignment w:val="baseline"/>
        <w:rPr>
          <w:rFonts w:asciiTheme="majorBidi" w:hAnsiTheme="majorBidi" w:cstheme="majorBidi"/>
          <w:lang w:val="en-US"/>
        </w:rPr>
      </w:pPr>
      <w:r w:rsidRPr="000E4150">
        <w:rPr>
          <w:rStyle w:val="normaltextrun"/>
          <w:rFonts w:asciiTheme="majorBidi" w:hAnsiTheme="majorBidi" w:cstheme="majorBidi"/>
          <w:b/>
          <w:bCs/>
          <w:lang w:val="en-US"/>
        </w:rPr>
        <w:t>Introduction</w:t>
      </w:r>
      <w:r w:rsidRPr="000E4150">
        <w:rPr>
          <w:rStyle w:val="eop"/>
          <w:rFonts w:asciiTheme="majorBidi" w:hAnsiTheme="majorBidi" w:cstheme="majorBidi"/>
          <w:lang w:val="en-US"/>
        </w:rPr>
        <w:t> </w:t>
      </w:r>
    </w:p>
    <w:p w14:paraId="6ABDEF2B" w14:textId="6735A41A" w:rsidR="00923969" w:rsidRPr="000E4150" w:rsidRDefault="00923969" w:rsidP="00312E54">
      <w:pPr>
        <w:pStyle w:val="paragraph"/>
        <w:spacing w:after="0" w:line="480" w:lineRule="auto"/>
        <w:ind w:firstLine="720"/>
        <w:textAlignment w:val="baseline"/>
        <w:rPr>
          <w:rStyle w:val="eop"/>
          <w:rFonts w:asciiTheme="majorBidi" w:hAnsiTheme="majorBidi" w:cstheme="majorBidi"/>
        </w:rPr>
      </w:pPr>
      <w:proofErr w:type="spellStart"/>
      <w:r w:rsidRPr="000E4150">
        <w:rPr>
          <w:rStyle w:val="eop"/>
          <w:rFonts w:asciiTheme="majorBidi" w:hAnsiTheme="majorBidi" w:cstheme="majorBidi"/>
        </w:rPr>
        <w:t>Behavior</w:t>
      </w:r>
      <w:proofErr w:type="spellEnd"/>
      <w:r w:rsidRPr="000E4150">
        <w:rPr>
          <w:rStyle w:val="eop"/>
          <w:rFonts w:asciiTheme="majorBidi" w:hAnsiTheme="majorBidi" w:cstheme="majorBidi"/>
        </w:rPr>
        <w:t xml:space="preserve"> is often driven by the motivational properties of rewards, yet the interactions between motivation and cognitive control and their neural substrates are unclear </w:t>
      </w:r>
      <w:r w:rsidR="00312E54" w:rsidRPr="000E4150">
        <w:rPr>
          <w:rStyle w:val="eop"/>
          <w:rFonts w:asciiTheme="majorBidi" w:hAnsiTheme="majorBidi" w:cstheme="majorBidi"/>
        </w:rPr>
        <w:fldChar w:fldCharType="begin" w:fldLock="1"/>
      </w:r>
      <w:r w:rsidR="00774D70" w:rsidRPr="000E4150">
        <w:rPr>
          <w:rStyle w:val="eop"/>
          <w:rFonts w:asciiTheme="majorBidi" w:hAnsiTheme="majorBidi" w:cstheme="majorBidi"/>
        </w:rPr>
        <w:instrText>ADDIN CSL_CITATION {"citationItems":[{"id":"ITEM-1","itemData":{"DOI":"10.1146/annurev-psych-010814-015044","abstract":"Research on cognitive control and executive function has long recognized the relevance of motivational factors. Recently, however, the topic has come increasingly to center stage, with a surge of new studies examining the interface of motivation and cognitive control. In the present article we survey research situated at this interface, considering work from cognitive and social psychology and behavioral economics, but with a particular focus on neuroscience research. We organize existing findings into three core areas, considering them in the light of currently vying theoretical perspectives. Based on the accumulated evidence, we advocate for a view of control function that treats it as a domain of reward-based decision making. More broadly, we argue that neuroscientific evidence plays a critical role in understanding the mechanisms by which motivation and cognitive control interact. Opportunities for further cross-fertilization between behavioral and neuroscientific research are highlighted.","author":[{"dropping-particle":"","family":"Botvinick","given":"Matthew","non-dropping-particle":"","parse-names":false,"suffix":""},{"dropping-particle":"","family":"Braver","given":"Todd","non-dropping-particle":"","parse-names":false,"suffix":""}],"container-title":"Annu. Rev. Psychol.","id":"ITEM-1","issued":{"date-parts":[["2015"]]},"page":"83–113","title":"Motivation and Cognitive Control: From Behavior to Neural Mechanism","type":"article-journal","volume":"66"},"uris":["http://www.mendeley.com/documents/?uuid=93c6f4d1-2d2b-40a0-b89f-d946673a6718"]},{"id":"ITEM-2","itemData":{"DOI":"10.1126/science.152.3719.195-a","ISSN":"0036-8075","author":[{"dropping-particle":"","family":"Hull","given":"Clark L","non-dropping-particle":"","parse-names":false,"suffix":""}],"container-title":"D. APPLETON-CENTURY COMPANY, INC","id":"ITEM-2","issued":{"date-parts":[["1943"]]},"title":"Principles of Behavior: An Introduction to Behavior Theory","type":"book","volume":"4118"},"uris":["http://www.mendeley.com/documents/?uuid=b924d5c7-20fe-4487-87a0-779a59239628"]}],"mendeley":{"formattedCitation":"[Botvinick and Braver, 2015; Hull, 1943]","plainTextFormattedCitation":"[Botvinick and Braver, 2015; Hull, 1943]","previouslyFormattedCitation":"[Botvinick and Braver, 2015; Hull, 1943]"},"properties":{"noteIndex":0},"schema":"https://github.com/citation-style-language/schema/raw/master/csl-citation.json"}</w:instrText>
      </w:r>
      <w:r w:rsidR="00312E54" w:rsidRPr="000E4150">
        <w:rPr>
          <w:rStyle w:val="eop"/>
          <w:rFonts w:asciiTheme="majorBidi" w:hAnsiTheme="majorBidi" w:cstheme="majorBidi"/>
        </w:rPr>
        <w:fldChar w:fldCharType="separate"/>
      </w:r>
      <w:r w:rsidR="00312E54" w:rsidRPr="000E4150">
        <w:rPr>
          <w:rStyle w:val="eop"/>
          <w:rFonts w:asciiTheme="majorBidi" w:hAnsiTheme="majorBidi" w:cstheme="majorBidi"/>
          <w:noProof/>
        </w:rPr>
        <w:t>[Botvinick and Braver, 2015; Hull, 1943]</w:t>
      </w:r>
      <w:r w:rsidR="00312E54" w:rsidRPr="000E4150">
        <w:rPr>
          <w:rStyle w:val="eop"/>
          <w:rFonts w:asciiTheme="majorBidi" w:hAnsiTheme="majorBidi" w:cstheme="majorBidi"/>
        </w:rPr>
        <w:fldChar w:fldCharType="end"/>
      </w:r>
      <w:r w:rsidRPr="000E4150">
        <w:rPr>
          <w:rStyle w:val="eop"/>
          <w:rFonts w:asciiTheme="majorBidi" w:hAnsiTheme="majorBidi" w:cstheme="majorBidi"/>
        </w:rPr>
        <w:t xml:space="preserve">. In the Principles of Psychology, William James stated that motivated </w:t>
      </w:r>
      <w:proofErr w:type="spellStart"/>
      <w:r w:rsidRPr="000E4150">
        <w:rPr>
          <w:rStyle w:val="eop"/>
          <w:rFonts w:asciiTheme="majorBidi" w:hAnsiTheme="majorBidi" w:cstheme="majorBidi"/>
        </w:rPr>
        <w:t>behaviors</w:t>
      </w:r>
      <w:proofErr w:type="spellEnd"/>
      <w:r w:rsidRPr="000E4150">
        <w:rPr>
          <w:rStyle w:val="eop"/>
          <w:rFonts w:asciiTheme="majorBidi" w:hAnsiTheme="majorBidi" w:cstheme="majorBidi"/>
        </w:rPr>
        <w:t xml:space="preserve"> “are but results of the fact that certain things appeal to primitive and instinctive impulses of our nature, and that we follow their destinies with an excitement that owes nothing to a reflective source” </w:t>
      </w:r>
      <w:r w:rsidR="00774D70" w:rsidRPr="000E4150">
        <w:rPr>
          <w:rStyle w:val="eop"/>
          <w:rFonts w:asciiTheme="majorBidi" w:hAnsiTheme="majorBidi" w:cstheme="majorBidi"/>
        </w:rPr>
        <w:fldChar w:fldCharType="begin" w:fldLock="1"/>
      </w:r>
      <w:r w:rsidR="00D021E9" w:rsidRPr="000E4150">
        <w:rPr>
          <w:rStyle w:val="eop"/>
          <w:rFonts w:asciiTheme="majorBidi" w:hAnsiTheme="majorBidi" w:cstheme="majorBidi"/>
        </w:rPr>
        <w:instrText>ADDIN CSL_CITATION {"citationItems":[{"id":"ITEM-1","itemData":{"author":[{"dropping-particle":"","family":"James","given":"William","non-dropping-particle":"","parse-names":false,"suffix":""}],"id":"ITEM-1","issued":{"date-parts":[["1890"]]},"number-of-pages":"Chapter 10","title":"Principles of Psychology","type":"book"},"uris":["http://www.mendeley.com/documents/?uuid=f1b3a1b2-5236-45ac-9057-9029af1ce0d4"]}],"mendeley":{"formattedCitation":"[James, 1890]","plainTextFormattedCitation":"[James, 1890]","previouslyFormattedCitation":"[James, 1890]"},"properties":{"noteIndex":0},"schema":"https://github.com/citation-style-language/schema/raw/master/csl-citation.json"}</w:instrText>
      </w:r>
      <w:r w:rsidR="00774D70" w:rsidRPr="000E4150">
        <w:rPr>
          <w:rStyle w:val="eop"/>
          <w:rFonts w:asciiTheme="majorBidi" w:hAnsiTheme="majorBidi" w:cstheme="majorBidi"/>
        </w:rPr>
        <w:fldChar w:fldCharType="separate"/>
      </w:r>
      <w:r w:rsidR="00774D70" w:rsidRPr="000E4150">
        <w:rPr>
          <w:rStyle w:val="eop"/>
          <w:rFonts w:asciiTheme="majorBidi" w:hAnsiTheme="majorBidi" w:cstheme="majorBidi"/>
          <w:noProof/>
        </w:rPr>
        <w:t>[James, 1890]</w:t>
      </w:r>
      <w:r w:rsidR="00774D70" w:rsidRPr="000E4150">
        <w:rPr>
          <w:rStyle w:val="eop"/>
          <w:rFonts w:asciiTheme="majorBidi" w:hAnsiTheme="majorBidi" w:cstheme="majorBidi"/>
        </w:rPr>
        <w:fldChar w:fldCharType="end"/>
      </w:r>
      <w:r w:rsidRPr="000E4150">
        <w:rPr>
          <w:rStyle w:val="eop"/>
          <w:rFonts w:asciiTheme="majorBidi" w:hAnsiTheme="majorBidi" w:cstheme="majorBidi"/>
        </w:rPr>
        <w:t xml:space="preserve"> suggesting that motivated </w:t>
      </w:r>
      <w:proofErr w:type="spellStart"/>
      <w:r w:rsidRPr="000E4150">
        <w:rPr>
          <w:rStyle w:val="eop"/>
          <w:rFonts w:asciiTheme="majorBidi" w:hAnsiTheme="majorBidi" w:cstheme="majorBidi"/>
        </w:rPr>
        <w:t>behavior</w:t>
      </w:r>
      <w:proofErr w:type="spellEnd"/>
      <w:r w:rsidRPr="000E4150">
        <w:rPr>
          <w:rStyle w:val="eop"/>
          <w:rFonts w:asciiTheme="majorBidi" w:hAnsiTheme="majorBidi" w:cstheme="majorBidi"/>
        </w:rPr>
        <w:t xml:space="preserve"> can be accompanied by weakened “reflective” cognitive control over one’s impulses.</w:t>
      </w:r>
    </w:p>
    <w:p w14:paraId="138D29A1" w14:textId="03393E57" w:rsidR="00923969" w:rsidRPr="000E4150" w:rsidRDefault="00923969" w:rsidP="00923969">
      <w:pPr>
        <w:pStyle w:val="paragraph"/>
        <w:spacing w:after="0" w:line="480" w:lineRule="auto"/>
        <w:ind w:firstLine="720"/>
        <w:textAlignment w:val="baseline"/>
        <w:rPr>
          <w:lang w:val="en-US"/>
        </w:rPr>
      </w:pPr>
      <w:r w:rsidRPr="000E4150">
        <w:rPr>
          <w:lang w:val="en-US"/>
        </w:rPr>
        <w:t xml:space="preserve">Impulsivity has been linked to numerous neuropsychiatric disorders and, as a multifaceted construct, incorporates a range of different traits and behaviors </w:t>
      </w:r>
      <w:r w:rsidR="00D021E9" w:rsidRPr="000E4150">
        <w:rPr>
          <w:lang w:val="en-US"/>
        </w:rPr>
        <w:fldChar w:fldCharType="begin" w:fldLock="1"/>
      </w:r>
      <w:r w:rsidR="00225CD8" w:rsidRPr="000E4150">
        <w:rPr>
          <w:lang w:val="en-US"/>
        </w:rPr>
        <w:instrText>ADDIN CSL_CITATION {"citationItems":[{"id":"ITEM-1","itemData":{"DOI":"10.1016/j.neuron.2011.01.020","ISBN":"1097-4199 (Electronic)\\n0896-6273 (Linking)","ISSN":"08966273","PMID":"21338879","abstract":"Impulsivity is the tendency to act prematurely without foresight. Behavioral and neurobiological analysis of this construct, with evidence from both animal and human studies, defines several dissociable forms depending on distinct cortico-striatal substrates. One form of impulsivity depends on the temporal discounting of reward, another on motor or response disinhibition. Impulsivity is commonly associated with addiction to drugs from different pharmacological classes, but its causal role in human addiction is unclear. We characterize in neurobehavioral and neurochemical terms a rodent model of impulsivity based on premature responding in an attentional task. Evidence is surveyed that high impulsivity on this task precedes the escalation subsequently of cocaine self-administration behavior, and also a tendency toward compulsive cocaine-seeking and to relapse. These results indicate that the vulnerability to stimulant addiction may depend on an impulsivity endophenotype. Implications of these findings for the etiology, development, and treatment of drug addiction are considered. ?? 2011 Elsevier Inc.","author":[{"dropping-particle":"","family":"Dalley","given":"Jeffrey W.","non-dropping-particle":"","parse-names":false,"suffix":""},{"dropping-particle":"","family":"Everitt","given":"Barry J.","non-dropping-particle":"","parse-names":false,"suffix":""},{"dropping-particle":"","family":"Robbins","given":"Trevor W.","non-dropping-particle":"","parse-names":false,"suffix":""}],"container-title":"Neuron","id":"ITEM-1","issue":"4","issued":{"date-parts":[["2011"]]},"page":"680-694","publisher":"Elsevier Inc.","title":"Impulsivity, Compulsivity, and Top-Down Cognitive Control","type":"article-journal","volume":"69"},"uris":["http://www.mendeley.com/documents/?uuid=e82f0339-6dfc-430d-af63-0b9a39e591b7"]},{"id":"ITEM-2","itemData":{"DOI":"10.1007/PL00005481","ISSN":"00333158","abstract":"The concept of impulsivity covers a wide range of \"actions that are poorly conceived, prematurely expressed, unduly risky, or inappropriate to the situation and that often result in undesirable outcomes\". As such it plays an important role in normal behaviour, as well as, in a pathological form, in many kinds of mental illness such as mania, personality disorders, substance abuse disorders and attention deficit/hyperactivity disorder. Although evidence from psychological studies of human personality suggests that impulsivity may be made up of several independent factors, this has not made a major impact on biological studies of impulsivity. This may be because there is little unanimity as to which these factors are. The present review summarises evidence for varieties of impulsivity from several different areas of research: human psychology, psychiatry and animal behaviour. Recently, a series of psychopharmacological studies has been carried out by the present author and colleagues using methods proposed to measure selectively different aspects of impulsivity. The results of these studies suggest that several neurochemical mechanisms can influence impulsivity, and that impulsive behaviour has no unique neurobiological basis. Consideration of impulsivity as the result of several different, independent factors which interact to modulate behaviour may provide better insight into the pathology than current hypotheses based on serotonergic underactivity.","author":[{"dropping-particle":"","family":"Evenden","given":"John L.","non-dropping-particle":"","parse-names":false,"suffix":""}],"container-title":"Psychopharmacology","id":"ITEM-2","issue":"4","issued":{"date-parts":[["1999"]]},"page":"348-361","title":"Varieties of impulsivity","type":"article-journal","volume":"146"},"uris":["http://www.mendeley.com/documents/?uuid=49ce6b9f-03b4-4878-96b8-5fc16eeb4361"]}],"mendeley":{"formattedCitation":"[Dalley et al., 2011; Evenden, 1999]","plainTextFormattedCitation":"[Dalley et al., 2011; Evenden, 1999]","previouslyFormattedCitation":"[Dalley et al., 2011; Evenden, 1999]"},"properties":{"noteIndex":0},"schema":"https://github.com/citation-style-language/schema/raw/master/csl-citation.json"}</w:instrText>
      </w:r>
      <w:r w:rsidR="00D021E9" w:rsidRPr="000E4150">
        <w:rPr>
          <w:lang w:val="en-US"/>
        </w:rPr>
        <w:fldChar w:fldCharType="separate"/>
      </w:r>
      <w:r w:rsidR="00D021E9" w:rsidRPr="000E4150">
        <w:rPr>
          <w:noProof/>
          <w:lang w:val="en-US"/>
        </w:rPr>
        <w:t>[Dalley et al., 2011; Evenden, 1999]</w:t>
      </w:r>
      <w:r w:rsidR="00D021E9" w:rsidRPr="000E4150">
        <w:rPr>
          <w:lang w:val="en-US"/>
        </w:rPr>
        <w:fldChar w:fldCharType="end"/>
      </w:r>
      <w:r w:rsidRPr="000E4150">
        <w:rPr>
          <w:lang w:val="en-US"/>
        </w:rPr>
        <w:t xml:space="preserve">. Key aspects of impulsivity include risky decision making and impulsive action [Dalley and Robbins, 2017]. Impulsive action is typically gauged by assessing the tendency to act prematurely without foresight or </w:t>
      </w:r>
      <w:proofErr w:type="gramStart"/>
      <w:r w:rsidRPr="000E4150">
        <w:rPr>
          <w:lang w:val="en-US"/>
        </w:rPr>
        <w:t>sufficient</w:t>
      </w:r>
      <w:proofErr w:type="gramEnd"/>
      <w:r w:rsidRPr="000E4150">
        <w:rPr>
          <w:lang w:val="en-US"/>
        </w:rPr>
        <w:t xml:space="preserve"> regard to negative consequences, or by assessing the ability to countermand or stop a prepotent response [Robbins et al., 2012]. Evidence from humans and rodents suggest the two complementary forms of impulsive action rely on overlapping, yet distinct, neural networks and neurochemical substrates [Dalley and Robbins, 2017]. While stopping prepotent responses is associated with dorsal striatal (</w:t>
      </w:r>
      <w:proofErr w:type="spellStart"/>
      <w:r w:rsidRPr="000E4150">
        <w:rPr>
          <w:lang w:val="en-US"/>
        </w:rPr>
        <w:t>dStriatum</w:t>
      </w:r>
      <w:proofErr w:type="spellEnd"/>
      <w:r w:rsidRPr="000E4150">
        <w:rPr>
          <w:lang w:val="en-US"/>
        </w:rPr>
        <w:t>) along with ventrolateral and dorsomedial prefrontal (PFC) involvement [Swick et al., 2011], premature responding appears to involve the ventral striatum and ventromedial PFC [Dalley et al., 2011].</w:t>
      </w:r>
    </w:p>
    <w:p w14:paraId="2982B345" w14:textId="24E4E7AC" w:rsidR="00923969" w:rsidRPr="000E4150" w:rsidRDefault="00923969">
      <w:pPr>
        <w:pStyle w:val="paragraph"/>
        <w:spacing w:after="0" w:line="480" w:lineRule="auto"/>
        <w:ind w:firstLine="720"/>
        <w:textAlignment w:val="baseline"/>
        <w:rPr>
          <w:lang w:val="en-US"/>
        </w:rPr>
      </w:pPr>
      <w:r w:rsidRPr="000E4150">
        <w:rPr>
          <w:lang w:val="en-US"/>
        </w:rPr>
        <w:t xml:space="preserve">The inability to suppress inappropriate responses is believed to play a key role in stimulant drug addiction both as a vulnerability factor and </w:t>
      </w:r>
      <w:proofErr w:type="gramStart"/>
      <w:r w:rsidRPr="000E4150">
        <w:rPr>
          <w:lang w:val="en-US"/>
        </w:rPr>
        <w:t>as a consequence of</w:t>
      </w:r>
      <w:proofErr w:type="gramEnd"/>
      <w:r w:rsidRPr="000E4150">
        <w:rPr>
          <w:lang w:val="en-US"/>
        </w:rPr>
        <w:t xml:space="preserve"> chronic drug use [Goldstein and Volkow, 2011]. This can manifest in the day-to-day lives of drug users as </w:t>
      </w:r>
      <w:r w:rsidRPr="000E4150">
        <w:rPr>
          <w:lang w:val="en-US"/>
        </w:rPr>
        <w:lastRenderedPageBreak/>
        <w:t xml:space="preserve">difficulties in suppressing excessive approach behaviors and urges to act, particularly when exposed to incentivizing drug-related cues. Converging evidence shows that chronic stimulant drug use is associated with response inhibition impairments and top-down cognitive control abnormalities underpinned by aberrant </w:t>
      </w:r>
      <w:proofErr w:type="spellStart"/>
      <w:r w:rsidRPr="000E4150">
        <w:rPr>
          <w:lang w:val="en-US"/>
        </w:rPr>
        <w:t>fronto</w:t>
      </w:r>
      <w:proofErr w:type="spellEnd"/>
      <w:r w:rsidRPr="000E4150">
        <w:rPr>
          <w:lang w:val="en-US"/>
        </w:rPr>
        <w:t>-striatal function [Morein-Zamir and Robbins, 2015]. Unaffected siblings of stimulant dependent individuals (SDI) also show response inhibition difficulties and associated structural brain abnormalities suggesting this may be a preexisting vulnerability factor [Ersche et al., 2013].</w:t>
      </w:r>
      <w:r w:rsidR="0074307B" w:rsidRPr="000E4150">
        <w:rPr>
          <w:lang w:val="en-US"/>
        </w:rPr>
        <w:t xml:space="preserve"> Whilst decisional impulsivity is often investigated in incentivized contexts</w:t>
      </w:r>
      <w:r w:rsidR="00B528DD" w:rsidRPr="000E4150">
        <w:rPr>
          <w:lang w:val="en-US"/>
        </w:rPr>
        <w:t xml:space="preserve"> </w:t>
      </w:r>
      <w:r w:rsidR="00B528DD" w:rsidRPr="000E4150">
        <w:rPr>
          <w:lang w:val="en-US"/>
        </w:rPr>
        <w:fldChar w:fldCharType="begin" w:fldLock="1"/>
      </w:r>
      <w:r w:rsidR="00583A3A" w:rsidRPr="000E4150">
        <w:rPr>
          <w:lang w:val="en-US"/>
        </w:rPr>
        <w:instrText>ADDIN CSL_CITATION {"citationItems":[{"id":"ITEM-1","itemData":{"DOI":"10.1016/j.psychres.2009.11.024","ISSN":"01651781","abstract":"Impulsivity and decision making are associated on a theoretical level in that impaired planning is a component of both. However, few studies have examined the relationship between measures of decision making and impulsivity in clinical populations. The purpose of this study was to compare cocaine-dependent subjects to controls on a measure of decision making (the Iowa Gambling Task or IGT), a questionnaire measure of impulsivity (the Barratt Impulsiveness Scale or BIS-11) and a measure of behavioural inhibition (the immediate memory task or IMT), and to examine the interrelationship among these measures. Results of the study showed that cocaine-dependent subjects made more disadvantageous choices on the IGT, had higher scores on the BIS and more commission errors on the IMT. Cognitive model analysis showed that choice consistency factors on the IGT differed between cocaine-dependent subjects and controls. However, there was no significant correlation between IGT performance and the BIS total score or subscales or IMT commission errors. These results suggest that in cocaine-dependent subjects there is little overlap between decision making as measured by the IGT and impulsivity/behavioural inhibition as measured by the BIS and IMT. © 2009 Elsevier Ltd.","author":[{"dropping-particle":"","family":"Kjome","given":"Kimberly L.","non-dropping-particle":"","parse-names":false,"suffix":""},{"dropping-particle":"","family":"Lane","given":"Scott D.","non-dropping-particle":"","parse-names":false,"suffix":""},{"dropping-particle":"","family":"Schmitz","given":"Joy M.","non-dropping-particle":"","parse-names":false,"suffix":""},{"dropping-particle":"","family":"Green","given":"Charles","non-dropping-particle":"","parse-names":false,"suffix":""},{"dropping-particle":"","family":"Ma","given":"Liangsuo","non-dropping-particle":"","parse-names":false,"suffix":""},{"dropping-particle":"","family":"Prasla","given":"Irshad","non-dropping-particle":"","parse-names":false,"suffix":""},{"dropping-particle":"","family":"Swann","given":"Alan C.","non-dropping-particle":"","parse-names":false,"suffix":""},{"dropping-particle":"","family":"Moeller","given":"F. Gerard","non-dropping-particle":"","parse-names":false,"suffix":""}],"container-title":"Psychiatry Research","id":"ITEM-1","issue":"2","issued":{"date-parts":[["2010"]]},"page":"299-304","publisher":"Elsevier Ltd","title":"Relationship between impulsivity and decision making in cocaine dependence","type":"article-journal","volume":"178"},"uris":["http://www.mendeley.com/documents/?uuid=a65d14f8-0e02-4491-a9ac-49fb9f9a6b7f"]},{"id":"ITEM-2","itemData":{"DOI":"10.1016/j.paid.2006.11.005","ISSN":"01918869","abstract":"It is not clear whether impulsivity is related to decision-making processes. Although recent studies have proposed that these kinds of processes are not related to impulsivity, most of them have focused only on certain dimensions of impulsivity such as \"narrow impulsivity\" and not taken into account other dimensions such as functional impulsivity or venturesomeness. Using Dickman's model of dysfunctional and functional impulsivity we have analysed the relationships between measures of these dimensions, the dimensions measured by the I7 questionnaire, and various parameters of the Balloon Analogue Risk Taking Task (BART). The BART is a widely used measure of risk-taking propensity which we have modified in order to manipulate the risk associated with the task. The results obtained show that neither dysfunctional impulsivity nor narrow impulsivity are related to decision processes in this task while functional impulsivity is related to an \"impulsive decision-making\" style only in the low risk condition. Venturesomeness also showed a significant relationship with BART results in the low risk condition, although partial correlation analysis suggested that these results are mainly due to functional impulsivity. © 2006.","author":[{"dropping-particle":"","family":"Vigil-Colet","given":"Andreu","non-dropping-particle":"","parse-names":false,"suffix":""}],"container-title":"Personality and Individual Differences","id":"ITEM-2","issue":"1","issued":{"date-parts":[["2007"]]},"page":"37-45","title":"Impulsivity and decision making in the balloon analogue risk-taking task","type":"article-journal","volume":"43"},"uris":["http://www.mendeley.com/documents/?uuid=4fe172e7-4091-4b67-a3d6-7fc71f82f541"]}],"mendeley":{"formattedCitation":"[Kjome et al., 2010; Vigil-Colet, 2007]","plainTextFormattedCitation":"[Kjome et al., 2010; Vigil-Colet, 2007]","previouslyFormattedCitation":"[Kjome et al., 2010; Vigil-Colet, 2007]"},"properties":{"noteIndex":0},"schema":"https://github.com/citation-style-language/schema/raw/master/csl-citation.json"}</w:instrText>
      </w:r>
      <w:r w:rsidR="00B528DD" w:rsidRPr="000E4150">
        <w:rPr>
          <w:lang w:val="en-US"/>
        </w:rPr>
        <w:fldChar w:fldCharType="separate"/>
      </w:r>
      <w:r w:rsidR="00B528DD" w:rsidRPr="000E4150">
        <w:rPr>
          <w:noProof/>
          <w:lang w:val="en-US"/>
        </w:rPr>
        <w:t>[Kjome et al., 2010; Vigil-Colet, 2007]</w:t>
      </w:r>
      <w:r w:rsidR="00B528DD" w:rsidRPr="000E4150">
        <w:rPr>
          <w:lang w:val="en-US"/>
        </w:rPr>
        <w:fldChar w:fldCharType="end"/>
      </w:r>
      <w:r w:rsidR="0074307B" w:rsidRPr="000E4150">
        <w:rPr>
          <w:lang w:val="en-US"/>
        </w:rPr>
        <w:t>, impulsive actions in humans have largely been investigated by assessing stopping or cancelling prepotent responses in non-incentivized contexts [Bari and Robbins, 2013].</w:t>
      </w:r>
    </w:p>
    <w:p w14:paraId="1624373C" w14:textId="0344CE6D" w:rsidR="00923969" w:rsidRPr="000E4150" w:rsidRDefault="00923969" w:rsidP="00D93FDE">
      <w:pPr>
        <w:pStyle w:val="paragraph"/>
        <w:spacing w:after="0" w:line="480" w:lineRule="auto"/>
        <w:ind w:firstLine="720"/>
        <w:textAlignment w:val="baseline"/>
        <w:rPr>
          <w:lang w:val="en-US"/>
        </w:rPr>
      </w:pPr>
      <w:r w:rsidRPr="000E4150">
        <w:rPr>
          <w:lang w:val="en-US"/>
        </w:rPr>
        <w:t xml:space="preserve">Findings on the neural correlates of premature responding in incentivized contexts have largely stemmed from rodent research [Dalley et al., 2008; Eagle and </w:t>
      </w:r>
      <w:proofErr w:type="spellStart"/>
      <w:r w:rsidRPr="000E4150">
        <w:rPr>
          <w:lang w:val="en-US"/>
        </w:rPr>
        <w:t>Baunez</w:t>
      </w:r>
      <w:proofErr w:type="spellEnd"/>
      <w:r w:rsidRPr="000E4150">
        <w:rPr>
          <w:lang w:val="en-US"/>
        </w:rPr>
        <w:t>, 2010]. Here, premature responses gauge difficulties in suppressing responses by capturing the inability to resist responding until a waiting interval has elapsed. Premature responding predicts the transition to compulsive cocaine-taking in rodents, suggesting it could also be a vulnerability factor [Belin et al., 2008]. Recent studies using a specialized paradigm adapted from the animal literature have begun to make inroads, demonstrating increased premature responding in abstinent SDIs [</w:t>
      </w:r>
      <w:proofErr w:type="spellStart"/>
      <w:r w:rsidRPr="000E4150">
        <w:rPr>
          <w:lang w:val="en-US"/>
        </w:rPr>
        <w:t>Voon</w:t>
      </w:r>
      <w:proofErr w:type="spellEnd"/>
      <w:r w:rsidRPr="000E4150">
        <w:rPr>
          <w:lang w:val="en-US"/>
        </w:rPr>
        <w:t>, 2014]. Greater premature responding has also been reported for tobacco smokers, cannabis users and binge drinkers [</w:t>
      </w:r>
      <w:proofErr w:type="spellStart"/>
      <w:r w:rsidRPr="000E4150">
        <w:rPr>
          <w:lang w:val="en-US"/>
        </w:rPr>
        <w:t>Mechelmans</w:t>
      </w:r>
      <w:proofErr w:type="spellEnd"/>
      <w:r w:rsidRPr="000E4150">
        <w:rPr>
          <w:lang w:val="en-US"/>
        </w:rPr>
        <w:t xml:space="preserve"> et al., 2017; Morris et al., 2016; Sanchez-</w:t>
      </w:r>
      <w:proofErr w:type="spellStart"/>
      <w:r w:rsidRPr="000E4150">
        <w:rPr>
          <w:lang w:val="en-US"/>
        </w:rPr>
        <w:t>Roige</w:t>
      </w:r>
      <w:proofErr w:type="spellEnd"/>
      <w:r w:rsidRPr="000E4150">
        <w:rPr>
          <w:lang w:val="en-US"/>
        </w:rPr>
        <w:t xml:space="preserve"> et al., 2014; </w:t>
      </w:r>
      <w:proofErr w:type="spellStart"/>
      <w:r w:rsidRPr="000E4150">
        <w:rPr>
          <w:lang w:val="en-US"/>
        </w:rPr>
        <w:t>Voon</w:t>
      </w:r>
      <w:proofErr w:type="spellEnd"/>
      <w:r w:rsidRPr="000E4150">
        <w:rPr>
          <w:lang w:val="en-US"/>
        </w:rPr>
        <w:t xml:space="preserve"> et al., 2016] reinforcing the importance of this measure to addiction more broadly.  </w:t>
      </w:r>
    </w:p>
    <w:p w14:paraId="7E2E43AD" w14:textId="396C9AA8" w:rsidR="00456740" w:rsidRPr="000E4150" w:rsidRDefault="00923969" w:rsidP="00D93FDE">
      <w:pPr>
        <w:pStyle w:val="paragraph"/>
        <w:spacing w:after="0" w:line="480" w:lineRule="auto"/>
        <w:ind w:firstLine="720"/>
        <w:textAlignment w:val="baseline"/>
        <w:rPr>
          <w:lang w:val="en-US"/>
        </w:rPr>
      </w:pPr>
      <w:r w:rsidRPr="000E4150">
        <w:rPr>
          <w:lang w:val="en-US"/>
        </w:rPr>
        <w:t xml:space="preserve">As noted above, impulsive actions are clearly intertwined with reward processing. Empirical research into mechanisms of reward has proceeded largely in parallel. This research has pointed to aberrant generalized reward processing in addiction, largely </w:t>
      </w:r>
      <w:proofErr w:type="gramStart"/>
      <w:r w:rsidRPr="000E4150">
        <w:rPr>
          <w:lang w:val="en-US"/>
        </w:rPr>
        <w:t xml:space="preserve">as a </w:t>
      </w:r>
      <w:r w:rsidRPr="000E4150">
        <w:rPr>
          <w:lang w:val="en-US"/>
        </w:rPr>
        <w:lastRenderedPageBreak/>
        <w:t>consequence of</w:t>
      </w:r>
      <w:proofErr w:type="gramEnd"/>
      <w:r w:rsidRPr="000E4150">
        <w:rPr>
          <w:lang w:val="en-US"/>
        </w:rPr>
        <w:t xml:space="preserve"> drug use [</w:t>
      </w:r>
      <w:proofErr w:type="spellStart"/>
      <w:r w:rsidRPr="000E4150">
        <w:rPr>
          <w:lang w:val="en-US"/>
        </w:rPr>
        <w:t>Balodis</w:t>
      </w:r>
      <w:proofErr w:type="spellEnd"/>
      <w:r w:rsidRPr="000E4150">
        <w:rPr>
          <w:lang w:val="en-US"/>
        </w:rPr>
        <w:t xml:space="preserve"> and Potenza, 2015; Cope et al., 2019; </w:t>
      </w:r>
      <w:proofErr w:type="spellStart"/>
      <w:r w:rsidRPr="000E4150">
        <w:rPr>
          <w:lang w:val="en-US"/>
        </w:rPr>
        <w:t>Koob</w:t>
      </w:r>
      <w:proofErr w:type="spellEnd"/>
      <w:r w:rsidRPr="000E4150">
        <w:rPr>
          <w:lang w:val="en-US"/>
        </w:rPr>
        <w:t xml:space="preserve"> and </w:t>
      </w:r>
      <w:proofErr w:type="spellStart"/>
      <w:r w:rsidRPr="000E4150">
        <w:rPr>
          <w:lang w:val="en-US"/>
        </w:rPr>
        <w:t>Moal</w:t>
      </w:r>
      <w:proofErr w:type="spellEnd"/>
      <w:r w:rsidRPr="000E4150">
        <w:rPr>
          <w:lang w:val="en-US"/>
        </w:rPr>
        <w:t xml:space="preserve">, 2005]. For example, </w:t>
      </w:r>
      <w:proofErr w:type="spellStart"/>
      <w:r w:rsidRPr="000E4150">
        <w:rPr>
          <w:lang w:val="en-US"/>
        </w:rPr>
        <w:t>mesocortico</w:t>
      </w:r>
      <w:proofErr w:type="spellEnd"/>
      <w:r w:rsidRPr="000E4150">
        <w:rPr>
          <w:lang w:val="en-US"/>
        </w:rPr>
        <w:t xml:space="preserve">-limbic abnormalities are believed to underscore exaggerated incentive salience to drug-associated stimuli [Berridge, 2007]. Thus, the process of ‘wanting’ triggered when faced with drug-related cues yields upregulation of reward-related regions [Berridge, 2007]. In humans, the </w:t>
      </w:r>
      <w:proofErr w:type="gramStart"/>
      <w:r w:rsidRPr="000E4150">
        <w:rPr>
          <w:lang w:val="en-US"/>
        </w:rPr>
        <w:t>widely-used</w:t>
      </w:r>
      <w:proofErr w:type="gramEnd"/>
      <w:r w:rsidRPr="000E4150">
        <w:rPr>
          <w:lang w:val="en-US"/>
        </w:rPr>
        <w:t xml:space="preserve"> monetary incentive delay (MID) task has been employed to assess reward related processing in addiction. Anticipating monetary rewards in this task has been associated with robust ventral striatum in addition to dorsal striatum and </w:t>
      </w:r>
      <w:proofErr w:type="spellStart"/>
      <w:r w:rsidRPr="000E4150">
        <w:rPr>
          <w:lang w:val="en-US"/>
        </w:rPr>
        <w:t>vlPFC</w:t>
      </w:r>
      <w:proofErr w:type="spellEnd"/>
      <w:r w:rsidRPr="000E4150">
        <w:rPr>
          <w:lang w:val="en-US"/>
        </w:rPr>
        <w:t xml:space="preserve"> activations [Oldham et al., 2018]. Contrary to expectations, drug users including SDIs do not appear to show consistent abnormalities in cross-sectional MID studies [</w:t>
      </w:r>
      <w:proofErr w:type="spellStart"/>
      <w:r w:rsidRPr="000E4150">
        <w:rPr>
          <w:lang w:val="en-US"/>
        </w:rPr>
        <w:t>Balodis</w:t>
      </w:r>
      <w:proofErr w:type="spellEnd"/>
      <w:r w:rsidRPr="000E4150">
        <w:rPr>
          <w:lang w:val="en-US"/>
        </w:rPr>
        <w:t xml:space="preserve"> and Potenza, 2015; Just et al., 2019]. One possible reason for this may be the use of monetary incentives in these studies. Addiction is associated with blunted brain response in a wide array of non-drug-related tasks, but with increased engagement of brain networks during exposure to drug cues or drug-related incentives [</w:t>
      </w:r>
      <w:proofErr w:type="spellStart"/>
      <w:r w:rsidRPr="000E4150">
        <w:rPr>
          <w:lang w:val="en-US"/>
        </w:rPr>
        <w:t>Zilverstand</w:t>
      </w:r>
      <w:proofErr w:type="spellEnd"/>
      <w:r w:rsidRPr="000E4150">
        <w:rPr>
          <w:lang w:val="en-US"/>
        </w:rPr>
        <w:t xml:space="preserve"> et al., 2018]. This is underscored in the theory of impaired response inhibition and salience attribution (</w:t>
      </w:r>
      <w:proofErr w:type="spellStart"/>
      <w:r w:rsidRPr="000E4150">
        <w:rPr>
          <w:lang w:val="en-US"/>
        </w:rPr>
        <w:t>iRISA</w:t>
      </w:r>
      <w:proofErr w:type="spellEnd"/>
      <w:r w:rsidRPr="000E4150">
        <w:rPr>
          <w:lang w:val="en-US"/>
        </w:rPr>
        <w:t>) which points to the pivotal role of context and incentive type [Goldstein and Volkow, 2002; Goldstein and Volkow, 2011].</w:t>
      </w:r>
      <w:r w:rsidR="00456740" w:rsidRPr="000E4150">
        <w:rPr>
          <w:lang w:val="en-US"/>
        </w:rPr>
        <w:t xml:space="preserve"> </w:t>
      </w:r>
    </w:p>
    <w:p w14:paraId="53290103" w14:textId="52AFABBB" w:rsidR="00923969" w:rsidRPr="000E4150" w:rsidRDefault="00923969" w:rsidP="00D93FDE">
      <w:pPr>
        <w:pStyle w:val="paragraph"/>
        <w:spacing w:after="0" w:line="480" w:lineRule="auto"/>
        <w:ind w:firstLine="720"/>
        <w:textAlignment w:val="baseline"/>
      </w:pPr>
      <w:r w:rsidRPr="000E4150">
        <w:rPr>
          <w:lang w:val="en-US"/>
        </w:rPr>
        <w:t xml:space="preserve">The current study investigates the neural correlates of premature responses in stimulant users and their unaffected siblings and healthy controls in different incentive conditions using functional Magnetic Resonance Imaging (fMRI). We focus on premature responding in the MID task [Peña-Oliver et al., 2016], introducing a novel analysis approach. Premature responses are akin to the everyday maladaptive behaviors exhibited by these individuals and to our knowledge their neural underpinnings using fMRI have yet been directly explored. By including two distinct contexts, one providing monetary cues as incentives and the other drug-related cues as incentives, we </w:t>
      </w:r>
      <w:r w:rsidR="00A4237C" w:rsidRPr="000E4150">
        <w:rPr>
          <w:lang w:val="en-US"/>
        </w:rPr>
        <w:t>provide</w:t>
      </w:r>
      <w:r w:rsidRPr="000E4150">
        <w:rPr>
          <w:lang w:val="en-US"/>
        </w:rPr>
        <w:t xml:space="preserve"> a direct empirical test of the </w:t>
      </w:r>
      <w:proofErr w:type="spellStart"/>
      <w:r w:rsidRPr="000E4150">
        <w:rPr>
          <w:lang w:val="en-US"/>
        </w:rPr>
        <w:t>iRISA</w:t>
      </w:r>
      <w:proofErr w:type="spellEnd"/>
      <w:r w:rsidRPr="000E4150">
        <w:rPr>
          <w:lang w:val="en-US"/>
        </w:rPr>
        <w:t xml:space="preserve"> model predictions. We </w:t>
      </w:r>
      <w:r w:rsidR="00217BB2" w:rsidRPr="000E4150">
        <w:rPr>
          <w:lang w:val="en-US"/>
        </w:rPr>
        <w:t>predicted</w:t>
      </w:r>
      <w:r w:rsidRPr="000E4150">
        <w:rPr>
          <w:lang w:val="en-US"/>
        </w:rPr>
        <w:t xml:space="preserve"> drug related cues to elicit increased impulsive </w:t>
      </w:r>
      <w:proofErr w:type="spellStart"/>
      <w:r w:rsidRPr="000E4150">
        <w:rPr>
          <w:lang w:val="en-US"/>
        </w:rPr>
        <w:lastRenderedPageBreak/>
        <w:t>behaviour</w:t>
      </w:r>
      <w:proofErr w:type="spellEnd"/>
      <w:r w:rsidRPr="000E4150">
        <w:rPr>
          <w:lang w:val="en-US"/>
        </w:rPr>
        <w:t xml:space="preserve"> and increased activation in </w:t>
      </w:r>
      <w:proofErr w:type="spellStart"/>
      <w:r w:rsidRPr="000E4150">
        <w:rPr>
          <w:lang w:val="en-US"/>
        </w:rPr>
        <w:t>fronto</w:t>
      </w:r>
      <w:proofErr w:type="spellEnd"/>
      <w:r w:rsidRPr="000E4150">
        <w:rPr>
          <w:lang w:val="en-US"/>
        </w:rPr>
        <w:t>-striatal networks. Assessing the SIB allowed us to investigate whether excessive premature responding and corresponding brain activations constitutes a vulnerability factor preceding drug use [Just et al., 2019]. Given the importance of the striatum to top-down control and reward processing in addiction and its abnormal neuronal connectivity with the PFC [Ma et al., 2014; Ma et al., 2015], we also investigated the selective involvement of this region and its effective connectivity using dynamic causal modelling (DCM) with</w:t>
      </w:r>
      <w:r w:rsidR="006947B4" w:rsidRPr="000E4150">
        <w:rPr>
          <w:lang w:val="en-US"/>
        </w:rPr>
        <w:t>in</w:t>
      </w:r>
      <w:r w:rsidRPr="000E4150">
        <w:rPr>
          <w:lang w:val="en-US"/>
        </w:rPr>
        <w:t xml:space="preserve"> key nodes of the PFC.</w:t>
      </w:r>
    </w:p>
    <w:p w14:paraId="7B6C8B02" w14:textId="70E9B504" w:rsidR="00D52D9F" w:rsidRPr="000E4150" w:rsidRDefault="00D52D9F" w:rsidP="00D52D9F">
      <w:pPr>
        <w:pStyle w:val="paragraph"/>
        <w:spacing w:before="0" w:beforeAutospacing="0" w:after="0" w:afterAutospacing="0" w:line="480" w:lineRule="auto"/>
        <w:textAlignment w:val="baseline"/>
        <w:rPr>
          <w:rFonts w:asciiTheme="majorBidi" w:hAnsiTheme="majorBidi" w:cstheme="majorBidi"/>
          <w:lang w:val="en-US"/>
        </w:rPr>
      </w:pPr>
      <w:r w:rsidRPr="000E4150">
        <w:rPr>
          <w:rStyle w:val="normaltextrun"/>
          <w:rFonts w:asciiTheme="majorBidi" w:hAnsiTheme="majorBidi" w:cstheme="majorBidi"/>
          <w:b/>
          <w:bCs/>
          <w:lang w:val="en-US"/>
        </w:rPr>
        <w:t>Methods </w:t>
      </w:r>
      <w:r w:rsidRPr="000E4150">
        <w:rPr>
          <w:rStyle w:val="eop"/>
          <w:rFonts w:asciiTheme="majorBidi" w:hAnsiTheme="majorBidi" w:cstheme="majorBidi"/>
          <w:lang w:val="en-US"/>
        </w:rPr>
        <w:t> </w:t>
      </w:r>
    </w:p>
    <w:p w14:paraId="0E1DCE41" w14:textId="79D4B5C9" w:rsidR="00D52D9F" w:rsidRPr="000E4150" w:rsidRDefault="00D52D9F" w:rsidP="004533AC">
      <w:pPr>
        <w:pStyle w:val="paragraph"/>
        <w:spacing w:before="0" w:beforeAutospacing="0" w:after="0" w:afterAutospacing="0" w:line="480" w:lineRule="auto"/>
        <w:textAlignment w:val="baseline"/>
        <w:rPr>
          <w:rFonts w:asciiTheme="majorBidi" w:hAnsiTheme="majorBidi" w:cstheme="majorBidi"/>
          <w:lang w:val="en-US"/>
        </w:rPr>
      </w:pPr>
      <w:r w:rsidRPr="000E4150">
        <w:rPr>
          <w:rStyle w:val="normaltextrun"/>
          <w:rFonts w:asciiTheme="majorBidi" w:hAnsiTheme="majorBidi" w:cstheme="majorBidi"/>
          <w:b/>
          <w:bCs/>
          <w:lang w:val="en-US"/>
        </w:rPr>
        <w:t xml:space="preserve">Participants. </w:t>
      </w:r>
      <w:r w:rsidRPr="000E4150">
        <w:rPr>
          <w:rStyle w:val="normaltextrun"/>
          <w:rFonts w:asciiTheme="majorBidi" w:hAnsiTheme="majorBidi" w:cstheme="majorBidi"/>
          <w:lang w:val="en-US"/>
        </w:rPr>
        <w:t>Participants were recruited for this study by advertisements, by word of mouth, and from local treatment services</w:t>
      </w:r>
      <w:r w:rsidR="004A488C" w:rsidRPr="000E4150">
        <w:rPr>
          <w:rStyle w:val="normaltextrun"/>
          <w:rFonts w:asciiTheme="majorBidi" w:hAnsiTheme="majorBidi" w:cstheme="majorBidi"/>
          <w:lang w:val="en-US"/>
        </w:rPr>
        <w:t xml:space="preserve"> (see Table 1 for d</w:t>
      </w:r>
      <w:r w:rsidR="00F73F01" w:rsidRPr="000E4150">
        <w:rPr>
          <w:rStyle w:val="normaltextrun"/>
          <w:rFonts w:asciiTheme="majorBidi" w:hAnsiTheme="majorBidi" w:cstheme="majorBidi"/>
          <w:lang w:val="en-US"/>
        </w:rPr>
        <w:t>emographic information</w:t>
      </w:r>
      <w:r w:rsidR="004A488C" w:rsidRPr="000E4150">
        <w:rPr>
          <w:rStyle w:val="normaltextrun"/>
          <w:rFonts w:asciiTheme="majorBidi" w:hAnsiTheme="majorBidi" w:cstheme="majorBidi"/>
          <w:lang w:val="en-US"/>
        </w:rPr>
        <w:t>)</w:t>
      </w:r>
      <w:r w:rsidR="00350B93" w:rsidRPr="000E4150">
        <w:rPr>
          <w:rStyle w:val="normaltextrun"/>
          <w:rFonts w:asciiTheme="majorBidi" w:hAnsiTheme="majorBidi" w:cstheme="majorBidi"/>
          <w:lang w:val="en-US"/>
        </w:rPr>
        <w:t xml:space="preserve">. </w:t>
      </w:r>
      <w:r w:rsidRPr="000E4150">
        <w:rPr>
          <w:rStyle w:val="normaltextrun"/>
          <w:rFonts w:asciiTheme="majorBidi" w:hAnsiTheme="majorBidi" w:cstheme="majorBidi"/>
          <w:lang w:val="en-US"/>
        </w:rPr>
        <w:t>Recruitment and screening procedures have been described in detail elsewhere </w:t>
      </w:r>
      <w:r w:rsidRPr="000E4150">
        <w:rPr>
          <w:rStyle w:val="normaltextrun"/>
          <w:rFonts w:asciiTheme="majorBidi" w:hAnsiTheme="majorBidi" w:cstheme="majorBidi"/>
          <w:lang w:val="en-US"/>
        </w:rPr>
        <w:fldChar w:fldCharType="begin" w:fldLock="1"/>
      </w:r>
      <w:r w:rsidR="00760109" w:rsidRPr="000E4150">
        <w:rPr>
          <w:rStyle w:val="normaltextrun"/>
          <w:rFonts w:asciiTheme="majorBidi" w:hAnsiTheme="majorBidi" w:cstheme="majorBidi"/>
          <w:lang w:val="en-US"/>
        </w:rPr>
        <w:instrText>ADDIN CSL_CITATION {"citationItems":[{"id":"ITEM-1","itemData":{"author":[{"dropping-particle":"","family":"Ersche","given":"Karen D.","non-dropping-particle":"","parse-names":false,"suffix":""},{"dropping-particle":"","family":"Turton","given":"Abigail J","non-dropping-particle":"","parse-names":false,"suffix":""},{"dropping-particle":"","family":"Chamberlain","given":"Samuel R","non-dropping-particle":"","parse-names":false,"suffix":""},{"dropping-particle":"","family":"Müller","given":"Ulrich","non-dropping-particle":"","parse-names":false,"suffix":""},{"dropping-particle":"","family":"Bullmore","given":"Edward T","non-dropping-particle":"","parse-names":false,"suffix":""},{"dropping-particle":"","family":"Robbins","given":"Trevor W","non-dropping-particle":"","parse-names":false,"suffix":""}],"container-title":"Am J Psychiatry","id":"ITEM-1","issue":"September","issued":{"date-parts":[["2012"]]},"page":"926-936","title":"Cognitive Dysfunction and Anxious-Impulsive Personality Traits Are Endophenotypes for Drug Dependence","type":"article-journal","volume":"169"},"uris":["http://www.mendeley.com/documents/?uuid=9d437099-78eb-4f8b-b240-17294ba276f4"]},{"id":"ITEM-2","itemData":{"DOI":"10.1038/s41398-019-0399-4","ISSN":"2158-3188","author":[{"dropping-particle":"","family":"Just","given":"Alanna L.","non-dropping-particle":"","parse-names":false,"suffix":""},{"dropping-particle":"","family":"Meng","given":"Chun","non-dropping-particle":"","parse-names":false,"suffix":""},{"dropping-particle":"","family":"Smith","given":"Dana G.","non-dropping-particle":"","parse-names":false,"suffix":""},{"dropping-particle":"","family":"Bullmore","given":"Edward T.","non-dropping-particle":"","parse-names":false,"suffix":""},{"dropping-particle":"","family":"Robbins","given":"Trevor W.","non-dropping-particle":"","parse-names":false,"suffix":""},{"dropping-particle":"","family":"Ersche","given":"Karen D.","non-dropping-particle":"","parse-names":false,"suffix":""}],"container-title":"Translational Psychiatry","id":"ITEM-2","issue":"1","issued":{"date-parts":[["2019"]]},"publisher":"Springer US","title":"Effects of familial risk and stimulant drug use on the anticipation of monetary reward: an fMRI study","type":"article-journal","volume":"9"},"uris":["http://www.mendeley.com/documents/?uuid=d7be97f3-ac2c-4d69-aef5-01ab92258119"]}],"mendeley":{"formattedCitation":"[Ersche et al., 2012; Just et al., 2019]","plainTextFormattedCitation":"[Ersche et al., 2012; Just et al., 2019]","previouslyFormattedCitation":"[Ersche et al., 2012; Just et al., 2019]"},"properties":{"noteIndex":0},"schema":"https://github.com/citation-style-language/schema/raw/master/csl-citation.json"}</w:instrText>
      </w:r>
      <w:r w:rsidRPr="000E4150">
        <w:rPr>
          <w:rStyle w:val="normaltextrun"/>
          <w:rFonts w:asciiTheme="majorBidi" w:hAnsiTheme="majorBidi" w:cstheme="majorBidi"/>
          <w:lang w:val="en-US"/>
        </w:rPr>
        <w:fldChar w:fldCharType="separate"/>
      </w:r>
      <w:r w:rsidR="00E06636" w:rsidRPr="000E4150">
        <w:rPr>
          <w:rStyle w:val="normaltextrun"/>
          <w:rFonts w:asciiTheme="majorBidi" w:hAnsiTheme="majorBidi" w:cstheme="majorBidi"/>
          <w:noProof/>
          <w:lang w:val="en-US"/>
        </w:rPr>
        <w:t>[Ersche et al., 2012; Just et al., 2019]</w:t>
      </w:r>
      <w:r w:rsidRPr="000E4150">
        <w:rPr>
          <w:rStyle w:val="normaltextrun"/>
          <w:rFonts w:asciiTheme="majorBidi" w:hAnsiTheme="majorBidi" w:cstheme="majorBidi"/>
          <w:lang w:val="en-US"/>
        </w:rPr>
        <w:fldChar w:fldCharType="end"/>
      </w:r>
      <w:r w:rsidRPr="000E4150">
        <w:rPr>
          <w:rStyle w:val="normaltextrun"/>
          <w:rFonts w:asciiTheme="majorBidi" w:hAnsiTheme="majorBidi" w:cstheme="majorBidi"/>
          <w:lang w:val="en-US"/>
        </w:rPr>
        <w:t xml:space="preserve">. Briefly, three groups consisted of SDIs who met </w:t>
      </w:r>
      <w:r w:rsidR="006A230B" w:rsidRPr="000E4150">
        <w:rPr>
          <w:rStyle w:val="normaltextrun"/>
          <w:rFonts w:asciiTheme="majorBidi" w:hAnsiTheme="majorBidi" w:cstheme="majorBidi"/>
          <w:lang w:val="en-US"/>
        </w:rPr>
        <w:t>Diagnostic Statisti</w:t>
      </w:r>
      <w:r w:rsidR="000B04F3" w:rsidRPr="000E4150">
        <w:rPr>
          <w:rStyle w:val="normaltextrun"/>
          <w:rFonts w:asciiTheme="majorBidi" w:hAnsiTheme="majorBidi" w:cstheme="majorBidi"/>
          <w:lang w:val="en-US"/>
        </w:rPr>
        <w:t>c</w:t>
      </w:r>
      <w:r w:rsidR="006A230B" w:rsidRPr="000E4150">
        <w:rPr>
          <w:rStyle w:val="normaltextrun"/>
          <w:rFonts w:asciiTheme="majorBidi" w:hAnsiTheme="majorBidi" w:cstheme="majorBidi"/>
          <w:lang w:val="en-US"/>
        </w:rPr>
        <w:t>al Manual (</w:t>
      </w:r>
      <w:r w:rsidRPr="000E4150">
        <w:rPr>
          <w:rStyle w:val="normaltextrun"/>
          <w:rFonts w:asciiTheme="majorBidi" w:hAnsiTheme="majorBidi" w:cstheme="majorBidi"/>
          <w:lang w:val="en-US"/>
        </w:rPr>
        <w:t>DSM-IV-TR</w:t>
      </w:r>
      <w:r w:rsidR="006A230B" w:rsidRPr="000E4150">
        <w:rPr>
          <w:rStyle w:val="normaltextrun"/>
          <w:rFonts w:asciiTheme="majorBidi" w:hAnsiTheme="majorBidi" w:cstheme="majorBidi"/>
          <w:lang w:val="en-US"/>
        </w:rPr>
        <w:t>)</w:t>
      </w:r>
      <w:r w:rsidRPr="000E4150">
        <w:rPr>
          <w:rStyle w:val="normaltextrun"/>
          <w:rFonts w:asciiTheme="majorBidi" w:hAnsiTheme="majorBidi" w:cstheme="majorBidi"/>
          <w:lang w:val="en-US"/>
        </w:rPr>
        <w:t xml:space="preserve"> criteria for cocaine or amphetamine dependence, their biological siblings who had no history of substance dependence except nicotine, and healthy individuals without familial risk with no drug history. Urine screen results were positive for all but three SDI and negative for all other participants. The study was approved by the NHS Cambridge Research Ethics Committee (08/H0308/310) and all participants provided written informed consent. Data from these individuals as part of a larger sample have been published previously </w:t>
      </w:r>
      <w:r w:rsidRPr="000E4150">
        <w:rPr>
          <w:rStyle w:val="normaltextrun"/>
          <w:rFonts w:asciiTheme="majorBidi" w:hAnsiTheme="majorBidi" w:cstheme="majorBidi"/>
          <w:lang w:val="en-US"/>
        </w:rPr>
        <w:fldChar w:fldCharType="begin" w:fldLock="1"/>
      </w:r>
      <w:r w:rsidR="00760109" w:rsidRPr="000E4150">
        <w:rPr>
          <w:rStyle w:val="normaltextrun"/>
          <w:rFonts w:asciiTheme="majorBidi" w:hAnsiTheme="majorBidi" w:cstheme="majorBidi"/>
          <w:lang w:val="en-US"/>
        </w:rPr>
        <w:instrText>ADDIN CSL_CITATION {"citationItems":[{"id":"ITEM-1","itemData":{"DOI":"10.1038/s41398-019-0399-4","ISSN":"2158-3188","author":[{"dropping-particle":"","family":"Just","given":"Alanna L.","non-dropping-particle":"","parse-names":false,"suffix":""},{"dropping-particle":"","family":"Meng","given":"Chun","non-dropping-particle":"","parse-names":false,"suffix":""},{"dropping-particle":"","family":"Smith","given":"Dana G.","non-dropping-particle":"","parse-names":false,"suffix":""},{"dropping-particle":"","family":"Bullmore","given":"Edward T.","non-dropping-particle":"","parse-names":false,"suffix":""},{"dropping-particle":"","family":"Robbins","given":"Trevor W.","non-dropping-particle":"","parse-names":false,"suffix":""},{"dropping-particle":"","family":"Ersche","given":"Karen D.","non-dropping-particle":"","parse-names":false,"suffix":""}],"container-title":"Translational Psychiatry","id":"ITEM-1","issue":"1","issued":{"date-parts":[["2019"]]},"publisher":"Springer US","title":"Effects of familial risk and stimulant drug use on the anticipation of monetary reward: an fMRI study","type":"article-journal","volume":"9"},"uris":["http://www.mendeley.com/documents/?uuid=d7be97f3-ac2c-4d69-aef5-01ab92258119"]}],"mendeley":{"formattedCitation":"[Just et al., 2019]","plainTextFormattedCitation":"[Just et al., 2019]","previouslyFormattedCitation":"[Just et al., 2019]"},"properties":{"noteIndex":0},"schema":"https://github.com/citation-style-language/schema/raw/master/csl-citation.json"}</w:instrText>
      </w:r>
      <w:r w:rsidRPr="000E4150">
        <w:rPr>
          <w:rStyle w:val="normaltextrun"/>
          <w:rFonts w:asciiTheme="majorBidi" w:hAnsiTheme="majorBidi" w:cstheme="majorBidi"/>
          <w:lang w:val="en-US"/>
        </w:rPr>
        <w:fldChar w:fldCharType="separate"/>
      </w:r>
      <w:r w:rsidR="00E06636" w:rsidRPr="000E4150">
        <w:rPr>
          <w:rStyle w:val="normaltextrun"/>
          <w:rFonts w:asciiTheme="majorBidi" w:hAnsiTheme="majorBidi" w:cstheme="majorBidi"/>
          <w:noProof/>
          <w:lang w:val="en-US"/>
        </w:rPr>
        <w:t>[Just et al., 2019]</w:t>
      </w:r>
      <w:r w:rsidRPr="000E4150">
        <w:rPr>
          <w:rStyle w:val="normaltextrun"/>
          <w:rFonts w:asciiTheme="majorBidi" w:hAnsiTheme="majorBidi" w:cstheme="majorBidi"/>
          <w:lang w:val="en-US"/>
        </w:rPr>
        <w:fldChar w:fldCharType="end"/>
      </w:r>
      <w:r w:rsidRPr="000E4150">
        <w:rPr>
          <w:rStyle w:val="normaltextrun"/>
          <w:rFonts w:asciiTheme="majorBidi" w:hAnsiTheme="majorBidi" w:cstheme="majorBidi"/>
          <w:lang w:val="en-US"/>
        </w:rPr>
        <w:t>.</w:t>
      </w:r>
      <w:r w:rsidR="00BF3ED9" w:rsidRPr="000E4150">
        <w:rPr>
          <w:rStyle w:val="normaltextrun"/>
          <w:rFonts w:asciiTheme="majorBidi" w:hAnsiTheme="majorBidi" w:cstheme="majorBidi"/>
          <w:lang w:val="en-US"/>
        </w:rPr>
        <w:t xml:space="preserve"> </w:t>
      </w:r>
      <w:r w:rsidR="004A488C" w:rsidRPr="000E4150">
        <w:rPr>
          <w:rStyle w:val="normaltextrun"/>
          <w:rFonts w:asciiTheme="majorBidi" w:hAnsiTheme="majorBidi" w:cstheme="majorBidi"/>
          <w:lang w:val="en-US"/>
        </w:rPr>
        <w:t>T</w:t>
      </w:r>
      <w:r w:rsidR="002D6FC2" w:rsidRPr="000E4150">
        <w:rPr>
          <w:rStyle w:val="normaltextrun"/>
          <w:rFonts w:asciiTheme="majorBidi" w:hAnsiTheme="majorBidi" w:cstheme="majorBidi"/>
          <w:lang w:val="en-US"/>
        </w:rPr>
        <w:t xml:space="preserve">his study introduces novel </w:t>
      </w:r>
      <w:r w:rsidR="004533AC" w:rsidRPr="000E4150">
        <w:rPr>
          <w:rStyle w:val="normaltextrun"/>
          <w:rFonts w:asciiTheme="majorBidi" w:hAnsiTheme="majorBidi" w:cstheme="majorBidi"/>
          <w:lang w:val="en-US"/>
        </w:rPr>
        <w:t xml:space="preserve">approach </w:t>
      </w:r>
      <w:r w:rsidR="004A488C" w:rsidRPr="000E4150">
        <w:rPr>
          <w:rStyle w:val="normaltextrun"/>
          <w:rFonts w:asciiTheme="majorBidi" w:hAnsiTheme="majorBidi" w:cstheme="majorBidi"/>
          <w:lang w:val="en-US"/>
        </w:rPr>
        <w:t xml:space="preserve">to </w:t>
      </w:r>
      <w:r w:rsidR="002D6FC2" w:rsidRPr="000E4150">
        <w:rPr>
          <w:rStyle w:val="normaltextrun"/>
          <w:rFonts w:asciiTheme="majorBidi" w:hAnsiTheme="majorBidi" w:cstheme="majorBidi"/>
          <w:lang w:val="en-US"/>
        </w:rPr>
        <w:t>evaluat</w:t>
      </w:r>
      <w:r w:rsidR="004A488C" w:rsidRPr="000E4150">
        <w:rPr>
          <w:rStyle w:val="normaltextrun"/>
          <w:rFonts w:asciiTheme="majorBidi" w:hAnsiTheme="majorBidi" w:cstheme="majorBidi"/>
          <w:lang w:val="en-US"/>
        </w:rPr>
        <w:t>e</w:t>
      </w:r>
      <w:r w:rsidR="002D6FC2" w:rsidRPr="000E4150">
        <w:rPr>
          <w:rStyle w:val="normaltextrun"/>
          <w:rFonts w:asciiTheme="majorBidi" w:hAnsiTheme="majorBidi" w:cstheme="majorBidi"/>
          <w:lang w:val="en-US"/>
        </w:rPr>
        <w:t xml:space="preserve"> premature responses in the MID task taking advantage of the incentivized setting. </w:t>
      </w:r>
      <w:r w:rsidRPr="000E4150">
        <w:rPr>
          <w:rStyle w:val="normaltextrun"/>
          <w:rFonts w:asciiTheme="majorBidi" w:hAnsiTheme="majorBidi" w:cstheme="majorBidi"/>
          <w:lang w:val="en-US"/>
        </w:rPr>
        <w:t>Additional inclusion criteria here were that participants exhibit at least one premature response in the MID task in each context.</w:t>
      </w:r>
      <w:r w:rsidRPr="000E4150">
        <w:rPr>
          <w:rStyle w:val="eop"/>
          <w:rFonts w:asciiTheme="majorBidi" w:hAnsiTheme="majorBidi" w:cstheme="majorBidi"/>
          <w:lang w:val="en-US"/>
        </w:rPr>
        <w:t> </w:t>
      </w:r>
    </w:p>
    <w:p w14:paraId="287E5746" w14:textId="77777777" w:rsidR="00D52D9F" w:rsidRPr="000E4150" w:rsidRDefault="00D52D9F" w:rsidP="00D52D9F">
      <w:pPr>
        <w:pStyle w:val="paragraph"/>
        <w:spacing w:before="0" w:beforeAutospacing="0" w:after="0" w:afterAutospacing="0" w:line="480" w:lineRule="auto"/>
        <w:textAlignment w:val="baseline"/>
        <w:rPr>
          <w:rFonts w:asciiTheme="majorBidi" w:hAnsiTheme="majorBidi" w:cstheme="majorBidi"/>
          <w:lang w:val="en-US"/>
        </w:rPr>
      </w:pPr>
      <w:r w:rsidRPr="000E4150">
        <w:rPr>
          <w:rStyle w:val="eop"/>
          <w:rFonts w:asciiTheme="majorBidi" w:hAnsiTheme="majorBidi" w:cstheme="majorBidi"/>
          <w:lang w:val="en-US"/>
        </w:rPr>
        <w:t> </w:t>
      </w:r>
    </w:p>
    <w:p w14:paraId="11E6F319" w14:textId="2975B8F2" w:rsidR="00D52D9F" w:rsidRPr="000E4150" w:rsidRDefault="00D52D9F" w:rsidP="00EC41D1">
      <w:pPr>
        <w:pStyle w:val="paragraph"/>
        <w:spacing w:before="0" w:beforeAutospacing="0" w:after="0" w:afterAutospacing="0" w:line="480" w:lineRule="auto"/>
        <w:textAlignment w:val="baseline"/>
        <w:rPr>
          <w:rStyle w:val="eop"/>
          <w:rFonts w:asciiTheme="majorBidi" w:hAnsiTheme="majorBidi" w:cstheme="majorBidi"/>
          <w:lang w:val="en-US"/>
        </w:rPr>
      </w:pPr>
      <w:r w:rsidRPr="000E4150">
        <w:rPr>
          <w:rStyle w:val="normaltextrun"/>
          <w:rFonts w:asciiTheme="majorBidi" w:hAnsiTheme="majorBidi" w:cstheme="majorBidi"/>
          <w:b/>
          <w:bCs/>
          <w:lang w:val="en-US"/>
        </w:rPr>
        <w:t>MID Task</w:t>
      </w:r>
      <w:r w:rsidRPr="000E4150">
        <w:rPr>
          <w:rStyle w:val="eop"/>
          <w:rFonts w:asciiTheme="majorBidi" w:hAnsiTheme="majorBidi" w:cstheme="majorBidi"/>
          <w:b/>
          <w:bCs/>
          <w:lang w:val="en-US"/>
        </w:rPr>
        <w:t>.</w:t>
      </w:r>
      <w:r w:rsidRPr="000E4150">
        <w:rPr>
          <w:rStyle w:val="eop"/>
          <w:rFonts w:asciiTheme="majorBidi" w:hAnsiTheme="majorBidi" w:cstheme="majorBidi"/>
          <w:lang w:val="en-US"/>
        </w:rPr>
        <w:t xml:space="preserve"> </w:t>
      </w:r>
      <w:r w:rsidRPr="000E4150">
        <w:rPr>
          <w:rStyle w:val="normaltextrun"/>
          <w:rFonts w:asciiTheme="majorBidi" w:hAnsiTheme="majorBidi" w:cstheme="majorBidi"/>
          <w:lang w:val="en-US"/>
        </w:rPr>
        <w:t>The task consisted of money and drug incentive blocks, with the two counterbalanced across subjects.</w:t>
      </w:r>
      <w:r w:rsidR="000117E3" w:rsidRPr="000E4150">
        <w:rPr>
          <w:rStyle w:val="normaltextrun"/>
          <w:rFonts w:asciiTheme="majorBidi" w:hAnsiTheme="majorBidi" w:cstheme="majorBidi"/>
          <w:lang w:val="en-US"/>
        </w:rPr>
        <w:t xml:space="preserve"> </w:t>
      </w:r>
      <w:r w:rsidRPr="000E4150">
        <w:rPr>
          <w:rStyle w:val="normaltextrun"/>
          <w:rFonts w:asciiTheme="majorBidi" w:hAnsiTheme="majorBidi" w:cstheme="majorBidi"/>
          <w:lang w:val="en-US"/>
        </w:rPr>
        <w:t xml:space="preserve">While the stimuli displayed differed between the two contexts, timings and task structure were the same. Each incentive block consisted of 66 </w:t>
      </w:r>
      <w:r w:rsidRPr="000E4150">
        <w:rPr>
          <w:rStyle w:val="normaltextrun"/>
          <w:rFonts w:asciiTheme="majorBidi" w:hAnsiTheme="majorBidi" w:cstheme="majorBidi"/>
          <w:lang w:val="en-US"/>
        </w:rPr>
        <w:lastRenderedPageBreak/>
        <w:t>trials, of which 22 were neutral. Trials began with a cue (lasting 250 </w:t>
      </w:r>
      <w:proofErr w:type="spellStart"/>
      <w:r w:rsidRPr="000E4150">
        <w:rPr>
          <w:rStyle w:val="spellingerror"/>
          <w:rFonts w:asciiTheme="majorBidi" w:hAnsiTheme="majorBidi" w:cstheme="majorBidi"/>
          <w:lang w:val="en-US"/>
        </w:rPr>
        <w:t>msec</w:t>
      </w:r>
      <w:proofErr w:type="spellEnd"/>
      <w:r w:rsidRPr="000E4150">
        <w:rPr>
          <w:rStyle w:val="normaltextrun"/>
          <w:rFonts w:asciiTheme="majorBidi" w:hAnsiTheme="majorBidi" w:cstheme="majorBidi"/>
          <w:lang w:val="en-US"/>
        </w:rPr>
        <w:t>) signaling the reward. For money incentives, a circle with two, one or no horizonal lines indicated a possible win of 50 pence (large reward), 10 pence (small reward) or 0 pence (neutral), respectively. For drug incentives, images of cocaine, crack, IV or non-IV drugs (white powder) in commonly taken form, or a bottle of water as neutral, were used to signal the expected reward (see Figure 1A). Following cue presentation, participants awaited a target cue for an anticipation period lasting 3000-5000 msec. Subsequently, a white square target was presented, lasting 100-400 </w:t>
      </w:r>
      <w:proofErr w:type="spellStart"/>
      <w:r w:rsidRPr="000E4150">
        <w:rPr>
          <w:rStyle w:val="spellingerror"/>
          <w:rFonts w:asciiTheme="majorBidi" w:hAnsiTheme="majorBidi" w:cstheme="majorBidi"/>
          <w:lang w:val="en-US"/>
        </w:rPr>
        <w:t>msec</w:t>
      </w:r>
      <w:proofErr w:type="spellEnd"/>
      <w:r w:rsidRPr="000E4150">
        <w:rPr>
          <w:rStyle w:val="normaltextrun"/>
          <w:rFonts w:asciiTheme="majorBidi" w:hAnsiTheme="majorBidi" w:cstheme="majorBidi"/>
          <w:lang w:val="en-US"/>
        </w:rPr>
        <w:t>, with participants required to press a key while the target was still on screen. Target duration was titrated to maintain a 66% success rate. Target presentation was followed by a feedback message (1650 </w:t>
      </w:r>
      <w:proofErr w:type="spellStart"/>
      <w:r w:rsidRPr="000E4150">
        <w:rPr>
          <w:rStyle w:val="spellingerror"/>
          <w:rFonts w:asciiTheme="majorBidi" w:hAnsiTheme="majorBidi" w:cstheme="majorBidi"/>
          <w:lang w:val="en-US"/>
        </w:rPr>
        <w:t>msec</w:t>
      </w:r>
      <w:proofErr w:type="spellEnd"/>
      <w:r w:rsidRPr="000E4150">
        <w:rPr>
          <w:rStyle w:val="normaltextrun"/>
          <w:rFonts w:asciiTheme="majorBidi" w:hAnsiTheme="majorBidi" w:cstheme="majorBidi"/>
          <w:lang w:val="en-US"/>
        </w:rPr>
        <w:t xml:space="preserve">). For money incentives, successful responding was followed by a message “you’ve won 10p/50p” along with the respective coin. Neutral and unsuccessful trials were followed by a message “you’ve won 0 p” accompanied by a white circle. </w:t>
      </w:r>
      <w:r w:rsidR="00EC41D1" w:rsidRPr="000E4150">
        <w:rPr>
          <w:lang w:val="en-US"/>
        </w:rPr>
        <w:t>Participants received monetary rewards conditional on their performance in the monetary block at the end of the task.</w:t>
      </w:r>
      <w:r w:rsidR="00EC41D1" w:rsidRPr="000E4150">
        <w:rPr>
          <w:rStyle w:val="normaltextrun"/>
          <w:rFonts w:asciiTheme="majorBidi" w:hAnsiTheme="majorBidi" w:cstheme="majorBidi"/>
          <w:lang w:val="en-US"/>
        </w:rPr>
        <w:t xml:space="preserve"> </w:t>
      </w:r>
      <w:r w:rsidRPr="000E4150">
        <w:rPr>
          <w:rStyle w:val="normaltextrun"/>
          <w:rFonts w:asciiTheme="majorBidi" w:hAnsiTheme="majorBidi" w:cstheme="majorBidi"/>
          <w:lang w:val="en-US"/>
        </w:rPr>
        <w:t>For drug incentives, successful responding was followed by an image of a person taking cocaine, crack, IV or non-IV drugs for the reward conditions, or a person drinking from a clear water bottle for the neutral or unsuccessful trials. An inter-trial interval lasted 2700</w:t>
      </w:r>
      <w:r w:rsidR="003E6AFF" w:rsidRPr="000E4150">
        <w:rPr>
          <w:rStyle w:val="normaltextrun"/>
          <w:rFonts w:asciiTheme="majorBidi" w:hAnsiTheme="majorBidi" w:cstheme="majorBidi"/>
          <w:lang w:val="en-US"/>
        </w:rPr>
        <w:t>-5700</w:t>
      </w:r>
      <w:r w:rsidRPr="000E4150">
        <w:rPr>
          <w:rStyle w:val="normaltextrun"/>
          <w:rFonts w:asciiTheme="majorBidi" w:hAnsiTheme="majorBidi" w:cstheme="majorBidi"/>
          <w:lang w:val="en-US"/>
        </w:rPr>
        <w:t> </w:t>
      </w:r>
      <w:proofErr w:type="spellStart"/>
      <w:r w:rsidRPr="000E4150">
        <w:rPr>
          <w:rStyle w:val="spellingerror"/>
          <w:rFonts w:asciiTheme="majorBidi" w:hAnsiTheme="majorBidi" w:cstheme="majorBidi"/>
          <w:lang w:val="en-US"/>
        </w:rPr>
        <w:t>msec</w:t>
      </w:r>
      <w:proofErr w:type="spellEnd"/>
      <w:r w:rsidRPr="000E4150">
        <w:rPr>
          <w:rStyle w:val="normaltextrun"/>
          <w:rFonts w:asciiTheme="majorBidi" w:hAnsiTheme="majorBidi" w:cstheme="majorBidi"/>
          <w:lang w:val="en-US"/>
        </w:rPr>
        <w:t>, during which a fixation cross was displayed. Participants first completed 66 practice trials prior to scanning with both incentive types</w:t>
      </w:r>
      <w:bookmarkStart w:id="0" w:name="_Hlk24569123"/>
      <w:r w:rsidR="008A709E" w:rsidRPr="000E4150">
        <w:rPr>
          <w:rStyle w:val="normaltextrun"/>
          <w:rFonts w:asciiTheme="majorBidi" w:hAnsiTheme="majorBidi" w:cstheme="majorBidi"/>
          <w:lang w:val="en-US"/>
        </w:rPr>
        <w:t xml:space="preserve">. </w:t>
      </w:r>
    </w:p>
    <w:bookmarkEnd w:id="0"/>
    <w:p w14:paraId="6408B150" w14:textId="77777777" w:rsidR="00D52D9F" w:rsidRPr="000E4150" w:rsidRDefault="00D52D9F" w:rsidP="000845E1">
      <w:pPr>
        <w:pStyle w:val="paragraph"/>
        <w:spacing w:before="0" w:beforeAutospacing="0" w:after="0" w:afterAutospacing="0" w:line="480" w:lineRule="auto"/>
        <w:textAlignment w:val="baseline"/>
        <w:rPr>
          <w:rStyle w:val="normaltextrun"/>
          <w:rFonts w:asciiTheme="majorBidi" w:hAnsiTheme="majorBidi" w:cstheme="majorBidi"/>
          <w:b/>
          <w:bCs/>
          <w:lang w:val="en-US"/>
        </w:rPr>
      </w:pPr>
    </w:p>
    <w:p w14:paraId="3C8742D9" w14:textId="77777777" w:rsidR="00D52D9F" w:rsidRPr="000E4150" w:rsidRDefault="00D52D9F" w:rsidP="00D52D9F">
      <w:pPr>
        <w:pStyle w:val="paragraph"/>
        <w:spacing w:before="0" w:beforeAutospacing="0" w:after="0" w:afterAutospacing="0" w:line="480" w:lineRule="auto"/>
        <w:textAlignment w:val="baseline"/>
        <w:rPr>
          <w:rFonts w:asciiTheme="majorBidi" w:hAnsiTheme="majorBidi" w:cstheme="majorBidi"/>
          <w:lang w:val="en-US"/>
        </w:rPr>
      </w:pPr>
      <w:r w:rsidRPr="000E4150">
        <w:rPr>
          <w:rStyle w:val="normaltextrun"/>
          <w:rFonts w:asciiTheme="majorBidi" w:hAnsiTheme="majorBidi" w:cstheme="majorBidi"/>
          <w:b/>
          <w:bCs/>
          <w:lang w:val="en-US"/>
        </w:rPr>
        <w:t>Neuroimaging Acquisition</w:t>
      </w:r>
      <w:r w:rsidRPr="000E4150">
        <w:rPr>
          <w:rStyle w:val="eop"/>
          <w:rFonts w:asciiTheme="majorBidi" w:hAnsiTheme="majorBidi" w:cstheme="majorBidi"/>
          <w:b/>
          <w:bCs/>
          <w:lang w:val="en-US"/>
        </w:rPr>
        <w:t>.</w:t>
      </w:r>
      <w:r w:rsidRPr="000E4150">
        <w:rPr>
          <w:rStyle w:val="eop"/>
          <w:rFonts w:asciiTheme="majorBidi" w:hAnsiTheme="majorBidi" w:cstheme="majorBidi"/>
          <w:lang w:val="en-US"/>
        </w:rPr>
        <w:t xml:space="preserve"> </w:t>
      </w:r>
      <w:r w:rsidRPr="000E4150">
        <w:rPr>
          <w:rStyle w:val="normaltextrun"/>
          <w:rFonts w:asciiTheme="majorBidi" w:hAnsiTheme="majorBidi" w:cstheme="majorBidi"/>
          <w:lang w:val="en-US"/>
        </w:rPr>
        <w:t>Images were collected on a Siemens TIM Trio 3-Tesla scanner (Erlangen, Germany) using whole-brain echo planar images for functional data and T1 images for high resolution structural data. The following parameters were applied for the functional scan: repetition time =2000ms; echo time=30ms, flip angle=78°; 32 slices with a thickness of 3mm plus a 0.75mm gap; matrix=64x64 field of view=192 x 192 mm with an in-</w:t>
      </w:r>
      <w:r w:rsidRPr="000E4150">
        <w:rPr>
          <w:rStyle w:val="normaltextrun"/>
          <w:rFonts w:asciiTheme="majorBidi" w:hAnsiTheme="majorBidi" w:cstheme="majorBidi"/>
          <w:lang w:val="en-US"/>
        </w:rPr>
        <w:lastRenderedPageBreak/>
        <w:t>plane resolution of 3x3mm. T1 scans were acquired using: TR=2300ms; TE=2.98ms; TI=900ms; flip angle=9°; FOV=240x256mm, resulting in 176 slices of 1 mm thickness. </w:t>
      </w:r>
      <w:r w:rsidRPr="000E4150">
        <w:rPr>
          <w:rStyle w:val="eop"/>
          <w:rFonts w:asciiTheme="majorBidi" w:hAnsiTheme="majorBidi" w:cstheme="majorBidi"/>
          <w:lang w:val="en-US"/>
        </w:rPr>
        <w:t> </w:t>
      </w:r>
    </w:p>
    <w:p w14:paraId="55631D16" w14:textId="37B6DBCA" w:rsidR="00D52D9F" w:rsidRPr="000E4150" w:rsidRDefault="00D52D9F" w:rsidP="00D52D9F">
      <w:pPr>
        <w:pStyle w:val="paragraph"/>
        <w:spacing w:before="0" w:beforeAutospacing="0" w:after="0" w:afterAutospacing="0" w:line="480" w:lineRule="auto"/>
        <w:textAlignment w:val="baseline"/>
        <w:rPr>
          <w:rFonts w:asciiTheme="majorBidi" w:hAnsiTheme="majorBidi" w:cstheme="majorBidi"/>
          <w:lang w:val="en-US"/>
        </w:rPr>
      </w:pPr>
      <w:r w:rsidRPr="000E4150">
        <w:rPr>
          <w:rStyle w:val="eop"/>
          <w:rFonts w:asciiTheme="majorBidi" w:hAnsiTheme="majorBidi" w:cstheme="majorBidi"/>
          <w:lang w:val="en-US"/>
        </w:rPr>
        <w:t>  </w:t>
      </w:r>
    </w:p>
    <w:p w14:paraId="565FCADA" w14:textId="77777777" w:rsidR="00D52D9F" w:rsidRPr="000E4150" w:rsidRDefault="00D52D9F" w:rsidP="00D52D9F">
      <w:pPr>
        <w:pStyle w:val="paragraph"/>
        <w:spacing w:before="0" w:beforeAutospacing="0" w:after="0" w:afterAutospacing="0" w:line="480" w:lineRule="auto"/>
        <w:textAlignment w:val="baseline"/>
        <w:rPr>
          <w:rFonts w:asciiTheme="majorBidi" w:hAnsiTheme="majorBidi" w:cstheme="majorBidi"/>
          <w:b/>
          <w:bCs/>
          <w:lang w:val="en-US"/>
        </w:rPr>
      </w:pPr>
      <w:r w:rsidRPr="000E4150">
        <w:rPr>
          <w:rStyle w:val="normaltextrun"/>
          <w:rFonts w:asciiTheme="majorBidi" w:hAnsiTheme="majorBidi" w:cstheme="majorBidi"/>
          <w:b/>
          <w:bCs/>
          <w:lang w:val="en-US"/>
        </w:rPr>
        <w:t xml:space="preserve">Data Analysis. </w:t>
      </w:r>
      <w:r w:rsidRPr="000E4150">
        <w:rPr>
          <w:rStyle w:val="eop"/>
          <w:rFonts w:asciiTheme="majorBidi" w:hAnsiTheme="majorBidi" w:cstheme="majorBidi"/>
          <w:b/>
          <w:bCs/>
          <w:lang w:val="en-US"/>
        </w:rPr>
        <w:t> </w:t>
      </w:r>
    </w:p>
    <w:p w14:paraId="33F602AF" w14:textId="77777777" w:rsidR="00D52D9F" w:rsidRPr="000E4150" w:rsidRDefault="00D52D9F" w:rsidP="00D52D9F">
      <w:pPr>
        <w:pStyle w:val="paragraph"/>
        <w:spacing w:before="0" w:beforeAutospacing="0" w:after="0" w:afterAutospacing="0" w:line="480" w:lineRule="auto"/>
        <w:textAlignment w:val="baseline"/>
        <w:rPr>
          <w:rFonts w:asciiTheme="majorBidi" w:hAnsiTheme="majorBidi" w:cstheme="majorBidi"/>
          <w:lang w:val="en-US"/>
        </w:rPr>
      </w:pPr>
      <w:r w:rsidRPr="000E4150">
        <w:rPr>
          <w:rStyle w:val="eop"/>
          <w:rFonts w:asciiTheme="majorBidi" w:hAnsiTheme="majorBidi" w:cstheme="majorBidi"/>
          <w:b/>
          <w:bCs/>
          <w:lang w:val="en-US"/>
        </w:rPr>
        <w:t> </w:t>
      </w:r>
      <w:r w:rsidRPr="000E4150">
        <w:rPr>
          <w:rStyle w:val="normaltextrun"/>
          <w:rFonts w:asciiTheme="majorBidi" w:hAnsiTheme="majorBidi" w:cstheme="majorBidi"/>
          <w:b/>
          <w:bCs/>
          <w:i/>
          <w:iCs/>
          <w:lang w:val="en-US"/>
        </w:rPr>
        <w:t xml:space="preserve">Task performance. </w:t>
      </w:r>
      <w:r w:rsidRPr="000E4150">
        <w:rPr>
          <w:rStyle w:val="normaltextrun"/>
          <w:rFonts w:asciiTheme="majorBidi" w:hAnsiTheme="majorBidi" w:cstheme="majorBidi"/>
          <w:lang w:val="en-US"/>
        </w:rPr>
        <w:t>Analyses contrasted the number of premature responses between groups, for the money and drug contexts. As data were positively skewed and deviated significantly from the normal distribution (Kolmogorov-Smirnov tests, p&lt;0.05), one-way nonparametric comparisons using Kruskal-Wallis tests were conducted in each incentive condition and Dunn’s post hoc tests were used for pairwise group comparisons. </w:t>
      </w:r>
      <w:r w:rsidRPr="000E4150">
        <w:rPr>
          <w:rStyle w:val="eop"/>
          <w:rFonts w:asciiTheme="majorBidi" w:hAnsiTheme="majorBidi" w:cstheme="majorBidi"/>
          <w:lang w:val="en-US"/>
        </w:rPr>
        <w:t> </w:t>
      </w:r>
    </w:p>
    <w:p w14:paraId="7FD1C637" w14:textId="070378DB" w:rsidR="00D52D9F" w:rsidRPr="000E4150" w:rsidRDefault="00D52D9F" w:rsidP="000845E1">
      <w:pPr>
        <w:pStyle w:val="paragraph"/>
        <w:spacing w:before="0" w:beforeAutospacing="0" w:after="0" w:afterAutospacing="0" w:line="480" w:lineRule="auto"/>
        <w:textAlignment w:val="baseline"/>
        <w:rPr>
          <w:lang w:val="en-US"/>
        </w:rPr>
      </w:pPr>
      <w:r w:rsidRPr="000E4150">
        <w:rPr>
          <w:rStyle w:val="eop"/>
          <w:rFonts w:asciiTheme="majorBidi" w:hAnsiTheme="majorBidi" w:cstheme="majorBidi"/>
          <w:lang w:val="en-US"/>
        </w:rPr>
        <w:t> </w:t>
      </w:r>
      <w:r w:rsidRPr="000E4150">
        <w:rPr>
          <w:rStyle w:val="normaltextrun"/>
          <w:rFonts w:asciiTheme="majorBidi" w:hAnsiTheme="majorBidi" w:cstheme="majorBidi"/>
          <w:b/>
          <w:bCs/>
          <w:i/>
          <w:iCs/>
          <w:lang w:val="en-US"/>
        </w:rPr>
        <w:t>Imaging data</w:t>
      </w:r>
      <w:r w:rsidRPr="000E4150">
        <w:rPr>
          <w:rStyle w:val="eop"/>
          <w:rFonts w:asciiTheme="majorBidi" w:hAnsiTheme="majorBidi" w:cstheme="majorBidi"/>
          <w:lang w:val="en-US"/>
        </w:rPr>
        <w:t xml:space="preserve">. </w:t>
      </w:r>
      <w:r w:rsidRPr="000E4150">
        <w:rPr>
          <w:rStyle w:val="normaltextrun"/>
          <w:rFonts w:asciiTheme="majorBidi" w:hAnsiTheme="majorBidi" w:cstheme="majorBidi"/>
          <w:lang w:val="en-US"/>
        </w:rPr>
        <w:t>Following the discarding of the first 5 volumes, 330 volumes were analyzed in each incentive context. First level analyses were carried out using FSL FEAT (</w:t>
      </w:r>
      <w:r w:rsidRPr="000E4150">
        <w:rPr>
          <w:lang w:val="en-US"/>
        </w:rPr>
        <w:t>FMRI Expert Analysis Tool, www.fmrib.ox.ac.uk/fsl</w:t>
      </w:r>
      <w:r w:rsidRPr="000E4150">
        <w:rPr>
          <w:rStyle w:val="normaltextrun"/>
          <w:rFonts w:asciiTheme="majorBidi" w:hAnsiTheme="majorBidi" w:cstheme="majorBidi"/>
          <w:lang w:val="en-US"/>
        </w:rPr>
        <w:t>) with standard settings in </w:t>
      </w:r>
      <w:r w:rsidRPr="000E4150">
        <w:rPr>
          <w:rStyle w:val="spellingerror"/>
          <w:rFonts w:asciiTheme="majorBidi" w:hAnsiTheme="majorBidi" w:cstheme="majorBidi"/>
          <w:lang w:val="en-US"/>
        </w:rPr>
        <w:t>FSL</w:t>
      </w:r>
      <w:r w:rsidRPr="000E4150">
        <w:rPr>
          <w:rStyle w:val="normaltextrun"/>
          <w:rFonts w:asciiTheme="majorBidi" w:hAnsiTheme="majorBidi" w:cstheme="majorBidi"/>
          <w:lang w:val="en-US"/>
        </w:rPr>
        <w:t xml:space="preserve"> 6.0. Image preprocessing included brain extraction using BET </w:t>
      </w:r>
      <w:r w:rsidRPr="000E4150">
        <w:rPr>
          <w:rStyle w:val="normaltextrun"/>
          <w:rFonts w:asciiTheme="majorBidi" w:hAnsiTheme="majorBidi" w:cstheme="majorBidi"/>
          <w:lang w:val="en-US"/>
        </w:rPr>
        <w:fldChar w:fldCharType="begin" w:fldLock="1"/>
      </w:r>
      <w:r w:rsidR="00760109" w:rsidRPr="000E4150">
        <w:rPr>
          <w:rStyle w:val="normaltextrun"/>
          <w:rFonts w:asciiTheme="majorBidi" w:hAnsiTheme="majorBidi" w:cstheme="majorBidi"/>
          <w:lang w:val="en-US"/>
        </w:rPr>
        <w:instrText>ADDIN CSL_CITATION {"citationItems":[{"id":"ITEM-1","itemData":{"DOI":"10.1002/hbm.10062","ISSN":"1065-9471","PMID":"12391568","abstract":"An automated method for segmenting magnetic resonance head images into brain and non-brain has been developed. It is very robust and accurate and has been tested on thousands of data sets from a wide variety of scanners and taken with a wide variety of MR sequences. The method, Brain Extraction Tool (BET), uses a deformable model that evolves to fit the brain's surface by the application of a set of locally adaptive model forces. The method is very fast and requires no preregistration or other pre-processing before being applied. We describe the new method and give examples of results and the results of extensive quantitative testing against \"gold-standard\" hand segmentations, and two other popular automated methods.","author":[{"dropping-particle":"","family":"Smith","given":"Stephen M","non-dropping-particle":"","parse-names":false,"suffix":""}],"container-title":"Human brain mapping","id":"ITEM-1","issue":"3","issued":{"date-parts":[["2002"]]},"page":"143-55","title":"Fast robust automated brain extraction.","type":"article-journal","volume":"17"},"uris":["http://www.mendeley.com/documents/?uuid=16e5e825-1a40-425c-8b69-4258330988db"]}],"mendeley":{"formattedCitation":"[Smith, 2002]","plainTextFormattedCitation":"[Smith, 2002]","previouslyFormattedCitation":"[Smith, 2002]"},"properties":{"noteIndex":0},"schema":"https://github.com/citation-style-language/schema/raw/master/csl-citation.json"}</w:instrText>
      </w:r>
      <w:r w:rsidRPr="000E4150">
        <w:rPr>
          <w:rStyle w:val="normaltextrun"/>
          <w:rFonts w:asciiTheme="majorBidi" w:hAnsiTheme="majorBidi" w:cstheme="majorBidi"/>
          <w:lang w:val="en-US"/>
        </w:rPr>
        <w:fldChar w:fldCharType="separate"/>
      </w:r>
      <w:r w:rsidR="00E06636" w:rsidRPr="000E4150">
        <w:rPr>
          <w:rStyle w:val="normaltextrun"/>
          <w:rFonts w:asciiTheme="majorBidi" w:hAnsiTheme="majorBidi" w:cstheme="majorBidi"/>
          <w:noProof/>
          <w:lang w:val="en-US"/>
        </w:rPr>
        <w:t>[Smith, 2002]</w:t>
      </w:r>
      <w:r w:rsidRPr="000E4150">
        <w:rPr>
          <w:rStyle w:val="normaltextrun"/>
          <w:rFonts w:asciiTheme="majorBidi" w:hAnsiTheme="majorBidi" w:cstheme="majorBidi"/>
          <w:lang w:val="en-US"/>
        </w:rPr>
        <w:fldChar w:fldCharType="end"/>
      </w:r>
      <w:r w:rsidRPr="000E4150">
        <w:rPr>
          <w:rStyle w:val="normaltextrun"/>
          <w:rFonts w:asciiTheme="majorBidi" w:hAnsiTheme="majorBidi" w:cstheme="majorBidi"/>
          <w:lang w:val="en-US"/>
        </w:rPr>
        <w:t xml:space="preserve"> nonlinear registration of T1 images to </w:t>
      </w:r>
      <w:r w:rsidR="000A6B3E" w:rsidRPr="000E4150">
        <w:rPr>
          <w:rStyle w:val="normaltextrun"/>
          <w:rFonts w:asciiTheme="majorBidi" w:hAnsiTheme="majorBidi" w:cstheme="majorBidi"/>
          <w:lang w:val="en-US"/>
        </w:rPr>
        <w:t>Montreal Neurological Institute (</w:t>
      </w:r>
      <w:r w:rsidRPr="000E4150">
        <w:rPr>
          <w:rStyle w:val="normaltextrun"/>
          <w:rFonts w:asciiTheme="majorBidi" w:hAnsiTheme="majorBidi" w:cstheme="majorBidi"/>
          <w:lang w:val="en-US"/>
        </w:rPr>
        <w:t>MNI</w:t>
      </w:r>
      <w:r w:rsidR="000A6B3E" w:rsidRPr="000E4150">
        <w:rPr>
          <w:rStyle w:val="normaltextrun"/>
          <w:rFonts w:asciiTheme="majorBidi" w:hAnsiTheme="majorBidi" w:cstheme="majorBidi"/>
          <w:lang w:val="en-US"/>
        </w:rPr>
        <w:t>)</w:t>
      </w:r>
      <w:r w:rsidRPr="000E4150">
        <w:rPr>
          <w:rStyle w:val="normaltextrun"/>
          <w:rFonts w:asciiTheme="majorBidi" w:hAnsiTheme="majorBidi" w:cstheme="majorBidi"/>
          <w:lang w:val="en-US"/>
        </w:rPr>
        <w:t xml:space="preserve"> standard space with 10mm warps and boundary-based registration of the functional image to the corresponding T1 image. Isotropic smoothing kernel with Gaussian </w:t>
      </w:r>
      <w:r w:rsidR="005473E0" w:rsidRPr="000E4150">
        <w:rPr>
          <w:rStyle w:val="normaltextrun"/>
          <w:rFonts w:asciiTheme="majorBidi" w:hAnsiTheme="majorBidi" w:cstheme="majorBidi"/>
          <w:lang w:val="en-US"/>
        </w:rPr>
        <w:t>full width half measure</w:t>
      </w:r>
      <w:r w:rsidRPr="000E4150">
        <w:rPr>
          <w:rStyle w:val="normaltextrun"/>
          <w:rFonts w:asciiTheme="majorBidi" w:hAnsiTheme="majorBidi" w:cstheme="majorBidi"/>
          <w:lang w:val="en-US"/>
        </w:rPr>
        <w:t xml:space="preserve"> of 5 mm was chosen. Second level analyses were in MNI standard space (resampled to 2x2x2 mm). Motion correction (</w:t>
      </w:r>
      <w:r w:rsidRPr="000E4150">
        <w:rPr>
          <w:rStyle w:val="spellingerror"/>
          <w:rFonts w:asciiTheme="majorBidi" w:hAnsiTheme="majorBidi" w:cstheme="majorBidi"/>
          <w:lang w:val="en-US"/>
        </w:rPr>
        <w:t>mcflirt</w:t>
      </w:r>
      <w:r w:rsidRPr="000E4150">
        <w:rPr>
          <w:rStyle w:val="normaltextrun"/>
          <w:rFonts w:asciiTheme="majorBidi" w:hAnsiTheme="majorBidi" w:cstheme="majorBidi"/>
          <w:lang w:val="en-US"/>
        </w:rPr>
        <w:t>, </w:t>
      </w:r>
      <w:r w:rsidRPr="000E4150">
        <w:rPr>
          <w:rStyle w:val="normaltextrun"/>
          <w:rFonts w:asciiTheme="majorBidi" w:hAnsiTheme="majorBidi" w:cstheme="majorBidi"/>
          <w:lang w:val="en-US"/>
        </w:rPr>
        <w:fldChar w:fldCharType="begin" w:fldLock="1"/>
      </w:r>
      <w:r w:rsidR="00760109" w:rsidRPr="000E4150">
        <w:rPr>
          <w:rStyle w:val="normaltextrun"/>
          <w:rFonts w:asciiTheme="majorBidi" w:hAnsiTheme="majorBidi" w:cstheme="majorBidi"/>
          <w:lang w:val="en-US"/>
        </w:rPr>
        <w:instrText>ADDIN CSL_CITATION {"citationItems":[{"id":"ITEM-1","itemData":{"DOI":"10.1006/nimg.2002.1132","ISSN":"1053-8119","PMID":"12377157","abstract":"Linear registration and motion correction are important components of structural and functional brain image analysis. Most modern methods optimize some intensity-based cost function to determine the best registration. To date, little attention has been focused on the optimization method itself, even though the success of most registration methods hinges on the quality of this optimization. This paper examines the optimization process in detail and demonstrates that the commonly used multiresolution local optimization methods can, and do, get trapped in local minima. To address this problem, two approaches are taken: (1) to apodize the cost function and (2) to employ a novel hybrid global-local optimization method. This new optimization method is specifically designed for registering whole brain images. It substantially reduces the likelihood of producing misregistrations due to being trapped by local minima. The increased robustness of the method, compared to other commonly used methods, is demonstrated by a consistency test. In addition, the accuracy of the registration is demonstrated by a series of experiments with motion correction. These motion correction experiments also investigate how the results are affected by different cost functions and interpolation methods. © 2002 Elsevier Science (USA).","author":[{"dropping-particle":"","family":"Jenkinson","given":"Mark","non-dropping-particle":"","parse-names":false,"suffix":""},{"dropping-particle":"","family":"Bannister","given":"Peter","non-dropping-particle":"","parse-names":false,"suffix":""},{"dropping-particle":"","family":"Brady","given":"Michael","non-dropping-particle":"","parse-names":false,"suffix":""},{"dropping-particle":"","family":"Smith","given":"Stephen","non-dropping-particle":"","parse-names":false,"suffix":""}],"container-title":"NeuroImage","id":"ITEM-1","issue":"2","issued":{"date-parts":[["2002"]]},"page":"825-41","title":"Improved optimization for the robust and accurate linear registration and motion correction of brain images.","type":"article-journal","volume":"17"},"uris":["http://www.mendeley.com/documents/?uuid=7bb75634-7839-4406-82a8-e007c52eaaea"]}],"mendeley":{"formattedCitation":"[Jenkinson et al., 2002]","manualFormatting":"Jenkinson et al, 2002)","plainTextFormattedCitation":"[Jenkinson et al., 2002]","previouslyFormattedCitation":"[Jenkinson et al., 2002]"},"properties":{"noteIndex":0},"schema":"https://github.com/citation-style-language/schema/raw/master/csl-citation.json"}</w:instrText>
      </w:r>
      <w:r w:rsidRPr="000E4150">
        <w:rPr>
          <w:rStyle w:val="normaltextrun"/>
          <w:rFonts w:asciiTheme="majorBidi" w:hAnsiTheme="majorBidi" w:cstheme="majorBidi"/>
          <w:lang w:val="en-US"/>
        </w:rPr>
        <w:fldChar w:fldCharType="separate"/>
      </w:r>
      <w:r w:rsidRPr="000E4150">
        <w:rPr>
          <w:rStyle w:val="normaltextrun"/>
          <w:rFonts w:asciiTheme="majorBidi" w:hAnsiTheme="majorBidi" w:cstheme="majorBidi"/>
          <w:noProof/>
          <w:lang w:val="en-US"/>
        </w:rPr>
        <w:t xml:space="preserve">Jenkinson </w:t>
      </w:r>
      <w:r w:rsidRPr="000E4150">
        <w:rPr>
          <w:rStyle w:val="normaltextrun"/>
          <w:rFonts w:asciiTheme="majorBidi" w:hAnsiTheme="majorBidi" w:cstheme="majorBidi"/>
          <w:i/>
          <w:noProof/>
          <w:lang w:val="en-US"/>
        </w:rPr>
        <w:t>et al</w:t>
      </w:r>
      <w:r w:rsidRPr="000E4150">
        <w:rPr>
          <w:rStyle w:val="normaltextrun"/>
          <w:rFonts w:asciiTheme="majorBidi" w:hAnsiTheme="majorBidi" w:cstheme="majorBidi"/>
          <w:noProof/>
          <w:lang w:val="en-US"/>
        </w:rPr>
        <w:t>, 2002)</w:t>
      </w:r>
      <w:r w:rsidRPr="000E4150">
        <w:rPr>
          <w:rStyle w:val="normaltextrun"/>
          <w:rFonts w:asciiTheme="majorBidi" w:hAnsiTheme="majorBidi" w:cstheme="majorBidi"/>
          <w:lang w:val="en-US"/>
        </w:rPr>
        <w:fldChar w:fldCharType="end"/>
      </w:r>
      <w:r w:rsidRPr="000E4150">
        <w:rPr>
          <w:rStyle w:val="normaltextrun"/>
          <w:rFonts w:asciiTheme="majorBidi" w:hAnsiTheme="majorBidi" w:cstheme="majorBidi"/>
          <w:lang w:val="en-US"/>
        </w:rPr>
        <w:t xml:space="preserve"> was used to linearly register all images in a 4D volume to an average image and to estimate head motion parameters (rotation, temporal derivatives). Temporal derivatives of </w:t>
      </w:r>
      <w:r w:rsidR="001208D4" w:rsidRPr="000E4150">
        <w:rPr>
          <w:rStyle w:val="normaltextrun"/>
          <w:rFonts w:asciiTheme="majorBidi" w:hAnsiTheme="majorBidi" w:cstheme="majorBidi"/>
          <w:lang w:val="en-US"/>
        </w:rPr>
        <w:t xml:space="preserve">explanatory </w:t>
      </w:r>
      <w:r w:rsidRPr="000E4150">
        <w:rPr>
          <w:rStyle w:val="normaltextrun"/>
          <w:rFonts w:asciiTheme="majorBidi" w:hAnsiTheme="majorBidi" w:cstheme="majorBidi"/>
          <w:lang w:val="en-US"/>
        </w:rPr>
        <w:t xml:space="preserve">variables </w:t>
      </w:r>
      <w:r w:rsidR="00037674" w:rsidRPr="000E4150">
        <w:rPr>
          <w:rStyle w:val="normaltextrun"/>
          <w:rFonts w:asciiTheme="majorBidi" w:hAnsiTheme="majorBidi" w:cstheme="majorBidi"/>
          <w:lang w:val="en-US"/>
        </w:rPr>
        <w:t>(EVs)</w:t>
      </w:r>
      <w:r w:rsidRPr="000E4150">
        <w:rPr>
          <w:rStyle w:val="normaltextrun"/>
          <w:rFonts w:asciiTheme="majorBidi" w:hAnsiTheme="majorBidi" w:cstheme="majorBidi"/>
          <w:lang w:val="en-US"/>
        </w:rPr>
        <w:t xml:space="preserve"> were included in the first level General Linear Model (GLM), in lieu of slice-timing correction. </w:t>
      </w:r>
      <w:r w:rsidRPr="000E4150">
        <w:rPr>
          <w:rStyle w:val="eop"/>
          <w:rFonts w:asciiTheme="majorBidi" w:hAnsiTheme="majorBidi" w:cstheme="majorBidi"/>
          <w:lang w:val="en-US"/>
        </w:rPr>
        <w:t> </w:t>
      </w:r>
    </w:p>
    <w:p w14:paraId="2DAE3999" w14:textId="3EB00241" w:rsidR="00D52D9F" w:rsidRPr="000E4150" w:rsidRDefault="00D52D9F" w:rsidP="000845E1">
      <w:pPr>
        <w:pStyle w:val="paragraph"/>
        <w:spacing w:before="0" w:beforeAutospacing="0" w:after="0" w:afterAutospacing="0" w:line="480" w:lineRule="auto"/>
        <w:textAlignment w:val="baseline"/>
        <w:rPr>
          <w:rFonts w:asciiTheme="majorBidi" w:hAnsiTheme="majorBidi" w:cstheme="majorBidi"/>
          <w:lang w:val="en-US"/>
        </w:rPr>
      </w:pPr>
      <w:r w:rsidRPr="000E4150">
        <w:rPr>
          <w:rStyle w:val="eop"/>
          <w:rFonts w:asciiTheme="majorBidi" w:hAnsiTheme="majorBidi" w:cstheme="majorBidi"/>
          <w:lang w:val="en-US"/>
        </w:rPr>
        <w:t> </w:t>
      </w:r>
      <w:r w:rsidRPr="000E4150">
        <w:rPr>
          <w:rStyle w:val="eop"/>
          <w:rFonts w:asciiTheme="majorBidi" w:hAnsiTheme="majorBidi" w:cstheme="majorBidi"/>
          <w:lang w:val="en-US"/>
        </w:rPr>
        <w:tab/>
      </w:r>
      <w:r w:rsidRPr="000E4150">
        <w:rPr>
          <w:rStyle w:val="normaltextrun"/>
          <w:rFonts w:asciiTheme="majorBidi" w:hAnsiTheme="majorBidi" w:cstheme="majorBidi"/>
          <w:lang w:val="en-US"/>
        </w:rPr>
        <w:t>These analyses focused on trials where participants responded during the anticipation window, i.e. before target presentation. For the GLM fMRI analyses, premature responses were matched with corresponding correct trials</w:t>
      </w:r>
      <w:r w:rsidR="00BE2F79" w:rsidRPr="000E4150">
        <w:rPr>
          <w:rStyle w:val="normaltextrun"/>
          <w:rFonts w:asciiTheme="majorBidi" w:hAnsiTheme="majorBidi" w:cstheme="majorBidi"/>
          <w:lang w:val="en-US"/>
        </w:rPr>
        <w:t xml:space="preserve"> where participants responded during target presentation</w:t>
      </w:r>
      <w:r w:rsidR="004A24AE" w:rsidRPr="000E4150">
        <w:rPr>
          <w:rStyle w:val="normaltextrun"/>
          <w:rFonts w:asciiTheme="majorBidi" w:hAnsiTheme="majorBidi" w:cstheme="majorBidi"/>
          <w:lang w:val="en-US"/>
        </w:rPr>
        <w:t>.</w:t>
      </w:r>
      <w:r w:rsidR="006A7BE0" w:rsidRPr="000E4150">
        <w:rPr>
          <w:rStyle w:val="normaltextrun"/>
          <w:rFonts w:asciiTheme="majorBidi" w:hAnsiTheme="majorBidi" w:cstheme="majorBidi"/>
          <w:lang w:val="en-US"/>
        </w:rPr>
        <w:t xml:space="preserve"> </w:t>
      </w:r>
      <w:r w:rsidR="00BE2F79" w:rsidRPr="000E4150">
        <w:rPr>
          <w:rStyle w:val="normaltextrun"/>
          <w:rFonts w:asciiTheme="majorBidi" w:hAnsiTheme="majorBidi" w:cstheme="majorBidi"/>
          <w:lang w:val="en-US"/>
        </w:rPr>
        <w:t xml:space="preserve">Specifically, a </w:t>
      </w:r>
      <w:r w:rsidR="006A7BE0" w:rsidRPr="000E4150">
        <w:rPr>
          <w:rStyle w:val="normaltextrun"/>
          <w:rFonts w:asciiTheme="majorBidi" w:hAnsiTheme="majorBidi" w:cstheme="majorBidi"/>
          <w:lang w:val="en-US"/>
        </w:rPr>
        <w:t xml:space="preserve">correct trial </w:t>
      </w:r>
      <w:r w:rsidR="00BE2F79" w:rsidRPr="000E4150">
        <w:rPr>
          <w:rStyle w:val="normaltextrun"/>
          <w:rFonts w:asciiTheme="majorBidi" w:hAnsiTheme="majorBidi" w:cstheme="majorBidi"/>
          <w:lang w:val="en-US"/>
        </w:rPr>
        <w:t>of the</w:t>
      </w:r>
      <w:r w:rsidR="006A7BE0" w:rsidRPr="000E4150">
        <w:rPr>
          <w:rStyle w:val="normaltextrun"/>
          <w:rFonts w:asciiTheme="majorBidi" w:hAnsiTheme="majorBidi" w:cstheme="majorBidi"/>
          <w:lang w:val="en-US"/>
        </w:rPr>
        <w:t xml:space="preserve"> same type</w:t>
      </w:r>
      <w:r w:rsidR="00BE2F79" w:rsidRPr="000E4150">
        <w:rPr>
          <w:rStyle w:val="normaltextrun"/>
          <w:rFonts w:asciiTheme="majorBidi" w:hAnsiTheme="majorBidi" w:cstheme="majorBidi"/>
          <w:lang w:val="en-US"/>
        </w:rPr>
        <w:t xml:space="preserve"> (e.g., neutral)</w:t>
      </w:r>
      <w:r w:rsidR="00491A0B" w:rsidRPr="000E4150">
        <w:rPr>
          <w:rStyle w:val="normaltextrun"/>
          <w:rFonts w:asciiTheme="majorBidi" w:hAnsiTheme="majorBidi" w:cstheme="majorBidi"/>
          <w:lang w:val="en-US"/>
        </w:rPr>
        <w:t xml:space="preserve"> appearing</w:t>
      </w:r>
      <w:r w:rsidR="006A7BE0" w:rsidRPr="000E4150">
        <w:rPr>
          <w:rStyle w:val="normaltextrun"/>
          <w:rFonts w:asciiTheme="majorBidi" w:hAnsiTheme="majorBidi" w:cstheme="majorBidi"/>
          <w:lang w:val="en-US"/>
        </w:rPr>
        <w:t xml:space="preserve"> </w:t>
      </w:r>
      <w:r w:rsidR="00BE2F79" w:rsidRPr="000E4150">
        <w:rPr>
          <w:rStyle w:val="normaltextrun"/>
          <w:rFonts w:asciiTheme="majorBidi" w:hAnsiTheme="majorBidi" w:cstheme="majorBidi"/>
          <w:lang w:val="en-US"/>
        </w:rPr>
        <w:t xml:space="preserve">as close in </w:t>
      </w:r>
      <w:r w:rsidR="00BE2F79" w:rsidRPr="000E4150">
        <w:rPr>
          <w:rStyle w:val="normaltextrun"/>
          <w:rFonts w:asciiTheme="majorBidi" w:hAnsiTheme="majorBidi" w:cstheme="majorBidi"/>
          <w:lang w:val="en-US"/>
        </w:rPr>
        <w:lastRenderedPageBreak/>
        <w:t>presentation as possible to the premature trial was selected</w:t>
      </w:r>
      <w:r w:rsidR="006A7BE0" w:rsidRPr="000E4150">
        <w:rPr>
          <w:rStyle w:val="normaltextrun"/>
          <w:rFonts w:asciiTheme="majorBidi" w:hAnsiTheme="majorBidi" w:cstheme="majorBidi"/>
          <w:lang w:val="en-US"/>
        </w:rPr>
        <w:t xml:space="preserve">. </w:t>
      </w:r>
      <w:r w:rsidR="00916661" w:rsidRPr="000E4150">
        <w:rPr>
          <w:rStyle w:val="normaltextrun"/>
          <w:rFonts w:asciiTheme="majorBidi" w:hAnsiTheme="majorBidi" w:cstheme="majorBidi"/>
          <w:lang w:val="en-US"/>
        </w:rPr>
        <w:t xml:space="preserve">Matching correct trials could occur both before and after the </w:t>
      </w:r>
      <w:r w:rsidR="00447099" w:rsidRPr="000E4150">
        <w:rPr>
          <w:rStyle w:val="normaltextrun"/>
          <w:rFonts w:asciiTheme="majorBidi" w:hAnsiTheme="majorBidi" w:cstheme="majorBidi"/>
          <w:lang w:val="en-US"/>
        </w:rPr>
        <w:t xml:space="preserve">corresponding premature trial. </w:t>
      </w:r>
      <w:r w:rsidRPr="000E4150">
        <w:rPr>
          <w:rStyle w:val="normaltextrun"/>
          <w:rFonts w:asciiTheme="majorBidi" w:hAnsiTheme="majorBidi" w:cstheme="majorBidi"/>
          <w:lang w:val="en-US"/>
        </w:rPr>
        <w:t xml:space="preserve">This </w:t>
      </w:r>
      <w:r w:rsidR="004B57FB" w:rsidRPr="000E4150">
        <w:rPr>
          <w:rStyle w:val="normaltextrun"/>
          <w:rFonts w:asciiTheme="majorBidi" w:hAnsiTheme="majorBidi" w:cstheme="majorBidi"/>
          <w:lang w:val="en-US"/>
        </w:rPr>
        <w:t xml:space="preserve">procedure </w:t>
      </w:r>
      <w:r w:rsidRPr="000E4150">
        <w:rPr>
          <w:rStyle w:val="normaltextrun"/>
          <w:rFonts w:asciiTheme="majorBidi" w:hAnsiTheme="majorBidi" w:cstheme="majorBidi"/>
          <w:lang w:val="en-US"/>
        </w:rPr>
        <w:t xml:space="preserve">ensured </w:t>
      </w:r>
      <w:r w:rsidR="009240A2" w:rsidRPr="000E4150">
        <w:rPr>
          <w:rStyle w:val="normaltextrun"/>
          <w:rFonts w:asciiTheme="majorBidi" w:hAnsiTheme="majorBidi" w:cstheme="majorBidi"/>
          <w:lang w:val="en-US"/>
        </w:rPr>
        <w:t xml:space="preserve">that </w:t>
      </w:r>
      <w:r w:rsidRPr="000E4150">
        <w:rPr>
          <w:rStyle w:val="normaltextrun"/>
          <w:rFonts w:asciiTheme="majorBidi" w:hAnsiTheme="majorBidi" w:cstheme="majorBidi"/>
          <w:lang w:val="en-US"/>
        </w:rPr>
        <w:t>contrasts included the same number of premature and correct events. For the purpose of the logistic regression fMRI analysis, all correct trials were used.</w:t>
      </w:r>
      <w:r w:rsidRPr="000E4150">
        <w:rPr>
          <w:rStyle w:val="eop"/>
          <w:rFonts w:asciiTheme="majorBidi" w:hAnsiTheme="majorBidi" w:cstheme="majorBidi"/>
          <w:lang w:val="en-US"/>
        </w:rPr>
        <w:t> </w:t>
      </w:r>
    </w:p>
    <w:p w14:paraId="0FE461C0" w14:textId="755C6C67" w:rsidR="00D52D9F" w:rsidRPr="000E4150" w:rsidRDefault="00D52D9F" w:rsidP="00D52D9F">
      <w:pPr>
        <w:pStyle w:val="paragraph"/>
        <w:spacing w:before="0" w:beforeAutospacing="0" w:after="0" w:afterAutospacing="0" w:line="480" w:lineRule="auto"/>
        <w:textAlignment w:val="baseline"/>
        <w:rPr>
          <w:rFonts w:asciiTheme="majorBidi" w:hAnsiTheme="majorBidi" w:cstheme="majorBidi"/>
          <w:lang w:val="en-US"/>
        </w:rPr>
      </w:pPr>
      <w:r w:rsidRPr="000E4150">
        <w:rPr>
          <w:rStyle w:val="eop"/>
          <w:rFonts w:asciiTheme="majorBidi" w:hAnsiTheme="majorBidi" w:cstheme="majorBidi"/>
          <w:lang w:val="en-US"/>
        </w:rPr>
        <w:t> </w:t>
      </w:r>
      <w:r w:rsidRPr="000E4150">
        <w:rPr>
          <w:rStyle w:val="eop"/>
          <w:rFonts w:asciiTheme="majorBidi" w:hAnsiTheme="majorBidi" w:cstheme="majorBidi"/>
          <w:lang w:val="en-US"/>
        </w:rPr>
        <w:tab/>
      </w:r>
      <w:r w:rsidRPr="000E4150">
        <w:rPr>
          <w:rStyle w:val="normaltextrun"/>
          <w:rFonts w:asciiTheme="majorBidi" w:hAnsiTheme="majorBidi" w:cstheme="majorBidi"/>
          <w:lang w:val="en-US"/>
        </w:rPr>
        <w:t xml:space="preserve">The first level design matrix included six </w:t>
      </w:r>
      <w:r w:rsidR="00F45034" w:rsidRPr="000E4150">
        <w:rPr>
          <w:rStyle w:val="normaltextrun"/>
          <w:rFonts w:asciiTheme="majorBidi" w:hAnsiTheme="majorBidi" w:cstheme="majorBidi"/>
          <w:lang w:val="en-US"/>
        </w:rPr>
        <w:t>EVs</w:t>
      </w:r>
      <w:r w:rsidR="001A468D" w:rsidRPr="000E4150">
        <w:rPr>
          <w:rStyle w:val="normaltextrun"/>
          <w:rFonts w:asciiTheme="majorBidi" w:hAnsiTheme="majorBidi" w:cstheme="majorBidi"/>
          <w:lang w:val="en-US"/>
        </w:rPr>
        <w:t xml:space="preserve"> </w:t>
      </w:r>
      <w:r w:rsidRPr="000E4150">
        <w:rPr>
          <w:rStyle w:val="normaltextrun"/>
          <w:rFonts w:asciiTheme="majorBidi" w:hAnsiTheme="majorBidi" w:cstheme="majorBidi"/>
          <w:lang w:val="en-US"/>
        </w:rPr>
        <w:t>and their temporal derivatives: 1) premature responses for money incentive, 2) corresponding correct responses for money incentive, 3) premature responses with drug cue incentives, 4) corresponding correct responses for drug incentives, 5) all remaining correct responses, and 6) all feedback events. EV1-EV5 were modelled with event onset and duration as the start and duration of the anticipation window. EV6 was modelled with onset times and durations for the feedback. Effects of motion were controlled by including 24 motion parameters in the design matrix. Parameter estimate contrasts were calculated for EV1-EV2 (premature &gt; </w:t>
      </w:r>
      <w:proofErr w:type="spellStart"/>
      <w:r w:rsidRPr="000E4150">
        <w:rPr>
          <w:rStyle w:val="spellingerror"/>
          <w:rFonts w:asciiTheme="majorBidi" w:hAnsiTheme="majorBidi" w:cstheme="majorBidi"/>
          <w:lang w:val="en-US"/>
        </w:rPr>
        <w:t>correct</w:t>
      </w:r>
      <w:r w:rsidRPr="000E4150">
        <w:rPr>
          <w:rStyle w:val="spellingerror"/>
          <w:rFonts w:asciiTheme="majorBidi" w:hAnsiTheme="majorBidi" w:cstheme="majorBidi"/>
          <w:vertAlign w:val="subscript"/>
          <w:lang w:val="en-US"/>
        </w:rPr>
        <w:t>money</w:t>
      </w:r>
      <w:proofErr w:type="spellEnd"/>
      <w:r w:rsidRPr="000E4150">
        <w:rPr>
          <w:rStyle w:val="normaltextrun"/>
          <w:rFonts w:asciiTheme="majorBidi" w:hAnsiTheme="majorBidi" w:cstheme="majorBidi"/>
          <w:lang w:val="en-US"/>
        </w:rPr>
        <w:t>) and for EV3-EV4 (premature &gt; </w:t>
      </w:r>
      <w:proofErr w:type="spellStart"/>
      <w:r w:rsidRPr="000E4150">
        <w:rPr>
          <w:rStyle w:val="spellingerror"/>
          <w:rFonts w:asciiTheme="majorBidi" w:hAnsiTheme="majorBidi" w:cstheme="majorBidi"/>
          <w:lang w:val="en-US"/>
        </w:rPr>
        <w:t>correct</w:t>
      </w:r>
      <w:r w:rsidRPr="000E4150">
        <w:rPr>
          <w:rStyle w:val="spellingerror"/>
          <w:rFonts w:asciiTheme="majorBidi" w:hAnsiTheme="majorBidi" w:cstheme="majorBidi"/>
          <w:vertAlign w:val="subscript"/>
          <w:lang w:val="en-US"/>
        </w:rPr>
        <w:t>drug</w:t>
      </w:r>
      <w:proofErr w:type="spellEnd"/>
      <w:r w:rsidRPr="000E4150">
        <w:rPr>
          <w:rStyle w:val="normaltextrun"/>
          <w:rFonts w:asciiTheme="majorBidi" w:hAnsiTheme="majorBidi" w:cstheme="majorBidi"/>
          <w:lang w:val="en-US"/>
        </w:rPr>
        <w:t>). </w:t>
      </w:r>
      <w:r w:rsidRPr="000E4150">
        <w:rPr>
          <w:rStyle w:val="eop"/>
          <w:rFonts w:asciiTheme="majorBidi" w:hAnsiTheme="majorBidi" w:cstheme="majorBidi"/>
          <w:lang w:val="en-US"/>
        </w:rPr>
        <w:t> </w:t>
      </w:r>
    </w:p>
    <w:p w14:paraId="4786BAF2" w14:textId="506BFB8B" w:rsidR="00D52D9F" w:rsidRPr="000E4150" w:rsidRDefault="00D52D9F" w:rsidP="00D52D9F">
      <w:pPr>
        <w:pStyle w:val="paragraph"/>
        <w:spacing w:before="0" w:beforeAutospacing="0" w:after="0" w:afterAutospacing="0" w:line="480" w:lineRule="auto"/>
        <w:textAlignment w:val="baseline"/>
        <w:rPr>
          <w:rFonts w:asciiTheme="majorBidi" w:hAnsiTheme="majorBidi" w:cstheme="majorBidi"/>
          <w:lang w:val="en-US"/>
        </w:rPr>
      </w:pPr>
      <w:r w:rsidRPr="000E4150">
        <w:rPr>
          <w:rStyle w:val="eop"/>
          <w:rFonts w:asciiTheme="majorBidi" w:hAnsiTheme="majorBidi" w:cstheme="majorBidi"/>
          <w:lang w:val="en-US"/>
        </w:rPr>
        <w:t> </w:t>
      </w:r>
      <w:r w:rsidRPr="000E4150">
        <w:rPr>
          <w:rStyle w:val="eop"/>
          <w:rFonts w:asciiTheme="majorBidi" w:hAnsiTheme="majorBidi" w:cstheme="majorBidi"/>
          <w:lang w:val="en-US"/>
        </w:rPr>
        <w:tab/>
      </w:r>
      <w:r w:rsidRPr="000E4150">
        <w:rPr>
          <w:rStyle w:val="normaltextrun"/>
          <w:rFonts w:asciiTheme="majorBidi" w:hAnsiTheme="majorBidi" w:cstheme="majorBidi"/>
          <w:lang w:val="en-US"/>
        </w:rPr>
        <w:t>Whole brain maps from the first level analyses were passed to a second level design matrix that tested mean group activations and pairwise group differences using one-sample and independent sample t-tests, respectively. Second level analyses used FEAT GLM with FLAME1 and a cluster forming threshold of z=2.3 and voxel-wise threshold of p&lt;0.05. Demeaned gender was included as a covariate in the GLM. The striatum region of interest (ROI) mask was created by combining bilateral masks for caudate, putamen, and nucleus </w:t>
      </w:r>
      <w:r w:rsidRPr="000E4150">
        <w:rPr>
          <w:rStyle w:val="spellingerror"/>
          <w:rFonts w:asciiTheme="majorBidi" w:hAnsiTheme="majorBidi" w:cstheme="majorBidi"/>
          <w:lang w:val="en-US"/>
        </w:rPr>
        <w:t>accumbens</w:t>
      </w:r>
      <w:r w:rsidRPr="000E4150">
        <w:rPr>
          <w:rStyle w:val="normaltextrun"/>
          <w:rFonts w:asciiTheme="majorBidi" w:hAnsiTheme="majorBidi" w:cstheme="majorBidi"/>
          <w:lang w:val="en-US"/>
        </w:rPr>
        <w:t xml:space="preserve"> from the Harvard-Oxford atlas </w:t>
      </w:r>
      <w:r w:rsidRPr="000E4150">
        <w:rPr>
          <w:rStyle w:val="normaltextrun"/>
          <w:rFonts w:asciiTheme="majorBidi" w:hAnsiTheme="majorBidi" w:cstheme="majorBidi"/>
          <w:lang w:val="en-US"/>
        </w:rPr>
        <w:fldChar w:fldCharType="begin" w:fldLock="1"/>
      </w:r>
      <w:r w:rsidR="00760109" w:rsidRPr="000E4150">
        <w:rPr>
          <w:rStyle w:val="normaltextrun"/>
          <w:rFonts w:asciiTheme="majorBidi" w:hAnsiTheme="majorBidi" w:cstheme="majorBidi"/>
          <w:lang w:val="en-US"/>
        </w:rPr>
        <w:instrText>ADDIN CSL_CITATION {"citationItems":[{"id":"ITEM-1","itemData":{"DOI":"10.1016/j.neuroimage.2006.01.021","ISSN":"10538119","abstract":"In this study, we have assessed the validity and reliability of an automated labeling system that we have developed for subdividing the human cerebral cortex on magnetic resonance images into gyral based regions of interest (ROIs). Using a dataset of 40 MRI scans we manually identified 34 cortical ROIs in each of the individual hemispheres. This information was then encoded in the form of an atlas that was utilized to automatically label ROIs. To examine the validity, as well as the intra- and inter-rater reliability of the automated system, we used both intraclass correlation coefficients (ICC), and a new method known as mean distance maps, to assess the degree of mismatch between the manual and the automated sets of ROIs. When compared with the manual ROIs, the automated ROIs were highly accurate, with an average ICC of 0.835 across all of the ROIs, and a mean distance error of less than 1 mm. Intra- and inter-rater comparisons yielded little to no difference between the sets of ROIs. These findings suggest that the automated method we have developed for subdividing the human cerebral cortex into standard gyral-based neuroanatomical regions is both anatomically valid and reliable. This method may be useful for both morphometric and functional studies of the cerebral cortex as well as for clinical investigations aimed at tracking the evolution of disease-induced changes over time, including clinical trials in which MRI-based measures are used to examine response to treatment. © 2006 Elsevier Inc. All rights reserved.","author":[{"dropping-particle":"","family":"Desikan","given":"Rahul S.","non-dropping-particle":"","parse-names":false,"suffix":""},{"dropping-particle":"","family":"Ségonne","given":"Florent","non-dropping-particle":"","parse-names":false,"suffix":""},{"dropping-particle":"","family":"Fischl","given":"Bruce","non-dropping-particle":"","parse-names":false,"suffix":""},{"dropping-particle":"","family":"Quinn","given":"Brian T.","non-dropping-particle":"","parse-names":false,"suffix":""},{"dropping-particle":"","family":"Dickerson","given":"Bradford C.","non-dropping-particle":"","parse-names":false,"suffix":""},{"dropping-particle":"","family":"Blacker","given":"Deborah","non-dropping-particle":"","parse-names":false,"suffix":""},{"dropping-particle":"","family":"Buckner","given":"Randy L.","non-dropping-particle":"","parse-names":false,"suffix":""},{"dropping-particle":"","family":"Dale","given":"Anders M.","non-dropping-particle":"","parse-names":false,"suffix":""},{"dropping-particle":"","family":"Maguire","given":"R. Paul","non-dropping-particle":"","parse-names":false,"suffix":""},{"dropping-particle":"","family":"Hyman","given":"Bradley T.","non-dropping-particle":"","parse-names":false,"suffix":""},{"dropping-particle":"","family":"Albert","given":"Marilyn S.","non-dropping-particle":"","parse-names":false,"suffix":""},{"dropping-particle":"","family":"Killiany","given":"Ronald J.","non-dropping-particle":"","parse-names":false,"suffix":""}],"container-title":"NeuroImage","id":"ITEM-1","issue":"3","issued":{"date-parts":[["2006"]]},"page":"968-980","title":"An automated labeling system for subdividing the human cerebral cortex on MRI scans into gyral based regions of interest","type":"article-journal","volume":"31"},"uris":["http://www.mendeley.com/documents/?uuid=8838efdb-8715-4942-9f71-e0170597ce08"]}],"mendeley":{"formattedCitation":"[Desikan et al., 2006]","plainTextFormattedCitation":"[Desikan et al., 2006]","previouslyFormattedCitation":"[Desikan et al., 2006]"},"properties":{"noteIndex":0},"schema":"https://github.com/citation-style-language/schema/raw/master/csl-citation.json"}</w:instrText>
      </w:r>
      <w:r w:rsidRPr="000E4150">
        <w:rPr>
          <w:rStyle w:val="normaltextrun"/>
          <w:rFonts w:asciiTheme="majorBidi" w:hAnsiTheme="majorBidi" w:cstheme="majorBidi"/>
          <w:lang w:val="en-US"/>
        </w:rPr>
        <w:fldChar w:fldCharType="separate"/>
      </w:r>
      <w:r w:rsidR="00E06636" w:rsidRPr="000E4150">
        <w:rPr>
          <w:rStyle w:val="normaltextrun"/>
          <w:rFonts w:asciiTheme="majorBidi" w:hAnsiTheme="majorBidi" w:cstheme="majorBidi"/>
          <w:noProof/>
          <w:lang w:val="en-US"/>
        </w:rPr>
        <w:t>[Desikan et al., 2006]</w:t>
      </w:r>
      <w:r w:rsidRPr="000E4150">
        <w:rPr>
          <w:rStyle w:val="normaltextrun"/>
          <w:rFonts w:asciiTheme="majorBidi" w:hAnsiTheme="majorBidi" w:cstheme="majorBidi"/>
          <w:lang w:val="en-US"/>
        </w:rPr>
        <w:fldChar w:fldCharType="end"/>
      </w:r>
      <w:r w:rsidRPr="000E4150">
        <w:rPr>
          <w:rStyle w:val="normaltextrun"/>
          <w:rFonts w:asciiTheme="majorBidi" w:hAnsiTheme="majorBidi" w:cstheme="majorBidi"/>
          <w:lang w:val="en-US"/>
        </w:rPr>
        <w:t>. </w:t>
      </w:r>
      <w:r w:rsidRPr="000E4150">
        <w:rPr>
          <w:rStyle w:val="eop"/>
          <w:rFonts w:asciiTheme="majorBidi" w:hAnsiTheme="majorBidi" w:cstheme="majorBidi"/>
          <w:lang w:val="en-US"/>
        </w:rPr>
        <w:t> </w:t>
      </w:r>
    </w:p>
    <w:p w14:paraId="16BEB899" w14:textId="60A8F58B" w:rsidR="00D52D9F" w:rsidRPr="000E4150" w:rsidRDefault="00D52D9F" w:rsidP="00D52D9F">
      <w:pPr>
        <w:pStyle w:val="paragraph"/>
        <w:spacing w:before="0" w:beforeAutospacing="0" w:after="0" w:afterAutospacing="0" w:line="480" w:lineRule="auto"/>
        <w:textAlignment w:val="baseline"/>
        <w:rPr>
          <w:rFonts w:asciiTheme="majorBidi" w:hAnsiTheme="majorBidi" w:cstheme="majorBidi"/>
          <w:lang w:val="en-US"/>
        </w:rPr>
      </w:pPr>
      <w:r w:rsidRPr="000E4150">
        <w:rPr>
          <w:rStyle w:val="eop"/>
          <w:rFonts w:asciiTheme="majorBidi" w:hAnsiTheme="majorBidi" w:cstheme="majorBidi"/>
          <w:lang w:val="en-US"/>
        </w:rPr>
        <w:t> </w:t>
      </w:r>
      <w:r w:rsidRPr="000E4150">
        <w:rPr>
          <w:rStyle w:val="eop"/>
          <w:rFonts w:asciiTheme="majorBidi" w:hAnsiTheme="majorBidi" w:cstheme="majorBidi"/>
          <w:lang w:val="en-US"/>
        </w:rPr>
        <w:tab/>
      </w:r>
      <w:r w:rsidRPr="000E4150">
        <w:rPr>
          <w:rStyle w:val="normaltextrun"/>
          <w:rFonts w:asciiTheme="majorBidi" w:hAnsiTheme="majorBidi" w:cstheme="majorBidi"/>
          <w:lang w:val="en-US"/>
        </w:rPr>
        <w:t xml:space="preserve">Interaction effects between groups (HC, SIB and SDI) and the within-subject factor of incentive block (money vs drug) were tested in the striatum </w:t>
      </w:r>
      <w:r w:rsidR="00D8260E" w:rsidRPr="000E4150">
        <w:rPr>
          <w:rStyle w:val="normaltextrun"/>
          <w:rFonts w:asciiTheme="majorBidi" w:hAnsiTheme="majorBidi" w:cstheme="majorBidi"/>
          <w:lang w:val="en-US"/>
        </w:rPr>
        <w:t>region of interest (</w:t>
      </w:r>
      <w:r w:rsidRPr="000E4150">
        <w:rPr>
          <w:rStyle w:val="normaltextrun"/>
          <w:rFonts w:asciiTheme="majorBidi" w:hAnsiTheme="majorBidi" w:cstheme="majorBidi"/>
          <w:lang w:val="en-US"/>
        </w:rPr>
        <w:t>ROI</w:t>
      </w:r>
      <w:r w:rsidR="00D8260E" w:rsidRPr="000E4150">
        <w:rPr>
          <w:rStyle w:val="normaltextrun"/>
          <w:rFonts w:asciiTheme="majorBidi" w:hAnsiTheme="majorBidi" w:cstheme="majorBidi"/>
          <w:lang w:val="en-US"/>
        </w:rPr>
        <w:t>)</w:t>
      </w:r>
      <w:r w:rsidRPr="000E4150">
        <w:rPr>
          <w:rStyle w:val="normaltextrun"/>
          <w:rFonts w:asciiTheme="majorBidi" w:hAnsiTheme="majorBidi" w:cstheme="majorBidi"/>
          <w:lang w:val="en-US"/>
        </w:rPr>
        <w:t> as follows: for each participant, difference maps were calculated for contrast of parameter estimates between the premature&gt;</w:t>
      </w:r>
      <w:proofErr w:type="spellStart"/>
      <w:r w:rsidRPr="000E4150">
        <w:rPr>
          <w:rStyle w:val="spellingerror"/>
          <w:rFonts w:asciiTheme="majorBidi" w:hAnsiTheme="majorBidi" w:cstheme="majorBidi"/>
          <w:lang w:val="en-US"/>
        </w:rPr>
        <w:t>correct</w:t>
      </w:r>
      <w:r w:rsidRPr="000E4150">
        <w:rPr>
          <w:rStyle w:val="spellingerror"/>
          <w:rFonts w:asciiTheme="majorBidi" w:hAnsiTheme="majorBidi" w:cstheme="majorBidi"/>
          <w:vertAlign w:val="subscript"/>
          <w:lang w:val="en-US"/>
        </w:rPr>
        <w:t>money</w:t>
      </w:r>
      <w:proofErr w:type="spellEnd"/>
      <w:r w:rsidRPr="000E4150">
        <w:rPr>
          <w:rStyle w:val="normaltextrun"/>
          <w:rFonts w:asciiTheme="majorBidi" w:hAnsiTheme="majorBidi" w:cstheme="majorBidi"/>
          <w:lang w:val="en-US"/>
        </w:rPr>
        <w:t> and premature &gt; </w:t>
      </w:r>
      <w:proofErr w:type="spellStart"/>
      <w:r w:rsidRPr="000E4150">
        <w:rPr>
          <w:rStyle w:val="spellingerror"/>
          <w:rFonts w:asciiTheme="majorBidi" w:hAnsiTheme="majorBidi" w:cstheme="majorBidi"/>
          <w:lang w:val="en-US"/>
        </w:rPr>
        <w:t>correct</w:t>
      </w:r>
      <w:r w:rsidRPr="000E4150">
        <w:rPr>
          <w:rStyle w:val="spellingerror"/>
          <w:rFonts w:asciiTheme="majorBidi" w:hAnsiTheme="majorBidi" w:cstheme="majorBidi"/>
          <w:vertAlign w:val="subscript"/>
          <w:lang w:val="en-US"/>
        </w:rPr>
        <w:t>drug</w:t>
      </w:r>
      <w:proofErr w:type="spellEnd"/>
      <w:r w:rsidRPr="000E4150">
        <w:rPr>
          <w:rStyle w:val="normaltextrun"/>
          <w:rFonts w:asciiTheme="majorBidi" w:hAnsiTheme="majorBidi" w:cstheme="majorBidi"/>
          <w:vertAlign w:val="subscript"/>
          <w:lang w:val="en-US"/>
        </w:rPr>
        <w:t> </w:t>
      </w:r>
      <w:r w:rsidRPr="000E4150">
        <w:rPr>
          <w:rStyle w:val="normaltextrun"/>
          <w:rFonts w:asciiTheme="majorBidi" w:hAnsiTheme="majorBidi" w:cstheme="majorBidi"/>
          <w:lang w:val="en-US"/>
        </w:rPr>
        <w:t>contrasts. Using FSL </w:t>
      </w:r>
      <w:proofErr w:type="spellStart"/>
      <w:r w:rsidRPr="000E4150">
        <w:rPr>
          <w:rStyle w:val="spellingerror"/>
          <w:rFonts w:asciiTheme="majorBidi" w:hAnsiTheme="majorBidi" w:cstheme="majorBidi"/>
          <w:lang w:val="en-US"/>
        </w:rPr>
        <w:t>randomise</w:t>
      </w:r>
      <w:proofErr w:type="spellEnd"/>
      <w:r w:rsidRPr="000E4150">
        <w:rPr>
          <w:rStyle w:val="normaltextrun"/>
          <w:rFonts w:asciiTheme="majorBidi" w:hAnsiTheme="majorBidi" w:cstheme="majorBidi"/>
          <w:lang w:val="en-US"/>
        </w:rPr>
        <w:t xml:space="preserve"> with n=5000 samples </w:t>
      </w:r>
      <w:r w:rsidRPr="000E4150">
        <w:rPr>
          <w:rStyle w:val="normaltextrun"/>
          <w:rFonts w:asciiTheme="majorBidi" w:hAnsiTheme="majorBidi" w:cstheme="majorBidi"/>
          <w:lang w:val="en-US"/>
        </w:rPr>
        <w:fldChar w:fldCharType="begin" w:fldLock="1"/>
      </w:r>
      <w:r w:rsidR="00760109" w:rsidRPr="000E4150">
        <w:rPr>
          <w:rStyle w:val="normaltextrun"/>
          <w:rFonts w:asciiTheme="majorBidi" w:hAnsiTheme="majorBidi" w:cstheme="majorBidi"/>
          <w:lang w:val="en-US"/>
        </w:rPr>
        <w:instrText>ADDIN CSL_CITATION {"citationItems":[{"id":"ITEM-1","itemData":{"DOI":"10.1016/j.neuroimage.2014.01.060","ISSN":"10959572","abstract":"Permutation methods can provide exact control of false positives and allow the use of non-standard statistics, making only weak assumptions about the data. With the availability of fast and inexpensive computing, their main limitation would be some lack of flexibility to work with arbitrary experimental designs. In this paper we report on results on approximate permutation methods that are more flexible with respect to the experimental design and nuisance variables, and conduct detailed simulations to identify the best method for settings that are typical for imaging research scenarios. We present a generic framework for permutation inference for complex general linear models (glms) when the errors are exchangeable and/or have a symmetric distribution, and show that, even in the presence of nuisance effects, these permutation inferences are powerful while providing excellent control of false positives in a wide range of common and relevant imaging research scenarios. We also demonstrate how the inference on glm parameters, originally intended for independent data, can be used in certain special but useful cases in which independence is violated. Detailed examples of common neuroimaging applications are provided, as well as a complete algorithm - the \"randomise\" algorithm - for permutation inference with the GLM. © 2014 The Authors.","author":[{"dropping-particle":"","family":"Winkler","given":"Anderson M.","non-dropping-particle":"","parse-names":false,"suffix":""},{"dropping-particle":"","family":"Ridgway","given":"Gerard R.","non-dropping-particle":"","parse-names":false,"suffix":""},{"dropping-particle":"","family":"Webster","given":"Matthew A.","non-dropping-particle":"","parse-names":false,"suffix":""},{"dropping-particle":"","family":"Smith","given":"Stephen M.","non-dropping-particle":"","parse-names":false,"suffix":""},{"dropping-particle":"","family":"Nichols","given":"Thomas E.","non-dropping-particle":"","parse-names":false,"suffix":""}],"container-title":"NeuroImage","id":"ITEM-1","issued":{"date-parts":[["2014"]]},"page":"381-397","publisher":"The Authors","title":"Permutation inference for the general linear model","type":"article-journal","volume":"92"},"uris":["http://www.mendeley.com/documents/?uuid=db35bf23-919c-410d-94f0-ca8fee842cac"]},{"id":"ITEM-2","itemData":{"DOI":"10.1016/B978-012264841-0/50048-2","ISBN":"9780122648410","abstract":"This chapter focuses on the theory and practicalities of multiple-comparisons nonparametric randomization and permutation tests for functional neuroimaging experiments and this has been illustrated with worked examples. The permutation approach offers various advantages. The methodology is intuitive, flexible and accessible. While the traditional approach to multiple comparisons controls the family-wise error rate, the chance of any false positives, another perspective has recently been introduced. The new approach controls the false discovery rate (FDR), the fraction of false positives among all detected voxels. This chapter considers the family-wise error rate and proposes permutation approach to FDR. It begins with an introduction to nonparametric permutation testing, reviews experimental design and hypothesis testing issues, and illustrates the theory by considering testing a functional neuroimaging dataset at a single voxel. The problem of searching the brain volume for significant activations is then considered, and the extension of the permutation methods to the multiple-comparisons problem of simultaneously testing at all voxels is described. © 2004 Elsevier Inc. All rights reserved.","author":[{"dropping-particle":"","family":"Nichols","given":"T.","non-dropping-particle":"","parse-names":false,"suffix":""},{"dropping-particle":"","family":"Holmes","given":"A.","non-dropping-particle":"","parse-names":false,"suffix":""}],"container-title":"Human Brain Function: Second Edition","id":"ITEM-2","issue":"July","issued":{"date-parts":[["2003"]]},"page":"887-910","title":"Nonparametric Permutation Tests for Functional Neuroimaging","type":"article-journal","volume":"25"},"uris":["http://www.mendeley.com/documents/?uuid=010d06d0-9b40-46c1-ab57-26f69aaade9a"]}],"mendeley":{"formattedCitation":"[Nichols and Holmes, 2003; Winkler et al., 2014]","plainTextFormattedCitation":"[Nichols and Holmes, 2003; Winkler et al., 2014]","previouslyFormattedCitation":"[Nichols and Holmes, 2003; Winkler et al., 2014]"},"properties":{"noteIndex":0},"schema":"https://github.com/citation-style-language/schema/raw/master/csl-citation.json"}</w:instrText>
      </w:r>
      <w:r w:rsidRPr="000E4150">
        <w:rPr>
          <w:rStyle w:val="normaltextrun"/>
          <w:rFonts w:asciiTheme="majorBidi" w:hAnsiTheme="majorBidi" w:cstheme="majorBidi"/>
          <w:lang w:val="en-US"/>
        </w:rPr>
        <w:fldChar w:fldCharType="separate"/>
      </w:r>
      <w:r w:rsidR="00E06636" w:rsidRPr="000E4150">
        <w:rPr>
          <w:rStyle w:val="normaltextrun"/>
          <w:rFonts w:asciiTheme="majorBidi" w:hAnsiTheme="majorBidi" w:cstheme="majorBidi"/>
          <w:noProof/>
          <w:lang w:val="en-US"/>
        </w:rPr>
        <w:t>[Nichols and Holmes, 2003; Winkler et al., 2014]</w:t>
      </w:r>
      <w:r w:rsidRPr="000E4150">
        <w:rPr>
          <w:rStyle w:val="normaltextrun"/>
          <w:rFonts w:asciiTheme="majorBidi" w:hAnsiTheme="majorBidi" w:cstheme="majorBidi"/>
          <w:lang w:val="en-US"/>
        </w:rPr>
        <w:fldChar w:fldCharType="end"/>
      </w:r>
      <w:r w:rsidRPr="000E4150">
        <w:rPr>
          <w:rStyle w:val="normaltextrun"/>
          <w:rFonts w:asciiTheme="majorBidi" w:hAnsiTheme="majorBidi" w:cstheme="majorBidi"/>
          <w:lang w:val="en-US"/>
        </w:rPr>
        <w:t xml:space="preserve">, one </w:t>
      </w:r>
      <w:r w:rsidRPr="000E4150">
        <w:rPr>
          <w:rStyle w:val="normaltextrun"/>
          <w:rFonts w:asciiTheme="majorBidi" w:hAnsiTheme="majorBidi" w:cstheme="majorBidi"/>
          <w:lang w:val="en-US"/>
        </w:rPr>
        <w:lastRenderedPageBreak/>
        <w:t>sample t-tests revealed the areas in which the groups showed greater activation to the premature&gt;</w:t>
      </w:r>
      <w:proofErr w:type="spellStart"/>
      <w:r w:rsidRPr="000E4150">
        <w:rPr>
          <w:rStyle w:val="spellingerror"/>
          <w:rFonts w:asciiTheme="majorBidi" w:hAnsiTheme="majorBidi" w:cstheme="majorBidi"/>
          <w:lang w:val="en-US"/>
        </w:rPr>
        <w:t>correct</w:t>
      </w:r>
      <w:r w:rsidRPr="000E4150">
        <w:rPr>
          <w:rStyle w:val="spellingerror"/>
          <w:rFonts w:asciiTheme="majorBidi" w:hAnsiTheme="majorBidi" w:cstheme="majorBidi"/>
          <w:vertAlign w:val="subscript"/>
          <w:lang w:val="en-US"/>
        </w:rPr>
        <w:t>money</w:t>
      </w:r>
      <w:proofErr w:type="spellEnd"/>
      <w:r w:rsidRPr="000E4150">
        <w:rPr>
          <w:rStyle w:val="normaltextrun"/>
          <w:rFonts w:asciiTheme="majorBidi" w:hAnsiTheme="majorBidi" w:cstheme="majorBidi"/>
          <w:lang w:val="en-US"/>
        </w:rPr>
        <w:t> contrast than to the premature &gt; </w:t>
      </w:r>
      <w:proofErr w:type="spellStart"/>
      <w:r w:rsidRPr="000E4150">
        <w:rPr>
          <w:rStyle w:val="spellingerror"/>
          <w:rFonts w:asciiTheme="majorBidi" w:hAnsiTheme="majorBidi" w:cstheme="majorBidi"/>
          <w:lang w:val="en-US"/>
        </w:rPr>
        <w:t>correct</w:t>
      </w:r>
      <w:r w:rsidRPr="000E4150">
        <w:rPr>
          <w:rStyle w:val="spellingerror"/>
          <w:rFonts w:asciiTheme="majorBidi" w:hAnsiTheme="majorBidi" w:cstheme="majorBidi"/>
          <w:vertAlign w:val="subscript"/>
          <w:lang w:val="en-US"/>
        </w:rPr>
        <w:t>drug</w:t>
      </w:r>
      <w:proofErr w:type="spellEnd"/>
      <w:r w:rsidRPr="000E4150">
        <w:rPr>
          <w:rStyle w:val="normaltextrun"/>
          <w:rFonts w:asciiTheme="majorBidi" w:hAnsiTheme="majorBidi" w:cstheme="majorBidi"/>
          <w:vertAlign w:val="subscript"/>
          <w:lang w:val="en-US"/>
        </w:rPr>
        <w:t> </w:t>
      </w:r>
      <w:r w:rsidRPr="000E4150">
        <w:rPr>
          <w:rStyle w:val="normaltextrun"/>
          <w:rFonts w:asciiTheme="majorBidi" w:hAnsiTheme="majorBidi" w:cstheme="majorBidi"/>
          <w:lang w:val="en-US"/>
        </w:rPr>
        <w:t>contrast. An F-test comparing the </w:t>
      </w:r>
      <w:proofErr w:type="gramStart"/>
      <w:r w:rsidRPr="000E4150">
        <w:rPr>
          <w:rStyle w:val="contextualspellingandgrammarerror"/>
          <w:rFonts w:asciiTheme="majorBidi" w:hAnsiTheme="majorBidi" w:cstheme="majorBidi"/>
          <w:lang w:val="en-US"/>
        </w:rPr>
        <w:t>three group</w:t>
      </w:r>
      <w:proofErr w:type="gramEnd"/>
      <w:r w:rsidRPr="000E4150">
        <w:rPr>
          <w:rStyle w:val="normaltextrun"/>
          <w:rFonts w:asciiTheme="majorBidi" w:hAnsiTheme="majorBidi" w:cstheme="majorBidi"/>
          <w:lang w:val="en-US"/>
        </w:rPr>
        <w:t xml:space="preserve"> means was used to detect any significant interaction between all three groups. This interaction was further investigated using independent sample t-tests in FSL randomize (n=5000 samples), comparing the </w:t>
      </w:r>
      <w:r w:rsidR="00F63381" w:rsidRPr="000E4150">
        <w:rPr>
          <w:rStyle w:val="normaltextrun"/>
          <w:rFonts w:asciiTheme="majorBidi" w:hAnsiTheme="majorBidi" w:cstheme="majorBidi"/>
          <w:lang w:val="en-US"/>
        </w:rPr>
        <w:t xml:space="preserve">contrast of parameter estimates </w:t>
      </w:r>
      <w:r w:rsidRPr="000E4150">
        <w:rPr>
          <w:rStyle w:val="normaltextrun"/>
          <w:rFonts w:asciiTheme="majorBidi" w:hAnsiTheme="majorBidi" w:cstheme="majorBidi"/>
          <w:lang w:val="en-US"/>
        </w:rPr>
        <w:t xml:space="preserve">difference maps between the groups (HCs vs SDIs, SIBs vs SDIs) to indicate regions with a significant interaction (Figure 2). The resulting familywise-error corrected p-value maps with threshold-free cluster enhancement </w:t>
      </w:r>
      <w:r w:rsidRPr="000E4150">
        <w:rPr>
          <w:rStyle w:val="normaltextrun"/>
          <w:rFonts w:asciiTheme="majorBidi" w:hAnsiTheme="majorBidi" w:cstheme="majorBidi"/>
          <w:lang w:val="en-US"/>
        </w:rPr>
        <w:fldChar w:fldCharType="begin" w:fldLock="1"/>
      </w:r>
      <w:r w:rsidR="00760109" w:rsidRPr="000E4150">
        <w:rPr>
          <w:rStyle w:val="normaltextrun"/>
          <w:rFonts w:asciiTheme="majorBidi" w:hAnsiTheme="majorBidi" w:cstheme="majorBidi"/>
          <w:lang w:val="en-US"/>
        </w:rPr>
        <w:instrText>ADDIN CSL_CITATION {"citationItems":[{"id":"ITEM-1","itemData":{"DOI":"10.1016/j.neuroimage.2008.03.061","ISSN":"10538119","abstract":"Many image enhancement and thresholding techniques make use of spatial neighbourhood information to boost belief in extended areas of signal. The most common such approach in neuroimaging is cluster-based thresholding, which is often more sensitive than voxel-wise thresholding. However, a limitation is the need to define the initial cluster-forming threshold. This threshold is arbitrary, and yet its exact choice can have a large impact on the results, particularly at the lower (e.g., t, z &lt; 4) cluster-forming thresholds frequently used. Furthermore, the amount of spatial pre-smoothing is also arbitrary (given that the expected signal extent is very rarely known in advance of the analysis). In the light of such problems, we propose a new method which attempts to keep the sensitivity benefits of cluster-based thresholding (and indeed the general concept of \"clusters\" of signal), while avoiding (or at least minimising) these problems. The method takes a raw statistic image and produces an output image in which the voxel-wise values represent the amount of cluster-like local spatial support. The method is thus referred to as \"threshold-free cluster enhancement\" (TFCE). We present the TFCE approach and discuss in detail ROC-based optimisation and comparisons with cluster-based and voxel-based thresholding. We find that TFCE gives generally better sensitivity than other methods over a wide range of test signal shapes and SNR values. We also show an example on a real imaging dataset, suggesting that TFCE does indeed provide not just improved sensitivity, but richer and more interpretable output than cluster-based thresholding. © 2008 Elsevier Inc. All rights reserved.","author":[{"dropping-particle":"","family":"Smith","given":"Stephen M.","non-dropping-particle":"","parse-names":false,"suffix":""},{"dropping-particle":"","family":"Nichols","given":"Thomas E.","non-dropping-particle":"","parse-names":false,"suffix":""}],"container-title":"NeuroImage","id":"ITEM-1","issue":"1","issued":{"date-parts":[["2009"]]},"page":"83-98","publisher":"Elsevier Inc.","title":"Threshold-free cluster enhancement: Addressing problems of smoothing, threshold dependence and localisation in cluster inference","type":"article-journal","volume":"44"},"uris":["http://www.mendeley.com/documents/?uuid=c30dba6b-6fb8-4154-b3f6-2954820d7eef"]}],"mendeley":{"formattedCitation":"[Smith and Nichols, 2009]","plainTextFormattedCitation":"[Smith and Nichols, 2009]","previouslyFormattedCitation":"[Smith and Nichols, 2009]"},"properties":{"noteIndex":0},"schema":"https://github.com/citation-style-language/schema/raw/master/csl-citation.json"}</w:instrText>
      </w:r>
      <w:r w:rsidRPr="000E4150">
        <w:rPr>
          <w:rStyle w:val="normaltextrun"/>
          <w:rFonts w:asciiTheme="majorBidi" w:hAnsiTheme="majorBidi" w:cstheme="majorBidi"/>
          <w:lang w:val="en-US"/>
        </w:rPr>
        <w:fldChar w:fldCharType="separate"/>
      </w:r>
      <w:r w:rsidR="00E06636" w:rsidRPr="000E4150">
        <w:rPr>
          <w:rStyle w:val="normaltextrun"/>
          <w:rFonts w:asciiTheme="majorBidi" w:hAnsiTheme="majorBidi" w:cstheme="majorBidi"/>
          <w:noProof/>
          <w:lang w:val="en-US"/>
        </w:rPr>
        <w:t>[Smith and Nichols, 2009]</w:t>
      </w:r>
      <w:r w:rsidRPr="000E4150">
        <w:rPr>
          <w:rStyle w:val="normaltextrun"/>
          <w:rFonts w:asciiTheme="majorBidi" w:hAnsiTheme="majorBidi" w:cstheme="majorBidi"/>
          <w:lang w:val="en-US"/>
        </w:rPr>
        <w:fldChar w:fldCharType="end"/>
      </w:r>
      <w:r w:rsidRPr="000E4150">
        <w:rPr>
          <w:rStyle w:val="normaltextrun"/>
          <w:rFonts w:asciiTheme="majorBidi" w:hAnsiTheme="majorBidi" w:cstheme="majorBidi"/>
          <w:lang w:val="en-US"/>
        </w:rPr>
        <w:t xml:space="preserve"> from the striatum ROI were </w:t>
      </w:r>
      <w:r w:rsidRPr="000E4150">
        <w:rPr>
          <w:rStyle w:val="spellingerror"/>
          <w:rFonts w:asciiTheme="majorBidi" w:hAnsiTheme="majorBidi" w:cstheme="majorBidi"/>
          <w:lang w:val="en-US"/>
        </w:rPr>
        <w:t>thresholded</w:t>
      </w:r>
      <w:r w:rsidRPr="000E4150">
        <w:rPr>
          <w:rStyle w:val="normaltextrun"/>
          <w:rFonts w:asciiTheme="majorBidi" w:hAnsiTheme="majorBidi" w:cstheme="majorBidi"/>
          <w:lang w:val="en-US"/>
        </w:rPr>
        <w:t> at p&lt;0.05 and the ROI comprising voxels with a significant interaction between both HCs and SDIs and SIBs and SDIs was selected for extraction of % signal change using </w:t>
      </w:r>
      <w:r w:rsidRPr="000E4150">
        <w:rPr>
          <w:rStyle w:val="spellingerror"/>
          <w:rFonts w:asciiTheme="majorBidi" w:hAnsiTheme="majorBidi" w:cstheme="majorBidi"/>
          <w:lang w:val="en-US"/>
        </w:rPr>
        <w:t>featquery</w:t>
      </w:r>
      <w:r w:rsidRPr="000E4150">
        <w:rPr>
          <w:rStyle w:val="normaltextrun"/>
          <w:rFonts w:asciiTheme="majorBidi" w:hAnsiTheme="majorBidi" w:cstheme="majorBidi"/>
          <w:lang w:val="en-US"/>
        </w:rPr>
        <w:t> (</w:t>
      </w:r>
      <w:hyperlink r:id="rId7" w:history="1">
        <w:r w:rsidRPr="000E4150">
          <w:rPr>
            <w:rStyle w:val="Hyperlink"/>
            <w:rFonts w:asciiTheme="majorBidi" w:hAnsiTheme="majorBidi" w:cstheme="majorBidi"/>
            <w:color w:val="auto"/>
            <w:lang w:val="en-US"/>
          </w:rPr>
          <w:t>http://mumford.fmripower.org/perchange_guide.pdf</w:t>
        </w:r>
      </w:hyperlink>
      <w:r w:rsidRPr="000E4150">
        <w:rPr>
          <w:rStyle w:val="normaltextrun"/>
          <w:rFonts w:asciiTheme="majorBidi" w:hAnsiTheme="majorBidi" w:cstheme="majorBidi"/>
          <w:lang w:val="en-US"/>
        </w:rPr>
        <w:t>; https://fsl.fmrib.ox.ac.uk/fsl/fslwiki/FEAT/UserGuide#Featquery_-_FEAT_Results_Interrogation). </w:t>
      </w:r>
      <w:r w:rsidRPr="000E4150">
        <w:rPr>
          <w:rStyle w:val="eop"/>
          <w:rFonts w:asciiTheme="majorBidi" w:hAnsiTheme="majorBidi" w:cstheme="majorBidi"/>
          <w:lang w:val="en-US"/>
        </w:rPr>
        <w:t> </w:t>
      </w:r>
    </w:p>
    <w:p w14:paraId="33C1D782" w14:textId="01535A99" w:rsidR="00D52D9F" w:rsidRPr="000E4150" w:rsidRDefault="00D52D9F" w:rsidP="00902415">
      <w:pPr>
        <w:pStyle w:val="paragraph"/>
        <w:spacing w:before="0" w:beforeAutospacing="0" w:after="0" w:afterAutospacing="0" w:line="480" w:lineRule="auto"/>
        <w:textAlignment w:val="baseline"/>
        <w:rPr>
          <w:rFonts w:asciiTheme="majorBidi" w:hAnsiTheme="majorBidi" w:cstheme="majorBidi"/>
          <w:strike/>
          <w:lang w:val="en-US"/>
        </w:rPr>
      </w:pPr>
      <w:r w:rsidRPr="000E4150">
        <w:rPr>
          <w:rStyle w:val="eop"/>
          <w:rFonts w:asciiTheme="majorBidi" w:hAnsiTheme="majorBidi" w:cstheme="majorBidi"/>
          <w:lang w:val="en-US"/>
        </w:rPr>
        <w:t> </w:t>
      </w:r>
      <w:r w:rsidRPr="000E4150">
        <w:rPr>
          <w:rStyle w:val="eop"/>
          <w:rFonts w:asciiTheme="majorBidi" w:hAnsiTheme="majorBidi" w:cstheme="majorBidi"/>
          <w:lang w:val="en-US"/>
        </w:rPr>
        <w:tab/>
      </w:r>
      <w:r w:rsidRPr="000E4150">
        <w:rPr>
          <w:rStyle w:val="normaltextrun"/>
          <w:rFonts w:asciiTheme="majorBidi" w:hAnsiTheme="majorBidi" w:cstheme="majorBidi"/>
          <w:lang w:val="en-US"/>
        </w:rPr>
        <w:t xml:space="preserve">A potential limitation of the traditional mass univariate GLM in this instance is the low number of events (premature and corresponding correct responses, see Figure 1A) as explanatory variables of interest. To test whether the GLM findings were robust, </w:t>
      </w:r>
      <w:r w:rsidR="000462B9" w:rsidRPr="000E4150">
        <w:rPr>
          <w:rStyle w:val="normaltextrun"/>
          <w:rFonts w:asciiTheme="majorBidi" w:hAnsiTheme="majorBidi" w:cstheme="majorBidi"/>
          <w:lang w:val="en-US"/>
        </w:rPr>
        <w:t xml:space="preserve">we </w:t>
      </w:r>
      <w:r w:rsidRPr="000E4150">
        <w:rPr>
          <w:rStyle w:val="normaltextrun"/>
          <w:rFonts w:asciiTheme="majorBidi" w:hAnsiTheme="majorBidi" w:cstheme="majorBidi"/>
          <w:lang w:val="en-US"/>
        </w:rPr>
        <w:t>selected ROI</w:t>
      </w:r>
      <w:r w:rsidR="00F35BBB" w:rsidRPr="000E4150">
        <w:rPr>
          <w:rStyle w:val="normaltextrun"/>
          <w:rFonts w:asciiTheme="majorBidi" w:hAnsiTheme="majorBidi" w:cstheme="majorBidi"/>
          <w:lang w:val="en-US"/>
        </w:rPr>
        <w:t xml:space="preserve">s that </w:t>
      </w:r>
      <w:r w:rsidR="00EF5B88" w:rsidRPr="000E4150">
        <w:rPr>
          <w:rStyle w:val="normaltextrun"/>
          <w:rFonts w:asciiTheme="majorBidi" w:hAnsiTheme="majorBidi" w:cstheme="majorBidi"/>
          <w:lang w:val="en-US"/>
        </w:rPr>
        <w:t xml:space="preserve">were </w:t>
      </w:r>
      <w:r w:rsidR="008045C2" w:rsidRPr="000E4150">
        <w:rPr>
          <w:rStyle w:val="normaltextrun"/>
          <w:rFonts w:asciiTheme="majorBidi" w:hAnsiTheme="majorBidi" w:cstheme="majorBidi"/>
          <w:lang w:val="en-US"/>
        </w:rPr>
        <w:t>significantly active in group mean activation maps. We then extracted</w:t>
      </w:r>
      <w:r w:rsidRPr="000E4150">
        <w:rPr>
          <w:rStyle w:val="normaltextrun"/>
          <w:rFonts w:asciiTheme="majorBidi" w:hAnsiTheme="majorBidi" w:cstheme="majorBidi"/>
          <w:lang w:val="en-US"/>
        </w:rPr>
        <w:t xml:space="preserve"> </w:t>
      </w:r>
      <w:r w:rsidR="00443205" w:rsidRPr="000E4150">
        <w:rPr>
          <w:rStyle w:val="normaltextrun"/>
          <w:rFonts w:asciiTheme="majorBidi" w:hAnsiTheme="majorBidi" w:cstheme="majorBidi"/>
          <w:lang w:val="en-US"/>
        </w:rPr>
        <w:t xml:space="preserve">and preprocessed </w:t>
      </w:r>
      <w:r w:rsidR="00EB6A51" w:rsidRPr="000E4150">
        <w:rPr>
          <w:rStyle w:val="normaltextrun"/>
          <w:rFonts w:asciiTheme="majorBidi" w:hAnsiTheme="majorBidi" w:cstheme="majorBidi"/>
          <w:lang w:val="en-US"/>
        </w:rPr>
        <w:t xml:space="preserve">the </w:t>
      </w:r>
      <w:r w:rsidRPr="000E4150">
        <w:rPr>
          <w:rStyle w:val="normaltextrun"/>
          <w:rFonts w:asciiTheme="majorBidi" w:hAnsiTheme="majorBidi" w:cstheme="majorBidi"/>
          <w:lang w:val="en-US"/>
        </w:rPr>
        <w:t xml:space="preserve">timeseries </w:t>
      </w:r>
      <w:r w:rsidR="00EB6A51" w:rsidRPr="000E4150">
        <w:rPr>
          <w:rStyle w:val="normaltextrun"/>
          <w:rFonts w:asciiTheme="majorBidi" w:hAnsiTheme="majorBidi" w:cstheme="majorBidi"/>
          <w:lang w:val="en-US"/>
        </w:rPr>
        <w:t xml:space="preserve">of these ROIs, located the </w:t>
      </w:r>
      <w:r w:rsidR="005F65C2" w:rsidRPr="000E4150">
        <w:rPr>
          <w:rStyle w:val="normaltextrun"/>
          <w:rFonts w:asciiTheme="majorBidi" w:hAnsiTheme="majorBidi" w:cstheme="majorBidi"/>
          <w:lang w:val="en-US"/>
        </w:rPr>
        <w:t xml:space="preserve">anticipation windows in which </w:t>
      </w:r>
      <w:r w:rsidR="00524536" w:rsidRPr="000E4150">
        <w:rPr>
          <w:rStyle w:val="normaltextrun"/>
          <w:rFonts w:asciiTheme="majorBidi" w:hAnsiTheme="majorBidi" w:cstheme="majorBidi"/>
          <w:lang w:val="en-US"/>
        </w:rPr>
        <w:t>premature and correct response</w:t>
      </w:r>
      <w:r w:rsidR="00443205" w:rsidRPr="000E4150">
        <w:rPr>
          <w:rStyle w:val="normaltextrun"/>
          <w:rFonts w:asciiTheme="majorBidi" w:hAnsiTheme="majorBidi" w:cstheme="majorBidi"/>
          <w:lang w:val="en-US"/>
        </w:rPr>
        <w:t>s were made</w:t>
      </w:r>
      <w:r w:rsidR="00263F45" w:rsidRPr="000E4150">
        <w:rPr>
          <w:rStyle w:val="normaltextrun"/>
          <w:rFonts w:asciiTheme="majorBidi" w:hAnsiTheme="majorBidi" w:cstheme="majorBidi"/>
          <w:lang w:val="en-US"/>
        </w:rPr>
        <w:t xml:space="preserve"> and used the BOLD </w:t>
      </w:r>
      <w:r w:rsidR="000D02FF" w:rsidRPr="000E4150">
        <w:rPr>
          <w:rStyle w:val="normaltextrun"/>
          <w:rFonts w:asciiTheme="majorBidi" w:hAnsiTheme="majorBidi" w:cstheme="majorBidi"/>
          <w:lang w:val="en-US"/>
        </w:rPr>
        <w:t xml:space="preserve">activation </w:t>
      </w:r>
      <w:r w:rsidR="00FB79E8" w:rsidRPr="000E4150">
        <w:rPr>
          <w:rStyle w:val="normaltextrun"/>
          <w:rFonts w:asciiTheme="majorBidi" w:hAnsiTheme="majorBidi" w:cstheme="majorBidi"/>
          <w:lang w:val="en-US"/>
        </w:rPr>
        <w:t xml:space="preserve">in each of these </w:t>
      </w:r>
      <w:r w:rsidR="00FC650E" w:rsidRPr="000E4150">
        <w:rPr>
          <w:rStyle w:val="normaltextrun"/>
          <w:rFonts w:asciiTheme="majorBidi" w:hAnsiTheme="majorBidi" w:cstheme="majorBidi"/>
          <w:lang w:val="en-US"/>
        </w:rPr>
        <w:t xml:space="preserve">anticipation windows to predict whether this window </w:t>
      </w:r>
      <w:r w:rsidR="00414CD3" w:rsidRPr="000E4150">
        <w:rPr>
          <w:rStyle w:val="normaltextrun"/>
          <w:rFonts w:asciiTheme="majorBidi" w:hAnsiTheme="majorBidi" w:cstheme="majorBidi"/>
          <w:lang w:val="en-US"/>
        </w:rPr>
        <w:t xml:space="preserve">included </w:t>
      </w:r>
      <w:r w:rsidR="008513DE" w:rsidRPr="000E4150">
        <w:rPr>
          <w:rStyle w:val="normaltextrun"/>
          <w:rFonts w:asciiTheme="majorBidi" w:hAnsiTheme="majorBidi" w:cstheme="majorBidi"/>
          <w:lang w:val="en-US"/>
        </w:rPr>
        <w:t xml:space="preserve">a premature or a correct response. </w:t>
      </w:r>
      <w:r w:rsidRPr="000E4150">
        <w:rPr>
          <w:rStyle w:val="normaltextrun"/>
          <w:rFonts w:asciiTheme="majorBidi" w:hAnsiTheme="majorBidi" w:cstheme="majorBidi"/>
          <w:lang w:val="en-US"/>
        </w:rPr>
        <w:t>If ROIs are more active during premature than during correct responses, their activation should be </w:t>
      </w:r>
      <w:proofErr w:type="gramStart"/>
      <w:r w:rsidRPr="000E4150">
        <w:rPr>
          <w:rStyle w:val="advancedproofingissue"/>
          <w:rFonts w:asciiTheme="majorBidi" w:hAnsiTheme="majorBidi" w:cstheme="majorBidi"/>
          <w:lang w:val="en-US"/>
        </w:rPr>
        <w:t>sufficient</w:t>
      </w:r>
      <w:proofErr w:type="gramEnd"/>
      <w:r w:rsidRPr="000E4150">
        <w:rPr>
          <w:rStyle w:val="normaltextrun"/>
          <w:rFonts w:asciiTheme="majorBidi" w:hAnsiTheme="majorBidi" w:cstheme="majorBidi"/>
          <w:lang w:val="en-US"/>
        </w:rPr>
        <w:t xml:space="preserve"> to classify response type. For this analysis, all correct responses were included. </w:t>
      </w:r>
      <w:r w:rsidR="00FE16D3" w:rsidRPr="000E4150">
        <w:rPr>
          <w:rStyle w:val="normaltextrun"/>
          <w:rFonts w:asciiTheme="majorBidi" w:hAnsiTheme="majorBidi" w:cstheme="majorBidi"/>
          <w:lang w:val="en-US"/>
        </w:rPr>
        <w:t xml:space="preserve">Inferior frontal cortex (IFC), </w:t>
      </w:r>
      <w:r w:rsidR="00BA0C4D" w:rsidRPr="000E4150">
        <w:rPr>
          <w:rStyle w:val="normaltextrun"/>
          <w:rFonts w:asciiTheme="majorBidi" w:hAnsiTheme="majorBidi" w:cstheme="majorBidi"/>
          <w:lang w:val="en-US"/>
        </w:rPr>
        <w:t>anterior cingulate cortex (</w:t>
      </w:r>
      <w:r w:rsidR="00FE16D3" w:rsidRPr="000E4150">
        <w:rPr>
          <w:rStyle w:val="normaltextrun"/>
          <w:rFonts w:asciiTheme="majorBidi" w:hAnsiTheme="majorBidi" w:cstheme="majorBidi"/>
          <w:lang w:val="en-US"/>
        </w:rPr>
        <w:t>ACC</w:t>
      </w:r>
      <w:r w:rsidR="00BA0C4D" w:rsidRPr="000E4150">
        <w:rPr>
          <w:rStyle w:val="normaltextrun"/>
          <w:rFonts w:asciiTheme="majorBidi" w:hAnsiTheme="majorBidi" w:cstheme="majorBidi"/>
          <w:lang w:val="en-US"/>
        </w:rPr>
        <w:t>)</w:t>
      </w:r>
      <w:r w:rsidR="00FE16D3" w:rsidRPr="000E4150">
        <w:rPr>
          <w:rStyle w:val="normaltextrun"/>
          <w:rFonts w:asciiTheme="majorBidi" w:hAnsiTheme="majorBidi" w:cstheme="majorBidi"/>
          <w:lang w:val="en-US"/>
        </w:rPr>
        <w:t xml:space="preserve">, </w:t>
      </w:r>
      <w:r w:rsidR="00BE1BB4" w:rsidRPr="000E4150">
        <w:rPr>
          <w:rStyle w:val="normaltextrun"/>
          <w:rFonts w:asciiTheme="majorBidi" w:hAnsiTheme="majorBidi" w:cstheme="majorBidi"/>
          <w:lang w:val="en-US"/>
        </w:rPr>
        <w:t xml:space="preserve">parietal operculum </w:t>
      </w:r>
      <w:r w:rsidR="00DA7168" w:rsidRPr="000E4150">
        <w:rPr>
          <w:rStyle w:val="normaltextrun"/>
          <w:rFonts w:asciiTheme="majorBidi" w:hAnsiTheme="majorBidi" w:cstheme="majorBidi"/>
          <w:lang w:val="en-US"/>
        </w:rPr>
        <w:t>(</w:t>
      </w:r>
      <w:proofErr w:type="spellStart"/>
      <w:r w:rsidR="00DA7168" w:rsidRPr="000E4150">
        <w:rPr>
          <w:rStyle w:val="normaltextrun"/>
          <w:rFonts w:asciiTheme="majorBidi" w:hAnsiTheme="majorBidi" w:cstheme="majorBidi"/>
          <w:lang w:val="en-US"/>
        </w:rPr>
        <w:t>pO</w:t>
      </w:r>
      <w:proofErr w:type="spellEnd"/>
      <w:r w:rsidR="00DA7168" w:rsidRPr="000E4150">
        <w:rPr>
          <w:rStyle w:val="normaltextrun"/>
          <w:rFonts w:asciiTheme="majorBidi" w:hAnsiTheme="majorBidi" w:cstheme="majorBidi"/>
          <w:lang w:val="en-US"/>
        </w:rPr>
        <w:t xml:space="preserve">) and striatal </w:t>
      </w:r>
      <w:r w:rsidR="00FC5219" w:rsidRPr="000E4150">
        <w:rPr>
          <w:rStyle w:val="normaltextrun"/>
          <w:rFonts w:asciiTheme="majorBidi" w:hAnsiTheme="majorBidi" w:cstheme="majorBidi"/>
          <w:lang w:val="en-US"/>
        </w:rPr>
        <w:t xml:space="preserve">ROIs were </w:t>
      </w:r>
      <w:r w:rsidR="000827AE" w:rsidRPr="000E4150">
        <w:rPr>
          <w:rStyle w:val="normaltextrun"/>
          <w:rFonts w:asciiTheme="majorBidi" w:hAnsiTheme="majorBidi" w:cstheme="majorBidi"/>
          <w:lang w:val="en-US"/>
        </w:rPr>
        <w:t>c</w:t>
      </w:r>
      <w:r w:rsidR="00A14DA8" w:rsidRPr="000E4150">
        <w:rPr>
          <w:rStyle w:val="normaltextrun"/>
          <w:rFonts w:asciiTheme="majorBidi" w:hAnsiTheme="majorBidi" w:cstheme="majorBidi"/>
          <w:lang w:val="en-US"/>
        </w:rPr>
        <w:t xml:space="preserve">hosen </w:t>
      </w:r>
      <w:r w:rsidR="00081836" w:rsidRPr="000E4150">
        <w:rPr>
          <w:rStyle w:val="normaltextrun"/>
          <w:rFonts w:asciiTheme="majorBidi" w:hAnsiTheme="majorBidi" w:cstheme="majorBidi"/>
          <w:lang w:val="en-US"/>
        </w:rPr>
        <w:t xml:space="preserve">based on group mean activation. </w:t>
      </w:r>
      <w:r w:rsidR="0090704F" w:rsidRPr="000E4150">
        <w:rPr>
          <w:rStyle w:val="normaltextrun"/>
          <w:rFonts w:asciiTheme="majorBidi" w:hAnsiTheme="majorBidi" w:cstheme="majorBidi"/>
          <w:lang w:val="en-US"/>
        </w:rPr>
        <w:t>More details on timeseries extraction</w:t>
      </w:r>
      <w:r w:rsidR="00B265C1" w:rsidRPr="000E4150">
        <w:rPr>
          <w:rStyle w:val="normaltextrun"/>
          <w:rFonts w:asciiTheme="majorBidi" w:hAnsiTheme="majorBidi" w:cstheme="majorBidi"/>
          <w:lang w:val="en-US"/>
        </w:rPr>
        <w:t xml:space="preserve"> and preprocessing</w:t>
      </w:r>
      <w:r w:rsidR="0090704F" w:rsidRPr="000E4150">
        <w:rPr>
          <w:rStyle w:val="normaltextrun"/>
          <w:rFonts w:asciiTheme="majorBidi" w:hAnsiTheme="majorBidi" w:cstheme="majorBidi"/>
          <w:lang w:val="en-US"/>
        </w:rPr>
        <w:t xml:space="preserve"> can be found in </w:t>
      </w:r>
      <w:r w:rsidR="00CC00D5" w:rsidRPr="000E4150">
        <w:rPr>
          <w:rStyle w:val="normaltextrun"/>
          <w:rFonts w:asciiTheme="majorBidi" w:hAnsiTheme="majorBidi" w:cstheme="majorBidi"/>
          <w:lang w:val="en-US"/>
        </w:rPr>
        <w:t>supplementary information</w:t>
      </w:r>
      <w:r w:rsidRPr="000E4150">
        <w:rPr>
          <w:rStyle w:val="normaltextrun"/>
          <w:rFonts w:asciiTheme="majorBidi" w:hAnsiTheme="majorBidi" w:cstheme="majorBidi"/>
          <w:strike/>
          <w:lang w:val="en-US"/>
        </w:rPr>
        <w:t xml:space="preserve"> </w:t>
      </w:r>
    </w:p>
    <w:p w14:paraId="2E756A4C" w14:textId="37EB6C3B" w:rsidR="00D52D9F" w:rsidRPr="000E4150" w:rsidRDefault="00D52D9F" w:rsidP="000845E1">
      <w:pPr>
        <w:pStyle w:val="paragraph"/>
        <w:spacing w:before="0" w:beforeAutospacing="0" w:after="0" w:afterAutospacing="0" w:line="480" w:lineRule="auto"/>
        <w:textAlignment w:val="baseline"/>
        <w:rPr>
          <w:rFonts w:asciiTheme="majorBidi" w:hAnsiTheme="majorBidi" w:cstheme="majorBidi"/>
          <w:lang w:val="en-US"/>
        </w:rPr>
      </w:pPr>
      <w:r w:rsidRPr="000E4150">
        <w:rPr>
          <w:rStyle w:val="normaltextrun"/>
          <w:rFonts w:asciiTheme="majorBidi" w:hAnsiTheme="majorBidi" w:cstheme="majorBidi"/>
          <w:lang w:val="en-US"/>
        </w:rPr>
        <w:lastRenderedPageBreak/>
        <w:t>In HCs, the BOLD signal on each trial in the IFC, striatum, ACC and</w:t>
      </w:r>
      <w:r w:rsidR="00852052" w:rsidRPr="000E4150">
        <w:rPr>
          <w:rStyle w:val="normaltextrun"/>
          <w:rFonts w:asciiTheme="majorBidi" w:hAnsiTheme="majorBidi" w:cstheme="majorBidi"/>
          <w:lang w:val="en-US"/>
        </w:rPr>
        <w:t xml:space="preserve"> parietal operculum</w:t>
      </w:r>
      <w:r w:rsidRPr="000E4150">
        <w:rPr>
          <w:rStyle w:val="normaltextrun"/>
          <w:rFonts w:asciiTheme="majorBidi" w:hAnsiTheme="majorBidi" w:cstheme="majorBidi"/>
          <w:lang w:val="en-US"/>
        </w:rPr>
        <w:t> </w:t>
      </w:r>
      <w:r w:rsidR="00852052" w:rsidRPr="000E4150">
        <w:rPr>
          <w:rStyle w:val="normaltextrun"/>
          <w:rFonts w:asciiTheme="majorBidi" w:hAnsiTheme="majorBidi" w:cstheme="majorBidi"/>
          <w:lang w:val="en-US"/>
        </w:rPr>
        <w:t>(</w:t>
      </w:r>
      <w:proofErr w:type="spellStart"/>
      <w:r w:rsidRPr="000E4150">
        <w:rPr>
          <w:rStyle w:val="spellingerror"/>
          <w:rFonts w:asciiTheme="majorBidi" w:hAnsiTheme="majorBidi" w:cstheme="majorBidi"/>
          <w:lang w:val="en-US"/>
        </w:rPr>
        <w:t>pO</w:t>
      </w:r>
      <w:proofErr w:type="spellEnd"/>
      <w:r w:rsidR="00852052" w:rsidRPr="000E4150">
        <w:rPr>
          <w:rStyle w:val="normaltextrun"/>
          <w:rFonts w:asciiTheme="majorBidi" w:hAnsiTheme="majorBidi" w:cstheme="majorBidi"/>
          <w:lang w:val="en-US"/>
        </w:rPr>
        <w:t xml:space="preserve">) </w:t>
      </w:r>
      <w:r w:rsidRPr="000E4150">
        <w:rPr>
          <w:rStyle w:val="normaltextrun"/>
          <w:rFonts w:asciiTheme="majorBidi" w:hAnsiTheme="majorBidi" w:cstheme="majorBidi"/>
          <w:lang w:val="en-US"/>
        </w:rPr>
        <w:t>was used to predict trial type (premature vs </w:t>
      </w:r>
      <w:r w:rsidRPr="000E4150">
        <w:rPr>
          <w:rStyle w:val="contextualspellingandgrammarerror"/>
          <w:rFonts w:asciiTheme="majorBidi" w:hAnsiTheme="majorBidi" w:cstheme="majorBidi"/>
          <w:lang w:val="en-US"/>
        </w:rPr>
        <w:t>correct</w:t>
      </w:r>
      <w:r w:rsidRPr="000E4150">
        <w:rPr>
          <w:rStyle w:val="normaltextrun"/>
          <w:rFonts w:asciiTheme="majorBidi" w:hAnsiTheme="majorBidi" w:cstheme="majorBidi"/>
          <w:lang w:val="en-US"/>
        </w:rPr>
        <w:t>) in money context, while the BOLD signal in the ACC was used to predict trial type in drug context. </w:t>
      </w:r>
      <w:r w:rsidRPr="000E4150">
        <w:rPr>
          <w:rStyle w:val="eop"/>
          <w:rFonts w:asciiTheme="majorBidi" w:hAnsiTheme="majorBidi" w:cstheme="majorBidi"/>
          <w:lang w:val="en-US"/>
        </w:rPr>
        <w:t> </w:t>
      </w:r>
      <w:r w:rsidRPr="000E4150">
        <w:rPr>
          <w:rStyle w:val="normaltextrun"/>
          <w:rFonts w:asciiTheme="majorBidi" w:hAnsiTheme="majorBidi" w:cstheme="majorBidi"/>
          <w:lang w:val="en-US"/>
        </w:rPr>
        <w:t>In the SIBs, the BOLD signal on each trial in the IFC, striatum and ACC </w:t>
      </w:r>
      <w:proofErr w:type="gramStart"/>
      <w:r w:rsidRPr="000E4150">
        <w:rPr>
          <w:rStyle w:val="contextualspellingandgrammarerror"/>
          <w:rFonts w:asciiTheme="majorBidi" w:hAnsiTheme="majorBidi" w:cstheme="majorBidi"/>
          <w:lang w:val="en-US"/>
        </w:rPr>
        <w:t>was</w:t>
      </w:r>
      <w:proofErr w:type="gramEnd"/>
      <w:r w:rsidRPr="000E4150">
        <w:rPr>
          <w:rStyle w:val="normaltextrun"/>
          <w:rFonts w:asciiTheme="majorBidi" w:hAnsiTheme="majorBidi" w:cstheme="majorBidi"/>
          <w:lang w:val="en-US"/>
        </w:rPr>
        <w:t> used to predict trial type (premature vs correct) in money context only. </w:t>
      </w:r>
      <w:r w:rsidRPr="000E4150">
        <w:rPr>
          <w:rStyle w:val="eop"/>
          <w:rFonts w:asciiTheme="majorBidi" w:hAnsiTheme="majorBidi" w:cstheme="majorBidi"/>
          <w:lang w:val="en-US"/>
        </w:rPr>
        <w:t> </w:t>
      </w:r>
      <w:r w:rsidRPr="000E4150">
        <w:rPr>
          <w:rStyle w:val="normaltextrun"/>
          <w:rFonts w:asciiTheme="majorBidi" w:hAnsiTheme="majorBidi" w:cstheme="majorBidi"/>
          <w:lang w:val="en-US"/>
        </w:rPr>
        <w:t>In the SDIs, BOLD signal on each trial in the IFC, ACC and the </w:t>
      </w:r>
      <w:proofErr w:type="spellStart"/>
      <w:r w:rsidRPr="000E4150">
        <w:rPr>
          <w:rStyle w:val="spellingerror"/>
          <w:rFonts w:asciiTheme="majorBidi" w:hAnsiTheme="majorBidi" w:cstheme="majorBidi"/>
          <w:lang w:val="en-US"/>
        </w:rPr>
        <w:t>pO</w:t>
      </w:r>
      <w:proofErr w:type="spellEnd"/>
      <w:r w:rsidRPr="000E4150">
        <w:rPr>
          <w:rStyle w:val="normaltextrun"/>
          <w:rFonts w:asciiTheme="majorBidi" w:hAnsiTheme="majorBidi" w:cstheme="majorBidi"/>
          <w:lang w:val="en-US"/>
        </w:rPr>
        <w:t> was used to predict trial type in the money context, and BOLD signal in the IFC, ACC, striatum and </w:t>
      </w:r>
      <w:proofErr w:type="spellStart"/>
      <w:r w:rsidRPr="000E4150">
        <w:rPr>
          <w:rStyle w:val="spellingerror"/>
          <w:rFonts w:asciiTheme="majorBidi" w:hAnsiTheme="majorBidi" w:cstheme="majorBidi"/>
          <w:lang w:val="en-US"/>
        </w:rPr>
        <w:t>pO</w:t>
      </w:r>
      <w:proofErr w:type="spellEnd"/>
      <w:r w:rsidRPr="000E4150">
        <w:rPr>
          <w:rStyle w:val="normaltextrun"/>
          <w:rFonts w:asciiTheme="majorBidi" w:hAnsiTheme="majorBidi" w:cstheme="majorBidi"/>
          <w:lang w:val="en-US"/>
        </w:rPr>
        <w:t> was used to predict trial type in drug context.</w:t>
      </w:r>
      <w:r w:rsidR="0052777C" w:rsidRPr="000E4150">
        <w:rPr>
          <w:rStyle w:val="normaltextrun"/>
          <w:rFonts w:asciiTheme="majorBidi" w:hAnsiTheme="majorBidi" w:cstheme="majorBidi"/>
          <w:lang w:val="en-US"/>
        </w:rPr>
        <w:t xml:space="preserve"> These regions were significantly activ</w:t>
      </w:r>
      <w:r w:rsidR="006F36EE" w:rsidRPr="000E4150">
        <w:rPr>
          <w:rStyle w:val="normaltextrun"/>
          <w:rFonts w:asciiTheme="majorBidi" w:hAnsiTheme="majorBidi" w:cstheme="majorBidi"/>
          <w:lang w:val="en-US"/>
        </w:rPr>
        <w:t>ated</w:t>
      </w:r>
      <w:r w:rsidR="0052777C" w:rsidRPr="000E4150">
        <w:rPr>
          <w:rStyle w:val="normaltextrun"/>
          <w:rFonts w:asciiTheme="majorBidi" w:hAnsiTheme="majorBidi" w:cstheme="majorBidi"/>
          <w:lang w:val="en-US"/>
        </w:rPr>
        <w:t xml:space="preserve"> in the </w:t>
      </w:r>
      <w:r w:rsidR="00D119A5" w:rsidRPr="000E4150">
        <w:rPr>
          <w:rStyle w:val="normaltextrun"/>
          <w:rFonts w:asciiTheme="majorBidi" w:hAnsiTheme="majorBidi" w:cstheme="majorBidi"/>
          <w:lang w:val="en-US"/>
        </w:rPr>
        <w:t xml:space="preserve">group </w:t>
      </w:r>
      <w:r w:rsidR="0052777C" w:rsidRPr="000E4150">
        <w:rPr>
          <w:rStyle w:val="normaltextrun"/>
          <w:rFonts w:asciiTheme="majorBidi" w:hAnsiTheme="majorBidi" w:cstheme="majorBidi"/>
          <w:lang w:val="en-US"/>
        </w:rPr>
        <w:t>mean maps in the GLM results and were thus selected to validate the group results.</w:t>
      </w:r>
      <w:r w:rsidRPr="000E4150">
        <w:rPr>
          <w:rStyle w:val="eop"/>
          <w:rFonts w:asciiTheme="majorBidi" w:hAnsiTheme="majorBidi" w:cstheme="majorBidi"/>
          <w:lang w:val="en-US"/>
        </w:rPr>
        <w:t> </w:t>
      </w:r>
      <w:r w:rsidRPr="000E4150">
        <w:rPr>
          <w:rStyle w:val="normaltextrun"/>
          <w:rFonts w:asciiTheme="majorBidi" w:hAnsiTheme="majorBidi" w:cstheme="majorBidi"/>
          <w:lang w:val="en-US"/>
        </w:rPr>
        <w:t>Hierarchical logistic regression with subject-level random effects in RStudio (</w:t>
      </w:r>
      <w:proofErr w:type="spellStart"/>
      <w:r w:rsidRPr="000E4150">
        <w:rPr>
          <w:rStyle w:val="spellingerror"/>
          <w:rFonts w:asciiTheme="majorBidi" w:hAnsiTheme="majorBidi" w:cstheme="majorBidi"/>
          <w:lang w:val="en-US"/>
        </w:rPr>
        <w:t>glmer</w:t>
      </w:r>
      <w:proofErr w:type="spellEnd"/>
      <w:r w:rsidRPr="000E4150">
        <w:rPr>
          <w:rStyle w:val="normaltextrun"/>
          <w:rFonts w:asciiTheme="majorBidi" w:hAnsiTheme="majorBidi" w:cstheme="majorBidi"/>
          <w:lang w:val="en-US"/>
        </w:rPr>
        <w:t> function in the lme4 package) tested whether the ROI timeseries significantly predicted trial type. R</w:t>
      </w:r>
      <w:r w:rsidR="0060231C" w:rsidRPr="000E4150">
        <w:rPr>
          <w:rStyle w:val="normaltextrun"/>
          <w:rFonts w:asciiTheme="majorBidi" w:hAnsiTheme="majorBidi" w:cstheme="majorBidi"/>
          <w:lang w:val="en-US"/>
        </w:rPr>
        <w:t xml:space="preserve">eceiver </w:t>
      </w:r>
      <w:r w:rsidRPr="000E4150">
        <w:rPr>
          <w:rStyle w:val="normaltextrun"/>
          <w:rFonts w:asciiTheme="majorBidi" w:hAnsiTheme="majorBidi" w:cstheme="majorBidi"/>
          <w:lang w:val="en-US"/>
        </w:rPr>
        <w:t>O</w:t>
      </w:r>
      <w:r w:rsidR="0060231C" w:rsidRPr="000E4150">
        <w:rPr>
          <w:rStyle w:val="normaltextrun"/>
          <w:rFonts w:asciiTheme="majorBidi" w:hAnsiTheme="majorBidi" w:cstheme="majorBidi"/>
          <w:lang w:val="en-US"/>
        </w:rPr>
        <w:t xml:space="preserve">perating </w:t>
      </w:r>
      <w:r w:rsidRPr="000E4150">
        <w:rPr>
          <w:rStyle w:val="normaltextrun"/>
          <w:rFonts w:asciiTheme="majorBidi" w:hAnsiTheme="majorBidi" w:cstheme="majorBidi"/>
          <w:lang w:val="en-US"/>
        </w:rPr>
        <w:t>Curves and area under the curve (roc and </w:t>
      </w:r>
      <w:proofErr w:type="spellStart"/>
      <w:r w:rsidRPr="000E4150">
        <w:rPr>
          <w:rStyle w:val="spellingerror"/>
          <w:rFonts w:asciiTheme="majorBidi" w:hAnsiTheme="majorBidi" w:cstheme="majorBidi"/>
          <w:lang w:val="en-US"/>
        </w:rPr>
        <w:t>auc</w:t>
      </w:r>
      <w:proofErr w:type="spellEnd"/>
      <w:r w:rsidRPr="000E4150">
        <w:rPr>
          <w:rStyle w:val="normaltextrun"/>
          <w:rFonts w:asciiTheme="majorBidi" w:hAnsiTheme="majorBidi" w:cstheme="majorBidi"/>
          <w:lang w:val="en-US"/>
        </w:rPr>
        <w:t> functions in the </w:t>
      </w:r>
      <w:proofErr w:type="spellStart"/>
      <w:r w:rsidRPr="000E4150">
        <w:rPr>
          <w:rStyle w:val="spellingerror"/>
          <w:rFonts w:asciiTheme="majorBidi" w:hAnsiTheme="majorBidi" w:cstheme="majorBidi"/>
          <w:lang w:val="en-US"/>
        </w:rPr>
        <w:t>caTools</w:t>
      </w:r>
      <w:proofErr w:type="spellEnd"/>
      <w:r w:rsidRPr="000E4150">
        <w:rPr>
          <w:rStyle w:val="normaltextrun"/>
          <w:rFonts w:asciiTheme="majorBidi" w:hAnsiTheme="majorBidi" w:cstheme="majorBidi"/>
          <w:lang w:val="en-US"/>
        </w:rPr>
        <w:t> package, plot and lines functions in the </w:t>
      </w:r>
      <w:proofErr w:type="spellStart"/>
      <w:r w:rsidRPr="000E4150">
        <w:rPr>
          <w:rStyle w:val="spellingerror"/>
          <w:rFonts w:asciiTheme="majorBidi" w:hAnsiTheme="majorBidi" w:cstheme="majorBidi"/>
          <w:lang w:val="en-US"/>
        </w:rPr>
        <w:t>ggplot</w:t>
      </w:r>
      <w:proofErr w:type="spellEnd"/>
      <w:r w:rsidRPr="000E4150">
        <w:rPr>
          <w:rStyle w:val="normaltextrun"/>
          <w:rFonts w:asciiTheme="majorBidi" w:hAnsiTheme="majorBidi" w:cstheme="majorBidi"/>
          <w:lang w:val="en-US"/>
        </w:rPr>
        <w:t> package) provided an additional metric of model performance. </w:t>
      </w:r>
      <w:r w:rsidRPr="000E4150">
        <w:rPr>
          <w:rStyle w:val="eop"/>
          <w:rFonts w:asciiTheme="majorBidi" w:hAnsiTheme="majorBidi" w:cstheme="majorBidi"/>
          <w:lang w:val="en-US"/>
        </w:rPr>
        <w:t> </w:t>
      </w:r>
    </w:p>
    <w:p w14:paraId="15600D26" w14:textId="7AEFA97B" w:rsidR="00EB54A1" w:rsidRPr="000E4150" w:rsidRDefault="00D52D9F" w:rsidP="00D52D9F">
      <w:pPr>
        <w:pStyle w:val="paragraph"/>
        <w:spacing w:before="0" w:beforeAutospacing="0" w:after="0" w:afterAutospacing="0" w:line="480" w:lineRule="auto"/>
        <w:textAlignment w:val="baseline"/>
        <w:rPr>
          <w:rFonts w:asciiTheme="majorBidi" w:hAnsiTheme="majorBidi" w:cstheme="majorBidi"/>
          <w:lang w:val="en-US"/>
        </w:rPr>
      </w:pPr>
      <w:r w:rsidRPr="000E4150">
        <w:rPr>
          <w:rStyle w:val="eop"/>
          <w:rFonts w:asciiTheme="majorBidi" w:hAnsiTheme="majorBidi" w:cstheme="majorBidi"/>
          <w:b/>
          <w:bCs/>
          <w:lang w:val="en-US"/>
        </w:rPr>
        <w:t> </w:t>
      </w:r>
      <w:r w:rsidRPr="000E4150">
        <w:rPr>
          <w:rStyle w:val="normaltextrun"/>
          <w:rFonts w:asciiTheme="majorBidi" w:hAnsiTheme="majorBidi" w:cstheme="majorBidi"/>
          <w:b/>
          <w:bCs/>
          <w:i/>
          <w:iCs/>
          <w:lang w:val="en-US"/>
        </w:rPr>
        <w:t xml:space="preserve">Brain-Behavior Correlations. </w:t>
      </w:r>
      <w:r w:rsidRPr="000E4150">
        <w:rPr>
          <w:rStyle w:val="normaltextrun"/>
          <w:rFonts w:asciiTheme="majorBidi" w:hAnsiTheme="majorBidi" w:cstheme="majorBidi"/>
          <w:lang w:val="en-US"/>
        </w:rPr>
        <w:t>To assess possible brain-</w:t>
      </w:r>
      <w:r w:rsidRPr="000E4150">
        <w:rPr>
          <w:rStyle w:val="spellingerror"/>
          <w:rFonts w:asciiTheme="majorBidi" w:hAnsiTheme="majorBidi" w:cstheme="majorBidi"/>
          <w:lang w:val="en-US"/>
        </w:rPr>
        <w:t>behavior</w:t>
      </w:r>
      <w:r w:rsidRPr="000E4150">
        <w:rPr>
          <w:rStyle w:val="normaltextrun"/>
          <w:rFonts w:asciiTheme="majorBidi" w:hAnsiTheme="majorBidi" w:cstheme="majorBidi"/>
          <w:lang w:val="en-US"/>
        </w:rPr>
        <w:t> relationships, logistic regression models were fitted for each participant individually (using </w:t>
      </w:r>
      <w:proofErr w:type="spellStart"/>
      <w:r w:rsidRPr="000E4150">
        <w:rPr>
          <w:rStyle w:val="spellingerror"/>
          <w:rFonts w:asciiTheme="majorBidi" w:hAnsiTheme="majorBidi" w:cstheme="majorBidi"/>
          <w:lang w:val="en-US"/>
        </w:rPr>
        <w:t>glm</w:t>
      </w:r>
      <w:proofErr w:type="spellEnd"/>
      <w:r w:rsidRPr="000E4150">
        <w:rPr>
          <w:rStyle w:val="normaltextrun"/>
          <w:rFonts w:asciiTheme="majorBidi" w:hAnsiTheme="majorBidi" w:cstheme="majorBidi"/>
          <w:lang w:val="en-US"/>
        </w:rPr>
        <w:t>, MATLAB). Beta regression weight values for the IFC, striatum and ACC were correlated with BIS11 </w:t>
      </w:r>
      <w:r w:rsidRPr="000E4150">
        <w:rPr>
          <w:rStyle w:val="normaltextrun"/>
          <w:rFonts w:asciiTheme="majorBidi" w:hAnsiTheme="majorBidi" w:cstheme="majorBidi"/>
          <w:lang w:val="en-US"/>
        </w:rPr>
        <w:fldChar w:fldCharType="begin" w:fldLock="1"/>
      </w:r>
      <w:r w:rsidR="00760109" w:rsidRPr="000E4150">
        <w:rPr>
          <w:rStyle w:val="normaltextrun"/>
          <w:rFonts w:asciiTheme="majorBidi" w:hAnsiTheme="majorBidi" w:cstheme="majorBidi"/>
          <w:lang w:val="en-US"/>
        </w:rPr>
        <w:instrText>ADDIN CSL_CITATION {"citationItems":[{"id":"ITEM-1","itemData":{"DOI":"10.1002/1097-4679(199511)51:6&lt;768::AID-JCLP2270510607&gt;3.0.CO;2-1","ISSN":"10974679","abstract":"The purpose of the present study was to revise the Barratt Impulsiveness Scale Version 10 (BIS-10), identify the factor structure of the items among normals, and compare their scores on the revised form (BIS-11) with psychiatric inpatients and prison inmates. The scale was administered to 412 college undergraduates, 248 psychiatric inpatients, and 73 male prison inmates. Exploratory principal components analysis of the items identified six primary factors and three second-order factors. The three second-order factors were labeled Attentional Impulsiveness, Motor Impulsiveness, and Nonplanning Impulsiveness. Two of the three second-order factors identified in the BIS-11 were consistent with those proposed by Barratt (1985), but no cognitive impulsiveness component was identified per se. The results of the present study suggest that the total score of the BIS-11 is an internally consistent measure of impulsiveness and has potential clinical utility for measuring impulsiveness among selected patient and inmate populations.","author":[{"dropping-particle":"","family":"Patton","given":"Jim H.","non-dropping-particle":"","parse-names":false,"suffix":""},{"dropping-particle":"","family":"Stanford","given":"Matthew S.","non-dropping-particle":"","parse-names":false,"suffix":""},{"dropping-particle":"","family":"Barratt","given":"Ernest S.","non-dropping-particle":"","parse-names":false,"suffix":""}],"container-title":"Journal of Clinical Psychology","id":"ITEM-1","issue":"6","issued":{"date-parts":[["1995"]]},"page":"768-774","title":"Factor structure of the barratt impulsiveness scale","type":"article-journal","volume":"51"},"uris":["http://www.mendeley.com/documents/?uuid=569e93b1-6c28-4f77-b691-62406b71b1b7"]}],"mendeley":{"formattedCitation":"[Patton et al., 1995]","plainTextFormattedCitation":"[Patton et al., 1995]","previouslyFormattedCitation":"[Patton et al., 1995]"},"properties":{"noteIndex":0},"schema":"https://github.com/citation-style-language/schema/raw/master/csl-citation.json"}</w:instrText>
      </w:r>
      <w:r w:rsidRPr="000E4150">
        <w:rPr>
          <w:rStyle w:val="normaltextrun"/>
          <w:rFonts w:asciiTheme="majorBidi" w:hAnsiTheme="majorBidi" w:cstheme="majorBidi"/>
          <w:lang w:val="en-US"/>
        </w:rPr>
        <w:fldChar w:fldCharType="separate"/>
      </w:r>
      <w:r w:rsidR="00E06636" w:rsidRPr="000E4150">
        <w:rPr>
          <w:rStyle w:val="normaltextrun"/>
          <w:rFonts w:asciiTheme="majorBidi" w:hAnsiTheme="majorBidi" w:cstheme="majorBidi"/>
          <w:noProof/>
          <w:lang w:val="en-US"/>
        </w:rPr>
        <w:t>[Patton et al., 1995]</w:t>
      </w:r>
      <w:r w:rsidRPr="000E4150">
        <w:rPr>
          <w:rStyle w:val="normaltextrun"/>
          <w:rFonts w:asciiTheme="majorBidi" w:hAnsiTheme="majorBidi" w:cstheme="majorBidi"/>
          <w:lang w:val="en-US"/>
        </w:rPr>
        <w:fldChar w:fldCharType="end"/>
      </w:r>
      <w:r w:rsidRPr="000E4150">
        <w:rPr>
          <w:rStyle w:val="normaltextrun"/>
          <w:rFonts w:asciiTheme="majorBidi" w:hAnsiTheme="majorBidi" w:cstheme="majorBidi"/>
          <w:lang w:val="en-US"/>
        </w:rPr>
        <w:t xml:space="preserve"> and a self-reported estimate of likelihood to pick up money on the floor (Value of Money). For SDIs, correlations were also assessed with the </w:t>
      </w:r>
      <w:r w:rsidR="001C196A" w:rsidRPr="000E4150">
        <w:rPr>
          <w:rStyle w:val="normaltextrun"/>
          <w:rFonts w:asciiTheme="majorBidi" w:hAnsiTheme="majorBidi" w:cstheme="majorBidi"/>
          <w:lang w:val="en-US"/>
        </w:rPr>
        <w:t>obsessive-compulsive drug use scale (</w:t>
      </w:r>
      <w:r w:rsidRPr="000E4150">
        <w:rPr>
          <w:rStyle w:val="normaltextrun"/>
          <w:rFonts w:asciiTheme="majorBidi" w:hAnsiTheme="majorBidi" w:cstheme="majorBidi"/>
          <w:lang w:val="en-US"/>
        </w:rPr>
        <w:t>OCDUS</w:t>
      </w:r>
      <w:r w:rsidR="001C196A" w:rsidRPr="000E4150">
        <w:rPr>
          <w:rStyle w:val="normaltextrun"/>
          <w:rFonts w:asciiTheme="majorBidi" w:hAnsiTheme="majorBidi" w:cstheme="majorBidi"/>
          <w:lang w:val="en-US"/>
        </w:rPr>
        <w:t>)</w:t>
      </w:r>
      <w:r w:rsidRPr="000E4150">
        <w:rPr>
          <w:rStyle w:val="normaltextrun"/>
          <w:rFonts w:asciiTheme="majorBidi" w:hAnsiTheme="majorBidi" w:cstheme="majorBidi"/>
          <w:lang w:val="en-US"/>
        </w:rPr>
        <w:t xml:space="preserve"> scores. In the SDI group, ACC, striatum and IFC beta values from the drug incentive condition were analyzed, whereas in the HC and SIB groups, ACC, striatum and IFC values were used in the money incentive condition.</w:t>
      </w:r>
      <w:r w:rsidR="00920F3F" w:rsidRPr="000E4150">
        <w:rPr>
          <w:rStyle w:val="normaltextrun"/>
          <w:rFonts w:asciiTheme="majorBidi" w:hAnsiTheme="majorBidi" w:cstheme="majorBidi"/>
          <w:lang w:val="en-US"/>
        </w:rPr>
        <w:t xml:space="preserve"> </w:t>
      </w:r>
      <w:r w:rsidR="00C446DE" w:rsidRPr="000E4150">
        <w:rPr>
          <w:rStyle w:val="normaltextrun"/>
          <w:rFonts w:asciiTheme="majorBidi" w:hAnsiTheme="majorBidi" w:cstheme="majorBidi"/>
          <w:lang w:val="en-US"/>
        </w:rPr>
        <w:t>Si</w:t>
      </w:r>
      <w:r w:rsidRPr="000E4150">
        <w:rPr>
          <w:rStyle w:val="normaltextrun"/>
          <w:rFonts w:asciiTheme="majorBidi" w:hAnsiTheme="majorBidi" w:cstheme="majorBidi"/>
          <w:lang w:val="en-US"/>
        </w:rPr>
        <w:t>nce the beta value distribution was non-normal, Spearman’s rank correlations with confidence intervals are reported, with p-values using Bonferroni-correction for</w:t>
      </w:r>
      <w:r w:rsidR="00EB54A1" w:rsidRPr="000E4150">
        <w:rPr>
          <w:rStyle w:val="normaltextrun"/>
          <w:rFonts w:asciiTheme="majorBidi" w:hAnsiTheme="majorBidi" w:cstheme="majorBidi"/>
          <w:lang w:val="en-US"/>
        </w:rPr>
        <w:t xml:space="preserve"> </w:t>
      </w:r>
      <w:r w:rsidRPr="000E4150">
        <w:rPr>
          <w:rStyle w:val="normaltextrun"/>
          <w:rFonts w:asciiTheme="majorBidi" w:hAnsiTheme="majorBidi" w:cstheme="majorBidi"/>
          <w:lang w:val="en-US"/>
        </w:rPr>
        <w:t>multiple</w:t>
      </w:r>
      <w:r w:rsidR="00EB54A1" w:rsidRPr="000E4150">
        <w:rPr>
          <w:rStyle w:val="normaltextrun"/>
          <w:rFonts w:asciiTheme="majorBidi" w:hAnsiTheme="majorBidi" w:cstheme="majorBidi"/>
          <w:lang w:val="en-US"/>
        </w:rPr>
        <w:t xml:space="preserve"> </w:t>
      </w:r>
      <w:r w:rsidRPr="000E4150">
        <w:rPr>
          <w:rStyle w:val="normaltextrun"/>
          <w:rFonts w:asciiTheme="majorBidi" w:hAnsiTheme="majorBidi" w:cstheme="majorBidi"/>
          <w:lang w:val="en-US"/>
        </w:rPr>
        <w:t>comparisons</w:t>
      </w:r>
      <w:r w:rsidR="00EB54A1" w:rsidRPr="000E4150">
        <w:rPr>
          <w:rStyle w:val="normaltextrun"/>
          <w:rFonts w:asciiTheme="majorBidi" w:hAnsiTheme="majorBidi" w:cstheme="majorBidi"/>
          <w:lang w:val="en-US"/>
        </w:rPr>
        <w:t xml:space="preserve"> </w:t>
      </w:r>
      <w:r w:rsidRPr="000E4150">
        <w:rPr>
          <w:rStyle w:val="normaltextrun"/>
          <w:rFonts w:asciiTheme="majorBidi" w:hAnsiTheme="majorBidi" w:cstheme="majorBidi"/>
          <w:lang w:val="en-US"/>
        </w:rPr>
        <w:t>within</w:t>
      </w:r>
      <w:r w:rsidR="00EB54A1" w:rsidRPr="000E4150">
        <w:rPr>
          <w:rStyle w:val="normaltextrun"/>
          <w:rFonts w:asciiTheme="majorBidi" w:hAnsiTheme="majorBidi" w:cstheme="majorBidi"/>
          <w:lang w:val="en-US"/>
        </w:rPr>
        <w:t xml:space="preserve"> </w:t>
      </w:r>
      <w:r w:rsidRPr="000E4150">
        <w:rPr>
          <w:rStyle w:val="normaltextrun"/>
          <w:rFonts w:asciiTheme="majorBidi" w:hAnsiTheme="majorBidi" w:cstheme="majorBidi"/>
          <w:lang w:val="en-US"/>
        </w:rPr>
        <w:t>each group. </w:t>
      </w:r>
      <w:r w:rsidRPr="000E4150">
        <w:rPr>
          <w:rStyle w:val="eop"/>
          <w:rFonts w:asciiTheme="majorBidi" w:hAnsiTheme="majorBidi" w:cstheme="majorBidi"/>
          <w:lang w:val="en-US"/>
        </w:rPr>
        <w:t> </w:t>
      </w:r>
    </w:p>
    <w:p w14:paraId="4A473DA4" w14:textId="1CE0848E" w:rsidR="00D52D9F" w:rsidRPr="000E4150" w:rsidRDefault="00D52D9F" w:rsidP="00D52D9F">
      <w:pPr>
        <w:pStyle w:val="paragraph"/>
        <w:spacing w:before="0" w:beforeAutospacing="0" w:after="0" w:afterAutospacing="0" w:line="480" w:lineRule="auto"/>
        <w:textAlignment w:val="baseline"/>
        <w:rPr>
          <w:rFonts w:asciiTheme="majorBidi" w:hAnsiTheme="majorBidi" w:cstheme="majorBidi"/>
          <w:lang w:val="en-US"/>
        </w:rPr>
      </w:pPr>
      <w:r w:rsidRPr="000E4150">
        <w:rPr>
          <w:rStyle w:val="eop"/>
          <w:rFonts w:asciiTheme="majorBidi" w:hAnsiTheme="majorBidi" w:cstheme="majorBidi"/>
          <w:b/>
          <w:bCs/>
          <w:lang w:val="en-US"/>
        </w:rPr>
        <w:t> </w:t>
      </w:r>
      <w:r w:rsidRPr="000E4150">
        <w:rPr>
          <w:rStyle w:val="normaltextrun"/>
          <w:rFonts w:asciiTheme="majorBidi" w:hAnsiTheme="majorBidi" w:cstheme="majorBidi"/>
          <w:b/>
          <w:bCs/>
          <w:i/>
          <w:iCs/>
          <w:lang w:val="en-US"/>
        </w:rPr>
        <w:t xml:space="preserve">Dynamic Causal Modelling. </w:t>
      </w:r>
      <w:r w:rsidRPr="000E4150">
        <w:rPr>
          <w:rStyle w:val="normaltextrun"/>
          <w:rFonts w:asciiTheme="majorBidi" w:hAnsiTheme="majorBidi" w:cstheme="majorBidi"/>
          <w:lang w:val="en-US"/>
        </w:rPr>
        <w:t xml:space="preserve">To explore directional interactions (effective connectivity) between the regions identified by the mass univariate GLM analysis, a set of dynamic causal </w:t>
      </w:r>
      <w:r w:rsidRPr="000E4150">
        <w:rPr>
          <w:rStyle w:val="normaltextrun"/>
          <w:rFonts w:asciiTheme="majorBidi" w:hAnsiTheme="majorBidi" w:cstheme="majorBidi"/>
          <w:lang w:val="en-US"/>
        </w:rPr>
        <w:lastRenderedPageBreak/>
        <w:t xml:space="preserve">models were created, estimated and tested in SPM12 (v6906). Following the GLM activations, </w:t>
      </w:r>
      <w:r w:rsidR="007D7D64" w:rsidRPr="000E4150">
        <w:rPr>
          <w:rStyle w:val="normaltextrun"/>
          <w:rFonts w:asciiTheme="majorBidi" w:hAnsiTheme="majorBidi" w:cstheme="majorBidi"/>
          <w:lang w:val="en-US"/>
        </w:rPr>
        <w:t>dynamic causal models (</w:t>
      </w:r>
      <w:r w:rsidRPr="000E4150">
        <w:rPr>
          <w:rStyle w:val="normaltextrun"/>
          <w:rFonts w:asciiTheme="majorBidi" w:hAnsiTheme="majorBidi" w:cstheme="majorBidi"/>
          <w:lang w:val="en-US"/>
        </w:rPr>
        <w:t>DCM</w:t>
      </w:r>
      <w:r w:rsidR="007D7D64" w:rsidRPr="000E4150">
        <w:rPr>
          <w:rStyle w:val="normaltextrun"/>
          <w:rFonts w:asciiTheme="majorBidi" w:hAnsiTheme="majorBidi" w:cstheme="majorBidi"/>
          <w:lang w:val="en-US"/>
        </w:rPr>
        <w:t>)</w:t>
      </w:r>
      <w:r w:rsidRPr="000E4150">
        <w:rPr>
          <w:rStyle w:val="normaltextrun"/>
          <w:rFonts w:asciiTheme="majorBidi" w:hAnsiTheme="majorBidi" w:cstheme="majorBidi"/>
          <w:lang w:val="en-US"/>
        </w:rPr>
        <w:t xml:space="preserve"> </w:t>
      </w:r>
      <w:r w:rsidR="00EF48B4" w:rsidRPr="000E4150">
        <w:rPr>
          <w:rStyle w:val="normaltextrun"/>
          <w:rFonts w:asciiTheme="majorBidi" w:hAnsiTheme="majorBidi" w:cstheme="majorBidi"/>
          <w:lang w:val="en-US"/>
        </w:rPr>
        <w:t xml:space="preserve">were </w:t>
      </w:r>
      <w:r w:rsidRPr="000E4150">
        <w:rPr>
          <w:rStyle w:val="normaltextrun"/>
          <w:rFonts w:asciiTheme="majorBidi" w:hAnsiTheme="majorBidi" w:cstheme="majorBidi"/>
          <w:lang w:val="en-US"/>
        </w:rPr>
        <w:t>tested with the money incentive condition for the HC group and with the drug incentives for the SDI group. In two participants in each group the DCM analyses for three or more models failed to converge, resulting in these participants being excluded for this analysis. During the DCM analyses for the SIB group, the Bayesian model selection (BMS) phase did not yield a single winning model limiting any interpretation of their results. Additional information is </w:t>
      </w:r>
      <w:r w:rsidRPr="000E4150">
        <w:rPr>
          <w:rStyle w:val="contextualspellingandgrammarerror"/>
          <w:rFonts w:asciiTheme="majorBidi" w:hAnsiTheme="majorBidi" w:cstheme="majorBidi"/>
          <w:lang w:val="en-US"/>
        </w:rPr>
        <w:t>reported in</w:t>
      </w:r>
      <w:r w:rsidRPr="000E4150">
        <w:rPr>
          <w:rStyle w:val="normaltextrun"/>
          <w:rFonts w:asciiTheme="majorBidi" w:hAnsiTheme="majorBidi" w:cstheme="majorBidi"/>
          <w:lang w:val="en-US"/>
        </w:rPr>
        <w:t> the supplementary information. The network of interest included three ROIs: IFC (pars </w:t>
      </w:r>
      <w:r w:rsidRPr="000E4150">
        <w:rPr>
          <w:rStyle w:val="spellingerror"/>
          <w:rFonts w:asciiTheme="majorBidi" w:hAnsiTheme="majorBidi" w:cstheme="majorBidi"/>
          <w:lang w:val="en-US"/>
        </w:rPr>
        <w:t>opercularis</w:t>
      </w:r>
      <w:r w:rsidRPr="000E4150">
        <w:rPr>
          <w:rStyle w:val="normaltextrun"/>
          <w:rFonts w:asciiTheme="majorBidi" w:hAnsiTheme="majorBidi" w:cstheme="majorBidi"/>
          <w:lang w:val="en-US"/>
        </w:rPr>
        <w:t>), Caudate and ACC, in keeping with the recommendation that only commonly activated regions in both groups be included as nodes (</w:t>
      </w:r>
      <w:proofErr w:type="spellStart"/>
      <w:r w:rsidRPr="000E4150">
        <w:rPr>
          <w:rStyle w:val="spellingerror"/>
          <w:rFonts w:asciiTheme="majorBidi" w:hAnsiTheme="majorBidi" w:cstheme="majorBidi"/>
          <w:lang w:val="en-US"/>
        </w:rPr>
        <w:t>Seghier</w:t>
      </w:r>
      <w:proofErr w:type="spellEnd"/>
      <w:r w:rsidRPr="000E4150">
        <w:rPr>
          <w:rStyle w:val="normaltextrun"/>
          <w:rFonts w:asciiTheme="majorBidi" w:hAnsiTheme="majorBidi" w:cstheme="majorBidi"/>
          <w:lang w:val="en-US"/>
        </w:rPr>
        <w:t> et al., 2010). Time series were extracted in similar way to the logistic regression analysis, i.e. based on the individual peak activations in response to the premature&gt;correct contrast. Here, time series preprocessing only included </w:t>
      </w:r>
      <w:r w:rsidRPr="000E4150">
        <w:rPr>
          <w:rStyle w:val="spellingerror"/>
          <w:rFonts w:asciiTheme="majorBidi" w:hAnsiTheme="majorBidi" w:cstheme="majorBidi"/>
          <w:lang w:val="en-US"/>
        </w:rPr>
        <w:t>despiking</w:t>
      </w:r>
      <w:r w:rsidRPr="000E4150">
        <w:rPr>
          <w:rStyle w:val="normaltextrun"/>
          <w:rFonts w:asciiTheme="majorBidi" w:hAnsiTheme="majorBidi" w:cstheme="majorBidi"/>
          <w:lang w:val="en-US"/>
        </w:rPr>
        <w:t> (&gt;4SD from the mean) of the SDI group to address severe motion artifacts and were not mean centered (since the </w:t>
      </w:r>
      <w:r w:rsidRPr="000E4150">
        <w:rPr>
          <w:rStyle w:val="spellingerror"/>
          <w:rFonts w:asciiTheme="majorBidi" w:hAnsiTheme="majorBidi" w:cstheme="majorBidi"/>
          <w:lang w:val="en-US"/>
        </w:rPr>
        <w:t>Eigenvariate</w:t>
      </w:r>
      <w:r w:rsidRPr="000E4150">
        <w:rPr>
          <w:rStyle w:val="normaltextrun"/>
          <w:rFonts w:asciiTheme="majorBidi" w:hAnsiTheme="majorBidi" w:cstheme="majorBidi"/>
          <w:lang w:val="en-US"/>
        </w:rPr>
        <w:t> extraction results in a mean of 0 and an SD of 1). First</w:t>
      </w:r>
      <w:r w:rsidRPr="000E4150">
        <w:rPr>
          <w:rStyle w:val="normaltextrun"/>
          <w:rFonts w:asciiTheme="majorBidi" w:hAnsiTheme="majorBidi" w:cstheme="majorBidi"/>
          <w:vertAlign w:val="superscript"/>
          <w:lang w:val="en-US"/>
        </w:rPr>
        <w:t> </w:t>
      </w:r>
      <w:r w:rsidRPr="000E4150">
        <w:rPr>
          <w:rStyle w:val="normaltextrun"/>
          <w:rFonts w:asciiTheme="majorBidi" w:hAnsiTheme="majorBidi" w:cstheme="majorBidi"/>
          <w:lang w:val="en-US"/>
        </w:rPr>
        <w:t>level GLM analyses were re-estimated in SPM12 for the money and drug incentive conditions in a separate GLM and combined with the preprocessed timeseries in the DCM. Second level group maps estimated in SPM12 were consistent with 2</w:t>
      </w:r>
      <w:r w:rsidRPr="000E4150">
        <w:rPr>
          <w:rStyle w:val="normaltextrun"/>
          <w:rFonts w:asciiTheme="majorBidi" w:hAnsiTheme="majorBidi" w:cstheme="majorBidi"/>
          <w:vertAlign w:val="superscript"/>
          <w:lang w:val="en-US"/>
        </w:rPr>
        <w:t>nd</w:t>
      </w:r>
      <w:r w:rsidRPr="000E4150">
        <w:rPr>
          <w:rStyle w:val="normaltextrun"/>
          <w:rFonts w:asciiTheme="majorBidi" w:hAnsiTheme="majorBidi" w:cstheme="majorBidi"/>
          <w:lang w:val="en-US"/>
        </w:rPr>
        <w:t> level group maps estimated in FSL.</w:t>
      </w:r>
      <w:r w:rsidRPr="000E4150">
        <w:rPr>
          <w:rStyle w:val="eop"/>
          <w:rFonts w:asciiTheme="majorBidi" w:hAnsiTheme="majorBidi" w:cstheme="majorBidi"/>
          <w:lang w:val="en-US"/>
        </w:rPr>
        <w:t> </w:t>
      </w:r>
    </w:p>
    <w:p w14:paraId="728ADC29" w14:textId="5DA3F224" w:rsidR="00D52D9F" w:rsidRPr="000E4150" w:rsidRDefault="00D52D9F" w:rsidP="000845E1">
      <w:pPr>
        <w:pStyle w:val="paragraph"/>
        <w:spacing w:before="0" w:beforeAutospacing="0" w:after="0" w:afterAutospacing="0" w:line="480" w:lineRule="auto"/>
        <w:ind w:firstLine="720"/>
        <w:textAlignment w:val="baseline"/>
        <w:rPr>
          <w:rFonts w:asciiTheme="majorBidi" w:hAnsiTheme="majorBidi" w:cstheme="majorBidi"/>
          <w:lang w:val="en-US"/>
        </w:rPr>
      </w:pPr>
      <w:r w:rsidRPr="000E4150">
        <w:rPr>
          <w:rStyle w:val="eop"/>
          <w:rFonts w:asciiTheme="majorBidi" w:hAnsiTheme="majorBidi" w:cstheme="majorBidi"/>
          <w:lang w:val="en-US"/>
        </w:rPr>
        <w:t> </w:t>
      </w:r>
      <w:r w:rsidRPr="000E4150">
        <w:rPr>
          <w:rStyle w:val="normaltextrun"/>
          <w:rFonts w:asciiTheme="majorBidi" w:hAnsiTheme="majorBidi" w:cstheme="majorBidi"/>
          <w:lang w:val="en-US"/>
        </w:rPr>
        <w:t xml:space="preserve">Model space definition aimed to address two issues: firstly, we wanted to confirm the interactive architecture of the ACC – Caudate – IFC network by comparing a fully interactive model family (family A, Figure 3a) with architectures where one of the connections is pruned (model families B-G). Secondly, we wanted to investigate at which node or connection in the network the modulation by premature&gt;correct contrast occurs (models A1-A9). All principle experimental conditions (correct, premature, failure) were used as driving inputs to the ACC and IFC, similarly to previous DCM analyses of response inhibition </w:t>
      </w:r>
      <w:r w:rsidRPr="000E4150">
        <w:rPr>
          <w:rStyle w:val="normaltextrun"/>
          <w:rFonts w:asciiTheme="majorBidi" w:hAnsiTheme="majorBidi" w:cstheme="majorBidi"/>
          <w:lang w:val="en-US"/>
        </w:rPr>
        <w:fldChar w:fldCharType="begin" w:fldLock="1"/>
      </w:r>
      <w:r w:rsidR="00760109" w:rsidRPr="000E4150">
        <w:rPr>
          <w:rStyle w:val="normaltextrun"/>
          <w:rFonts w:asciiTheme="majorBidi" w:hAnsiTheme="majorBidi" w:cstheme="majorBidi"/>
          <w:lang w:val="en-US"/>
        </w:rPr>
        <w:instrText>ADDIN CSL_CITATION {"citationItems":[{"id":"ITEM-1","itemData":{"DOI":"10.1523/JNEUROSCI.3093-13.2015","ISBN":"1529-2401 (Electronic)\\r0270-6474 (Linking)","ISSN":"1529-2401","PMID":"25589771","abstract":"Communication between the prefrontal cortex and subcortical nuclei underpins the control and inhibition of behavior. However, the interactions in such pathways remain controversial. Using a stop-signal response inhibition task and functional imaging with analysis of effective connectivity, we show that the lateral prefrontal cortex influences the strength of communication between regions in the frontostriatal motor system. We compared 20 generative models that represented alternative interactions between the inferior frontal gyrus, presupplementary motor area (preSMA), subthalamic nucleus (STN), and primary motor cortex during response inhibition. Bayesian model selection revealed that during successful response inhibition, the inferior frontal gyrus modulates an excitatory influence of the preSMA on the STN, thereby amplifying the downstream polysynaptic inhibition from the STN to the motor cortex. Critically, the strength of the interaction between preSMA and STN, and the degree of modulation by the inferior frontal gyrus, predicted individual differences in participants' stopping performance (stop-signal reaction time). We then used diffusion-weighted imaging with tractography to assess white matter structure in the pathways connecting these three regions. The mean diffusivity in tracts between preSMA and the STN, and between the inferior frontal gyrus and STN, also predicted individual differences in stopping efficiency. Finally, we found that white matter structure in the tract between preSMA and STN correlated with effective connectivity of the same pathway, providing important cross-modal validation of the effective connectivity measures. Together, the results demonstrate the network dynamics and modulatory role of the prefrontal cortex that underpin individual differences in inhibitory control.","author":[{"dropping-particle":"","family":"Rae","given":"Charlotte L","non-dropping-particle":"","parse-names":false,"suffix":""},{"dropping-particle":"","family":"Hughes","given":"Laura E","non-dropping-particle":"","parse-names":false,"suffix":""},{"dropping-particle":"","family":"Anderson","given":"Michael C","non-dropping-particle":"","parse-names":false,"suffix":""},{"dropping-particle":"","family":"Rowe","given":"James B","non-dropping-particle":"","parse-names":false,"suffix":""}],"container-title":"The Journal of neuroscience : the official journal of the Society for Neuroscience","id":"ITEM-1","issue":"2","issued":{"date-parts":[["2015"]]},"page":"786-94","title":"The prefrontal cortex achieves inhibitory control by facilitating subcortical motor pathway connectivity.","type":"article-journal","volume":"35"},"uris":["http://www.mendeley.com/documents/?uuid=e1cd2b52-4b20-423b-8c98-36004beeeda5"]},{"id":"ITEM-2","itemData":{"DOI":"10.1093/brain/aww138","ISSN":"14602156","abstract":"Parkinson's disease impairs the inhibition of responses, and whilst impulsivity is mild for some patients, severe impulse control disorders affect approximately 10% of cases. Based on preclinical models we proposed that noradrenergic denervation contributes to the impairment of response inhibition, via changes in the prefrontal cortex and its subcortical connections. Previous work in Parkinson's disease found that the selective noradrenaline reuptake inhibitor atomoxetine could improve response inhibition, gambling decisions and reflection impulsivity. Here we tested the hypotheses that atomoxetine can restore functional brain networks for response inhibition in Parkinson's disease, and that both structural and functional connectivity determine the behavioural effect. In a randomized, double-blind placebo-controlled crossover study, 19 patients with mild-to-moderate idiopathic Parkinson's disease underwent functional magnetic resonance imaging during a stop-signal task, while on their usual dopaminergic therapy. Patients received 40 mg atomoxetine or placebo, orally. This regimen anticipates that noradrenergic therapies for behavioural symptoms would be adjunctive to, not a replacement for, dopaminergic therapy. Twenty matched control participants provided normative data. Arterial spin labelling identified no significant changes in regional perfusion. We assessed functional interactions between key frontal and subcortical brain areas for response inhibition, by comparing 20 dynamic causal models of the response inhibition network, inverted to the functional magnetic resonance imaging data and compared using random effects model selection. We found that the normal interaction between pre-supplementary motor cortex and the inferior frontal gyrus was absent in Parkinson's disease patients on placebo (despite dopaminergic therapy), but this connection was restored by atomoxetine. The behavioural change in response inhibition (improvement indicated by reduced stop-signal reaction time) following atomoxetine correlated with structural connectivity as measured by the fractional anisotropy in the white matter underlying the inferior frontal gyrus. Using multiple regression models, we examined the factors that influenced the individual differences in the response to atomoxetine: the reduction in stop-signal reaction time correlated with structural connectivity and baseline performance, while disease severity and drug plasma level predicted the change in fronto-s…","author":[{"dropping-particle":"","family":"Rae","given":"Charlotte L.","non-dropping-particle":"","parse-names":false,"suffix":""},{"dropping-particle":"","family":"Nombela","given":"Cristina","non-dropping-particle":"","parse-names":false,"suffix":""},{"dropping-particle":"","family":"Rodríguez","given":"Patricia Vázquez","non-dropping-particle":"","parse-names":false,"suffix":""},{"dropping-particle":"","family":"Ye","given":"Zheng","non-dropping-particle":"","parse-names":false,"suffix":""},{"dropping-particle":"","family":"Hughes","given":"Laura E.","non-dropping-particle":"","parse-names":false,"suffix":""},{"dropping-particle":"","family":"Jones","given":"P. Simon","non-dropping-particle":"","parse-names":false,"suffix":""},{"dropping-particle":"","family":"Ham","given":"Timothy","non-dropping-particle":"","parse-names":false,"suffix":""},{"dropping-particle":"","family":"Rittman","given":"Timothy","non-dropping-particle":"","parse-names":false,"suffix":""},{"dropping-particle":"","family":"Coyle-Gilchrist","given":"Ian","non-dropping-particle":"","parse-names":false,"suffix":""},{"dropping-particle":"","family":"Regenthal","given":"Ralf","non-dropping-particle":"","parse-names":false,"suffix":""},{"dropping-particle":"","family":"Sahakian","given":"Barbara J.","non-dropping-particle":"","parse-names":false,"suffix":""},{"dropping-particle":"","family":"Barker","given":"Roger A.","non-dropping-particle":"","parse-names":false,"suffix":""},{"dropping-particle":"","family":"Robbins","given":"Trevor W.","non-dropping-particle":"","parse-names":false,"suffix":""},{"dropping-particle":"","family":"Rowe","given":"James B.","non-dropping-particle":"","parse-names":false,"suffix":""}],"container-title":"Brain","id":"ITEM-2","issue":"8","issued":{"date-parts":[["2016"]]},"page":"2235-2248","title":"Atomoxetine restores the response inhibition network in Parkinson's disease","type":"article-journal","volume":"139"},"uris":["http://www.mendeley.com/documents/?uuid=72f9ba60-f68e-41f2-b8ee-352557399bd1"]}],"mendeley":{"formattedCitation":"[Rae et al., 2015; Rae et al., 2016]","plainTextFormattedCitation":"[Rae et al., 2015; Rae et al., 2016]","previouslyFormattedCitation":"[Rae et al., 2015; Rae et al., 2016]"},"properties":{"noteIndex":0},"schema":"https://github.com/citation-style-language/schema/raw/master/csl-citation.json"}</w:instrText>
      </w:r>
      <w:r w:rsidRPr="000E4150">
        <w:rPr>
          <w:rStyle w:val="normaltextrun"/>
          <w:rFonts w:asciiTheme="majorBidi" w:hAnsiTheme="majorBidi" w:cstheme="majorBidi"/>
          <w:lang w:val="en-US"/>
        </w:rPr>
        <w:fldChar w:fldCharType="separate"/>
      </w:r>
      <w:r w:rsidR="00E06636" w:rsidRPr="000E4150">
        <w:rPr>
          <w:rStyle w:val="normaltextrun"/>
          <w:rFonts w:asciiTheme="majorBidi" w:hAnsiTheme="majorBidi" w:cstheme="majorBidi"/>
          <w:noProof/>
          <w:lang w:val="en-US"/>
        </w:rPr>
        <w:t xml:space="preserve">[Rae et al., 2015; Rae et </w:t>
      </w:r>
      <w:r w:rsidR="00E06636" w:rsidRPr="000E4150">
        <w:rPr>
          <w:rStyle w:val="normaltextrun"/>
          <w:rFonts w:asciiTheme="majorBidi" w:hAnsiTheme="majorBidi" w:cstheme="majorBidi"/>
          <w:noProof/>
          <w:lang w:val="en-US"/>
        </w:rPr>
        <w:lastRenderedPageBreak/>
        <w:t>al., 2016]</w:t>
      </w:r>
      <w:r w:rsidRPr="000E4150">
        <w:rPr>
          <w:rStyle w:val="normaltextrun"/>
          <w:rFonts w:asciiTheme="majorBidi" w:hAnsiTheme="majorBidi" w:cstheme="majorBidi"/>
          <w:lang w:val="en-US"/>
        </w:rPr>
        <w:fldChar w:fldCharType="end"/>
      </w:r>
      <w:r w:rsidRPr="000E4150">
        <w:rPr>
          <w:rStyle w:val="normaltextrun"/>
          <w:rFonts w:asciiTheme="majorBidi" w:hAnsiTheme="majorBidi" w:cstheme="majorBidi"/>
          <w:lang w:val="en-US"/>
        </w:rPr>
        <w:t>. Modulatory effects were placed at each possible node and connection. Random effects (RFX) Bayesian model selection was </w:t>
      </w:r>
      <w:proofErr w:type="gramStart"/>
      <w:r w:rsidRPr="000E4150">
        <w:rPr>
          <w:rStyle w:val="contextualspellingandgrammarerror"/>
          <w:rFonts w:asciiTheme="majorBidi" w:hAnsiTheme="majorBidi" w:cstheme="majorBidi"/>
          <w:lang w:val="en-US"/>
        </w:rPr>
        <w:t>ran</w:t>
      </w:r>
      <w:proofErr w:type="gramEnd"/>
      <w:r w:rsidRPr="000E4150">
        <w:rPr>
          <w:rStyle w:val="normaltextrun"/>
          <w:rFonts w:asciiTheme="majorBidi" w:hAnsiTheme="majorBidi" w:cstheme="majorBidi"/>
          <w:lang w:val="en-US"/>
        </w:rPr>
        <w:t> on the full model space including families A-G, and on family A only; with both yielding the same results. Since strong </w:t>
      </w:r>
      <w:r w:rsidRPr="000E4150">
        <w:rPr>
          <w:rStyle w:val="normaltextrun"/>
          <w:rFonts w:asciiTheme="majorBidi" w:hAnsiTheme="majorBidi" w:cstheme="majorBidi"/>
          <w:i/>
          <w:iCs/>
          <w:lang w:val="en-US"/>
        </w:rPr>
        <w:t>a priori</w:t>
      </w:r>
      <w:r w:rsidRPr="000E4150">
        <w:rPr>
          <w:rStyle w:val="normaltextrun"/>
          <w:rFonts w:asciiTheme="majorBidi" w:hAnsiTheme="majorBidi" w:cstheme="majorBidi"/>
          <w:lang w:val="en-US"/>
        </w:rPr>
        <w:t xml:space="preserve"> evidence from functional and structural connectivity studies </w:t>
      </w:r>
      <w:r w:rsidRPr="000E4150">
        <w:rPr>
          <w:rStyle w:val="normaltextrun"/>
          <w:rFonts w:asciiTheme="majorBidi" w:hAnsiTheme="majorBidi" w:cstheme="majorBidi"/>
          <w:lang w:val="en-US"/>
        </w:rPr>
        <w:fldChar w:fldCharType="begin" w:fldLock="1"/>
      </w:r>
      <w:r w:rsidR="00760109" w:rsidRPr="000E4150">
        <w:rPr>
          <w:rStyle w:val="normaltextrun"/>
          <w:rFonts w:asciiTheme="majorBidi" w:hAnsiTheme="majorBidi" w:cstheme="majorBidi"/>
          <w:lang w:val="en-US"/>
        </w:rPr>
        <w:instrText>ADDIN CSL_CITATION {"citationItems":[{"id":"ITEM-1","itemData":{"DOI":"10.1016/B978-0-12-397025-1.00052-X","ISBN":"9780123970251","abstract":"Abstract The salience network (SN) is a large-scale paralimbic–limbic network anchored in the anterior insula and dorsal anterior cingulate cortex with prominent subcortical nodes in affect and reward processing systems. The SN plays a crucial role in identifying the most biologically and cognitively relevant events for adaptively guiding attention and behavior and constitutes a key interface for cognitive, homeostatic, motivational, and affective systems.","author":[{"dropping-particle":"","family":"Menon","given":"V.","non-dropping-particle":"","parse-names":false,"suffix":""}],"container-title":"Brain Mapping: An Encyclopedic Reference","id":"ITEM-1","issued":{"date-parts":[["2015"]]},"number-of-pages":"597-611","publisher":"Elsevier Inc.","title":"Salience Network","type":"book","volume":"2"},"uris":["http://www.mendeley.com/documents/?uuid=50a3364c-0023-4ea9-b6ef-fcc6b748762e"]},{"id":"ITEM-2","itemData":{"DOI":"10.1016/b978-0-12-804593-0.00002-3","ISBN":"9780128045930","abstract":"Dysfunction of the salience network can result in myriad difficulties, producing a range of symptoms across disorders affecting early life, adolescence, and even late life and aging. Depending on the specific nodes affected and the developmental stage of the individual, disruption to the salience network can produce symptoms observed in neurodevelopmental, internalizing, psychotic, and neurodegenerative disorders. As the detection of salience is fundamental to so many cognitive operations, alterations to salience network function can have widespread clinical consequences.","author":[{"dropping-particle":"","family":"Uddin","given":"Lucina Q.","non-dropping-particle":"","parse-names":false,"suffix":""}],"container-title":"Salience Network of the Human Brain","id":"ITEM-2","issued":{"date-parts":[["2016"]]},"page":"5-10","title":"Anatomy of the Salience Network","type":"article-journal"},"uris":["http://www.mendeley.com/documents/?uuid=2afbf451-0e9f-4391-a79b-4324faa9b8a0"]},{"id":"ITEM-3","itemData":{"DOI":"10.1016/j.neuroimage.2016.09.037","ISSN":"10959572","abstract":"Visual attentional bias forms for rewarding and punishing stimuli in the environment. While this attentional bias is adaptive in healthy situations, it is maladaptive in disorders such as drug addiction or PTSD. In both these disorders, the ability to exert control over this attentional bias is associated with drug abstinence rates or reduced PTSD symptoms, indicating the interaction of visual attention, cognitive control, and stimulus association. The inferior parietal lobule (IPL) is central to attention, while the prefrontal cortex (PFC) is critical for reward, cognitive control, and attention. Importantly, regions of the IPL and PFC commonly project to the rostral dorsal caudate (rdCaud) of the striatum. We propose an anatomical network architecture in which IPL projections converge with PFC projections in a connectional hub in the rdCaud, providing an anatomical substrate for the interaction of these projections and their competitive influence on striatal processing. To investigate this, we mapped the dense projections from the caudal IPL and prefrontal (dlPFC, vlPFC, OFC, dACC, and dmPFC) regions that project to the medial rdCaud with anatomical tract-tracing tracer injections in monkeys. These inputs converge in a precise site in the medial rdCaud, rostral to the anterior commissure. Small retrograde tracer injections confirmed these inputs to the medial rdCaud and showed that a proximal ventral striatal location has a very different pattern of cortical inputs. We next used human resting-state functional connectivity MRI (fcMRI) to examine whether a striatal hub exists in the human medial rdCaud. Seed regions in the human medial rdCaud revealed cortical correlation maps similar to the monkey retrograde injection results. A subsequent analysis of these correlated cortical regions showed that their peak correlation within the striatum is in the medial rdCaud, indicating that this is a connectional hub. In contrast, this peak striatal correlation was not found in the ventral striatal location, suggesting that this site is not a connectional hub of cortical regions. Taken together, this work uses the precision of monkey anatomy to identify a connectional hub of IPL and PFC projections in the medial rdCaud. It also translates this anatomical precision to humans, demonstrating that, guided by anatomy, connectional hubs can be identified in humans with fcMRI. These connectional hubs provide more specific treatment targets for drug addiction, PTSD, and o…","author":[{"dropping-particle":"","family":"Choi","given":"Eun Young","non-dropping-particle":"","parse-names":false,"suffix":""},{"dropping-particle":"","family":"Tanimura","given":"Yoko","non-dropping-particle":"","parse-names":false,"suffix":""},{"dropping-particle":"","family":"Vage","given":"Priti R.","non-dropping-particle":"","parse-names":false,"suffix":""},{"dropping-particle":"","family":"Yates","given":"Ellen H.","non-dropping-particle":"","parse-names":false,"suffix":""},{"dropping-particle":"","family":"Haber","given":"Suzanne N.","non-dropping-particle":"","parse-names":false,"suffix":""}],"container-title":"NeuroImage","id":"ITEM-3","issued":{"date-parts":[["2017"]]},"page":"821-832","publisher":"Elsevier","title":"Convergence of prefrontal and parietal anatomical projections in a connectional hub in the striatum","type":"article-journal","volume":"146"},"uris":["http://www.mendeley.com/documents/?uuid=599ccda7-b987-44e2-b88f-2021aaab0bc2"]},{"id":"ITEM-4","itemData":{"DOI":"10.1371/journal.pcbi.1002895","ISSN":"1553734X","abstract":"In an uncertain environment, probabilities are key to predicting future events and making adaptive choices. However, little is known about how humans learn such probabilities and where and how they are encoded in the brain, especially when they concern more than two outcomes. During functional magnetic resonance imaging (fMRI), young adults learned the probabilities of uncertain stimuli through repetitive sampling. Stimuli represented payoffs and participants had to predict their occurrence to maximize their earnings. Choices indicated loss and risk aversion but unbiased estimation of probabilities. BOLD response in medial prefrontal cortex and angular gyri increased linearly with the probability of the currently observed stimulus, untainted by its value. Connectivity analyses during rest and task revealed that these regions belonged to the default mode network. The activation of past outcomes in memory is evoked as a possible mechanism to explain the engagement of the default mode network in probability learning. A BOLD response relating to value was detected only at decision time, mainly in striatum. It is concluded that activity in inferior parietal and medial prefrontal cortex reflects the amount of evidence accumulated in favor of competing and uncertain outcomes.","author":[{"dropping-particle":"","family":"d'Acremont","given":"Mathieu","non-dropping-particle":"","parse-names":false,"suffix":""},{"dropping-particle":"","family":"Fornari","given":"Eleonora","non-dropping-particle":"","parse-names":false,"suffix":""},{"dropping-particle":"","family":"Bossaerts","given":"Peter","non-dropping-particle":"","parse-names":false,"suffix":""}],"container-title":"PLoS Computational Biology","id":"ITEM-4","issue":"1","issued":{"date-parts":[["2013"]]},"title":"Activity in Inferior Parietal and Medial Prefrontal Cortex Signals the Accumulation of Evidence in a Probability Learning Task","type":"article-journal","volume":"9"},"uris":["http://www.mendeley.com/documents/?uuid=4b806db1-ac77-41af-a047-f4b092419611"]},{"id":"ITEM-5","itemData":{"DOI":"10.1093/cercor/bhu072","ISSN":"14602199","abstract":"The complex processing architecture underlying attentional control requires delineation of the functional role of different control-related brain networks. A key component is the cingulo-opercular (CO) network composed of anterior insula/operculum, dorsal anterior cingulate cortex, and thalamus. Its function has been particularly difficult to characterize due to the network's pervasive activity and frequent co-activation with other control-related networks. We previously suggested this network to underlie intrinsically maintained tonic alertness. Here, we tested this hypothesis by separately manipulating the demand for selective attention and for tonic alertness in a two-factorial, continuous pitch discrimination paradigm. The 2 factors had independent behavioral effects. Functional imaging revealed that activity as well as functional connectivity in the CO network increased when the task required more tonic alertness. Conversely, heightened selective attention to pitch increased activity in the dorsal attention (DAT) network but not in the CO network. Across participants, performance accuracy showed dissociable correlation patterns with activity in the CO, DAT, and fronto-parietal (FP) control networks. These results support tonic alertness as a fundamental function of the CO network. They further the characterization of this function as the effortful process of maintaining cognitive faculties available for current processing requirements.","author":[{"dropping-particle":"","family":"Sadaghiani","given":"Sepideh","non-dropping-particle":"","parse-names":false,"suffix":""},{"dropping-particle":"","family":"D'Esposito","given":"Mark","non-dropping-particle":"","parse-names":false,"suffix":""}],"container-title":"Cerebral Cortex","id":"ITEM-5","issue":"9","issued":{"date-parts":[["2015"]]},"page":"2763-2773","title":"Functional characterization of the cingulo-opercular network in the maintenance of tonic alertness","type":"article-journal","volume":"25"},"uris":["http://www.mendeley.com/documents/?uuid=53615550-16e7-4407-9846-67f8b968dcd9"]}],"mendeley":{"formattedCitation":"[Choi et al., 2017b; d’Acremont et al., 2013; Menon, 2015; Sadaghiani and D’Esposito, 2015; Uddin, 2016]","plainTextFormattedCitation":"[Choi et al., 2017b; d’Acremont et al., 2013; Menon, 2015; Sadaghiani and D’Esposito, 2015; Uddin, 2016]","previouslyFormattedCitation":"[Choi et al., 2017b; d’Acremont et al., 2013; Menon, 2015; Sadaghiani and D’Esposito, 2015; Uddin, 2016]"},"properties":{"noteIndex":0},"schema":"https://github.com/citation-style-language/schema/raw/master/csl-citation.json"}</w:instrText>
      </w:r>
      <w:r w:rsidRPr="000E4150">
        <w:rPr>
          <w:rStyle w:val="normaltextrun"/>
          <w:rFonts w:asciiTheme="majorBidi" w:hAnsiTheme="majorBidi" w:cstheme="majorBidi"/>
          <w:lang w:val="en-US"/>
        </w:rPr>
        <w:fldChar w:fldCharType="separate"/>
      </w:r>
      <w:r w:rsidR="00E06636" w:rsidRPr="000E4150">
        <w:rPr>
          <w:rStyle w:val="normaltextrun"/>
          <w:rFonts w:asciiTheme="majorBidi" w:hAnsiTheme="majorBidi" w:cstheme="majorBidi"/>
          <w:noProof/>
          <w:lang w:val="en-US"/>
        </w:rPr>
        <w:t>[Choi et al., 2017b; d’Acremont et al., 2013; Menon, 2015; Sadaghiani and D’Esposito, 2015; Uddin, 2016]</w:t>
      </w:r>
      <w:r w:rsidRPr="000E4150">
        <w:rPr>
          <w:rStyle w:val="normaltextrun"/>
          <w:rFonts w:asciiTheme="majorBidi" w:hAnsiTheme="majorBidi" w:cstheme="majorBidi"/>
          <w:lang w:val="en-US"/>
        </w:rPr>
        <w:fldChar w:fldCharType="end"/>
      </w:r>
      <w:r w:rsidRPr="000E4150">
        <w:rPr>
          <w:rStyle w:val="normaltextrun"/>
          <w:rFonts w:asciiTheme="majorBidi" w:hAnsiTheme="majorBidi" w:cstheme="majorBidi"/>
          <w:lang w:val="en-US"/>
        </w:rPr>
        <w:t xml:space="preserve"> and family comparison results supported the fully interactive model, the comparisons reported focus on models A1-A9. We computed exceedance probabilities (EPs) for each model and used those to determine the winning model (family) in a one-state, bilinear, deterministic DCM. Bayesian model averaging (BMA) provided estimates of the fixed and modulatory connections in each subject, weighted by the evidence of each model tested (A1-A9). Using individual parameter estimates, group mean activations and group comparisons were tested using one sample t-tests and independent sample t-tests (Figure 3). </w:t>
      </w:r>
      <w:r w:rsidRPr="000E4150">
        <w:rPr>
          <w:rStyle w:val="eop"/>
          <w:rFonts w:asciiTheme="majorBidi" w:hAnsiTheme="majorBidi" w:cstheme="majorBidi"/>
          <w:lang w:val="en-US"/>
        </w:rPr>
        <w:t> </w:t>
      </w:r>
    </w:p>
    <w:p w14:paraId="1C3BC229" w14:textId="77777777" w:rsidR="00787D9B" w:rsidRPr="000E4150" w:rsidRDefault="00787D9B" w:rsidP="000E5ABD">
      <w:pPr>
        <w:spacing w:line="480" w:lineRule="auto"/>
        <w:rPr>
          <w:rFonts w:asciiTheme="majorBidi" w:hAnsiTheme="majorBidi" w:cstheme="majorBidi"/>
          <w:sz w:val="24"/>
          <w:szCs w:val="24"/>
          <w:lang w:val="en-US"/>
        </w:rPr>
      </w:pPr>
    </w:p>
    <w:p w14:paraId="3B94657A" w14:textId="77777777" w:rsidR="00787D9B" w:rsidRPr="000E4150" w:rsidRDefault="00787D9B" w:rsidP="00610042">
      <w:pPr>
        <w:pStyle w:val="paragraph"/>
        <w:spacing w:before="0" w:beforeAutospacing="0" w:after="0" w:afterAutospacing="0" w:line="480" w:lineRule="auto"/>
        <w:textAlignment w:val="baseline"/>
        <w:rPr>
          <w:rFonts w:asciiTheme="majorBidi" w:hAnsiTheme="majorBidi" w:cstheme="majorBidi"/>
          <w:lang w:val="en-US"/>
        </w:rPr>
      </w:pPr>
      <w:r w:rsidRPr="000E4150">
        <w:rPr>
          <w:rStyle w:val="normaltextrun"/>
          <w:rFonts w:asciiTheme="majorBidi" w:hAnsiTheme="majorBidi" w:cstheme="majorBidi"/>
          <w:b/>
          <w:bCs/>
          <w:lang w:val="en-US"/>
        </w:rPr>
        <w:t>Results</w:t>
      </w:r>
      <w:r w:rsidRPr="000E4150">
        <w:rPr>
          <w:rStyle w:val="eop"/>
          <w:rFonts w:asciiTheme="majorBidi" w:hAnsiTheme="majorBidi" w:cstheme="majorBidi"/>
          <w:lang w:val="en-US"/>
        </w:rPr>
        <w:t> </w:t>
      </w:r>
    </w:p>
    <w:p w14:paraId="4705D735" w14:textId="724CAC9E" w:rsidR="00787D9B" w:rsidRPr="000E4150" w:rsidRDefault="00787D9B" w:rsidP="00B4580C">
      <w:pPr>
        <w:pStyle w:val="paragraph"/>
        <w:spacing w:before="0" w:beforeAutospacing="0" w:after="0" w:afterAutospacing="0" w:line="480" w:lineRule="auto"/>
        <w:textAlignment w:val="baseline"/>
        <w:rPr>
          <w:rFonts w:asciiTheme="majorBidi" w:hAnsiTheme="majorBidi" w:cstheme="majorBidi"/>
          <w:lang w:val="en-US"/>
        </w:rPr>
      </w:pPr>
      <w:r w:rsidRPr="000E4150">
        <w:rPr>
          <w:rStyle w:val="normaltextrun"/>
          <w:rFonts w:asciiTheme="majorBidi" w:hAnsiTheme="majorBidi" w:cstheme="majorBidi"/>
          <w:b/>
          <w:bCs/>
          <w:lang w:val="en-US"/>
        </w:rPr>
        <w:t>SDI</w:t>
      </w:r>
      <w:r w:rsidR="009E4CB3" w:rsidRPr="000E4150">
        <w:rPr>
          <w:rStyle w:val="normaltextrun"/>
          <w:rFonts w:asciiTheme="majorBidi" w:hAnsiTheme="majorBidi" w:cstheme="majorBidi"/>
          <w:b/>
          <w:bCs/>
          <w:lang w:val="en-US"/>
        </w:rPr>
        <w:t>s</w:t>
      </w:r>
      <w:r w:rsidRPr="000E4150">
        <w:rPr>
          <w:rStyle w:val="normaltextrun"/>
          <w:rFonts w:asciiTheme="majorBidi" w:hAnsiTheme="majorBidi" w:cstheme="majorBidi"/>
          <w:b/>
          <w:bCs/>
          <w:lang w:val="en-US"/>
        </w:rPr>
        <w:t xml:space="preserve"> exhibit greater premature responding to drug incentives. </w:t>
      </w:r>
      <w:r w:rsidRPr="000E4150">
        <w:rPr>
          <w:rStyle w:val="normaltextrun"/>
          <w:rFonts w:asciiTheme="majorBidi" w:hAnsiTheme="majorBidi" w:cstheme="majorBidi"/>
          <w:lang w:val="en-US"/>
        </w:rPr>
        <w:t>Participants in all three groups occasionally made ‘premature’ responses in the anticipation phase while waiting for the target to appear unpredictably (Figure 1A). There were significant differences between HCs, SIBs and SDIs in the number of premature responses for drug-related incentives using the nonparametric Kruskal-Wallis test (χ</w:t>
      </w:r>
      <w:r w:rsidRPr="000E4150">
        <w:rPr>
          <w:rStyle w:val="normaltextrun"/>
          <w:rFonts w:asciiTheme="majorBidi" w:hAnsiTheme="majorBidi" w:cstheme="majorBidi"/>
          <w:vertAlign w:val="superscript"/>
          <w:lang w:val="en-US"/>
        </w:rPr>
        <w:t>2</w:t>
      </w:r>
      <w:r w:rsidRPr="000E4150">
        <w:rPr>
          <w:rStyle w:val="normaltextrun"/>
          <w:rFonts w:asciiTheme="majorBidi" w:hAnsiTheme="majorBidi" w:cstheme="majorBidi"/>
          <w:lang w:val="en-US"/>
        </w:rPr>
        <w:t>(</w:t>
      </w:r>
      <w:proofErr w:type="gramStart"/>
      <w:r w:rsidRPr="000E4150">
        <w:rPr>
          <w:rStyle w:val="normaltextrun"/>
          <w:rFonts w:asciiTheme="majorBidi" w:hAnsiTheme="majorBidi" w:cstheme="majorBidi"/>
          <w:lang w:val="en-US"/>
        </w:rPr>
        <w:t>2)=</w:t>
      </w:r>
      <w:proofErr w:type="gramEnd"/>
      <w:r w:rsidRPr="000E4150">
        <w:rPr>
          <w:rStyle w:val="normaltextrun"/>
          <w:rFonts w:asciiTheme="majorBidi" w:hAnsiTheme="majorBidi" w:cstheme="majorBidi"/>
          <w:lang w:val="en-US"/>
        </w:rPr>
        <w:t>10.56, </w:t>
      </w:r>
      <w:r w:rsidRPr="000E4150">
        <w:rPr>
          <w:rStyle w:val="normaltextrun"/>
          <w:rFonts w:asciiTheme="majorBidi" w:hAnsiTheme="majorBidi" w:cstheme="majorBidi"/>
          <w:i/>
          <w:iCs/>
          <w:lang w:val="en-US"/>
        </w:rPr>
        <w:t>p</w:t>
      </w:r>
      <w:r w:rsidRPr="000E4150">
        <w:rPr>
          <w:rStyle w:val="normaltextrun"/>
          <w:rFonts w:asciiTheme="majorBidi" w:hAnsiTheme="majorBidi" w:cstheme="majorBidi"/>
          <w:lang w:val="en-US"/>
        </w:rPr>
        <w:t>=0.005, Figure 1B). The groups did not significantly differ for money incentives (χ</w:t>
      </w:r>
      <w:r w:rsidRPr="000E4150">
        <w:rPr>
          <w:rStyle w:val="normaltextrun"/>
          <w:rFonts w:asciiTheme="majorBidi" w:hAnsiTheme="majorBidi" w:cstheme="majorBidi"/>
          <w:vertAlign w:val="superscript"/>
          <w:lang w:val="en-US"/>
        </w:rPr>
        <w:t>2</w:t>
      </w:r>
      <w:r w:rsidRPr="000E4150">
        <w:rPr>
          <w:rStyle w:val="normaltextrun"/>
          <w:rFonts w:asciiTheme="majorBidi" w:hAnsiTheme="majorBidi" w:cstheme="majorBidi"/>
          <w:lang w:val="en-US"/>
        </w:rPr>
        <w:t>(</w:t>
      </w:r>
      <w:proofErr w:type="gramStart"/>
      <w:r w:rsidRPr="000E4150">
        <w:rPr>
          <w:rStyle w:val="normaltextrun"/>
          <w:rFonts w:asciiTheme="majorBidi" w:hAnsiTheme="majorBidi" w:cstheme="majorBidi"/>
          <w:lang w:val="en-US"/>
        </w:rPr>
        <w:t>2)=</w:t>
      </w:r>
      <w:proofErr w:type="gramEnd"/>
      <w:r w:rsidRPr="000E4150">
        <w:rPr>
          <w:rStyle w:val="normaltextrun"/>
          <w:rFonts w:asciiTheme="majorBidi" w:hAnsiTheme="majorBidi" w:cstheme="majorBidi"/>
          <w:lang w:val="en-US"/>
        </w:rPr>
        <w:t>3.39, </w:t>
      </w:r>
      <w:r w:rsidRPr="000E4150">
        <w:rPr>
          <w:rStyle w:val="normaltextrun"/>
          <w:rFonts w:asciiTheme="majorBidi" w:hAnsiTheme="majorBidi" w:cstheme="majorBidi"/>
          <w:i/>
          <w:iCs/>
          <w:lang w:val="en-US"/>
        </w:rPr>
        <w:t>p</w:t>
      </w:r>
      <w:r w:rsidRPr="000E4150">
        <w:rPr>
          <w:rStyle w:val="normaltextrun"/>
          <w:rFonts w:asciiTheme="majorBidi" w:hAnsiTheme="majorBidi" w:cstheme="majorBidi"/>
          <w:lang w:val="en-US"/>
        </w:rPr>
        <w:t>=0.18). Additionally, there were no significant group differences in performance accuracy for either money (F</w:t>
      </w:r>
      <w:r w:rsidRPr="000E4150">
        <w:rPr>
          <w:rStyle w:val="normaltextrun"/>
          <w:rFonts w:asciiTheme="majorBidi" w:hAnsiTheme="majorBidi" w:cstheme="majorBidi"/>
          <w:vertAlign w:val="subscript"/>
          <w:lang w:val="en-US"/>
        </w:rPr>
        <w:t>2,129</w:t>
      </w:r>
      <w:r w:rsidRPr="000E4150">
        <w:rPr>
          <w:rStyle w:val="normaltextrun"/>
          <w:rFonts w:asciiTheme="majorBidi" w:hAnsiTheme="majorBidi" w:cstheme="majorBidi"/>
          <w:lang w:val="en-US"/>
        </w:rPr>
        <w:t>=2.83, </w:t>
      </w:r>
      <w:r w:rsidRPr="000E4150">
        <w:rPr>
          <w:rStyle w:val="normaltextrun"/>
          <w:rFonts w:asciiTheme="majorBidi" w:hAnsiTheme="majorBidi" w:cstheme="majorBidi"/>
          <w:i/>
          <w:iCs/>
          <w:lang w:val="en-US"/>
        </w:rPr>
        <w:t>p</w:t>
      </w:r>
      <w:r w:rsidRPr="000E4150">
        <w:rPr>
          <w:rStyle w:val="normaltextrun"/>
          <w:rFonts w:asciiTheme="majorBidi" w:hAnsiTheme="majorBidi" w:cstheme="majorBidi"/>
          <w:lang w:val="en-US"/>
        </w:rPr>
        <w:t>=0.06) or drug incentives (F</w:t>
      </w:r>
      <w:r w:rsidRPr="000E4150">
        <w:rPr>
          <w:rStyle w:val="normaltextrun"/>
          <w:rFonts w:asciiTheme="majorBidi" w:hAnsiTheme="majorBidi" w:cstheme="majorBidi"/>
          <w:vertAlign w:val="subscript"/>
          <w:lang w:val="en-US"/>
        </w:rPr>
        <w:t>2,129</w:t>
      </w:r>
      <w:r w:rsidRPr="000E4150">
        <w:rPr>
          <w:rStyle w:val="normaltextrun"/>
          <w:rFonts w:asciiTheme="majorBidi" w:hAnsiTheme="majorBidi" w:cstheme="majorBidi"/>
          <w:lang w:val="en-US"/>
        </w:rPr>
        <w:t>=0.63, </w:t>
      </w:r>
      <w:r w:rsidRPr="000E4150">
        <w:rPr>
          <w:rStyle w:val="normaltextrun"/>
          <w:rFonts w:asciiTheme="majorBidi" w:hAnsiTheme="majorBidi" w:cstheme="majorBidi"/>
          <w:i/>
          <w:iCs/>
          <w:lang w:val="en-US"/>
        </w:rPr>
        <w:t>p</w:t>
      </w:r>
      <w:r w:rsidRPr="000E4150">
        <w:rPr>
          <w:rStyle w:val="normaltextrun"/>
          <w:rFonts w:asciiTheme="majorBidi" w:hAnsiTheme="majorBidi" w:cstheme="majorBidi"/>
          <w:lang w:val="en-US"/>
        </w:rPr>
        <w:t xml:space="preserve">=0.53). Mean (SD) numbers of correct trials for HCs, SIBs and SDIs were 41(4), 41(4), and 39(5), respectively in the money context, and 41(5), 41(4), and 40(5), respectively in the drug context. The behavioral results indicate that while infrequent (9% of total responses), premature responding is ubiquitous, exhibited by </w:t>
      </w:r>
      <w:proofErr w:type="gramStart"/>
      <w:r w:rsidRPr="000E4150">
        <w:rPr>
          <w:rStyle w:val="normaltextrun"/>
          <w:rFonts w:asciiTheme="majorBidi" w:hAnsiTheme="majorBidi" w:cstheme="majorBidi"/>
          <w:lang w:val="en-US"/>
        </w:rPr>
        <w:t xml:space="preserve">the </w:t>
      </w:r>
      <w:r w:rsidRPr="000E4150">
        <w:rPr>
          <w:rStyle w:val="normaltextrun"/>
          <w:rFonts w:asciiTheme="majorBidi" w:hAnsiTheme="majorBidi" w:cstheme="majorBidi"/>
          <w:lang w:val="en-US"/>
        </w:rPr>
        <w:lastRenderedPageBreak/>
        <w:t>majority of</w:t>
      </w:r>
      <w:proofErr w:type="gramEnd"/>
      <w:r w:rsidRPr="000E4150">
        <w:rPr>
          <w:rStyle w:val="normaltextrun"/>
          <w:rFonts w:asciiTheme="majorBidi" w:hAnsiTheme="majorBidi" w:cstheme="majorBidi"/>
          <w:lang w:val="en-US"/>
        </w:rPr>
        <w:t xml:space="preserve"> participants. SDIs exhibited elevated levels, specifically with drug-related incentives, with no differences between HCs and SIBs. This is consistent with greater self-reported general impulsivity in SDI</w:t>
      </w:r>
      <w:r w:rsidR="00793893" w:rsidRPr="000E4150">
        <w:rPr>
          <w:rStyle w:val="normaltextrun"/>
          <w:rFonts w:asciiTheme="majorBidi" w:hAnsiTheme="majorBidi" w:cstheme="majorBidi"/>
          <w:lang w:val="en-US"/>
        </w:rPr>
        <w:t xml:space="preserve"> (</w:t>
      </w:r>
      <w:r w:rsidR="00167F79" w:rsidRPr="000E4150">
        <w:rPr>
          <w:rStyle w:val="normaltextrun"/>
          <w:rFonts w:asciiTheme="majorBidi" w:hAnsiTheme="majorBidi" w:cstheme="majorBidi"/>
          <w:lang w:val="en-US"/>
        </w:rPr>
        <w:t>Table 1</w:t>
      </w:r>
      <w:r w:rsidR="00793893" w:rsidRPr="000E4150">
        <w:rPr>
          <w:rStyle w:val="normaltextrun"/>
          <w:rFonts w:asciiTheme="majorBidi" w:hAnsiTheme="majorBidi" w:cstheme="majorBidi"/>
          <w:lang w:val="en-US"/>
        </w:rPr>
        <w:t>)</w:t>
      </w:r>
      <w:r w:rsidRPr="000E4150">
        <w:rPr>
          <w:rStyle w:val="normaltextrun"/>
          <w:rFonts w:asciiTheme="majorBidi" w:hAnsiTheme="majorBidi" w:cstheme="majorBidi"/>
          <w:lang w:val="en-US"/>
        </w:rPr>
        <w:t>, whilst capturing their behavioral difficulties in action-restraint when anticipating drug-related rewards. </w:t>
      </w:r>
      <w:r w:rsidRPr="000E4150">
        <w:rPr>
          <w:rStyle w:val="eop"/>
          <w:rFonts w:asciiTheme="majorBidi" w:hAnsiTheme="majorBidi" w:cstheme="majorBidi"/>
          <w:lang w:val="en-US"/>
        </w:rPr>
        <w:t> </w:t>
      </w:r>
    </w:p>
    <w:p w14:paraId="461DD695" w14:textId="77777777" w:rsidR="00787D9B" w:rsidRPr="000E4150" w:rsidRDefault="00787D9B" w:rsidP="00610042">
      <w:pPr>
        <w:pStyle w:val="paragraph"/>
        <w:spacing w:before="0" w:beforeAutospacing="0" w:after="0" w:afterAutospacing="0" w:line="480" w:lineRule="auto"/>
        <w:textAlignment w:val="baseline"/>
        <w:rPr>
          <w:rFonts w:asciiTheme="majorBidi" w:hAnsiTheme="majorBidi" w:cstheme="majorBidi"/>
          <w:lang w:val="en-US"/>
        </w:rPr>
      </w:pPr>
      <w:r w:rsidRPr="000E4150">
        <w:rPr>
          <w:rStyle w:val="eop"/>
          <w:rFonts w:asciiTheme="majorBidi" w:hAnsiTheme="majorBidi" w:cstheme="majorBidi"/>
          <w:lang w:val="en-US"/>
        </w:rPr>
        <w:t> </w:t>
      </w:r>
    </w:p>
    <w:p w14:paraId="01BDF32A" w14:textId="338E2E6A" w:rsidR="00787D9B" w:rsidRPr="000E4150" w:rsidRDefault="00787D9B" w:rsidP="00567F7A">
      <w:pPr>
        <w:pStyle w:val="paragraph"/>
        <w:spacing w:before="0" w:beforeAutospacing="0" w:after="0" w:afterAutospacing="0" w:line="480" w:lineRule="auto"/>
        <w:textAlignment w:val="baseline"/>
        <w:rPr>
          <w:rFonts w:asciiTheme="majorBidi" w:hAnsiTheme="majorBidi" w:cstheme="majorBidi"/>
          <w:lang w:val="en-US"/>
        </w:rPr>
      </w:pPr>
      <w:r w:rsidRPr="000E4150">
        <w:rPr>
          <w:rStyle w:val="normaltextrun"/>
          <w:rFonts w:asciiTheme="majorBidi" w:hAnsiTheme="majorBidi" w:cstheme="majorBidi"/>
          <w:b/>
          <w:bCs/>
          <w:lang w:val="en-US"/>
        </w:rPr>
        <w:t>Brain activation associated with premature responding depends on group-specific incentives</w:t>
      </w:r>
      <w:r w:rsidRPr="000E4150">
        <w:rPr>
          <w:rStyle w:val="normaltextrun"/>
          <w:rFonts w:asciiTheme="majorBidi" w:hAnsiTheme="majorBidi" w:cstheme="majorBidi"/>
          <w:b/>
          <w:bCs/>
          <w:i/>
          <w:iCs/>
          <w:lang w:val="en-US"/>
        </w:rPr>
        <w:t>. </w:t>
      </w:r>
      <w:r w:rsidRPr="000E4150">
        <w:rPr>
          <w:rStyle w:val="normaltextrun"/>
          <w:rFonts w:asciiTheme="majorBidi" w:hAnsiTheme="majorBidi" w:cstheme="majorBidi"/>
          <w:lang w:val="en-US"/>
        </w:rPr>
        <w:t xml:space="preserve">We next investigated whole-brain group activations associated with premature responding. To this end, trials where a premature response was detected were contrasted with adjacent trials with a correct response. fMRI analyses of the premature&gt;correct contrast revealed wide-spread incentive-specific neural correlates of premature responses in the three groups. Group </w:t>
      </w:r>
      <w:r w:rsidR="00567F7A" w:rsidRPr="000E4150">
        <w:rPr>
          <w:rStyle w:val="normaltextrun"/>
          <w:rFonts w:asciiTheme="majorBidi" w:hAnsiTheme="majorBidi" w:cstheme="majorBidi"/>
          <w:lang w:val="en-US"/>
        </w:rPr>
        <w:t xml:space="preserve">level </w:t>
      </w:r>
      <w:r w:rsidRPr="000E4150">
        <w:rPr>
          <w:rStyle w:val="normaltextrun"/>
          <w:rFonts w:asciiTheme="majorBidi" w:hAnsiTheme="majorBidi" w:cstheme="majorBidi"/>
          <w:lang w:val="en-US"/>
        </w:rPr>
        <w:t>activations (Figure 1C) for the money incentive condition in HCs and SIBs and for the drug incentive condition in SDIs included the inferior frontal cortex </w:t>
      </w:r>
      <w:r w:rsidRPr="000E4150">
        <w:rPr>
          <w:rStyle w:val="normaltextrun"/>
          <w:rFonts w:asciiTheme="majorBidi" w:hAnsiTheme="majorBidi" w:cstheme="majorBidi"/>
          <w:i/>
          <w:iCs/>
          <w:lang w:val="en-US"/>
        </w:rPr>
        <w:t>pars </w:t>
      </w:r>
      <w:r w:rsidRPr="000E4150">
        <w:rPr>
          <w:rStyle w:val="spellingerror"/>
          <w:rFonts w:asciiTheme="majorBidi" w:hAnsiTheme="majorBidi" w:cstheme="majorBidi"/>
          <w:i/>
          <w:iCs/>
          <w:lang w:val="en-US"/>
        </w:rPr>
        <w:t>opercularis</w:t>
      </w:r>
      <w:r w:rsidRPr="000E4150">
        <w:rPr>
          <w:rStyle w:val="normaltextrun"/>
          <w:rFonts w:asciiTheme="majorBidi" w:hAnsiTheme="majorBidi" w:cstheme="majorBidi"/>
          <w:lang w:val="en-US"/>
        </w:rPr>
        <w:t> (IFC), dorsal anterior cingulate cortex (</w:t>
      </w:r>
      <w:r w:rsidRPr="000E4150">
        <w:rPr>
          <w:rStyle w:val="spellingerror"/>
          <w:rFonts w:asciiTheme="majorBidi" w:hAnsiTheme="majorBidi" w:cstheme="majorBidi"/>
          <w:lang w:val="en-US"/>
        </w:rPr>
        <w:t>dACC</w:t>
      </w:r>
      <w:r w:rsidRPr="000E4150">
        <w:rPr>
          <w:rStyle w:val="normaltextrun"/>
          <w:rFonts w:asciiTheme="majorBidi" w:hAnsiTheme="majorBidi" w:cstheme="majorBidi"/>
          <w:lang w:val="en-US"/>
        </w:rPr>
        <w:t>) and dorsal striatum (</w:t>
      </w:r>
      <w:proofErr w:type="spellStart"/>
      <w:r w:rsidRPr="000E4150">
        <w:rPr>
          <w:rStyle w:val="spellingerror"/>
          <w:rFonts w:asciiTheme="majorBidi" w:hAnsiTheme="majorBidi" w:cstheme="majorBidi"/>
          <w:lang w:val="en-US"/>
        </w:rPr>
        <w:t>dSt</w:t>
      </w:r>
      <w:r w:rsidR="00E86926" w:rsidRPr="000E4150">
        <w:rPr>
          <w:rStyle w:val="spellingerror"/>
          <w:rFonts w:asciiTheme="majorBidi" w:hAnsiTheme="majorBidi" w:cstheme="majorBidi"/>
          <w:lang w:val="en-US"/>
        </w:rPr>
        <w:t>r</w:t>
      </w:r>
      <w:r w:rsidRPr="000E4150">
        <w:rPr>
          <w:rStyle w:val="spellingerror"/>
          <w:rFonts w:asciiTheme="majorBidi" w:hAnsiTheme="majorBidi" w:cstheme="majorBidi"/>
          <w:lang w:val="en-US"/>
        </w:rPr>
        <w:t>iatum</w:t>
      </w:r>
      <w:proofErr w:type="spellEnd"/>
      <w:r w:rsidRPr="000E4150">
        <w:rPr>
          <w:rStyle w:val="normaltextrun"/>
          <w:rFonts w:asciiTheme="majorBidi" w:hAnsiTheme="majorBidi" w:cstheme="majorBidi"/>
          <w:lang w:val="en-US"/>
        </w:rPr>
        <w:t> encompassing the caudate and putamen). For money incentives, the HC and SDI groups showed activation in the parietal operculum and the thalamus in addition to the </w:t>
      </w:r>
      <w:r w:rsidRPr="000E4150">
        <w:rPr>
          <w:rStyle w:val="spellingerror"/>
          <w:rFonts w:asciiTheme="majorBidi" w:hAnsiTheme="majorBidi" w:cstheme="majorBidi"/>
          <w:lang w:val="en-US"/>
        </w:rPr>
        <w:t>dACC</w:t>
      </w:r>
      <w:r w:rsidRPr="000E4150">
        <w:rPr>
          <w:rStyle w:val="normaltextrun"/>
          <w:rFonts w:asciiTheme="majorBidi" w:hAnsiTheme="majorBidi" w:cstheme="majorBidi"/>
          <w:lang w:val="en-US"/>
        </w:rPr>
        <w:t> and IFC. For drug incentive</w:t>
      </w:r>
      <w:r w:rsidR="009E4CB3" w:rsidRPr="000E4150">
        <w:rPr>
          <w:rStyle w:val="normaltextrun"/>
          <w:rFonts w:asciiTheme="majorBidi" w:hAnsiTheme="majorBidi" w:cstheme="majorBidi"/>
          <w:lang w:val="en-US"/>
        </w:rPr>
        <w:t>s</w:t>
      </w:r>
      <w:r w:rsidRPr="000E4150">
        <w:rPr>
          <w:rStyle w:val="normaltextrun"/>
          <w:rFonts w:asciiTheme="majorBidi" w:hAnsiTheme="majorBidi" w:cstheme="majorBidi"/>
          <w:lang w:val="en-US"/>
        </w:rPr>
        <w:t xml:space="preserve">, SDIs also activated portions of the motor, temporal, parietal cortices and the thalamus (Figure 1C, one sample t-tests, cluster forming threshold z </w:t>
      </w:r>
      <w:r w:rsidR="00B4580C" w:rsidRPr="000E4150">
        <w:rPr>
          <w:rStyle w:val="normaltextrun"/>
          <w:rFonts w:asciiTheme="majorBidi" w:hAnsiTheme="majorBidi" w:cstheme="majorBidi"/>
          <w:lang w:val="en-US"/>
        </w:rPr>
        <w:t>&gt;</w:t>
      </w:r>
      <w:r w:rsidRPr="000E4150">
        <w:rPr>
          <w:rStyle w:val="normaltextrun"/>
          <w:rFonts w:asciiTheme="majorBidi" w:hAnsiTheme="majorBidi" w:cstheme="majorBidi"/>
          <w:lang w:val="en-US"/>
        </w:rPr>
        <w:t xml:space="preserve"> 2.3, p&lt;0.05). </w:t>
      </w:r>
      <w:r w:rsidRPr="000E4150">
        <w:rPr>
          <w:rStyle w:val="eop"/>
          <w:rFonts w:asciiTheme="majorBidi" w:hAnsiTheme="majorBidi" w:cstheme="majorBidi"/>
          <w:lang w:val="en-US"/>
        </w:rPr>
        <w:t> </w:t>
      </w:r>
    </w:p>
    <w:p w14:paraId="6F264E59" w14:textId="78A7E9D8" w:rsidR="00787D9B" w:rsidRPr="000E4150" w:rsidRDefault="00787D9B" w:rsidP="00923F4D">
      <w:pPr>
        <w:pStyle w:val="paragraph"/>
        <w:spacing w:before="0" w:beforeAutospacing="0" w:after="0" w:afterAutospacing="0" w:line="480" w:lineRule="auto"/>
        <w:ind w:firstLine="720"/>
        <w:textAlignment w:val="baseline"/>
        <w:rPr>
          <w:rFonts w:asciiTheme="majorBidi" w:hAnsiTheme="majorBidi" w:cstheme="majorBidi"/>
          <w:lang w:val="en-US"/>
        </w:rPr>
      </w:pPr>
      <w:r w:rsidRPr="000E4150">
        <w:rPr>
          <w:rStyle w:val="normaltextrun"/>
          <w:rFonts w:asciiTheme="majorBidi" w:hAnsiTheme="majorBidi" w:cstheme="majorBidi"/>
          <w:lang w:val="en-US"/>
        </w:rPr>
        <w:t xml:space="preserve">These findings suggest a similar pattern for the three groups with money incentives, but with drug incentives only SDIs exhibited activations associated with restraint failures. To assess this interpretation, group differences were interrogated using a whole brain mask. </w:t>
      </w:r>
      <w:r w:rsidR="009E4CB3" w:rsidRPr="000E4150">
        <w:rPr>
          <w:rStyle w:val="normaltextrun"/>
          <w:rFonts w:asciiTheme="majorBidi" w:hAnsiTheme="majorBidi" w:cstheme="majorBidi"/>
          <w:lang w:val="en-US"/>
        </w:rPr>
        <w:t>This revealed</w:t>
      </w:r>
      <w:r w:rsidRPr="000E4150">
        <w:rPr>
          <w:rStyle w:val="normaltextrun"/>
          <w:rFonts w:asciiTheme="majorBidi" w:hAnsiTheme="majorBidi" w:cstheme="majorBidi"/>
          <w:lang w:val="en-US"/>
        </w:rPr>
        <w:t xml:space="preserve"> no significant differences in the </w:t>
      </w:r>
      <w:r w:rsidR="009E4CB3" w:rsidRPr="000E4150">
        <w:rPr>
          <w:rStyle w:val="normaltextrun"/>
          <w:rFonts w:asciiTheme="majorBidi" w:hAnsiTheme="majorBidi" w:cstheme="majorBidi"/>
          <w:lang w:val="en-US"/>
        </w:rPr>
        <w:t xml:space="preserve">monetary incentive </w:t>
      </w:r>
      <w:r w:rsidRPr="000E4150">
        <w:rPr>
          <w:rStyle w:val="normaltextrun"/>
          <w:rFonts w:asciiTheme="majorBidi" w:hAnsiTheme="majorBidi" w:cstheme="majorBidi"/>
          <w:lang w:val="en-US"/>
        </w:rPr>
        <w:t>condition. In contrast, in the drug condition SDIs showed greater activation than SIBs and HCs in the IFC, striatum, primary motor cortex, PCC, parietal, temporal areas and the thalamus in addition to the </w:t>
      </w:r>
      <w:r w:rsidR="006872B2" w:rsidRPr="000E4150">
        <w:rPr>
          <w:rStyle w:val="normaltextrun"/>
          <w:rFonts w:asciiTheme="majorBidi" w:hAnsiTheme="majorBidi" w:cstheme="majorBidi"/>
          <w:lang w:val="en-US"/>
        </w:rPr>
        <w:t xml:space="preserve">ventromedial </w:t>
      </w:r>
      <w:r w:rsidRPr="000E4150">
        <w:rPr>
          <w:rStyle w:val="spellingerror"/>
          <w:rFonts w:asciiTheme="majorBidi" w:hAnsiTheme="majorBidi" w:cstheme="majorBidi"/>
          <w:lang w:val="en-US"/>
        </w:rPr>
        <w:t>PFC</w:t>
      </w:r>
      <w:r w:rsidRPr="000E4150">
        <w:rPr>
          <w:rStyle w:val="normaltextrun"/>
          <w:rFonts w:asciiTheme="majorBidi" w:hAnsiTheme="majorBidi" w:cstheme="majorBidi"/>
          <w:lang w:val="en-US"/>
        </w:rPr>
        <w:t> (SDI&gt;HC only) and amygdala (SDI&gt;HC only) (independent samples t-</w:t>
      </w:r>
      <w:r w:rsidRPr="000E4150">
        <w:rPr>
          <w:rStyle w:val="normaltextrun"/>
          <w:rFonts w:asciiTheme="majorBidi" w:hAnsiTheme="majorBidi" w:cstheme="majorBidi"/>
          <w:lang w:val="en-US"/>
        </w:rPr>
        <w:lastRenderedPageBreak/>
        <w:t xml:space="preserve">tests, cluster forming threshold z </w:t>
      </w:r>
      <w:r w:rsidR="00B4580C" w:rsidRPr="000E4150">
        <w:rPr>
          <w:rStyle w:val="normaltextrun"/>
          <w:rFonts w:asciiTheme="majorBidi" w:hAnsiTheme="majorBidi" w:cstheme="majorBidi"/>
          <w:lang w:val="en-US"/>
        </w:rPr>
        <w:t>&gt;</w:t>
      </w:r>
      <w:r w:rsidRPr="000E4150">
        <w:rPr>
          <w:rStyle w:val="normaltextrun"/>
          <w:rFonts w:asciiTheme="majorBidi" w:hAnsiTheme="majorBidi" w:cstheme="majorBidi"/>
          <w:lang w:val="en-US"/>
        </w:rPr>
        <w:t xml:space="preserve"> 2.3, </w:t>
      </w:r>
      <w:r w:rsidRPr="000E4150">
        <w:rPr>
          <w:rStyle w:val="spellingerror"/>
          <w:rFonts w:asciiTheme="majorBidi" w:hAnsiTheme="majorBidi" w:cstheme="majorBidi"/>
          <w:lang w:val="en-US"/>
        </w:rPr>
        <w:t>voxelwise</w:t>
      </w:r>
      <w:r w:rsidRPr="000E4150">
        <w:rPr>
          <w:rStyle w:val="normaltextrun"/>
          <w:rFonts w:asciiTheme="majorBidi" w:hAnsiTheme="majorBidi" w:cstheme="majorBidi"/>
          <w:lang w:val="en-US"/>
        </w:rPr>
        <w:t> FWE corrected p&lt;0.05</w:t>
      </w:r>
      <w:r w:rsidR="000E5ABD" w:rsidRPr="000E4150">
        <w:rPr>
          <w:rStyle w:val="normaltextrun"/>
          <w:rFonts w:asciiTheme="majorBidi" w:hAnsiTheme="majorBidi" w:cstheme="majorBidi"/>
          <w:lang w:val="en-US"/>
        </w:rPr>
        <w:t>, SI Appendix Table S1</w:t>
      </w:r>
      <w:r w:rsidRPr="000E4150">
        <w:rPr>
          <w:rStyle w:val="normaltextrun"/>
          <w:rFonts w:asciiTheme="majorBidi" w:hAnsiTheme="majorBidi" w:cstheme="majorBidi"/>
          <w:lang w:val="en-US"/>
        </w:rPr>
        <w:t>). The BOLD results thus converge with the behavioral findings, with SDI showing clear abnormalities with drug incentives, and with SIBs differing from SDIs and being no different from controls.</w:t>
      </w:r>
      <w:r w:rsidRPr="000E4150">
        <w:rPr>
          <w:rStyle w:val="eop"/>
          <w:rFonts w:asciiTheme="majorBidi" w:hAnsiTheme="majorBidi" w:cstheme="majorBidi"/>
          <w:lang w:val="en-US"/>
        </w:rPr>
        <w:t> </w:t>
      </w:r>
    </w:p>
    <w:p w14:paraId="2B98A01A" w14:textId="0F77BE55" w:rsidR="00787D9B" w:rsidRPr="000E4150" w:rsidRDefault="009E4CB3" w:rsidP="00923F4D">
      <w:pPr>
        <w:pStyle w:val="paragraph"/>
        <w:spacing w:before="0" w:beforeAutospacing="0" w:after="0" w:afterAutospacing="0" w:line="480" w:lineRule="auto"/>
        <w:ind w:firstLine="720"/>
        <w:textAlignment w:val="baseline"/>
        <w:rPr>
          <w:rFonts w:asciiTheme="majorBidi" w:hAnsiTheme="majorBidi" w:cstheme="majorBidi"/>
          <w:lang w:val="en-US"/>
        </w:rPr>
      </w:pPr>
      <w:r w:rsidRPr="000E4150">
        <w:rPr>
          <w:rStyle w:val="normaltextrun"/>
          <w:rFonts w:asciiTheme="majorBidi" w:hAnsiTheme="majorBidi" w:cstheme="majorBidi"/>
          <w:lang w:val="en-US"/>
        </w:rPr>
        <w:t>If</w:t>
      </w:r>
      <w:r w:rsidR="00787D9B" w:rsidRPr="000E4150">
        <w:rPr>
          <w:rStyle w:val="normaltextrun"/>
          <w:rFonts w:asciiTheme="majorBidi" w:hAnsiTheme="majorBidi" w:cstheme="majorBidi"/>
          <w:lang w:val="en-US"/>
        </w:rPr>
        <w:t xml:space="preserve"> the BOLD a</w:t>
      </w:r>
      <w:r w:rsidR="003153C2" w:rsidRPr="000E4150">
        <w:rPr>
          <w:rStyle w:val="normaltextrun"/>
          <w:rFonts w:asciiTheme="majorBidi" w:hAnsiTheme="majorBidi" w:cstheme="majorBidi"/>
          <w:lang w:val="en-US"/>
        </w:rPr>
        <w:t xml:space="preserve">ctivity </w:t>
      </w:r>
      <w:r w:rsidRPr="000E4150">
        <w:rPr>
          <w:rStyle w:val="normaltextrun"/>
          <w:rFonts w:asciiTheme="majorBidi" w:hAnsiTheme="majorBidi" w:cstheme="majorBidi"/>
          <w:lang w:val="en-US"/>
        </w:rPr>
        <w:t xml:space="preserve">were </w:t>
      </w:r>
      <w:r w:rsidR="003153C2" w:rsidRPr="000E4150">
        <w:rPr>
          <w:rStyle w:val="normaltextrun"/>
          <w:rFonts w:asciiTheme="majorBidi" w:hAnsiTheme="majorBidi" w:cstheme="majorBidi"/>
          <w:lang w:val="en-US"/>
        </w:rPr>
        <w:t xml:space="preserve">dependent on </w:t>
      </w:r>
      <w:r w:rsidR="00787D9B" w:rsidRPr="000E4150">
        <w:rPr>
          <w:rStyle w:val="normaltextrun"/>
          <w:rFonts w:asciiTheme="majorBidi" w:hAnsiTheme="majorBidi" w:cstheme="majorBidi"/>
          <w:lang w:val="en-US"/>
        </w:rPr>
        <w:t>personal relevan</w:t>
      </w:r>
      <w:r w:rsidRPr="000E4150">
        <w:rPr>
          <w:rStyle w:val="normaltextrun"/>
          <w:rFonts w:asciiTheme="majorBidi" w:hAnsiTheme="majorBidi" w:cstheme="majorBidi"/>
          <w:lang w:val="en-US"/>
        </w:rPr>
        <w:t xml:space="preserve">ce regardless of incentive, then </w:t>
      </w:r>
      <w:r w:rsidR="00787D9B" w:rsidRPr="000E4150">
        <w:rPr>
          <w:rStyle w:val="normaltextrun"/>
          <w:rFonts w:asciiTheme="majorBidi" w:hAnsiTheme="majorBidi" w:cstheme="majorBidi"/>
          <w:lang w:val="en-US"/>
        </w:rPr>
        <w:t>considerable overlap would be expected between money incentives in the HC and SIB</w:t>
      </w:r>
      <w:r w:rsidR="00B4580C" w:rsidRPr="000E4150">
        <w:rPr>
          <w:rStyle w:val="normaltextrun"/>
          <w:rFonts w:asciiTheme="majorBidi" w:hAnsiTheme="majorBidi" w:cstheme="majorBidi"/>
          <w:lang w:val="en-US"/>
        </w:rPr>
        <w:t>s</w:t>
      </w:r>
      <w:r w:rsidR="00787D9B" w:rsidRPr="000E4150">
        <w:rPr>
          <w:rStyle w:val="normaltextrun"/>
          <w:rFonts w:asciiTheme="majorBidi" w:hAnsiTheme="majorBidi" w:cstheme="majorBidi"/>
          <w:lang w:val="en-US"/>
        </w:rPr>
        <w:t xml:space="preserve">, </w:t>
      </w:r>
      <w:r w:rsidR="006A1C46" w:rsidRPr="000E4150">
        <w:rPr>
          <w:rStyle w:val="normaltextrun"/>
          <w:rFonts w:asciiTheme="majorBidi" w:hAnsiTheme="majorBidi" w:cstheme="majorBidi"/>
          <w:lang w:val="en-US"/>
        </w:rPr>
        <w:t xml:space="preserve">and </w:t>
      </w:r>
      <w:r w:rsidR="00787D9B" w:rsidRPr="000E4150">
        <w:rPr>
          <w:rStyle w:val="normaltextrun"/>
          <w:rFonts w:asciiTheme="majorBidi" w:hAnsiTheme="majorBidi" w:cstheme="majorBidi"/>
          <w:lang w:val="en-US"/>
        </w:rPr>
        <w:t xml:space="preserve">drug incentives </w:t>
      </w:r>
      <w:r w:rsidR="006A1C46" w:rsidRPr="000E4150">
        <w:rPr>
          <w:rStyle w:val="normaltextrun"/>
          <w:rFonts w:asciiTheme="majorBidi" w:hAnsiTheme="majorBidi" w:cstheme="majorBidi"/>
          <w:lang w:val="en-US"/>
        </w:rPr>
        <w:t>in the</w:t>
      </w:r>
      <w:r w:rsidR="00787D9B" w:rsidRPr="000E4150">
        <w:rPr>
          <w:rStyle w:val="normaltextrun"/>
          <w:rFonts w:asciiTheme="majorBidi" w:hAnsiTheme="majorBidi" w:cstheme="majorBidi"/>
          <w:lang w:val="en-US"/>
        </w:rPr>
        <w:t xml:space="preserve"> SDI</w:t>
      </w:r>
      <w:r w:rsidR="006A1C46" w:rsidRPr="000E4150">
        <w:rPr>
          <w:rStyle w:val="normaltextrun"/>
          <w:rFonts w:asciiTheme="majorBidi" w:hAnsiTheme="majorBidi" w:cstheme="majorBidi"/>
          <w:lang w:val="en-US"/>
        </w:rPr>
        <w:t xml:space="preserve"> group</w:t>
      </w:r>
      <w:r w:rsidR="00787D9B" w:rsidRPr="000E4150">
        <w:rPr>
          <w:rStyle w:val="normaltextrun"/>
          <w:rFonts w:asciiTheme="majorBidi" w:hAnsiTheme="majorBidi" w:cstheme="majorBidi"/>
          <w:lang w:val="en-US"/>
        </w:rPr>
        <w:t>. Conjunction analyses (</w:t>
      </w:r>
      <w:proofErr w:type="spellStart"/>
      <w:r w:rsidR="00787D9B" w:rsidRPr="000E4150">
        <w:rPr>
          <w:rStyle w:val="spellingerror"/>
          <w:rFonts w:asciiTheme="majorBidi" w:hAnsiTheme="majorBidi" w:cstheme="majorBidi"/>
          <w:lang w:val="en-US"/>
        </w:rPr>
        <w:t>fsl</w:t>
      </w:r>
      <w:proofErr w:type="spellEnd"/>
      <w:r w:rsidR="00787D9B" w:rsidRPr="000E4150">
        <w:rPr>
          <w:rStyle w:val="normaltextrun"/>
          <w:rFonts w:asciiTheme="majorBidi" w:hAnsiTheme="majorBidi" w:cstheme="majorBidi"/>
          <w:lang w:val="en-US"/>
        </w:rPr>
        <w:t> </w:t>
      </w:r>
      <w:proofErr w:type="spellStart"/>
      <w:r w:rsidR="00787D9B" w:rsidRPr="000E4150">
        <w:rPr>
          <w:rStyle w:val="spellingerror"/>
          <w:rFonts w:asciiTheme="majorBidi" w:hAnsiTheme="majorBidi" w:cstheme="majorBidi"/>
          <w:lang w:val="en-US"/>
        </w:rPr>
        <w:t>easythresh_conj</w:t>
      </w:r>
      <w:proofErr w:type="spellEnd"/>
      <w:r w:rsidR="00787D9B" w:rsidRPr="000E4150">
        <w:rPr>
          <w:rStyle w:val="normaltextrun"/>
          <w:rFonts w:asciiTheme="majorBidi" w:hAnsiTheme="majorBidi" w:cstheme="majorBidi"/>
          <w:lang w:val="en-US"/>
        </w:rPr>
        <w:t xml:space="preserve">) </w:t>
      </w:r>
      <w:r w:rsidR="006A1C46" w:rsidRPr="000E4150">
        <w:rPr>
          <w:rStyle w:val="normaltextrun"/>
          <w:rFonts w:asciiTheme="majorBidi" w:hAnsiTheme="majorBidi" w:cstheme="majorBidi"/>
          <w:lang w:val="en-US"/>
        </w:rPr>
        <w:t xml:space="preserve">indeed </w:t>
      </w:r>
      <w:r w:rsidR="00787D9B" w:rsidRPr="000E4150">
        <w:rPr>
          <w:rStyle w:val="normaltextrun"/>
          <w:rFonts w:asciiTheme="majorBidi" w:hAnsiTheme="majorBidi" w:cstheme="majorBidi"/>
          <w:lang w:val="en-US"/>
        </w:rPr>
        <w:t>confirmed large-scale overlap in the IFC, </w:t>
      </w:r>
      <w:r w:rsidR="00787D9B" w:rsidRPr="000E4150">
        <w:rPr>
          <w:rStyle w:val="spellingerror"/>
          <w:rFonts w:asciiTheme="majorBidi" w:hAnsiTheme="majorBidi" w:cstheme="majorBidi"/>
          <w:lang w:val="en-US"/>
        </w:rPr>
        <w:t>dACC</w:t>
      </w:r>
      <w:r w:rsidR="00787D9B" w:rsidRPr="000E4150">
        <w:rPr>
          <w:rStyle w:val="normaltextrun"/>
          <w:rFonts w:asciiTheme="majorBidi" w:hAnsiTheme="majorBidi" w:cstheme="majorBidi"/>
          <w:lang w:val="en-US"/>
        </w:rPr>
        <w:t xml:space="preserve">, striatum and parietal operculum between the HCs and SIBs (money incentives) and SDIs (money and drug incentives). We can </w:t>
      </w:r>
      <w:r w:rsidR="006A1C46" w:rsidRPr="000E4150">
        <w:rPr>
          <w:rStyle w:val="normaltextrun"/>
          <w:rFonts w:asciiTheme="majorBidi" w:hAnsiTheme="majorBidi" w:cstheme="majorBidi"/>
          <w:lang w:val="en-US"/>
        </w:rPr>
        <w:t xml:space="preserve">therefore </w:t>
      </w:r>
      <w:r w:rsidR="00787D9B" w:rsidRPr="000E4150">
        <w:rPr>
          <w:rStyle w:val="normaltextrun"/>
          <w:rFonts w:asciiTheme="majorBidi" w:hAnsiTheme="majorBidi" w:cstheme="majorBidi"/>
          <w:lang w:val="en-US"/>
        </w:rPr>
        <w:t xml:space="preserve">conclude that across three separate groups, the findings </w:t>
      </w:r>
      <w:r w:rsidR="006A1C46" w:rsidRPr="000E4150">
        <w:rPr>
          <w:rStyle w:val="normaltextrun"/>
          <w:rFonts w:asciiTheme="majorBidi" w:hAnsiTheme="majorBidi" w:cstheme="majorBidi"/>
          <w:lang w:val="en-US"/>
        </w:rPr>
        <w:t xml:space="preserve">specify </w:t>
      </w:r>
      <w:r w:rsidR="00787D9B" w:rsidRPr="000E4150">
        <w:rPr>
          <w:rStyle w:val="normaltextrun"/>
          <w:rFonts w:asciiTheme="majorBidi" w:hAnsiTheme="majorBidi" w:cstheme="majorBidi"/>
          <w:lang w:val="en-US"/>
        </w:rPr>
        <w:t>a set of </w:t>
      </w:r>
      <w:proofErr w:type="spellStart"/>
      <w:r w:rsidR="00787D9B" w:rsidRPr="000E4150">
        <w:rPr>
          <w:rStyle w:val="spellingerror"/>
          <w:rFonts w:asciiTheme="majorBidi" w:hAnsiTheme="majorBidi" w:cstheme="majorBidi"/>
          <w:lang w:val="en-US"/>
        </w:rPr>
        <w:t>fronto</w:t>
      </w:r>
      <w:proofErr w:type="spellEnd"/>
      <w:r w:rsidR="00787D9B" w:rsidRPr="000E4150">
        <w:rPr>
          <w:rStyle w:val="normaltextrun"/>
          <w:rFonts w:asciiTheme="majorBidi" w:hAnsiTheme="majorBidi" w:cstheme="majorBidi"/>
          <w:lang w:val="en-US"/>
        </w:rPr>
        <w:t xml:space="preserve">-striatal regions that are involved in impulsive responding when anticipating a </w:t>
      </w:r>
      <w:proofErr w:type="gramStart"/>
      <w:r w:rsidR="00787D9B" w:rsidRPr="000E4150">
        <w:rPr>
          <w:rStyle w:val="normaltextrun"/>
          <w:rFonts w:asciiTheme="majorBidi" w:hAnsiTheme="majorBidi" w:cstheme="majorBidi"/>
          <w:lang w:val="en-US"/>
        </w:rPr>
        <w:t>personally</w:t>
      </w:r>
      <w:r w:rsidR="006A1C46" w:rsidRPr="000E4150">
        <w:rPr>
          <w:rStyle w:val="normaltextrun"/>
          <w:rFonts w:asciiTheme="majorBidi" w:hAnsiTheme="majorBidi" w:cstheme="majorBidi"/>
          <w:lang w:val="en-US"/>
        </w:rPr>
        <w:t>-</w:t>
      </w:r>
      <w:r w:rsidR="00787D9B" w:rsidRPr="000E4150">
        <w:rPr>
          <w:rStyle w:val="normaltextrun"/>
          <w:rFonts w:asciiTheme="majorBidi" w:hAnsiTheme="majorBidi" w:cstheme="majorBidi"/>
          <w:lang w:val="en-US"/>
        </w:rPr>
        <w:t>desired</w:t>
      </w:r>
      <w:proofErr w:type="gramEnd"/>
      <w:r w:rsidR="00787D9B" w:rsidRPr="000E4150">
        <w:rPr>
          <w:rStyle w:val="normaltextrun"/>
          <w:rFonts w:asciiTheme="majorBidi" w:hAnsiTheme="majorBidi" w:cstheme="majorBidi"/>
          <w:lang w:val="en-US"/>
        </w:rPr>
        <w:t xml:space="preserve"> outcome. That similar regions were activated in the drug users, regardless of incentive type, suggests a general system that is associated with failures in self-restraint that is also sensitive to motivational process</w:t>
      </w:r>
      <w:r w:rsidR="006A1C46" w:rsidRPr="000E4150">
        <w:rPr>
          <w:rStyle w:val="normaltextrun"/>
          <w:rFonts w:asciiTheme="majorBidi" w:hAnsiTheme="majorBidi" w:cstheme="majorBidi"/>
          <w:lang w:val="en-US"/>
        </w:rPr>
        <w:t>es</w:t>
      </w:r>
      <w:r w:rsidR="00787D9B" w:rsidRPr="000E4150">
        <w:rPr>
          <w:rStyle w:val="normaltextrun"/>
          <w:rFonts w:asciiTheme="majorBidi" w:hAnsiTheme="majorBidi" w:cstheme="majorBidi"/>
          <w:lang w:val="en-US"/>
        </w:rPr>
        <w:t>. </w:t>
      </w:r>
      <w:r w:rsidR="00787D9B" w:rsidRPr="000E4150">
        <w:rPr>
          <w:rStyle w:val="eop"/>
          <w:rFonts w:asciiTheme="majorBidi" w:hAnsiTheme="majorBidi" w:cstheme="majorBidi"/>
          <w:lang w:val="en-US"/>
        </w:rPr>
        <w:t> </w:t>
      </w:r>
    </w:p>
    <w:p w14:paraId="1942C1EA" w14:textId="4D159B14" w:rsidR="00787D9B" w:rsidRPr="000E4150" w:rsidRDefault="00787D9B">
      <w:pPr>
        <w:pStyle w:val="paragraph"/>
        <w:spacing w:before="0" w:beforeAutospacing="0" w:after="0" w:afterAutospacing="0" w:line="480" w:lineRule="auto"/>
        <w:textAlignment w:val="baseline"/>
        <w:rPr>
          <w:rFonts w:asciiTheme="majorBidi" w:hAnsiTheme="majorBidi" w:cstheme="majorBidi"/>
          <w:lang w:val="en-US"/>
        </w:rPr>
      </w:pPr>
      <w:r w:rsidRPr="000E4150">
        <w:rPr>
          <w:rStyle w:val="normaltextrun"/>
          <w:rFonts w:asciiTheme="majorBidi" w:hAnsiTheme="majorBidi" w:cstheme="majorBidi"/>
          <w:b/>
          <w:bCs/>
          <w:lang w:val="en-US"/>
        </w:rPr>
        <w:t>BOLD activation in the IFC, </w:t>
      </w:r>
      <w:r w:rsidRPr="000E4150">
        <w:rPr>
          <w:rStyle w:val="spellingerror"/>
          <w:rFonts w:asciiTheme="majorBidi" w:hAnsiTheme="majorBidi" w:cstheme="majorBidi"/>
          <w:b/>
          <w:bCs/>
          <w:lang w:val="en-US"/>
        </w:rPr>
        <w:t>dACC</w:t>
      </w:r>
      <w:r w:rsidRPr="000E4150">
        <w:rPr>
          <w:rStyle w:val="normaltextrun"/>
          <w:rFonts w:asciiTheme="majorBidi" w:hAnsiTheme="majorBidi" w:cstheme="majorBidi"/>
          <w:b/>
          <w:bCs/>
          <w:lang w:val="en-US"/>
        </w:rPr>
        <w:t>, </w:t>
      </w:r>
      <w:proofErr w:type="spellStart"/>
      <w:r w:rsidRPr="000E4150">
        <w:rPr>
          <w:rStyle w:val="spellingerror"/>
          <w:rFonts w:asciiTheme="majorBidi" w:hAnsiTheme="majorBidi" w:cstheme="majorBidi"/>
          <w:b/>
          <w:bCs/>
          <w:lang w:val="en-US"/>
        </w:rPr>
        <w:t>dStriatum</w:t>
      </w:r>
      <w:proofErr w:type="spellEnd"/>
      <w:r w:rsidRPr="000E4150">
        <w:rPr>
          <w:rStyle w:val="normaltextrun"/>
          <w:rFonts w:asciiTheme="majorBidi" w:hAnsiTheme="majorBidi" w:cstheme="majorBidi"/>
          <w:b/>
          <w:bCs/>
          <w:lang w:val="en-US"/>
        </w:rPr>
        <w:t xml:space="preserve"> and parietal operculum predicts trial type, </w:t>
      </w:r>
      <w:r w:rsidR="006A1C46" w:rsidRPr="000E4150">
        <w:rPr>
          <w:rStyle w:val="normaltextrun"/>
          <w:rFonts w:asciiTheme="majorBidi" w:hAnsiTheme="majorBidi" w:cstheme="majorBidi"/>
          <w:b/>
          <w:bCs/>
          <w:lang w:val="en-US"/>
        </w:rPr>
        <w:t xml:space="preserve">thus </w:t>
      </w:r>
      <w:r w:rsidRPr="000E4150">
        <w:rPr>
          <w:rStyle w:val="normaltextrun"/>
          <w:rFonts w:asciiTheme="majorBidi" w:hAnsiTheme="majorBidi" w:cstheme="majorBidi"/>
          <w:b/>
          <w:bCs/>
          <w:lang w:val="en-US"/>
        </w:rPr>
        <w:t>validating the GLM results</w:t>
      </w:r>
      <w:r w:rsidRPr="000E4150">
        <w:rPr>
          <w:rStyle w:val="normaltextrun"/>
          <w:rFonts w:asciiTheme="majorBidi" w:hAnsiTheme="majorBidi" w:cstheme="majorBidi"/>
          <w:b/>
          <w:bCs/>
          <w:i/>
          <w:iCs/>
          <w:lang w:val="en-US"/>
        </w:rPr>
        <w:t>. </w:t>
      </w:r>
      <w:r w:rsidRPr="000E4150">
        <w:rPr>
          <w:rStyle w:val="normaltextrun"/>
          <w:rFonts w:asciiTheme="majorBidi" w:hAnsiTheme="majorBidi" w:cstheme="majorBidi"/>
          <w:lang w:val="en-US"/>
        </w:rPr>
        <w:t>To ascertain whether the GLM group mean activation maps in the three groups were robust to the limited number of premature trials, we assessed whether the resulting BOLD activations could reliably predict trial type. Specifically, BOLD timeseries activation in the IFC (</w:t>
      </w:r>
      <w:r w:rsidRPr="000E4150">
        <w:rPr>
          <w:rStyle w:val="normaltextrun"/>
          <w:rFonts w:asciiTheme="majorBidi" w:hAnsiTheme="majorBidi" w:cstheme="majorBidi"/>
          <w:i/>
          <w:iCs/>
          <w:lang w:val="en-US"/>
        </w:rPr>
        <w:t>pars </w:t>
      </w:r>
      <w:r w:rsidRPr="000E4150">
        <w:rPr>
          <w:rStyle w:val="spellingerror"/>
          <w:rFonts w:asciiTheme="majorBidi" w:hAnsiTheme="majorBidi" w:cstheme="majorBidi"/>
          <w:i/>
          <w:iCs/>
          <w:lang w:val="en-US"/>
        </w:rPr>
        <w:t>opercularis</w:t>
      </w:r>
      <w:r w:rsidRPr="000E4150">
        <w:rPr>
          <w:rStyle w:val="normaltextrun"/>
          <w:rFonts w:asciiTheme="majorBidi" w:hAnsiTheme="majorBidi" w:cstheme="majorBidi"/>
          <w:lang w:val="en-US"/>
        </w:rPr>
        <w:t>), </w:t>
      </w:r>
      <w:r w:rsidRPr="000E4150">
        <w:rPr>
          <w:rStyle w:val="spellingerror"/>
          <w:rFonts w:asciiTheme="majorBidi" w:hAnsiTheme="majorBidi" w:cstheme="majorBidi"/>
          <w:lang w:val="en-US"/>
        </w:rPr>
        <w:t>dACC</w:t>
      </w:r>
      <w:r w:rsidRPr="000E4150">
        <w:rPr>
          <w:rStyle w:val="normaltextrun"/>
          <w:rFonts w:asciiTheme="majorBidi" w:hAnsiTheme="majorBidi" w:cstheme="majorBidi"/>
          <w:lang w:val="en-US"/>
        </w:rPr>
        <w:t>, </w:t>
      </w:r>
      <w:proofErr w:type="spellStart"/>
      <w:r w:rsidRPr="000E4150">
        <w:rPr>
          <w:rStyle w:val="spellingerror"/>
          <w:rFonts w:asciiTheme="majorBidi" w:hAnsiTheme="majorBidi" w:cstheme="majorBidi"/>
          <w:lang w:val="en-US"/>
        </w:rPr>
        <w:t>dStriatum</w:t>
      </w:r>
      <w:proofErr w:type="spellEnd"/>
      <w:r w:rsidRPr="000E4150">
        <w:rPr>
          <w:rStyle w:val="normaltextrun"/>
          <w:rFonts w:asciiTheme="majorBidi" w:hAnsiTheme="majorBidi" w:cstheme="majorBidi"/>
          <w:lang w:val="en-US"/>
        </w:rPr>
        <w:t> and the parietal operculum were used to predict whether trials were correct or premature (Figure 1D). Hierarchical logistic regression models with subject-level random intercepts performed well in differentiating premature from correct responses in the money context (AUC</w:t>
      </w:r>
      <w:r w:rsidRPr="000E4150">
        <w:rPr>
          <w:rStyle w:val="normaltextrun"/>
          <w:rFonts w:asciiTheme="majorBidi" w:hAnsiTheme="majorBidi" w:cstheme="majorBidi"/>
          <w:vertAlign w:val="subscript"/>
          <w:lang w:val="en-US"/>
        </w:rPr>
        <w:t>HC</w:t>
      </w:r>
      <w:r w:rsidRPr="000E4150">
        <w:rPr>
          <w:rStyle w:val="normaltextrun"/>
          <w:rFonts w:asciiTheme="majorBidi" w:hAnsiTheme="majorBidi" w:cstheme="majorBidi"/>
          <w:lang w:val="en-US"/>
        </w:rPr>
        <w:t>=0.77; AUC</w:t>
      </w:r>
      <w:r w:rsidRPr="000E4150">
        <w:rPr>
          <w:rStyle w:val="normaltextrun"/>
          <w:rFonts w:asciiTheme="majorBidi" w:hAnsiTheme="majorBidi" w:cstheme="majorBidi"/>
          <w:vertAlign w:val="subscript"/>
          <w:lang w:val="en-US"/>
        </w:rPr>
        <w:t>SIB</w:t>
      </w:r>
      <w:r w:rsidRPr="000E4150">
        <w:rPr>
          <w:rStyle w:val="normaltextrun"/>
          <w:rFonts w:asciiTheme="majorBidi" w:hAnsiTheme="majorBidi" w:cstheme="majorBidi"/>
          <w:lang w:val="en-US"/>
        </w:rPr>
        <w:t>=0.73; AUC</w:t>
      </w:r>
      <w:r w:rsidRPr="000E4150">
        <w:rPr>
          <w:rStyle w:val="normaltextrun"/>
          <w:rFonts w:asciiTheme="majorBidi" w:hAnsiTheme="majorBidi" w:cstheme="majorBidi"/>
          <w:vertAlign w:val="subscript"/>
          <w:lang w:val="en-US"/>
        </w:rPr>
        <w:t>SDI</w:t>
      </w:r>
      <w:r w:rsidRPr="000E4150">
        <w:rPr>
          <w:rStyle w:val="normaltextrun"/>
          <w:rFonts w:asciiTheme="majorBidi" w:hAnsiTheme="majorBidi" w:cstheme="majorBidi"/>
          <w:lang w:val="en-US"/>
        </w:rPr>
        <w:t>=0.75) and in the drug context (AUC</w:t>
      </w:r>
      <w:r w:rsidRPr="000E4150">
        <w:rPr>
          <w:rStyle w:val="normaltextrun"/>
          <w:rFonts w:asciiTheme="majorBidi" w:hAnsiTheme="majorBidi" w:cstheme="majorBidi"/>
          <w:vertAlign w:val="subscript"/>
          <w:lang w:val="en-US"/>
        </w:rPr>
        <w:t>SDI</w:t>
      </w:r>
      <w:r w:rsidRPr="000E4150">
        <w:rPr>
          <w:rStyle w:val="normaltextrun"/>
          <w:rFonts w:asciiTheme="majorBidi" w:hAnsiTheme="majorBidi" w:cstheme="majorBidi"/>
          <w:lang w:val="en-US"/>
        </w:rPr>
        <w:t xml:space="preserve">=0.71). The differential contributions of each </w:t>
      </w:r>
      <w:r w:rsidR="00D81433" w:rsidRPr="000E4150">
        <w:rPr>
          <w:rStyle w:val="normaltextrun"/>
          <w:rFonts w:asciiTheme="majorBidi" w:hAnsiTheme="majorBidi" w:cstheme="majorBidi"/>
          <w:lang w:val="en-US"/>
        </w:rPr>
        <w:t>region of interest (</w:t>
      </w:r>
      <w:r w:rsidRPr="000E4150">
        <w:rPr>
          <w:rStyle w:val="normaltextrun"/>
          <w:rFonts w:asciiTheme="majorBidi" w:hAnsiTheme="majorBidi" w:cstheme="majorBidi"/>
          <w:lang w:val="en-US"/>
        </w:rPr>
        <w:t>ROI</w:t>
      </w:r>
      <w:r w:rsidR="00D81433" w:rsidRPr="000E4150">
        <w:rPr>
          <w:rStyle w:val="normaltextrun"/>
          <w:rFonts w:asciiTheme="majorBidi" w:hAnsiTheme="majorBidi" w:cstheme="majorBidi"/>
          <w:lang w:val="en-US"/>
        </w:rPr>
        <w:t>)</w:t>
      </w:r>
      <w:r w:rsidRPr="000E4150">
        <w:rPr>
          <w:rStyle w:val="normaltextrun"/>
          <w:rFonts w:asciiTheme="majorBidi" w:hAnsiTheme="majorBidi" w:cstheme="majorBidi"/>
          <w:lang w:val="en-US"/>
        </w:rPr>
        <w:t xml:space="preserve"> to the prediction analyses can be found in</w:t>
      </w:r>
      <w:r w:rsidR="00980DBD" w:rsidRPr="000E4150">
        <w:rPr>
          <w:rStyle w:val="normaltextrun"/>
          <w:rFonts w:asciiTheme="majorBidi" w:hAnsiTheme="majorBidi" w:cstheme="majorBidi"/>
          <w:lang w:val="en-US"/>
        </w:rPr>
        <w:t xml:space="preserve"> </w:t>
      </w:r>
      <w:r w:rsidR="000E5ABD" w:rsidRPr="000E4150">
        <w:rPr>
          <w:rStyle w:val="normaltextrun"/>
          <w:rFonts w:asciiTheme="majorBidi" w:hAnsiTheme="majorBidi" w:cstheme="majorBidi"/>
          <w:lang w:val="en-US"/>
        </w:rPr>
        <w:t xml:space="preserve">SI appendix </w:t>
      </w:r>
      <w:r w:rsidR="00980DBD" w:rsidRPr="000E4150">
        <w:rPr>
          <w:rStyle w:val="normaltextrun"/>
          <w:rFonts w:asciiTheme="majorBidi" w:hAnsiTheme="majorBidi" w:cstheme="majorBidi"/>
          <w:lang w:val="en-US"/>
        </w:rPr>
        <w:t xml:space="preserve">Table </w:t>
      </w:r>
      <w:r w:rsidR="000E5ABD" w:rsidRPr="000E4150">
        <w:rPr>
          <w:rStyle w:val="normaltextrun"/>
          <w:rFonts w:asciiTheme="majorBidi" w:hAnsiTheme="majorBidi" w:cstheme="majorBidi"/>
          <w:lang w:val="en-US"/>
        </w:rPr>
        <w:t>S</w:t>
      </w:r>
      <w:r w:rsidR="00051934" w:rsidRPr="000E4150">
        <w:rPr>
          <w:rStyle w:val="normaltextrun"/>
          <w:rFonts w:asciiTheme="majorBidi" w:hAnsiTheme="majorBidi" w:cstheme="majorBidi"/>
          <w:lang w:val="en-US"/>
        </w:rPr>
        <w:t>2</w:t>
      </w:r>
      <w:r w:rsidRPr="000E4150">
        <w:rPr>
          <w:rStyle w:val="normaltextrun"/>
          <w:rFonts w:asciiTheme="majorBidi" w:hAnsiTheme="majorBidi" w:cstheme="majorBidi"/>
          <w:lang w:val="en-US"/>
        </w:rPr>
        <w:t xml:space="preserve">. The results for financial incentives, found independently in the three </w:t>
      </w:r>
      <w:r w:rsidRPr="000E4150">
        <w:rPr>
          <w:rStyle w:val="normaltextrun"/>
          <w:rFonts w:asciiTheme="majorBidi" w:hAnsiTheme="majorBidi" w:cstheme="majorBidi"/>
          <w:lang w:val="en-US"/>
        </w:rPr>
        <w:lastRenderedPageBreak/>
        <w:t xml:space="preserve">groups, further lends support to the reliability of the involvement of these regions in premature responding. This, together with the considerable overlap between groups noted above supports </w:t>
      </w:r>
      <w:r w:rsidR="003370F9" w:rsidRPr="000E4150">
        <w:rPr>
          <w:rStyle w:val="normaltextrun"/>
          <w:rFonts w:asciiTheme="majorBidi" w:hAnsiTheme="majorBidi" w:cstheme="majorBidi"/>
          <w:lang w:val="en-US"/>
        </w:rPr>
        <w:t>and validates our fMRI f</w:t>
      </w:r>
      <w:r w:rsidR="00E07E9F" w:rsidRPr="000E4150">
        <w:rPr>
          <w:rStyle w:val="normaltextrun"/>
          <w:rFonts w:asciiTheme="majorBidi" w:hAnsiTheme="majorBidi" w:cstheme="majorBidi"/>
          <w:lang w:val="en-US"/>
        </w:rPr>
        <w:t>i</w:t>
      </w:r>
      <w:r w:rsidR="003370F9" w:rsidRPr="000E4150">
        <w:rPr>
          <w:rStyle w:val="normaltextrun"/>
          <w:rFonts w:asciiTheme="majorBidi" w:hAnsiTheme="majorBidi" w:cstheme="majorBidi"/>
          <w:lang w:val="en-US"/>
        </w:rPr>
        <w:t>ndings</w:t>
      </w:r>
      <w:r w:rsidRPr="000E4150">
        <w:rPr>
          <w:rStyle w:val="normaltextrun"/>
          <w:rFonts w:asciiTheme="majorBidi" w:hAnsiTheme="majorBidi" w:cstheme="majorBidi"/>
          <w:lang w:val="en-US"/>
        </w:rPr>
        <w:t>.</w:t>
      </w:r>
      <w:r w:rsidRPr="000E4150">
        <w:rPr>
          <w:rStyle w:val="eop"/>
          <w:rFonts w:asciiTheme="majorBidi" w:hAnsiTheme="majorBidi" w:cstheme="majorBidi"/>
          <w:lang w:val="en-US"/>
        </w:rPr>
        <w:t> </w:t>
      </w:r>
    </w:p>
    <w:p w14:paraId="3115F7E3" w14:textId="1FE44BFB" w:rsidR="00787D9B" w:rsidRPr="000E4150" w:rsidRDefault="00787D9B" w:rsidP="00567F7A">
      <w:pPr>
        <w:pStyle w:val="paragraph"/>
        <w:spacing w:before="0" w:beforeAutospacing="0" w:after="0" w:afterAutospacing="0" w:line="480" w:lineRule="auto"/>
        <w:textAlignment w:val="baseline"/>
        <w:rPr>
          <w:rFonts w:asciiTheme="majorBidi" w:hAnsiTheme="majorBidi" w:cstheme="majorBidi"/>
          <w:lang w:val="en-US"/>
        </w:rPr>
      </w:pPr>
      <w:r w:rsidRPr="000E4150">
        <w:rPr>
          <w:rStyle w:val="normaltextrun"/>
          <w:rFonts w:asciiTheme="majorBidi" w:hAnsiTheme="majorBidi" w:cstheme="majorBidi"/>
          <w:b/>
          <w:bCs/>
          <w:lang w:val="en-US"/>
        </w:rPr>
        <w:t>Differential </w:t>
      </w:r>
      <w:proofErr w:type="spellStart"/>
      <w:r w:rsidRPr="000E4150">
        <w:rPr>
          <w:rStyle w:val="spellingerror"/>
          <w:rFonts w:asciiTheme="majorBidi" w:hAnsiTheme="majorBidi" w:cstheme="majorBidi"/>
          <w:b/>
          <w:bCs/>
          <w:lang w:val="en-US"/>
        </w:rPr>
        <w:t>dStriatum</w:t>
      </w:r>
      <w:proofErr w:type="spellEnd"/>
      <w:r w:rsidRPr="000E4150">
        <w:rPr>
          <w:rStyle w:val="normaltextrun"/>
          <w:rFonts w:asciiTheme="majorBidi" w:hAnsiTheme="majorBidi" w:cstheme="majorBidi"/>
          <w:b/>
          <w:bCs/>
          <w:lang w:val="en-US"/>
        </w:rPr>
        <w:t> involvement in SDI compared to HC and SIB. </w:t>
      </w:r>
      <w:r w:rsidRPr="000E4150">
        <w:rPr>
          <w:rStyle w:val="normaltextrun"/>
          <w:rFonts w:asciiTheme="majorBidi" w:hAnsiTheme="majorBidi" w:cstheme="majorBidi"/>
          <w:lang w:val="en-US"/>
        </w:rPr>
        <w:t xml:space="preserve">Previous work has established striatal involvement in addiction, task control and reward processing </w:t>
      </w:r>
      <w:r w:rsidR="00742E05" w:rsidRPr="000E4150">
        <w:rPr>
          <w:rStyle w:val="normaltextrun"/>
          <w:rFonts w:asciiTheme="majorBidi" w:hAnsiTheme="majorBidi" w:cstheme="majorBidi"/>
          <w:lang w:val="en-US"/>
        </w:rPr>
        <w:fldChar w:fldCharType="begin" w:fldLock="1"/>
      </w:r>
      <w:r w:rsidR="00760109" w:rsidRPr="000E4150">
        <w:rPr>
          <w:rStyle w:val="normaltextrun"/>
          <w:rFonts w:asciiTheme="majorBidi" w:hAnsiTheme="majorBidi" w:cstheme="majorBidi"/>
          <w:lang w:val="en-US"/>
        </w:rPr>
        <w:instrText>ADDIN CSL_CITATION {"citationItems":[{"id":"ITEM-1","itemData":{"DOI":"10.1146/annurev-psych-122414-033457","ISSN":"0066-4308","author":[{"dropping-particle":"","family":"Everitt","given":"Barry J.","non-dropping-particle":"","parse-names":false,"suffix":""},{"dropping-particle":"","family":"Robbins","given":"Trevor W.","non-dropping-particle":"","parse-names":false,"suffix":""}],"container-title":"Annual Review of Psychology","id":"ITEM-1","issue":"1","issued":{"date-parts":[["2016"]]},"page":"150807174122003","title":"Drug Addiction: Updating Actions to Habits to Compulsions Ten Years On","type":"article-journal","volume":"67"},"uris":["http://www.mendeley.com/documents/?uuid=b796000c-4a65-49e1-a275-b1834ae4f29a"]},{"id":"ITEM-2","itemData":{"DOI":"10.1002/hbm.24184","author":[{"dropping-particle":"","family":"Oldham","given":"Stuart","non-dropping-particle":"","parse-names":false,"suffix":""},{"dropping-particle":"","family":"Murawski","given":"Carsten","non-dropping-particle":"","parse-names":false,"suffix":""},{"dropping-particle":"","family":"Fornito","given":"Alex","non-dropping-particle":"","parse-names":false,"suffix":""},{"dropping-particle":"","family":"Youssef","given":"George","non-dropping-particle":"","parse-names":false,"suffix":""},{"dropping-particle":"","family":"Yücel","given":"Murat","non-dropping-particle":"","parse-names":false,"suffix":""},{"dropping-particle":"","family":"Lorenzetti","given":"Valentina","non-dropping-particle":"","parse-names":false,"suffix":""}],"container-title":"Human Brain Mapping","id":"ITEM-2","issue":"8","issued":{"date-parts":[["2018"]]},"page":"3398-3418","title":"The anticipation and outcome phases of reward and loss processing: A neuroimaging meta-analysis of the monetary incentive delay task","type":"article-journal","volume":"39"},"uris":["http://www.mendeley.com/documents/?uuid=b5f62a24-5f3c-4b3b-9455-9b4b435d16fc"]}],"mendeley":{"formattedCitation":"[Everitt and Robbins, 2016; Oldham et al., 2018]","plainTextFormattedCitation":"[Everitt and Robbins, 2016; Oldham et al., 2018]","previouslyFormattedCitation":"[Everitt and Robbins, 2016; Oldham et al., 2018]"},"properties":{"noteIndex":0},"schema":"https://github.com/citation-style-language/schema/raw/master/csl-citation.json"}</w:instrText>
      </w:r>
      <w:r w:rsidR="00742E05" w:rsidRPr="000E4150">
        <w:rPr>
          <w:rStyle w:val="normaltextrun"/>
          <w:rFonts w:asciiTheme="majorBidi" w:hAnsiTheme="majorBidi" w:cstheme="majorBidi"/>
          <w:lang w:val="en-US"/>
        </w:rPr>
        <w:fldChar w:fldCharType="separate"/>
      </w:r>
      <w:r w:rsidR="00E06636" w:rsidRPr="000E4150">
        <w:rPr>
          <w:rStyle w:val="normaltextrun"/>
          <w:rFonts w:asciiTheme="majorBidi" w:hAnsiTheme="majorBidi" w:cstheme="majorBidi"/>
          <w:noProof/>
          <w:lang w:val="en-US"/>
        </w:rPr>
        <w:t>[Everitt and Robbins, 2016; Oldham et al., 2018]</w:t>
      </w:r>
      <w:r w:rsidR="00742E05" w:rsidRPr="000E4150">
        <w:rPr>
          <w:rStyle w:val="normaltextrun"/>
          <w:rFonts w:asciiTheme="majorBidi" w:hAnsiTheme="majorBidi" w:cstheme="majorBidi"/>
          <w:lang w:val="en-US"/>
        </w:rPr>
        <w:fldChar w:fldCharType="end"/>
      </w:r>
      <w:r w:rsidRPr="000E4150">
        <w:rPr>
          <w:rStyle w:val="normaltextrun"/>
          <w:rFonts w:asciiTheme="majorBidi" w:hAnsiTheme="majorBidi" w:cstheme="majorBidi"/>
          <w:lang w:val="en-US"/>
        </w:rPr>
        <w:t xml:space="preserve">. We thus focused on a ROI encompassing </w:t>
      </w:r>
      <w:r w:rsidR="003370F9" w:rsidRPr="000E4150">
        <w:rPr>
          <w:rStyle w:val="normaltextrun"/>
          <w:rFonts w:asciiTheme="majorBidi" w:hAnsiTheme="majorBidi" w:cstheme="majorBidi"/>
          <w:lang w:val="en-US"/>
        </w:rPr>
        <w:t xml:space="preserve">bilaterally </w:t>
      </w:r>
      <w:r w:rsidRPr="000E4150">
        <w:rPr>
          <w:rStyle w:val="normaltextrun"/>
          <w:rFonts w:asciiTheme="majorBidi" w:hAnsiTheme="majorBidi" w:cstheme="majorBidi"/>
          <w:lang w:val="en-US"/>
        </w:rPr>
        <w:t>the caudate, putamen and nucleus </w:t>
      </w:r>
      <w:r w:rsidRPr="000E4150">
        <w:rPr>
          <w:rStyle w:val="spellingerror"/>
          <w:rFonts w:asciiTheme="majorBidi" w:hAnsiTheme="majorBidi" w:cstheme="majorBidi"/>
          <w:lang w:val="en-US"/>
        </w:rPr>
        <w:t>accumbens</w:t>
      </w:r>
      <w:r w:rsidRPr="000E4150">
        <w:rPr>
          <w:rStyle w:val="normaltextrun"/>
          <w:rFonts w:asciiTheme="majorBidi" w:hAnsiTheme="majorBidi" w:cstheme="majorBidi"/>
          <w:lang w:val="en-US"/>
        </w:rPr>
        <w:t>. To assess the selective involvement of the striatum in failures of restraint specifically to drug cues in SDIs, interaction effects between group (SDI vs SIB vs HC) and incentive type (money vs drug) were examined within this striatal mask. Significant interaction effects in the caudate (MNI [-11 10 16], t=3.2, P</w:t>
      </w:r>
      <w:r w:rsidRPr="000E4150">
        <w:rPr>
          <w:rStyle w:val="normaltextrun"/>
          <w:rFonts w:asciiTheme="majorBidi" w:hAnsiTheme="majorBidi" w:cstheme="majorBidi"/>
          <w:vertAlign w:val="subscript"/>
          <w:lang w:val="en-US"/>
        </w:rPr>
        <w:t>FWE</w:t>
      </w:r>
      <w:r w:rsidRPr="000E4150">
        <w:rPr>
          <w:rStyle w:val="normaltextrun"/>
          <w:rFonts w:asciiTheme="majorBidi" w:hAnsiTheme="majorBidi" w:cstheme="majorBidi"/>
          <w:lang w:val="en-US"/>
        </w:rPr>
        <w:t>=0.05) and putamen (MNI [-34 -2 -4], t=3.9, P</w:t>
      </w:r>
      <w:r w:rsidRPr="000E4150">
        <w:rPr>
          <w:rStyle w:val="normaltextrun"/>
          <w:rFonts w:asciiTheme="majorBidi" w:hAnsiTheme="majorBidi" w:cstheme="majorBidi"/>
          <w:vertAlign w:val="subscript"/>
          <w:lang w:val="en-US"/>
        </w:rPr>
        <w:t>FWE</w:t>
      </w:r>
      <w:r w:rsidRPr="000E4150">
        <w:rPr>
          <w:rStyle w:val="normaltextrun"/>
          <w:rFonts w:asciiTheme="majorBidi" w:hAnsiTheme="majorBidi" w:cstheme="majorBidi"/>
          <w:lang w:val="en-US"/>
        </w:rPr>
        <w:t>&lt;0.04) were driven by greater activation in money compared to drugs in the HCs versus the SDIs (</w:t>
      </w:r>
      <w:r w:rsidR="000E5ABD" w:rsidRPr="000E4150">
        <w:rPr>
          <w:rStyle w:val="normaltextrun"/>
          <w:rFonts w:asciiTheme="majorBidi" w:hAnsiTheme="majorBidi" w:cstheme="majorBidi"/>
          <w:lang w:val="en-US"/>
        </w:rPr>
        <w:t xml:space="preserve">SI Appendix </w:t>
      </w:r>
      <w:r w:rsidR="00980DBD" w:rsidRPr="000E4150">
        <w:rPr>
          <w:rStyle w:val="normaltextrun"/>
          <w:rFonts w:asciiTheme="majorBidi" w:hAnsiTheme="majorBidi" w:cstheme="majorBidi"/>
          <w:lang w:val="en-US"/>
        </w:rPr>
        <w:t xml:space="preserve">Figure </w:t>
      </w:r>
      <w:r w:rsidR="000E5ABD" w:rsidRPr="000E4150">
        <w:rPr>
          <w:rStyle w:val="normaltextrun"/>
          <w:rFonts w:asciiTheme="majorBidi" w:hAnsiTheme="majorBidi" w:cstheme="majorBidi"/>
          <w:lang w:val="en-US"/>
        </w:rPr>
        <w:t>S</w:t>
      </w:r>
      <w:r w:rsidR="00980DBD" w:rsidRPr="000E4150">
        <w:rPr>
          <w:rStyle w:val="normaltextrun"/>
          <w:rFonts w:asciiTheme="majorBidi" w:hAnsiTheme="majorBidi" w:cstheme="majorBidi"/>
          <w:lang w:val="en-US"/>
        </w:rPr>
        <w:t>2</w:t>
      </w:r>
      <w:r w:rsidRPr="000E4150">
        <w:rPr>
          <w:rStyle w:val="normaltextrun"/>
          <w:rFonts w:asciiTheme="majorBidi" w:hAnsiTheme="majorBidi" w:cstheme="majorBidi"/>
          <w:lang w:val="en-US"/>
        </w:rPr>
        <w:t>). Similarly, interactive effects in the caudate (MNI [-12 12 16], t=3.26, P</w:t>
      </w:r>
      <w:r w:rsidRPr="000E4150">
        <w:rPr>
          <w:rStyle w:val="normaltextrun"/>
          <w:rFonts w:asciiTheme="majorBidi" w:hAnsiTheme="majorBidi" w:cstheme="majorBidi"/>
          <w:vertAlign w:val="subscript"/>
          <w:lang w:val="en-US"/>
        </w:rPr>
        <w:t>FWE</w:t>
      </w:r>
      <w:r w:rsidRPr="000E4150">
        <w:rPr>
          <w:rStyle w:val="normaltextrun"/>
          <w:rFonts w:asciiTheme="majorBidi" w:hAnsiTheme="majorBidi" w:cstheme="majorBidi"/>
          <w:lang w:val="en-US"/>
        </w:rPr>
        <w:t>=0.04) and putamen (MNI [-34 -2 -4], t=4.1, P</w:t>
      </w:r>
      <w:r w:rsidRPr="000E4150">
        <w:rPr>
          <w:rStyle w:val="normaltextrun"/>
          <w:rFonts w:asciiTheme="majorBidi" w:hAnsiTheme="majorBidi" w:cstheme="majorBidi"/>
          <w:vertAlign w:val="subscript"/>
          <w:lang w:val="en-US"/>
        </w:rPr>
        <w:t>FWE</w:t>
      </w:r>
      <w:r w:rsidRPr="000E4150">
        <w:rPr>
          <w:rStyle w:val="normaltextrun"/>
          <w:rFonts w:asciiTheme="majorBidi" w:hAnsiTheme="majorBidi" w:cstheme="majorBidi"/>
          <w:lang w:val="en-US"/>
        </w:rPr>
        <w:t>=0.01) were driven by greater activation in money compared to drugs in the SIBs versus the SDIs. Figure 2B shows a subregion of the caudate, in which SDIs show a different pattern of activation from </w:t>
      </w:r>
      <w:r w:rsidRPr="000E4150">
        <w:rPr>
          <w:rStyle w:val="normaltextrun"/>
          <w:rFonts w:asciiTheme="majorBidi" w:hAnsiTheme="majorBidi" w:cstheme="majorBidi"/>
          <w:i/>
          <w:iCs/>
          <w:lang w:val="en-US"/>
        </w:rPr>
        <w:t>both </w:t>
      </w:r>
      <w:r w:rsidRPr="000E4150">
        <w:rPr>
          <w:rStyle w:val="normaltextrun"/>
          <w:rFonts w:asciiTheme="majorBidi" w:hAnsiTheme="majorBidi" w:cstheme="majorBidi"/>
          <w:lang w:val="en-US"/>
        </w:rPr>
        <w:t>SIBs and HCs (MNI [-12 12 16], HC vs SDI t=3.31, P</w:t>
      </w:r>
      <w:r w:rsidRPr="000E4150">
        <w:rPr>
          <w:rStyle w:val="normaltextrun"/>
          <w:rFonts w:asciiTheme="majorBidi" w:hAnsiTheme="majorBidi" w:cstheme="majorBidi"/>
          <w:vertAlign w:val="subscript"/>
          <w:lang w:val="en-US"/>
        </w:rPr>
        <w:t>FWE</w:t>
      </w:r>
      <w:r w:rsidRPr="000E4150">
        <w:rPr>
          <w:rStyle w:val="normaltextrun"/>
          <w:rFonts w:asciiTheme="majorBidi" w:hAnsiTheme="majorBidi" w:cstheme="majorBidi"/>
          <w:lang w:val="en-US"/>
        </w:rPr>
        <w:t>=0.05; SIB vs SDI t=3.26, P</w:t>
      </w:r>
      <w:r w:rsidRPr="000E4150">
        <w:rPr>
          <w:rStyle w:val="normaltextrun"/>
          <w:rFonts w:asciiTheme="majorBidi" w:hAnsiTheme="majorBidi" w:cstheme="majorBidi"/>
          <w:vertAlign w:val="subscript"/>
          <w:lang w:val="en-US"/>
        </w:rPr>
        <w:t>FWE</w:t>
      </w:r>
      <w:r w:rsidRPr="000E4150">
        <w:rPr>
          <w:rStyle w:val="normaltextrun"/>
          <w:rFonts w:asciiTheme="majorBidi" w:hAnsiTheme="majorBidi" w:cstheme="majorBidi"/>
          <w:lang w:val="en-US"/>
        </w:rPr>
        <w:t>=0.04; region extent 6 voxels). This more stringent and focused approach indicated that the BOLD response in the </w:t>
      </w:r>
      <w:proofErr w:type="spellStart"/>
      <w:r w:rsidRPr="000E4150">
        <w:rPr>
          <w:rStyle w:val="spellingerror"/>
          <w:rFonts w:asciiTheme="majorBidi" w:hAnsiTheme="majorBidi" w:cstheme="majorBidi"/>
          <w:lang w:val="en-US"/>
        </w:rPr>
        <w:t>dStriatum</w:t>
      </w:r>
      <w:proofErr w:type="spellEnd"/>
      <w:r w:rsidRPr="000E4150">
        <w:rPr>
          <w:rStyle w:val="normaltextrun"/>
          <w:rFonts w:asciiTheme="majorBidi" w:hAnsiTheme="majorBidi" w:cstheme="majorBidi"/>
          <w:lang w:val="en-US"/>
        </w:rPr>
        <w:t> </w:t>
      </w:r>
      <w:r w:rsidR="003370F9" w:rsidRPr="000E4150">
        <w:rPr>
          <w:rStyle w:val="normaltextrun"/>
          <w:rFonts w:asciiTheme="majorBidi" w:hAnsiTheme="majorBidi" w:cstheme="majorBidi"/>
          <w:lang w:val="en-US"/>
        </w:rPr>
        <w:t>wa</w:t>
      </w:r>
      <w:r w:rsidRPr="000E4150">
        <w:rPr>
          <w:rStyle w:val="normaltextrun"/>
          <w:rFonts w:asciiTheme="majorBidi" w:hAnsiTheme="majorBidi" w:cstheme="majorBidi"/>
          <w:lang w:val="en-US"/>
        </w:rPr>
        <w:t>s differentially sensitive to impulsive responding for money in non-dependent individuals and to impulsive responding to drug cues in SDIs, regardless of familial vulnerability (Fig 2C). Overall, there was a clear opposing pattern in the </w:t>
      </w:r>
      <w:proofErr w:type="spellStart"/>
      <w:r w:rsidRPr="000E4150">
        <w:rPr>
          <w:rStyle w:val="spellingerror"/>
          <w:rFonts w:asciiTheme="majorBidi" w:hAnsiTheme="majorBidi" w:cstheme="majorBidi"/>
          <w:lang w:val="en-US"/>
        </w:rPr>
        <w:t>dStriatum</w:t>
      </w:r>
      <w:proofErr w:type="spellEnd"/>
      <w:r w:rsidRPr="000E4150">
        <w:rPr>
          <w:rStyle w:val="normaltextrun"/>
          <w:rFonts w:asciiTheme="majorBidi" w:hAnsiTheme="majorBidi" w:cstheme="majorBidi"/>
          <w:lang w:val="en-US"/>
        </w:rPr>
        <w:t> with reduced activation </w:t>
      </w:r>
      <w:r w:rsidR="00567F7A" w:rsidRPr="000E4150">
        <w:rPr>
          <w:rStyle w:val="normaltextrun"/>
          <w:rFonts w:asciiTheme="majorBidi" w:hAnsiTheme="majorBidi" w:cstheme="majorBidi"/>
          <w:lang w:val="en-US"/>
        </w:rPr>
        <w:t>for </w:t>
      </w:r>
      <w:r w:rsidRPr="000E4150">
        <w:rPr>
          <w:rStyle w:val="normaltextrun"/>
          <w:rFonts w:asciiTheme="majorBidi" w:hAnsiTheme="majorBidi" w:cstheme="majorBidi"/>
          <w:lang w:val="en-US"/>
        </w:rPr>
        <w:t>monetary incentives in SDIs compared to the other two groups, pointing to specific abnormalities in this region in the SDIs.</w:t>
      </w:r>
      <w:r w:rsidRPr="000E4150">
        <w:rPr>
          <w:rStyle w:val="eop"/>
          <w:rFonts w:asciiTheme="majorBidi" w:hAnsiTheme="majorBidi" w:cstheme="majorBidi"/>
          <w:lang w:val="en-US"/>
        </w:rPr>
        <w:t> </w:t>
      </w:r>
    </w:p>
    <w:p w14:paraId="32D39D0D" w14:textId="65DA41B4" w:rsidR="00787D9B" w:rsidRPr="000E4150" w:rsidRDefault="00787D9B" w:rsidP="00272C9F">
      <w:pPr>
        <w:pStyle w:val="paragraph"/>
        <w:spacing w:before="0" w:beforeAutospacing="0" w:after="0" w:afterAutospacing="0" w:line="480" w:lineRule="auto"/>
        <w:textAlignment w:val="baseline"/>
        <w:rPr>
          <w:rFonts w:asciiTheme="majorBidi" w:hAnsiTheme="majorBidi" w:cstheme="majorBidi"/>
          <w:lang w:val="en-US"/>
        </w:rPr>
      </w:pPr>
      <w:bookmarkStart w:id="1" w:name="_Hlk24569090"/>
      <w:r w:rsidRPr="000E4150">
        <w:rPr>
          <w:rStyle w:val="normaltextrun"/>
          <w:rFonts w:asciiTheme="majorBidi" w:hAnsiTheme="majorBidi" w:cstheme="majorBidi"/>
          <w:b/>
          <w:bCs/>
          <w:lang w:val="en-US"/>
        </w:rPr>
        <w:t>Limited associations between traits</w:t>
      </w:r>
      <w:r w:rsidR="003370F9" w:rsidRPr="000E4150">
        <w:rPr>
          <w:rStyle w:val="normaltextrun"/>
          <w:rFonts w:asciiTheme="majorBidi" w:hAnsiTheme="majorBidi" w:cstheme="majorBidi"/>
          <w:b/>
          <w:bCs/>
          <w:lang w:val="en-US"/>
        </w:rPr>
        <w:t xml:space="preserve">, </w:t>
      </w:r>
      <w:r w:rsidRPr="000E4150">
        <w:rPr>
          <w:rStyle w:val="normaltextrun"/>
          <w:rFonts w:asciiTheme="majorBidi" w:hAnsiTheme="majorBidi" w:cstheme="majorBidi"/>
          <w:b/>
          <w:bCs/>
          <w:lang w:val="en-US"/>
        </w:rPr>
        <w:t>behavior and BOLD signal. </w:t>
      </w:r>
      <w:bookmarkEnd w:id="1"/>
      <w:r w:rsidRPr="000E4150">
        <w:rPr>
          <w:rStyle w:val="normaltextrun"/>
          <w:rFonts w:asciiTheme="majorBidi" w:hAnsiTheme="majorBidi" w:cstheme="majorBidi"/>
          <w:lang w:val="en-US"/>
        </w:rPr>
        <w:t xml:space="preserve">We </w:t>
      </w:r>
      <w:r w:rsidR="003370F9" w:rsidRPr="000E4150">
        <w:rPr>
          <w:rStyle w:val="normaltextrun"/>
          <w:rFonts w:asciiTheme="majorBidi" w:hAnsiTheme="majorBidi" w:cstheme="majorBidi"/>
          <w:lang w:val="en-US"/>
        </w:rPr>
        <w:t xml:space="preserve">next investigated </w:t>
      </w:r>
      <w:r w:rsidRPr="000E4150">
        <w:rPr>
          <w:rStyle w:val="normaltextrun"/>
          <w:rFonts w:asciiTheme="majorBidi" w:hAnsiTheme="majorBidi" w:cstheme="majorBidi"/>
          <w:lang w:val="en-US"/>
        </w:rPr>
        <w:t xml:space="preserve">the relationship between neural activation associated with premature responses and </w:t>
      </w:r>
      <w:r w:rsidR="00C85D24" w:rsidRPr="000E4150">
        <w:rPr>
          <w:rStyle w:val="normaltextrun"/>
          <w:rFonts w:asciiTheme="majorBidi" w:hAnsiTheme="majorBidi" w:cstheme="majorBidi"/>
          <w:lang w:val="en-US"/>
        </w:rPr>
        <w:t xml:space="preserve">self-reported </w:t>
      </w:r>
      <w:r w:rsidRPr="000E4150">
        <w:rPr>
          <w:rStyle w:val="normaltextrun"/>
          <w:rFonts w:asciiTheme="majorBidi" w:hAnsiTheme="majorBidi" w:cstheme="majorBidi"/>
          <w:lang w:val="en-US"/>
        </w:rPr>
        <w:lastRenderedPageBreak/>
        <w:t>impulsivity (Barratt Impulsivity Scale; BIS), money valuation (Value of Money), and in SDI</w:t>
      </w:r>
      <w:r w:rsidR="00E86926" w:rsidRPr="000E4150">
        <w:rPr>
          <w:rStyle w:val="normaltextrun"/>
          <w:rFonts w:asciiTheme="majorBidi" w:hAnsiTheme="majorBidi" w:cstheme="majorBidi"/>
          <w:lang w:val="en-US"/>
        </w:rPr>
        <w:t>s</w:t>
      </w:r>
      <w:r w:rsidRPr="000E4150">
        <w:rPr>
          <w:rStyle w:val="normaltextrun"/>
          <w:rFonts w:asciiTheme="majorBidi" w:hAnsiTheme="majorBidi" w:cstheme="majorBidi"/>
          <w:lang w:val="en-US"/>
        </w:rPr>
        <w:t xml:space="preserve"> also compulsive drug use (OCDUS). For </w:t>
      </w:r>
      <w:r w:rsidRPr="000E4150">
        <w:rPr>
          <w:rStyle w:val="spellingerror"/>
          <w:rFonts w:asciiTheme="majorBidi" w:hAnsiTheme="majorBidi" w:cstheme="majorBidi"/>
          <w:lang w:val="en-US"/>
        </w:rPr>
        <w:t>dACC</w:t>
      </w:r>
      <w:r w:rsidRPr="000E4150">
        <w:rPr>
          <w:rStyle w:val="normaltextrun"/>
          <w:rFonts w:asciiTheme="majorBidi" w:hAnsiTheme="majorBidi" w:cstheme="majorBidi"/>
          <w:lang w:val="en-US"/>
        </w:rPr>
        <w:t>, </w:t>
      </w:r>
      <w:r w:rsidR="00DC62B9" w:rsidRPr="000E4150">
        <w:rPr>
          <w:rStyle w:val="spellingerror"/>
          <w:rFonts w:asciiTheme="majorBidi" w:hAnsiTheme="majorBidi" w:cstheme="majorBidi"/>
          <w:lang w:val="en-US"/>
        </w:rPr>
        <w:t xml:space="preserve">IFC </w:t>
      </w:r>
      <w:r w:rsidRPr="000E4150">
        <w:rPr>
          <w:rStyle w:val="normaltextrun"/>
          <w:rFonts w:asciiTheme="majorBidi" w:hAnsiTheme="majorBidi" w:cstheme="majorBidi"/>
          <w:lang w:val="en-US"/>
        </w:rPr>
        <w:t>and striat</w:t>
      </w:r>
      <w:r w:rsidR="003370F9" w:rsidRPr="000E4150">
        <w:rPr>
          <w:rStyle w:val="normaltextrun"/>
          <w:rFonts w:asciiTheme="majorBidi" w:hAnsiTheme="majorBidi" w:cstheme="majorBidi"/>
          <w:lang w:val="en-US"/>
        </w:rPr>
        <w:t>al</w:t>
      </w:r>
      <w:r w:rsidRPr="000E4150">
        <w:rPr>
          <w:rStyle w:val="normaltextrun"/>
          <w:rFonts w:asciiTheme="majorBidi" w:hAnsiTheme="majorBidi" w:cstheme="majorBidi"/>
          <w:lang w:val="en-US"/>
        </w:rPr>
        <w:t xml:space="preserve"> regions, we used corresponding beta values from individual logistic regression models as a measure of each region’s sensitivity to premature responses. In SDIs</w:t>
      </w:r>
      <w:r w:rsidR="00E86926" w:rsidRPr="000E4150">
        <w:rPr>
          <w:rStyle w:val="normaltextrun"/>
          <w:rFonts w:asciiTheme="majorBidi" w:hAnsiTheme="majorBidi" w:cstheme="majorBidi"/>
          <w:lang w:val="en-US"/>
        </w:rPr>
        <w:t xml:space="preserve"> responding to drug incentives</w:t>
      </w:r>
      <w:r w:rsidRPr="000E4150">
        <w:rPr>
          <w:rStyle w:val="normaltextrun"/>
          <w:rFonts w:asciiTheme="majorBidi" w:hAnsiTheme="majorBidi" w:cstheme="majorBidi"/>
          <w:lang w:val="en-US"/>
        </w:rPr>
        <w:t xml:space="preserve">, caudate activation was positively associated with </w:t>
      </w:r>
      <w:r w:rsidR="00C85D24" w:rsidRPr="000E4150">
        <w:rPr>
          <w:rStyle w:val="normaltextrun"/>
          <w:rFonts w:asciiTheme="majorBidi" w:hAnsiTheme="majorBidi" w:cstheme="majorBidi"/>
          <w:lang w:val="en-US"/>
        </w:rPr>
        <w:t xml:space="preserve">self-reported </w:t>
      </w:r>
      <w:r w:rsidRPr="000E4150">
        <w:rPr>
          <w:rStyle w:val="normaltextrun"/>
          <w:rFonts w:asciiTheme="majorBidi" w:hAnsiTheme="majorBidi" w:cstheme="majorBidi"/>
          <w:lang w:val="en-US"/>
        </w:rPr>
        <w:t>impulsivity (</w:t>
      </w:r>
      <w:r w:rsidRPr="000E4150">
        <w:rPr>
          <w:rStyle w:val="spellingerror"/>
          <w:rFonts w:asciiTheme="majorBidi" w:hAnsiTheme="majorBidi" w:cstheme="majorBidi"/>
          <w:lang w:val="en-US"/>
        </w:rPr>
        <w:t>r</w:t>
      </w:r>
      <w:r w:rsidRPr="000E4150">
        <w:rPr>
          <w:rStyle w:val="spellingerror"/>
          <w:rFonts w:asciiTheme="majorBidi" w:hAnsiTheme="majorBidi" w:cstheme="majorBidi"/>
          <w:vertAlign w:val="subscript"/>
          <w:lang w:val="en-US"/>
        </w:rPr>
        <w:t>s</w:t>
      </w:r>
      <w:r w:rsidRPr="000E4150">
        <w:rPr>
          <w:rStyle w:val="normaltextrun"/>
          <w:rFonts w:asciiTheme="majorBidi" w:hAnsiTheme="majorBidi" w:cstheme="majorBidi"/>
          <w:lang w:val="en-US"/>
        </w:rPr>
        <w:t>=0.36, p=0.02, 95%CI [0.06 0.6]) and with compulsive drug use (</w:t>
      </w:r>
      <w:r w:rsidRPr="000E4150">
        <w:rPr>
          <w:rStyle w:val="spellingerror"/>
          <w:rFonts w:asciiTheme="majorBidi" w:hAnsiTheme="majorBidi" w:cstheme="majorBidi"/>
          <w:lang w:val="en-US"/>
        </w:rPr>
        <w:t>r</w:t>
      </w:r>
      <w:r w:rsidRPr="000E4150">
        <w:rPr>
          <w:rStyle w:val="spellingerror"/>
          <w:rFonts w:asciiTheme="majorBidi" w:hAnsiTheme="majorBidi" w:cstheme="majorBidi"/>
          <w:vertAlign w:val="subscript"/>
          <w:lang w:val="en-US"/>
        </w:rPr>
        <w:t>s</w:t>
      </w:r>
      <w:r w:rsidRPr="000E4150">
        <w:rPr>
          <w:rStyle w:val="normaltextrun"/>
          <w:rFonts w:asciiTheme="majorBidi" w:hAnsiTheme="majorBidi" w:cstheme="majorBidi"/>
          <w:lang w:val="en-US"/>
        </w:rPr>
        <w:t xml:space="preserve">=0.40, p=0.011, 95%CI [0.1 0.63]). In this group IFC beta values in </w:t>
      </w:r>
      <w:r w:rsidR="00E86926" w:rsidRPr="000E4150">
        <w:rPr>
          <w:rStyle w:val="normaltextrun"/>
          <w:rFonts w:asciiTheme="majorBidi" w:hAnsiTheme="majorBidi" w:cstheme="majorBidi"/>
          <w:lang w:val="en-US"/>
        </w:rPr>
        <w:t xml:space="preserve">the </w:t>
      </w:r>
      <w:r w:rsidRPr="000E4150">
        <w:rPr>
          <w:rStyle w:val="normaltextrun"/>
          <w:rFonts w:asciiTheme="majorBidi" w:hAnsiTheme="majorBidi" w:cstheme="majorBidi"/>
          <w:lang w:val="en-US"/>
        </w:rPr>
        <w:t>drug context were also significantly associated with impulsivity (</w:t>
      </w:r>
      <w:r w:rsidRPr="000E4150">
        <w:rPr>
          <w:rStyle w:val="spellingerror"/>
          <w:rFonts w:asciiTheme="majorBidi" w:hAnsiTheme="majorBidi" w:cstheme="majorBidi"/>
          <w:lang w:val="en-US"/>
        </w:rPr>
        <w:t>r</w:t>
      </w:r>
      <w:r w:rsidRPr="000E4150">
        <w:rPr>
          <w:rStyle w:val="spellingerror"/>
          <w:rFonts w:asciiTheme="majorBidi" w:hAnsiTheme="majorBidi" w:cstheme="majorBidi"/>
          <w:vertAlign w:val="subscript"/>
          <w:lang w:val="en-US"/>
        </w:rPr>
        <w:t>s</w:t>
      </w:r>
      <w:r w:rsidRPr="000E4150">
        <w:rPr>
          <w:rStyle w:val="normaltextrun"/>
          <w:rFonts w:asciiTheme="majorBidi" w:hAnsiTheme="majorBidi" w:cstheme="majorBidi"/>
          <w:lang w:val="en-US"/>
        </w:rPr>
        <w:t>=0.36, p=0.02, 95%CI [0.06 0.6]), and with compulsive drug use (</w:t>
      </w:r>
      <w:r w:rsidRPr="000E4150">
        <w:rPr>
          <w:rStyle w:val="spellingerror"/>
          <w:rFonts w:asciiTheme="majorBidi" w:hAnsiTheme="majorBidi" w:cstheme="majorBidi"/>
          <w:lang w:val="en-US"/>
        </w:rPr>
        <w:t>r</w:t>
      </w:r>
      <w:r w:rsidRPr="000E4150">
        <w:rPr>
          <w:rStyle w:val="spellingerror"/>
          <w:rFonts w:asciiTheme="majorBidi" w:hAnsiTheme="majorBidi" w:cstheme="majorBidi"/>
          <w:vertAlign w:val="subscript"/>
          <w:lang w:val="en-US"/>
        </w:rPr>
        <w:t>s</w:t>
      </w:r>
      <w:r w:rsidRPr="000E4150">
        <w:rPr>
          <w:rStyle w:val="normaltextrun"/>
          <w:rFonts w:asciiTheme="majorBidi" w:hAnsiTheme="majorBidi" w:cstheme="majorBidi"/>
          <w:lang w:val="en-US"/>
        </w:rPr>
        <w:t>=0.42, p=0.008, 95%CI [0.14 0.64]). In HCs, there was a significant negative association between caudate beta</w:t>
      </w:r>
      <w:r w:rsidR="00E86926" w:rsidRPr="000E4150">
        <w:rPr>
          <w:rStyle w:val="normaltextrun"/>
          <w:rFonts w:asciiTheme="majorBidi" w:hAnsiTheme="majorBidi" w:cstheme="majorBidi"/>
          <w:lang w:val="en-US"/>
        </w:rPr>
        <w:t xml:space="preserve"> value</w:t>
      </w:r>
      <w:r w:rsidRPr="000E4150">
        <w:rPr>
          <w:rStyle w:val="normaltextrun"/>
          <w:rFonts w:asciiTheme="majorBidi" w:hAnsiTheme="majorBidi" w:cstheme="majorBidi"/>
          <w:lang w:val="en-US"/>
        </w:rPr>
        <w:t>s for monetary incentives and money valuation ratings (</w:t>
      </w:r>
      <w:r w:rsidRPr="000E4150">
        <w:rPr>
          <w:rStyle w:val="spellingerror"/>
          <w:rFonts w:asciiTheme="majorBidi" w:hAnsiTheme="majorBidi" w:cstheme="majorBidi"/>
          <w:lang w:val="en-US"/>
        </w:rPr>
        <w:t>r</w:t>
      </w:r>
      <w:r w:rsidRPr="000E4150">
        <w:rPr>
          <w:rStyle w:val="spellingerror"/>
          <w:rFonts w:asciiTheme="majorBidi" w:hAnsiTheme="majorBidi" w:cstheme="majorBidi"/>
          <w:vertAlign w:val="subscript"/>
          <w:lang w:val="en-US"/>
        </w:rPr>
        <w:t>s</w:t>
      </w:r>
      <w:r w:rsidRPr="000E4150">
        <w:rPr>
          <w:rStyle w:val="normaltextrun"/>
          <w:rFonts w:asciiTheme="majorBidi" w:hAnsiTheme="majorBidi" w:cstheme="majorBidi"/>
          <w:lang w:val="en-US"/>
        </w:rPr>
        <w:t>=-0.36, p=0.02, 95%CI [-0.1 -0.6]). No correlations surviv</w:t>
      </w:r>
      <w:r w:rsidR="00C85D24" w:rsidRPr="000E4150">
        <w:rPr>
          <w:rStyle w:val="normaltextrun"/>
          <w:rFonts w:asciiTheme="majorBidi" w:hAnsiTheme="majorBidi" w:cstheme="majorBidi"/>
          <w:lang w:val="en-US"/>
        </w:rPr>
        <w:t>ed Bonferroni correction, with nine</w:t>
      </w:r>
      <w:r w:rsidRPr="000E4150">
        <w:rPr>
          <w:rStyle w:val="normaltextrun"/>
          <w:rFonts w:asciiTheme="majorBidi" w:hAnsiTheme="majorBidi" w:cstheme="majorBidi"/>
          <w:lang w:val="en-US"/>
        </w:rPr>
        <w:t xml:space="preserve"> comparisons in SDIs and </w:t>
      </w:r>
      <w:r w:rsidR="00C85D24" w:rsidRPr="000E4150">
        <w:rPr>
          <w:rStyle w:val="normaltextrun"/>
          <w:rFonts w:asciiTheme="majorBidi" w:hAnsiTheme="majorBidi" w:cstheme="majorBidi"/>
          <w:lang w:val="en-US"/>
        </w:rPr>
        <w:t>six</w:t>
      </w:r>
      <w:r w:rsidRPr="000E4150">
        <w:rPr>
          <w:rStyle w:val="normaltextrun"/>
          <w:rFonts w:asciiTheme="majorBidi" w:hAnsiTheme="majorBidi" w:cstheme="majorBidi"/>
          <w:lang w:val="en-US"/>
        </w:rPr>
        <w:t xml:space="preserve"> in the HCs, and hence are reported within an exploratory framework. Finally, no significant correlations were found in SIBs. Whilst </w:t>
      </w:r>
      <w:r w:rsidR="0058752F" w:rsidRPr="000E4150">
        <w:rPr>
          <w:rStyle w:val="normaltextrun"/>
          <w:rFonts w:asciiTheme="majorBidi" w:hAnsiTheme="majorBidi" w:cstheme="majorBidi"/>
          <w:lang w:val="en-US"/>
        </w:rPr>
        <w:t xml:space="preserve">only </w:t>
      </w:r>
      <w:r w:rsidRPr="000E4150">
        <w:rPr>
          <w:rStyle w:val="normaltextrun"/>
          <w:rFonts w:asciiTheme="majorBidi" w:hAnsiTheme="majorBidi" w:cstheme="majorBidi"/>
          <w:lang w:val="en-US"/>
        </w:rPr>
        <w:t xml:space="preserve">suggestive, these correlations appear consistent with the interpretation above of </w:t>
      </w:r>
      <w:r w:rsidR="003370F9" w:rsidRPr="000E4150">
        <w:rPr>
          <w:rStyle w:val="normaltextrun"/>
          <w:rFonts w:asciiTheme="majorBidi" w:hAnsiTheme="majorBidi" w:cstheme="majorBidi"/>
          <w:lang w:val="en-US"/>
        </w:rPr>
        <w:t xml:space="preserve">an </w:t>
      </w:r>
      <w:r w:rsidRPr="000E4150">
        <w:rPr>
          <w:rStyle w:val="normaltextrun"/>
          <w:rFonts w:asciiTheme="majorBidi" w:hAnsiTheme="majorBidi" w:cstheme="majorBidi"/>
          <w:lang w:val="en-US"/>
        </w:rPr>
        <w:t>abnormal involvement of the striatum in impulsive responding in SDIs. </w:t>
      </w:r>
      <w:r w:rsidRPr="000E4150">
        <w:rPr>
          <w:rStyle w:val="eop"/>
          <w:rFonts w:asciiTheme="majorBidi" w:hAnsiTheme="majorBidi" w:cstheme="majorBidi"/>
          <w:lang w:val="en-US"/>
        </w:rPr>
        <w:t> </w:t>
      </w:r>
    </w:p>
    <w:p w14:paraId="7B3CD08A" w14:textId="5849D28D" w:rsidR="00803AED" w:rsidRPr="000E4150" w:rsidRDefault="00787D9B" w:rsidP="00803AED">
      <w:pPr>
        <w:pStyle w:val="paragraph"/>
        <w:spacing w:before="0" w:beforeAutospacing="0" w:after="0" w:afterAutospacing="0" w:line="480" w:lineRule="auto"/>
        <w:textAlignment w:val="baseline"/>
        <w:rPr>
          <w:rStyle w:val="normaltextrun"/>
          <w:rFonts w:asciiTheme="majorBidi" w:hAnsiTheme="majorBidi" w:cstheme="majorBidi"/>
          <w:lang w:val="en-US"/>
        </w:rPr>
      </w:pPr>
      <w:r w:rsidRPr="000E4150">
        <w:rPr>
          <w:rStyle w:val="normaltextrun"/>
          <w:rFonts w:asciiTheme="majorBidi" w:hAnsiTheme="majorBidi" w:cstheme="majorBidi"/>
          <w:b/>
          <w:bCs/>
          <w:lang w:val="en-US"/>
        </w:rPr>
        <w:t>Group differences in effective connectivity in the same network.</w:t>
      </w:r>
      <w:r w:rsidRPr="000E4150">
        <w:rPr>
          <w:rStyle w:val="normaltextrun"/>
          <w:rFonts w:asciiTheme="majorBidi" w:hAnsiTheme="majorBidi" w:cstheme="majorBidi"/>
          <w:b/>
          <w:bCs/>
          <w:i/>
          <w:iCs/>
          <w:lang w:val="en-US"/>
        </w:rPr>
        <w:t> </w:t>
      </w:r>
      <w:r w:rsidRPr="000E4150">
        <w:rPr>
          <w:rStyle w:val="normaltextrun"/>
          <w:rFonts w:asciiTheme="majorBidi" w:hAnsiTheme="majorBidi" w:cstheme="majorBidi"/>
          <w:lang w:val="en-US"/>
        </w:rPr>
        <w:t xml:space="preserve">Although HCs and SDIs </w:t>
      </w:r>
      <w:r w:rsidR="003370F9" w:rsidRPr="000E4150">
        <w:rPr>
          <w:rStyle w:val="normaltextrun"/>
          <w:rFonts w:asciiTheme="majorBidi" w:hAnsiTheme="majorBidi" w:cstheme="majorBidi"/>
          <w:lang w:val="en-US"/>
        </w:rPr>
        <w:t xml:space="preserve">showed </w:t>
      </w:r>
      <w:r w:rsidRPr="000E4150">
        <w:rPr>
          <w:rStyle w:val="normaltextrun"/>
          <w:rFonts w:asciiTheme="majorBidi" w:hAnsiTheme="majorBidi" w:cstheme="majorBidi"/>
          <w:lang w:val="en-US"/>
        </w:rPr>
        <w:t xml:space="preserve">activation in similar brain regions when failing to restrain responses to different incentives, it is possible that the underlying network architecture and their connectivity differ in some way. This would be consistent with evidence positing deficient communication between prefrontal and subcortical regions in addiction </w:t>
      </w:r>
      <w:r w:rsidR="004E5924" w:rsidRPr="000E4150">
        <w:rPr>
          <w:rStyle w:val="normaltextrun"/>
          <w:rFonts w:asciiTheme="majorBidi" w:hAnsiTheme="majorBidi" w:cstheme="majorBidi"/>
          <w:lang w:val="en-US"/>
        </w:rPr>
        <w:fldChar w:fldCharType="begin" w:fldLock="1"/>
      </w:r>
      <w:r w:rsidR="00760109" w:rsidRPr="000E4150">
        <w:rPr>
          <w:rStyle w:val="normaltextrun"/>
          <w:rFonts w:asciiTheme="majorBidi" w:hAnsiTheme="majorBidi" w:cstheme="majorBidi"/>
          <w:lang w:val="en-US"/>
        </w:rPr>
        <w:instrText>ADDIN CSL_CITATION {"citationItems":[{"id":"ITEM-1","itemData":{"DOI":"10.1016/j.nicl.2015.03.015","ISBN":"9788578110796","ISSN":"22131582","PMID":"26082893","abstract":"Cocaine dependence is associated with increased impulsivity in humans. Both cocaine dependence and impulsive behavior are under the regulatory control of cortico-striatal networks. One behavioral laboratory measure of impulsivity is response inhibition (ability to withhold a prepotent response) in which altered patterns of regional brain activation during executive tasks in service of normal performance are frequently found in cocaine dependent (CD) subjects studied with functional magnetic resonance imaging (fMRI). However, little is known about aberrations in specific directional neuronal connectivity in CD subjects. The present study employed fMRI-based dynamic causal modeling (DCM) to study the effective (directional) neuronal connectivity associated with response inhibition in CD subjects, elicited under performance of a Go/NoGo task with two levels of NoGo difficulty (Easy and Hard). The performance on the Go/NoGo task was not significantly different between CD subjects and controls. The DCM analysis revealed that prefrontal-striatal connectivity was modulated (influenced) during the NoGo conditions for both groups. The effective connectivity from left (L) anterior cingulate cortex (ACC) to L caudate was similarly modulated during the Easy NoGo condition for both groups. During the Hard NoGo condition in controls, the effective connectivity from right (R) dorsolateral prefrontal cortex (DLPFC) to L caudate became more positive, and the effective connectivity from R ventrolateral prefrontal cortex (VLPFC) to L caudate became more negative. In CD subjects, the effective connectivity from L ACC to L caudate became more negative during the Hard NoGo conditions. These results indicate that during Hard NoGo trials in CD subjects, the ACC rather than DLPFC or VLPFC influenced caudate during response inhibition.","author":[{"dropping-particle":"","family":"Ma","given":"Liangsuo","non-dropping-particle":"","parse-names":false,"suffix":""},{"dropping-particle":"","family":"Steinberg","given":"Joel L.","non-dropping-particle":"","parse-names":false,"suffix":""},{"dropping-particle":"","family":"Cunningham","given":"Kathryn A.","non-dropping-particle":"","parse-names":false,"suffix":""},{"dropping-particle":"","family":"Lane","given":"Scott D.","non-dropping-particle":"","parse-names":false,"suffix":""},{"dropping-particle":"","family":"Bjork","given":"James M.","non-dropping-particle":"","parse-names":false,"suffix":""},{"dropping-particle":"","family":"Neelakantan","given":"Harshini","non-dropping-particle":"","parse-names":false,"suffix":""},{"dropping-particle":"","family":"Price","given":"Amanda E.","non-dropping-particle":"","parse-names":false,"suffix":""},{"dropping-particle":"","family":"Narayana","given":"Ponnada A.","non-dropping-particle":"","parse-names":false,"suffix":""},{"dropping-particle":"","family":"Kosten","given":"Thomas R.","non-dropping-particle":"","parse-names":false,"suffix":""},{"dropping-particle":"","family":"Bechara","given":"Antoine","non-dropping-particle":"","parse-names":false,"suffix":""},{"dropping-particle":"","family":"Moeller","given":"F. Gerard","non-dropping-particle":"","parse-names":false,"suffix":""}],"container-title":"NeuroImage: Clinical","id":"ITEM-1","issued":{"date-parts":[["2015"]]},"page":"837-847","title":"Inhibitory behavioral control: A stochastic dynamic causal modeling study comparing cocaine dependent subjects and controls","type":"article-journal","volume":"7"},"uris":["http://www.mendeley.com/documents/?uuid=e6e94f1d-7a44-4518-8f5c-8ca5fc4fe6e6"]},{"id":"ITEM-2","itemData":{"DOI":"10.1038/nrn3119","ISBN":"1471-003X","ISSN":"1471003X","PMID":"22011681","abstract":"The loss of control over drug intake that occurs in addiction was initially believed to result from disruption of subcortical reward circuits. However, imaging studies in addictive behaviours have identified a key involvement of the prefrontal cortex (PFC) both through its regulation of limbic reward regions and its involvement in higher-order executive function (for example, self-control, salience attribution and awareness). This Review focuses on functional neuroimaging studies conducted in the past decade that have expanded our understanding of the involvement of the PFC in drug addiction. Disruption of the PFC in addiction underlies not only compulsive drug taking but also accounts for the disadvantageous behaviours that are associated with addiction and the erosion of free will.","author":[{"dropping-particle":"","family":"Goldstein","given":"Rita Z.","non-dropping-particle":"","parse-names":false,"suffix":""},{"dropping-particle":"","family":"Volkow","given":"Nora D.","non-dropping-particle":"","parse-names":false,"suffix":""}],"container-title":"Nature Reviews Neuroscience","id":"ITEM-2","issue":"11","issued":{"date-parts":[["2011"]]},"page":"652-669","publisher":"Nature Publishing Group","title":"Dysfunction of the prefrontal cortex in addiction: Neuroimaging findings and clinical implications","type":"article-journal","volume":"12"},"uris":["http://www.mendeley.com/documents/?uuid=2c7c51dc-74e6-4f25-bc8c-8b793b133a17"]}],"mendeley":{"formattedCitation":"[Goldstein and Volkow, 2011; Ma et al., 2015]","plainTextFormattedCitation":"[Goldstein and Volkow, 2011; Ma et al., 2015]","previouslyFormattedCitation":"[Goldstein and Volkow, 2011; Ma et al., 2015]"},"properties":{"noteIndex":0},"schema":"https://github.com/citation-style-language/schema/raw/master/csl-citation.json"}</w:instrText>
      </w:r>
      <w:r w:rsidR="004E5924" w:rsidRPr="000E4150">
        <w:rPr>
          <w:rStyle w:val="normaltextrun"/>
          <w:rFonts w:asciiTheme="majorBidi" w:hAnsiTheme="majorBidi" w:cstheme="majorBidi"/>
          <w:lang w:val="en-US"/>
        </w:rPr>
        <w:fldChar w:fldCharType="separate"/>
      </w:r>
      <w:r w:rsidR="00E06636" w:rsidRPr="000E4150">
        <w:rPr>
          <w:rStyle w:val="normaltextrun"/>
          <w:rFonts w:asciiTheme="majorBidi" w:hAnsiTheme="majorBidi" w:cstheme="majorBidi"/>
          <w:noProof/>
          <w:lang w:val="en-US"/>
        </w:rPr>
        <w:t>[Goldstein and Volkow, 2011; Ma et al., 2015]</w:t>
      </w:r>
      <w:r w:rsidR="004E5924" w:rsidRPr="000E4150">
        <w:rPr>
          <w:rStyle w:val="normaltextrun"/>
          <w:rFonts w:asciiTheme="majorBidi" w:hAnsiTheme="majorBidi" w:cstheme="majorBidi"/>
          <w:lang w:val="en-US"/>
        </w:rPr>
        <w:fldChar w:fldCharType="end"/>
      </w:r>
      <w:r w:rsidRPr="000E4150">
        <w:rPr>
          <w:rStyle w:val="normaltextrun"/>
          <w:rFonts w:asciiTheme="majorBidi" w:hAnsiTheme="majorBidi" w:cstheme="majorBidi"/>
          <w:lang w:val="en-US"/>
        </w:rPr>
        <w:t>. Namely, the direction of effective connectivity between regions or the influence of response type (premature vs </w:t>
      </w:r>
      <w:r w:rsidRPr="000E4150">
        <w:rPr>
          <w:rStyle w:val="contextualspellingandgrammarerror"/>
          <w:rFonts w:asciiTheme="majorBidi" w:hAnsiTheme="majorBidi" w:cstheme="majorBidi"/>
          <w:lang w:val="en-US"/>
        </w:rPr>
        <w:t>correct</w:t>
      </w:r>
      <w:r w:rsidRPr="000E4150">
        <w:rPr>
          <w:rStyle w:val="normaltextrun"/>
          <w:rFonts w:asciiTheme="majorBidi" w:hAnsiTheme="majorBidi" w:cstheme="majorBidi"/>
          <w:lang w:val="en-US"/>
        </w:rPr>
        <w:t>) on connectivity may differ between the two groups. To test these possibilities, we used DCMs</w:t>
      </w:r>
      <w:r w:rsidR="006028FD" w:rsidRPr="000E4150">
        <w:rPr>
          <w:rStyle w:val="normaltextrun"/>
          <w:rFonts w:asciiTheme="majorBidi" w:hAnsiTheme="majorBidi" w:cstheme="majorBidi"/>
          <w:lang w:val="en-US"/>
        </w:rPr>
        <w:t xml:space="preserve"> based on neurobiologically plausible circuits</w:t>
      </w:r>
      <w:r w:rsidR="002870DE" w:rsidRPr="000E4150">
        <w:rPr>
          <w:rStyle w:val="normaltextrun"/>
          <w:rFonts w:asciiTheme="majorBidi" w:hAnsiTheme="majorBidi" w:cstheme="majorBidi"/>
          <w:lang w:val="en-US"/>
        </w:rPr>
        <w:t xml:space="preserve"> </w:t>
      </w:r>
      <w:r w:rsidR="007A505C" w:rsidRPr="000E4150">
        <w:rPr>
          <w:rStyle w:val="normaltextrun"/>
          <w:rFonts w:asciiTheme="majorBidi" w:hAnsiTheme="majorBidi" w:cstheme="majorBidi"/>
          <w:lang w:val="en-US"/>
        </w:rPr>
        <w:fldChar w:fldCharType="begin" w:fldLock="1"/>
      </w:r>
      <w:r w:rsidR="00760109" w:rsidRPr="000E4150">
        <w:rPr>
          <w:rStyle w:val="normaltextrun"/>
          <w:rFonts w:asciiTheme="majorBidi" w:hAnsiTheme="majorBidi" w:cstheme="majorBidi"/>
          <w:lang w:val="en-US"/>
        </w:rPr>
        <w:instrText>ADDIN CSL_CITATION {"citationItems":[{"id":"ITEM-1","itemData":{"DOI":"10.1007/978-1-4939-3474-4_135","ISBN":"9781493934744","ISSN":"12948322","PMID":"27069376","abstract":"Corticostriatal connections play a central role in developing appropriate goal-directed behaviors, including the motivation and cognition to develop appropriate actions to obtain a specific outcome. The cortex projects to the striatum topographically. Thus, different regions of the striatum have been associated with these different functions: the ventral striatum with reward; the caudate nucleus with cognition; and the putamen with motor control. However, corticostriatal connections are more complex, and interactions between functional territories are extensive. These interactions occur in specific regions in which convergence of terminal fields from different functional cortical regions are found. This article provides an overview of the connections of the cortex to the striatum and their role in integrating information across reward, cognitive, and motor functions. Emphasis is placed on the interface between functional domains within the striatum. Las conexiones cortico-estriatales juegan un papel central en el desarrollo de conductas adecuadas dirigidas a un objetivo, incluyendo la motivación y los aspectos cognitivos para desarrollar acciones apropiadas para obtener un resultado específico. La corteza se proyecta hacia el cuerpo estriado topográficamente. En consecuencia, se han asociado diferentes regiones del cuerpo estriado con estas diversas funciones: el estriado ventral con la recompensa, el núcleo caudado con la cognición y el putamen con el control motor. Sin embargo, las conexiones cortico-estritales son más complejas y las interacciones entre los territorios funcionales son amplias. Estas interacciones se producen en regiones específicas en las cuales se encuentra la convergencia de los campos terminales de diferentes regiones corticales funcionales. Este artículo proporciona una panorámica acerca de las conexiones de la corteza con el cuerpo estriado y su papel en la integración de la información en las funciones de recompensa, cognitiva y motora. Se hace hincapie en la interfaz entre los dominios funcionales dentro del cuerpo estriado. Les connexions cortico-striatales jouent un rôle central dans l'élaboration de comportements pertinents axés sur des objectifs, dont la motivation et la cognition, pour mettre en oeuvre des actions adaptées en vue d'un résultat spécifique. Le cortex se projette sur le striatum de façon topographique. Différentes régions du striatum ont donc été associées à ces différentes fonctions: le striatum ventral pou…","author":[{"dropping-particle":"","family":"Haber","given":"Suzanne N.","non-dropping-particle":"","parse-names":false,"suffix":""}],"container-title":"Neuroscience in the 21st Century: From Basic to Clinical, Second Edition","id":"ITEM-1","issued":{"date-parts":[["2016"]]},"page":"1721-1741","title":"Corticostriatal circuitry","type":"article-journal"},"uris":["http://www.mendeley.com/documents/?uuid=f15b4e1b-1658-41ff-804d-054db0bcfa68"]},{"id":"ITEM-2","itemData":{"DOI":"10.1016/j.neuroimage.2016.09.037","ISSN":"10959572","abstract":"Visual attentional bias forms for rewarding and punishing stimuli in the environment. While this attentional bias is adaptive in healthy situations, it is maladaptive in disorders such as drug addiction or PTSD. In both these disorders, the ability to exert control over this attentional bias is associated with drug abstinence rates or reduced PTSD symptoms, indicating the interaction of visual attention, cognitive control, and stimulus association. The inferior parietal lobule (IPL) is central to attention, while the prefrontal cortex (PFC) is critical for reward, cognitive control, and attention. Importantly, regions of the IPL and PFC commonly project to the rostral dorsal caudate (rdCaud) of the striatum. We propose an anatomical network architecture in which IPL projections converge with PFC projections in a connectional hub in the rdCaud, providing an anatomical substrate for the interaction of these projections and their competitive influence on striatal processing. To investigate this, we mapped the dense projections from the caudal IPL and prefrontal (dlPFC, vlPFC, OFC, dACC, and dmPFC) regions that project to the medial rdCaud with anatomical tract-tracing tracer injections in monkeys. These inputs converge in a precise site in the medial rdCaud, rostral to the anterior commissure. Small retrograde tracer injections confirmed these inputs to the medial rdCaud and showed that a proximal ventral striatal location has a very different pattern of cortical inputs. We next used human resting-state functional connectivity MRI (fcMRI) to examine whether a striatal hub exists in the human medial rdCaud. Seed regions in the human medial rdCaud revealed cortical correlation maps similar to the monkey retrograde injection results. A subsequent analysis of these correlated cortical regions showed that their peak correlation within the striatum is in the medial rdCaud, indicating that this is a connectional hub. In contrast, this peak striatal correlation was not found in the ventral striatal location, suggesting that this site is not a connectional hub of cortical regions. Taken together, this work uses the precision of monkey anatomy to identify a connectional hub of IPL and PFC projections in the medial rdCaud. It also translates this anatomical precision to humans, demonstrating that, guided by anatomy, connectional hubs can be identified in humans with fcMRI. These connectional hubs provide more specific treatment targets for drug addiction, PTSD, and o…","author":[{"dropping-particle":"","family":"Choi","given":"Eun Young","non-dropping-particle":"","parse-names":false,"suffix":""},{"dropping-particle":"","family":"Tanimura","given":"Yoko","non-dropping-particle":"","parse-names":false,"suffix":""},{"dropping-particle":"","family":"Vage","given":"Priti R.","non-dropping-particle":"","parse-names":false,"suffix":""},{"dropping-particle":"","family":"Yates","given":"Ellen H.","non-dropping-particle":"","parse-names":false,"suffix":""},{"dropping-particle":"","family":"Haber","given":"Suzanne N.","non-dropping-particle":"","parse-names":false,"suffix":""}],"container-title":"NeuroImage","id":"ITEM-2","issued":{"date-parts":[["2017"]]},"page":"821-832","publisher":"Elsevier","title":"Convergence of prefrontal and parietal anatomical projections in a connectional hub in the striatum","type":"article-journal","volume":"146"},"uris":["http://www.mendeley.com/documents/?uuid=599ccda7-b987-44e2-b88f-2021aaab0bc2"]}],"mendeley":{"formattedCitation":"[Choi et al., 2017b; Haber, 2016]","plainTextFormattedCitation":"[Choi et al., 2017b; Haber, 2016]","previouslyFormattedCitation":"[Choi et al., 2017b; Haber, 2016]"},"properties":{"noteIndex":0},"schema":"https://github.com/citation-style-language/schema/raw/master/csl-citation.json"}</w:instrText>
      </w:r>
      <w:r w:rsidR="007A505C" w:rsidRPr="000E4150">
        <w:rPr>
          <w:rStyle w:val="normaltextrun"/>
          <w:rFonts w:asciiTheme="majorBidi" w:hAnsiTheme="majorBidi" w:cstheme="majorBidi"/>
          <w:lang w:val="en-US"/>
        </w:rPr>
        <w:fldChar w:fldCharType="separate"/>
      </w:r>
      <w:r w:rsidR="00E06636" w:rsidRPr="000E4150">
        <w:rPr>
          <w:rStyle w:val="normaltextrun"/>
          <w:rFonts w:asciiTheme="majorBidi" w:hAnsiTheme="majorBidi" w:cstheme="majorBidi"/>
          <w:noProof/>
          <w:lang w:val="en-US"/>
        </w:rPr>
        <w:t>[Choi et al., 2017b; Haber, 2016]</w:t>
      </w:r>
      <w:r w:rsidR="007A505C" w:rsidRPr="000E4150">
        <w:rPr>
          <w:rStyle w:val="normaltextrun"/>
          <w:rFonts w:asciiTheme="majorBidi" w:hAnsiTheme="majorBidi" w:cstheme="majorBidi"/>
          <w:lang w:val="en-US"/>
        </w:rPr>
        <w:fldChar w:fldCharType="end"/>
      </w:r>
      <w:r w:rsidRPr="000E4150">
        <w:rPr>
          <w:rStyle w:val="normaltextrun"/>
          <w:rFonts w:asciiTheme="majorBidi" w:hAnsiTheme="majorBidi" w:cstheme="majorBidi"/>
          <w:lang w:val="en-US"/>
        </w:rPr>
        <w:t>. </w:t>
      </w:r>
      <w:r w:rsidR="00803AED" w:rsidRPr="000E4150">
        <w:rPr>
          <w:rStyle w:val="normaltextrun"/>
          <w:rFonts w:asciiTheme="majorBidi" w:hAnsiTheme="majorBidi" w:cstheme="majorBidi"/>
          <w:lang w:val="en-US"/>
        </w:rPr>
        <w:t>Such DCMs fit generat</w:t>
      </w:r>
      <w:r w:rsidR="002E2F73" w:rsidRPr="000E4150">
        <w:rPr>
          <w:rStyle w:val="normaltextrun"/>
          <w:rFonts w:asciiTheme="majorBidi" w:hAnsiTheme="majorBidi" w:cstheme="majorBidi"/>
          <w:lang w:val="en-US"/>
        </w:rPr>
        <w:t>ive</w:t>
      </w:r>
      <w:r w:rsidR="00803AED" w:rsidRPr="000E4150">
        <w:rPr>
          <w:rStyle w:val="normaltextrun"/>
          <w:rFonts w:asciiTheme="majorBidi" w:hAnsiTheme="majorBidi" w:cstheme="majorBidi"/>
          <w:lang w:val="en-US"/>
        </w:rPr>
        <w:t xml:space="preserve"> models to assess the directed influence of </w:t>
      </w:r>
      <w:r w:rsidR="00803AED" w:rsidRPr="000E4150">
        <w:rPr>
          <w:rStyle w:val="normaltextrun"/>
          <w:rFonts w:asciiTheme="majorBidi" w:hAnsiTheme="majorBidi" w:cstheme="majorBidi"/>
          <w:lang w:val="en-US"/>
        </w:rPr>
        <w:lastRenderedPageBreak/>
        <w:t xml:space="preserve">one region over another, allowing us to compare competing hypotheses about functional interactions in a set of ROIs. </w:t>
      </w:r>
    </w:p>
    <w:p w14:paraId="4C45D456" w14:textId="758D3FB1" w:rsidR="00787D9B" w:rsidRPr="000E4150" w:rsidRDefault="00787D9B" w:rsidP="000845E1">
      <w:pPr>
        <w:pStyle w:val="paragraph"/>
        <w:spacing w:before="0" w:beforeAutospacing="0" w:after="0" w:afterAutospacing="0" w:line="480" w:lineRule="auto"/>
        <w:ind w:firstLine="720"/>
        <w:textAlignment w:val="baseline"/>
        <w:rPr>
          <w:rFonts w:asciiTheme="majorBidi" w:hAnsiTheme="majorBidi" w:cstheme="majorBidi"/>
          <w:lang w:val="en-US"/>
        </w:rPr>
      </w:pPr>
      <w:r w:rsidRPr="000E4150">
        <w:rPr>
          <w:rStyle w:val="normaltextrun"/>
          <w:rFonts w:asciiTheme="majorBidi" w:hAnsiTheme="majorBidi" w:cstheme="majorBidi"/>
          <w:lang w:val="en-US"/>
        </w:rPr>
        <w:t>First, we assessed the underlying functional architecture of the network including the IFC, </w:t>
      </w:r>
      <w:r w:rsidRPr="000E4150">
        <w:rPr>
          <w:rStyle w:val="spellingerror"/>
          <w:rFonts w:asciiTheme="majorBidi" w:hAnsiTheme="majorBidi" w:cstheme="majorBidi"/>
          <w:lang w:val="en-US"/>
        </w:rPr>
        <w:t>dACC</w:t>
      </w:r>
      <w:r w:rsidRPr="000E4150">
        <w:rPr>
          <w:rStyle w:val="normaltextrun"/>
          <w:rFonts w:asciiTheme="majorBidi" w:hAnsiTheme="majorBidi" w:cstheme="majorBidi"/>
          <w:lang w:val="en-US"/>
        </w:rPr>
        <w:t xml:space="preserve"> and striatum in the SDI (drug context) and HC (money context) groups. We tested models with either a pruned connection or the full model </w:t>
      </w:r>
      <w:r w:rsidR="002870DE" w:rsidRPr="000E4150">
        <w:rPr>
          <w:rStyle w:val="normaltextrun"/>
          <w:rFonts w:asciiTheme="majorBidi" w:hAnsiTheme="majorBidi" w:cstheme="majorBidi"/>
          <w:lang w:val="en-US"/>
        </w:rPr>
        <w:t xml:space="preserve">yielding </w:t>
      </w:r>
      <w:r w:rsidRPr="000E4150">
        <w:rPr>
          <w:rStyle w:val="normaltextrun"/>
          <w:rFonts w:asciiTheme="majorBidi" w:hAnsiTheme="majorBidi" w:cstheme="majorBidi"/>
          <w:lang w:val="en-US"/>
        </w:rPr>
        <w:t xml:space="preserve">seven </w:t>
      </w:r>
      <w:r w:rsidR="002870DE" w:rsidRPr="000E4150">
        <w:rPr>
          <w:rStyle w:val="normaltextrun"/>
          <w:rFonts w:asciiTheme="majorBidi" w:hAnsiTheme="majorBidi" w:cstheme="majorBidi"/>
          <w:lang w:val="en-US"/>
        </w:rPr>
        <w:t xml:space="preserve">model </w:t>
      </w:r>
      <w:r w:rsidRPr="000E4150">
        <w:rPr>
          <w:rStyle w:val="normaltextrun"/>
          <w:rFonts w:asciiTheme="majorBidi" w:hAnsiTheme="majorBidi" w:cstheme="majorBidi"/>
          <w:lang w:val="en-US"/>
        </w:rPr>
        <w:t>families</w:t>
      </w:r>
      <w:r w:rsidR="00803AED" w:rsidRPr="000E4150">
        <w:rPr>
          <w:rStyle w:val="normaltextrun"/>
          <w:rFonts w:asciiTheme="majorBidi" w:hAnsiTheme="majorBidi" w:cstheme="majorBidi"/>
          <w:lang w:val="en-US"/>
        </w:rPr>
        <w:t xml:space="preserve">. Within each family we </w:t>
      </w:r>
      <w:r w:rsidRPr="000E4150">
        <w:rPr>
          <w:rStyle w:val="normaltextrun"/>
          <w:rFonts w:asciiTheme="majorBidi" w:hAnsiTheme="majorBidi" w:cstheme="majorBidi"/>
          <w:lang w:val="en-US"/>
        </w:rPr>
        <w:t xml:space="preserve">varied all possible modulation locations, </w:t>
      </w:r>
      <w:r w:rsidR="00E86926" w:rsidRPr="000E4150">
        <w:rPr>
          <w:rStyle w:val="normaltextrun"/>
          <w:rFonts w:asciiTheme="majorBidi" w:hAnsiTheme="majorBidi" w:cstheme="majorBidi"/>
          <w:lang w:val="en-US"/>
        </w:rPr>
        <w:t>yielding</w:t>
      </w:r>
      <w:r w:rsidRPr="000E4150">
        <w:rPr>
          <w:rStyle w:val="normaltextrun"/>
          <w:rFonts w:asciiTheme="majorBidi" w:hAnsiTheme="majorBidi" w:cstheme="majorBidi"/>
          <w:lang w:val="en-US"/>
        </w:rPr>
        <w:t xml:space="preserve"> 57 models</w:t>
      </w:r>
      <w:r w:rsidR="00803AED" w:rsidRPr="000E4150">
        <w:rPr>
          <w:rStyle w:val="normaltextrun"/>
          <w:rFonts w:asciiTheme="majorBidi" w:hAnsiTheme="majorBidi" w:cstheme="majorBidi"/>
          <w:lang w:val="en-US"/>
        </w:rPr>
        <w:t xml:space="preserve"> in total</w:t>
      </w:r>
      <w:r w:rsidRPr="000E4150">
        <w:rPr>
          <w:rStyle w:val="normaltextrun"/>
          <w:rFonts w:asciiTheme="majorBidi" w:hAnsiTheme="majorBidi" w:cstheme="majorBidi"/>
          <w:lang w:val="en-US"/>
        </w:rPr>
        <w:t xml:space="preserve"> (Figure 3A). These models were estimated and </w:t>
      </w:r>
      <w:r w:rsidR="00803AED" w:rsidRPr="000E4150">
        <w:rPr>
          <w:rStyle w:val="normaltextrun"/>
          <w:rFonts w:asciiTheme="majorBidi" w:hAnsiTheme="majorBidi" w:cstheme="majorBidi"/>
          <w:lang w:val="en-US"/>
        </w:rPr>
        <w:t xml:space="preserve">the </w:t>
      </w:r>
      <w:r w:rsidRPr="000E4150">
        <w:rPr>
          <w:rStyle w:val="normaltextrun"/>
          <w:rFonts w:asciiTheme="majorBidi" w:hAnsiTheme="majorBidi" w:cstheme="majorBidi"/>
          <w:lang w:val="en-US"/>
        </w:rPr>
        <w:t xml:space="preserve">evidence for each family was compared using family-wise Bayesian Model Selection (BMS). For both groups independently, the fully interactive model architecture, including bidirectional connections between all regions of interest, was confirmed by </w:t>
      </w:r>
      <w:proofErr w:type="gramStart"/>
      <w:r w:rsidRPr="000E4150">
        <w:rPr>
          <w:rStyle w:val="normaltextrun"/>
          <w:rFonts w:asciiTheme="majorBidi" w:hAnsiTheme="majorBidi" w:cstheme="majorBidi"/>
          <w:lang w:val="en-US"/>
        </w:rPr>
        <w:t>family-wise</w:t>
      </w:r>
      <w:proofErr w:type="gramEnd"/>
      <w:r w:rsidRPr="000E4150">
        <w:rPr>
          <w:rStyle w:val="normaltextrun"/>
          <w:rFonts w:asciiTheme="majorBidi" w:hAnsiTheme="majorBidi" w:cstheme="majorBidi"/>
          <w:lang w:val="en-US"/>
        </w:rPr>
        <w:t xml:space="preserve"> BMS (exceedance probabilities&gt;0.99). This is consistent with the literature reporting the presence of structural and function</w:t>
      </w:r>
      <w:r w:rsidRPr="000E4150">
        <w:rPr>
          <w:rStyle w:val="normaltextrun"/>
          <w:rFonts w:asciiTheme="majorBidi" w:hAnsiTheme="majorBidi" w:cstheme="majorBidi"/>
          <w:bCs/>
          <w:lang w:val="en-US"/>
        </w:rPr>
        <w:t>al</w:t>
      </w:r>
      <w:r w:rsidR="00D8260E" w:rsidRPr="000E4150">
        <w:rPr>
          <w:rStyle w:val="normaltextrun"/>
          <w:rFonts w:asciiTheme="majorBidi" w:hAnsiTheme="majorBidi" w:cstheme="majorBidi"/>
          <w:bCs/>
          <w:lang w:val="en-US"/>
        </w:rPr>
        <w:t xml:space="preserve"> </w:t>
      </w:r>
      <w:r w:rsidR="00D8260E" w:rsidRPr="000E4150">
        <w:rPr>
          <w:rStyle w:val="normaltextrun"/>
          <w:rFonts w:asciiTheme="majorBidi" w:hAnsiTheme="majorBidi" w:cstheme="majorBidi"/>
          <w:lang w:val="en-US"/>
        </w:rPr>
        <w:t>connections between these regions</w:t>
      </w:r>
      <w:r w:rsidRPr="000E4150">
        <w:rPr>
          <w:rStyle w:val="normaltextrun"/>
          <w:rFonts w:asciiTheme="majorBidi" w:hAnsiTheme="majorBidi" w:cstheme="majorBidi"/>
          <w:b/>
          <w:bCs/>
          <w:lang w:val="en-US"/>
        </w:rPr>
        <w:t> </w:t>
      </w:r>
      <w:r w:rsidR="00576BDD" w:rsidRPr="000E4150">
        <w:rPr>
          <w:rStyle w:val="normaltextrun"/>
          <w:rFonts w:asciiTheme="majorBidi" w:hAnsiTheme="majorBidi" w:cstheme="majorBidi"/>
          <w:b/>
          <w:bCs/>
          <w:lang w:val="en-US"/>
        </w:rPr>
        <w:fldChar w:fldCharType="begin" w:fldLock="1"/>
      </w:r>
      <w:r w:rsidR="00760109" w:rsidRPr="000E4150">
        <w:rPr>
          <w:rStyle w:val="normaltextrun"/>
          <w:rFonts w:asciiTheme="majorBidi" w:hAnsiTheme="majorBidi" w:cstheme="majorBidi"/>
          <w:b/>
          <w:bCs/>
          <w:lang w:val="en-US"/>
        </w:rPr>
        <w:instrText>ADDIN CSL_CITATION {"citationItems":[{"id":"ITEM-1","itemData":{"DOI":"10.1007/978-1-4939-3474-4_135","ISBN":"9781493934744","ISSN":"12948322","PMID":"27069376","abstract":"Corticostriatal connections play a central role in developing appropriate goal-directed behaviors, including the motivation and cognition to develop appropriate actions to obtain a specific outcome. The cortex projects to the striatum topographically. Thus, different regions of the striatum have been associated with these different functions: the ventral striatum with reward; the caudate nucleus with cognition; and the putamen with motor control. However, corticostriatal connections are more complex, and interactions between functional territories are extensive. These interactions occur in specific regions in which convergence of terminal fields from different functional cortical regions are found. This article provides an overview of the connections of the cortex to the striatum and their role in integrating information across reward, cognitive, and motor functions. Emphasis is placed on the interface between functional domains within the striatum. Las conexiones cortico-estriatales juegan un papel central en el desarrollo de conductas adecuadas dirigidas a un objetivo, incluyendo la motivación y los aspectos cognitivos para desarrollar acciones apropiadas para obtener un resultado específico. La corteza se proyecta hacia el cuerpo estriado topográficamente. En consecuencia, se han asociado diferentes regiones del cuerpo estriado con estas diversas funciones: el estriado ventral con la recompensa, el núcleo caudado con la cognición y el putamen con el control motor. Sin embargo, las conexiones cortico-estritales son más complejas y las interacciones entre los territorios funcionales son amplias. Estas interacciones se producen en regiones específicas en las cuales se encuentra la convergencia de los campos terminales de diferentes regiones corticales funcionales. Este artículo proporciona una panorámica acerca de las conexiones de la corteza con el cuerpo estriado y su papel en la integración de la información en las funciones de recompensa, cognitiva y motora. Se hace hincapie en la interfaz entre los dominios funcionales dentro del cuerpo estriado. Les connexions cortico-striatales jouent un rôle central dans l'élaboration de comportements pertinents axés sur des objectifs, dont la motivation et la cognition, pour mettre en oeuvre des actions adaptées en vue d'un résultat spécifique. Le cortex se projette sur le striatum de façon topographique. Différentes régions du striatum ont donc été associées à ces différentes fonctions: le striatum ventral pou…","author":[{"dropping-particle":"","family":"Haber","given":"Suzanne N.","non-dropping-particle":"","parse-names":false,"suffix":""}],"container-title":"Neuroscience in the 21st Century: From Basic to Clinical, Second Edition","id":"ITEM-1","issued":{"date-parts":[["2016"]]},"page":"1721-1741","title":"Corticostriatal circuitry","type":"article-journal"},"uris":["http://www.mendeley.com/documents/?uuid=5e252977-37be-4b4c-bf59-e6410bea79c1"]},{"id":"ITEM-2","itemData":{"DOI":"10.1016/j.neuroimage.2016.09.037","ISSN":"10959572","abstract":"Visual attentional bias forms for rewarding and punishing stimuli in the environment. While this attentional bias is adaptive in healthy situations, it is maladaptive in disorders such as drug addiction or PTSD. In both these disorders, the ability to exert control over this attentional bias is associated with drug abstinence rates or reduced PTSD symptoms, indicating the interaction of visual attention, cognitive control, and stimulus association. The inferior parietal lobule (IPL) is central to attention, while the prefrontal cortex (PFC) is critical for reward, cognitive control, and attention. Importantly, regions of the IPL and PFC commonly project to the rostral dorsal caudate (rdCaud) of the striatum. We propose an anatomical network architecture in which IPL projections converge with PFC projections in a connectional hub in the rdCaud, providing an anatomical substrate for the interaction of these projections and their competitive influence on striatal processing. To investigate this, we mapped the dense projections from the caudal IPL and prefrontal (dlPFC, vlPFC, OFC, dACC, and dmPFC) regions that project to the medial rdCaud with anatomical tract-tracing tracer injections in monkeys. These inputs converge in a precise site in the medial rdCaud, rostral to the anterior commissure. Small retrograde tracer injections confirmed these inputs to the medial rdCaud and showed that a proximal ventral striatal location has a very different pattern of cortical inputs. We next used human resting-state functional connectivity MRI (fcMRI) to examine whether a striatal hub exists in the human medial rdCaud. Seed regions in the human medial rdCaud revealed cortical correlation maps similar to the monkey retrograde injection results. A subsequent analysis of these correlated cortical regions showed that their peak correlation within the striatum is in the medial rdCaud, indicating that this is a connectional hub. In contrast, this peak striatal correlation was not found in the ventral striatal location, suggesting that this site is not a connectional hub of cortical regions. Taken together, this work uses the precision of monkey anatomy to identify a connectional hub of IPL and PFC projections in the medial rdCaud. It also translates this anatomical precision to humans, demonstrating that, guided by anatomy, connectional hubs can be identified in humans with fcMRI. These connectional hubs provide more specific treatment targets for drug addiction, PTSD, and o…","author":[{"dropping-particle":"","family":"Choi","given":"Eun Young","non-dropping-particle":"","parse-names":false,"suffix":""},{"dropping-particle":"","family":"Tanimura","given":"Yoko","non-dropping-particle":"","parse-names":false,"suffix":""},{"dropping-particle":"","family":"Vage","given":"Priti R.","non-dropping-particle":"","parse-names":false,"suffix":""},{"dropping-particle":"","family":"Yates","given":"Ellen H.","non-dropping-particle":"","parse-names":false,"suffix":""},{"dropping-particle":"","family":"Haber","given":"Suzanne N.","non-dropping-particle":"","parse-names":false,"suffix":""}],"container-title":"NeuroImage","id":"ITEM-2","issued":{"date-parts":[["2017"]]},"page":"821-832","publisher":"Elsevier","title":"Convergence of prefrontal and parietal anatomical projections in a connectional hub in the striatum","type":"article-journal","volume":"146"},"uris":["http://www.mendeley.com/documents/?uuid=599ccda7-b987-44e2-b88f-2021aaab0bc2"]}],"mendeley":{"formattedCitation":"[Choi et al., 2017b; Haber, 2016]","plainTextFormattedCitation":"[Choi et al., 2017b; Haber, 2016]","previouslyFormattedCitation":"[Choi et al., 2017b; Haber, 2016]"},"properties":{"noteIndex":0},"schema":"https://github.com/citation-style-language/schema/raw/master/csl-citation.json"}</w:instrText>
      </w:r>
      <w:r w:rsidR="00576BDD" w:rsidRPr="000E4150">
        <w:rPr>
          <w:rStyle w:val="normaltextrun"/>
          <w:rFonts w:asciiTheme="majorBidi" w:hAnsiTheme="majorBidi" w:cstheme="majorBidi"/>
          <w:b/>
          <w:bCs/>
          <w:lang w:val="en-US"/>
        </w:rPr>
        <w:fldChar w:fldCharType="separate"/>
      </w:r>
      <w:r w:rsidR="00E06636" w:rsidRPr="000E4150">
        <w:rPr>
          <w:rStyle w:val="normaltextrun"/>
          <w:rFonts w:asciiTheme="majorBidi" w:hAnsiTheme="majorBidi" w:cstheme="majorBidi"/>
          <w:bCs/>
          <w:noProof/>
          <w:lang w:val="en-US"/>
        </w:rPr>
        <w:t>[Choi et al., 2017b; Haber, 2016]</w:t>
      </w:r>
      <w:r w:rsidR="00576BDD" w:rsidRPr="000E4150">
        <w:rPr>
          <w:rStyle w:val="normaltextrun"/>
          <w:rFonts w:asciiTheme="majorBidi" w:hAnsiTheme="majorBidi" w:cstheme="majorBidi"/>
          <w:b/>
          <w:bCs/>
          <w:lang w:val="en-US"/>
        </w:rPr>
        <w:fldChar w:fldCharType="end"/>
      </w:r>
      <w:r w:rsidRPr="000E4150">
        <w:rPr>
          <w:rStyle w:val="normaltextrun"/>
          <w:rFonts w:asciiTheme="majorBidi" w:hAnsiTheme="majorBidi" w:cstheme="majorBidi"/>
          <w:lang w:val="en-US"/>
        </w:rPr>
        <w:t>. </w:t>
      </w:r>
      <w:r w:rsidRPr="000E4150">
        <w:rPr>
          <w:rStyle w:val="eop"/>
          <w:rFonts w:asciiTheme="majorBidi" w:hAnsiTheme="majorBidi" w:cstheme="majorBidi"/>
          <w:lang w:val="en-US"/>
        </w:rPr>
        <w:t> </w:t>
      </w:r>
    </w:p>
    <w:p w14:paraId="2DEFC9B3" w14:textId="19729714" w:rsidR="00787D9B" w:rsidRPr="000E4150" w:rsidRDefault="002870DE" w:rsidP="00272C9F">
      <w:pPr>
        <w:pStyle w:val="paragraph"/>
        <w:spacing w:before="0" w:beforeAutospacing="0" w:after="0" w:afterAutospacing="0" w:line="480" w:lineRule="auto"/>
        <w:ind w:firstLine="720"/>
        <w:textAlignment w:val="baseline"/>
        <w:rPr>
          <w:rFonts w:asciiTheme="majorBidi" w:hAnsiTheme="majorBidi" w:cstheme="majorBidi"/>
          <w:lang w:val="en-US"/>
        </w:rPr>
      </w:pPr>
      <w:r w:rsidRPr="000E4150">
        <w:rPr>
          <w:rStyle w:val="normaltextrun"/>
          <w:rFonts w:asciiTheme="majorBidi" w:hAnsiTheme="majorBidi" w:cstheme="majorBidi"/>
          <w:lang w:val="en-US"/>
        </w:rPr>
        <w:t>Additionally, we</w:t>
      </w:r>
      <w:r w:rsidR="00787D9B" w:rsidRPr="000E4150">
        <w:rPr>
          <w:rStyle w:val="normaltextrun"/>
          <w:rFonts w:asciiTheme="majorBidi" w:hAnsiTheme="majorBidi" w:cstheme="majorBidi"/>
          <w:lang w:val="en-US"/>
        </w:rPr>
        <w:t xml:space="preserve"> </w:t>
      </w:r>
      <w:r w:rsidR="00B4580C" w:rsidRPr="000E4150">
        <w:rPr>
          <w:rStyle w:val="normaltextrun"/>
          <w:rFonts w:asciiTheme="majorBidi" w:hAnsiTheme="majorBidi" w:cstheme="majorBidi"/>
          <w:lang w:val="en-US"/>
        </w:rPr>
        <w:t>interrogated</w:t>
      </w:r>
      <w:r w:rsidR="00803AED" w:rsidRPr="000E4150">
        <w:rPr>
          <w:rStyle w:val="normaltextrun"/>
          <w:rFonts w:asciiTheme="majorBidi" w:hAnsiTheme="majorBidi" w:cstheme="majorBidi"/>
          <w:lang w:val="en-US"/>
        </w:rPr>
        <w:t xml:space="preserve"> </w:t>
      </w:r>
      <w:r w:rsidR="00787D9B" w:rsidRPr="000E4150">
        <w:rPr>
          <w:rStyle w:val="normaltextrun"/>
          <w:rFonts w:asciiTheme="majorBidi" w:hAnsiTheme="majorBidi" w:cstheme="majorBidi"/>
          <w:lang w:val="en-US"/>
        </w:rPr>
        <w:t>which connections were modulated by trial type. </w:t>
      </w:r>
      <w:r w:rsidRPr="000E4150">
        <w:rPr>
          <w:rStyle w:val="normaltextrun"/>
          <w:rFonts w:asciiTheme="majorBidi" w:hAnsiTheme="majorBidi" w:cstheme="majorBidi"/>
          <w:lang w:val="en-US"/>
        </w:rPr>
        <w:t>Focusing on the fully</w:t>
      </w:r>
      <w:r w:rsidR="00E86926" w:rsidRPr="000E4150">
        <w:rPr>
          <w:rStyle w:val="normaltextrun"/>
          <w:rFonts w:asciiTheme="majorBidi" w:hAnsiTheme="majorBidi" w:cstheme="majorBidi"/>
          <w:lang w:val="en-US"/>
        </w:rPr>
        <w:t>-</w:t>
      </w:r>
      <w:r w:rsidRPr="000E4150">
        <w:rPr>
          <w:rStyle w:val="normaltextrun"/>
          <w:rFonts w:asciiTheme="majorBidi" w:hAnsiTheme="majorBidi" w:cstheme="majorBidi"/>
          <w:lang w:val="en-US"/>
        </w:rPr>
        <w:t xml:space="preserve">interacting model architecture of family A, BMS on models </w:t>
      </w:r>
      <w:r w:rsidR="00787D9B" w:rsidRPr="000E4150">
        <w:rPr>
          <w:rStyle w:val="normaltextrun"/>
          <w:rFonts w:asciiTheme="majorBidi" w:hAnsiTheme="majorBidi" w:cstheme="majorBidi"/>
          <w:lang w:val="en-US"/>
        </w:rPr>
        <w:t>differing in the location of the modulation  (IFC, </w:t>
      </w:r>
      <w:r w:rsidR="00787D9B" w:rsidRPr="000E4150">
        <w:rPr>
          <w:rStyle w:val="spellingerror"/>
          <w:rFonts w:asciiTheme="majorBidi" w:hAnsiTheme="majorBidi" w:cstheme="majorBidi"/>
          <w:lang w:val="en-US"/>
        </w:rPr>
        <w:t>dACC</w:t>
      </w:r>
      <w:r w:rsidR="00787D9B" w:rsidRPr="000E4150">
        <w:rPr>
          <w:rStyle w:val="normaltextrun"/>
          <w:rFonts w:asciiTheme="majorBidi" w:hAnsiTheme="majorBidi" w:cstheme="majorBidi"/>
          <w:lang w:val="en-US"/>
        </w:rPr>
        <w:t>, dorsal striatum nodes, or one of the six directed connections) revealed the same winning model for the HC group network active in money context as for the SDI group network active in drug context (Figure 3B). Therefore, both HC and SDI participants appear</w:t>
      </w:r>
      <w:r w:rsidRPr="000E4150">
        <w:rPr>
          <w:rStyle w:val="normaltextrun"/>
          <w:rFonts w:asciiTheme="majorBidi" w:hAnsiTheme="majorBidi" w:cstheme="majorBidi"/>
          <w:lang w:val="en-US"/>
        </w:rPr>
        <w:t>ed</w:t>
      </w:r>
      <w:r w:rsidR="00787D9B" w:rsidRPr="000E4150">
        <w:rPr>
          <w:rStyle w:val="normaltextrun"/>
          <w:rFonts w:asciiTheme="majorBidi" w:hAnsiTheme="majorBidi" w:cstheme="majorBidi"/>
          <w:lang w:val="en-US"/>
        </w:rPr>
        <w:t xml:space="preserve"> to activate the same network, </w:t>
      </w:r>
      <w:proofErr w:type="gramStart"/>
      <w:r w:rsidR="00787D9B" w:rsidRPr="000E4150">
        <w:rPr>
          <w:rStyle w:val="advancedproofingissue"/>
          <w:rFonts w:asciiTheme="majorBidi" w:hAnsiTheme="majorBidi" w:cstheme="majorBidi"/>
          <w:lang w:val="en-US"/>
        </w:rPr>
        <w:t>provided that</w:t>
      </w:r>
      <w:proofErr w:type="gramEnd"/>
      <w:r w:rsidR="00787D9B" w:rsidRPr="000E4150">
        <w:rPr>
          <w:rStyle w:val="normaltextrun"/>
          <w:rFonts w:asciiTheme="majorBidi" w:hAnsiTheme="majorBidi" w:cstheme="majorBidi"/>
          <w:lang w:val="en-US"/>
        </w:rPr>
        <w:t> they find themselves in the appropriate incentive condition (money or drug, respectively). At the same time, exceedance probabilities of the winning models (Figure 3B), were below 0.9 (protected exceedance </w:t>
      </w:r>
      <w:r w:rsidR="00C85D24" w:rsidRPr="000E4150">
        <w:rPr>
          <w:rStyle w:val="normaltextrun"/>
          <w:rFonts w:asciiTheme="majorBidi" w:hAnsiTheme="majorBidi" w:cstheme="majorBidi"/>
          <w:lang w:val="en-US"/>
        </w:rPr>
        <w:t>p</w:t>
      </w:r>
      <w:r w:rsidR="00787D9B" w:rsidRPr="000E4150">
        <w:rPr>
          <w:rStyle w:val="normaltextrun"/>
          <w:rFonts w:asciiTheme="majorBidi" w:hAnsiTheme="majorBidi" w:cstheme="majorBidi"/>
          <w:lang w:val="en-US"/>
        </w:rPr>
        <w:t>=0.14 and </w:t>
      </w:r>
      <w:r w:rsidR="00C85D24" w:rsidRPr="000E4150">
        <w:rPr>
          <w:rStyle w:val="normaltextrun"/>
          <w:rFonts w:asciiTheme="majorBidi" w:hAnsiTheme="majorBidi" w:cstheme="majorBidi"/>
          <w:lang w:val="en-US"/>
        </w:rPr>
        <w:t>p</w:t>
      </w:r>
      <w:r w:rsidR="00787D9B" w:rsidRPr="000E4150">
        <w:rPr>
          <w:rStyle w:val="normaltextrun"/>
          <w:rFonts w:asciiTheme="majorBidi" w:hAnsiTheme="majorBidi" w:cstheme="majorBidi"/>
          <w:lang w:val="en-US"/>
        </w:rPr>
        <w:t>=0.21 for HCs and SDIs, respectively), suggesting some heterogeneity in the location of the modulation in both HC and SDI groups. </w:t>
      </w:r>
      <w:r w:rsidR="00787D9B" w:rsidRPr="000E4150">
        <w:rPr>
          <w:rStyle w:val="eop"/>
          <w:rFonts w:asciiTheme="majorBidi" w:hAnsiTheme="majorBidi" w:cstheme="majorBidi"/>
          <w:lang w:val="en-US"/>
        </w:rPr>
        <w:t> </w:t>
      </w:r>
    </w:p>
    <w:p w14:paraId="6319A56D" w14:textId="7D779FDB" w:rsidR="00787D9B" w:rsidRPr="000E4150" w:rsidRDefault="00787D9B" w:rsidP="00272C9F">
      <w:pPr>
        <w:pStyle w:val="paragraph"/>
        <w:spacing w:before="0" w:beforeAutospacing="0" w:after="0" w:afterAutospacing="0" w:line="480" w:lineRule="auto"/>
        <w:ind w:firstLine="720"/>
        <w:textAlignment w:val="baseline"/>
        <w:rPr>
          <w:rFonts w:asciiTheme="majorBidi" w:hAnsiTheme="majorBidi" w:cstheme="majorBidi"/>
          <w:lang w:val="en-US"/>
        </w:rPr>
      </w:pPr>
      <w:r w:rsidRPr="000E4150">
        <w:rPr>
          <w:rStyle w:val="normaltextrun"/>
          <w:rFonts w:asciiTheme="majorBidi" w:hAnsiTheme="majorBidi" w:cstheme="majorBidi"/>
          <w:lang w:val="en-US"/>
        </w:rPr>
        <w:t xml:space="preserve">Next, the strength of the modulatory effects of the task (premature&gt;correct trial type) and the fixed connections between ROIs were explored within each group using one-sample t </w:t>
      </w:r>
      <w:r w:rsidRPr="000E4150">
        <w:rPr>
          <w:rStyle w:val="normaltextrun"/>
          <w:rFonts w:asciiTheme="majorBidi" w:hAnsiTheme="majorBidi" w:cstheme="majorBidi"/>
          <w:lang w:val="en-US"/>
        </w:rPr>
        <w:lastRenderedPageBreak/>
        <w:t xml:space="preserve">tests. We also questioned whether the coupling parameters of the network were different in the two groups, using independent sample t-tests. Bayesian Model Averaging </w:t>
      </w:r>
      <w:r w:rsidR="00D8260E" w:rsidRPr="000E4150">
        <w:rPr>
          <w:rStyle w:val="normaltextrun"/>
          <w:rFonts w:asciiTheme="majorBidi" w:hAnsiTheme="majorBidi" w:cstheme="majorBidi"/>
          <w:lang w:val="en-US"/>
        </w:rPr>
        <w:t xml:space="preserve">(BMA) </w:t>
      </w:r>
      <w:r w:rsidRPr="000E4150">
        <w:rPr>
          <w:rStyle w:val="normaltextrun"/>
          <w:rFonts w:asciiTheme="majorBidi" w:hAnsiTheme="majorBidi" w:cstheme="majorBidi"/>
          <w:lang w:val="en-US"/>
        </w:rPr>
        <w:t xml:space="preserve">allowed us to compute means </w:t>
      </w:r>
      <w:r w:rsidR="00DE28FF" w:rsidRPr="000E4150">
        <w:rPr>
          <w:rStyle w:val="normaltextrun"/>
          <w:rFonts w:asciiTheme="majorBidi" w:hAnsiTheme="majorBidi" w:cstheme="majorBidi"/>
          <w:lang w:val="en-US"/>
        </w:rPr>
        <w:t>for</w:t>
      </w:r>
      <w:r w:rsidRPr="000E4150">
        <w:rPr>
          <w:rStyle w:val="normaltextrun"/>
          <w:rFonts w:asciiTheme="majorBidi" w:hAnsiTheme="majorBidi" w:cstheme="majorBidi"/>
          <w:lang w:val="en-US"/>
        </w:rPr>
        <w:t xml:space="preserve"> each model parameter, weighted by the posterior probability of each model for each subject. A summary of all parameters, including fixed connections </w:t>
      </w:r>
      <w:r w:rsidR="00DE28FF" w:rsidRPr="000E4150">
        <w:rPr>
          <w:rStyle w:val="normaltextrun"/>
          <w:rFonts w:asciiTheme="majorBidi" w:hAnsiTheme="majorBidi" w:cstheme="majorBidi"/>
          <w:lang w:val="en-US"/>
        </w:rPr>
        <w:t xml:space="preserve">between ROIs </w:t>
      </w:r>
      <w:r w:rsidRPr="000E4150">
        <w:rPr>
          <w:rStyle w:val="normaltextrun"/>
          <w:rFonts w:asciiTheme="majorBidi" w:hAnsiTheme="majorBidi" w:cstheme="majorBidi"/>
          <w:lang w:val="en-US"/>
        </w:rPr>
        <w:t>and task modulatory effects can be seen in Figure 3C. In HCs, BMA revealed a negative modulation of striatal activity by trial type (t</w:t>
      </w:r>
      <w:r w:rsidRPr="000E4150">
        <w:rPr>
          <w:rStyle w:val="normaltextrun"/>
          <w:rFonts w:asciiTheme="majorBidi" w:hAnsiTheme="majorBidi" w:cstheme="majorBidi"/>
          <w:vertAlign w:val="subscript"/>
          <w:lang w:val="en-US"/>
        </w:rPr>
        <w:t>39</w:t>
      </w:r>
      <w:r w:rsidRPr="000E4150">
        <w:rPr>
          <w:rStyle w:val="normaltextrun"/>
          <w:rFonts w:asciiTheme="majorBidi" w:hAnsiTheme="majorBidi" w:cstheme="majorBidi"/>
          <w:lang w:val="en-US"/>
        </w:rPr>
        <w:t>=2.0, p=0.03), while in SDIs trial type showed negative modulation of </w:t>
      </w:r>
      <w:r w:rsidRPr="000E4150">
        <w:rPr>
          <w:rStyle w:val="spellingerror"/>
          <w:rFonts w:asciiTheme="majorBidi" w:hAnsiTheme="majorBidi" w:cstheme="majorBidi"/>
          <w:lang w:val="en-US"/>
        </w:rPr>
        <w:t>dACC</w:t>
      </w:r>
      <w:r w:rsidRPr="000E4150">
        <w:rPr>
          <w:rStyle w:val="normaltextrun"/>
          <w:rFonts w:asciiTheme="majorBidi" w:hAnsiTheme="majorBidi" w:cstheme="majorBidi"/>
          <w:lang w:val="en-US"/>
        </w:rPr>
        <w:t> activity (t</w:t>
      </w:r>
      <w:r w:rsidRPr="000E4150">
        <w:rPr>
          <w:rStyle w:val="normaltextrun"/>
          <w:rFonts w:asciiTheme="majorBidi" w:hAnsiTheme="majorBidi" w:cstheme="majorBidi"/>
          <w:vertAlign w:val="subscript"/>
          <w:lang w:val="en-US"/>
        </w:rPr>
        <w:t>38</w:t>
      </w:r>
      <w:r w:rsidRPr="000E4150">
        <w:rPr>
          <w:rStyle w:val="normaltextrun"/>
          <w:rFonts w:asciiTheme="majorBidi" w:hAnsiTheme="majorBidi" w:cstheme="majorBidi"/>
          <w:lang w:val="en-US"/>
        </w:rPr>
        <w:t>=2.0, p=0.03) and positive modulation of the </w:t>
      </w:r>
      <w:r w:rsidRPr="000E4150">
        <w:rPr>
          <w:rStyle w:val="spellingerror"/>
          <w:rFonts w:asciiTheme="majorBidi" w:hAnsiTheme="majorBidi" w:cstheme="majorBidi"/>
          <w:lang w:val="en-US"/>
        </w:rPr>
        <w:t>dACC</w:t>
      </w:r>
      <w:r w:rsidRPr="000E4150">
        <w:rPr>
          <w:rStyle w:val="normaltextrun"/>
          <w:rFonts w:asciiTheme="majorBidi" w:hAnsiTheme="majorBidi" w:cstheme="majorBidi"/>
          <w:lang w:val="en-US"/>
        </w:rPr>
        <w:t> to </w:t>
      </w:r>
      <w:proofErr w:type="spellStart"/>
      <w:r w:rsidRPr="000E4150">
        <w:rPr>
          <w:rStyle w:val="spellingerror"/>
          <w:rFonts w:asciiTheme="majorBidi" w:hAnsiTheme="majorBidi" w:cstheme="majorBidi"/>
          <w:lang w:val="en-US"/>
        </w:rPr>
        <w:t>dStriatum</w:t>
      </w:r>
      <w:proofErr w:type="spellEnd"/>
      <w:r w:rsidRPr="000E4150">
        <w:rPr>
          <w:rStyle w:val="normaltextrun"/>
          <w:rFonts w:asciiTheme="majorBidi" w:hAnsiTheme="majorBidi" w:cstheme="majorBidi"/>
          <w:lang w:val="en-US"/>
        </w:rPr>
        <w:t> projection (t</w:t>
      </w:r>
      <w:r w:rsidRPr="000E4150">
        <w:rPr>
          <w:rStyle w:val="normaltextrun"/>
          <w:rFonts w:asciiTheme="majorBidi" w:hAnsiTheme="majorBidi" w:cstheme="majorBidi"/>
          <w:vertAlign w:val="subscript"/>
          <w:lang w:val="en-US"/>
        </w:rPr>
        <w:t>38</w:t>
      </w:r>
      <w:r w:rsidRPr="000E4150">
        <w:rPr>
          <w:rStyle w:val="normaltextrun"/>
          <w:rFonts w:asciiTheme="majorBidi" w:hAnsiTheme="majorBidi" w:cstheme="majorBidi"/>
          <w:lang w:val="en-US"/>
        </w:rPr>
        <w:t>=2.1, p=0.02).</w:t>
      </w:r>
      <w:r w:rsidR="00DE28FF" w:rsidRPr="000E4150">
        <w:rPr>
          <w:rStyle w:val="normaltextrun"/>
          <w:rFonts w:asciiTheme="majorBidi" w:hAnsiTheme="majorBidi" w:cstheme="majorBidi"/>
          <w:lang w:val="en-US"/>
        </w:rPr>
        <w:t xml:space="preserve"> </w:t>
      </w:r>
      <w:r w:rsidRPr="000E4150">
        <w:rPr>
          <w:rStyle w:val="normaltextrun"/>
          <w:rFonts w:asciiTheme="majorBidi" w:hAnsiTheme="majorBidi" w:cstheme="majorBidi"/>
          <w:lang w:val="en-US"/>
        </w:rPr>
        <w:t>A </w:t>
      </w:r>
      <w:proofErr w:type="spellStart"/>
      <w:r w:rsidRPr="000E4150">
        <w:rPr>
          <w:rStyle w:val="spellingerror"/>
          <w:rFonts w:asciiTheme="majorBidi" w:hAnsiTheme="majorBidi" w:cstheme="majorBidi"/>
          <w:lang w:val="en-US"/>
        </w:rPr>
        <w:t>dStriatum</w:t>
      </w:r>
      <w:proofErr w:type="spellEnd"/>
      <w:r w:rsidRPr="000E4150">
        <w:rPr>
          <w:rStyle w:val="normaltextrun"/>
          <w:rFonts w:asciiTheme="majorBidi" w:hAnsiTheme="majorBidi" w:cstheme="majorBidi"/>
          <w:lang w:val="en-US"/>
        </w:rPr>
        <w:t> negative (autoinhibitory) fixed connection was thus amplified on premature trials in the HC group, whereas a </w:t>
      </w:r>
      <w:r w:rsidRPr="000E4150">
        <w:rPr>
          <w:rStyle w:val="spellingerror"/>
          <w:rFonts w:asciiTheme="majorBidi" w:hAnsiTheme="majorBidi" w:cstheme="majorBidi"/>
          <w:lang w:val="en-US"/>
        </w:rPr>
        <w:t>dACC</w:t>
      </w:r>
      <w:r w:rsidRPr="000E4150">
        <w:rPr>
          <w:rStyle w:val="normaltextrun"/>
          <w:rFonts w:asciiTheme="majorBidi" w:hAnsiTheme="majorBidi" w:cstheme="majorBidi"/>
          <w:lang w:val="en-US"/>
        </w:rPr>
        <w:t> autoinhibitory connection and an excitatory connection from the </w:t>
      </w:r>
      <w:r w:rsidRPr="000E4150">
        <w:rPr>
          <w:rStyle w:val="spellingerror"/>
          <w:rFonts w:asciiTheme="majorBidi" w:hAnsiTheme="majorBidi" w:cstheme="majorBidi"/>
          <w:lang w:val="en-US"/>
        </w:rPr>
        <w:t>dACC</w:t>
      </w:r>
      <w:r w:rsidRPr="000E4150">
        <w:rPr>
          <w:rStyle w:val="normaltextrun"/>
          <w:rFonts w:asciiTheme="majorBidi" w:hAnsiTheme="majorBidi" w:cstheme="majorBidi"/>
          <w:lang w:val="en-US"/>
        </w:rPr>
        <w:t> to the </w:t>
      </w:r>
      <w:proofErr w:type="spellStart"/>
      <w:r w:rsidRPr="000E4150">
        <w:rPr>
          <w:rStyle w:val="spellingerror"/>
          <w:rFonts w:asciiTheme="majorBidi" w:hAnsiTheme="majorBidi" w:cstheme="majorBidi"/>
          <w:lang w:val="en-US"/>
        </w:rPr>
        <w:t>dStriatum</w:t>
      </w:r>
      <w:proofErr w:type="spellEnd"/>
      <w:r w:rsidRPr="000E4150">
        <w:rPr>
          <w:rStyle w:val="normaltextrun"/>
          <w:rFonts w:asciiTheme="majorBidi" w:hAnsiTheme="majorBidi" w:cstheme="majorBidi"/>
          <w:lang w:val="en-US"/>
        </w:rPr>
        <w:t> was amplified on premature trials in the SDI group.   </w:t>
      </w:r>
      <w:r w:rsidRPr="000E4150">
        <w:rPr>
          <w:rStyle w:val="eop"/>
          <w:rFonts w:asciiTheme="majorBidi" w:hAnsiTheme="majorBidi" w:cstheme="majorBidi"/>
          <w:lang w:val="en-US"/>
        </w:rPr>
        <w:t> </w:t>
      </w:r>
    </w:p>
    <w:p w14:paraId="69EC38C9" w14:textId="77777777" w:rsidR="00787D9B" w:rsidRPr="000E4150" w:rsidRDefault="00787D9B" w:rsidP="00923F4D">
      <w:pPr>
        <w:pStyle w:val="paragraph"/>
        <w:spacing w:before="0" w:beforeAutospacing="0" w:after="0" w:afterAutospacing="0" w:line="480" w:lineRule="auto"/>
        <w:ind w:firstLine="720"/>
        <w:textAlignment w:val="baseline"/>
        <w:rPr>
          <w:rFonts w:asciiTheme="majorBidi" w:hAnsiTheme="majorBidi" w:cstheme="majorBidi"/>
          <w:lang w:val="en-US"/>
        </w:rPr>
      </w:pPr>
      <w:r w:rsidRPr="000E4150">
        <w:rPr>
          <w:rStyle w:val="normaltextrun"/>
          <w:rFonts w:asciiTheme="majorBidi" w:hAnsiTheme="majorBidi" w:cstheme="majorBidi"/>
          <w:lang w:val="en-US"/>
        </w:rPr>
        <w:t>Independent sample t-tests, comparing the groups in modulation strength, showed only a significant difference in modulation of the </w:t>
      </w:r>
      <w:r w:rsidRPr="000E4150">
        <w:rPr>
          <w:rStyle w:val="spellingerror"/>
          <w:rFonts w:asciiTheme="majorBidi" w:hAnsiTheme="majorBidi" w:cstheme="majorBidi"/>
          <w:lang w:val="en-US"/>
        </w:rPr>
        <w:t>dACC</w:t>
      </w:r>
      <w:r w:rsidRPr="000E4150">
        <w:rPr>
          <w:rStyle w:val="normaltextrun"/>
          <w:rFonts w:asciiTheme="majorBidi" w:hAnsiTheme="majorBidi" w:cstheme="majorBidi"/>
          <w:lang w:val="en-US"/>
        </w:rPr>
        <w:t> to </w:t>
      </w:r>
      <w:proofErr w:type="spellStart"/>
      <w:r w:rsidRPr="000E4150">
        <w:rPr>
          <w:rStyle w:val="spellingerror"/>
          <w:rFonts w:asciiTheme="majorBidi" w:hAnsiTheme="majorBidi" w:cstheme="majorBidi"/>
          <w:lang w:val="en-US"/>
        </w:rPr>
        <w:t>dStriatum</w:t>
      </w:r>
      <w:proofErr w:type="spellEnd"/>
      <w:r w:rsidRPr="000E4150">
        <w:rPr>
          <w:rStyle w:val="normaltextrun"/>
          <w:rFonts w:asciiTheme="majorBidi" w:hAnsiTheme="majorBidi" w:cstheme="majorBidi"/>
          <w:lang w:val="en-US"/>
        </w:rPr>
        <w:t> projection by trial type, which was higher in SDIs than in HCs (t</w:t>
      </w:r>
      <w:r w:rsidRPr="000E4150">
        <w:rPr>
          <w:rStyle w:val="normaltextrun"/>
          <w:rFonts w:asciiTheme="majorBidi" w:hAnsiTheme="majorBidi" w:cstheme="majorBidi"/>
          <w:vertAlign w:val="subscript"/>
          <w:lang w:val="en-US"/>
        </w:rPr>
        <w:t>77</w:t>
      </w:r>
      <w:r w:rsidRPr="000E4150">
        <w:rPr>
          <w:rStyle w:val="normaltextrun"/>
          <w:rFonts w:asciiTheme="majorBidi" w:hAnsiTheme="majorBidi" w:cstheme="majorBidi"/>
          <w:lang w:val="en-US"/>
        </w:rPr>
        <w:t>=2.13, p=0.036, Figure 3D). Fixed connections between nodes did not differ between the two groups (all </w:t>
      </w:r>
      <w:proofErr w:type="spellStart"/>
      <w:r w:rsidRPr="000E4150">
        <w:rPr>
          <w:rStyle w:val="spellingerror"/>
          <w:rFonts w:asciiTheme="majorBidi" w:hAnsiTheme="majorBidi" w:cstheme="majorBidi"/>
          <w:i/>
          <w:iCs/>
          <w:lang w:val="en-US"/>
        </w:rPr>
        <w:t>p</w:t>
      </w:r>
      <w:r w:rsidRPr="000E4150">
        <w:rPr>
          <w:rStyle w:val="spellingerror"/>
          <w:rFonts w:asciiTheme="majorBidi" w:hAnsiTheme="majorBidi" w:cstheme="majorBidi"/>
          <w:lang w:val="en-US"/>
        </w:rPr>
        <w:t>s</w:t>
      </w:r>
      <w:proofErr w:type="spellEnd"/>
      <w:r w:rsidRPr="000E4150">
        <w:rPr>
          <w:rStyle w:val="normaltextrun"/>
          <w:rFonts w:asciiTheme="majorBidi" w:hAnsiTheme="majorBidi" w:cstheme="majorBidi"/>
          <w:lang w:val="en-US"/>
        </w:rPr>
        <w:t>&gt;0.05) except for ACC to ACC autoinhibitory connection, which was higher in HC than SDI (t</w:t>
      </w:r>
      <w:r w:rsidRPr="000E4150">
        <w:rPr>
          <w:rStyle w:val="normaltextrun"/>
          <w:rFonts w:asciiTheme="majorBidi" w:hAnsiTheme="majorBidi" w:cstheme="majorBidi"/>
          <w:vertAlign w:val="subscript"/>
          <w:lang w:val="en-US"/>
        </w:rPr>
        <w:t>77</w:t>
      </w:r>
      <w:r w:rsidRPr="000E4150">
        <w:rPr>
          <w:rStyle w:val="normaltextrun"/>
          <w:rFonts w:asciiTheme="majorBidi" w:hAnsiTheme="majorBidi" w:cstheme="majorBidi"/>
          <w:lang w:val="en-US"/>
        </w:rPr>
        <w:t>=2.36, p=0.021).  </w:t>
      </w:r>
      <w:r w:rsidRPr="000E4150">
        <w:rPr>
          <w:rStyle w:val="eop"/>
          <w:rFonts w:asciiTheme="majorBidi" w:hAnsiTheme="majorBidi" w:cstheme="majorBidi"/>
          <w:lang w:val="en-US"/>
        </w:rPr>
        <w:t> </w:t>
      </w:r>
    </w:p>
    <w:p w14:paraId="264B7055" w14:textId="7E9DB0B7" w:rsidR="00787D9B" w:rsidRPr="000E4150" w:rsidRDefault="00787D9B" w:rsidP="00272C9F">
      <w:pPr>
        <w:pStyle w:val="paragraph"/>
        <w:spacing w:before="0" w:beforeAutospacing="0" w:after="0" w:afterAutospacing="0" w:line="480" w:lineRule="auto"/>
        <w:textAlignment w:val="baseline"/>
        <w:rPr>
          <w:rFonts w:asciiTheme="majorBidi" w:hAnsiTheme="majorBidi" w:cstheme="majorBidi"/>
          <w:lang w:val="en-US"/>
        </w:rPr>
      </w:pPr>
      <w:r w:rsidRPr="000E4150">
        <w:rPr>
          <w:rStyle w:val="normaltextrun"/>
          <w:rFonts w:asciiTheme="majorBidi" w:hAnsiTheme="majorBidi" w:cstheme="majorBidi"/>
          <w:lang w:val="en-US"/>
        </w:rPr>
        <w:t xml:space="preserve">To summarize, Bayesian model selection revealed a </w:t>
      </w:r>
      <w:proofErr w:type="gramStart"/>
      <w:r w:rsidRPr="000E4150">
        <w:rPr>
          <w:rStyle w:val="normaltextrun"/>
          <w:rFonts w:asciiTheme="majorBidi" w:hAnsiTheme="majorBidi" w:cstheme="majorBidi"/>
          <w:lang w:val="en-US"/>
        </w:rPr>
        <w:t>fully</w:t>
      </w:r>
      <w:r w:rsidR="00E86926" w:rsidRPr="000E4150">
        <w:rPr>
          <w:rStyle w:val="normaltextrun"/>
          <w:rFonts w:asciiTheme="majorBidi" w:hAnsiTheme="majorBidi" w:cstheme="majorBidi"/>
          <w:lang w:val="en-US"/>
        </w:rPr>
        <w:t>-</w:t>
      </w:r>
      <w:r w:rsidRPr="000E4150">
        <w:rPr>
          <w:rStyle w:val="normaltextrun"/>
          <w:rFonts w:asciiTheme="majorBidi" w:hAnsiTheme="majorBidi" w:cstheme="majorBidi"/>
          <w:lang w:val="en-US"/>
        </w:rPr>
        <w:t>interactive</w:t>
      </w:r>
      <w:proofErr w:type="gramEnd"/>
      <w:r w:rsidRPr="000E4150">
        <w:rPr>
          <w:rStyle w:val="normaltextrun"/>
          <w:rFonts w:asciiTheme="majorBidi" w:hAnsiTheme="majorBidi" w:cstheme="majorBidi"/>
          <w:lang w:val="en-US"/>
        </w:rPr>
        <w:t xml:space="preserve"> model architecture given relevant incentives, with bilateral connections between the IFC, </w:t>
      </w:r>
      <w:r w:rsidRPr="000E4150">
        <w:rPr>
          <w:rStyle w:val="spellingerror"/>
          <w:rFonts w:asciiTheme="majorBidi" w:hAnsiTheme="majorBidi" w:cstheme="majorBidi"/>
          <w:lang w:val="en-US"/>
        </w:rPr>
        <w:t>dACC</w:t>
      </w:r>
      <w:r w:rsidRPr="000E4150">
        <w:rPr>
          <w:rStyle w:val="normaltextrun"/>
          <w:rFonts w:asciiTheme="majorBidi" w:hAnsiTheme="majorBidi" w:cstheme="majorBidi"/>
          <w:lang w:val="en-US"/>
        </w:rPr>
        <w:t> and </w:t>
      </w:r>
      <w:proofErr w:type="spellStart"/>
      <w:r w:rsidRPr="000E4150">
        <w:rPr>
          <w:rStyle w:val="spellingerror"/>
          <w:rFonts w:asciiTheme="majorBidi" w:hAnsiTheme="majorBidi" w:cstheme="majorBidi"/>
          <w:lang w:val="en-US"/>
        </w:rPr>
        <w:t>dStriatum</w:t>
      </w:r>
      <w:proofErr w:type="spellEnd"/>
      <w:r w:rsidRPr="000E4150">
        <w:rPr>
          <w:rStyle w:val="normaltextrun"/>
          <w:rFonts w:asciiTheme="majorBidi" w:hAnsiTheme="majorBidi" w:cstheme="majorBidi"/>
          <w:lang w:val="en-US"/>
        </w:rPr>
        <w:t>. Among these interactive models, the </w:t>
      </w:r>
      <w:proofErr w:type="spellStart"/>
      <w:r w:rsidR="00E86926" w:rsidRPr="000E4150">
        <w:rPr>
          <w:rStyle w:val="normaltextrun"/>
          <w:rFonts w:asciiTheme="majorBidi" w:hAnsiTheme="majorBidi" w:cstheme="majorBidi"/>
          <w:lang w:val="en-US"/>
        </w:rPr>
        <w:t>dS</w:t>
      </w:r>
      <w:r w:rsidRPr="000E4150">
        <w:rPr>
          <w:rStyle w:val="normaltextrun"/>
          <w:rFonts w:asciiTheme="majorBidi" w:hAnsiTheme="majorBidi" w:cstheme="majorBidi"/>
          <w:lang w:val="en-US"/>
        </w:rPr>
        <w:t>triatum</w:t>
      </w:r>
      <w:proofErr w:type="spellEnd"/>
      <w:r w:rsidRPr="000E4150">
        <w:rPr>
          <w:rStyle w:val="normaltextrun"/>
          <w:rFonts w:asciiTheme="majorBidi" w:hAnsiTheme="majorBidi" w:cstheme="majorBidi"/>
          <w:lang w:val="en-US"/>
        </w:rPr>
        <w:t xml:space="preserve"> </w:t>
      </w:r>
      <w:r w:rsidR="00E86926" w:rsidRPr="000E4150">
        <w:rPr>
          <w:rStyle w:val="normaltextrun"/>
          <w:rFonts w:asciiTheme="majorBidi" w:hAnsiTheme="majorBidi" w:cstheme="majorBidi"/>
          <w:lang w:val="en-US"/>
        </w:rPr>
        <w:t xml:space="preserve">is </w:t>
      </w:r>
      <w:r w:rsidRPr="000E4150">
        <w:rPr>
          <w:rStyle w:val="normaltextrun"/>
          <w:rFonts w:asciiTheme="majorBidi" w:hAnsiTheme="majorBidi" w:cstheme="majorBidi"/>
          <w:lang w:val="en-US"/>
        </w:rPr>
        <w:t>critical</w:t>
      </w:r>
      <w:r w:rsidR="00E86926" w:rsidRPr="000E4150">
        <w:rPr>
          <w:rStyle w:val="normaltextrun"/>
          <w:rFonts w:asciiTheme="majorBidi" w:hAnsiTheme="majorBidi" w:cstheme="majorBidi"/>
          <w:lang w:val="en-US"/>
        </w:rPr>
        <w:t>ly involved</w:t>
      </w:r>
      <w:r w:rsidRPr="000E4150">
        <w:rPr>
          <w:rStyle w:val="normaltextrun"/>
          <w:rFonts w:asciiTheme="majorBidi" w:hAnsiTheme="majorBidi" w:cstheme="majorBidi"/>
          <w:lang w:val="en-US"/>
        </w:rPr>
        <w:t xml:space="preserve"> as it is modulated by the premature vs correct trial condition. Bayesian model averaging </w:t>
      </w:r>
      <w:r w:rsidR="00DE28FF" w:rsidRPr="000E4150">
        <w:rPr>
          <w:rStyle w:val="normaltextrun"/>
          <w:rFonts w:asciiTheme="majorBidi" w:hAnsiTheme="majorBidi" w:cstheme="majorBidi"/>
          <w:lang w:val="en-US"/>
        </w:rPr>
        <w:t>suggested</w:t>
      </w:r>
      <w:r w:rsidRPr="000E4150">
        <w:rPr>
          <w:rStyle w:val="normaltextrun"/>
          <w:rFonts w:asciiTheme="majorBidi" w:hAnsiTheme="majorBidi" w:cstheme="majorBidi"/>
          <w:lang w:val="en-US"/>
        </w:rPr>
        <w:t xml:space="preserve"> differences between HC and SDI</w:t>
      </w:r>
      <w:r w:rsidR="00E86926" w:rsidRPr="000E4150">
        <w:rPr>
          <w:rStyle w:val="normaltextrun"/>
          <w:rFonts w:asciiTheme="majorBidi" w:hAnsiTheme="majorBidi" w:cstheme="majorBidi"/>
          <w:lang w:val="en-US"/>
        </w:rPr>
        <w:t>s</w:t>
      </w:r>
      <w:r w:rsidRPr="000E4150">
        <w:rPr>
          <w:rStyle w:val="normaltextrun"/>
          <w:rFonts w:asciiTheme="majorBidi" w:hAnsiTheme="majorBidi" w:cstheme="majorBidi"/>
          <w:lang w:val="en-US"/>
        </w:rPr>
        <w:t>, with task-based modulation changing striatal activity directly in HC, while in SDI</w:t>
      </w:r>
      <w:r w:rsidR="00E86926" w:rsidRPr="000E4150">
        <w:rPr>
          <w:rStyle w:val="normaltextrun"/>
          <w:rFonts w:asciiTheme="majorBidi" w:hAnsiTheme="majorBidi" w:cstheme="majorBidi"/>
          <w:lang w:val="en-US"/>
        </w:rPr>
        <w:t>s</w:t>
      </w:r>
      <w:r w:rsidRPr="000E4150">
        <w:rPr>
          <w:rStyle w:val="normaltextrun"/>
          <w:rFonts w:asciiTheme="majorBidi" w:hAnsiTheme="majorBidi" w:cstheme="majorBidi"/>
          <w:lang w:val="en-US"/>
        </w:rPr>
        <w:t xml:space="preserve"> striatal modulation was driven by the </w:t>
      </w:r>
      <w:r w:rsidRPr="000E4150">
        <w:rPr>
          <w:rStyle w:val="spellingerror"/>
          <w:rFonts w:asciiTheme="majorBidi" w:hAnsiTheme="majorBidi" w:cstheme="majorBidi"/>
          <w:lang w:val="en-US"/>
        </w:rPr>
        <w:t>dACC</w:t>
      </w:r>
      <w:r w:rsidRPr="000E4150">
        <w:rPr>
          <w:rStyle w:val="normaltextrun"/>
          <w:rFonts w:asciiTheme="majorBidi" w:hAnsiTheme="majorBidi" w:cstheme="majorBidi"/>
          <w:lang w:val="en-US"/>
        </w:rPr>
        <w:t>. </w:t>
      </w:r>
      <w:r w:rsidRPr="000E4150">
        <w:rPr>
          <w:rStyle w:val="eop"/>
          <w:rFonts w:asciiTheme="majorBidi" w:hAnsiTheme="majorBidi" w:cstheme="majorBidi"/>
          <w:lang w:val="en-US"/>
        </w:rPr>
        <w:t> </w:t>
      </w:r>
    </w:p>
    <w:p w14:paraId="37212347" w14:textId="77777777" w:rsidR="00A320B9" w:rsidRPr="000E4150" w:rsidRDefault="00A320B9" w:rsidP="00610042">
      <w:pPr>
        <w:spacing w:after="0" w:line="480" w:lineRule="auto"/>
        <w:textAlignment w:val="baseline"/>
        <w:rPr>
          <w:rFonts w:asciiTheme="majorBidi" w:eastAsia="Times New Roman" w:hAnsiTheme="majorBidi" w:cstheme="majorBidi"/>
          <w:b/>
          <w:bCs/>
          <w:sz w:val="24"/>
          <w:szCs w:val="24"/>
          <w:lang w:val="en-US" w:eastAsia="en-GB" w:bidi="he-IL"/>
        </w:rPr>
      </w:pPr>
    </w:p>
    <w:p w14:paraId="0D532FB1" w14:textId="77777777" w:rsidR="00787D9B" w:rsidRPr="000E4150" w:rsidRDefault="00787D9B" w:rsidP="00610042">
      <w:pPr>
        <w:spacing w:after="0" w:line="480" w:lineRule="auto"/>
        <w:textAlignment w:val="baseline"/>
        <w:rPr>
          <w:rFonts w:asciiTheme="majorBidi" w:eastAsia="Times New Roman" w:hAnsiTheme="majorBidi" w:cstheme="majorBidi"/>
          <w:b/>
          <w:bCs/>
          <w:sz w:val="24"/>
          <w:szCs w:val="24"/>
          <w:lang w:val="en-US" w:eastAsia="en-GB" w:bidi="he-IL"/>
        </w:rPr>
      </w:pPr>
      <w:r w:rsidRPr="000E4150">
        <w:rPr>
          <w:rFonts w:asciiTheme="majorBidi" w:eastAsia="Times New Roman" w:hAnsiTheme="majorBidi" w:cstheme="majorBidi"/>
          <w:b/>
          <w:bCs/>
          <w:sz w:val="24"/>
          <w:szCs w:val="24"/>
          <w:lang w:val="en-US" w:eastAsia="en-GB" w:bidi="he-IL"/>
        </w:rPr>
        <w:t>Discussion</w:t>
      </w:r>
    </w:p>
    <w:p w14:paraId="15477379" w14:textId="6AD1EB4B" w:rsidR="00437491" w:rsidRPr="000E4150" w:rsidRDefault="00787D9B" w:rsidP="000845E1">
      <w:pPr>
        <w:spacing w:after="0" w:line="480" w:lineRule="auto"/>
        <w:ind w:firstLine="720"/>
        <w:textAlignment w:val="baseline"/>
        <w:rPr>
          <w:rFonts w:asciiTheme="majorBidi" w:eastAsia="Times New Roman" w:hAnsiTheme="majorBidi" w:cstheme="majorBidi"/>
          <w:sz w:val="24"/>
          <w:szCs w:val="24"/>
          <w:lang w:val="en-US" w:eastAsia="en-GB" w:bidi="he-IL"/>
        </w:rPr>
      </w:pPr>
      <w:r w:rsidRPr="000E4150">
        <w:rPr>
          <w:rFonts w:asciiTheme="majorBidi" w:eastAsia="Times New Roman" w:hAnsiTheme="majorBidi" w:cstheme="majorBidi"/>
          <w:sz w:val="24"/>
          <w:szCs w:val="24"/>
          <w:lang w:val="en-US" w:eastAsia="en-GB" w:bidi="he-IL"/>
        </w:rPr>
        <w:lastRenderedPageBreak/>
        <w:t xml:space="preserve">Our results integrate research </w:t>
      </w:r>
      <w:r w:rsidR="00322CEB" w:rsidRPr="000E4150">
        <w:rPr>
          <w:rFonts w:asciiTheme="majorBidi" w:eastAsia="Times New Roman" w:hAnsiTheme="majorBidi" w:cstheme="majorBidi"/>
          <w:sz w:val="24"/>
          <w:szCs w:val="24"/>
          <w:lang w:val="en-US" w:eastAsia="en-GB" w:bidi="he-IL"/>
        </w:rPr>
        <w:t xml:space="preserve">on inhibitory </w:t>
      </w:r>
      <w:r w:rsidR="002F2F47" w:rsidRPr="000E4150">
        <w:rPr>
          <w:rFonts w:asciiTheme="majorBidi" w:eastAsia="Times New Roman" w:hAnsiTheme="majorBidi" w:cstheme="majorBidi"/>
          <w:sz w:val="24"/>
          <w:szCs w:val="24"/>
          <w:lang w:val="en-US" w:eastAsia="en-GB" w:bidi="he-IL"/>
        </w:rPr>
        <w:t xml:space="preserve">response </w:t>
      </w:r>
      <w:r w:rsidR="00322CEB" w:rsidRPr="000E4150">
        <w:rPr>
          <w:rFonts w:asciiTheme="majorBidi" w:eastAsia="Times New Roman" w:hAnsiTheme="majorBidi" w:cstheme="majorBidi"/>
          <w:sz w:val="24"/>
          <w:szCs w:val="24"/>
          <w:lang w:val="en-US" w:eastAsia="en-GB" w:bidi="he-IL"/>
        </w:rPr>
        <w:t>control and</w:t>
      </w:r>
      <w:r w:rsidRPr="000E4150">
        <w:rPr>
          <w:rFonts w:asciiTheme="majorBidi" w:eastAsia="Times New Roman" w:hAnsiTheme="majorBidi" w:cstheme="majorBidi"/>
          <w:sz w:val="24"/>
          <w:szCs w:val="24"/>
          <w:lang w:val="en-US" w:eastAsia="en-GB" w:bidi="he-IL"/>
        </w:rPr>
        <w:t xml:space="preserve"> reward-related processing, offering insight into how these manifest jointly in the human brain and relate to impulsivity. The findings point to the intrinsic importance of context and the nature of the </w:t>
      </w:r>
      <w:r w:rsidR="00A66BBA" w:rsidRPr="000E4150">
        <w:rPr>
          <w:rFonts w:asciiTheme="majorBidi" w:eastAsia="Times New Roman" w:hAnsiTheme="majorBidi" w:cstheme="majorBidi"/>
          <w:sz w:val="24"/>
          <w:szCs w:val="24"/>
          <w:lang w:val="en-US" w:eastAsia="en-GB" w:bidi="he-IL"/>
        </w:rPr>
        <w:t xml:space="preserve">relevant </w:t>
      </w:r>
      <w:r w:rsidRPr="000E4150">
        <w:rPr>
          <w:rFonts w:asciiTheme="majorBidi" w:eastAsia="Times New Roman" w:hAnsiTheme="majorBidi" w:cstheme="majorBidi"/>
          <w:sz w:val="24"/>
          <w:szCs w:val="24"/>
          <w:lang w:val="en-US" w:eastAsia="en-GB" w:bidi="he-IL"/>
        </w:rPr>
        <w:t xml:space="preserve">incentives </w:t>
      </w:r>
      <w:r w:rsidR="00A66BBA" w:rsidRPr="000E4150">
        <w:rPr>
          <w:rFonts w:asciiTheme="majorBidi" w:eastAsia="Times New Roman" w:hAnsiTheme="majorBidi" w:cstheme="majorBidi"/>
          <w:sz w:val="24"/>
          <w:szCs w:val="24"/>
          <w:lang w:val="en-US" w:eastAsia="en-GB" w:bidi="he-IL"/>
        </w:rPr>
        <w:t>in modulating inhibitory</w:t>
      </w:r>
      <w:r w:rsidRPr="000E4150">
        <w:rPr>
          <w:rFonts w:asciiTheme="majorBidi" w:eastAsia="Times New Roman" w:hAnsiTheme="majorBidi" w:cstheme="majorBidi"/>
          <w:sz w:val="24"/>
          <w:szCs w:val="24"/>
          <w:lang w:val="en-US" w:eastAsia="en-GB" w:bidi="he-IL"/>
        </w:rPr>
        <w:t xml:space="preserve"> control</w:t>
      </w:r>
      <w:r w:rsidR="00A66BBA" w:rsidRPr="000E4150">
        <w:rPr>
          <w:rFonts w:asciiTheme="majorBidi" w:eastAsia="Times New Roman" w:hAnsiTheme="majorBidi" w:cstheme="majorBidi"/>
          <w:sz w:val="24"/>
          <w:szCs w:val="24"/>
          <w:lang w:val="en-US" w:eastAsia="en-GB" w:bidi="he-IL"/>
        </w:rPr>
        <w:t xml:space="preserve"> </w:t>
      </w:r>
      <w:r w:rsidRPr="000E4150">
        <w:rPr>
          <w:rFonts w:asciiTheme="majorBidi" w:eastAsia="Times New Roman" w:hAnsiTheme="majorBidi" w:cstheme="majorBidi"/>
          <w:sz w:val="24"/>
          <w:szCs w:val="24"/>
          <w:lang w:val="en-US" w:eastAsia="en-GB" w:bidi="he-IL"/>
        </w:rPr>
        <w:t xml:space="preserve">processes, particularly in relation to drug addiction. We show that failure of </w:t>
      </w:r>
      <w:r w:rsidR="002F2F47" w:rsidRPr="000E4150">
        <w:rPr>
          <w:rFonts w:asciiTheme="majorBidi" w:eastAsia="Times New Roman" w:hAnsiTheme="majorBidi" w:cstheme="majorBidi"/>
          <w:sz w:val="24"/>
          <w:szCs w:val="24"/>
          <w:lang w:val="en-US" w:eastAsia="en-GB" w:bidi="he-IL"/>
        </w:rPr>
        <w:t xml:space="preserve">response </w:t>
      </w:r>
      <w:r w:rsidRPr="000E4150">
        <w:rPr>
          <w:rFonts w:asciiTheme="majorBidi" w:eastAsia="Times New Roman" w:hAnsiTheme="majorBidi" w:cstheme="majorBidi"/>
          <w:sz w:val="24"/>
          <w:szCs w:val="24"/>
          <w:lang w:val="en-US" w:eastAsia="en-GB" w:bidi="he-IL"/>
        </w:rPr>
        <w:t>control when faced with anticipating rewards is underpinned by </w:t>
      </w:r>
      <w:proofErr w:type="spellStart"/>
      <w:r w:rsidRPr="000E4150">
        <w:rPr>
          <w:rFonts w:asciiTheme="majorBidi" w:eastAsia="Times New Roman" w:hAnsiTheme="majorBidi" w:cstheme="majorBidi"/>
          <w:sz w:val="24"/>
          <w:szCs w:val="24"/>
          <w:lang w:val="en-US" w:eastAsia="en-GB" w:bidi="he-IL"/>
        </w:rPr>
        <w:t>fronto</w:t>
      </w:r>
      <w:proofErr w:type="spellEnd"/>
      <w:r w:rsidRPr="000E4150">
        <w:rPr>
          <w:rFonts w:asciiTheme="majorBidi" w:eastAsia="Times New Roman" w:hAnsiTheme="majorBidi" w:cstheme="majorBidi"/>
          <w:sz w:val="24"/>
          <w:szCs w:val="24"/>
          <w:lang w:val="en-US" w:eastAsia="en-GB" w:bidi="he-IL"/>
        </w:rPr>
        <w:t xml:space="preserve">-striatal and cingulo-opercular network activations, wherein dorsal striatum regions play a key role. By focusing on failures of restraint in the MID task, the study demonstrates </w:t>
      </w:r>
      <w:r w:rsidR="00437491" w:rsidRPr="000E4150">
        <w:rPr>
          <w:rFonts w:asciiTheme="majorBidi" w:eastAsia="Times New Roman" w:hAnsiTheme="majorBidi" w:cstheme="majorBidi"/>
          <w:sz w:val="24"/>
          <w:szCs w:val="24"/>
          <w:lang w:val="en-US" w:eastAsia="en-GB" w:bidi="he-IL"/>
        </w:rPr>
        <w:t xml:space="preserve">for the first time how impulsive </w:t>
      </w:r>
      <w:r w:rsidR="002F2F47" w:rsidRPr="000E4150">
        <w:rPr>
          <w:rFonts w:asciiTheme="majorBidi" w:eastAsia="Times New Roman" w:hAnsiTheme="majorBidi" w:cstheme="majorBidi"/>
          <w:sz w:val="24"/>
          <w:szCs w:val="24"/>
          <w:lang w:val="en-US" w:eastAsia="en-GB" w:bidi="he-IL"/>
        </w:rPr>
        <w:t xml:space="preserve">actions </w:t>
      </w:r>
      <w:r w:rsidR="00437491" w:rsidRPr="000E4150">
        <w:rPr>
          <w:rFonts w:asciiTheme="majorBidi" w:eastAsia="Times New Roman" w:hAnsiTheme="majorBidi" w:cstheme="majorBidi"/>
          <w:sz w:val="24"/>
          <w:szCs w:val="24"/>
          <w:lang w:val="en-US" w:eastAsia="en-GB" w:bidi="he-IL"/>
        </w:rPr>
        <w:t>can be triggered by drug incentive cues in individuals addicted to stimulant drugs.</w:t>
      </w:r>
    </w:p>
    <w:p w14:paraId="6A43DAE5" w14:textId="77777777" w:rsidR="00EC588D" w:rsidRPr="000E4150" w:rsidRDefault="007B430A" w:rsidP="00272C9F">
      <w:pPr>
        <w:spacing w:after="0" w:line="480" w:lineRule="auto"/>
        <w:ind w:firstLine="720"/>
        <w:textAlignment w:val="baseline"/>
        <w:rPr>
          <w:rFonts w:asciiTheme="majorBidi" w:eastAsia="Times New Roman" w:hAnsiTheme="majorBidi" w:cstheme="majorBidi"/>
          <w:sz w:val="24"/>
          <w:szCs w:val="24"/>
          <w:lang w:val="en-US" w:eastAsia="en-GB" w:bidi="he-IL"/>
        </w:rPr>
      </w:pPr>
      <w:r w:rsidRPr="000E4150">
        <w:rPr>
          <w:rFonts w:asciiTheme="majorBidi" w:eastAsia="Times New Roman" w:hAnsiTheme="majorBidi" w:cstheme="majorBidi"/>
          <w:b/>
          <w:bCs/>
          <w:sz w:val="24"/>
          <w:szCs w:val="24"/>
          <w:lang w:val="en-US" w:eastAsia="en-GB" w:bidi="he-IL"/>
        </w:rPr>
        <w:t xml:space="preserve">Shared networks for </w:t>
      </w:r>
      <w:bookmarkStart w:id="2" w:name="_GoBack"/>
      <w:bookmarkEnd w:id="2"/>
      <w:r w:rsidRPr="000E4150">
        <w:rPr>
          <w:rFonts w:asciiTheme="majorBidi" w:eastAsia="Times New Roman" w:hAnsiTheme="majorBidi" w:cstheme="majorBidi"/>
          <w:b/>
          <w:bCs/>
          <w:sz w:val="24"/>
          <w:szCs w:val="24"/>
          <w:lang w:val="en-US" w:eastAsia="en-GB" w:bidi="he-IL"/>
        </w:rPr>
        <w:t xml:space="preserve">premature responding to personally salient cues. </w:t>
      </w:r>
      <w:r w:rsidR="00787D9B" w:rsidRPr="000E4150">
        <w:rPr>
          <w:rFonts w:asciiTheme="majorBidi" w:eastAsia="Times New Roman" w:hAnsiTheme="majorBidi" w:cstheme="majorBidi"/>
          <w:sz w:val="24"/>
          <w:szCs w:val="24"/>
          <w:lang w:val="en-US" w:eastAsia="en-GB" w:bidi="he-IL"/>
        </w:rPr>
        <w:t xml:space="preserve">This study identified key brain regions associated with failures of restraint in the presence of reward in SDI, their unaffected siblings and HC. Robust activation of the cingulo-opercular and </w:t>
      </w:r>
      <w:proofErr w:type="spellStart"/>
      <w:r w:rsidR="00787D9B" w:rsidRPr="000E4150">
        <w:rPr>
          <w:rFonts w:asciiTheme="majorBidi" w:eastAsia="Times New Roman" w:hAnsiTheme="majorBidi" w:cstheme="majorBidi"/>
          <w:sz w:val="24"/>
          <w:szCs w:val="24"/>
          <w:lang w:val="en-US" w:eastAsia="en-GB" w:bidi="he-IL"/>
        </w:rPr>
        <w:t>fronto</w:t>
      </w:r>
      <w:proofErr w:type="spellEnd"/>
      <w:r w:rsidR="00787D9B" w:rsidRPr="000E4150">
        <w:rPr>
          <w:rFonts w:asciiTheme="majorBidi" w:eastAsia="Times New Roman" w:hAnsiTheme="majorBidi" w:cstheme="majorBidi"/>
          <w:sz w:val="24"/>
          <w:szCs w:val="24"/>
          <w:lang w:val="en-US" w:eastAsia="en-GB" w:bidi="he-IL"/>
        </w:rPr>
        <w:t>-striatal network re</w:t>
      </w:r>
      <w:r w:rsidR="00F126EF" w:rsidRPr="000E4150">
        <w:rPr>
          <w:rFonts w:asciiTheme="majorBidi" w:eastAsia="Times New Roman" w:hAnsiTheme="majorBidi" w:cstheme="majorBidi"/>
          <w:sz w:val="24"/>
          <w:szCs w:val="24"/>
          <w:lang w:val="en-US" w:eastAsia="en-GB" w:bidi="he-IL"/>
        </w:rPr>
        <w:t>gions comprising dACC, IFC (pars</w:t>
      </w:r>
      <w:r w:rsidR="00787D9B" w:rsidRPr="000E4150">
        <w:rPr>
          <w:rFonts w:asciiTheme="majorBidi" w:eastAsia="Times New Roman" w:hAnsiTheme="majorBidi" w:cstheme="majorBidi"/>
          <w:sz w:val="24"/>
          <w:szCs w:val="24"/>
          <w:lang w:val="en-US" w:eastAsia="en-GB" w:bidi="he-IL"/>
        </w:rPr>
        <w:t xml:space="preserve"> opercularis), inferior parietal cortex (parietal operculum), striatum and thalamus were </w:t>
      </w:r>
      <w:r w:rsidR="00437491" w:rsidRPr="000E4150">
        <w:rPr>
          <w:rFonts w:asciiTheme="majorBidi" w:eastAsia="Times New Roman" w:hAnsiTheme="majorBidi" w:cstheme="majorBidi"/>
          <w:sz w:val="24"/>
          <w:szCs w:val="24"/>
          <w:lang w:val="en-US" w:eastAsia="en-GB" w:bidi="he-IL"/>
        </w:rPr>
        <w:t xml:space="preserve">present </w:t>
      </w:r>
      <w:r w:rsidR="00787D9B" w:rsidRPr="000E4150">
        <w:rPr>
          <w:rFonts w:asciiTheme="majorBidi" w:eastAsia="Times New Roman" w:hAnsiTheme="majorBidi" w:cstheme="majorBidi"/>
          <w:sz w:val="24"/>
          <w:szCs w:val="24"/>
          <w:lang w:val="en-US" w:eastAsia="en-GB" w:bidi="he-IL"/>
        </w:rPr>
        <w:t xml:space="preserve">in healthy individuals and an attenuated version of this network </w:t>
      </w:r>
      <w:r w:rsidR="0078416D" w:rsidRPr="000E4150">
        <w:rPr>
          <w:rFonts w:asciiTheme="majorBidi" w:eastAsia="Times New Roman" w:hAnsiTheme="majorBidi" w:cstheme="majorBidi"/>
          <w:sz w:val="24"/>
          <w:szCs w:val="24"/>
          <w:lang w:val="en-US" w:eastAsia="en-GB" w:bidi="he-IL"/>
        </w:rPr>
        <w:t>minus</w:t>
      </w:r>
      <w:r w:rsidR="00787D9B" w:rsidRPr="000E4150">
        <w:rPr>
          <w:rFonts w:asciiTheme="majorBidi" w:eastAsia="Times New Roman" w:hAnsiTheme="majorBidi" w:cstheme="majorBidi"/>
          <w:sz w:val="24"/>
          <w:szCs w:val="24"/>
          <w:lang w:val="en-US" w:eastAsia="en-GB" w:bidi="he-IL"/>
        </w:rPr>
        <w:t xml:space="preserve"> thalamic and parietal activation in the unaffected siblings with monetary incentives. Activations were also seen in response to failed impulse control in SDI for money and drug incentives. That all three groups independently exhibited a similar pattern reinforces </w:t>
      </w:r>
      <w:r w:rsidR="00437491" w:rsidRPr="000E4150">
        <w:rPr>
          <w:rFonts w:asciiTheme="majorBidi" w:eastAsia="Times New Roman" w:hAnsiTheme="majorBidi" w:cstheme="majorBidi"/>
          <w:sz w:val="24"/>
          <w:szCs w:val="24"/>
          <w:lang w:val="en-US" w:eastAsia="en-GB" w:bidi="he-IL"/>
        </w:rPr>
        <w:t>its robustness</w:t>
      </w:r>
      <w:r w:rsidR="00787D9B" w:rsidRPr="000E4150">
        <w:rPr>
          <w:rFonts w:asciiTheme="majorBidi" w:eastAsia="Times New Roman" w:hAnsiTheme="majorBidi" w:cstheme="majorBidi"/>
          <w:sz w:val="24"/>
          <w:szCs w:val="24"/>
          <w:lang w:val="en-US" w:eastAsia="en-GB" w:bidi="he-IL"/>
        </w:rPr>
        <w:t xml:space="preserve">. </w:t>
      </w:r>
    </w:p>
    <w:p w14:paraId="3ABB2D49" w14:textId="520A2540" w:rsidR="00787D9B" w:rsidRPr="000E4150" w:rsidRDefault="00787D9B" w:rsidP="00272C9F">
      <w:pPr>
        <w:spacing w:after="0" w:line="480" w:lineRule="auto"/>
        <w:ind w:firstLine="720"/>
        <w:textAlignment w:val="baseline"/>
        <w:rPr>
          <w:rFonts w:asciiTheme="majorBidi" w:eastAsia="Times New Roman" w:hAnsiTheme="majorBidi" w:cstheme="majorBidi"/>
          <w:sz w:val="24"/>
          <w:szCs w:val="24"/>
          <w:lang w:val="en-US" w:eastAsia="en-GB" w:bidi="he-IL"/>
        </w:rPr>
      </w:pPr>
      <w:r w:rsidRPr="000E4150">
        <w:rPr>
          <w:rFonts w:asciiTheme="majorBidi" w:eastAsia="Times New Roman" w:hAnsiTheme="majorBidi" w:cstheme="majorBidi"/>
          <w:sz w:val="24"/>
          <w:szCs w:val="24"/>
          <w:lang w:val="en-US" w:eastAsia="en-GB" w:bidi="he-IL"/>
        </w:rPr>
        <w:t>The regions identified here are known to be differentially activated to errors across a variety of cognitive tasks and populations</w:t>
      </w:r>
      <w:r w:rsidR="000E74C7" w:rsidRPr="000E4150">
        <w:rPr>
          <w:rFonts w:asciiTheme="majorBidi" w:eastAsia="Times New Roman" w:hAnsiTheme="majorBidi" w:cstheme="majorBidi"/>
          <w:sz w:val="24"/>
          <w:szCs w:val="24"/>
          <w:lang w:val="en-US" w:eastAsia="en-GB" w:bidi="he-IL"/>
        </w:rPr>
        <w:t xml:space="preserve"> </w:t>
      </w:r>
      <w:r w:rsidRPr="000E4150">
        <w:rPr>
          <w:rFonts w:asciiTheme="majorBidi" w:eastAsia="Times New Roman" w:hAnsiTheme="majorBidi" w:cstheme="majorBidi"/>
          <w:sz w:val="24"/>
          <w:szCs w:val="24"/>
          <w:lang w:val="en-US" w:eastAsia="en-GB" w:bidi="he-IL"/>
        </w:rPr>
        <w:t xml:space="preserve"> </w:t>
      </w:r>
      <w:r w:rsidR="009C27DC" w:rsidRPr="000E4150">
        <w:rPr>
          <w:rFonts w:asciiTheme="majorBidi" w:eastAsia="Times New Roman" w:hAnsiTheme="majorBidi" w:cstheme="majorBidi"/>
          <w:sz w:val="24"/>
          <w:szCs w:val="24"/>
          <w:lang w:val="en-US" w:eastAsia="en-GB" w:bidi="he-IL"/>
        </w:rPr>
        <w:fldChar w:fldCharType="begin" w:fldLock="1"/>
      </w:r>
      <w:r w:rsidR="00760109" w:rsidRPr="000E4150">
        <w:rPr>
          <w:rFonts w:asciiTheme="majorBidi" w:eastAsia="Times New Roman" w:hAnsiTheme="majorBidi" w:cstheme="majorBidi"/>
          <w:sz w:val="24"/>
          <w:szCs w:val="24"/>
          <w:lang w:val="en-US" w:eastAsia="en-GB" w:bidi="he-IL"/>
        </w:rPr>
        <w:instrText>ADDIN CSL_CITATION {"citationItems":[{"id":"ITEM-1","itemData":{"DOI":"10.1523/JNEUROSCI.1313-14.2015","ISBN":"0270-6474, 1529-2401","ISSN":"0270-6474","PMID":"1000106310","abstract":"A number of studies have focused on the role of specific brain regions, such as the dorsal anterior cingulate cortex during trials on which participants make errors, whereas others have implicated a host of more widely distributed regions in the human brain. Previous work has proposed that there are multiple cognitive control networks, raising the question of whether error-related activity can be found in each of these networks. Thus, to examine error-related activity broadly, we conducted a meta-analysis consisting of 12 tasks that included both error and correct trials. These tasks varied by stimulus input (visual, auditory), response output (button press, speech), stimulus category (words, pictures), and task type (e.g., recognition memory, mental rotation). We identified 41 brain regions that showed a differential fMRI BOLD response to error and correct trials across a majority of tasks. These regions displayed three unique response profiles: (1) fast, (2) prolonged, and (3) a delayed response to errors, as well as a more canonical response to correct trials. These regions were found mostly in several control networks, each network predominantly displaying one response profile. The one exception to this \"one network, one response profile\" observation is the frontoparietal network, which showed prolonged response profiles (all in the right hemisphere), and fast profiles (all but one in the left hemisphere). We suggest that, in the place of a single localized error mechanism, these findings point to a large-scale set of error-related regions across multiple systems that likely subserve different functions.","author":[{"dropping-particle":"","family":"Neta","given":"M.","non-dropping-particle":"","parse-names":false,"suffix":""},{"dropping-particle":"","family":"Miezin","given":"F. M.","non-dropping-particle":"","parse-names":false,"suffix":""},{"dropping-particle":"","family":"Nelson","given":"S. M.","non-dropping-particle":"","parse-names":false,"suffix":""},{"dropping-particle":"","family":"Dubis","given":"J. W.","non-dropping-particle":"","parse-names":false,"suffix":""},{"dropping-particle":"","family":"Dosenbach","given":"N. U. F.","non-dropping-particle":"","parse-names":false,"suffix":""},{"dropping-particle":"","family":"Schlaggar","given":"B. L.","non-dropping-particle":"","parse-names":false,"suffix":""},{"dropping-particle":"","family":"Petersen","given":"S. E.","non-dropping-particle":"","parse-names":false,"suffix":""}],"container-title":"Journal of Neuroscience","id":"ITEM-1","issue":"1","issued":{"date-parts":[["2015"]]},"page":"253-266","title":"Spatial and Temporal Characteristics of Error-Related Activity in the Human Brain","type":"article-journal","volume":"35"},"uris":["http://www.mendeley.com/documents/?uuid=fe620045-646b-4eda-94b2-c96e4c1ae821"]},{"id":"ITEM-2","itemData":{"DOI":"10.1016/j.biopsych.2018.11.010","ISBN":"4201706249","ISSN":"18732402","abstract":"Background: Error processing and inhibitory control enable the adjustment of behaviors to meet task demands. Functional magnetic resonance imaging studies report brain activation abnormalities in patients with obsessive-compulsive disorder (OCD) during both processes. However, conclusions are limited by inconsistencies in the literature and small sample sizes. Therefore, the aim here was to perform a meta-analysis of the existing literature using unthresholded statistical maps from previous studies. Methods: A voxelwise seed-based d mapping meta-analysis was performed using t-maps from studies comparing patients with OCD and healthy control subjects (HCs) during error processing and inhibitory control. For the error processing analysis, 239 patients with OCD (120 male; 79 medicated) and 229 HCs (129 male) were included, while the inhibitory control analysis included 245 patients with OCD (120 male; 91 medicated) and 239 HCs (135 male). Results: Patients with OCD, relative to HCs, showed longer inhibitory control reaction time (standardized mean difference = 0.20, p =.03, 95% confidence interval = 0.016, 0.393) and more inhibitory control errors (standardized mean difference = 0.22, p =.02, 95% confidence interval = 0.039, 0.399). In the brain, patients showed hyperactivation in the bilateral dorsal anterior cingulate cortex, supplementary motor area, and pre-supplementary motor area as well as right anterior insula/frontal operculum and anterior lateral prefrontal cortex during error processing but showed hypoactivation during inhibitory control in the rostral and ventral anterior cingulate cortices and bilateral thalamus/caudate, as well as the right anterior insula/frontal operculum, supramarginal gyrus, and medial orbitofrontal cortex (all seed-based d mapping z value &gt;2, p &lt;.001). Conclusions: A hyperactive error processing mechanism in conjunction with impairments in implementing inhibitory control may underlie deficits in stopping unwanted compulsive behaviors in the disorder.","author":[{"dropping-particle":"","family":"Norman","given":"Luke J.","non-dropping-particle":"","parse-names":false,"suffix":""},{"dropping-particle":"","family":"Taylor","given":"Stephan F.","non-dropping-particle":"","parse-names":false,"suffix":""},{"dropping-particle":"","family":"Liu","given":"Yanni","non-dropping-particle":"","parse-names":false,"suffix":""},{"dropping-particle":"","family":"Radua","given":"Joaquim","non-dropping-particle":"","parse-names":false,"suffix":""},{"dropping-particle":"","family":"Chye","given":"Yann","non-dropping-particle":"","parse-names":false,"suffix":""},{"dropping-particle":"","family":"Wit","given":"Stella J.","non-dropping-particle":"De","parse-names":false,"suffix":""},{"dropping-particle":"","family":"Huyser","given":"Chaim","non-dropping-particle":"","parse-names":false,"suffix":""},{"dropping-particle":"","family":"Karahanoglu","given":"F. Isik","non-dropping-particle":"","parse-names":false,"suffix":""},{"dropping-particle":"","family":"Luks","given":"Tracy","non-dropping-particle":"","parse-names":false,"suffix":""},{"dropping-particle":"","family":"Manoach","given":"Dara","non-dropping-particle":"","parse-names":false,"suffix":""},{"dropping-particle":"","family":"Mathews","given":"Carol","non-dropping-particle":"","parse-names":false,"suffix":""},{"dropping-particle":"","family":"Rubia","given":"Katya","non-dropping-particle":"","parse-names":false,"suffix":""},{"dropping-particle":"","family":"Suo","given":"Chao","non-dropping-particle":"","parse-names":false,"suffix":""},{"dropping-particle":"","family":"Heuvel","given":"Odile A.","non-dropping-particle":"van den","parse-names":false,"suffix":""},{"dropping-particle":"","family":"Yücel","given":"Murat","non-dropping-particle":"","parse-names":false,"suffix":""},{"dropping-particle":"","family":"Fitzgerald","given":"Kate","non-dropping-particle":"","parse-names":false,"suffix":""}],"container-title":"Biological Psychiatry","id":"ITEM-2","issue":"9","issued":{"date-parts":[["2019"]]},"page":"713-725","publisher":"Elsevier Inc","title":"Error Processing and Inhibitory Control in Obsessive-Compulsive Disorder: A Meta-analysis Using Statistical Parametric Maps","type":"article-journal","volume":"85"},"uris":["http://www.mendeley.com/documents/?uuid=2ed9273f-5c5f-44a3-be5b-7832336e604e"]}],"mendeley":{"formattedCitation":"[Neta et al., 2015; Norman et al., 2019]","plainTextFormattedCitation":"[Neta et al., 2015; Norman et al., 2019]","previouslyFormattedCitation":"[Neta et al., 2015; Norman et al., 2019]"},"properties":{"noteIndex":0},"schema":"https://github.com/citation-style-language/schema/raw/master/csl-citation.json"}</w:instrText>
      </w:r>
      <w:r w:rsidR="009C27DC" w:rsidRPr="000E4150">
        <w:rPr>
          <w:rFonts w:asciiTheme="majorBidi" w:eastAsia="Times New Roman" w:hAnsiTheme="majorBidi" w:cstheme="majorBidi"/>
          <w:sz w:val="24"/>
          <w:szCs w:val="24"/>
          <w:lang w:val="en-US" w:eastAsia="en-GB" w:bidi="he-IL"/>
        </w:rPr>
        <w:fldChar w:fldCharType="separate"/>
      </w:r>
      <w:r w:rsidR="00E06636" w:rsidRPr="000E4150">
        <w:rPr>
          <w:rFonts w:asciiTheme="majorBidi" w:eastAsia="Times New Roman" w:hAnsiTheme="majorBidi" w:cstheme="majorBidi"/>
          <w:noProof/>
          <w:sz w:val="24"/>
          <w:szCs w:val="24"/>
          <w:lang w:val="en-US" w:eastAsia="en-GB" w:bidi="he-IL"/>
        </w:rPr>
        <w:t>[Neta et al., 2015; Norman et al., 2019]</w:t>
      </w:r>
      <w:r w:rsidR="009C27DC" w:rsidRPr="000E4150">
        <w:rPr>
          <w:rFonts w:asciiTheme="majorBidi" w:eastAsia="Times New Roman" w:hAnsiTheme="majorBidi" w:cstheme="majorBidi"/>
          <w:sz w:val="24"/>
          <w:szCs w:val="24"/>
          <w:lang w:val="en-US" w:eastAsia="en-GB" w:bidi="he-IL"/>
        </w:rPr>
        <w:fldChar w:fldCharType="end"/>
      </w:r>
      <w:r w:rsidR="00405143" w:rsidRPr="000E4150">
        <w:rPr>
          <w:rFonts w:asciiTheme="majorBidi" w:eastAsia="Times New Roman" w:hAnsiTheme="majorBidi" w:cstheme="majorBidi"/>
          <w:sz w:val="24"/>
          <w:szCs w:val="24"/>
          <w:lang w:val="en-US" w:eastAsia="en-GB" w:bidi="he-IL"/>
        </w:rPr>
        <w:t>.</w:t>
      </w:r>
      <w:r w:rsidRPr="000E4150">
        <w:rPr>
          <w:rFonts w:asciiTheme="majorBidi" w:eastAsia="Times New Roman" w:hAnsiTheme="majorBidi" w:cstheme="majorBidi"/>
          <w:sz w:val="24"/>
          <w:szCs w:val="24"/>
          <w:lang w:val="en-US" w:eastAsia="en-GB" w:bidi="he-IL"/>
        </w:rPr>
        <w:t xml:space="preserve"> This is in keeping with the notion that premature responses are brought about by failure of control processes.</w:t>
      </w:r>
      <w:r w:rsidR="00F126EF" w:rsidRPr="000E4150">
        <w:rPr>
          <w:rFonts w:asciiTheme="majorBidi" w:eastAsia="Times New Roman" w:hAnsiTheme="majorBidi" w:cstheme="majorBidi"/>
          <w:sz w:val="24"/>
          <w:szCs w:val="24"/>
          <w:lang w:val="en-US" w:eastAsia="en-GB" w:bidi="he-IL"/>
        </w:rPr>
        <w:t xml:space="preserve"> A</w:t>
      </w:r>
      <w:r w:rsidRPr="000E4150">
        <w:rPr>
          <w:rFonts w:asciiTheme="majorBidi" w:eastAsia="Times New Roman" w:hAnsiTheme="majorBidi" w:cstheme="majorBidi"/>
          <w:sz w:val="24"/>
          <w:szCs w:val="24"/>
          <w:lang w:val="en-US" w:eastAsia="en-GB" w:bidi="he-IL"/>
        </w:rPr>
        <w:t>nalyses of failures when trying to stop a prepotent response reveal similar regions encompassing the IFC, ACC, dorsal caudate and inferior parietal cortex</w:t>
      </w:r>
      <w:r w:rsidR="006E4E8F" w:rsidRPr="000E4150">
        <w:rPr>
          <w:rFonts w:asciiTheme="majorBidi" w:eastAsia="Times New Roman" w:hAnsiTheme="majorBidi" w:cstheme="majorBidi"/>
          <w:sz w:val="24"/>
          <w:szCs w:val="24"/>
          <w:lang w:val="en-US" w:eastAsia="en-GB" w:bidi="he-IL"/>
        </w:rPr>
        <w:t xml:space="preserve"> </w:t>
      </w:r>
      <w:r w:rsidR="006E4E8F" w:rsidRPr="000E4150">
        <w:rPr>
          <w:rFonts w:asciiTheme="majorBidi" w:eastAsia="Times New Roman" w:hAnsiTheme="majorBidi" w:cstheme="majorBidi"/>
          <w:sz w:val="24"/>
          <w:szCs w:val="24"/>
          <w:lang w:val="en-US" w:eastAsia="en-GB" w:bidi="he-IL"/>
        </w:rPr>
        <w:fldChar w:fldCharType="begin" w:fldLock="1"/>
      </w:r>
      <w:r w:rsidR="00760109" w:rsidRPr="000E4150">
        <w:rPr>
          <w:rFonts w:asciiTheme="majorBidi" w:eastAsia="Times New Roman" w:hAnsiTheme="majorBidi" w:cstheme="majorBidi"/>
          <w:sz w:val="24"/>
          <w:szCs w:val="24"/>
          <w:lang w:val="en-US" w:eastAsia="en-GB" w:bidi="he-IL"/>
        </w:rPr>
        <w:instrText>ADDIN CSL_CITATION {"citationItems":[{"id":"ITEM-1","itemData":{"DOI":"10.1038/nn.3092","ISSN":"1097-6256","abstract":"Impulsivity is a multi-dimensional construct, and it is plausible that distinct brain networks contribute to its different aspects. Here the authors identify distinct cortical and subcortical networks underlying cognitive, clinical and genetic dimensions of impulsivity in a large sample of adolescents.","author":[{"dropping-particle":"","family":"Whelan","given":"Robert","non-dropping-particle":"","parse-names":false,"suffix":""},{"dropping-particle":"","family":"Conrod","given":"Patricia J","non-dropping-particle":"","parse-names":false,"suffix":""},{"dropping-particle":"","family":"Poline","given":"Jean-Baptiste","non-dropping-particle":"","parse-names":false,"suffix":""},{"dropping-particle":"","family":"Lourdusamy","given":"Anbarasu","non-dropping-particle":"","parse-names":false,"suffix":""},{"dropping-particle":"","family":"Banaschewski","given":"Tobias","non-dropping-particle":"","parse-names":false,"suffix":""},{"dropping-particle":"","family":"Barker","given":"Gareth J","non-dropping-particle":"","parse-names":false,"suffix":""},{"dropping-particle":"","family":"Bellgrove","given":"Mark A","non-dropping-particle":"","parse-names":false,"suffix":""},{"dropping-particle":"","family":"Büchel","given":"Christian","non-dropping-particle":"","parse-names":false,"suffix":""},{"dropping-particle":"","family":"Byrne","given":"Mark","non-dropping-particle":"","parse-names":false,"suffix":""},{"dropping-particle":"","family":"Cummins","given":"Tarrant D R","non-dropping-particle":"","parse-names":false,"suffix":""},{"dropping-particle":"","family":"Fauth-Bühler","given":"Mira","non-dropping-particle":"","parse-names":false,"suffix":""},{"dropping-particle":"","family":"Flor","given":"Herta","non-dropping-particle":"","parse-names":false,"suffix":""},{"dropping-particle":"","family":"Gallinat","given":"Jürgen","non-dropping-particle":"","parse-names":false,"suffix":""},{"dropping-particle":"","family":"Heinz","given":"Andreas","non-dropping-particle":"","parse-names":false,"suffix":""},{"dropping-particle":"","family":"Ittermann","given":"Bernd","non-dropping-particle":"","parse-names":false,"suffix":""},{"dropping-particle":"","family":"Mann","given":"Karl","non-dropping-particle":"","parse-names":false,"suffix":""},{"dropping-particle":"","family":"Martinot","given":"Jean-Luc","non-dropping-particle":"","parse-names":false,"suffix":""},{"dropping-particle":"","family":"Lalor","given":"Edmund C","non-dropping-particle":"","parse-names":false,"suffix":""},{"dropping-particle":"","family":"Lathrop","given":"Mark","non-dropping-particle":"","parse-names":false,"suffix":""},{"dropping-particle":"","family":"Loth","given":"Eva","non-dropping-particle":"","parse-names":false,"suffix":""},{"dropping-particle":"","family":"Nees","given":"Frauke","non-dropping-particle":"","parse-names":false,"suffix":""},{"dropping-particle":"","family":"Paus","given":"Tomas","non-dropping-particle":"","parse-names":false,"suffix":""},{"dropping-particle":"","family":"Rietschel","given":"Marcella","non-dropping-particle":"","parse-names":false,"suffix":""},{"dropping-particle":"","family":"Smolka","given":"Michael N","non-dropping-particle":"","parse-names":false,"suffix":""},{"dropping-particle":"","family":"Spanagel","given":"Rainer","non-dropping-particle":"","parse-names":false,"suffix":""},{"dropping-particle":"","family":"Stephens","given":"David N","non-dropping-particle":"","parse-names":false,"suffix":""},{"dropping-particle":"","family":"Struve","given":"Maren","non-dropping-particle":"","parse-names":false,"suffix":""},{"dropping-particle":"","family":"Thyreau","given":"Benjamin","non-dropping-particle":"","parse-names":false,"suffix":""},{"dropping-particle":"","family":"Vollstaedt-Klein","given":"Sabine","non-dropping-particle":"","parse-names":false,"suffix":""},{"dropping-particle":"","family":"Robbins","given":"Trevor W","non-dropping-particle":"","parse-names":false,"suffix":""},{"dropping-particle":"","family":"Schumann","given":"Gunter","non-dropping-particle":"","parse-names":false,"suffix":""},{"dropping-particle":"","family":"Garavan","given":"Hugh","non-dropping-particle":"","parse-names":false,"suffix":""},{"dropping-particle":"","family":"Consortium","given":"the IMAGEN","non-dropping-particle":"","parse-names":false,"suffix":""}],"container-title":"Nature Neuroscience","id":"ITEM-1","issue":"6","issued":{"date-parts":[["2012","6","29"]]},"page":"920-925","publisher":"Nature Publishing Group","title":"Adolescent impulsivity phenotypes characterized by distinct brain networks","type":"article-journal","volume":"15"},"uris":["http://www.mendeley.com/documents/?uuid=260fd196-de87-421d-96cc-f118d2c17904"]}],"mendeley":{"formattedCitation":"[Whelan et al., 2012]","plainTextFormattedCitation":"[Whelan et al., 2012]","previouslyFormattedCitation":"[Whelan et al., 2012]"},"properties":{"noteIndex":0},"schema":"https://github.com/citation-style-language/schema/raw/master/csl-citation.json"}</w:instrText>
      </w:r>
      <w:r w:rsidR="006E4E8F" w:rsidRPr="000E4150">
        <w:rPr>
          <w:rFonts w:asciiTheme="majorBidi" w:eastAsia="Times New Roman" w:hAnsiTheme="majorBidi" w:cstheme="majorBidi"/>
          <w:sz w:val="24"/>
          <w:szCs w:val="24"/>
          <w:lang w:val="en-US" w:eastAsia="en-GB" w:bidi="he-IL"/>
        </w:rPr>
        <w:fldChar w:fldCharType="separate"/>
      </w:r>
      <w:r w:rsidR="00E06636" w:rsidRPr="000E4150">
        <w:rPr>
          <w:rFonts w:asciiTheme="majorBidi" w:eastAsia="Times New Roman" w:hAnsiTheme="majorBidi" w:cstheme="majorBidi"/>
          <w:noProof/>
          <w:sz w:val="24"/>
          <w:szCs w:val="24"/>
          <w:lang w:val="en-US" w:eastAsia="en-GB" w:bidi="he-IL"/>
        </w:rPr>
        <w:t>[Whelan et al., 2012]</w:t>
      </w:r>
      <w:r w:rsidR="006E4E8F" w:rsidRPr="000E4150">
        <w:rPr>
          <w:rFonts w:asciiTheme="majorBidi" w:eastAsia="Times New Roman" w:hAnsiTheme="majorBidi" w:cstheme="majorBidi"/>
          <w:sz w:val="24"/>
          <w:szCs w:val="24"/>
          <w:lang w:val="en-US" w:eastAsia="en-GB" w:bidi="he-IL"/>
        </w:rPr>
        <w:fldChar w:fldCharType="end"/>
      </w:r>
      <w:r w:rsidRPr="000E4150">
        <w:rPr>
          <w:rFonts w:asciiTheme="majorBidi" w:eastAsia="Times New Roman" w:hAnsiTheme="majorBidi" w:cstheme="majorBidi"/>
          <w:sz w:val="24"/>
          <w:szCs w:val="24"/>
          <w:lang w:val="en-US" w:eastAsia="en-GB" w:bidi="he-IL"/>
        </w:rPr>
        <w:t xml:space="preserve">. At the same time, premature responding is of special interest as it is instigated in </w:t>
      </w:r>
      <w:r w:rsidRPr="000E4150">
        <w:rPr>
          <w:rFonts w:asciiTheme="majorBidi" w:eastAsia="Times New Roman" w:hAnsiTheme="majorBidi" w:cstheme="majorBidi"/>
          <w:sz w:val="24"/>
          <w:szCs w:val="24"/>
          <w:lang w:val="en-US" w:eastAsia="en-GB" w:bidi="he-IL"/>
        </w:rPr>
        <w:lastRenderedPageBreak/>
        <w:t xml:space="preserve">the presence of an incentive-driven impulse, pointing to general error processing mechanisms transcending different motivational contexts. </w:t>
      </w:r>
    </w:p>
    <w:p w14:paraId="39C52562" w14:textId="71F40426" w:rsidR="00787D9B" w:rsidRPr="000E4150" w:rsidRDefault="00F126EF" w:rsidP="00272C9F">
      <w:pPr>
        <w:spacing w:after="0" w:line="480" w:lineRule="auto"/>
        <w:ind w:firstLine="720"/>
        <w:textAlignment w:val="baseline"/>
        <w:rPr>
          <w:rFonts w:asciiTheme="majorBidi" w:eastAsia="Times New Roman" w:hAnsiTheme="majorBidi" w:cstheme="majorBidi"/>
          <w:sz w:val="24"/>
          <w:szCs w:val="24"/>
          <w:lang w:val="en-US" w:eastAsia="en-GB" w:bidi="he-IL"/>
        </w:rPr>
      </w:pPr>
      <w:r w:rsidRPr="000E4150">
        <w:rPr>
          <w:rFonts w:asciiTheme="majorBidi" w:eastAsia="Times New Roman" w:hAnsiTheme="majorBidi" w:cstheme="majorBidi"/>
          <w:sz w:val="24"/>
          <w:szCs w:val="24"/>
          <w:lang w:val="en-US" w:eastAsia="en-GB" w:bidi="he-IL"/>
        </w:rPr>
        <w:t xml:space="preserve">At </w:t>
      </w:r>
      <w:r w:rsidR="00A66BBA" w:rsidRPr="000E4150">
        <w:rPr>
          <w:rFonts w:asciiTheme="majorBidi" w:eastAsia="Times New Roman" w:hAnsiTheme="majorBidi" w:cstheme="majorBidi"/>
          <w:sz w:val="24"/>
          <w:szCs w:val="24"/>
          <w:lang w:val="en-US" w:eastAsia="en-GB" w:bidi="he-IL"/>
        </w:rPr>
        <w:t xml:space="preserve">the </w:t>
      </w:r>
      <w:r w:rsidRPr="000E4150">
        <w:rPr>
          <w:rFonts w:asciiTheme="majorBidi" w:eastAsia="Times New Roman" w:hAnsiTheme="majorBidi" w:cstheme="majorBidi"/>
          <w:sz w:val="24"/>
          <w:szCs w:val="24"/>
          <w:lang w:val="en-US" w:eastAsia="en-GB" w:bidi="he-IL"/>
        </w:rPr>
        <w:t>group level</w:t>
      </w:r>
      <w:r w:rsidR="00787D9B" w:rsidRPr="000E4150">
        <w:rPr>
          <w:rFonts w:asciiTheme="majorBidi" w:eastAsia="Times New Roman" w:hAnsiTheme="majorBidi" w:cstheme="majorBidi"/>
          <w:sz w:val="24"/>
          <w:szCs w:val="24"/>
          <w:lang w:val="en-US" w:eastAsia="en-GB" w:bidi="he-IL"/>
        </w:rPr>
        <w:t xml:space="preserve"> the neural correlates of action restraint were intimately linked to the personal relevance of the incentives. </w:t>
      </w:r>
      <w:r w:rsidR="00A66BBA" w:rsidRPr="000E4150">
        <w:rPr>
          <w:rFonts w:asciiTheme="majorBidi" w:eastAsia="Times New Roman" w:hAnsiTheme="majorBidi" w:cstheme="majorBidi"/>
          <w:sz w:val="24"/>
          <w:szCs w:val="24"/>
          <w:lang w:val="en-US" w:eastAsia="en-GB" w:bidi="he-IL"/>
        </w:rPr>
        <w:t>Thus</w:t>
      </w:r>
      <w:r w:rsidR="00787D9B" w:rsidRPr="000E4150">
        <w:rPr>
          <w:rFonts w:asciiTheme="majorBidi" w:eastAsia="Times New Roman" w:hAnsiTheme="majorBidi" w:cstheme="majorBidi"/>
          <w:sz w:val="24"/>
          <w:szCs w:val="24"/>
          <w:lang w:val="en-US" w:eastAsia="en-GB" w:bidi="he-IL"/>
        </w:rPr>
        <w:t xml:space="preserve">, subjective value across </w:t>
      </w:r>
      <w:r w:rsidR="00A66BBA" w:rsidRPr="000E4150">
        <w:rPr>
          <w:rFonts w:asciiTheme="majorBidi" w:eastAsia="Times New Roman" w:hAnsiTheme="majorBidi" w:cstheme="majorBidi"/>
          <w:sz w:val="24"/>
          <w:szCs w:val="24"/>
          <w:lang w:val="en-US" w:eastAsia="en-GB" w:bidi="he-IL"/>
        </w:rPr>
        <w:t xml:space="preserve">all </w:t>
      </w:r>
      <w:r w:rsidR="00787D9B" w:rsidRPr="000E4150">
        <w:rPr>
          <w:rFonts w:asciiTheme="majorBidi" w:eastAsia="Times New Roman" w:hAnsiTheme="majorBidi" w:cstheme="majorBidi"/>
          <w:sz w:val="24"/>
          <w:szCs w:val="24"/>
          <w:lang w:val="en-US" w:eastAsia="en-GB" w:bidi="he-IL"/>
        </w:rPr>
        <w:t>incentive types elicit</w:t>
      </w:r>
      <w:r w:rsidR="00A66BBA" w:rsidRPr="000E4150">
        <w:rPr>
          <w:rFonts w:asciiTheme="majorBidi" w:eastAsia="Times New Roman" w:hAnsiTheme="majorBidi" w:cstheme="majorBidi"/>
          <w:sz w:val="24"/>
          <w:szCs w:val="24"/>
          <w:lang w:val="en-US" w:eastAsia="en-GB" w:bidi="he-IL"/>
        </w:rPr>
        <w:t>ed</w:t>
      </w:r>
      <w:r w:rsidR="00787D9B" w:rsidRPr="000E4150">
        <w:rPr>
          <w:rFonts w:asciiTheme="majorBidi" w:eastAsia="Times New Roman" w:hAnsiTheme="majorBidi" w:cstheme="majorBidi"/>
          <w:sz w:val="24"/>
          <w:szCs w:val="24"/>
          <w:lang w:val="en-US" w:eastAsia="en-GB" w:bidi="he-IL"/>
        </w:rPr>
        <w:t xml:space="preserve"> </w:t>
      </w:r>
      <w:r w:rsidR="00723176" w:rsidRPr="000E4150">
        <w:rPr>
          <w:rFonts w:asciiTheme="majorBidi" w:eastAsia="Times New Roman" w:hAnsiTheme="majorBidi" w:cstheme="majorBidi"/>
          <w:sz w:val="24"/>
          <w:szCs w:val="24"/>
          <w:lang w:val="en-US" w:eastAsia="en-GB" w:bidi="he-IL"/>
        </w:rPr>
        <w:t xml:space="preserve">activation in </w:t>
      </w:r>
      <w:r w:rsidR="00787D9B" w:rsidRPr="000E4150">
        <w:rPr>
          <w:rFonts w:asciiTheme="majorBidi" w:eastAsia="Times New Roman" w:hAnsiTheme="majorBidi" w:cstheme="majorBidi"/>
          <w:sz w:val="24"/>
          <w:szCs w:val="24"/>
          <w:lang w:val="en-US" w:eastAsia="en-GB" w:bidi="he-IL"/>
        </w:rPr>
        <w:t>the regions described above</w:t>
      </w:r>
      <w:r w:rsidR="00C74360" w:rsidRPr="000E4150">
        <w:rPr>
          <w:rFonts w:asciiTheme="majorBidi" w:eastAsia="Times New Roman" w:hAnsiTheme="majorBidi" w:cstheme="majorBidi"/>
          <w:sz w:val="24"/>
          <w:szCs w:val="24"/>
          <w:lang w:val="en-US" w:eastAsia="en-GB" w:bidi="he-IL"/>
        </w:rPr>
        <w:t xml:space="preserve"> </w:t>
      </w:r>
      <w:r w:rsidR="00C74360" w:rsidRPr="000E4150">
        <w:rPr>
          <w:rFonts w:asciiTheme="majorBidi" w:eastAsia="Times New Roman" w:hAnsiTheme="majorBidi" w:cstheme="majorBidi"/>
          <w:sz w:val="24"/>
          <w:szCs w:val="24"/>
          <w:lang w:val="en-US" w:eastAsia="en-GB" w:bidi="he-IL"/>
        </w:rPr>
        <w:fldChar w:fldCharType="begin" w:fldLock="1"/>
      </w:r>
      <w:r w:rsidR="00760109" w:rsidRPr="000E4150">
        <w:rPr>
          <w:rFonts w:asciiTheme="majorBidi" w:eastAsia="Times New Roman" w:hAnsiTheme="majorBidi" w:cstheme="majorBidi"/>
          <w:sz w:val="24"/>
          <w:szCs w:val="24"/>
          <w:lang w:val="en-US" w:eastAsia="en-GB" w:bidi="he-IL"/>
        </w:rPr>
        <w:instrText>ADDIN CSL_CITATION {"citationItems":[{"id":"ITEM-1","itemData":{"DOI":"10.1016/j.neuroimage.2013.02.063.The","ISBN":"1095-9572 (Electronic)\\n1053-8119 (Linking)","ISSN":"10538119","PMID":"23507394","abstract":"Numerous experiments have recently sought to identify neural signals associated with the subjective value (SV) of choice alternatives. Theoretically, SV assessment is an intermediate computational step during decision making, in which alternatives are placed on a common scale to facilitate value-maximizing choice. Here we present a quantitative, coordinate-based meta- analysis of 206 published fMRI studies investigating neural correlates of SV. Our results identify two general patterns of SV-correlated brain responses. In one set of regions, positive and negative effects of SV on BOLD are reported at above-chance rates across the literature. Areas both exhibiting this pattern include anterior insula, dorsomedial prefrontal cortex, dorsal and posterior striatum, and thalamus. The mixture of positive and negative effects potentially reflects an underlying U-shaped function, indicative of signal related to arousal or salience. In a second set of areas, including ventromedial prefrontal cortex and anterior ventral striatum, positive effects predominate. Positive effects in the latter regions are seen both when a decision is confronted and when an outcome is delivered, as well as for both monetary and primary rewards. These regions appear to constitute a \"valuation system,\" carrying a domain-general SV signal and potentially contributing to value-based decision making.","author":[{"dropping-particle":"","family":"Bartra","given":"Oscar","non-dropping-particle":"","parse-names":false,"suffix":""},{"dropping-particle":"","family":"McGuire","given":"Joseph T.","non-dropping-particle":"","parse-names":false,"suffix":""},{"dropping-particle":"","family":"Kable","given":"Joseph W.","non-dropping-particle":"","parse-names":false,"suffix":""}],"container-title":"Neuroimage","id":"ITEM-1","issue":"4","issued":{"date-parts":[["2013"]]},"page":"412-427","title":"The valuation system: A coordinate-based meta-analysis of BOLD fMRI experiments examining neural correlates of subjective value","type":"article-journal","volume":"25"},"uris":["http://www.mendeley.com/documents/?uuid=c3b0957d-4e98-4d2b-880b-b432b5610013"]}],"mendeley":{"formattedCitation":"[Bartra et al., 2013]","plainTextFormattedCitation":"[Bartra et al., 2013]","previouslyFormattedCitation":"[Bartra et al., 2013]"},"properties":{"noteIndex":0},"schema":"https://github.com/citation-style-language/schema/raw/master/csl-citation.json"}</w:instrText>
      </w:r>
      <w:r w:rsidR="00C74360" w:rsidRPr="000E4150">
        <w:rPr>
          <w:rFonts w:asciiTheme="majorBidi" w:eastAsia="Times New Roman" w:hAnsiTheme="majorBidi" w:cstheme="majorBidi"/>
          <w:sz w:val="24"/>
          <w:szCs w:val="24"/>
          <w:lang w:val="en-US" w:eastAsia="en-GB" w:bidi="he-IL"/>
        </w:rPr>
        <w:fldChar w:fldCharType="separate"/>
      </w:r>
      <w:r w:rsidR="00E06636" w:rsidRPr="000E4150">
        <w:rPr>
          <w:rFonts w:asciiTheme="majorBidi" w:eastAsia="Times New Roman" w:hAnsiTheme="majorBidi" w:cstheme="majorBidi"/>
          <w:noProof/>
          <w:sz w:val="24"/>
          <w:szCs w:val="24"/>
          <w:lang w:val="en-US" w:eastAsia="en-GB" w:bidi="he-IL"/>
        </w:rPr>
        <w:t>[Bartra et al., 2013]</w:t>
      </w:r>
      <w:r w:rsidR="00C74360" w:rsidRPr="000E4150">
        <w:rPr>
          <w:rFonts w:asciiTheme="majorBidi" w:eastAsia="Times New Roman" w:hAnsiTheme="majorBidi" w:cstheme="majorBidi"/>
          <w:sz w:val="24"/>
          <w:szCs w:val="24"/>
          <w:lang w:val="en-US" w:eastAsia="en-GB" w:bidi="he-IL"/>
        </w:rPr>
        <w:fldChar w:fldCharType="end"/>
      </w:r>
      <w:r w:rsidR="00787D9B" w:rsidRPr="000E4150">
        <w:rPr>
          <w:rFonts w:asciiTheme="majorBidi" w:eastAsia="Times New Roman" w:hAnsiTheme="majorBidi" w:cstheme="majorBidi"/>
          <w:sz w:val="24"/>
          <w:szCs w:val="24"/>
          <w:lang w:val="en-US" w:eastAsia="en-GB" w:bidi="he-IL"/>
        </w:rPr>
        <w:t>.</w:t>
      </w:r>
      <w:r w:rsidR="003803E4" w:rsidRPr="000E4150">
        <w:rPr>
          <w:rFonts w:asciiTheme="majorBidi" w:eastAsia="Times New Roman" w:hAnsiTheme="majorBidi" w:cstheme="majorBidi"/>
          <w:sz w:val="24"/>
          <w:szCs w:val="24"/>
          <w:lang w:val="en-US" w:eastAsia="en-GB" w:bidi="he-IL"/>
        </w:rPr>
        <w:t xml:space="preserve"> </w:t>
      </w:r>
      <w:r w:rsidR="00D502B8" w:rsidRPr="000E4150">
        <w:rPr>
          <w:rFonts w:asciiTheme="majorBidi" w:eastAsia="Times New Roman" w:hAnsiTheme="majorBidi" w:cstheme="majorBidi"/>
          <w:sz w:val="24"/>
          <w:szCs w:val="24"/>
          <w:lang w:val="en-US" w:eastAsia="en-GB" w:bidi="he-IL"/>
        </w:rPr>
        <w:t>S</w:t>
      </w:r>
      <w:r w:rsidR="008B43D2" w:rsidRPr="000E4150">
        <w:rPr>
          <w:rFonts w:asciiTheme="majorBidi" w:eastAsia="Times New Roman" w:hAnsiTheme="majorBidi" w:cstheme="majorBidi"/>
          <w:sz w:val="24"/>
          <w:szCs w:val="24"/>
          <w:lang w:val="en-US" w:eastAsia="en-GB" w:bidi="he-IL"/>
        </w:rPr>
        <w:t xml:space="preserve">ubjective </w:t>
      </w:r>
      <w:r w:rsidR="00D27B7F" w:rsidRPr="000E4150">
        <w:rPr>
          <w:rFonts w:asciiTheme="majorBidi" w:eastAsia="Times New Roman" w:hAnsiTheme="majorBidi" w:cstheme="majorBidi"/>
          <w:sz w:val="24"/>
          <w:szCs w:val="24"/>
          <w:lang w:val="en-US" w:eastAsia="en-GB" w:bidi="he-IL"/>
        </w:rPr>
        <w:t xml:space="preserve">value here </w:t>
      </w:r>
      <w:r w:rsidR="00016DC1" w:rsidRPr="000E4150">
        <w:rPr>
          <w:rFonts w:asciiTheme="majorBidi" w:eastAsia="Times New Roman" w:hAnsiTheme="majorBidi" w:cstheme="majorBidi"/>
          <w:sz w:val="24"/>
          <w:szCs w:val="24"/>
          <w:lang w:val="en-US" w:eastAsia="en-GB" w:bidi="he-IL"/>
        </w:rPr>
        <w:t>refers</w:t>
      </w:r>
      <w:r w:rsidR="0052703D" w:rsidRPr="000E4150">
        <w:rPr>
          <w:rFonts w:asciiTheme="majorBidi" w:eastAsia="Times New Roman" w:hAnsiTheme="majorBidi" w:cstheme="majorBidi"/>
          <w:sz w:val="24"/>
          <w:szCs w:val="24"/>
          <w:lang w:val="en-US" w:eastAsia="en-GB" w:bidi="he-IL"/>
        </w:rPr>
        <w:t xml:space="preserve"> </w:t>
      </w:r>
      <w:r w:rsidR="00B233FB" w:rsidRPr="000E4150">
        <w:rPr>
          <w:rFonts w:asciiTheme="majorBidi" w:eastAsia="Times New Roman" w:hAnsiTheme="majorBidi" w:cstheme="majorBidi"/>
          <w:sz w:val="24"/>
          <w:szCs w:val="24"/>
          <w:lang w:val="en-US" w:eastAsia="en-GB" w:bidi="he-IL"/>
        </w:rPr>
        <w:t xml:space="preserve">to </w:t>
      </w:r>
      <w:r w:rsidR="000836D9" w:rsidRPr="000E4150">
        <w:rPr>
          <w:rFonts w:asciiTheme="majorBidi" w:eastAsia="Times New Roman" w:hAnsiTheme="majorBidi" w:cstheme="majorBidi"/>
          <w:sz w:val="24"/>
          <w:szCs w:val="24"/>
          <w:lang w:val="en-US" w:eastAsia="en-GB" w:bidi="he-IL"/>
        </w:rPr>
        <w:t xml:space="preserve">individuals’ </w:t>
      </w:r>
      <w:r w:rsidR="00F76323" w:rsidRPr="000E4150">
        <w:rPr>
          <w:rFonts w:asciiTheme="majorBidi" w:eastAsia="Times New Roman" w:hAnsiTheme="majorBidi" w:cstheme="majorBidi"/>
          <w:sz w:val="24"/>
          <w:szCs w:val="24"/>
          <w:lang w:val="en-US" w:eastAsia="en-GB" w:bidi="he-IL"/>
        </w:rPr>
        <w:t xml:space="preserve">neural </w:t>
      </w:r>
      <w:r w:rsidR="00375FCB" w:rsidRPr="000E4150">
        <w:rPr>
          <w:rFonts w:asciiTheme="majorBidi" w:eastAsia="Times New Roman" w:hAnsiTheme="majorBidi" w:cstheme="majorBidi"/>
          <w:sz w:val="24"/>
          <w:szCs w:val="24"/>
          <w:lang w:val="en-US" w:eastAsia="en-GB" w:bidi="he-IL"/>
        </w:rPr>
        <w:t xml:space="preserve">and behavioral </w:t>
      </w:r>
      <w:r w:rsidR="0052703D" w:rsidRPr="000E4150">
        <w:rPr>
          <w:rFonts w:asciiTheme="majorBidi" w:eastAsia="Times New Roman" w:hAnsiTheme="majorBidi" w:cstheme="majorBidi"/>
          <w:sz w:val="24"/>
          <w:szCs w:val="24"/>
          <w:lang w:val="en-US" w:eastAsia="en-GB" w:bidi="he-IL"/>
        </w:rPr>
        <w:t xml:space="preserve">response rather than </w:t>
      </w:r>
      <w:r w:rsidR="00D634DC" w:rsidRPr="000E4150">
        <w:rPr>
          <w:rFonts w:asciiTheme="majorBidi" w:eastAsia="Times New Roman" w:hAnsiTheme="majorBidi" w:cstheme="majorBidi"/>
          <w:sz w:val="24"/>
          <w:szCs w:val="24"/>
          <w:lang w:val="en-US" w:eastAsia="en-GB" w:bidi="he-IL"/>
        </w:rPr>
        <w:t>self-reported</w:t>
      </w:r>
      <w:r w:rsidR="008B43D2" w:rsidRPr="000E4150">
        <w:rPr>
          <w:rFonts w:asciiTheme="majorBidi" w:eastAsia="Times New Roman" w:hAnsiTheme="majorBidi" w:cstheme="majorBidi"/>
          <w:sz w:val="24"/>
          <w:szCs w:val="24"/>
          <w:lang w:val="en-US" w:eastAsia="en-GB" w:bidi="he-IL"/>
        </w:rPr>
        <w:t xml:space="preserve"> </w:t>
      </w:r>
      <w:r w:rsidR="00DA6441" w:rsidRPr="000E4150">
        <w:rPr>
          <w:rFonts w:asciiTheme="majorBidi" w:eastAsia="Times New Roman" w:hAnsiTheme="majorBidi" w:cstheme="majorBidi"/>
          <w:sz w:val="24"/>
          <w:szCs w:val="24"/>
          <w:lang w:val="en-US" w:eastAsia="en-GB" w:bidi="he-IL"/>
        </w:rPr>
        <w:t>valence or arousal ratings</w:t>
      </w:r>
      <w:r w:rsidR="00C462B0" w:rsidRPr="000E4150">
        <w:rPr>
          <w:rFonts w:asciiTheme="majorBidi" w:eastAsia="Times New Roman" w:hAnsiTheme="majorBidi" w:cstheme="majorBidi"/>
          <w:sz w:val="24"/>
          <w:szCs w:val="24"/>
          <w:lang w:val="en-US" w:eastAsia="en-GB" w:bidi="he-IL"/>
        </w:rPr>
        <w:t>,</w:t>
      </w:r>
      <w:r w:rsidR="008B43D2" w:rsidRPr="000E4150">
        <w:rPr>
          <w:rFonts w:asciiTheme="majorBidi" w:eastAsia="Times New Roman" w:hAnsiTheme="majorBidi" w:cstheme="majorBidi"/>
          <w:sz w:val="24"/>
          <w:szCs w:val="24"/>
          <w:lang w:val="en-US" w:eastAsia="en-GB" w:bidi="he-IL"/>
        </w:rPr>
        <w:t xml:space="preserve"> </w:t>
      </w:r>
      <w:r w:rsidR="00FD6BD1" w:rsidRPr="000E4150">
        <w:rPr>
          <w:rFonts w:asciiTheme="majorBidi" w:eastAsia="Times New Roman" w:hAnsiTheme="majorBidi" w:cstheme="majorBidi"/>
          <w:sz w:val="24"/>
          <w:szCs w:val="24"/>
          <w:lang w:val="en-US" w:eastAsia="en-GB" w:bidi="he-IL"/>
        </w:rPr>
        <w:t xml:space="preserve">which have previously been shown to </w:t>
      </w:r>
      <w:r w:rsidR="0015735B" w:rsidRPr="000E4150">
        <w:rPr>
          <w:rFonts w:asciiTheme="majorBidi" w:eastAsia="Times New Roman" w:hAnsiTheme="majorBidi" w:cstheme="majorBidi"/>
          <w:sz w:val="24"/>
          <w:szCs w:val="24"/>
          <w:lang w:val="en-US" w:eastAsia="en-GB" w:bidi="he-IL"/>
        </w:rPr>
        <w:t xml:space="preserve">diverge in studies of alcohol </w:t>
      </w:r>
      <w:r w:rsidR="00EB38DB" w:rsidRPr="000E4150">
        <w:rPr>
          <w:rFonts w:asciiTheme="majorBidi" w:eastAsia="Times New Roman" w:hAnsiTheme="majorBidi" w:cstheme="majorBidi"/>
          <w:sz w:val="24"/>
          <w:szCs w:val="24"/>
          <w:lang w:val="en-US" w:eastAsia="en-GB" w:bidi="he-IL"/>
        </w:rPr>
        <w:t xml:space="preserve">dependence </w:t>
      </w:r>
      <w:r w:rsidR="00EB38DB" w:rsidRPr="000E4150">
        <w:rPr>
          <w:rFonts w:asciiTheme="majorBidi" w:eastAsia="Times New Roman" w:hAnsiTheme="majorBidi" w:cstheme="majorBidi"/>
          <w:sz w:val="24"/>
          <w:szCs w:val="24"/>
          <w:lang w:val="en-US" w:eastAsia="en-GB" w:bidi="he-IL"/>
        </w:rPr>
        <w:fldChar w:fldCharType="begin" w:fldLock="1"/>
      </w:r>
      <w:r w:rsidR="00166C05" w:rsidRPr="000E4150">
        <w:rPr>
          <w:rFonts w:asciiTheme="majorBidi" w:eastAsia="Times New Roman" w:hAnsiTheme="majorBidi" w:cstheme="majorBidi"/>
          <w:sz w:val="24"/>
          <w:szCs w:val="24"/>
          <w:lang w:val="en-US" w:eastAsia="en-GB" w:bidi="he-IL"/>
        </w:rPr>
        <w:instrText>ADDIN CSL_CITATION {"citationItems":[{"id":"ITEM-1","itemData":{"DOI":"10.1111/j.1369-1600.2011.00347.x","ISSN":"13556215","abstract":"In line with learning theories of drug addiction, drug-related cues may be viewed as important motivators of continued drug use. They may be differentially effective depending on the context and motivational significance. The present study aimed to test the significance of different contexts in modulating alcohol-related cue reactivity. Pictures depicting alcohol intake or its paraphernalia and pictures without any relation to alcohol intake were varied to depict physical and social contexts or different consumptive contexts associated with full/half-full/empty alcohol beverage containers. We obtained ratings of craving, valence and arousal of the cues as well as skin conductance responses (SCRs) and startle reflex modulation measures from 21 abstinent alcohol-dependent patients, recruited from an addiction treatment center, and 21 matched healthy controls. Social scenes and full glasses or bottles were rated as more pleasant and arousing compared with neutral drinking situations and empty glasses or bottles in patients. Furthermore, we found a decreased startle reflex magnitude to social compared with neutral drinking situations, and both higher SCRs and decreased startle reflex magnitude to full compared with empty glasses or bottles in patients versus controls. These results show that both physical and social and consumptive contexts differentially influence cue reactivity in abstinent alcohol-dependent patients with both social and pub-related physical contexts, and the initial consumptive context eliciting the most appetitive and arousing responses. These data have not only important implications for our understanding of the role of learning in drug dependence but also for treatment, which needs to take these factors into account. © 2011 Society for the Study of Addiction.","author":[{"dropping-particle":"","family":"Nees","given":"Frauke","non-dropping-particle":"","parse-names":false,"suffix":""},{"dropping-particle":"","family":"Diener","given":"Carsten","non-dropping-particle":"","parse-names":false,"suffix":""},{"dropping-particle":"","family":"Smolka","given":"Michael N.","non-dropping-particle":"","parse-names":false,"suffix":""},{"dropping-particle":"","family":"Flor","given":"Herta","non-dropping-particle":"","parse-names":false,"suffix":""}],"container-title":"Addiction Biology","id":"ITEM-1","issue":"2","issued":{"date-parts":[["2012"]]},"page":"441-451","title":"The role of context in the processing of alcohol-relevant cues","type":"article-journal","volume":"17"},"uris":["http://www.mendeley.com/documents/?uuid=3514ab38-b504-4ae1-ba63-66313662073d"]}],"mendeley":{"formattedCitation":"[Nees et al., 2012]","plainTextFormattedCitation":"[Nees et al., 2012]","previouslyFormattedCitation":"[Nees et al., 2012]"},"properties":{"noteIndex":0},"schema":"https://github.com/citation-style-language/schema/raw/master/csl-citation.json"}</w:instrText>
      </w:r>
      <w:r w:rsidR="00EB38DB" w:rsidRPr="000E4150">
        <w:rPr>
          <w:rFonts w:asciiTheme="majorBidi" w:eastAsia="Times New Roman" w:hAnsiTheme="majorBidi" w:cstheme="majorBidi"/>
          <w:sz w:val="24"/>
          <w:szCs w:val="24"/>
          <w:lang w:val="en-US" w:eastAsia="en-GB" w:bidi="he-IL"/>
        </w:rPr>
        <w:fldChar w:fldCharType="separate"/>
      </w:r>
      <w:r w:rsidR="00EB38DB" w:rsidRPr="000E4150">
        <w:rPr>
          <w:rFonts w:asciiTheme="majorBidi" w:eastAsia="Times New Roman" w:hAnsiTheme="majorBidi" w:cstheme="majorBidi"/>
          <w:noProof/>
          <w:sz w:val="24"/>
          <w:szCs w:val="24"/>
          <w:lang w:val="en-US" w:eastAsia="en-GB" w:bidi="he-IL"/>
        </w:rPr>
        <w:t>[Nees et al., 2012]</w:t>
      </w:r>
      <w:r w:rsidR="00EB38DB" w:rsidRPr="000E4150">
        <w:rPr>
          <w:rFonts w:asciiTheme="majorBidi" w:eastAsia="Times New Roman" w:hAnsiTheme="majorBidi" w:cstheme="majorBidi"/>
          <w:sz w:val="24"/>
          <w:szCs w:val="24"/>
          <w:lang w:val="en-US" w:eastAsia="en-GB" w:bidi="he-IL"/>
        </w:rPr>
        <w:fldChar w:fldCharType="end"/>
      </w:r>
      <w:r w:rsidR="00EB38DB" w:rsidRPr="000E4150">
        <w:rPr>
          <w:rFonts w:asciiTheme="majorBidi" w:eastAsia="Times New Roman" w:hAnsiTheme="majorBidi" w:cstheme="majorBidi"/>
          <w:sz w:val="24"/>
          <w:szCs w:val="24"/>
          <w:lang w:val="en-US" w:eastAsia="en-GB" w:bidi="he-IL"/>
        </w:rPr>
        <w:t xml:space="preserve">. </w:t>
      </w:r>
      <w:r w:rsidR="00787D9B" w:rsidRPr="000E4150">
        <w:rPr>
          <w:rFonts w:asciiTheme="majorBidi" w:eastAsia="Times New Roman" w:hAnsiTheme="majorBidi" w:cstheme="majorBidi"/>
          <w:sz w:val="24"/>
          <w:szCs w:val="24"/>
          <w:lang w:val="en-US" w:eastAsia="en-GB" w:bidi="he-IL"/>
        </w:rPr>
        <w:t xml:space="preserve">Using multiple incentives revealed that healthy controls and the unaffected siblings exhibited activations when responding prematurely to monetary incentives but not to drug-related cues. SDI demonstrated similar activations but most robustly to drug-related cues where they further showed increased activation in brain areas that encode motivation and emotional salience (e.g., amygdala, OFC). </w:t>
      </w:r>
      <w:r w:rsidR="00723176" w:rsidRPr="000E4150">
        <w:rPr>
          <w:rFonts w:asciiTheme="majorBidi" w:eastAsia="Times New Roman" w:hAnsiTheme="majorBidi" w:cstheme="majorBidi"/>
          <w:sz w:val="24"/>
          <w:szCs w:val="24"/>
          <w:lang w:val="en-US" w:eastAsia="en-GB" w:bidi="he-IL"/>
        </w:rPr>
        <w:t xml:space="preserve">Greater activation to drug incentives </w:t>
      </w:r>
      <w:r w:rsidR="00E008A4" w:rsidRPr="000E4150">
        <w:rPr>
          <w:rFonts w:asciiTheme="majorBidi" w:eastAsia="Times New Roman" w:hAnsiTheme="majorBidi" w:cstheme="majorBidi"/>
          <w:sz w:val="24"/>
          <w:szCs w:val="24"/>
          <w:lang w:val="en-US" w:eastAsia="en-GB" w:bidi="he-IL"/>
        </w:rPr>
        <w:t xml:space="preserve">in these regions </w:t>
      </w:r>
      <w:r w:rsidR="00787D9B" w:rsidRPr="000E4150">
        <w:rPr>
          <w:rFonts w:asciiTheme="majorBidi" w:eastAsia="Times New Roman" w:hAnsiTheme="majorBidi" w:cstheme="majorBidi"/>
          <w:sz w:val="24"/>
          <w:szCs w:val="24"/>
          <w:lang w:val="en-US" w:eastAsia="en-GB" w:bidi="he-IL"/>
        </w:rPr>
        <w:t xml:space="preserve">was accompanied by elevated premature responding in </w:t>
      </w:r>
      <w:r w:rsidR="00BA0401" w:rsidRPr="000E4150">
        <w:rPr>
          <w:rFonts w:asciiTheme="majorBidi" w:eastAsia="Times New Roman" w:hAnsiTheme="majorBidi" w:cstheme="majorBidi"/>
          <w:sz w:val="24"/>
          <w:szCs w:val="24"/>
          <w:lang w:val="en-US" w:eastAsia="en-GB" w:bidi="he-IL"/>
        </w:rPr>
        <w:t xml:space="preserve">the </w:t>
      </w:r>
      <w:r w:rsidR="00787D9B" w:rsidRPr="000E4150">
        <w:rPr>
          <w:rFonts w:asciiTheme="majorBidi" w:eastAsia="Times New Roman" w:hAnsiTheme="majorBidi" w:cstheme="majorBidi"/>
          <w:sz w:val="24"/>
          <w:szCs w:val="24"/>
          <w:lang w:val="en-US" w:eastAsia="en-GB" w:bidi="he-IL"/>
        </w:rPr>
        <w:t xml:space="preserve">active users, suggesting that incentive salience </w:t>
      </w:r>
      <w:r w:rsidR="00A66BBA" w:rsidRPr="000E4150">
        <w:rPr>
          <w:rFonts w:asciiTheme="majorBidi" w:eastAsia="Times New Roman" w:hAnsiTheme="majorBidi" w:cstheme="majorBidi"/>
          <w:sz w:val="24"/>
          <w:szCs w:val="24"/>
          <w:lang w:val="en-US" w:eastAsia="en-GB" w:bidi="he-IL"/>
        </w:rPr>
        <w:t>wa</w:t>
      </w:r>
      <w:r w:rsidR="00787D9B" w:rsidRPr="000E4150">
        <w:rPr>
          <w:rFonts w:asciiTheme="majorBidi" w:eastAsia="Times New Roman" w:hAnsiTheme="majorBidi" w:cstheme="majorBidi"/>
          <w:sz w:val="24"/>
          <w:szCs w:val="24"/>
          <w:lang w:val="en-US" w:eastAsia="en-GB" w:bidi="he-IL"/>
        </w:rPr>
        <w:t>s driving this behavior</w:t>
      </w:r>
      <w:r w:rsidR="00AF1BD5" w:rsidRPr="000E4150">
        <w:rPr>
          <w:rFonts w:asciiTheme="majorBidi" w:eastAsia="Times New Roman" w:hAnsiTheme="majorBidi" w:cstheme="majorBidi"/>
          <w:sz w:val="24"/>
          <w:szCs w:val="24"/>
          <w:lang w:val="en-US" w:eastAsia="en-GB" w:bidi="he-IL"/>
        </w:rPr>
        <w:t xml:space="preserve">, consistent with studies in experimental animals </w:t>
      </w:r>
      <w:r w:rsidR="00787D9B" w:rsidRPr="000E4150">
        <w:rPr>
          <w:rFonts w:asciiTheme="majorBidi" w:eastAsia="Times New Roman" w:hAnsiTheme="majorBidi" w:cstheme="majorBidi"/>
          <w:sz w:val="24"/>
          <w:szCs w:val="24"/>
          <w:lang w:val="en-US" w:eastAsia="en-GB" w:bidi="he-IL"/>
        </w:rPr>
        <w:t xml:space="preserve">and in other addiction-related clinical populations </w:t>
      </w:r>
      <w:r w:rsidR="00F67060" w:rsidRPr="000E4150">
        <w:rPr>
          <w:rFonts w:asciiTheme="majorBidi" w:eastAsia="Times New Roman" w:hAnsiTheme="majorBidi" w:cstheme="majorBidi"/>
          <w:sz w:val="24"/>
          <w:szCs w:val="24"/>
          <w:lang w:val="en-US" w:eastAsia="en-GB" w:bidi="he-IL"/>
        </w:rPr>
        <w:fldChar w:fldCharType="begin" w:fldLock="1"/>
      </w:r>
      <w:r w:rsidR="00760109" w:rsidRPr="000E4150">
        <w:rPr>
          <w:rFonts w:asciiTheme="majorBidi" w:eastAsia="Times New Roman" w:hAnsiTheme="majorBidi" w:cstheme="majorBidi"/>
          <w:sz w:val="24"/>
          <w:szCs w:val="24"/>
          <w:lang w:val="en-US" w:eastAsia="en-GB" w:bidi="he-IL"/>
        </w:rPr>
        <w:instrText>ADDIN CSL_CITATION {"citationItems":[{"id":"ITEM-1","itemData":{"DOI":"10.1098/rstb.2018.0145","ISSN":"14712970","abstract":"Impatience—the failure to wait or tolerate delayed rewards (e.g. food, drug and monetary incentives)—is a common behavioural tendency in humans. However, when rigidly and rapidly expressed with limited regard for future, often negative consequences, impatient or impulsive actions underlie and confer susceptibility for such diverse brain disorders as drug addiction, attention-deficit hyperactivity disorder (ADHD) and major depressive disorder. Consequently, ‘waiting’ impulsivity has emerged as a candidate endophenotype to inform translational research on underlying neurobiological mechanisms and biomarker discovery for many of the so-called impulse-control disorders. Indeed, as reviewed in this article, this research enterprise has revealed a number of unexpected targets and mechanisms for intervention. However, in the context of drug addiction, impulsive decisions that maximize short-term gains (e.g. acute drug consumption) over longer-term punishment (e.g. unemployment, homelessness, personal harm) defin...","author":[{"dropping-particle":"","family":"Dalley","given":"Jeffrey W.","non-dropping-particle":"","parse-names":false,"suffix":""},{"dropping-particle":"","family":"Ersche","given":"Karen D.","non-dropping-particle":"","parse-names":false,"suffix":""}],"container-title":"Philosophical transactions of the Royal Society of London. Series B, Biological sciences","id":"ITEM-1","issue":"1766","issued":{"date-parts":[["2019"]]},"page":"20180145","title":"Neural circuitry and mechanisms of waiting impulsivity: relevance to addiction","type":"article-journal","volume":"374"},"uris":["http://www.mendeley.com/documents/?uuid=98c92bdd-5c2d-4ba1-883f-5c3ec8cc851b"]},{"id":"ITEM-2","itemData":{"DOI":"10.1007/s40429-014-0036-5","abstract":"Waiting impulsivity, also known as premature or anticipatory responding, is well established in preclinical studies through the 5-Choice Serial Reaction Time (5-CSRT) task. Waiting impulsivity is important in disorders of addiction. Preclinical studies suggest a role both as a predictor, and as a consequence, in disorders of addiction. Here we discuss the relationship between the preclinical 5-CSRT and translational fidelity in newly developed translational tasks. Preclinical and clinical literature relevant to premature responding and disorders of addiction are reviewed. Understanding which processes are critical to premature responding is important in understanding the nature of premature responding. Premature responding may also have overlaps with motivational processes, proactive response inhibition, tonic inhibitory processes, and delay discounting.","author":[{"dropping-particle":"","family":"Voon","given":"Valerie","non-dropping-particle":"","parse-names":false,"suffix":""}],"container-title":"Current Addiction Reports","id":"ITEM-2","issue":"4","issued":{"date-parts":[["2014"]]},"page":"281-288","title":"Models of Impulsivity with a Focus on Waiting Impulsivity: Translational Potential for Neuropsychiatric Disorders","type":"article-journal","volume":"1"},"uris":["http://www.mendeley.com/documents/?uuid=043cc8bd-e07c-4a1e-a331-e755eda9062e"]}],"mendeley":{"formattedCitation":"[Dalley and Ersche, 2019; Voon, 2014]","plainTextFormattedCitation":"[Dalley and Ersche, 2019; Voon, 2014]","previouslyFormattedCitation":"[Dalley and Ersche, 2019; Voon, 2014]"},"properties":{"noteIndex":0},"schema":"https://github.com/citation-style-language/schema/raw/master/csl-citation.json"}</w:instrText>
      </w:r>
      <w:r w:rsidR="00F67060" w:rsidRPr="000E4150">
        <w:rPr>
          <w:rFonts w:asciiTheme="majorBidi" w:eastAsia="Times New Roman" w:hAnsiTheme="majorBidi" w:cstheme="majorBidi"/>
          <w:sz w:val="24"/>
          <w:szCs w:val="24"/>
          <w:lang w:val="en-US" w:eastAsia="en-GB" w:bidi="he-IL"/>
        </w:rPr>
        <w:fldChar w:fldCharType="separate"/>
      </w:r>
      <w:r w:rsidR="00E06636" w:rsidRPr="000E4150">
        <w:rPr>
          <w:rFonts w:asciiTheme="majorBidi" w:eastAsia="Times New Roman" w:hAnsiTheme="majorBidi" w:cstheme="majorBidi"/>
          <w:noProof/>
          <w:sz w:val="24"/>
          <w:szCs w:val="24"/>
          <w:lang w:val="en-US" w:eastAsia="en-GB" w:bidi="he-IL"/>
        </w:rPr>
        <w:t>[Dalley and Ersche, 2019; Voon, 2014]</w:t>
      </w:r>
      <w:r w:rsidR="00F67060" w:rsidRPr="000E4150">
        <w:rPr>
          <w:rFonts w:asciiTheme="majorBidi" w:eastAsia="Times New Roman" w:hAnsiTheme="majorBidi" w:cstheme="majorBidi"/>
          <w:sz w:val="24"/>
          <w:szCs w:val="24"/>
          <w:lang w:val="en-US" w:eastAsia="en-GB" w:bidi="he-IL"/>
        </w:rPr>
        <w:fldChar w:fldCharType="end"/>
      </w:r>
      <w:r w:rsidR="00F67060" w:rsidRPr="000E4150">
        <w:rPr>
          <w:rFonts w:asciiTheme="majorBidi" w:eastAsia="Times New Roman" w:hAnsiTheme="majorBidi" w:cstheme="majorBidi"/>
          <w:sz w:val="24"/>
          <w:szCs w:val="24"/>
          <w:lang w:val="en-US" w:eastAsia="en-GB" w:bidi="he-IL"/>
        </w:rPr>
        <w:t>.</w:t>
      </w:r>
      <w:r w:rsidR="00787D9B" w:rsidRPr="000E4150">
        <w:rPr>
          <w:rFonts w:asciiTheme="majorBidi" w:eastAsia="Times New Roman" w:hAnsiTheme="majorBidi" w:cstheme="majorBidi"/>
          <w:sz w:val="24"/>
          <w:szCs w:val="24"/>
          <w:lang w:val="en-US" w:eastAsia="en-GB" w:bidi="he-IL"/>
        </w:rPr>
        <w:t xml:space="preserve"> </w:t>
      </w:r>
    </w:p>
    <w:p w14:paraId="1219F1B0" w14:textId="77777777" w:rsidR="00AF1BD5" w:rsidRPr="000E4150" w:rsidRDefault="00AF1BD5" w:rsidP="00272C9F">
      <w:pPr>
        <w:spacing w:after="0" w:line="480" w:lineRule="auto"/>
        <w:ind w:firstLine="720"/>
        <w:textAlignment w:val="baseline"/>
        <w:rPr>
          <w:rFonts w:asciiTheme="majorBidi" w:eastAsia="Times New Roman" w:hAnsiTheme="majorBidi" w:cstheme="majorBidi"/>
          <w:sz w:val="24"/>
          <w:szCs w:val="24"/>
          <w:lang w:val="en-US" w:eastAsia="en-GB" w:bidi="he-IL"/>
        </w:rPr>
      </w:pPr>
    </w:p>
    <w:p w14:paraId="5B37EE9A" w14:textId="730B9221" w:rsidR="00787D9B" w:rsidRPr="000E4150" w:rsidRDefault="008159F3" w:rsidP="00F03F89">
      <w:pPr>
        <w:spacing w:after="0" w:line="480" w:lineRule="auto"/>
        <w:ind w:firstLine="720"/>
        <w:textAlignment w:val="baseline"/>
        <w:rPr>
          <w:rFonts w:asciiTheme="majorBidi" w:eastAsia="Times New Roman" w:hAnsiTheme="majorBidi" w:cstheme="majorBidi"/>
          <w:sz w:val="24"/>
          <w:szCs w:val="24"/>
          <w:lang w:val="en-US" w:eastAsia="en-GB" w:bidi="he-IL"/>
        </w:rPr>
      </w:pPr>
      <w:r w:rsidRPr="000E4150">
        <w:rPr>
          <w:rFonts w:asciiTheme="majorBidi" w:eastAsia="Times New Roman" w:hAnsiTheme="majorBidi" w:cstheme="majorBidi"/>
          <w:b/>
          <w:bCs/>
          <w:sz w:val="24"/>
          <w:szCs w:val="24"/>
          <w:lang w:val="en-US" w:eastAsia="en-GB" w:bidi="he-IL"/>
        </w:rPr>
        <w:t>Neural correlates of i</w:t>
      </w:r>
      <w:r w:rsidR="007B430A" w:rsidRPr="000E4150">
        <w:rPr>
          <w:rFonts w:asciiTheme="majorBidi" w:eastAsia="Times New Roman" w:hAnsiTheme="majorBidi" w:cstheme="majorBidi"/>
          <w:b/>
          <w:bCs/>
          <w:sz w:val="24"/>
          <w:szCs w:val="24"/>
          <w:lang w:val="en-US" w:eastAsia="en-GB" w:bidi="he-IL"/>
        </w:rPr>
        <w:t>mpulsivity in drug addiction</w:t>
      </w:r>
      <w:r w:rsidR="007B430A" w:rsidRPr="000E4150">
        <w:rPr>
          <w:rFonts w:asciiTheme="majorBidi" w:eastAsia="Times New Roman" w:hAnsiTheme="majorBidi" w:cstheme="majorBidi"/>
          <w:sz w:val="24"/>
          <w:szCs w:val="24"/>
          <w:lang w:val="en-US" w:eastAsia="en-GB" w:bidi="he-IL"/>
        </w:rPr>
        <w:t xml:space="preserve">. </w:t>
      </w:r>
      <w:bookmarkStart w:id="3" w:name="_Hlk24572221"/>
      <w:r w:rsidR="00787D9B" w:rsidRPr="000E4150">
        <w:rPr>
          <w:rFonts w:asciiTheme="majorBidi" w:eastAsia="Times New Roman" w:hAnsiTheme="majorBidi" w:cstheme="majorBidi"/>
          <w:sz w:val="24"/>
          <w:szCs w:val="24"/>
          <w:lang w:val="en-US" w:eastAsia="en-GB" w:bidi="he-IL"/>
        </w:rPr>
        <w:t xml:space="preserve">Increased impulsive behavior and corresponding increased activation in the presence of drug cues fit </w:t>
      </w:r>
      <w:bookmarkEnd w:id="3"/>
      <w:r w:rsidR="00787D9B" w:rsidRPr="000E4150">
        <w:rPr>
          <w:rFonts w:asciiTheme="majorBidi" w:eastAsia="Times New Roman" w:hAnsiTheme="majorBidi" w:cstheme="majorBidi"/>
          <w:sz w:val="24"/>
          <w:szCs w:val="24"/>
          <w:lang w:val="en-US" w:eastAsia="en-GB" w:bidi="he-IL"/>
        </w:rPr>
        <w:t xml:space="preserve">well within the </w:t>
      </w:r>
      <w:proofErr w:type="spellStart"/>
      <w:r w:rsidR="00F126EF" w:rsidRPr="000E4150">
        <w:rPr>
          <w:rFonts w:asciiTheme="majorBidi" w:eastAsia="Times New Roman" w:hAnsiTheme="majorBidi" w:cstheme="majorBidi"/>
          <w:sz w:val="24"/>
          <w:szCs w:val="24"/>
          <w:lang w:val="en-US" w:eastAsia="en-GB" w:bidi="he-IL"/>
        </w:rPr>
        <w:t>iRISA</w:t>
      </w:r>
      <w:proofErr w:type="spellEnd"/>
      <w:r w:rsidR="00F126EF" w:rsidRPr="000E4150">
        <w:rPr>
          <w:rFonts w:asciiTheme="majorBidi" w:eastAsia="Times New Roman" w:hAnsiTheme="majorBidi" w:cstheme="majorBidi"/>
          <w:sz w:val="24"/>
          <w:szCs w:val="24"/>
          <w:lang w:val="en-US" w:eastAsia="en-GB" w:bidi="he-IL"/>
        </w:rPr>
        <w:t xml:space="preserve"> </w:t>
      </w:r>
      <w:r w:rsidR="00787D9B" w:rsidRPr="000E4150">
        <w:rPr>
          <w:rFonts w:asciiTheme="majorBidi" w:eastAsia="Times New Roman" w:hAnsiTheme="majorBidi" w:cstheme="majorBidi"/>
          <w:sz w:val="24"/>
          <w:szCs w:val="24"/>
          <w:lang w:val="en-US" w:eastAsia="en-GB" w:bidi="he-IL"/>
        </w:rPr>
        <w:t>framework</w:t>
      </w:r>
      <w:r w:rsidR="002345E0" w:rsidRPr="000E4150">
        <w:rPr>
          <w:rFonts w:asciiTheme="majorBidi" w:eastAsia="Times New Roman" w:hAnsiTheme="majorBidi" w:cstheme="majorBidi"/>
          <w:sz w:val="24"/>
          <w:szCs w:val="24"/>
          <w:lang w:val="en-US" w:eastAsia="en-GB" w:bidi="he-IL"/>
        </w:rPr>
        <w:t xml:space="preserve"> </w:t>
      </w:r>
      <w:r w:rsidR="002345E0" w:rsidRPr="000E4150">
        <w:rPr>
          <w:rFonts w:asciiTheme="majorBidi" w:eastAsia="Times New Roman" w:hAnsiTheme="majorBidi" w:cstheme="majorBidi"/>
          <w:sz w:val="24"/>
          <w:szCs w:val="24"/>
          <w:lang w:val="en-US" w:eastAsia="en-GB" w:bidi="he-IL"/>
        </w:rPr>
        <w:fldChar w:fldCharType="begin" w:fldLock="1"/>
      </w:r>
      <w:r w:rsidR="00760109" w:rsidRPr="000E4150">
        <w:rPr>
          <w:rFonts w:asciiTheme="majorBidi" w:eastAsia="Times New Roman" w:hAnsiTheme="majorBidi" w:cstheme="majorBidi"/>
          <w:sz w:val="24"/>
          <w:szCs w:val="24"/>
          <w:lang w:val="en-US" w:eastAsia="en-GB" w:bidi="he-IL"/>
        </w:rPr>
        <w:instrText>ADDIN CSL_CITATION {"citationItems":[{"id":"ITEM-1","itemData":{"author":[{"dropping-particle":"","family":"Goldstein","given":"Rita Z","non-dropping-particle":"","parse-names":false,"suffix":""},{"dropping-particle":"","family":"Volkow","given":"Nora D","non-dropping-particle":"","parse-names":false,"suffix":""}],"container-title":"Am J Psychiatry","id":"ITEM-1","issued":{"date-parts":[["2002"]]},"page":"1642-1652","title":"Drud addiction and its underlying neurobiological basis: neuroimaging evidence for the involvment of the frontal cortex","type":"article-journal","volume":"159"},"uris":["http://www.mendeley.com/documents/?uuid=9f8f6a7e-9f21-4155-9fff-137c08803a0a"]},{"id":"ITEM-2","itemData":{"DOI":"10.1038/nrn3119","ISBN":"1471-003X","ISSN":"1471003X","PMID":"22011681","abstract":"The loss of control over drug intake that occurs in addiction was initially believed to result from disruption of subcortical reward circuits. However, imaging studies in addictive behaviours have identified a key involvement of the prefrontal cortex (PFC) both through its regulation of limbic reward regions and its involvement in higher-order executive function (for example, self-control, salience attribution and awareness). This Review focuses on functional neuroimaging studies conducted in the past decade that have expanded our understanding of the involvement of the PFC in drug addiction. Disruption of the PFC in addiction underlies not only compulsive drug taking but also accounts for the disadvantageous behaviours that are associated with addiction and the erosion of free will.","author":[{"dropping-particle":"","family":"Goldstein","given":"Rita Z.","non-dropping-particle":"","parse-names":false,"suffix":""},{"dropping-particle":"","family":"Volkow","given":"Nora D.","non-dropping-particle":"","parse-names":false,"suffix":""}],"container-title":"Nature Reviews Neuroscience","id":"ITEM-2","issue":"11","issued":{"date-parts":[["2011"]]},"page":"652-669","publisher":"Nature Publishing Group","title":"Dysfunction of the prefrontal cortex in addiction: Neuroimaging findings and clinical implications","type":"article-journal","volume":"12"},"uris":["http://www.mendeley.com/documents/?uuid=2c7c51dc-74e6-4f25-bc8c-8b793b133a17"]},{"id":"ITEM-3","itemData":{"DOI":"10.1016/j.neuron.2018.03.048","ISBN":"1097-4199; 0896-6273","ISSN":"10974199","PMID":"29879391","abstract":"The impaired response inhibition and salience attribution (iRISA) model proposes that impaired response inhibition and salience attribution underlie drug seeking and taking. To update this model, we systematically reviewed 105 task-related neuroimaging studies (n &gt; 15/group) published since 2010. Results demonstrate specific impairments within six large-scale brain networks (reward, habit, salience, executive, memory, and self-directed networks) during drug cue exposure, decision making, inhibitory control, and social-emotional processing. Addicted individuals demonstrated increased recruitment of these networks during drug-related processing but a blunted response during non-drug-related processing, with the same networks also being implicated during resting state. Associations with real-life drug use, relapse, therapeutic interventions, and the relevance to initiation of drug use during adolescence support the clinical relevance of the results. Whereas the salience and executive networks showed impairments throughout the addiction cycle, the reward network was dysregulated at later stages of abuse. Effects were similar in alcohol, cannabis, and stimulant addiction. Zilverstand et al. find that behaviors in drug addiction are closely tied to brain impairments underlying drug cue reactivity, decision making, inhibitory control, and social-emotional processing. Neuroimaging biomarkers can also be used to predict initiation and progression of drug addiction.","author":[{"dropping-particle":"","family":"Zilverstand","given":"Anna","non-dropping-particle":"","parse-names":false,"suffix":""},{"dropping-particle":"","family":"Huang","given":"Anna S.","non-dropping-particle":"","parse-names":false,"suffix":""},{"dropping-particle":"","family":"Alia-Klein","given":"Nelly","non-dropping-particle":"","parse-names":false,"suffix":""},{"dropping-particle":"","family":"Goldstein","given":"Rita Z.","non-dropping-particle":"","parse-names":false,"suffix":""}],"container-title":"Neuron","id":"ITEM-3","issue":"5","issued":{"date-parts":[["2018"]]},"page":"886-903","publisher":"Elsevier Inc.","title":"Neuroimaging Impaired Response Inhibition and Salience Attribution in Human Drug Addiction: A Systematic Review","type":"article-journal","volume":"98"},"uris":["http://www.mendeley.com/documents/?uuid=a9f0754f-79ce-4025-802b-195340f09362"]}],"mendeley":{"formattedCitation":"[Goldstein and Volkow, 2002; Goldstein and Volkow, 2011; Zilverstand et al., 2018]","plainTextFormattedCitation":"[Goldstein and Volkow, 2002; Goldstein and Volkow, 2011; Zilverstand et al., 2018]","previouslyFormattedCitation":"[Goldstein and Volkow, 2002; Goldstein and Volkow, 2011; Zilverstand et al., 2018]"},"properties":{"noteIndex":0},"schema":"https://github.com/citation-style-language/schema/raw/master/csl-citation.json"}</w:instrText>
      </w:r>
      <w:r w:rsidR="002345E0" w:rsidRPr="000E4150">
        <w:rPr>
          <w:rFonts w:asciiTheme="majorBidi" w:eastAsia="Times New Roman" w:hAnsiTheme="majorBidi" w:cstheme="majorBidi"/>
          <w:sz w:val="24"/>
          <w:szCs w:val="24"/>
          <w:lang w:val="en-US" w:eastAsia="en-GB" w:bidi="he-IL"/>
        </w:rPr>
        <w:fldChar w:fldCharType="separate"/>
      </w:r>
      <w:r w:rsidR="00E06636" w:rsidRPr="000E4150">
        <w:rPr>
          <w:rFonts w:asciiTheme="majorBidi" w:eastAsia="Times New Roman" w:hAnsiTheme="majorBidi" w:cstheme="majorBidi"/>
          <w:noProof/>
          <w:sz w:val="24"/>
          <w:szCs w:val="24"/>
          <w:lang w:val="en-US" w:eastAsia="en-GB" w:bidi="he-IL"/>
        </w:rPr>
        <w:t>[Goldstein and Volkow, 2002; Goldstein and Volkow, 2011; Zilverstand et al., 2018]</w:t>
      </w:r>
      <w:r w:rsidR="002345E0" w:rsidRPr="000E4150">
        <w:rPr>
          <w:rFonts w:asciiTheme="majorBidi" w:eastAsia="Times New Roman" w:hAnsiTheme="majorBidi" w:cstheme="majorBidi"/>
          <w:sz w:val="24"/>
          <w:szCs w:val="24"/>
          <w:lang w:val="en-US" w:eastAsia="en-GB" w:bidi="he-IL"/>
        </w:rPr>
        <w:fldChar w:fldCharType="end"/>
      </w:r>
      <w:r w:rsidR="00787D9B" w:rsidRPr="000E4150">
        <w:rPr>
          <w:rFonts w:asciiTheme="majorBidi" w:eastAsia="Times New Roman" w:hAnsiTheme="majorBidi" w:cstheme="majorBidi"/>
          <w:sz w:val="24"/>
          <w:szCs w:val="24"/>
          <w:lang w:val="en-US" w:eastAsia="en-GB" w:bidi="he-IL"/>
        </w:rPr>
        <w:t xml:space="preserve">. Drug cues such as those used </w:t>
      </w:r>
      <w:r w:rsidR="003D78FF" w:rsidRPr="000E4150">
        <w:rPr>
          <w:rFonts w:asciiTheme="majorBidi" w:eastAsia="Times New Roman" w:hAnsiTheme="majorBidi" w:cstheme="majorBidi"/>
          <w:sz w:val="24"/>
          <w:szCs w:val="24"/>
          <w:lang w:val="en-US" w:eastAsia="en-GB" w:bidi="he-IL"/>
        </w:rPr>
        <w:t xml:space="preserve">in our version of the MID task </w:t>
      </w:r>
      <w:r w:rsidR="00787D9B" w:rsidRPr="000E4150">
        <w:rPr>
          <w:rFonts w:asciiTheme="majorBidi" w:eastAsia="Times New Roman" w:hAnsiTheme="majorBidi" w:cstheme="majorBidi"/>
          <w:sz w:val="24"/>
          <w:szCs w:val="24"/>
          <w:lang w:val="en-US" w:eastAsia="en-GB" w:bidi="he-IL"/>
        </w:rPr>
        <w:t>are known to have abnormally high motivational significance to cocaine users</w:t>
      </w:r>
      <w:r w:rsidR="00130118" w:rsidRPr="000E4150">
        <w:rPr>
          <w:rFonts w:asciiTheme="majorBidi" w:eastAsia="Times New Roman" w:hAnsiTheme="majorBidi" w:cstheme="majorBidi"/>
          <w:sz w:val="24"/>
          <w:szCs w:val="24"/>
          <w:lang w:val="en-US" w:eastAsia="en-GB" w:bidi="he-IL"/>
        </w:rPr>
        <w:t xml:space="preserve"> </w:t>
      </w:r>
      <w:r w:rsidR="00292DFF" w:rsidRPr="000E4150">
        <w:rPr>
          <w:rFonts w:asciiTheme="majorBidi" w:eastAsia="Times New Roman" w:hAnsiTheme="majorBidi" w:cstheme="majorBidi"/>
          <w:sz w:val="24"/>
          <w:szCs w:val="24"/>
          <w:lang w:val="en-US" w:eastAsia="en-GB" w:bidi="he-IL"/>
        </w:rPr>
        <w:fldChar w:fldCharType="begin" w:fldLock="1"/>
      </w:r>
      <w:r w:rsidR="00760109" w:rsidRPr="000E4150">
        <w:rPr>
          <w:rFonts w:asciiTheme="majorBidi" w:eastAsia="Times New Roman" w:hAnsiTheme="majorBidi" w:cstheme="majorBidi"/>
          <w:sz w:val="24"/>
          <w:szCs w:val="24"/>
          <w:lang w:val="en-US" w:eastAsia="en-GB" w:bidi="he-IL"/>
        </w:rPr>
        <w:instrText>ADDIN CSL_CITATION {"citationItems":[{"id":"ITEM-1","itemData":{"DOI":"10.1177/0269881108096982","ISSN":"02698811","abstract":"Few studies have examined the subjective value attributed to drug rewards specifically as it compares with the value attributed to primary non-drug rewards in addicted individuals. The objective of this study is to assess 'liking' and 'wanting' of expected 'drug' rewards as compared to 'food' and 'sex' while respondents report about three different situations ('current', and hypothetical 'in general', and 'under drug influence'). In all, 20 cocaine-addicted individuals (mean abstinence = 2 days) and 20 healthy control subjects were administered the STRAP-R (Sensitivity To Reinforcement of Addictive and other Primary Rewards) questionnaire after receiving an oral dose of the dopamine agonist methylphenidate (20 mg) or placebo. The reinforcers' relative value changed within the addicted sample when reporting about the 'under drug influence' situation (drug &gt; food; otherwise, drug &lt; food). This change was highest in the addicted individuals with the youngest age of cocaine use onset. Moreover, 'drug' 'wanting' exceeded 'drug' 'liking' in the addicted subjects when reporting about this situation during methylphenidate. Thus, cocaine-addicted individuals assign the highest subjective valence to 'drug' rewards but only when recalling cue-related situations. When recalling this situation, they also report higher 'drug' 'wanting' than hedonic 'liking', a motivational shift that was only significant during methylphenidate. Together, these valence shifts may underlie compulsive stimulant abuse upon pharmacological or behavioural cue exposure in addicted individuals. Additional studies are required to assess the reliability of the STRAP-R in larger samples and to examine its validity in measuring the subjective value attributed to experienced reinforcers or in predicting behaviour.","author":[{"dropping-particle":"","family":"Goldstein","given":"R. Z.","non-dropping-particle":"","parse-names":false,"suffix":""},{"dropping-particle":"","family":"Woicik","given":"P. A.","non-dropping-particle":"","parse-names":false,"suffix":""},{"dropping-particle":"","family":"Moeller","given":"S. J.","non-dropping-particle":"","parse-names":false,"suffix":""},{"dropping-particle":"","family":"Telang","given":"F.","non-dropping-particle":"","parse-names":false,"suffix":""},{"dropping-particle":"","family":"Jayne","given":"M.","non-dropping-particle":"","parse-names":false,"suffix":""},{"dropping-particle":"","family":"Wong","given":"C.","non-dropping-particle":"","parse-names":false,"suffix":""},{"dropping-particle":"","family":"Wang","given":"G. J.","non-dropping-particle":"","parse-names":false,"suffix":""},{"dropping-particle":"","family":"Fowler","given":"J. S.","non-dropping-particle":"","parse-names":false,"suffix":""},{"dropping-particle":"","family":"Volkow","given":"N. D.","non-dropping-particle":"","parse-names":false,"suffix":""}],"container-title":"Journal of Psychopharmacology","id":"ITEM-1","issue":"2","issued":{"date-parts":[["2008"]]},"page":"257-266","title":"Liking and wanting of drug and non-drug rewards in active cocaine users: The STRAP-R questionnaire","type":"article-journal","volume":"24"},"uris":["http://www.mendeley.com/documents/?uuid=41d0a373-b23d-4b82-8bb2-9b739662b4e9"]}],"mendeley":{"formattedCitation":"[Goldstein et al., 2008]","plainTextFormattedCitation":"[Goldstein et al., 2008]","previouslyFormattedCitation":"[Goldstein et al., 2008]"},"properties":{"noteIndex":0},"schema":"https://github.com/citation-style-language/schema/raw/master/csl-citation.json"}</w:instrText>
      </w:r>
      <w:r w:rsidR="00292DFF" w:rsidRPr="000E4150">
        <w:rPr>
          <w:rFonts w:asciiTheme="majorBidi" w:eastAsia="Times New Roman" w:hAnsiTheme="majorBidi" w:cstheme="majorBidi"/>
          <w:sz w:val="24"/>
          <w:szCs w:val="24"/>
          <w:lang w:val="en-US" w:eastAsia="en-GB" w:bidi="he-IL"/>
        </w:rPr>
        <w:fldChar w:fldCharType="separate"/>
      </w:r>
      <w:r w:rsidR="00E06636" w:rsidRPr="000E4150">
        <w:rPr>
          <w:rFonts w:asciiTheme="majorBidi" w:eastAsia="Times New Roman" w:hAnsiTheme="majorBidi" w:cstheme="majorBidi"/>
          <w:noProof/>
          <w:sz w:val="24"/>
          <w:szCs w:val="24"/>
          <w:lang w:val="en-US" w:eastAsia="en-GB" w:bidi="he-IL"/>
        </w:rPr>
        <w:t>[Goldstein et al., 2008]</w:t>
      </w:r>
      <w:r w:rsidR="00292DFF" w:rsidRPr="000E4150">
        <w:rPr>
          <w:rFonts w:asciiTheme="majorBidi" w:eastAsia="Times New Roman" w:hAnsiTheme="majorBidi" w:cstheme="majorBidi"/>
          <w:sz w:val="24"/>
          <w:szCs w:val="24"/>
          <w:lang w:val="en-US" w:eastAsia="en-GB" w:bidi="he-IL"/>
        </w:rPr>
        <w:fldChar w:fldCharType="end"/>
      </w:r>
      <w:r w:rsidR="00292DFF" w:rsidRPr="000E4150">
        <w:rPr>
          <w:rFonts w:asciiTheme="majorBidi" w:eastAsia="Times New Roman" w:hAnsiTheme="majorBidi" w:cstheme="majorBidi"/>
          <w:sz w:val="24"/>
          <w:szCs w:val="24"/>
          <w:lang w:val="en-US" w:eastAsia="en-GB" w:bidi="he-IL"/>
        </w:rPr>
        <w:t xml:space="preserve"> </w:t>
      </w:r>
      <w:r w:rsidR="00787D9B" w:rsidRPr="000E4150">
        <w:rPr>
          <w:rFonts w:asciiTheme="majorBidi" w:eastAsia="Times New Roman" w:hAnsiTheme="majorBidi" w:cstheme="majorBidi"/>
          <w:sz w:val="24"/>
          <w:szCs w:val="24"/>
          <w:lang w:val="en-US" w:eastAsia="en-GB" w:bidi="he-IL"/>
        </w:rPr>
        <w:t>and elicit increased approach behaviors and upregulation across the brain including the cingulo-opercular network</w:t>
      </w:r>
      <w:r w:rsidR="00130118" w:rsidRPr="000E4150">
        <w:rPr>
          <w:rFonts w:asciiTheme="majorBidi" w:eastAsia="Times New Roman" w:hAnsiTheme="majorBidi" w:cstheme="majorBidi"/>
          <w:sz w:val="24"/>
          <w:szCs w:val="24"/>
          <w:lang w:val="en-US" w:eastAsia="en-GB" w:bidi="he-IL"/>
        </w:rPr>
        <w:t xml:space="preserve"> </w:t>
      </w:r>
      <w:r w:rsidR="00130118" w:rsidRPr="000E4150">
        <w:rPr>
          <w:rFonts w:asciiTheme="majorBidi" w:eastAsia="Times New Roman" w:hAnsiTheme="majorBidi" w:cstheme="majorBidi"/>
          <w:sz w:val="24"/>
          <w:szCs w:val="24"/>
          <w:lang w:val="en-US" w:eastAsia="en-GB" w:bidi="he-IL"/>
        </w:rPr>
        <w:fldChar w:fldCharType="begin" w:fldLock="1"/>
      </w:r>
      <w:r w:rsidR="00760109" w:rsidRPr="000E4150">
        <w:rPr>
          <w:rFonts w:asciiTheme="majorBidi" w:eastAsia="Times New Roman" w:hAnsiTheme="majorBidi" w:cstheme="majorBidi"/>
          <w:sz w:val="24"/>
          <w:szCs w:val="24"/>
          <w:lang w:val="en-US" w:eastAsia="en-GB" w:bidi="he-IL"/>
        </w:rPr>
        <w:instrText>ADDIN CSL_CITATION {"citationItems":[{"id":"ITEM-1","itemData":{"DOI":"10.1016/j.neuron.2018.03.048","ISBN":"1097-4199; 0896-6273","ISSN":"10974199","PMID":"29879391","abstract":"The impaired response inhibition and salience attribution (iRISA) model proposes that impaired response inhibition and salience attribution underlie drug seeking and taking. To update this model, we systematically reviewed 105 task-related neuroimaging studies (n &gt; 15/group) published since 2010. Results demonstrate specific impairments within six large-scale brain networks (reward, habit, salience, executive, memory, and self-directed networks) during drug cue exposure, decision making, inhibitory control, and social-emotional processing. Addicted individuals demonstrated increased recruitment of these networks during drug-related processing but a blunted response during non-drug-related processing, with the same networks also being implicated during resting state. Associations with real-life drug use, relapse, therapeutic interventions, and the relevance to initiation of drug use during adolescence support the clinical relevance of the results. Whereas the salience and executive networks showed impairments throughout the addiction cycle, the reward network was dysregulated at later stages of abuse. Effects were similar in alcohol, cannabis, and stimulant addiction. Zilverstand et al. find that behaviors in drug addiction are closely tied to brain impairments underlying drug cue reactivity, decision making, inhibitory control, and social-emotional processing. Neuroimaging biomarkers can also be used to predict initiation and progression of drug addiction.","author":[{"dropping-particle":"","family":"Zilverstand","given":"Anna","non-dropping-particle":"","parse-names":false,"suffix":""},{"dropping-particle":"","family":"Huang","given":"Anna S.","non-dropping-particle":"","parse-names":false,"suffix":""},{"dropping-particle":"","family":"Alia-Klein","given":"Nelly","non-dropping-particle":"","parse-names":false,"suffix":""},{"dropping-particle":"","family":"Goldstein","given":"Rita Z.","non-dropping-particle":"","parse-names":false,"suffix":""}],"container-title":"Neuron","id":"ITEM-1","issue":"5","issued":{"date-parts":[["2018"]]},"page":"886-903","publisher":"Elsevier Inc.","title":"Neuroimaging Impaired Response Inhibition and Salience Attribution in Human Drug Addiction: A Systematic Review","type":"article-journal","volume":"98"},"uris":["http://www.mendeley.com/documents/?uuid=a9f0754f-79ce-4025-802b-195340f09362"]}],"mendeley":{"formattedCitation":"[Zilverstand et al., 2018]","plainTextFormattedCitation":"[Zilverstand et al., 2018]","previouslyFormattedCitation":"[Zilverstand et al., 2018]"},"properties":{"noteIndex":0},"schema":"https://github.com/citation-style-language/schema/raw/master/csl-citation.json"}</w:instrText>
      </w:r>
      <w:r w:rsidR="00130118" w:rsidRPr="000E4150">
        <w:rPr>
          <w:rFonts w:asciiTheme="majorBidi" w:eastAsia="Times New Roman" w:hAnsiTheme="majorBidi" w:cstheme="majorBidi"/>
          <w:sz w:val="24"/>
          <w:szCs w:val="24"/>
          <w:lang w:val="en-US" w:eastAsia="en-GB" w:bidi="he-IL"/>
        </w:rPr>
        <w:fldChar w:fldCharType="separate"/>
      </w:r>
      <w:r w:rsidR="00E06636" w:rsidRPr="000E4150">
        <w:rPr>
          <w:rFonts w:asciiTheme="majorBidi" w:eastAsia="Times New Roman" w:hAnsiTheme="majorBidi" w:cstheme="majorBidi"/>
          <w:noProof/>
          <w:sz w:val="24"/>
          <w:szCs w:val="24"/>
          <w:lang w:val="en-US" w:eastAsia="en-GB" w:bidi="he-IL"/>
        </w:rPr>
        <w:t>[Zilverstand et al., 2018]</w:t>
      </w:r>
      <w:r w:rsidR="00130118" w:rsidRPr="000E4150">
        <w:rPr>
          <w:rFonts w:asciiTheme="majorBidi" w:eastAsia="Times New Roman" w:hAnsiTheme="majorBidi" w:cstheme="majorBidi"/>
          <w:sz w:val="24"/>
          <w:szCs w:val="24"/>
          <w:lang w:val="en-US" w:eastAsia="en-GB" w:bidi="he-IL"/>
        </w:rPr>
        <w:fldChar w:fldCharType="end"/>
      </w:r>
      <w:r w:rsidR="00787D9B" w:rsidRPr="000E4150">
        <w:rPr>
          <w:rFonts w:asciiTheme="majorBidi" w:eastAsia="Times New Roman" w:hAnsiTheme="majorBidi" w:cstheme="majorBidi"/>
          <w:sz w:val="24"/>
          <w:szCs w:val="24"/>
          <w:lang w:val="en-US" w:eastAsia="en-GB" w:bidi="he-IL"/>
        </w:rPr>
        <w:t xml:space="preserve">. These networks are generally underactive in active </w:t>
      </w:r>
      <w:r w:rsidR="0078416D" w:rsidRPr="000E4150">
        <w:rPr>
          <w:rFonts w:asciiTheme="majorBidi" w:eastAsia="Times New Roman" w:hAnsiTheme="majorBidi" w:cstheme="majorBidi"/>
          <w:sz w:val="24"/>
          <w:szCs w:val="24"/>
          <w:lang w:val="en-US" w:eastAsia="en-GB" w:bidi="he-IL"/>
        </w:rPr>
        <w:t xml:space="preserve">stimulant </w:t>
      </w:r>
      <w:r w:rsidR="00787D9B" w:rsidRPr="000E4150">
        <w:rPr>
          <w:rFonts w:asciiTheme="majorBidi" w:eastAsia="Times New Roman" w:hAnsiTheme="majorBidi" w:cstheme="majorBidi"/>
          <w:sz w:val="24"/>
          <w:szCs w:val="24"/>
          <w:lang w:val="en-US" w:eastAsia="en-GB" w:bidi="he-IL"/>
        </w:rPr>
        <w:t xml:space="preserve">users during standard cognitive task performance including inhibitory control </w:t>
      </w:r>
      <w:r w:rsidR="00787D9B" w:rsidRPr="000E4150">
        <w:rPr>
          <w:rFonts w:asciiTheme="majorBidi" w:eastAsia="Times New Roman" w:hAnsiTheme="majorBidi" w:cstheme="majorBidi"/>
          <w:sz w:val="24"/>
          <w:szCs w:val="24"/>
          <w:lang w:val="en-US" w:eastAsia="en-GB" w:bidi="he-IL"/>
        </w:rPr>
        <w:lastRenderedPageBreak/>
        <w:t xml:space="preserve">processing </w:t>
      </w:r>
      <w:r w:rsidR="00130118" w:rsidRPr="000E4150">
        <w:rPr>
          <w:rFonts w:asciiTheme="majorBidi" w:eastAsia="Times New Roman" w:hAnsiTheme="majorBidi" w:cstheme="majorBidi"/>
          <w:sz w:val="24"/>
          <w:szCs w:val="24"/>
          <w:lang w:val="en-US" w:eastAsia="en-GB" w:bidi="he-IL"/>
        </w:rPr>
        <w:fldChar w:fldCharType="begin" w:fldLock="1"/>
      </w:r>
      <w:r w:rsidR="00760109" w:rsidRPr="000E4150">
        <w:rPr>
          <w:rFonts w:asciiTheme="majorBidi" w:eastAsia="Times New Roman" w:hAnsiTheme="majorBidi" w:cstheme="majorBidi"/>
          <w:sz w:val="24"/>
          <w:szCs w:val="24"/>
          <w:lang w:val="en-US" w:eastAsia="en-GB" w:bidi="he-IL"/>
        </w:rPr>
        <w:instrText>ADDIN CSL_CITATION {"citationItems":[{"id":"ITEM-1","itemData":{"DOI":"10.1016/j.brainres.2014.09.012","ISSN":"18726240","abstract":"Disruptions to inhibitory control are believed to contribute to multiple aspects of drug abuse, from preexisting vulnerability in at-risk individuals, through escalation to dependence, to promotion of relapse in chronic users. Paradigms investigating the suppression of actions have been investigated in animal and human research on drug addiction. Rodent research has focused largely on impulsive behaviors, often gauged by premature responding, as a viable model highlighting the relevant role of dopamine and other neurotransmitters primarily in the striatum. Human research on action inhibition in stimulant dependence has highlighted impaired performance and largely prefrontal cortical abnormalities as part of a broader pattern of cognitive abnormalities. Animal and human research implicate inhibitory difficulties mediated by fronto-striatal circuitry both preceding and as a result of excessive stimulus use. In this regard, response-inhibition has proven a useful cognitive function to gauge the integrity of fronto-striatal systems and their role in contributing to impulsive and compulsive features of drug dependence. This article is part of a Special Issue entitled SI:Addiction circuits.","author":[{"dropping-particle":"","family":"Morein-Zamir","given":"Sharon","non-dropping-particle":"","parse-names":false,"suffix":""},{"dropping-particle":"","family":"Robbins","given":"Trevor W.","non-dropping-particle":"","parse-names":false,"suffix":""}],"container-title":"Brain Research","id":"ITEM-1","issued":{"date-parts":[["2015"]]},"page":"117-129","publisher":"Elsevier","title":"Fronto-striatal circuits in response-inhibition: Relevance to addiction","type":"article-journal","volume":"1628"},"uris":["http://www.mendeley.com/documents/?uuid=caa69b62-b907-4da5-9939-ff45b27819b5"]},{"id":"ITEM-2","itemData":{"DOI":"10.1016/j.neuron.2018.03.048","ISBN":"1097-4199; 0896-6273","ISSN":"10974199","PMID":"29879391","abstract":"The impaired response inhibition and salience attribution (iRISA) model proposes that impaired response inhibition and salience attribution underlie drug seeking and taking. To update this model, we systematically reviewed 105 task-related neuroimaging studies (n &gt; 15/group) published since 2010. Results demonstrate specific impairments within six large-scale brain networks (reward, habit, salience, executive, memory, and self-directed networks) during drug cue exposure, decision making, inhibitory control, and social-emotional processing. Addicted individuals demonstrated increased recruitment of these networks during drug-related processing but a blunted response during non-drug-related processing, with the same networks also being implicated during resting state. Associations with real-life drug use, relapse, therapeutic interventions, and the relevance to initiation of drug use during adolescence support the clinical relevance of the results. Whereas the salience and executive networks showed impairments throughout the addiction cycle, the reward network was dysregulated at later stages of abuse. Effects were similar in alcohol, cannabis, and stimulant addiction. Zilverstand et al. find that behaviors in drug addiction are closely tied to brain impairments underlying drug cue reactivity, decision making, inhibitory control, and social-emotional processing. Neuroimaging biomarkers can also be used to predict initiation and progression of drug addiction.","author":[{"dropping-particle":"","family":"Zilverstand","given":"Anna","non-dropping-particle":"","parse-names":false,"suffix":""},{"dropping-particle":"","family":"Huang","given":"Anna S.","non-dropping-particle":"","parse-names":false,"suffix":""},{"dropping-particle":"","family":"Alia-Klein","given":"Nelly","non-dropping-particle":"","parse-names":false,"suffix":""},{"dropping-particle":"","family":"Goldstein","given":"Rita Z.","non-dropping-particle":"","parse-names":false,"suffix":""}],"container-title":"Neuron","id":"ITEM-2","issue":"5","issued":{"date-parts":[["2018"]]},"page":"886-903","publisher":"Elsevier Inc.","title":"Neuroimaging Impaired Response Inhibition and Salience Attribution in Human Drug Addiction: A Systematic Review","type":"article-journal","volume":"98"},"uris":["http://www.mendeley.com/documents/?uuid=a9f0754f-79ce-4025-802b-195340f09362"]}],"mendeley":{"formattedCitation":"[Morein-Zamir and Robbins, 2015; Zilverstand et al., 2018]","plainTextFormattedCitation":"[Morein-Zamir and Robbins, 2015; Zilverstand et al., 2018]","previouslyFormattedCitation":"[Morein-Zamir and Robbins, 2015; Zilverstand et al., 2018]"},"properties":{"noteIndex":0},"schema":"https://github.com/citation-style-language/schema/raw/master/csl-citation.json"}</w:instrText>
      </w:r>
      <w:r w:rsidR="00130118" w:rsidRPr="000E4150">
        <w:rPr>
          <w:rFonts w:asciiTheme="majorBidi" w:eastAsia="Times New Roman" w:hAnsiTheme="majorBidi" w:cstheme="majorBidi"/>
          <w:sz w:val="24"/>
          <w:szCs w:val="24"/>
          <w:lang w:val="en-US" w:eastAsia="en-GB" w:bidi="he-IL"/>
        </w:rPr>
        <w:fldChar w:fldCharType="separate"/>
      </w:r>
      <w:r w:rsidR="00E06636" w:rsidRPr="000E4150">
        <w:rPr>
          <w:rFonts w:asciiTheme="majorBidi" w:eastAsia="Times New Roman" w:hAnsiTheme="majorBidi" w:cstheme="majorBidi"/>
          <w:noProof/>
          <w:sz w:val="24"/>
          <w:szCs w:val="24"/>
          <w:lang w:val="en-US" w:eastAsia="en-GB" w:bidi="he-IL"/>
        </w:rPr>
        <w:t>[Morein-Zamir and Robbins, 2015; Zilverstand et al., 2018]</w:t>
      </w:r>
      <w:r w:rsidR="00130118" w:rsidRPr="000E4150">
        <w:rPr>
          <w:rFonts w:asciiTheme="majorBidi" w:eastAsia="Times New Roman" w:hAnsiTheme="majorBidi" w:cstheme="majorBidi"/>
          <w:sz w:val="24"/>
          <w:szCs w:val="24"/>
          <w:lang w:val="en-US" w:eastAsia="en-GB" w:bidi="he-IL"/>
        </w:rPr>
        <w:fldChar w:fldCharType="end"/>
      </w:r>
      <w:r w:rsidR="00787D9B" w:rsidRPr="000E4150">
        <w:rPr>
          <w:rFonts w:asciiTheme="majorBidi" w:eastAsia="Times New Roman" w:hAnsiTheme="majorBidi" w:cstheme="majorBidi"/>
          <w:sz w:val="24"/>
          <w:szCs w:val="24"/>
          <w:lang w:val="en-US" w:eastAsia="en-GB" w:bidi="he-IL"/>
        </w:rPr>
        <w:t xml:space="preserve">. </w:t>
      </w:r>
      <w:r w:rsidR="00004236" w:rsidRPr="000E4150">
        <w:rPr>
          <w:rFonts w:asciiTheme="majorBidi" w:eastAsia="Times New Roman" w:hAnsiTheme="majorBidi" w:cstheme="majorBidi"/>
          <w:sz w:val="24"/>
          <w:szCs w:val="24"/>
          <w:lang w:val="en-US" w:eastAsia="en-GB" w:bidi="he-IL"/>
        </w:rPr>
        <w:t xml:space="preserve">While this is generally true of stimulant addiction, previous studies of reward anticipation in nicotine addiction </w:t>
      </w:r>
      <w:r w:rsidR="00166C05" w:rsidRPr="000E4150">
        <w:rPr>
          <w:rFonts w:asciiTheme="majorBidi" w:eastAsia="Times New Roman" w:hAnsiTheme="majorBidi" w:cstheme="majorBidi"/>
          <w:sz w:val="24"/>
          <w:szCs w:val="24"/>
          <w:lang w:val="en-US" w:eastAsia="en-GB" w:bidi="he-IL"/>
        </w:rPr>
        <w:fldChar w:fldCharType="begin" w:fldLock="1"/>
      </w:r>
      <w:r w:rsidR="00166C05" w:rsidRPr="000E4150">
        <w:rPr>
          <w:rFonts w:asciiTheme="majorBidi" w:eastAsia="Times New Roman" w:hAnsiTheme="majorBidi" w:cstheme="majorBidi"/>
          <w:sz w:val="24"/>
          <w:szCs w:val="24"/>
          <w:lang w:val="en-US" w:eastAsia="en-GB" w:bidi="he-IL"/>
        </w:rPr>
        <w:instrText>ADDIN CSL_CITATION {"citationItems":[{"id":"ITEM-1","itemData":{"DOI":"10.1016/j.biopsych.2009.10.029","ISSN":"00063223","abstract":"Background: Drug addiction is characterized by an unhealthy priority for drug consumption with a compulsive, uncontrolled drug-intake pattern due to a disordered motivational system. However, only some individuals become addicted, whereas others maintain regular but controlled drug use. Whether the transition occurs might depend on how individuals process drug relative to nondrug reward. Methods: We applied functional magnetic resonance imaging to measure mesocorticolimbic activity to stimuli predicting monetary or cigarette reward, together with behavioral assessment of subsequent motivation to obtain the respective reward on a trial-by-trial basis, in 21 nicotine-dependent and 21 nondependent, occasional smokers. Results: Occasional smokers showed increased reactivity of the mesocorticolimbic system to stimuli predicting monetary reward relative to cigarette reward and subsequently spent more effort to obtain money. In the group of dependent smokers, we found equivalent anticipatory activity and subsequent instrumental response rates for both reward types. Additionally, anticipatory mesocorticolimbic activation predicted subsequent motivation to obtain reward. Conclusions: This imbalance in the incentive salience of drug relative to nondrug reward-predicting cues, in a network that drives motivation to obtain reward, could represent a central mechanism of drug addiction. © 2010 Society of Biological Psychiatry.","author":[{"dropping-particle":"","family":"Bühler","given":"Mira","non-dropping-particle":"","parse-names":false,"suffix":""},{"dropping-particle":"","family":"Vollstädt-Klein","given":"Sabine","non-dropping-particle":"","parse-names":false,"suffix":""},{"dropping-particle":"","family":"Kobiella","given":"Andrea","non-dropping-particle":"","parse-names":false,"suffix":""},{"dropping-particle":"","family":"Budde","given":"Henning","non-dropping-particle":"","parse-names":false,"suffix":""},{"dropping-particle":"","family":"Reed","given":"Laurence J.","non-dropping-particle":"","parse-names":false,"suffix":""},{"dropping-particle":"","family":"Braus","given":"Dieter F.","non-dropping-particle":"","parse-names":false,"suffix":""},{"dropping-particle":"","family":"Büchel","given":"Christian","non-dropping-particle":"","parse-names":false,"suffix":""},{"dropping-particle":"","family":"Smolka","given":"Michael N.","non-dropping-particle":"","parse-names":false,"suffix":""}],"container-title":"Biological Psychiatry","id":"ITEM-1","issue":"8","issued":{"date-parts":[["2010"]]},"page":"745-752","publisher":"Elsevier Inc.","title":"Nicotine Dependence Is Characterized by Disordered Reward Processing in a Network Driving Motivation","type":"article-journal","volume":"67"},"uris":["http://www.mendeley.com/documents/?uuid=d2298030-82a3-49f5-b3d3-082b18f6d45a"]}],"mendeley":{"formattedCitation":"[Bühler et al., 2010]","plainTextFormattedCitation":"[Bühler et al., 2010]","previouslyFormattedCitation":"[Bühler et al., 2010]"},"properties":{"noteIndex":0},"schema":"https://github.com/citation-style-language/schema/raw/master/csl-citation.json"}</w:instrText>
      </w:r>
      <w:r w:rsidR="00166C05" w:rsidRPr="000E4150">
        <w:rPr>
          <w:rFonts w:asciiTheme="majorBidi" w:eastAsia="Times New Roman" w:hAnsiTheme="majorBidi" w:cstheme="majorBidi"/>
          <w:sz w:val="24"/>
          <w:szCs w:val="24"/>
          <w:lang w:val="en-US" w:eastAsia="en-GB" w:bidi="he-IL"/>
        </w:rPr>
        <w:fldChar w:fldCharType="separate"/>
      </w:r>
      <w:r w:rsidR="00166C05" w:rsidRPr="000E4150">
        <w:rPr>
          <w:rFonts w:asciiTheme="majorBidi" w:eastAsia="Times New Roman" w:hAnsiTheme="majorBidi" w:cstheme="majorBidi"/>
          <w:noProof/>
          <w:sz w:val="24"/>
          <w:szCs w:val="24"/>
          <w:lang w:val="en-US" w:eastAsia="en-GB" w:bidi="he-IL"/>
        </w:rPr>
        <w:t>[Bühler et al., 2010]</w:t>
      </w:r>
      <w:r w:rsidR="00166C05" w:rsidRPr="000E4150">
        <w:rPr>
          <w:rFonts w:asciiTheme="majorBidi" w:eastAsia="Times New Roman" w:hAnsiTheme="majorBidi" w:cstheme="majorBidi"/>
          <w:sz w:val="24"/>
          <w:szCs w:val="24"/>
          <w:lang w:val="en-US" w:eastAsia="en-GB" w:bidi="he-IL"/>
        </w:rPr>
        <w:fldChar w:fldCharType="end"/>
      </w:r>
      <w:r w:rsidR="00004236" w:rsidRPr="000E4150">
        <w:rPr>
          <w:rFonts w:asciiTheme="majorBidi" w:eastAsia="Times New Roman" w:hAnsiTheme="majorBidi" w:cstheme="majorBidi"/>
          <w:sz w:val="24"/>
          <w:szCs w:val="24"/>
          <w:lang w:val="en-US" w:eastAsia="en-GB" w:bidi="he-IL"/>
        </w:rPr>
        <w:t xml:space="preserve"> suggest that dependent smokers can show similar levels of reactivity to cigarette compared to monetary rewards. </w:t>
      </w:r>
      <w:r w:rsidR="00787D9B" w:rsidRPr="000E4150">
        <w:rPr>
          <w:rFonts w:asciiTheme="majorBidi" w:eastAsia="Times New Roman" w:hAnsiTheme="majorBidi" w:cstheme="majorBidi"/>
          <w:sz w:val="24"/>
          <w:szCs w:val="24"/>
          <w:lang w:val="en-US" w:eastAsia="en-GB" w:bidi="he-IL"/>
        </w:rPr>
        <w:t xml:space="preserve">Presently, whole brain analyses did not find significant hypoactivation in the SDI </w:t>
      </w:r>
      <w:r w:rsidR="00BD2C13" w:rsidRPr="000E4150">
        <w:rPr>
          <w:rFonts w:asciiTheme="majorBidi" w:eastAsia="Times New Roman" w:hAnsiTheme="majorBidi" w:cstheme="majorBidi"/>
          <w:sz w:val="24"/>
          <w:szCs w:val="24"/>
          <w:lang w:val="en-US" w:eastAsia="en-GB" w:bidi="he-IL"/>
        </w:rPr>
        <w:t xml:space="preserve">compared to </w:t>
      </w:r>
      <w:r w:rsidR="0018284D" w:rsidRPr="000E4150">
        <w:rPr>
          <w:rFonts w:asciiTheme="majorBidi" w:eastAsia="Times New Roman" w:hAnsiTheme="majorBidi" w:cstheme="majorBidi"/>
          <w:sz w:val="24"/>
          <w:szCs w:val="24"/>
          <w:lang w:val="en-US" w:eastAsia="en-GB" w:bidi="he-IL"/>
        </w:rPr>
        <w:t xml:space="preserve">control participants </w:t>
      </w:r>
      <w:r w:rsidR="00787D9B" w:rsidRPr="000E4150">
        <w:rPr>
          <w:rFonts w:asciiTheme="majorBidi" w:eastAsia="Times New Roman" w:hAnsiTheme="majorBidi" w:cstheme="majorBidi"/>
          <w:sz w:val="24"/>
          <w:szCs w:val="24"/>
          <w:lang w:val="en-US" w:eastAsia="en-GB" w:bidi="he-IL"/>
        </w:rPr>
        <w:t xml:space="preserve">in whole-brain analyses with monetary incentives. This is in keeping with the limited differences in task performance and function between these same individuals in monetary reward processing </w:t>
      </w:r>
      <w:r w:rsidR="00435035" w:rsidRPr="000E4150">
        <w:rPr>
          <w:rFonts w:asciiTheme="majorBidi" w:eastAsia="Times New Roman" w:hAnsiTheme="majorBidi" w:cstheme="majorBidi"/>
          <w:sz w:val="24"/>
          <w:szCs w:val="24"/>
          <w:lang w:val="en-US" w:eastAsia="en-GB" w:bidi="he-IL"/>
        </w:rPr>
        <w:fldChar w:fldCharType="begin" w:fldLock="1"/>
      </w:r>
      <w:r w:rsidR="00760109" w:rsidRPr="000E4150">
        <w:rPr>
          <w:rFonts w:asciiTheme="majorBidi" w:eastAsia="Times New Roman" w:hAnsiTheme="majorBidi" w:cstheme="majorBidi"/>
          <w:sz w:val="24"/>
          <w:szCs w:val="24"/>
          <w:lang w:val="en-US" w:eastAsia="en-GB" w:bidi="he-IL"/>
        </w:rPr>
        <w:instrText>ADDIN CSL_CITATION {"citationItems":[{"id":"ITEM-1","itemData":{"DOI":"10.1038/s41398-019-0399-4","ISSN":"2158-3188","author":[{"dropping-particle":"","family":"Just","given":"Alanna L.","non-dropping-particle":"","parse-names":false,"suffix":""},{"dropping-particle":"","family":"Meng","given":"Chun","non-dropping-particle":"","parse-names":false,"suffix":""},{"dropping-particle":"","family":"Smith","given":"Dana G.","non-dropping-particle":"","parse-names":false,"suffix":""},{"dropping-particle":"","family":"Bullmore","given":"Edward T.","non-dropping-particle":"","parse-names":false,"suffix":""},{"dropping-particle":"","family":"Robbins","given":"Trevor W.","non-dropping-particle":"","parse-names":false,"suffix":""},{"dropping-particle":"","family":"Ersche","given":"Karen D.","non-dropping-particle":"","parse-names":false,"suffix":""}],"container-title":"Translational Psychiatry","id":"ITEM-1","issue":"1","issued":{"date-parts":[["2019"]]},"publisher":"Springer US","title":"Effects of familial risk and stimulant drug use on the anticipation of monetary reward: an fMRI study","type":"article-journal","volume":"9"},"uris":["http://www.mendeley.com/documents/?uuid=d7be97f3-ac2c-4d69-aef5-01ab92258119"]}],"mendeley":{"formattedCitation":"[Just et al., 2019]","plainTextFormattedCitation":"[Just et al., 2019]","previouslyFormattedCitation":"[Just et al., 2019]"},"properties":{"noteIndex":0},"schema":"https://github.com/citation-style-language/schema/raw/master/csl-citation.json"}</w:instrText>
      </w:r>
      <w:r w:rsidR="00435035" w:rsidRPr="000E4150">
        <w:rPr>
          <w:rFonts w:asciiTheme="majorBidi" w:eastAsia="Times New Roman" w:hAnsiTheme="majorBidi" w:cstheme="majorBidi"/>
          <w:sz w:val="24"/>
          <w:szCs w:val="24"/>
          <w:lang w:val="en-US" w:eastAsia="en-GB" w:bidi="he-IL"/>
        </w:rPr>
        <w:fldChar w:fldCharType="separate"/>
      </w:r>
      <w:r w:rsidR="00E06636" w:rsidRPr="000E4150">
        <w:rPr>
          <w:rFonts w:asciiTheme="majorBidi" w:eastAsia="Times New Roman" w:hAnsiTheme="majorBidi" w:cstheme="majorBidi"/>
          <w:noProof/>
          <w:sz w:val="24"/>
          <w:szCs w:val="24"/>
          <w:lang w:val="en-US" w:eastAsia="en-GB" w:bidi="he-IL"/>
        </w:rPr>
        <w:t>[Just et al., 2019]</w:t>
      </w:r>
      <w:r w:rsidR="00435035" w:rsidRPr="000E4150">
        <w:rPr>
          <w:rFonts w:asciiTheme="majorBidi" w:eastAsia="Times New Roman" w:hAnsiTheme="majorBidi" w:cstheme="majorBidi"/>
          <w:sz w:val="24"/>
          <w:szCs w:val="24"/>
          <w:lang w:val="en-US" w:eastAsia="en-GB" w:bidi="he-IL"/>
        </w:rPr>
        <w:fldChar w:fldCharType="end"/>
      </w:r>
      <w:r w:rsidR="009E129E" w:rsidRPr="000E4150">
        <w:rPr>
          <w:rFonts w:asciiTheme="majorBidi" w:eastAsia="Times New Roman" w:hAnsiTheme="majorBidi" w:cstheme="majorBidi"/>
          <w:sz w:val="24"/>
          <w:szCs w:val="24"/>
          <w:lang w:val="en-US" w:eastAsia="en-GB" w:bidi="he-IL"/>
        </w:rPr>
        <w:t xml:space="preserve"> </w:t>
      </w:r>
      <w:r w:rsidR="00787D9B" w:rsidRPr="000E4150">
        <w:rPr>
          <w:rFonts w:asciiTheme="majorBidi" w:eastAsia="Times New Roman" w:hAnsiTheme="majorBidi" w:cstheme="majorBidi"/>
          <w:sz w:val="24"/>
          <w:szCs w:val="24"/>
          <w:lang w:val="en-US" w:eastAsia="en-GB" w:bidi="he-IL"/>
        </w:rPr>
        <w:t xml:space="preserve">and consistent with the broader literature on processing of non-drug rewards in addicted individuals </w:t>
      </w:r>
      <w:r w:rsidR="00435035" w:rsidRPr="000E4150">
        <w:rPr>
          <w:rFonts w:asciiTheme="majorBidi" w:eastAsia="Times New Roman" w:hAnsiTheme="majorBidi" w:cstheme="majorBidi"/>
          <w:sz w:val="24"/>
          <w:szCs w:val="24"/>
          <w:lang w:val="en-US" w:eastAsia="en-GB" w:bidi="he-IL"/>
        </w:rPr>
        <w:fldChar w:fldCharType="begin" w:fldLock="1"/>
      </w:r>
      <w:r w:rsidR="00760109" w:rsidRPr="000E4150">
        <w:rPr>
          <w:rFonts w:asciiTheme="majorBidi" w:eastAsia="Times New Roman" w:hAnsiTheme="majorBidi" w:cstheme="majorBidi"/>
          <w:sz w:val="24"/>
          <w:szCs w:val="24"/>
          <w:lang w:val="en-US" w:eastAsia="en-GB" w:bidi="he-IL"/>
        </w:rPr>
        <w:instrText>ADDIN CSL_CITATION {"citationItems":[{"id":"ITEM-1","itemData":{"DOI":"10.1016/j.neuron.2018.03.048","ISBN":"1097-4199; 0896-6273","ISSN":"10974199","PMID":"29879391","abstract":"The impaired response inhibition and salience attribution (iRISA) model proposes that impaired response inhibition and salience attribution underlie drug seeking and taking. To update this model, we systematically reviewed 105 task-related neuroimaging studies (n &gt; 15/group) published since 2010. Results demonstrate specific impairments within six large-scale brain networks (reward, habit, salience, executive, memory, and self-directed networks) during drug cue exposure, decision making, inhibitory control, and social-emotional processing. Addicted individuals demonstrated increased recruitment of these networks during drug-related processing but a blunted response during non-drug-related processing, with the same networks also being implicated during resting state. Associations with real-life drug use, relapse, therapeutic interventions, and the relevance to initiation of drug use during adolescence support the clinical relevance of the results. Whereas the salience and executive networks showed impairments throughout the addiction cycle, the reward network was dysregulated at later stages of abuse. Effects were similar in alcohol, cannabis, and stimulant addiction. Zilverstand et al. find that behaviors in drug addiction are closely tied to brain impairments underlying drug cue reactivity, decision making, inhibitory control, and social-emotional processing. Neuroimaging biomarkers can also be used to predict initiation and progression of drug addiction.","author":[{"dropping-particle":"","family":"Zilverstand","given":"Anna","non-dropping-particle":"","parse-names":false,"suffix":""},{"dropping-particle":"","family":"Huang","given":"Anna S.","non-dropping-particle":"","parse-names":false,"suffix":""},{"dropping-particle":"","family":"Alia-Klein","given":"Nelly","non-dropping-particle":"","parse-names":false,"suffix":""},{"dropping-particle":"","family":"Goldstein","given":"Rita Z.","non-dropping-particle":"","parse-names":false,"suffix":""}],"container-title":"Neuron","id":"ITEM-1","issue":"5","issued":{"date-parts":[["2018"]]},"page":"886-903","publisher":"Elsevier Inc.","title":"Neuroimaging Impaired Response Inhibition and Salience Attribution in Human Drug Addiction: A Systematic Review","type":"article-journal","volume":"98"},"uris":["http://www.mendeley.com/documents/?uuid=a9f0754f-79ce-4025-802b-195340f09362"]}],"mendeley":{"formattedCitation":"[Zilverstand et al., 2018]","plainTextFormattedCitation":"[Zilverstand et al., 2018]","previouslyFormattedCitation":"[Zilverstand et al., 2018]"},"properties":{"noteIndex":0},"schema":"https://github.com/citation-style-language/schema/raw/master/csl-citation.json"}</w:instrText>
      </w:r>
      <w:r w:rsidR="00435035" w:rsidRPr="000E4150">
        <w:rPr>
          <w:rFonts w:asciiTheme="majorBidi" w:eastAsia="Times New Roman" w:hAnsiTheme="majorBidi" w:cstheme="majorBidi"/>
          <w:sz w:val="24"/>
          <w:szCs w:val="24"/>
          <w:lang w:val="en-US" w:eastAsia="en-GB" w:bidi="he-IL"/>
        </w:rPr>
        <w:fldChar w:fldCharType="separate"/>
      </w:r>
      <w:r w:rsidR="00E06636" w:rsidRPr="000E4150">
        <w:rPr>
          <w:rFonts w:asciiTheme="majorBidi" w:eastAsia="Times New Roman" w:hAnsiTheme="majorBidi" w:cstheme="majorBidi"/>
          <w:noProof/>
          <w:sz w:val="24"/>
          <w:szCs w:val="24"/>
          <w:lang w:val="en-US" w:eastAsia="en-GB" w:bidi="he-IL"/>
        </w:rPr>
        <w:t>[Zilverstand et al., 2018]</w:t>
      </w:r>
      <w:r w:rsidR="00435035" w:rsidRPr="000E4150">
        <w:rPr>
          <w:rFonts w:asciiTheme="majorBidi" w:eastAsia="Times New Roman" w:hAnsiTheme="majorBidi" w:cstheme="majorBidi"/>
          <w:sz w:val="24"/>
          <w:szCs w:val="24"/>
          <w:lang w:val="en-US" w:eastAsia="en-GB" w:bidi="he-IL"/>
        </w:rPr>
        <w:fldChar w:fldCharType="end"/>
      </w:r>
      <w:r w:rsidR="00787D9B" w:rsidRPr="000E4150">
        <w:rPr>
          <w:rFonts w:asciiTheme="majorBidi" w:eastAsia="Times New Roman" w:hAnsiTheme="majorBidi" w:cstheme="majorBidi"/>
          <w:sz w:val="24"/>
          <w:szCs w:val="24"/>
          <w:lang w:val="en-US" w:eastAsia="en-GB" w:bidi="he-IL"/>
        </w:rPr>
        <w:t>. Whilst consistent with the notion that brain activity during inhibitory control is stimulus-dependent</w:t>
      </w:r>
      <w:r w:rsidR="00CB6845" w:rsidRPr="000E4150">
        <w:rPr>
          <w:rFonts w:asciiTheme="majorBidi" w:eastAsia="Times New Roman" w:hAnsiTheme="majorBidi" w:cstheme="majorBidi"/>
          <w:sz w:val="24"/>
          <w:szCs w:val="24"/>
          <w:lang w:val="en-US" w:eastAsia="en-GB" w:bidi="he-IL"/>
        </w:rPr>
        <w:t xml:space="preserve"> </w:t>
      </w:r>
      <w:r w:rsidR="00CB6845" w:rsidRPr="000E4150">
        <w:rPr>
          <w:rFonts w:asciiTheme="majorBidi" w:eastAsia="Times New Roman" w:hAnsiTheme="majorBidi" w:cstheme="majorBidi"/>
          <w:sz w:val="24"/>
          <w:szCs w:val="24"/>
          <w:lang w:val="en-US" w:eastAsia="en-GB" w:bidi="he-IL"/>
        </w:rPr>
        <w:fldChar w:fldCharType="begin" w:fldLock="1"/>
      </w:r>
      <w:r w:rsidR="00760109" w:rsidRPr="000E4150">
        <w:rPr>
          <w:rFonts w:asciiTheme="majorBidi" w:eastAsia="Times New Roman" w:hAnsiTheme="majorBidi" w:cstheme="majorBidi"/>
          <w:sz w:val="24"/>
          <w:szCs w:val="24"/>
          <w:lang w:val="en-US" w:eastAsia="en-GB" w:bidi="he-IL"/>
        </w:rPr>
        <w:instrText>ADDIN CSL_CITATION {"citationItems":[{"id":"ITEM-1","itemData":{"DOI":"10.1007/s00213-017-4541-9","ISSN":"14322072","abstract":"© 2017, Springer-Verlag Berlin Heidelberg. Rationale: Alcohol dependence is associated with impaired response inhibition and heightened cue reactivity towards alcohol-related stimuli. Several brain areas, but mainly prefrontal structures, have been linked to response inhibition in addiction. This study aimed at combining both aspects: salience of drug-associated cues and response inhibition using a go/no-go task with alcohol-associated stimuli during functional magnetic resonance imaging (fMRI). Objectives: Nineteen abstinent alcohol-dependent patients (ADP) and 21 healthy control subjects (HC) were compared on blood oxygen level-dependent (BOLD) responses during successful inhibition of no-go stimuli and successful reactions to go stimuli. Results: ADP and HC did not significantly differ in their behavioural performance in the task. However, both groups performed worse during the inhibition of alcoholic-associated stimuli compared to neutral stimuli. On the neural level, ADP displayed enhanced BOLD activity relative to HC during successful response inhibition in several areas involved in visual processing, cognitive and impulse control, including occipital structures, anterior cingulate gyrus, medial frontal gyrus and medial orbitofrontal cortex. Conclusions: We interpret these findings as a possible compensation strategy for impaired cognitive processing. Furthermore, the results underline the impact of salience of alcohol-related stimuli on response inhibition, which seems to affect both ADP and HC.","author":[{"dropping-particle":"","family":"Czapla","given":"Marta","non-dropping-particle":"","parse-names":false,"suffix":""},{"dropping-particle":"","family":"Baeuchl","given":"Christian","non-dropping-particle":"","parse-names":false,"suffix":""},{"dropping-particle":"","family":"Simon","given":"Joe J.","non-dropping-particle":"","parse-names":false,"suffix":""},{"dropping-particle":"","family":"Richter","given":"Barbara","non-dropping-particle":"","parse-names":false,"suffix":""},{"dropping-particle":"","family":"Kluge","given":"Matthias","non-dropping-particle":"","parse-names":false,"suffix":""},{"dropping-particle":"","family":"Friederich","given":"Hans Christoph","non-dropping-particle":"","parse-names":false,"suffix":""},{"dropping-particle":"","family":"Mann","given":"Karl","non-dropping-particle":"","parse-names":false,"suffix":""},{"dropping-particle":"","family":"Herpertz","given":"Sabine C.","non-dropping-particle":"","parse-names":false,"suffix":""},{"dropping-particle":"","family":"Loeber","given":"Sabine","non-dropping-particle":"","parse-names":false,"suffix":""}],"container-title":"Psychopharmacology","id":"ITEM-1","issue":"6","issued":{"date-parts":[["2017"]]},"page":"1001-1015","publisher":"Psychopharmacology","title":"Do alcohol-dependent patients show different neural activation during response inhibition than healthy controls in an alcohol-related fMRI go/no-go-task?","type":"article-journal","volume":"234"},"uris":["http://www.mendeley.com/documents/?uuid=392b677a-8b14-48bf-8c21-2b9964cf2d15"]}],"mendeley":{"formattedCitation":"[Czapla et al., 2017]","plainTextFormattedCitation":"[Czapla et al., 2017]","previouslyFormattedCitation":"[Czapla et al., 2017]"},"properties":{"noteIndex":0},"schema":"https://github.com/citation-style-language/schema/raw/master/csl-citation.json"}</w:instrText>
      </w:r>
      <w:r w:rsidR="00CB6845" w:rsidRPr="000E4150">
        <w:rPr>
          <w:rFonts w:asciiTheme="majorBidi" w:eastAsia="Times New Roman" w:hAnsiTheme="majorBidi" w:cstheme="majorBidi"/>
          <w:sz w:val="24"/>
          <w:szCs w:val="24"/>
          <w:lang w:val="en-US" w:eastAsia="en-GB" w:bidi="he-IL"/>
        </w:rPr>
        <w:fldChar w:fldCharType="separate"/>
      </w:r>
      <w:r w:rsidR="00E06636" w:rsidRPr="000E4150">
        <w:rPr>
          <w:rFonts w:asciiTheme="majorBidi" w:eastAsia="Times New Roman" w:hAnsiTheme="majorBidi" w:cstheme="majorBidi"/>
          <w:noProof/>
          <w:sz w:val="24"/>
          <w:szCs w:val="24"/>
          <w:lang w:val="en-US" w:eastAsia="en-GB" w:bidi="he-IL"/>
        </w:rPr>
        <w:t>[Czapla et al., 2017]</w:t>
      </w:r>
      <w:r w:rsidR="00CB6845" w:rsidRPr="000E4150">
        <w:rPr>
          <w:rFonts w:asciiTheme="majorBidi" w:eastAsia="Times New Roman" w:hAnsiTheme="majorBidi" w:cstheme="majorBidi"/>
          <w:sz w:val="24"/>
          <w:szCs w:val="24"/>
          <w:lang w:val="en-US" w:eastAsia="en-GB" w:bidi="he-IL"/>
        </w:rPr>
        <w:fldChar w:fldCharType="end"/>
      </w:r>
      <w:r w:rsidR="00787D9B" w:rsidRPr="000E4150">
        <w:rPr>
          <w:rFonts w:asciiTheme="majorBidi" w:eastAsia="Times New Roman" w:hAnsiTheme="majorBidi" w:cstheme="majorBidi"/>
          <w:sz w:val="24"/>
          <w:szCs w:val="24"/>
          <w:lang w:val="en-US" w:eastAsia="en-GB" w:bidi="he-IL"/>
        </w:rPr>
        <w:t xml:space="preserve">, this limits proposals that drug use diminishes the perceived value of non-drug rewards to </w:t>
      </w:r>
      <w:r w:rsidR="00F126EF" w:rsidRPr="000E4150">
        <w:rPr>
          <w:rFonts w:asciiTheme="majorBidi" w:eastAsia="Times New Roman" w:hAnsiTheme="majorBidi" w:cstheme="majorBidi"/>
          <w:sz w:val="24"/>
          <w:szCs w:val="24"/>
          <w:lang w:val="en-US" w:eastAsia="en-GB" w:bidi="he-IL"/>
        </w:rPr>
        <w:t xml:space="preserve">only </w:t>
      </w:r>
      <w:r w:rsidR="00787D9B" w:rsidRPr="000E4150">
        <w:rPr>
          <w:rFonts w:asciiTheme="majorBidi" w:eastAsia="Times New Roman" w:hAnsiTheme="majorBidi" w:cstheme="majorBidi"/>
          <w:sz w:val="24"/>
          <w:szCs w:val="24"/>
          <w:lang w:val="en-US" w:eastAsia="en-GB" w:bidi="he-IL"/>
        </w:rPr>
        <w:t>specific brain regions</w:t>
      </w:r>
      <w:r w:rsidR="002C4E15" w:rsidRPr="000E4150">
        <w:rPr>
          <w:rFonts w:asciiTheme="majorBidi" w:eastAsia="Times New Roman" w:hAnsiTheme="majorBidi" w:cstheme="majorBidi"/>
          <w:sz w:val="24"/>
          <w:szCs w:val="24"/>
          <w:lang w:val="en-US" w:eastAsia="en-GB" w:bidi="he-IL"/>
        </w:rPr>
        <w:t xml:space="preserve"> </w:t>
      </w:r>
      <w:r w:rsidR="002C4E15" w:rsidRPr="000E4150">
        <w:rPr>
          <w:rFonts w:asciiTheme="majorBidi" w:eastAsia="Times New Roman" w:hAnsiTheme="majorBidi" w:cstheme="majorBidi"/>
          <w:sz w:val="24"/>
          <w:szCs w:val="24"/>
          <w:lang w:val="en-US" w:eastAsia="en-GB" w:bidi="he-IL"/>
        </w:rPr>
        <w:fldChar w:fldCharType="begin" w:fldLock="1"/>
      </w:r>
      <w:r w:rsidR="00760109" w:rsidRPr="000E4150">
        <w:rPr>
          <w:rFonts w:asciiTheme="majorBidi" w:eastAsia="Times New Roman" w:hAnsiTheme="majorBidi" w:cstheme="majorBidi"/>
          <w:sz w:val="24"/>
          <w:szCs w:val="24"/>
          <w:lang w:val="en-US" w:eastAsia="en-GB" w:bidi="he-IL"/>
        </w:rPr>
        <w:instrText>ADDIN CSL_CITATION {"citationItems":[{"id":"ITEM-1","itemData":{"DOI":"10.1038/nrn3119","ISBN":"1471-003X","ISSN":"1471003X","PMID":"22011681","abstract":"The loss of control over drug intake that occurs in addiction was initially believed to result from disruption of subcortical reward circuits. However, imaging studies in addictive behaviours have identified a key involvement of the prefrontal cortex (PFC) both through its regulation of limbic reward regions and its involvement in higher-order executive function (for example, self-control, salience attribution and awareness). This Review focuses on functional neuroimaging studies conducted in the past decade that have expanded our understanding of the involvement of the PFC in drug addiction. Disruption of the PFC in addiction underlies not only compulsive drug taking but also accounts for the disadvantageous behaviours that are associated with addiction and the erosion of free will.","author":[{"dropping-particle":"","family":"Goldstein","given":"Rita Z.","non-dropping-particle":"","parse-names":false,"suffix":""},{"dropping-particle":"","family":"Volkow","given":"Nora D.","non-dropping-particle":"","parse-names":false,"suffix":""}],"container-title":"Nature Reviews Neuroscience","id":"ITEM-1","issue":"11","issued":{"date-parts":[["2011"]]},"page":"652-669","publisher":"Nature Publishing Group","title":"Dysfunction of the prefrontal cortex in addiction: Neuroimaging findings and clinical implications","type":"article-journal","volume":"12"},"uris":["http://www.mendeley.com/documents/?uuid=2c7c51dc-74e6-4f25-bc8c-8b793b133a17"]}],"mendeley":{"formattedCitation":"[Goldstein and Volkow, 2011]","plainTextFormattedCitation":"[Goldstein and Volkow, 2011]","previouslyFormattedCitation":"[Goldstein and Volkow, 2011]"},"properties":{"noteIndex":0},"schema":"https://github.com/citation-style-language/schema/raw/master/csl-citation.json"}</w:instrText>
      </w:r>
      <w:r w:rsidR="002C4E15" w:rsidRPr="000E4150">
        <w:rPr>
          <w:rFonts w:asciiTheme="majorBidi" w:eastAsia="Times New Roman" w:hAnsiTheme="majorBidi" w:cstheme="majorBidi"/>
          <w:sz w:val="24"/>
          <w:szCs w:val="24"/>
          <w:lang w:val="en-US" w:eastAsia="en-GB" w:bidi="he-IL"/>
        </w:rPr>
        <w:fldChar w:fldCharType="separate"/>
      </w:r>
      <w:r w:rsidR="00E06636" w:rsidRPr="000E4150">
        <w:rPr>
          <w:rFonts w:asciiTheme="majorBidi" w:eastAsia="Times New Roman" w:hAnsiTheme="majorBidi" w:cstheme="majorBidi"/>
          <w:noProof/>
          <w:sz w:val="24"/>
          <w:szCs w:val="24"/>
          <w:lang w:val="en-US" w:eastAsia="en-GB" w:bidi="he-IL"/>
        </w:rPr>
        <w:t>[Goldstein and Volkow, 2011]</w:t>
      </w:r>
      <w:r w:rsidR="002C4E15" w:rsidRPr="000E4150">
        <w:rPr>
          <w:rFonts w:asciiTheme="majorBidi" w:eastAsia="Times New Roman" w:hAnsiTheme="majorBidi" w:cstheme="majorBidi"/>
          <w:sz w:val="24"/>
          <w:szCs w:val="24"/>
          <w:lang w:val="en-US" w:eastAsia="en-GB" w:bidi="he-IL"/>
        </w:rPr>
        <w:fldChar w:fldCharType="end"/>
      </w:r>
      <w:r w:rsidR="00787D9B" w:rsidRPr="000E4150">
        <w:rPr>
          <w:rFonts w:asciiTheme="majorBidi" w:eastAsia="Times New Roman" w:hAnsiTheme="majorBidi" w:cstheme="majorBidi"/>
          <w:sz w:val="24"/>
          <w:szCs w:val="24"/>
          <w:lang w:val="en-US" w:eastAsia="en-GB" w:bidi="he-IL"/>
        </w:rPr>
        <w:t>.</w:t>
      </w:r>
      <w:r w:rsidR="00004236" w:rsidRPr="000E4150">
        <w:rPr>
          <w:rFonts w:asciiTheme="majorBidi" w:eastAsia="Times New Roman" w:hAnsiTheme="majorBidi" w:cstheme="majorBidi"/>
          <w:sz w:val="24"/>
          <w:szCs w:val="24"/>
          <w:lang w:val="en-US" w:eastAsia="en-GB" w:bidi="he-IL"/>
        </w:rPr>
        <w:t xml:space="preserve"> Taken together the results support an imbalance between incentive salience of drug and non-drug rewards in drug users</w:t>
      </w:r>
      <w:r w:rsidR="00166C05" w:rsidRPr="000E4150">
        <w:rPr>
          <w:rFonts w:asciiTheme="majorBidi" w:eastAsia="Times New Roman" w:hAnsiTheme="majorBidi" w:cstheme="majorBidi"/>
          <w:sz w:val="24"/>
          <w:szCs w:val="24"/>
          <w:lang w:val="en-US" w:eastAsia="en-GB" w:bidi="he-IL"/>
        </w:rPr>
        <w:t xml:space="preserve"> </w:t>
      </w:r>
      <w:r w:rsidR="00166C05" w:rsidRPr="000E4150">
        <w:rPr>
          <w:rFonts w:asciiTheme="majorBidi" w:eastAsia="Times New Roman" w:hAnsiTheme="majorBidi" w:cstheme="majorBidi"/>
          <w:sz w:val="24"/>
          <w:szCs w:val="24"/>
          <w:lang w:val="en-US" w:eastAsia="en-GB" w:bidi="he-IL"/>
        </w:rPr>
        <w:fldChar w:fldCharType="begin" w:fldLock="1"/>
      </w:r>
      <w:r w:rsidR="00166C05" w:rsidRPr="000E4150">
        <w:rPr>
          <w:rFonts w:asciiTheme="majorBidi" w:eastAsia="Times New Roman" w:hAnsiTheme="majorBidi" w:cstheme="majorBidi"/>
          <w:sz w:val="24"/>
          <w:szCs w:val="24"/>
          <w:lang w:val="en-US" w:eastAsia="en-GB" w:bidi="he-IL"/>
        </w:rPr>
        <w:instrText>ADDIN CSL_CITATION {"citationItems":[{"id":"ITEM-1","itemData":{"DOI":"10.1016/j.biopsych.2009.10.029","ISSN":"00063223","abstract":"Background: Drug addiction is characterized by an unhealthy priority for drug consumption with a compulsive, uncontrolled drug-intake pattern due to a disordered motivational system. However, only some individuals become addicted, whereas others maintain regular but controlled drug use. Whether the transition occurs might depend on how individuals process drug relative to nondrug reward. Methods: We applied functional magnetic resonance imaging to measure mesocorticolimbic activity to stimuli predicting monetary or cigarette reward, together with behavioral assessment of subsequent motivation to obtain the respective reward on a trial-by-trial basis, in 21 nicotine-dependent and 21 nondependent, occasional smokers. Results: Occasional smokers showed increased reactivity of the mesocorticolimbic system to stimuli predicting monetary reward relative to cigarette reward and subsequently spent more effort to obtain money. In the group of dependent smokers, we found equivalent anticipatory activity and subsequent instrumental response rates for both reward types. Additionally, anticipatory mesocorticolimbic activation predicted subsequent motivation to obtain reward. Conclusions: This imbalance in the incentive salience of drug relative to nondrug reward-predicting cues, in a network that drives motivation to obtain reward, could represent a central mechanism of drug addiction. © 2010 Society of Biological Psychiatry.","author":[{"dropping-particle":"","family":"Bühler","given":"Mira","non-dropping-particle":"","parse-names":false,"suffix":""},{"dropping-particle":"","family":"Vollstädt-Klein","given":"Sabine","non-dropping-particle":"","parse-names":false,"suffix":""},{"dropping-particle":"","family":"Kobiella","given":"Andrea","non-dropping-particle":"","parse-names":false,"suffix":""},{"dropping-particle":"","family":"Budde","given":"Henning","non-dropping-particle":"","parse-names":false,"suffix":""},{"dropping-particle":"","family":"Reed","given":"Laurence J.","non-dropping-particle":"","parse-names":false,"suffix":""},{"dropping-particle":"","family":"Braus","given":"Dieter F.","non-dropping-particle":"","parse-names":false,"suffix":""},{"dropping-particle":"","family":"Büchel","given":"Christian","non-dropping-particle":"","parse-names":false,"suffix":""},{"dropping-particle":"","family":"Smolka","given":"Michael N.","non-dropping-particle":"","parse-names":false,"suffix":""}],"container-title":"Biological Psychiatry","id":"ITEM-1","issue":"8","issued":{"date-parts":[["2010"]]},"page":"745-752","publisher":"Elsevier Inc.","title":"Nicotine Dependence Is Characterized by Disordered Reward Processing in a Network Driving Motivation","type":"article-journal","volume":"67"},"uris":["http://www.mendeley.com/documents/?uuid=d2298030-82a3-49f5-b3d3-082b18f6d45a"]}],"mendeley":{"formattedCitation":"[Bühler et al., 2010]","plainTextFormattedCitation":"[Bühler et al., 2010]","previouslyFormattedCitation":"[Bühler et al., 2010]"},"properties":{"noteIndex":0},"schema":"https://github.com/citation-style-language/schema/raw/master/csl-citation.json"}</w:instrText>
      </w:r>
      <w:r w:rsidR="00166C05" w:rsidRPr="000E4150">
        <w:rPr>
          <w:rFonts w:asciiTheme="majorBidi" w:eastAsia="Times New Roman" w:hAnsiTheme="majorBidi" w:cstheme="majorBidi"/>
          <w:sz w:val="24"/>
          <w:szCs w:val="24"/>
          <w:lang w:val="en-US" w:eastAsia="en-GB" w:bidi="he-IL"/>
        </w:rPr>
        <w:fldChar w:fldCharType="separate"/>
      </w:r>
      <w:r w:rsidR="00166C05" w:rsidRPr="000E4150">
        <w:rPr>
          <w:rFonts w:asciiTheme="majorBidi" w:eastAsia="Times New Roman" w:hAnsiTheme="majorBidi" w:cstheme="majorBidi"/>
          <w:noProof/>
          <w:sz w:val="24"/>
          <w:szCs w:val="24"/>
          <w:lang w:val="en-US" w:eastAsia="en-GB" w:bidi="he-IL"/>
        </w:rPr>
        <w:t>[Bühler et al., 2010]</w:t>
      </w:r>
      <w:r w:rsidR="00166C05" w:rsidRPr="000E4150">
        <w:rPr>
          <w:rFonts w:asciiTheme="majorBidi" w:eastAsia="Times New Roman" w:hAnsiTheme="majorBidi" w:cstheme="majorBidi"/>
          <w:sz w:val="24"/>
          <w:szCs w:val="24"/>
          <w:lang w:val="en-US" w:eastAsia="en-GB" w:bidi="he-IL"/>
        </w:rPr>
        <w:fldChar w:fldCharType="end"/>
      </w:r>
      <w:r w:rsidR="00004236" w:rsidRPr="000E4150">
        <w:rPr>
          <w:rFonts w:asciiTheme="majorBidi" w:eastAsia="Times New Roman" w:hAnsiTheme="majorBidi" w:cstheme="majorBidi"/>
          <w:sz w:val="24"/>
          <w:szCs w:val="24"/>
          <w:lang w:val="en-US" w:eastAsia="en-GB" w:bidi="he-IL"/>
        </w:rPr>
        <w:t>. The</w:t>
      </w:r>
      <w:r w:rsidR="00F03F89" w:rsidRPr="000E4150">
        <w:rPr>
          <w:rFonts w:asciiTheme="majorBidi" w:eastAsia="Times New Roman" w:hAnsiTheme="majorBidi" w:cstheme="majorBidi"/>
          <w:sz w:val="24"/>
          <w:szCs w:val="24"/>
          <w:lang w:val="en-US" w:eastAsia="en-GB" w:bidi="he-IL"/>
        </w:rPr>
        <w:t xml:space="preserve"> </w:t>
      </w:r>
      <w:proofErr w:type="spellStart"/>
      <w:r w:rsidR="00F03F89" w:rsidRPr="000E4150">
        <w:rPr>
          <w:rFonts w:asciiTheme="majorBidi" w:eastAsia="Times New Roman" w:hAnsiTheme="majorBidi" w:cstheme="majorBidi"/>
          <w:sz w:val="24"/>
          <w:szCs w:val="24"/>
          <w:lang w:val="en-US" w:eastAsia="en-GB" w:bidi="he-IL"/>
        </w:rPr>
        <w:t>iRISA</w:t>
      </w:r>
      <w:proofErr w:type="spellEnd"/>
      <w:r w:rsidR="00F03F89" w:rsidRPr="000E4150">
        <w:rPr>
          <w:rFonts w:asciiTheme="majorBidi" w:eastAsia="Times New Roman" w:hAnsiTheme="majorBidi" w:cstheme="majorBidi"/>
          <w:sz w:val="24"/>
          <w:szCs w:val="24"/>
          <w:lang w:val="en-US" w:eastAsia="en-GB" w:bidi="he-IL"/>
        </w:rPr>
        <w:t xml:space="preserve"> model will likely benefit from further refinement</w:t>
      </w:r>
      <w:r w:rsidR="004433E3" w:rsidRPr="000E4150">
        <w:rPr>
          <w:rFonts w:asciiTheme="majorBidi" w:eastAsia="Times New Roman" w:hAnsiTheme="majorBidi" w:cstheme="majorBidi"/>
          <w:sz w:val="24"/>
          <w:szCs w:val="24"/>
          <w:lang w:val="en-US" w:eastAsia="en-GB" w:bidi="he-IL"/>
        </w:rPr>
        <w:t xml:space="preserve"> by</w:t>
      </w:r>
      <w:r w:rsidR="00F03F89" w:rsidRPr="000E4150">
        <w:rPr>
          <w:rFonts w:asciiTheme="majorBidi" w:eastAsia="Times New Roman" w:hAnsiTheme="majorBidi" w:cstheme="majorBidi"/>
          <w:sz w:val="24"/>
          <w:szCs w:val="24"/>
          <w:lang w:val="en-US" w:eastAsia="en-GB" w:bidi="he-IL"/>
        </w:rPr>
        <w:t xml:space="preserve"> taking into account the</w:t>
      </w:r>
      <w:r w:rsidR="00004236" w:rsidRPr="000E4150">
        <w:rPr>
          <w:rFonts w:asciiTheme="majorBidi" w:eastAsia="Times New Roman" w:hAnsiTheme="majorBidi" w:cstheme="majorBidi"/>
          <w:sz w:val="24"/>
          <w:szCs w:val="24"/>
          <w:lang w:val="en-US" w:eastAsia="en-GB" w:bidi="he-IL"/>
        </w:rPr>
        <w:t xml:space="preserve"> nature of the reactivity measures</w:t>
      </w:r>
      <w:r w:rsidR="00C4720D" w:rsidRPr="000E4150">
        <w:rPr>
          <w:rFonts w:asciiTheme="majorBidi" w:eastAsia="Times New Roman" w:hAnsiTheme="majorBidi" w:cstheme="majorBidi"/>
          <w:sz w:val="24"/>
          <w:szCs w:val="24"/>
          <w:lang w:val="en-US" w:eastAsia="en-GB" w:bidi="he-IL"/>
        </w:rPr>
        <w:t>,</w:t>
      </w:r>
      <w:r w:rsidR="00004236" w:rsidRPr="000E4150">
        <w:rPr>
          <w:rFonts w:asciiTheme="majorBidi" w:eastAsia="Times New Roman" w:hAnsiTheme="majorBidi" w:cstheme="majorBidi"/>
          <w:sz w:val="24"/>
          <w:szCs w:val="24"/>
          <w:lang w:val="en-US" w:eastAsia="en-GB" w:bidi="he-IL"/>
        </w:rPr>
        <w:t xml:space="preserve"> </w:t>
      </w:r>
      <w:r w:rsidR="00805147" w:rsidRPr="000E4150">
        <w:rPr>
          <w:rFonts w:asciiTheme="majorBidi" w:eastAsia="Times New Roman" w:hAnsiTheme="majorBidi" w:cstheme="majorBidi"/>
          <w:sz w:val="24"/>
          <w:szCs w:val="24"/>
          <w:lang w:val="en-US" w:eastAsia="en-GB" w:bidi="he-IL"/>
        </w:rPr>
        <w:t>including</w:t>
      </w:r>
      <w:r w:rsidR="00125176" w:rsidRPr="000E4150">
        <w:rPr>
          <w:rFonts w:asciiTheme="majorBidi" w:eastAsia="Times New Roman" w:hAnsiTheme="majorBidi" w:cstheme="majorBidi"/>
          <w:sz w:val="24"/>
          <w:szCs w:val="24"/>
          <w:lang w:val="en-US" w:eastAsia="en-GB" w:bidi="he-IL"/>
        </w:rPr>
        <w:t xml:space="preserve"> </w:t>
      </w:r>
      <w:r w:rsidR="002A180D" w:rsidRPr="000E4150">
        <w:rPr>
          <w:rFonts w:asciiTheme="majorBidi" w:eastAsia="Times New Roman" w:hAnsiTheme="majorBidi" w:cstheme="majorBidi"/>
          <w:sz w:val="24"/>
          <w:szCs w:val="24"/>
          <w:lang w:val="en-US" w:eastAsia="en-GB" w:bidi="he-IL"/>
        </w:rPr>
        <w:t>behavioral</w:t>
      </w:r>
      <w:r w:rsidR="00004236" w:rsidRPr="000E4150">
        <w:rPr>
          <w:rFonts w:asciiTheme="majorBidi" w:eastAsia="Times New Roman" w:hAnsiTheme="majorBidi" w:cstheme="majorBidi"/>
          <w:sz w:val="24"/>
          <w:szCs w:val="24"/>
          <w:lang w:val="en-US" w:eastAsia="en-GB" w:bidi="he-IL"/>
        </w:rPr>
        <w:t xml:space="preserve">, neural, </w:t>
      </w:r>
      <w:r w:rsidR="00F03F89" w:rsidRPr="000E4150">
        <w:rPr>
          <w:rFonts w:asciiTheme="majorBidi" w:eastAsia="Times New Roman" w:hAnsiTheme="majorBidi" w:cstheme="majorBidi"/>
          <w:sz w:val="24"/>
          <w:szCs w:val="24"/>
          <w:lang w:val="en-US" w:eastAsia="en-GB" w:bidi="he-IL"/>
        </w:rPr>
        <w:t xml:space="preserve">physiological, </w:t>
      </w:r>
      <w:r w:rsidR="00140EFA" w:rsidRPr="000E4150">
        <w:rPr>
          <w:rFonts w:asciiTheme="majorBidi" w:eastAsia="Times New Roman" w:hAnsiTheme="majorBidi" w:cstheme="majorBidi"/>
          <w:sz w:val="24"/>
          <w:szCs w:val="24"/>
          <w:lang w:val="en-US" w:eastAsia="en-GB" w:bidi="he-IL"/>
        </w:rPr>
        <w:t xml:space="preserve">or </w:t>
      </w:r>
      <w:r w:rsidR="00004236" w:rsidRPr="000E4150">
        <w:rPr>
          <w:rFonts w:asciiTheme="majorBidi" w:eastAsia="Times New Roman" w:hAnsiTheme="majorBidi" w:cstheme="majorBidi"/>
          <w:sz w:val="24"/>
          <w:szCs w:val="24"/>
          <w:lang w:val="en-US" w:eastAsia="en-GB" w:bidi="he-IL"/>
        </w:rPr>
        <w:t>subjective</w:t>
      </w:r>
      <w:r w:rsidR="0051281D" w:rsidRPr="000E4150">
        <w:rPr>
          <w:rFonts w:asciiTheme="majorBidi" w:eastAsia="Times New Roman" w:hAnsiTheme="majorBidi" w:cstheme="majorBidi"/>
          <w:sz w:val="24"/>
          <w:szCs w:val="24"/>
          <w:lang w:val="en-US" w:eastAsia="en-GB" w:bidi="he-IL"/>
        </w:rPr>
        <w:t xml:space="preserve"> </w:t>
      </w:r>
      <w:r w:rsidR="00BC54DF" w:rsidRPr="000E4150">
        <w:rPr>
          <w:rFonts w:asciiTheme="majorBidi" w:eastAsia="Times New Roman" w:hAnsiTheme="majorBidi" w:cstheme="majorBidi"/>
          <w:sz w:val="24"/>
          <w:szCs w:val="24"/>
          <w:lang w:val="en-US" w:eastAsia="en-GB" w:bidi="he-IL"/>
        </w:rPr>
        <w:t xml:space="preserve">responses </w:t>
      </w:r>
      <w:r w:rsidR="00166C05" w:rsidRPr="000E4150">
        <w:rPr>
          <w:rFonts w:asciiTheme="majorBidi" w:eastAsia="Times New Roman" w:hAnsiTheme="majorBidi" w:cstheme="majorBidi"/>
          <w:sz w:val="24"/>
          <w:szCs w:val="24"/>
          <w:lang w:val="en-US" w:eastAsia="en-GB" w:bidi="he-IL"/>
        </w:rPr>
        <w:fldChar w:fldCharType="begin" w:fldLock="1"/>
      </w:r>
      <w:r w:rsidR="00166C05" w:rsidRPr="000E4150">
        <w:rPr>
          <w:rFonts w:asciiTheme="majorBidi" w:eastAsia="Times New Roman" w:hAnsiTheme="majorBidi" w:cstheme="majorBidi"/>
          <w:sz w:val="24"/>
          <w:szCs w:val="24"/>
          <w:lang w:val="en-US" w:eastAsia="en-GB" w:bidi="he-IL"/>
        </w:rPr>
        <w:instrText>ADDIN CSL_CITATION {"citationItems":[{"id":"ITEM-1","itemData":{"DOI":"10.1111/j.1369-1600.2011.00347.x","ISSN":"13556215","abstract":"In line with learning theories of drug addiction, drug-related cues may be viewed as important motivators of continued drug use. They may be differentially effective depending on the context and motivational significance. The present study aimed to test the significance of different contexts in modulating alcohol-related cue reactivity. Pictures depicting alcohol intake or its paraphernalia and pictures without any relation to alcohol intake were varied to depict physical and social contexts or different consumptive contexts associated with full/half-full/empty alcohol beverage containers. We obtained ratings of craving, valence and arousal of the cues as well as skin conductance responses (SCRs) and startle reflex modulation measures from 21 abstinent alcohol-dependent patients, recruited from an addiction treatment center, and 21 matched healthy controls. Social scenes and full glasses or bottles were rated as more pleasant and arousing compared with neutral drinking situations and empty glasses or bottles in patients. Furthermore, we found a decreased startle reflex magnitude to social compared with neutral drinking situations, and both higher SCRs and decreased startle reflex magnitude to full compared with empty glasses or bottles in patients versus controls. These results show that both physical and social and consumptive contexts differentially influence cue reactivity in abstinent alcohol-dependent patients with both social and pub-related physical contexts, and the initial consumptive context eliciting the most appetitive and arousing responses. These data have not only important implications for our understanding of the role of learning in drug dependence but also for treatment, which needs to take these factors into account. © 2011 Society for the Study of Addiction.","author":[{"dropping-particle":"","family":"Nees","given":"Frauke","non-dropping-particle":"","parse-names":false,"suffix":""},{"dropping-particle":"","family":"Diener","given":"Carsten","non-dropping-particle":"","parse-names":false,"suffix":""},{"dropping-particle":"","family":"Smolka","given":"Michael N.","non-dropping-particle":"","parse-names":false,"suffix":""},{"dropping-particle":"","family":"Flor","given":"Herta","non-dropping-particle":"","parse-names":false,"suffix":""}],"container-title":"Addiction Biology","id":"ITEM-1","issue":"2","issued":{"date-parts":[["2012"]]},"page":"441-451","title":"The role of context in the processing of alcohol-relevant cues","type":"article-journal","volume":"17"},"uris":["http://www.mendeley.com/documents/?uuid=3514ab38-b504-4ae1-ba63-66313662073d"]}],"mendeley":{"formattedCitation":"[Nees et al., 2012]","plainTextFormattedCitation":"[Nees et al., 2012]"},"properties":{"noteIndex":0},"schema":"https://github.com/citation-style-language/schema/raw/master/csl-citation.json"}</w:instrText>
      </w:r>
      <w:r w:rsidR="00166C05" w:rsidRPr="000E4150">
        <w:rPr>
          <w:rFonts w:asciiTheme="majorBidi" w:eastAsia="Times New Roman" w:hAnsiTheme="majorBidi" w:cstheme="majorBidi"/>
          <w:sz w:val="24"/>
          <w:szCs w:val="24"/>
          <w:lang w:val="en-US" w:eastAsia="en-GB" w:bidi="he-IL"/>
        </w:rPr>
        <w:fldChar w:fldCharType="separate"/>
      </w:r>
      <w:r w:rsidR="00166C05" w:rsidRPr="000E4150">
        <w:rPr>
          <w:rFonts w:asciiTheme="majorBidi" w:eastAsia="Times New Roman" w:hAnsiTheme="majorBidi" w:cstheme="majorBidi"/>
          <w:noProof/>
          <w:sz w:val="24"/>
          <w:szCs w:val="24"/>
          <w:lang w:val="en-US" w:eastAsia="en-GB" w:bidi="he-IL"/>
        </w:rPr>
        <w:t>[Nees et al., 2012]</w:t>
      </w:r>
      <w:r w:rsidR="00166C05" w:rsidRPr="000E4150">
        <w:rPr>
          <w:rFonts w:asciiTheme="majorBidi" w:eastAsia="Times New Roman" w:hAnsiTheme="majorBidi" w:cstheme="majorBidi"/>
          <w:sz w:val="24"/>
          <w:szCs w:val="24"/>
          <w:lang w:val="en-US" w:eastAsia="en-GB" w:bidi="he-IL"/>
        </w:rPr>
        <w:fldChar w:fldCharType="end"/>
      </w:r>
      <w:r w:rsidR="00166C05" w:rsidRPr="000E4150">
        <w:rPr>
          <w:rFonts w:asciiTheme="majorBidi" w:eastAsia="Times New Roman" w:hAnsiTheme="majorBidi" w:cstheme="majorBidi"/>
          <w:sz w:val="24"/>
          <w:szCs w:val="24"/>
          <w:lang w:val="en-US" w:eastAsia="en-GB" w:bidi="he-IL"/>
        </w:rPr>
        <w:t>.</w:t>
      </w:r>
    </w:p>
    <w:p w14:paraId="0BC96729" w14:textId="54BAAEA8" w:rsidR="00787D9B" w:rsidRPr="000E4150" w:rsidRDefault="00F03F89" w:rsidP="00F03F89">
      <w:pPr>
        <w:spacing w:after="0" w:line="480" w:lineRule="auto"/>
        <w:ind w:firstLine="720"/>
        <w:textAlignment w:val="baseline"/>
        <w:rPr>
          <w:rFonts w:asciiTheme="majorBidi" w:eastAsia="Times New Roman" w:hAnsiTheme="majorBidi" w:cstheme="majorBidi"/>
          <w:sz w:val="24"/>
          <w:szCs w:val="24"/>
          <w:lang w:val="en-US" w:eastAsia="en-GB" w:bidi="he-IL"/>
        </w:rPr>
      </w:pPr>
      <w:r w:rsidRPr="000E4150">
        <w:rPr>
          <w:rFonts w:asciiTheme="majorBidi" w:eastAsia="Times New Roman" w:hAnsiTheme="majorBidi" w:cstheme="majorBidi"/>
          <w:sz w:val="24"/>
          <w:szCs w:val="24"/>
          <w:lang w:val="en-US" w:eastAsia="en-GB" w:bidi="he-IL"/>
        </w:rPr>
        <w:t>Nevertheless</w:t>
      </w:r>
      <w:r w:rsidR="00116A69" w:rsidRPr="000E4150">
        <w:rPr>
          <w:rFonts w:asciiTheme="majorBidi" w:eastAsia="Times New Roman" w:hAnsiTheme="majorBidi" w:cstheme="majorBidi"/>
          <w:sz w:val="24"/>
          <w:szCs w:val="24"/>
          <w:lang w:val="en-US" w:eastAsia="en-GB" w:bidi="he-IL"/>
        </w:rPr>
        <w:t>, t</w:t>
      </w:r>
      <w:r w:rsidR="00787D9B" w:rsidRPr="000E4150">
        <w:rPr>
          <w:rFonts w:asciiTheme="majorBidi" w:eastAsia="Times New Roman" w:hAnsiTheme="majorBidi" w:cstheme="majorBidi"/>
          <w:sz w:val="24"/>
          <w:szCs w:val="24"/>
          <w:lang w:val="en-US" w:eastAsia="en-GB" w:bidi="he-IL"/>
        </w:rPr>
        <w:t xml:space="preserve">he importance of incentive type to impulsive responding in addiction is reflected across the brain </w:t>
      </w:r>
      <w:r w:rsidRPr="000E4150">
        <w:rPr>
          <w:rFonts w:asciiTheme="majorBidi" w:eastAsia="Times New Roman" w:hAnsiTheme="majorBidi" w:cstheme="majorBidi"/>
          <w:sz w:val="24"/>
          <w:szCs w:val="24"/>
          <w:lang w:val="en-US" w:eastAsia="en-GB" w:bidi="he-IL"/>
        </w:rPr>
        <w:t>and</w:t>
      </w:r>
      <w:r w:rsidR="00787D9B" w:rsidRPr="000E4150">
        <w:rPr>
          <w:rFonts w:asciiTheme="majorBidi" w:eastAsia="Times New Roman" w:hAnsiTheme="majorBidi" w:cstheme="majorBidi"/>
          <w:sz w:val="24"/>
          <w:szCs w:val="24"/>
          <w:lang w:val="en-US" w:eastAsia="en-GB" w:bidi="he-IL"/>
        </w:rPr>
        <w:t xml:space="preserve"> most clearly by the activation of caudate and putamen subregions of the dorsal striatum. Here, not only was there greater activation in SDI in the presence of drug incentives, but there was indeed a blunted response in the presence of monetary incentives compared to either of the two other groups. The temporal and correlational features of fMRI preclude us from determining the exact nature of dorsal striatal involvement in the processing of premature responding. This region could be directly implicated in triggering the impulsive responding or could be linked to monitoring processes. </w:t>
      </w:r>
      <w:r w:rsidR="004511A8" w:rsidRPr="000E4150">
        <w:rPr>
          <w:rFonts w:asciiTheme="majorBidi" w:eastAsia="Times New Roman" w:hAnsiTheme="majorBidi" w:cstheme="majorBidi"/>
          <w:sz w:val="24"/>
          <w:szCs w:val="24"/>
          <w:lang w:val="en-US" w:eastAsia="en-GB" w:bidi="he-IL"/>
        </w:rPr>
        <w:t>The d</w:t>
      </w:r>
      <w:r w:rsidR="00787D9B" w:rsidRPr="000E4150">
        <w:rPr>
          <w:rFonts w:asciiTheme="majorBidi" w:eastAsia="Times New Roman" w:hAnsiTheme="majorBidi" w:cstheme="majorBidi"/>
          <w:sz w:val="24"/>
          <w:szCs w:val="24"/>
          <w:lang w:val="en-US" w:eastAsia="en-GB" w:bidi="he-IL"/>
        </w:rPr>
        <w:t>orsal striatum is involved in action contro</w:t>
      </w:r>
      <w:r w:rsidR="00C8275B" w:rsidRPr="000E4150">
        <w:rPr>
          <w:rFonts w:asciiTheme="majorBidi" w:eastAsia="Times New Roman" w:hAnsiTheme="majorBidi" w:cstheme="majorBidi"/>
          <w:sz w:val="24"/>
          <w:szCs w:val="24"/>
          <w:lang w:val="en-US" w:eastAsia="en-GB" w:bidi="he-IL"/>
        </w:rPr>
        <w:t xml:space="preserve">l </w:t>
      </w:r>
      <w:r w:rsidR="00C8275B" w:rsidRPr="000E4150">
        <w:rPr>
          <w:rFonts w:asciiTheme="majorBidi" w:eastAsia="Times New Roman" w:hAnsiTheme="majorBidi" w:cstheme="majorBidi"/>
          <w:sz w:val="24"/>
          <w:szCs w:val="24"/>
          <w:lang w:val="en-US" w:eastAsia="en-GB" w:bidi="he-IL"/>
        </w:rPr>
        <w:fldChar w:fldCharType="begin" w:fldLock="1"/>
      </w:r>
      <w:r w:rsidR="00760109" w:rsidRPr="000E4150">
        <w:rPr>
          <w:rFonts w:asciiTheme="majorBidi" w:eastAsia="Times New Roman" w:hAnsiTheme="majorBidi" w:cstheme="majorBidi"/>
          <w:sz w:val="24"/>
          <w:szCs w:val="24"/>
          <w:lang w:val="en-US" w:eastAsia="en-GB" w:bidi="he-IL"/>
        </w:rPr>
        <w:instrText>ADDIN CSL_CITATION {"citationItems":[{"id":"ITEM-1","itemData":{"DOI":"10.1016/0959-4388(95)80100-6","ISBN":"0959-4388","abstract":"Research on the basal ganglia suggests that they are critically involved in building up sequences of behavior into meaningful, goal-directed repertoires. Work on rodents, monkeys and humans suggests that the basal ganglia act as part of a distributed forebrain system that helps to encode such repertoires through behavioral learning, and that is engaged in the expression of such repertoires once they have been internalized. The basal ganglia also may be critical to the expression of innate behavioral routines. Experimental findings on reward-based learning suggest that neural activity in the striatum and substantia nigra, pars compacta changes during behavioral learning. New evidence also suggests extreme specificity in the neural connections interrelating the basal ganglia, cerebral cortex and thalamus. Adaptive control of behavior may centrally depend on these circuits and the evaluator—reinforcement circuits that modulate them.","author":[{"dropping-particle":"","family":"Graybiel","given":"Ann M","non-dropping-particle":"","parse-names":false,"suffix":""}],"container-title":"Current Opinion in Neurobiology","id":"ITEM-1","issue":"6","issued":{"date-parts":[["1995"]]},"page":"733-741","title":"Building action repertoires: memory and learning functions of the basal ganglia","type":"article-journal","volume":"5"},"uris":["http://www.mendeley.com/documents/?uuid=9c6a4237-2056-4785-9d0c-5bd7202afde2"]},{"id":"ITEM-2","itemData":{"DOI":"10.1007/978-1-4939-3474-4_135","ISBN":"9781493934744","ISSN":"12948322","PMID":"27069376","abstract":"Corticostriatal connections play a central role in developing appropriate goal-directed behaviors, including the motivation and cognition to develop appropriate actions to obtain a specific outcome. The cortex projects to the striatum topographically. Thus, different regions of the striatum have been associated with these different functions: the ventral striatum with reward; the caudate nucleus with cognition; and the putamen with motor control. However, corticostriatal connections are more complex, and interactions between functional territories are extensive. These interactions occur in specific regions in which convergence of terminal fields from different functional cortical regions are found. This article provides an overview of the connections of the cortex to the striatum and their role in integrating information across reward, cognitive, and motor functions. Emphasis is placed on the interface between functional domains within the striatum. Las conexiones cortico-estriatales juegan un papel central en el desarrollo de conductas adecuadas dirigidas a un objetivo, incluyendo la motivación y los aspectos cognitivos para desarrollar acciones apropiadas para obtener un resultado específico. La corteza se proyecta hacia el cuerpo estriado topográficamente. En consecuencia, se han asociado diferentes regiones del cuerpo estriado con estas diversas funciones: el estriado ventral con la recompensa, el núcleo caudado con la cognición y el putamen con el control motor. Sin embargo, las conexiones cortico-estritales son más complejas y las interacciones entre los territorios funcionales son amplias. Estas interacciones se producen en regiones específicas en las cuales se encuentra la convergencia de los campos terminales de diferentes regiones corticales funcionales. Este artículo proporciona una panorámica acerca de las conexiones de la corteza con el cuerpo estriado y su papel en la integración de la información en las funciones de recompensa, cognitiva y motora. Se hace hincapie en la interfaz entre los dominios funcionales dentro del cuerpo estriado. Les connexions cortico-striatales jouent un rôle central dans l'élaboration de comportements pertinents axés sur des objectifs, dont la motivation et la cognition, pour mettre en oeuvre des actions adaptées en vue d'un résultat spécifique. Le cortex se projette sur le striatum de façon topographique. Différentes régions du striatum ont donc été associées à ces différentes fonctions: le striatum ventral pou…","author":[{"dropping-particle":"","family":"Haber","given":"Suzanne N.","non-dropping-particle":"","parse-names":false,"suffix":""}],"container-title":"Neuroscience in the 21st Century: From Basic to Clinical, Second Edition","id":"ITEM-2","issued":{"date-parts":[["2016"]]},"page":"1721-1741","title":"Corticostriatal circuitry","type":"article-journal"},"uris":["http://www.mendeley.com/documents/?uuid=5e252977-37be-4b4c-bf59-e6410bea79c1"]}],"mendeley":{"formattedCitation":"[Graybiel, 1995; Haber, 2016]","plainTextFormattedCitation":"[Graybiel, 1995; Haber, 2016]","previouslyFormattedCitation":"[Graybiel, 1995; Haber, 2016]"},"properties":{"noteIndex":0},"schema":"https://github.com/citation-style-language/schema/raw/master/csl-citation.json"}</w:instrText>
      </w:r>
      <w:r w:rsidR="00C8275B" w:rsidRPr="000E4150">
        <w:rPr>
          <w:rFonts w:asciiTheme="majorBidi" w:eastAsia="Times New Roman" w:hAnsiTheme="majorBidi" w:cstheme="majorBidi"/>
          <w:sz w:val="24"/>
          <w:szCs w:val="24"/>
          <w:lang w:val="en-US" w:eastAsia="en-GB" w:bidi="he-IL"/>
        </w:rPr>
        <w:fldChar w:fldCharType="separate"/>
      </w:r>
      <w:r w:rsidR="00E06636" w:rsidRPr="000E4150">
        <w:rPr>
          <w:rFonts w:asciiTheme="majorBidi" w:eastAsia="Times New Roman" w:hAnsiTheme="majorBidi" w:cstheme="majorBidi"/>
          <w:noProof/>
          <w:sz w:val="24"/>
          <w:szCs w:val="24"/>
          <w:lang w:val="en-US" w:eastAsia="en-GB" w:bidi="he-IL"/>
        </w:rPr>
        <w:t>[Graybiel, 1995; Haber, 2016]</w:t>
      </w:r>
      <w:r w:rsidR="00C8275B" w:rsidRPr="000E4150">
        <w:rPr>
          <w:rFonts w:asciiTheme="majorBidi" w:eastAsia="Times New Roman" w:hAnsiTheme="majorBidi" w:cstheme="majorBidi"/>
          <w:sz w:val="24"/>
          <w:szCs w:val="24"/>
          <w:lang w:val="en-US" w:eastAsia="en-GB" w:bidi="he-IL"/>
        </w:rPr>
        <w:fldChar w:fldCharType="end"/>
      </w:r>
      <w:r w:rsidR="00787D9B" w:rsidRPr="000E4150">
        <w:rPr>
          <w:rFonts w:asciiTheme="majorBidi" w:eastAsia="Times New Roman" w:hAnsiTheme="majorBidi" w:cstheme="majorBidi"/>
          <w:sz w:val="24"/>
          <w:szCs w:val="24"/>
          <w:lang w:val="en-US" w:eastAsia="en-GB" w:bidi="he-IL"/>
        </w:rPr>
        <w:t xml:space="preserve">, but is also </w:t>
      </w:r>
      <w:r w:rsidR="00787D9B" w:rsidRPr="000E4150">
        <w:rPr>
          <w:rFonts w:asciiTheme="majorBidi" w:eastAsia="Times New Roman" w:hAnsiTheme="majorBidi" w:cstheme="majorBidi"/>
          <w:sz w:val="24"/>
          <w:szCs w:val="24"/>
          <w:lang w:val="en-US" w:eastAsia="en-GB" w:bidi="he-IL"/>
        </w:rPr>
        <w:lastRenderedPageBreak/>
        <w:t>activated when participants anticipate rewards</w:t>
      </w:r>
      <w:r w:rsidR="00B16F02" w:rsidRPr="000E4150">
        <w:rPr>
          <w:rFonts w:asciiTheme="majorBidi" w:eastAsia="Times New Roman" w:hAnsiTheme="majorBidi" w:cstheme="majorBidi"/>
          <w:sz w:val="24"/>
          <w:szCs w:val="24"/>
          <w:lang w:val="en-US" w:eastAsia="en-GB" w:bidi="he-IL"/>
        </w:rPr>
        <w:t xml:space="preserve"> </w:t>
      </w:r>
      <w:r w:rsidR="00B16F02" w:rsidRPr="000E4150">
        <w:rPr>
          <w:rFonts w:asciiTheme="majorBidi" w:eastAsia="Times New Roman" w:hAnsiTheme="majorBidi" w:cstheme="majorBidi"/>
          <w:sz w:val="24"/>
          <w:szCs w:val="24"/>
          <w:lang w:val="en-US" w:eastAsia="en-GB" w:bidi="he-IL"/>
        </w:rPr>
        <w:fldChar w:fldCharType="begin" w:fldLock="1"/>
      </w:r>
      <w:r w:rsidR="00760109" w:rsidRPr="000E4150">
        <w:rPr>
          <w:rFonts w:asciiTheme="majorBidi" w:eastAsia="Times New Roman" w:hAnsiTheme="majorBidi" w:cstheme="majorBidi"/>
          <w:sz w:val="24"/>
          <w:szCs w:val="24"/>
          <w:lang w:val="en-US" w:eastAsia="en-GB" w:bidi="he-IL"/>
        </w:rPr>
        <w:instrText>ADDIN CSL_CITATION {"citationItems":[{"id":"ITEM-1","itemData":{"DOI":"10.1002/hbm.24184","author":[{"dropping-particle":"","family":"Oldham","given":"Stuart","non-dropping-particle":"","parse-names":false,"suffix":""},{"dropping-particle":"","family":"Murawski","given":"Carsten","non-dropping-particle":"","parse-names":false,"suffix":""},{"dropping-particle":"","family":"Fornito","given":"Alex","non-dropping-particle":"","parse-names":false,"suffix":""},{"dropping-particle":"","family":"Youssef","given":"George","non-dropping-particle":"","parse-names":false,"suffix":""},{"dropping-particle":"","family":"Yücel","given":"Murat","non-dropping-particle":"","parse-names":false,"suffix":""},{"dropping-particle":"","family":"Lorenzetti","given":"Valentina","non-dropping-particle":"","parse-names":false,"suffix":""}],"container-title":"Human Brain Mapping","id":"ITEM-1","issue":"8","issued":{"date-parts":[["2018"]]},"page":"3398-3418","title":"The anticipation and outcome phases of reward and loss processing: A neuroimaging meta-analysis of the monetary incentive delay task","type":"article-journal","volume":"39"},"uris":["http://www.mendeley.com/documents/?uuid=b5f62a24-5f3c-4b3b-9455-9b4b435d16fc"]}],"mendeley":{"formattedCitation":"[Oldham et al., 2018]","plainTextFormattedCitation":"[Oldham et al., 2018]","previouslyFormattedCitation":"[Oldham et al., 2018]"},"properties":{"noteIndex":0},"schema":"https://github.com/citation-style-language/schema/raw/master/csl-citation.json"}</w:instrText>
      </w:r>
      <w:r w:rsidR="00B16F02" w:rsidRPr="000E4150">
        <w:rPr>
          <w:rFonts w:asciiTheme="majorBidi" w:eastAsia="Times New Roman" w:hAnsiTheme="majorBidi" w:cstheme="majorBidi"/>
          <w:sz w:val="24"/>
          <w:szCs w:val="24"/>
          <w:lang w:val="en-US" w:eastAsia="en-GB" w:bidi="he-IL"/>
        </w:rPr>
        <w:fldChar w:fldCharType="separate"/>
      </w:r>
      <w:r w:rsidR="00E06636" w:rsidRPr="000E4150">
        <w:rPr>
          <w:rFonts w:asciiTheme="majorBidi" w:eastAsia="Times New Roman" w:hAnsiTheme="majorBidi" w:cstheme="majorBidi"/>
          <w:noProof/>
          <w:sz w:val="24"/>
          <w:szCs w:val="24"/>
          <w:lang w:val="en-US" w:eastAsia="en-GB" w:bidi="he-IL"/>
        </w:rPr>
        <w:t>[Oldham et al., 2018]</w:t>
      </w:r>
      <w:r w:rsidR="00B16F02" w:rsidRPr="000E4150">
        <w:rPr>
          <w:rFonts w:asciiTheme="majorBidi" w:eastAsia="Times New Roman" w:hAnsiTheme="majorBidi" w:cstheme="majorBidi"/>
          <w:sz w:val="24"/>
          <w:szCs w:val="24"/>
          <w:lang w:val="en-US" w:eastAsia="en-GB" w:bidi="he-IL"/>
        </w:rPr>
        <w:fldChar w:fldCharType="end"/>
      </w:r>
      <w:r w:rsidR="00787D9B" w:rsidRPr="000E4150">
        <w:rPr>
          <w:rFonts w:asciiTheme="majorBidi" w:eastAsia="Times New Roman" w:hAnsiTheme="majorBidi" w:cstheme="majorBidi"/>
          <w:sz w:val="24"/>
          <w:szCs w:val="24"/>
          <w:lang w:val="en-US" w:eastAsia="en-GB" w:bidi="he-IL"/>
        </w:rPr>
        <w:t xml:space="preserve">, with neurons integrating reward information with movement processing </w:t>
      </w:r>
      <w:r w:rsidR="00B16F02" w:rsidRPr="000E4150">
        <w:rPr>
          <w:rFonts w:asciiTheme="majorBidi" w:eastAsia="Times New Roman" w:hAnsiTheme="majorBidi" w:cstheme="majorBidi"/>
          <w:sz w:val="24"/>
          <w:szCs w:val="24"/>
          <w:lang w:val="en-US" w:eastAsia="en-GB" w:bidi="he-IL"/>
        </w:rPr>
        <w:fldChar w:fldCharType="begin" w:fldLock="1"/>
      </w:r>
      <w:r w:rsidR="00760109" w:rsidRPr="000E4150">
        <w:rPr>
          <w:rFonts w:asciiTheme="majorBidi" w:eastAsia="Times New Roman" w:hAnsiTheme="majorBidi" w:cstheme="majorBidi"/>
          <w:sz w:val="24"/>
          <w:szCs w:val="24"/>
          <w:lang w:val="en-US" w:eastAsia="en-GB" w:bidi="he-IL"/>
        </w:rPr>
        <w:instrText>ADDIN CSL_CITATION {"citationItems":[{"id":"ITEM-1","itemData":{"DOI":"10.1007/s00702-016-1510-0","ISBN":"1435-1463 (Electronic)\\r0300-9564 (Linking)","ISSN":"14351463","PMID":"26838982","abstract":"Besides their fundamental movement function evidenced by Parkinsonian deficits, the basal ganglia are involved in processing closely linked non-motor, cognitive and reward information. This review describes the reward functions of three brain structures that are major components of the basal ganglia or are closely associated with the basal ganglia, namely midbrain dopamine neurons, pedunculopontine nucleus, and striatum (caudate nucleus, putamen, nucleus accumbens). Rewards are involved in learning (positive reinforcement), approach behavior, economic choices and positive emotions. The response of dopamine neurons to rewards consists of an early detection component and a subsequent reward component that reflects a prediction error in economic utility, but is unrelated to movement. Dopamine activations to non-rewarded or aversive stimuli reflect physical impact, but not punishment. Neurons in pedunculopontine nucleus project their axons to dopamine neurons and process sensory stimuli, movements and rewards and reward-predicting stimuli without coding outright reward prediction errors. Neurons in striatum, besides their pronounced movement relationships, process rewards irrespective of sensory and motor aspects, integrate reward information into movement activity, code the reward value of individual actions, change their reward-related activity during learning, and code own reward in social situations depending on whose action produces the reward. These data demonstrate a variety of well-characterized reward processes in specific basal ganglia nuclei consistent with an important function in non-motor aspects of motivated behavior.","author":[{"dropping-particle":"","family":"Schultz","given":"Wolfram","non-dropping-particle":"","parse-names":false,"suffix":""}],"container-title":"Journal of Neural Transmission","id":"ITEM-1","issue":"7","issued":{"date-parts":[["2016"]]},"page":"679-693","publisher":"Springer Vienna","title":"Reward functions of the basal ganglia","type":"article-journal","volume":"123"},"uris":["http://www.mendeley.com/documents/?uuid=b56d2f18-ea1f-4fb6-b606-262373152d59"]}],"mendeley":{"formattedCitation":"[Schultz, 2016]","plainTextFormattedCitation":"[Schultz, 2016]","previouslyFormattedCitation":"[Schultz, 2016]"},"properties":{"noteIndex":0},"schema":"https://github.com/citation-style-language/schema/raw/master/csl-citation.json"}</w:instrText>
      </w:r>
      <w:r w:rsidR="00B16F02" w:rsidRPr="000E4150">
        <w:rPr>
          <w:rFonts w:asciiTheme="majorBidi" w:eastAsia="Times New Roman" w:hAnsiTheme="majorBidi" w:cstheme="majorBidi"/>
          <w:sz w:val="24"/>
          <w:szCs w:val="24"/>
          <w:lang w:val="en-US" w:eastAsia="en-GB" w:bidi="he-IL"/>
        </w:rPr>
        <w:fldChar w:fldCharType="separate"/>
      </w:r>
      <w:r w:rsidR="00E06636" w:rsidRPr="000E4150">
        <w:rPr>
          <w:rFonts w:asciiTheme="majorBidi" w:eastAsia="Times New Roman" w:hAnsiTheme="majorBidi" w:cstheme="majorBidi"/>
          <w:noProof/>
          <w:sz w:val="24"/>
          <w:szCs w:val="24"/>
          <w:lang w:val="en-US" w:eastAsia="en-GB" w:bidi="he-IL"/>
        </w:rPr>
        <w:t>[Schultz, 2016]</w:t>
      </w:r>
      <w:r w:rsidR="00B16F02" w:rsidRPr="000E4150">
        <w:rPr>
          <w:rFonts w:asciiTheme="majorBidi" w:eastAsia="Times New Roman" w:hAnsiTheme="majorBidi" w:cstheme="majorBidi"/>
          <w:sz w:val="24"/>
          <w:szCs w:val="24"/>
          <w:lang w:val="en-US" w:eastAsia="en-GB" w:bidi="he-IL"/>
        </w:rPr>
        <w:fldChar w:fldCharType="end"/>
      </w:r>
      <w:r w:rsidR="00787D9B" w:rsidRPr="000E4150">
        <w:rPr>
          <w:rFonts w:asciiTheme="majorBidi" w:eastAsia="Times New Roman" w:hAnsiTheme="majorBidi" w:cstheme="majorBidi"/>
          <w:sz w:val="24"/>
          <w:szCs w:val="24"/>
          <w:lang w:val="en-US" w:eastAsia="en-GB" w:bidi="he-IL"/>
        </w:rPr>
        <w:t xml:space="preserve">. </w:t>
      </w:r>
      <w:r w:rsidR="002A6E6D" w:rsidRPr="000E4150">
        <w:rPr>
          <w:rFonts w:asciiTheme="majorBidi" w:eastAsia="Times New Roman" w:hAnsiTheme="majorBidi" w:cstheme="majorBidi"/>
          <w:sz w:val="24"/>
          <w:szCs w:val="24"/>
          <w:lang w:val="en-US" w:eastAsia="en-GB" w:bidi="he-IL"/>
        </w:rPr>
        <w:t>We therefore</w:t>
      </w:r>
      <w:r w:rsidR="00787D9B" w:rsidRPr="000E4150">
        <w:rPr>
          <w:rFonts w:asciiTheme="majorBidi" w:eastAsia="Times New Roman" w:hAnsiTheme="majorBidi" w:cstheme="majorBidi"/>
          <w:sz w:val="24"/>
          <w:szCs w:val="24"/>
          <w:lang w:val="en-US" w:eastAsia="en-GB" w:bidi="he-IL"/>
        </w:rPr>
        <w:t xml:space="preserve"> tentatively attribute the striatal involvement to the failure of control in the face of personally meaningful incentives. This </w:t>
      </w:r>
      <w:r w:rsidR="00D13948" w:rsidRPr="000E4150">
        <w:rPr>
          <w:rFonts w:asciiTheme="majorBidi" w:eastAsia="Times New Roman" w:hAnsiTheme="majorBidi" w:cstheme="majorBidi"/>
          <w:sz w:val="24"/>
          <w:szCs w:val="24"/>
          <w:lang w:val="en-US" w:eastAsia="en-GB" w:bidi="he-IL"/>
        </w:rPr>
        <w:t xml:space="preserve">explanation </w:t>
      </w:r>
      <w:r w:rsidR="00787D9B" w:rsidRPr="000E4150">
        <w:rPr>
          <w:rFonts w:asciiTheme="majorBidi" w:eastAsia="Times New Roman" w:hAnsiTheme="majorBidi" w:cstheme="majorBidi"/>
          <w:sz w:val="24"/>
          <w:szCs w:val="24"/>
          <w:lang w:val="en-US" w:eastAsia="en-GB" w:bidi="he-IL"/>
        </w:rPr>
        <w:t xml:space="preserve">dovetails with the role of the dorsal striatum in cancelling planned motor responses </w:t>
      </w:r>
      <w:r w:rsidR="008C4B71" w:rsidRPr="000E4150">
        <w:rPr>
          <w:rFonts w:asciiTheme="majorBidi" w:eastAsia="Times New Roman" w:hAnsiTheme="majorBidi" w:cstheme="majorBidi"/>
          <w:sz w:val="24"/>
          <w:szCs w:val="24"/>
          <w:lang w:val="en-US" w:eastAsia="en-GB" w:bidi="he-IL"/>
        </w:rPr>
        <w:fldChar w:fldCharType="begin" w:fldLock="1"/>
      </w:r>
      <w:r w:rsidR="00760109" w:rsidRPr="000E4150">
        <w:rPr>
          <w:rFonts w:asciiTheme="majorBidi" w:eastAsia="Times New Roman" w:hAnsiTheme="majorBidi" w:cstheme="majorBidi"/>
          <w:sz w:val="24"/>
          <w:szCs w:val="24"/>
          <w:lang w:val="en-US" w:eastAsia="en-GB" w:bidi="he-IL"/>
        </w:rPr>
        <w:instrText>ADDIN CSL_CITATION {"citationItems":[{"id":"ITEM-1","itemData":{"DOI":"10.1016/j.pneurobio.2013.06.005","ISBN":"0301-0082","ISSN":"03010082","PMID":"23856628","abstract":"In many circumstances alternative courses of action and thoughts have to be inhibited to allow the emergence of goal-directed behavior. However, this has not been the accepted view in the past and only recently has inhibition earned its own place in the neurosciences as a fundamental cognitive function. In this review we first introduce the concept of inhibition from early psychological speculations based on philosophical theories of the human mind. The broad construct of inhibition is then reduced to its most readily observable component which necessarily is its behavioral manifestation. The study of 'response inhibition' has the advantage of dealing with a relatively simple and straightforward process, the overriding of a planned or already initiated action. Deficient inhibitory processes profoundly affect everyday life, causing impulsive conduct which is generally detrimental for the individual. Impulsivity has been consistently linked to several types of addiction, attention deficit/hyperactivity disorder, mania and other psychiatric conditions. Our discussion of the behavioral assessment of impulsivity will focus on objective laboratory tasks of response inhibition that have been implemented in parallel for humans and other species with relatively few qualitative differences. The translational potential of these measures has greatly improved our knowledge of the neurobiological basis of behavioral inhibition and impulsivity. We will then review the current models of behavioral inhibition along with their expression via underlying brain regions, including those involved in the activation of the brain's emergency 'brake' operation, those engaged in more controlled and sustained inhibitory processes and other ancillary executive functions. © 2013 Elsevier Ltd.","author":[{"dropping-particle":"","family":"Bari","given":"Andrea","non-dropping-particle":"","parse-names":false,"suffix":""},{"dropping-particle":"","family":"Robbins","given":"Trevor W.","non-dropping-particle":"","parse-names":false,"suffix":""}],"container-title":"Progress in Neurobiology","id":"ITEM-1","issued":{"date-parts":[["2013"]]},"page":"44-79","publisher":"Elsevier Ltd","title":"Inhibition and impulsivity: Behavioral and neural basis of response control","type":"article-journal","volume":"108"},"uris":["http://www.mendeley.com/documents/?uuid=ad1e080a-8250-4448-80b2-efd4fec87cda"]},{"id":"ITEM-2","itemData":{"DOI":"10.1016/j.neubiorev.2009.07.003","ISSN":"01497634","abstract":"Many common psychiatric conditions, such as attention deficit/hyperactivity disorder (ADHD), obsessive-compulsive disorder (OCD), Parkinson's disease, addiction and pathological gambling are linked by a failure in the mechanisms that control, or inhibit, inappropriate behavior. Models of rat behavioral inhibition permit us to study in detail the anatomical and pharmacological bases of inhibitory failure, using methods that translate directly with patient assessment in the clinic. This review updates current ideas relating to behavioral inhibition based on two significant lines of evidence from rat studies:. (1) To integrate new findings from the stop-signal task into existing models of behavioral inhibition, in particular relating to 'impulsive action' control. The stop-signal task has been used for a number of years to evaluate psychiatric conditions and has recently been translated for use in the rat, bringing a wealth of new information to behavioral inhibition research. (2) To consider the importance of the subthalamic nucleus (STN) in the neural circuitry of behavioral inhibition. This function of this nucleus is central to a number of 'disinhibitory' disorders such as Parkinson's disease and OCD, and their therapies, but its role in behavioral inhibition is still undervalued, and often not considered in preclinical models of behavioral control. Integration of these findings has pinpointed the orbitofrontal cortex (OF), dorsomedial striatum (DMStr) and STN within a network that normally inhibits many forms of behavior, including both impulsive and compulsive forms. However, there are distinct differences between behavioral subtypes in their neurochemical modulation. This review brings new light to the classical view of the mechanisms that inhibit behavior, in particular suggesting a far more prominent role for the STN, a structure that is usually omitted from conventional behavioral-inhibition networks. The OF-DMStr-STN circuitry may form the basis of a control network that defines behavioral inhibition and that acts to suppress or countermand many forms of inappropriate or maladaptive behavior. © 2009 Elsevier Ltd. All rights reserved.","author":[{"dropping-particle":"","family":"Eagle","given":"Dawn M.","non-dropping-particle":"","parse-names":false,"suffix":""},{"dropping-particle":"","family":"Baunez","given":"Christelle","non-dropping-particle":"","parse-names":false,"suffix":""}],"container-title":"Neuroscience and Biobehavioral Reviews","id":"ITEM-2","issue":"1","issued":{"date-parts":[["2010"]]},"page":"50-72","title":"Is there an inhibitory-response-control system in the rat? Evidence from anatomical and pharmacological studies of behavioral inhibition","type":"article-journal","volume":"34"},"uris":["http://www.mendeley.com/documents/?uuid=335d9d7a-6eb5-4446-9338-5b0b02335547"]}],"mendeley":{"formattedCitation":"[Bari and Robbins, 2013; Eagle and Baunez, 2010]","plainTextFormattedCitation":"[Bari and Robbins, 2013; Eagle and Baunez, 2010]","previouslyFormattedCitation":"[Bari and Robbins, 2013; Eagle and Baunez, 2010]"},"properties":{"noteIndex":0},"schema":"https://github.com/citation-style-language/schema/raw/master/csl-citation.json"}</w:instrText>
      </w:r>
      <w:r w:rsidR="008C4B71" w:rsidRPr="000E4150">
        <w:rPr>
          <w:rFonts w:asciiTheme="majorBidi" w:eastAsia="Times New Roman" w:hAnsiTheme="majorBidi" w:cstheme="majorBidi"/>
          <w:sz w:val="24"/>
          <w:szCs w:val="24"/>
          <w:lang w:val="en-US" w:eastAsia="en-GB" w:bidi="he-IL"/>
        </w:rPr>
        <w:fldChar w:fldCharType="separate"/>
      </w:r>
      <w:r w:rsidR="00E06636" w:rsidRPr="000E4150">
        <w:rPr>
          <w:rFonts w:asciiTheme="majorBidi" w:eastAsia="Times New Roman" w:hAnsiTheme="majorBidi" w:cstheme="majorBidi"/>
          <w:noProof/>
          <w:sz w:val="24"/>
          <w:szCs w:val="24"/>
          <w:lang w:val="en-US" w:eastAsia="en-GB" w:bidi="he-IL"/>
        </w:rPr>
        <w:t>[Bari and Robbins, 2013; Eagle and Baunez, 2010]</w:t>
      </w:r>
      <w:r w:rsidR="008C4B71" w:rsidRPr="000E4150">
        <w:rPr>
          <w:rFonts w:asciiTheme="majorBidi" w:eastAsia="Times New Roman" w:hAnsiTheme="majorBidi" w:cstheme="majorBidi"/>
          <w:sz w:val="24"/>
          <w:szCs w:val="24"/>
          <w:lang w:val="en-US" w:eastAsia="en-GB" w:bidi="he-IL"/>
        </w:rPr>
        <w:fldChar w:fldCharType="end"/>
      </w:r>
      <w:r w:rsidR="008C4B71" w:rsidRPr="000E4150">
        <w:rPr>
          <w:rFonts w:asciiTheme="majorBidi" w:eastAsia="Times New Roman" w:hAnsiTheme="majorBidi" w:cstheme="majorBidi"/>
          <w:sz w:val="24"/>
          <w:szCs w:val="24"/>
          <w:lang w:val="en-US" w:eastAsia="en-GB" w:bidi="he-IL"/>
        </w:rPr>
        <w:t xml:space="preserve"> </w:t>
      </w:r>
      <w:r w:rsidR="00787D9B" w:rsidRPr="000E4150">
        <w:rPr>
          <w:rFonts w:asciiTheme="majorBidi" w:eastAsia="Times New Roman" w:hAnsiTheme="majorBidi" w:cstheme="majorBidi"/>
          <w:sz w:val="24"/>
          <w:szCs w:val="24"/>
          <w:lang w:val="en-US" w:eastAsia="en-GB" w:bidi="he-IL"/>
        </w:rPr>
        <w:t>and im</w:t>
      </w:r>
      <w:r w:rsidR="00C439E4" w:rsidRPr="000E4150">
        <w:rPr>
          <w:rFonts w:asciiTheme="majorBidi" w:eastAsia="Times New Roman" w:hAnsiTheme="majorBidi" w:cstheme="majorBidi"/>
          <w:sz w:val="24"/>
          <w:szCs w:val="24"/>
          <w:lang w:val="en-US" w:eastAsia="en-GB" w:bidi="he-IL"/>
        </w:rPr>
        <w:t>pulsive choice</w:t>
      </w:r>
      <w:r w:rsidR="00CA125D" w:rsidRPr="000E4150">
        <w:rPr>
          <w:rFonts w:asciiTheme="majorBidi" w:eastAsia="Times New Roman" w:hAnsiTheme="majorBidi" w:cstheme="majorBidi"/>
          <w:sz w:val="24"/>
          <w:szCs w:val="24"/>
          <w:lang w:val="en-US" w:eastAsia="en-GB" w:bidi="he-IL"/>
        </w:rPr>
        <w:t xml:space="preserve"> </w:t>
      </w:r>
      <w:r w:rsidR="00CA125D" w:rsidRPr="000E4150">
        <w:rPr>
          <w:rFonts w:asciiTheme="majorBidi" w:eastAsia="Times New Roman" w:hAnsiTheme="majorBidi" w:cstheme="majorBidi"/>
          <w:sz w:val="24"/>
          <w:szCs w:val="24"/>
          <w:lang w:val="en-US" w:eastAsia="en-GB" w:bidi="he-IL"/>
        </w:rPr>
        <w:fldChar w:fldCharType="begin" w:fldLock="1"/>
      </w:r>
      <w:r w:rsidR="00760109" w:rsidRPr="000E4150">
        <w:rPr>
          <w:rFonts w:asciiTheme="majorBidi" w:eastAsia="Times New Roman" w:hAnsiTheme="majorBidi" w:cstheme="majorBidi"/>
          <w:sz w:val="24"/>
          <w:szCs w:val="24"/>
          <w:lang w:val="en-US" w:eastAsia="en-GB" w:bidi="he-IL"/>
        </w:rPr>
        <w:instrText>ADDIN CSL_CITATION {"citationItems":[{"id":"ITEM-1","itemData":{"DOI":"10.1111/nyas.13961","ISSN":"17496632","abstract":"This chapter is divided into three parts. In the first part, we introduce the theoretical foundation of instrumental conditioning and the commonly used methods to study it. In the second part, we review some recent work using these methods to investigate the role of the dorsal striatum in instrumental conditioning. In the third part, we describe in detail the methods and considerations in defining precise and informative experiments in operant analysis of striatal function. © 2011 Springer Science+Business Media, LLC.","author":[{"dropping-particle":"","family":"Kim","given":"Baek Sun","non-dropping-particle":"","parse-names":false,"suffix":""},{"dropping-particle":"","family":"Im","given":"Heh In","non-dropping-particle":"","parse-names":false,"suffix":""}],"container-title":"Annals of the New York Academy of Sciences","id":"ITEM-1","issued":{"date-parts":[["2018"]]},"page":"1-20","title":"The role of the dorsal striatum in choice impulsivity","type":"article-journal"},"uris":["http://www.mendeley.com/documents/?uuid=0e771aaf-dc90-470a-a72d-a8349d0e8293"]}],"mendeley":{"formattedCitation":"[Kim and Im, 2018]","plainTextFormattedCitation":"[Kim and Im, 2018]","previouslyFormattedCitation":"[Kim and Im, 2018]"},"properties":{"noteIndex":0},"schema":"https://github.com/citation-style-language/schema/raw/master/csl-citation.json"}</w:instrText>
      </w:r>
      <w:r w:rsidR="00CA125D" w:rsidRPr="000E4150">
        <w:rPr>
          <w:rFonts w:asciiTheme="majorBidi" w:eastAsia="Times New Roman" w:hAnsiTheme="majorBidi" w:cstheme="majorBidi"/>
          <w:sz w:val="24"/>
          <w:szCs w:val="24"/>
          <w:lang w:val="en-US" w:eastAsia="en-GB" w:bidi="he-IL"/>
        </w:rPr>
        <w:fldChar w:fldCharType="separate"/>
      </w:r>
      <w:r w:rsidR="00E06636" w:rsidRPr="000E4150">
        <w:rPr>
          <w:rFonts w:asciiTheme="majorBidi" w:eastAsia="Times New Roman" w:hAnsiTheme="majorBidi" w:cstheme="majorBidi"/>
          <w:noProof/>
          <w:sz w:val="24"/>
          <w:szCs w:val="24"/>
          <w:lang w:val="en-US" w:eastAsia="en-GB" w:bidi="he-IL"/>
        </w:rPr>
        <w:t>[Kim and Im, 2018]</w:t>
      </w:r>
      <w:r w:rsidR="00CA125D" w:rsidRPr="000E4150">
        <w:rPr>
          <w:rFonts w:asciiTheme="majorBidi" w:eastAsia="Times New Roman" w:hAnsiTheme="majorBidi" w:cstheme="majorBidi"/>
          <w:sz w:val="24"/>
          <w:szCs w:val="24"/>
          <w:lang w:val="en-US" w:eastAsia="en-GB" w:bidi="he-IL"/>
        </w:rPr>
        <w:fldChar w:fldCharType="end"/>
      </w:r>
      <w:r w:rsidR="00C439E4" w:rsidRPr="000E4150">
        <w:rPr>
          <w:rFonts w:asciiTheme="majorBidi" w:eastAsia="Times New Roman" w:hAnsiTheme="majorBidi" w:cstheme="majorBidi"/>
          <w:sz w:val="24"/>
          <w:szCs w:val="24"/>
          <w:lang w:val="en-US" w:eastAsia="en-GB" w:bidi="he-IL"/>
        </w:rPr>
        <w:t>, whilst</w:t>
      </w:r>
      <w:r w:rsidR="00787D9B" w:rsidRPr="000E4150">
        <w:rPr>
          <w:rFonts w:asciiTheme="majorBidi" w:eastAsia="Times New Roman" w:hAnsiTheme="majorBidi" w:cstheme="majorBidi"/>
          <w:sz w:val="24"/>
          <w:szCs w:val="24"/>
          <w:lang w:val="en-US" w:eastAsia="en-GB" w:bidi="he-IL"/>
        </w:rPr>
        <w:t xml:space="preserve"> providing evidence for its </w:t>
      </w:r>
      <w:r w:rsidR="00A66BBA" w:rsidRPr="000E4150">
        <w:rPr>
          <w:rFonts w:asciiTheme="majorBidi" w:eastAsia="Times New Roman" w:hAnsiTheme="majorBidi" w:cstheme="majorBidi"/>
          <w:sz w:val="24"/>
          <w:szCs w:val="24"/>
          <w:lang w:val="en-US" w:eastAsia="en-GB" w:bidi="he-IL"/>
        </w:rPr>
        <w:t xml:space="preserve">involvement </w:t>
      </w:r>
      <w:r w:rsidR="00787D9B" w:rsidRPr="000E4150">
        <w:rPr>
          <w:rFonts w:asciiTheme="majorBidi" w:eastAsia="Times New Roman" w:hAnsiTheme="majorBidi" w:cstheme="majorBidi"/>
          <w:sz w:val="24"/>
          <w:szCs w:val="24"/>
          <w:lang w:val="en-US" w:eastAsia="en-GB" w:bidi="he-IL"/>
        </w:rPr>
        <w:t>in additional aspects of impulsivity in humans.</w:t>
      </w:r>
    </w:p>
    <w:p w14:paraId="488741DF" w14:textId="6E566C60" w:rsidR="00787D9B" w:rsidRPr="000E4150" w:rsidRDefault="00787D9B" w:rsidP="00217273">
      <w:pPr>
        <w:spacing w:after="0" w:line="480" w:lineRule="auto"/>
        <w:textAlignment w:val="baseline"/>
        <w:rPr>
          <w:rFonts w:asciiTheme="majorBidi" w:eastAsia="Times New Roman" w:hAnsiTheme="majorBidi" w:cstheme="majorBidi"/>
          <w:sz w:val="24"/>
          <w:szCs w:val="24"/>
          <w:lang w:val="en-US" w:eastAsia="en-GB" w:bidi="he-IL"/>
        </w:rPr>
      </w:pPr>
      <w:r w:rsidRPr="000E4150">
        <w:rPr>
          <w:rFonts w:asciiTheme="majorBidi" w:eastAsia="Times New Roman" w:hAnsiTheme="majorBidi" w:cstheme="majorBidi"/>
          <w:sz w:val="24"/>
          <w:szCs w:val="24"/>
          <w:lang w:val="en-US" w:eastAsia="en-GB" w:bidi="he-IL"/>
        </w:rPr>
        <w:tab/>
      </w:r>
      <w:r w:rsidR="00752206" w:rsidRPr="000E4150">
        <w:rPr>
          <w:rFonts w:asciiTheme="majorBidi" w:eastAsia="Times New Roman" w:hAnsiTheme="majorBidi" w:cstheme="majorBidi"/>
          <w:sz w:val="24"/>
          <w:szCs w:val="24"/>
          <w:lang w:val="en-US" w:eastAsia="en-GB" w:bidi="he-IL"/>
        </w:rPr>
        <w:t>Abnormal</w:t>
      </w:r>
      <w:r w:rsidRPr="000E4150">
        <w:rPr>
          <w:rFonts w:asciiTheme="majorBidi" w:eastAsia="Times New Roman" w:hAnsiTheme="majorBidi" w:cstheme="majorBidi"/>
          <w:sz w:val="24"/>
          <w:szCs w:val="24"/>
          <w:lang w:val="en-US" w:eastAsia="en-GB" w:bidi="he-IL"/>
        </w:rPr>
        <w:t xml:space="preserve"> striatal processing in addiction ha</w:t>
      </w:r>
      <w:r w:rsidR="00AC4766" w:rsidRPr="000E4150">
        <w:rPr>
          <w:rFonts w:asciiTheme="majorBidi" w:eastAsia="Times New Roman" w:hAnsiTheme="majorBidi" w:cstheme="majorBidi"/>
          <w:sz w:val="24"/>
          <w:szCs w:val="24"/>
          <w:lang w:val="en-US" w:eastAsia="en-GB" w:bidi="he-IL"/>
        </w:rPr>
        <w:t>s</w:t>
      </w:r>
      <w:r w:rsidRPr="000E4150">
        <w:rPr>
          <w:rFonts w:asciiTheme="majorBidi" w:eastAsia="Times New Roman" w:hAnsiTheme="majorBidi" w:cstheme="majorBidi"/>
          <w:sz w:val="24"/>
          <w:szCs w:val="24"/>
          <w:lang w:val="en-US" w:eastAsia="en-GB" w:bidi="he-IL"/>
        </w:rPr>
        <w:t xml:space="preserve"> been consistently linked to general aberrations in cortico-striatal circuitry </w:t>
      </w:r>
      <w:r w:rsidR="007815FA" w:rsidRPr="000E4150">
        <w:rPr>
          <w:rFonts w:asciiTheme="majorBidi" w:eastAsia="Times New Roman" w:hAnsiTheme="majorBidi" w:cstheme="majorBidi"/>
          <w:sz w:val="24"/>
          <w:szCs w:val="24"/>
          <w:lang w:val="en-US" w:eastAsia="en-GB" w:bidi="he-IL"/>
        </w:rPr>
        <w:t xml:space="preserve">that </w:t>
      </w:r>
      <w:r w:rsidRPr="000E4150">
        <w:rPr>
          <w:rFonts w:asciiTheme="majorBidi" w:eastAsia="Times New Roman" w:hAnsiTheme="majorBidi" w:cstheme="majorBidi"/>
          <w:sz w:val="24"/>
          <w:szCs w:val="24"/>
          <w:lang w:val="en-US" w:eastAsia="en-GB" w:bidi="he-IL"/>
        </w:rPr>
        <w:t>subser</w:t>
      </w:r>
      <w:r w:rsidR="00C439E4" w:rsidRPr="000E4150">
        <w:rPr>
          <w:rFonts w:asciiTheme="majorBidi" w:eastAsia="Times New Roman" w:hAnsiTheme="majorBidi" w:cstheme="majorBidi"/>
          <w:sz w:val="24"/>
          <w:szCs w:val="24"/>
          <w:lang w:val="en-US" w:eastAsia="en-GB" w:bidi="he-IL"/>
        </w:rPr>
        <w:t>v</w:t>
      </w:r>
      <w:r w:rsidRPr="000E4150">
        <w:rPr>
          <w:rFonts w:asciiTheme="majorBidi" w:eastAsia="Times New Roman" w:hAnsiTheme="majorBidi" w:cstheme="majorBidi"/>
          <w:sz w:val="24"/>
          <w:szCs w:val="24"/>
          <w:lang w:val="en-US" w:eastAsia="en-GB" w:bidi="he-IL"/>
        </w:rPr>
        <w:t xml:space="preserve">es motor, cognitive and motivational processes </w:t>
      </w:r>
      <w:r w:rsidR="00760ABA" w:rsidRPr="000E4150">
        <w:rPr>
          <w:rFonts w:asciiTheme="majorBidi" w:eastAsia="Times New Roman" w:hAnsiTheme="majorBidi" w:cstheme="majorBidi"/>
          <w:sz w:val="24"/>
          <w:szCs w:val="24"/>
          <w:lang w:val="en-US" w:eastAsia="en-GB" w:bidi="he-IL"/>
        </w:rPr>
        <w:fldChar w:fldCharType="begin" w:fldLock="1"/>
      </w:r>
      <w:r w:rsidR="00760109" w:rsidRPr="000E4150">
        <w:rPr>
          <w:rFonts w:asciiTheme="majorBidi" w:eastAsia="Times New Roman" w:hAnsiTheme="majorBidi" w:cstheme="majorBidi"/>
          <w:sz w:val="24"/>
          <w:szCs w:val="24"/>
          <w:lang w:val="en-US" w:eastAsia="en-GB" w:bidi="he-IL"/>
        </w:rPr>
        <w:instrText>ADDIN CSL_CITATION {"citationItems":[{"id":"ITEM-1","itemData":{"DOI":"10.1016/j.neuroimage.2016.09.037","ISSN":"10959572","abstract":"Visual attentional bias forms for rewarding and punishing stimuli in the environment. While this attentional bias is adaptive in healthy situations, it is maladaptive in disorders such as drug addiction or PTSD. In both these disorders, the ability to exert control over this attentional bias is associated with drug abstinence rates or reduced PTSD symptoms, indicating the interaction of visual attention, cognitive control, and stimulus association. The inferior parietal lobule (IPL) is central to attention, while the prefrontal cortex (PFC) is critical for reward, cognitive control, and attention. Importantly, regions of the IPL and PFC commonly project to the rostral dorsal caudate (rdCaud) of the striatum. We propose an anatomical network architecture in which IPL projections converge with PFC projections in a connectional hub in the rdCaud, providing an anatomical substrate for the interaction of these projections and their competitive influence on striatal processing. To investigate this, we mapped the dense projections from the caudal IPL and prefrontal (dlPFC, vlPFC, OFC, dACC, and dmPFC) regions that project to the medial rdCaud with anatomical tract-tracing tracer injections in monkeys. These inputs converge in a precise site in the medial rdCaud, rostral to the anterior commissure. Small retrograde tracer injections confirmed these inputs to the medial rdCaud and showed that a proximal ventral striatal location has a very different pattern of cortical inputs. We next used human resting-state functional connectivity MRI (fcMRI) to examine whether a striatal hub exists in the human medial rdCaud. Seed regions in the human medial rdCaud revealed cortical correlation maps similar to the monkey retrograde injection results. A subsequent analysis of these correlated cortical regions showed that their peak correlation within the striatum is in the medial rdCaud, indicating that this is a connectional hub. In contrast, this peak striatal correlation was not found in the ventral striatal location, suggesting that this site is not a connectional hub of cortical regions. Taken together, this work uses the precision of monkey anatomy to identify a connectional hub of IPL and PFC projections in the medial rdCaud. It also translates this anatomical precision to humans, demonstrating that, guided by anatomy, connectional hubs can be identified in humans with fcMRI. These connectional hubs provide more specific treatment targets for drug addiction, PTSD, and o…","author":[{"dropping-particle":"","family":"Choi","given":"Eun Young","non-dropping-particle":"","parse-names":false,"suffix":""},{"dropping-particle":"","family":"Tanimura","given":"Yoko","non-dropping-particle":"","parse-names":false,"suffix":""},{"dropping-particle":"","family":"Vage","given":"Priti R.","non-dropping-particle":"","parse-names":false,"suffix":""},{"dropping-particle":"","family":"Yates","given":"Ellen H.","non-dropping-particle":"","parse-names":false,"suffix":""},{"dropping-particle":"","family":"Haber","given":"Suzanne N.","non-dropping-particle":"","parse-names":false,"suffix":""}],"container-title":"NeuroImage","id":"ITEM-1","issued":{"date-parts":[["2017"]]},"page":"821-832","publisher":"Elsevier","title":"Convergence of prefrontal and parietal anatomical projections in a connectional hub in the striatum","type":"article-journal","volume":"146"},"uris":["http://www.mendeley.com/documents/?uuid=599ccda7-b987-44e2-b88f-2021aaab0bc2"]},{"id":"ITEM-2","itemData":{"DOI":"10.1523/eneuro.0392-17.2017","abstract":"The canonical striatal map, based predominantly on frontal corticostriatal projections, divides the striatum into ventromedial-limbic, central-association, and dorsolateral-motor territories. While this has been a useful heuristic, recent studies indicate that the striatum has a more complex topography when considering converging frontal and non-frontal inputs from distributed cortical networks. The ventral striatum (VS) in particular is often ascribed a “limbic” role, but receives diverse information, including motivation and emotion from deep brain structures, cognition from frontal cortex, and polysensory and mnemonic signals from temporal cortex. Using anatomical tract-tracing in 17 male adult monkeys ( Macaca nemestrina , Macaca fascicularis , Macaca mulatta ), we build upon this striatal map by systematically mapping inputs from frontal cortex, amygdala, temporal pole, and medial temporal cortex. We find that the VS contains heterogeneous subregions that become apparent when considering both the identities and strengths of inputs. We parcellated the VS into a ventromedial sector receiving motivation and emotion-related information from regions including area TG, ventromedial PFC, ACC, and amygdala; and a more functionally diverse dorsolateral sector that receives this information coupled to cognitive and sensorimotor information from dorsolateral PFC, ventrolateral PFC, premotor cortex, area TAr, and area TEr. Each sector was further parcellated into smaller regions that had different proportions of these inputs. Together, the striatum contains complex, selective input combinations, providing substrates for myriad associations. This VS parcellation provides a map that can guide and interpret functional interactions in healthy individuals and those with psychiatric disorders, and may be useful in targeting treatments for specific psychiatric conditions. Significance Statement The striatum is central for learning associations among stimuli, actions, and outcomes. The canonical striatal map is divided into ventromedial-limbic, central-association, and dorsolateral-motor territories. However, the striatum has a more complex topography. We find that the ventral striatum (VS) consists of a ventromedial sector receiving motivation and emotion-related information and a more functionally diverse dorsolateral sector that receives this information coupled to cognitive and sensorimotor information from frontal cortex, temporal cortex, and amygdala. Each secto…","author":[{"dropping-particle":"","family":"Choi","given":"Eun Young","non-dropping-particle":"","parse-names":false,"suffix":""},{"dropping-particle":"","family":"Ding","given":"Song-Lin","non-dropping-particle":"","parse-names":false,"suffix":""},{"dropping-particle":"","family":"Haber","given":"Suzanne N.","non-dropping-particle":"","parse-names":false,"suffix":""}],"container-title":"Eneuro","id":"ITEM-2","issue":"6","issued":{"date-parts":[["2017"]]},"page":"ENEURO.0392-17.2017","title":"Combinatorial Inputs to the Ventral Striatum from the Temporal Cortex, Frontal Cortex, and Amygdala: Implications for Segmenting the Striatum","type":"article-journal","volume":"4"},"uris":["http://www.mendeley.com/documents/?uuid=24c7fcdc-afc0-4794-8e89-4dcb7e731ef6"]}],"mendeley":{"formattedCitation":"[Choi et al., 2017b; Choi et al., 2017a]","plainTextFormattedCitation":"[Choi et al., 2017b; Choi et al., 2017a]","previouslyFormattedCitation":"[Choi et al., 2017b; Choi et al., 2017a]"},"properties":{"noteIndex":0},"schema":"https://github.com/citation-style-language/schema/raw/master/csl-citation.json"}</w:instrText>
      </w:r>
      <w:r w:rsidR="00760ABA" w:rsidRPr="000E4150">
        <w:rPr>
          <w:rFonts w:asciiTheme="majorBidi" w:eastAsia="Times New Roman" w:hAnsiTheme="majorBidi" w:cstheme="majorBidi"/>
          <w:sz w:val="24"/>
          <w:szCs w:val="24"/>
          <w:lang w:val="en-US" w:eastAsia="en-GB" w:bidi="he-IL"/>
        </w:rPr>
        <w:fldChar w:fldCharType="separate"/>
      </w:r>
      <w:r w:rsidR="00E06636" w:rsidRPr="000E4150">
        <w:rPr>
          <w:rFonts w:asciiTheme="majorBidi" w:eastAsia="Times New Roman" w:hAnsiTheme="majorBidi" w:cstheme="majorBidi"/>
          <w:noProof/>
          <w:sz w:val="24"/>
          <w:szCs w:val="24"/>
          <w:lang w:val="en-US" w:eastAsia="en-GB" w:bidi="he-IL"/>
        </w:rPr>
        <w:t>[Choi et al., 2017b; Choi et al., 2017a]</w:t>
      </w:r>
      <w:r w:rsidR="00760ABA" w:rsidRPr="000E4150">
        <w:rPr>
          <w:rFonts w:asciiTheme="majorBidi" w:eastAsia="Times New Roman" w:hAnsiTheme="majorBidi" w:cstheme="majorBidi"/>
          <w:sz w:val="24"/>
          <w:szCs w:val="24"/>
          <w:lang w:val="en-US" w:eastAsia="en-GB" w:bidi="he-IL"/>
        </w:rPr>
        <w:fldChar w:fldCharType="end"/>
      </w:r>
      <w:r w:rsidRPr="000E4150">
        <w:rPr>
          <w:rFonts w:asciiTheme="majorBidi" w:eastAsia="Times New Roman" w:hAnsiTheme="majorBidi" w:cstheme="majorBidi"/>
          <w:sz w:val="24"/>
          <w:szCs w:val="24"/>
          <w:lang w:val="en-US" w:eastAsia="en-GB" w:bidi="he-IL"/>
        </w:rPr>
        <w:t xml:space="preserve">. When considering this circuit, we show that SDIs and HCs share a strikingly similar network architecture, provided that </w:t>
      </w:r>
      <w:r w:rsidR="00A66BBA" w:rsidRPr="000E4150">
        <w:rPr>
          <w:rFonts w:asciiTheme="majorBidi" w:eastAsia="Times New Roman" w:hAnsiTheme="majorBidi" w:cstheme="majorBidi"/>
          <w:sz w:val="24"/>
          <w:szCs w:val="24"/>
          <w:lang w:val="en-US" w:eastAsia="en-GB" w:bidi="he-IL"/>
        </w:rPr>
        <w:t xml:space="preserve">a relative </w:t>
      </w:r>
      <w:r w:rsidRPr="000E4150">
        <w:rPr>
          <w:rFonts w:asciiTheme="majorBidi" w:eastAsia="Times New Roman" w:hAnsiTheme="majorBidi" w:cstheme="majorBidi"/>
          <w:sz w:val="24"/>
          <w:szCs w:val="24"/>
          <w:lang w:val="en-US" w:eastAsia="en-GB" w:bidi="he-IL"/>
        </w:rPr>
        <w:t>incentive is present. </w:t>
      </w:r>
      <w:r w:rsidR="00C439E4" w:rsidRPr="000E4150">
        <w:rPr>
          <w:rFonts w:asciiTheme="majorBidi" w:eastAsia="Times New Roman" w:hAnsiTheme="majorBidi" w:cstheme="majorBidi"/>
          <w:sz w:val="24"/>
          <w:szCs w:val="24"/>
          <w:lang w:val="en-US" w:eastAsia="en-GB" w:bidi="he-IL"/>
        </w:rPr>
        <w:t>Nevertheless, whilst t</w:t>
      </w:r>
      <w:r w:rsidRPr="000E4150">
        <w:rPr>
          <w:rFonts w:asciiTheme="majorBidi" w:eastAsia="Times New Roman" w:hAnsiTheme="majorBidi" w:cstheme="majorBidi"/>
          <w:sz w:val="24"/>
          <w:szCs w:val="24"/>
          <w:lang w:val="en-US" w:eastAsia="en-GB" w:bidi="he-IL"/>
        </w:rPr>
        <w:t>he striatum was consistently modulated by premature responding</w:t>
      </w:r>
      <w:r w:rsidR="00C439E4" w:rsidRPr="000E4150">
        <w:rPr>
          <w:rFonts w:asciiTheme="majorBidi" w:eastAsia="Times New Roman" w:hAnsiTheme="majorBidi" w:cstheme="majorBidi"/>
          <w:sz w:val="24"/>
          <w:szCs w:val="24"/>
          <w:lang w:val="en-US" w:eastAsia="en-GB" w:bidi="he-IL"/>
        </w:rPr>
        <w:t xml:space="preserve"> in the two groups</w:t>
      </w:r>
      <w:r w:rsidRPr="000E4150">
        <w:rPr>
          <w:rFonts w:asciiTheme="majorBidi" w:eastAsia="Times New Roman" w:hAnsiTheme="majorBidi" w:cstheme="majorBidi"/>
          <w:sz w:val="24"/>
          <w:szCs w:val="24"/>
          <w:lang w:val="en-US" w:eastAsia="en-GB" w:bidi="he-IL"/>
        </w:rPr>
        <w:t xml:space="preserve">, effective connectivity between the IFC, dACC and striatum pointed to the differential involvement of the latter two </w:t>
      </w:r>
      <w:r w:rsidR="00C439E4" w:rsidRPr="000E4150">
        <w:rPr>
          <w:rFonts w:asciiTheme="majorBidi" w:eastAsia="Times New Roman" w:hAnsiTheme="majorBidi" w:cstheme="majorBidi"/>
          <w:sz w:val="24"/>
          <w:szCs w:val="24"/>
          <w:lang w:val="en-US" w:eastAsia="en-GB" w:bidi="he-IL"/>
        </w:rPr>
        <w:t>regions</w:t>
      </w:r>
      <w:r w:rsidRPr="000E4150">
        <w:rPr>
          <w:rFonts w:asciiTheme="majorBidi" w:eastAsia="Times New Roman" w:hAnsiTheme="majorBidi" w:cstheme="majorBidi"/>
          <w:sz w:val="24"/>
          <w:szCs w:val="24"/>
          <w:lang w:val="en-US" w:eastAsia="en-GB" w:bidi="he-IL"/>
        </w:rPr>
        <w:t xml:space="preserve">. </w:t>
      </w:r>
      <w:r w:rsidR="00C439E4" w:rsidRPr="000E4150">
        <w:rPr>
          <w:rFonts w:asciiTheme="majorBidi" w:eastAsia="Times New Roman" w:hAnsiTheme="majorBidi" w:cstheme="majorBidi"/>
          <w:sz w:val="24"/>
          <w:szCs w:val="24"/>
          <w:lang w:val="en-US" w:eastAsia="en-GB" w:bidi="he-IL"/>
        </w:rPr>
        <w:t xml:space="preserve">The dACC sits at the connectional intersection of the brain’s reward and action networks </w:t>
      </w:r>
      <w:r w:rsidR="00450E7F" w:rsidRPr="000E4150">
        <w:rPr>
          <w:rFonts w:asciiTheme="majorBidi" w:eastAsia="Times New Roman" w:hAnsiTheme="majorBidi" w:cstheme="majorBidi"/>
          <w:sz w:val="24"/>
          <w:szCs w:val="24"/>
          <w:lang w:val="en-US" w:eastAsia="en-GB" w:bidi="he-IL"/>
        </w:rPr>
        <w:fldChar w:fldCharType="begin" w:fldLock="1"/>
      </w:r>
      <w:r w:rsidR="00760109" w:rsidRPr="000E4150">
        <w:rPr>
          <w:rFonts w:asciiTheme="majorBidi" w:eastAsia="Times New Roman" w:hAnsiTheme="majorBidi" w:cstheme="majorBidi"/>
          <w:sz w:val="24"/>
          <w:szCs w:val="24"/>
          <w:lang w:val="en-US" w:eastAsia="en-GB" w:bidi="he-IL"/>
        </w:rPr>
        <w:instrText>ADDIN CSL_CITATION {"citationItems":[{"id":"ITEM-1","itemData":{"DOI":"10.1007/978-1-4939-3474-4_135","ISBN":"9781493934744","ISSN":"12948322","PMID":"27069376","abstract":"Corticostriatal connections play a central role in developing appropriate goal-directed behaviors, including the motivation and cognition to develop appropriate actions to obtain a specific outcome. The cortex projects to the striatum topographically. Thus, different regions of the striatum have been associated with these different functions: the ventral striatum with reward; the caudate nucleus with cognition; and the putamen with motor control. However, corticostriatal connections are more complex, and interactions between functional territories are extensive. These interactions occur in specific regions in which convergence of terminal fields from different functional cortical regions are found. This article provides an overview of the connections of the cortex to the striatum and their role in integrating information across reward, cognitive, and motor functions. Emphasis is placed on the interface between functional domains within the striatum. Las conexiones cortico-estriatales juegan un papel central en el desarrollo de conductas adecuadas dirigidas a un objetivo, incluyendo la motivación y los aspectos cognitivos para desarrollar acciones apropiadas para obtener un resultado específico. La corteza se proyecta hacia el cuerpo estriado topográficamente. En consecuencia, se han asociado diferentes regiones del cuerpo estriado con estas diversas funciones: el estriado ventral con la recompensa, el núcleo caudado con la cognición y el putamen con el control motor. Sin embargo, las conexiones cortico-estritales son más complejas y las interacciones entre los territorios funcionales son amplias. Estas interacciones se producen en regiones específicas en las cuales se encuentra la convergencia de los campos terminales de diferentes regiones corticales funcionales. Este artículo proporciona una panorámica acerca de las conexiones de la corteza con el cuerpo estriado y su papel en la integración de la información en las funciones de recompensa, cognitiva y motora. Se hace hincapie en la interfaz entre los dominios funcionales dentro del cuerpo estriado. Les connexions cortico-striatales jouent un rôle central dans l'élaboration de comportements pertinents axés sur des objectifs, dont la motivation et la cognition, pour mettre en oeuvre des actions adaptées en vue d'un résultat spécifique. Le cortex se projette sur le striatum de façon topographique. Différentes régions du striatum ont donc été associées à ces différentes fonctions: le striatum ventral pou…","author":[{"dropping-particle":"","family":"Haber","given":"Suzanne N.","non-dropping-particle":"","parse-names":false,"suffix":""}],"container-title":"Neuroscience in the 21st Century: From Basic to Clinical, Second Edition","id":"ITEM-1","issued":{"date-parts":[["2016"]]},"page":"1721-1741","title":"Corticostriatal circuitry","type":"article-journal"},"uris":["http://www.mendeley.com/documents/?uuid=5e252977-37be-4b4c-bf59-e6410bea79c1"]}],"mendeley":{"formattedCitation":"[Haber, 2016]","plainTextFormattedCitation":"[Haber, 2016]","previouslyFormattedCitation":"[Haber, 2016]"},"properties":{"noteIndex":0},"schema":"https://github.com/citation-style-language/schema/raw/master/csl-citation.json"}</w:instrText>
      </w:r>
      <w:r w:rsidR="00450E7F" w:rsidRPr="000E4150">
        <w:rPr>
          <w:rFonts w:asciiTheme="majorBidi" w:eastAsia="Times New Roman" w:hAnsiTheme="majorBidi" w:cstheme="majorBidi"/>
          <w:sz w:val="24"/>
          <w:szCs w:val="24"/>
          <w:lang w:val="en-US" w:eastAsia="en-GB" w:bidi="he-IL"/>
        </w:rPr>
        <w:fldChar w:fldCharType="separate"/>
      </w:r>
      <w:r w:rsidR="00E06636" w:rsidRPr="000E4150">
        <w:rPr>
          <w:rFonts w:asciiTheme="majorBidi" w:eastAsia="Times New Roman" w:hAnsiTheme="majorBidi" w:cstheme="majorBidi"/>
          <w:noProof/>
          <w:sz w:val="24"/>
          <w:szCs w:val="24"/>
          <w:lang w:val="en-US" w:eastAsia="en-GB" w:bidi="he-IL"/>
        </w:rPr>
        <w:t>[Haber, 2016]</w:t>
      </w:r>
      <w:r w:rsidR="00450E7F" w:rsidRPr="000E4150">
        <w:rPr>
          <w:rFonts w:asciiTheme="majorBidi" w:eastAsia="Times New Roman" w:hAnsiTheme="majorBidi" w:cstheme="majorBidi"/>
          <w:sz w:val="24"/>
          <w:szCs w:val="24"/>
          <w:lang w:val="en-US" w:eastAsia="en-GB" w:bidi="he-IL"/>
        </w:rPr>
        <w:fldChar w:fldCharType="end"/>
      </w:r>
      <w:r w:rsidR="00C439E4" w:rsidRPr="000E4150">
        <w:rPr>
          <w:rFonts w:asciiTheme="majorBidi" w:eastAsia="Times New Roman" w:hAnsiTheme="majorBidi" w:cstheme="majorBidi"/>
          <w:sz w:val="24"/>
          <w:szCs w:val="24"/>
          <w:lang w:val="en-US" w:eastAsia="en-GB" w:bidi="he-IL"/>
        </w:rPr>
        <w:t xml:space="preserve">, and </w:t>
      </w:r>
      <w:r w:rsidR="0027583E" w:rsidRPr="000E4150">
        <w:rPr>
          <w:rFonts w:asciiTheme="majorBidi" w:eastAsia="Times New Roman" w:hAnsiTheme="majorBidi" w:cstheme="majorBidi"/>
          <w:sz w:val="24"/>
          <w:szCs w:val="24"/>
          <w:lang w:val="en-US" w:eastAsia="en-GB" w:bidi="he-IL"/>
        </w:rPr>
        <w:t xml:space="preserve">is </w:t>
      </w:r>
      <w:r w:rsidR="00C439E4" w:rsidRPr="000E4150">
        <w:rPr>
          <w:rFonts w:asciiTheme="majorBidi" w:eastAsia="Times New Roman" w:hAnsiTheme="majorBidi" w:cstheme="majorBidi"/>
          <w:sz w:val="24"/>
          <w:szCs w:val="24"/>
          <w:lang w:val="en-US" w:eastAsia="en-GB" w:bidi="he-IL"/>
        </w:rPr>
        <w:t xml:space="preserve">ideally situated to </w:t>
      </w:r>
      <w:r w:rsidR="00614333" w:rsidRPr="000E4150">
        <w:rPr>
          <w:rFonts w:asciiTheme="majorBidi" w:eastAsia="Times New Roman" w:hAnsiTheme="majorBidi" w:cstheme="majorBidi"/>
          <w:sz w:val="24"/>
          <w:szCs w:val="24"/>
          <w:lang w:val="en-US" w:eastAsia="en-GB" w:bidi="he-IL"/>
        </w:rPr>
        <w:t xml:space="preserve">regulate </w:t>
      </w:r>
      <w:r w:rsidR="00C439E4" w:rsidRPr="000E4150">
        <w:rPr>
          <w:rFonts w:asciiTheme="majorBidi" w:eastAsia="Times New Roman" w:hAnsiTheme="majorBidi" w:cstheme="majorBidi"/>
          <w:sz w:val="24"/>
          <w:szCs w:val="24"/>
          <w:lang w:val="en-US" w:eastAsia="en-GB" w:bidi="he-IL"/>
        </w:rPr>
        <w:t xml:space="preserve">impulsive behaviors. This region </w:t>
      </w:r>
      <w:r w:rsidR="00614333" w:rsidRPr="000E4150">
        <w:rPr>
          <w:rFonts w:asciiTheme="majorBidi" w:eastAsia="Times New Roman" w:hAnsiTheme="majorBidi" w:cstheme="majorBidi"/>
          <w:sz w:val="24"/>
          <w:szCs w:val="24"/>
          <w:lang w:val="en-US" w:eastAsia="en-GB" w:bidi="he-IL"/>
        </w:rPr>
        <w:t xml:space="preserve">thus </w:t>
      </w:r>
      <w:r w:rsidR="00C439E4" w:rsidRPr="000E4150">
        <w:rPr>
          <w:rFonts w:asciiTheme="majorBidi" w:eastAsia="Times New Roman" w:hAnsiTheme="majorBidi" w:cstheme="majorBidi"/>
          <w:sz w:val="24"/>
          <w:szCs w:val="24"/>
          <w:lang w:val="en-US" w:eastAsia="en-GB" w:bidi="he-IL"/>
        </w:rPr>
        <w:t>provide</w:t>
      </w:r>
      <w:r w:rsidR="00614333" w:rsidRPr="000E4150">
        <w:rPr>
          <w:rFonts w:asciiTheme="majorBidi" w:eastAsia="Times New Roman" w:hAnsiTheme="majorBidi" w:cstheme="majorBidi"/>
          <w:sz w:val="24"/>
          <w:szCs w:val="24"/>
          <w:lang w:val="en-US" w:eastAsia="en-GB" w:bidi="he-IL"/>
        </w:rPr>
        <w:t>s</w:t>
      </w:r>
      <w:r w:rsidR="00C439E4" w:rsidRPr="000E4150">
        <w:rPr>
          <w:rFonts w:asciiTheme="majorBidi" w:eastAsia="Times New Roman" w:hAnsiTheme="majorBidi" w:cstheme="majorBidi"/>
          <w:sz w:val="24"/>
          <w:szCs w:val="24"/>
          <w:lang w:val="en-US" w:eastAsia="en-GB" w:bidi="he-IL"/>
        </w:rPr>
        <w:t xml:space="preserve"> top-down inhibitory control over striatal representations of action and stimulus values</w:t>
      </w:r>
      <w:r w:rsidR="00752206" w:rsidRPr="000E4150">
        <w:rPr>
          <w:rFonts w:asciiTheme="majorBidi" w:eastAsia="Times New Roman" w:hAnsiTheme="majorBidi" w:cstheme="majorBidi"/>
          <w:sz w:val="24"/>
          <w:szCs w:val="24"/>
          <w:lang w:val="en-US" w:eastAsia="en-GB" w:bidi="he-IL"/>
        </w:rPr>
        <w:t xml:space="preserve"> and has been</w:t>
      </w:r>
      <w:r w:rsidRPr="000E4150">
        <w:rPr>
          <w:rFonts w:asciiTheme="majorBidi" w:eastAsia="Times New Roman" w:hAnsiTheme="majorBidi" w:cstheme="majorBidi"/>
          <w:sz w:val="24"/>
          <w:szCs w:val="24"/>
          <w:lang w:val="en-US" w:eastAsia="en-GB" w:bidi="he-IL"/>
        </w:rPr>
        <w:t xml:space="preserve"> found to over-activate in SDIs with failures of response inhibition </w:t>
      </w:r>
      <w:r w:rsidR="006D692A" w:rsidRPr="000E4150">
        <w:rPr>
          <w:rFonts w:asciiTheme="majorBidi" w:eastAsia="Times New Roman" w:hAnsiTheme="majorBidi" w:cstheme="majorBidi"/>
          <w:sz w:val="24"/>
          <w:szCs w:val="24"/>
          <w:lang w:val="en-US" w:eastAsia="en-GB" w:bidi="he-IL"/>
        </w:rPr>
        <w:fldChar w:fldCharType="begin" w:fldLock="1"/>
      </w:r>
      <w:r w:rsidR="00760109" w:rsidRPr="000E4150">
        <w:rPr>
          <w:rFonts w:asciiTheme="majorBidi" w:eastAsia="Times New Roman" w:hAnsiTheme="majorBidi" w:cstheme="majorBidi"/>
          <w:sz w:val="24"/>
          <w:szCs w:val="24"/>
          <w:lang w:val="en-US" w:eastAsia="en-GB" w:bidi="he-IL"/>
        </w:rPr>
        <w:instrText>ADDIN CSL_CITATION {"citationItems":[{"id":"ITEM-1","itemData":{"DOI":"10.1038/npp.2013.90","ISSN":"0893133X","abstract":"A neurocognitive endophenotype has been proposed for stimulant dependence, based on behavioral measures of inhibitory response control associated with white matter changes in the frontal cortex. This study investigated the functional neuroimaging correlates of inhibitory response control, as functional activity serves as a more dynamic measure than brain structure, allowing refinement of the suggested endophenotype. Stimulant-dependent individuals (SDIs), their unaffected siblings (SIBs), and healthy controls (CTs) performed the stop-signal task, including stop-signal reaction time (SSRT) as a measure of response inhibition, while undergoing functional magnetic resonance imaging. SDIs had impaired response inhibition accompanied by hypoactivation in the ventrolateral prefrontal cortex (PFC). In addition, they demonstrated hypoactivation in the anterior cingulate when failing to stop. In contrast, no hypoactivations were noted in their unaffected SIBs. Rather, they exhibited increased activation in the dorsomedial PFC relative to controls, together with inhibitory performance that was intermediate between that of the stimulant group and the healthy CT group. Such hyperactivations within the neurocircuitry underlying response inhibition and control are suggestive of compensatory mechanisms that could be protective in nature or could reflect coping with a pre-existing vulnerability, thus expressing potential aspects of resilience. The functional activation associated with response inhibition and error monitoring showed differential patterns of results between SDIs and their unaffected first-degree relatives, suggesting that the proposed endophenotype does not generalize to functional brain activity.","author":[{"dropping-particle":"","family":"Morein-Zamir","given":"Sharon","non-dropping-particle":"","parse-names":false,"suffix":""},{"dropping-particle":"","family":"Simon Jones","given":"P.","non-dropping-particle":"","parse-names":false,"suffix":""},{"dropping-particle":"","family":"Bullmore","given":"Edward T.","non-dropping-particle":"","parse-names":false,"suffix":""},{"dropping-particle":"","family":"Robbins","given":"Trevor W.","non-dropping-particle":"","parse-names":false,"suffix":""},{"dropping-particle":"","family":"Ersche","given":"Karen D.","non-dropping-particle":"","parse-names":false,"suffix":""}],"container-title":"Neuropsychopharmacology","id":"ITEM-1","issue":"10","issued":{"date-parts":[["2013"]]},"page":"1945-1953","publisher":"Nature Publishing Group","title":"Prefrontal hypoactivity associated with impaired inhibition in stimulant-dependent individuals but evidence for hyperactivation in their unaffected siblings","type":"article-journal","volume":"38"},"uris":["http://www.mendeley.com/documents/?uuid=e0ee51a8-ba2c-487c-b05b-858bc6dbe6dd"]}],"mendeley":{"formattedCitation":"[Morein-Zamir et al., 2013]","plainTextFormattedCitation":"[Morein-Zamir et al., 2013]","previouslyFormattedCitation":"[Morein-Zamir et al., 2013]"},"properties":{"noteIndex":0},"schema":"https://github.com/citation-style-language/schema/raw/master/csl-citation.json"}</w:instrText>
      </w:r>
      <w:r w:rsidR="006D692A" w:rsidRPr="000E4150">
        <w:rPr>
          <w:rFonts w:asciiTheme="majorBidi" w:eastAsia="Times New Roman" w:hAnsiTheme="majorBidi" w:cstheme="majorBidi"/>
          <w:sz w:val="24"/>
          <w:szCs w:val="24"/>
          <w:lang w:val="en-US" w:eastAsia="en-GB" w:bidi="he-IL"/>
        </w:rPr>
        <w:fldChar w:fldCharType="separate"/>
      </w:r>
      <w:r w:rsidR="00E06636" w:rsidRPr="000E4150">
        <w:rPr>
          <w:rFonts w:asciiTheme="majorBidi" w:eastAsia="Times New Roman" w:hAnsiTheme="majorBidi" w:cstheme="majorBidi"/>
          <w:noProof/>
          <w:sz w:val="24"/>
          <w:szCs w:val="24"/>
          <w:lang w:val="en-US" w:eastAsia="en-GB" w:bidi="he-IL"/>
        </w:rPr>
        <w:t>[Morein-Zamir et al., 2013]</w:t>
      </w:r>
      <w:r w:rsidR="006D692A" w:rsidRPr="000E4150">
        <w:rPr>
          <w:rFonts w:asciiTheme="majorBidi" w:eastAsia="Times New Roman" w:hAnsiTheme="majorBidi" w:cstheme="majorBidi"/>
          <w:sz w:val="24"/>
          <w:szCs w:val="24"/>
          <w:lang w:val="en-US" w:eastAsia="en-GB" w:bidi="he-IL"/>
        </w:rPr>
        <w:fldChar w:fldCharType="end"/>
      </w:r>
      <w:r w:rsidRPr="000E4150">
        <w:rPr>
          <w:rFonts w:asciiTheme="majorBidi" w:eastAsia="Times New Roman" w:hAnsiTheme="majorBidi" w:cstheme="majorBidi"/>
          <w:sz w:val="24"/>
          <w:szCs w:val="24"/>
          <w:lang w:val="en-US" w:eastAsia="en-GB" w:bidi="he-IL"/>
        </w:rPr>
        <w:t xml:space="preserve">. </w:t>
      </w:r>
      <w:r w:rsidR="00C439E4" w:rsidRPr="000E4150">
        <w:rPr>
          <w:rFonts w:asciiTheme="majorBidi" w:eastAsia="Times New Roman" w:hAnsiTheme="majorBidi" w:cstheme="majorBidi"/>
          <w:sz w:val="24"/>
          <w:szCs w:val="24"/>
          <w:lang w:val="en-US" w:eastAsia="en-GB" w:bidi="he-IL"/>
        </w:rPr>
        <w:t>Here t</w:t>
      </w:r>
      <w:r w:rsidRPr="000E4150">
        <w:rPr>
          <w:rFonts w:asciiTheme="majorBidi" w:eastAsia="Times New Roman" w:hAnsiTheme="majorBidi" w:cstheme="majorBidi"/>
          <w:sz w:val="24"/>
          <w:szCs w:val="24"/>
          <w:lang w:val="en-US" w:eastAsia="en-GB" w:bidi="he-IL"/>
        </w:rPr>
        <w:t xml:space="preserve">he observed enhanced directed connectivity from dACC to dorsal striatum in SDIs relative to HCs suggests that interactions between the salience network and dorsal striatum via the ACC play a critical role in </w:t>
      </w:r>
      <w:r w:rsidR="00C439E4" w:rsidRPr="000E4150">
        <w:rPr>
          <w:rFonts w:asciiTheme="majorBidi" w:eastAsia="Times New Roman" w:hAnsiTheme="majorBidi" w:cstheme="majorBidi"/>
          <w:sz w:val="24"/>
          <w:szCs w:val="24"/>
          <w:lang w:val="en-US" w:eastAsia="en-GB" w:bidi="he-IL"/>
        </w:rPr>
        <w:t>impulsive</w:t>
      </w:r>
      <w:r w:rsidRPr="000E4150">
        <w:rPr>
          <w:rFonts w:asciiTheme="majorBidi" w:eastAsia="Times New Roman" w:hAnsiTheme="majorBidi" w:cstheme="majorBidi"/>
          <w:sz w:val="24"/>
          <w:szCs w:val="24"/>
          <w:lang w:val="en-US" w:eastAsia="en-GB" w:bidi="he-IL"/>
        </w:rPr>
        <w:t xml:space="preserve"> responding in drug abuse. </w:t>
      </w:r>
      <w:r w:rsidR="00752206" w:rsidRPr="000E4150">
        <w:rPr>
          <w:rFonts w:asciiTheme="majorBidi" w:eastAsia="Times New Roman" w:hAnsiTheme="majorBidi" w:cstheme="majorBidi"/>
          <w:sz w:val="24"/>
          <w:szCs w:val="24"/>
          <w:lang w:val="en-US" w:eastAsia="en-GB" w:bidi="he-IL"/>
        </w:rPr>
        <w:t xml:space="preserve">Investigations using dynamic causal models in a response inhibition task also pointed to aberrant modulation of the dACC to dorsal striatum projections in cocaine dependent individuals </w:t>
      </w:r>
      <w:r w:rsidR="00BD6B53" w:rsidRPr="000E4150">
        <w:rPr>
          <w:rFonts w:asciiTheme="majorBidi" w:eastAsia="Times New Roman" w:hAnsiTheme="majorBidi" w:cstheme="majorBidi"/>
          <w:sz w:val="24"/>
          <w:szCs w:val="24"/>
          <w:lang w:val="en-US" w:eastAsia="en-GB" w:bidi="he-IL"/>
        </w:rPr>
        <w:fldChar w:fldCharType="begin" w:fldLock="1"/>
      </w:r>
      <w:r w:rsidR="00760109" w:rsidRPr="000E4150">
        <w:rPr>
          <w:rFonts w:asciiTheme="majorBidi" w:eastAsia="Times New Roman" w:hAnsiTheme="majorBidi" w:cstheme="majorBidi"/>
          <w:sz w:val="24"/>
          <w:szCs w:val="24"/>
          <w:lang w:val="en-US" w:eastAsia="en-GB" w:bidi="he-IL"/>
        </w:rPr>
        <w:instrText>ADDIN CSL_CITATION {"citationItems":[{"id":"ITEM-1","itemData":{"DOI":"10.1016/j.nicl.2015.03.015","ISBN":"9788578110796","ISSN":"22131582","PMID":"26082893","abstract":"Cocaine dependence is associated with increased impulsivity in humans. Both cocaine dependence and impulsive behavior are under the regulatory control of cortico-striatal networks. One behavioral laboratory measure of impulsivity is response inhibition (ability to withhold a prepotent response) in which altered patterns of regional brain activation during executive tasks in service of normal performance are frequently found in cocaine dependent (CD) subjects studied with functional magnetic resonance imaging (fMRI). However, little is known about aberrations in specific directional neuronal connectivity in CD subjects. The present study employed fMRI-based dynamic causal modeling (DCM) to study the effective (directional) neuronal connectivity associated with response inhibition in CD subjects, elicited under performance of a Go/NoGo task with two levels of NoGo difficulty (Easy and Hard). The performance on the Go/NoGo task was not significantly different between CD subjects and controls. The DCM analysis revealed that prefrontal-striatal connectivity was modulated (influenced) during the NoGo conditions for both groups. The effective connectivity from left (L) anterior cingulate cortex (ACC) to L caudate was similarly modulated during the Easy NoGo condition for both groups. During the Hard NoGo condition in controls, the effective connectivity from right (R) dorsolateral prefrontal cortex (DLPFC) to L caudate became more positive, and the effective connectivity from R ventrolateral prefrontal cortex (VLPFC) to L caudate became more negative. In CD subjects, the effective connectivity from L ACC to L caudate became more negative during the Hard NoGo conditions. These results indicate that during Hard NoGo trials in CD subjects, the ACC rather than DLPFC or VLPFC influenced caudate during response inhibition.","author":[{"dropping-particle":"","family":"Ma","given":"Liangsuo","non-dropping-particle":"","parse-names":false,"suffix":""},{"dropping-particle":"","family":"Steinberg","given":"Joel L.","non-dropping-particle":"","parse-names":false,"suffix":""},{"dropping-particle":"","family":"Cunningham","given":"Kathryn A.","non-dropping-particle":"","parse-names":false,"suffix":""},{"dropping-particle":"","family":"Lane","given":"Scott D.","non-dropping-particle":"","parse-names":false,"suffix":""},{"dropping-particle":"","family":"Bjork","given":"James M.","non-dropping-particle":"","parse-names":false,"suffix":""},{"dropping-particle":"","family":"Neelakantan","given":"Harshini","non-dropping-particle":"","parse-names":false,"suffix":""},{"dropping-particle":"","family":"Price","given":"Amanda E.","non-dropping-particle":"","parse-names":false,"suffix":""},{"dropping-particle":"","family":"Narayana","given":"Ponnada A.","non-dropping-particle":"","parse-names":false,"suffix":""},{"dropping-particle":"","family":"Kosten","given":"Thomas R.","non-dropping-particle":"","parse-names":false,"suffix":""},{"dropping-particle":"","family":"Bechara","given":"Antoine","non-dropping-particle":"","parse-names":false,"suffix":""},{"dropping-particle":"","family":"Moeller","given":"F. Gerard","non-dropping-particle":"","parse-names":false,"suffix":""}],"container-title":"NeuroImage: Clinical","id":"ITEM-1","issued":{"date-parts":[["2015"]]},"page":"837-847","title":"Inhibitory behavioral control: A stochastic dynamic causal modeling study comparing cocaine dependent subjects and controls","type":"article-journal","volume":"7"},"uris":["http://www.mendeley.com/documents/?uuid=e6e94f1d-7a44-4518-8f5c-8ca5fc4fe6e6"]}],"mendeley":{"formattedCitation":"[Ma et al., 2015]","plainTextFormattedCitation":"[Ma et al., 2015]","previouslyFormattedCitation":"[Ma et al., 2015]"},"properties":{"noteIndex":0},"schema":"https://github.com/citation-style-language/schema/raw/master/csl-citation.json"}</w:instrText>
      </w:r>
      <w:r w:rsidR="00BD6B53" w:rsidRPr="000E4150">
        <w:rPr>
          <w:rFonts w:asciiTheme="majorBidi" w:eastAsia="Times New Roman" w:hAnsiTheme="majorBidi" w:cstheme="majorBidi"/>
          <w:sz w:val="24"/>
          <w:szCs w:val="24"/>
          <w:lang w:val="en-US" w:eastAsia="en-GB" w:bidi="he-IL"/>
        </w:rPr>
        <w:fldChar w:fldCharType="separate"/>
      </w:r>
      <w:r w:rsidR="00E06636" w:rsidRPr="000E4150">
        <w:rPr>
          <w:rFonts w:asciiTheme="majorBidi" w:eastAsia="Times New Roman" w:hAnsiTheme="majorBidi" w:cstheme="majorBidi"/>
          <w:noProof/>
          <w:sz w:val="24"/>
          <w:szCs w:val="24"/>
          <w:lang w:val="en-US" w:eastAsia="en-GB" w:bidi="he-IL"/>
        </w:rPr>
        <w:t>[Ma et al., 2015]</w:t>
      </w:r>
      <w:r w:rsidR="00BD6B53" w:rsidRPr="000E4150">
        <w:rPr>
          <w:rFonts w:asciiTheme="majorBidi" w:eastAsia="Times New Roman" w:hAnsiTheme="majorBidi" w:cstheme="majorBidi"/>
          <w:sz w:val="24"/>
          <w:szCs w:val="24"/>
          <w:lang w:val="en-US" w:eastAsia="en-GB" w:bidi="he-IL"/>
        </w:rPr>
        <w:fldChar w:fldCharType="end"/>
      </w:r>
      <w:r w:rsidR="00BD6B53" w:rsidRPr="000E4150">
        <w:rPr>
          <w:rFonts w:asciiTheme="majorBidi" w:eastAsia="Times New Roman" w:hAnsiTheme="majorBidi" w:cstheme="majorBidi"/>
          <w:sz w:val="24"/>
          <w:szCs w:val="24"/>
          <w:lang w:val="en-US" w:eastAsia="en-GB" w:bidi="he-IL"/>
        </w:rPr>
        <w:t>.</w:t>
      </w:r>
      <w:r w:rsidR="00752206" w:rsidRPr="000E4150">
        <w:rPr>
          <w:rFonts w:asciiTheme="majorBidi" w:eastAsia="Times New Roman" w:hAnsiTheme="majorBidi" w:cstheme="majorBidi"/>
          <w:sz w:val="24"/>
          <w:szCs w:val="24"/>
          <w:lang w:val="en-US" w:eastAsia="en-GB" w:bidi="he-IL"/>
        </w:rPr>
        <w:t xml:space="preserve"> </w:t>
      </w:r>
      <w:r w:rsidRPr="000E4150">
        <w:rPr>
          <w:rFonts w:asciiTheme="majorBidi" w:eastAsia="Times New Roman" w:hAnsiTheme="majorBidi" w:cstheme="majorBidi"/>
          <w:sz w:val="24"/>
          <w:szCs w:val="24"/>
          <w:lang w:val="en-US" w:eastAsia="en-GB" w:bidi="he-IL"/>
        </w:rPr>
        <w:t>Present results converge</w:t>
      </w:r>
      <w:r w:rsidR="00752206" w:rsidRPr="000E4150">
        <w:rPr>
          <w:rFonts w:asciiTheme="majorBidi" w:eastAsia="Times New Roman" w:hAnsiTheme="majorBidi" w:cstheme="majorBidi"/>
          <w:sz w:val="24"/>
          <w:szCs w:val="24"/>
          <w:lang w:val="en-US" w:eastAsia="en-GB" w:bidi="he-IL"/>
        </w:rPr>
        <w:t xml:space="preserve"> to</w:t>
      </w:r>
      <w:r w:rsidRPr="000E4150">
        <w:rPr>
          <w:rFonts w:asciiTheme="majorBidi" w:eastAsia="Times New Roman" w:hAnsiTheme="majorBidi" w:cstheme="majorBidi"/>
          <w:sz w:val="24"/>
          <w:szCs w:val="24"/>
          <w:lang w:val="en-US" w:eastAsia="en-GB" w:bidi="he-IL"/>
        </w:rPr>
        <w:t xml:space="preserve"> </w:t>
      </w:r>
      <w:r w:rsidR="00752206" w:rsidRPr="000E4150">
        <w:rPr>
          <w:rFonts w:asciiTheme="majorBidi" w:eastAsia="Times New Roman" w:hAnsiTheme="majorBidi" w:cstheme="majorBidi"/>
          <w:sz w:val="24"/>
          <w:szCs w:val="24"/>
          <w:lang w:val="en-US" w:eastAsia="en-GB" w:bidi="he-IL"/>
        </w:rPr>
        <w:t xml:space="preserve">support </w:t>
      </w:r>
      <w:r w:rsidRPr="000E4150">
        <w:rPr>
          <w:rFonts w:asciiTheme="majorBidi" w:eastAsia="Times New Roman" w:hAnsiTheme="majorBidi" w:cstheme="majorBidi"/>
          <w:sz w:val="24"/>
          <w:szCs w:val="24"/>
          <w:lang w:val="en-US" w:eastAsia="en-GB" w:bidi="he-IL"/>
        </w:rPr>
        <w:t xml:space="preserve">deficient communication between prefrontal and subcortical regions in addiction </w:t>
      </w:r>
      <w:r w:rsidR="00B66617" w:rsidRPr="000E4150">
        <w:rPr>
          <w:rFonts w:asciiTheme="majorBidi" w:eastAsia="Times New Roman" w:hAnsiTheme="majorBidi" w:cstheme="majorBidi"/>
          <w:sz w:val="24"/>
          <w:szCs w:val="24"/>
          <w:lang w:val="en-US" w:eastAsia="en-GB" w:bidi="he-IL"/>
        </w:rPr>
        <w:fldChar w:fldCharType="begin" w:fldLock="1"/>
      </w:r>
      <w:r w:rsidR="00760109" w:rsidRPr="000E4150">
        <w:rPr>
          <w:rFonts w:asciiTheme="majorBidi" w:eastAsia="Times New Roman" w:hAnsiTheme="majorBidi" w:cstheme="majorBidi"/>
          <w:sz w:val="24"/>
          <w:szCs w:val="24"/>
          <w:lang w:val="en-US" w:eastAsia="en-GB" w:bidi="he-IL"/>
        </w:rPr>
        <w:instrText>ADDIN CSL_CITATION {"citationItems":[{"id":"ITEM-1","itemData":{"DOI":"10.1038/nrn3119","ISBN":"1471-003X","ISSN":"1471003X","PMID":"22011681","abstract":"The loss of control over drug intake that occurs in addiction was initially believed to result from disruption of subcortical reward circuits. However, imaging studies in addictive behaviours have identified a key involvement of the prefrontal cortex (PFC) both through its regulation of limbic reward regions and its involvement in higher-order executive function (for example, self-control, salience attribution and awareness). This Review focuses on functional neuroimaging studies conducted in the past decade that have expanded our understanding of the involvement of the PFC in drug addiction. Disruption of the PFC in addiction underlies not only compulsive drug taking but also accounts for the disadvantageous behaviours that are associated with addiction and the erosion of free will.","author":[{"dropping-particle":"","family":"Goldstein","given":"Rita Z.","non-dropping-particle":"","parse-names":false,"suffix":""},{"dropping-particle":"","family":"Volkow","given":"Nora D.","non-dropping-particle":"","parse-names":false,"suffix":""}],"container-title":"Nature Reviews Neuroscience","id":"ITEM-1","issue":"11","issued":{"date-parts":[["2011"]]},"page":"652-669","publisher":"Nature Publishing Group","title":"Dysfunction of the prefrontal cortex in addiction: Neuroimaging findings and clinical implications","type":"article-journal","volume":"12"},"uris":["http://www.mendeley.com/documents/?uuid=2c7c51dc-74e6-4f25-bc8c-8b793b133a17"]}],"mendeley":{"formattedCitation":"[Goldstein and Volkow, 2011]","plainTextFormattedCitation":"[Goldstein and Volkow, 2011]","previouslyFormattedCitation":"[Goldstein and Volkow, 2011]"},"properties":{"noteIndex":0},"schema":"https://github.com/citation-style-language/schema/raw/master/csl-citation.json"}</w:instrText>
      </w:r>
      <w:r w:rsidR="00B66617" w:rsidRPr="000E4150">
        <w:rPr>
          <w:rFonts w:asciiTheme="majorBidi" w:eastAsia="Times New Roman" w:hAnsiTheme="majorBidi" w:cstheme="majorBidi"/>
          <w:sz w:val="24"/>
          <w:szCs w:val="24"/>
          <w:lang w:val="en-US" w:eastAsia="en-GB" w:bidi="he-IL"/>
        </w:rPr>
        <w:fldChar w:fldCharType="separate"/>
      </w:r>
      <w:r w:rsidR="00E06636" w:rsidRPr="000E4150">
        <w:rPr>
          <w:rFonts w:asciiTheme="majorBidi" w:eastAsia="Times New Roman" w:hAnsiTheme="majorBidi" w:cstheme="majorBidi"/>
          <w:noProof/>
          <w:sz w:val="24"/>
          <w:szCs w:val="24"/>
          <w:lang w:val="en-US" w:eastAsia="en-GB" w:bidi="he-IL"/>
        </w:rPr>
        <w:t>[Goldstein and Volkow, 2011]</w:t>
      </w:r>
      <w:r w:rsidR="00B66617" w:rsidRPr="000E4150">
        <w:rPr>
          <w:rFonts w:asciiTheme="majorBidi" w:eastAsia="Times New Roman" w:hAnsiTheme="majorBidi" w:cstheme="majorBidi"/>
          <w:sz w:val="24"/>
          <w:szCs w:val="24"/>
          <w:lang w:val="en-US" w:eastAsia="en-GB" w:bidi="he-IL"/>
        </w:rPr>
        <w:fldChar w:fldCharType="end"/>
      </w:r>
      <w:r w:rsidR="00752206" w:rsidRPr="000E4150">
        <w:rPr>
          <w:rFonts w:asciiTheme="majorBidi" w:eastAsia="Times New Roman" w:hAnsiTheme="majorBidi" w:cstheme="majorBidi"/>
          <w:sz w:val="24"/>
          <w:szCs w:val="24"/>
          <w:lang w:val="en-US" w:eastAsia="en-GB" w:bidi="he-IL"/>
        </w:rPr>
        <w:t>.</w:t>
      </w:r>
      <w:r w:rsidR="00F75CAD" w:rsidRPr="000E4150">
        <w:rPr>
          <w:rFonts w:asciiTheme="majorBidi" w:eastAsia="Times New Roman" w:hAnsiTheme="majorBidi" w:cstheme="majorBidi"/>
          <w:sz w:val="24"/>
          <w:szCs w:val="24"/>
          <w:lang w:val="en-US" w:eastAsia="en-GB" w:bidi="he-IL"/>
        </w:rPr>
        <w:t xml:space="preserve"> </w:t>
      </w:r>
    </w:p>
    <w:p w14:paraId="5D954E3C" w14:textId="77777777" w:rsidR="00AF1BD5" w:rsidRPr="000E4150" w:rsidRDefault="00AF1BD5" w:rsidP="00217273">
      <w:pPr>
        <w:spacing w:after="0" w:line="480" w:lineRule="auto"/>
        <w:textAlignment w:val="baseline"/>
        <w:rPr>
          <w:rFonts w:asciiTheme="majorBidi" w:eastAsia="Times New Roman" w:hAnsiTheme="majorBidi" w:cstheme="majorBidi"/>
          <w:sz w:val="24"/>
          <w:szCs w:val="24"/>
          <w:lang w:val="en-US" w:eastAsia="en-GB" w:bidi="he-IL"/>
        </w:rPr>
      </w:pPr>
    </w:p>
    <w:p w14:paraId="07F6E7C6" w14:textId="1B19EC53" w:rsidR="00787D9B" w:rsidRPr="000E4150" w:rsidRDefault="008159F3" w:rsidP="00272C9F">
      <w:pPr>
        <w:spacing w:after="0" w:line="480" w:lineRule="auto"/>
        <w:textAlignment w:val="baseline"/>
        <w:rPr>
          <w:rFonts w:asciiTheme="majorBidi" w:eastAsia="Times New Roman" w:hAnsiTheme="majorBidi" w:cstheme="majorBidi"/>
          <w:sz w:val="24"/>
          <w:szCs w:val="24"/>
          <w:lang w:val="en-US" w:eastAsia="en-GB" w:bidi="he-IL"/>
        </w:rPr>
      </w:pPr>
      <w:r w:rsidRPr="000E4150">
        <w:rPr>
          <w:rFonts w:asciiTheme="majorBidi" w:eastAsia="Times New Roman" w:hAnsiTheme="majorBidi" w:cstheme="majorBidi"/>
          <w:b/>
          <w:bCs/>
          <w:sz w:val="24"/>
          <w:szCs w:val="24"/>
          <w:lang w:val="en-US" w:eastAsia="en-GB" w:bidi="he-IL"/>
        </w:rPr>
        <w:t>Additional i</w:t>
      </w:r>
      <w:r w:rsidR="00614333" w:rsidRPr="000E4150">
        <w:rPr>
          <w:rFonts w:asciiTheme="majorBidi" w:eastAsia="Times New Roman" w:hAnsiTheme="majorBidi" w:cstheme="majorBidi"/>
          <w:b/>
          <w:bCs/>
          <w:sz w:val="24"/>
          <w:szCs w:val="24"/>
          <w:lang w:val="en-US" w:eastAsia="en-GB" w:bidi="he-IL"/>
        </w:rPr>
        <w:t xml:space="preserve">mplications of </w:t>
      </w:r>
      <w:r w:rsidR="00AF1BD5" w:rsidRPr="000E4150">
        <w:rPr>
          <w:rFonts w:asciiTheme="majorBidi" w:eastAsia="Times New Roman" w:hAnsiTheme="majorBidi" w:cstheme="majorBidi"/>
          <w:b/>
          <w:bCs/>
          <w:sz w:val="24"/>
          <w:szCs w:val="24"/>
          <w:lang w:val="en-US" w:eastAsia="en-GB" w:bidi="he-IL"/>
        </w:rPr>
        <w:t xml:space="preserve">the </w:t>
      </w:r>
      <w:r w:rsidR="00614333" w:rsidRPr="000E4150">
        <w:rPr>
          <w:rFonts w:asciiTheme="majorBidi" w:eastAsia="Times New Roman" w:hAnsiTheme="majorBidi" w:cstheme="majorBidi"/>
          <w:b/>
          <w:bCs/>
          <w:sz w:val="24"/>
          <w:szCs w:val="24"/>
          <w:lang w:val="en-US" w:eastAsia="en-GB" w:bidi="he-IL"/>
        </w:rPr>
        <w:t xml:space="preserve">present </w:t>
      </w:r>
      <w:r w:rsidRPr="000E4150">
        <w:rPr>
          <w:rFonts w:asciiTheme="majorBidi" w:eastAsia="Times New Roman" w:hAnsiTheme="majorBidi" w:cstheme="majorBidi"/>
          <w:b/>
          <w:bCs/>
          <w:sz w:val="24"/>
          <w:szCs w:val="24"/>
          <w:lang w:val="en-US" w:eastAsia="en-GB" w:bidi="he-IL"/>
        </w:rPr>
        <w:t>findings</w:t>
      </w:r>
      <w:r w:rsidR="003A44C8" w:rsidRPr="000E4150">
        <w:rPr>
          <w:rFonts w:asciiTheme="majorBidi" w:eastAsia="Times New Roman" w:hAnsiTheme="majorBidi" w:cstheme="majorBidi"/>
          <w:b/>
          <w:bCs/>
          <w:sz w:val="24"/>
          <w:szCs w:val="24"/>
          <w:lang w:val="en-US" w:eastAsia="en-GB" w:bidi="he-IL"/>
        </w:rPr>
        <w:t xml:space="preserve">. </w:t>
      </w:r>
      <w:r w:rsidR="00752206" w:rsidRPr="000E4150">
        <w:rPr>
          <w:rFonts w:asciiTheme="majorBidi" w:eastAsia="Times New Roman" w:hAnsiTheme="majorBidi" w:cstheme="majorBidi"/>
          <w:sz w:val="24"/>
          <w:szCs w:val="24"/>
          <w:lang w:val="en-US" w:eastAsia="en-GB" w:bidi="he-IL"/>
        </w:rPr>
        <w:t>Interactions</w:t>
      </w:r>
      <w:r w:rsidR="00787D9B" w:rsidRPr="000E4150">
        <w:rPr>
          <w:rFonts w:asciiTheme="majorBidi" w:eastAsia="Times New Roman" w:hAnsiTheme="majorBidi" w:cstheme="majorBidi"/>
          <w:sz w:val="24"/>
          <w:szCs w:val="24"/>
          <w:lang w:val="en-US" w:eastAsia="en-GB" w:bidi="he-IL"/>
        </w:rPr>
        <w:t> between </w:t>
      </w:r>
      <w:r w:rsidR="00AF1BD5" w:rsidRPr="000E4150">
        <w:rPr>
          <w:rFonts w:asciiTheme="majorBidi" w:eastAsia="Times New Roman" w:hAnsiTheme="majorBidi" w:cstheme="majorBidi"/>
          <w:sz w:val="24"/>
          <w:szCs w:val="24"/>
          <w:lang w:val="en-US" w:eastAsia="en-GB" w:bidi="he-IL"/>
        </w:rPr>
        <w:t xml:space="preserve">the </w:t>
      </w:r>
      <w:r w:rsidR="00787D9B" w:rsidRPr="000E4150">
        <w:rPr>
          <w:rFonts w:asciiTheme="majorBidi" w:eastAsia="Times New Roman" w:hAnsiTheme="majorBidi" w:cstheme="majorBidi"/>
          <w:sz w:val="24"/>
          <w:szCs w:val="24"/>
          <w:lang w:val="en-US" w:eastAsia="en-GB" w:bidi="he-IL"/>
        </w:rPr>
        <w:t>PFC and striatum </w:t>
      </w:r>
      <w:r w:rsidR="00752206" w:rsidRPr="000E4150">
        <w:rPr>
          <w:rFonts w:asciiTheme="majorBidi" w:eastAsia="Times New Roman" w:hAnsiTheme="majorBidi" w:cstheme="majorBidi"/>
          <w:sz w:val="24"/>
          <w:szCs w:val="24"/>
          <w:lang w:val="en-US" w:eastAsia="en-GB" w:bidi="he-IL"/>
        </w:rPr>
        <w:t>are also found in</w:t>
      </w:r>
      <w:r w:rsidR="00787D9B" w:rsidRPr="000E4150">
        <w:rPr>
          <w:rFonts w:asciiTheme="majorBidi" w:eastAsia="Times New Roman" w:hAnsiTheme="majorBidi" w:cstheme="majorBidi"/>
          <w:sz w:val="24"/>
          <w:szCs w:val="24"/>
          <w:lang w:val="en-US" w:eastAsia="en-GB" w:bidi="he-IL"/>
        </w:rPr>
        <w:t xml:space="preserve"> </w:t>
      </w:r>
      <w:r w:rsidR="00614333" w:rsidRPr="000E4150">
        <w:rPr>
          <w:rFonts w:asciiTheme="majorBidi" w:eastAsia="Times New Roman" w:hAnsiTheme="majorBidi" w:cstheme="majorBidi"/>
          <w:sz w:val="24"/>
          <w:szCs w:val="24"/>
          <w:lang w:val="en-US" w:eastAsia="en-GB" w:bidi="he-IL"/>
        </w:rPr>
        <w:t xml:space="preserve">non-human </w:t>
      </w:r>
      <w:r w:rsidR="00787D9B" w:rsidRPr="000E4150">
        <w:rPr>
          <w:rFonts w:asciiTheme="majorBidi" w:eastAsia="Times New Roman" w:hAnsiTheme="majorBidi" w:cstheme="majorBidi"/>
          <w:sz w:val="24"/>
          <w:szCs w:val="24"/>
          <w:lang w:val="en-US" w:eastAsia="en-GB" w:bidi="he-IL"/>
        </w:rPr>
        <w:t xml:space="preserve">animal studies </w:t>
      </w:r>
      <w:r w:rsidR="00752206" w:rsidRPr="000E4150">
        <w:rPr>
          <w:rFonts w:asciiTheme="majorBidi" w:eastAsia="Times New Roman" w:hAnsiTheme="majorBidi" w:cstheme="majorBidi"/>
          <w:sz w:val="24"/>
          <w:szCs w:val="24"/>
          <w:lang w:val="en-US" w:eastAsia="en-GB" w:bidi="he-IL"/>
        </w:rPr>
        <w:t>investigating</w:t>
      </w:r>
      <w:r w:rsidR="00787D9B" w:rsidRPr="000E4150">
        <w:rPr>
          <w:rFonts w:asciiTheme="majorBidi" w:eastAsia="Times New Roman" w:hAnsiTheme="majorBidi" w:cstheme="majorBidi"/>
          <w:sz w:val="24"/>
          <w:szCs w:val="24"/>
          <w:lang w:val="en-US" w:eastAsia="en-GB" w:bidi="he-IL"/>
        </w:rPr>
        <w:t xml:space="preserve"> PFC </w:t>
      </w:r>
      <w:r w:rsidR="00752206" w:rsidRPr="000E4150">
        <w:rPr>
          <w:rFonts w:asciiTheme="majorBidi" w:eastAsia="Times New Roman" w:hAnsiTheme="majorBidi" w:cstheme="majorBidi"/>
          <w:sz w:val="24"/>
          <w:szCs w:val="24"/>
          <w:lang w:val="en-US" w:eastAsia="en-GB" w:bidi="he-IL"/>
        </w:rPr>
        <w:t xml:space="preserve">involvement </w:t>
      </w:r>
      <w:r w:rsidR="00787D9B" w:rsidRPr="000E4150">
        <w:rPr>
          <w:rFonts w:asciiTheme="majorBidi" w:eastAsia="Times New Roman" w:hAnsiTheme="majorBidi" w:cstheme="majorBidi"/>
          <w:sz w:val="24"/>
          <w:szCs w:val="24"/>
          <w:lang w:val="en-US" w:eastAsia="en-GB" w:bidi="he-IL"/>
        </w:rPr>
        <w:t xml:space="preserve">in failures of restraint. </w:t>
      </w:r>
      <w:r w:rsidR="00614333" w:rsidRPr="000E4150">
        <w:rPr>
          <w:rFonts w:asciiTheme="majorBidi" w:eastAsia="Times New Roman" w:hAnsiTheme="majorBidi" w:cstheme="majorBidi"/>
          <w:sz w:val="24"/>
          <w:szCs w:val="24"/>
          <w:lang w:val="en-US" w:eastAsia="en-GB" w:bidi="he-IL"/>
        </w:rPr>
        <w:t>The r</w:t>
      </w:r>
      <w:r w:rsidR="00787D9B" w:rsidRPr="000E4150">
        <w:rPr>
          <w:rFonts w:asciiTheme="majorBidi" w:eastAsia="Times New Roman" w:hAnsiTheme="majorBidi" w:cstheme="majorBidi"/>
          <w:sz w:val="24"/>
          <w:szCs w:val="24"/>
          <w:lang w:val="en-US" w:eastAsia="en-GB" w:bidi="he-IL"/>
        </w:rPr>
        <w:t>odent prelimbic cortex, a homologue of human dACC in addition to rodent infralimbic cortex</w:t>
      </w:r>
      <w:r w:rsidR="00EC49AA" w:rsidRPr="000E4150">
        <w:rPr>
          <w:rFonts w:asciiTheme="majorBidi" w:eastAsia="Times New Roman" w:hAnsiTheme="majorBidi" w:cstheme="majorBidi"/>
          <w:sz w:val="24"/>
          <w:szCs w:val="24"/>
          <w:lang w:val="en-US" w:eastAsia="en-GB" w:bidi="he-IL"/>
        </w:rPr>
        <w:t>,</w:t>
      </w:r>
      <w:r w:rsidR="00787D9B" w:rsidRPr="000E4150">
        <w:rPr>
          <w:rFonts w:asciiTheme="majorBidi" w:eastAsia="Times New Roman" w:hAnsiTheme="majorBidi" w:cstheme="majorBidi"/>
          <w:sz w:val="24"/>
          <w:szCs w:val="24"/>
          <w:lang w:val="en-US" w:eastAsia="en-GB" w:bidi="he-IL"/>
        </w:rPr>
        <w:t xml:space="preserve"> a homologue of the human </w:t>
      </w:r>
      <w:r w:rsidR="006872B2" w:rsidRPr="000E4150">
        <w:rPr>
          <w:rFonts w:asciiTheme="majorBidi" w:eastAsia="Times New Roman" w:hAnsiTheme="majorBidi" w:cstheme="majorBidi"/>
          <w:sz w:val="24"/>
          <w:szCs w:val="24"/>
          <w:lang w:val="en-US" w:eastAsia="en-GB" w:bidi="he-IL"/>
        </w:rPr>
        <w:t xml:space="preserve">ventromedial </w:t>
      </w:r>
      <w:r w:rsidR="00787D9B" w:rsidRPr="000E4150">
        <w:rPr>
          <w:rFonts w:asciiTheme="majorBidi" w:eastAsia="Times New Roman" w:hAnsiTheme="majorBidi" w:cstheme="majorBidi"/>
          <w:sz w:val="24"/>
          <w:szCs w:val="24"/>
          <w:lang w:val="en-US" w:eastAsia="en-GB" w:bidi="he-IL"/>
        </w:rPr>
        <w:t>PFC, ha</w:t>
      </w:r>
      <w:r w:rsidR="004511A8" w:rsidRPr="000E4150">
        <w:rPr>
          <w:rFonts w:asciiTheme="majorBidi" w:eastAsia="Times New Roman" w:hAnsiTheme="majorBidi" w:cstheme="majorBidi"/>
          <w:sz w:val="24"/>
          <w:szCs w:val="24"/>
          <w:lang w:val="en-US" w:eastAsia="en-GB" w:bidi="he-IL"/>
        </w:rPr>
        <w:t>s</w:t>
      </w:r>
      <w:r w:rsidR="00787D9B" w:rsidRPr="000E4150">
        <w:rPr>
          <w:rFonts w:asciiTheme="majorBidi" w:eastAsia="Times New Roman" w:hAnsiTheme="majorBidi" w:cstheme="majorBidi"/>
          <w:sz w:val="24"/>
          <w:szCs w:val="24"/>
          <w:lang w:val="en-US" w:eastAsia="en-GB" w:bidi="he-IL"/>
        </w:rPr>
        <w:t xml:space="preserve"> been implicated in premature responding </w:t>
      </w:r>
      <w:r w:rsidR="00F2758D" w:rsidRPr="000E4150">
        <w:rPr>
          <w:rFonts w:asciiTheme="majorBidi" w:eastAsia="Times New Roman" w:hAnsiTheme="majorBidi" w:cstheme="majorBidi"/>
          <w:sz w:val="24"/>
          <w:szCs w:val="24"/>
          <w:lang w:val="en-US" w:eastAsia="en-GB" w:bidi="he-IL"/>
        </w:rPr>
        <w:fldChar w:fldCharType="begin" w:fldLock="1"/>
      </w:r>
      <w:r w:rsidR="00760109" w:rsidRPr="000E4150">
        <w:rPr>
          <w:rFonts w:asciiTheme="majorBidi" w:eastAsia="Times New Roman" w:hAnsiTheme="majorBidi" w:cstheme="majorBidi"/>
          <w:sz w:val="24"/>
          <w:szCs w:val="24"/>
          <w:lang w:val="en-US" w:eastAsia="en-GB" w:bidi="he-IL"/>
        </w:rPr>
        <w:instrText>ADDIN CSL_CITATION {"citationItems":[{"id":"ITEM-1","itemData":{"DOI":"10.1016/j.neuron.2011.01.020","ISBN":"1097-4199 (Electronic)\\n0896-6273 (Linking)","ISSN":"08966273","PMID":"21338879","abstract":"Impulsivity is the tendency to act prematurely without foresight. Behavioral and neurobiological analysis of this construct, with evidence from both animal and human studies, defines several dissociable forms depending on distinct cortico-striatal substrates. One form of impulsivity depends on the temporal discounting of reward, another on motor or response disinhibition. Impulsivity is commonly associated with addiction to drugs from different pharmacological classes, but its causal role in human addiction is unclear. We characterize in neurobehavioral and neurochemical terms a rodent model of impulsivity based on premature responding in an attentional task. Evidence is surveyed that high impulsivity on this task precedes the escalation subsequently of cocaine self-administration behavior, and also a tendency toward compulsive cocaine-seeking and to relapse. These results indicate that the vulnerability to stimulant addiction may depend on an impulsivity endophenotype. Implications of these findings for the etiology, development, and treatment of drug addiction are considered. ?? 2011 Elsevier Inc.","author":[{"dropping-particle":"","family":"Dalley","given":"Jeffrey W.","non-dropping-particle":"","parse-names":false,"suffix":""},{"dropping-particle":"","family":"Everitt","given":"Barry J.","non-dropping-particle":"","parse-names":false,"suffix":""},{"dropping-particle":"","family":"Robbins","given":"Trevor W.","non-dropping-particle":"","parse-names":false,"suffix":""}],"container-title":"Neuron","id":"ITEM-1","issue":"4","issued":{"date-parts":[["2011"]]},"page":"680-694","publisher":"Elsevier Inc.","title":"Impulsivity, Compulsivity, and Top-Down Cognitive Control","type":"article-journal","volume":"69"},"uris":["http://www.mendeley.com/documents/?uuid=e82f0339-6dfc-430d-af63-0b9a39e591b7"]},{"id":"ITEM-2","itemData":{"DOI":"10.1038/nrn.2017.8","ISSN":"1471-003X","PMID":"28209979","abstract":"The ability to make decisions and act quickly without hesitation can be advantageous in many settings. However, when persistently expressed, impulsive decisions and actions are considered risky, maladaptive and symptomatic of such diverse brain disorders as attention-deficit hyperactivity disorder, drug addiction and affective disorders. Over the past decade, rapid progress has been made in the identification of discrete neural networks that underlie different forms of impulsivity - from impaired response inhibition and risky decision making to a profound intolerance of delayed rewards. Herein, we review what is currently known about the neural and psychological mechanisms of impulsivity, and discuss the relevance and application of these new insights to various neuropsychiatric disorders.","author":[{"dropping-particle":"","family":"Dalley","given":"Jeffrey W.","non-dropping-particle":"","parse-names":false,"suffix":""},{"dropping-particle":"","family":"Robbins","given":"Trevor W.","non-dropping-particle":"","parse-names":false,"suffix":""}],"container-title":"Nature Reviews Neuroscience","id":"ITEM-2","issue":"3","issued":{"date-parts":[["2017"]]},"page":"158-171","publisher":"Nature Publishing Group","title":"Fractionating impulsivity: neuropsychiatric implications","type":"article-journal","volume":"18"},"uris":["http://www.mendeley.com/documents/?uuid=0d307721-6814-4b11-b7bb-b23cd80215dc"]}],"mendeley":{"formattedCitation":"[Dalley et al., 2011; Dalley and Robbins, 2017]","plainTextFormattedCitation":"[Dalley et al., 2011; Dalley and Robbins, 2017]","previouslyFormattedCitation":"[Dalley et al., 2011; Dalley and Robbins, 2017]"},"properties":{"noteIndex":0},"schema":"https://github.com/citation-style-language/schema/raw/master/csl-citation.json"}</w:instrText>
      </w:r>
      <w:r w:rsidR="00F2758D" w:rsidRPr="000E4150">
        <w:rPr>
          <w:rFonts w:asciiTheme="majorBidi" w:eastAsia="Times New Roman" w:hAnsiTheme="majorBidi" w:cstheme="majorBidi"/>
          <w:sz w:val="24"/>
          <w:szCs w:val="24"/>
          <w:lang w:val="en-US" w:eastAsia="en-GB" w:bidi="he-IL"/>
        </w:rPr>
        <w:fldChar w:fldCharType="separate"/>
      </w:r>
      <w:r w:rsidR="00E06636" w:rsidRPr="000E4150">
        <w:rPr>
          <w:rFonts w:asciiTheme="majorBidi" w:eastAsia="Times New Roman" w:hAnsiTheme="majorBidi" w:cstheme="majorBidi"/>
          <w:noProof/>
          <w:sz w:val="24"/>
          <w:szCs w:val="24"/>
          <w:lang w:val="en-US" w:eastAsia="en-GB" w:bidi="he-IL"/>
        </w:rPr>
        <w:t>[Dalley et al., 2011; Dalley and Robbins, 2017]</w:t>
      </w:r>
      <w:r w:rsidR="00F2758D" w:rsidRPr="000E4150">
        <w:rPr>
          <w:rFonts w:asciiTheme="majorBidi" w:eastAsia="Times New Roman" w:hAnsiTheme="majorBidi" w:cstheme="majorBidi"/>
          <w:sz w:val="24"/>
          <w:szCs w:val="24"/>
          <w:lang w:val="en-US" w:eastAsia="en-GB" w:bidi="he-IL"/>
        </w:rPr>
        <w:fldChar w:fldCharType="end"/>
      </w:r>
      <w:r w:rsidRPr="000E4150">
        <w:rPr>
          <w:rFonts w:asciiTheme="majorBidi" w:eastAsia="Times New Roman" w:hAnsiTheme="majorBidi" w:cstheme="majorBidi"/>
          <w:sz w:val="24"/>
          <w:szCs w:val="24"/>
          <w:lang w:val="en-US" w:eastAsia="en-GB" w:bidi="he-IL"/>
        </w:rPr>
        <w:t xml:space="preserve"> and </w:t>
      </w:r>
      <w:proofErr w:type="spellStart"/>
      <w:r w:rsidRPr="000E4150">
        <w:rPr>
          <w:rFonts w:asciiTheme="majorBidi" w:eastAsia="Times New Roman" w:hAnsiTheme="majorBidi" w:cstheme="majorBidi"/>
          <w:sz w:val="24"/>
          <w:szCs w:val="24"/>
          <w:lang w:val="en-US" w:eastAsia="en-GB" w:bidi="he-IL"/>
        </w:rPr>
        <w:t>behavioural</w:t>
      </w:r>
      <w:proofErr w:type="spellEnd"/>
      <w:r w:rsidRPr="000E4150">
        <w:rPr>
          <w:rFonts w:asciiTheme="majorBidi" w:eastAsia="Times New Roman" w:hAnsiTheme="majorBidi" w:cstheme="majorBidi"/>
          <w:sz w:val="24"/>
          <w:szCs w:val="24"/>
          <w:lang w:val="en-US" w:eastAsia="en-GB" w:bidi="he-IL"/>
        </w:rPr>
        <w:t xml:space="preserve"> control </w:t>
      </w:r>
      <w:r w:rsidR="00037B51" w:rsidRPr="000E4150">
        <w:rPr>
          <w:rFonts w:asciiTheme="majorBidi" w:eastAsia="Times New Roman" w:hAnsiTheme="majorBidi" w:cstheme="majorBidi"/>
          <w:sz w:val="24"/>
          <w:szCs w:val="24"/>
          <w:lang w:val="en-US" w:eastAsia="en-GB" w:bidi="he-IL"/>
        </w:rPr>
        <w:fldChar w:fldCharType="begin" w:fldLock="1"/>
      </w:r>
      <w:r w:rsidR="00760109" w:rsidRPr="000E4150">
        <w:rPr>
          <w:rFonts w:asciiTheme="majorBidi" w:eastAsia="Times New Roman" w:hAnsiTheme="majorBidi" w:cstheme="majorBidi"/>
          <w:sz w:val="24"/>
          <w:szCs w:val="24"/>
          <w:lang w:val="en-US" w:eastAsia="en-GB" w:bidi="he-IL"/>
        </w:rPr>
        <w:instrText>ADDIN CSL_CITATION {"citationItems":[{"id":"ITEM-1","itemData":{"DOI":"10.1038/nn.4275","ISBN":"1546-1726 (Electronic)\\r1097-6256 (Linking)","ISSN":"15461726","PMID":"27116390","abstract":"The rodent dorsal medial prefrontal cortex (PFC), specifically the prelimbic cortex (PL), regulates the expression of conditioned fear and behaviors interpreted as reward seeking. Meanwhile, the ventral medial PFC, namely the infralimbic cortex (IL), is essential to extinction conditioning in both appetitive and aversive domains. Here we review evidence that supports, or refutes, this “PL-go/IL-stop” dichotomy. We focus on the extinction of conditioned fear and the extinction and reinstatement of cocaine- or heroin-reinforced responding following abstinence. We then synthesize evidence that the PL is essential for developing goal-directed response strategies, while the IL supports habit behavior. Finally, we propose that some functions of the orbital PFC parallel those of the medial PFC in the regulation of response selection. Integration of these discoveries may provide points of intervention for inhibiting untethered drug seeking in drug use disorders, extinction failures in post-traumatic stress disorder, or co-morbidities between the two. Difficulties","author":[{"dropping-particle":"","family":"Gourley","given":"Shannon L.","non-dropping-particle":"","parse-names":false,"suffix":""},{"dropping-particle":"","family":"Taylor","given":"Jane R.","non-dropping-particle":"","parse-names":false,"suffix":""}],"container-title":"Nature Neuroscience","id":"ITEM-1","issue":"6","issued":{"date-parts":[["2016"]]},"page":"656-664","title":"Going and stopping: Dichotomies in behavioral control by the prefrontal cortex","type":"article-journal","volume":"19"},"uris":["http://www.mendeley.com/documents/?uuid=af182f40-8759-4931-9a64-dd264ff3291a"]}],"mendeley":{"formattedCitation":"[Gourley and Taylor, 2016]","plainTextFormattedCitation":"[Gourley and Taylor, 2016]","previouslyFormattedCitation":"[Gourley and Taylor, 2016]"},"properties":{"noteIndex":0},"schema":"https://github.com/citation-style-language/schema/raw/master/csl-citation.json"}</w:instrText>
      </w:r>
      <w:r w:rsidR="00037B51" w:rsidRPr="000E4150">
        <w:rPr>
          <w:rFonts w:asciiTheme="majorBidi" w:eastAsia="Times New Roman" w:hAnsiTheme="majorBidi" w:cstheme="majorBidi"/>
          <w:sz w:val="24"/>
          <w:szCs w:val="24"/>
          <w:lang w:val="en-US" w:eastAsia="en-GB" w:bidi="he-IL"/>
        </w:rPr>
        <w:fldChar w:fldCharType="separate"/>
      </w:r>
      <w:r w:rsidR="00E06636" w:rsidRPr="000E4150">
        <w:rPr>
          <w:rFonts w:asciiTheme="majorBidi" w:eastAsia="Times New Roman" w:hAnsiTheme="majorBidi" w:cstheme="majorBidi"/>
          <w:noProof/>
          <w:sz w:val="24"/>
          <w:szCs w:val="24"/>
          <w:lang w:val="en-US" w:eastAsia="en-GB" w:bidi="he-IL"/>
        </w:rPr>
        <w:t>[Gourley and Taylor, 2016]</w:t>
      </w:r>
      <w:r w:rsidR="00037B51" w:rsidRPr="000E4150">
        <w:rPr>
          <w:rFonts w:asciiTheme="majorBidi" w:eastAsia="Times New Roman" w:hAnsiTheme="majorBidi" w:cstheme="majorBidi"/>
          <w:sz w:val="24"/>
          <w:szCs w:val="24"/>
          <w:lang w:val="en-US" w:eastAsia="en-GB" w:bidi="he-IL"/>
        </w:rPr>
        <w:fldChar w:fldCharType="end"/>
      </w:r>
      <w:r w:rsidR="00787D9B" w:rsidRPr="000E4150">
        <w:rPr>
          <w:rFonts w:asciiTheme="majorBidi" w:eastAsia="Times New Roman" w:hAnsiTheme="majorBidi" w:cstheme="majorBidi"/>
          <w:sz w:val="24"/>
          <w:szCs w:val="24"/>
          <w:lang w:val="en-US" w:eastAsia="en-GB" w:bidi="he-IL"/>
        </w:rPr>
        <w:t xml:space="preserve">. We observed </w:t>
      </w:r>
      <w:r w:rsidR="006872B2" w:rsidRPr="000E4150">
        <w:rPr>
          <w:rFonts w:asciiTheme="majorBidi" w:eastAsia="Times New Roman" w:hAnsiTheme="majorBidi" w:cstheme="majorBidi"/>
          <w:sz w:val="24"/>
          <w:szCs w:val="24"/>
          <w:lang w:val="en-US" w:eastAsia="en-GB" w:bidi="he-IL"/>
        </w:rPr>
        <w:t>ventromedial P</w:t>
      </w:r>
      <w:r w:rsidR="00787D9B" w:rsidRPr="000E4150">
        <w:rPr>
          <w:rFonts w:asciiTheme="majorBidi" w:eastAsia="Times New Roman" w:hAnsiTheme="majorBidi" w:cstheme="majorBidi"/>
          <w:sz w:val="24"/>
          <w:szCs w:val="24"/>
          <w:lang w:val="en-US" w:eastAsia="en-GB" w:bidi="he-IL"/>
        </w:rPr>
        <w:t xml:space="preserve">FC </w:t>
      </w:r>
      <w:r w:rsidR="00D661B6" w:rsidRPr="000E4150">
        <w:rPr>
          <w:rFonts w:asciiTheme="majorBidi" w:eastAsia="Times New Roman" w:hAnsiTheme="majorBidi" w:cstheme="majorBidi"/>
          <w:sz w:val="24"/>
          <w:szCs w:val="24"/>
          <w:lang w:val="en-US" w:eastAsia="en-GB" w:bidi="he-IL"/>
        </w:rPr>
        <w:t xml:space="preserve">activations </w:t>
      </w:r>
      <w:r w:rsidR="00787D9B" w:rsidRPr="000E4150">
        <w:rPr>
          <w:rFonts w:asciiTheme="majorBidi" w:eastAsia="Times New Roman" w:hAnsiTheme="majorBidi" w:cstheme="majorBidi"/>
          <w:sz w:val="24"/>
          <w:szCs w:val="24"/>
          <w:lang w:val="en-US" w:eastAsia="en-GB" w:bidi="he-IL"/>
        </w:rPr>
        <w:t>in SDIs consistent with previous human and animal literature</w:t>
      </w:r>
      <w:r w:rsidR="001C1DD7" w:rsidRPr="000E4150">
        <w:rPr>
          <w:rFonts w:asciiTheme="majorBidi" w:eastAsia="Times New Roman" w:hAnsiTheme="majorBidi" w:cstheme="majorBidi"/>
          <w:sz w:val="24"/>
          <w:szCs w:val="24"/>
          <w:lang w:val="en-US" w:eastAsia="en-GB" w:bidi="he-IL"/>
        </w:rPr>
        <w:t xml:space="preserve"> </w:t>
      </w:r>
      <w:r w:rsidR="001C1DD7" w:rsidRPr="000E4150">
        <w:rPr>
          <w:rFonts w:asciiTheme="majorBidi" w:eastAsia="Times New Roman" w:hAnsiTheme="majorBidi" w:cstheme="majorBidi"/>
          <w:sz w:val="24"/>
          <w:szCs w:val="24"/>
          <w:lang w:val="en-US" w:eastAsia="en-GB" w:bidi="he-IL"/>
        </w:rPr>
        <w:fldChar w:fldCharType="begin" w:fldLock="1"/>
      </w:r>
      <w:r w:rsidR="00760109" w:rsidRPr="000E4150">
        <w:rPr>
          <w:rFonts w:asciiTheme="majorBidi" w:eastAsia="Times New Roman" w:hAnsiTheme="majorBidi" w:cstheme="majorBidi"/>
          <w:sz w:val="24"/>
          <w:szCs w:val="24"/>
          <w:lang w:val="en-US" w:eastAsia="en-GB" w:bidi="he-IL"/>
        </w:rPr>
        <w:instrText>ADDIN CSL_CITATION {"citationItems":[{"id":"ITEM-1","itemData":{"DOI":"10.1016/j.biopsych.2015.06.009","ISSN":"18732402","abstract":"Background Why do we jump the gun or speak out of turn? Waiting impulsivity has a preclinical basis as a predictor for the development of addiction. Here, we mapped the intrinsic neural correlates of waiting and dissociated it from stopping, both fundamental mechanisms of behavioral control. Methods We used a recently developed translational task to assess premature responding and assess response inhibition using the stop signal task. We mapped the neural correlates in 55 healthy volunteers using a novel multi-echo resting-state functional magnetic resonance imaging sequence and analysis, which robustly boosts signal-to-noise ratio. We further assessed 32 young binge drinkers and 36 abstinent subjects with alcohol use disorders. Results Connectivity of limbic and motor cortical and striatal nodes mapped onto a mesial-lateral axis of the subthalamic nucleus. Waiting impulsivity was associated with lower connectivity of the subthalamic nucleus with ventral striatum and subgenual cingulate, regions similarly implicated in rodent lesion studies. This network was dissociable from fast reactive stopping involving hyperdirect connections of the pre-supplementary area and subthalamic nucleus. We further showed that binge drinkers, like those with alcohol use disorders, had elevated premature responding and emphasized the relevance of this subthalamic network across alcohol misuse. Using machine learning techniques we showed that subthalamic connectivity differentiates binge drinkers and individuals with alcohol use disorders from healthy volunteers. Conclusions We highlight the translational and clinical relevance of dissociable functional systems of cortical, striatal, and hyperdirect connections with the subthalamic nucleus in modulating waiting and stopping and their importance across dimensions of alcohol misuse.","author":[{"dropping-particle":"","family":"Morris","given":"Laurel S.","non-dropping-particle":"","parse-names":false,"suffix":""},{"dropping-particle":"","family":"Kundu","given":"Prantik","non-dropping-particle":"","parse-names":false,"suffix":""},{"dropping-particle":"","family":"Baek","given":"Kwangyeol","non-dropping-particle":"","parse-names":false,"suffix":""},{"dropping-particle":"","family":"Irvine","given":"Michael A.","non-dropping-particle":"","parse-names":false,"suffix":""},{"dropping-particle":"","family":"Mechelmans","given":"Daisy J.","non-dropping-particle":"","parse-names":false,"suffix":""},{"dropping-particle":"","family":"Wood","given":"Jonathan","non-dropping-particle":"","parse-names":false,"suffix":""},{"dropping-particle":"","family":"Harrison","given":"Neil A.","non-dropping-particle":"","parse-names":false,"suffix":""},{"dropping-particle":"","family":"Robbins","given":"Trevor W.","non-dropping-particle":"","parse-names":false,"suffix":""},{"dropping-particle":"","family":"Bullmore","given":"Edward T.","non-dropping-particle":"","parse-names":false,"suffix":""},{"dropping-particle":"","family":"Voon","given":"Valerie","non-dropping-particle":"","parse-names":false,"suffix":""}],"container-title":"Biological Psychiatry","id":"ITEM-1","issue":"6","issued":{"date-parts":[["2016"]]},"page":"499-507","publisher":"Elsevier","title":"Jumping the gun: Mapping neural correlates of waiting impulsivity and relevance across alcohol misuse","type":"article-journal","volume":"79"},"uris":["http://www.mendeley.com/documents/?uuid=95438646-de38-445b-bf60-910a34ab7462"]},{"id":"ITEM-2","itemData":{"DOI":"10.1016/j.neuron.2011.01.020","ISBN":"1097-4199 (Electronic)\\n0896-6273 (Linking)","ISSN":"08966273","PMID":"21338879","abstract":"Impulsivity is the tendency to act prematurely without foresight. Behavioral and neurobiological analysis of this construct, with evidence from both animal and human studies, defines several dissociable forms depending on distinct cortico-striatal substrates. One form of impulsivity depends on the temporal discounting of reward, another on motor or response disinhibition. Impulsivity is commonly associated with addiction to drugs from different pharmacological classes, but its causal role in human addiction is unclear. We characterize in neurobehavioral and neurochemical terms a rodent model of impulsivity based on premature responding in an attentional task. Evidence is surveyed that high impulsivity on this task precedes the escalation subsequently of cocaine self-administration behavior, and also a tendency toward compulsive cocaine-seeking and to relapse. These results indicate that the vulnerability to stimulant addiction may depend on an impulsivity endophenotype. Implications of these findings for the etiology, development, and treatment of drug addiction are considered. ?? 2011 Elsevier Inc.","author":[{"dropping-particle":"","family":"Dalley","given":"Jeffrey W.","non-dropping-particle":"","parse-names":false,"suffix":""},{"dropping-particle":"","family":"Everitt","given":"Barry J.","non-dropping-particle":"","parse-names":false,"suffix":""},{"dropping-particle":"","family":"Robbins","given":"Trevor W.","non-dropping-particle":"","parse-names":false,"suffix":""}],"container-title":"Neuron","id":"ITEM-2","issue":"4","issued":{"date-parts":[["2011"]]},"page":"680-694","publisher":"Elsevier Inc.","title":"Impulsivity, Compulsivity, and Top-Down Cognitive Control","type":"article-journal","volume":"69"},"uris":["http://www.mendeley.com/documents/?uuid=e82f0339-6dfc-430d-af63-0b9a39e591b7"]}],"mendeley":{"formattedCitation":"[Dalley et al., 2011; Morris et al., 2016]","plainTextFormattedCitation":"[Dalley et al., 2011; Morris et al., 2016]","previouslyFormattedCitation":"[Dalley et al., 2011; Morris et al., 2016]"},"properties":{"noteIndex":0},"schema":"https://github.com/citation-style-language/schema/raw/master/csl-citation.json"}</w:instrText>
      </w:r>
      <w:r w:rsidR="001C1DD7" w:rsidRPr="000E4150">
        <w:rPr>
          <w:rFonts w:asciiTheme="majorBidi" w:eastAsia="Times New Roman" w:hAnsiTheme="majorBidi" w:cstheme="majorBidi"/>
          <w:sz w:val="24"/>
          <w:szCs w:val="24"/>
          <w:lang w:val="en-US" w:eastAsia="en-GB" w:bidi="he-IL"/>
        </w:rPr>
        <w:fldChar w:fldCharType="separate"/>
      </w:r>
      <w:r w:rsidR="00E06636" w:rsidRPr="000E4150">
        <w:rPr>
          <w:rFonts w:asciiTheme="majorBidi" w:eastAsia="Times New Roman" w:hAnsiTheme="majorBidi" w:cstheme="majorBidi"/>
          <w:noProof/>
          <w:sz w:val="24"/>
          <w:szCs w:val="24"/>
          <w:lang w:val="en-US" w:eastAsia="en-GB" w:bidi="he-IL"/>
        </w:rPr>
        <w:t>[Dalley et al., 2011; Morris et al., 2016]</w:t>
      </w:r>
      <w:r w:rsidR="001C1DD7" w:rsidRPr="000E4150">
        <w:rPr>
          <w:rFonts w:asciiTheme="majorBidi" w:eastAsia="Times New Roman" w:hAnsiTheme="majorBidi" w:cstheme="majorBidi"/>
          <w:sz w:val="24"/>
          <w:szCs w:val="24"/>
          <w:lang w:val="en-US" w:eastAsia="en-GB" w:bidi="he-IL"/>
        </w:rPr>
        <w:fldChar w:fldCharType="end"/>
      </w:r>
      <w:r w:rsidR="00787D9B" w:rsidRPr="000E4150">
        <w:rPr>
          <w:rFonts w:asciiTheme="majorBidi" w:eastAsia="Times New Roman" w:hAnsiTheme="majorBidi" w:cstheme="majorBidi"/>
          <w:sz w:val="24"/>
          <w:szCs w:val="24"/>
          <w:lang w:val="en-US" w:eastAsia="en-GB" w:bidi="he-IL"/>
        </w:rPr>
        <w:t xml:space="preserve">, again reinforcing the importance of incentive salience in this group. We note that the ventral striatum did not appear to be </w:t>
      </w:r>
      <w:r w:rsidR="00D661B6" w:rsidRPr="000E4150">
        <w:rPr>
          <w:rFonts w:asciiTheme="majorBidi" w:eastAsia="Times New Roman" w:hAnsiTheme="majorBidi" w:cstheme="majorBidi"/>
          <w:sz w:val="24"/>
          <w:szCs w:val="24"/>
          <w:lang w:val="en-US" w:eastAsia="en-GB" w:bidi="he-IL"/>
        </w:rPr>
        <w:t xml:space="preserve">uniquely </w:t>
      </w:r>
      <w:r w:rsidR="00787D9B" w:rsidRPr="000E4150">
        <w:rPr>
          <w:rFonts w:asciiTheme="majorBidi" w:eastAsia="Times New Roman" w:hAnsiTheme="majorBidi" w:cstheme="majorBidi"/>
          <w:sz w:val="24"/>
          <w:szCs w:val="24"/>
          <w:lang w:val="en-US" w:eastAsia="en-GB" w:bidi="he-IL"/>
        </w:rPr>
        <w:t xml:space="preserve">activated by failures of restraint, though it was robustly </w:t>
      </w:r>
      <w:r w:rsidR="00D661B6" w:rsidRPr="000E4150">
        <w:rPr>
          <w:rFonts w:asciiTheme="majorBidi" w:eastAsia="Times New Roman" w:hAnsiTheme="majorBidi" w:cstheme="majorBidi"/>
          <w:sz w:val="24"/>
          <w:szCs w:val="24"/>
          <w:lang w:val="en-US" w:eastAsia="en-GB" w:bidi="he-IL"/>
        </w:rPr>
        <w:t>associated in all groups with</w:t>
      </w:r>
      <w:r w:rsidR="00787D9B" w:rsidRPr="000E4150">
        <w:rPr>
          <w:rFonts w:asciiTheme="majorBidi" w:eastAsia="Times New Roman" w:hAnsiTheme="majorBidi" w:cstheme="majorBidi"/>
          <w:sz w:val="24"/>
          <w:szCs w:val="24"/>
          <w:lang w:val="en-US" w:eastAsia="en-GB" w:bidi="he-IL"/>
        </w:rPr>
        <w:t xml:space="preserve"> general reward anticipation </w:t>
      </w:r>
      <w:r w:rsidR="007D4764" w:rsidRPr="000E4150">
        <w:rPr>
          <w:rFonts w:asciiTheme="majorBidi" w:eastAsia="Times New Roman" w:hAnsiTheme="majorBidi" w:cstheme="majorBidi"/>
          <w:sz w:val="24"/>
          <w:szCs w:val="24"/>
          <w:lang w:val="en-US" w:eastAsia="en-GB" w:bidi="he-IL"/>
        </w:rPr>
        <w:fldChar w:fldCharType="begin" w:fldLock="1"/>
      </w:r>
      <w:r w:rsidR="00760109" w:rsidRPr="000E4150">
        <w:rPr>
          <w:rFonts w:asciiTheme="majorBidi" w:eastAsia="Times New Roman" w:hAnsiTheme="majorBidi" w:cstheme="majorBidi"/>
          <w:sz w:val="24"/>
          <w:szCs w:val="24"/>
          <w:lang w:val="en-US" w:eastAsia="en-GB" w:bidi="he-IL"/>
        </w:rPr>
        <w:instrText>ADDIN CSL_CITATION {"citationItems":[{"id":"ITEM-1","itemData":{"DOI":"10.1038/s41398-019-0399-4","ISSN":"2158-3188","author":[{"dropping-particle":"","family":"Just","given":"Alanna L.","non-dropping-particle":"","parse-names":false,"suffix":""},{"dropping-particle":"","family":"Meng","given":"Chun","non-dropping-particle":"","parse-names":false,"suffix":""},{"dropping-particle":"","family":"Smith","given":"Dana G.","non-dropping-particle":"","parse-names":false,"suffix":""},{"dropping-particle":"","family":"Bullmore","given":"Edward T.","non-dropping-particle":"","parse-names":false,"suffix":""},{"dropping-particle":"","family":"Robbins","given":"Trevor W.","non-dropping-particle":"","parse-names":false,"suffix":""},{"dropping-particle":"","family":"Ersche","given":"Karen D.","non-dropping-particle":"","parse-names":false,"suffix":""}],"container-title":"Translational Psychiatry","id":"ITEM-1","issue":"1","issued":{"date-parts":[["2019"]]},"publisher":"Springer US","title":"Effects of familial risk and stimulant drug use on the anticipation of monetary reward: an fMRI study","type":"article-journal","volume":"9"},"uris":["http://www.mendeley.com/documents/?uuid=d7be97f3-ac2c-4d69-aef5-01ab92258119"]}],"mendeley":{"formattedCitation":"[Just et al., 2019]","plainTextFormattedCitation":"[Just et al., 2019]","previouslyFormattedCitation":"[Just et al., 2019]"},"properties":{"noteIndex":0},"schema":"https://github.com/citation-style-language/schema/raw/master/csl-citation.json"}</w:instrText>
      </w:r>
      <w:r w:rsidR="007D4764" w:rsidRPr="000E4150">
        <w:rPr>
          <w:rFonts w:asciiTheme="majorBidi" w:eastAsia="Times New Roman" w:hAnsiTheme="majorBidi" w:cstheme="majorBidi"/>
          <w:sz w:val="24"/>
          <w:szCs w:val="24"/>
          <w:lang w:val="en-US" w:eastAsia="en-GB" w:bidi="he-IL"/>
        </w:rPr>
        <w:fldChar w:fldCharType="separate"/>
      </w:r>
      <w:r w:rsidR="00E06636" w:rsidRPr="000E4150">
        <w:rPr>
          <w:rFonts w:asciiTheme="majorBidi" w:eastAsia="Times New Roman" w:hAnsiTheme="majorBidi" w:cstheme="majorBidi"/>
          <w:noProof/>
          <w:sz w:val="24"/>
          <w:szCs w:val="24"/>
          <w:lang w:val="en-US" w:eastAsia="en-GB" w:bidi="he-IL"/>
        </w:rPr>
        <w:t>[Just et al., 2019]</w:t>
      </w:r>
      <w:r w:rsidR="007D4764" w:rsidRPr="000E4150">
        <w:rPr>
          <w:rFonts w:asciiTheme="majorBidi" w:eastAsia="Times New Roman" w:hAnsiTheme="majorBidi" w:cstheme="majorBidi"/>
          <w:sz w:val="24"/>
          <w:szCs w:val="24"/>
          <w:lang w:val="en-US" w:eastAsia="en-GB" w:bidi="he-IL"/>
        </w:rPr>
        <w:fldChar w:fldCharType="end"/>
      </w:r>
      <w:r w:rsidR="00787D9B" w:rsidRPr="000E4150">
        <w:rPr>
          <w:rFonts w:asciiTheme="majorBidi" w:eastAsia="Times New Roman" w:hAnsiTheme="majorBidi" w:cstheme="majorBidi"/>
          <w:sz w:val="24"/>
          <w:szCs w:val="24"/>
          <w:lang w:val="en-US" w:eastAsia="en-GB" w:bidi="he-IL"/>
        </w:rPr>
        <w:t xml:space="preserve">. </w:t>
      </w:r>
      <w:r w:rsidR="00050617" w:rsidRPr="000E4150">
        <w:rPr>
          <w:rFonts w:asciiTheme="majorBidi" w:eastAsia="Times New Roman" w:hAnsiTheme="majorBidi" w:cstheme="majorBidi"/>
          <w:sz w:val="24"/>
          <w:szCs w:val="24"/>
          <w:lang w:val="en-US" w:eastAsia="en-GB" w:bidi="he-IL"/>
        </w:rPr>
        <w:t xml:space="preserve">Given its role in addiction, reward seeking, impulsivity and action initiation, striatal dopaminergic dysregulation </w:t>
      </w:r>
      <w:r w:rsidR="00AF1BD5" w:rsidRPr="000E4150">
        <w:rPr>
          <w:rFonts w:asciiTheme="majorBidi" w:eastAsia="Times New Roman" w:hAnsiTheme="majorBidi" w:cstheme="majorBidi"/>
          <w:sz w:val="24"/>
          <w:szCs w:val="24"/>
          <w:lang w:val="en-US" w:eastAsia="en-GB" w:bidi="he-IL"/>
        </w:rPr>
        <w:t>may be</w:t>
      </w:r>
      <w:r w:rsidR="00050617" w:rsidRPr="000E4150">
        <w:rPr>
          <w:rFonts w:asciiTheme="majorBidi" w:eastAsia="Times New Roman" w:hAnsiTheme="majorBidi" w:cstheme="majorBidi"/>
          <w:sz w:val="24"/>
          <w:szCs w:val="24"/>
          <w:lang w:val="en-US" w:eastAsia="en-GB" w:bidi="he-IL"/>
        </w:rPr>
        <w:t xml:space="preserve"> a putative mechanism underlying </w:t>
      </w:r>
      <w:r w:rsidR="00AF1BD5" w:rsidRPr="000E4150">
        <w:rPr>
          <w:rFonts w:asciiTheme="majorBidi" w:eastAsia="Times New Roman" w:hAnsiTheme="majorBidi" w:cstheme="majorBidi"/>
          <w:sz w:val="24"/>
          <w:szCs w:val="24"/>
          <w:lang w:val="en-US" w:eastAsia="en-GB" w:bidi="he-IL"/>
        </w:rPr>
        <w:t xml:space="preserve">the </w:t>
      </w:r>
      <w:r w:rsidR="00050617" w:rsidRPr="000E4150">
        <w:rPr>
          <w:rFonts w:asciiTheme="majorBidi" w:eastAsia="Times New Roman" w:hAnsiTheme="majorBidi" w:cstheme="majorBidi"/>
          <w:sz w:val="24"/>
          <w:szCs w:val="24"/>
          <w:lang w:val="en-US" w:eastAsia="en-GB" w:bidi="he-IL"/>
        </w:rPr>
        <w:t>present findings</w:t>
      </w:r>
      <w:r w:rsidR="00AF1BD5" w:rsidRPr="000E4150">
        <w:rPr>
          <w:rFonts w:asciiTheme="majorBidi" w:eastAsia="Times New Roman" w:hAnsiTheme="majorBidi" w:cstheme="majorBidi"/>
          <w:sz w:val="24"/>
          <w:szCs w:val="24"/>
          <w:lang w:val="en-US" w:eastAsia="en-GB" w:bidi="he-IL"/>
        </w:rPr>
        <w:t xml:space="preserve"> in SDIs</w:t>
      </w:r>
      <w:r w:rsidR="00050617" w:rsidRPr="000E4150">
        <w:rPr>
          <w:rFonts w:asciiTheme="majorBidi" w:eastAsia="Times New Roman" w:hAnsiTheme="majorBidi" w:cstheme="majorBidi"/>
          <w:sz w:val="24"/>
          <w:szCs w:val="24"/>
          <w:lang w:val="en-US" w:eastAsia="en-GB" w:bidi="he-IL"/>
        </w:rPr>
        <w:t>. Lower dopamine D</w:t>
      </w:r>
      <w:r w:rsidR="00050617" w:rsidRPr="000E4150">
        <w:rPr>
          <w:rFonts w:asciiTheme="majorBidi" w:eastAsia="Times New Roman" w:hAnsiTheme="majorBidi" w:cstheme="majorBidi"/>
          <w:sz w:val="24"/>
          <w:szCs w:val="24"/>
          <w:vertAlign w:val="subscript"/>
          <w:lang w:val="en-US" w:eastAsia="en-GB" w:bidi="he-IL"/>
        </w:rPr>
        <w:t>2</w:t>
      </w:r>
      <w:r w:rsidR="00050617" w:rsidRPr="000E4150">
        <w:rPr>
          <w:rFonts w:asciiTheme="majorBidi" w:eastAsia="Times New Roman" w:hAnsiTheme="majorBidi" w:cstheme="majorBidi"/>
          <w:sz w:val="24"/>
          <w:szCs w:val="24"/>
          <w:lang w:val="en-US" w:eastAsia="en-GB" w:bidi="he-IL"/>
        </w:rPr>
        <w:t xml:space="preserve"> receptor binding in the human striatum is associated with impulsivity</w:t>
      </w:r>
      <w:r w:rsidR="00D071FF" w:rsidRPr="000E4150">
        <w:rPr>
          <w:rFonts w:asciiTheme="majorBidi" w:eastAsia="Times New Roman" w:hAnsiTheme="majorBidi" w:cstheme="majorBidi"/>
          <w:sz w:val="24"/>
          <w:szCs w:val="24"/>
          <w:lang w:val="en-US" w:eastAsia="en-GB" w:bidi="he-IL"/>
        </w:rPr>
        <w:t xml:space="preserve"> </w:t>
      </w:r>
      <w:r w:rsidR="00D071FF" w:rsidRPr="000E4150">
        <w:rPr>
          <w:rFonts w:asciiTheme="majorBidi" w:eastAsia="Times New Roman" w:hAnsiTheme="majorBidi" w:cstheme="majorBidi"/>
          <w:sz w:val="24"/>
          <w:szCs w:val="24"/>
          <w:lang w:val="en-US" w:eastAsia="en-GB" w:bidi="he-IL"/>
        </w:rPr>
        <w:fldChar w:fldCharType="begin" w:fldLock="1"/>
      </w:r>
      <w:r w:rsidR="00760109" w:rsidRPr="000E4150">
        <w:rPr>
          <w:rFonts w:asciiTheme="majorBidi" w:eastAsia="Times New Roman" w:hAnsiTheme="majorBidi" w:cstheme="majorBidi"/>
          <w:sz w:val="24"/>
          <w:szCs w:val="24"/>
          <w:lang w:val="en-US" w:eastAsia="en-GB" w:bidi="he-IL"/>
        </w:rPr>
        <w:instrText>ADDIN CSL_CITATION {"citationItems":[{"id":"ITEM-1","itemData":{"DOI":"10.1126/science.1185778","ISSN":"00368075","abstract":"Dopamine (DA) has long been implicated in impulsivity, but the precise mechanisms linking human variability in DA signaling to differences in impulsive traits remain largely unknown. By using a dual-scan positron emission tomography approach in healthy human volunteers with amphetamine and the D2/D3 ligand [18F]fallypride, we found that higher levels of trait impulsivity were predicted by diminished midbrain D2/D3 autoreceptor binding and greater amphetamine-induced DA release in the striatum, which was in turn associated with stimulant craving. Path analysis confirmed that the impact of decreased midbrain D2/D3 autoreceptor availability on trait impulsivity is mediated in part through its effect on stimulated striatal DA release.","author":[{"dropping-particle":"","family":"Buckholtz","given":"Joshua W.","non-dropping-particle":"","parse-names":false,"suffix":""},{"dropping-particle":"","family":"Treadway","given":"Michael T.","non-dropping-particle":"","parse-names":false,"suffix":""},{"dropping-particle":"","family":"Cowan","given":"Ronald L.","non-dropping-particle":"","parse-names":false,"suffix":""},{"dropping-particle":"","family":"Woodward","given":"Neil D.","non-dropping-particle":"","parse-names":false,"suffix":""},{"dropping-particle":"","family":"Li","given":"Rui","non-dropping-particle":"","parse-names":false,"suffix":""},{"dropping-particle":"","family":"Ansari","given":"M. Sib","non-dropping-particle":"","parse-names":false,"suffix":""},{"dropping-particle":"","family":"Baldwin","given":"Ronald M.","non-dropping-particle":"","parse-names":false,"suffix":""},{"dropping-particle":"","family":"Schwartzman","given":"Ashley N.","non-dropping-particle":"","parse-names":false,"suffix":""},{"dropping-particle":"","family":"Shelby","given":"Evan S.","non-dropping-particle":"","parse-names":false,"suffix":""},{"dropping-particle":"","family":"Smith","given":"Clarence E.","non-dropping-particle":"","parse-names":false,"suffix":""},{"dropping-particle":"","family":"Kessler","given":"Robert M.","non-dropping-particle":"","parse-names":false,"suffix":""},{"dropping-particle":"","family":"Zald","given":"David H.","non-dropping-particle":"","parse-names":false,"suffix":""}],"container-title":"Science","id":"ITEM-1","issue":"5991","issued":{"date-parts":[["2010"]]},"page":"532","title":"Dopaminergic Network Differences in Human Impulsivity","type":"article-journal","volume":"329"},"uris":["http://www.mendeley.com/documents/?uuid=5344edb3-97e5-4d7e-8ebd-9b4ad2ea75c7"]}],"mendeley":{"formattedCitation":"[Buckholtz et al., 2010]","plainTextFormattedCitation":"[Buckholtz et al., 2010]","previouslyFormattedCitation":"[Buckholtz et al., 2010]"},"properties":{"noteIndex":0},"schema":"https://github.com/citation-style-language/schema/raw/master/csl-citation.json"}</w:instrText>
      </w:r>
      <w:r w:rsidR="00D071FF" w:rsidRPr="000E4150">
        <w:rPr>
          <w:rFonts w:asciiTheme="majorBidi" w:eastAsia="Times New Roman" w:hAnsiTheme="majorBidi" w:cstheme="majorBidi"/>
          <w:sz w:val="24"/>
          <w:szCs w:val="24"/>
          <w:lang w:val="en-US" w:eastAsia="en-GB" w:bidi="he-IL"/>
        </w:rPr>
        <w:fldChar w:fldCharType="separate"/>
      </w:r>
      <w:r w:rsidR="00E06636" w:rsidRPr="000E4150">
        <w:rPr>
          <w:rFonts w:asciiTheme="majorBidi" w:eastAsia="Times New Roman" w:hAnsiTheme="majorBidi" w:cstheme="majorBidi"/>
          <w:noProof/>
          <w:sz w:val="24"/>
          <w:szCs w:val="24"/>
          <w:lang w:val="en-US" w:eastAsia="en-GB" w:bidi="he-IL"/>
        </w:rPr>
        <w:t>[Buckholtz et al., 2010]</w:t>
      </w:r>
      <w:r w:rsidR="00D071FF" w:rsidRPr="000E4150">
        <w:rPr>
          <w:rFonts w:asciiTheme="majorBidi" w:eastAsia="Times New Roman" w:hAnsiTheme="majorBidi" w:cstheme="majorBidi"/>
          <w:sz w:val="24"/>
          <w:szCs w:val="24"/>
          <w:lang w:val="en-US" w:eastAsia="en-GB" w:bidi="he-IL"/>
        </w:rPr>
        <w:fldChar w:fldCharType="end"/>
      </w:r>
      <w:r w:rsidR="00050617" w:rsidRPr="000E4150">
        <w:rPr>
          <w:rFonts w:asciiTheme="majorBidi" w:eastAsia="Times New Roman" w:hAnsiTheme="majorBidi" w:cstheme="majorBidi"/>
          <w:sz w:val="24"/>
          <w:szCs w:val="24"/>
          <w:lang w:val="en-US" w:eastAsia="en-GB" w:bidi="he-IL"/>
        </w:rPr>
        <w:t xml:space="preserve"> and addiction</w:t>
      </w:r>
      <w:r w:rsidR="00BD3A46" w:rsidRPr="000E4150">
        <w:rPr>
          <w:rFonts w:asciiTheme="majorBidi" w:eastAsia="Times New Roman" w:hAnsiTheme="majorBidi" w:cstheme="majorBidi"/>
          <w:sz w:val="24"/>
          <w:szCs w:val="24"/>
          <w:lang w:val="en-US" w:eastAsia="en-GB" w:bidi="he-IL"/>
        </w:rPr>
        <w:t xml:space="preserve"> </w:t>
      </w:r>
      <w:r w:rsidR="00BD3A46" w:rsidRPr="000E4150">
        <w:rPr>
          <w:rFonts w:asciiTheme="majorBidi" w:eastAsia="Times New Roman" w:hAnsiTheme="majorBidi" w:cstheme="majorBidi"/>
          <w:sz w:val="24"/>
          <w:szCs w:val="24"/>
          <w:lang w:val="en-US" w:eastAsia="en-GB" w:bidi="he-IL"/>
        </w:rPr>
        <w:fldChar w:fldCharType="begin" w:fldLock="1"/>
      </w:r>
      <w:r w:rsidR="00760109" w:rsidRPr="000E4150">
        <w:rPr>
          <w:rFonts w:asciiTheme="majorBidi" w:eastAsia="Times New Roman" w:hAnsiTheme="majorBidi" w:cstheme="majorBidi"/>
          <w:sz w:val="24"/>
          <w:szCs w:val="24"/>
          <w:lang w:val="en-US" w:eastAsia="en-GB" w:bidi="he-IL"/>
        </w:rPr>
        <w:instrText>ADDIN CSL_CITATION {"citationItems":[{"id":"ITEM-1","itemData":{"DOI":"10.1016/j.neuropharm.2013.06.031","ISSN":"00283908","abstract":"Dependence to drugs of abuse is closely associated with impulsivity, or the propensity to choose a lower, but immediate, reward over a delayed, but more valuable outcome. Here, we review clinical and preclinical studies showing that striatal dopamine signaling and D 2 receptor levels - which have been shown to be decreased in addiction - directly impact impulsivity, which is itself predictive of drug self-administration. Based on these studies, we propose that the alterations in D 2 receptor binding and dopamine release seen in imaging studies of addiction constitute neurobiological markers of impulsivity. Recent studies in animals also show that higher striatal dopamine signaling at the D 2 receptor is associated with a greater willingness to expend effort to reach goals, and we propose that this same relationship applies to humans, particularly with respect to recovery from addiction. This article is part of a Special Issue entitled 'NIDA 40th Anniversary Issue. © 2013 Elsevier Ltd. All rights reserved.","author":[{"dropping-particle":"","family":"Trifilieff","given":"Pierre","non-dropping-particle":"","parse-names":false,"suffix":""},{"dropping-particle":"","family":"Martinez","given":"Diana","non-dropping-particle":"","parse-names":false,"suffix":""}],"container-title":"Neuropharmacology","id":"ITEM-1","issue":"PART B","issued":{"date-parts":[["2014"]]},"page":"498-509","title":"Imaging addiction: D 2 receptors and dopamine signaling in the striatum as biomarkers for impulsivity","type":"article-journal","volume":"76"},"uris":["http://www.mendeley.com/documents/?uuid=3d08dc77-ad0a-4a36-8053-27b4f39f0a29"]}],"mendeley":{"formattedCitation":"[Trifilieff and Martinez, 2014]","plainTextFormattedCitation":"[Trifilieff and Martinez, 2014]","previouslyFormattedCitation":"[Trifilieff and Martinez, 2014]"},"properties":{"noteIndex":0},"schema":"https://github.com/citation-style-language/schema/raw/master/csl-citation.json"}</w:instrText>
      </w:r>
      <w:r w:rsidR="00BD3A46" w:rsidRPr="000E4150">
        <w:rPr>
          <w:rFonts w:asciiTheme="majorBidi" w:eastAsia="Times New Roman" w:hAnsiTheme="majorBidi" w:cstheme="majorBidi"/>
          <w:sz w:val="24"/>
          <w:szCs w:val="24"/>
          <w:lang w:val="en-US" w:eastAsia="en-GB" w:bidi="he-IL"/>
        </w:rPr>
        <w:fldChar w:fldCharType="separate"/>
      </w:r>
      <w:r w:rsidR="00E06636" w:rsidRPr="000E4150">
        <w:rPr>
          <w:rFonts w:asciiTheme="majorBidi" w:eastAsia="Times New Roman" w:hAnsiTheme="majorBidi" w:cstheme="majorBidi"/>
          <w:noProof/>
          <w:sz w:val="24"/>
          <w:szCs w:val="24"/>
          <w:lang w:val="en-US" w:eastAsia="en-GB" w:bidi="he-IL"/>
        </w:rPr>
        <w:t>[Trifilieff and Martinez, 2014]</w:t>
      </w:r>
      <w:r w:rsidR="00BD3A46" w:rsidRPr="000E4150">
        <w:rPr>
          <w:rFonts w:asciiTheme="majorBidi" w:eastAsia="Times New Roman" w:hAnsiTheme="majorBidi" w:cstheme="majorBidi"/>
          <w:sz w:val="24"/>
          <w:szCs w:val="24"/>
          <w:lang w:val="en-US" w:eastAsia="en-GB" w:bidi="he-IL"/>
        </w:rPr>
        <w:fldChar w:fldCharType="end"/>
      </w:r>
      <w:r w:rsidR="00050617" w:rsidRPr="000E4150">
        <w:rPr>
          <w:rFonts w:asciiTheme="majorBidi" w:eastAsia="Times New Roman" w:hAnsiTheme="majorBidi" w:cstheme="majorBidi"/>
          <w:sz w:val="24"/>
          <w:szCs w:val="24"/>
          <w:lang w:val="en-US" w:eastAsia="en-GB" w:bidi="he-IL"/>
        </w:rPr>
        <w:t xml:space="preserve">. In chronic cocaine users elevated dopamine neurotransmission in the dorsal striatum specifically was noted in the presence of cocaine-related cues </w:t>
      </w:r>
      <w:r w:rsidR="00164391" w:rsidRPr="000E4150">
        <w:rPr>
          <w:rFonts w:asciiTheme="majorBidi" w:eastAsia="Times New Roman" w:hAnsiTheme="majorBidi" w:cstheme="majorBidi"/>
          <w:sz w:val="24"/>
          <w:szCs w:val="24"/>
          <w:lang w:val="en-US" w:eastAsia="en-GB" w:bidi="he-IL"/>
        </w:rPr>
        <w:fldChar w:fldCharType="begin" w:fldLock="1"/>
      </w:r>
      <w:r w:rsidR="00760109" w:rsidRPr="000E4150">
        <w:rPr>
          <w:rFonts w:asciiTheme="majorBidi" w:eastAsia="Times New Roman" w:hAnsiTheme="majorBidi" w:cstheme="majorBidi"/>
          <w:sz w:val="24"/>
          <w:szCs w:val="24"/>
          <w:lang w:val="en-US" w:eastAsia="en-GB" w:bidi="he-IL"/>
        </w:rPr>
        <w:instrText>ADDIN CSL_CITATION {"citationItems":[{"id":"ITEM-1","itemData":{"DOI":"10.1523/jneurosci.1544-06.2006","ISSN":"0270-6474","abstract":"The ability of drugs of abuse to increase dopamine in nucleus accumbens underlies their reinforcing effects. However, preclinical studies have shown that with repeated drug exposure neutral stimuli paired with the drug (conditioned stimuli) start to increase dopamine by themselves, which is an effect that could underlie drug-seeking behavior. Here we test whether dopamine increases occur to conditioned stimuli in human subjects addicted to cocaine and whether this is associated with drug craving. We tested eighteen cocaine-addicted subjects using positron emission tomography and [11C]raclopride (dopamine D2 receptor radioligand sensitive to competition with endogenous dopamine). We measured changes in dopamine by comparing the specific binding of [11C]raclopride when subjects watched a neutral video (nature scenes) versus when they watched a cocaine-cue video (scenes of subjects smoking cocaine). The specific binding of [11C]raclopride in dorsal (caudate and putamen) but not in ventral striatum (in which nucleus accumbens is located) was significantly reduced in the cocaine-cue condition and the magnitude of this reduction correlated with self-reports of craving. Moreover, subjects with the highest scores on measures of withdrawal symptoms and of addiction severity that have been shown to predict treatment outcomes, had the largest dopamine changes in dorsal striatum. This provides evidence that dopamine in the dorsal striatum (region implicated in habit learning and in action initiation) is involved with craving and is a fundamental component of addiction. Because craving is a key contributor to relapse, strategies aimed at inhibiting dopamine increases from conditioned responses are likely to be therapeutically beneficial in cocaine addiction.","author":[{"dropping-particle":"","family":"Volkow","given":"N. D.","non-dropping-particle":"","parse-names":false,"suffix":""},{"dropping-particle":"","family":"Wang","given":"G.-J.","non-dropping-particle":"","parse-names":false,"suffix":""},{"dropping-particle":"","family":"Telang","given":"F.","non-dropping-particle":"","parse-names":false,"suffix":""},{"dropping-particle":"","family":"Fowler","given":"J. S.","non-dropping-particle":"","parse-names":false,"suffix":""},{"dropping-particle":"","family":"Logan","given":"J.","non-dropping-particle":"","parse-names":false,"suffix":""},{"dropping-particle":"","family":"Childress","given":"A.-R.","non-dropping-particle":"","parse-names":false,"suffix":""},{"dropping-particle":"","family":"Jayne","given":"M.","non-dropping-particle":"","parse-names":false,"suffix":""},{"dropping-particle":"","family":"Ma","given":"Y.","non-dropping-particle":"","parse-names":false,"suffix":""},{"dropping-particle":"","family":"Wong","given":"C.","non-dropping-particle":"","parse-names":false,"suffix":""}],"container-title":"Journal of Neuroscience","id":"ITEM-1","issue":"24","issued":{"date-parts":[["2006"]]},"page":"6583-6588","title":"Cocaine Cues and Dopamine in Dorsal Striatum: Mechanism of Craving in Cocaine Addiction","type":"article-journal","volume":"26"},"uris":["http://www.mendeley.com/documents/?uuid=60d57252-713a-44ba-a1d3-45d8afec1c8d"]}],"mendeley":{"formattedCitation":"[Volkow et al., 2006]","plainTextFormattedCitation":"[Volkow et al., 2006]","previouslyFormattedCitation":"[Volkow et al., 2006]"},"properties":{"noteIndex":0},"schema":"https://github.com/citation-style-language/schema/raw/master/csl-citation.json"}</w:instrText>
      </w:r>
      <w:r w:rsidR="00164391" w:rsidRPr="000E4150">
        <w:rPr>
          <w:rFonts w:asciiTheme="majorBidi" w:eastAsia="Times New Roman" w:hAnsiTheme="majorBidi" w:cstheme="majorBidi"/>
          <w:sz w:val="24"/>
          <w:szCs w:val="24"/>
          <w:lang w:val="en-US" w:eastAsia="en-GB" w:bidi="he-IL"/>
        </w:rPr>
        <w:fldChar w:fldCharType="separate"/>
      </w:r>
      <w:r w:rsidR="00E06636" w:rsidRPr="000E4150">
        <w:rPr>
          <w:rFonts w:asciiTheme="majorBidi" w:eastAsia="Times New Roman" w:hAnsiTheme="majorBidi" w:cstheme="majorBidi"/>
          <w:noProof/>
          <w:sz w:val="24"/>
          <w:szCs w:val="24"/>
          <w:lang w:val="en-US" w:eastAsia="en-GB" w:bidi="he-IL"/>
        </w:rPr>
        <w:t>[Volkow et al., 2006]</w:t>
      </w:r>
      <w:r w:rsidR="00164391" w:rsidRPr="000E4150">
        <w:rPr>
          <w:rFonts w:asciiTheme="majorBidi" w:eastAsia="Times New Roman" w:hAnsiTheme="majorBidi" w:cstheme="majorBidi"/>
          <w:sz w:val="24"/>
          <w:szCs w:val="24"/>
          <w:lang w:val="en-US" w:eastAsia="en-GB" w:bidi="he-IL"/>
        </w:rPr>
        <w:fldChar w:fldCharType="end"/>
      </w:r>
      <w:r w:rsidR="00201F7F" w:rsidRPr="000E4150">
        <w:rPr>
          <w:rFonts w:asciiTheme="majorBidi" w:eastAsia="Times New Roman" w:hAnsiTheme="majorBidi" w:cstheme="majorBidi"/>
          <w:sz w:val="24"/>
          <w:szCs w:val="24"/>
          <w:lang w:val="en-US" w:eastAsia="en-GB" w:bidi="he-IL"/>
        </w:rPr>
        <w:t>,</w:t>
      </w:r>
      <w:r w:rsidR="00050617" w:rsidRPr="000E4150">
        <w:rPr>
          <w:rFonts w:asciiTheme="majorBidi" w:eastAsia="Times New Roman" w:hAnsiTheme="majorBidi" w:cstheme="majorBidi"/>
          <w:sz w:val="24"/>
          <w:szCs w:val="24"/>
          <w:lang w:val="en-US" w:eastAsia="en-GB" w:bidi="he-IL"/>
        </w:rPr>
        <w:t xml:space="preserve"> dovetailing with its present involvement in incentive salience. Changes to dorsal striatum physiology involving D</w:t>
      </w:r>
      <w:r w:rsidR="00050617" w:rsidRPr="000E4150">
        <w:rPr>
          <w:rFonts w:asciiTheme="majorBidi" w:eastAsia="Times New Roman" w:hAnsiTheme="majorBidi" w:cstheme="majorBidi"/>
          <w:sz w:val="24"/>
          <w:szCs w:val="24"/>
          <w:vertAlign w:val="subscript"/>
          <w:lang w:val="en-US" w:eastAsia="en-GB" w:bidi="he-IL"/>
        </w:rPr>
        <w:t>2</w:t>
      </w:r>
      <w:r w:rsidR="00050617" w:rsidRPr="000E4150">
        <w:rPr>
          <w:rFonts w:asciiTheme="majorBidi" w:eastAsia="Times New Roman" w:hAnsiTheme="majorBidi" w:cstheme="majorBidi"/>
          <w:sz w:val="24"/>
          <w:szCs w:val="24"/>
          <w:lang w:val="en-US" w:eastAsia="en-GB" w:bidi="he-IL"/>
        </w:rPr>
        <w:t xml:space="preserve"> receptors have also been implicated in chronic exposure to cocaine in experimental animals</w:t>
      </w:r>
      <w:r w:rsidR="00164391" w:rsidRPr="000E4150">
        <w:rPr>
          <w:rFonts w:asciiTheme="majorBidi" w:eastAsia="Times New Roman" w:hAnsiTheme="majorBidi" w:cstheme="majorBidi"/>
          <w:sz w:val="24"/>
          <w:szCs w:val="24"/>
          <w:lang w:val="en-US" w:eastAsia="en-GB" w:bidi="he-IL"/>
        </w:rPr>
        <w:t xml:space="preserve"> </w:t>
      </w:r>
      <w:r w:rsidR="00164391" w:rsidRPr="000E4150">
        <w:rPr>
          <w:rFonts w:asciiTheme="majorBidi" w:eastAsia="Times New Roman" w:hAnsiTheme="majorBidi" w:cstheme="majorBidi"/>
          <w:sz w:val="24"/>
          <w:szCs w:val="24"/>
          <w:lang w:val="en-US" w:eastAsia="en-GB" w:bidi="he-IL"/>
        </w:rPr>
        <w:fldChar w:fldCharType="begin" w:fldLock="1"/>
      </w:r>
      <w:r w:rsidR="00760109" w:rsidRPr="000E4150">
        <w:rPr>
          <w:rFonts w:asciiTheme="majorBidi" w:eastAsia="Times New Roman" w:hAnsiTheme="majorBidi" w:cstheme="majorBidi"/>
          <w:sz w:val="24"/>
          <w:szCs w:val="24"/>
          <w:lang w:val="en-US" w:eastAsia="en-GB" w:bidi="he-IL"/>
        </w:rPr>
        <w:instrText>ADDIN CSL_CITATION {"citationItems":[{"id":"ITEM-1","itemData":{"DOI":"10.1016/j.neubiorev.2003.11.013","ISSN":"01497634","abstract":"Although neuroimaging investigations in human cocaine abusers have provided important insights into the brain changes that accompany drug use, the interpretation of reports in human abusers can be very difficult. Studies in nonhuman primates provide a way to systematically evaluate the structural and functional adaptations engendered by cocaine self-administration without the confounds of human research. Functional activity, measured with metabolic mapping methods, and markers of the dopamine system, assessed autoradiographically, were evaluated over the course of chronic cocaine self-administration (5 days, 3.3 months, and 15-22 months). Within the striatum the topography of these responses shifts dramatically over time. Changes in functional activity and alterations in the dopamine system occupy larger and larger portions of dorsal and ventral striatum with increasing durations of cocaine exposure. The growing impact of cocaine suggests that the elements of the behavioral repertoire outside of the influence of cocaine become smaller and smaller with increasing durations of exposure to drug use resulting in cocaine's dominance over all aspects of the addict's life. © 2003 Elsevier Ltd. All rights reserved.","author":[{"dropping-particle":"","family":"Porrino","given":"Linda J.","non-dropping-particle":"","parse-names":false,"suffix":""},{"dropping-particle":"","family":"Daunais","given":"James B.","non-dropping-particle":"","parse-names":false,"suffix":""},{"dropping-particle":"","family":"Smith","given":"Hilary R.","non-dropping-particle":"","parse-names":false,"suffix":""},{"dropping-particle":"","family":"Nader","given":"Michael A.","non-dropping-particle":"","parse-names":false,"suffix":""}],"container-title":"Neuroscience and Biobehavioral Reviews","id":"ITEM-1","issue":"8","issued":{"date-parts":[["2004"]]},"page":"813-820","title":"The expanding effects of cocaine: Studies in a nonhuman primate model of cocaine self-administration","type":"article-journal","volume":"27"},"uris":["http://www.mendeley.com/documents/?uuid=84123944-fe59-4fba-8486-6df7b2895d27"]}],"mendeley":{"formattedCitation":"[Porrino et al., 2004]","plainTextFormattedCitation":"[Porrino et al., 2004]","previouslyFormattedCitation":"[Porrino et al., 2004]"},"properties":{"noteIndex":0},"schema":"https://github.com/citation-style-language/schema/raw/master/csl-citation.json"}</w:instrText>
      </w:r>
      <w:r w:rsidR="00164391" w:rsidRPr="000E4150">
        <w:rPr>
          <w:rFonts w:asciiTheme="majorBidi" w:eastAsia="Times New Roman" w:hAnsiTheme="majorBidi" w:cstheme="majorBidi"/>
          <w:sz w:val="24"/>
          <w:szCs w:val="24"/>
          <w:lang w:val="en-US" w:eastAsia="en-GB" w:bidi="he-IL"/>
        </w:rPr>
        <w:fldChar w:fldCharType="separate"/>
      </w:r>
      <w:r w:rsidR="00E06636" w:rsidRPr="000E4150">
        <w:rPr>
          <w:rFonts w:asciiTheme="majorBidi" w:eastAsia="Times New Roman" w:hAnsiTheme="majorBidi" w:cstheme="majorBidi"/>
          <w:noProof/>
          <w:sz w:val="24"/>
          <w:szCs w:val="24"/>
          <w:lang w:val="en-US" w:eastAsia="en-GB" w:bidi="he-IL"/>
        </w:rPr>
        <w:t>[Porrino et al., 2004]</w:t>
      </w:r>
      <w:r w:rsidR="00164391" w:rsidRPr="000E4150">
        <w:rPr>
          <w:rFonts w:asciiTheme="majorBidi" w:eastAsia="Times New Roman" w:hAnsiTheme="majorBidi" w:cstheme="majorBidi"/>
          <w:sz w:val="24"/>
          <w:szCs w:val="24"/>
          <w:lang w:val="en-US" w:eastAsia="en-GB" w:bidi="he-IL"/>
        </w:rPr>
        <w:fldChar w:fldCharType="end"/>
      </w:r>
      <w:r w:rsidR="00164391" w:rsidRPr="000E4150">
        <w:rPr>
          <w:rFonts w:asciiTheme="majorBidi" w:eastAsia="Times New Roman" w:hAnsiTheme="majorBidi" w:cstheme="majorBidi"/>
          <w:sz w:val="24"/>
          <w:szCs w:val="24"/>
          <w:lang w:val="en-US" w:eastAsia="en-GB" w:bidi="he-IL"/>
        </w:rPr>
        <w:t xml:space="preserve">, </w:t>
      </w:r>
      <w:r w:rsidR="00050617" w:rsidRPr="000E4150">
        <w:rPr>
          <w:rFonts w:asciiTheme="majorBidi" w:eastAsia="Times New Roman" w:hAnsiTheme="majorBidi" w:cstheme="majorBidi"/>
          <w:sz w:val="24"/>
          <w:szCs w:val="24"/>
          <w:lang w:val="en-US" w:eastAsia="en-GB" w:bidi="he-IL"/>
        </w:rPr>
        <w:t xml:space="preserve">consistent with its </w:t>
      </w:r>
      <w:r w:rsidR="00AF1BD5" w:rsidRPr="000E4150">
        <w:rPr>
          <w:rFonts w:asciiTheme="majorBidi" w:eastAsia="Times New Roman" w:hAnsiTheme="majorBidi" w:cstheme="majorBidi"/>
          <w:sz w:val="24"/>
          <w:szCs w:val="24"/>
          <w:lang w:val="en-US" w:eastAsia="en-GB" w:bidi="he-IL"/>
        </w:rPr>
        <w:t>relationship to</w:t>
      </w:r>
      <w:r w:rsidR="00050617" w:rsidRPr="000E4150">
        <w:rPr>
          <w:rFonts w:asciiTheme="majorBidi" w:eastAsia="Times New Roman" w:hAnsiTheme="majorBidi" w:cstheme="majorBidi"/>
          <w:sz w:val="24"/>
          <w:szCs w:val="24"/>
          <w:lang w:val="en-US" w:eastAsia="en-GB" w:bidi="he-IL"/>
        </w:rPr>
        <w:t xml:space="preserve"> impaired impulsive control in the </w:t>
      </w:r>
      <w:r w:rsidR="00AF1BD5" w:rsidRPr="000E4150">
        <w:rPr>
          <w:rFonts w:asciiTheme="majorBidi" w:eastAsia="Times New Roman" w:hAnsiTheme="majorBidi" w:cstheme="majorBidi"/>
          <w:sz w:val="24"/>
          <w:szCs w:val="24"/>
          <w:lang w:val="en-US" w:eastAsia="en-GB" w:bidi="he-IL"/>
        </w:rPr>
        <w:t>present study</w:t>
      </w:r>
      <w:r w:rsidR="00050617" w:rsidRPr="000E4150">
        <w:rPr>
          <w:rFonts w:asciiTheme="majorBidi" w:eastAsia="Times New Roman" w:hAnsiTheme="majorBidi" w:cstheme="majorBidi"/>
          <w:sz w:val="24"/>
          <w:szCs w:val="24"/>
          <w:lang w:val="en-US" w:eastAsia="en-GB" w:bidi="he-IL"/>
        </w:rPr>
        <w:t>.</w:t>
      </w:r>
    </w:p>
    <w:p w14:paraId="45F8F32C" w14:textId="77777777" w:rsidR="00EC41D1" w:rsidRPr="000E4150" w:rsidRDefault="00787D9B" w:rsidP="000845E1">
      <w:pPr>
        <w:pStyle w:val="paragraph"/>
        <w:spacing w:before="0" w:beforeAutospacing="0" w:after="0" w:afterAutospacing="0" w:line="480" w:lineRule="auto"/>
        <w:ind w:firstLine="720"/>
        <w:textAlignment w:val="baseline"/>
        <w:rPr>
          <w:rFonts w:asciiTheme="majorBidi" w:hAnsiTheme="majorBidi" w:cstheme="majorBidi"/>
          <w:lang w:val="en-US"/>
        </w:rPr>
      </w:pPr>
      <w:r w:rsidRPr="000E4150">
        <w:rPr>
          <w:rFonts w:asciiTheme="majorBidi" w:hAnsiTheme="majorBidi" w:cstheme="majorBidi"/>
          <w:lang w:val="en-US"/>
        </w:rPr>
        <w:t xml:space="preserve">Assessing the unaffected siblings of SDI allowed us to test whether premature responding </w:t>
      </w:r>
      <w:r w:rsidR="00AF1BD5" w:rsidRPr="000E4150">
        <w:rPr>
          <w:rFonts w:asciiTheme="majorBidi" w:hAnsiTheme="majorBidi" w:cstheme="majorBidi"/>
          <w:lang w:val="en-US"/>
        </w:rPr>
        <w:t>is</w:t>
      </w:r>
      <w:r w:rsidRPr="000E4150">
        <w:rPr>
          <w:rFonts w:asciiTheme="majorBidi" w:hAnsiTheme="majorBidi" w:cstheme="majorBidi"/>
          <w:lang w:val="en-US"/>
        </w:rPr>
        <w:t xml:space="preserve"> a familial predisposition to stimulant drug addiction. </w:t>
      </w:r>
      <w:r w:rsidR="004511A8" w:rsidRPr="000E4150">
        <w:rPr>
          <w:rFonts w:asciiTheme="majorBidi" w:hAnsiTheme="majorBidi" w:cstheme="majorBidi"/>
          <w:lang w:val="en-US"/>
        </w:rPr>
        <w:t>P</w:t>
      </w:r>
      <w:r w:rsidRPr="000E4150">
        <w:rPr>
          <w:rFonts w:asciiTheme="majorBidi" w:hAnsiTheme="majorBidi" w:cstheme="majorBidi"/>
          <w:lang w:val="en-US"/>
        </w:rPr>
        <w:t xml:space="preserve">erformance and neural correlates </w:t>
      </w:r>
      <w:r w:rsidR="00D661B6" w:rsidRPr="000E4150">
        <w:rPr>
          <w:rFonts w:asciiTheme="majorBidi" w:hAnsiTheme="majorBidi" w:cstheme="majorBidi"/>
          <w:lang w:val="en-US"/>
        </w:rPr>
        <w:t>in</w:t>
      </w:r>
      <w:r w:rsidRPr="000E4150">
        <w:rPr>
          <w:rFonts w:asciiTheme="majorBidi" w:hAnsiTheme="majorBidi" w:cstheme="majorBidi"/>
          <w:lang w:val="en-US"/>
        </w:rPr>
        <w:t xml:space="preserve"> siblings </w:t>
      </w:r>
      <w:r w:rsidR="00D661B6" w:rsidRPr="000E4150">
        <w:rPr>
          <w:rFonts w:asciiTheme="majorBidi" w:hAnsiTheme="majorBidi" w:cstheme="majorBidi"/>
          <w:lang w:val="en-US"/>
        </w:rPr>
        <w:t>indicated</w:t>
      </w:r>
      <w:r w:rsidRPr="000E4150">
        <w:rPr>
          <w:rFonts w:asciiTheme="majorBidi" w:hAnsiTheme="majorBidi" w:cstheme="majorBidi"/>
          <w:lang w:val="en-US"/>
        </w:rPr>
        <w:t xml:space="preserve"> this was not the case for both incentive types. As the connectivity analyses for the siblings </w:t>
      </w:r>
      <w:r w:rsidR="00AF3F7E" w:rsidRPr="000E4150">
        <w:rPr>
          <w:rFonts w:asciiTheme="majorBidi" w:hAnsiTheme="majorBidi" w:cstheme="majorBidi"/>
          <w:lang w:val="en-US"/>
        </w:rPr>
        <w:t xml:space="preserve">did not </w:t>
      </w:r>
      <w:r w:rsidR="008A425C" w:rsidRPr="000E4150">
        <w:rPr>
          <w:rFonts w:asciiTheme="majorBidi" w:hAnsiTheme="majorBidi" w:cstheme="majorBidi"/>
          <w:lang w:val="en-US"/>
        </w:rPr>
        <w:t>result in</w:t>
      </w:r>
      <w:r w:rsidR="00AF3F7E" w:rsidRPr="000E4150">
        <w:rPr>
          <w:rFonts w:asciiTheme="majorBidi" w:hAnsiTheme="majorBidi" w:cstheme="majorBidi"/>
          <w:lang w:val="en-US"/>
        </w:rPr>
        <w:t xml:space="preserve"> a single winning model </w:t>
      </w:r>
      <w:r w:rsidR="004511A8" w:rsidRPr="000E4150">
        <w:rPr>
          <w:rFonts w:asciiTheme="majorBidi" w:hAnsiTheme="majorBidi" w:cstheme="majorBidi"/>
          <w:lang w:val="en-US"/>
        </w:rPr>
        <w:t xml:space="preserve">(see SI </w:t>
      </w:r>
      <w:r w:rsidR="004511A8" w:rsidRPr="000E4150">
        <w:rPr>
          <w:rFonts w:asciiTheme="majorBidi" w:hAnsiTheme="majorBidi" w:cstheme="majorBidi"/>
          <w:lang w:val="en-US"/>
        </w:rPr>
        <w:lastRenderedPageBreak/>
        <w:t>Appendix Figure S3</w:t>
      </w:r>
      <w:r w:rsidRPr="000E4150">
        <w:rPr>
          <w:rFonts w:asciiTheme="majorBidi" w:hAnsiTheme="majorBidi" w:cstheme="majorBidi"/>
          <w:lang w:val="en-US"/>
        </w:rPr>
        <w:t xml:space="preserve">) we could not extend this conclusion to </w:t>
      </w:r>
      <w:r w:rsidR="00D661B6" w:rsidRPr="000E4150">
        <w:rPr>
          <w:rFonts w:asciiTheme="majorBidi" w:hAnsiTheme="majorBidi" w:cstheme="majorBidi"/>
          <w:lang w:val="en-US"/>
        </w:rPr>
        <w:t>network</w:t>
      </w:r>
      <w:r w:rsidRPr="000E4150">
        <w:rPr>
          <w:rFonts w:asciiTheme="majorBidi" w:hAnsiTheme="majorBidi" w:cstheme="majorBidi"/>
          <w:lang w:val="en-US"/>
        </w:rPr>
        <w:t xml:space="preserve"> connectivity. Nevertheless</w:t>
      </w:r>
      <w:r w:rsidR="00437011" w:rsidRPr="000E4150">
        <w:rPr>
          <w:rFonts w:asciiTheme="majorBidi" w:hAnsiTheme="majorBidi" w:cstheme="majorBidi"/>
          <w:lang w:val="en-US"/>
        </w:rPr>
        <w:t>,</w:t>
      </w:r>
      <w:r w:rsidRPr="000E4150">
        <w:rPr>
          <w:rFonts w:asciiTheme="majorBidi" w:hAnsiTheme="majorBidi" w:cstheme="majorBidi"/>
          <w:lang w:val="en-US"/>
        </w:rPr>
        <w:t xml:space="preserve"> on balance we conclude that an impulsive endophenotype does not appear to extend to premature responding, at least under reward</w:t>
      </w:r>
      <w:r w:rsidR="00614333" w:rsidRPr="000E4150">
        <w:rPr>
          <w:rFonts w:asciiTheme="majorBidi" w:hAnsiTheme="majorBidi" w:cstheme="majorBidi"/>
          <w:lang w:val="en-US"/>
        </w:rPr>
        <w:t>-based</w:t>
      </w:r>
      <w:r w:rsidRPr="000E4150">
        <w:rPr>
          <w:rFonts w:asciiTheme="majorBidi" w:hAnsiTheme="majorBidi" w:cstheme="majorBidi"/>
          <w:lang w:val="en-US"/>
        </w:rPr>
        <w:t xml:space="preserve"> conditions. I</w:t>
      </w:r>
      <w:r w:rsidR="00AF1BD5" w:rsidRPr="000E4150">
        <w:rPr>
          <w:rFonts w:asciiTheme="majorBidi" w:hAnsiTheme="majorBidi" w:cstheme="majorBidi"/>
          <w:lang w:val="en-US"/>
        </w:rPr>
        <w:t>ndeed, i</w:t>
      </w:r>
      <w:r w:rsidRPr="000E4150">
        <w:rPr>
          <w:rFonts w:asciiTheme="majorBidi" w:hAnsiTheme="majorBidi" w:cstheme="majorBidi"/>
          <w:lang w:val="en-US"/>
        </w:rPr>
        <w:t xml:space="preserve">t may be </w:t>
      </w:r>
      <w:r w:rsidR="00AF1BD5" w:rsidRPr="000E4150">
        <w:rPr>
          <w:rFonts w:asciiTheme="majorBidi" w:hAnsiTheme="majorBidi" w:cstheme="majorBidi"/>
          <w:lang w:val="en-US"/>
        </w:rPr>
        <w:t>that increased</w:t>
      </w:r>
      <w:r w:rsidRPr="000E4150">
        <w:rPr>
          <w:rFonts w:asciiTheme="majorBidi" w:hAnsiTheme="majorBidi" w:cstheme="majorBidi"/>
          <w:lang w:val="en-US"/>
        </w:rPr>
        <w:t xml:space="preserve"> restrain</w:t>
      </w:r>
      <w:r w:rsidR="00AF1BD5" w:rsidRPr="000E4150">
        <w:rPr>
          <w:rFonts w:asciiTheme="majorBidi" w:hAnsiTheme="majorBidi" w:cstheme="majorBidi"/>
          <w:lang w:val="en-US"/>
        </w:rPr>
        <w:t>t</w:t>
      </w:r>
      <w:r w:rsidRPr="000E4150">
        <w:rPr>
          <w:rFonts w:asciiTheme="majorBidi" w:hAnsiTheme="majorBidi" w:cstheme="majorBidi"/>
          <w:lang w:val="en-US"/>
        </w:rPr>
        <w:t xml:space="preserve"> served as a protective factor for the siblings. Alternatively, it remains possible that the ability to restrain responding may be compromised in unaffected family members under more constrained conditions, such as those eliciting negative urgency </w:t>
      </w:r>
      <w:r w:rsidR="0078032C" w:rsidRPr="000E4150">
        <w:rPr>
          <w:rFonts w:asciiTheme="majorBidi" w:hAnsiTheme="majorBidi" w:cstheme="majorBidi"/>
          <w:lang w:val="en-US"/>
        </w:rPr>
        <w:fldChar w:fldCharType="begin" w:fldLock="1"/>
      </w:r>
      <w:r w:rsidR="00760109" w:rsidRPr="000E4150">
        <w:rPr>
          <w:rFonts w:asciiTheme="majorBidi" w:hAnsiTheme="majorBidi" w:cstheme="majorBidi"/>
          <w:lang w:val="en-US"/>
        </w:rPr>
        <w:instrText>ADDIN CSL_CITATION {"citationItems":[{"id":"ITEM-1","itemData":{"DOI":"10.3390/brainsci9020036","ISSN":"20763425","abstract":"Negative urgency is a personality trait reflecting the tendency to act rashly in response to extreme negative emotions and is considered a transdiagnostic endophenotype for problematic levels of addictive behaviors. Recent research has begun to identify the neural correlates of negative urgency, many of which appear to overlap with neural circuitry underlying addictive disorders associated with negative urgency. The goal of this qualitative review is to summarize the extant literature concerning the neural correlates of negative urgency, to compare these correlates with those implicated with addictive disorders, and to propose new ways to begin to leverage such findings in treatment and intervention approaches. We also address current limitations in the field and make recommendations for areas for future growth in this research domain. Patterns of structure and function in the ventral striatum, frontal regions, such as the prefrontal cortex (PFC) and orbitofrontal cortex (OFC), and amygdala are common across addictive disorders and are related to both real-world risky behaviors and self-report measures of negative urgency. We propose that the time has come to move past considering this trait and these disorders as completely separate entities, and instead for the field to consider how general patterns of convergence across these disorders can lead to a more transdiagnostic approach to treatment and intervention. We suggest future work utilize these convergent patterns in the development of animal models of negative urgency, in the identification and testing of prime pharmacological and physiological interventions, and as objective biomarkers to be used when testing behavioral, pharmacological, and physiological intervention effectiveness. Little empirical work has been done to date in these areas and advances in these nascent fields would advance understanding and applications of the neuroscience of negative urgency.","author":[{"dropping-particle":"","family":"Um","given":"Miji","non-dropping-particle":"","parse-names":false,"suffix":""},{"dropping-particle":"","family":"Whitt","given":"Zachary T.","non-dropping-particle":"","parse-names":false,"suffix":""},{"dropping-particle":"","family":"Revilla","given":"Rebecca","non-dropping-particle":"","parse-names":false,"suffix":""},{"dropping-particle":"","family":"Hunton","given":"Taylor","non-dropping-particle":"","parse-names":false,"suffix":""},{"dropping-particle":"","family":"Cyders","given":"Melissa A.","non-dropping-particle":"","parse-names":false,"suffix":""}],"container-title":"Brain Sciences","id":"ITEM-1","issue":"2","issued":{"date-parts":[["2019"]]},"title":"Shared neural correlates underlying addictive disorders and negative urgency","type":"article-journal","volume":"9"},"uris":["http://www.mendeley.com/documents/?uuid=6f308296-5b23-480e-a6ce-b6b2d28dd318"]}],"mendeley":{"formattedCitation":"[Um et al., 2019]","plainTextFormattedCitation":"[Um et al., 2019]","previouslyFormattedCitation":"[Um et al., 2019]"},"properties":{"noteIndex":0},"schema":"https://github.com/citation-style-language/schema/raw/master/csl-citation.json"}</w:instrText>
      </w:r>
      <w:r w:rsidR="0078032C" w:rsidRPr="000E4150">
        <w:rPr>
          <w:rFonts w:asciiTheme="majorBidi" w:hAnsiTheme="majorBidi" w:cstheme="majorBidi"/>
          <w:lang w:val="en-US"/>
        </w:rPr>
        <w:fldChar w:fldCharType="separate"/>
      </w:r>
      <w:r w:rsidR="00E06636" w:rsidRPr="000E4150">
        <w:rPr>
          <w:rFonts w:asciiTheme="majorBidi" w:hAnsiTheme="majorBidi" w:cstheme="majorBidi"/>
          <w:noProof/>
          <w:lang w:val="en-US"/>
        </w:rPr>
        <w:t>[Um et al., 2019]</w:t>
      </w:r>
      <w:r w:rsidR="0078032C" w:rsidRPr="000E4150">
        <w:rPr>
          <w:rFonts w:asciiTheme="majorBidi" w:hAnsiTheme="majorBidi" w:cstheme="majorBidi"/>
          <w:lang w:val="en-US"/>
        </w:rPr>
        <w:fldChar w:fldCharType="end"/>
      </w:r>
      <w:r w:rsidRPr="000E4150">
        <w:rPr>
          <w:rFonts w:asciiTheme="majorBidi" w:hAnsiTheme="majorBidi" w:cstheme="majorBidi"/>
          <w:lang w:val="en-US"/>
        </w:rPr>
        <w:t>, with greater cognitive demands</w:t>
      </w:r>
      <w:r w:rsidR="001176C4" w:rsidRPr="000E4150">
        <w:rPr>
          <w:rFonts w:asciiTheme="majorBidi" w:hAnsiTheme="majorBidi" w:cstheme="majorBidi"/>
          <w:lang w:val="en-US"/>
        </w:rPr>
        <w:t>,</w:t>
      </w:r>
      <w:r w:rsidRPr="000E4150">
        <w:rPr>
          <w:rFonts w:asciiTheme="majorBidi" w:hAnsiTheme="majorBidi" w:cstheme="majorBidi"/>
          <w:lang w:val="en-US"/>
        </w:rPr>
        <w:t xml:space="preserve"> or drug exposure</w:t>
      </w:r>
      <w:r w:rsidR="00062C11" w:rsidRPr="000E4150">
        <w:rPr>
          <w:rFonts w:asciiTheme="majorBidi" w:hAnsiTheme="majorBidi" w:cstheme="majorBidi"/>
          <w:lang w:val="en-US"/>
        </w:rPr>
        <w:t xml:space="preserve"> </w:t>
      </w:r>
      <w:r w:rsidR="00062C11" w:rsidRPr="000E4150">
        <w:rPr>
          <w:rFonts w:asciiTheme="majorBidi" w:hAnsiTheme="majorBidi" w:cstheme="majorBidi"/>
          <w:lang w:val="en-US"/>
        </w:rPr>
        <w:fldChar w:fldCharType="begin" w:fldLock="1"/>
      </w:r>
      <w:r w:rsidR="00760109" w:rsidRPr="000E4150">
        <w:rPr>
          <w:rFonts w:asciiTheme="majorBidi" w:hAnsiTheme="majorBidi" w:cstheme="majorBidi"/>
          <w:lang w:val="en-US"/>
        </w:rPr>
        <w:instrText>ADDIN CSL_CITATION {"citationItems":[{"id":"ITEM-1","itemData":{"DOI":"10.1111/acer.13184","ISBN":"1530-0277 (Electronic)\\r0145-6008 (Linking)","ISSN":"15300277","PMID":"27565012","abstract":"BACKGROUND: Youths with family history (FH) of alcoholism are at greater risk of developing alcohol use disorder (AUD); heightened impulsive behavior may underlie such increased vulnerability. Here, we studied waiting impulsivity (previously suggested to predispose to alcohol drinking) in young moderate-to-heavy social drinkers (18 to 33 years old) characterized as family history positive (FHP) and negative (FHN) following an alcoholic or nonalcoholic (placebo) drink. METHODS: Two groups of young male and female social drinkers (n = 64) were administered an acute dose of alcohol (0.8 g/kg) or placebo. One group (FHP; n = 24) had first-degree relatives with problems of alcohol misuse; the other group (FHN) did not. Participants completed 4 variants of the Sx-5CSRTT, a task measuring waiting impulsivity. In addition, other types of impulsive behavior were tested (by means of the stop-signal task [SST]; information sampling task [IST]; Delay Discounting Questionnaire; 2-choice impulsivity paradigm; and time estimation task). RESULTS: Young FHP adults showed more premature responding than FHN when evaluated under increased attentional load (high waiting impulsivity), while, in contrast, they presented a more conservative strategy on the IST (less impulsive behavior), compared to FHN. Acute alcohol impaired inhibitory control on the SST in all participants, and induced a marginal increase of premature responses, but did not affect other measures of impulsivity. CONCLUSIONS: Assessing for exaggerated waiting impulsivity may provide a potential endophenotype associated with risk for the development of alcohol addiction (i.e., offspring of alcoholics).","author":[{"dropping-particle":"","family":"Sanchez-Roige","given":"Sandra","non-dropping-particle":"","parse-names":false,"suffix":""},{"dropping-particle":"","family":"Stephens","given":"David N.","non-dropping-particle":"","parse-names":false,"suffix":""},{"dropping-particle":"","family":"Duka","given":"Theodora","non-dropping-particle":"","parse-names":false,"suffix":""}],"container-title":"Alcoholism: Clinical and Experimental Research","id":"ITEM-1","issue":"10","issued":{"date-parts":[["2016"]]},"page":"2208-2217","title":"Heightened Impulsivity: Associated with Family History of Alcohol Misuse, and a Consequence of Alcohol Intake","type":"article-journal","volume":"40"},"uris":["http://www.mendeley.com/documents/?uuid=48272e8f-0ba5-4b59-89b7-45ccf244a37f"]}],"mendeley":{"formattedCitation":"[Sanchez-Roige et al., 2016]","plainTextFormattedCitation":"[Sanchez-Roige et al., 2016]","previouslyFormattedCitation":"[Sanchez-Roige et al., 2016]"},"properties":{"noteIndex":0},"schema":"https://github.com/citation-style-language/schema/raw/master/csl-citation.json"}</w:instrText>
      </w:r>
      <w:r w:rsidR="00062C11" w:rsidRPr="000E4150">
        <w:rPr>
          <w:rFonts w:asciiTheme="majorBidi" w:hAnsiTheme="majorBidi" w:cstheme="majorBidi"/>
          <w:lang w:val="en-US"/>
        </w:rPr>
        <w:fldChar w:fldCharType="separate"/>
      </w:r>
      <w:r w:rsidR="00E06636" w:rsidRPr="000E4150">
        <w:rPr>
          <w:rFonts w:asciiTheme="majorBidi" w:hAnsiTheme="majorBidi" w:cstheme="majorBidi"/>
          <w:noProof/>
          <w:lang w:val="en-US"/>
        </w:rPr>
        <w:t>[Sanchez-Roige et al., 2016]</w:t>
      </w:r>
      <w:r w:rsidR="00062C11" w:rsidRPr="000E4150">
        <w:rPr>
          <w:rFonts w:asciiTheme="majorBidi" w:hAnsiTheme="majorBidi" w:cstheme="majorBidi"/>
          <w:lang w:val="en-US"/>
        </w:rPr>
        <w:fldChar w:fldCharType="end"/>
      </w:r>
      <w:r w:rsidRPr="000E4150">
        <w:rPr>
          <w:rFonts w:asciiTheme="majorBidi" w:hAnsiTheme="majorBidi" w:cstheme="majorBidi"/>
          <w:lang w:val="en-US"/>
        </w:rPr>
        <w:t xml:space="preserve">. </w:t>
      </w:r>
    </w:p>
    <w:p w14:paraId="26264FA7" w14:textId="7064A8AB" w:rsidR="00787D9B" w:rsidRPr="000E4150" w:rsidRDefault="00787D9B" w:rsidP="000845E1">
      <w:pPr>
        <w:pStyle w:val="paragraph"/>
        <w:spacing w:before="0" w:beforeAutospacing="0" w:after="0" w:afterAutospacing="0" w:line="480" w:lineRule="auto"/>
        <w:ind w:firstLine="720"/>
        <w:textAlignment w:val="baseline"/>
        <w:rPr>
          <w:rFonts w:asciiTheme="majorBidi" w:hAnsiTheme="majorBidi" w:cstheme="majorBidi"/>
          <w:lang w:val="en-US"/>
        </w:rPr>
      </w:pPr>
      <w:r w:rsidRPr="000E4150">
        <w:rPr>
          <w:rFonts w:asciiTheme="majorBidi" w:hAnsiTheme="majorBidi" w:cstheme="majorBidi"/>
          <w:lang w:val="en-US"/>
        </w:rPr>
        <w:t>The MID</w:t>
      </w:r>
      <w:r w:rsidR="002E061E" w:rsidRPr="000E4150">
        <w:rPr>
          <w:rFonts w:asciiTheme="majorBidi" w:hAnsiTheme="majorBidi" w:cstheme="majorBidi"/>
          <w:lang w:val="en-US"/>
        </w:rPr>
        <w:t xml:space="preserve"> task</w:t>
      </w:r>
      <w:r w:rsidRPr="000E4150">
        <w:rPr>
          <w:rFonts w:asciiTheme="majorBidi" w:hAnsiTheme="majorBidi" w:cstheme="majorBidi"/>
          <w:lang w:val="en-US"/>
        </w:rPr>
        <w:t xml:space="preserve"> has been favored in reward research </w:t>
      </w:r>
      <w:r w:rsidR="00AF1BD5" w:rsidRPr="000E4150">
        <w:rPr>
          <w:rFonts w:asciiTheme="majorBidi" w:hAnsiTheme="majorBidi" w:cstheme="majorBidi"/>
          <w:lang w:val="en-US"/>
        </w:rPr>
        <w:t>partly because</w:t>
      </w:r>
      <w:r w:rsidRPr="000E4150">
        <w:rPr>
          <w:rFonts w:asciiTheme="majorBidi" w:hAnsiTheme="majorBidi" w:cstheme="majorBidi"/>
          <w:lang w:val="en-US"/>
        </w:rPr>
        <w:t xml:space="preserve"> it </w:t>
      </w:r>
      <w:r w:rsidR="00A45C84" w:rsidRPr="000E4150">
        <w:rPr>
          <w:rFonts w:asciiTheme="majorBidi" w:hAnsiTheme="majorBidi" w:cstheme="majorBidi"/>
          <w:lang w:val="en-US"/>
        </w:rPr>
        <w:t xml:space="preserve">requires participants to make </w:t>
      </w:r>
      <w:r w:rsidRPr="000E4150">
        <w:rPr>
          <w:rFonts w:asciiTheme="majorBidi" w:hAnsiTheme="majorBidi" w:cstheme="majorBidi"/>
          <w:lang w:val="en-US"/>
        </w:rPr>
        <w:t>simple decision</w:t>
      </w:r>
      <w:r w:rsidR="00246F9B" w:rsidRPr="000E4150">
        <w:rPr>
          <w:rFonts w:asciiTheme="majorBidi" w:hAnsiTheme="majorBidi" w:cstheme="majorBidi"/>
          <w:lang w:val="en-US"/>
        </w:rPr>
        <w:t>s</w:t>
      </w:r>
      <w:r w:rsidRPr="000E4150">
        <w:rPr>
          <w:rFonts w:asciiTheme="majorBidi" w:hAnsiTheme="majorBidi" w:cstheme="majorBidi"/>
          <w:lang w:val="en-US"/>
        </w:rPr>
        <w:t xml:space="preserve">, minimizing cognitive confounds </w:t>
      </w:r>
      <w:r w:rsidR="00062C11" w:rsidRPr="000E4150">
        <w:rPr>
          <w:rFonts w:asciiTheme="majorBidi" w:hAnsiTheme="majorBidi" w:cstheme="majorBidi"/>
          <w:lang w:val="en-US"/>
        </w:rPr>
        <w:fldChar w:fldCharType="begin" w:fldLock="1"/>
      </w:r>
      <w:r w:rsidR="00760109" w:rsidRPr="000E4150">
        <w:rPr>
          <w:rFonts w:asciiTheme="majorBidi" w:hAnsiTheme="majorBidi" w:cstheme="majorBidi"/>
          <w:lang w:val="en-US"/>
        </w:rPr>
        <w:instrText>ADDIN CSL_CITATION {"citationItems":[{"id":"ITEM-1","itemData":{"DOI":"10.1002/hbm.24184","author":[{"dropping-particle":"","family":"Oldham","given":"Stuart","non-dropping-particle":"","parse-names":false,"suffix":""},{"dropping-particle":"","family":"Murawski","given":"Carsten","non-dropping-particle":"","parse-names":false,"suffix":""},{"dropping-particle":"","family":"Fornito","given":"Alex","non-dropping-particle":"","parse-names":false,"suffix":""},{"dropping-particle":"","family":"Youssef","given":"George","non-dropping-particle":"","parse-names":false,"suffix":""},{"dropping-particle":"","family":"Yücel","given":"Murat","non-dropping-particle":"","parse-names":false,"suffix":""},{"dropping-particle":"","family":"Lorenzetti","given":"Valentina","non-dropping-particle":"","parse-names":false,"suffix":""}],"container-title":"Human Brain Mapping","id":"ITEM-1","issue":"8","issued":{"date-parts":[["2018"]]},"page":"3398-3418","title":"The anticipation and outcome phases of reward and loss processing: A neuroimaging meta-analysis of the monetary incentive delay task","type":"article-journal","volume":"39"},"uris":["http://www.mendeley.com/documents/?uuid=b5f62a24-5f3c-4b3b-9455-9b4b435d16fc"]}],"mendeley":{"formattedCitation":"[Oldham et al., 2018]","plainTextFormattedCitation":"[Oldham et al., 2018]","previouslyFormattedCitation":"[Oldham et al., 2018]"},"properties":{"noteIndex":0},"schema":"https://github.com/citation-style-language/schema/raw/master/csl-citation.json"}</w:instrText>
      </w:r>
      <w:r w:rsidR="00062C11" w:rsidRPr="000E4150">
        <w:rPr>
          <w:rFonts w:asciiTheme="majorBidi" w:hAnsiTheme="majorBidi" w:cstheme="majorBidi"/>
          <w:lang w:val="en-US"/>
        </w:rPr>
        <w:fldChar w:fldCharType="separate"/>
      </w:r>
      <w:r w:rsidR="00E06636" w:rsidRPr="000E4150">
        <w:rPr>
          <w:rFonts w:asciiTheme="majorBidi" w:hAnsiTheme="majorBidi" w:cstheme="majorBidi"/>
          <w:noProof/>
          <w:lang w:val="en-US"/>
        </w:rPr>
        <w:t>[Oldham et al., 2018]</w:t>
      </w:r>
      <w:r w:rsidR="00062C11" w:rsidRPr="000E4150">
        <w:rPr>
          <w:rFonts w:asciiTheme="majorBidi" w:hAnsiTheme="majorBidi" w:cstheme="majorBidi"/>
          <w:lang w:val="en-US"/>
        </w:rPr>
        <w:fldChar w:fldCharType="end"/>
      </w:r>
      <w:r w:rsidR="00062C11" w:rsidRPr="000E4150">
        <w:rPr>
          <w:rFonts w:asciiTheme="majorBidi" w:hAnsiTheme="majorBidi" w:cstheme="majorBidi"/>
          <w:lang w:val="en-US"/>
        </w:rPr>
        <w:t>.</w:t>
      </w:r>
      <w:r w:rsidR="00D661B6" w:rsidRPr="000E4150">
        <w:rPr>
          <w:rFonts w:asciiTheme="majorBidi" w:hAnsiTheme="majorBidi" w:cstheme="majorBidi"/>
          <w:lang w:val="en-US"/>
        </w:rPr>
        <w:t xml:space="preserve"> This allowed</w:t>
      </w:r>
      <w:r w:rsidRPr="000E4150">
        <w:rPr>
          <w:rFonts w:asciiTheme="majorBidi" w:hAnsiTheme="majorBidi" w:cstheme="majorBidi"/>
          <w:lang w:val="en-US"/>
        </w:rPr>
        <w:t xml:space="preserve"> us to attribute premature responses to failures of inhibitory contro</w:t>
      </w:r>
      <w:r w:rsidR="00D661B6" w:rsidRPr="000E4150">
        <w:rPr>
          <w:rFonts w:asciiTheme="majorBidi" w:hAnsiTheme="majorBidi" w:cstheme="majorBidi"/>
          <w:lang w:val="en-US"/>
        </w:rPr>
        <w:t>l specifically</w:t>
      </w:r>
      <w:r w:rsidRPr="000E4150">
        <w:rPr>
          <w:rFonts w:asciiTheme="majorBidi" w:hAnsiTheme="majorBidi" w:cstheme="majorBidi"/>
          <w:lang w:val="en-US"/>
        </w:rPr>
        <w:t xml:space="preserve">. </w:t>
      </w:r>
      <w:r w:rsidR="00D661B6" w:rsidRPr="000E4150">
        <w:rPr>
          <w:rFonts w:asciiTheme="majorBidi" w:hAnsiTheme="majorBidi" w:cstheme="majorBidi"/>
          <w:lang w:val="en-US"/>
        </w:rPr>
        <w:t>This approach offer</w:t>
      </w:r>
      <w:r w:rsidR="00614333" w:rsidRPr="000E4150">
        <w:rPr>
          <w:rFonts w:asciiTheme="majorBidi" w:hAnsiTheme="majorBidi" w:cstheme="majorBidi"/>
          <w:lang w:val="en-US"/>
        </w:rPr>
        <w:t>s</w:t>
      </w:r>
      <w:r w:rsidR="00D661B6" w:rsidRPr="000E4150">
        <w:rPr>
          <w:rFonts w:asciiTheme="majorBidi" w:hAnsiTheme="majorBidi" w:cstheme="majorBidi"/>
          <w:lang w:val="en-US"/>
        </w:rPr>
        <w:t xml:space="preserve"> a </w:t>
      </w:r>
      <w:r w:rsidR="00614333" w:rsidRPr="000E4150">
        <w:rPr>
          <w:rFonts w:asciiTheme="majorBidi" w:hAnsiTheme="majorBidi" w:cstheme="majorBidi"/>
          <w:lang w:val="en-US"/>
        </w:rPr>
        <w:t xml:space="preserve">parsimonious </w:t>
      </w:r>
      <w:r w:rsidR="00D661B6" w:rsidRPr="000E4150">
        <w:rPr>
          <w:rFonts w:asciiTheme="majorBidi" w:hAnsiTheme="majorBidi" w:cstheme="majorBidi"/>
          <w:lang w:val="en-US"/>
        </w:rPr>
        <w:t xml:space="preserve">measure of impulsive responding to diverse incentives in clinical and non-clinical populations. The presence of a relatively </w:t>
      </w:r>
      <w:r w:rsidR="004511A8" w:rsidRPr="000E4150">
        <w:rPr>
          <w:rFonts w:asciiTheme="majorBidi" w:hAnsiTheme="majorBidi" w:cstheme="majorBidi"/>
          <w:lang w:val="en-US"/>
        </w:rPr>
        <w:t>wide</w:t>
      </w:r>
      <w:r w:rsidR="00D661B6" w:rsidRPr="000E4150">
        <w:rPr>
          <w:rFonts w:asciiTheme="majorBidi" w:hAnsiTheme="majorBidi" w:cstheme="majorBidi"/>
          <w:lang w:val="en-US"/>
        </w:rPr>
        <w:t xml:space="preserve"> anticipation window likely increased premature responding frequency overall</w:t>
      </w:r>
      <w:r w:rsidR="001176C4" w:rsidRPr="000E4150">
        <w:rPr>
          <w:rFonts w:asciiTheme="majorBidi" w:hAnsiTheme="majorBidi" w:cstheme="majorBidi"/>
          <w:lang w:val="en-US"/>
        </w:rPr>
        <w:t xml:space="preserve"> and allowed greater individual variability</w:t>
      </w:r>
      <w:r w:rsidR="00D661B6" w:rsidRPr="000E4150">
        <w:rPr>
          <w:rFonts w:asciiTheme="majorBidi" w:hAnsiTheme="majorBidi" w:cstheme="majorBidi"/>
          <w:lang w:val="en-US"/>
        </w:rPr>
        <w:t xml:space="preserve">. </w:t>
      </w:r>
      <w:r w:rsidRPr="000E4150">
        <w:rPr>
          <w:rFonts w:asciiTheme="majorBidi" w:hAnsiTheme="majorBidi" w:cstheme="majorBidi"/>
          <w:lang w:val="en-US"/>
        </w:rPr>
        <w:t xml:space="preserve">Future research may </w:t>
      </w:r>
      <w:r w:rsidR="0081710A" w:rsidRPr="000E4150">
        <w:rPr>
          <w:rFonts w:asciiTheme="majorBidi" w:hAnsiTheme="majorBidi" w:cstheme="majorBidi"/>
          <w:lang w:val="en-US"/>
        </w:rPr>
        <w:t xml:space="preserve">further </w:t>
      </w:r>
      <w:r w:rsidRPr="000E4150">
        <w:rPr>
          <w:rFonts w:asciiTheme="majorBidi" w:hAnsiTheme="majorBidi" w:cstheme="majorBidi"/>
          <w:lang w:val="en-US"/>
        </w:rPr>
        <w:t xml:space="preserve">explore </w:t>
      </w:r>
      <w:r w:rsidR="0081710A" w:rsidRPr="000E4150">
        <w:rPr>
          <w:rFonts w:asciiTheme="majorBidi" w:hAnsiTheme="majorBidi" w:cstheme="majorBidi"/>
          <w:lang w:val="en-US"/>
        </w:rPr>
        <w:t>how varying specific task parameters in</w:t>
      </w:r>
      <w:r w:rsidRPr="000E4150">
        <w:rPr>
          <w:rFonts w:asciiTheme="majorBidi" w:hAnsiTheme="majorBidi" w:cstheme="majorBidi"/>
          <w:lang w:val="en-US"/>
        </w:rPr>
        <w:t xml:space="preserve"> the MID task</w:t>
      </w:r>
      <w:r w:rsidR="00EC41D1" w:rsidRPr="000E4150">
        <w:rPr>
          <w:rFonts w:asciiTheme="majorBidi" w:hAnsiTheme="majorBidi" w:cstheme="majorBidi"/>
          <w:lang w:val="en-US"/>
        </w:rPr>
        <w:t xml:space="preserve"> such as the nature and timing of reward delivery,</w:t>
      </w:r>
      <w:r w:rsidRPr="000E4150">
        <w:rPr>
          <w:rFonts w:asciiTheme="majorBidi" w:hAnsiTheme="majorBidi" w:cstheme="majorBidi"/>
          <w:lang w:val="en-US"/>
        </w:rPr>
        <w:t xml:space="preserve"> </w:t>
      </w:r>
      <w:r w:rsidR="0081710A" w:rsidRPr="000E4150">
        <w:rPr>
          <w:rFonts w:asciiTheme="majorBidi" w:hAnsiTheme="majorBidi" w:cstheme="majorBidi"/>
          <w:lang w:val="en-US"/>
        </w:rPr>
        <w:t xml:space="preserve">can </w:t>
      </w:r>
      <w:r w:rsidRPr="000E4150">
        <w:rPr>
          <w:rFonts w:asciiTheme="majorBidi" w:hAnsiTheme="majorBidi" w:cstheme="majorBidi"/>
          <w:lang w:val="en-US"/>
        </w:rPr>
        <w:t>elicit or minimize premature responding, testing convergence with preclinical models.</w:t>
      </w:r>
      <w:r w:rsidR="001176C4" w:rsidRPr="000E4150">
        <w:rPr>
          <w:rFonts w:asciiTheme="majorBidi" w:hAnsiTheme="majorBidi" w:cstheme="majorBidi"/>
          <w:lang w:val="en-US"/>
        </w:rPr>
        <w:t xml:space="preserve"> Additionally, performance and network changes in at-risk groups or following prolonged abstinence should be explored.</w:t>
      </w:r>
      <w:r w:rsidRPr="000E4150">
        <w:rPr>
          <w:rFonts w:asciiTheme="majorBidi" w:hAnsiTheme="majorBidi" w:cstheme="majorBidi"/>
          <w:lang w:val="en-US"/>
        </w:rPr>
        <w:t xml:space="preserve"> This </w:t>
      </w:r>
      <w:r w:rsidR="004511A8" w:rsidRPr="000E4150">
        <w:rPr>
          <w:rFonts w:asciiTheme="majorBidi" w:hAnsiTheme="majorBidi" w:cstheme="majorBidi"/>
          <w:lang w:val="en-US"/>
        </w:rPr>
        <w:t>could</w:t>
      </w:r>
      <w:r w:rsidRPr="000E4150">
        <w:rPr>
          <w:rFonts w:asciiTheme="majorBidi" w:hAnsiTheme="majorBidi" w:cstheme="majorBidi"/>
          <w:lang w:val="en-US"/>
        </w:rPr>
        <w:t xml:space="preserve"> better elucidate the exact role of various risk factors in addiction and point to potential mitigating factors. </w:t>
      </w:r>
    </w:p>
    <w:p w14:paraId="41ACB4E0" w14:textId="32A817A4" w:rsidR="00787D9B" w:rsidRPr="000E4150" w:rsidRDefault="00787D9B" w:rsidP="00272C9F">
      <w:pPr>
        <w:pStyle w:val="paragraph"/>
        <w:spacing w:before="0" w:beforeAutospacing="0" w:after="0" w:afterAutospacing="0" w:line="480" w:lineRule="auto"/>
        <w:ind w:firstLine="720"/>
        <w:textAlignment w:val="baseline"/>
        <w:rPr>
          <w:rFonts w:asciiTheme="majorBidi" w:hAnsiTheme="majorBidi" w:cstheme="majorBidi"/>
          <w:lang w:val="en-US"/>
        </w:rPr>
      </w:pPr>
      <w:r w:rsidRPr="000E4150">
        <w:rPr>
          <w:rFonts w:asciiTheme="majorBidi" w:hAnsiTheme="majorBidi" w:cstheme="majorBidi"/>
          <w:lang w:val="en-US"/>
        </w:rPr>
        <w:t xml:space="preserve">In conclusion, </w:t>
      </w:r>
      <w:r w:rsidR="005B1D7D" w:rsidRPr="000E4150">
        <w:rPr>
          <w:rFonts w:asciiTheme="majorBidi" w:hAnsiTheme="majorBidi" w:cstheme="majorBidi"/>
          <w:lang w:val="en-US"/>
        </w:rPr>
        <w:t>our findings</w:t>
      </w:r>
      <w:r w:rsidRPr="000E4150">
        <w:rPr>
          <w:rFonts w:asciiTheme="majorBidi" w:hAnsiTheme="majorBidi" w:cstheme="majorBidi"/>
          <w:lang w:val="en-US"/>
        </w:rPr>
        <w:t xml:space="preserve"> provide insight </w:t>
      </w:r>
      <w:r w:rsidR="00614333" w:rsidRPr="000E4150">
        <w:rPr>
          <w:rFonts w:asciiTheme="majorBidi" w:hAnsiTheme="majorBidi" w:cstheme="majorBidi"/>
          <w:lang w:val="en-US"/>
        </w:rPr>
        <w:t>into the brain networks recruited d</w:t>
      </w:r>
      <w:r w:rsidRPr="000E4150">
        <w:rPr>
          <w:rFonts w:asciiTheme="majorBidi" w:hAnsiTheme="majorBidi" w:cstheme="majorBidi"/>
          <w:lang w:val="en-US"/>
        </w:rPr>
        <w:t>uring failures of restraint in a well-characterized sample of SDI</w:t>
      </w:r>
      <w:r w:rsidR="00614333" w:rsidRPr="000E4150">
        <w:rPr>
          <w:rFonts w:asciiTheme="majorBidi" w:hAnsiTheme="majorBidi" w:cstheme="majorBidi"/>
          <w:lang w:val="en-US"/>
        </w:rPr>
        <w:t>s</w:t>
      </w:r>
      <w:r w:rsidRPr="000E4150">
        <w:rPr>
          <w:rFonts w:asciiTheme="majorBidi" w:hAnsiTheme="majorBidi" w:cstheme="majorBidi"/>
          <w:lang w:val="en-US"/>
        </w:rPr>
        <w:t xml:space="preserve">, their unaffected siblings and HC. </w:t>
      </w:r>
      <w:r w:rsidRPr="000E4150">
        <w:rPr>
          <w:rStyle w:val="normaltextrun"/>
          <w:rFonts w:asciiTheme="majorBidi" w:hAnsiTheme="majorBidi" w:cstheme="majorBidi"/>
          <w:lang w:val="en-US"/>
        </w:rPr>
        <w:t>Limited cognitive control over action was eviden</w:t>
      </w:r>
      <w:r w:rsidR="00614333" w:rsidRPr="000E4150">
        <w:rPr>
          <w:rStyle w:val="normaltextrun"/>
          <w:rFonts w:asciiTheme="majorBidi" w:hAnsiTheme="majorBidi" w:cstheme="majorBidi"/>
          <w:lang w:val="en-US"/>
        </w:rPr>
        <w:t>t</w:t>
      </w:r>
      <w:r w:rsidRPr="000E4150">
        <w:rPr>
          <w:rStyle w:val="normaltextrun"/>
          <w:rFonts w:asciiTheme="majorBidi" w:hAnsiTheme="majorBidi" w:cstheme="majorBidi"/>
          <w:lang w:val="en-US"/>
        </w:rPr>
        <w:t xml:space="preserve"> in the SDI group, particularly involving incentive-based situations in line with prominent theorizing. </w:t>
      </w:r>
      <w:r w:rsidRPr="000E4150">
        <w:rPr>
          <w:rFonts w:asciiTheme="majorBidi" w:hAnsiTheme="majorBidi" w:cstheme="majorBidi"/>
          <w:lang w:val="en-US"/>
        </w:rPr>
        <w:t xml:space="preserve">Whole brain analyses provide evidence for cortico-striatal network disruption in addiction involving top-down control by the PFC and its interactions with striatal structures with altered connectivity and abnormal </w:t>
      </w:r>
      <w:r w:rsidRPr="000E4150">
        <w:rPr>
          <w:rFonts w:asciiTheme="majorBidi" w:hAnsiTheme="majorBidi" w:cstheme="majorBidi"/>
          <w:lang w:val="en-US"/>
        </w:rPr>
        <w:lastRenderedPageBreak/>
        <w:t>striatal activation</w:t>
      </w:r>
      <w:r w:rsidR="004076C2" w:rsidRPr="000E4150">
        <w:rPr>
          <w:rFonts w:asciiTheme="majorBidi" w:hAnsiTheme="majorBidi" w:cstheme="majorBidi"/>
          <w:lang w:val="en-US"/>
        </w:rPr>
        <w:t xml:space="preserve"> patterns</w:t>
      </w:r>
      <w:r w:rsidRPr="000E4150">
        <w:rPr>
          <w:rFonts w:asciiTheme="majorBidi" w:hAnsiTheme="majorBidi" w:cstheme="majorBidi"/>
          <w:lang w:val="en-US"/>
        </w:rPr>
        <w:t xml:space="preserve">. By capitalizing on the presence of premature responses in </w:t>
      </w:r>
      <w:r w:rsidR="00217273" w:rsidRPr="000E4150">
        <w:rPr>
          <w:rFonts w:asciiTheme="majorBidi" w:hAnsiTheme="majorBidi" w:cstheme="majorBidi"/>
          <w:lang w:val="en-US"/>
        </w:rPr>
        <w:t xml:space="preserve">this </w:t>
      </w:r>
      <w:r w:rsidRPr="000E4150">
        <w:rPr>
          <w:rFonts w:asciiTheme="majorBidi" w:hAnsiTheme="majorBidi" w:cstheme="majorBidi"/>
          <w:lang w:val="en-US"/>
        </w:rPr>
        <w:t xml:space="preserve">version of the MID and introducing a novel analysis, </w:t>
      </w:r>
      <w:r w:rsidR="001C34E8" w:rsidRPr="000E4150">
        <w:rPr>
          <w:rFonts w:asciiTheme="majorBidi" w:hAnsiTheme="majorBidi" w:cstheme="majorBidi"/>
          <w:lang w:val="en-US"/>
        </w:rPr>
        <w:t xml:space="preserve">our results </w:t>
      </w:r>
      <w:r w:rsidR="004511A8" w:rsidRPr="000E4150">
        <w:rPr>
          <w:rFonts w:asciiTheme="majorBidi" w:hAnsiTheme="majorBidi" w:cstheme="majorBidi"/>
          <w:lang w:val="en-US"/>
        </w:rPr>
        <w:t>indicate</w:t>
      </w:r>
      <w:r w:rsidR="001C34E8" w:rsidRPr="000E4150">
        <w:rPr>
          <w:rFonts w:asciiTheme="majorBidi" w:hAnsiTheme="majorBidi" w:cstheme="majorBidi"/>
          <w:lang w:val="en-US"/>
        </w:rPr>
        <w:t xml:space="preserve"> </w:t>
      </w:r>
      <w:r w:rsidRPr="000E4150">
        <w:rPr>
          <w:rFonts w:asciiTheme="majorBidi" w:hAnsiTheme="majorBidi" w:cstheme="majorBidi"/>
          <w:lang w:val="en-US"/>
        </w:rPr>
        <w:t xml:space="preserve">that different forms of impulsive behaviors are comprised of separable, though often overlapping </w:t>
      </w:r>
      <w:r w:rsidR="00614333" w:rsidRPr="000E4150">
        <w:rPr>
          <w:rFonts w:asciiTheme="majorBidi" w:hAnsiTheme="majorBidi" w:cstheme="majorBidi"/>
          <w:lang w:val="en-US"/>
        </w:rPr>
        <w:t>neural networks</w:t>
      </w:r>
      <w:r w:rsidR="005B1D7D" w:rsidRPr="000E4150">
        <w:rPr>
          <w:rFonts w:asciiTheme="majorBidi" w:hAnsiTheme="majorBidi" w:cstheme="majorBidi"/>
          <w:lang w:val="en-US"/>
        </w:rPr>
        <w:t xml:space="preserve"> and are selectively modulated by incentive motivational processes</w:t>
      </w:r>
      <w:r w:rsidRPr="000E4150">
        <w:rPr>
          <w:rFonts w:asciiTheme="majorBidi" w:hAnsiTheme="majorBidi" w:cstheme="majorBidi"/>
          <w:lang w:val="en-US"/>
        </w:rPr>
        <w:t>.</w:t>
      </w:r>
      <w:r w:rsidR="00F126EF" w:rsidRPr="000E4150">
        <w:rPr>
          <w:rFonts w:asciiTheme="majorBidi" w:hAnsiTheme="majorBidi" w:cstheme="majorBidi"/>
          <w:lang w:val="en-US"/>
        </w:rPr>
        <w:t xml:space="preserve"> </w:t>
      </w:r>
    </w:p>
    <w:p w14:paraId="19A3DDD4" w14:textId="77777777" w:rsidR="00787D9B" w:rsidRPr="000E4150" w:rsidRDefault="00787D9B" w:rsidP="00610042">
      <w:pPr>
        <w:spacing w:line="480" w:lineRule="auto"/>
        <w:rPr>
          <w:rFonts w:asciiTheme="majorBidi" w:hAnsiTheme="majorBidi" w:cstheme="majorBidi"/>
          <w:sz w:val="24"/>
          <w:szCs w:val="24"/>
          <w:lang w:val="en-US"/>
        </w:rPr>
      </w:pPr>
    </w:p>
    <w:p w14:paraId="316B4FE9" w14:textId="77777777" w:rsidR="00787D9B" w:rsidRPr="000E4150" w:rsidRDefault="00787D9B" w:rsidP="00A320B9">
      <w:pPr>
        <w:pStyle w:val="paragraph"/>
        <w:spacing w:before="0" w:beforeAutospacing="0" w:after="0" w:afterAutospacing="0" w:line="480" w:lineRule="auto"/>
        <w:textAlignment w:val="baseline"/>
        <w:rPr>
          <w:rFonts w:asciiTheme="majorBidi" w:hAnsiTheme="majorBidi" w:cstheme="majorBidi"/>
          <w:lang w:val="en-US"/>
        </w:rPr>
      </w:pPr>
      <w:r w:rsidRPr="000E4150">
        <w:rPr>
          <w:rStyle w:val="eop"/>
          <w:rFonts w:asciiTheme="majorBidi" w:hAnsiTheme="majorBidi" w:cstheme="majorBidi"/>
          <w:lang w:val="en-US"/>
        </w:rPr>
        <w:t> </w:t>
      </w:r>
    </w:p>
    <w:p w14:paraId="7CE57AC7" w14:textId="77777777" w:rsidR="00787D9B" w:rsidRPr="000E4150" w:rsidRDefault="00787D9B" w:rsidP="00A320B9">
      <w:pPr>
        <w:spacing w:line="480" w:lineRule="auto"/>
        <w:rPr>
          <w:rFonts w:asciiTheme="majorBidi" w:hAnsiTheme="majorBidi" w:cstheme="majorBidi"/>
          <w:sz w:val="24"/>
          <w:szCs w:val="24"/>
          <w:lang w:val="en-US"/>
        </w:rPr>
      </w:pPr>
    </w:p>
    <w:p w14:paraId="0AA41C08" w14:textId="77777777" w:rsidR="00A320B9" w:rsidRPr="000E4150" w:rsidRDefault="00A320B9">
      <w:pPr>
        <w:rPr>
          <w:rFonts w:asciiTheme="majorBidi" w:hAnsiTheme="majorBidi" w:cstheme="majorBidi"/>
          <w:sz w:val="24"/>
          <w:szCs w:val="24"/>
          <w:lang w:val="en-US"/>
        </w:rPr>
      </w:pPr>
      <w:r w:rsidRPr="000E4150">
        <w:rPr>
          <w:rFonts w:asciiTheme="majorBidi" w:hAnsiTheme="majorBidi" w:cstheme="majorBidi"/>
          <w:sz w:val="24"/>
          <w:szCs w:val="24"/>
          <w:lang w:val="en-US"/>
        </w:rPr>
        <w:br w:type="page"/>
      </w:r>
    </w:p>
    <w:p w14:paraId="54D41C92" w14:textId="77777777" w:rsidR="00787D9B" w:rsidRPr="000E4150" w:rsidRDefault="00787D9B" w:rsidP="00A320B9">
      <w:pPr>
        <w:spacing w:line="480" w:lineRule="auto"/>
        <w:rPr>
          <w:rFonts w:asciiTheme="majorBidi" w:hAnsiTheme="majorBidi" w:cstheme="majorBidi"/>
          <w:b/>
          <w:bCs/>
          <w:sz w:val="24"/>
          <w:szCs w:val="24"/>
          <w:lang w:val="en-US"/>
        </w:rPr>
      </w:pPr>
      <w:r w:rsidRPr="000E4150">
        <w:rPr>
          <w:rFonts w:asciiTheme="majorBidi" w:hAnsiTheme="majorBidi" w:cstheme="majorBidi"/>
          <w:b/>
          <w:bCs/>
          <w:sz w:val="24"/>
          <w:szCs w:val="24"/>
          <w:lang w:val="en-US"/>
        </w:rPr>
        <w:lastRenderedPageBreak/>
        <w:t>References</w:t>
      </w:r>
    </w:p>
    <w:p w14:paraId="415509C9" w14:textId="1CE96A71" w:rsidR="00166C05" w:rsidRPr="000E4150" w:rsidRDefault="0094142A"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heme="majorBidi" w:hAnsiTheme="majorBidi" w:cstheme="majorBidi"/>
          <w:b/>
          <w:bCs/>
          <w:sz w:val="24"/>
          <w:szCs w:val="24"/>
          <w:lang w:val="en-US"/>
        </w:rPr>
        <w:fldChar w:fldCharType="begin" w:fldLock="1"/>
      </w:r>
      <w:r w:rsidRPr="000E4150">
        <w:rPr>
          <w:rFonts w:asciiTheme="majorBidi" w:hAnsiTheme="majorBidi" w:cstheme="majorBidi"/>
          <w:b/>
          <w:bCs/>
          <w:sz w:val="24"/>
          <w:szCs w:val="24"/>
          <w:lang w:val="en-US"/>
        </w:rPr>
        <w:instrText xml:space="preserve">ADDIN Mendeley Bibliography CSL_BIBLIOGRAPHY </w:instrText>
      </w:r>
      <w:r w:rsidRPr="000E4150">
        <w:rPr>
          <w:rFonts w:asciiTheme="majorBidi" w:hAnsiTheme="majorBidi" w:cstheme="majorBidi"/>
          <w:b/>
          <w:bCs/>
          <w:sz w:val="24"/>
          <w:szCs w:val="24"/>
          <w:lang w:val="en-US"/>
        </w:rPr>
        <w:fldChar w:fldCharType="separate"/>
      </w:r>
      <w:r w:rsidR="00166C05" w:rsidRPr="000E4150">
        <w:rPr>
          <w:rFonts w:ascii="Times New Roman" w:hAnsi="Times New Roman" w:cs="Times New Roman"/>
          <w:noProof/>
          <w:sz w:val="24"/>
          <w:szCs w:val="24"/>
        </w:rPr>
        <w:t>Bari A, Robbins TW (2013): Inhibition and impulsivity: Behavioral and neural basis of response control. Prog Neurobiol 108:44–79. http://dx.doi.org/10.1016/j.pneurobio.2013.06.005.</w:t>
      </w:r>
    </w:p>
    <w:p w14:paraId="76654520"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Bartra O, McGuire JT, Kable JW (2013): The valuation system: A coordinate-based meta-analysis of BOLD fMRI experiments examining neural correlates of subjective value. Neuroimage 25:412–427. http://dx.doi.org/10.1016/j.neuroimage.2013.02.063.</w:t>
      </w:r>
    </w:p>
    <w:p w14:paraId="2619C60D"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Botvinick M, Braver T (2015): Motivation and Cognitive Control: From Behavior to Neural Mechanism. Annu Rev Psychol 66:83–113.</w:t>
      </w:r>
    </w:p>
    <w:p w14:paraId="45CFAA14"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Buckholtz JW, Treadway MT, Cowan RL, Woodward ND, Li R, Ansari MS, Baldwin RM, Schwartzman AN, Shelby ES, Smith CE, Kessler RM, Zald DH (2010): Dopaminergic Network Differences in Human Impulsivity. Science (80- ) 329:532.</w:t>
      </w:r>
    </w:p>
    <w:p w14:paraId="4ABC9470"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Bühler M, Vollstädt-Klein S, Kobiella A, Budde H, Reed LJ, Braus DF, Büchel C, Smolka MN (2010): Nicotine Dependence Is Characterized by Disordered Reward Processing in a Network Driving Motivation. Biol Psychiatry 67:745–752. http://dx.doi.org/10.1016/j.biopsych.2009.10.029.</w:t>
      </w:r>
    </w:p>
    <w:p w14:paraId="3F9757FE"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Choi EY, Ding S-L, Haber SN (2017a): Combinatorial Inputs to the Ventral Striatum from the Temporal Cortex, Frontal Cortex, and Amygdala: Implications for Segmenting the Striatum. Eneuro 4:ENEURO.0392-17.2017.</w:t>
      </w:r>
    </w:p>
    <w:p w14:paraId="2C1773CE"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Choi EY, Tanimura Y, Vage PR, Yates EH, Haber SN (2017b): Convergence of prefrontal and parietal anatomical projections in a connectional hub in the striatum. Neuroimage 146:821–832. http://dx.doi.org/10.1016/j.neuroimage.2016.09.037.</w:t>
      </w:r>
    </w:p>
    <w:p w14:paraId="1AC27915"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 xml:space="preserve">Czapla M, Baeuchl C, Simon JJ, Richter B, Kluge M, Friederich HC, Mann K, Herpertz SC, </w:t>
      </w:r>
      <w:r w:rsidRPr="000E4150">
        <w:rPr>
          <w:rFonts w:ascii="Times New Roman" w:hAnsi="Times New Roman" w:cs="Times New Roman"/>
          <w:noProof/>
          <w:sz w:val="24"/>
          <w:szCs w:val="24"/>
        </w:rPr>
        <w:lastRenderedPageBreak/>
        <w:t>Loeber S (2017): Do alcohol-dependent patients show different neural activation during response inhibition than healthy controls in an alcohol-related fMRI go/no-go-task? Psychopharmacology (Berl) 234:1001–1015.</w:t>
      </w:r>
    </w:p>
    <w:p w14:paraId="31ABECE7"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d’Acremont M, Fornari E, Bossaerts P (2013): Activity in Inferior Parietal and Medial Prefrontal Cortex Signals the Accumulation of Evidence in a Probability Learning Task. PLoS Comput Biol 9.</w:t>
      </w:r>
    </w:p>
    <w:p w14:paraId="2BAC1E54"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Dalley JW, Ersche KD (2019): Neural circuitry and mechanisms of waiting impulsivity: relevance to addiction. Philos Trans R Soc Lond B Biol Sci 374:20180145.</w:t>
      </w:r>
    </w:p>
    <w:p w14:paraId="05145024"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lang w:val="de-DE"/>
        </w:rPr>
      </w:pPr>
      <w:r w:rsidRPr="000E4150">
        <w:rPr>
          <w:rFonts w:ascii="Times New Roman" w:hAnsi="Times New Roman" w:cs="Times New Roman"/>
          <w:noProof/>
          <w:sz w:val="24"/>
          <w:szCs w:val="24"/>
        </w:rPr>
        <w:t xml:space="preserve">Dalley JW, Everitt BJ, Robbins TW (2011): Impulsivity, Compulsivity, and Top-Down Cognitive Control. </w:t>
      </w:r>
      <w:r w:rsidRPr="000E4150">
        <w:rPr>
          <w:rFonts w:ascii="Times New Roman" w:hAnsi="Times New Roman" w:cs="Times New Roman"/>
          <w:noProof/>
          <w:sz w:val="24"/>
          <w:szCs w:val="24"/>
          <w:lang w:val="de-DE"/>
        </w:rPr>
        <w:t>Neuron 69:680–694. http://dx.doi.org/10.1016/j.neuron.2011.01.020%5Cnhttp://linkinghub.elsevier.com/retrieve/pii/S0896627311000687.</w:t>
      </w:r>
    </w:p>
    <w:p w14:paraId="77531D76"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Dalley JW, Robbins TW (2017): Fractionating impulsivity: neuropsychiatric implications. Nat Rev Neurosci 18:158–171. http://www.nature.com/doifinder/10.1038/nrn.2017.8.</w:t>
      </w:r>
    </w:p>
    <w:p w14:paraId="4A9E3466"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Desikan RS, Ségonne F, Fischl B, Quinn BT, Dickerson BC, Blacker D, Buckner RL, Dale AM, Maguire RP, Hyman BT, Albert MS, Killiany RJ (2006): An automated labeling system for subdividing the human cerebral cortex on MRI scans into gyral based regions of interest. Neuroimage 31:968–980.</w:t>
      </w:r>
    </w:p>
    <w:p w14:paraId="324D02B3"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Eagle DM, Baunez C (2010): Is there an inhibitory-response-control system in the rat? Evidence from anatomical and pharmacological studies of behavioral inhibition. Neurosci Biobehav Rev 34:50–72.</w:t>
      </w:r>
    </w:p>
    <w:p w14:paraId="4F6D581B"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 xml:space="preserve">Ersche KD, Turton AJ, Chamberlain SR, Müller U, Bullmore ET, Robbins TW (2012): Cognitive Dysfunction and Anxious-Impulsive Personality Traits Are Endophenotypes </w:t>
      </w:r>
      <w:r w:rsidRPr="000E4150">
        <w:rPr>
          <w:rFonts w:ascii="Times New Roman" w:hAnsi="Times New Roman" w:cs="Times New Roman"/>
          <w:noProof/>
          <w:sz w:val="24"/>
          <w:szCs w:val="24"/>
        </w:rPr>
        <w:lastRenderedPageBreak/>
        <w:t>for Drug Dependence. Am J Psychiatry 169:926–936.</w:t>
      </w:r>
    </w:p>
    <w:p w14:paraId="30D9DDCC"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Evenden JL (1999): Varieties of impulsivity. Psychopharmacology (Berl) 146:348–361.</w:t>
      </w:r>
    </w:p>
    <w:p w14:paraId="311EBAB8"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lang w:val="de-DE"/>
        </w:rPr>
      </w:pPr>
      <w:r w:rsidRPr="000E4150">
        <w:rPr>
          <w:rFonts w:ascii="Times New Roman" w:hAnsi="Times New Roman" w:cs="Times New Roman"/>
          <w:noProof/>
          <w:sz w:val="24"/>
          <w:szCs w:val="24"/>
        </w:rPr>
        <w:t xml:space="preserve">Everitt BJ, Robbins TW (2016): Drug Addiction: Updating Actions to Habits to Compulsions Ten Years On. </w:t>
      </w:r>
      <w:r w:rsidRPr="000E4150">
        <w:rPr>
          <w:rFonts w:ascii="Times New Roman" w:hAnsi="Times New Roman" w:cs="Times New Roman"/>
          <w:noProof/>
          <w:sz w:val="24"/>
          <w:szCs w:val="24"/>
          <w:lang w:val="de-DE"/>
        </w:rPr>
        <w:t>Annu Rev Psychol 67:150807174122003. http://www.annualreviews.org/doi/abs/10.1146/annurev-psych-122414-033457.</w:t>
      </w:r>
    </w:p>
    <w:p w14:paraId="02EDF5FF"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Goldstein RZ, Woicik PA, Moeller SJ, Telang F, Jayne M, Wong C, Wang GJ, Fowler JS, Volkow ND (2008): Liking and wanting of drug and non-drug rewards in active cocaine users: The STRAP-R questionnaire. J Psychopharmacol 24:257–266.</w:t>
      </w:r>
    </w:p>
    <w:p w14:paraId="7E02E03F"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Goldstein RZ, Volkow ND (2011): Dysfunction of the prefrontal cortex in addiction: Neuroimaging findings and clinical implications. Nat Rev Neurosci 12:652–669. http://dx.doi.org/10.1038/nrn3119.</w:t>
      </w:r>
    </w:p>
    <w:p w14:paraId="4F61BBF6"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Goldstein RZ, Volkow ND (2002): Drud addiction and its underlying neurobiological basis: neuroimaging evidence for the involvment of the frontal cortex. Am J Psychiatry 159:1642–1652.</w:t>
      </w:r>
    </w:p>
    <w:p w14:paraId="7374AC7F"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Gourley SL, Taylor JR (2016): Going and stopping: Dichotomies in behavioral control by the prefrontal cortex. Nat Neurosci 19:656–664.</w:t>
      </w:r>
    </w:p>
    <w:p w14:paraId="5E0A8610"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Graybiel AM (1995): Building action repertoires: memory and learning functions of the basal ganglia. Curr Opin Neurobiol 5:733–741. http://www.sciencedirect.com/science/article/pii/0959438895801006.</w:t>
      </w:r>
    </w:p>
    <w:p w14:paraId="54C5EC74"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Haber SN (2016): Corticostriatal circuitry. Neurosci 21st Century From Basic to Clin Second Ed:1721–1741.</w:t>
      </w:r>
    </w:p>
    <w:p w14:paraId="480CF369"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Hull CL (1943): Principles of Behavior: An Introduction to Behavior Theory. D. APPLETON-CENTURY COMPANY, INC. Vol. 4118.</w:t>
      </w:r>
    </w:p>
    <w:p w14:paraId="33E2D1BF"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lastRenderedPageBreak/>
        <w:t>James W (1890): Principles of Psychology.</w:t>
      </w:r>
    </w:p>
    <w:p w14:paraId="1F95549F"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Jenkinson M, Bannister P, Brady M, Smith S (2002): Improved optimization for the robust and accurate linear registration and motion correction of brain images. Neuroimage 17:825–41. http://www.ncbi.nlm.nih.gov/pubmed/12377157.</w:t>
      </w:r>
    </w:p>
    <w:p w14:paraId="3EDC0F22"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Just AL, Meng C, Smith DG, Bullmore ET, Robbins TW, Ersche KD (2019): Effects of familial risk and stimulant drug use on the anticipation of monetary reward: an fMRI study. Transl Psychiatry 9. http://dx.doi.org/10.1038/s41398-019-0399-4.</w:t>
      </w:r>
    </w:p>
    <w:p w14:paraId="1B3D6E1C"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Kim BS, Im HI (2018): The role of the dorsal striatum in choice impulsivity. Ann N Y Acad Sci:1–20.</w:t>
      </w:r>
    </w:p>
    <w:p w14:paraId="1EB5EB16"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Kjome KL, Lane SD, Schmitz JM, Green C, Ma L, Prasla I, Swann AC, Moeller FG (2010): Relationship between impulsivity and decision making in cocaine dependence. Psychiatry Res 178:299–304. http://dx.doi.org/10.1016/j.psychres.2009.11.024.</w:t>
      </w:r>
    </w:p>
    <w:p w14:paraId="44086656"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Ma L, Steinberg JL, Cunningham KA, Lane SD, Bjork JM, Neelakantan H, Price AE, Narayana PA, Kosten TR, Bechara A, Moeller FG (2015): Inhibitory behavioral control: A stochastic dynamic causal modeling study comparing cocaine dependent subjects and controls. NeuroImage Clin 7:837–847.</w:t>
      </w:r>
    </w:p>
    <w:p w14:paraId="114AC5B1"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Menon V (2015): Salience Network. Brain Mapping: An Encyclopedic Reference. Elsevier Inc. Vol. 2. http://dx.doi.org/10.1016/B978-0-12-397025-1.00052-X.</w:t>
      </w:r>
    </w:p>
    <w:p w14:paraId="7C8EBF9C"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Morein-Zamir S, Robbins TW (2015): Fronto-striatal circuits in response-inhibition: Relevance to addiction. Brain Res 1628:117–129. http://dx.doi.org/10.1016/j.brainres.2014.09.012.</w:t>
      </w:r>
    </w:p>
    <w:p w14:paraId="0B59B93D"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 xml:space="preserve">Morein-Zamir S, Simon Jones P, Bullmore ET, Robbins TW, Ersche KD (2013): Prefrontal hypoactivity associated with impaired inhibition in stimulant-dependent individuals but </w:t>
      </w:r>
      <w:r w:rsidRPr="000E4150">
        <w:rPr>
          <w:rFonts w:ascii="Times New Roman" w:hAnsi="Times New Roman" w:cs="Times New Roman"/>
          <w:noProof/>
          <w:sz w:val="24"/>
          <w:szCs w:val="24"/>
        </w:rPr>
        <w:lastRenderedPageBreak/>
        <w:t>evidence for hyperactivation in their unaffected siblings. Neuropsychopharmacology 38:1945–1953. http://dx.doi.org/10.1038/npp.2013.90.</w:t>
      </w:r>
    </w:p>
    <w:p w14:paraId="0C240C7D"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Morris LS, Kundu P, Baek K, Irvine MA, Mechelmans DJ, Wood J, Harrison NA, Robbins TW, Bullmore ET, Voon V (2016): Jumping the gun: Mapping neural correlates of waiting impulsivity and relevance across alcohol misuse. Biol Psychiatry 79:499–507. http://dx.doi.org/10.1016/j.biopsych.2015.06.009.</w:t>
      </w:r>
    </w:p>
    <w:p w14:paraId="5DFFDB25"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Nees F, Diener C, Smolka MN, Flor H (2012): The role of context in the processing of alcohol-relevant cues. Addict Biol 17:441–451.</w:t>
      </w:r>
    </w:p>
    <w:p w14:paraId="3B86FC13"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Neta M, Miezin FM, Nelson SM, Dubis JW, Dosenbach NUF, Schlaggar BL, Petersen SE (2015): Spatial and Temporal Characteristics of Error-Related Activity in the Human Brain. J Neurosci 35:253–266. http://www.jneurosci.org/cgi/doi/10.1523/JNEUROSCI.1313-14.2015.</w:t>
      </w:r>
    </w:p>
    <w:p w14:paraId="44813261"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Nichols T, Holmes A (2003): Nonparametric Permutation Tests for Functional Neuroimaging. Hum Brain Funct Second Ed 25:887–910.</w:t>
      </w:r>
    </w:p>
    <w:p w14:paraId="2B768609"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Norman LJ, Taylor SF, Liu Y, Radua J, Chye Y, De Wit SJ, Huyser C, Karahanoglu FI, Luks T, Manoach D, Mathews C, Rubia K, Suo C, van den Heuvel OA, Yücel M, Fitzgerald K (2019): Error Processing and Inhibitory Control in Obsessive-Compulsive Disorder: A Meta-analysis Using Statistical Parametric Maps. Biol Psychiatry 85:713–725. https://doi.org/10.1016/j.biopsych.2018.11.010.</w:t>
      </w:r>
    </w:p>
    <w:p w14:paraId="7D00D617"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Oldham S, Murawski C, Fornito A, Youssef G, Yücel M, Lorenzetti V (2018): The anticipation and outcome phases of reward and loss processing: A neuroimaging meta-analysis of the monetary incentive delay task. Hum Brain Mapp 39:3398–3418.</w:t>
      </w:r>
    </w:p>
    <w:p w14:paraId="242233DB"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 xml:space="preserve">Patton JH, Stanford MS, Barratt ES (1995): Factor structure of the barratt impulsiveness </w:t>
      </w:r>
      <w:r w:rsidRPr="000E4150">
        <w:rPr>
          <w:rFonts w:ascii="Times New Roman" w:hAnsi="Times New Roman" w:cs="Times New Roman"/>
          <w:noProof/>
          <w:sz w:val="24"/>
          <w:szCs w:val="24"/>
        </w:rPr>
        <w:lastRenderedPageBreak/>
        <w:t>scale. J Clin Psychol 51:768–774.</w:t>
      </w:r>
    </w:p>
    <w:p w14:paraId="4F2C2A01"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Porrino LJ, Daunais JB, Smith HR, Nader MA (2004): The expanding effects of cocaine: Studies in a nonhuman primate model of cocaine self-administration. Neurosci Biobehav Rev 27:813–820.</w:t>
      </w:r>
    </w:p>
    <w:p w14:paraId="6C545335"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Rae CL, Nombela C, Rodríguez PV, Ye Z, Hughes LE, Jones PS, Ham T, Rittman T, Coyle-Gilchrist I, Regenthal R, Sahakian BJ, Barker RA, Robbins TW, Rowe JB (2016): Atomoxetine restores the response inhibition network in Parkinson’s disease. Brain 139:2235–2248.</w:t>
      </w:r>
    </w:p>
    <w:p w14:paraId="7A091934"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lang w:val="de-DE"/>
        </w:rPr>
      </w:pPr>
      <w:r w:rsidRPr="000E4150">
        <w:rPr>
          <w:rFonts w:ascii="Times New Roman" w:hAnsi="Times New Roman" w:cs="Times New Roman"/>
          <w:noProof/>
          <w:sz w:val="24"/>
          <w:szCs w:val="24"/>
        </w:rPr>
        <w:t xml:space="preserve">Rae CL, Hughes LE, Anderson MC, Rowe JB (2015): The prefrontal cortex achieves inhibitory control by facilitating subcortical motor pathway connectivity. </w:t>
      </w:r>
      <w:r w:rsidRPr="000E4150">
        <w:rPr>
          <w:rFonts w:ascii="Times New Roman" w:hAnsi="Times New Roman" w:cs="Times New Roman"/>
          <w:noProof/>
          <w:sz w:val="24"/>
          <w:szCs w:val="24"/>
          <w:lang w:val="de-DE"/>
        </w:rPr>
        <w:t>J Neurosci 35:786–94. http://www.ncbi.nlm.nih.gov/pubmed/25589771%0Ahttp://www.pubmedcentral.nih.gov/articlerender.fcgi?artid=PMC4293423.</w:t>
      </w:r>
    </w:p>
    <w:p w14:paraId="4A18D0F5"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Sadaghiani S, D’Esposito M (2015): Functional characterization of the cingulo-opercular network in the maintenance of tonic alertness. Cereb Cortex 25:2763–2773.</w:t>
      </w:r>
    </w:p>
    <w:p w14:paraId="35152497"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Sanchez-Roige S, Stephens DN, Duka T (2016): Heightened Impulsivity: Associated with Family History of Alcohol Misuse, and a Consequence of Alcohol Intake. Alcohol Clin Exp Res 40:2208–2217.</w:t>
      </w:r>
    </w:p>
    <w:p w14:paraId="072989AE"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Schultz W (2016): Reward functions of the basal ganglia. J Neural Transm 123:679–693.</w:t>
      </w:r>
    </w:p>
    <w:p w14:paraId="5F937D00"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Smith SM, Nichols TE (2009): Threshold-free cluster enhancement: Addressing problems of smoothing, threshold dependence and localisation in cluster inference. Neuroimage 44:83–98. http://dx.doi.org/10.1016/j.neuroimage.2008.03.061.</w:t>
      </w:r>
    </w:p>
    <w:p w14:paraId="382F49F5"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lang w:val="de-DE"/>
        </w:rPr>
      </w:pPr>
      <w:r w:rsidRPr="000E4150">
        <w:rPr>
          <w:rFonts w:ascii="Times New Roman" w:hAnsi="Times New Roman" w:cs="Times New Roman"/>
          <w:noProof/>
          <w:sz w:val="24"/>
          <w:szCs w:val="24"/>
        </w:rPr>
        <w:t xml:space="preserve">Smith SM (2002): Fast robust automated brain extraction. </w:t>
      </w:r>
      <w:r w:rsidRPr="000E4150">
        <w:rPr>
          <w:rFonts w:ascii="Times New Roman" w:hAnsi="Times New Roman" w:cs="Times New Roman"/>
          <w:noProof/>
          <w:sz w:val="24"/>
          <w:szCs w:val="24"/>
          <w:lang w:val="de-DE"/>
        </w:rPr>
        <w:t xml:space="preserve">Hum Brain Mapp 17:143–55. </w:t>
      </w:r>
      <w:r w:rsidRPr="000E4150">
        <w:rPr>
          <w:rFonts w:ascii="Times New Roman" w:hAnsi="Times New Roman" w:cs="Times New Roman"/>
          <w:noProof/>
          <w:sz w:val="24"/>
          <w:szCs w:val="24"/>
          <w:lang w:val="de-DE"/>
        </w:rPr>
        <w:lastRenderedPageBreak/>
        <w:t>http://www.ncbi.nlm.nih.gov/pubmed/12391568.</w:t>
      </w:r>
    </w:p>
    <w:p w14:paraId="0935177F"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Trifilieff P, Martinez D (2014): Imaging addiction: D 2 receptors and dopamine signaling in the striatum as biomarkers for impulsivity. Neuropharmacology 76:498–509.</w:t>
      </w:r>
    </w:p>
    <w:p w14:paraId="54D30E4B"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Uddin LQ (2016): Anatomy of the Salience Network. Salience Netw Hum Brain:5–10.</w:t>
      </w:r>
    </w:p>
    <w:p w14:paraId="3FD84510"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Um M, Whitt ZT, Revilla R, Hunton T, Cyders MA (2019): Shared neural correlates underlying addictive disorders and negative urgency. Brain Sci 9.</w:t>
      </w:r>
    </w:p>
    <w:p w14:paraId="66DE4D47"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Vigil-Colet A (2007): Impulsivity and decision making in the balloon analogue risk-taking task. Pers Individ Dif 43:37–45.</w:t>
      </w:r>
    </w:p>
    <w:p w14:paraId="79478E28"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Volkow ND, Wang G-J, Telang F, Fowler JS, Logan J, Childress A-R, Jayne M, Ma Y, Wong C (2006): Cocaine Cues and Dopamine in Dorsal Striatum: Mechanism of Craving in Cocaine Addiction. J Neurosci 26:6583–6588.</w:t>
      </w:r>
    </w:p>
    <w:p w14:paraId="49258DEA"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Voon V (2014): Models of Impulsivity with a Focus on Waiting Impulsivity: Translational Potential for Neuropsychiatric Disorders. Curr Addict Reports 1:281–288.</w:t>
      </w:r>
    </w:p>
    <w:p w14:paraId="40C22DBD"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Whelan R, Conrod PJ, Poline J-B, Lourdusamy A, Banaschewski T, Barker GJ, Bellgrove MA, Büchel C, Byrne M, Cummins TDR, Fauth-Bühler M, Flor H, Gallinat J, Heinz A, Ittermann B, Mann K, Martinot J-L, Lalor EC, Lathrop M, Loth E, Nees F, Paus T, Rietschel M, Smolka MN, Spanagel R, Stephens DN, Struve M, Thyreau B, Vollstaedt-Klein S, Robbins TW, Schumann G, Garavan H, Consortium  the I (2012): Adolescent impulsivity phenotypes characterized by distinct brain networks. Nat Neurosci 15:920–925. http://www.nature.com/articles/nn.3092.</w:t>
      </w:r>
    </w:p>
    <w:p w14:paraId="74617C6E"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szCs w:val="24"/>
        </w:rPr>
      </w:pPr>
      <w:r w:rsidRPr="000E4150">
        <w:rPr>
          <w:rFonts w:ascii="Times New Roman" w:hAnsi="Times New Roman" w:cs="Times New Roman"/>
          <w:noProof/>
          <w:sz w:val="24"/>
          <w:szCs w:val="24"/>
        </w:rPr>
        <w:t>Winkler AM, Ridgway GR, Webster MA, Smith SM, Nichols TE (2014): Permutation inference for the general linear model. Neuroimage 92:381–397. http://dx.doi.org/10.1016/j.neuroimage.2014.01.060.</w:t>
      </w:r>
    </w:p>
    <w:p w14:paraId="5AEF80D2" w14:textId="77777777" w:rsidR="00166C05" w:rsidRPr="000E4150" w:rsidRDefault="00166C05" w:rsidP="00166C05">
      <w:pPr>
        <w:widowControl w:val="0"/>
        <w:autoSpaceDE w:val="0"/>
        <w:autoSpaceDN w:val="0"/>
        <w:adjustRightInd w:val="0"/>
        <w:spacing w:line="480" w:lineRule="auto"/>
        <w:ind w:left="480" w:hanging="480"/>
        <w:rPr>
          <w:rFonts w:ascii="Times New Roman" w:hAnsi="Times New Roman" w:cs="Times New Roman"/>
          <w:noProof/>
          <w:sz w:val="24"/>
        </w:rPr>
      </w:pPr>
      <w:r w:rsidRPr="000E4150">
        <w:rPr>
          <w:rFonts w:ascii="Times New Roman" w:hAnsi="Times New Roman" w:cs="Times New Roman"/>
          <w:noProof/>
          <w:sz w:val="24"/>
          <w:szCs w:val="24"/>
        </w:rPr>
        <w:lastRenderedPageBreak/>
        <w:t>Zilverstand A, Huang AS, Alia-Klein N, Goldstein RZ (2018): Neuroimaging Impaired Response Inhibition and Salience Attribution in Human Drug Addiction: A Systematic Review. Neuron 98:886–903. https://doi.org/10.1016/j.neuron.2018.03.048.</w:t>
      </w:r>
    </w:p>
    <w:p w14:paraId="0FAF4C05" w14:textId="77777777" w:rsidR="00EE66C0" w:rsidRPr="000E4150" w:rsidRDefault="0094142A" w:rsidP="001C0B24">
      <w:pPr>
        <w:spacing w:line="480" w:lineRule="auto"/>
        <w:rPr>
          <w:rFonts w:asciiTheme="majorBidi" w:hAnsiTheme="majorBidi" w:cstheme="majorBidi"/>
          <w:b/>
          <w:bCs/>
          <w:sz w:val="24"/>
          <w:szCs w:val="24"/>
          <w:lang w:val="en-US"/>
        </w:rPr>
      </w:pPr>
      <w:r w:rsidRPr="000E4150">
        <w:rPr>
          <w:rFonts w:asciiTheme="majorBidi" w:hAnsiTheme="majorBidi" w:cstheme="majorBidi"/>
          <w:b/>
          <w:bCs/>
          <w:sz w:val="24"/>
          <w:szCs w:val="24"/>
          <w:lang w:val="en-US"/>
        </w:rPr>
        <w:fldChar w:fldCharType="end"/>
      </w:r>
    </w:p>
    <w:p w14:paraId="5CC30DD1" w14:textId="77777777" w:rsidR="00EE66C0" w:rsidRPr="000E4150" w:rsidRDefault="00EE66C0">
      <w:pPr>
        <w:rPr>
          <w:rFonts w:asciiTheme="majorBidi" w:hAnsiTheme="majorBidi" w:cstheme="majorBidi"/>
          <w:b/>
          <w:bCs/>
          <w:sz w:val="24"/>
          <w:szCs w:val="24"/>
          <w:lang w:val="en-US"/>
        </w:rPr>
      </w:pPr>
      <w:r w:rsidRPr="000E4150">
        <w:rPr>
          <w:rFonts w:asciiTheme="majorBidi" w:hAnsiTheme="majorBidi" w:cstheme="majorBidi"/>
          <w:b/>
          <w:bCs/>
          <w:sz w:val="24"/>
          <w:szCs w:val="24"/>
          <w:lang w:val="en-US"/>
        </w:rPr>
        <w:br w:type="page"/>
      </w:r>
    </w:p>
    <w:p w14:paraId="78985DD3" w14:textId="53040866" w:rsidR="00787D9B" w:rsidRPr="000E4150" w:rsidRDefault="0021616D" w:rsidP="001C0B24">
      <w:pPr>
        <w:spacing w:line="480" w:lineRule="auto"/>
        <w:rPr>
          <w:rFonts w:asciiTheme="majorBidi" w:hAnsiTheme="majorBidi" w:cstheme="majorBidi"/>
          <w:b/>
          <w:bCs/>
          <w:sz w:val="24"/>
          <w:szCs w:val="24"/>
          <w:lang w:val="en-US"/>
        </w:rPr>
      </w:pPr>
      <w:r w:rsidRPr="000E4150">
        <w:rPr>
          <w:rFonts w:asciiTheme="majorBidi" w:hAnsiTheme="majorBidi" w:cstheme="majorBidi"/>
          <w:b/>
          <w:bCs/>
          <w:sz w:val="24"/>
          <w:szCs w:val="24"/>
          <w:lang w:val="en-US"/>
        </w:rPr>
        <w:lastRenderedPageBreak/>
        <w:t>Tables</w:t>
      </w:r>
    </w:p>
    <w:p w14:paraId="085466CF" w14:textId="0ECC907A" w:rsidR="0021616D" w:rsidRPr="000E4150" w:rsidRDefault="0021616D" w:rsidP="00087A53">
      <w:pPr>
        <w:pStyle w:val="NoSpacing"/>
        <w:spacing w:line="360" w:lineRule="auto"/>
        <w:rPr>
          <w:lang w:val="en-US"/>
        </w:rPr>
      </w:pPr>
      <w:r w:rsidRPr="000E4150">
        <w:rPr>
          <w:b/>
          <w:bCs/>
          <w:lang w:val="en-US"/>
        </w:rPr>
        <w:t xml:space="preserve">Table 1. </w:t>
      </w:r>
      <w:r w:rsidRPr="000E4150">
        <w:rPr>
          <w:lang w:val="en-US"/>
        </w:rPr>
        <w:t xml:space="preserve">Demographic, personality and clinical measures for the three groups. Data are means </w:t>
      </w:r>
      <w:r w:rsidRPr="000E4150">
        <w:rPr>
          <w:rFonts w:cs="Times New Roman"/>
          <w:lang w:val="en-US"/>
        </w:rPr>
        <w:t>± s</w:t>
      </w:r>
      <w:r w:rsidRPr="000E4150">
        <w:rPr>
          <w:lang w:val="en-US"/>
        </w:rPr>
        <w:t xml:space="preserve">tandard deviation (SD). Significant differences (p&lt;0.05) are highlighted in bold; Chi-square tests were used for categorical comparisons and one-way </w:t>
      </w:r>
      <w:r w:rsidR="000C1F7B" w:rsidRPr="000E4150">
        <w:rPr>
          <w:lang w:val="en-US"/>
        </w:rPr>
        <w:t>analyses of variance</w:t>
      </w:r>
      <w:r w:rsidRPr="000E4150">
        <w:rPr>
          <w:lang w:val="en-US"/>
        </w:rPr>
        <w:t xml:space="preserve"> were used to test continuous outcomes. Gender (Chi</w:t>
      </w:r>
      <w:r w:rsidRPr="000E4150">
        <w:rPr>
          <w:vertAlign w:val="superscript"/>
          <w:lang w:val="en-US"/>
        </w:rPr>
        <w:t>2</w:t>
      </w:r>
      <w:r w:rsidRPr="000E4150">
        <w:rPr>
          <w:lang w:val="en-US"/>
        </w:rPr>
        <w:t>=36.48, p&lt; 0.001), Impulsivity (</w:t>
      </w:r>
      <w:r w:rsidR="00791906" w:rsidRPr="000E4150">
        <w:rPr>
          <w:lang w:val="en-US"/>
        </w:rPr>
        <w:t xml:space="preserve">Barratt Impulsivity questionnaire, </w:t>
      </w:r>
      <w:r w:rsidRPr="000E4150">
        <w:rPr>
          <w:lang w:val="en-US"/>
        </w:rPr>
        <w:t>BIS-11, F</w:t>
      </w:r>
      <w:r w:rsidRPr="000E4150">
        <w:rPr>
          <w:lang w:val="en-US"/>
        </w:rPr>
        <w:softHyphen/>
      </w:r>
      <w:r w:rsidRPr="000E4150">
        <w:rPr>
          <w:vertAlign w:val="subscript"/>
          <w:lang w:val="en-US"/>
        </w:rPr>
        <w:t>2,123</w:t>
      </w:r>
      <w:r w:rsidRPr="000E4150">
        <w:rPr>
          <w:lang w:val="en-US"/>
        </w:rPr>
        <w:t>= 38.22, p&lt;0.001) and Value Money (“How likely are you to pick up 10p/50p?”, F</w:t>
      </w:r>
      <w:r w:rsidRPr="000E4150">
        <w:rPr>
          <w:vertAlign w:val="subscript"/>
          <w:lang w:val="en-US"/>
        </w:rPr>
        <w:t>2,123</w:t>
      </w:r>
      <w:r w:rsidRPr="000E4150">
        <w:rPr>
          <w:lang w:val="en-US"/>
        </w:rPr>
        <w:t>=4.439, p=0.0138) were significantly different between</w:t>
      </w:r>
      <w:r w:rsidR="00DA6B10" w:rsidRPr="000E4150">
        <w:rPr>
          <w:lang w:val="en-US"/>
        </w:rPr>
        <w:t xml:space="preserve"> the HC, SIB and SDI</w:t>
      </w:r>
      <w:r w:rsidRPr="000E4150">
        <w:rPr>
          <w:lang w:val="en-US"/>
        </w:rPr>
        <w:t xml:space="preserve"> groups.</w:t>
      </w:r>
    </w:p>
    <w:p w14:paraId="28F8D01E" w14:textId="77777777" w:rsidR="00691328" w:rsidRPr="000E4150" w:rsidRDefault="00691328" w:rsidP="00087A53">
      <w:pPr>
        <w:pStyle w:val="NoSpacing"/>
        <w:spacing w:line="360" w:lineRule="auto"/>
        <w:rPr>
          <w:lang w:val="en-US"/>
        </w:rPr>
      </w:pPr>
    </w:p>
    <w:tbl>
      <w:tblPr>
        <w:tblW w:w="9072" w:type="dxa"/>
        <w:tblInd w:w="93" w:type="dxa"/>
        <w:tblLayout w:type="fixed"/>
        <w:tblLook w:val="04A0" w:firstRow="1" w:lastRow="0" w:firstColumn="1" w:lastColumn="0" w:noHBand="0" w:noVBand="1"/>
      </w:tblPr>
      <w:tblGrid>
        <w:gridCol w:w="2567"/>
        <w:gridCol w:w="1417"/>
        <w:gridCol w:w="851"/>
        <w:gridCol w:w="850"/>
        <w:gridCol w:w="912"/>
        <w:gridCol w:w="1356"/>
        <w:gridCol w:w="1119"/>
      </w:tblGrid>
      <w:tr w:rsidR="000E4150" w:rsidRPr="000E4150" w14:paraId="04C4476C" w14:textId="77777777" w:rsidTr="00D307D0">
        <w:trPr>
          <w:trHeight w:val="585"/>
        </w:trPr>
        <w:tc>
          <w:tcPr>
            <w:tcW w:w="2567" w:type="dxa"/>
            <w:vMerge w:val="restart"/>
            <w:tcBorders>
              <w:top w:val="nil"/>
              <w:left w:val="nil"/>
            </w:tcBorders>
            <w:shd w:val="clear" w:color="auto" w:fill="auto"/>
            <w:hideMark/>
          </w:tcPr>
          <w:p w14:paraId="6C54DC39" w14:textId="77777777" w:rsidR="0021616D" w:rsidRPr="000E4150" w:rsidRDefault="0021616D" w:rsidP="005D2EEB">
            <w:pPr>
              <w:spacing w:after="0" w:line="240" w:lineRule="auto"/>
              <w:rPr>
                <w:rFonts w:ascii="Times New Roman" w:eastAsia="Times New Roman" w:hAnsi="Times New Roman" w:cs="Times New Roman"/>
                <w:b/>
                <w:bCs/>
                <w:sz w:val="24"/>
                <w:szCs w:val="24"/>
                <w:lang w:val="en-US" w:eastAsia="en-GB"/>
              </w:rPr>
            </w:pPr>
          </w:p>
        </w:tc>
        <w:tc>
          <w:tcPr>
            <w:tcW w:w="2268" w:type="dxa"/>
            <w:gridSpan w:val="2"/>
            <w:tcBorders>
              <w:top w:val="nil"/>
            </w:tcBorders>
            <w:shd w:val="clear" w:color="auto" w:fill="auto"/>
            <w:hideMark/>
          </w:tcPr>
          <w:p w14:paraId="0E9161EF" w14:textId="77777777" w:rsidR="0021616D" w:rsidRPr="000E4150" w:rsidRDefault="0021616D" w:rsidP="005D2EEB">
            <w:pPr>
              <w:spacing w:after="0" w:line="240" w:lineRule="auto"/>
              <w:jc w:val="center"/>
              <w:rPr>
                <w:rFonts w:ascii="Times New Roman" w:eastAsia="Times New Roman" w:hAnsi="Times New Roman" w:cs="Times New Roman"/>
                <w:b/>
                <w:bCs/>
                <w:sz w:val="24"/>
                <w:szCs w:val="24"/>
                <w:lang w:val="en-US" w:eastAsia="en-GB"/>
              </w:rPr>
            </w:pPr>
            <w:r w:rsidRPr="000E4150">
              <w:rPr>
                <w:rFonts w:ascii="Times New Roman" w:eastAsia="Times New Roman" w:hAnsi="Times New Roman" w:cs="Times New Roman"/>
                <w:b/>
                <w:bCs/>
                <w:sz w:val="24"/>
                <w:szCs w:val="24"/>
                <w:lang w:val="en-US" w:eastAsia="en-GB"/>
              </w:rPr>
              <w:t>Healthy Controls</w:t>
            </w:r>
          </w:p>
        </w:tc>
        <w:tc>
          <w:tcPr>
            <w:tcW w:w="1762" w:type="dxa"/>
            <w:gridSpan w:val="2"/>
            <w:tcBorders>
              <w:top w:val="nil"/>
            </w:tcBorders>
            <w:shd w:val="clear" w:color="auto" w:fill="auto"/>
            <w:hideMark/>
          </w:tcPr>
          <w:p w14:paraId="7A66BE99" w14:textId="77777777" w:rsidR="0021616D" w:rsidRPr="000E4150" w:rsidRDefault="0021616D" w:rsidP="005D2EEB">
            <w:pPr>
              <w:spacing w:after="0" w:line="240" w:lineRule="auto"/>
              <w:jc w:val="center"/>
              <w:rPr>
                <w:rFonts w:ascii="Times New Roman" w:eastAsia="Times New Roman" w:hAnsi="Times New Roman" w:cs="Times New Roman"/>
                <w:b/>
                <w:bCs/>
                <w:sz w:val="24"/>
                <w:szCs w:val="24"/>
                <w:lang w:val="en-US" w:eastAsia="en-GB"/>
              </w:rPr>
            </w:pPr>
            <w:r w:rsidRPr="000E4150">
              <w:rPr>
                <w:rFonts w:ascii="Times New Roman" w:eastAsia="Times New Roman" w:hAnsi="Times New Roman" w:cs="Times New Roman"/>
                <w:b/>
                <w:bCs/>
                <w:sz w:val="24"/>
                <w:szCs w:val="24"/>
                <w:lang w:val="en-US" w:eastAsia="en-GB"/>
              </w:rPr>
              <w:t>At-risk Siblings</w:t>
            </w:r>
          </w:p>
        </w:tc>
        <w:tc>
          <w:tcPr>
            <w:tcW w:w="2475" w:type="dxa"/>
            <w:gridSpan w:val="2"/>
            <w:tcBorders>
              <w:top w:val="nil"/>
              <w:right w:val="nil"/>
            </w:tcBorders>
            <w:shd w:val="clear" w:color="auto" w:fill="auto"/>
            <w:hideMark/>
          </w:tcPr>
          <w:p w14:paraId="52AAFD4D" w14:textId="77777777" w:rsidR="0021616D" w:rsidRPr="000E4150" w:rsidRDefault="0021616D" w:rsidP="005D2EEB">
            <w:pPr>
              <w:spacing w:after="0" w:line="240" w:lineRule="auto"/>
              <w:jc w:val="center"/>
              <w:rPr>
                <w:rFonts w:ascii="Times New Roman" w:eastAsia="Times New Roman" w:hAnsi="Times New Roman" w:cs="Times New Roman"/>
                <w:b/>
                <w:bCs/>
                <w:sz w:val="24"/>
                <w:szCs w:val="24"/>
                <w:lang w:val="en-US" w:eastAsia="en-GB"/>
              </w:rPr>
            </w:pPr>
            <w:r w:rsidRPr="000E4150">
              <w:rPr>
                <w:rFonts w:ascii="Times New Roman" w:eastAsia="Times New Roman" w:hAnsi="Times New Roman" w:cs="Times New Roman"/>
                <w:b/>
                <w:bCs/>
                <w:sz w:val="24"/>
                <w:szCs w:val="24"/>
                <w:lang w:val="en-US" w:eastAsia="en-GB"/>
              </w:rPr>
              <w:t>Stimulant Dependent Individuals</w:t>
            </w:r>
          </w:p>
        </w:tc>
      </w:tr>
      <w:tr w:rsidR="000E4150" w:rsidRPr="000E4150" w14:paraId="06636A33" w14:textId="77777777" w:rsidTr="00D307D0">
        <w:trPr>
          <w:trHeight w:val="315"/>
        </w:trPr>
        <w:tc>
          <w:tcPr>
            <w:tcW w:w="2567" w:type="dxa"/>
            <w:vMerge/>
            <w:tcBorders>
              <w:left w:val="nil"/>
            </w:tcBorders>
            <w:vAlign w:val="center"/>
            <w:hideMark/>
          </w:tcPr>
          <w:p w14:paraId="78F4A28B" w14:textId="77777777" w:rsidR="0021616D" w:rsidRPr="000E4150" w:rsidRDefault="0021616D" w:rsidP="005D2EEB">
            <w:pPr>
              <w:spacing w:after="0" w:line="240" w:lineRule="auto"/>
              <w:rPr>
                <w:rFonts w:ascii="Times New Roman" w:eastAsia="Times New Roman" w:hAnsi="Times New Roman" w:cs="Times New Roman"/>
                <w:b/>
                <w:bCs/>
                <w:sz w:val="24"/>
                <w:szCs w:val="24"/>
                <w:lang w:val="en-US" w:eastAsia="en-GB"/>
              </w:rPr>
            </w:pPr>
          </w:p>
        </w:tc>
        <w:tc>
          <w:tcPr>
            <w:tcW w:w="2268" w:type="dxa"/>
            <w:gridSpan w:val="2"/>
            <w:tcBorders>
              <w:bottom w:val="single" w:sz="4" w:space="0" w:color="auto"/>
            </w:tcBorders>
            <w:shd w:val="clear" w:color="auto" w:fill="auto"/>
            <w:hideMark/>
          </w:tcPr>
          <w:p w14:paraId="5C0CA40F" w14:textId="77777777" w:rsidR="0021616D" w:rsidRPr="000E4150" w:rsidRDefault="0021616D" w:rsidP="005D2EEB">
            <w:pPr>
              <w:spacing w:after="0" w:line="240" w:lineRule="auto"/>
              <w:jc w:val="center"/>
              <w:rPr>
                <w:rFonts w:ascii="Times New Roman" w:eastAsia="Times New Roman" w:hAnsi="Times New Roman" w:cs="Times New Roman"/>
                <w:b/>
                <w:bCs/>
                <w:sz w:val="24"/>
                <w:szCs w:val="24"/>
                <w:lang w:val="en-US" w:eastAsia="en-GB"/>
              </w:rPr>
            </w:pPr>
            <w:r w:rsidRPr="000E4150">
              <w:rPr>
                <w:rFonts w:ascii="Times New Roman" w:eastAsia="Times New Roman" w:hAnsi="Times New Roman" w:cs="Times New Roman"/>
                <w:b/>
                <w:bCs/>
                <w:sz w:val="24"/>
                <w:szCs w:val="24"/>
                <w:lang w:val="en-US" w:eastAsia="en-GB"/>
              </w:rPr>
              <w:t>(n=42)</w:t>
            </w:r>
          </w:p>
        </w:tc>
        <w:tc>
          <w:tcPr>
            <w:tcW w:w="1762" w:type="dxa"/>
            <w:gridSpan w:val="2"/>
            <w:tcBorders>
              <w:bottom w:val="single" w:sz="4" w:space="0" w:color="auto"/>
            </w:tcBorders>
            <w:shd w:val="clear" w:color="auto" w:fill="auto"/>
            <w:hideMark/>
          </w:tcPr>
          <w:p w14:paraId="6BFEAD23" w14:textId="77777777" w:rsidR="0021616D" w:rsidRPr="000E4150" w:rsidRDefault="0021616D" w:rsidP="005D2EEB">
            <w:pPr>
              <w:spacing w:after="0" w:line="240" w:lineRule="auto"/>
              <w:jc w:val="center"/>
              <w:rPr>
                <w:rFonts w:ascii="Times New Roman" w:eastAsia="Times New Roman" w:hAnsi="Times New Roman" w:cs="Times New Roman"/>
                <w:b/>
                <w:bCs/>
                <w:sz w:val="24"/>
                <w:szCs w:val="24"/>
                <w:lang w:val="en-US" w:eastAsia="en-GB"/>
              </w:rPr>
            </w:pPr>
            <w:r w:rsidRPr="000E4150">
              <w:rPr>
                <w:rFonts w:ascii="Times New Roman" w:eastAsia="Times New Roman" w:hAnsi="Times New Roman" w:cs="Times New Roman"/>
                <w:b/>
                <w:bCs/>
                <w:sz w:val="24"/>
                <w:szCs w:val="24"/>
                <w:lang w:val="en-US" w:eastAsia="en-GB"/>
              </w:rPr>
              <w:t>(n=43)</w:t>
            </w:r>
          </w:p>
        </w:tc>
        <w:tc>
          <w:tcPr>
            <w:tcW w:w="2475" w:type="dxa"/>
            <w:gridSpan w:val="2"/>
            <w:tcBorders>
              <w:bottom w:val="single" w:sz="4" w:space="0" w:color="auto"/>
              <w:right w:val="nil"/>
            </w:tcBorders>
            <w:shd w:val="clear" w:color="auto" w:fill="auto"/>
            <w:hideMark/>
          </w:tcPr>
          <w:p w14:paraId="244501D1" w14:textId="77777777" w:rsidR="0021616D" w:rsidRPr="000E4150" w:rsidRDefault="0021616D" w:rsidP="005D2EEB">
            <w:pPr>
              <w:spacing w:after="0" w:line="240" w:lineRule="auto"/>
              <w:jc w:val="center"/>
              <w:rPr>
                <w:rFonts w:ascii="Times New Roman" w:eastAsia="Times New Roman" w:hAnsi="Times New Roman" w:cs="Times New Roman"/>
                <w:b/>
                <w:bCs/>
                <w:sz w:val="24"/>
                <w:szCs w:val="24"/>
                <w:lang w:val="en-US" w:eastAsia="en-GB"/>
              </w:rPr>
            </w:pPr>
            <w:r w:rsidRPr="000E4150">
              <w:rPr>
                <w:rFonts w:ascii="Times New Roman" w:eastAsia="Times New Roman" w:hAnsi="Times New Roman" w:cs="Times New Roman"/>
                <w:b/>
                <w:bCs/>
                <w:sz w:val="24"/>
                <w:szCs w:val="24"/>
                <w:lang w:val="en-US" w:eastAsia="en-GB"/>
              </w:rPr>
              <w:t>(n=41)</w:t>
            </w:r>
          </w:p>
        </w:tc>
      </w:tr>
      <w:tr w:rsidR="000E4150" w:rsidRPr="000E4150" w14:paraId="621EEA2D" w14:textId="77777777" w:rsidTr="00D307D0">
        <w:trPr>
          <w:trHeight w:val="315"/>
        </w:trPr>
        <w:tc>
          <w:tcPr>
            <w:tcW w:w="2567" w:type="dxa"/>
            <w:tcBorders>
              <w:left w:val="nil"/>
              <w:bottom w:val="single" w:sz="4" w:space="0" w:color="auto"/>
            </w:tcBorders>
            <w:shd w:val="clear" w:color="auto" w:fill="auto"/>
            <w:hideMark/>
          </w:tcPr>
          <w:p w14:paraId="2EEDCDA4" w14:textId="77777777" w:rsidR="0021616D" w:rsidRPr="000E4150" w:rsidRDefault="0021616D" w:rsidP="005D2EEB">
            <w:pPr>
              <w:spacing w:after="0" w:line="240" w:lineRule="auto"/>
              <w:rPr>
                <w:rFonts w:ascii="Times New Roman" w:eastAsia="Times New Roman" w:hAnsi="Times New Roman" w:cs="Times New Roman"/>
                <w:b/>
                <w:bCs/>
                <w:sz w:val="24"/>
                <w:szCs w:val="24"/>
                <w:lang w:val="en-US" w:eastAsia="en-GB"/>
              </w:rPr>
            </w:pPr>
            <w:r w:rsidRPr="000E4150">
              <w:rPr>
                <w:rFonts w:ascii="Times New Roman" w:eastAsia="Times New Roman" w:hAnsi="Times New Roman" w:cs="Times New Roman"/>
                <w:b/>
                <w:bCs/>
                <w:sz w:val="24"/>
                <w:szCs w:val="24"/>
                <w:lang w:val="en-US" w:eastAsia="en-GB"/>
              </w:rPr>
              <w:t>Demographics</w:t>
            </w:r>
          </w:p>
        </w:tc>
        <w:tc>
          <w:tcPr>
            <w:tcW w:w="1417" w:type="dxa"/>
            <w:tcBorders>
              <w:top w:val="single" w:sz="4" w:space="0" w:color="auto"/>
              <w:bottom w:val="single" w:sz="4" w:space="0" w:color="auto"/>
            </w:tcBorders>
            <w:shd w:val="clear" w:color="auto" w:fill="auto"/>
            <w:hideMark/>
          </w:tcPr>
          <w:p w14:paraId="73F6DF5F" w14:textId="77777777" w:rsidR="0021616D" w:rsidRPr="000E4150" w:rsidRDefault="0021616D" w:rsidP="005D2EEB">
            <w:pPr>
              <w:spacing w:after="0" w:line="240" w:lineRule="auto"/>
              <w:jc w:val="center"/>
              <w:rPr>
                <w:rFonts w:ascii="Times New Roman" w:eastAsia="Times New Roman" w:hAnsi="Times New Roman" w:cs="Times New Roman"/>
                <w:b/>
                <w:bCs/>
                <w:sz w:val="24"/>
                <w:szCs w:val="24"/>
                <w:lang w:val="en-US" w:eastAsia="en-GB"/>
              </w:rPr>
            </w:pPr>
            <w:r w:rsidRPr="000E4150">
              <w:rPr>
                <w:rFonts w:ascii="Times New Roman" w:eastAsia="Times New Roman" w:hAnsi="Times New Roman" w:cs="Times New Roman"/>
                <w:b/>
                <w:bCs/>
                <w:sz w:val="24"/>
                <w:szCs w:val="24"/>
                <w:lang w:val="en-US" w:eastAsia="en-GB"/>
              </w:rPr>
              <w:t>Mean</w:t>
            </w:r>
          </w:p>
        </w:tc>
        <w:tc>
          <w:tcPr>
            <w:tcW w:w="851" w:type="dxa"/>
            <w:tcBorders>
              <w:top w:val="single" w:sz="4" w:space="0" w:color="auto"/>
              <w:bottom w:val="single" w:sz="4" w:space="0" w:color="auto"/>
            </w:tcBorders>
            <w:shd w:val="clear" w:color="auto" w:fill="auto"/>
            <w:hideMark/>
          </w:tcPr>
          <w:p w14:paraId="60E434B3" w14:textId="77777777" w:rsidR="0021616D" w:rsidRPr="000E4150" w:rsidRDefault="0021616D" w:rsidP="005D2EEB">
            <w:pPr>
              <w:spacing w:after="0" w:line="240" w:lineRule="auto"/>
              <w:jc w:val="center"/>
              <w:rPr>
                <w:rFonts w:ascii="Times New Roman" w:eastAsia="Times New Roman" w:hAnsi="Times New Roman" w:cs="Times New Roman"/>
                <w:b/>
                <w:bCs/>
                <w:sz w:val="24"/>
                <w:szCs w:val="24"/>
                <w:lang w:val="en-US" w:eastAsia="en-GB"/>
              </w:rPr>
            </w:pPr>
            <w:r w:rsidRPr="000E4150">
              <w:rPr>
                <w:rFonts w:ascii="Times New Roman" w:eastAsia="Times New Roman" w:hAnsi="Times New Roman" w:cs="Times New Roman"/>
                <w:b/>
                <w:bCs/>
                <w:sz w:val="24"/>
                <w:szCs w:val="24"/>
                <w:lang w:val="en-US" w:eastAsia="en-GB"/>
              </w:rPr>
              <w:t>(SD)</w:t>
            </w:r>
          </w:p>
        </w:tc>
        <w:tc>
          <w:tcPr>
            <w:tcW w:w="850" w:type="dxa"/>
            <w:tcBorders>
              <w:top w:val="single" w:sz="4" w:space="0" w:color="auto"/>
              <w:bottom w:val="single" w:sz="4" w:space="0" w:color="auto"/>
            </w:tcBorders>
            <w:shd w:val="clear" w:color="auto" w:fill="auto"/>
            <w:hideMark/>
          </w:tcPr>
          <w:p w14:paraId="2DC6942A" w14:textId="77777777" w:rsidR="0021616D" w:rsidRPr="000E4150" w:rsidRDefault="0021616D" w:rsidP="005D2EEB">
            <w:pPr>
              <w:spacing w:after="0" w:line="240" w:lineRule="auto"/>
              <w:jc w:val="center"/>
              <w:rPr>
                <w:rFonts w:ascii="Times New Roman" w:eastAsia="Times New Roman" w:hAnsi="Times New Roman" w:cs="Times New Roman"/>
                <w:b/>
                <w:bCs/>
                <w:sz w:val="24"/>
                <w:szCs w:val="24"/>
                <w:lang w:val="en-US" w:eastAsia="en-GB"/>
              </w:rPr>
            </w:pPr>
            <w:r w:rsidRPr="000E4150">
              <w:rPr>
                <w:rFonts w:ascii="Times New Roman" w:eastAsia="Times New Roman" w:hAnsi="Times New Roman" w:cs="Times New Roman"/>
                <w:b/>
                <w:bCs/>
                <w:sz w:val="24"/>
                <w:szCs w:val="24"/>
                <w:lang w:val="en-US" w:eastAsia="en-GB"/>
              </w:rPr>
              <w:t>Mean</w:t>
            </w:r>
          </w:p>
        </w:tc>
        <w:tc>
          <w:tcPr>
            <w:tcW w:w="912" w:type="dxa"/>
            <w:tcBorders>
              <w:top w:val="single" w:sz="4" w:space="0" w:color="auto"/>
              <w:bottom w:val="single" w:sz="4" w:space="0" w:color="auto"/>
            </w:tcBorders>
            <w:shd w:val="clear" w:color="auto" w:fill="auto"/>
            <w:hideMark/>
          </w:tcPr>
          <w:p w14:paraId="362EE0A2" w14:textId="77777777" w:rsidR="0021616D" w:rsidRPr="000E4150" w:rsidRDefault="0021616D" w:rsidP="005D2EEB">
            <w:pPr>
              <w:spacing w:after="0" w:line="240" w:lineRule="auto"/>
              <w:jc w:val="center"/>
              <w:rPr>
                <w:rFonts w:ascii="Times New Roman" w:eastAsia="Times New Roman" w:hAnsi="Times New Roman" w:cs="Times New Roman"/>
                <w:b/>
                <w:bCs/>
                <w:sz w:val="24"/>
                <w:szCs w:val="24"/>
                <w:lang w:val="en-US" w:eastAsia="en-GB"/>
              </w:rPr>
            </w:pPr>
            <w:r w:rsidRPr="000E4150">
              <w:rPr>
                <w:rFonts w:ascii="Times New Roman" w:eastAsia="Times New Roman" w:hAnsi="Times New Roman" w:cs="Times New Roman"/>
                <w:b/>
                <w:bCs/>
                <w:sz w:val="24"/>
                <w:szCs w:val="24"/>
                <w:lang w:val="en-US" w:eastAsia="en-GB"/>
              </w:rPr>
              <w:t>(SD)</w:t>
            </w:r>
          </w:p>
        </w:tc>
        <w:tc>
          <w:tcPr>
            <w:tcW w:w="1356" w:type="dxa"/>
            <w:tcBorders>
              <w:top w:val="single" w:sz="4" w:space="0" w:color="auto"/>
              <w:bottom w:val="single" w:sz="4" w:space="0" w:color="auto"/>
            </w:tcBorders>
            <w:shd w:val="clear" w:color="auto" w:fill="auto"/>
            <w:hideMark/>
          </w:tcPr>
          <w:p w14:paraId="3F6C645E" w14:textId="77777777" w:rsidR="0021616D" w:rsidRPr="000E4150" w:rsidRDefault="0021616D" w:rsidP="005D2EEB">
            <w:pPr>
              <w:spacing w:after="0" w:line="240" w:lineRule="auto"/>
              <w:jc w:val="center"/>
              <w:rPr>
                <w:rFonts w:ascii="Times New Roman" w:eastAsia="Times New Roman" w:hAnsi="Times New Roman" w:cs="Times New Roman"/>
                <w:b/>
                <w:bCs/>
                <w:sz w:val="24"/>
                <w:szCs w:val="24"/>
                <w:lang w:val="en-US" w:eastAsia="en-GB"/>
              </w:rPr>
            </w:pPr>
            <w:r w:rsidRPr="000E4150">
              <w:rPr>
                <w:rFonts w:ascii="Times New Roman" w:eastAsia="Times New Roman" w:hAnsi="Times New Roman" w:cs="Times New Roman"/>
                <w:b/>
                <w:bCs/>
                <w:sz w:val="24"/>
                <w:szCs w:val="24"/>
                <w:lang w:val="en-US" w:eastAsia="en-GB"/>
              </w:rPr>
              <w:t>Mean</w:t>
            </w:r>
          </w:p>
        </w:tc>
        <w:tc>
          <w:tcPr>
            <w:tcW w:w="1119" w:type="dxa"/>
            <w:tcBorders>
              <w:top w:val="single" w:sz="4" w:space="0" w:color="auto"/>
              <w:bottom w:val="single" w:sz="4" w:space="0" w:color="auto"/>
              <w:right w:val="nil"/>
            </w:tcBorders>
            <w:shd w:val="clear" w:color="auto" w:fill="auto"/>
            <w:hideMark/>
          </w:tcPr>
          <w:p w14:paraId="3C5348DC" w14:textId="77777777" w:rsidR="0021616D" w:rsidRPr="000E4150" w:rsidRDefault="0021616D" w:rsidP="005D2EEB">
            <w:pPr>
              <w:spacing w:after="0" w:line="240" w:lineRule="auto"/>
              <w:jc w:val="center"/>
              <w:rPr>
                <w:rFonts w:ascii="Times New Roman" w:eastAsia="Times New Roman" w:hAnsi="Times New Roman" w:cs="Times New Roman"/>
                <w:b/>
                <w:bCs/>
                <w:sz w:val="24"/>
                <w:szCs w:val="24"/>
                <w:lang w:val="en-US" w:eastAsia="en-GB"/>
              </w:rPr>
            </w:pPr>
            <w:r w:rsidRPr="000E4150">
              <w:rPr>
                <w:rFonts w:ascii="Times New Roman" w:eastAsia="Times New Roman" w:hAnsi="Times New Roman" w:cs="Times New Roman"/>
                <w:b/>
                <w:bCs/>
                <w:sz w:val="24"/>
                <w:szCs w:val="24"/>
                <w:lang w:val="en-US" w:eastAsia="en-GB"/>
              </w:rPr>
              <w:t>(SD)</w:t>
            </w:r>
          </w:p>
        </w:tc>
      </w:tr>
      <w:tr w:rsidR="000E4150" w:rsidRPr="000E4150" w14:paraId="6C92AA1C" w14:textId="77777777" w:rsidTr="00D307D0">
        <w:trPr>
          <w:trHeight w:val="315"/>
        </w:trPr>
        <w:tc>
          <w:tcPr>
            <w:tcW w:w="2567" w:type="dxa"/>
            <w:tcBorders>
              <w:top w:val="single" w:sz="4" w:space="0" w:color="auto"/>
              <w:left w:val="nil"/>
            </w:tcBorders>
            <w:shd w:val="clear" w:color="auto" w:fill="auto"/>
            <w:hideMark/>
          </w:tcPr>
          <w:p w14:paraId="570A9A69" w14:textId="77777777" w:rsidR="0021616D" w:rsidRPr="000E4150" w:rsidRDefault="0021616D" w:rsidP="005D2EEB">
            <w:pPr>
              <w:spacing w:after="0" w:line="240" w:lineRule="auto"/>
              <w:rPr>
                <w:rFonts w:ascii="Times New Roman" w:eastAsia="Times New Roman" w:hAnsi="Times New Roman" w:cs="Times New Roman"/>
                <w:sz w:val="24"/>
                <w:szCs w:val="24"/>
                <w:lang w:val="en-US" w:eastAsia="en-GB"/>
              </w:rPr>
            </w:pPr>
            <w:r w:rsidRPr="000E4150">
              <w:rPr>
                <w:rFonts w:ascii="Times New Roman" w:eastAsia="Times New Roman" w:hAnsi="Times New Roman" w:cs="Times New Roman"/>
                <w:sz w:val="24"/>
                <w:szCs w:val="24"/>
                <w:lang w:val="en-US" w:eastAsia="en-GB"/>
              </w:rPr>
              <w:t>Age (years)</w:t>
            </w:r>
          </w:p>
        </w:tc>
        <w:tc>
          <w:tcPr>
            <w:tcW w:w="1417" w:type="dxa"/>
            <w:tcBorders>
              <w:top w:val="single" w:sz="4" w:space="0" w:color="auto"/>
            </w:tcBorders>
            <w:shd w:val="clear" w:color="auto" w:fill="auto"/>
            <w:noWrap/>
            <w:vAlign w:val="bottom"/>
            <w:hideMark/>
          </w:tcPr>
          <w:p w14:paraId="4CD294B9"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r w:rsidRPr="000E4150">
              <w:rPr>
                <w:rFonts w:ascii="Times New Roman" w:eastAsia="Times New Roman" w:hAnsi="Times New Roman" w:cs="Times New Roman"/>
                <w:sz w:val="24"/>
                <w:szCs w:val="24"/>
                <w:lang w:val="en-US" w:eastAsia="en-GB"/>
              </w:rPr>
              <w:t>32.6</w:t>
            </w:r>
          </w:p>
        </w:tc>
        <w:tc>
          <w:tcPr>
            <w:tcW w:w="851" w:type="dxa"/>
            <w:tcBorders>
              <w:top w:val="single" w:sz="4" w:space="0" w:color="auto"/>
            </w:tcBorders>
            <w:shd w:val="clear" w:color="auto" w:fill="auto"/>
            <w:noWrap/>
            <w:vAlign w:val="bottom"/>
            <w:hideMark/>
          </w:tcPr>
          <w:p w14:paraId="45A04A3C"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r w:rsidRPr="000E4150">
              <w:rPr>
                <w:rFonts w:ascii="Times New Roman" w:eastAsia="Times New Roman" w:hAnsi="Times New Roman" w:cs="Times New Roman"/>
                <w:sz w:val="24"/>
                <w:szCs w:val="24"/>
                <w:lang w:val="en-US" w:eastAsia="en-GB"/>
              </w:rPr>
              <w:t>(8.8)</w:t>
            </w:r>
          </w:p>
        </w:tc>
        <w:tc>
          <w:tcPr>
            <w:tcW w:w="850" w:type="dxa"/>
            <w:tcBorders>
              <w:top w:val="single" w:sz="4" w:space="0" w:color="auto"/>
            </w:tcBorders>
            <w:shd w:val="clear" w:color="auto" w:fill="auto"/>
            <w:noWrap/>
            <w:vAlign w:val="bottom"/>
            <w:hideMark/>
          </w:tcPr>
          <w:p w14:paraId="314CAF26"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r w:rsidRPr="000E4150">
              <w:rPr>
                <w:rFonts w:ascii="Times New Roman" w:eastAsia="Times New Roman" w:hAnsi="Times New Roman" w:cs="Times New Roman"/>
                <w:sz w:val="24"/>
                <w:szCs w:val="24"/>
                <w:lang w:val="en-US" w:eastAsia="en-GB"/>
              </w:rPr>
              <w:t>32.3</w:t>
            </w:r>
          </w:p>
        </w:tc>
        <w:tc>
          <w:tcPr>
            <w:tcW w:w="912" w:type="dxa"/>
            <w:tcBorders>
              <w:top w:val="single" w:sz="4" w:space="0" w:color="auto"/>
            </w:tcBorders>
            <w:shd w:val="clear" w:color="auto" w:fill="auto"/>
            <w:noWrap/>
            <w:vAlign w:val="bottom"/>
            <w:hideMark/>
          </w:tcPr>
          <w:p w14:paraId="65E805FE"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r w:rsidRPr="000E4150">
              <w:rPr>
                <w:rFonts w:ascii="Times New Roman" w:eastAsia="Times New Roman" w:hAnsi="Times New Roman" w:cs="Times New Roman"/>
                <w:sz w:val="24"/>
                <w:szCs w:val="24"/>
                <w:lang w:val="en-US" w:eastAsia="en-GB"/>
              </w:rPr>
              <w:t>(8.4)</w:t>
            </w:r>
          </w:p>
        </w:tc>
        <w:tc>
          <w:tcPr>
            <w:tcW w:w="1356" w:type="dxa"/>
            <w:tcBorders>
              <w:top w:val="single" w:sz="4" w:space="0" w:color="auto"/>
            </w:tcBorders>
            <w:shd w:val="clear" w:color="auto" w:fill="auto"/>
            <w:noWrap/>
            <w:vAlign w:val="bottom"/>
            <w:hideMark/>
          </w:tcPr>
          <w:p w14:paraId="113ABC2A"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r w:rsidRPr="000E4150">
              <w:rPr>
                <w:rFonts w:ascii="Times New Roman" w:eastAsia="Times New Roman" w:hAnsi="Times New Roman" w:cs="Times New Roman"/>
                <w:sz w:val="24"/>
                <w:szCs w:val="24"/>
                <w:lang w:val="en-US" w:eastAsia="en-GB"/>
              </w:rPr>
              <w:t>34.7</w:t>
            </w:r>
          </w:p>
        </w:tc>
        <w:tc>
          <w:tcPr>
            <w:tcW w:w="1119" w:type="dxa"/>
            <w:tcBorders>
              <w:top w:val="single" w:sz="4" w:space="0" w:color="auto"/>
              <w:right w:val="nil"/>
            </w:tcBorders>
            <w:shd w:val="clear" w:color="auto" w:fill="auto"/>
            <w:noWrap/>
            <w:vAlign w:val="bottom"/>
            <w:hideMark/>
          </w:tcPr>
          <w:p w14:paraId="15515766"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r w:rsidRPr="000E4150">
              <w:rPr>
                <w:rFonts w:ascii="Times New Roman" w:eastAsia="Times New Roman" w:hAnsi="Times New Roman" w:cs="Times New Roman"/>
                <w:sz w:val="24"/>
                <w:szCs w:val="24"/>
                <w:lang w:val="en-US" w:eastAsia="en-GB"/>
              </w:rPr>
              <w:t>(7.4)</w:t>
            </w:r>
          </w:p>
        </w:tc>
      </w:tr>
      <w:tr w:rsidR="000E4150" w:rsidRPr="000E4150" w14:paraId="0E19A939" w14:textId="77777777" w:rsidTr="00896221">
        <w:trPr>
          <w:trHeight w:val="315"/>
        </w:trPr>
        <w:tc>
          <w:tcPr>
            <w:tcW w:w="2567" w:type="dxa"/>
            <w:tcBorders>
              <w:left w:val="nil"/>
            </w:tcBorders>
            <w:shd w:val="clear" w:color="auto" w:fill="auto"/>
            <w:hideMark/>
          </w:tcPr>
          <w:p w14:paraId="5194EE01" w14:textId="77777777" w:rsidR="0021616D" w:rsidRPr="000E4150" w:rsidRDefault="0021616D" w:rsidP="005D2EEB">
            <w:pPr>
              <w:spacing w:after="0" w:line="240" w:lineRule="auto"/>
              <w:rPr>
                <w:rFonts w:ascii="Times New Roman" w:eastAsia="Times New Roman" w:hAnsi="Times New Roman" w:cs="Times New Roman"/>
                <w:sz w:val="24"/>
                <w:szCs w:val="24"/>
                <w:lang w:val="en-US" w:eastAsia="en-GB"/>
              </w:rPr>
            </w:pPr>
            <w:r w:rsidRPr="000E4150">
              <w:rPr>
                <w:rFonts w:ascii="Times New Roman" w:eastAsia="Times New Roman" w:hAnsi="Times New Roman" w:cs="Times New Roman"/>
                <w:sz w:val="24"/>
                <w:szCs w:val="24"/>
                <w:lang w:val="en-US" w:eastAsia="en-GB"/>
              </w:rPr>
              <w:t>Gender (% male)</w:t>
            </w:r>
          </w:p>
        </w:tc>
        <w:tc>
          <w:tcPr>
            <w:tcW w:w="1417" w:type="dxa"/>
            <w:shd w:val="clear" w:color="auto" w:fill="auto"/>
            <w:noWrap/>
            <w:vAlign w:val="bottom"/>
            <w:hideMark/>
          </w:tcPr>
          <w:p w14:paraId="597B83B0"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r w:rsidRPr="000E4150">
              <w:rPr>
                <w:rFonts w:ascii="Times New Roman" w:eastAsia="Times New Roman" w:hAnsi="Times New Roman" w:cs="Times New Roman"/>
                <w:sz w:val="24"/>
                <w:szCs w:val="24"/>
                <w:lang w:val="en-US" w:eastAsia="en-GB"/>
              </w:rPr>
              <w:t>64.3</w:t>
            </w:r>
          </w:p>
        </w:tc>
        <w:tc>
          <w:tcPr>
            <w:tcW w:w="851" w:type="dxa"/>
            <w:shd w:val="clear" w:color="auto" w:fill="auto"/>
            <w:hideMark/>
          </w:tcPr>
          <w:p w14:paraId="7277E348"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p>
        </w:tc>
        <w:tc>
          <w:tcPr>
            <w:tcW w:w="850" w:type="dxa"/>
            <w:shd w:val="clear" w:color="auto" w:fill="auto"/>
            <w:noWrap/>
            <w:vAlign w:val="bottom"/>
            <w:hideMark/>
          </w:tcPr>
          <w:p w14:paraId="7C573405"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r w:rsidRPr="000E4150">
              <w:rPr>
                <w:rFonts w:ascii="Times New Roman" w:eastAsia="Times New Roman" w:hAnsi="Times New Roman" w:cs="Times New Roman"/>
                <w:sz w:val="24"/>
                <w:szCs w:val="24"/>
                <w:lang w:val="en-US" w:eastAsia="en-GB"/>
              </w:rPr>
              <w:t>47.8</w:t>
            </w:r>
          </w:p>
        </w:tc>
        <w:tc>
          <w:tcPr>
            <w:tcW w:w="912" w:type="dxa"/>
            <w:shd w:val="clear" w:color="auto" w:fill="auto"/>
            <w:hideMark/>
          </w:tcPr>
          <w:p w14:paraId="38738F30"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p>
        </w:tc>
        <w:tc>
          <w:tcPr>
            <w:tcW w:w="1356" w:type="dxa"/>
            <w:shd w:val="clear" w:color="auto" w:fill="auto"/>
            <w:noWrap/>
            <w:vAlign w:val="bottom"/>
            <w:hideMark/>
          </w:tcPr>
          <w:p w14:paraId="44490984"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r w:rsidRPr="000E4150">
              <w:rPr>
                <w:rFonts w:ascii="Times New Roman" w:eastAsia="Times New Roman" w:hAnsi="Times New Roman" w:cs="Times New Roman"/>
                <w:sz w:val="24"/>
                <w:szCs w:val="24"/>
                <w:lang w:val="en-US" w:eastAsia="en-GB"/>
              </w:rPr>
              <w:t>88.1</w:t>
            </w:r>
          </w:p>
        </w:tc>
        <w:tc>
          <w:tcPr>
            <w:tcW w:w="1119" w:type="dxa"/>
            <w:tcBorders>
              <w:right w:val="nil"/>
            </w:tcBorders>
            <w:shd w:val="clear" w:color="auto" w:fill="auto"/>
            <w:hideMark/>
          </w:tcPr>
          <w:p w14:paraId="40FEE811"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p>
        </w:tc>
      </w:tr>
      <w:tr w:rsidR="000E4150" w:rsidRPr="000E4150" w14:paraId="4CC4BBD8" w14:textId="77777777" w:rsidTr="00896221">
        <w:trPr>
          <w:trHeight w:val="315"/>
        </w:trPr>
        <w:tc>
          <w:tcPr>
            <w:tcW w:w="2567" w:type="dxa"/>
            <w:tcBorders>
              <w:top w:val="nil"/>
              <w:left w:val="nil"/>
            </w:tcBorders>
            <w:shd w:val="clear" w:color="auto" w:fill="auto"/>
            <w:hideMark/>
          </w:tcPr>
          <w:p w14:paraId="097DA968" w14:textId="77777777" w:rsidR="0021616D" w:rsidRPr="000E4150" w:rsidRDefault="001C0B24" w:rsidP="005D2EEB">
            <w:pPr>
              <w:spacing w:after="0" w:line="240" w:lineRule="auto"/>
              <w:rPr>
                <w:rFonts w:ascii="Times New Roman" w:eastAsia="Times New Roman" w:hAnsi="Times New Roman" w:cs="Times New Roman"/>
                <w:sz w:val="24"/>
                <w:szCs w:val="24"/>
                <w:lang w:val="en-US" w:eastAsia="en-GB"/>
              </w:rPr>
            </w:pPr>
            <w:r w:rsidRPr="000E4150">
              <w:rPr>
                <w:rFonts w:ascii="Times New Roman" w:eastAsia="Times New Roman" w:hAnsi="Times New Roman" w:cs="Times New Roman"/>
                <w:sz w:val="24"/>
                <w:szCs w:val="24"/>
                <w:lang w:val="en-US" w:eastAsia="en-GB"/>
              </w:rPr>
              <w:t>Verbal Intelligence (</w:t>
            </w:r>
            <w:r w:rsidR="0021616D" w:rsidRPr="000E4150">
              <w:rPr>
                <w:rFonts w:ascii="Times New Roman" w:eastAsia="Times New Roman" w:hAnsi="Times New Roman" w:cs="Times New Roman"/>
                <w:sz w:val="24"/>
                <w:szCs w:val="24"/>
                <w:lang w:val="en-US" w:eastAsia="en-GB"/>
              </w:rPr>
              <w:t>NART</w:t>
            </w:r>
            <w:r w:rsidRPr="000E4150">
              <w:rPr>
                <w:rFonts w:ascii="Times New Roman" w:eastAsia="Times New Roman" w:hAnsi="Times New Roman" w:cs="Times New Roman"/>
                <w:sz w:val="24"/>
                <w:szCs w:val="24"/>
                <w:lang w:val="en-US" w:eastAsia="en-GB"/>
              </w:rPr>
              <w:t>)</w:t>
            </w:r>
          </w:p>
        </w:tc>
        <w:tc>
          <w:tcPr>
            <w:tcW w:w="1417" w:type="dxa"/>
            <w:tcBorders>
              <w:top w:val="nil"/>
            </w:tcBorders>
            <w:shd w:val="clear" w:color="auto" w:fill="auto"/>
            <w:hideMark/>
          </w:tcPr>
          <w:p w14:paraId="34D8A903"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r w:rsidRPr="000E4150">
              <w:rPr>
                <w:rFonts w:ascii="Times New Roman" w:eastAsia="Times New Roman" w:hAnsi="Times New Roman" w:cs="Times New Roman"/>
                <w:sz w:val="24"/>
                <w:szCs w:val="24"/>
                <w:lang w:val="en-US" w:eastAsia="en-GB"/>
              </w:rPr>
              <w:t>112.0</w:t>
            </w:r>
          </w:p>
        </w:tc>
        <w:tc>
          <w:tcPr>
            <w:tcW w:w="851" w:type="dxa"/>
            <w:tcBorders>
              <w:top w:val="nil"/>
            </w:tcBorders>
            <w:shd w:val="clear" w:color="auto" w:fill="auto"/>
            <w:hideMark/>
          </w:tcPr>
          <w:p w14:paraId="76D8B4B3"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r w:rsidRPr="000E4150">
              <w:rPr>
                <w:rFonts w:ascii="Times New Roman" w:eastAsia="Times New Roman" w:hAnsi="Times New Roman" w:cs="Times New Roman"/>
                <w:sz w:val="24"/>
                <w:szCs w:val="24"/>
                <w:lang w:val="en-US" w:eastAsia="en-GB"/>
              </w:rPr>
              <w:t>(8.4)</w:t>
            </w:r>
          </w:p>
        </w:tc>
        <w:tc>
          <w:tcPr>
            <w:tcW w:w="850" w:type="dxa"/>
            <w:tcBorders>
              <w:top w:val="nil"/>
            </w:tcBorders>
            <w:shd w:val="clear" w:color="auto" w:fill="auto"/>
            <w:hideMark/>
          </w:tcPr>
          <w:p w14:paraId="72992458"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p>
        </w:tc>
        <w:tc>
          <w:tcPr>
            <w:tcW w:w="912" w:type="dxa"/>
            <w:tcBorders>
              <w:top w:val="nil"/>
            </w:tcBorders>
            <w:shd w:val="clear" w:color="auto" w:fill="auto"/>
            <w:hideMark/>
          </w:tcPr>
          <w:p w14:paraId="781444C4"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p>
        </w:tc>
        <w:tc>
          <w:tcPr>
            <w:tcW w:w="1356" w:type="dxa"/>
            <w:tcBorders>
              <w:top w:val="nil"/>
            </w:tcBorders>
            <w:shd w:val="clear" w:color="auto" w:fill="auto"/>
            <w:hideMark/>
          </w:tcPr>
          <w:p w14:paraId="3C9F1CB2"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r w:rsidRPr="000E4150">
              <w:rPr>
                <w:rFonts w:ascii="Times New Roman" w:eastAsia="Times New Roman" w:hAnsi="Times New Roman" w:cs="Times New Roman"/>
                <w:sz w:val="24"/>
                <w:szCs w:val="24"/>
                <w:lang w:val="en-US" w:eastAsia="en-GB"/>
              </w:rPr>
              <w:t>110.6</w:t>
            </w:r>
          </w:p>
        </w:tc>
        <w:tc>
          <w:tcPr>
            <w:tcW w:w="1119" w:type="dxa"/>
            <w:tcBorders>
              <w:top w:val="nil"/>
              <w:right w:val="nil"/>
            </w:tcBorders>
            <w:shd w:val="clear" w:color="auto" w:fill="auto"/>
            <w:hideMark/>
          </w:tcPr>
          <w:p w14:paraId="3F1CBE7E"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r w:rsidRPr="000E4150">
              <w:rPr>
                <w:rFonts w:ascii="Times New Roman" w:eastAsia="Times New Roman" w:hAnsi="Times New Roman" w:cs="Times New Roman"/>
                <w:sz w:val="24"/>
                <w:szCs w:val="24"/>
                <w:lang w:val="en-US" w:eastAsia="en-GB"/>
              </w:rPr>
              <w:t>(7.4)</w:t>
            </w:r>
          </w:p>
        </w:tc>
      </w:tr>
      <w:tr w:rsidR="000E4150" w:rsidRPr="000E4150" w14:paraId="3E618223" w14:textId="77777777" w:rsidTr="00896221">
        <w:trPr>
          <w:trHeight w:val="630"/>
        </w:trPr>
        <w:tc>
          <w:tcPr>
            <w:tcW w:w="2567" w:type="dxa"/>
            <w:tcBorders>
              <w:top w:val="nil"/>
              <w:left w:val="nil"/>
            </w:tcBorders>
            <w:shd w:val="clear" w:color="auto" w:fill="auto"/>
            <w:hideMark/>
          </w:tcPr>
          <w:p w14:paraId="32671FAB" w14:textId="77777777" w:rsidR="0021616D" w:rsidRPr="000E4150" w:rsidRDefault="0021616D" w:rsidP="005D2EEB">
            <w:pPr>
              <w:spacing w:after="0" w:line="240" w:lineRule="auto"/>
              <w:rPr>
                <w:rFonts w:ascii="Times New Roman" w:eastAsia="Times New Roman" w:hAnsi="Times New Roman" w:cs="Times New Roman"/>
                <w:sz w:val="24"/>
                <w:szCs w:val="24"/>
                <w:lang w:val="en-US" w:eastAsia="en-GB"/>
              </w:rPr>
            </w:pPr>
            <w:r w:rsidRPr="000E4150">
              <w:rPr>
                <w:rFonts w:ascii="Times New Roman" w:eastAsia="Times New Roman" w:hAnsi="Times New Roman" w:cs="Times New Roman"/>
                <w:sz w:val="24"/>
                <w:szCs w:val="24"/>
                <w:lang w:val="en-US" w:eastAsia="en-GB"/>
              </w:rPr>
              <w:t>Monthly disposable income (£)</w:t>
            </w:r>
          </w:p>
        </w:tc>
        <w:tc>
          <w:tcPr>
            <w:tcW w:w="1417" w:type="dxa"/>
            <w:tcBorders>
              <w:top w:val="nil"/>
            </w:tcBorders>
            <w:shd w:val="clear" w:color="auto" w:fill="auto"/>
            <w:noWrap/>
            <w:vAlign w:val="bottom"/>
            <w:hideMark/>
          </w:tcPr>
          <w:p w14:paraId="3936A090"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r w:rsidRPr="000E4150">
              <w:rPr>
                <w:rFonts w:ascii="Times New Roman" w:eastAsia="Times New Roman" w:hAnsi="Times New Roman" w:cs="Times New Roman"/>
                <w:sz w:val="24"/>
                <w:szCs w:val="24"/>
                <w:lang w:val="en-US" w:eastAsia="en-GB"/>
              </w:rPr>
              <w:t>695</w:t>
            </w:r>
          </w:p>
        </w:tc>
        <w:tc>
          <w:tcPr>
            <w:tcW w:w="851" w:type="dxa"/>
            <w:tcBorders>
              <w:top w:val="nil"/>
            </w:tcBorders>
            <w:shd w:val="clear" w:color="auto" w:fill="auto"/>
            <w:noWrap/>
            <w:vAlign w:val="bottom"/>
            <w:hideMark/>
          </w:tcPr>
          <w:p w14:paraId="7FBA8C0D"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r w:rsidRPr="000E4150">
              <w:rPr>
                <w:rFonts w:ascii="Times New Roman" w:eastAsia="Times New Roman" w:hAnsi="Times New Roman" w:cs="Times New Roman"/>
                <w:sz w:val="24"/>
                <w:szCs w:val="24"/>
                <w:lang w:val="en-US" w:eastAsia="en-GB"/>
              </w:rPr>
              <w:t>1000</w:t>
            </w:r>
          </w:p>
        </w:tc>
        <w:tc>
          <w:tcPr>
            <w:tcW w:w="850" w:type="dxa"/>
            <w:tcBorders>
              <w:top w:val="nil"/>
            </w:tcBorders>
            <w:shd w:val="clear" w:color="auto" w:fill="auto"/>
            <w:noWrap/>
            <w:vAlign w:val="bottom"/>
            <w:hideMark/>
          </w:tcPr>
          <w:p w14:paraId="329BC376"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r w:rsidRPr="000E4150">
              <w:rPr>
                <w:rFonts w:ascii="Times New Roman" w:eastAsia="Times New Roman" w:hAnsi="Times New Roman" w:cs="Times New Roman"/>
                <w:sz w:val="24"/>
                <w:szCs w:val="24"/>
                <w:lang w:val="en-US" w:eastAsia="en-GB"/>
              </w:rPr>
              <w:t>403</w:t>
            </w:r>
          </w:p>
        </w:tc>
        <w:tc>
          <w:tcPr>
            <w:tcW w:w="912" w:type="dxa"/>
            <w:tcBorders>
              <w:top w:val="nil"/>
            </w:tcBorders>
            <w:shd w:val="clear" w:color="auto" w:fill="auto"/>
            <w:noWrap/>
            <w:vAlign w:val="bottom"/>
            <w:hideMark/>
          </w:tcPr>
          <w:p w14:paraId="1CA65FB5"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r w:rsidRPr="000E4150">
              <w:rPr>
                <w:rFonts w:ascii="Times New Roman" w:eastAsia="Times New Roman" w:hAnsi="Times New Roman" w:cs="Times New Roman"/>
                <w:sz w:val="24"/>
                <w:szCs w:val="24"/>
                <w:lang w:val="en-US" w:eastAsia="en-GB"/>
              </w:rPr>
              <w:t>410</w:t>
            </w:r>
          </w:p>
        </w:tc>
        <w:tc>
          <w:tcPr>
            <w:tcW w:w="1356" w:type="dxa"/>
            <w:tcBorders>
              <w:top w:val="nil"/>
            </w:tcBorders>
            <w:shd w:val="clear" w:color="auto" w:fill="auto"/>
            <w:noWrap/>
            <w:vAlign w:val="bottom"/>
            <w:hideMark/>
          </w:tcPr>
          <w:p w14:paraId="35B2746D"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r w:rsidRPr="000E4150">
              <w:rPr>
                <w:rFonts w:ascii="Times New Roman" w:eastAsia="Times New Roman" w:hAnsi="Times New Roman" w:cs="Times New Roman"/>
                <w:sz w:val="24"/>
                <w:szCs w:val="24"/>
                <w:lang w:val="en-US" w:eastAsia="en-GB"/>
              </w:rPr>
              <w:t>399</w:t>
            </w:r>
          </w:p>
        </w:tc>
        <w:tc>
          <w:tcPr>
            <w:tcW w:w="1119" w:type="dxa"/>
            <w:tcBorders>
              <w:top w:val="nil"/>
              <w:right w:val="nil"/>
            </w:tcBorders>
            <w:shd w:val="clear" w:color="auto" w:fill="auto"/>
            <w:noWrap/>
            <w:vAlign w:val="bottom"/>
            <w:hideMark/>
          </w:tcPr>
          <w:p w14:paraId="1A2952FD"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r w:rsidRPr="000E4150">
              <w:rPr>
                <w:rFonts w:ascii="Times New Roman" w:eastAsia="Times New Roman" w:hAnsi="Times New Roman" w:cs="Times New Roman"/>
                <w:sz w:val="24"/>
                <w:szCs w:val="24"/>
                <w:lang w:val="en-US" w:eastAsia="en-GB"/>
              </w:rPr>
              <w:t>672</w:t>
            </w:r>
          </w:p>
        </w:tc>
      </w:tr>
      <w:tr w:rsidR="000E4150" w:rsidRPr="000E4150" w14:paraId="407FC783" w14:textId="77777777" w:rsidTr="00896221">
        <w:trPr>
          <w:trHeight w:val="630"/>
        </w:trPr>
        <w:tc>
          <w:tcPr>
            <w:tcW w:w="2567" w:type="dxa"/>
            <w:tcBorders>
              <w:top w:val="nil"/>
              <w:left w:val="nil"/>
            </w:tcBorders>
            <w:shd w:val="clear" w:color="auto" w:fill="auto"/>
            <w:hideMark/>
          </w:tcPr>
          <w:p w14:paraId="3DCA4478" w14:textId="77777777" w:rsidR="0021616D" w:rsidRPr="000E4150" w:rsidRDefault="0021616D" w:rsidP="005D2EEB">
            <w:pPr>
              <w:spacing w:after="0" w:line="240" w:lineRule="auto"/>
              <w:rPr>
                <w:rFonts w:ascii="Times New Roman" w:eastAsia="Times New Roman" w:hAnsi="Times New Roman" w:cs="Times New Roman"/>
                <w:sz w:val="24"/>
                <w:szCs w:val="24"/>
                <w:lang w:val="en-US" w:eastAsia="en-GB"/>
              </w:rPr>
            </w:pPr>
            <w:r w:rsidRPr="000E4150">
              <w:rPr>
                <w:rFonts w:ascii="Times New Roman" w:eastAsia="Times New Roman" w:hAnsi="Times New Roman" w:cs="Times New Roman"/>
                <w:sz w:val="24"/>
                <w:szCs w:val="24"/>
                <w:lang w:val="en-US" w:eastAsia="en-GB"/>
              </w:rPr>
              <w:t>Duration of stimulant use (years)</w:t>
            </w:r>
          </w:p>
        </w:tc>
        <w:tc>
          <w:tcPr>
            <w:tcW w:w="1417" w:type="dxa"/>
            <w:tcBorders>
              <w:top w:val="nil"/>
            </w:tcBorders>
            <w:shd w:val="clear" w:color="auto" w:fill="auto"/>
            <w:hideMark/>
          </w:tcPr>
          <w:p w14:paraId="13B17B93"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p>
        </w:tc>
        <w:tc>
          <w:tcPr>
            <w:tcW w:w="851" w:type="dxa"/>
            <w:tcBorders>
              <w:top w:val="nil"/>
            </w:tcBorders>
            <w:shd w:val="clear" w:color="auto" w:fill="auto"/>
            <w:hideMark/>
          </w:tcPr>
          <w:p w14:paraId="1ADE70ED"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p>
        </w:tc>
        <w:tc>
          <w:tcPr>
            <w:tcW w:w="850" w:type="dxa"/>
            <w:tcBorders>
              <w:top w:val="nil"/>
            </w:tcBorders>
            <w:shd w:val="clear" w:color="auto" w:fill="auto"/>
            <w:hideMark/>
          </w:tcPr>
          <w:p w14:paraId="629EE240"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p>
        </w:tc>
        <w:tc>
          <w:tcPr>
            <w:tcW w:w="912" w:type="dxa"/>
            <w:tcBorders>
              <w:top w:val="nil"/>
            </w:tcBorders>
            <w:shd w:val="clear" w:color="auto" w:fill="auto"/>
            <w:hideMark/>
          </w:tcPr>
          <w:p w14:paraId="045AAD43"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p>
        </w:tc>
        <w:tc>
          <w:tcPr>
            <w:tcW w:w="1356" w:type="dxa"/>
            <w:tcBorders>
              <w:top w:val="nil"/>
            </w:tcBorders>
            <w:shd w:val="clear" w:color="auto" w:fill="auto"/>
            <w:noWrap/>
            <w:vAlign w:val="bottom"/>
            <w:hideMark/>
          </w:tcPr>
          <w:p w14:paraId="25B5880F"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r w:rsidRPr="000E4150">
              <w:rPr>
                <w:rFonts w:ascii="Times New Roman" w:eastAsia="Times New Roman" w:hAnsi="Times New Roman" w:cs="Times New Roman"/>
                <w:sz w:val="24"/>
                <w:szCs w:val="24"/>
                <w:lang w:val="en-US" w:eastAsia="en-GB"/>
              </w:rPr>
              <w:t>16.1</w:t>
            </w:r>
          </w:p>
        </w:tc>
        <w:tc>
          <w:tcPr>
            <w:tcW w:w="1119" w:type="dxa"/>
            <w:tcBorders>
              <w:top w:val="nil"/>
              <w:right w:val="nil"/>
            </w:tcBorders>
            <w:shd w:val="clear" w:color="auto" w:fill="auto"/>
            <w:noWrap/>
            <w:vAlign w:val="bottom"/>
            <w:hideMark/>
          </w:tcPr>
          <w:p w14:paraId="40315B13"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r w:rsidRPr="000E4150">
              <w:rPr>
                <w:rFonts w:ascii="Times New Roman" w:eastAsia="Times New Roman" w:hAnsi="Times New Roman" w:cs="Times New Roman"/>
                <w:sz w:val="24"/>
                <w:szCs w:val="24"/>
                <w:lang w:val="en-US" w:eastAsia="en-GB"/>
              </w:rPr>
              <w:t>(6.5)</w:t>
            </w:r>
          </w:p>
        </w:tc>
      </w:tr>
      <w:tr w:rsidR="000E4150" w:rsidRPr="000E4150" w14:paraId="74481301" w14:textId="77777777" w:rsidTr="00896221">
        <w:trPr>
          <w:trHeight w:val="592"/>
        </w:trPr>
        <w:tc>
          <w:tcPr>
            <w:tcW w:w="2567" w:type="dxa"/>
            <w:tcBorders>
              <w:top w:val="nil"/>
              <w:left w:val="nil"/>
            </w:tcBorders>
            <w:shd w:val="clear" w:color="auto" w:fill="auto"/>
            <w:hideMark/>
          </w:tcPr>
          <w:p w14:paraId="0115BDBE" w14:textId="77777777" w:rsidR="0021616D" w:rsidRPr="000E4150" w:rsidRDefault="0021616D" w:rsidP="005D2EEB">
            <w:pPr>
              <w:spacing w:after="0" w:line="240" w:lineRule="auto"/>
              <w:rPr>
                <w:rFonts w:ascii="Times New Roman" w:eastAsia="Times New Roman" w:hAnsi="Times New Roman" w:cs="Times New Roman"/>
                <w:sz w:val="24"/>
                <w:szCs w:val="24"/>
                <w:lang w:val="en-US" w:eastAsia="en-GB"/>
              </w:rPr>
            </w:pPr>
            <w:r w:rsidRPr="000E4150">
              <w:rPr>
                <w:rFonts w:ascii="Times New Roman" w:eastAsia="Times New Roman" w:hAnsi="Times New Roman" w:cs="Times New Roman"/>
                <w:sz w:val="24"/>
                <w:szCs w:val="24"/>
                <w:lang w:val="en-US" w:eastAsia="en-GB"/>
              </w:rPr>
              <w:t>Compulsive Stimulant Use (OCDUS)</w:t>
            </w:r>
          </w:p>
        </w:tc>
        <w:tc>
          <w:tcPr>
            <w:tcW w:w="1417" w:type="dxa"/>
            <w:tcBorders>
              <w:top w:val="nil"/>
            </w:tcBorders>
            <w:shd w:val="clear" w:color="auto" w:fill="auto"/>
            <w:hideMark/>
          </w:tcPr>
          <w:p w14:paraId="3A1CCAA3"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p>
        </w:tc>
        <w:tc>
          <w:tcPr>
            <w:tcW w:w="851" w:type="dxa"/>
            <w:tcBorders>
              <w:top w:val="nil"/>
            </w:tcBorders>
            <w:shd w:val="clear" w:color="auto" w:fill="auto"/>
            <w:hideMark/>
          </w:tcPr>
          <w:p w14:paraId="7D9693EC"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p>
        </w:tc>
        <w:tc>
          <w:tcPr>
            <w:tcW w:w="850" w:type="dxa"/>
            <w:tcBorders>
              <w:top w:val="nil"/>
            </w:tcBorders>
            <w:shd w:val="clear" w:color="auto" w:fill="auto"/>
            <w:hideMark/>
          </w:tcPr>
          <w:p w14:paraId="14B5BFB2"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p>
        </w:tc>
        <w:tc>
          <w:tcPr>
            <w:tcW w:w="912" w:type="dxa"/>
            <w:tcBorders>
              <w:top w:val="nil"/>
            </w:tcBorders>
            <w:shd w:val="clear" w:color="auto" w:fill="auto"/>
            <w:hideMark/>
          </w:tcPr>
          <w:p w14:paraId="1B87C5FD"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p>
        </w:tc>
        <w:tc>
          <w:tcPr>
            <w:tcW w:w="1356" w:type="dxa"/>
            <w:tcBorders>
              <w:top w:val="nil"/>
            </w:tcBorders>
            <w:shd w:val="clear" w:color="auto" w:fill="auto"/>
            <w:noWrap/>
            <w:vAlign w:val="bottom"/>
            <w:hideMark/>
          </w:tcPr>
          <w:p w14:paraId="42C348D6"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r w:rsidRPr="000E4150">
              <w:rPr>
                <w:rFonts w:ascii="Times New Roman" w:eastAsia="Times New Roman" w:hAnsi="Times New Roman" w:cs="Times New Roman"/>
                <w:sz w:val="24"/>
                <w:szCs w:val="24"/>
                <w:lang w:val="en-US" w:eastAsia="en-GB"/>
              </w:rPr>
              <w:t>23.6</w:t>
            </w:r>
          </w:p>
        </w:tc>
        <w:tc>
          <w:tcPr>
            <w:tcW w:w="1119" w:type="dxa"/>
            <w:tcBorders>
              <w:top w:val="nil"/>
              <w:right w:val="nil"/>
            </w:tcBorders>
            <w:shd w:val="clear" w:color="auto" w:fill="auto"/>
            <w:noWrap/>
            <w:vAlign w:val="bottom"/>
            <w:hideMark/>
          </w:tcPr>
          <w:p w14:paraId="58CE0FFC"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r w:rsidRPr="000E4150">
              <w:rPr>
                <w:rFonts w:ascii="Times New Roman" w:eastAsia="Times New Roman" w:hAnsi="Times New Roman" w:cs="Times New Roman"/>
                <w:sz w:val="24"/>
                <w:szCs w:val="24"/>
                <w:lang w:val="en-US" w:eastAsia="en-GB"/>
              </w:rPr>
              <w:t>(9.3)</w:t>
            </w:r>
          </w:p>
        </w:tc>
      </w:tr>
      <w:tr w:rsidR="000E4150" w:rsidRPr="000E4150" w14:paraId="44790F09" w14:textId="77777777" w:rsidTr="00896221">
        <w:trPr>
          <w:trHeight w:val="315"/>
        </w:trPr>
        <w:tc>
          <w:tcPr>
            <w:tcW w:w="2567" w:type="dxa"/>
            <w:tcBorders>
              <w:top w:val="nil"/>
              <w:left w:val="nil"/>
            </w:tcBorders>
            <w:shd w:val="clear" w:color="auto" w:fill="auto"/>
            <w:hideMark/>
          </w:tcPr>
          <w:p w14:paraId="0C0E131D" w14:textId="77777777" w:rsidR="0021616D" w:rsidRPr="000E4150" w:rsidRDefault="0021616D" w:rsidP="005D2EEB">
            <w:pPr>
              <w:spacing w:after="0" w:line="240" w:lineRule="auto"/>
              <w:rPr>
                <w:rFonts w:ascii="Times New Roman" w:eastAsia="Times New Roman" w:hAnsi="Times New Roman" w:cs="Times New Roman"/>
                <w:sz w:val="24"/>
                <w:szCs w:val="24"/>
                <w:lang w:val="en-US" w:eastAsia="en-GB"/>
              </w:rPr>
            </w:pPr>
            <w:r w:rsidRPr="000E4150">
              <w:rPr>
                <w:rFonts w:ascii="Times New Roman" w:eastAsia="Times New Roman" w:hAnsi="Times New Roman" w:cs="Times New Roman"/>
                <w:sz w:val="24"/>
                <w:szCs w:val="24"/>
                <w:lang w:val="en-US" w:eastAsia="en-GB"/>
              </w:rPr>
              <w:t>Impulsivity (BIS-11)</w:t>
            </w:r>
          </w:p>
        </w:tc>
        <w:tc>
          <w:tcPr>
            <w:tcW w:w="1417" w:type="dxa"/>
            <w:tcBorders>
              <w:top w:val="nil"/>
            </w:tcBorders>
            <w:shd w:val="clear" w:color="auto" w:fill="auto"/>
            <w:noWrap/>
            <w:vAlign w:val="bottom"/>
            <w:hideMark/>
          </w:tcPr>
          <w:p w14:paraId="12FFFBDB"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r w:rsidRPr="000E4150">
              <w:rPr>
                <w:rFonts w:ascii="Times New Roman" w:eastAsia="Times New Roman" w:hAnsi="Times New Roman" w:cs="Times New Roman"/>
                <w:sz w:val="24"/>
                <w:szCs w:val="24"/>
                <w:lang w:val="en-US" w:eastAsia="en-GB"/>
              </w:rPr>
              <w:t>59.7</w:t>
            </w:r>
          </w:p>
        </w:tc>
        <w:tc>
          <w:tcPr>
            <w:tcW w:w="851" w:type="dxa"/>
            <w:tcBorders>
              <w:top w:val="nil"/>
            </w:tcBorders>
            <w:shd w:val="clear" w:color="auto" w:fill="auto"/>
            <w:noWrap/>
            <w:vAlign w:val="bottom"/>
            <w:hideMark/>
          </w:tcPr>
          <w:p w14:paraId="016DBC81"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r w:rsidRPr="000E4150">
              <w:rPr>
                <w:rFonts w:ascii="Times New Roman" w:eastAsia="Times New Roman" w:hAnsi="Times New Roman" w:cs="Times New Roman"/>
                <w:sz w:val="24"/>
                <w:szCs w:val="24"/>
                <w:lang w:val="en-US" w:eastAsia="en-GB"/>
              </w:rPr>
              <w:t>(7.9)</w:t>
            </w:r>
          </w:p>
        </w:tc>
        <w:tc>
          <w:tcPr>
            <w:tcW w:w="850" w:type="dxa"/>
            <w:tcBorders>
              <w:top w:val="nil"/>
            </w:tcBorders>
            <w:shd w:val="clear" w:color="auto" w:fill="auto"/>
            <w:noWrap/>
            <w:vAlign w:val="bottom"/>
            <w:hideMark/>
          </w:tcPr>
          <w:p w14:paraId="69E56053"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r w:rsidRPr="000E4150">
              <w:rPr>
                <w:rFonts w:ascii="Times New Roman" w:eastAsia="Times New Roman" w:hAnsi="Times New Roman" w:cs="Times New Roman"/>
                <w:sz w:val="24"/>
                <w:szCs w:val="24"/>
                <w:lang w:val="en-US" w:eastAsia="en-GB"/>
              </w:rPr>
              <w:t>67.3</w:t>
            </w:r>
          </w:p>
        </w:tc>
        <w:tc>
          <w:tcPr>
            <w:tcW w:w="912" w:type="dxa"/>
            <w:tcBorders>
              <w:top w:val="nil"/>
            </w:tcBorders>
            <w:shd w:val="clear" w:color="auto" w:fill="auto"/>
            <w:noWrap/>
            <w:vAlign w:val="bottom"/>
            <w:hideMark/>
          </w:tcPr>
          <w:p w14:paraId="1FAD4A97"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r w:rsidRPr="000E4150">
              <w:rPr>
                <w:rFonts w:ascii="Times New Roman" w:eastAsia="Times New Roman" w:hAnsi="Times New Roman" w:cs="Times New Roman"/>
                <w:sz w:val="24"/>
                <w:szCs w:val="24"/>
                <w:lang w:val="en-US" w:eastAsia="en-GB"/>
              </w:rPr>
              <w:t>(10.5)</w:t>
            </w:r>
          </w:p>
        </w:tc>
        <w:tc>
          <w:tcPr>
            <w:tcW w:w="1356" w:type="dxa"/>
            <w:tcBorders>
              <w:top w:val="nil"/>
            </w:tcBorders>
            <w:shd w:val="clear" w:color="auto" w:fill="auto"/>
            <w:noWrap/>
            <w:vAlign w:val="bottom"/>
            <w:hideMark/>
          </w:tcPr>
          <w:p w14:paraId="56133A27"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r w:rsidRPr="000E4150">
              <w:rPr>
                <w:rFonts w:ascii="Times New Roman" w:eastAsia="Times New Roman" w:hAnsi="Times New Roman" w:cs="Times New Roman"/>
                <w:sz w:val="24"/>
                <w:szCs w:val="24"/>
                <w:lang w:val="en-US" w:eastAsia="en-GB"/>
              </w:rPr>
              <w:t>77.3</w:t>
            </w:r>
          </w:p>
        </w:tc>
        <w:tc>
          <w:tcPr>
            <w:tcW w:w="1119" w:type="dxa"/>
            <w:tcBorders>
              <w:top w:val="nil"/>
              <w:right w:val="nil"/>
            </w:tcBorders>
            <w:shd w:val="clear" w:color="auto" w:fill="auto"/>
            <w:noWrap/>
            <w:vAlign w:val="bottom"/>
            <w:hideMark/>
          </w:tcPr>
          <w:p w14:paraId="3AAAC5F5"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r w:rsidRPr="000E4150">
              <w:rPr>
                <w:rFonts w:ascii="Times New Roman" w:eastAsia="Times New Roman" w:hAnsi="Times New Roman" w:cs="Times New Roman"/>
                <w:sz w:val="24"/>
                <w:szCs w:val="24"/>
                <w:lang w:val="en-US" w:eastAsia="en-GB"/>
              </w:rPr>
              <w:t>(9.3)</w:t>
            </w:r>
          </w:p>
        </w:tc>
      </w:tr>
      <w:tr w:rsidR="0021616D" w:rsidRPr="000E4150" w14:paraId="4C9683D3" w14:textId="77777777" w:rsidTr="00896221">
        <w:trPr>
          <w:trHeight w:val="315"/>
        </w:trPr>
        <w:tc>
          <w:tcPr>
            <w:tcW w:w="2567" w:type="dxa"/>
            <w:tcBorders>
              <w:top w:val="nil"/>
              <w:left w:val="nil"/>
              <w:bottom w:val="single" w:sz="4" w:space="0" w:color="auto"/>
            </w:tcBorders>
            <w:shd w:val="clear" w:color="auto" w:fill="auto"/>
            <w:hideMark/>
          </w:tcPr>
          <w:p w14:paraId="7342AD99" w14:textId="77777777" w:rsidR="0021616D" w:rsidRPr="000E4150" w:rsidRDefault="0021616D" w:rsidP="005D2EEB">
            <w:pPr>
              <w:spacing w:after="0" w:line="240" w:lineRule="auto"/>
              <w:rPr>
                <w:rFonts w:ascii="Times New Roman" w:eastAsia="Times New Roman" w:hAnsi="Times New Roman" w:cs="Times New Roman"/>
                <w:sz w:val="24"/>
                <w:szCs w:val="24"/>
                <w:lang w:val="en-US" w:eastAsia="en-GB"/>
              </w:rPr>
            </w:pPr>
            <w:r w:rsidRPr="000E4150">
              <w:rPr>
                <w:rFonts w:ascii="Times New Roman" w:eastAsia="Times New Roman" w:hAnsi="Times New Roman" w:cs="Times New Roman"/>
                <w:sz w:val="24"/>
                <w:szCs w:val="24"/>
                <w:lang w:val="en-US" w:eastAsia="en-GB"/>
              </w:rPr>
              <w:t>Value Money</w:t>
            </w:r>
            <w:r w:rsidR="001C0B24" w:rsidRPr="000E4150">
              <w:rPr>
                <w:rFonts w:ascii="Times New Roman" w:eastAsia="Times New Roman" w:hAnsi="Times New Roman" w:cs="Times New Roman"/>
                <w:sz w:val="24"/>
                <w:szCs w:val="24"/>
                <w:lang w:val="en-US" w:eastAsia="en-GB"/>
              </w:rPr>
              <w:t xml:space="preserve"> Ratings</w:t>
            </w:r>
          </w:p>
        </w:tc>
        <w:tc>
          <w:tcPr>
            <w:tcW w:w="1417" w:type="dxa"/>
            <w:tcBorders>
              <w:top w:val="nil"/>
              <w:bottom w:val="single" w:sz="4" w:space="0" w:color="auto"/>
            </w:tcBorders>
            <w:shd w:val="clear" w:color="auto" w:fill="auto"/>
            <w:noWrap/>
            <w:vAlign w:val="bottom"/>
            <w:hideMark/>
          </w:tcPr>
          <w:p w14:paraId="600AC4E9"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r w:rsidRPr="000E4150">
              <w:rPr>
                <w:rFonts w:ascii="Times New Roman" w:eastAsia="Times New Roman" w:hAnsi="Times New Roman" w:cs="Times New Roman"/>
                <w:sz w:val="24"/>
                <w:szCs w:val="24"/>
                <w:lang w:val="en-US" w:eastAsia="en-GB"/>
              </w:rPr>
              <w:t>71.3</w:t>
            </w:r>
          </w:p>
        </w:tc>
        <w:tc>
          <w:tcPr>
            <w:tcW w:w="851" w:type="dxa"/>
            <w:tcBorders>
              <w:top w:val="nil"/>
              <w:bottom w:val="single" w:sz="4" w:space="0" w:color="auto"/>
            </w:tcBorders>
            <w:shd w:val="clear" w:color="auto" w:fill="auto"/>
            <w:noWrap/>
            <w:vAlign w:val="bottom"/>
            <w:hideMark/>
          </w:tcPr>
          <w:p w14:paraId="18310214"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r w:rsidRPr="000E4150">
              <w:rPr>
                <w:rFonts w:ascii="Times New Roman" w:eastAsia="Times New Roman" w:hAnsi="Times New Roman" w:cs="Times New Roman"/>
                <w:sz w:val="24"/>
                <w:szCs w:val="24"/>
                <w:lang w:val="en-US" w:eastAsia="en-GB"/>
              </w:rPr>
              <w:t>(27.0)</w:t>
            </w:r>
          </w:p>
        </w:tc>
        <w:tc>
          <w:tcPr>
            <w:tcW w:w="850" w:type="dxa"/>
            <w:tcBorders>
              <w:top w:val="nil"/>
              <w:bottom w:val="single" w:sz="4" w:space="0" w:color="auto"/>
            </w:tcBorders>
            <w:shd w:val="clear" w:color="auto" w:fill="auto"/>
            <w:noWrap/>
            <w:vAlign w:val="bottom"/>
            <w:hideMark/>
          </w:tcPr>
          <w:p w14:paraId="2B296E2B"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r w:rsidRPr="000E4150">
              <w:rPr>
                <w:rFonts w:ascii="Times New Roman" w:eastAsia="Times New Roman" w:hAnsi="Times New Roman" w:cs="Times New Roman"/>
                <w:sz w:val="24"/>
                <w:szCs w:val="24"/>
                <w:lang w:val="en-US" w:eastAsia="en-GB"/>
              </w:rPr>
              <w:t>58.6</w:t>
            </w:r>
          </w:p>
        </w:tc>
        <w:tc>
          <w:tcPr>
            <w:tcW w:w="912" w:type="dxa"/>
            <w:tcBorders>
              <w:top w:val="nil"/>
              <w:bottom w:val="single" w:sz="4" w:space="0" w:color="auto"/>
            </w:tcBorders>
            <w:shd w:val="clear" w:color="auto" w:fill="auto"/>
            <w:noWrap/>
            <w:vAlign w:val="bottom"/>
            <w:hideMark/>
          </w:tcPr>
          <w:p w14:paraId="6F74243C"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r w:rsidRPr="000E4150">
              <w:rPr>
                <w:rFonts w:ascii="Times New Roman" w:eastAsia="Times New Roman" w:hAnsi="Times New Roman" w:cs="Times New Roman"/>
                <w:sz w:val="24"/>
                <w:szCs w:val="24"/>
                <w:lang w:val="en-US" w:eastAsia="en-GB"/>
              </w:rPr>
              <w:t>(32.8)</w:t>
            </w:r>
          </w:p>
        </w:tc>
        <w:tc>
          <w:tcPr>
            <w:tcW w:w="1356" w:type="dxa"/>
            <w:tcBorders>
              <w:top w:val="nil"/>
              <w:bottom w:val="single" w:sz="4" w:space="0" w:color="auto"/>
            </w:tcBorders>
            <w:shd w:val="clear" w:color="auto" w:fill="auto"/>
            <w:noWrap/>
            <w:vAlign w:val="bottom"/>
            <w:hideMark/>
          </w:tcPr>
          <w:p w14:paraId="559F0FFA"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r w:rsidRPr="000E4150">
              <w:rPr>
                <w:rFonts w:ascii="Times New Roman" w:eastAsia="Times New Roman" w:hAnsi="Times New Roman" w:cs="Times New Roman"/>
                <w:sz w:val="24"/>
                <w:szCs w:val="24"/>
                <w:lang w:val="en-US" w:eastAsia="en-GB"/>
              </w:rPr>
              <w:t>76.1</w:t>
            </w:r>
          </w:p>
        </w:tc>
        <w:tc>
          <w:tcPr>
            <w:tcW w:w="1119" w:type="dxa"/>
            <w:tcBorders>
              <w:top w:val="nil"/>
              <w:bottom w:val="single" w:sz="4" w:space="0" w:color="auto"/>
              <w:right w:val="nil"/>
            </w:tcBorders>
            <w:shd w:val="clear" w:color="auto" w:fill="auto"/>
            <w:noWrap/>
            <w:vAlign w:val="bottom"/>
            <w:hideMark/>
          </w:tcPr>
          <w:p w14:paraId="5234BF2A" w14:textId="77777777" w:rsidR="0021616D" w:rsidRPr="000E4150" w:rsidRDefault="0021616D" w:rsidP="005D2EEB">
            <w:pPr>
              <w:spacing w:after="0" w:line="240" w:lineRule="auto"/>
              <w:jc w:val="center"/>
              <w:rPr>
                <w:rFonts w:ascii="Times New Roman" w:eastAsia="Times New Roman" w:hAnsi="Times New Roman" w:cs="Times New Roman"/>
                <w:sz w:val="24"/>
                <w:szCs w:val="24"/>
                <w:lang w:val="en-US" w:eastAsia="en-GB"/>
              </w:rPr>
            </w:pPr>
            <w:r w:rsidRPr="000E4150">
              <w:rPr>
                <w:rFonts w:ascii="Times New Roman" w:eastAsia="Times New Roman" w:hAnsi="Times New Roman" w:cs="Times New Roman"/>
                <w:sz w:val="24"/>
                <w:szCs w:val="24"/>
                <w:lang w:val="en-US" w:eastAsia="en-GB"/>
              </w:rPr>
              <w:t>(26.8)</w:t>
            </w:r>
          </w:p>
        </w:tc>
      </w:tr>
    </w:tbl>
    <w:p w14:paraId="454C2020" w14:textId="77777777" w:rsidR="0021616D" w:rsidRPr="000E4150" w:rsidRDefault="0021616D" w:rsidP="00A320B9">
      <w:pPr>
        <w:spacing w:line="480" w:lineRule="auto"/>
        <w:rPr>
          <w:rFonts w:asciiTheme="majorBidi" w:hAnsiTheme="majorBidi" w:cstheme="majorBidi"/>
          <w:b/>
          <w:bCs/>
          <w:sz w:val="24"/>
          <w:szCs w:val="24"/>
          <w:lang w:val="en-US"/>
        </w:rPr>
      </w:pPr>
    </w:p>
    <w:p w14:paraId="147949BD" w14:textId="77777777" w:rsidR="00DC0851" w:rsidRPr="000E4150" w:rsidRDefault="00DC0851" w:rsidP="00DC0851">
      <w:pPr>
        <w:pStyle w:val="NoSpacing"/>
        <w:rPr>
          <w:lang w:val="en-US"/>
        </w:rPr>
      </w:pPr>
      <w:r w:rsidRPr="000E4150">
        <w:rPr>
          <w:lang w:val="en-US"/>
        </w:rPr>
        <w:t>NART, National Adult Reading Test; OCDUS, Obsessive Compulsive Drug Use Scale; BIS-11, Barret Impulsivity Scale.</w:t>
      </w:r>
    </w:p>
    <w:p w14:paraId="0C0E9089" w14:textId="77777777" w:rsidR="00DC0851" w:rsidRPr="000E4150" w:rsidRDefault="00DC0851" w:rsidP="00DC0851">
      <w:pPr>
        <w:pStyle w:val="NoSpacing"/>
        <w:rPr>
          <w:lang w:val="en-US"/>
        </w:rPr>
      </w:pPr>
    </w:p>
    <w:p w14:paraId="25CB8614" w14:textId="77777777" w:rsidR="00DC0851" w:rsidRPr="000E4150" w:rsidRDefault="00DC0851">
      <w:pPr>
        <w:rPr>
          <w:rFonts w:ascii="Times New Roman" w:hAnsi="Times New Roman"/>
          <w:sz w:val="24"/>
          <w:lang w:val="en-US"/>
        </w:rPr>
      </w:pPr>
      <w:r w:rsidRPr="000E4150">
        <w:rPr>
          <w:lang w:val="en-US"/>
        </w:rPr>
        <w:br w:type="page"/>
      </w:r>
    </w:p>
    <w:p w14:paraId="0BE36A7C" w14:textId="77777777" w:rsidR="00DC0851" w:rsidRPr="000E4150" w:rsidRDefault="00DC0851" w:rsidP="00DC0851">
      <w:pPr>
        <w:pStyle w:val="NoSpacing"/>
        <w:rPr>
          <w:lang w:val="en-US"/>
        </w:rPr>
      </w:pPr>
    </w:p>
    <w:p w14:paraId="2E78D9E2" w14:textId="1C4267F3" w:rsidR="00787D9B" w:rsidRPr="000E4150" w:rsidRDefault="00787D9B" w:rsidP="005744EB">
      <w:pPr>
        <w:spacing w:line="480" w:lineRule="auto"/>
        <w:rPr>
          <w:rFonts w:asciiTheme="majorBidi" w:hAnsiTheme="majorBidi" w:cstheme="majorBidi"/>
          <w:b/>
          <w:bCs/>
          <w:sz w:val="24"/>
          <w:szCs w:val="24"/>
          <w:lang w:val="en-US"/>
        </w:rPr>
      </w:pPr>
      <w:r w:rsidRPr="000E4150">
        <w:rPr>
          <w:rFonts w:asciiTheme="majorBidi" w:hAnsiTheme="majorBidi" w:cstheme="majorBidi"/>
          <w:b/>
          <w:bCs/>
          <w:sz w:val="24"/>
          <w:szCs w:val="24"/>
          <w:lang w:val="en-US"/>
        </w:rPr>
        <w:t>Acknowledgments</w:t>
      </w:r>
      <w:r w:rsidR="00493736" w:rsidRPr="000E4150">
        <w:rPr>
          <w:rFonts w:asciiTheme="majorBidi" w:hAnsiTheme="majorBidi" w:cstheme="majorBidi"/>
          <w:b/>
          <w:bCs/>
          <w:sz w:val="24"/>
          <w:szCs w:val="24"/>
          <w:lang w:val="en-US"/>
        </w:rPr>
        <w:t xml:space="preserve"> </w:t>
      </w:r>
      <w:r w:rsidR="006D56A6" w:rsidRPr="000E4150">
        <w:rPr>
          <w:rFonts w:asciiTheme="majorBidi" w:hAnsiTheme="majorBidi" w:cstheme="majorBidi"/>
          <w:b/>
          <w:bCs/>
          <w:sz w:val="24"/>
          <w:szCs w:val="24"/>
          <w:lang w:val="en-US"/>
        </w:rPr>
        <w:t>and Conflicts of Interest</w:t>
      </w:r>
    </w:p>
    <w:p w14:paraId="7EC82792" w14:textId="69FFC6A8" w:rsidR="00F60648" w:rsidRPr="000E4150" w:rsidRDefault="001C0B24" w:rsidP="00F60648">
      <w:pPr>
        <w:spacing w:line="480" w:lineRule="auto"/>
        <w:rPr>
          <w:rFonts w:asciiTheme="majorBidi" w:hAnsiTheme="majorBidi" w:cstheme="majorBidi"/>
          <w:sz w:val="24"/>
          <w:szCs w:val="24"/>
          <w:lang w:val="en-US"/>
        </w:rPr>
      </w:pPr>
      <w:r w:rsidRPr="000E4150">
        <w:rPr>
          <w:rFonts w:asciiTheme="majorBidi" w:hAnsiTheme="majorBidi" w:cstheme="majorBidi"/>
          <w:sz w:val="24"/>
          <w:szCs w:val="24"/>
          <w:lang w:val="en-US"/>
        </w:rPr>
        <w:t xml:space="preserve">This research was funded by a Medical Research Council (MRC) grant (G0701497), financially supported by the NIHR Cambridge Biomedical Research Centre, and conducted within the </w:t>
      </w:r>
      <w:proofErr w:type="spellStart"/>
      <w:r w:rsidRPr="000E4150">
        <w:rPr>
          <w:rFonts w:asciiTheme="majorBidi" w:hAnsiTheme="majorBidi" w:cstheme="majorBidi"/>
          <w:sz w:val="24"/>
          <w:szCs w:val="24"/>
          <w:lang w:val="en-US"/>
        </w:rPr>
        <w:t>Behavioural</w:t>
      </w:r>
      <w:proofErr w:type="spellEnd"/>
      <w:r w:rsidRPr="000E4150">
        <w:rPr>
          <w:rFonts w:asciiTheme="majorBidi" w:hAnsiTheme="majorBidi" w:cstheme="majorBidi"/>
          <w:sz w:val="24"/>
          <w:szCs w:val="24"/>
          <w:lang w:val="en-US"/>
        </w:rPr>
        <w:t xml:space="preserve"> and Clinical Neuroscience Institute (BCNI). </w:t>
      </w:r>
    </w:p>
    <w:p w14:paraId="55AC3E42" w14:textId="77777777" w:rsidR="00F60648" w:rsidRPr="000E4150" w:rsidRDefault="00F60648" w:rsidP="00F60648">
      <w:pPr>
        <w:spacing w:line="480" w:lineRule="auto"/>
        <w:rPr>
          <w:rFonts w:asciiTheme="majorBidi" w:hAnsiTheme="majorBidi" w:cstheme="majorBidi"/>
          <w:sz w:val="24"/>
          <w:szCs w:val="24"/>
          <w:lang w:val="en-US"/>
        </w:rPr>
      </w:pPr>
      <w:r w:rsidRPr="000E4150">
        <w:rPr>
          <w:rFonts w:asciiTheme="majorBidi" w:hAnsiTheme="majorBidi" w:cstheme="majorBidi"/>
          <w:sz w:val="24"/>
          <w:szCs w:val="24"/>
          <w:lang w:val="en-US"/>
        </w:rPr>
        <w:t>CM is supported by the Wellcome Trust (105602/Z/14/Z) and the NIHR Cambridge Biomedical Research Centre. PZ was supported by the Pinsent Darwin studentship from the Department of Physiology, Development and Neuroscience, University of Cambridge. The remaining authors declare no conflict of interests.</w:t>
      </w:r>
    </w:p>
    <w:p w14:paraId="75D7B94B" w14:textId="51E2C42F" w:rsidR="00396D92" w:rsidRPr="000E4150" w:rsidRDefault="001C0B24" w:rsidP="00F60648">
      <w:pPr>
        <w:spacing w:line="480" w:lineRule="auto"/>
        <w:rPr>
          <w:rFonts w:asciiTheme="majorBidi" w:hAnsiTheme="majorBidi" w:cstheme="majorBidi"/>
          <w:sz w:val="24"/>
          <w:szCs w:val="24"/>
          <w:lang w:val="en-US"/>
        </w:rPr>
      </w:pPr>
      <w:r w:rsidRPr="000E4150">
        <w:rPr>
          <w:rFonts w:asciiTheme="majorBidi" w:hAnsiTheme="majorBidi" w:cstheme="majorBidi"/>
          <w:sz w:val="24"/>
          <w:szCs w:val="24"/>
          <w:lang w:val="en-US"/>
        </w:rPr>
        <w:t xml:space="preserve">We thank all the participants for their contributions to this study, the clinical study officers of the Mental Health Research Network for their help with participant referrals, staff at the NIHR Cambridge Clinical Research Facility and the Wolfson Brain Imaging Centre for their dedicated support throughout this study. We also thank Abigail Turton for her assistance with data collection and </w:t>
      </w:r>
      <w:proofErr w:type="spellStart"/>
      <w:r w:rsidRPr="000E4150">
        <w:rPr>
          <w:rFonts w:asciiTheme="majorBidi" w:hAnsiTheme="majorBidi" w:cstheme="majorBidi"/>
          <w:sz w:val="24"/>
          <w:szCs w:val="24"/>
          <w:lang w:val="en-US"/>
        </w:rPr>
        <w:t>Sanja</w:t>
      </w:r>
      <w:proofErr w:type="spellEnd"/>
      <w:r w:rsidRPr="000E4150">
        <w:rPr>
          <w:rFonts w:asciiTheme="majorBidi" w:hAnsiTheme="majorBidi" w:cstheme="majorBidi"/>
          <w:sz w:val="24"/>
          <w:szCs w:val="24"/>
          <w:lang w:val="en-US"/>
        </w:rPr>
        <w:t xml:space="preserve"> Abbott for task programming.</w:t>
      </w:r>
      <w:r w:rsidR="00396D92" w:rsidRPr="000E4150">
        <w:rPr>
          <w:rFonts w:asciiTheme="majorBidi" w:hAnsiTheme="majorBidi" w:cstheme="majorBidi"/>
          <w:sz w:val="24"/>
          <w:szCs w:val="24"/>
          <w:lang w:val="en-US"/>
        </w:rPr>
        <w:t xml:space="preserve"> </w:t>
      </w:r>
      <w:r w:rsidR="000F17EE" w:rsidRPr="000E4150">
        <w:rPr>
          <w:rFonts w:asciiTheme="majorBidi" w:hAnsiTheme="majorBidi" w:cstheme="majorBidi"/>
          <w:sz w:val="24"/>
          <w:szCs w:val="24"/>
          <w:lang w:val="en-US"/>
        </w:rPr>
        <w:t xml:space="preserve">We would like to thank Dr Inge </w:t>
      </w:r>
      <w:proofErr w:type="spellStart"/>
      <w:r w:rsidR="000F17EE" w:rsidRPr="000E4150">
        <w:rPr>
          <w:rFonts w:asciiTheme="majorBidi" w:hAnsiTheme="majorBidi" w:cstheme="majorBidi"/>
          <w:sz w:val="24"/>
          <w:szCs w:val="24"/>
          <w:lang w:val="en-US"/>
        </w:rPr>
        <w:t>Volman</w:t>
      </w:r>
      <w:proofErr w:type="spellEnd"/>
      <w:r w:rsidR="000F17EE" w:rsidRPr="000E4150">
        <w:rPr>
          <w:rFonts w:asciiTheme="majorBidi" w:hAnsiTheme="majorBidi" w:cstheme="majorBidi"/>
          <w:sz w:val="24"/>
          <w:szCs w:val="24"/>
          <w:lang w:val="en-US"/>
        </w:rPr>
        <w:t xml:space="preserve"> for her insightful contribution to validating the mass univariate fMRI analysis using an ROI-wise approach. </w:t>
      </w:r>
    </w:p>
    <w:p w14:paraId="755019EE" w14:textId="77777777" w:rsidR="005744EB" w:rsidRPr="000E4150" w:rsidRDefault="005744EB" w:rsidP="00841775">
      <w:pPr>
        <w:spacing w:line="480" w:lineRule="auto"/>
        <w:rPr>
          <w:rFonts w:asciiTheme="majorBidi" w:hAnsiTheme="majorBidi" w:cstheme="majorBidi"/>
          <w:sz w:val="24"/>
          <w:szCs w:val="24"/>
          <w:lang w:val="en-US"/>
        </w:rPr>
      </w:pPr>
    </w:p>
    <w:p w14:paraId="2EB42028" w14:textId="77777777" w:rsidR="00A320B9" w:rsidRPr="000E4150" w:rsidRDefault="00A320B9" w:rsidP="00A320B9">
      <w:pPr>
        <w:spacing w:line="480" w:lineRule="auto"/>
        <w:rPr>
          <w:rFonts w:asciiTheme="majorBidi" w:hAnsiTheme="majorBidi" w:cstheme="majorBidi"/>
          <w:b/>
          <w:bCs/>
          <w:sz w:val="24"/>
          <w:szCs w:val="24"/>
          <w:lang w:val="en-US"/>
        </w:rPr>
      </w:pPr>
      <w:r w:rsidRPr="000E4150">
        <w:rPr>
          <w:rFonts w:asciiTheme="majorBidi" w:hAnsiTheme="majorBidi" w:cstheme="majorBidi"/>
          <w:b/>
          <w:bCs/>
          <w:sz w:val="24"/>
          <w:szCs w:val="24"/>
          <w:lang w:val="en-US"/>
        </w:rPr>
        <w:br w:type="page"/>
      </w:r>
    </w:p>
    <w:p w14:paraId="4F425D8C" w14:textId="5059F9FF" w:rsidR="00A320B9" w:rsidRPr="000E4150" w:rsidRDefault="00A320B9" w:rsidP="00A320B9">
      <w:pPr>
        <w:spacing w:line="480" w:lineRule="auto"/>
        <w:rPr>
          <w:rFonts w:asciiTheme="majorBidi" w:hAnsiTheme="majorBidi" w:cstheme="majorBidi"/>
          <w:b/>
          <w:bCs/>
          <w:sz w:val="24"/>
          <w:szCs w:val="24"/>
          <w:lang w:val="en-US"/>
        </w:rPr>
      </w:pPr>
      <w:r w:rsidRPr="000E4150">
        <w:rPr>
          <w:rFonts w:asciiTheme="majorBidi" w:hAnsiTheme="majorBidi" w:cstheme="majorBidi"/>
          <w:b/>
          <w:bCs/>
          <w:sz w:val="24"/>
          <w:szCs w:val="24"/>
          <w:lang w:val="en-US"/>
        </w:rPr>
        <w:lastRenderedPageBreak/>
        <w:t>Figure Legends</w:t>
      </w:r>
    </w:p>
    <w:p w14:paraId="26D89C2E" w14:textId="18C5F4D4" w:rsidR="009845B2" w:rsidRPr="000E4150" w:rsidRDefault="005E33BC" w:rsidP="00A320B9">
      <w:pPr>
        <w:spacing w:line="480" w:lineRule="auto"/>
        <w:rPr>
          <w:rFonts w:asciiTheme="majorBidi" w:hAnsiTheme="majorBidi" w:cstheme="majorBidi"/>
          <w:b/>
          <w:bCs/>
          <w:sz w:val="24"/>
          <w:szCs w:val="24"/>
          <w:lang w:val="en-US"/>
        </w:rPr>
      </w:pPr>
      <w:r w:rsidRPr="000E4150">
        <w:rPr>
          <w:noProof/>
          <w:lang w:eastAsia="en-GB" w:bidi="he-IL"/>
        </w:rPr>
        <w:drawing>
          <wp:inline distT="0" distB="0" distL="0" distR="0" wp14:anchorId="7E8B5FB4" wp14:editId="4AC54043">
            <wp:extent cx="5731510" cy="316674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166745"/>
                    </a:xfrm>
                    <a:prstGeom prst="rect">
                      <a:avLst/>
                    </a:prstGeom>
                    <a:noFill/>
                    <a:ln>
                      <a:noFill/>
                    </a:ln>
                  </pic:spPr>
                </pic:pic>
              </a:graphicData>
            </a:graphic>
          </wp:inline>
        </w:drawing>
      </w:r>
    </w:p>
    <w:p w14:paraId="400B947C" w14:textId="6CBEB5E8" w:rsidR="00A320B9" w:rsidRPr="000E4150" w:rsidRDefault="00A320B9" w:rsidP="00A320B9">
      <w:pPr>
        <w:pStyle w:val="paragraph"/>
        <w:spacing w:before="0" w:beforeAutospacing="0" w:after="0" w:afterAutospacing="0" w:line="480" w:lineRule="auto"/>
        <w:textAlignment w:val="baseline"/>
        <w:rPr>
          <w:rFonts w:asciiTheme="majorBidi" w:hAnsiTheme="majorBidi" w:cstheme="majorBidi"/>
          <w:lang w:val="en-US"/>
        </w:rPr>
      </w:pPr>
      <w:r w:rsidRPr="000E4150">
        <w:rPr>
          <w:rStyle w:val="normaltextrun"/>
          <w:rFonts w:asciiTheme="majorBidi" w:hAnsiTheme="majorBidi" w:cstheme="majorBidi"/>
          <w:b/>
          <w:bCs/>
          <w:lang w:val="en-US"/>
        </w:rPr>
        <w:t>Figure 1.</w:t>
      </w:r>
      <w:r w:rsidRPr="000E4150">
        <w:rPr>
          <w:rStyle w:val="normaltextrun"/>
          <w:rFonts w:asciiTheme="majorBidi" w:hAnsiTheme="majorBidi" w:cstheme="majorBidi"/>
          <w:lang w:val="en-US"/>
        </w:rPr>
        <w:t xml:space="preserve">   Impulsive responding when anticipating an incentive. (A) Cues indicated the incentive available on each trial, and participants prepared during the anticipation phase to respond during the brief period when the target was presented. Incentives could be monetary (a small sum of money) or drug-related images, with 44 incentive and 22 neutral trials in each of the two contexts.  (B) The number of premature responses, where participants responded during the anticipation phase and before the target appeared, for each of the three groups and to the two incentives. Post-hoc tests with false discovery rate correction were used. (C) Axial brain slices (z=4, 21, 39, 56) demonstrating prefrontal and striatal activations when participants responded prematurely during the anticipation phase (whole brain cluster corrected z=2.3, p=0.05). (D) </w:t>
      </w:r>
      <w:r w:rsidR="00BF5B58" w:rsidRPr="000E4150">
        <w:rPr>
          <w:rStyle w:val="normaltextrun"/>
          <w:rFonts w:asciiTheme="majorBidi" w:hAnsiTheme="majorBidi" w:cstheme="majorBidi"/>
          <w:lang w:val="en-US"/>
        </w:rPr>
        <w:t>Receiver Operating Curves</w:t>
      </w:r>
      <w:r w:rsidRPr="000E4150">
        <w:rPr>
          <w:rStyle w:val="normaltextrun"/>
          <w:rFonts w:asciiTheme="majorBidi" w:hAnsiTheme="majorBidi" w:cstheme="majorBidi"/>
          <w:lang w:val="en-US"/>
        </w:rPr>
        <w:t xml:space="preserve"> demonstrating good model performance of regions of interest timeseries in predicting whether participants responded prematurely or accurately to the target. Asterisks in figure denote level of significance (*p&lt;.05; **p&lt;.</w:t>
      </w:r>
      <w:proofErr w:type="gramStart"/>
      <w:r w:rsidRPr="000E4150">
        <w:rPr>
          <w:rStyle w:val="normaltextrun"/>
          <w:rFonts w:asciiTheme="majorBidi" w:hAnsiTheme="majorBidi" w:cstheme="majorBidi"/>
          <w:lang w:val="en-US"/>
        </w:rPr>
        <w:t>01)</w:t>
      </w:r>
      <w:r w:rsidRPr="000E4150">
        <w:rPr>
          <w:rStyle w:val="eop"/>
          <w:rFonts w:asciiTheme="majorBidi" w:hAnsiTheme="majorBidi" w:cstheme="majorBidi"/>
          <w:lang w:val="en-US"/>
        </w:rPr>
        <w:t>​</w:t>
      </w:r>
      <w:proofErr w:type="gramEnd"/>
    </w:p>
    <w:p w14:paraId="174C1D9C" w14:textId="31B64778" w:rsidR="00A320B9" w:rsidRPr="000E4150" w:rsidRDefault="00A320B9" w:rsidP="00A320B9">
      <w:pPr>
        <w:pStyle w:val="paragraph"/>
        <w:spacing w:before="0" w:beforeAutospacing="0" w:after="0" w:afterAutospacing="0" w:line="480" w:lineRule="auto"/>
        <w:textAlignment w:val="baseline"/>
        <w:rPr>
          <w:rFonts w:asciiTheme="majorBidi" w:hAnsiTheme="majorBidi" w:cstheme="majorBidi"/>
          <w:lang w:val="en-US"/>
        </w:rPr>
      </w:pPr>
      <w:r w:rsidRPr="000E4150">
        <w:rPr>
          <w:rStyle w:val="eop"/>
          <w:rFonts w:asciiTheme="majorBidi" w:hAnsiTheme="majorBidi" w:cstheme="majorBidi"/>
          <w:lang w:val="en-US"/>
        </w:rPr>
        <w:t>​</w:t>
      </w:r>
      <w:r w:rsidR="009845B2" w:rsidRPr="000E4150">
        <w:rPr>
          <w:lang w:val="en-US"/>
        </w:rPr>
        <w:t xml:space="preserve"> </w:t>
      </w:r>
    </w:p>
    <w:p w14:paraId="5E18A4DD" w14:textId="1DCF04DF" w:rsidR="00A320B9" w:rsidRPr="000E4150" w:rsidRDefault="00A320B9" w:rsidP="00A320B9">
      <w:pPr>
        <w:pStyle w:val="paragraph"/>
        <w:spacing w:before="0" w:beforeAutospacing="0" w:after="0" w:afterAutospacing="0" w:line="480" w:lineRule="auto"/>
        <w:textAlignment w:val="baseline"/>
        <w:rPr>
          <w:rFonts w:asciiTheme="majorBidi" w:hAnsiTheme="majorBidi" w:cstheme="majorBidi"/>
          <w:lang w:val="en-US"/>
        </w:rPr>
      </w:pPr>
      <w:r w:rsidRPr="000E4150">
        <w:rPr>
          <w:rStyle w:val="eop"/>
          <w:rFonts w:asciiTheme="majorBidi" w:hAnsiTheme="majorBidi" w:cstheme="majorBidi"/>
          <w:lang w:val="en-US"/>
        </w:rPr>
        <w:lastRenderedPageBreak/>
        <w:t>​</w:t>
      </w:r>
      <w:r w:rsidR="00E16674" w:rsidRPr="000E4150">
        <w:rPr>
          <w:noProof/>
          <w:lang w:val="en-US"/>
        </w:rPr>
        <w:t xml:space="preserve"> </w:t>
      </w:r>
      <w:r w:rsidR="00E16674" w:rsidRPr="000E4150">
        <w:rPr>
          <w:noProof/>
        </w:rPr>
        <w:drawing>
          <wp:inline distT="0" distB="0" distL="0" distR="0" wp14:anchorId="464C41A9" wp14:editId="55A1F0EF">
            <wp:extent cx="5731510" cy="288607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886075"/>
                    </a:xfrm>
                    <a:prstGeom prst="rect">
                      <a:avLst/>
                    </a:prstGeom>
                    <a:noFill/>
                    <a:ln>
                      <a:noFill/>
                    </a:ln>
                  </pic:spPr>
                </pic:pic>
              </a:graphicData>
            </a:graphic>
          </wp:inline>
        </w:drawing>
      </w:r>
    </w:p>
    <w:p w14:paraId="72799F27" w14:textId="77777777" w:rsidR="00A320B9" w:rsidRPr="000E4150" w:rsidRDefault="00A320B9" w:rsidP="00A320B9">
      <w:pPr>
        <w:pStyle w:val="paragraph"/>
        <w:spacing w:before="0" w:beforeAutospacing="0" w:after="0" w:afterAutospacing="0" w:line="480" w:lineRule="auto"/>
        <w:textAlignment w:val="baseline"/>
        <w:rPr>
          <w:rFonts w:asciiTheme="majorBidi" w:hAnsiTheme="majorBidi" w:cstheme="majorBidi"/>
          <w:lang w:val="en-US"/>
        </w:rPr>
      </w:pPr>
      <w:r w:rsidRPr="000E4150">
        <w:rPr>
          <w:rStyle w:val="normaltextrun"/>
          <w:rFonts w:asciiTheme="majorBidi" w:hAnsiTheme="majorBidi" w:cstheme="majorBidi"/>
          <w:b/>
          <w:bCs/>
          <w:lang w:val="en-US"/>
        </w:rPr>
        <w:t>Figure 2</w:t>
      </w:r>
      <w:r w:rsidRPr="000E4150">
        <w:rPr>
          <w:rStyle w:val="normaltextrun"/>
          <w:rFonts w:asciiTheme="majorBidi" w:hAnsiTheme="majorBidi" w:cstheme="majorBidi"/>
          <w:lang w:val="en-US"/>
        </w:rPr>
        <w:t xml:space="preserve">. Striatum ROI activation during premature responding. (A) HC and SIB exhibit striatal activation during premature responding to money incentives, while SDI exhibit a similar pattern but with drug incentives (MNI [y </w:t>
      </w:r>
      <w:proofErr w:type="gramStart"/>
      <w:r w:rsidRPr="000E4150">
        <w:rPr>
          <w:rStyle w:val="normaltextrun"/>
          <w:rFonts w:asciiTheme="majorBidi" w:hAnsiTheme="majorBidi" w:cstheme="majorBidi"/>
          <w:lang w:val="en-US"/>
        </w:rPr>
        <w:t>z]=</w:t>
      </w:r>
      <w:proofErr w:type="gramEnd"/>
      <w:r w:rsidRPr="000E4150">
        <w:rPr>
          <w:rStyle w:val="normaltextrun"/>
          <w:rFonts w:asciiTheme="majorBidi" w:hAnsiTheme="majorBidi" w:cstheme="majorBidi"/>
          <w:lang w:val="en-US"/>
        </w:rPr>
        <w:t>[10 0]).  Activations in all groups span the caudate and putamen. (B) The striatum ROI (outlined in red), with the subregion in yellow in the</w:t>
      </w:r>
      <w:r w:rsidRPr="000E4150">
        <w:rPr>
          <w:rStyle w:val="normaltextrun"/>
          <w:rFonts w:asciiTheme="majorBidi" w:hAnsiTheme="majorBidi" w:cstheme="majorBidi"/>
          <w:b/>
          <w:bCs/>
          <w:lang w:val="en-US"/>
        </w:rPr>
        <w:t> </w:t>
      </w:r>
      <w:r w:rsidRPr="000E4150">
        <w:rPr>
          <w:rStyle w:val="normaltextrun"/>
          <w:rFonts w:asciiTheme="majorBidi" w:hAnsiTheme="majorBidi" w:cstheme="majorBidi"/>
          <w:lang w:val="en-US"/>
        </w:rPr>
        <w:t xml:space="preserve">anterior dorsal caudate (n=6 voxels) exhibiting an opposing pattern with increased activation in both HC and SIB and decreased activation in SDI when responding prematurely to money versus drug incentives. (C) Mean percent signal change (with 95% CI) of the difference between activation for money versus drug incentives in the anterior dorsal caudate. A significant interaction, </w:t>
      </w:r>
      <w:proofErr w:type="gramStart"/>
      <w:r w:rsidRPr="000E4150">
        <w:rPr>
          <w:rStyle w:val="normaltextrun"/>
          <w:rFonts w:asciiTheme="majorBidi" w:hAnsiTheme="majorBidi" w:cstheme="majorBidi"/>
          <w:lang w:val="en-US"/>
        </w:rPr>
        <w:t>F(</w:t>
      </w:r>
      <w:proofErr w:type="gramEnd"/>
      <w:r w:rsidRPr="000E4150">
        <w:rPr>
          <w:rStyle w:val="normaltextrun"/>
          <w:rFonts w:asciiTheme="majorBidi" w:hAnsiTheme="majorBidi" w:cstheme="majorBidi"/>
          <w:lang w:val="en-US"/>
        </w:rPr>
        <w:t>2, 123) = 5.99, p=0.003, was found between group and incentive condition.  Specifically, Money-Drug difference was significantly greater in the HC than in SDI and in the SIB than in SDI (post-hoc tests with false discovery rate correction, p=0.0016 p=0.0074, respectively). Asterisks in figure denote level of significance (**p&lt;</w:t>
      </w:r>
      <w:proofErr w:type="gramStart"/>
      <w:r w:rsidRPr="000E4150">
        <w:rPr>
          <w:rStyle w:val="normaltextrun"/>
          <w:rFonts w:asciiTheme="majorBidi" w:hAnsiTheme="majorBidi" w:cstheme="majorBidi"/>
          <w:lang w:val="en-US"/>
        </w:rPr>
        <w:t>0.01)</w:t>
      </w:r>
      <w:r w:rsidRPr="000E4150">
        <w:rPr>
          <w:rStyle w:val="eop"/>
          <w:rFonts w:asciiTheme="majorBidi" w:hAnsiTheme="majorBidi" w:cstheme="majorBidi"/>
          <w:lang w:val="en-US"/>
        </w:rPr>
        <w:t>​</w:t>
      </w:r>
      <w:proofErr w:type="gramEnd"/>
    </w:p>
    <w:p w14:paraId="3EDB9873" w14:textId="1A93DEF4" w:rsidR="00A320B9" w:rsidRPr="000E4150" w:rsidRDefault="00A320B9" w:rsidP="00A320B9">
      <w:pPr>
        <w:pStyle w:val="paragraph"/>
        <w:spacing w:before="0" w:beforeAutospacing="0" w:after="0" w:afterAutospacing="0" w:line="480" w:lineRule="auto"/>
        <w:textAlignment w:val="baseline"/>
        <w:rPr>
          <w:rFonts w:asciiTheme="majorBidi" w:hAnsiTheme="majorBidi" w:cstheme="majorBidi"/>
          <w:lang w:val="en-US"/>
        </w:rPr>
      </w:pPr>
      <w:r w:rsidRPr="000E4150">
        <w:rPr>
          <w:rStyle w:val="eop"/>
          <w:rFonts w:asciiTheme="majorBidi" w:hAnsiTheme="majorBidi" w:cstheme="majorBidi"/>
          <w:lang w:val="en-US"/>
        </w:rPr>
        <w:lastRenderedPageBreak/>
        <w:t>​</w:t>
      </w:r>
      <w:r w:rsidR="009845B2" w:rsidRPr="000E4150">
        <w:rPr>
          <w:noProof/>
          <w:lang w:val="en-US"/>
        </w:rPr>
        <w:t xml:space="preserve"> </w:t>
      </w:r>
      <w:r w:rsidR="009845B2" w:rsidRPr="000E4150">
        <w:rPr>
          <w:noProof/>
        </w:rPr>
        <w:drawing>
          <wp:inline distT="0" distB="0" distL="0" distR="0" wp14:anchorId="690473FE" wp14:editId="16D51E82">
            <wp:extent cx="5731510" cy="3519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519805"/>
                    </a:xfrm>
                    <a:prstGeom prst="rect">
                      <a:avLst/>
                    </a:prstGeom>
                    <a:noFill/>
                    <a:ln>
                      <a:noFill/>
                    </a:ln>
                  </pic:spPr>
                </pic:pic>
              </a:graphicData>
            </a:graphic>
          </wp:inline>
        </w:drawing>
      </w:r>
    </w:p>
    <w:p w14:paraId="0974423B" w14:textId="3EA942A7" w:rsidR="00A320B9" w:rsidRPr="000E4150" w:rsidRDefault="00A320B9" w:rsidP="00610042">
      <w:pPr>
        <w:spacing w:line="480" w:lineRule="auto"/>
        <w:rPr>
          <w:rFonts w:asciiTheme="majorBidi" w:hAnsiTheme="majorBidi" w:cstheme="majorBidi"/>
          <w:sz w:val="24"/>
          <w:szCs w:val="24"/>
          <w:lang w:val="en-US"/>
        </w:rPr>
      </w:pPr>
      <w:r w:rsidRPr="000E4150">
        <w:rPr>
          <w:rFonts w:asciiTheme="majorBidi" w:hAnsiTheme="majorBidi" w:cstheme="majorBidi"/>
          <w:b/>
          <w:bCs/>
          <w:sz w:val="24"/>
          <w:szCs w:val="24"/>
          <w:lang w:val="en-US"/>
        </w:rPr>
        <w:t xml:space="preserve">Figure 3. </w:t>
      </w:r>
      <w:r w:rsidRPr="000E4150">
        <w:rPr>
          <w:rFonts w:asciiTheme="majorBidi" w:hAnsiTheme="majorBidi" w:cstheme="majorBidi"/>
          <w:sz w:val="24"/>
          <w:szCs w:val="24"/>
          <w:lang w:val="en-US"/>
        </w:rPr>
        <w:t>DCM connectivity analyses</w:t>
      </w:r>
      <w:r w:rsidR="00883EE3" w:rsidRPr="000E4150">
        <w:rPr>
          <w:rFonts w:asciiTheme="majorBidi" w:hAnsiTheme="majorBidi" w:cstheme="majorBidi"/>
          <w:sz w:val="24"/>
          <w:szCs w:val="24"/>
          <w:lang w:val="en-US"/>
        </w:rPr>
        <w:t>.</w:t>
      </w:r>
      <w:r w:rsidRPr="000E4150">
        <w:rPr>
          <w:rFonts w:asciiTheme="majorBidi" w:hAnsiTheme="majorBidi" w:cstheme="majorBidi"/>
          <w:sz w:val="24"/>
          <w:szCs w:val="24"/>
          <w:lang w:val="en-US"/>
        </w:rPr>
        <w:t xml:space="preserve"> (A) Model space and structure of the DCMs compared. Top row shows the 7 families, testing different possible connections between the 3 regions. Black arrows denote driving inputs (all MID trials) and red arrows indicate the modulatory effect of premature responding (premature versus correct). Within the fully interactive family A, model A3 with modulation to the striatum is highlighted as having the greatest exceedance probabilities for both HC with money incentive and for SDI with drug incentives</w:t>
      </w:r>
      <w:r w:rsidR="00610042" w:rsidRPr="000E4150">
        <w:rPr>
          <w:rFonts w:asciiTheme="majorBidi" w:hAnsiTheme="majorBidi" w:cstheme="majorBidi"/>
          <w:sz w:val="24"/>
          <w:szCs w:val="24"/>
          <w:lang w:val="en-US"/>
        </w:rPr>
        <w:t xml:space="preserve"> (see also SI Appendix S3). </w:t>
      </w:r>
      <w:r w:rsidRPr="000E4150">
        <w:rPr>
          <w:rFonts w:asciiTheme="majorBidi" w:hAnsiTheme="majorBidi" w:cstheme="majorBidi"/>
          <w:sz w:val="24"/>
          <w:szCs w:val="24"/>
          <w:lang w:val="en-US"/>
        </w:rPr>
        <w:t xml:space="preserve">(B) Random effects Bayesian Model Selection within family A, demonstrating the evidence in support of model A3 for both groups, each with their relevant incentive. (C) Average connectivity estimates. All fixed connections survive Bonferroni corrections. Modulatory connections are significant at p&lt;0.05, uncorrected. (D) Mean group modulation strength estimates (with 95% CI) from the BMA for HC and SDI (each with their respective incentive). Only the ACC to striatum modulation differed significantly between the groups. Asterisk in figure denotes level of significance (* p&lt;.05, uncorrected); ACC: anterior cingulate; STR: striatum incorporating caudate and putamen </w:t>
      </w:r>
      <w:r w:rsidRPr="000E4150">
        <w:rPr>
          <w:rFonts w:asciiTheme="majorBidi" w:hAnsiTheme="majorBidi" w:cstheme="majorBidi"/>
          <w:sz w:val="24"/>
          <w:szCs w:val="24"/>
          <w:lang w:val="en-US"/>
        </w:rPr>
        <w:lastRenderedPageBreak/>
        <w:t>subregions that were active in the HC and SDI group, respectively; IFC: inferior frontal cortex including the frontal operculum only.</w:t>
      </w:r>
    </w:p>
    <w:sectPr w:rsidR="00A320B9" w:rsidRPr="000E415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42FFE2" w14:textId="77777777" w:rsidR="00791F63" w:rsidRDefault="00791F63" w:rsidP="00A320B9">
      <w:pPr>
        <w:spacing w:after="0" w:line="240" w:lineRule="auto"/>
      </w:pPr>
      <w:r>
        <w:separator/>
      </w:r>
    </w:p>
  </w:endnote>
  <w:endnote w:type="continuationSeparator" w:id="0">
    <w:p w14:paraId="0013348E" w14:textId="77777777" w:rsidR="00791F63" w:rsidRDefault="00791F63" w:rsidP="00A320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5232777"/>
      <w:docPartObj>
        <w:docPartGallery w:val="Page Numbers (Bottom of Page)"/>
        <w:docPartUnique/>
      </w:docPartObj>
    </w:sdtPr>
    <w:sdtEndPr>
      <w:rPr>
        <w:noProof/>
      </w:rPr>
    </w:sdtEndPr>
    <w:sdtContent>
      <w:p w14:paraId="4C1D8BBA" w14:textId="061F796A" w:rsidR="00923969" w:rsidRDefault="00923969">
        <w:pPr>
          <w:pStyle w:val="Footer"/>
          <w:jc w:val="center"/>
        </w:pPr>
        <w:r>
          <w:fldChar w:fldCharType="begin"/>
        </w:r>
        <w:r>
          <w:instrText xml:space="preserve"> PAGE   \* MERGEFORMAT </w:instrText>
        </w:r>
        <w:r>
          <w:fldChar w:fldCharType="separate"/>
        </w:r>
        <w:r w:rsidR="00CC46AD">
          <w:rPr>
            <w:noProof/>
          </w:rPr>
          <w:t>10</w:t>
        </w:r>
        <w:r>
          <w:rPr>
            <w:noProof/>
          </w:rPr>
          <w:fldChar w:fldCharType="end"/>
        </w:r>
      </w:p>
    </w:sdtContent>
  </w:sdt>
  <w:p w14:paraId="2486448D" w14:textId="77777777" w:rsidR="00923969" w:rsidRDefault="009239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D9B9B3" w14:textId="77777777" w:rsidR="00791F63" w:rsidRDefault="00791F63" w:rsidP="00A320B9">
      <w:pPr>
        <w:spacing w:after="0" w:line="240" w:lineRule="auto"/>
      </w:pPr>
      <w:r>
        <w:separator/>
      </w:r>
    </w:p>
  </w:footnote>
  <w:footnote w:type="continuationSeparator" w:id="0">
    <w:p w14:paraId="1D420C57" w14:textId="77777777" w:rsidR="00791F63" w:rsidRDefault="00791F63" w:rsidP="00A320B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5B5"/>
    <w:rsid w:val="00001BB4"/>
    <w:rsid w:val="00004236"/>
    <w:rsid w:val="000117E3"/>
    <w:rsid w:val="000128B5"/>
    <w:rsid w:val="00015BC1"/>
    <w:rsid w:val="000166BB"/>
    <w:rsid w:val="00016DC1"/>
    <w:rsid w:val="0002457F"/>
    <w:rsid w:val="000254A7"/>
    <w:rsid w:val="00026B0D"/>
    <w:rsid w:val="00027743"/>
    <w:rsid w:val="000338DD"/>
    <w:rsid w:val="00037246"/>
    <w:rsid w:val="00037299"/>
    <w:rsid w:val="00037674"/>
    <w:rsid w:val="00037B51"/>
    <w:rsid w:val="000462B9"/>
    <w:rsid w:val="00050617"/>
    <w:rsid w:val="00051934"/>
    <w:rsid w:val="00057BC0"/>
    <w:rsid w:val="00062C11"/>
    <w:rsid w:val="00067E10"/>
    <w:rsid w:val="00072851"/>
    <w:rsid w:val="0007369F"/>
    <w:rsid w:val="000813AC"/>
    <w:rsid w:val="00081836"/>
    <w:rsid w:val="000827AE"/>
    <w:rsid w:val="00083024"/>
    <w:rsid w:val="000836D9"/>
    <w:rsid w:val="000845E1"/>
    <w:rsid w:val="00087A53"/>
    <w:rsid w:val="00091507"/>
    <w:rsid w:val="00091B88"/>
    <w:rsid w:val="00092FC9"/>
    <w:rsid w:val="00094057"/>
    <w:rsid w:val="000A6B3E"/>
    <w:rsid w:val="000A74FF"/>
    <w:rsid w:val="000B04F3"/>
    <w:rsid w:val="000B2F24"/>
    <w:rsid w:val="000B741C"/>
    <w:rsid w:val="000C1F7B"/>
    <w:rsid w:val="000C3076"/>
    <w:rsid w:val="000C5B68"/>
    <w:rsid w:val="000D02FF"/>
    <w:rsid w:val="000D5D3E"/>
    <w:rsid w:val="000D5DAF"/>
    <w:rsid w:val="000E4150"/>
    <w:rsid w:val="000E5ABD"/>
    <w:rsid w:val="000E74C7"/>
    <w:rsid w:val="000F0A7E"/>
    <w:rsid w:val="000F17EE"/>
    <w:rsid w:val="00103510"/>
    <w:rsid w:val="001043E2"/>
    <w:rsid w:val="00104EBE"/>
    <w:rsid w:val="00104F60"/>
    <w:rsid w:val="00105EAD"/>
    <w:rsid w:val="001060D0"/>
    <w:rsid w:val="00112F73"/>
    <w:rsid w:val="00116A69"/>
    <w:rsid w:val="001176C4"/>
    <w:rsid w:val="001208D4"/>
    <w:rsid w:val="00120931"/>
    <w:rsid w:val="00120FA0"/>
    <w:rsid w:val="00122439"/>
    <w:rsid w:val="001226B8"/>
    <w:rsid w:val="00125176"/>
    <w:rsid w:val="00125DC8"/>
    <w:rsid w:val="00125E0A"/>
    <w:rsid w:val="00130118"/>
    <w:rsid w:val="00131B0A"/>
    <w:rsid w:val="001347C5"/>
    <w:rsid w:val="00134A26"/>
    <w:rsid w:val="00140EFA"/>
    <w:rsid w:val="001423C3"/>
    <w:rsid w:val="00153468"/>
    <w:rsid w:val="0015735B"/>
    <w:rsid w:val="00164391"/>
    <w:rsid w:val="00166C05"/>
    <w:rsid w:val="00167F79"/>
    <w:rsid w:val="00171DCE"/>
    <w:rsid w:val="0017372C"/>
    <w:rsid w:val="00175217"/>
    <w:rsid w:val="0018284D"/>
    <w:rsid w:val="0018444D"/>
    <w:rsid w:val="00185734"/>
    <w:rsid w:val="00186E68"/>
    <w:rsid w:val="00191E7D"/>
    <w:rsid w:val="00196977"/>
    <w:rsid w:val="001A468D"/>
    <w:rsid w:val="001A4B4E"/>
    <w:rsid w:val="001B47D2"/>
    <w:rsid w:val="001B690E"/>
    <w:rsid w:val="001B7BE8"/>
    <w:rsid w:val="001C0B24"/>
    <w:rsid w:val="001C196A"/>
    <w:rsid w:val="001C1DD7"/>
    <w:rsid w:val="001C34E8"/>
    <w:rsid w:val="001C53C0"/>
    <w:rsid w:val="001C6808"/>
    <w:rsid w:val="001D3249"/>
    <w:rsid w:val="001E123E"/>
    <w:rsid w:val="001E1F4D"/>
    <w:rsid w:val="001E384B"/>
    <w:rsid w:val="001F1BA7"/>
    <w:rsid w:val="001F1EB6"/>
    <w:rsid w:val="001F7A3F"/>
    <w:rsid w:val="00200D4D"/>
    <w:rsid w:val="00201F7F"/>
    <w:rsid w:val="002119C2"/>
    <w:rsid w:val="0021616D"/>
    <w:rsid w:val="00217273"/>
    <w:rsid w:val="00217BB2"/>
    <w:rsid w:val="00225645"/>
    <w:rsid w:val="00225CD8"/>
    <w:rsid w:val="00226FD4"/>
    <w:rsid w:val="0023089C"/>
    <w:rsid w:val="00231F5C"/>
    <w:rsid w:val="002322F8"/>
    <w:rsid w:val="002345E0"/>
    <w:rsid w:val="00234CAA"/>
    <w:rsid w:val="00236C41"/>
    <w:rsid w:val="00237B79"/>
    <w:rsid w:val="00243376"/>
    <w:rsid w:val="00245250"/>
    <w:rsid w:val="00246F9B"/>
    <w:rsid w:val="00254E91"/>
    <w:rsid w:val="00257775"/>
    <w:rsid w:val="00257D92"/>
    <w:rsid w:val="00262A61"/>
    <w:rsid w:val="00263F45"/>
    <w:rsid w:val="00267C6C"/>
    <w:rsid w:val="002718DB"/>
    <w:rsid w:val="002723DA"/>
    <w:rsid w:val="00272C9F"/>
    <w:rsid w:val="0027583E"/>
    <w:rsid w:val="00277B91"/>
    <w:rsid w:val="00281169"/>
    <w:rsid w:val="00283E32"/>
    <w:rsid w:val="002870DE"/>
    <w:rsid w:val="00290A3B"/>
    <w:rsid w:val="00292DFF"/>
    <w:rsid w:val="002A065A"/>
    <w:rsid w:val="002A180D"/>
    <w:rsid w:val="002A57B9"/>
    <w:rsid w:val="002A6E6D"/>
    <w:rsid w:val="002B0A17"/>
    <w:rsid w:val="002B1AEF"/>
    <w:rsid w:val="002B3642"/>
    <w:rsid w:val="002B4D3E"/>
    <w:rsid w:val="002B689D"/>
    <w:rsid w:val="002C0B71"/>
    <w:rsid w:val="002C327F"/>
    <w:rsid w:val="002C4618"/>
    <w:rsid w:val="002C4E15"/>
    <w:rsid w:val="002C7905"/>
    <w:rsid w:val="002D0049"/>
    <w:rsid w:val="002D06D9"/>
    <w:rsid w:val="002D249C"/>
    <w:rsid w:val="002D349C"/>
    <w:rsid w:val="002D591A"/>
    <w:rsid w:val="002D6728"/>
    <w:rsid w:val="002D6AAD"/>
    <w:rsid w:val="002D6FC2"/>
    <w:rsid w:val="002E061E"/>
    <w:rsid w:val="002E2145"/>
    <w:rsid w:val="002E2F73"/>
    <w:rsid w:val="002F2F47"/>
    <w:rsid w:val="002F3BB5"/>
    <w:rsid w:val="002F4291"/>
    <w:rsid w:val="002F6F28"/>
    <w:rsid w:val="00306C23"/>
    <w:rsid w:val="00311C9F"/>
    <w:rsid w:val="00312E54"/>
    <w:rsid w:val="003153C2"/>
    <w:rsid w:val="00315C40"/>
    <w:rsid w:val="00317275"/>
    <w:rsid w:val="0032101D"/>
    <w:rsid w:val="003212A7"/>
    <w:rsid w:val="00322CEB"/>
    <w:rsid w:val="003234AC"/>
    <w:rsid w:val="00324FC2"/>
    <w:rsid w:val="00327064"/>
    <w:rsid w:val="00333A11"/>
    <w:rsid w:val="003361D3"/>
    <w:rsid w:val="003370F9"/>
    <w:rsid w:val="003371EC"/>
    <w:rsid w:val="003507F3"/>
    <w:rsid w:val="00350B93"/>
    <w:rsid w:val="003632CF"/>
    <w:rsid w:val="00372CC9"/>
    <w:rsid w:val="003756B9"/>
    <w:rsid w:val="00375FCB"/>
    <w:rsid w:val="00376911"/>
    <w:rsid w:val="00377AB3"/>
    <w:rsid w:val="003803E4"/>
    <w:rsid w:val="003819AB"/>
    <w:rsid w:val="00384338"/>
    <w:rsid w:val="00384AEB"/>
    <w:rsid w:val="00395A21"/>
    <w:rsid w:val="00395B57"/>
    <w:rsid w:val="00396D92"/>
    <w:rsid w:val="003A0810"/>
    <w:rsid w:val="003A44C8"/>
    <w:rsid w:val="003A5AC3"/>
    <w:rsid w:val="003B5FC7"/>
    <w:rsid w:val="003C205F"/>
    <w:rsid w:val="003C4C24"/>
    <w:rsid w:val="003D0D02"/>
    <w:rsid w:val="003D4BBE"/>
    <w:rsid w:val="003D5213"/>
    <w:rsid w:val="003D71B9"/>
    <w:rsid w:val="003D74E7"/>
    <w:rsid w:val="003D78FF"/>
    <w:rsid w:val="003E1A72"/>
    <w:rsid w:val="003E3359"/>
    <w:rsid w:val="003E3C0A"/>
    <w:rsid w:val="003E5431"/>
    <w:rsid w:val="003E6AFF"/>
    <w:rsid w:val="003F53D7"/>
    <w:rsid w:val="003F7F54"/>
    <w:rsid w:val="004001E3"/>
    <w:rsid w:val="00401BED"/>
    <w:rsid w:val="004040C6"/>
    <w:rsid w:val="00405143"/>
    <w:rsid w:val="00406099"/>
    <w:rsid w:val="00406C0A"/>
    <w:rsid w:val="004076C2"/>
    <w:rsid w:val="0041012C"/>
    <w:rsid w:val="00414CD3"/>
    <w:rsid w:val="00420788"/>
    <w:rsid w:val="00431198"/>
    <w:rsid w:val="00435035"/>
    <w:rsid w:val="00436F21"/>
    <w:rsid w:val="00437011"/>
    <w:rsid w:val="00437491"/>
    <w:rsid w:val="00440D96"/>
    <w:rsid w:val="004417DD"/>
    <w:rsid w:val="00443205"/>
    <w:rsid w:val="004433E3"/>
    <w:rsid w:val="0044651D"/>
    <w:rsid w:val="00447099"/>
    <w:rsid w:val="00450E7F"/>
    <w:rsid w:val="004511A8"/>
    <w:rsid w:val="004533AC"/>
    <w:rsid w:val="00455773"/>
    <w:rsid w:val="00456740"/>
    <w:rsid w:val="00456B0C"/>
    <w:rsid w:val="00457B32"/>
    <w:rsid w:val="00463181"/>
    <w:rsid w:val="004641DD"/>
    <w:rsid w:val="004671DE"/>
    <w:rsid w:val="004719D1"/>
    <w:rsid w:val="004749F8"/>
    <w:rsid w:val="0047611D"/>
    <w:rsid w:val="0048473A"/>
    <w:rsid w:val="004855C4"/>
    <w:rsid w:val="00487124"/>
    <w:rsid w:val="00490C7B"/>
    <w:rsid w:val="004910ED"/>
    <w:rsid w:val="004913BF"/>
    <w:rsid w:val="00491A0B"/>
    <w:rsid w:val="00493736"/>
    <w:rsid w:val="00495D8A"/>
    <w:rsid w:val="004975EA"/>
    <w:rsid w:val="004A0D50"/>
    <w:rsid w:val="004A1775"/>
    <w:rsid w:val="004A24AE"/>
    <w:rsid w:val="004A301C"/>
    <w:rsid w:val="004A488C"/>
    <w:rsid w:val="004A6503"/>
    <w:rsid w:val="004B40A4"/>
    <w:rsid w:val="004B57FB"/>
    <w:rsid w:val="004C2529"/>
    <w:rsid w:val="004C3DFC"/>
    <w:rsid w:val="004C614E"/>
    <w:rsid w:val="004E12DA"/>
    <w:rsid w:val="004E3D5B"/>
    <w:rsid w:val="004E536E"/>
    <w:rsid w:val="004E5924"/>
    <w:rsid w:val="004E7BEB"/>
    <w:rsid w:val="004F3540"/>
    <w:rsid w:val="004F40E8"/>
    <w:rsid w:val="004F5B65"/>
    <w:rsid w:val="00500355"/>
    <w:rsid w:val="00500FC9"/>
    <w:rsid w:val="00501062"/>
    <w:rsid w:val="005067DD"/>
    <w:rsid w:val="005073E3"/>
    <w:rsid w:val="0051281D"/>
    <w:rsid w:val="0051287E"/>
    <w:rsid w:val="00514E1D"/>
    <w:rsid w:val="00524536"/>
    <w:rsid w:val="005263DE"/>
    <w:rsid w:val="0052703D"/>
    <w:rsid w:val="0052777C"/>
    <w:rsid w:val="005308BD"/>
    <w:rsid w:val="005344AD"/>
    <w:rsid w:val="00536F24"/>
    <w:rsid w:val="005473E0"/>
    <w:rsid w:val="00547AAF"/>
    <w:rsid w:val="00550246"/>
    <w:rsid w:val="00551886"/>
    <w:rsid w:val="00556A7C"/>
    <w:rsid w:val="00567032"/>
    <w:rsid w:val="005674C3"/>
    <w:rsid w:val="00567F7A"/>
    <w:rsid w:val="005744EB"/>
    <w:rsid w:val="00574882"/>
    <w:rsid w:val="00575F11"/>
    <w:rsid w:val="00576BDD"/>
    <w:rsid w:val="005809FC"/>
    <w:rsid w:val="00580A49"/>
    <w:rsid w:val="00580A98"/>
    <w:rsid w:val="00583A3A"/>
    <w:rsid w:val="005855E2"/>
    <w:rsid w:val="0058752F"/>
    <w:rsid w:val="005A29B7"/>
    <w:rsid w:val="005A424F"/>
    <w:rsid w:val="005B1D7D"/>
    <w:rsid w:val="005B20EE"/>
    <w:rsid w:val="005B5357"/>
    <w:rsid w:val="005B58F0"/>
    <w:rsid w:val="005B6FCA"/>
    <w:rsid w:val="005C05C6"/>
    <w:rsid w:val="005C5455"/>
    <w:rsid w:val="005D14A3"/>
    <w:rsid w:val="005D2EEB"/>
    <w:rsid w:val="005E33BC"/>
    <w:rsid w:val="005E539F"/>
    <w:rsid w:val="005E7044"/>
    <w:rsid w:val="005F46A4"/>
    <w:rsid w:val="005F5843"/>
    <w:rsid w:val="005F65C2"/>
    <w:rsid w:val="005F7B56"/>
    <w:rsid w:val="00601078"/>
    <w:rsid w:val="0060231C"/>
    <w:rsid w:val="006028FD"/>
    <w:rsid w:val="00607F66"/>
    <w:rsid w:val="00610042"/>
    <w:rsid w:val="00612002"/>
    <w:rsid w:val="00612845"/>
    <w:rsid w:val="00614333"/>
    <w:rsid w:val="00617438"/>
    <w:rsid w:val="00621855"/>
    <w:rsid w:val="00626803"/>
    <w:rsid w:val="006304B2"/>
    <w:rsid w:val="00634354"/>
    <w:rsid w:val="00642B1F"/>
    <w:rsid w:val="00642E04"/>
    <w:rsid w:val="00643909"/>
    <w:rsid w:val="0064395A"/>
    <w:rsid w:val="00644021"/>
    <w:rsid w:val="00644607"/>
    <w:rsid w:val="0067433A"/>
    <w:rsid w:val="00680BC6"/>
    <w:rsid w:val="0068335C"/>
    <w:rsid w:val="006872B2"/>
    <w:rsid w:val="00691328"/>
    <w:rsid w:val="00692E45"/>
    <w:rsid w:val="00693A5B"/>
    <w:rsid w:val="006947B4"/>
    <w:rsid w:val="00696EEC"/>
    <w:rsid w:val="006A1C46"/>
    <w:rsid w:val="006A230B"/>
    <w:rsid w:val="006A7BE0"/>
    <w:rsid w:val="006B43B4"/>
    <w:rsid w:val="006B50B0"/>
    <w:rsid w:val="006B65A7"/>
    <w:rsid w:val="006C0485"/>
    <w:rsid w:val="006C2089"/>
    <w:rsid w:val="006C62D8"/>
    <w:rsid w:val="006D56A6"/>
    <w:rsid w:val="006D692A"/>
    <w:rsid w:val="006E4E8F"/>
    <w:rsid w:val="006E7ACB"/>
    <w:rsid w:val="006F0D30"/>
    <w:rsid w:val="006F36EE"/>
    <w:rsid w:val="00711460"/>
    <w:rsid w:val="00711910"/>
    <w:rsid w:val="00717732"/>
    <w:rsid w:val="00722537"/>
    <w:rsid w:val="00722E74"/>
    <w:rsid w:val="00723176"/>
    <w:rsid w:val="00727144"/>
    <w:rsid w:val="00727A30"/>
    <w:rsid w:val="007406CE"/>
    <w:rsid w:val="00740B0B"/>
    <w:rsid w:val="00742E05"/>
    <w:rsid w:val="0074307B"/>
    <w:rsid w:val="0074482D"/>
    <w:rsid w:val="00747C45"/>
    <w:rsid w:val="007507B5"/>
    <w:rsid w:val="00752206"/>
    <w:rsid w:val="00754D55"/>
    <w:rsid w:val="00756A2E"/>
    <w:rsid w:val="00757589"/>
    <w:rsid w:val="00760109"/>
    <w:rsid w:val="00760ABA"/>
    <w:rsid w:val="00763A70"/>
    <w:rsid w:val="00763A8D"/>
    <w:rsid w:val="0077229D"/>
    <w:rsid w:val="00774615"/>
    <w:rsid w:val="00774A8F"/>
    <w:rsid w:val="00774D70"/>
    <w:rsid w:val="0077675C"/>
    <w:rsid w:val="0078032C"/>
    <w:rsid w:val="0078101D"/>
    <w:rsid w:val="0078151B"/>
    <w:rsid w:val="007815FA"/>
    <w:rsid w:val="0078416D"/>
    <w:rsid w:val="00787D9B"/>
    <w:rsid w:val="007905A8"/>
    <w:rsid w:val="007908C1"/>
    <w:rsid w:val="00791906"/>
    <w:rsid w:val="00791F63"/>
    <w:rsid w:val="007927C7"/>
    <w:rsid w:val="00793893"/>
    <w:rsid w:val="00793E91"/>
    <w:rsid w:val="00796084"/>
    <w:rsid w:val="0079720C"/>
    <w:rsid w:val="007A3502"/>
    <w:rsid w:val="007A3CA0"/>
    <w:rsid w:val="007A505C"/>
    <w:rsid w:val="007B430A"/>
    <w:rsid w:val="007B5697"/>
    <w:rsid w:val="007C6169"/>
    <w:rsid w:val="007D1C95"/>
    <w:rsid w:val="007D4764"/>
    <w:rsid w:val="007D7D64"/>
    <w:rsid w:val="007D7E9C"/>
    <w:rsid w:val="007E030C"/>
    <w:rsid w:val="007E3A7A"/>
    <w:rsid w:val="007E5706"/>
    <w:rsid w:val="007F22A5"/>
    <w:rsid w:val="007F70E6"/>
    <w:rsid w:val="007F7C07"/>
    <w:rsid w:val="00802A91"/>
    <w:rsid w:val="00803AED"/>
    <w:rsid w:val="008045C2"/>
    <w:rsid w:val="00805147"/>
    <w:rsid w:val="008121AE"/>
    <w:rsid w:val="008159F3"/>
    <w:rsid w:val="00816C7A"/>
    <w:rsid w:val="00817059"/>
    <w:rsid w:val="0081710A"/>
    <w:rsid w:val="00824A28"/>
    <w:rsid w:val="00841775"/>
    <w:rsid w:val="008418A8"/>
    <w:rsid w:val="008513DE"/>
    <w:rsid w:val="00852052"/>
    <w:rsid w:val="00852859"/>
    <w:rsid w:val="00855787"/>
    <w:rsid w:val="00856EB7"/>
    <w:rsid w:val="00857B3A"/>
    <w:rsid w:val="00871BD9"/>
    <w:rsid w:val="008720F2"/>
    <w:rsid w:val="00875665"/>
    <w:rsid w:val="0087777A"/>
    <w:rsid w:val="0088131F"/>
    <w:rsid w:val="00883EE3"/>
    <w:rsid w:val="00895ADA"/>
    <w:rsid w:val="00896221"/>
    <w:rsid w:val="00896848"/>
    <w:rsid w:val="00897275"/>
    <w:rsid w:val="008A0635"/>
    <w:rsid w:val="008A2E98"/>
    <w:rsid w:val="008A32D3"/>
    <w:rsid w:val="008A425C"/>
    <w:rsid w:val="008A709E"/>
    <w:rsid w:val="008A7A21"/>
    <w:rsid w:val="008B2E1B"/>
    <w:rsid w:val="008B3C31"/>
    <w:rsid w:val="008B43D2"/>
    <w:rsid w:val="008B5D4D"/>
    <w:rsid w:val="008C2019"/>
    <w:rsid w:val="008C4B71"/>
    <w:rsid w:val="008C5369"/>
    <w:rsid w:val="008D48FF"/>
    <w:rsid w:val="008D7034"/>
    <w:rsid w:val="008D7C0C"/>
    <w:rsid w:val="008E68E5"/>
    <w:rsid w:val="008F21FC"/>
    <w:rsid w:val="00902415"/>
    <w:rsid w:val="0090403E"/>
    <w:rsid w:val="0090704F"/>
    <w:rsid w:val="00911504"/>
    <w:rsid w:val="00911D06"/>
    <w:rsid w:val="00914D1B"/>
    <w:rsid w:val="00916661"/>
    <w:rsid w:val="00917E9B"/>
    <w:rsid w:val="00920F3F"/>
    <w:rsid w:val="00921B09"/>
    <w:rsid w:val="00923969"/>
    <w:rsid w:val="00923F4D"/>
    <w:rsid w:val="009240A2"/>
    <w:rsid w:val="00924BB5"/>
    <w:rsid w:val="00927F4F"/>
    <w:rsid w:val="00930C06"/>
    <w:rsid w:val="00936632"/>
    <w:rsid w:val="00937DE2"/>
    <w:rsid w:val="0094142A"/>
    <w:rsid w:val="00954B89"/>
    <w:rsid w:val="00960785"/>
    <w:rsid w:val="009613C6"/>
    <w:rsid w:val="0096248A"/>
    <w:rsid w:val="009646B6"/>
    <w:rsid w:val="009678C1"/>
    <w:rsid w:val="009713CC"/>
    <w:rsid w:val="00980DBD"/>
    <w:rsid w:val="00983B05"/>
    <w:rsid w:val="00984567"/>
    <w:rsid w:val="009845B2"/>
    <w:rsid w:val="00994320"/>
    <w:rsid w:val="009A1CAA"/>
    <w:rsid w:val="009A6A5D"/>
    <w:rsid w:val="009A7ACB"/>
    <w:rsid w:val="009A7CA1"/>
    <w:rsid w:val="009B3E17"/>
    <w:rsid w:val="009B66FE"/>
    <w:rsid w:val="009C1E9F"/>
    <w:rsid w:val="009C27DC"/>
    <w:rsid w:val="009C3935"/>
    <w:rsid w:val="009D227C"/>
    <w:rsid w:val="009D7D34"/>
    <w:rsid w:val="009E129E"/>
    <w:rsid w:val="009E1AFB"/>
    <w:rsid w:val="009E4BC1"/>
    <w:rsid w:val="009E4CB3"/>
    <w:rsid w:val="009F551F"/>
    <w:rsid w:val="009F75EC"/>
    <w:rsid w:val="00A015F7"/>
    <w:rsid w:val="00A03161"/>
    <w:rsid w:val="00A05907"/>
    <w:rsid w:val="00A11CAB"/>
    <w:rsid w:val="00A1360A"/>
    <w:rsid w:val="00A13FDC"/>
    <w:rsid w:val="00A14DA8"/>
    <w:rsid w:val="00A15F2F"/>
    <w:rsid w:val="00A16A0D"/>
    <w:rsid w:val="00A17ACA"/>
    <w:rsid w:val="00A2041F"/>
    <w:rsid w:val="00A30B19"/>
    <w:rsid w:val="00A320B9"/>
    <w:rsid w:val="00A4237C"/>
    <w:rsid w:val="00A45C84"/>
    <w:rsid w:val="00A474B4"/>
    <w:rsid w:val="00A5502B"/>
    <w:rsid w:val="00A574D0"/>
    <w:rsid w:val="00A66416"/>
    <w:rsid w:val="00A66BBA"/>
    <w:rsid w:val="00A703AE"/>
    <w:rsid w:val="00A71AE5"/>
    <w:rsid w:val="00A724D3"/>
    <w:rsid w:val="00A832CF"/>
    <w:rsid w:val="00A84FD7"/>
    <w:rsid w:val="00A96029"/>
    <w:rsid w:val="00A96962"/>
    <w:rsid w:val="00AA3C92"/>
    <w:rsid w:val="00AB1B72"/>
    <w:rsid w:val="00AB74E8"/>
    <w:rsid w:val="00AB7A1C"/>
    <w:rsid w:val="00AC4766"/>
    <w:rsid w:val="00AD37F8"/>
    <w:rsid w:val="00AE0245"/>
    <w:rsid w:val="00AE11FB"/>
    <w:rsid w:val="00AE3957"/>
    <w:rsid w:val="00AE44D3"/>
    <w:rsid w:val="00AE6776"/>
    <w:rsid w:val="00AF1BD5"/>
    <w:rsid w:val="00AF3F7E"/>
    <w:rsid w:val="00B03CB2"/>
    <w:rsid w:val="00B0738A"/>
    <w:rsid w:val="00B10237"/>
    <w:rsid w:val="00B140BB"/>
    <w:rsid w:val="00B14E2D"/>
    <w:rsid w:val="00B16847"/>
    <w:rsid w:val="00B16F02"/>
    <w:rsid w:val="00B17B28"/>
    <w:rsid w:val="00B2192E"/>
    <w:rsid w:val="00B22432"/>
    <w:rsid w:val="00B233FB"/>
    <w:rsid w:val="00B258D9"/>
    <w:rsid w:val="00B265C1"/>
    <w:rsid w:val="00B27879"/>
    <w:rsid w:val="00B302FF"/>
    <w:rsid w:val="00B31B2C"/>
    <w:rsid w:val="00B33321"/>
    <w:rsid w:val="00B347E0"/>
    <w:rsid w:val="00B3689E"/>
    <w:rsid w:val="00B4199B"/>
    <w:rsid w:val="00B45082"/>
    <w:rsid w:val="00B456F2"/>
    <w:rsid w:val="00B4580C"/>
    <w:rsid w:val="00B47B81"/>
    <w:rsid w:val="00B528DD"/>
    <w:rsid w:val="00B54AA6"/>
    <w:rsid w:val="00B57BD3"/>
    <w:rsid w:val="00B60D42"/>
    <w:rsid w:val="00B66617"/>
    <w:rsid w:val="00B70BC7"/>
    <w:rsid w:val="00B74223"/>
    <w:rsid w:val="00B75EC8"/>
    <w:rsid w:val="00B767F2"/>
    <w:rsid w:val="00B81F16"/>
    <w:rsid w:val="00B90CDD"/>
    <w:rsid w:val="00B94321"/>
    <w:rsid w:val="00B96246"/>
    <w:rsid w:val="00BA0401"/>
    <w:rsid w:val="00BA0C4D"/>
    <w:rsid w:val="00BA1D0F"/>
    <w:rsid w:val="00BA2FF4"/>
    <w:rsid w:val="00BB2E4C"/>
    <w:rsid w:val="00BC32A4"/>
    <w:rsid w:val="00BC54DF"/>
    <w:rsid w:val="00BD10C2"/>
    <w:rsid w:val="00BD2C13"/>
    <w:rsid w:val="00BD3A46"/>
    <w:rsid w:val="00BD4411"/>
    <w:rsid w:val="00BD4FDC"/>
    <w:rsid w:val="00BD6B53"/>
    <w:rsid w:val="00BD7463"/>
    <w:rsid w:val="00BE1BB4"/>
    <w:rsid w:val="00BE2214"/>
    <w:rsid w:val="00BE2F79"/>
    <w:rsid w:val="00BE580B"/>
    <w:rsid w:val="00BF1C87"/>
    <w:rsid w:val="00BF2F7B"/>
    <w:rsid w:val="00BF3ED9"/>
    <w:rsid w:val="00BF5B58"/>
    <w:rsid w:val="00C01C2B"/>
    <w:rsid w:val="00C03740"/>
    <w:rsid w:val="00C10572"/>
    <w:rsid w:val="00C2654B"/>
    <w:rsid w:val="00C373A0"/>
    <w:rsid w:val="00C41E28"/>
    <w:rsid w:val="00C439E4"/>
    <w:rsid w:val="00C44698"/>
    <w:rsid w:val="00C446DE"/>
    <w:rsid w:val="00C462B0"/>
    <w:rsid w:val="00C470B2"/>
    <w:rsid w:val="00C4720D"/>
    <w:rsid w:val="00C535B5"/>
    <w:rsid w:val="00C6484E"/>
    <w:rsid w:val="00C7091B"/>
    <w:rsid w:val="00C74360"/>
    <w:rsid w:val="00C75623"/>
    <w:rsid w:val="00C80483"/>
    <w:rsid w:val="00C81B57"/>
    <w:rsid w:val="00C81C73"/>
    <w:rsid w:val="00C81D9D"/>
    <w:rsid w:val="00C8275B"/>
    <w:rsid w:val="00C85D24"/>
    <w:rsid w:val="00C959D2"/>
    <w:rsid w:val="00C97692"/>
    <w:rsid w:val="00CA125D"/>
    <w:rsid w:val="00CA685E"/>
    <w:rsid w:val="00CA7E5B"/>
    <w:rsid w:val="00CB31C5"/>
    <w:rsid w:val="00CB4633"/>
    <w:rsid w:val="00CB6845"/>
    <w:rsid w:val="00CB73E2"/>
    <w:rsid w:val="00CC00D5"/>
    <w:rsid w:val="00CC46AD"/>
    <w:rsid w:val="00CC6717"/>
    <w:rsid w:val="00CD3FCB"/>
    <w:rsid w:val="00CE210D"/>
    <w:rsid w:val="00CE60BF"/>
    <w:rsid w:val="00D021E9"/>
    <w:rsid w:val="00D03A01"/>
    <w:rsid w:val="00D071FF"/>
    <w:rsid w:val="00D07BB3"/>
    <w:rsid w:val="00D119A5"/>
    <w:rsid w:val="00D13948"/>
    <w:rsid w:val="00D16AAE"/>
    <w:rsid w:val="00D203AE"/>
    <w:rsid w:val="00D26055"/>
    <w:rsid w:val="00D27B7F"/>
    <w:rsid w:val="00D307D0"/>
    <w:rsid w:val="00D312BD"/>
    <w:rsid w:val="00D34D98"/>
    <w:rsid w:val="00D37B25"/>
    <w:rsid w:val="00D415C0"/>
    <w:rsid w:val="00D41EF7"/>
    <w:rsid w:val="00D502B8"/>
    <w:rsid w:val="00D525AB"/>
    <w:rsid w:val="00D52D9F"/>
    <w:rsid w:val="00D55B20"/>
    <w:rsid w:val="00D5637A"/>
    <w:rsid w:val="00D634DC"/>
    <w:rsid w:val="00D65D19"/>
    <w:rsid w:val="00D661B6"/>
    <w:rsid w:val="00D665ED"/>
    <w:rsid w:val="00D70787"/>
    <w:rsid w:val="00D7238D"/>
    <w:rsid w:val="00D75915"/>
    <w:rsid w:val="00D81433"/>
    <w:rsid w:val="00D8260E"/>
    <w:rsid w:val="00D90FD3"/>
    <w:rsid w:val="00D93FDE"/>
    <w:rsid w:val="00D949A9"/>
    <w:rsid w:val="00D94D2E"/>
    <w:rsid w:val="00DA0090"/>
    <w:rsid w:val="00DA5F3E"/>
    <w:rsid w:val="00DA6441"/>
    <w:rsid w:val="00DA6B10"/>
    <w:rsid w:val="00DA7168"/>
    <w:rsid w:val="00DB030E"/>
    <w:rsid w:val="00DB3380"/>
    <w:rsid w:val="00DB623E"/>
    <w:rsid w:val="00DB7BBC"/>
    <w:rsid w:val="00DC0851"/>
    <w:rsid w:val="00DC4AE0"/>
    <w:rsid w:val="00DC62B9"/>
    <w:rsid w:val="00DD20DF"/>
    <w:rsid w:val="00DE28FF"/>
    <w:rsid w:val="00DE4ECB"/>
    <w:rsid w:val="00DF0999"/>
    <w:rsid w:val="00DF0BF6"/>
    <w:rsid w:val="00DF2B6F"/>
    <w:rsid w:val="00DF53E1"/>
    <w:rsid w:val="00E008A4"/>
    <w:rsid w:val="00E032F9"/>
    <w:rsid w:val="00E03610"/>
    <w:rsid w:val="00E06636"/>
    <w:rsid w:val="00E07E9F"/>
    <w:rsid w:val="00E15028"/>
    <w:rsid w:val="00E16674"/>
    <w:rsid w:val="00E24339"/>
    <w:rsid w:val="00E246C7"/>
    <w:rsid w:val="00E26FC8"/>
    <w:rsid w:val="00E30BE1"/>
    <w:rsid w:val="00E32E03"/>
    <w:rsid w:val="00E4078D"/>
    <w:rsid w:val="00E46B88"/>
    <w:rsid w:val="00E518FF"/>
    <w:rsid w:val="00E52557"/>
    <w:rsid w:val="00E72B4B"/>
    <w:rsid w:val="00E73A98"/>
    <w:rsid w:val="00E86926"/>
    <w:rsid w:val="00E87512"/>
    <w:rsid w:val="00E96B94"/>
    <w:rsid w:val="00E97F05"/>
    <w:rsid w:val="00EA0582"/>
    <w:rsid w:val="00EA2371"/>
    <w:rsid w:val="00EA54C5"/>
    <w:rsid w:val="00EA5FC3"/>
    <w:rsid w:val="00EB02C7"/>
    <w:rsid w:val="00EB1A51"/>
    <w:rsid w:val="00EB38DB"/>
    <w:rsid w:val="00EB41ED"/>
    <w:rsid w:val="00EB47E7"/>
    <w:rsid w:val="00EB54A1"/>
    <w:rsid w:val="00EB6212"/>
    <w:rsid w:val="00EB6A51"/>
    <w:rsid w:val="00EC41D1"/>
    <w:rsid w:val="00EC49AA"/>
    <w:rsid w:val="00EC588D"/>
    <w:rsid w:val="00EC6122"/>
    <w:rsid w:val="00ED3487"/>
    <w:rsid w:val="00EE0EF4"/>
    <w:rsid w:val="00EE2475"/>
    <w:rsid w:val="00EE26A1"/>
    <w:rsid w:val="00EE2A3D"/>
    <w:rsid w:val="00EE4B8C"/>
    <w:rsid w:val="00EE66C0"/>
    <w:rsid w:val="00EE7A9E"/>
    <w:rsid w:val="00EF0E18"/>
    <w:rsid w:val="00EF48B4"/>
    <w:rsid w:val="00EF4B2D"/>
    <w:rsid w:val="00EF5B88"/>
    <w:rsid w:val="00F03961"/>
    <w:rsid w:val="00F03F89"/>
    <w:rsid w:val="00F05827"/>
    <w:rsid w:val="00F0766F"/>
    <w:rsid w:val="00F10108"/>
    <w:rsid w:val="00F126EF"/>
    <w:rsid w:val="00F214BE"/>
    <w:rsid w:val="00F2503F"/>
    <w:rsid w:val="00F2758D"/>
    <w:rsid w:val="00F300F2"/>
    <w:rsid w:val="00F32B49"/>
    <w:rsid w:val="00F35BBB"/>
    <w:rsid w:val="00F45034"/>
    <w:rsid w:val="00F45E51"/>
    <w:rsid w:val="00F54BCC"/>
    <w:rsid w:val="00F60648"/>
    <w:rsid w:val="00F63381"/>
    <w:rsid w:val="00F648AC"/>
    <w:rsid w:val="00F6566F"/>
    <w:rsid w:val="00F65E29"/>
    <w:rsid w:val="00F67060"/>
    <w:rsid w:val="00F70875"/>
    <w:rsid w:val="00F7257C"/>
    <w:rsid w:val="00F73CE7"/>
    <w:rsid w:val="00F73F01"/>
    <w:rsid w:val="00F75CAD"/>
    <w:rsid w:val="00F76323"/>
    <w:rsid w:val="00F8695D"/>
    <w:rsid w:val="00F906AD"/>
    <w:rsid w:val="00F91DA0"/>
    <w:rsid w:val="00FA2507"/>
    <w:rsid w:val="00FA4EF6"/>
    <w:rsid w:val="00FB79E8"/>
    <w:rsid w:val="00FC5219"/>
    <w:rsid w:val="00FC650E"/>
    <w:rsid w:val="00FD0DE3"/>
    <w:rsid w:val="00FD2ACB"/>
    <w:rsid w:val="00FD3439"/>
    <w:rsid w:val="00FD5FF7"/>
    <w:rsid w:val="00FD62B5"/>
    <w:rsid w:val="00FD6BD1"/>
    <w:rsid w:val="00FE16D3"/>
    <w:rsid w:val="00FE292F"/>
    <w:rsid w:val="00FF4051"/>
    <w:rsid w:val="00FF4A05"/>
    <w:rsid w:val="00FF6E8F"/>
    <w:rsid w:val="00FF6EEA"/>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994ABE"/>
  <w15:chartTrackingRefBased/>
  <w15:docId w15:val="{844C7AB9-84D5-421B-ADCD-54EEA27F5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5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2457F"/>
    <w:pPr>
      <w:spacing w:after="0" w:line="240" w:lineRule="auto"/>
    </w:pPr>
    <w:rPr>
      <w:rFonts w:ascii="Times New Roman" w:hAnsi="Times New Roman"/>
      <w:sz w:val="24"/>
    </w:rPr>
  </w:style>
  <w:style w:type="paragraph" w:customStyle="1" w:styleId="paragraph">
    <w:name w:val="paragraph"/>
    <w:basedOn w:val="Normal"/>
    <w:rsid w:val="00787D9B"/>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normaltextrun">
    <w:name w:val="normaltextrun"/>
    <w:basedOn w:val="DefaultParagraphFont"/>
    <w:rsid w:val="00787D9B"/>
  </w:style>
  <w:style w:type="character" w:customStyle="1" w:styleId="eop">
    <w:name w:val="eop"/>
    <w:basedOn w:val="DefaultParagraphFont"/>
    <w:rsid w:val="00787D9B"/>
  </w:style>
  <w:style w:type="character" w:customStyle="1" w:styleId="spellingerror">
    <w:name w:val="spellingerror"/>
    <w:basedOn w:val="DefaultParagraphFont"/>
    <w:rsid w:val="00787D9B"/>
  </w:style>
  <w:style w:type="character" w:customStyle="1" w:styleId="pagebreaktextspan">
    <w:name w:val="pagebreaktextspan"/>
    <w:basedOn w:val="DefaultParagraphFont"/>
    <w:rsid w:val="00787D9B"/>
  </w:style>
  <w:style w:type="character" w:customStyle="1" w:styleId="advancedproofingissue">
    <w:name w:val="advancedproofingissue"/>
    <w:basedOn w:val="DefaultParagraphFont"/>
    <w:rsid w:val="00787D9B"/>
  </w:style>
  <w:style w:type="character" w:customStyle="1" w:styleId="contextualspellingandgrammarerror">
    <w:name w:val="contextualspellingandgrammarerror"/>
    <w:basedOn w:val="DefaultParagraphFont"/>
    <w:rsid w:val="00787D9B"/>
  </w:style>
  <w:style w:type="character" w:styleId="Hyperlink">
    <w:name w:val="Hyperlink"/>
    <w:basedOn w:val="DefaultParagraphFont"/>
    <w:uiPriority w:val="99"/>
    <w:unhideWhenUsed/>
    <w:rsid w:val="00A320B9"/>
    <w:rPr>
      <w:color w:val="0563C1" w:themeColor="hyperlink"/>
      <w:u w:val="single"/>
    </w:rPr>
  </w:style>
  <w:style w:type="paragraph" w:styleId="Header">
    <w:name w:val="header"/>
    <w:basedOn w:val="Normal"/>
    <w:link w:val="HeaderChar"/>
    <w:uiPriority w:val="99"/>
    <w:unhideWhenUsed/>
    <w:rsid w:val="00A320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0B9"/>
  </w:style>
  <w:style w:type="paragraph" w:styleId="Footer">
    <w:name w:val="footer"/>
    <w:basedOn w:val="Normal"/>
    <w:link w:val="FooterChar"/>
    <w:uiPriority w:val="99"/>
    <w:unhideWhenUsed/>
    <w:rsid w:val="00A320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20B9"/>
  </w:style>
  <w:style w:type="character" w:styleId="FollowedHyperlink">
    <w:name w:val="FollowedHyperlink"/>
    <w:basedOn w:val="DefaultParagraphFont"/>
    <w:uiPriority w:val="99"/>
    <w:semiHidden/>
    <w:unhideWhenUsed/>
    <w:rsid w:val="005C05C6"/>
    <w:rPr>
      <w:color w:val="954F72" w:themeColor="followedHyperlink"/>
      <w:u w:val="single"/>
    </w:rPr>
  </w:style>
  <w:style w:type="character" w:customStyle="1" w:styleId="UnresolvedMention1">
    <w:name w:val="Unresolved Mention1"/>
    <w:basedOn w:val="DefaultParagraphFont"/>
    <w:uiPriority w:val="99"/>
    <w:semiHidden/>
    <w:unhideWhenUsed/>
    <w:rsid w:val="00763A70"/>
    <w:rPr>
      <w:color w:val="605E5C"/>
      <w:shd w:val="clear" w:color="auto" w:fill="E1DFDD"/>
    </w:rPr>
  </w:style>
  <w:style w:type="character" w:styleId="CommentReference">
    <w:name w:val="annotation reference"/>
    <w:basedOn w:val="DefaultParagraphFont"/>
    <w:uiPriority w:val="99"/>
    <w:semiHidden/>
    <w:unhideWhenUsed/>
    <w:rsid w:val="002D06D9"/>
    <w:rPr>
      <w:sz w:val="16"/>
      <w:szCs w:val="16"/>
    </w:rPr>
  </w:style>
  <w:style w:type="paragraph" w:styleId="CommentText">
    <w:name w:val="annotation text"/>
    <w:basedOn w:val="Normal"/>
    <w:link w:val="CommentTextChar"/>
    <w:uiPriority w:val="99"/>
    <w:semiHidden/>
    <w:unhideWhenUsed/>
    <w:rsid w:val="002D06D9"/>
    <w:pPr>
      <w:spacing w:line="240" w:lineRule="auto"/>
    </w:pPr>
    <w:rPr>
      <w:sz w:val="20"/>
      <w:szCs w:val="20"/>
    </w:rPr>
  </w:style>
  <w:style w:type="character" w:customStyle="1" w:styleId="CommentTextChar">
    <w:name w:val="Comment Text Char"/>
    <w:basedOn w:val="DefaultParagraphFont"/>
    <w:link w:val="CommentText"/>
    <w:uiPriority w:val="99"/>
    <w:semiHidden/>
    <w:rsid w:val="002D06D9"/>
    <w:rPr>
      <w:sz w:val="20"/>
      <w:szCs w:val="20"/>
    </w:rPr>
  </w:style>
  <w:style w:type="paragraph" w:styleId="CommentSubject">
    <w:name w:val="annotation subject"/>
    <w:basedOn w:val="CommentText"/>
    <w:next w:val="CommentText"/>
    <w:link w:val="CommentSubjectChar"/>
    <w:uiPriority w:val="99"/>
    <w:semiHidden/>
    <w:unhideWhenUsed/>
    <w:rsid w:val="002D06D9"/>
    <w:rPr>
      <w:b/>
      <w:bCs/>
    </w:rPr>
  </w:style>
  <w:style w:type="character" w:customStyle="1" w:styleId="CommentSubjectChar">
    <w:name w:val="Comment Subject Char"/>
    <w:basedOn w:val="CommentTextChar"/>
    <w:link w:val="CommentSubject"/>
    <w:uiPriority w:val="99"/>
    <w:semiHidden/>
    <w:rsid w:val="002D06D9"/>
    <w:rPr>
      <w:b/>
      <w:bCs/>
      <w:sz w:val="20"/>
      <w:szCs w:val="20"/>
    </w:rPr>
  </w:style>
  <w:style w:type="paragraph" w:styleId="BalloonText">
    <w:name w:val="Balloon Text"/>
    <w:basedOn w:val="Normal"/>
    <w:link w:val="BalloonTextChar"/>
    <w:uiPriority w:val="99"/>
    <w:semiHidden/>
    <w:unhideWhenUsed/>
    <w:rsid w:val="002D06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06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00282">
      <w:bodyDiv w:val="1"/>
      <w:marLeft w:val="0"/>
      <w:marRight w:val="0"/>
      <w:marTop w:val="0"/>
      <w:marBottom w:val="0"/>
      <w:divBdr>
        <w:top w:val="none" w:sz="0" w:space="0" w:color="auto"/>
        <w:left w:val="none" w:sz="0" w:space="0" w:color="auto"/>
        <w:bottom w:val="none" w:sz="0" w:space="0" w:color="auto"/>
        <w:right w:val="none" w:sz="0" w:space="0" w:color="auto"/>
      </w:divBdr>
    </w:div>
    <w:div w:id="126822049">
      <w:bodyDiv w:val="1"/>
      <w:marLeft w:val="0"/>
      <w:marRight w:val="0"/>
      <w:marTop w:val="0"/>
      <w:marBottom w:val="0"/>
      <w:divBdr>
        <w:top w:val="none" w:sz="0" w:space="0" w:color="auto"/>
        <w:left w:val="none" w:sz="0" w:space="0" w:color="auto"/>
        <w:bottom w:val="none" w:sz="0" w:space="0" w:color="auto"/>
        <w:right w:val="none" w:sz="0" w:space="0" w:color="auto"/>
      </w:divBdr>
      <w:divsChild>
        <w:div w:id="1194614894">
          <w:marLeft w:val="0"/>
          <w:marRight w:val="0"/>
          <w:marTop w:val="0"/>
          <w:marBottom w:val="0"/>
          <w:divBdr>
            <w:top w:val="none" w:sz="0" w:space="0" w:color="auto"/>
            <w:left w:val="none" w:sz="0" w:space="0" w:color="auto"/>
            <w:bottom w:val="none" w:sz="0" w:space="0" w:color="auto"/>
            <w:right w:val="none" w:sz="0" w:space="0" w:color="auto"/>
          </w:divBdr>
        </w:div>
        <w:div w:id="1905677484">
          <w:marLeft w:val="0"/>
          <w:marRight w:val="0"/>
          <w:marTop w:val="0"/>
          <w:marBottom w:val="0"/>
          <w:divBdr>
            <w:top w:val="none" w:sz="0" w:space="0" w:color="auto"/>
            <w:left w:val="none" w:sz="0" w:space="0" w:color="auto"/>
            <w:bottom w:val="none" w:sz="0" w:space="0" w:color="auto"/>
            <w:right w:val="none" w:sz="0" w:space="0" w:color="auto"/>
          </w:divBdr>
        </w:div>
        <w:div w:id="1873958771">
          <w:marLeft w:val="0"/>
          <w:marRight w:val="0"/>
          <w:marTop w:val="0"/>
          <w:marBottom w:val="0"/>
          <w:divBdr>
            <w:top w:val="none" w:sz="0" w:space="0" w:color="auto"/>
            <w:left w:val="none" w:sz="0" w:space="0" w:color="auto"/>
            <w:bottom w:val="none" w:sz="0" w:space="0" w:color="auto"/>
            <w:right w:val="none" w:sz="0" w:space="0" w:color="auto"/>
          </w:divBdr>
        </w:div>
      </w:divsChild>
    </w:div>
    <w:div w:id="375013694">
      <w:bodyDiv w:val="1"/>
      <w:marLeft w:val="0"/>
      <w:marRight w:val="0"/>
      <w:marTop w:val="0"/>
      <w:marBottom w:val="0"/>
      <w:divBdr>
        <w:top w:val="none" w:sz="0" w:space="0" w:color="auto"/>
        <w:left w:val="none" w:sz="0" w:space="0" w:color="auto"/>
        <w:bottom w:val="none" w:sz="0" w:space="0" w:color="auto"/>
        <w:right w:val="none" w:sz="0" w:space="0" w:color="auto"/>
      </w:divBdr>
    </w:div>
    <w:div w:id="783959956">
      <w:bodyDiv w:val="1"/>
      <w:marLeft w:val="0"/>
      <w:marRight w:val="0"/>
      <w:marTop w:val="0"/>
      <w:marBottom w:val="0"/>
      <w:divBdr>
        <w:top w:val="none" w:sz="0" w:space="0" w:color="auto"/>
        <w:left w:val="none" w:sz="0" w:space="0" w:color="auto"/>
        <w:bottom w:val="none" w:sz="0" w:space="0" w:color="auto"/>
        <w:right w:val="none" w:sz="0" w:space="0" w:color="auto"/>
      </w:divBdr>
      <w:divsChild>
        <w:div w:id="960838499">
          <w:marLeft w:val="0"/>
          <w:marRight w:val="0"/>
          <w:marTop w:val="0"/>
          <w:marBottom w:val="0"/>
          <w:divBdr>
            <w:top w:val="none" w:sz="0" w:space="0" w:color="auto"/>
            <w:left w:val="none" w:sz="0" w:space="0" w:color="auto"/>
            <w:bottom w:val="none" w:sz="0" w:space="0" w:color="auto"/>
            <w:right w:val="none" w:sz="0" w:space="0" w:color="auto"/>
          </w:divBdr>
        </w:div>
        <w:div w:id="1852183717">
          <w:marLeft w:val="0"/>
          <w:marRight w:val="0"/>
          <w:marTop w:val="0"/>
          <w:marBottom w:val="0"/>
          <w:divBdr>
            <w:top w:val="none" w:sz="0" w:space="0" w:color="auto"/>
            <w:left w:val="none" w:sz="0" w:space="0" w:color="auto"/>
            <w:bottom w:val="none" w:sz="0" w:space="0" w:color="auto"/>
            <w:right w:val="none" w:sz="0" w:space="0" w:color="auto"/>
          </w:divBdr>
        </w:div>
        <w:div w:id="2077242699">
          <w:marLeft w:val="0"/>
          <w:marRight w:val="0"/>
          <w:marTop w:val="0"/>
          <w:marBottom w:val="0"/>
          <w:divBdr>
            <w:top w:val="none" w:sz="0" w:space="0" w:color="auto"/>
            <w:left w:val="none" w:sz="0" w:space="0" w:color="auto"/>
            <w:bottom w:val="none" w:sz="0" w:space="0" w:color="auto"/>
            <w:right w:val="none" w:sz="0" w:space="0" w:color="auto"/>
          </w:divBdr>
        </w:div>
        <w:div w:id="381245724">
          <w:marLeft w:val="0"/>
          <w:marRight w:val="0"/>
          <w:marTop w:val="0"/>
          <w:marBottom w:val="0"/>
          <w:divBdr>
            <w:top w:val="none" w:sz="0" w:space="0" w:color="auto"/>
            <w:left w:val="none" w:sz="0" w:space="0" w:color="auto"/>
            <w:bottom w:val="none" w:sz="0" w:space="0" w:color="auto"/>
            <w:right w:val="none" w:sz="0" w:space="0" w:color="auto"/>
          </w:divBdr>
        </w:div>
        <w:div w:id="725687183">
          <w:marLeft w:val="0"/>
          <w:marRight w:val="0"/>
          <w:marTop w:val="0"/>
          <w:marBottom w:val="0"/>
          <w:divBdr>
            <w:top w:val="none" w:sz="0" w:space="0" w:color="auto"/>
            <w:left w:val="none" w:sz="0" w:space="0" w:color="auto"/>
            <w:bottom w:val="none" w:sz="0" w:space="0" w:color="auto"/>
            <w:right w:val="none" w:sz="0" w:space="0" w:color="auto"/>
          </w:divBdr>
        </w:div>
        <w:div w:id="1313439357">
          <w:marLeft w:val="0"/>
          <w:marRight w:val="0"/>
          <w:marTop w:val="0"/>
          <w:marBottom w:val="0"/>
          <w:divBdr>
            <w:top w:val="none" w:sz="0" w:space="0" w:color="auto"/>
            <w:left w:val="none" w:sz="0" w:space="0" w:color="auto"/>
            <w:bottom w:val="none" w:sz="0" w:space="0" w:color="auto"/>
            <w:right w:val="none" w:sz="0" w:space="0" w:color="auto"/>
          </w:divBdr>
        </w:div>
        <w:div w:id="1032269155">
          <w:marLeft w:val="0"/>
          <w:marRight w:val="0"/>
          <w:marTop w:val="0"/>
          <w:marBottom w:val="0"/>
          <w:divBdr>
            <w:top w:val="none" w:sz="0" w:space="0" w:color="auto"/>
            <w:left w:val="none" w:sz="0" w:space="0" w:color="auto"/>
            <w:bottom w:val="none" w:sz="0" w:space="0" w:color="auto"/>
            <w:right w:val="none" w:sz="0" w:space="0" w:color="auto"/>
          </w:divBdr>
        </w:div>
        <w:div w:id="1068066524">
          <w:marLeft w:val="0"/>
          <w:marRight w:val="0"/>
          <w:marTop w:val="0"/>
          <w:marBottom w:val="0"/>
          <w:divBdr>
            <w:top w:val="none" w:sz="0" w:space="0" w:color="auto"/>
            <w:left w:val="none" w:sz="0" w:space="0" w:color="auto"/>
            <w:bottom w:val="none" w:sz="0" w:space="0" w:color="auto"/>
            <w:right w:val="none" w:sz="0" w:space="0" w:color="auto"/>
          </w:divBdr>
        </w:div>
        <w:div w:id="642001849">
          <w:marLeft w:val="0"/>
          <w:marRight w:val="0"/>
          <w:marTop w:val="0"/>
          <w:marBottom w:val="0"/>
          <w:divBdr>
            <w:top w:val="none" w:sz="0" w:space="0" w:color="auto"/>
            <w:left w:val="none" w:sz="0" w:space="0" w:color="auto"/>
            <w:bottom w:val="none" w:sz="0" w:space="0" w:color="auto"/>
            <w:right w:val="none" w:sz="0" w:space="0" w:color="auto"/>
          </w:divBdr>
        </w:div>
        <w:div w:id="1744331191">
          <w:marLeft w:val="0"/>
          <w:marRight w:val="0"/>
          <w:marTop w:val="0"/>
          <w:marBottom w:val="0"/>
          <w:divBdr>
            <w:top w:val="none" w:sz="0" w:space="0" w:color="auto"/>
            <w:left w:val="none" w:sz="0" w:space="0" w:color="auto"/>
            <w:bottom w:val="none" w:sz="0" w:space="0" w:color="auto"/>
            <w:right w:val="none" w:sz="0" w:space="0" w:color="auto"/>
          </w:divBdr>
        </w:div>
        <w:div w:id="1075132320">
          <w:marLeft w:val="0"/>
          <w:marRight w:val="0"/>
          <w:marTop w:val="0"/>
          <w:marBottom w:val="0"/>
          <w:divBdr>
            <w:top w:val="none" w:sz="0" w:space="0" w:color="auto"/>
            <w:left w:val="none" w:sz="0" w:space="0" w:color="auto"/>
            <w:bottom w:val="none" w:sz="0" w:space="0" w:color="auto"/>
            <w:right w:val="none" w:sz="0" w:space="0" w:color="auto"/>
          </w:divBdr>
        </w:div>
        <w:div w:id="383678719">
          <w:marLeft w:val="0"/>
          <w:marRight w:val="0"/>
          <w:marTop w:val="0"/>
          <w:marBottom w:val="0"/>
          <w:divBdr>
            <w:top w:val="none" w:sz="0" w:space="0" w:color="auto"/>
            <w:left w:val="none" w:sz="0" w:space="0" w:color="auto"/>
            <w:bottom w:val="none" w:sz="0" w:space="0" w:color="auto"/>
            <w:right w:val="none" w:sz="0" w:space="0" w:color="auto"/>
          </w:divBdr>
        </w:div>
        <w:div w:id="30957800">
          <w:marLeft w:val="0"/>
          <w:marRight w:val="0"/>
          <w:marTop w:val="0"/>
          <w:marBottom w:val="0"/>
          <w:divBdr>
            <w:top w:val="none" w:sz="0" w:space="0" w:color="auto"/>
            <w:left w:val="none" w:sz="0" w:space="0" w:color="auto"/>
            <w:bottom w:val="none" w:sz="0" w:space="0" w:color="auto"/>
            <w:right w:val="none" w:sz="0" w:space="0" w:color="auto"/>
          </w:divBdr>
        </w:div>
        <w:div w:id="1201554951">
          <w:marLeft w:val="0"/>
          <w:marRight w:val="0"/>
          <w:marTop w:val="0"/>
          <w:marBottom w:val="0"/>
          <w:divBdr>
            <w:top w:val="none" w:sz="0" w:space="0" w:color="auto"/>
            <w:left w:val="none" w:sz="0" w:space="0" w:color="auto"/>
            <w:bottom w:val="none" w:sz="0" w:space="0" w:color="auto"/>
            <w:right w:val="none" w:sz="0" w:space="0" w:color="auto"/>
          </w:divBdr>
        </w:div>
        <w:div w:id="179590339">
          <w:marLeft w:val="0"/>
          <w:marRight w:val="0"/>
          <w:marTop w:val="0"/>
          <w:marBottom w:val="0"/>
          <w:divBdr>
            <w:top w:val="none" w:sz="0" w:space="0" w:color="auto"/>
            <w:left w:val="none" w:sz="0" w:space="0" w:color="auto"/>
            <w:bottom w:val="none" w:sz="0" w:space="0" w:color="auto"/>
            <w:right w:val="none" w:sz="0" w:space="0" w:color="auto"/>
          </w:divBdr>
        </w:div>
        <w:div w:id="1682780853">
          <w:marLeft w:val="0"/>
          <w:marRight w:val="0"/>
          <w:marTop w:val="0"/>
          <w:marBottom w:val="0"/>
          <w:divBdr>
            <w:top w:val="none" w:sz="0" w:space="0" w:color="auto"/>
            <w:left w:val="none" w:sz="0" w:space="0" w:color="auto"/>
            <w:bottom w:val="none" w:sz="0" w:space="0" w:color="auto"/>
            <w:right w:val="none" w:sz="0" w:space="0" w:color="auto"/>
          </w:divBdr>
        </w:div>
        <w:div w:id="1871650408">
          <w:marLeft w:val="0"/>
          <w:marRight w:val="0"/>
          <w:marTop w:val="0"/>
          <w:marBottom w:val="0"/>
          <w:divBdr>
            <w:top w:val="none" w:sz="0" w:space="0" w:color="auto"/>
            <w:left w:val="none" w:sz="0" w:space="0" w:color="auto"/>
            <w:bottom w:val="none" w:sz="0" w:space="0" w:color="auto"/>
            <w:right w:val="none" w:sz="0" w:space="0" w:color="auto"/>
          </w:divBdr>
        </w:div>
        <w:div w:id="35591956">
          <w:marLeft w:val="0"/>
          <w:marRight w:val="0"/>
          <w:marTop w:val="0"/>
          <w:marBottom w:val="0"/>
          <w:divBdr>
            <w:top w:val="none" w:sz="0" w:space="0" w:color="auto"/>
            <w:left w:val="none" w:sz="0" w:space="0" w:color="auto"/>
            <w:bottom w:val="none" w:sz="0" w:space="0" w:color="auto"/>
            <w:right w:val="none" w:sz="0" w:space="0" w:color="auto"/>
          </w:divBdr>
        </w:div>
        <w:div w:id="1675952546">
          <w:marLeft w:val="0"/>
          <w:marRight w:val="0"/>
          <w:marTop w:val="0"/>
          <w:marBottom w:val="0"/>
          <w:divBdr>
            <w:top w:val="none" w:sz="0" w:space="0" w:color="auto"/>
            <w:left w:val="none" w:sz="0" w:space="0" w:color="auto"/>
            <w:bottom w:val="none" w:sz="0" w:space="0" w:color="auto"/>
            <w:right w:val="none" w:sz="0" w:space="0" w:color="auto"/>
          </w:divBdr>
        </w:div>
        <w:div w:id="427584890">
          <w:marLeft w:val="0"/>
          <w:marRight w:val="0"/>
          <w:marTop w:val="0"/>
          <w:marBottom w:val="0"/>
          <w:divBdr>
            <w:top w:val="none" w:sz="0" w:space="0" w:color="auto"/>
            <w:left w:val="none" w:sz="0" w:space="0" w:color="auto"/>
            <w:bottom w:val="none" w:sz="0" w:space="0" w:color="auto"/>
            <w:right w:val="none" w:sz="0" w:space="0" w:color="auto"/>
          </w:divBdr>
        </w:div>
        <w:div w:id="409081635">
          <w:marLeft w:val="0"/>
          <w:marRight w:val="0"/>
          <w:marTop w:val="0"/>
          <w:marBottom w:val="0"/>
          <w:divBdr>
            <w:top w:val="none" w:sz="0" w:space="0" w:color="auto"/>
            <w:left w:val="none" w:sz="0" w:space="0" w:color="auto"/>
            <w:bottom w:val="none" w:sz="0" w:space="0" w:color="auto"/>
            <w:right w:val="none" w:sz="0" w:space="0" w:color="auto"/>
          </w:divBdr>
        </w:div>
        <w:div w:id="413208747">
          <w:marLeft w:val="0"/>
          <w:marRight w:val="0"/>
          <w:marTop w:val="0"/>
          <w:marBottom w:val="0"/>
          <w:divBdr>
            <w:top w:val="none" w:sz="0" w:space="0" w:color="auto"/>
            <w:left w:val="none" w:sz="0" w:space="0" w:color="auto"/>
            <w:bottom w:val="none" w:sz="0" w:space="0" w:color="auto"/>
            <w:right w:val="none" w:sz="0" w:space="0" w:color="auto"/>
          </w:divBdr>
        </w:div>
        <w:div w:id="1866163959">
          <w:marLeft w:val="0"/>
          <w:marRight w:val="0"/>
          <w:marTop w:val="0"/>
          <w:marBottom w:val="0"/>
          <w:divBdr>
            <w:top w:val="none" w:sz="0" w:space="0" w:color="auto"/>
            <w:left w:val="none" w:sz="0" w:space="0" w:color="auto"/>
            <w:bottom w:val="none" w:sz="0" w:space="0" w:color="auto"/>
            <w:right w:val="none" w:sz="0" w:space="0" w:color="auto"/>
          </w:divBdr>
        </w:div>
        <w:div w:id="1089809636">
          <w:marLeft w:val="0"/>
          <w:marRight w:val="0"/>
          <w:marTop w:val="0"/>
          <w:marBottom w:val="0"/>
          <w:divBdr>
            <w:top w:val="none" w:sz="0" w:space="0" w:color="auto"/>
            <w:left w:val="none" w:sz="0" w:space="0" w:color="auto"/>
            <w:bottom w:val="none" w:sz="0" w:space="0" w:color="auto"/>
            <w:right w:val="none" w:sz="0" w:space="0" w:color="auto"/>
          </w:divBdr>
        </w:div>
        <w:div w:id="873351405">
          <w:marLeft w:val="0"/>
          <w:marRight w:val="0"/>
          <w:marTop w:val="0"/>
          <w:marBottom w:val="0"/>
          <w:divBdr>
            <w:top w:val="none" w:sz="0" w:space="0" w:color="auto"/>
            <w:left w:val="none" w:sz="0" w:space="0" w:color="auto"/>
            <w:bottom w:val="none" w:sz="0" w:space="0" w:color="auto"/>
            <w:right w:val="none" w:sz="0" w:space="0" w:color="auto"/>
          </w:divBdr>
        </w:div>
        <w:div w:id="1492989604">
          <w:marLeft w:val="0"/>
          <w:marRight w:val="0"/>
          <w:marTop w:val="0"/>
          <w:marBottom w:val="0"/>
          <w:divBdr>
            <w:top w:val="none" w:sz="0" w:space="0" w:color="auto"/>
            <w:left w:val="none" w:sz="0" w:space="0" w:color="auto"/>
            <w:bottom w:val="none" w:sz="0" w:space="0" w:color="auto"/>
            <w:right w:val="none" w:sz="0" w:space="0" w:color="auto"/>
          </w:divBdr>
        </w:div>
        <w:div w:id="1219436017">
          <w:marLeft w:val="0"/>
          <w:marRight w:val="0"/>
          <w:marTop w:val="0"/>
          <w:marBottom w:val="0"/>
          <w:divBdr>
            <w:top w:val="none" w:sz="0" w:space="0" w:color="auto"/>
            <w:left w:val="none" w:sz="0" w:space="0" w:color="auto"/>
            <w:bottom w:val="none" w:sz="0" w:space="0" w:color="auto"/>
            <w:right w:val="none" w:sz="0" w:space="0" w:color="auto"/>
          </w:divBdr>
        </w:div>
        <w:div w:id="855507126">
          <w:marLeft w:val="0"/>
          <w:marRight w:val="0"/>
          <w:marTop w:val="0"/>
          <w:marBottom w:val="0"/>
          <w:divBdr>
            <w:top w:val="none" w:sz="0" w:space="0" w:color="auto"/>
            <w:left w:val="none" w:sz="0" w:space="0" w:color="auto"/>
            <w:bottom w:val="none" w:sz="0" w:space="0" w:color="auto"/>
            <w:right w:val="none" w:sz="0" w:space="0" w:color="auto"/>
          </w:divBdr>
        </w:div>
        <w:div w:id="1555115109">
          <w:marLeft w:val="0"/>
          <w:marRight w:val="0"/>
          <w:marTop w:val="0"/>
          <w:marBottom w:val="0"/>
          <w:divBdr>
            <w:top w:val="none" w:sz="0" w:space="0" w:color="auto"/>
            <w:left w:val="none" w:sz="0" w:space="0" w:color="auto"/>
            <w:bottom w:val="none" w:sz="0" w:space="0" w:color="auto"/>
            <w:right w:val="none" w:sz="0" w:space="0" w:color="auto"/>
          </w:divBdr>
        </w:div>
        <w:div w:id="940988139">
          <w:marLeft w:val="0"/>
          <w:marRight w:val="0"/>
          <w:marTop w:val="0"/>
          <w:marBottom w:val="0"/>
          <w:divBdr>
            <w:top w:val="none" w:sz="0" w:space="0" w:color="auto"/>
            <w:left w:val="none" w:sz="0" w:space="0" w:color="auto"/>
            <w:bottom w:val="none" w:sz="0" w:space="0" w:color="auto"/>
            <w:right w:val="none" w:sz="0" w:space="0" w:color="auto"/>
          </w:divBdr>
        </w:div>
        <w:div w:id="105464966">
          <w:marLeft w:val="0"/>
          <w:marRight w:val="0"/>
          <w:marTop w:val="0"/>
          <w:marBottom w:val="0"/>
          <w:divBdr>
            <w:top w:val="none" w:sz="0" w:space="0" w:color="auto"/>
            <w:left w:val="none" w:sz="0" w:space="0" w:color="auto"/>
            <w:bottom w:val="none" w:sz="0" w:space="0" w:color="auto"/>
            <w:right w:val="none" w:sz="0" w:space="0" w:color="auto"/>
          </w:divBdr>
        </w:div>
        <w:div w:id="1803696939">
          <w:marLeft w:val="0"/>
          <w:marRight w:val="0"/>
          <w:marTop w:val="0"/>
          <w:marBottom w:val="0"/>
          <w:divBdr>
            <w:top w:val="none" w:sz="0" w:space="0" w:color="auto"/>
            <w:left w:val="none" w:sz="0" w:space="0" w:color="auto"/>
            <w:bottom w:val="none" w:sz="0" w:space="0" w:color="auto"/>
            <w:right w:val="none" w:sz="0" w:space="0" w:color="auto"/>
          </w:divBdr>
        </w:div>
        <w:div w:id="2001958934">
          <w:marLeft w:val="0"/>
          <w:marRight w:val="0"/>
          <w:marTop w:val="0"/>
          <w:marBottom w:val="0"/>
          <w:divBdr>
            <w:top w:val="none" w:sz="0" w:space="0" w:color="auto"/>
            <w:left w:val="none" w:sz="0" w:space="0" w:color="auto"/>
            <w:bottom w:val="none" w:sz="0" w:space="0" w:color="auto"/>
            <w:right w:val="none" w:sz="0" w:space="0" w:color="auto"/>
          </w:divBdr>
        </w:div>
        <w:div w:id="563957246">
          <w:marLeft w:val="0"/>
          <w:marRight w:val="0"/>
          <w:marTop w:val="0"/>
          <w:marBottom w:val="0"/>
          <w:divBdr>
            <w:top w:val="none" w:sz="0" w:space="0" w:color="auto"/>
            <w:left w:val="none" w:sz="0" w:space="0" w:color="auto"/>
            <w:bottom w:val="none" w:sz="0" w:space="0" w:color="auto"/>
            <w:right w:val="none" w:sz="0" w:space="0" w:color="auto"/>
          </w:divBdr>
        </w:div>
        <w:div w:id="895312548">
          <w:marLeft w:val="0"/>
          <w:marRight w:val="0"/>
          <w:marTop w:val="0"/>
          <w:marBottom w:val="0"/>
          <w:divBdr>
            <w:top w:val="none" w:sz="0" w:space="0" w:color="auto"/>
            <w:left w:val="none" w:sz="0" w:space="0" w:color="auto"/>
            <w:bottom w:val="none" w:sz="0" w:space="0" w:color="auto"/>
            <w:right w:val="none" w:sz="0" w:space="0" w:color="auto"/>
          </w:divBdr>
        </w:div>
        <w:div w:id="1167205794">
          <w:marLeft w:val="0"/>
          <w:marRight w:val="0"/>
          <w:marTop w:val="0"/>
          <w:marBottom w:val="0"/>
          <w:divBdr>
            <w:top w:val="none" w:sz="0" w:space="0" w:color="auto"/>
            <w:left w:val="none" w:sz="0" w:space="0" w:color="auto"/>
            <w:bottom w:val="none" w:sz="0" w:space="0" w:color="auto"/>
            <w:right w:val="none" w:sz="0" w:space="0" w:color="auto"/>
          </w:divBdr>
        </w:div>
        <w:div w:id="1286547657">
          <w:marLeft w:val="0"/>
          <w:marRight w:val="0"/>
          <w:marTop w:val="0"/>
          <w:marBottom w:val="0"/>
          <w:divBdr>
            <w:top w:val="none" w:sz="0" w:space="0" w:color="auto"/>
            <w:left w:val="none" w:sz="0" w:space="0" w:color="auto"/>
            <w:bottom w:val="none" w:sz="0" w:space="0" w:color="auto"/>
            <w:right w:val="none" w:sz="0" w:space="0" w:color="auto"/>
          </w:divBdr>
        </w:div>
      </w:divsChild>
    </w:div>
    <w:div w:id="1359886934">
      <w:bodyDiv w:val="1"/>
      <w:marLeft w:val="0"/>
      <w:marRight w:val="0"/>
      <w:marTop w:val="0"/>
      <w:marBottom w:val="0"/>
      <w:divBdr>
        <w:top w:val="none" w:sz="0" w:space="0" w:color="auto"/>
        <w:left w:val="none" w:sz="0" w:space="0" w:color="auto"/>
        <w:bottom w:val="none" w:sz="0" w:space="0" w:color="auto"/>
        <w:right w:val="none" w:sz="0" w:space="0" w:color="auto"/>
      </w:divBdr>
    </w:div>
    <w:div w:id="1379472821">
      <w:bodyDiv w:val="1"/>
      <w:marLeft w:val="0"/>
      <w:marRight w:val="0"/>
      <w:marTop w:val="0"/>
      <w:marBottom w:val="0"/>
      <w:divBdr>
        <w:top w:val="none" w:sz="0" w:space="0" w:color="auto"/>
        <w:left w:val="none" w:sz="0" w:space="0" w:color="auto"/>
        <w:bottom w:val="none" w:sz="0" w:space="0" w:color="auto"/>
        <w:right w:val="none" w:sz="0" w:space="0" w:color="auto"/>
      </w:divBdr>
      <w:divsChild>
        <w:div w:id="896017522">
          <w:marLeft w:val="0"/>
          <w:marRight w:val="0"/>
          <w:marTop w:val="0"/>
          <w:marBottom w:val="0"/>
          <w:divBdr>
            <w:top w:val="none" w:sz="0" w:space="0" w:color="auto"/>
            <w:left w:val="none" w:sz="0" w:space="0" w:color="auto"/>
            <w:bottom w:val="none" w:sz="0" w:space="0" w:color="auto"/>
            <w:right w:val="none" w:sz="0" w:space="0" w:color="auto"/>
          </w:divBdr>
        </w:div>
        <w:div w:id="732435080">
          <w:marLeft w:val="0"/>
          <w:marRight w:val="0"/>
          <w:marTop w:val="0"/>
          <w:marBottom w:val="0"/>
          <w:divBdr>
            <w:top w:val="none" w:sz="0" w:space="0" w:color="auto"/>
            <w:left w:val="none" w:sz="0" w:space="0" w:color="auto"/>
            <w:bottom w:val="none" w:sz="0" w:space="0" w:color="auto"/>
            <w:right w:val="none" w:sz="0" w:space="0" w:color="auto"/>
          </w:divBdr>
        </w:div>
        <w:div w:id="2065448818">
          <w:marLeft w:val="0"/>
          <w:marRight w:val="0"/>
          <w:marTop w:val="0"/>
          <w:marBottom w:val="0"/>
          <w:divBdr>
            <w:top w:val="none" w:sz="0" w:space="0" w:color="auto"/>
            <w:left w:val="none" w:sz="0" w:space="0" w:color="auto"/>
            <w:bottom w:val="none" w:sz="0" w:space="0" w:color="auto"/>
            <w:right w:val="none" w:sz="0" w:space="0" w:color="auto"/>
          </w:divBdr>
        </w:div>
        <w:div w:id="72314877">
          <w:marLeft w:val="0"/>
          <w:marRight w:val="0"/>
          <w:marTop w:val="0"/>
          <w:marBottom w:val="0"/>
          <w:divBdr>
            <w:top w:val="none" w:sz="0" w:space="0" w:color="auto"/>
            <w:left w:val="none" w:sz="0" w:space="0" w:color="auto"/>
            <w:bottom w:val="none" w:sz="0" w:space="0" w:color="auto"/>
            <w:right w:val="none" w:sz="0" w:space="0" w:color="auto"/>
          </w:divBdr>
        </w:div>
        <w:div w:id="1806503402">
          <w:marLeft w:val="0"/>
          <w:marRight w:val="0"/>
          <w:marTop w:val="0"/>
          <w:marBottom w:val="0"/>
          <w:divBdr>
            <w:top w:val="none" w:sz="0" w:space="0" w:color="auto"/>
            <w:left w:val="none" w:sz="0" w:space="0" w:color="auto"/>
            <w:bottom w:val="none" w:sz="0" w:space="0" w:color="auto"/>
            <w:right w:val="none" w:sz="0" w:space="0" w:color="auto"/>
          </w:divBdr>
        </w:div>
        <w:div w:id="1701543766">
          <w:marLeft w:val="0"/>
          <w:marRight w:val="0"/>
          <w:marTop w:val="0"/>
          <w:marBottom w:val="0"/>
          <w:divBdr>
            <w:top w:val="none" w:sz="0" w:space="0" w:color="auto"/>
            <w:left w:val="none" w:sz="0" w:space="0" w:color="auto"/>
            <w:bottom w:val="none" w:sz="0" w:space="0" w:color="auto"/>
            <w:right w:val="none" w:sz="0" w:space="0" w:color="auto"/>
          </w:divBdr>
        </w:div>
        <w:div w:id="663506512">
          <w:marLeft w:val="0"/>
          <w:marRight w:val="0"/>
          <w:marTop w:val="0"/>
          <w:marBottom w:val="0"/>
          <w:divBdr>
            <w:top w:val="none" w:sz="0" w:space="0" w:color="auto"/>
            <w:left w:val="none" w:sz="0" w:space="0" w:color="auto"/>
            <w:bottom w:val="none" w:sz="0" w:space="0" w:color="auto"/>
            <w:right w:val="none" w:sz="0" w:space="0" w:color="auto"/>
          </w:divBdr>
        </w:div>
        <w:div w:id="1648902793">
          <w:marLeft w:val="0"/>
          <w:marRight w:val="0"/>
          <w:marTop w:val="0"/>
          <w:marBottom w:val="0"/>
          <w:divBdr>
            <w:top w:val="none" w:sz="0" w:space="0" w:color="auto"/>
            <w:left w:val="none" w:sz="0" w:space="0" w:color="auto"/>
            <w:bottom w:val="none" w:sz="0" w:space="0" w:color="auto"/>
            <w:right w:val="none" w:sz="0" w:space="0" w:color="auto"/>
          </w:divBdr>
        </w:div>
        <w:div w:id="321667582">
          <w:marLeft w:val="0"/>
          <w:marRight w:val="0"/>
          <w:marTop w:val="0"/>
          <w:marBottom w:val="0"/>
          <w:divBdr>
            <w:top w:val="none" w:sz="0" w:space="0" w:color="auto"/>
            <w:left w:val="none" w:sz="0" w:space="0" w:color="auto"/>
            <w:bottom w:val="none" w:sz="0" w:space="0" w:color="auto"/>
            <w:right w:val="none" w:sz="0" w:space="0" w:color="auto"/>
          </w:divBdr>
        </w:div>
        <w:div w:id="1148127154">
          <w:marLeft w:val="0"/>
          <w:marRight w:val="0"/>
          <w:marTop w:val="0"/>
          <w:marBottom w:val="0"/>
          <w:divBdr>
            <w:top w:val="none" w:sz="0" w:space="0" w:color="auto"/>
            <w:left w:val="none" w:sz="0" w:space="0" w:color="auto"/>
            <w:bottom w:val="none" w:sz="0" w:space="0" w:color="auto"/>
            <w:right w:val="none" w:sz="0" w:space="0" w:color="auto"/>
          </w:divBdr>
        </w:div>
        <w:div w:id="953293059">
          <w:marLeft w:val="0"/>
          <w:marRight w:val="0"/>
          <w:marTop w:val="0"/>
          <w:marBottom w:val="0"/>
          <w:divBdr>
            <w:top w:val="none" w:sz="0" w:space="0" w:color="auto"/>
            <w:left w:val="none" w:sz="0" w:space="0" w:color="auto"/>
            <w:bottom w:val="none" w:sz="0" w:space="0" w:color="auto"/>
            <w:right w:val="none" w:sz="0" w:space="0" w:color="auto"/>
          </w:divBdr>
        </w:div>
        <w:div w:id="303852546">
          <w:marLeft w:val="0"/>
          <w:marRight w:val="0"/>
          <w:marTop w:val="0"/>
          <w:marBottom w:val="0"/>
          <w:divBdr>
            <w:top w:val="none" w:sz="0" w:space="0" w:color="auto"/>
            <w:left w:val="none" w:sz="0" w:space="0" w:color="auto"/>
            <w:bottom w:val="none" w:sz="0" w:space="0" w:color="auto"/>
            <w:right w:val="none" w:sz="0" w:space="0" w:color="auto"/>
          </w:divBdr>
        </w:div>
        <w:div w:id="691803321">
          <w:marLeft w:val="0"/>
          <w:marRight w:val="0"/>
          <w:marTop w:val="0"/>
          <w:marBottom w:val="0"/>
          <w:divBdr>
            <w:top w:val="none" w:sz="0" w:space="0" w:color="auto"/>
            <w:left w:val="none" w:sz="0" w:space="0" w:color="auto"/>
            <w:bottom w:val="none" w:sz="0" w:space="0" w:color="auto"/>
            <w:right w:val="none" w:sz="0" w:space="0" w:color="auto"/>
          </w:divBdr>
        </w:div>
        <w:div w:id="2067412042">
          <w:marLeft w:val="0"/>
          <w:marRight w:val="0"/>
          <w:marTop w:val="0"/>
          <w:marBottom w:val="0"/>
          <w:divBdr>
            <w:top w:val="none" w:sz="0" w:space="0" w:color="auto"/>
            <w:left w:val="none" w:sz="0" w:space="0" w:color="auto"/>
            <w:bottom w:val="none" w:sz="0" w:space="0" w:color="auto"/>
            <w:right w:val="none" w:sz="0" w:space="0" w:color="auto"/>
          </w:divBdr>
        </w:div>
        <w:div w:id="537206783">
          <w:marLeft w:val="0"/>
          <w:marRight w:val="0"/>
          <w:marTop w:val="0"/>
          <w:marBottom w:val="0"/>
          <w:divBdr>
            <w:top w:val="none" w:sz="0" w:space="0" w:color="auto"/>
            <w:left w:val="none" w:sz="0" w:space="0" w:color="auto"/>
            <w:bottom w:val="none" w:sz="0" w:space="0" w:color="auto"/>
            <w:right w:val="none" w:sz="0" w:space="0" w:color="auto"/>
          </w:divBdr>
        </w:div>
        <w:div w:id="136339612">
          <w:marLeft w:val="0"/>
          <w:marRight w:val="0"/>
          <w:marTop w:val="0"/>
          <w:marBottom w:val="0"/>
          <w:divBdr>
            <w:top w:val="none" w:sz="0" w:space="0" w:color="auto"/>
            <w:left w:val="none" w:sz="0" w:space="0" w:color="auto"/>
            <w:bottom w:val="none" w:sz="0" w:space="0" w:color="auto"/>
            <w:right w:val="none" w:sz="0" w:space="0" w:color="auto"/>
          </w:divBdr>
        </w:div>
        <w:div w:id="1929383428">
          <w:marLeft w:val="0"/>
          <w:marRight w:val="0"/>
          <w:marTop w:val="0"/>
          <w:marBottom w:val="0"/>
          <w:divBdr>
            <w:top w:val="none" w:sz="0" w:space="0" w:color="auto"/>
            <w:left w:val="none" w:sz="0" w:space="0" w:color="auto"/>
            <w:bottom w:val="none" w:sz="0" w:space="0" w:color="auto"/>
            <w:right w:val="none" w:sz="0" w:space="0" w:color="auto"/>
          </w:divBdr>
        </w:div>
        <w:div w:id="721448189">
          <w:marLeft w:val="0"/>
          <w:marRight w:val="0"/>
          <w:marTop w:val="0"/>
          <w:marBottom w:val="0"/>
          <w:divBdr>
            <w:top w:val="none" w:sz="0" w:space="0" w:color="auto"/>
            <w:left w:val="none" w:sz="0" w:space="0" w:color="auto"/>
            <w:bottom w:val="none" w:sz="0" w:space="0" w:color="auto"/>
            <w:right w:val="none" w:sz="0" w:space="0" w:color="auto"/>
          </w:divBdr>
        </w:div>
        <w:div w:id="1072698398">
          <w:marLeft w:val="0"/>
          <w:marRight w:val="0"/>
          <w:marTop w:val="0"/>
          <w:marBottom w:val="0"/>
          <w:divBdr>
            <w:top w:val="none" w:sz="0" w:space="0" w:color="auto"/>
            <w:left w:val="none" w:sz="0" w:space="0" w:color="auto"/>
            <w:bottom w:val="none" w:sz="0" w:space="0" w:color="auto"/>
            <w:right w:val="none" w:sz="0" w:space="0" w:color="auto"/>
          </w:divBdr>
        </w:div>
        <w:div w:id="1373263440">
          <w:marLeft w:val="0"/>
          <w:marRight w:val="0"/>
          <w:marTop w:val="0"/>
          <w:marBottom w:val="0"/>
          <w:divBdr>
            <w:top w:val="none" w:sz="0" w:space="0" w:color="auto"/>
            <w:left w:val="none" w:sz="0" w:space="0" w:color="auto"/>
            <w:bottom w:val="none" w:sz="0" w:space="0" w:color="auto"/>
            <w:right w:val="none" w:sz="0" w:space="0" w:color="auto"/>
          </w:divBdr>
        </w:div>
        <w:div w:id="1327397309">
          <w:marLeft w:val="0"/>
          <w:marRight w:val="0"/>
          <w:marTop w:val="0"/>
          <w:marBottom w:val="0"/>
          <w:divBdr>
            <w:top w:val="none" w:sz="0" w:space="0" w:color="auto"/>
            <w:left w:val="none" w:sz="0" w:space="0" w:color="auto"/>
            <w:bottom w:val="none" w:sz="0" w:space="0" w:color="auto"/>
            <w:right w:val="none" w:sz="0" w:space="0" w:color="auto"/>
          </w:divBdr>
        </w:div>
        <w:div w:id="1643390821">
          <w:marLeft w:val="0"/>
          <w:marRight w:val="0"/>
          <w:marTop w:val="0"/>
          <w:marBottom w:val="0"/>
          <w:divBdr>
            <w:top w:val="none" w:sz="0" w:space="0" w:color="auto"/>
            <w:left w:val="none" w:sz="0" w:space="0" w:color="auto"/>
            <w:bottom w:val="none" w:sz="0" w:space="0" w:color="auto"/>
            <w:right w:val="none" w:sz="0" w:space="0" w:color="auto"/>
          </w:divBdr>
        </w:div>
        <w:div w:id="1441871768">
          <w:marLeft w:val="0"/>
          <w:marRight w:val="0"/>
          <w:marTop w:val="0"/>
          <w:marBottom w:val="0"/>
          <w:divBdr>
            <w:top w:val="none" w:sz="0" w:space="0" w:color="auto"/>
            <w:left w:val="none" w:sz="0" w:space="0" w:color="auto"/>
            <w:bottom w:val="none" w:sz="0" w:space="0" w:color="auto"/>
            <w:right w:val="none" w:sz="0" w:space="0" w:color="auto"/>
          </w:divBdr>
        </w:div>
        <w:div w:id="1631665075">
          <w:marLeft w:val="0"/>
          <w:marRight w:val="0"/>
          <w:marTop w:val="0"/>
          <w:marBottom w:val="0"/>
          <w:divBdr>
            <w:top w:val="none" w:sz="0" w:space="0" w:color="auto"/>
            <w:left w:val="none" w:sz="0" w:space="0" w:color="auto"/>
            <w:bottom w:val="none" w:sz="0" w:space="0" w:color="auto"/>
            <w:right w:val="none" w:sz="0" w:space="0" w:color="auto"/>
          </w:divBdr>
        </w:div>
        <w:div w:id="1407998373">
          <w:marLeft w:val="0"/>
          <w:marRight w:val="0"/>
          <w:marTop w:val="0"/>
          <w:marBottom w:val="0"/>
          <w:divBdr>
            <w:top w:val="none" w:sz="0" w:space="0" w:color="auto"/>
            <w:left w:val="none" w:sz="0" w:space="0" w:color="auto"/>
            <w:bottom w:val="none" w:sz="0" w:space="0" w:color="auto"/>
            <w:right w:val="none" w:sz="0" w:space="0" w:color="auto"/>
          </w:divBdr>
        </w:div>
        <w:div w:id="619413324">
          <w:marLeft w:val="0"/>
          <w:marRight w:val="0"/>
          <w:marTop w:val="0"/>
          <w:marBottom w:val="0"/>
          <w:divBdr>
            <w:top w:val="none" w:sz="0" w:space="0" w:color="auto"/>
            <w:left w:val="none" w:sz="0" w:space="0" w:color="auto"/>
            <w:bottom w:val="none" w:sz="0" w:space="0" w:color="auto"/>
            <w:right w:val="none" w:sz="0" w:space="0" w:color="auto"/>
          </w:divBdr>
        </w:div>
        <w:div w:id="845706879">
          <w:marLeft w:val="0"/>
          <w:marRight w:val="0"/>
          <w:marTop w:val="0"/>
          <w:marBottom w:val="0"/>
          <w:divBdr>
            <w:top w:val="none" w:sz="0" w:space="0" w:color="auto"/>
            <w:left w:val="none" w:sz="0" w:space="0" w:color="auto"/>
            <w:bottom w:val="none" w:sz="0" w:space="0" w:color="auto"/>
            <w:right w:val="none" w:sz="0" w:space="0" w:color="auto"/>
          </w:divBdr>
        </w:div>
        <w:div w:id="439449500">
          <w:marLeft w:val="0"/>
          <w:marRight w:val="0"/>
          <w:marTop w:val="0"/>
          <w:marBottom w:val="0"/>
          <w:divBdr>
            <w:top w:val="none" w:sz="0" w:space="0" w:color="auto"/>
            <w:left w:val="none" w:sz="0" w:space="0" w:color="auto"/>
            <w:bottom w:val="none" w:sz="0" w:space="0" w:color="auto"/>
            <w:right w:val="none" w:sz="0" w:space="0" w:color="auto"/>
          </w:divBdr>
        </w:div>
        <w:div w:id="1431927027">
          <w:marLeft w:val="0"/>
          <w:marRight w:val="0"/>
          <w:marTop w:val="0"/>
          <w:marBottom w:val="0"/>
          <w:divBdr>
            <w:top w:val="none" w:sz="0" w:space="0" w:color="auto"/>
            <w:left w:val="none" w:sz="0" w:space="0" w:color="auto"/>
            <w:bottom w:val="none" w:sz="0" w:space="0" w:color="auto"/>
            <w:right w:val="none" w:sz="0" w:space="0" w:color="auto"/>
          </w:divBdr>
        </w:div>
        <w:div w:id="942497186">
          <w:marLeft w:val="0"/>
          <w:marRight w:val="0"/>
          <w:marTop w:val="0"/>
          <w:marBottom w:val="0"/>
          <w:divBdr>
            <w:top w:val="none" w:sz="0" w:space="0" w:color="auto"/>
            <w:left w:val="none" w:sz="0" w:space="0" w:color="auto"/>
            <w:bottom w:val="none" w:sz="0" w:space="0" w:color="auto"/>
            <w:right w:val="none" w:sz="0" w:space="0" w:color="auto"/>
          </w:divBdr>
        </w:div>
        <w:div w:id="708527768">
          <w:marLeft w:val="0"/>
          <w:marRight w:val="0"/>
          <w:marTop w:val="0"/>
          <w:marBottom w:val="0"/>
          <w:divBdr>
            <w:top w:val="none" w:sz="0" w:space="0" w:color="auto"/>
            <w:left w:val="none" w:sz="0" w:space="0" w:color="auto"/>
            <w:bottom w:val="none" w:sz="0" w:space="0" w:color="auto"/>
            <w:right w:val="none" w:sz="0" w:space="0" w:color="auto"/>
          </w:divBdr>
        </w:div>
        <w:div w:id="1536040294">
          <w:marLeft w:val="0"/>
          <w:marRight w:val="0"/>
          <w:marTop w:val="0"/>
          <w:marBottom w:val="0"/>
          <w:divBdr>
            <w:top w:val="none" w:sz="0" w:space="0" w:color="auto"/>
            <w:left w:val="none" w:sz="0" w:space="0" w:color="auto"/>
            <w:bottom w:val="none" w:sz="0" w:space="0" w:color="auto"/>
            <w:right w:val="none" w:sz="0" w:space="0" w:color="auto"/>
          </w:divBdr>
        </w:div>
        <w:div w:id="1584952346">
          <w:marLeft w:val="0"/>
          <w:marRight w:val="0"/>
          <w:marTop w:val="0"/>
          <w:marBottom w:val="0"/>
          <w:divBdr>
            <w:top w:val="none" w:sz="0" w:space="0" w:color="auto"/>
            <w:left w:val="none" w:sz="0" w:space="0" w:color="auto"/>
            <w:bottom w:val="none" w:sz="0" w:space="0" w:color="auto"/>
            <w:right w:val="none" w:sz="0" w:space="0" w:color="auto"/>
          </w:divBdr>
        </w:div>
        <w:div w:id="964430346">
          <w:marLeft w:val="0"/>
          <w:marRight w:val="0"/>
          <w:marTop w:val="0"/>
          <w:marBottom w:val="0"/>
          <w:divBdr>
            <w:top w:val="none" w:sz="0" w:space="0" w:color="auto"/>
            <w:left w:val="none" w:sz="0" w:space="0" w:color="auto"/>
            <w:bottom w:val="none" w:sz="0" w:space="0" w:color="auto"/>
            <w:right w:val="none" w:sz="0" w:space="0" w:color="auto"/>
          </w:divBdr>
        </w:div>
        <w:div w:id="1052191641">
          <w:marLeft w:val="0"/>
          <w:marRight w:val="0"/>
          <w:marTop w:val="0"/>
          <w:marBottom w:val="0"/>
          <w:divBdr>
            <w:top w:val="none" w:sz="0" w:space="0" w:color="auto"/>
            <w:left w:val="none" w:sz="0" w:space="0" w:color="auto"/>
            <w:bottom w:val="none" w:sz="0" w:space="0" w:color="auto"/>
            <w:right w:val="none" w:sz="0" w:space="0" w:color="auto"/>
          </w:divBdr>
        </w:div>
        <w:div w:id="257950436">
          <w:marLeft w:val="0"/>
          <w:marRight w:val="0"/>
          <w:marTop w:val="0"/>
          <w:marBottom w:val="0"/>
          <w:divBdr>
            <w:top w:val="none" w:sz="0" w:space="0" w:color="auto"/>
            <w:left w:val="none" w:sz="0" w:space="0" w:color="auto"/>
            <w:bottom w:val="none" w:sz="0" w:space="0" w:color="auto"/>
            <w:right w:val="none" w:sz="0" w:space="0" w:color="auto"/>
          </w:divBdr>
        </w:div>
        <w:div w:id="1894802947">
          <w:marLeft w:val="0"/>
          <w:marRight w:val="0"/>
          <w:marTop w:val="0"/>
          <w:marBottom w:val="0"/>
          <w:divBdr>
            <w:top w:val="none" w:sz="0" w:space="0" w:color="auto"/>
            <w:left w:val="none" w:sz="0" w:space="0" w:color="auto"/>
            <w:bottom w:val="none" w:sz="0" w:space="0" w:color="auto"/>
            <w:right w:val="none" w:sz="0" w:space="0" w:color="auto"/>
          </w:divBdr>
        </w:div>
        <w:div w:id="510998259">
          <w:marLeft w:val="0"/>
          <w:marRight w:val="0"/>
          <w:marTop w:val="0"/>
          <w:marBottom w:val="0"/>
          <w:divBdr>
            <w:top w:val="none" w:sz="0" w:space="0" w:color="auto"/>
            <w:left w:val="none" w:sz="0" w:space="0" w:color="auto"/>
            <w:bottom w:val="none" w:sz="0" w:space="0" w:color="auto"/>
            <w:right w:val="none" w:sz="0" w:space="0" w:color="auto"/>
          </w:divBdr>
        </w:div>
        <w:div w:id="306517887">
          <w:marLeft w:val="0"/>
          <w:marRight w:val="0"/>
          <w:marTop w:val="0"/>
          <w:marBottom w:val="0"/>
          <w:divBdr>
            <w:top w:val="none" w:sz="0" w:space="0" w:color="auto"/>
            <w:left w:val="none" w:sz="0" w:space="0" w:color="auto"/>
            <w:bottom w:val="none" w:sz="0" w:space="0" w:color="auto"/>
            <w:right w:val="none" w:sz="0" w:space="0" w:color="auto"/>
          </w:divBdr>
        </w:div>
        <w:div w:id="3410000">
          <w:marLeft w:val="0"/>
          <w:marRight w:val="0"/>
          <w:marTop w:val="0"/>
          <w:marBottom w:val="0"/>
          <w:divBdr>
            <w:top w:val="none" w:sz="0" w:space="0" w:color="auto"/>
            <w:left w:val="none" w:sz="0" w:space="0" w:color="auto"/>
            <w:bottom w:val="none" w:sz="0" w:space="0" w:color="auto"/>
            <w:right w:val="none" w:sz="0" w:space="0" w:color="auto"/>
          </w:divBdr>
        </w:div>
        <w:div w:id="1797288387">
          <w:marLeft w:val="0"/>
          <w:marRight w:val="0"/>
          <w:marTop w:val="0"/>
          <w:marBottom w:val="0"/>
          <w:divBdr>
            <w:top w:val="none" w:sz="0" w:space="0" w:color="auto"/>
            <w:left w:val="none" w:sz="0" w:space="0" w:color="auto"/>
            <w:bottom w:val="none" w:sz="0" w:space="0" w:color="auto"/>
            <w:right w:val="none" w:sz="0" w:space="0" w:color="auto"/>
          </w:divBdr>
        </w:div>
        <w:div w:id="1759599482">
          <w:marLeft w:val="0"/>
          <w:marRight w:val="0"/>
          <w:marTop w:val="0"/>
          <w:marBottom w:val="0"/>
          <w:divBdr>
            <w:top w:val="none" w:sz="0" w:space="0" w:color="auto"/>
            <w:left w:val="none" w:sz="0" w:space="0" w:color="auto"/>
            <w:bottom w:val="none" w:sz="0" w:space="0" w:color="auto"/>
            <w:right w:val="none" w:sz="0" w:space="0" w:color="auto"/>
          </w:divBdr>
        </w:div>
        <w:div w:id="1785155371">
          <w:marLeft w:val="0"/>
          <w:marRight w:val="0"/>
          <w:marTop w:val="0"/>
          <w:marBottom w:val="0"/>
          <w:divBdr>
            <w:top w:val="none" w:sz="0" w:space="0" w:color="auto"/>
            <w:left w:val="none" w:sz="0" w:space="0" w:color="auto"/>
            <w:bottom w:val="none" w:sz="0" w:space="0" w:color="auto"/>
            <w:right w:val="none" w:sz="0" w:space="0" w:color="auto"/>
          </w:divBdr>
        </w:div>
        <w:div w:id="1401175498">
          <w:marLeft w:val="0"/>
          <w:marRight w:val="0"/>
          <w:marTop w:val="0"/>
          <w:marBottom w:val="0"/>
          <w:divBdr>
            <w:top w:val="none" w:sz="0" w:space="0" w:color="auto"/>
            <w:left w:val="none" w:sz="0" w:space="0" w:color="auto"/>
            <w:bottom w:val="none" w:sz="0" w:space="0" w:color="auto"/>
            <w:right w:val="none" w:sz="0" w:space="0" w:color="auto"/>
          </w:divBdr>
        </w:div>
        <w:div w:id="62946198">
          <w:marLeft w:val="0"/>
          <w:marRight w:val="0"/>
          <w:marTop w:val="0"/>
          <w:marBottom w:val="0"/>
          <w:divBdr>
            <w:top w:val="none" w:sz="0" w:space="0" w:color="auto"/>
            <w:left w:val="none" w:sz="0" w:space="0" w:color="auto"/>
            <w:bottom w:val="none" w:sz="0" w:space="0" w:color="auto"/>
            <w:right w:val="none" w:sz="0" w:space="0" w:color="auto"/>
          </w:divBdr>
        </w:div>
        <w:div w:id="1240484915">
          <w:marLeft w:val="0"/>
          <w:marRight w:val="0"/>
          <w:marTop w:val="0"/>
          <w:marBottom w:val="0"/>
          <w:divBdr>
            <w:top w:val="none" w:sz="0" w:space="0" w:color="auto"/>
            <w:left w:val="none" w:sz="0" w:space="0" w:color="auto"/>
            <w:bottom w:val="none" w:sz="0" w:space="0" w:color="auto"/>
            <w:right w:val="none" w:sz="0" w:space="0" w:color="auto"/>
          </w:divBdr>
        </w:div>
      </w:divsChild>
    </w:div>
    <w:div w:id="1426919643">
      <w:bodyDiv w:val="1"/>
      <w:marLeft w:val="0"/>
      <w:marRight w:val="0"/>
      <w:marTop w:val="0"/>
      <w:marBottom w:val="0"/>
      <w:divBdr>
        <w:top w:val="none" w:sz="0" w:space="0" w:color="auto"/>
        <w:left w:val="none" w:sz="0" w:space="0" w:color="auto"/>
        <w:bottom w:val="none" w:sz="0" w:space="0" w:color="auto"/>
        <w:right w:val="none" w:sz="0" w:space="0" w:color="auto"/>
      </w:divBdr>
      <w:divsChild>
        <w:div w:id="2055691">
          <w:marLeft w:val="0"/>
          <w:marRight w:val="0"/>
          <w:marTop w:val="0"/>
          <w:marBottom w:val="0"/>
          <w:divBdr>
            <w:top w:val="none" w:sz="0" w:space="0" w:color="auto"/>
            <w:left w:val="none" w:sz="0" w:space="0" w:color="auto"/>
            <w:bottom w:val="none" w:sz="0" w:space="0" w:color="auto"/>
            <w:right w:val="none" w:sz="0" w:space="0" w:color="auto"/>
          </w:divBdr>
        </w:div>
        <w:div w:id="1612785287">
          <w:marLeft w:val="0"/>
          <w:marRight w:val="0"/>
          <w:marTop w:val="0"/>
          <w:marBottom w:val="0"/>
          <w:divBdr>
            <w:top w:val="none" w:sz="0" w:space="0" w:color="auto"/>
            <w:left w:val="none" w:sz="0" w:space="0" w:color="auto"/>
            <w:bottom w:val="none" w:sz="0" w:space="0" w:color="auto"/>
            <w:right w:val="none" w:sz="0" w:space="0" w:color="auto"/>
          </w:divBdr>
        </w:div>
        <w:div w:id="650793141">
          <w:marLeft w:val="0"/>
          <w:marRight w:val="0"/>
          <w:marTop w:val="0"/>
          <w:marBottom w:val="0"/>
          <w:divBdr>
            <w:top w:val="none" w:sz="0" w:space="0" w:color="auto"/>
            <w:left w:val="none" w:sz="0" w:space="0" w:color="auto"/>
            <w:bottom w:val="none" w:sz="0" w:space="0" w:color="auto"/>
            <w:right w:val="none" w:sz="0" w:space="0" w:color="auto"/>
          </w:divBdr>
        </w:div>
        <w:div w:id="1341275409">
          <w:marLeft w:val="0"/>
          <w:marRight w:val="0"/>
          <w:marTop w:val="0"/>
          <w:marBottom w:val="0"/>
          <w:divBdr>
            <w:top w:val="none" w:sz="0" w:space="0" w:color="auto"/>
            <w:left w:val="none" w:sz="0" w:space="0" w:color="auto"/>
            <w:bottom w:val="none" w:sz="0" w:space="0" w:color="auto"/>
            <w:right w:val="none" w:sz="0" w:space="0" w:color="auto"/>
          </w:divBdr>
        </w:div>
        <w:div w:id="1354844736">
          <w:marLeft w:val="0"/>
          <w:marRight w:val="0"/>
          <w:marTop w:val="0"/>
          <w:marBottom w:val="0"/>
          <w:divBdr>
            <w:top w:val="none" w:sz="0" w:space="0" w:color="auto"/>
            <w:left w:val="none" w:sz="0" w:space="0" w:color="auto"/>
            <w:bottom w:val="none" w:sz="0" w:space="0" w:color="auto"/>
            <w:right w:val="none" w:sz="0" w:space="0" w:color="auto"/>
          </w:divBdr>
        </w:div>
        <w:div w:id="215165228">
          <w:marLeft w:val="0"/>
          <w:marRight w:val="0"/>
          <w:marTop w:val="0"/>
          <w:marBottom w:val="0"/>
          <w:divBdr>
            <w:top w:val="none" w:sz="0" w:space="0" w:color="auto"/>
            <w:left w:val="none" w:sz="0" w:space="0" w:color="auto"/>
            <w:bottom w:val="none" w:sz="0" w:space="0" w:color="auto"/>
            <w:right w:val="none" w:sz="0" w:space="0" w:color="auto"/>
          </w:divBdr>
        </w:div>
        <w:div w:id="108478844">
          <w:marLeft w:val="0"/>
          <w:marRight w:val="0"/>
          <w:marTop w:val="0"/>
          <w:marBottom w:val="0"/>
          <w:divBdr>
            <w:top w:val="none" w:sz="0" w:space="0" w:color="auto"/>
            <w:left w:val="none" w:sz="0" w:space="0" w:color="auto"/>
            <w:bottom w:val="none" w:sz="0" w:space="0" w:color="auto"/>
            <w:right w:val="none" w:sz="0" w:space="0" w:color="auto"/>
          </w:divBdr>
        </w:div>
        <w:div w:id="1007681550">
          <w:marLeft w:val="0"/>
          <w:marRight w:val="0"/>
          <w:marTop w:val="0"/>
          <w:marBottom w:val="0"/>
          <w:divBdr>
            <w:top w:val="none" w:sz="0" w:space="0" w:color="auto"/>
            <w:left w:val="none" w:sz="0" w:space="0" w:color="auto"/>
            <w:bottom w:val="none" w:sz="0" w:space="0" w:color="auto"/>
            <w:right w:val="none" w:sz="0" w:space="0" w:color="auto"/>
          </w:divBdr>
        </w:div>
        <w:div w:id="311831591">
          <w:marLeft w:val="0"/>
          <w:marRight w:val="0"/>
          <w:marTop w:val="0"/>
          <w:marBottom w:val="0"/>
          <w:divBdr>
            <w:top w:val="none" w:sz="0" w:space="0" w:color="auto"/>
            <w:left w:val="none" w:sz="0" w:space="0" w:color="auto"/>
            <w:bottom w:val="none" w:sz="0" w:space="0" w:color="auto"/>
            <w:right w:val="none" w:sz="0" w:space="0" w:color="auto"/>
          </w:divBdr>
        </w:div>
        <w:div w:id="1942714095">
          <w:marLeft w:val="0"/>
          <w:marRight w:val="0"/>
          <w:marTop w:val="0"/>
          <w:marBottom w:val="0"/>
          <w:divBdr>
            <w:top w:val="none" w:sz="0" w:space="0" w:color="auto"/>
            <w:left w:val="none" w:sz="0" w:space="0" w:color="auto"/>
            <w:bottom w:val="none" w:sz="0" w:space="0" w:color="auto"/>
            <w:right w:val="none" w:sz="0" w:space="0" w:color="auto"/>
          </w:divBdr>
        </w:div>
        <w:div w:id="1780098864">
          <w:marLeft w:val="0"/>
          <w:marRight w:val="0"/>
          <w:marTop w:val="0"/>
          <w:marBottom w:val="0"/>
          <w:divBdr>
            <w:top w:val="none" w:sz="0" w:space="0" w:color="auto"/>
            <w:left w:val="none" w:sz="0" w:space="0" w:color="auto"/>
            <w:bottom w:val="none" w:sz="0" w:space="0" w:color="auto"/>
            <w:right w:val="none" w:sz="0" w:space="0" w:color="auto"/>
          </w:divBdr>
        </w:div>
        <w:div w:id="18775275">
          <w:marLeft w:val="0"/>
          <w:marRight w:val="0"/>
          <w:marTop w:val="0"/>
          <w:marBottom w:val="0"/>
          <w:divBdr>
            <w:top w:val="none" w:sz="0" w:space="0" w:color="auto"/>
            <w:left w:val="none" w:sz="0" w:space="0" w:color="auto"/>
            <w:bottom w:val="none" w:sz="0" w:space="0" w:color="auto"/>
            <w:right w:val="none" w:sz="0" w:space="0" w:color="auto"/>
          </w:divBdr>
        </w:div>
        <w:div w:id="1996489614">
          <w:marLeft w:val="0"/>
          <w:marRight w:val="0"/>
          <w:marTop w:val="0"/>
          <w:marBottom w:val="0"/>
          <w:divBdr>
            <w:top w:val="none" w:sz="0" w:space="0" w:color="auto"/>
            <w:left w:val="none" w:sz="0" w:space="0" w:color="auto"/>
            <w:bottom w:val="none" w:sz="0" w:space="0" w:color="auto"/>
            <w:right w:val="none" w:sz="0" w:space="0" w:color="auto"/>
          </w:divBdr>
        </w:div>
        <w:div w:id="1572929547">
          <w:marLeft w:val="0"/>
          <w:marRight w:val="0"/>
          <w:marTop w:val="0"/>
          <w:marBottom w:val="0"/>
          <w:divBdr>
            <w:top w:val="none" w:sz="0" w:space="0" w:color="auto"/>
            <w:left w:val="none" w:sz="0" w:space="0" w:color="auto"/>
            <w:bottom w:val="none" w:sz="0" w:space="0" w:color="auto"/>
            <w:right w:val="none" w:sz="0" w:space="0" w:color="auto"/>
          </w:divBdr>
        </w:div>
        <w:div w:id="842404258">
          <w:marLeft w:val="0"/>
          <w:marRight w:val="0"/>
          <w:marTop w:val="0"/>
          <w:marBottom w:val="0"/>
          <w:divBdr>
            <w:top w:val="none" w:sz="0" w:space="0" w:color="auto"/>
            <w:left w:val="none" w:sz="0" w:space="0" w:color="auto"/>
            <w:bottom w:val="none" w:sz="0" w:space="0" w:color="auto"/>
            <w:right w:val="none" w:sz="0" w:space="0" w:color="auto"/>
          </w:divBdr>
        </w:div>
        <w:div w:id="1953513418">
          <w:marLeft w:val="0"/>
          <w:marRight w:val="0"/>
          <w:marTop w:val="0"/>
          <w:marBottom w:val="0"/>
          <w:divBdr>
            <w:top w:val="none" w:sz="0" w:space="0" w:color="auto"/>
            <w:left w:val="none" w:sz="0" w:space="0" w:color="auto"/>
            <w:bottom w:val="none" w:sz="0" w:space="0" w:color="auto"/>
            <w:right w:val="none" w:sz="0" w:space="0" w:color="auto"/>
          </w:divBdr>
        </w:div>
      </w:divsChild>
    </w:div>
    <w:div w:id="1724980828">
      <w:bodyDiv w:val="1"/>
      <w:marLeft w:val="0"/>
      <w:marRight w:val="0"/>
      <w:marTop w:val="0"/>
      <w:marBottom w:val="0"/>
      <w:divBdr>
        <w:top w:val="none" w:sz="0" w:space="0" w:color="auto"/>
        <w:left w:val="none" w:sz="0" w:space="0" w:color="auto"/>
        <w:bottom w:val="none" w:sz="0" w:space="0" w:color="auto"/>
        <w:right w:val="none" w:sz="0" w:space="0" w:color="auto"/>
      </w:divBdr>
      <w:divsChild>
        <w:div w:id="537549160">
          <w:marLeft w:val="0"/>
          <w:marRight w:val="0"/>
          <w:marTop w:val="0"/>
          <w:marBottom w:val="0"/>
          <w:divBdr>
            <w:top w:val="none" w:sz="0" w:space="0" w:color="auto"/>
            <w:left w:val="none" w:sz="0" w:space="0" w:color="auto"/>
            <w:bottom w:val="none" w:sz="0" w:space="0" w:color="auto"/>
            <w:right w:val="none" w:sz="0" w:space="0" w:color="auto"/>
          </w:divBdr>
        </w:div>
        <w:div w:id="333075639">
          <w:marLeft w:val="0"/>
          <w:marRight w:val="0"/>
          <w:marTop w:val="0"/>
          <w:marBottom w:val="0"/>
          <w:divBdr>
            <w:top w:val="none" w:sz="0" w:space="0" w:color="auto"/>
            <w:left w:val="none" w:sz="0" w:space="0" w:color="auto"/>
            <w:bottom w:val="none" w:sz="0" w:space="0" w:color="auto"/>
            <w:right w:val="none" w:sz="0" w:space="0" w:color="auto"/>
          </w:divBdr>
        </w:div>
        <w:div w:id="106580758">
          <w:marLeft w:val="0"/>
          <w:marRight w:val="0"/>
          <w:marTop w:val="0"/>
          <w:marBottom w:val="0"/>
          <w:divBdr>
            <w:top w:val="none" w:sz="0" w:space="0" w:color="auto"/>
            <w:left w:val="none" w:sz="0" w:space="0" w:color="auto"/>
            <w:bottom w:val="none" w:sz="0" w:space="0" w:color="auto"/>
            <w:right w:val="none" w:sz="0" w:space="0" w:color="auto"/>
          </w:divBdr>
        </w:div>
        <w:div w:id="906842236">
          <w:marLeft w:val="0"/>
          <w:marRight w:val="0"/>
          <w:marTop w:val="0"/>
          <w:marBottom w:val="0"/>
          <w:divBdr>
            <w:top w:val="none" w:sz="0" w:space="0" w:color="auto"/>
            <w:left w:val="none" w:sz="0" w:space="0" w:color="auto"/>
            <w:bottom w:val="none" w:sz="0" w:space="0" w:color="auto"/>
            <w:right w:val="none" w:sz="0" w:space="0" w:color="auto"/>
          </w:divBdr>
        </w:div>
        <w:div w:id="1047951237">
          <w:marLeft w:val="0"/>
          <w:marRight w:val="0"/>
          <w:marTop w:val="0"/>
          <w:marBottom w:val="0"/>
          <w:divBdr>
            <w:top w:val="none" w:sz="0" w:space="0" w:color="auto"/>
            <w:left w:val="none" w:sz="0" w:space="0" w:color="auto"/>
            <w:bottom w:val="none" w:sz="0" w:space="0" w:color="auto"/>
            <w:right w:val="none" w:sz="0" w:space="0" w:color="auto"/>
          </w:divBdr>
        </w:div>
      </w:divsChild>
    </w:div>
    <w:div w:id="1839300076">
      <w:bodyDiv w:val="1"/>
      <w:marLeft w:val="0"/>
      <w:marRight w:val="0"/>
      <w:marTop w:val="0"/>
      <w:marBottom w:val="0"/>
      <w:divBdr>
        <w:top w:val="none" w:sz="0" w:space="0" w:color="auto"/>
        <w:left w:val="none" w:sz="0" w:space="0" w:color="auto"/>
        <w:bottom w:val="none" w:sz="0" w:space="0" w:color="auto"/>
        <w:right w:val="none" w:sz="0" w:space="0" w:color="auto"/>
      </w:divBdr>
      <w:divsChild>
        <w:div w:id="519973632">
          <w:marLeft w:val="0"/>
          <w:marRight w:val="0"/>
          <w:marTop w:val="0"/>
          <w:marBottom w:val="0"/>
          <w:divBdr>
            <w:top w:val="none" w:sz="0" w:space="0" w:color="auto"/>
            <w:left w:val="none" w:sz="0" w:space="0" w:color="auto"/>
            <w:bottom w:val="none" w:sz="0" w:space="0" w:color="auto"/>
            <w:right w:val="none" w:sz="0" w:space="0" w:color="auto"/>
          </w:divBdr>
        </w:div>
        <w:div w:id="634720647">
          <w:marLeft w:val="0"/>
          <w:marRight w:val="0"/>
          <w:marTop w:val="0"/>
          <w:marBottom w:val="0"/>
          <w:divBdr>
            <w:top w:val="none" w:sz="0" w:space="0" w:color="auto"/>
            <w:left w:val="none" w:sz="0" w:space="0" w:color="auto"/>
            <w:bottom w:val="none" w:sz="0" w:space="0" w:color="auto"/>
            <w:right w:val="none" w:sz="0" w:space="0" w:color="auto"/>
          </w:divBdr>
        </w:div>
      </w:divsChild>
    </w:div>
    <w:div w:id="1974747522">
      <w:bodyDiv w:val="1"/>
      <w:marLeft w:val="0"/>
      <w:marRight w:val="0"/>
      <w:marTop w:val="0"/>
      <w:marBottom w:val="0"/>
      <w:divBdr>
        <w:top w:val="none" w:sz="0" w:space="0" w:color="auto"/>
        <w:left w:val="none" w:sz="0" w:space="0" w:color="auto"/>
        <w:bottom w:val="none" w:sz="0" w:space="0" w:color="auto"/>
        <w:right w:val="none" w:sz="0" w:space="0" w:color="auto"/>
      </w:divBdr>
    </w:div>
    <w:div w:id="200843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mumford.fmripower.org/perchange_guide.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805BF-D02B-484B-A627-B54616C68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Pages>
  <Words>40244</Words>
  <Characters>229392</Characters>
  <Application>Microsoft Office Word</Application>
  <DocSecurity>0</DocSecurity>
  <Lines>1911</Lines>
  <Paragraphs>538</Paragraphs>
  <ScaleCrop>false</ScaleCrop>
  <HeadingPairs>
    <vt:vector size="2" baseType="variant">
      <vt:variant>
        <vt:lpstr>Title</vt:lpstr>
      </vt:variant>
      <vt:variant>
        <vt:i4>1</vt:i4>
      </vt:variant>
    </vt:vector>
  </HeadingPairs>
  <TitlesOfParts>
    <vt:vector size="1" baseType="lpstr">
      <vt:lpstr/>
    </vt:vector>
  </TitlesOfParts>
  <Company>Anglia Ruskin University</Company>
  <LinksUpToDate>false</LinksUpToDate>
  <CharactersWithSpaces>269098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Morein, Sharon</dc:creator>
  <cp:keywords/>
  <dc:description/>
  <cp:lastModifiedBy>peter zhukovsky</cp:lastModifiedBy>
  <cp:revision>149</cp:revision>
  <dcterms:created xsi:type="dcterms:W3CDTF">2019-11-29T10:34:00Z</dcterms:created>
  <dcterms:modified xsi:type="dcterms:W3CDTF">2020-01-14T17:27:00Z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a2516782-5f14-3d93-88ec-c94f4cf573c1</vt:lpwstr>
  </property>
  <property fmtid="{D5CDD505-2E9C-101B-9397-08002B2CF9AE}" pid="4" name="Mendeley Citation Style_1">
    <vt:lpwstr>http://www.zotero.org/styles/human-brain-mapping</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17th edition (author-date)</vt:lpwstr>
  </property>
  <property fmtid="{D5CDD505-2E9C-101B-9397-08002B2CF9AE}" pid="9" name="Mendeley Recent Style Id 2_1">
    <vt:lpwstr>http://www.zotero.org/styles/harvard-cite-them-right</vt:lpwstr>
  </property>
  <property fmtid="{D5CDD505-2E9C-101B-9397-08002B2CF9AE}" pid="10" name="Mendeley Recent Style Name 2_1">
    <vt:lpwstr>Cite Them Right 10th edition - Harvard</vt:lpwstr>
  </property>
  <property fmtid="{D5CDD505-2E9C-101B-9397-08002B2CF9AE}" pid="11" name="Mendeley Recent Style Id 3_1">
    <vt:lpwstr>http://www.zotero.org/styles/european-neuropsychopharmacology</vt:lpwstr>
  </property>
  <property fmtid="{D5CDD505-2E9C-101B-9397-08002B2CF9AE}" pid="12" name="Mendeley Recent Style Name 3_1">
    <vt:lpwstr>European Neuropsychopharmacology</vt:lpwstr>
  </property>
  <property fmtid="{D5CDD505-2E9C-101B-9397-08002B2CF9AE}" pid="13" name="Mendeley Recent Style Id 4_1">
    <vt:lpwstr>http://www.zotero.org/styles/human-brain-mapping</vt:lpwstr>
  </property>
  <property fmtid="{D5CDD505-2E9C-101B-9397-08002B2CF9AE}" pid="14" name="Mendeley Recent Style Name 4_1">
    <vt:lpwstr>Human Brain Mapping</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http://www.zotero.org/styles/nature</vt:lpwstr>
  </property>
  <property fmtid="{D5CDD505-2E9C-101B-9397-08002B2CF9AE}" pid="18" name="Mendeley Recent Style Name 6_1">
    <vt:lpwstr>Nature</vt:lpwstr>
  </property>
  <property fmtid="{D5CDD505-2E9C-101B-9397-08002B2CF9AE}" pid="19" name="Mendeley Recent Style Id 7_1">
    <vt:lpwstr>http://www.zotero.org/styles/neuropsychopharmacology</vt:lpwstr>
  </property>
  <property fmtid="{D5CDD505-2E9C-101B-9397-08002B2CF9AE}" pid="20" name="Mendeley Recent Style Name 7_1">
    <vt:lpwstr>Neuropsychopharmacology</vt:lpwstr>
  </property>
  <property fmtid="{D5CDD505-2E9C-101B-9397-08002B2CF9AE}" pid="21" name="Mendeley Recent Style Id 8_1">
    <vt:lpwstr>http://www.zotero.org/styles/pnas</vt:lpwstr>
  </property>
  <property fmtid="{D5CDD505-2E9C-101B-9397-08002B2CF9AE}" pid="22" name="Mendeley Recent Style Name 8_1">
    <vt:lpwstr>Proceedings of the National Academy of Sciences of the United States of America</vt:lpwstr>
  </property>
  <property fmtid="{D5CDD505-2E9C-101B-9397-08002B2CF9AE}" pid="23" name="Mendeley Recent Style Id 9_1">
    <vt:lpwstr>http://www.zotero.org/styles/elife</vt:lpwstr>
  </property>
  <property fmtid="{D5CDD505-2E9C-101B-9397-08002B2CF9AE}" pid="24" name="Mendeley Recent Style Name 9_1">
    <vt:lpwstr>eLife</vt:lpwstr>
  </property>
</Properties>
</file>