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AE38B" w14:textId="570A58CD" w:rsidR="004E3E8C" w:rsidRDefault="004318C8" w:rsidP="009914A5">
      <w:pPr>
        <w:pStyle w:val="Authornames"/>
        <w:rPr>
          <w:b/>
        </w:rPr>
      </w:pPr>
      <w:bookmarkStart w:id="0" w:name="_GoBack"/>
      <w:bookmarkEnd w:id="0"/>
      <w:r>
        <w:rPr>
          <w:b/>
        </w:rPr>
        <w:t>Development, Characterization</w:t>
      </w:r>
      <w:r w:rsidR="004E3E8C" w:rsidRPr="004E3E8C">
        <w:rPr>
          <w:b/>
        </w:rPr>
        <w:t xml:space="preserve"> and Stability Evaluation of Ciprofloxacin-Loaded Parenteral Nutrition Nanoemulsions</w:t>
      </w:r>
    </w:p>
    <w:p w14:paraId="08F83274" w14:textId="55B78FE4" w:rsidR="00442B9C" w:rsidRPr="004E3E8C" w:rsidRDefault="004E3E8C" w:rsidP="004E3E8C">
      <w:pPr>
        <w:pStyle w:val="Authornames"/>
        <w:rPr>
          <w:b/>
          <w:lang w:bidi="en-US"/>
        </w:rPr>
      </w:pPr>
      <w:r w:rsidRPr="004E3E8C">
        <w:rPr>
          <w:bCs/>
          <w:lang w:bidi="en-US"/>
        </w:rPr>
        <w:t xml:space="preserve">Ammar Said Suliman </w:t>
      </w:r>
      <w:r w:rsidRPr="004E3E8C">
        <w:rPr>
          <w:bCs/>
          <w:vertAlign w:val="superscript"/>
          <w:lang w:bidi="en-US"/>
        </w:rPr>
        <w:t>1</w:t>
      </w:r>
      <w:r w:rsidRPr="004E3E8C">
        <w:rPr>
          <w:bCs/>
          <w:lang w:bidi="en-US"/>
        </w:rPr>
        <w:t xml:space="preserve">, Rose Tom </w:t>
      </w:r>
      <w:r w:rsidRPr="004E3E8C">
        <w:rPr>
          <w:bCs/>
          <w:vertAlign w:val="superscript"/>
          <w:lang w:bidi="en-US"/>
        </w:rPr>
        <w:t>1</w:t>
      </w:r>
      <w:r w:rsidRPr="004E3E8C">
        <w:rPr>
          <w:bCs/>
          <w:lang w:bidi="en-US"/>
        </w:rPr>
        <w:t xml:space="preserve">, Kirsty Palmer </w:t>
      </w:r>
      <w:r w:rsidRPr="004E3E8C">
        <w:rPr>
          <w:bCs/>
          <w:vertAlign w:val="superscript"/>
          <w:lang w:bidi="en-US"/>
        </w:rPr>
        <w:t>1</w:t>
      </w:r>
      <w:r w:rsidRPr="004E3E8C">
        <w:rPr>
          <w:bCs/>
          <w:lang w:bidi="en-US"/>
        </w:rPr>
        <w:t xml:space="preserve">, Ibrahim Tolaymat </w:t>
      </w:r>
      <w:r w:rsidRPr="004E3E8C">
        <w:rPr>
          <w:bCs/>
          <w:vertAlign w:val="superscript"/>
          <w:lang w:bidi="en-US"/>
        </w:rPr>
        <w:t>1</w:t>
      </w:r>
      <w:r w:rsidRPr="004E3E8C">
        <w:rPr>
          <w:bCs/>
          <w:lang w:bidi="en-US"/>
        </w:rPr>
        <w:t xml:space="preserve">, Husam </w:t>
      </w:r>
      <w:r w:rsidR="00980778">
        <w:rPr>
          <w:bCs/>
          <w:lang w:bidi="en-US"/>
        </w:rPr>
        <w:t xml:space="preserve">M. </w:t>
      </w:r>
      <w:r w:rsidRPr="004E3E8C">
        <w:rPr>
          <w:bCs/>
          <w:lang w:bidi="en-US"/>
        </w:rPr>
        <w:t xml:space="preserve">Younes </w:t>
      </w:r>
      <w:r w:rsidRPr="004E3E8C">
        <w:rPr>
          <w:bCs/>
          <w:vertAlign w:val="superscript"/>
          <w:lang w:bidi="en-US"/>
        </w:rPr>
        <w:t>2</w:t>
      </w:r>
      <w:r w:rsidRPr="004E3E8C">
        <w:rPr>
          <w:bCs/>
          <w:lang w:bidi="en-US"/>
        </w:rPr>
        <w:t xml:space="preserve">, Basel Arafat </w:t>
      </w:r>
      <w:r w:rsidRPr="004E3E8C">
        <w:rPr>
          <w:bCs/>
          <w:vertAlign w:val="superscript"/>
          <w:lang w:bidi="en-US"/>
        </w:rPr>
        <w:t>1</w:t>
      </w:r>
      <w:r w:rsidRPr="004E3E8C">
        <w:rPr>
          <w:bCs/>
          <w:lang w:bidi="en-US"/>
        </w:rPr>
        <w:t xml:space="preserve">, </w:t>
      </w:r>
      <w:r w:rsidRPr="004E3E8C">
        <w:rPr>
          <w:bCs/>
        </w:rPr>
        <w:t>Abdelbary M.</w:t>
      </w:r>
      <w:r w:rsidR="00980778">
        <w:rPr>
          <w:bCs/>
        </w:rPr>
        <w:t xml:space="preserve"> </w:t>
      </w:r>
      <w:r w:rsidRPr="004E3E8C">
        <w:rPr>
          <w:bCs/>
        </w:rPr>
        <w:t>A</w:t>
      </w:r>
      <w:r w:rsidR="00980778">
        <w:rPr>
          <w:bCs/>
        </w:rPr>
        <w:t>.</w:t>
      </w:r>
      <w:r w:rsidRPr="004E3E8C">
        <w:rPr>
          <w:bCs/>
        </w:rPr>
        <w:t xml:space="preserve"> Elhissi </w:t>
      </w:r>
      <w:r w:rsidR="00E667DA">
        <w:rPr>
          <w:bCs/>
          <w:vertAlign w:val="superscript"/>
        </w:rPr>
        <w:t>2,</w:t>
      </w:r>
      <w:r w:rsidRPr="004E3E8C">
        <w:rPr>
          <w:bCs/>
          <w:vertAlign w:val="superscript"/>
          <w:lang w:bidi="en-US"/>
        </w:rPr>
        <w:t>3</w:t>
      </w:r>
      <w:r w:rsidRPr="004E3E8C">
        <w:rPr>
          <w:bCs/>
          <w:lang w:bidi="en-US"/>
        </w:rPr>
        <w:t xml:space="preserve"> and Mohammad Najlah </w:t>
      </w:r>
      <w:r w:rsidRPr="004E3E8C">
        <w:rPr>
          <w:bCs/>
          <w:vertAlign w:val="superscript"/>
          <w:lang w:bidi="en-US"/>
        </w:rPr>
        <w:t>1,</w:t>
      </w:r>
      <w:r w:rsidRPr="004E3E8C">
        <w:rPr>
          <w:bCs/>
          <w:lang w:bidi="en-US"/>
        </w:rPr>
        <w:t>*</w:t>
      </w:r>
    </w:p>
    <w:p w14:paraId="34B42F48" w14:textId="5299746A" w:rsidR="004E3E8C" w:rsidRPr="004E3E8C" w:rsidRDefault="004E3E8C" w:rsidP="004E3E8C">
      <w:pPr>
        <w:pStyle w:val="Affiliation"/>
        <w:rPr>
          <w:lang w:bidi="en-US"/>
        </w:rPr>
      </w:pPr>
      <w:r>
        <w:rPr>
          <w:lang w:bidi="en-US"/>
        </w:rPr>
        <w:t xml:space="preserve">Pharmaceutical Research Group, </w:t>
      </w:r>
      <w:r w:rsidRPr="004E3E8C">
        <w:rPr>
          <w:lang w:bidi="en-US"/>
        </w:rPr>
        <w:t>School of Allied Health, Faculty of Health, Education, Medicine</w:t>
      </w:r>
      <w:r w:rsidR="00072587">
        <w:rPr>
          <w:lang w:bidi="en-US"/>
        </w:rPr>
        <w:t>,</w:t>
      </w:r>
      <w:r w:rsidRPr="004E3E8C">
        <w:rPr>
          <w:lang w:bidi="en-US"/>
        </w:rPr>
        <w:t xml:space="preserve"> and Social Care, Anglia Ruskin University, Bishops Hall Lane, Chelmsford, CM1 1SQ. UK</w:t>
      </w:r>
      <w:r>
        <w:rPr>
          <w:lang w:bidi="en-US"/>
        </w:rPr>
        <w:t>.</w:t>
      </w:r>
    </w:p>
    <w:p w14:paraId="7F86BE42" w14:textId="77777777" w:rsidR="004E3E8C" w:rsidRPr="004E3E8C" w:rsidRDefault="004E3E8C" w:rsidP="004E3E8C">
      <w:pPr>
        <w:pStyle w:val="Affiliation"/>
        <w:rPr>
          <w:lang w:bidi="en-US"/>
        </w:rPr>
      </w:pPr>
      <w:r w:rsidRPr="004E3E8C">
        <w:rPr>
          <w:vertAlign w:val="superscript"/>
          <w:lang w:bidi="en-US"/>
        </w:rPr>
        <w:t xml:space="preserve">2 </w:t>
      </w:r>
      <w:r w:rsidRPr="004E3E8C">
        <w:rPr>
          <w:lang w:bidi="en-US"/>
        </w:rPr>
        <w:t>Office of Vice President for Research &amp; Graduate Studies, Qatar University, Doha, Qatar</w:t>
      </w:r>
      <w:r>
        <w:rPr>
          <w:lang w:bidi="en-US"/>
        </w:rPr>
        <w:t>.</w:t>
      </w:r>
    </w:p>
    <w:p w14:paraId="6F3DF9C3" w14:textId="77777777" w:rsidR="004E3E8C" w:rsidRPr="004E3E8C" w:rsidRDefault="004E3E8C" w:rsidP="004E3E8C">
      <w:pPr>
        <w:pStyle w:val="Affiliation"/>
        <w:rPr>
          <w:lang w:bidi="en-US"/>
        </w:rPr>
      </w:pPr>
      <w:r w:rsidRPr="004E3E8C">
        <w:rPr>
          <w:vertAlign w:val="superscript"/>
          <w:lang w:bidi="en-US"/>
        </w:rPr>
        <w:t xml:space="preserve">3 </w:t>
      </w:r>
      <w:r w:rsidRPr="004E3E8C">
        <w:rPr>
          <w:lang w:bidi="en-US"/>
        </w:rPr>
        <w:t>Pharmaceutical Sciences Section, College of Pharmacy, Qatar University, Doha, Qatar</w:t>
      </w:r>
      <w:r>
        <w:rPr>
          <w:lang w:bidi="en-US"/>
        </w:rPr>
        <w:t>.</w:t>
      </w:r>
      <w:r w:rsidRPr="004E3E8C">
        <w:rPr>
          <w:lang w:bidi="en-US"/>
        </w:rPr>
        <w:t xml:space="preserve"> </w:t>
      </w:r>
    </w:p>
    <w:p w14:paraId="37A39D8F" w14:textId="77777777" w:rsidR="004E3E8C" w:rsidRDefault="004E3E8C" w:rsidP="00231BB0">
      <w:pPr>
        <w:pStyle w:val="Correspondencedetails"/>
      </w:pPr>
    </w:p>
    <w:p w14:paraId="1AE04A32" w14:textId="77777777" w:rsidR="004E3E8C" w:rsidRDefault="004E3E8C" w:rsidP="004E3E8C">
      <w:pPr>
        <w:pStyle w:val="Correspondencedetails"/>
      </w:pPr>
      <w:r>
        <w:t xml:space="preserve">*Correspondence author: </w:t>
      </w:r>
    </w:p>
    <w:p w14:paraId="298B3270" w14:textId="77777777" w:rsidR="004E3E8C" w:rsidRDefault="004E3E8C" w:rsidP="004E3E8C">
      <w:pPr>
        <w:pStyle w:val="Correspondencedetails"/>
      </w:pPr>
      <w:r>
        <w:t>Mohammad Najlah</w:t>
      </w:r>
    </w:p>
    <w:p w14:paraId="5C1AB718" w14:textId="77777777" w:rsidR="004E3E8C" w:rsidRDefault="004E3E8C" w:rsidP="004E3E8C">
      <w:pPr>
        <w:pStyle w:val="Correspondencedetails"/>
        <w:spacing w:line="240" w:lineRule="auto"/>
      </w:pPr>
      <w:r>
        <w:t>Pharmaceutical Research Group,</w:t>
      </w:r>
    </w:p>
    <w:p w14:paraId="07EF0DB5" w14:textId="77777777" w:rsidR="004E3E8C" w:rsidRDefault="004E3E8C" w:rsidP="004E3E8C">
      <w:pPr>
        <w:pStyle w:val="Correspondencedetails"/>
        <w:spacing w:line="240" w:lineRule="auto"/>
      </w:pPr>
      <w:r>
        <w:t xml:space="preserve">School of Allied Health, </w:t>
      </w:r>
    </w:p>
    <w:p w14:paraId="78ED8123" w14:textId="77777777" w:rsidR="004E3E8C" w:rsidRDefault="004E3E8C" w:rsidP="004E3E8C">
      <w:pPr>
        <w:pStyle w:val="Correspondencedetails"/>
        <w:spacing w:line="240" w:lineRule="auto"/>
      </w:pPr>
      <w:r>
        <w:t xml:space="preserve">Faculty of Health, Education, Medicine and Social Care, </w:t>
      </w:r>
    </w:p>
    <w:p w14:paraId="4A80183F" w14:textId="77777777" w:rsidR="004E3E8C" w:rsidRDefault="004E3E8C" w:rsidP="004E3E8C">
      <w:pPr>
        <w:pStyle w:val="Correspondencedetails"/>
        <w:spacing w:line="240" w:lineRule="auto"/>
      </w:pPr>
      <w:r>
        <w:t xml:space="preserve">Anglia Ruskin University, </w:t>
      </w:r>
    </w:p>
    <w:p w14:paraId="2F2EFE88" w14:textId="77777777" w:rsidR="004E3E8C" w:rsidRDefault="004E3E8C" w:rsidP="004E3E8C">
      <w:pPr>
        <w:pStyle w:val="Correspondencedetails"/>
        <w:spacing w:line="240" w:lineRule="auto"/>
      </w:pPr>
      <w:r>
        <w:t xml:space="preserve">Bishops Hall Lane, Chelmsford, CM1 1SQ. UK. </w:t>
      </w:r>
    </w:p>
    <w:p w14:paraId="38E7727C" w14:textId="77777777" w:rsidR="004E3E8C" w:rsidRDefault="004E3E8C" w:rsidP="004E3E8C">
      <w:pPr>
        <w:pStyle w:val="Correspondencedetails"/>
        <w:spacing w:line="240" w:lineRule="auto"/>
      </w:pPr>
      <w:r>
        <w:t>mohammad.najlah@anglia.ac.uk or m_najlah@yahoo.co.uk</w:t>
      </w:r>
    </w:p>
    <w:p w14:paraId="221FD90A" w14:textId="77777777" w:rsidR="00E77DB9" w:rsidRDefault="004E3E8C" w:rsidP="004E3E8C">
      <w:pPr>
        <w:pStyle w:val="Correspondencedetails"/>
        <w:spacing w:line="240" w:lineRule="auto"/>
      </w:pPr>
      <w:r>
        <w:t>Tel.: +44(0)124568 4682.</w:t>
      </w:r>
    </w:p>
    <w:p w14:paraId="3AD60DE1" w14:textId="77777777" w:rsidR="006F2629" w:rsidRPr="006F2629" w:rsidRDefault="00C14585" w:rsidP="006F2629">
      <w:pPr>
        <w:pStyle w:val="Articletitle"/>
        <w:spacing w:line="240" w:lineRule="auto"/>
      </w:pPr>
      <w:r>
        <w:br w:type="page"/>
      </w:r>
      <w:r w:rsidR="006F2629" w:rsidRPr="006F2629">
        <w:lastRenderedPageBreak/>
        <w:t>Physicochemical Characterisation and Stability Evaluation of Ciprofloxacin-Loaded Parenteral Nutrition Nanoemulsions</w:t>
      </w:r>
    </w:p>
    <w:p w14:paraId="40DF41E3" w14:textId="6F066D43" w:rsidR="00266354" w:rsidRDefault="00561CEB" w:rsidP="00916017">
      <w:pPr>
        <w:pStyle w:val="Abstract"/>
        <w:jc w:val="both"/>
      </w:pPr>
      <w:r>
        <w:rPr>
          <w:lang w:val="en-US"/>
        </w:rPr>
        <w:t>In this study, two licensed total parenteral nanoemulsion formulations (</w:t>
      </w:r>
      <w:r w:rsidRPr="006F2629">
        <w:rPr>
          <w:lang w:val="en-US"/>
        </w:rPr>
        <w:t>Clinoleic</w:t>
      </w:r>
      <w:r w:rsidRPr="006F2629">
        <w:rPr>
          <w:vertAlign w:val="superscript"/>
          <w:lang w:val="en-US"/>
        </w:rPr>
        <w:t>®</w:t>
      </w:r>
      <w:r w:rsidRPr="006F2629">
        <w:rPr>
          <w:lang w:val="en-US"/>
        </w:rPr>
        <w:t xml:space="preserve"> and Intralipid</w:t>
      </w:r>
      <w:r w:rsidRPr="006F2629">
        <w:rPr>
          <w:vertAlign w:val="superscript"/>
          <w:lang w:val="en-US"/>
        </w:rPr>
        <w:t>®</w:t>
      </w:r>
      <w:r>
        <w:rPr>
          <w:lang w:val="en-US"/>
        </w:rPr>
        <w:t>) were loaded with ciprofloxacin (CP).</w:t>
      </w:r>
      <w:r w:rsidR="006F2629" w:rsidRPr="006F2629">
        <w:rPr>
          <w:lang w:val="en-US"/>
        </w:rPr>
        <w:t xml:space="preserve"> </w:t>
      </w:r>
      <w:r>
        <w:rPr>
          <w:lang w:val="en-US"/>
        </w:rPr>
        <w:t>T</w:t>
      </w:r>
      <w:r w:rsidRPr="006F2629">
        <w:rPr>
          <w:lang w:val="en-US"/>
        </w:rPr>
        <w:t xml:space="preserve">he </w:t>
      </w:r>
      <w:r w:rsidR="006F2629" w:rsidRPr="006F2629">
        <w:rPr>
          <w:lang w:val="en-US"/>
        </w:rPr>
        <w:t xml:space="preserve">physicochemical </w:t>
      </w:r>
      <w:r w:rsidR="00162469">
        <w:rPr>
          <w:lang w:val="en-US"/>
        </w:rPr>
        <w:t>characteristics</w:t>
      </w:r>
      <w:r w:rsidR="00162469" w:rsidRPr="006F2629">
        <w:rPr>
          <w:lang w:val="en-US"/>
        </w:rPr>
        <w:t xml:space="preserve"> </w:t>
      </w:r>
      <w:r w:rsidR="006F2629" w:rsidRPr="006F2629">
        <w:rPr>
          <w:lang w:val="en-US"/>
        </w:rPr>
        <w:t xml:space="preserve">and stability profiles of </w:t>
      </w:r>
      <w:r>
        <w:rPr>
          <w:lang w:val="en-US"/>
        </w:rPr>
        <w:t xml:space="preserve">the </w:t>
      </w:r>
      <w:r w:rsidR="006F2629" w:rsidRPr="006F2629">
        <w:rPr>
          <w:lang w:val="en-US"/>
        </w:rPr>
        <w:t>formulations</w:t>
      </w:r>
      <w:r>
        <w:rPr>
          <w:lang w:val="en-US"/>
        </w:rPr>
        <w:t xml:space="preserve"> were investigated using a range of drug concentrations. Furthermore, formulation stability was evaluated over a period of six months at room temperature or 4°C.</w:t>
      </w:r>
      <w:r w:rsidR="005753ED">
        <w:rPr>
          <w:lang w:val="en-US"/>
        </w:rPr>
        <w:t xml:space="preserve"> </w:t>
      </w:r>
      <w:r w:rsidR="006F2629" w:rsidRPr="006F2629">
        <w:rPr>
          <w:lang w:val="en-US"/>
        </w:rPr>
        <w:t xml:space="preserve">Loading CP into nanoemulsions resulted in no significant differences in their measured droplet size, polydispersity index (PI), zeta potential and pH. </w:t>
      </w:r>
      <w:r>
        <w:rPr>
          <w:lang w:val="en-US"/>
        </w:rPr>
        <w:t>Drug</w:t>
      </w:r>
      <w:r w:rsidR="006F2629" w:rsidRPr="006F2629">
        <w:rPr>
          <w:lang w:val="en-US"/>
        </w:rPr>
        <w:t xml:space="preserve"> entrapment efficiency (EE) was relatively </w:t>
      </w:r>
      <w:r w:rsidR="006B0702">
        <w:rPr>
          <w:lang w:val="en-US"/>
        </w:rPr>
        <w:t xml:space="preserve">high for </w:t>
      </w:r>
      <w:r>
        <w:rPr>
          <w:lang w:val="en-US"/>
        </w:rPr>
        <w:t>all formulations, regardless of nanoemulsion type,</w:t>
      </w:r>
      <w:r w:rsidR="006F2629" w:rsidRPr="006F2629">
        <w:rPr>
          <w:lang w:val="en-US"/>
        </w:rPr>
        <w:t xml:space="preserve"> and the </w:t>
      </w:r>
      <w:r>
        <w:rPr>
          <w:lang w:val="en-US"/>
        </w:rPr>
        <w:t>drug release</w:t>
      </w:r>
      <w:r w:rsidRPr="006F2629">
        <w:rPr>
          <w:lang w:val="en-US"/>
        </w:rPr>
        <w:t xml:space="preserve"> </w:t>
      </w:r>
      <w:r>
        <w:rPr>
          <w:lang w:val="en-US"/>
        </w:rPr>
        <w:t>was sustained over 24 h</w:t>
      </w:r>
      <w:r w:rsidR="006F2629" w:rsidRPr="006F2629">
        <w:rPr>
          <w:lang w:val="en-US"/>
        </w:rPr>
        <w:t>. Stability studies of all formulations were performed at 4</w:t>
      </w:r>
      <w:r w:rsidR="006F2629" w:rsidRPr="006130F9">
        <w:rPr>
          <w:vertAlign w:val="superscript"/>
          <w:lang w:val="en-US"/>
        </w:rPr>
        <w:t>o</w:t>
      </w:r>
      <w:r w:rsidR="006F2629" w:rsidRPr="006F2629">
        <w:rPr>
          <w:lang w:val="en-US"/>
        </w:rPr>
        <w:t>C and room temperature (RT) for 180 and 60 days, respectively. At 4</w:t>
      </w:r>
      <w:r w:rsidR="006F2629" w:rsidRPr="006130F9">
        <w:rPr>
          <w:vertAlign w:val="superscript"/>
          <w:lang w:val="en-US"/>
        </w:rPr>
        <w:t>o</w:t>
      </w:r>
      <w:r w:rsidR="006F2629" w:rsidRPr="006F2629">
        <w:rPr>
          <w:lang w:val="en-US"/>
        </w:rPr>
        <w:t xml:space="preserve">C for 180 days, both Clinoleic and Intralipid formulations at a range of drug concentrations (1-10 mg/ml) showed high stabilities measured periodically by the average droplet sizes, PI, pH and zeta potential values. Similar results, but pH values, were shown when the formulations for both nanoemulsion stored at RT for 60 days. Overall, this study has shown that CP was successfully loaded into clinically licensed TPN lipid nanoemulsions. </w:t>
      </w:r>
      <w:r w:rsidR="00916017">
        <w:rPr>
          <w:lang w:val="en-US"/>
        </w:rPr>
        <w:t>The resultant CP-loaded nanoemulsion formulations demonstrated desirable physicochemical properties</w:t>
      </w:r>
      <w:r w:rsidR="00521FDF">
        <w:rPr>
          <w:lang w:val="en-US"/>
        </w:rPr>
        <w:t xml:space="preserve"> </w:t>
      </w:r>
      <w:r w:rsidR="00916017">
        <w:rPr>
          <w:lang w:val="en-US"/>
        </w:rPr>
        <w:t>and were stable upon storage at 4°C for up to six months</w:t>
      </w:r>
      <w:r w:rsidR="006F2629" w:rsidRPr="006F2629">
        <w:rPr>
          <w:lang w:val="en-US"/>
        </w:rPr>
        <w:t>.</w:t>
      </w:r>
      <w:r w:rsidR="006F2629">
        <w:rPr>
          <w:lang w:val="en-US"/>
        </w:rPr>
        <w:t xml:space="preserve"> </w:t>
      </w:r>
    </w:p>
    <w:p w14:paraId="4FEF7070" w14:textId="77777777" w:rsidR="0020415E" w:rsidRPr="0020415E" w:rsidRDefault="00997B0F" w:rsidP="006F2629">
      <w:pPr>
        <w:pStyle w:val="Keywords"/>
      </w:pPr>
      <w:r>
        <w:t xml:space="preserve">Keywords: </w:t>
      </w:r>
      <w:r w:rsidR="006F2629" w:rsidRPr="006F2629">
        <w:rPr>
          <w:lang w:val="en-US"/>
        </w:rPr>
        <w:t>droplet size; nanoemulsion; ciprofloxacin; stability; zeta potential; polydispersity index</w:t>
      </w:r>
      <w:r w:rsidR="006F2629">
        <w:t>.</w:t>
      </w:r>
    </w:p>
    <w:p w14:paraId="2FB963C3" w14:textId="77777777" w:rsidR="00997B0F" w:rsidRDefault="006F2629" w:rsidP="006F2629">
      <w:pPr>
        <w:pStyle w:val="Heading1"/>
        <w:numPr>
          <w:ilvl w:val="0"/>
          <w:numId w:val="31"/>
        </w:numPr>
      </w:pPr>
      <w:r w:rsidRPr="006F2629">
        <w:rPr>
          <w:lang w:val="en-US"/>
        </w:rPr>
        <w:t>Introduction</w:t>
      </w:r>
      <w:r w:rsidRPr="006F2629">
        <w:t xml:space="preserve"> </w:t>
      </w:r>
    </w:p>
    <w:p w14:paraId="7634F8F8" w14:textId="2ABB8D96" w:rsidR="006F2629" w:rsidRPr="006F2629" w:rsidRDefault="006F2629" w:rsidP="00AE607D">
      <w:pPr>
        <w:pStyle w:val="Paragraph"/>
        <w:jc w:val="both"/>
        <w:rPr>
          <w:lang w:val="en-US"/>
        </w:rPr>
      </w:pPr>
      <w:r w:rsidRPr="006F2629">
        <w:rPr>
          <w:lang w:val="en-US"/>
        </w:rPr>
        <w:t>Ciprofloxacin (CP),</w:t>
      </w:r>
      <w:r w:rsidRPr="006F2629" w:rsidDel="003E2EC2">
        <w:rPr>
          <w:lang w:val="en-US"/>
        </w:rPr>
        <w:t xml:space="preserve"> </w:t>
      </w:r>
      <w:r w:rsidRPr="006F2629">
        <w:rPr>
          <w:lang w:val="en-US"/>
        </w:rPr>
        <w:t xml:space="preserve">belonging to the second generation antibacterial quinolones, has </w:t>
      </w:r>
      <w:r w:rsidR="00162469">
        <w:rPr>
          <w:lang w:val="en-US"/>
        </w:rPr>
        <w:t xml:space="preserve"> broad</w:t>
      </w:r>
      <w:r w:rsidRPr="006F2629">
        <w:rPr>
          <w:lang w:val="en-US"/>
        </w:rPr>
        <w:t xml:space="preserve"> bactericidal </w:t>
      </w:r>
      <w:r w:rsidR="00162469" w:rsidRPr="006F2629">
        <w:rPr>
          <w:lang w:val="en-US"/>
        </w:rPr>
        <w:t>activit</w:t>
      </w:r>
      <w:r w:rsidR="00162469">
        <w:rPr>
          <w:lang w:val="en-US"/>
        </w:rPr>
        <w:t xml:space="preserve">ies, making it appropriate for </w:t>
      </w:r>
      <w:r w:rsidR="004D0502">
        <w:rPr>
          <w:lang w:val="en-US"/>
        </w:rPr>
        <w:t>the treatment of</w:t>
      </w:r>
      <w:r w:rsidRPr="006F2629">
        <w:rPr>
          <w:lang w:val="en-US"/>
        </w:rPr>
        <w:t xml:space="preserve"> respiratory tract infections, anthrax, gonorrhea, chronic prostatitis, </w:t>
      </w:r>
      <w:r w:rsidR="00162469" w:rsidRPr="006F2629">
        <w:rPr>
          <w:lang w:val="en-US"/>
        </w:rPr>
        <w:t>urinary tract infections</w:t>
      </w:r>
      <w:r w:rsidR="00162469">
        <w:rPr>
          <w:lang w:val="en-US"/>
        </w:rPr>
        <w:t xml:space="preserve"> and </w:t>
      </w:r>
      <w:r w:rsidR="004D0502">
        <w:rPr>
          <w:lang w:val="en-US"/>
        </w:rPr>
        <w:t xml:space="preserve">the </w:t>
      </w:r>
      <w:r w:rsidRPr="006F2629">
        <w:rPr>
          <w:lang w:val="en-US"/>
        </w:rPr>
        <w:t xml:space="preserve">prophylaxis </w:t>
      </w:r>
      <w:r w:rsidR="00162469">
        <w:rPr>
          <w:lang w:val="en-US"/>
        </w:rPr>
        <w:t>against</w:t>
      </w:r>
      <w:r w:rsidR="00162469" w:rsidRPr="006F2629">
        <w:rPr>
          <w:lang w:val="en-US"/>
        </w:rPr>
        <w:t xml:space="preserve"> </w:t>
      </w:r>
      <w:r w:rsidRPr="006F2629">
        <w:rPr>
          <w:lang w:val="en-US"/>
        </w:rPr>
        <w:t xml:space="preserve">meningitis </w:t>
      </w:r>
      <w:r w:rsidR="00125AFC">
        <w:rPr>
          <w:lang w:val="en-US"/>
        </w:rPr>
        <w:fldChar w:fldCharType="begin"/>
      </w:r>
      <w:r w:rsidR="00125AFC">
        <w:rPr>
          <w:lang w:val="en-US"/>
        </w:rPr>
        <w:instrText xml:space="preserve"> ADDIN ZOTERO_ITEM CSL_CITATION {"citationID":"yfFIYQGH","properties":{"formattedCitation":"(1\\uc0\\u8211{}3)","plainCitation":"(1–3)","noteIndex":0},"citationItems":[{"id":56,"uris":["http://zotero.org/users/5477069/items/HEACGWIC"],"uri":["http://zotero.org/users/5477069/items/HEACGWIC"],"itemData":{"id":56,"type":"article-journal","title":"The quinolones: decades of development and use","container-title":"The Journal of Antimicrobial Chemotherapy","page":"13-20","volume":"51 Suppl 1","source":"PubMed","abstract":"The discovery of nalidixic acid in 1962, and its introduction for clinical use in 1967, marks the beginning of five decades of quinolone development and use. It was not until the discovery and licensing of the fluoroquinolones in the 1970s and 1980s that these drugs began to establish their place in the armamentarium of clinically useful antimicrobials. At the beginning of the 21st century, in their fifth decade of discovery and use, our understanding of structure-function relationships has improved, and better compounds, in terms of both spectrum of antimicrobial cover and pharmacokinetics, have been developed. The clinical utility of this expanding class of antimicrobial agents, and the lower propensity for the development of resistance with the \"newer\" fluoroquinolones will need to be continually monitored in the changing therapeutic environment. Antibiotic drug choice will remain difficult in the presence of increasing resistance, but the introduction of the new fluoroquinolones has created a new and exciting era in antimicrobial treatment. The role of these agents has already been acknowledged in a number of clinical guidelines, and appropriate use of these agents may help to preserve their clinical utility, enabling them to realize their full therapeutic potential.","DOI":"10.1093/jac/dkg208","ISSN":"0305-7453","note":"PMID: 12702699","title-short":"The quinolones","journalAbbreviation":"J. Antimicrob. Chemother.","language":"eng","author":[{"family":"Emmerson","given":"A. M."},{"family":"Jones","given":"A. M."}],"issued":{"date-parts":[["2003",5]]}},"label":"page"},{"id":59,"uris":["http://zotero.org/users/5477069/items/QE8XDUNZ"],"uri":["http://zotero.org/users/5477069/items/QE8XDUNZ"],"itemData":{"id":59,"type":"article-journal","title":"1,8-Naphthyridine derivatives. A new class of chemotherapeutic agent","container-title":"Journal of Medicinal and Pharmaceutical Chemistry","page":"1063-1065","volume":"91","source":"PubMed","ISSN":"0095-9065","note":"PMID: 14056431","journalAbbreviation":"J Med Pharm Chem","language":"eng","author":[{"family":"Lesher","given":"G. Y."},{"family":"Froelich","given":"E. J."},{"family":"Gruett","given":"M. D."},{"family":"Bailey","given":"J. H."},{"family":"Brundage","given":"R. P."}],"issued":{"date-parts":[["1962",9]]}},"label":"page"},{"id":61,"uris":["http://zotero.org/users/5477069/items/4Q7IYCT7"],"uri":["http://zotero.org/users/5477069/items/4Q7IYCT7"],"itemData":{"id":61,"type":"article-journal","title":"From chloroquine to antineoplastic drugs? the story of antibacterial quinolones","container-title":"Archiv Der Pharmazie","page":"115-119","volume":"329","issue":"3","source":"PubMed","abstract":"Chemotherapy has not only proved valuable in treating many diseases but the history of discovery of some drugs makes exciting reading. The aim of this article is to outline one such story.","ISSN":"0365-6233","note":"PMID: 9005809","title-short":"From chloroquine to antineoplastic drugs?","journalAbbreviation":"Arch. Pharm. (Weinheim)","language":"eng","author":[{"family":"Rádl","given":"S."}],"issued":{"date-parts":[["1996",3]]}},"label":"page"}],"schema":"https://github.com/citation-style-language/schema/raw/master/csl-citation.json"} </w:instrText>
      </w:r>
      <w:r w:rsidR="00125AFC">
        <w:rPr>
          <w:lang w:val="en-US"/>
        </w:rPr>
        <w:fldChar w:fldCharType="separate"/>
      </w:r>
      <w:r w:rsidR="00125AFC" w:rsidRPr="00125AFC">
        <w:t>(1–3)</w:t>
      </w:r>
      <w:r w:rsidR="00125AFC">
        <w:rPr>
          <w:lang w:val="en-US"/>
        </w:rPr>
        <w:fldChar w:fldCharType="end"/>
      </w:r>
      <w:r w:rsidRPr="006F2629">
        <w:rPr>
          <w:lang w:val="en-US"/>
        </w:rPr>
        <w:t xml:space="preserve">. The </w:t>
      </w:r>
      <w:r w:rsidR="00162469">
        <w:rPr>
          <w:lang w:val="en-US"/>
        </w:rPr>
        <w:t>superior activity of</w:t>
      </w:r>
      <w:r w:rsidRPr="006F2629">
        <w:rPr>
          <w:lang w:val="en-US"/>
        </w:rPr>
        <w:t xml:space="preserve"> CP </w:t>
      </w:r>
      <w:r w:rsidR="00162469">
        <w:rPr>
          <w:lang w:val="en-US"/>
        </w:rPr>
        <w:t>is attributed to its</w:t>
      </w:r>
      <w:r w:rsidRPr="006F2629">
        <w:rPr>
          <w:lang w:val="en-US"/>
        </w:rPr>
        <w:t xml:space="preserve"> </w:t>
      </w:r>
      <w:r w:rsidR="00162469" w:rsidRPr="006F2629">
        <w:rPr>
          <w:lang w:val="en-US"/>
        </w:rPr>
        <w:t>structur</w:t>
      </w:r>
      <w:r w:rsidR="00162469">
        <w:rPr>
          <w:lang w:val="en-US"/>
        </w:rPr>
        <w:t>e, specifically</w:t>
      </w:r>
      <w:r w:rsidRPr="006F2629">
        <w:rPr>
          <w:lang w:val="en-US"/>
        </w:rPr>
        <w:t xml:space="preserve"> the fluorine group</w:t>
      </w:r>
      <w:r w:rsidR="00162469">
        <w:rPr>
          <w:lang w:val="en-US"/>
        </w:rPr>
        <w:t xml:space="preserve"> </w:t>
      </w:r>
      <w:r w:rsidR="00AE607D">
        <w:rPr>
          <w:lang w:val="en-US"/>
        </w:rPr>
        <w:t>located</w:t>
      </w:r>
      <w:r w:rsidR="00AE607D" w:rsidRPr="006F2629">
        <w:rPr>
          <w:lang w:val="en-US"/>
        </w:rPr>
        <w:t xml:space="preserve"> </w:t>
      </w:r>
      <w:r w:rsidRPr="006F2629">
        <w:rPr>
          <w:lang w:val="en-US"/>
        </w:rPr>
        <w:t xml:space="preserve">at position 6 of the quinolone rings, and </w:t>
      </w:r>
      <w:r w:rsidR="00162469">
        <w:rPr>
          <w:lang w:val="en-US"/>
        </w:rPr>
        <w:t>the</w:t>
      </w:r>
      <w:r w:rsidR="00162469" w:rsidRPr="006F2629">
        <w:rPr>
          <w:lang w:val="en-US"/>
        </w:rPr>
        <w:t xml:space="preserve"> </w:t>
      </w:r>
      <w:r w:rsidRPr="006F2629">
        <w:rPr>
          <w:lang w:val="en-US"/>
        </w:rPr>
        <w:t>cyclic amine at position 7</w:t>
      </w:r>
      <w:r w:rsidR="00162469">
        <w:rPr>
          <w:lang w:val="en-US"/>
        </w:rPr>
        <w:t>,</w:t>
      </w:r>
      <w:r w:rsidRPr="006F2629">
        <w:rPr>
          <w:lang w:val="en-US"/>
        </w:rPr>
        <w:t xml:space="preserve"> in addition to carboxylic acid and carbonyl groups at position</w:t>
      </w:r>
      <w:r w:rsidR="00162469">
        <w:rPr>
          <w:lang w:val="en-US"/>
        </w:rPr>
        <w:t>s</w:t>
      </w:r>
      <w:r w:rsidRPr="006F2629">
        <w:rPr>
          <w:lang w:val="en-US"/>
        </w:rPr>
        <w:t xml:space="preserve"> 3 and 4, respectively (Figure 1) </w:t>
      </w:r>
      <w:r w:rsidR="00C417B3">
        <w:rPr>
          <w:lang w:val="en-US"/>
        </w:rPr>
        <w:fldChar w:fldCharType="begin"/>
      </w:r>
      <w:r w:rsidR="00C417B3">
        <w:rPr>
          <w:lang w:val="en-US"/>
        </w:rPr>
        <w:instrText xml:space="preserve"> ADDIN ZOTERO_ITEM CSL_CITATION {"citationID":"7LfJ2kq1","properties":{"formattedCitation":"(4)","plainCitation":"(4)","noteIndex":0},"citationItems":[{"id":64,"uris":["http://zotero.org/users/5477069/items/S2NU9CA3"],"uri":["http://zotero.org/users/5477069/items/S2NU9CA3"],"itemData":{"id":64,"type":"book","title":"Antibacterial agents: chemistry, mode of action, mechanisms of resistance, and clinical applications","publisher":"John Wiley &amp; Sons","publisher-place":"Chichester, West Sussex","number-of-pages":"363","source":"Library of Congress ISBN","event-place":"Chichester, West Sussex","ISBN":"978-0-470-97244-1","call-number":"RM409 .A56 2012","title-short":"Antibacterial agents","editor":[{"family":"Anderson","given":"Rosaleen J."},{"family":"Groundwater","given":"Paul W."},{"family":"Todd","given":"Adam"}],"issued":{"date-parts":[["2012"]]}}}],"schema":"https://github.com/citation-style-language/schema/raw/master/csl-citation.json"} </w:instrText>
      </w:r>
      <w:r w:rsidR="00C417B3">
        <w:rPr>
          <w:lang w:val="en-US"/>
        </w:rPr>
        <w:fldChar w:fldCharType="separate"/>
      </w:r>
      <w:r w:rsidR="00C417B3">
        <w:rPr>
          <w:noProof/>
          <w:lang w:val="en-US"/>
        </w:rPr>
        <w:t>(4)</w:t>
      </w:r>
      <w:r w:rsidR="00C417B3">
        <w:rPr>
          <w:lang w:val="en-US"/>
        </w:rPr>
        <w:fldChar w:fldCharType="end"/>
      </w:r>
      <w:r w:rsidRPr="006F2629">
        <w:rPr>
          <w:lang w:val="en-US"/>
        </w:rPr>
        <w:t xml:space="preserve">. These </w:t>
      </w:r>
      <w:r w:rsidR="004D0502">
        <w:rPr>
          <w:lang w:val="en-US"/>
        </w:rPr>
        <w:t>features</w:t>
      </w:r>
      <w:r w:rsidR="004D0502" w:rsidRPr="006F2629">
        <w:rPr>
          <w:lang w:val="en-US"/>
        </w:rPr>
        <w:t xml:space="preserve"> </w:t>
      </w:r>
      <w:r w:rsidR="00162469">
        <w:rPr>
          <w:lang w:val="en-US"/>
        </w:rPr>
        <w:t>enable</w:t>
      </w:r>
      <w:r w:rsidR="00162469" w:rsidRPr="006F2629">
        <w:rPr>
          <w:lang w:val="en-US"/>
        </w:rPr>
        <w:t xml:space="preserve"> </w:t>
      </w:r>
      <w:r w:rsidRPr="006F2629">
        <w:rPr>
          <w:lang w:val="en-US"/>
        </w:rPr>
        <w:t>CP to selectively bind</w:t>
      </w:r>
      <w:r w:rsidR="00162469">
        <w:rPr>
          <w:lang w:val="en-US"/>
        </w:rPr>
        <w:t xml:space="preserve"> </w:t>
      </w:r>
      <w:r w:rsidR="00162469">
        <w:rPr>
          <w:lang w:val="en-US"/>
        </w:rPr>
        <w:lastRenderedPageBreak/>
        <w:t>to</w:t>
      </w:r>
      <w:r w:rsidRPr="006F2629">
        <w:rPr>
          <w:lang w:val="en-US"/>
        </w:rPr>
        <w:t xml:space="preserve"> DNA-gyrase, the enzyme responsible for DNA replication in prokaryotic cells</w:t>
      </w:r>
      <w:r w:rsidR="00162469">
        <w:rPr>
          <w:lang w:val="en-US"/>
        </w:rPr>
        <w:t xml:space="preserve">, </w:t>
      </w:r>
      <w:r w:rsidR="000560F0">
        <w:rPr>
          <w:lang w:val="en-US"/>
        </w:rPr>
        <w:t xml:space="preserve">preventing </w:t>
      </w:r>
      <w:r w:rsidR="00162469">
        <w:rPr>
          <w:lang w:val="en-US"/>
        </w:rPr>
        <w:t>bacterial replication</w:t>
      </w:r>
      <w:r w:rsidR="004D0502">
        <w:rPr>
          <w:lang w:val="en-US"/>
        </w:rPr>
        <w:t xml:space="preserve"> and resulting in death of prokaryotic cell</w:t>
      </w:r>
      <w:r w:rsidRPr="006F2629">
        <w:rPr>
          <w:lang w:val="en-US"/>
        </w:rPr>
        <w:t xml:space="preserve"> </w:t>
      </w:r>
      <w:r w:rsidR="00C417B3">
        <w:rPr>
          <w:lang w:val="en-US"/>
        </w:rPr>
        <w:fldChar w:fldCharType="begin"/>
      </w:r>
      <w:r w:rsidR="00C417B3">
        <w:rPr>
          <w:lang w:val="en-US"/>
        </w:rPr>
        <w:instrText xml:space="preserve"> ADDIN ZOTERO_ITEM CSL_CITATION {"citationID":"U3gbqeWP","properties":{"formattedCitation":"(5)","plainCitation":"(5)","noteIndex":0},"citationItems":[{"id":65,"uris":["http://zotero.org/users/5477069/items/SMC4LLPT"],"uri":["http://zotero.org/users/5477069/items/SMC4LLPT"],"itemData":{"id":65,"type":"article-journal","title":"Mechanisms of resistance to quinolones: target alterations, decreased accumulation and DNA gyrase protection","container-title":"Journal of Antimicrobial Chemotherapy","page":"1109-1117","volume":"51","issue":"5","source":"academic.oup.com","abstract":"Abstract.  Quinolones are broad-spectrum antibacterial agents, commonly used in both clinical and veterinary medicine. Their extensive use has resulted in bacte","DOI":"10.1093/jac/dkg222","ISSN":"0305-7453","title-short":"Mechanisms of resistance to quinolones","journalAbbreviation":"J Antimicrob Chemother","language":"en","author":[{"family":"Ruiz","given":"Joaquim"}],"issued":{"date-parts":[["2003",5,1]]}}}],"schema":"https://github.com/citation-style-language/schema/raw/master/csl-citation.json"} </w:instrText>
      </w:r>
      <w:r w:rsidR="00C417B3">
        <w:rPr>
          <w:lang w:val="en-US"/>
        </w:rPr>
        <w:fldChar w:fldCharType="separate"/>
      </w:r>
      <w:r w:rsidR="00C417B3">
        <w:rPr>
          <w:noProof/>
          <w:lang w:val="en-US"/>
        </w:rPr>
        <w:t>(5)</w:t>
      </w:r>
      <w:r w:rsidR="00C417B3">
        <w:rPr>
          <w:lang w:val="en-US"/>
        </w:rPr>
        <w:fldChar w:fldCharType="end"/>
      </w:r>
      <w:r w:rsidRPr="006F2629">
        <w:rPr>
          <w:lang w:val="en-US"/>
        </w:rPr>
        <w:t xml:space="preserve">. </w:t>
      </w:r>
    </w:p>
    <w:p w14:paraId="694026B8" w14:textId="23A39C9D" w:rsidR="005A6A38" w:rsidRPr="005A6A38" w:rsidRDefault="005A6A38" w:rsidP="004D0502">
      <w:pPr>
        <w:pStyle w:val="Newparagraph"/>
        <w:jc w:val="both"/>
      </w:pPr>
      <w:r w:rsidRPr="005A6A38">
        <w:t xml:space="preserve">The </w:t>
      </w:r>
      <w:r w:rsidR="005A0F35">
        <w:t>relatively high</w:t>
      </w:r>
      <w:r w:rsidR="005A0F35" w:rsidRPr="005A6A38">
        <w:t xml:space="preserve"> </w:t>
      </w:r>
      <w:r w:rsidRPr="005A6A38">
        <w:t xml:space="preserve">bioavailability of CP (up to 77%) </w:t>
      </w:r>
      <w:r w:rsidR="00C417B3">
        <w:fldChar w:fldCharType="begin"/>
      </w:r>
      <w:r w:rsidR="00C417B3">
        <w:instrText xml:space="preserve"> ADDIN ZOTERO_ITEM CSL_CITATION {"citationID":"KeMxQ5lX","properties":{"formattedCitation":"(6)","plainCitation":"(6)","noteIndex":0},"citationItems":[{"id":68,"uris":["http://zotero.org/users/5477069/items/BRPXK5FY"],"uri":["http://zotero.org/users/5477069/items/BRPXK5FY"],"itemData":{"id":68,"type":"article-journal","title":"Pharmacokinetics of ciprofloxacin after oral and parenteral administration.","container-title":"Antimicrobial Agents and Chemotherapy","page":"375-379","volume":"27","issue":"3","source":"PubMed Central","abstract":"In 12 fasting volunteers, the pharmacokinetics of ciprofloxacin (Bay o 9867; 1-cyclopropyl-6-fluor-1,4-dihydro-4-oxo-7-(1-piperazinyl)-3-quinoline carbonic acid) were determined after the administration of 50, 100, and 750 mg orally as well as 50 and 100 mg intravenously over 15 min. Serum and urine concentrations were detected with a bioassay. In addition, urine concentrations after a 50-mg dosing were measured by high-pressure liquid chromatography. The serum course of ciprofloxacin could best be described by an open three-compartment model. High volumes of distribution (exceeding 200 liters/100 kg) suggested effective diffusions in the extravascular space. The terminal half-life of ciprofloxacin ranged between 3 and 4 h. High total and renal clearances suggested additional elimination pathways, such as tubular secretion, metabolism, or biliary excretion. After oral administration, absorption was sufficient, and the absolute bioavailability varied between 0.77 and 0.63. Maximal serum concentrations were attained 0.5 to 1 h after dosing; the higher dosage tended towards a delay in absorption. The proportion of the relative amount of metabolites to the total amount of drug excreted in urine increased from 29.7% after intravenous administration to 42.7% after oral dosing, indicating a first-pass effect of the liver. Ciprofloxacin concentrations with a bioassay were 3 to 27% higher than with high-pressure liquid chromatography, which may indicate the presence of biologically active metabolites. No side effects were recorded.","ISSN":"0066-4804","note":"PMID: 3158275\nPMCID: PMC176280","journalAbbreviation":"Antimicrob Agents Chemother","author":[{"family":"Höffken","given":"G"},{"family":"Lode","given":"H"},{"family":"Prinzing","given":"C"},{"family":"Borner","given":"K"},{"family":"Koeppe","given":"P"}],"issued":{"date-parts":[["1985",3]]}}}],"schema":"https://github.com/citation-style-language/schema/raw/master/csl-citation.json"} </w:instrText>
      </w:r>
      <w:r w:rsidR="00C417B3">
        <w:fldChar w:fldCharType="separate"/>
      </w:r>
      <w:r w:rsidR="00C417B3">
        <w:rPr>
          <w:noProof/>
        </w:rPr>
        <w:t>(6)</w:t>
      </w:r>
      <w:r w:rsidR="00C417B3">
        <w:fldChar w:fldCharType="end"/>
      </w:r>
      <w:r w:rsidRPr="005A6A38">
        <w:t xml:space="preserve"> and its </w:t>
      </w:r>
      <w:r w:rsidR="005A0F35" w:rsidRPr="005A6A38">
        <w:t>accumulat</w:t>
      </w:r>
      <w:r w:rsidR="005A0F35">
        <w:t>ion</w:t>
      </w:r>
      <w:r w:rsidR="005A0F35" w:rsidRPr="005A6A38">
        <w:t xml:space="preserve"> </w:t>
      </w:r>
      <w:r w:rsidRPr="005A6A38">
        <w:t>in macrophages</w:t>
      </w:r>
      <w:r w:rsidR="00C417B3">
        <w:t xml:space="preserve"> </w:t>
      </w:r>
      <w:r w:rsidR="00C417B3">
        <w:fldChar w:fldCharType="begin"/>
      </w:r>
      <w:r w:rsidR="00C417B3">
        <w:instrText xml:space="preserve"> ADDIN ZOTERO_ITEM CSL_CITATION {"citationID":"QnId7wQz","properties":{"formattedCitation":"(7)","plainCitation":"(7)","noteIndex":0},"citationItems":[{"id":71,"uris":["http://zotero.org/users/5477069/items/B88IH3EV"],"uri":["http://zotero.org/users/5477069/items/B88IH3EV"],"itemData":{"id":71,"type":"article-journal","title":"Uptake of ciprofloxacin by macrophages.","container-title":"Journal of Clinical Pathology","page":"442-444","volume":"38","issue":"4","source":"PubMed Central","abstract":"Ciprofloxacin was concentrated within mouse peritoneal macrophages to between two and three times extracellular values. Uptake was rapid, occurred equally well with dead cells, and was not affected by lowering the pH or by prior ingestion of Staphylococcus aureus. Intracellular staphylococci were killed by extracellular concentrations of ciprofloxacin as low as 0.5 mg/l.","ISSN":"0021-9746","note":"PMID: 3157704\nPMCID: PMC499174","journalAbbreviation":"J Clin Pathol","author":[{"family":"Easmon","given":"C S"},{"family":"Crane","given":"J P"}],"issued":{"date-parts":[["1985",4]]}}}],"schema":"https://github.com/citation-style-language/schema/raw/master/csl-citation.json"} </w:instrText>
      </w:r>
      <w:r w:rsidR="00C417B3">
        <w:fldChar w:fldCharType="separate"/>
      </w:r>
      <w:r w:rsidR="00C417B3">
        <w:rPr>
          <w:noProof/>
        </w:rPr>
        <w:t>(7)</w:t>
      </w:r>
      <w:r w:rsidR="00C417B3">
        <w:fldChar w:fldCharType="end"/>
      </w:r>
      <w:r w:rsidRPr="005A6A38">
        <w:t xml:space="preserve"> and neutrophils </w:t>
      </w:r>
      <w:r w:rsidR="00C417B3">
        <w:fldChar w:fldCharType="begin"/>
      </w:r>
      <w:r w:rsidR="00C417B3">
        <w:instrText xml:space="preserve"> ADDIN ZOTERO_ITEM CSL_CITATION {"citationID":"z6TzmVp6","properties":{"formattedCitation":"(8)","plainCitation":"(8)","noteIndex":0},"citationItems":[{"id":74,"uris":["http://zotero.org/users/5477069/items/Z8VNAIXE"],"uri":["http://zotero.org/users/5477069/items/Z8VNAIXE"],"itemData":{"id":74,"type":"article-journal","title":"Uptake of ciprofloxacin by human neutrophils","container-title":"Journal of Antimicrobial Chemotherapy","page":"67-73","volume":"16","issue":"1","source":"academic.oup.com","abstract":"Abstract.  Ciprofloxacin was concentrated within human neutrophils to between four and seven times the extracellular concentration. Uptake was rapid and depende","DOI":"10.1093/jac/16.1.67","ISSN":"0305-7453","journalAbbreviation":"J Antimicrob Chemother","language":"en","author":[{"family":"Easmon","given":"C. S. F."},{"family":"Crane","given":"J. P."}],"issued":{"date-parts":[["1985",7,1]]}}}],"schema":"https://github.com/citation-style-language/schema/raw/master/csl-citation.json"} </w:instrText>
      </w:r>
      <w:r w:rsidR="00C417B3">
        <w:fldChar w:fldCharType="separate"/>
      </w:r>
      <w:r w:rsidR="00C417B3">
        <w:rPr>
          <w:noProof/>
        </w:rPr>
        <w:t>(8)</w:t>
      </w:r>
      <w:r w:rsidR="00C417B3">
        <w:fldChar w:fldCharType="end"/>
      </w:r>
      <w:r w:rsidRPr="005A6A38">
        <w:t xml:space="preserve"> </w:t>
      </w:r>
      <w:r w:rsidR="005A0F35">
        <w:t xml:space="preserve">are responsible for the high </w:t>
      </w:r>
      <w:r w:rsidRPr="005A6A38">
        <w:t xml:space="preserve">systemic biodistribution </w:t>
      </w:r>
      <w:r w:rsidR="005A0F35">
        <w:t xml:space="preserve">of the drug </w:t>
      </w:r>
      <w:r w:rsidRPr="005A6A38">
        <w:t xml:space="preserve">in </w:t>
      </w:r>
      <w:r w:rsidR="005A0F35">
        <w:t xml:space="preserve">the main organs including </w:t>
      </w:r>
      <w:r w:rsidRPr="005A6A38">
        <w:t xml:space="preserve"> lung, liver, spleen and lymph nodes. However, these excellent pharmacokinetic characteristics are detained by its short half-life (3-5 h) and high protein binding </w:t>
      </w:r>
      <w:r w:rsidR="00C417B3">
        <w:fldChar w:fldCharType="begin"/>
      </w:r>
      <w:r w:rsidR="00C417B3">
        <w:instrText xml:space="preserve"> ADDIN ZOTERO_ITEM CSL_CITATION {"citationID":"qo5Cu1vq","properties":{"formattedCitation":"(6)","plainCitation":"(6)","noteIndex":0},"citationItems":[{"id":68,"uris":["http://zotero.org/users/5477069/items/BRPXK5FY"],"uri":["http://zotero.org/users/5477069/items/BRPXK5FY"],"itemData":{"id":68,"type":"article-journal","title":"Pharmacokinetics of ciprofloxacin after oral and parenteral administration.","container-title":"Antimicrobial Agents and Chemotherapy","page":"375-379","volume":"27","issue":"3","source":"PubMed Central","abstract":"In 12 fasting volunteers, the pharmacokinetics of ciprofloxacin (Bay o 9867; 1-cyclopropyl-6-fluor-1,4-dihydro-4-oxo-7-(1-piperazinyl)-3-quinoline carbonic acid) were determined after the administration of 50, 100, and 750 mg orally as well as 50 and 100 mg intravenously over 15 min. Serum and urine concentrations were detected with a bioassay. In addition, urine concentrations after a 50-mg dosing were measured by high-pressure liquid chromatography. The serum course of ciprofloxacin could best be described by an open three-compartment model. High volumes of distribution (exceeding 200 liters/100 kg) suggested effective diffusions in the extravascular space. The terminal half-life of ciprofloxacin ranged between 3 and 4 h. High total and renal clearances suggested additional elimination pathways, such as tubular secretion, metabolism, or biliary excretion. After oral administration, absorption was sufficient, and the absolute bioavailability varied between 0.77 and 0.63. Maximal serum concentrations were attained 0.5 to 1 h after dosing; the higher dosage tended towards a delay in absorption. The proportion of the relative amount of metabolites to the total amount of drug excreted in urine increased from 29.7% after intravenous administration to 42.7% after oral dosing, indicating a first-pass effect of the liver. Ciprofloxacin concentrations with a bioassay were 3 to 27% higher than with high-pressure liquid chromatography, which may indicate the presence of biologically active metabolites. No side effects were recorded.","ISSN":"0066-4804","note":"PMID: 3158275\nPMCID: PMC176280","journalAbbreviation":"Antimicrob Agents Chemother","author":[{"family":"Höffken","given":"G"},{"family":"Lode","given":"H"},{"family":"Prinzing","given":"C"},{"family":"Borner","given":"K"},{"family":"Koeppe","given":"P"}],"issued":{"date-parts":[["1985",3]]}}}],"schema":"https://github.com/citation-style-language/schema/raw/master/csl-citation.json"} </w:instrText>
      </w:r>
      <w:r w:rsidR="00C417B3">
        <w:fldChar w:fldCharType="separate"/>
      </w:r>
      <w:r w:rsidR="00C417B3">
        <w:rPr>
          <w:noProof/>
        </w:rPr>
        <w:t>(6)</w:t>
      </w:r>
      <w:r w:rsidR="00C417B3">
        <w:fldChar w:fldCharType="end"/>
      </w:r>
      <w:r w:rsidR="005A0F35">
        <w:t xml:space="preserve">, </w:t>
      </w:r>
      <w:r w:rsidR="005A0F35" w:rsidRPr="005A6A38">
        <w:t>limit</w:t>
      </w:r>
      <w:r w:rsidR="005A0F35">
        <w:t>ing the drug</w:t>
      </w:r>
      <w:r w:rsidR="004D0502">
        <w:t>’s ability to</w:t>
      </w:r>
      <w:r w:rsidRPr="005A6A38">
        <w:t xml:space="preserve"> </w:t>
      </w:r>
      <w:r w:rsidR="004D0502" w:rsidRPr="005A6A38">
        <w:t>penetrat</w:t>
      </w:r>
      <w:r w:rsidR="004D0502">
        <w:t>e</w:t>
      </w:r>
      <w:r w:rsidR="004D0502" w:rsidRPr="005A6A38">
        <w:t xml:space="preserve"> </w:t>
      </w:r>
      <w:r w:rsidRPr="005A6A38">
        <w:t xml:space="preserve">into the infected tissues and </w:t>
      </w:r>
      <w:r w:rsidR="005A0F35">
        <w:t>prohibiting</w:t>
      </w:r>
      <w:r w:rsidR="0093587B">
        <w:t xml:space="preserve"> </w:t>
      </w:r>
      <w:r w:rsidR="004D0502">
        <w:t>the sustainability</w:t>
      </w:r>
      <w:r w:rsidR="004D0502" w:rsidRPr="005A6A38">
        <w:t xml:space="preserve"> </w:t>
      </w:r>
      <w:r w:rsidR="004D0502">
        <w:t xml:space="preserve">of its </w:t>
      </w:r>
      <w:r w:rsidRPr="005A6A38">
        <w:t>bactericidal effect</w:t>
      </w:r>
      <w:r w:rsidR="005A0F35">
        <w:t>s</w:t>
      </w:r>
      <w:r w:rsidRPr="005A6A38">
        <w:t xml:space="preserve">. </w:t>
      </w:r>
      <w:r w:rsidR="005A0F35">
        <w:t>Furthermore</w:t>
      </w:r>
      <w:r w:rsidRPr="005A6A38">
        <w:t xml:space="preserve">, </w:t>
      </w:r>
      <w:r w:rsidR="005A0F35">
        <w:t xml:space="preserve">the poor </w:t>
      </w:r>
      <w:r w:rsidR="005A0F35" w:rsidRPr="005A6A38">
        <w:t xml:space="preserve">aqueous solubility </w:t>
      </w:r>
      <w:r w:rsidR="005A0F35">
        <w:t xml:space="preserve">of </w:t>
      </w:r>
      <w:r w:rsidRPr="005A6A38">
        <w:t xml:space="preserve">CP </w:t>
      </w:r>
      <w:r w:rsidR="00DF1984">
        <w:t>is</w:t>
      </w:r>
      <w:r w:rsidRPr="005A6A38">
        <w:t xml:space="preserve"> </w:t>
      </w:r>
      <w:r w:rsidR="00A12B90">
        <w:t xml:space="preserve">a </w:t>
      </w:r>
      <w:r w:rsidRPr="005A6A38">
        <w:t xml:space="preserve">major challenge </w:t>
      </w:r>
      <w:r w:rsidR="00C417B3">
        <w:fldChar w:fldCharType="begin"/>
      </w:r>
      <w:r w:rsidR="00C417B3">
        <w:instrText xml:space="preserve"> ADDIN ZOTERO_ITEM CSL_CITATION {"citationID":"ofN74mlJ","properties":{"formattedCitation":"(9)","plainCitation":"(9)","noteIndex":0},"citationItems":[{"id":79,"uris":["http://zotero.org/users/5477069/items/UXD4JMT5"],"uri":["http://zotero.org/users/5477069/items/UXD4JMT5"],"itemData":{"id":79,"type":"article-journal","title":"Solubility and bioavailability enhancement of ciprofloxacin by induced oval-shaped mono-6-deoxy-6-aminoethylamino-β-cyclodextrin","container-title":"Carbohydrate Polymers","page":"118-128","volume":"163","source":"ScienceDirect","abstract":"Ciprofloxacin is a broad-spectrum fluoroquinolone antibiotic used to treat bacterial infections; however, its limited aqueous solubility inhibits its broader clinical uses. This study investigated the complexation effect of mono-6-deoxy-6-aminoethylamino-β-cyclodextrin on the aqueous solubility and bioavailability of ciprofloxacin. During complexation, the oval-shaped cavity induced by mono-aminoethylamine substitution on the primary rim of β-cyclodextrin, was considered to be a key factor according to NMR spectroscopy and molecular modeling studies. The ciprofloxacin with mono-6-deoxy-6-aminoethylamino-β-cyclodextrin complex was characterized using FE-SEM, DSC, FT-IR, T1 relaxation, 2D NOESY, and DOSY NMR spectroscopy and molecular modeling studies. The solubility property of ciprofloxacin complexed with mono-6-deoxy-6-aminoethylamino-β-cyclodextrin was enhanced by seven-fold compared to that of pure ciprofloxacin. Furthermore antibacterial activity of that complex against methicillin-resistant Staphylococcus aureus was enhanced and it clearly showed the growth inhibition. The mono-6-deoxy-6-aminoethylamino-β-cyclodextrin has the potential to be utilized for other oblong guest molecules besides ciprofloxacin based on the novel induced elliptical cavity.","DOI":"10.1016/j.carbpol.2017.01.073","ISSN":"0144-8617","journalAbbreviation":"Carbohydrate Polymers","author":[{"family":"Choi","given":"Jae Min"},{"family":"Park","given":"Kyeonghui"},{"family":"Lee","given":"Benel"},{"family":"Jeong","given":"Daham"},{"family":"Dindulkar","given":"Someshwar D"},{"family":"Choi","given":"Youngjin"},{"family":"Cho","given":"Eunae"},{"family":"Park","given":"Seyeon"},{"family":"Yu","given":"Jae-hyuk"},{"family":"Jung","given":"Seunho"}],"issued":{"date-parts":[["2017",5,1]]}}}],"schema":"https://github.com/citation-style-language/schema/raw/master/csl-citation.json"} </w:instrText>
      </w:r>
      <w:r w:rsidR="00C417B3">
        <w:fldChar w:fldCharType="separate"/>
      </w:r>
      <w:r w:rsidR="00C417B3">
        <w:rPr>
          <w:noProof/>
        </w:rPr>
        <w:t>(9)</w:t>
      </w:r>
      <w:r w:rsidR="00C417B3">
        <w:fldChar w:fldCharType="end"/>
      </w:r>
      <w:r w:rsidR="004D0502">
        <w:t>.</w:t>
      </w:r>
      <w:r w:rsidR="00DF1984">
        <w:t xml:space="preserve"> The drug is</w:t>
      </w:r>
      <w:r w:rsidRPr="005A6A38">
        <w:t xml:space="preserve"> </w:t>
      </w:r>
      <w:r w:rsidR="00DF1984">
        <w:t>classified</w:t>
      </w:r>
      <w:r w:rsidRPr="005A6A38">
        <w:t xml:space="preserve"> as practically insoluble in water</w:t>
      </w:r>
      <w:r w:rsidR="00DF1984">
        <w:t>, since</w:t>
      </w:r>
      <w:r w:rsidR="00DF1984" w:rsidRPr="005A6A38">
        <w:t xml:space="preserve"> </w:t>
      </w:r>
      <w:r w:rsidR="00DF1984">
        <w:t>its</w:t>
      </w:r>
      <w:r w:rsidRPr="005A6A38">
        <w:t xml:space="preserve"> intrinsic aqueous solubility is </w:t>
      </w:r>
      <w:r w:rsidR="00DF1984">
        <w:t>as low as</w:t>
      </w:r>
      <w:r w:rsidR="00DF1984" w:rsidRPr="005A6A38">
        <w:t xml:space="preserve"> </w:t>
      </w:r>
      <w:r w:rsidRPr="005A6A38">
        <w:t xml:space="preserve">67 μg/mL </w:t>
      </w:r>
      <w:r w:rsidR="00C417B3">
        <w:fldChar w:fldCharType="begin"/>
      </w:r>
      <w:r w:rsidR="00C417B3">
        <w:instrText xml:space="preserve"> ADDIN ZOTERO_ITEM CSL_CITATION {"citationID":"ZMuAsORl","properties":{"formattedCitation":"(10)","plainCitation":"(10)","noteIndex":0},"citationItems":[{"id":82,"uris":["http://zotero.org/users/5477069/items/3MAZLJ26"],"uri":["http://zotero.org/users/5477069/items/3MAZLJ26"],"itemData":{"id":82,"type":"article-journal","title":"Solubility of antibiotics in different solvents. Part II. non-hydrochloride forms of tetracycline and ciprofloxacin","container-title":"Industrial and Engineering Chemistry Research","page":"8083-8089","volume":"47","issue":"21","source":"Scopus","archive":"Scopus","abstract":"The aim of this work is to establish a comparison between the solubility of the hydrochloride and non-hydrochloride forms of ciprofloxacin and tetracycline in relevant solvents. For that purpose the solubilities of the non-hydrochloride forms of ciprofloxacin and tetracycline were measured in water, ethanol, 2-propanol, and acetone, in the temperature range between 293.15 and 323.15 K for ciprofloxacin and between 288.15 and 303.15 K for tetracycline. The obtained results were compared with those of part I of this study, published previously, where the solubilities of the respective hydrochloride forms of the antibiotics in the same solvents were investigated. The solubility of the hydrochloride forms in water is about 2 orders of magnitude higher than those of the respective base forms. In acetone, we see the opposite effect. For ethanol and 2-propanol the influence of the hydrochloride group of the antibiotic on the solubility in the alcohol is much smaller than for water and acetone. The experimental data was correlated with good results using two different activity coefficient models, NRTL and UNIQUAC, with UNIQUAC giving better results, particularly for ciprofloxacin. The performance of COSMO-RS model to describe the studied systems was also evaluated. © 2008 American Chemical Society.","DOI":"10.1021/ie8003495","author":[{"family":"Caço","given":"A.I."},{"family":"Varanda","given":"F."},{"family":"De Melo","given":"M.J.P."},{"family":"Dias","given":"A.M.A."},{"family":"Dohrn","given":"R."},{"family":"Marrucho","given":"I.M."}],"issued":{"date-parts":[["2008"]]}}}],"schema":"https://github.com/citation-style-language/schema/raw/master/csl-citation.json"} </w:instrText>
      </w:r>
      <w:r w:rsidR="00C417B3">
        <w:fldChar w:fldCharType="separate"/>
      </w:r>
      <w:r w:rsidR="00C417B3">
        <w:rPr>
          <w:noProof/>
        </w:rPr>
        <w:t>(10)</w:t>
      </w:r>
      <w:r w:rsidR="00C417B3">
        <w:fldChar w:fldCharType="end"/>
      </w:r>
      <w:r w:rsidRPr="005A6A38">
        <w:t xml:space="preserve">. </w:t>
      </w:r>
      <w:r w:rsidR="004D0502">
        <w:t xml:space="preserve">Thus, designing a delivery system that can incorporate CP, enhance its aqueous solubility and penetratability into prokaryotic cells would be a desirable achievement. </w:t>
      </w:r>
    </w:p>
    <w:p w14:paraId="5D1A5EF2" w14:textId="78337A72" w:rsidR="005A6A38" w:rsidRPr="005A6A38" w:rsidRDefault="00DE6A2F" w:rsidP="009F5D1A">
      <w:pPr>
        <w:pStyle w:val="Newparagraph"/>
        <w:jc w:val="both"/>
      </w:pPr>
      <w:r>
        <w:t>Amongst</w:t>
      </w:r>
      <w:r w:rsidR="004D0502">
        <w:t xml:space="preserve"> many nanotechnology-based delivery system</w:t>
      </w:r>
      <w:r>
        <w:t>s</w:t>
      </w:r>
      <w:r w:rsidR="004D0502">
        <w:t>, n</w:t>
      </w:r>
      <w:r w:rsidR="005A6A38" w:rsidRPr="005A6A38">
        <w:t>anoemulsions, consisting of oil, water</w:t>
      </w:r>
      <w:r w:rsidR="00A12B90">
        <w:t>,</w:t>
      </w:r>
      <w:r w:rsidR="005A6A38" w:rsidRPr="005A6A38">
        <w:t xml:space="preserve"> and an emulsifier, are colloidal </w:t>
      </w:r>
      <w:r w:rsidR="004D0502">
        <w:t>formulations</w:t>
      </w:r>
      <w:r w:rsidR="005A6A38" w:rsidRPr="005A6A38">
        <w:t xml:space="preserve"> </w:t>
      </w:r>
      <w:r w:rsidR="004D0502">
        <w:t>made of nano-sized oil</w:t>
      </w:r>
      <w:r w:rsidR="005A6A38" w:rsidRPr="005A6A38">
        <w:t xml:space="preserve"> droplets </w:t>
      </w:r>
      <w:r w:rsidR="00AE607D">
        <w:t>homogeneously</w:t>
      </w:r>
      <w:r w:rsidR="004D0502">
        <w:t xml:space="preserve"> dispersed</w:t>
      </w:r>
      <w:r w:rsidR="005A6A38" w:rsidRPr="005A6A38">
        <w:t xml:space="preserve"> in </w:t>
      </w:r>
      <w:r w:rsidR="004D0502">
        <w:t>an aqueous phase</w:t>
      </w:r>
      <w:r w:rsidR="005A6A38" w:rsidRPr="005A6A38">
        <w:t xml:space="preserve">. The presence of an emulsifier is essential </w:t>
      </w:r>
      <w:r w:rsidR="004D0502">
        <w:t>for the stability of</w:t>
      </w:r>
      <w:r w:rsidR="005A6A38" w:rsidRPr="005A6A38">
        <w:t xml:space="preserve"> nanoemulsion by </w:t>
      </w:r>
      <w:r w:rsidR="004D0502">
        <w:t>reducing</w:t>
      </w:r>
      <w:r w:rsidR="004D0502" w:rsidRPr="005A6A38">
        <w:t xml:space="preserve"> </w:t>
      </w:r>
      <w:r w:rsidR="005A6A38" w:rsidRPr="005A6A38">
        <w:t>the interfacial tension between oil and water</w:t>
      </w:r>
      <w:r w:rsidR="004D0502">
        <w:t xml:space="preserve">, hence preventing </w:t>
      </w:r>
      <w:r w:rsidR="009F5D1A">
        <w:t>droplet-droplet interaction and subsequent oil phase separation</w:t>
      </w:r>
      <w:r w:rsidR="005A6A38" w:rsidRPr="005A6A38">
        <w:t xml:space="preserve"> </w:t>
      </w:r>
      <w:r w:rsidR="00C417B3">
        <w:fldChar w:fldCharType="begin"/>
      </w:r>
      <w:r w:rsidR="00C417B3">
        <w:instrText xml:space="preserve"> ADDIN ZOTERO_ITEM CSL_CITATION {"citationID":"DsT5clXM","properties":{"formattedCitation":"(11)","plainCitation":"(11)","noteIndex":0},"citationItems":[{"id":85,"uris":["http://zotero.org/users/5477069/items/9DSZ4YJN"],"uri":["http://zotero.org/users/5477069/items/9DSZ4YJN"],"itemData":{"id":85,"type":"article-journal","title":"Nanoemulsions: formation, properties and applications","container-title":"Soft Matter","page":"2826-2841","volume":"12","issue":"11","source":"PubMed","abstract":"Nanoemulsions are kinetically stable liquid-in-liquid dispersions with droplet sizes on the order of 100 nm. Their small size leads to useful properties such as high surface area per unit volume, robust stability, optically transparent appearance, and tunable rheology. Nanoemulsions are finding application in diverse areas such as drug delivery, food, cosmetics, pharmaceuticals, and material synthesis. Additionally, they serve as model systems to understand nanoscale colloidal dispersions. High and low energy methods are used to prepare nanoemulsions, including high pressure homogenization, ultrasonication, phase inversion temperature and emulsion inversion point, as well as recently developed approaches such as bubble bursting method. In this review article, we summarize the major methods to prepare nanoemulsions, theories to predict droplet size, physical conditions and chemical additives which affect droplet stability, and recent applications.","DOI":"10.1039/c5sm02958a","ISSN":"1744-6848","note":"PMID: 26924445","title-short":"Nanoemulsions","journalAbbreviation":"Soft Matter","language":"eng","author":[{"family":"Gupta","given":"Ankur"},{"family":"Eral","given":"H. Burak"},{"family":"Hatton","given":"T. Alan"},{"family":"Doyle","given":"Patrick S."}],"issued":{"date-parts":[["2016",3,21]]}}}],"schema":"https://github.com/citation-style-language/schema/raw/master/csl-citation.json"} </w:instrText>
      </w:r>
      <w:r w:rsidR="00C417B3">
        <w:fldChar w:fldCharType="separate"/>
      </w:r>
      <w:r w:rsidR="00C417B3">
        <w:rPr>
          <w:noProof/>
        </w:rPr>
        <w:t>(11)</w:t>
      </w:r>
      <w:r w:rsidR="00C417B3">
        <w:fldChar w:fldCharType="end"/>
      </w:r>
      <w:r w:rsidR="005A6A38" w:rsidRPr="005A6A38">
        <w:t xml:space="preserve">. Nanoemulsions have been used to enhance the absorption of </w:t>
      </w:r>
      <w:r w:rsidR="009F5D1A">
        <w:t xml:space="preserve">many </w:t>
      </w:r>
      <w:r w:rsidR="005A6A38" w:rsidRPr="005A6A38">
        <w:t xml:space="preserve">hydrophobic drugs and improve their bioavailability </w:t>
      </w:r>
      <w:r w:rsidR="00C417B3">
        <w:fldChar w:fldCharType="begin"/>
      </w:r>
      <w:r w:rsidR="00C417B3">
        <w:instrText xml:space="preserve"> ADDIN ZOTERO_ITEM CSL_CITATION {"citationID":"S3rVkjsV","properties":{"formattedCitation":"(12)","plainCitation":"(12)","noteIndex":0},"citationItems":[{"id":88,"uris":["http://zotero.org/users/5477069/items/G8CV3LL8"],"uri":["http://zotero.org/users/5477069/items/G8CV3LL8"],"itemData":{"id":88,"type":"article-journal","title":"Preparation and evaluation of biphenyl dimethyl dicarboxylate microemulsions for oral delivery","container-title":"Journal of Controlled Release: Official Journal of the Controlled Release Society","page":"149-155","volume":"70","issue":"1-2","source":"PubMed","abstract":"To improve the solubility and bioavailability of poorly water-soluble biphenyl dimethyl dicarboxylate (BDD), a drug used in treating liver diseases, a premicroemulsion concentrate composed of oil, surfactant, and cosurfactant for oral administration of BDD was prepared, and its physicochemical properties and the pharmacokinetic parameters of BDD were evaluated. Among the non-ionic surfactants and oils studied, Tween 80, which led to the highest solubility of BDD (109.7 microg/ml), and Neobee M-5((R)) were chosen for preparing a premicroemulsion concentrate. At the 2:1 ratio of Tween 80 to Neobee M-5((R)), the solubility of BDD increased 7-fold compared with that at the ratio of 1:4. The solubility of BDD was further improved by the addition of triacetin used as a cosurfactant. Droplet size of BDD microemulsion comprising Tween 80 and Neobee M-5((R)) at the ratio of 2:1, and 35% of triacetin, was kept constant both in distilled water and artificial gastric fluid without pepsin (pH 1.2) throughout 120-min incubation period. BDD in premicroemulsion concentrate rapidly dissolved whereas the mixture of BDD and calcium-carboxymethylcellulose (Ca-CMC) (2:1) and BDD powder hardly dissolved during 120-min incubation. About 50% of BDD in premicroemulsion concentrate dissolved within 10 min. AUC(0--&gt;24 h) and the mean maximum plasma level (C(max)) of BDD after oral administration of premicroemulsion concentrate in rats were 5- and 9.8-fold higher, respectively, than those of BDD with Ca-CMC. These results demonstrate that premicroemulsion concentrate of BDD composed of Tween 80 and Neobee M-5((R)) at the ratio of 2:1, and 35% of triacetin, greatly enhances the bioavailability of BDD after the dose, possibly due to the increase in solubility and immediate dispersion of drug in the gastrointestinal tract. Thus, this system may provide a useful dosage form for oral intake of a water-insoluble drug, BDD.","ISSN":"0168-3659","note":"PMID: 11166415","journalAbbreviation":"J Control Release","language":"eng","author":[{"family":"Kim","given":"C. K."},{"family":"Cho","given":"Y. J."},{"family":"Gao","given":"Z. G."}],"issued":{"date-parts":[["2001",1,29]]}}}],"schema":"https://github.com/citation-style-language/schema/raw/master/csl-citation.json"} </w:instrText>
      </w:r>
      <w:r w:rsidR="00C417B3">
        <w:fldChar w:fldCharType="separate"/>
      </w:r>
      <w:r w:rsidR="00C417B3">
        <w:rPr>
          <w:noProof/>
        </w:rPr>
        <w:t>(12)</w:t>
      </w:r>
      <w:r w:rsidR="00C417B3">
        <w:fldChar w:fldCharType="end"/>
      </w:r>
      <w:r w:rsidR="005A6A38" w:rsidRPr="005A6A38">
        <w:t xml:space="preserve">. </w:t>
      </w:r>
      <w:r w:rsidR="009F5D1A">
        <w:t>For example,</w:t>
      </w:r>
      <w:r w:rsidR="00FE153B">
        <w:t xml:space="preserve"> </w:t>
      </w:r>
      <w:r w:rsidR="005A6A38" w:rsidRPr="005A6A38">
        <w:t>paclitaxel</w:t>
      </w:r>
      <w:r w:rsidR="00FE153B">
        <w:t xml:space="preserve"> can be</w:t>
      </w:r>
      <w:r w:rsidR="005A6A38" w:rsidRPr="005A6A38">
        <w:t xml:space="preserve"> dissolved in the lipid phase </w:t>
      </w:r>
      <w:r w:rsidR="00FE153B">
        <w:t>of nanoemulsion, promoting their potential</w:t>
      </w:r>
      <w:r w:rsidR="005A6A38" w:rsidRPr="005A6A38">
        <w:t xml:space="preserve"> for intravenous administration </w:t>
      </w:r>
      <w:r w:rsidR="00C417B3">
        <w:fldChar w:fldCharType="begin"/>
      </w:r>
      <w:r w:rsidR="00C417B3">
        <w:instrText xml:space="preserve"> ADDIN ZOTERO_ITEM CSL_CITATION {"citationID":"hc0gMseo","properties":{"formattedCitation":"(13,14)","plainCitation":"(13,14)","noteIndex":0},"citationItems":[{"id":92,"uris":["http://zotero.org/users/5477069/items/TJU7SQ8L"],"uri":["http://zotero.org/users/5477069/items/TJU7SQ8L"],"itemData":{"id":92,"type":"article-journal","title":"Improvement of cellular uptake, in vitro antitumor activity and sustained release profile with increased bioavailability from a nanoemulsion platform","container-title":"International Journal of Pharmaceutics","page":"131-143","volume":"460","issue":"1-2","source":"PubMed","abstract":"Paclitaxel, a potential anticancer agent against solid tumors has been restricted from its oral use due to poor water solubility as well as Pgp efflux property. The present study was aimed to improve the oral bioavailability of paclitaxel through development of (o/w) nanoemulsion consisting of Capryol 90 as internal phase with Tween 20 as emulsifier with water as an external phase. Formulations were selected from the nanoemulsion region of pseudo-ternary phase diagrams, formulated by aqueous titration method. The developed nanoemulsion has been characterized by its thermodynamic stability, morphology, droplet size, zeta potential, viscosity where in vitro release was evaluated through dialysis. Paclitaxel nanoemulsion exhibited thermodynamical stability with low viscosity, nano-sized oil droplets in water with low poly-dispersity index. The shelf life of the paclitaxel nanoemulsion was found to be approximately 2.38 years. Increased permeability through the Caco-2 cell monolayer and decreased efflux is great advantageous for nanoemulsion formulation. The effects of paclitaxel nanoemulsion on breast cancer cell proliferation, morphology and DNA fragmentation were analyzed in vitro which showed significant anti-proliferation and decreased IC50 values in nanoemulsion group which may be due to enhanced uptake of paclitaxel through the oil core. Moreover, the absolute oral bioavailability and sustained release profile of the paclitaxel nanoemulsion evaluated in mouse model was found to improve up to 55.9%. The concentration of paclitaxel in mice plasma was determined by our validated LC-MS/MS method. By reviewing the significant outcome of the present investigation based on stability study, Caco-2 permeability, cell proliferative assay and pharmacokinetic profile it may be concluded that the oral nanoemulsion has got encouraging advantages over the presently available formulations of this injectable chemotherapeutic drug.","DOI":"10.1016/j.ijpharm.2013.10.055","ISSN":"1873-3476","note":"PMID: 24239580","journalAbbreviation":"Int J Pharm","language":"eng","author":[{"family":"Choudhury","given":"Hira"},{"family":"Gorain","given":"Bapi"},{"family":"Karmakar","given":"Sanmoy"},{"family":"Biswas","given":"Easha"},{"family":"Dey","given":"Goutam"},{"family":"Barik","given":"Rajib"},{"family":"Mandal","given":"Mahitosh"},{"family":"Pal","given":"Tapan Kumar"}],"issued":{"date-parts":[["2014",1,2]]}}},{"id":94,"uris":["http://zotero.org/users/5477069/items/GV39TNDY"],"uri":["http://zotero.org/users/5477069/items/GV39TNDY"],"itemData":{"id":94,"type":"article-journal","title":"Immunotherapeutic vitamin E nanoemulsion synergies the antiproliferative activity of paclitaxel in breast cancer cells via modulating Th1 and Th2 immune response","container-title":"Journal of Controlled Release: Official Journal of the Controlled Release Society","page":"295-306","volume":"196","source":"PubMed","abstract":"Paclitaxel (PTX) is used as first line treatment for metastatic breast cancer but the relief comes at a heavy cost in terms of accompanying adverse effects. The pharmaceutical credentials of PTX are further dampened by the intrinsically low aqueous solubility. In order to sideline such insidious tendencies, PTX was incorporated in a vitamin E nanoemulsion using high pressure homogenization. The encapsulation efficiency of PTX in nanoemulsion was 97.81±2.7% and a sustained drug release profile was obtained. PTX loaded nanoemulsion exhibited higher cytotoxicity in breast cancer cell line (MCF-7) when compared to free PTX and marketed formulation (Taxol). Cell cycle arrest study depicted that MCF-7 cells treated with PTX loaded nanoemulsion showed high arrest in G2-M phase. Moreover blank nanoemulsion induced additional apoptosis in breast cancer cells through G1-S arrest by disrupting mitochondrial membrane potential. Cytokine estimation study in macrophages showed that both PTX loaded nanoemulsion and blank nanoemulsion enhanced secretion of IL-12 and downregulated secretion of IL-4 and IL-10. Results suggest that inclusion of vitamin E in nanoemulsion opened multiple complementary molecular effects which not only magnified the principle antiproliferative activity of PTX but also independently showcased potential in restoring the proactive nature of the breast cancer slackened chronic immune response. In-vivo anticancer activity showed significantly improved efficacy of PTX loaded nanoemlsion compare to Taxol and free PTX. The list of plausible advantages of PTX nanoemulsification was further substantiated by acceptable haemolytic potential, reduced in-vivo toxicity and conveniently modified pharmacokinetic profile in which the AUC and MRT were extended considerably. Overall, there were strong evidences that developed formulation can serve as a viable alternative to currently available PTX options.","DOI":"10.1016/j.jconrel.2014.10.010","ISSN":"1873-4995","note":"PMID: 25459427","journalAbbreviation":"J Control Release","language":"eng","author":[{"family":"Pawar","given":"Vivek K."},{"family":"Panchal","given":"Samir B."},{"family":"Singh","given":"Yuvraj"},{"family":"Meher","given":"Jaya Gopal"},{"family":"Sharma","given":"Komal"},{"family":"Singh","given":"Pankaj"},{"family":"Bora","given":"Himangshu K."},{"family":"Singh","given":"Akhilesh"},{"family":"Datta","given":"Dipak"},{"family":"Chourasia","given":"Manish K."}],"issued":{"date-parts":[["2014",12,28]]}}}],"schema":"https://github.com/citation-style-language/schema/raw/master/csl-citation.json"} </w:instrText>
      </w:r>
      <w:r w:rsidR="00C417B3">
        <w:fldChar w:fldCharType="separate"/>
      </w:r>
      <w:r w:rsidR="00C417B3">
        <w:rPr>
          <w:noProof/>
        </w:rPr>
        <w:t>(13,14)</w:t>
      </w:r>
      <w:r w:rsidR="00C417B3">
        <w:fldChar w:fldCharType="end"/>
      </w:r>
      <w:r w:rsidR="005A6A38" w:rsidRPr="005A6A38">
        <w:t>. Similarly, licensed lipid nanoemulsions have been used as vehicle</w:t>
      </w:r>
      <w:r w:rsidR="009F5D1A">
        <w:t>s</w:t>
      </w:r>
      <w:r w:rsidR="005A6A38" w:rsidRPr="005A6A38">
        <w:t xml:space="preserve"> for </w:t>
      </w:r>
      <w:r w:rsidR="009F5D1A" w:rsidRPr="005A6A38">
        <w:t>enhanc</w:t>
      </w:r>
      <w:r w:rsidR="009F5D1A">
        <w:t>ing the</w:t>
      </w:r>
      <w:r w:rsidR="009F5D1A" w:rsidRPr="005A6A38">
        <w:t xml:space="preserve"> </w:t>
      </w:r>
      <w:r w:rsidR="005A6A38" w:rsidRPr="005A6A38">
        <w:t xml:space="preserve">bioavailability </w:t>
      </w:r>
      <w:r w:rsidR="00C417B3">
        <w:fldChar w:fldCharType="begin"/>
      </w:r>
      <w:r w:rsidR="00C417B3">
        <w:instrText xml:space="preserve"> ADDIN ZOTERO_ITEM CSL_CITATION {"citationID":"mPjr1Zr8","properties":{"formattedCitation":"(15)","plainCitation":"(15)","noteIndex":0},"citationItems":[{"id":96,"uris":["http://zotero.org/users/5477069/items/BLEAJ2VE"],"uri":["http://zotero.org/users/5477069/items/BLEAJ2VE"],"itemData":{"id":96,"type":"article-journal","title":"Parenteral formulation of hexamethylmelamine potentially suitable for use in man","container-title":"Cancer Treatment Reports","page":"1579-1581","volume":"66","issue":"7","source":"PubMed","abstract":"We have developed a preparation of hexamethylmelamine (HMM), dissolved in a fat emulsion Intralipid 20%, that is potentially satisfactory for parenteral administration to man. Solid HMM can be dissolved in Intralipid 20% up to 5 mg/ml, with extensive agitation. Solubilization of HMM is facilitated first by dissolving the drug in ethanol or in dimethylacetamide and then by adding the solution to Intralipid 20%. The disposition of HMM in rabbits after iv administration of HMM dissolved in Intralipid 20% was similar to the disposition of the drug following iv administration of HMM dissolved in 0.1 N HCl.","ISSN":"0361-5960","note":"PMID: 6807543","journalAbbreviation":"Cancer Treat Rep","language":"eng","author":[{"family":"Ames","given":"M. M."},{"family":"Kovach","given":"J. S."}],"issued":{"date-parts":[["1982",7]]}}}],"schema":"https://github.com/citation-style-language/schema/raw/master/csl-citation.json"} </w:instrText>
      </w:r>
      <w:r w:rsidR="00C417B3">
        <w:fldChar w:fldCharType="separate"/>
      </w:r>
      <w:r w:rsidR="00C417B3">
        <w:rPr>
          <w:noProof/>
        </w:rPr>
        <w:t>(15)</w:t>
      </w:r>
      <w:r w:rsidR="00C417B3">
        <w:fldChar w:fldCharType="end"/>
      </w:r>
      <w:r w:rsidR="005A6A38" w:rsidRPr="005A6A38">
        <w:t xml:space="preserve"> and </w:t>
      </w:r>
      <w:r w:rsidR="009F5D1A" w:rsidRPr="005A6A38">
        <w:t>reduc</w:t>
      </w:r>
      <w:r w:rsidR="009F5D1A">
        <w:t>ing the</w:t>
      </w:r>
      <w:r w:rsidR="009F5D1A" w:rsidRPr="005A6A38">
        <w:t xml:space="preserve"> </w:t>
      </w:r>
      <w:r w:rsidR="005A6A38" w:rsidRPr="005A6A38">
        <w:t xml:space="preserve">neurotoxicity of the anticancer drug </w:t>
      </w:r>
      <w:r w:rsidRPr="005A6A38">
        <w:t>hexamethyl melamine</w:t>
      </w:r>
      <w:r w:rsidR="005A6A38" w:rsidRPr="005A6A38">
        <w:t xml:space="preserve"> </w:t>
      </w:r>
      <w:r w:rsidR="00C417B3">
        <w:fldChar w:fldCharType="begin"/>
      </w:r>
      <w:r w:rsidR="00C417B3">
        <w:instrText xml:space="preserve"> ADDIN ZOTERO_ITEM CSL_CITATION {"citationID":"3pNvDl5P","properties":{"formattedCitation":"(16)","plainCitation":"(16)","noteIndex":0},"citationItems":[{"id":100,"uris":["http://zotero.org/users/5477069/items/CE3RJJFC"],"uri":["http://zotero.org/users/5477069/items/CE3RJJFC"],"itemData":{"id":100,"type":"patent","title":"Hexamethylmelamine formulation exhibiting reduced neurotoxicity","abstract":"A method is provided for reducing the side effects of chemotherapy with hexamethylmelamine (HMM) comprising intravelously administering a stabilized solution of HMM in an aqueous lipid dispersion, so that the central nervous system toxicity associated with oral HMM administration is reduced or eliminated.","URL":"http://www.freepatentsonline.com/5004593.html","call-number":"07/339481","number":"5004593","author":[{"family":"Ames","given":"Matthew M."},{"family":"Kovach","given":"John S."}],"issued":{"date-parts":[["1991",4,2]]},"accessed":{"date-parts":[["2019",1,31]]},"submitted":{"date-parts":[["1989",4,17]]}}}],"schema":"https://github.com/citation-style-language/schema/raw/master/csl-citation.json"} </w:instrText>
      </w:r>
      <w:r w:rsidR="00C417B3">
        <w:fldChar w:fldCharType="separate"/>
      </w:r>
      <w:r w:rsidR="00C417B3">
        <w:rPr>
          <w:noProof/>
        </w:rPr>
        <w:t>(16)</w:t>
      </w:r>
      <w:r w:rsidR="00C417B3">
        <w:fldChar w:fldCharType="end"/>
      </w:r>
      <w:r w:rsidR="005A6A38" w:rsidRPr="005A6A38">
        <w:t xml:space="preserve">. </w:t>
      </w:r>
    </w:p>
    <w:p w14:paraId="57B95EA7" w14:textId="69ED6823" w:rsidR="005A6A38" w:rsidRPr="005A6A38" w:rsidRDefault="005A6A38" w:rsidP="00F42B94">
      <w:pPr>
        <w:pStyle w:val="Newparagraph"/>
        <w:jc w:val="both"/>
      </w:pPr>
      <w:r w:rsidRPr="005A6A38">
        <w:t xml:space="preserve">Recently, we have successfully loaded paclitaxel into </w:t>
      </w:r>
      <w:r w:rsidR="009F5D1A">
        <w:t>clinically established</w:t>
      </w:r>
      <w:r w:rsidR="009F5D1A" w:rsidRPr="005A6A38">
        <w:t xml:space="preserve"> </w:t>
      </w:r>
      <w:r w:rsidRPr="005A6A38">
        <w:t>parenteral nutrition nanoemulsions</w:t>
      </w:r>
      <w:r w:rsidR="00DB2116">
        <w:t xml:space="preserve"> such as</w:t>
      </w:r>
      <w:r w:rsidR="006664B5">
        <w:t xml:space="preserve"> </w:t>
      </w:r>
      <w:r w:rsidRPr="005A6A38">
        <w:t>Clinoleic</w:t>
      </w:r>
      <w:r w:rsidRPr="005A6A38">
        <w:rPr>
          <w:vertAlign w:val="superscript"/>
        </w:rPr>
        <w:t>®</w:t>
      </w:r>
      <w:r w:rsidRPr="005A6A38">
        <w:t xml:space="preserve"> and Intralipid</w:t>
      </w:r>
      <w:r w:rsidRPr="005A6A38">
        <w:rPr>
          <w:vertAlign w:val="superscript"/>
        </w:rPr>
        <w:t>®</w:t>
      </w:r>
      <w:r w:rsidRPr="005A6A38">
        <w:t xml:space="preserve"> </w:t>
      </w:r>
      <w:r w:rsidR="00C417B3">
        <w:fldChar w:fldCharType="begin"/>
      </w:r>
      <w:r w:rsidR="00C417B3">
        <w:instrText xml:space="preserve"> ADDIN ZOTERO_ITEM CSL_CITATION {"citationID":"697FWBke","properties":{"formattedCitation":"(17,18)","plainCitation":"(17,18)","noteIndex":0},"citationItems":[{"id":20,"uris":["http://zotero.org/users/5477069/items/6UINGYJQ"],"uri":["http://zotero.org/users/5477069/items/6UINGYJQ"],"itemData":{"id":20,"type":"article-journal","title":"Stability of parenteral nanoemulsions loaded with paclitaxel: the influence of lipid phase composition, drug concentration and storage temperature","container-title":"Pharmaceutical development and technology","page":"999–1004","volume":"19","issue":"8","source":"Google Scholar","title-short":"Stability of parenteral nanoemulsions loaded with paclitaxel","author":[{"family":"Kadam","given":"Alisha N."},{"family":"Najlah","given":"Mohammad"},{"family":"Wan","given":"Ka-Wai"},{"family":"Ahmed","given":"Waqar"},{"family":"Crean","given":"St John"},{"family":"Phoenix","given":"David A."},{"family":"Taylor","given":"Kevin MG"},{"family":"Elhissi","given":"Abdelbary MA"}],"issued":{"date-parts":[["2014"]]}}},{"id":19,"uris":["http://zotero.org/users/5477069/items/HCBWM8PZ"],"uri":["http://zotero.org/users/5477069/items/HCBWM8PZ"],"itemData":{"id":19,"type":"article-journal","title":"Novel paclitaxel formulations solubilized by parenteral nutrition nanoemulsions for application against glioma cell lines","container-title":"International journal of pharmaceutics","page":"102–109","volume":"506","issue":"1-2","source":"Google Scholar","author":[{"family":"Najlah","given":"Mohammad"},{"family":"Kadam","given":"Alisha"},{"family":"Wan","given":"Ka-Wai"},{"family":"Ahmed","given":"Waqar"},{"family":"Taylor","given":"Kevin MG"},{"family":"Elhissi","given":"Abdelbary MA"}],"issued":{"date-parts":[["2016"]]}}}],"schema":"https://github.com/citation-style-language/schema/raw/master/csl-citation.json"} </w:instrText>
      </w:r>
      <w:r w:rsidR="00C417B3">
        <w:fldChar w:fldCharType="separate"/>
      </w:r>
      <w:r w:rsidR="00C417B3">
        <w:rPr>
          <w:noProof/>
        </w:rPr>
        <w:t>(17,18)</w:t>
      </w:r>
      <w:r w:rsidR="00C417B3">
        <w:fldChar w:fldCharType="end"/>
      </w:r>
      <w:r w:rsidRPr="005A6A38">
        <w:t xml:space="preserve">. Clinoleic </w:t>
      </w:r>
      <w:r w:rsidR="00DB2116">
        <w:lastRenderedPageBreak/>
        <w:t xml:space="preserve">nanoemulsion </w:t>
      </w:r>
      <w:r w:rsidRPr="005A6A38">
        <w:t xml:space="preserve">formulations were </w:t>
      </w:r>
      <w:r w:rsidR="009F5D1A">
        <w:t>d</w:t>
      </w:r>
      <w:r w:rsidR="00DB2116">
        <w:t>emonstrated to have smaller lipid droplets,</w:t>
      </w:r>
      <w:r w:rsidRPr="005A6A38">
        <w:t xml:space="preserve"> and </w:t>
      </w:r>
      <w:r w:rsidR="00DB2116">
        <w:t xml:space="preserve">higher </w:t>
      </w:r>
      <w:r w:rsidRPr="005A6A38">
        <w:t xml:space="preserve">drug </w:t>
      </w:r>
      <w:r w:rsidR="00DB2116">
        <w:t>loading</w:t>
      </w:r>
      <w:r w:rsidRPr="005A6A38">
        <w:t xml:space="preserve">. </w:t>
      </w:r>
      <w:r w:rsidR="009F5D1A">
        <w:t>Furthermore, t</w:t>
      </w:r>
      <w:r w:rsidRPr="005A6A38">
        <w:t>he short-term stability studies (14 days) showed that paclitaxel-loaded nanoemulsions were more stable at 4</w:t>
      </w:r>
      <w:r w:rsidR="009F19D9" w:rsidRPr="005A6A38">
        <w:t>°</w:t>
      </w:r>
      <w:r w:rsidRPr="005A6A38">
        <w:t xml:space="preserve">C than at room temperature </w:t>
      </w:r>
      <w:r w:rsidR="00C417B3">
        <w:fldChar w:fldCharType="begin"/>
      </w:r>
      <w:r w:rsidR="00C417B3">
        <w:instrText xml:space="preserve"> ADDIN ZOTERO_ITEM CSL_CITATION {"citationID":"WUUvVOfn","properties":{"formattedCitation":"(17)","plainCitation":"(17)","noteIndex":0},"citationItems":[{"id":20,"uris":["http://zotero.org/users/5477069/items/6UINGYJQ"],"uri":["http://zotero.org/users/5477069/items/6UINGYJQ"],"itemData":{"id":20,"type":"article-journal","title":"Stability of parenteral nanoemulsions loaded with paclitaxel: the influence of lipid phase composition, drug concentration and storage temperature","container-title":"Pharmaceutical development and technology","page":"999–1004","volume":"19","issue":"8","source":"Google Scholar","title-short":"Stability of parenteral nanoemulsions loaded with paclitaxel","author":[{"family":"Kadam","given":"Alisha N."},{"family":"Najlah","given":"Mohammad"},{"family":"Wan","given":"Ka-Wai"},{"family":"Ahmed","given":"Waqar"},{"family":"Crean","given":"St John"},{"family":"Phoenix","given":"David A."},{"family":"Taylor","given":"Kevin MG"},{"family":"Elhissi","given":"Abdelbary MA"}],"issued":{"date-parts":[["2014"]]}}}],"schema":"https://github.com/citation-style-language/schema/raw/master/csl-citation.json"} </w:instrText>
      </w:r>
      <w:r w:rsidR="00C417B3">
        <w:fldChar w:fldCharType="separate"/>
      </w:r>
      <w:r w:rsidR="00C417B3">
        <w:rPr>
          <w:noProof/>
        </w:rPr>
        <w:t>(17)</w:t>
      </w:r>
      <w:r w:rsidR="00C417B3">
        <w:fldChar w:fldCharType="end"/>
      </w:r>
      <w:r w:rsidRPr="005A6A38">
        <w:t xml:space="preserve">. Both paclitaxel-loaded emulsions demonstrated a concentration-dependent cytotoxicity against glioma cell lines, </w:t>
      </w:r>
      <w:r w:rsidR="009F5D1A">
        <w:t>resulting in</w:t>
      </w:r>
      <w:r w:rsidR="009F5D1A" w:rsidRPr="005A6A38">
        <w:t xml:space="preserve"> </w:t>
      </w:r>
      <w:r w:rsidRPr="005A6A38">
        <w:t xml:space="preserve">a greater selectivity of the Clinoleic nanoemulsion compared to the Intralipid </w:t>
      </w:r>
      <w:r w:rsidR="009F5D1A">
        <w:t>against</w:t>
      </w:r>
      <w:r w:rsidRPr="005A6A38">
        <w:t xml:space="preserve"> cancer cells </w:t>
      </w:r>
      <w:r w:rsidR="00C417B3">
        <w:fldChar w:fldCharType="begin"/>
      </w:r>
      <w:r w:rsidR="00C417B3">
        <w:instrText xml:space="preserve"> ADDIN ZOTERO_ITEM CSL_CITATION {"citationID":"G6l71mbT","properties":{"formattedCitation":"(18)","plainCitation":"(18)","noteIndex":0},"citationItems":[{"id":19,"uris":["http://zotero.org/users/5477069/items/HCBWM8PZ"],"uri":["http://zotero.org/users/5477069/items/HCBWM8PZ"],"itemData":{"id":19,"type":"article-journal","title":"Novel paclitaxel formulations solubilized by parenteral nutrition nanoemulsions for application against glioma cell lines","container-title":"International journal of pharmaceutics","page":"102–109","volume":"506","issue":"1-2","source":"Google Scholar","author":[{"family":"Najlah","given":"Mohammad"},{"family":"Kadam","given":"Alisha"},{"family":"Wan","given":"Ka-Wai"},{"family":"Ahmed","given":"Waqar"},{"family":"Taylor","given":"Kevin MG"},{"family":"Elhissi","given":"Abdelbary MA"}],"issued":{"date-parts":[["2016"]]}}}],"schema":"https://github.com/citation-style-language/schema/raw/master/csl-citation.json"} </w:instrText>
      </w:r>
      <w:r w:rsidR="00C417B3">
        <w:fldChar w:fldCharType="separate"/>
      </w:r>
      <w:r w:rsidR="00C417B3">
        <w:rPr>
          <w:noProof/>
        </w:rPr>
        <w:t>(18)</w:t>
      </w:r>
      <w:r w:rsidR="00C417B3">
        <w:fldChar w:fldCharType="end"/>
      </w:r>
      <w:r w:rsidRPr="005A6A38">
        <w:t>.</w:t>
      </w:r>
      <w:r w:rsidR="009F5D1A">
        <w:t xml:space="preserve"> It is hence proposed that exploration of the potential of licensed nanoemulsions in </w:t>
      </w:r>
      <w:r w:rsidR="00F42B94">
        <w:t xml:space="preserve">a </w:t>
      </w:r>
      <w:r w:rsidR="009F5D1A">
        <w:t>field</w:t>
      </w:r>
      <w:r w:rsidR="00F42B94">
        <w:t xml:space="preserve"> alternative to that of anticancer therapy</w:t>
      </w:r>
      <w:r w:rsidR="009F5D1A">
        <w:t xml:space="preserve">, namely antimicrobial drug delivery, would add another milestone and open a new research venue for further investigations. </w:t>
      </w:r>
    </w:p>
    <w:p w14:paraId="7D71065B" w14:textId="1C249CF8" w:rsidR="00EF0F45" w:rsidRDefault="005A6A38" w:rsidP="00244685">
      <w:pPr>
        <w:pStyle w:val="Newparagraph"/>
        <w:jc w:val="both"/>
      </w:pPr>
      <w:r w:rsidRPr="005A6A38">
        <w:t xml:space="preserve">In this study, </w:t>
      </w:r>
      <w:r w:rsidR="00244685">
        <w:t xml:space="preserve">novel </w:t>
      </w:r>
      <w:r w:rsidRPr="005A6A38">
        <w:t>CP</w:t>
      </w:r>
      <w:r w:rsidR="00244685">
        <w:t>-loaded</w:t>
      </w:r>
      <w:r w:rsidRPr="005A6A38">
        <w:t xml:space="preserve"> Clinoleic and</w:t>
      </w:r>
      <w:r w:rsidR="006664B5">
        <w:t xml:space="preserve"> Intralipid nanoemulsions</w:t>
      </w:r>
      <w:r w:rsidRPr="005A6A38">
        <w:t xml:space="preserve"> </w:t>
      </w:r>
      <w:r w:rsidR="00244685">
        <w:t>were designed and characterized in terms of</w:t>
      </w:r>
      <w:r w:rsidRPr="005A6A38">
        <w:t xml:space="preserve"> droplet size, polydispersity index (PI), zeta potential and pH of the </w:t>
      </w:r>
      <w:r w:rsidR="00244685" w:rsidRPr="005A6A38">
        <w:t>result</w:t>
      </w:r>
      <w:r w:rsidR="00244685">
        <w:t>ant</w:t>
      </w:r>
      <w:r w:rsidR="00244685" w:rsidRPr="005A6A38">
        <w:t xml:space="preserve"> </w:t>
      </w:r>
      <w:r w:rsidRPr="005A6A38">
        <w:t xml:space="preserve">formulations. The drug entrapment efficiency and </w:t>
      </w:r>
      <w:r w:rsidR="00244685">
        <w:t xml:space="preserve">the </w:t>
      </w:r>
      <w:r w:rsidRPr="005A6A38">
        <w:t xml:space="preserve">in-vitro </w:t>
      </w:r>
      <w:r w:rsidR="00244685">
        <w:t xml:space="preserve">drug </w:t>
      </w:r>
      <w:r w:rsidRPr="005A6A38">
        <w:t>release</w:t>
      </w:r>
      <w:r w:rsidR="00244685">
        <w:t xml:space="preserve"> profile</w:t>
      </w:r>
      <w:r w:rsidRPr="005A6A38">
        <w:t xml:space="preserve"> were also studied. Moreover, the stability of the CP-loaded Intralipid</w:t>
      </w:r>
      <w:r w:rsidRPr="005A6A38">
        <w:rPr>
          <w:vertAlign w:val="superscript"/>
        </w:rPr>
        <w:t>®</w:t>
      </w:r>
      <w:r w:rsidRPr="005A6A38">
        <w:t xml:space="preserve"> and Clinoleic</w:t>
      </w:r>
      <w:r w:rsidRPr="005A6A38">
        <w:rPr>
          <w:vertAlign w:val="superscript"/>
        </w:rPr>
        <w:t>®</w:t>
      </w:r>
      <w:r w:rsidRPr="005A6A38">
        <w:t xml:space="preserve"> nanoemulsions were evaluated periodically for six months at 4°C and </w:t>
      </w:r>
      <w:r w:rsidR="00DC5D96">
        <w:t xml:space="preserve">two months at </w:t>
      </w:r>
      <w:r w:rsidRPr="005A6A38">
        <w:t>room temperature.</w:t>
      </w:r>
    </w:p>
    <w:p w14:paraId="740DBB27" w14:textId="77777777" w:rsidR="00F74F1B" w:rsidRPr="00F74F1B" w:rsidRDefault="00F74F1B" w:rsidP="00F74F1B">
      <w:pPr>
        <w:pStyle w:val="Heading1"/>
        <w:numPr>
          <w:ilvl w:val="0"/>
          <w:numId w:val="31"/>
        </w:numPr>
        <w:rPr>
          <w:b w:val="0"/>
          <w:bCs w:val="0"/>
          <w:snapToGrid w:val="0"/>
        </w:rPr>
      </w:pPr>
      <w:r w:rsidRPr="00F74F1B">
        <w:rPr>
          <w:snapToGrid w:val="0"/>
        </w:rPr>
        <w:t>Materials and Methods</w:t>
      </w:r>
      <w:r w:rsidRPr="00F74F1B">
        <w:rPr>
          <w:b w:val="0"/>
          <w:bCs w:val="0"/>
          <w:snapToGrid w:val="0"/>
        </w:rPr>
        <w:t xml:space="preserve"> </w:t>
      </w:r>
    </w:p>
    <w:p w14:paraId="4DD1CF2A" w14:textId="77777777" w:rsidR="005A6A38" w:rsidRDefault="005A6A38" w:rsidP="00F74F1B">
      <w:pPr>
        <w:pStyle w:val="Heading2"/>
        <w:numPr>
          <w:ilvl w:val="1"/>
          <w:numId w:val="31"/>
        </w:numPr>
      </w:pPr>
      <w:r w:rsidRPr="005A6A38">
        <w:t>Materials</w:t>
      </w:r>
    </w:p>
    <w:p w14:paraId="05054BD0" w14:textId="6284658C" w:rsidR="005A6A38" w:rsidRDefault="005A6A38" w:rsidP="00A6212A">
      <w:pPr>
        <w:pStyle w:val="Paragraph"/>
        <w:jc w:val="both"/>
        <w:rPr>
          <w:lang w:val="en-US"/>
        </w:rPr>
      </w:pPr>
      <w:r w:rsidRPr="005A6A38">
        <w:rPr>
          <w:lang w:val="en-US"/>
        </w:rPr>
        <w:t xml:space="preserve">Dimethyl sulfoxide (DMSO) and phosphate buffered saline (PBS) were purchased from Sigma Aldrich, UK. Absolute ethanol and HPLC-grade water were supplied by Fisher Scientific, UK. </w:t>
      </w:r>
      <w:r w:rsidR="001A0E19">
        <w:rPr>
          <w:lang w:val="en-US"/>
        </w:rPr>
        <w:t>Ciprofloxacin</w:t>
      </w:r>
      <w:r w:rsidRPr="005A6A38">
        <w:rPr>
          <w:lang w:val="en-US"/>
        </w:rPr>
        <w:t xml:space="preserve"> (CP) was obtained from Sigma Aldrich, UK and the parenteral nutrition emulsions, Clinoleic</w:t>
      </w:r>
      <w:r w:rsidRPr="009F19D9">
        <w:rPr>
          <w:vertAlign w:val="superscript"/>
          <w:lang w:val="en-US"/>
        </w:rPr>
        <w:t>®</w:t>
      </w:r>
      <w:r w:rsidRPr="005A6A38">
        <w:rPr>
          <w:lang w:val="en-US"/>
        </w:rPr>
        <w:t xml:space="preserve"> 20% and Intralipid</w:t>
      </w:r>
      <w:r w:rsidRPr="009F19D9">
        <w:rPr>
          <w:vertAlign w:val="superscript"/>
          <w:lang w:val="en-US"/>
        </w:rPr>
        <w:t>®</w:t>
      </w:r>
      <w:r w:rsidRPr="005A6A38">
        <w:rPr>
          <w:lang w:val="en-US"/>
        </w:rPr>
        <w:t xml:space="preserve"> 20% were supplied by Baxter Healthcare, USA and Fresenius Kabi, Germany, respectively. </w:t>
      </w:r>
      <w:r w:rsidR="00420C91">
        <w:rPr>
          <w:lang w:val="en-US"/>
        </w:rPr>
        <w:t xml:space="preserve">These nanoemulsions were not prepared in our laboratory, but were rather supplied as final products from the aforementioned companies. Table 1 shows the composition of each </w:t>
      </w:r>
      <w:r w:rsidR="00A6212A">
        <w:rPr>
          <w:lang w:val="en-US"/>
        </w:rPr>
        <w:lastRenderedPageBreak/>
        <w:t>nanoemulsion product</w:t>
      </w:r>
      <w:r w:rsidR="00420C91">
        <w:rPr>
          <w:lang w:val="en-US"/>
        </w:rPr>
        <w:t xml:space="preserve">. </w:t>
      </w:r>
    </w:p>
    <w:p w14:paraId="373A1DF7" w14:textId="77777777" w:rsidR="00F74F1B" w:rsidRPr="00F74F1B" w:rsidRDefault="00F74F1B" w:rsidP="00F74F1B">
      <w:pPr>
        <w:pStyle w:val="Newparagraph"/>
        <w:rPr>
          <w:lang w:val="en-US"/>
        </w:rPr>
      </w:pPr>
    </w:p>
    <w:p w14:paraId="4B9C576F" w14:textId="77777777" w:rsidR="005A6A38" w:rsidRPr="005A6A38" w:rsidRDefault="005A6A38" w:rsidP="005A6A38">
      <w:pPr>
        <w:pStyle w:val="Heading2"/>
        <w:numPr>
          <w:ilvl w:val="1"/>
          <w:numId w:val="31"/>
        </w:numPr>
        <w:rPr>
          <w:bCs w:val="0"/>
          <w:i w:val="0"/>
          <w:iCs w:val="0"/>
        </w:rPr>
      </w:pPr>
      <w:r w:rsidRPr="00AE09ED">
        <w:t xml:space="preserve">Methods </w:t>
      </w:r>
    </w:p>
    <w:p w14:paraId="47D31AD6" w14:textId="77777777" w:rsidR="005A6A38" w:rsidRPr="005A6A38" w:rsidRDefault="005A6A38" w:rsidP="005A6A38">
      <w:pPr>
        <w:pStyle w:val="Heading3"/>
      </w:pPr>
      <w:r w:rsidRPr="005A6A38">
        <w:t>2.2.1. Solubilization of CP in TPN nanoemulsions</w:t>
      </w:r>
    </w:p>
    <w:p w14:paraId="08B95199" w14:textId="2F8F32E8" w:rsidR="005A6A38" w:rsidRPr="005A6A38" w:rsidRDefault="005A6A38" w:rsidP="000928A0">
      <w:pPr>
        <w:pStyle w:val="Paragraph"/>
        <w:jc w:val="both"/>
        <w:rPr>
          <w:lang w:val="en-US"/>
        </w:rPr>
      </w:pPr>
      <w:r w:rsidRPr="005A6A38">
        <w:rPr>
          <w:lang w:val="en-US"/>
        </w:rPr>
        <w:t>CP was weighed in amounts of 0 (blank), 10, 20, 30, 40 and 50 mg in separate glass vials. Clinoleic</w:t>
      </w:r>
      <w:r w:rsidRPr="009F19D9">
        <w:rPr>
          <w:vertAlign w:val="superscript"/>
          <w:lang w:val="en-US"/>
        </w:rPr>
        <w:t>®</w:t>
      </w:r>
      <w:r w:rsidRPr="005A6A38">
        <w:rPr>
          <w:lang w:val="en-US"/>
        </w:rPr>
        <w:t xml:space="preserve"> or Intralipid</w:t>
      </w:r>
      <w:r w:rsidRPr="009F19D9">
        <w:rPr>
          <w:vertAlign w:val="superscript"/>
          <w:lang w:val="en-US"/>
        </w:rPr>
        <w:t>®</w:t>
      </w:r>
      <w:r w:rsidRPr="005A6A38">
        <w:rPr>
          <w:lang w:val="en-US"/>
        </w:rPr>
        <w:t xml:space="preserve"> emulsions (10 ml) were added to each glass vial followed by vortex</w:t>
      </w:r>
      <w:r w:rsidR="00AE607D">
        <w:rPr>
          <w:lang w:val="en-US"/>
        </w:rPr>
        <w:t xml:space="preserve"> </w:t>
      </w:r>
      <w:r w:rsidRPr="005A6A38">
        <w:rPr>
          <w:lang w:val="en-US"/>
        </w:rPr>
        <w:t xml:space="preserve">mixing for 5 min and bath sonication </w:t>
      </w:r>
      <w:r w:rsidR="005452B2">
        <w:rPr>
          <w:lang w:val="en-US"/>
        </w:rPr>
        <w:t>(</w:t>
      </w:r>
      <w:r w:rsidR="005452B2" w:rsidRPr="005452B2">
        <w:rPr>
          <w:lang w:val="en-US"/>
        </w:rPr>
        <w:t>Fisherbrand™ P-Series Ultrasonic</w:t>
      </w:r>
      <w:r w:rsidR="00D3398E">
        <w:rPr>
          <w:lang w:val="en-US"/>
        </w:rPr>
        <w:t>, UK</w:t>
      </w:r>
      <w:r w:rsidR="000928A0">
        <w:rPr>
          <w:lang w:val="en-US"/>
        </w:rPr>
        <w:t xml:space="preserve">) at frequency </w:t>
      </w:r>
      <w:r w:rsidRPr="005A6A38">
        <w:rPr>
          <w:lang w:val="en-US"/>
        </w:rPr>
        <w:t>37</w:t>
      </w:r>
      <w:r w:rsidR="00AE607D">
        <w:rPr>
          <w:lang w:val="en-US"/>
        </w:rPr>
        <w:t xml:space="preserve"> </w:t>
      </w:r>
      <w:r w:rsidR="005452B2">
        <w:rPr>
          <w:lang w:val="en-US"/>
        </w:rPr>
        <w:t>k</w:t>
      </w:r>
      <w:r w:rsidRPr="005A6A38">
        <w:rPr>
          <w:lang w:val="en-US"/>
        </w:rPr>
        <w:t>hz and 70% power</w:t>
      </w:r>
      <w:r w:rsidR="000928A0">
        <w:rPr>
          <w:lang w:val="en-US"/>
        </w:rPr>
        <w:t xml:space="preserve"> (equivalent to 84 W u</w:t>
      </w:r>
      <w:r w:rsidR="000928A0" w:rsidRPr="000928A0">
        <w:rPr>
          <w:lang w:val="en-US"/>
        </w:rPr>
        <w:t>ltrasonic</w:t>
      </w:r>
      <w:r w:rsidR="000928A0">
        <w:rPr>
          <w:lang w:val="en-US"/>
        </w:rPr>
        <w:t xml:space="preserve"> </w:t>
      </w:r>
      <w:r w:rsidR="000928A0" w:rsidRPr="000928A0">
        <w:rPr>
          <w:lang w:val="en-US"/>
        </w:rPr>
        <w:t>effective</w:t>
      </w:r>
      <w:r w:rsidR="000928A0">
        <w:rPr>
          <w:lang w:val="en-US"/>
        </w:rPr>
        <w:t xml:space="preserve"> </w:t>
      </w:r>
      <w:r w:rsidR="000928A0" w:rsidRPr="000928A0">
        <w:rPr>
          <w:lang w:val="en-US"/>
        </w:rPr>
        <w:t>power</w:t>
      </w:r>
      <w:r w:rsidRPr="005A6A38">
        <w:rPr>
          <w:lang w:val="en-US"/>
        </w:rPr>
        <w:t>) for 2 h at 40°C. Preliminary results showed that there was no effect of bath sonication on the stability of emulsions (data</w:t>
      </w:r>
      <w:r w:rsidR="000F458D">
        <w:rPr>
          <w:lang w:val="en-US"/>
        </w:rPr>
        <w:t xml:space="preserve"> not shown</w:t>
      </w:r>
      <w:r w:rsidRPr="005A6A38">
        <w:rPr>
          <w:lang w:val="en-US"/>
        </w:rPr>
        <w:t xml:space="preserve">). </w:t>
      </w:r>
      <w:r w:rsidR="00692198">
        <w:rPr>
          <w:lang w:val="en-US"/>
        </w:rPr>
        <w:t xml:space="preserve">The procedure used was adapted from our previous publication in which paclitaxel was loaded into the nanoemulsions </w:t>
      </w:r>
      <w:r w:rsidR="00692198" w:rsidRPr="00692198">
        <w:fldChar w:fldCharType="begin"/>
      </w:r>
      <w:r w:rsidR="00692198" w:rsidRPr="00692198">
        <w:instrText xml:space="preserve"> ADDIN ZOTERO_ITEM CSL_CITATION {"citationID":"697FWBke","properties":{"formattedCitation":"(17,18)","plainCitation":"(17,18)","noteIndex":0},"citationItems":[{"id":20,"uris":["http://zotero.org/users/5477069/items/6UINGYJQ"],"uri":["http://zotero.org/users/5477069/items/6UINGYJQ"],"itemData":{"id":20,"type":"article-journal","title":"Stability of parenteral nanoemulsions loaded with paclitaxel: the influence of lipid phase composition, drug concentration and storage temperature","container-title":"Pharmaceutical development and technology","page":"999–1004","volume":"19","issue":"8","source":"Google Scholar","title-short":"Stability of parenteral nanoemulsions loaded with paclitaxel","author":[{"family":"Kadam","given":"Alisha N."},{"family":"Najlah","given":"Mohammad"},{"family":"Wan","given":"Ka-Wai"},{"family":"Ahmed","given":"Waqar"},{"family":"Crean","given":"St John"},{"family":"Phoenix","given":"David A."},{"family":"Taylor","given":"Kevin MG"},{"family":"Elhissi","given":"Abdelbary MA"}],"issued":{"date-parts":[["2014"]]}}},{"id":19,"uris":["http://zotero.org/users/5477069/items/HCBWM8PZ"],"uri":["http://zotero.org/users/5477069/items/HCBWM8PZ"],"itemData":{"id":19,"type":"article-journal","title":"Novel paclitaxel formulations solubilized by parenteral nutrition nanoemulsions for application against glioma cell lines","container-title":"International journal of pharmaceutics","page":"102–109","volume":"506","issue":"1-2","source":"Google Scholar","author":[{"family":"Najlah","given":"Mohammad"},{"family":"Kadam","given":"Alisha"},{"family":"Wan","given":"Ka-Wai"},{"family":"Ahmed","given":"Waqar"},{"family":"Taylor","given":"Kevin MG"},{"family":"Elhissi","given":"Abdelbary MA"}],"issued":{"date-parts":[["2016"]]}}}],"schema":"https://github.com/citation-style-language/schema/raw/master/csl-citation.json"} </w:instrText>
      </w:r>
      <w:r w:rsidR="00692198" w:rsidRPr="00692198">
        <w:fldChar w:fldCharType="separate"/>
      </w:r>
      <w:r w:rsidR="00692198">
        <w:t>(</w:t>
      </w:r>
      <w:r w:rsidR="00692198" w:rsidRPr="00692198">
        <w:t>18)</w:t>
      </w:r>
      <w:r w:rsidR="00692198" w:rsidRPr="00692198">
        <w:rPr>
          <w:lang w:val="en-US"/>
        </w:rPr>
        <w:fldChar w:fldCharType="end"/>
      </w:r>
      <w:r w:rsidR="00692198" w:rsidRPr="00692198">
        <w:t>.</w:t>
      </w:r>
    </w:p>
    <w:p w14:paraId="487C037E" w14:textId="77777777" w:rsidR="005A6A38" w:rsidRPr="005A6A38" w:rsidRDefault="005A6A38" w:rsidP="005A6A38">
      <w:pPr>
        <w:pStyle w:val="Heading3"/>
      </w:pPr>
      <w:r w:rsidRPr="00AE09ED">
        <w:t>2.2.2. Particle size and zeta potential analysis of nanoemulsions</w:t>
      </w:r>
    </w:p>
    <w:p w14:paraId="589ED95B" w14:textId="59AE6D5C" w:rsidR="005A6A38" w:rsidRPr="005A6A38" w:rsidRDefault="005A6A38" w:rsidP="00AE607D">
      <w:pPr>
        <w:pStyle w:val="Paragraph"/>
        <w:jc w:val="both"/>
        <w:rPr>
          <w:lang w:val="en-US"/>
        </w:rPr>
      </w:pPr>
      <w:r w:rsidRPr="005A6A38">
        <w:rPr>
          <w:lang w:val="en-US"/>
        </w:rPr>
        <w:t xml:space="preserve">Photon correlation spectroscopy was used to </w:t>
      </w:r>
      <w:r w:rsidR="00AE607D" w:rsidRPr="005A6A38">
        <w:rPr>
          <w:lang w:val="en-US"/>
        </w:rPr>
        <w:t>analyze</w:t>
      </w:r>
      <w:r w:rsidRPr="005A6A38">
        <w:rPr>
          <w:lang w:val="en-US"/>
        </w:rPr>
        <w:t xml:space="preserve"> the size (Z</w:t>
      </w:r>
      <w:r w:rsidRPr="005A6A38">
        <w:rPr>
          <w:vertAlign w:val="subscript"/>
          <w:lang w:val="en-US"/>
        </w:rPr>
        <w:t>average</w:t>
      </w:r>
      <w:r w:rsidRPr="005A6A38">
        <w:rPr>
          <w:lang w:val="en-US"/>
        </w:rPr>
        <w:t xml:space="preserve">; also referred to as hydrodynamic </w:t>
      </w:r>
      <w:r w:rsidR="00573CD4">
        <w:rPr>
          <w:lang w:val="en-US"/>
        </w:rPr>
        <w:t>diameter</w:t>
      </w:r>
      <w:r w:rsidRPr="005A6A38">
        <w:rPr>
          <w:lang w:val="en-US"/>
        </w:rPr>
        <w:t xml:space="preserve">) and size distribution (polydispersity index; PI) of nanoemulsions by employing the Zetasizer Nanoseries instrument (Malvern Instruments Ltd, UK). Clinoleic or Intralipid nanoemulsions (40 µl) (without filtration) were diluted with 1 ml </w:t>
      </w:r>
      <w:r w:rsidR="00573CD4">
        <w:rPr>
          <w:lang w:val="en-US"/>
        </w:rPr>
        <w:t xml:space="preserve">of </w:t>
      </w:r>
      <w:r w:rsidRPr="005A6A38">
        <w:rPr>
          <w:lang w:val="en-US"/>
        </w:rPr>
        <w:t xml:space="preserve">HPLC-grade water </w:t>
      </w:r>
      <w:r w:rsidR="00573CD4">
        <w:rPr>
          <w:lang w:val="en-US"/>
        </w:rPr>
        <w:t>with</w:t>
      </w:r>
      <w:r w:rsidRPr="005A6A38">
        <w:rPr>
          <w:lang w:val="en-US"/>
        </w:rPr>
        <w:t xml:space="preserve">in a clean Malvern vial, and the hydrodynamic diameter and PI of the emulsion droplets were </w:t>
      </w:r>
      <w:r w:rsidR="00AE607D" w:rsidRPr="005A6A38">
        <w:rPr>
          <w:lang w:val="en-US"/>
        </w:rPr>
        <w:t>analyzed</w:t>
      </w:r>
      <w:r w:rsidRPr="005A6A38">
        <w:rPr>
          <w:lang w:val="en-US"/>
        </w:rPr>
        <w:t xml:space="preserve">. The same instrument was employed to </w:t>
      </w:r>
      <w:r w:rsidR="00AE607D" w:rsidRPr="005A6A38">
        <w:rPr>
          <w:lang w:val="en-US"/>
        </w:rPr>
        <w:t>analy</w:t>
      </w:r>
      <w:r w:rsidR="00AE607D">
        <w:rPr>
          <w:lang w:val="en-US"/>
        </w:rPr>
        <w:t>z</w:t>
      </w:r>
      <w:r w:rsidR="00AE607D" w:rsidRPr="005A6A38">
        <w:rPr>
          <w:lang w:val="en-US"/>
        </w:rPr>
        <w:t xml:space="preserve">e </w:t>
      </w:r>
      <w:r w:rsidRPr="005A6A38">
        <w:rPr>
          <w:lang w:val="en-US"/>
        </w:rPr>
        <w:t>the zeta potential of the emulsions, by laser Doppler velocimetry, by operating the relevant software. The zeta potential cuvette (Malvern Instruments Ltd, UK) was washed several times with HPLC water and sonicated prior to loading the nanoemulsion samples and measuring the zeta potential values of the different formulations.</w:t>
      </w:r>
    </w:p>
    <w:p w14:paraId="61055711" w14:textId="77777777" w:rsidR="005A6A38" w:rsidRPr="00E56E92" w:rsidRDefault="005A6A38" w:rsidP="005A6A38">
      <w:pPr>
        <w:pStyle w:val="MDPI31text"/>
        <w:rPr>
          <w:b/>
          <w:lang w:val="en-GB"/>
        </w:rPr>
      </w:pPr>
    </w:p>
    <w:p w14:paraId="24EA0D4E" w14:textId="77777777" w:rsidR="005A6A38" w:rsidRPr="005A6A38" w:rsidRDefault="005A6A38" w:rsidP="005A6A38">
      <w:pPr>
        <w:pStyle w:val="MDPI31text"/>
        <w:ind w:firstLine="0"/>
        <w:rPr>
          <w:bCs/>
          <w:lang w:val="en-GB"/>
        </w:rPr>
      </w:pPr>
      <w:r w:rsidRPr="005A6A38">
        <w:rPr>
          <w:rFonts w:ascii="Times New Roman" w:hAnsi="Times New Roman" w:cs="Arial"/>
          <w:bCs/>
          <w:i/>
          <w:snapToGrid/>
          <w:color w:val="auto"/>
          <w:sz w:val="24"/>
          <w:szCs w:val="26"/>
          <w:lang w:val="en-GB" w:eastAsia="en-GB" w:bidi="ar-SA"/>
        </w:rPr>
        <w:t>2.2.3. pH determination of nanoemulsions</w:t>
      </w:r>
    </w:p>
    <w:p w14:paraId="420D32EA" w14:textId="77777777" w:rsidR="005A6A38" w:rsidRPr="005A6A38" w:rsidRDefault="005A6A38" w:rsidP="005A6A38">
      <w:pPr>
        <w:pStyle w:val="Paragraph"/>
        <w:jc w:val="both"/>
        <w:rPr>
          <w:lang w:val="en-US"/>
        </w:rPr>
      </w:pPr>
      <w:r w:rsidRPr="005A6A38">
        <w:rPr>
          <w:lang w:val="en-US"/>
        </w:rPr>
        <w:t>The pH of emulsion formulations was determined using a Corning 220 pH meter (Cole-Palmer, Teddington, UK) previously calibrated using the provided pH 4 and pH 7 standard solutions. This experiment aimed to investigate the influence of nanoemulsion type and CP concentration on the pH values of the formulations.</w:t>
      </w:r>
    </w:p>
    <w:p w14:paraId="0F672316" w14:textId="77777777" w:rsidR="005A6A38" w:rsidRPr="005A6A38" w:rsidRDefault="005A6A38" w:rsidP="005A6A38">
      <w:pPr>
        <w:pStyle w:val="MDPI31text"/>
        <w:rPr>
          <w:rFonts w:ascii="Times New Roman" w:hAnsi="Times New Roman" w:cs="Arial"/>
          <w:bCs/>
          <w:i/>
          <w:snapToGrid/>
          <w:color w:val="auto"/>
          <w:sz w:val="24"/>
          <w:szCs w:val="26"/>
          <w:lang w:val="en-GB" w:eastAsia="en-GB" w:bidi="ar-SA"/>
        </w:rPr>
      </w:pPr>
    </w:p>
    <w:p w14:paraId="02B9C1F0" w14:textId="77777777" w:rsidR="005A6A38" w:rsidRPr="005A6A38" w:rsidRDefault="005A6A38" w:rsidP="005A6A38">
      <w:pPr>
        <w:pStyle w:val="MDPI31text"/>
        <w:ind w:firstLine="0"/>
        <w:rPr>
          <w:rFonts w:ascii="Times New Roman" w:hAnsi="Times New Roman" w:cs="Arial"/>
          <w:bCs/>
          <w:i/>
          <w:snapToGrid/>
          <w:color w:val="auto"/>
          <w:sz w:val="24"/>
          <w:szCs w:val="26"/>
          <w:lang w:val="en-GB" w:eastAsia="en-GB" w:bidi="ar-SA"/>
        </w:rPr>
      </w:pPr>
      <w:r w:rsidRPr="005A6A38">
        <w:rPr>
          <w:rFonts w:ascii="Times New Roman" w:hAnsi="Times New Roman" w:cs="Arial"/>
          <w:bCs/>
          <w:i/>
          <w:snapToGrid/>
          <w:color w:val="auto"/>
          <w:sz w:val="24"/>
          <w:szCs w:val="26"/>
          <w:lang w:val="en-GB" w:eastAsia="en-GB" w:bidi="ar-SA"/>
        </w:rPr>
        <w:t>2.2.4. Loading efficiency of CP in nanoemulsion droplets</w:t>
      </w:r>
    </w:p>
    <w:p w14:paraId="2B51B77B" w14:textId="77777777" w:rsidR="005A6A38" w:rsidRPr="00E56E92" w:rsidRDefault="005A6A38" w:rsidP="005A6A38">
      <w:pPr>
        <w:pStyle w:val="MDPI31text"/>
        <w:ind w:firstLine="0"/>
        <w:rPr>
          <w:b/>
          <w:lang w:val="en-GB"/>
        </w:rPr>
      </w:pPr>
    </w:p>
    <w:p w14:paraId="78F8B25D" w14:textId="6DFAAA23" w:rsidR="005A6A38" w:rsidRPr="00010F4A" w:rsidRDefault="00A12B90" w:rsidP="00AE607D">
      <w:pPr>
        <w:pStyle w:val="Paragraph"/>
        <w:jc w:val="both"/>
        <w:rPr>
          <w:bCs/>
        </w:rPr>
      </w:pPr>
      <w:r>
        <w:rPr>
          <w:lang w:val="en-US"/>
        </w:rPr>
        <w:t>The e</w:t>
      </w:r>
      <w:r w:rsidRPr="005A6A38">
        <w:rPr>
          <w:lang w:val="en-US"/>
        </w:rPr>
        <w:t xml:space="preserve">ntrapment </w:t>
      </w:r>
      <w:r w:rsidR="005A6A38" w:rsidRPr="005A6A38">
        <w:rPr>
          <w:lang w:val="en-US"/>
        </w:rPr>
        <w:t xml:space="preserve">efficiency of CP was determined by adapting the separation methods previously described </w:t>
      </w:r>
      <w:r w:rsidR="002832DD">
        <w:rPr>
          <w:lang w:val="en-US"/>
        </w:rPr>
        <w:fldChar w:fldCharType="begin"/>
      </w:r>
      <w:r w:rsidR="002832DD">
        <w:rPr>
          <w:lang w:val="en-US"/>
        </w:rPr>
        <w:instrText xml:space="preserve"> ADDIN ZOTERO_ITEM CSL_CITATION {"citationID":"RktNYUDT","properties":{"formattedCitation":"(18\\uc0\\u8211{}20)","plainCitation":"(18–20)","noteIndex":0},"citationItems":[{"id":19,"uris":["http://zotero.org/users/5477069/items/HCBWM8PZ"],"uri":["http://zotero.org/users/5477069/items/HCBWM8PZ"],"itemData":{"id":19,"type":"article-journal","title":"Novel paclitaxel formulations solubilized by parenteral nutrition nanoemulsions for application against glioma cell lines","container-title":"International journal of pharmaceutics","page":"102–109","volume":"506","issue":"1-2","source":"Google Scholar","author":[{"family":"Najlah","given":"Mohammad"},{"family":"Kadam","given":"Alisha"},{"family":"Wan","given":"Ka-Wai"},{"family":"Ahmed","given":"Waqar"},{"family":"Taylor","given":"Kevin MG"},{"family":"Elhissi","given":"Abdelbary MA"}],"issued":{"date-parts":[["2016"]]}}},{"id":104,"uris":["http://zotero.org/users/5477069/items/PBB8FFQ6"],"uri":["http://zotero.org/users/5477069/items/PBB8FFQ6"],"itemData":{"id":104,"type":"article-journal","title":"Formulation, characterization, and in vitro release of glyburide from proliposomal beads","container-title":"Drug Delivery","page":"25-27","volume":"8","issue":"1","source":"PubMed","abstract":"The objective of our study was to formulate and evaluate proliposomes in the form of enteric-coated beads using glyburide as a model drug. The beads were enteric coated with Eudragit L-100 by a fluidized bed coating process using triethyl citrate as plasticizer. Content uniformity of glyburide was estimated using HPLC analysis of beads dissolved in methanol. These proliposomal beads formed liposomes on disintegration in phosphate buffered saline (pH 7.4), which was confirmed by transmission electron microscopy. The dissolution study of enteric-coated beads exhibited enhanced dissolution compared with pure drug and a marketed product. Liposomes can be successfully prepared for oral administration in the form of enteric-coated beads that may offer a stable system to produce liposomes for oral administration.","DOI":"10.1080/107175401300002720","ISSN":"1071-7544","note":"PMID: 11280440","journalAbbreviation":"Drug Deliv","language":"eng","author":[{"family":"Kumar","given":"R."},{"family":"Gupta","given":"R. B."},{"family":"Betageri","given":"G. V."}],"issued":{"date-parts":[["2001",3]]}}},{"id":102,"uris":["http://zotero.org/users/5477069/items/TL6J64L7"],"uri":["http://zotero.org/users/5477069/items/TL6J64L7"],"itemData":{"id":102,"type":"article-journal","title":"A comprehensive production method of self-cryoprotected nano-liposome powders","container-title":"International Journal of Pharmaceutics","page":"153-158","volume":"486","issue":"1-2","source":"PubMed","abstract":"This study provided a convenient approach for large scale production of hydrogenated soya phosphatidylcholine nano-liposome powders using beclometasone dipropionate as a model drug and sucrose as proliposome carrier. Fluid-bed coating was employed to manufacture proliposomes by coating sucrose with the phospholipid (5%, 10%, 15% and 20% weight gains), followed by hydration, size reduction using high pressure homogenization, and freeze-drying to yield stable nano-vesicles. High pressure homogenization was compared with probe-sonication in terms of liposome size, zeta potential and drug entrapment. Furthermore, the effect of freeze-drying on vesicle properties generated using both size reduction methods was evaluated. Results have shown that high-pressure homogenization followed by freeze-drying and rehydration tended to yield liposomes smaller than the corresponding vesicles downsized via probe-sonication, and all size measurements were in the range of 72.64-152.50 nm, indicating that freeze-drying was appropriate, regardless of the size reduction technique. The liposomes, regardless of size reduction technique and freeze drying had slightly negative zeta potential values or were almost neutral in surface charge. The entrapment efficiency of BDP in homogenized liposomes was found to increase following freeze-drying, hence the drug entrapment efficiency values in rehydrated liposomes were 64.9%, 57%, 69.5% and 64.5% for 5%, 10%, 15% and 20% weight gains respectively. In this study, we have reported a reliable production method of nano-liposomes based on widely applicable industrial technologies such as fluid-bed coating, high pressure homogenization and freeze-drying. Moreover, sucrose played a dual role as a carrier in the proliposome formulations and as a cryoprotectant during freeze-drying.","DOI":"10.1016/j.ijpharm.2015.03.038","ISSN":"1873-3476","note":"PMID: 25796123","journalAbbreviation":"Int J Pharm","language":"eng","author":[{"family":"Gala","given":"Rikhav P."},{"family":"Khan","given":"Iftikhar"},{"family":"Elhissi","given":"Abdelbary M. A."},{"family":"Alhnan","given":"Mohamed A."}],"issued":{"date-parts":[["2015"]]}}}],"schema":"https://github.com/citation-style-language/schema/raw/master/csl-citation.json"} </w:instrText>
      </w:r>
      <w:r w:rsidR="002832DD">
        <w:rPr>
          <w:lang w:val="en-US"/>
        </w:rPr>
        <w:fldChar w:fldCharType="separate"/>
      </w:r>
      <w:r w:rsidR="002832DD" w:rsidRPr="002832DD">
        <w:t>(18–20)</w:t>
      </w:r>
      <w:r w:rsidR="002832DD">
        <w:rPr>
          <w:lang w:val="en-US"/>
        </w:rPr>
        <w:fldChar w:fldCharType="end"/>
      </w:r>
      <w:r w:rsidR="005A6A38" w:rsidRPr="005A6A38">
        <w:rPr>
          <w:lang w:val="en-US"/>
        </w:rPr>
        <w:t xml:space="preserve">. </w:t>
      </w:r>
      <w:r w:rsidR="00CF600D">
        <w:rPr>
          <w:lang w:val="en-US"/>
        </w:rPr>
        <w:t xml:space="preserve">These methods are </w:t>
      </w:r>
      <w:r w:rsidR="00AE607D">
        <w:rPr>
          <w:lang w:val="en-US"/>
        </w:rPr>
        <w:t>because</w:t>
      </w:r>
      <w:r w:rsidR="00CF600D">
        <w:rPr>
          <w:lang w:val="en-US"/>
        </w:rPr>
        <w:t xml:space="preserve"> </w:t>
      </w:r>
      <w:r w:rsidR="00CF600D">
        <w:rPr>
          <w:bCs/>
          <w:lang w:val="en-US"/>
        </w:rPr>
        <w:t>i</w:t>
      </w:r>
      <w:r w:rsidR="00CF600D" w:rsidRPr="00CF600D">
        <w:rPr>
          <w:bCs/>
        </w:rPr>
        <w:t>n a</w:t>
      </w:r>
      <w:r w:rsidR="00CF600D">
        <w:rPr>
          <w:bCs/>
        </w:rPr>
        <w:t>n emulsion</w:t>
      </w:r>
      <w:r w:rsidR="00CF600D" w:rsidRPr="00CF600D">
        <w:rPr>
          <w:bCs/>
        </w:rPr>
        <w:t xml:space="preserve">, </w:t>
      </w:r>
      <w:r w:rsidR="00CF600D">
        <w:rPr>
          <w:bCs/>
        </w:rPr>
        <w:t xml:space="preserve">hydrophobic </w:t>
      </w:r>
      <w:r w:rsidR="00CF600D" w:rsidRPr="00CF600D">
        <w:rPr>
          <w:bCs/>
        </w:rPr>
        <w:t>drug is expected to be entrapped</w:t>
      </w:r>
      <w:r w:rsidR="00CF600D">
        <w:rPr>
          <w:bCs/>
        </w:rPr>
        <w:t>/solubilised</w:t>
      </w:r>
      <w:r w:rsidR="00CF600D" w:rsidRPr="00CF600D">
        <w:rPr>
          <w:bCs/>
        </w:rPr>
        <w:t xml:space="preserve"> in the </w:t>
      </w:r>
      <w:r w:rsidR="00CF600D">
        <w:rPr>
          <w:bCs/>
        </w:rPr>
        <w:t>oil droplets</w:t>
      </w:r>
      <w:r w:rsidR="00CF600D" w:rsidRPr="00CF600D">
        <w:rPr>
          <w:bCs/>
        </w:rPr>
        <w:t>. However, the excess amount normally remains as crystals suspended, aggregated (within the aqueous phase), or sedimented</w:t>
      </w:r>
      <w:r w:rsidR="00E25EBB">
        <w:rPr>
          <w:bCs/>
        </w:rPr>
        <w:t>,</w:t>
      </w:r>
      <w:r w:rsidR="00AE1240">
        <w:rPr>
          <w:bCs/>
        </w:rPr>
        <w:t xml:space="preserve"> </w:t>
      </w:r>
      <w:r w:rsidR="00E25EBB">
        <w:rPr>
          <w:bCs/>
        </w:rPr>
        <w:t>h</w:t>
      </w:r>
      <w:r w:rsidR="00AE1240">
        <w:rPr>
          <w:bCs/>
        </w:rPr>
        <w:t xml:space="preserve">ence, </w:t>
      </w:r>
      <w:r w:rsidR="00E25EBB">
        <w:rPr>
          <w:bCs/>
        </w:rPr>
        <w:t>un</w:t>
      </w:r>
      <w:r w:rsidR="00E25EBB" w:rsidRPr="00CF600D">
        <w:rPr>
          <w:bCs/>
        </w:rPr>
        <w:t>entrapped</w:t>
      </w:r>
      <w:r w:rsidR="00761A16">
        <w:rPr>
          <w:bCs/>
        </w:rPr>
        <w:t xml:space="preserve"> </w:t>
      </w:r>
      <w:r w:rsidR="00E25EBB">
        <w:rPr>
          <w:bCs/>
        </w:rPr>
        <w:t xml:space="preserve">is </w:t>
      </w:r>
      <w:r w:rsidR="00DE6A2F">
        <w:rPr>
          <w:bCs/>
        </w:rPr>
        <w:t>separated</w:t>
      </w:r>
      <w:r w:rsidR="00E25EBB">
        <w:rPr>
          <w:bCs/>
        </w:rPr>
        <w:t xml:space="preserve"> by filtration </w:t>
      </w:r>
      <w:r w:rsidR="00E25EBB">
        <w:rPr>
          <w:lang w:val="en-US"/>
        </w:rPr>
        <w:fldChar w:fldCharType="begin"/>
      </w:r>
      <w:r w:rsidR="00EA5690">
        <w:rPr>
          <w:lang w:val="en-US"/>
        </w:rPr>
        <w:instrText xml:space="preserve"> ADDIN ZOTERO_ITEM CSL_CITATION {"citationID":"8l1Qqi5q","properties":{"formattedCitation":"(18\\uc0\\u8211{}20)","plainCitation":"(18–20)","noteIndex":0},"citationItems":[{"id":19,"uris":["http://zotero.org/users/5477069/items/HCBWM8PZ"],"uri":["http://zotero.org/users/5477069/items/HCBWM8PZ"],"itemData":{"id":19,"type":"article-journal","title":"Novel paclitaxel formulations solubilized by parenteral nutrition nanoemulsions for application against glioma cell lines","container-title":"International journal of pharmaceutics","page":"102–109","volume":"506","issue":"1-2","source":"Google Scholar","author":[{"family":"Najlah","given":"Mohammad"},{"family":"Kadam","given":"Alisha"},{"family":"Wan","given":"Ka-Wai"},{"family":"Ahmed","given":"Waqar"},{"family":"Taylor","given":"Kevin MG"},{"family":"Elhissi","given":"Abdelbary MA"}],"issued":{"date-parts":[["2016"]]}}},{"id":104,"uris":["http://zotero.org/users/5477069/items/PBB8FFQ6"],"uri":["http://zotero.org/users/5477069/items/PBB8FFQ6"],"itemData":{"id":104,"type":"article-journal","title":"Formulation, characterization, and in vitro release of glyburide from proliposomal beads","container-title":"Drug Delivery","page":"25-27","volume":"8","issue":"1","source":"PubMed","abstract":"The objective of our study was to formulate and evaluate proliposomes in the form of enteric-coated beads using glyburide as a model drug. The beads were enteric coated with Eudragit L-100 by a fluidized bed coating process using triethyl citrate as plasticizer. Content uniformity of glyburide was estimated using HPLC analysis of beads dissolved in methanol. These proliposomal beads formed liposomes on disintegration in phosphate buffered saline (pH 7.4), which was confirmed by transmission electron microscopy. The dissolution study of enteric-coated beads exhibited enhanced dissolution compared with pure drug and a marketed product. Liposomes can be successfully prepared for oral administration in the form of enteric-coated beads that may offer a stable system to produce liposomes for oral administration.","DOI":"10.1080/107175401300002720","ISSN":"1071-7544","note":"PMID: 11280440","journalAbbreviation":"Drug Deliv","language":"eng","author":[{"family":"Kumar","given":"R."},{"family":"Gupta","given":"R. B."},{"family":"Betageri","given":"G. V."}],"issued":{"date-parts":[["2001",3]]}}},{"id":102,"uris":["http://zotero.org/users/5477069/items/TL6J64L7"],"uri":["http://zotero.org/users/5477069/items/TL6J64L7"],"itemData":{"id":102,"type":"article-journal","title":"A comprehensive production method of self-cryoprotected nano-liposome powders","container-title":"International Journal of Pharmaceutics","page":"153-158","volume":"486","issue":"1-2","source":"PubMed","abstract":"This study provided a convenient approach for large scale production of hydrogenated soya phosphatidylcholine nano-liposome powders using beclometasone dipropionate as a model drug and sucrose as proliposome carrier. Fluid-bed coating was employed to manufacture proliposomes by coating sucrose with the phospholipid (5%, 10%, 15% and 20% weight gains), followed by hydration, size reduction using high pressure homogenization, and freeze-drying to yield stable nano-vesicles. High pressure homogenization was compared with probe-sonication in terms of liposome size, zeta potential and drug entrapment. Furthermore, the effect of freeze-drying on vesicle properties generated using both size reduction methods was evaluated. Results have shown that high-pressure homogenization followed by freeze-drying and rehydration tended to yield liposomes smaller than the corresponding vesicles downsized via probe-sonication, and all size measurements were in the range of 72.64-152.50 nm, indicating that freeze-drying was appropriate, regardless of the size reduction technique. The liposomes, regardless of size reduction technique and freeze drying had slightly negative zeta potential values or were almost neutral in surface charge. The entrapment efficiency of BDP in homogenized liposomes was found to increase following freeze-drying, hence the drug entrapment efficiency values in rehydrated liposomes were 64.9%, 57%, 69.5% and 64.5% for 5%, 10%, 15% and 20% weight gains respectively. In this study, we have reported a reliable production method of nano-liposomes based on widely applicable industrial technologies such as fluid-bed coating, high pressure homogenization and freeze-drying. Moreover, sucrose played a dual role as a carrier in the proliposome formulations and as a cryoprotectant during freeze-drying.","DOI":"10.1016/j.ijpharm.2015.03.038","ISSN":"1873-3476","note":"PMID: 25796123","journalAbbreviation":"Int J Pharm","language":"eng","author":[{"family":"Gala","given":"Rikhav P."},{"family":"Khan","given":"Iftikhar"},{"family":"Elhissi","given":"Abdelbary M. A."},{"family":"Alhnan","given":"Mohamed A."}],"issued":{"date-parts":[["2015"]]}}}],"schema":"https://github.com/citation-style-language/schema/raw/master/csl-citation.json"} </w:instrText>
      </w:r>
      <w:r w:rsidR="00E25EBB">
        <w:rPr>
          <w:lang w:val="en-US"/>
        </w:rPr>
        <w:fldChar w:fldCharType="separate"/>
      </w:r>
      <w:r w:rsidR="00E25EBB" w:rsidRPr="002832DD">
        <w:t>(18–20)</w:t>
      </w:r>
      <w:r w:rsidR="00E25EBB">
        <w:rPr>
          <w:lang w:val="en-US"/>
        </w:rPr>
        <w:fldChar w:fldCharType="end"/>
      </w:r>
      <w:r w:rsidR="00E25EBB">
        <w:rPr>
          <w:lang w:val="en-US"/>
        </w:rPr>
        <w:t>.</w:t>
      </w:r>
      <w:r w:rsidR="00E25EBB">
        <w:rPr>
          <w:bCs/>
        </w:rPr>
        <w:t xml:space="preserve"> </w:t>
      </w:r>
      <w:r w:rsidR="005A6A38" w:rsidRPr="005A6A38">
        <w:rPr>
          <w:lang w:val="en-US"/>
        </w:rPr>
        <w:t xml:space="preserve">The nanoemulsion formulations containing (10, 30 and 50 mg per 10 ml) were filtered through a 0.4 µm pore-size syringe filter (Fisher Scientific, UK). The filter was washed with HPLC water until the solution ran clear. The filter was then placed in </w:t>
      </w:r>
      <w:r w:rsidR="002C6E89">
        <w:rPr>
          <w:lang w:val="en-US"/>
        </w:rPr>
        <w:t xml:space="preserve">a mixture of </w:t>
      </w:r>
      <w:r w:rsidR="005A6A38" w:rsidRPr="005A6A38">
        <w:rPr>
          <w:lang w:val="en-US"/>
        </w:rPr>
        <w:t>ethanol</w:t>
      </w:r>
      <w:r w:rsidR="002C6E89">
        <w:rPr>
          <w:lang w:val="en-US"/>
        </w:rPr>
        <w:t xml:space="preserve"> and </w:t>
      </w:r>
      <w:r w:rsidRPr="005A6A38">
        <w:rPr>
          <w:lang w:val="en-US"/>
        </w:rPr>
        <w:t>ac</w:t>
      </w:r>
      <w:r>
        <w:rPr>
          <w:lang w:val="en-US"/>
        </w:rPr>
        <w:t>e</w:t>
      </w:r>
      <w:r w:rsidRPr="005A6A38">
        <w:rPr>
          <w:lang w:val="en-US"/>
        </w:rPr>
        <w:t xml:space="preserve">tic </w:t>
      </w:r>
      <w:r w:rsidR="005A6A38" w:rsidRPr="005A6A38">
        <w:rPr>
          <w:lang w:val="en-US"/>
        </w:rPr>
        <w:t xml:space="preserve">acid </w:t>
      </w:r>
      <w:r w:rsidR="002C6E89">
        <w:rPr>
          <w:lang w:val="en-US"/>
        </w:rPr>
        <w:t>(</w:t>
      </w:r>
      <w:r w:rsidR="005A6A38" w:rsidRPr="005A6A38">
        <w:rPr>
          <w:lang w:val="en-US"/>
        </w:rPr>
        <w:t>2%</w:t>
      </w:r>
      <w:r w:rsidR="002C6E89">
        <w:rPr>
          <w:lang w:val="en-US"/>
        </w:rPr>
        <w:t>)</w:t>
      </w:r>
      <w:r w:rsidR="005A6A38" w:rsidRPr="005A6A38">
        <w:rPr>
          <w:lang w:val="en-US"/>
        </w:rPr>
        <w:t xml:space="preserve"> (50:50)</w:t>
      </w:r>
      <w:r w:rsidR="002C6E89">
        <w:rPr>
          <w:lang w:val="en-US"/>
        </w:rPr>
        <w:t>,</w:t>
      </w:r>
      <w:r w:rsidR="005A6A38" w:rsidRPr="005A6A38">
        <w:rPr>
          <w:lang w:val="en-US"/>
        </w:rPr>
        <w:t xml:space="preserve"> </w:t>
      </w:r>
      <w:r w:rsidR="002C6E89">
        <w:rPr>
          <w:lang w:val="en-US"/>
        </w:rPr>
        <w:t>in order to extract the drug and</w:t>
      </w:r>
      <w:r w:rsidR="005A6A38" w:rsidRPr="005A6A38">
        <w:rPr>
          <w:lang w:val="en-US"/>
        </w:rPr>
        <w:t xml:space="preserve"> the proportion of </w:t>
      </w:r>
      <w:r w:rsidR="002C6E89">
        <w:rPr>
          <w:lang w:val="en-US"/>
        </w:rPr>
        <w:t xml:space="preserve">the </w:t>
      </w:r>
      <w:r w:rsidR="005A6A38" w:rsidRPr="005A6A38">
        <w:rPr>
          <w:lang w:val="en-US"/>
        </w:rPr>
        <w:t xml:space="preserve">un-entrapped </w:t>
      </w:r>
      <w:r w:rsidR="002C6E89">
        <w:rPr>
          <w:lang w:val="en-US"/>
        </w:rPr>
        <w:t>fraction</w:t>
      </w:r>
      <w:r w:rsidR="005A6A38" w:rsidRPr="005A6A38">
        <w:rPr>
          <w:lang w:val="en-US"/>
        </w:rPr>
        <w:t xml:space="preserve">. The entrapped drug was confirmed by diluting 0.1 ml of </w:t>
      </w:r>
      <w:r w:rsidR="002C6E89">
        <w:rPr>
          <w:lang w:val="en-US"/>
        </w:rPr>
        <w:t xml:space="preserve">the </w:t>
      </w:r>
      <w:r w:rsidR="005A6A38" w:rsidRPr="005A6A38">
        <w:rPr>
          <w:lang w:val="en-US"/>
        </w:rPr>
        <w:t>filtrate with ethanol</w:t>
      </w:r>
      <w:r w:rsidR="002C6E89">
        <w:rPr>
          <w:lang w:val="en-US"/>
        </w:rPr>
        <w:t xml:space="preserve"> and </w:t>
      </w:r>
      <w:r w:rsidRPr="005A6A38">
        <w:rPr>
          <w:lang w:val="en-US"/>
        </w:rPr>
        <w:t>ac</w:t>
      </w:r>
      <w:r>
        <w:rPr>
          <w:lang w:val="en-US"/>
        </w:rPr>
        <w:t>e</w:t>
      </w:r>
      <w:r w:rsidRPr="005A6A38">
        <w:rPr>
          <w:lang w:val="en-US"/>
        </w:rPr>
        <w:t xml:space="preserve">tic </w:t>
      </w:r>
      <w:r w:rsidR="005A6A38" w:rsidRPr="005A6A38">
        <w:rPr>
          <w:lang w:val="en-US"/>
        </w:rPr>
        <w:t>acid 2% (50:50). Un-entrapped and entrapped drug</w:t>
      </w:r>
      <w:r w:rsidR="002C6E89">
        <w:rPr>
          <w:lang w:val="en-US"/>
        </w:rPr>
        <w:t xml:space="preserve"> fractions</w:t>
      </w:r>
      <w:r w:rsidR="005A6A38" w:rsidRPr="005A6A38">
        <w:rPr>
          <w:lang w:val="en-US"/>
        </w:rPr>
        <w:t xml:space="preserve"> </w:t>
      </w:r>
      <w:r w:rsidR="002C6E89">
        <w:rPr>
          <w:lang w:val="en-US"/>
        </w:rPr>
        <w:t>were</w:t>
      </w:r>
      <w:r w:rsidR="002C6E89" w:rsidRPr="005A6A38">
        <w:rPr>
          <w:lang w:val="en-US"/>
        </w:rPr>
        <w:t xml:space="preserve"> </w:t>
      </w:r>
      <w:r w:rsidR="002C6E89">
        <w:rPr>
          <w:lang w:val="en-US"/>
        </w:rPr>
        <w:t>determined</w:t>
      </w:r>
      <w:r w:rsidR="002C6E89" w:rsidRPr="005A6A38">
        <w:rPr>
          <w:lang w:val="en-US"/>
        </w:rPr>
        <w:t xml:space="preserve"> </w:t>
      </w:r>
      <w:r w:rsidR="005A6A38" w:rsidRPr="005A6A38">
        <w:rPr>
          <w:lang w:val="en-US"/>
        </w:rPr>
        <w:t>by Dionex</w:t>
      </w:r>
      <w:r w:rsidR="00AE607D">
        <w:rPr>
          <w:lang w:val="en-US"/>
        </w:rPr>
        <w:t xml:space="preserve"> </w:t>
      </w:r>
      <w:r w:rsidR="005A6A38" w:rsidRPr="005A6A38">
        <w:rPr>
          <w:lang w:val="en-US"/>
        </w:rPr>
        <w:t>Ultimate 3000 UHPLC using methods reported by Wu et al</w:t>
      </w:r>
      <w:r w:rsidR="00C417B3">
        <w:rPr>
          <w:lang w:val="en-US"/>
        </w:rPr>
        <w:t xml:space="preserve"> </w:t>
      </w:r>
      <w:r w:rsidR="00C417B3">
        <w:rPr>
          <w:lang w:val="en-US"/>
        </w:rPr>
        <w:fldChar w:fldCharType="begin"/>
      </w:r>
      <w:r w:rsidR="002832DD">
        <w:rPr>
          <w:lang w:val="en-US"/>
        </w:rPr>
        <w:instrText xml:space="preserve"> ADDIN ZOTERO_ITEM CSL_CITATION {"citationID":"GRj4h34u","properties":{"formattedCitation":"(21)","plainCitation":"(21)","noteIndex":0},"citationItems":[{"id":626,"uris":["http://zotero.org/users/5477069/items/73KQS6AU"],"uri":["http://zotero.org/users/5477069/items/73KQS6AU"],"itemData":{"id":626,"type":"article-journal","title":"Analysis of Ciprofloxacin by a Simple High-Performance Liquid Chromatography Method","container-title":"Journal of Chromatographic Science","page":"490-495","volume":"46","issue":"6","source":"academic.oup.com","abstract":"Abstract.  A simple and sensitive high-performance liquid chromatographic method is described for the quantitative analysis of ciprofloxacin in pharmaceuticals","DOI":"10.1093/chromsci/46.6.490","ISSN":"0021-9665","journalAbbreviation":"J Chromatogr Sci","language":"en","author":[{"family":"Wu","given":"Shihn-Sheng"},{"family":"Chein","given":"Chih-Yuan"},{"family":"Wen","given":"Yen-Hsia"}],"issued":{"date-parts":[["2008",7,1]]}}}],"schema":"https://github.com/citation-style-language/schema/raw/master/csl-citation.json"} </w:instrText>
      </w:r>
      <w:r w:rsidR="00C417B3">
        <w:rPr>
          <w:lang w:val="en-US"/>
        </w:rPr>
        <w:fldChar w:fldCharType="separate"/>
      </w:r>
      <w:r w:rsidR="002832DD">
        <w:rPr>
          <w:noProof/>
          <w:lang w:val="en-US"/>
        </w:rPr>
        <w:t>(21)</w:t>
      </w:r>
      <w:r w:rsidR="00C417B3">
        <w:rPr>
          <w:lang w:val="en-US"/>
        </w:rPr>
        <w:fldChar w:fldCharType="end"/>
      </w:r>
      <w:r w:rsidR="005A6A38" w:rsidRPr="005A6A38">
        <w:rPr>
          <w:lang w:val="en-US"/>
        </w:rPr>
        <w:t>. CP was eluted on BetaBasic column 18 particle size 5µm, pore size 150A, 150mm L x 4.6mm (mobile phase: acetic acid 2%, acetonitrile (84:14, V/V), flow rate 1 ml/min, UV wavelength 280 nm, injection volume at 10 µL).</w:t>
      </w:r>
      <w:r w:rsidR="002C6E89">
        <w:rPr>
          <w:lang w:val="en-US"/>
        </w:rPr>
        <w:t xml:space="preserve"> </w:t>
      </w:r>
      <w:r w:rsidR="005A6A38" w:rsidRPr="005A6A38">
        <w:rPr>
          <w:lang w:val="en-US"/>
        </w:rPr>
        <w:t>The entrapment efficiency (EE</w:t>
      </w:r>
      <w:r w:rsidR="00AE607D">
        <w:rPr>
          <w:lang w:val="en-US"/>
        </w:rPr>
        <w:t xml:space="preserve"> </w:t>
      </w:r>
      <w:r w:rsidR="005A6A38" w:rsidRPr="005A6A38">
        <w:rPr>
          <w:lang w:val="en-US"/>
        </w:rPr>
        <w:t>%) (LE) of CP in nanoemulsion was calculated using equation 1:</w:t>
      </w:r>
    </w:p>
    <w:p w14:paraId="77DF91F8" w14:textId="77777777" w:rsidR="005A6A38" w:rsidRDefault="005A6A38" w:rsidP="005A6A38">
      <w:pPr>
        <w:pStyle w:val="MDPI31text"/>
        <w:rPr>
          <w:lang w:val="en-GB"/>
        </w:rPr>
      </w:pPr>
    </w:p>
    <w:p w14:paraId="56EFBE6B" w14:textId="77777777" w:rsidR="005A6A38" w:rsidRPr="007D7472" w:rsidRDefault="005A6A38" w:rsidP="005A6A38">
      <w:pPr>
        <w:pStyle w:val="MDPI16affiliation"/>
        <w:keepNext/>
      </w:pPr>
      <w:bookmarkStart w:id="1" w:name="_Ref326981"/>
      <m:oMath>
        <m:r>
          <w:rPr>
            <w:rFonts w:ascii="Cambria Math" w:hAnsi="Cambria Math"/>
            <w:color w:val="auto"/>
            <w:sz w:val="24"/>
            <w:szCs w:val="24"/>
            <w:lang w:val="en-GB" w:eastAsia="en-GB" w:bidi="ar-SA"/>
          </w:rPr>
          <m:t>EE</m:t>
        </m:r>
        <m:r>
          <m:rPr>
            <m:sty m:val="p"/>
          </m:rPr>
          <w:rPr>
            <w:rFonts w:ascii="Cambria Math" w:hAnsi="Cambria Math"/>
            <w:color w:val="auto"/>
            <w:sz w:val="24"/>
            <w:szCs w:val="24"/>
            <w:lang w:val="en-GB" w:eastAsia="en-GB" w:bidi="ar-SA"/>
          </w:rPr>
          <m:t xml:space="preserve">%= </m:t>
        </m:r>
        <m:f>
          <m:fPr>
            <m:ctrlPr>
              <w:rPr>
                <w:rFonts w:ascii="Cambria Math" w:hAnsi="Cambria Math"/>
                <w:color w:val="auto"/>
                <w:sz w:val="24"/>
                <w:szCs w:val="24"/>
                <w:lang w:val="en-GB" w:eastAsia="en-GB" w:bidi="ar-SA"/>
              </w:rPr>
            </m:ctrlPr>
          </m:fPr>
          <m:num>
            <m:r>
              <w:rPr>
                <w:rFonts w:ascii="Cambria Math" w:hAnsi="Cambria Math"/>
                <w:color w:val="auto"/>
                <w:sz w:val="24"/>
                <w:szCs w:val="24"/>
                <w:lang w:val="en-GB" w:eastAsia="en-GB" w:bidi="ar-SA"/>
              </w:rPr>
              <m:t>Amount</m:t>
            </m:r>
            <m:r>
              <m:rPr>
                <m:sty m:val="p"/>
              </m:rPr>
              <w:rPr>
                <w:rFonts w:ascii="Cambria Math" w:hAnsi="Cambria Math"/>
                <w:color w:val="auto"/>
                <w:sz w:val="24"/>
                <w:szCs w:val="24"/>
                <w:lang w:val="en-GB" w:eastAsia="en-GB" w:bidi="ar-SA"/>
              </w:rPr>
              <m:t xml:space="preserve"> </m:t>
            </m:r>
            <m:r>
              <w:rPr>
                <w:rFonts w:ascii="Cambria Math" w:hAnsi="Cambria Math"/>
                <w:color w:val="auto"/>
                <w:sz w:val="24"/>
                <w:szCs w:val="24"/>
                <w:lang w:val="en-GB" w:eastAsia="en-GB" w:bidi="ar-SA"/>
              </w:rPr>
              <m:t>of</m:t>
            </m:r>
            <m:r>
              <m:rPr>
                <m:sty m:val="p"/>
              </m:rPr>
              <w:rPr>
                <w:rFonts w:ascii="Cambria Math" w:hAnsi="Cambria Math"/>
                <w:color w:val="auto"/>
                <w:sz w:val="24"/>
                <w:szCs w:val="24"/>
                <w:lang w:val="en-GB" w:eastAsia="en-GB" w:bidi="ar-SA"/>
              </w:rPr>
              <m:t xml:space="preserve"> </m:t>
            </m:r>
            <m:r>
              <w:rPr>
                <w:rFonts w:ascii="Cambria Math" w:hAnsi="Cambria Math"/>
                <w:color w:val="auto"/>
                <w:sz w:val="24"/>
                <w:szCs w:val="24"/>
                <w:lang w:val="en-GB" w:eastAsia="en-GB" w:bidi="ar-SA"/>
              </w:rPr>
              <m:t>CP</m:t>
            </m:r>
            <m:r>
              <m:rPr>
                <m:sty m:val="p"/>
              </m:rPr>
              <w:rPr>
                <w:rFonts w:ascii="Cambria Math" w:hAnsi="Cambria Math"/>
                <w:color w:val="auto"/>
                <w:sz w:val="24"/>
                <w:szCs w:val="24"/>
                <w:lang w:val="en-GB" w:eastAsia="en-GB" w:bidi="ar-SA"/>
              </w:rPr>
              <m:t xml:space="preserve"> </m:t>
            </m:r>
            <m:r>
              <w:rPr>
                <w:rFonts w:ascii="Cambria Math" w:hAnsi="Cambria Math"/>
                <w:color w:val="auto"/>
                <w:sz w:val="24"/>
                <w:szCs w:val="24"/>
                <w:lang w:val="en-GB" w:eastAsia="en-GB" w:bidi="ar-SA"/>
              </w:rPr>
              <m:t>entrapped</m:t>
            </m:r>
          </m:num>
          <m:den>
            <m:r>
              <w:rPr>
                <w:rFonts w:ascii="Cambria Math" w:hAnsi="Cambria Math"/>
                <w:color w:val="auto"/>
                <w:sz w:val="24"/>
                <w:szCs w:val="24"/>
                <w:lang w:val="en-GB" w:eastAsia="en-GB" w:bidi="ar-SA"/>
              </w:rPr>
              <m:t>Total</m:t>
            </m:r>
            <m:r>
              <m:rPr>
                <m:sty m:val="p"/>
              </m:rPr>
              <w:rPr>
                <w:rFonts w:ascii="Cambria Math" w:hAnsi="Cambria Math"/>
                <w:color w:val="auto"/>
                <w:sz w:val="24"/>
                <w:szCs w:val="24"/>
                <w:lang w:val="en-GB" w:eastAsia="en-GB" w:bidi="ar-SA"/>
              </w:rPr>
              <m:t xml:space="preserve"> </m:t>
            </m:r>
            <m:r>
              <w:rPr>
                <w:rFonts w:ascii="Cambria Math" w:hAnsi="Cambria Math"/>
                <w:color w:val="auto"/>
                <w:sz w:val="24"/>
                <w:szCs w:val="24"/>
                <w:lang w:val="en-GB" w:eastAsia="en-GB" w:bidi="ar-SA"/>
              </w:rPr>
              <m:t>amount</m:t>
            </m:r>
            <m:r>
              <m:rPr>
                <m:sty m:val="p"/>
              </m:rPr>
              <w:rPr>
                <w:rFonts w:ascii="Cambria Math" w:hAnsi="Cambria Math"/>
                <w:color w:val="auto"/>
                <w:sz w:val="24"/>
                <w:szCs w:val="24"/>
                <w:lang w:val="en-GB" w:eastAsia="en-GB" w:bidi="ar-SA"/>
              </w:rPr>
              <m:t xml:space="preserve"> </m:t>
            </m:r>
            <m:r>
              <w:rPr>
                <w:rFonts w:ascii="Cambria Math" w:hAnsi="Cambria Math"/>
                <w:color w:val="auto"/>
                <w:sz w:val="24"/>
                <w:szCs w:val="24"/>
                <w:lang w:val="en-GB" w:eastAsia="en-GB" w:bidi="ar-SA"/>
              </w:rPr>
              <m:t>of</m:t>
            </m:r>
            <m:r>
              <m:rPr>
                <m:sty m:val="p"/>
              </m:rPr>
              <w:rPr>
                <w:rFonts w:ascii="Cambria Math" w:hAnsi="Cambria Math"/>
                <w:color w:val="auto"/>
                <w:sz w:val="24"/>
                <w:szCs w:val="24"/>
                <w:lang w:val="en-GB" w:eastAsia="en-GB" w:bidi="ar-SA"/>
              </w:rPr>
              <m:t xml:space="preserve"> </m:t>
            </m:r>
            <m:r>
              <w:rPr>
                <w:rFonts w:ascii="Cambria Math" w:hAnsi="Cambria Math"/>
                <w:color w:val="auto"/>
                <w:sz w:val="24"/>
                <w:szCs w:val="24"/>
                <w:lang w:val="en-GB" w:eastAsia="en-GB" w:bidi="ar-SA"/>
              </w:rPr>
              <m:t>CP</m:t>
            </m:r>
            <m:r>
              <m:rPr>
                <m:sty m:val="p"/>
              </m:rPr>
              <w:rPr>
                <w:rFonts w:ascii="Cambria Math" w:hAnsi="Cambria Math"/>
                <w:color w:val="auto"/>
                <w:sz w:val="24"/>
                <w:szCs w:val="24"/>
                <w:lang w:val="en-GB" w:eastAsia="en-GB" w:bidi="ar-SA"/>
              </w:rPr>
              <m:t xml:space="preserve"> </m:t>
            </m:r>
            <m:r>
              <w:rPr>
                <w:rFonts w:ascii="Cambria Math" w:hAnsi="Cambria Math"/>
                <w:color w:val="auto"/>
                <w:sz w:val="24"/>
                <w:szCs w:val="24"/>
                <w:lang w:val="en-GB" w:eastAsia="en-GB" w:bidi="ar-SA"/>
              </w:rPr>
              <m:t>in</m:t>
            </m:r>
            <m:r>
              <m:rPr>
                <m:sty m:val="p"/>
              </m:rPr>
              <w:rPr>
                <w:rFonts w:ascii="Cambria Math" w:hAnsi="Cambria Math"/>
                <w:color w:val="auto"/>
                <w:sz w:val="24"/>
                <w:szCs w:val="24"/>
                <w:lang w:val="en-GB" w:eastAsia="en-GB" w:bidi="ar-SA"/>
              </w:rPr>
              <m:t xml:space="preserve"> </m:t>
            </m:r>
            <m:r>
              <w:rPr>
                <w:rFonts w:ascii="Cambria Math" w:hAnsi="Cambria Math"/>
                <w:color w:val="auto"/>
                <w:sz w:val="24"/>
                <w:szCs w:val="24"/>
                <w:lang w:val="en-GB" w:eastAsia="en-GB" w:bidi="ar-SA"/>
              </w:rPr>
              <m:t>nanoemulsion</m:t>
            </m:r>
            <m:r>
              <m:rPr>
                <m:sty m:val="p"/>
              </m:rPr>
              <w:rPr>
                <w:rFonts w:ascii="Cambria Math" w:hAnsi="Cambria Math"/>
                <w:color w:val="auto"/>
                <w:sz w:val="24"/>
                <w:szCs w:val="24"/>
                <w:lang w:val="en-GB" w:eastAsia="en-GB" w:bidi="ar-SA"/>
              </w:rPr>
              <m:t xml:space="preserve"> </m:t>
            </m:r>
            <m:r>
              <w:rPr>
                <w:rFonts w:ascii="Cambria Math" w:hAnsi="Cambria Math"/>
                <w:color w:val="auto"/>
                <w:sz w:val="24"/>
                <w:szCs w:val="24"/>
                <w:lang w:val="en-GB" w:eastAsia="en-GB" w:bidi="ar-SA"/>
              </w:rPr>
              <m:t>formulation</m:t>
            </m:r>
          </m:den>
        </m:f>
        <m:r>
          <w:rPr>
            <w:rFonts w:ascii="Cambria Math" w:hAnsi="Cambria Math"/>
            <w:color w:val="auto"/>
            <w:sz w:val="24"/>
            <w:szCs w:val="24"/>
            <w:lang w:val="en-GB" w:eastAsia="en-GB" w:bidi="ar-SA"/>
          </w:rPr>
          <m:t xml:space="preserve"> X 100</m:t>
        </m:r>
        <m:r>
          <m:rPr>
            <m:sty m:val="p"/>
          </m:rPr>
          <w:rPr>
            <w:rFonts w:ascii="Cambria Math" w:hAnsi="Cambria Math"/>
            <w:color w:val="auto"/>
            <w:sz w:val="24"/>
            <w:szCs w:val="24"/>
            <w:lang w:val="en-GB" w:eastAsia="en-GB" w:bidi="ar-SA"/>
          </w:rPr>
          <m:t xml:space="preserve">        </m:t>
        </m:r>
        <m:r>
          <m:rPr>
            <m:sty m:val="p"/>
          </m:rPr>
          <w:rPr>
            <w:rFonts w:ascii="Cambria Math" w:hAnsi="Cambria Math"/>
            <w:sz w:val="20"/>
            <w:szCs w:val="20"/>
            <w:lang w:val="en-GB"/>
          </w:rPr>
          <m:t xml:space="preserve">              </m:t>
        </m:r>
      </m:oMath>
      <w:r w:rsidRPr="005A6A38">
        <w:rPr>
          <w:rFonts w:ascii="Times New Roman" w:hAnsi="Times New Roman"/>
          <w:color w:val="auto"/>
          <w:sz w:val="24"/>
          <w:szCs w:val="24"/>
          <w:lang w:val="en-GB" w:eastAsia="en-GB" w:bidi="ar-SA"/>
        </w:rPr>
        <w:t>Equation (1</w:t>
      </w:r>
      <w:bookmarkEnd w:id="1"/>
      <w:r w:rsidRPr="005A6A38">
        <w:rPr>
          <w:rFonts w:ascii="Times New Roman" w:hAnsi="Times New Roman"/>
          <w:color w:val="auto"/>
          <w:sz w:val="24"/>
          <w:szCs w:val="24"/>
          <w:lang w:val="en-GB" w:eastAsia="en-GB" w:bidi="ar-SA"/>
        </w:rPr>
        <w:t>)</w:t>
      </w:r>
    </w:p>
    <w:p w14:paraId="4668FB4B" w14:textId="77777777" w:rsidR="005A6A38" w:rsidRPr="00AE09ED" w:rsidRDefault="005A6A38" w:rsidP="005A6A38">
      <w:pPr>
        <w:pStyle w:val="MDPI16affiliation"/>
      </w:pPr>
      <w:r>
        <w:rPr>
          <w:lang w:val="en-GB"/>
        </w:rPr>
        <w:t xml:space="preserve"> </w:t>
      </w:r>
      <w:r>
        <w:rPr>
          <w:lang w:val="en-GB"/>
        </w:rPr>
        <w:tab/>
      </w:r>
      <w:r>
        <w:rPr>
          <w:lang w:val="en-GB"/>
        </w:rPr>
        <w:tab/>
      </w:r>
      <w:r>
        <w:rPr>
          <w:lang w:val="en-GB"/>
        </w:rPr>
        <w:tab/>
      </w:r>
      <w:r>
        <w:rPr>
          <w:lang w:val="en-GB"/>
        </w:rPr>
        <w:tab/>
      </w:r>
      <w:r>
        <w:rPr>
          <w:lang w:val="en-GB"/>
        </w:rPr>
        <w:tab/>
      </w:r>
    </w:p>
    <w:p w14:paraId="447D3FB7" w14:textId="77777777" w:rsidR="005A6A38" w:rsidRDefault="005A6A38" w:rsidP="005A6A38">
      <w:pPr>
        <w:pStyle w:val="MDPI31text"/>
        <w:rPr>
          <w:lang w:val="en-GB"/>
        </w:rPr>
      </w:pPr>
    </w:p>
    <w:p w14:paraId="140236A9" w14:textId="24332640" w:rsidR="005A6A38" w:rsidRPr="005A6A38" w:rsidRDefault="005A6A38" w:rsidP="002C6E89">
      <w:pPr>
        <w:pStyle w:val="MDPI31text"/>
        <w:ind w:firstLine="0"/>
        <w:rPr>
          <w:rFonts w:ascii="Times New Roman" w:hAnsi="Times New Roman" w:cs="Arial"/>
          <w:bCs/>
          <w:i/>
          <w:snapToGrid/>
          <w:color w:val="auto"/>
          <w:sz w:val="24"/>
          <w:szCs w:val="26"/>
          <w:lang w:val="en-GB" w:eastAsia="en-GB" w:bidi="ar-SA"/>
        </w:rPr>
      </w:pPr>
      <w:bookmarkStart w:id="2" w:name="_MON_1395147480"/>
      <w:bookmarkStart w:id="3" w:name="_MON_1395147492"/>
      <w:bookmarkStart w:id="4" w:name="_MON_1395147538"/>
      <w:bookmarkEnd w:id="2"/>
      <w:bookmarkEnd w:id="3"/>
      <w:bookmarkEnd w:id="4"/>
      <w:r w:rsidRPr="005A6A38">
        <w:rPr>
          <w:rFonts w:ascii="Times New Roman" w:hAnsi="Times New Roman" w:cs="Arial"/>
          <w:bCs/>
          <w:i/>
          <w:snapToGrid/>
          <w:color w:val="auto"/>
          <w:sz w:val="24"/>
          <w:szCs w:val="26"/>
          <w:lang w:val="en-GB" w:eastAsia="en-GB" w:bidi="ar-SA"/>
        </w:rPr>
        <w:t>2.2.5</w:t>
      </w:r>
      <w:bookmarkStart w:id="5" w:name="_Hlk535316117"/>
      <w:r w:rsidRPr="005A6A38">
        <w:rPr>
          <w:rFonts w:ascii="Times New Roman" w:hAnsi="Times New Roman" w:cs="Arial"/>
          <w:bCs/>
          <w:i/>
          <w:snapToGrid/>
          <w:color w:val="auto"/>
          <w:sz w:val="24"/>
          <w:szCs w:val="26"/>
          <w:lang w:val="en-GB" w:eastAsia="en-GB" w:bidi="ar-SA"/>
        </w:rPr>
        <w:t xml:space="preserve">. In vitro release </w:t>
      </w:r>
      <w:r w:rsidR="002C6E89">
        <w:rPr>
          <w:rFonts w:ascii="Times New Roman" w:hAnsi="Times New Roman" w:cs="Arial"/>
          <w:bCs/>
          <w:i/>
          <w:snapToGrid/>
          <w:color w:val="auto"/>
          <w:sz w:val="24"/>
          <w:szCs w:val="26"/>
          <w:lang w:val="en-GB" w:eastAsia="en-GB" w:bidi="ar-SA"/>
        </w:rPr>
        <w:t xml:space="preserve">study </w:t>
      </w:r>
      <w:r w:rsidRPr="005A6A38">
        <w:rPr>
          <w:rFonts w:ascii="Times New Roman" w:hAnsi="Times New Roman" w:cs="Arial"/>
          <w:bCs/>
          <w:i/>
          <w:snapToGrid/>
          <w:color w:val="auto"/>
          <w:sz w:val="24"/>
          <w:szCs w:val="26"/>
          <w:lang w:val="en-GB" w:eastAsia="en-GB" w:bidi="ar-SA"/>
        </w:rPr>
        <w:t xml:space="preserve">of </w:t>
      </w:r>
      <w:bookmarkEnd w:id="5"/>
      <w:r w:rsidRPr="005A6A38">
        <w:rPr>
          <w:rFonts w:ascii="Times New Roman" w:hAnsi="Times New Roman" w:cs="Arial"/>
          <w:bCs/>
          <w:i/>
          <w:snapToGrid/>
          <w:color w:val="auto"/>
          <w:sz w:val="24"/>
          <w:szCs w:val="26"/>
          <w:lang w:val="en-GB" w:eastAsia="en-GB" w:bidi="ar-SA"/>
        </w:rPr>
        <w:t>CP</w:t>
      </w:r>
    </w:p>
    <w:p w14:paraId="33F7A971" w14:textId="77777777" w:rsidR="005A6A38" w:rsidRPr="006E2D1D" w:rsidRDefault="005A6A38" w:rsidP="005A6A38">
      <w:pPr>
        <w:pStyle w:val="MDPI31text"/>
        <w:ind w:firstLine="0"/>
        <w:rPr>
          <w:lang w:val="en-GB"/>
        </w:rPr>
      </w:pPr>
    </w:p>
    <w:p w14:paraId="3F2C28CC" w14:textId="445DE139" w:rsidR="005A6A38" w:rsidRPr="00F74F1B" w:rsidRDefault="005A6A38" w:rsidP="00FB1529">
      <w:pPr>
        <w:pStyle w:val="Paragraph"/>
        <w:jc w:val="both"/>
        <w:rPr>
          <w:lang w:val="en-US"/>
        </w:rPr>
      </w:pPr>
      <w:bookmarkStart w:id="6" w:name="_Hlk351116"/>
      <w:r w:rsidRPr="00F74F1B">
        <w:rPr>
          <w:lang w:val="en-US"/>
        </w:rPr>
        <w:t xml:space="preserve">The release of CP from formulations was investigated using dialysis. Prior to assay, loaded formulations of 1 mg/ml batches were filtered through 0.4 µm sterile syringe filters to remove unloaded CP, as described earlier in section 2.2.4. Considering the loading efficiency, volumes of each formulation containing 0.5 mg of CP </w:t>
      </w:r>
      <w:r w:rsidR="00A12B90" w:rsidRPr="00F74F1B">
        <w:rPr>
          <w:lang w:val="en-US"/>
        </w:rPr>
        <w:t>w</w:t>
      </w:r>
      <w:r w:rsidR="00A12B90">
        <w:rPr>
          <w:lang w:val="en-US"/>
        </w:rPr>
        <w:t>ere</w:t>
      </w:r>
      <w:r w:rsidR="00A12B90" w:rsidRPr="00F74F1B">
        <w:rPr>
          <w:lang w:val="en-US"/>
        </w:rPr>
        <w:t xml:space="preserve"> </w:t>
      </w:r>
      <w:r w:rsidRPr="00F74F1B">
        <w:rPr>
          <w:lang w:val="en-US"/>
        </w:rPr>
        <w:t>top</w:t>
      </w:r>
      <w:r w:rsidR="00CD7EBB">
        <w:rPr>
          <w:lang w:val="en-US"/>
        </w:rPr>
        <w:t>p</w:t>
      </w:r>
      <w:r w:rsidRPr="00F74F1B">
        <w:rPr>
          <w:lang w:val="en-US"/>
        </w:rPr>
        <w:t xml:space="preserve">ed up to 1 ml with </w:t>
      </w:r>
      <w:r w:rsidR="00CD2C66">
        <w:t xml:space="preserve">HPLC-grade </w:t>
      </w:r>
      <w:r w:rsidRPr="00F74F1B">
        <w:rPr>
          <w:lang w:val="en-US"/>
        </w:rPr>
        <w:t>water and placed in a dialysis tube (MWCO 3500) and tightly sealed. For free drug, 0.5 mg CP was dissolved in 1 ml of a mixture constituting ethanol</w:t>
      </w:r>
      <w:r w:rsidR="00FB1529">
        <w:rPr>
          <w:lang w:val="en-US"/>
        </w:rPr>
        <w:t>,</w:t>
      </w:r>
      <w:r w:rsidR="00FB1529" w:rsidRPr="00F74F1B">
        <w:rPr>
          <w:lang w:val="en-US"/>
        </w:rPr>
        <w:t xml:space="preserve"> </w:t>
      </w:r>
      <w:r w:rsidRPr="00F74F1B">
        <w:rPr>
          <w:lang w:val="en-US"/>
        </w:rPr>
        <w:t>water</w:t>
      </w:r>
      <w:r w:rsidR="00FB1529">
        <w:rPr>
          <w:lang w:val="en-US"/>
        </w:rPr>
        <w:t xml:space="preserve"> and</w:t>
      </w:r>
      <w:r w:rsidRPr="00F74F1B">
        <w:rPr>
          <w:lang w:val="en-US"/>
        </w:rPr>
        <w:t xml:space="preserve"> tween 80 (50:49.9:0.1). Then, the dialysis tube was immersed in 50 ml (total volume) release medium (PBS pH 7.4) containing 0.1% (v/v) Tween 80 </w:t>
      </w:r>
      <w:r w:rsidR="00FB1529">
        <w:rPr>
          <w:lang w:val="en-US"/>
        </w:rPr>
        <w:t>followed by</w:t>
      </w:r>
      <w:r w:rsidR="00FB1529" w:rsidRPr="00F74F1B">
        <w:rPr>
          <w:lang w:val="en-US"/>
        </w:rPr>
        <w:t xml:space="preserve"> incubat</w:t>
      </w:r>
      <w:r w:rsidR="00FB1529">
        <w:rPr>
          <w:lang w:val="en-US"/>
        </w:rPr>
        <w:t>ion</w:t>
      </w:r>
      <w:r w:rsidR="00FB1529" w:rsidRPr="00F74F1B">
        <w:rPr>
          <w:lang w:val="en-US"/>
        </w:rPr>
        <w:t xml:space="preserve"> </w:t>
      </w:r>
      <w:r w:rsidRPr="00F74F1B">
        <w:rPr>
          <w:lang w:val="en-US"/>
        </w:rPr>
        <w:t>with stirring for 24 h at 37</w:t>
      </w:r>
      <w:r w:rsidRPr="009F19D9">
        <w:rPr>
          <w:vertAlign w:val="superscript"/>
          <w:lang w:val="en-US"/>
        </w:rPr>
        <w:t>o</w:t>
      </w:r>
      <w:r w:rsidRPr="00F74F1B">
        <w:rPr>
          <w:lang w:val="en-US"/>
        </w:rPr>
        <w:t>C. Samples (0.2 ml) were taken at time intervals</w:t>
      </w:r>
      <w:r w:rsidR="00CD7EBB">
        <w:rPr>
          <w:lang w:val="en-US"/>
        </w:rPr>
        <w:t xml:space="preserve"> (1, 2, 4, 6, 8 and 24 h)</w:t>
      </w:r>
      <w:r w:rsidRPr="00F74F1B">
        <w:rPr>
          <w:lang w:val="en-US"/>
        </w:rPr>
        <w:t xml:space="preserve"> from the release medium for 24 h and replaced by similar volume</w:t>
      </w:r>
      <w:r w:rsidR="00FB1529">
        <w:rPr>
          <w:lang w:val="en-US"/>
        </w:rPr>
        <w:t>s</w:t>
      </w:r>
      <w:r w:rsidRPr="00F74F1B">
        <w:rPr>
          <w:lang w:val="en-US"/>
        </w:rPr>
        <w:t xml:space="preserve"> of fresh medium. The concentration of CP was determined by Dionex</w:t>
      </w:r>
      <w:r w:rsidR="00AE607D">
        <w:rPr>
          <w:lang w:val="en-US"/>
        </w:rPr>
        <w:t xml:space="preserve"> </w:t>
      </w:r>
      <w:r w:rsidRPr="00F74F1B">
        <w:rPr>
          <w:lang w:val="en-US"/>
        </w:rPr>
        <w:t xml:space="preserve">Ultimate 3000 UHPLC </w:t>
      </w:r>
      <w:r w:rsidR="00FB1529">
        <w:rPr>
          <w:lang w:val="en-US"/>
        </w:rPr>
        <w:t>using the method</w:t>
      </w:r>
      <w:r w:rsidR="00FB1529" w:rsidRPr="00F74F1B">
        <w:rPr>
          <w:lang w:val="en-US"/>
        </w:rPr>
        <w:t xml:space="preserve"> </w:t>
      </w:r>
      <w:r w:rsidRPr="00F74F1B">
        <w:rPr>
          <w:lang w:val="en-US"/>
        </w:rPr>
        <w:t xml:space="preserve">described </w:t>
      </w:r>
      <w:r w:rsidR="00FB1529">
        <w:rPr>
          <w:lang w:val="en-US"/>
        </w:rPr>
        <w:t>earlier</w:t>
      </w:r>
      <w:r w:rsidRPr="00F74F1B">
        <w:rPr>
          <w:lang w:val="en-US"/>
        </w:rPr>
        <w:t>.</w:t>
      </w:r>
      <w:bookmarkEnd w:id="6"/>
    </w:p>
    <w:p w14:paraId="1C25DE4C" w14:textId="77777777" w:rsidR="005A6A38" w:rsidRPr="005A6A38" w:rsidRDefault="005A6A38" w:rsidP="005A6A38">
      <w:pPr>
        <w:pStyle w:val="MDPI31text"/>
        <w:ind w:firstLine="0"/>
        <w:rPr>
          <w:rFonts w:ascii="Times New Roman" w:hAnsi="Times New Roman" w:cs="Arial"/>
          <w:bCs/>
          <w:i/>
          <w:snapToGrid/>
          <w:color w:val="auto"/>
          <w:sz w:val="24"/>
          <w:szCs w:val="26"/>
          <w:lang w:val="en-GB" w:eastAsia="en-GB" w:bidi="ar-SA"/>
        </w:rPr>
      </w:pPr>
      <w:r w:rsidRPr="005A6A38">
        <w:rPr>
          <w:rFonts w:ascii="Times New Roman" w:hAnsi="Times New Roman" w:cs="Arial"/>
          <w:bCs/>
          <w:i/>
          <w:snapToGrid/>
          <w:color w:val="auto"/>
          <w:sz w:val="24"/>
          <w:szCs w:val="26"/>
          <w:lang w:val="en-GB" w:eastAsia="en-GB" w:bidi="ar-SA"/>
        </w:rPr>
        <w:t xml:space="preserve">2.2.6. Stability studies, </w:t>
      </w:r>
    </w:p>
    <w:p w14:paraId="73CDC852" w14:textId="5AD3B515" w:rsidR="005A6A38" w:rsidRPr="00F74F1B" w:rsidRDefault="005A6A38" w:rsidP="00FB1529">
      <w:pPr>
        <w:pStyle w:val="Paragraph"/>
        <w:jc w:val="both"/>
        <w:rPr>
          <w:lang w:val="en-US"/>
        </w:rPr>
      </w:pPr>
      <w:r w:rsidRPr="00F74F1B">
        <w:rPr>
          <w:lang w:val="en-US"/>
        </w:rPr>
        <w:t>Products were stored at 4 ± 2</w:t>
      </w:r>
      <w:r w:rsidR="006130F9">
        <w:rPr>
          <w:lang w:val="en-US"/>
        </w:rPr>
        <w:t xml:space="preserve"> </w:t>
      </w:r>
      <w:r w:rsidR="006130F9" w:rsidRPr="009F19D9">
        <w:rPr>
          <w:vertAlign w:val="superscript"/>
          <w:lang w:val="en-US"/>
        </w:rPr>
        <w:t>o</w:t>
      </w:r>
      <w:r w:rsidRPr="00F74F1B">
        <w:rPr>
          <w:lang w:val="en-US"/>
        </w:rPr>
        <w:t>C using a lab fridge or at 25 ± 1</w:t>
      </w:r>
      <w:r w:rsidR="006130F9" w:rsidRPr="009F19D9">
        <w:rPr>
          <w:vertAlign w:val="superscript"/>
          <w:lang w:val="en-US"/>
        </w:rPr>
        <w:t>o</w:t>
      </w:r>
      <w:r w:rsidRPr="00F74F1B">
        <w:rPr>
          <w:lang w:val="en-US"/>
        </w:rPr>
        <w:t>C/60</w:t>
      </w:r>
      <w:r w:rsidR="00184F5B">
        <w:rPr>
          <w:lang w:val="en-US"/>
        </w:rPr>
        <w:t xml:space="preserve"> </w:t>
      </w:r>
      <w:r w:rsidRPr="00F74F1B">
        <w:rPr>
          <w:lang w:val="en-US"/>
        </w:rPr>
        <w:t>%RH ± 2</w:t>
      </w:r>
      <w:r w:rsidR="00184F5B">
        <w:rPr>
          <w:lang w:val="en-US"/>
        </w:rPr>
        <w:t xml:space="preserve"> </w:t>
      </w:r>
      <w:r w:rsidRPr="00F74F1B">
        <w:rPr>
          <w:lang w:val="en-US"/>
        </w:rPr>
        <w:t>% RH using Climate Chamber ICH110L (Memmert GmbH, Germany). Sample</w:t>
      </w:r>
      <w:r w:rsidR="00A12B90">
        <w:rPr>
          <w:lang w:val="en-US"/>
        </w:rPr>
        <w:t>s</w:t>
      </w:r>
      <w:r w:rsidRPr="00F74F1B">
        <w:rPr>
          <w:lang w:val="en-US"/>
        </w:rPr>
        <w:t xml:space="preserve"> were collected every 30 days and </w:t>
      </w:r>
      <w:r w:rsidR="00AE607D" w:rsidRPr="00F74F1B">
        <w:rPr>
          <w:lang w:val="en-US"/>
        </w:rPr>
        <w:t>analyzed</w:t>
      </w:r>
      <w:r w:rsidRPr="00F74F1B">
        <w:rPr>
          <w:lang w:val="en-US"/>
        </w:rPr>
        <w:t xml:space="preserve"> as </w:t>
      </w:r>
      <w:r w:rsidR="00FB1529">
        <w:rPr>
          <w:lang w:val="en-US"/>
        </w:rPr>
        <w:t xml:space="preserve">described </w:t>
      </w:r>
      <w:r w:rsidRPr="00F74F1B">
        <w:rPr>
          <w:lang w:val="en-US"/>
        </w:rPr>
        <w:t>above.</w:t>
      </w:r>
    </w:p>
    <w:p w14:paraId="388AF344" w14:textId="77777777" w:rsidR="005A6A38" w:rsidRPr="005A6A38" w:rsidRDefault="005A6A38" w:rsidP="005A6A38">
      <w:pPr>
        <w:pStyle w:val="MDPI31text"/>
        <w:ind w:firstLine="0"/>
        <w:rPr>
          <w:rFonts w:ascii="Times New Roman" w:hAnsi="Times New Roman" w:cs="Arial"/>
          <w:bCs/>
          <w:i/>
          <w:snapToGrid/>
          <w:color w:val="auto"/>
          <w:sz w:val="24"/>
          <w:szCs w:val="26"/>
          <w:lang w:val="en-GB" w:eastAsia="en-GB" w:bidi="ar-SA"/>
        </w:rPr>
      </w:pPr>
      <w:r w:rsidRPr="005A6A38">
        <w:rPr>
          <w:rFonts w:ascii="Times New Roman" w:hAnsi="Times New Roman" w:cs="Arial"/>
          <w:bCs/>
          <w:i/>
          <w:snapToGrid/>
          <w:color w:val="auto"/>
          <w:sz w:val="24"/>
          <w:szCs w:val="26"/>
          <w:lang w:val="en-GB" w:eastAsia="en-GB" w:bidi="ar-SA"/>
        </w:rPr>
        <w:t>2.2.7. Statistical analysis</w:t>
      </w:r>
    </w:p>
    <w:p w14:paraId="45A34CBF" w14:textId="685561A3" w:rsidR="005A6A38" w:rsidRPr="00F74F1B" w:rsidRDefault="005A6A38" w:rsidP="00FB1529">
      <w:pPr>
        <w:pStyle w:val="Paragraph"/>
        <w:jc w:val="both"/>
        <w:rPr>
          <w:lang w:val="en-US"/>
        </w:rPr>
      </w:pPr>
      <w:r>
        <w:t xml:space="preserve"> </w:t>
      </w:r>
      <w:r w:rsidRPr="00F74F1B">
        <w:rPr>
          <w:lang w:val="en-US"/>
        </w:rPr>
        <w:t xml:space="preserve">Each type of experiment was performed in triplicate using three different batches and the mean and standard deviation values were calculated. Student’s </w:t>
      </w:r>
      <w:r w:rsidRPr="00010F4A">
        <w:rPr>
          <w:i/>
          <w:iCs/>
          <w:lang w:val="en-US"/>
        </w:rPr>
        <w:t>t</w:t>
      </w:r>
      <w:r w:rsidRPr="00F74F1B">
        <w:rPr>
          <w:lang w:val="en-US"/>
        </w:rPr>
        <w:t xml:space="preserve">-tests were used to calculate the significance of </w:t>
      </w:r>
      <w:r w:rsidR="00A12B90">
        <w:rPr>
          <w:lang w:val="en-US"/>
        </w:rPr>
        <w:t xml:space="preserve">the </w:t>
      </w:r>
      <w:r w:rsidRPr="00F74F1B">
        <w:rPr>
          <w:lang w:val="en-US"/>
        </w:rPr>
        <w:t>difference between two groups. The difference was considered significant when the calculated probability (p) value was below 0.05. The similarity factor (f2) was used as a statistical technique to compare the dissolution profiles</w:t>
      </w:r>
      <w:r w:rsidR="00FB1529">
        <w:rPr>
          <w:lang w:val="en-US"/>
        </w:rPr>
        <w:t>:</w:t>
      </w:r>
    </w:p>
    <w:bookmarkStart w:id="7" w:name="_Ref328055"/>
    <w:p w14:paraId="24C41B72" w14:textId="77777777" w:rsidR="005A6A38" w:rsidRDefault="000E39C2" w:rsidP="005A6A38">
      <w:pPr>
        <w:pStyle w:val="MDPI31text"/>
        <w:ind w:firstLine="0"/>
        <w:rPr>
          <w:szCs w:val="24"/>
        </w:rPr>
      </w:pPr>
      <m:oMath>
        <m:sSub>
          <m:sSubPr>
            <m:ctrlPr>
              <w:rPr>
                <w:rFonts w:ascii="Cambria Math" w:hAnsi="Cambria Math" w:cstheme="majorBidi"/>
                <w:iCs/>
                <w:szCs w:val="24"/>
              </w:rPr>
            </m:ctrlPr>
          </m:sSubPr>
          <m:e>
            <m:r>
              <m:rPr>
                <m:sty m:val="p"/>
              </m:rPr>
              <w:rPr>
                <w:rFonts w:ascii="Cambria Math" w:hAnsi="Cambria Math" w:cstheme="majorBidi"/>
                <w:szCs w:val="24"/>
              </w:rPr>
              <m:t>f</m:t>
            </m:r>
          </m:e>
          <m:sub>
            <m:r>
              <m:rPr>
                <m:sty m:val="p"/>
              </m:rPr>
              <w:rPr>
                <w:rFonts w:ascii="Cambria Math" w:hAnsi="Cambria Math" w:cstheme="majorBidi"/>
                <w:szCs w:val="24"/>
              </w:rPr>
              <m:t>2</m:t>
            </m:r>
          </m:sub>
        </m:sSub>
        <m:r>
          <m:rPr>
            <m:sty m:val="p"/>
          </m:rPr>
          <w:rPr>
            <w:rFonts w:ascii="Cambria Math" w:hAnsi="Cambria Math" w:cstheme="majorBidi"/>
            <w:szCs w:val="24"/>
          </w:rPr>
          <m:t xml:space="preserve">=50×log </m:t>
        </m:r>
        <m:d>
          <m:dPr>
            <m:begChr m:val="{"/>
            <m:endChr m:val="}"/>
            <m:ctrlPr>
              <w:rPr>
                <w:rFonts w:ascii="Cambria Math" w:hAnsi="Cambria Math" w:cstheme="majorBidi"/>
                <w:iCs/>
                <w:szCs w:val="24"/>
              </w:rPr>
            </m:ctrlPr>
          </m:dPr>
          <m:e>
            <m:sSup>
              <m:sSupPr>
                <m:ctrlPr>
                  <w:rPr>
                    <w:rFonts w:ascii="Cambria Math" w:hAnsi="Cambria Math" w:cstheme="majorBidi"/>
                    <w:iCs/>
                    <w:szCs w:val="24"/>
                  </w:rPr>
                </m:ctrlPr>
              </m:sSupPr>
              <m:e>
                <m:d>
                  <m:dPr>
                    <m:begChr m:val="["/>
                    <m:endChr m:val="]"/>
                    <m:ctrlPr>
                      <w:rPr>
                        <w:rFonts w:ascii="Cambria Math" w:hAnsi="Cambria Math" w:cstheme="majorBidi"/>
                        <w:iCs/>
                        <w:szCs w:val="24"/>
                      </w:rPr>
                    </m:ctrlPr>
                  </m:dPr>
                  <m:e>
                    <m:r>
                      <m:rPr>
                        <m:sty m:val="p"/>
                      </m:rPr>
                      <w:rPr>
                        <w:rFonts w:ascii="Cambria Math" w:hAnsi="Cambria Math" w:cstheme="majorBidi"/>
                        <w:szCs w:val="24"/>
                      </w:rPr>
                      <m:t>1+(</m:t>
                    </m:r>
                    <m:f>
                      <m:fPr>
                        <m:ctrlPr>
                          <w:rPr>
                            <w:rFonts w:ascii="Cambria Math" w:hAnsi="Cambria Math" w:cstheme="majorBidi"/>
                            <w:iCs/>
                            <w:szCs w:val="24"/>
                          </w:rPr>
                        </m:ctrlPr>
                      </m:fPr>
                      <m:num>
                        <m:r>
                          <m:rPr>
                            <m:sty m:val="p"/>
                          </m:rPr>
                          <w:rPr>
                            <w:rFonts w:ascii="Cambria Math" w:hAnsi="Cambria Math" w:cstheme="majorBidi"/>
                            <w:szCs w:val="24"/>
                          </w:rPr>
                          <m:t>1</m:t>
                        </m:r>
                      </m:num>
                      <m:den>
                        <m:r>
                          <m:rPr>
                            <m:sty m:val="p"/>
                          </m:rPr>
                          <w:rPr>
                            <w:rFonts w:ascii="Cambria Math" w:hAnsi="Cambria Math" w:cstheme="majorBidi"/>
                            <w:szCs w:val="24"/>
                          </w:rPr>
                          <m:t>n</m:t>
                        </m:r>
                      </m:den>
                    </m:f>
                    <m:r>
                      <m:rPr>
                        <m:sty m:val="p"/>
                      </m:rPr>
                      <w:rPr>
                        <w:rFonts w:ascii="Cambria Math" w:hAnsi="Cambria Math" w:cstheme="majorBidi"/>
                        <w:szCs w:val="24"/>
                      </w:rPr>
                      <m:t>)</m:t>
                    </m:r>
                    <m:nary>
                      <m:naryPr>
                        <m:chr m:val="∑"/>
                        <m:limLoc m:val="undOvr"/>
                        <m:ctrlPr>
                          <w:rPr>
                            <w:rFonts w:ascii="Cambria Math" w:hAnsi="Cambria Math" w:cstheme="majorBidi"/>
                            <w:iCs/>
                            <w:szCs w:val="24"/>
                          </w:rPr>
                        </m:ctrlPr>
                      </m:naryPr>
                      <m:sub>
                        <m:r>
                          <m:rPr>
                            <m:sty m:val="p"/>
                          </m:rPr>
                          <w:rPr>
                            <w:rFonts w:ascii="Cambria Math" w:hAnsi="Cambria Math" w:cstheme="majorBidi"/>
                            <w:szCs w:val="24"/>
                          </w:rPr>
                          <m:t>t=1</m:t>
                        </m:r>
                      </m:sub>
                      <m:sup>
                        <m:r>
                          <m:rPr>
                            <m:sty m:val="p"/>
                          </m:rPr>
                          <w:rPr>
                            <w:rFonts w:ascii="Cambria Math" w:hAnsi="Cambria Math" w:cstheme="majorBidi"/>
                            <w:szCs w:val="24"/>
                          </w:rPr>
                          <m:t>n</m:t>
                        </m:r>
                      </m:sup>
                      <m:e>
                        <m:sSup>
                          <m:sSupPr>
                            <m:ctrlPr>
                              <w:rPr>
                                <w:rFonts w:ascii="Cambria Math" w:hAnsi="Cambria Math" w:cstheme="majorBidi"/>
                                <w:iCs/>
                                <w:szCs w:val="24"/>
                              </w:rPr>
                            </m:ctrlPr>
                          </m:sSupPr>
                          <m:e>
                            <m:r>
                              <m:rPr>
                                <m:sty m:val="p"/>
                              </m:rPr>
                              <w:rPr>
                                <w:rFonts w:ascii="Cambria Math" w:hAnsi="Cambria Math" w:cstheme="majorBidi"/>
                                <w:szCs w:val="24"/>
                              </w:rPr>
                              <m:t>(</m:t>
                            </m:r>
                            <m:sSub>
                              <m:sSubPr>
                                <m:ctrlPr>
                                  <w:rPr>
                                    <w:rFonts w:ascii="Cambria Math" w:hAnsi="Cambria Math" w:cstheme="majorBidi"/>
                                    <w:iCs/>
                                    <w:szCs w:val="24"/>
                                  </w:rPr>
                                </m:ctrlPr>
                              </m:sSubPr>
                              <m:e>
                                <m:r>
                                  <m:rPr>
                                    <m:sty m:val="p"/>
                                  </m:rPr>
                                  <w:rPr>
                                    <w:rFonts w:ascii="Cambria Math" w:hAnsi="Cambria Math" w:cstheme="majorBidi"/>
                                    <w:szCs w:val="24"/>
                                  </w:rPr>
                                  <m:t>R</m:t>
                                </m:r>
                              </m:e>
                              <m:sub>
                                <m:r>
                                  <m:rPr>
                                    <m:sty m:val="p"/>
                                  </m:rPr>
                                  <w:rPr>
                                    <w:rFonts w:ascii="Cambria Math" w:hAnsi="Cambria Math" w:cstheme="majorBidi"/>
                                    <w:szCs w:val="24"/>
                                  </w:rPr>
                                  <m:t>t</m:t>
                                </m:r>
                              </m:sub>
                            </m:sSub>
                            <m:r>
                              <m:rPr>
                                <m:sty m:val="p"/>
                              </m:rPr>
                              <w:rPr>
                                <w:rFonts w:ascii="Cambria Math" w:hAnsi="Cambria Math" w:cstheme="majorBidi"/>
                                <w:szCs w:val="24"/>
                              </w:rPr>
                              <m:t>-</m:t>
                            </m:r>
                            <m:sSub>
                              <m:sSubPr>
                                <m:ctrlPr>
                                  <w:rPr>
                                    <w:rFonts w:ascii="Cambria Math" w:hAnsi="Cambria Math" w:cstheme="majorBidi"/>
                                    <w:iCs/>
                                    <w:szCs w:val="24"/>
                                  </w:rPr>
                                </m:ctrlPr>
                              </m:sSubPr>
                              <m:e>
                                <m:r>
                                  <m:rPr>
                                    <m:sty m:val="p"/>
                                  </m:rPr>
                                  <w:rPr>
                                    <w:rFonts w:ascii="Cambria Math" w:hAnsi="Cambria Math" w:cstheme="majorBidi"/>
                                    <w:szCs w:val="24"/>
                                  </w:rPr>
                                  <m:t>T</m:t>
                                </m:r>
                              </m:e>
                              <m:sub>
                                <m:r>
                                  <m:rPr>
                                    <m:sty m:val="p"/>
                                  </m:rPr>
                                  <w:rPr>
                                    <w:rFonts w:ascii="Cambria Math" w:hAnsi="Cambria Math" w:cstheme="majorBidi"/>
                                    <w:szCs w:val="24"/>
                                  </w:rPr>
                                  <m:t>t</m:t>
                                </m:r>
                              </m:sub>
                            </m:sSub>
                            <m:r>
                              <m:rPr>
                                <m:sty m:val="p"/>
                              </m:rPr>
                              <w:rPr>
                                <w:rFonts w:ascii="Cambria Math" w:hAnsi="Cambria Math" w:cstheme="majorBidi"/>
                                <w:szCs w:val="24"/>
                              </w:rPr>
                              <m:t>)</m:t>
                            </m:r>
                          </m:e>
                          <m:sup>
                            <m:r>
                              <m:rPr>
                                <m:sty m:val="p"/>
                              </m:rPr>
                              <w:rPr>
                                <w:rFonts w:ascii="Cambria Math" w:hAnsi="Cambria Math" w:cstheme="majorBidi"/>
                                <w:szCs w:val="24"/>
                              </w:rPr>
                              <m:t>2</m:t>
                            </m:r>
                          </m:sup>
                        </m:sSup>
                      </m:e>
                    </m:nary>
                  </m:e>
                </m:d>
              </m:e>
              <m:sup>
                <m:r>
                  <m:rPr>
                    <m:sty m:val="p"/>
                  </m:rPr>
                  <w:rPr>
                    <w:rFonts w:ascii="Cambria Math" w:hAnsi="Cambria Math" w:cstheme="majorBidi"/>
                    <w:szCs w:val="24"/>
                  </w:rPr>
                  <m:t>-0.5</m:t>
                </m:r>
              </m:sup>
            </m:sSup>
            <m:r>
              <m:rPr>
                <m:sty m:val="p"/>
              </m:rPr>
              <w:rPr>
                <w:rFonts w:ascii="Cambria Math" w:hAnsi="Cambria Math" w:cstheme="majorBidi"/>
                <w:szCs w:val="24"/>
              </w:rPr>
              <m:t xml:space="preserve"> ×100</m:t>
            </m:r>
          </m:e>
        </m:d>
      </m:oMath>
      <w:r w:rsidR="005A6A38">
        <w:rPr>
          <w:iCs/>
          <w:szCs w:val="24"/>
        </w:rPr>
        <w:t xml:space="preserve"> </w:t>
      </w:r>
      <w:r w:rsidR="005A6A38">
        <w:rPr>
          <w:iCs/>
          <w:szCs w:val="24"/>
        </w:rPr>
        <w:tab/>
      </w:r>
      <w:r w:rsidR="005A6A38">
        <w:rPr>
          <w:iCs/>
          <w:szCs w:val="24"/>
        </w:rPr>
        <w:tab/>
      </w:r>
      <w:r w:rsidR="005A6A38">
        <w:t xml:space="preserve">Equation </w:t>
      </w:r>
      <w:r w:rsidR="00F74F1B">
        <w:t>(</w:t>
      </w:r>
      <w:r w:rsidR="005A6A38">
        <w:rPr>
          <w:noProof/>
        </w:rPr>
        <w:t>2</w:t>
      </w:r>
      <w:bookmarkEnd w:id="7"/>
      <w:r w:rsidR="00F74F1B">
        <w:rPr>
          <w:noProof/>
        </w:rPr>
        <w:t>)</w:t>
      </w:r>
    </w:p>
    <w:p w14:paraId="125DB903" w14:textId="77777777" w:rsidR="005A6A38" w:rsidRDefault="005A6A38" w:rsidP="005A6A38">
      <w:pPr>
        <w:pStyle w:val="MDPI31text"/>
        <w:ind w:firstLine="0"/>
        <w:rPr>
          <w:szCs w:val="24"/>
        </w:rPr>
      </w:pPr>
    </w:p>
    <w:p w14:paraId="308F5E57" w14:textId="53F1F170" w:rsidR="005A6A38" w:rsidRPr="00F74F1B" w:rsidRDefault="005A6A38" w:rsidP="00F74F1B">
      <w:pPr>
        <w:pStyle w:val="Paragraph"/>
        <w:jc w:val="both"/>
        <w:rPr>
          <w:lang w:val="en-US"/>
        </w:rPr>
      </w:pPr>
      <w:r w:rsidRPr="00F74F1B">
        <w:rPr>
          <w:lang w:val="en-US"/>
        </w:rPr>
        <w:t xml:space="preserve">In equation 2, </w:t>
      </w:r>
      <m:oMath>
        <m:sSub>
          <m:sSubPr>
            <m:ctrlPr>
              <w:rPr>
                <w:rFonts w:ascii="Cambria Math" w:hAnsi="Cambria Math"/>
                <w:lang w:val="en-US"/>
              </w:rPr>
            </m:ctrlPr>
          </m:sSubPr>
          <m:e>
            <m:r>
              <m:rPr>
                <m:sty m:val="p"/>
              </m:rPr>
              <w:rPr>
                <w:rFonts w:ascii="Cambria Math" w:hAnsi="Cambria Math"/>
                <w:lang w:val="en-US"/>
              </w:rPr>
              <m:t>R</m:t>
            </m:r>
          </m:e>
          <m:sub>
            <m:r>
              <m:rPr>
                <m:sty m:val="p"/>
              </m:rPr>
              <w:rPr>
                <w:rFonts w:ascii="Cambria Math" w:hAnsi="Cambria Math"/>
                <w:lang w:val="en-US"/>
              </w:rPr>
              <m:t>t</m:t>
            </m:r>
          </m:sub>
        </m:sSub>
      </m:oMath>
      <w:r w:rsidRPr="00F74F1B">
        <w:rPr>
          <w:lang w:val="en-US"/>
        </w:rPr>
        <w:t xml:space="preserve"> is the reference data, </w:t>
      </w:r>
      <m:oMath>
        <m:sSub>
          <m:sSubPr>
            <m:ctrlPr>
              <w:rPr>
                <w:rFonts w:ascii="Cambria Math" w:hAnsi="Cambria Math"/>
                <w:lang w:val="en-US"/>
              </w:rPr>
            </m:ctrlPr>
          </m:sSubPr>
          <m:e>
            <m:r>
              <m:rPr>
                <m:sty m:val="p"/>
              </m:rPr>
              <w:rPr>
                <w:rFonts w:ascii="Cambria Math" w:hAnsi="Cambria Math"/>
                <w:lang w:val="en-US"/>
              </w:rPr>
              <m:t>T</m:t>
            </m:r>
          </m:e>
          <m:sub>
            <m:r>
              <m:rPr>
                <m:sty m:val="p"/>
              </m:rPr>
              <w:rPr>
                <w:rFonts w:ascii="Cambria Math" w:hAnsi="Cambria Math"/>
                <w:lang w:val="en-US"/>
              </w:rPr>
              <m:t>t</m:t>
            </m:r>
          </m:sub>
        </m:sSub>
      </m:oMath>
      <w:r w:rsidRPr="00F74F1B">
        <w:rPr>
          <w:lang w:val="en-US"/>
        </w:rPr>
        <w:t xml:space="preserve"> is the test data and n is the number of samples. If the percentage is over 50%, this means </w:t>
      </w:r>
      <w:r w:rsidR="00FB1529">
        <w:rPr>
          <w:lang w:val="en-US"/>
        </w:rPr>
        <w:t xml:space="preserve">that </w:t>
      </w:r>
      <w:r w:rsidRPr="00F74F1B">
        <w:rPr>
          <w:lang w:val="en-US"/>
        </w:rPr>
        <w:t>the two groups of data are similar</w:t>
      </w:r>
      <w:r w:rsidR="00CD2C66">
        <w:rPr>
          <w:lang w:val="en-US"/>
        </w:rPr>
        <w:t xml:space="preserve"> </w:t>
      </w:r>
      <w:r w:rsidR="002832DD">
        <w:rPr>
          <w:lang w:val="en-US"/>
        </w:rPr>
        <w:fldChar w:fldCharType="begin"/>
      </w:r>
      <w:r w:rsidR="002832DD">
        <w:rPr>
          <w:lang w:val="en-US"/>
        </w:rPr>
        <w:instrText xml:space="preserve"> ADDIN ZOTERO_ITEM CSL_CITATION {"citationID":"33HKUudE","properties":{"formattedCitation":"(22)","plainCitation":"(22)","noteIndex":0},"citationItems":[{"id":629,"uris":["http://zotero.org/users/5477069/items/I8V9FTSM"],"uri":["http://zotero.org/users/5477069/items/I8V9FTSM"],"itemData":{"id":629,"type":"article-journal","title":"Modeling and comparison of dissolution profiles","container-title":"European Journal of Pharmaceutical Sciences","page":"123-133","volume":"13","issue":"2","source":"ScienceDirect","abstract":"Over recent years, drug release/dissolution from solid pharmaceutical dosage forms has been the subject of intense and profitable scientific developments. Whenever a new solid dosage form is developed or produced, it is necessary to ensure that drug dissolution occurs in an appropriate manner. The pharmaceutical industry and the registration authorities do focus, nowadays, on drug dissolution studies. The quantitative analysis of the values obtained in dissolution/release tests is easier when mathematical formulas that express the dissolution results as a function of some of the dosage forms characteristics are used. In some cases, these mathematic models are derived from the theoretical analysis of the occurring process. In most of the cases the theoretical concept does not exist and some empirical equations have proved to be more appropriate. Drug dissolution from solid dosage forms has been described by kinetic models in which the dissolved amount of drug (Q) is a function of the test time, t or Q=f(t). Some analytical definitions of the Q(t) function are commonly used, such as zero order, first order, Hixson–Crowell, Weibull, Higuchi, Baker–Lonsdale, Korsmeyer–Peppas and Hopfenberg models. Other release parameters, such as dissolution time (tx%), assay time (tx min), dissolution efficacy (ED), difference factor (f1), similarity factor (f2) and Rescigno index (ξ1 and ξ2) can be used to characterize drug dissolution/release profiles.","DOI":"10.1016/S0928-0987(01)00095-1","ISSN":"0928-0987","journalAbbreviation":"European Journal of Pharmaceutical Sciences","author":[{"family":"Costa","given":"Paulo"},{"family":"Sousa Lobo","given":"José Manuel"}],"issued":{"date-parts":[["2001",5,1]]}}}],"schema":"https://github.com/citation-style-language/schema/raw/master/csl-citation.json"} </w:instrText>
      </w:r>
      <w:r w:rsidR="002832DD">
        <w:rPr>
          <w:lang w:val="en-US"/>
        </w:rPr>
        <w:fldChar w:fldCharType="separate"/>
      </w:r>
      <w:r w:rsidR="002832DD">
        <w:rPr>
          <w:noProof/>
          <w:lang w:val="en-US"/>
        </w:rPr>
        <w:t>(22)</w:t>
      </w:r>
      <w:r w:rsidR="002832DD">
        <w:rPr>
          <w:lang w:val="en-US"/>
        </w:rPr>
        <w:fldChar w:fldCharType="end"/>
      </w:r>
      <w:r w:rsidRPr="00F74F1B">
        <w:rPr>
          <w:lang w:val="en-US"/>
        </w:rPr>
        <w:t>.</w:t>
      </w:r>
    </w:p>
    <w:p w14:paraId="0722F691" w14:textId="77777777" w:rsidR="005A6A38" w:rsidRPr="006E26FC" w:rsidRDefault="005A6A38" w:rsidP="00F74F1B">
      <w:pPr>
        <w:pStyle w:val="Heading1"/>
        <w:numPr>
          <w:ilvl w:val="0"/>
          <w:numId w:val="31"/>
        </w:numPr>
      </w:pPr>
      <w:r w:rsidRPr="006E26FC">
        <w:t>Results</w:t>
      </w:r>
      <w:r>
        <w:t xml:space="preserve"> and </w:t>
      </w:r>
      <w:r w:rsidRPr="00F74F1B">
        <w:rPr>
          <w:snapToGrid w:val="0"/>
        </w:rPr>
        <w:t>Discussion</w:t>
      </w:r>
    </w:p>
    <w:p w14:paraId="070DE4F0" w14:textId="0CCAAD1B" w:rsidR="005A6A38" w:rsidRPr="00445602" w:rsidRDefault="005A6A38" w:rsidP="00BE0B09">
      <w:pPr>
        <w:pStyle w:val="Heading2"/>
        <w:numPr>
          <w:ilvl w:val="1"/>
          <w:numId w:val="31"/>
        </w:numPr>
      </w:pPr>
      <w:r w:rsidRPr="00F74F1B">
        <w:t xml:space="preserve">Size </w:t>
      </w:r>
      <w:r w:rsidR="003122DB">
        <w:t xml:space="preserve">and size </w:t>
      </w:r>
      <w:r w:rsidRPr="00F74F1B">
        <w:t>distribution of nanoemulsion droplets</w:t>
      </w:r>
    </w:p>
    <w:p w14:paraId="3B1487BB" w14:textId="6AFE9772" w:rsidR="005A6A38" w:rsidRPr="00F74F1B" w:rsidRDefault="005A6A38" w:rsidP="00F53C41">
      <w:pPr>
        <w:pStyle w:val="Paragraph"/>
        <w:jc w:val="both"/>
        <w:rPr>
          <w:lang w:val="en-US"/>
        </w:rPr>
      </w:pPr>
      <w:r w:rsidRPr="00F74F1B">
        <w:rPr>
          <w:lang w:val="en-US"/>
        </w:rPr>
        <w:t xml:space="preserve">Both Clinoleic and Intralipid formulations have average droplet size </w:t>
      </w:r>
      <w:r w:rsidR="00F53C41">
        <w:rPr>
          <w:lang w:val="en-US"/>
        </w:rPr>
        <w:t>measurements</w:t>
      </w:r>
      <w:r w:rsidR="00F53C41" w:rsidRPr="00F74F1B">
        <w:rPr>
          <w:lang w:val="en-US"/>
        </w:rPr>
        <w:t xml:space="preserve"> </w:t>
      </w:r>
      <w:r w:rsidRPr="00F74F1B">
        <w:rPr>
          <w:lang w:val="en-US"/>
        </w:rPr>
        <w:t>ranging between 220 and 250 nm (Figure 2a). Although the Intralipid shows a slight</w:t>
      </w:r>
      <w:r w:rsidR="00F53C41">
        <w:rPr>
          <w:lang w:val="en-US"/>
        </w:rPr>
        <w:t>ly</w:t>
      </w:r>
      <w:r w:rsidRPr="00F74F1B">
        <w:rPr>
          <w:lang w:val="en-US"/>
        </w:rPr>
        <w:t xml:space="preserve"> </w:t>
      </w:r>
      <w:r w:rsidR="00F53C41">
        <w:rPr>
          <w:lang w:val="en-US"/>
        </w:rPr>
        <w:t>larger</w:t>
      </w:r>
      <w:r w:rsidRPr="00F74F1B">
        <w:rPr>
          <w:lang w:val="en-US"/>
        </w:rPr>
        <w:t xml:space="preserve"> droplet size compared with that of Clinoleic</w:t>
      </w:r>
      <w:r w:rsidR="00F53C41">
        <w:rPr>
          <w:lang w:val="en-US"/>
        </w:rPr>
        <w:t>,</w:t>
      </w:r>
      <w:r w:rsidRPr="00F74F1B">
        <w:rPr>
          <w:lang w:val="en-US"/>
        </w:rPr>
        <w:t xml:space="preserve"> the difference between the two nanoemulsions is less than 30 nm</w:t>
      </w:r>
      <w:r w:rsidR="004F0090">
        <w:rPr>
          <w:lang w:val="en-US"/>
        </w:rPr>
        <w:t xml:space="preserve"> for each drug concentration</w:t>
      </w:r>
      <w:r w:rsidRPr="00F74F1B">
        <w:rPr>
          <w:lang w:val="en-US"/>
        </w:rPr>
        <w:t xml:space="preserve">. This similarity in droplet size for both nanoemulsions is also shown in all formulations even when different concentrations of CP were used. Figure 2a shows that loading </w:t>
      </w:r>
      <w:r w:rsidR="00F53C41">
        <w:rPr>
          <w:lang w:val="en-US"/>
        </w:rPr>
        <w:t xml:space="preserve">the </w:t>
      </w:r>
      <w:r w:rsidRPr="00F74F1B">
        <w:rPr>
          <w:lang w:val="en-US"/>
        </w:rPr>
        <w:t xml:space="preserve">drug into the oil droplets of both formulations has no significant </w:t>
      </w:r>
      <w:r w:rsidR="00F53C41">
        <w:rPr>
          <w:lang w:val="en-US"/>
        </w:rPr>
        <w:t>effect</w:t>
      </w:r>
      <w:r w:rsidR="00F53C41" w:rsidRPr="00F74F1B">
        <w:rPr>
          <w:lang w:val="en-US"/>
        </w:rPr>
        <w:t xml:space="preserve"> </w:t>
      </w:r>
      <w:r w:rsidRPr="00F74F1B">
        <w:rPr>
          <w:lang w:val="en-US"/>
        </w:rPr>
        <w:t xml:space="preserve">on the droplet size; the difference between the blank and that of the highest </w:t>
      </w:r>
      <w:r w:rsidR="00F53C41">
        <w:rPr>
          <w:lang w:val="en-US"/>
        </w:rPr>
        <w:t xml:space="preserve">drug </w:t>
      </w:r>
      <w:r w:rsidRPr="00F74F1B">
        <w:rPr>
          <w:lang w:val="en-US"/>
        </w:rPr>
        <w:t>concentrations (10 mg/ml) was less than 5 nm, regardless of nanoemulsion</w:t>
      </w:r>
      <w:r w:rsidR="00F53C41">
        <w:rPr>
          <w:lang w:val="en-US"/>
        </w:rPr>
        <w:t xml:space="preserve"> type</w:t>
      </w:r>
      <w:r w:rsidRPr="00F74F1B">
        <w:rPr>
          <w:lang w:val="en-US"/>
        </w:rPr>
        <w:t>.</w:t>
      </w:r>
    </w:p>
    <w:p w14:paraId="1DA7E1C9" w14:textId="4901715B" w:rsidR="005A6A38" w:rsidRPr="00F74F1B" w:rsidRDefault="005A6A38" w:rsidP="001141F4">
      <w:pPr>
        <w:pStyle w:val="Paragraph"/>
        <w:jc w:val="both"/>
        <w:rPr>
          <w:lang w:val="en-US"/>
        </w:rPr>
      </w:pPr>
      <w:r>
        <w:tab/>
      </w:r>
      <w:r w:rsidRPr="00F74F1B">
        <w:rPr>
          <w:lang w:val="en-US"/>
        </w:rPr>
        <w:t xml:space="preserve">For both nanoemulsions at all drug concentrations, the PI values were less than 0.250 (Figure 2b). The relatively low PI values of both formulations indicate that </w:t>
      </w:r>
      <w:r w:rsidR="00F53C41">
        <w:rPr>
          <w:lang w:val="en-US"/>
        </w:rPr>
        <w:t>nanoemulsions are</w:t>
      </w:r>
      <w:r w:rsidRPr="00F74F1B">
        <w:rPr>
          <w:lang w:val="en-US"/>
        </w:rPr>
        <w:t xml:space="preserve"> monodisperse, hence, high colloidal stability</w:t>
      </w:r>
      <w:r w:rsidR="00F53C41">
        <w:rPr>
          <w:lang w:val="en-US"/>
        </w:rPr>
        <w:t xml:space="preserve"> is expected</w:t>
      </w:r>
      <w:r w:rsidRPr="00F74F1B">
        <w:rPr>
          <w:lang w:val="en-US"/>
        </w:rPr>
        <w:t xml:space="preserve"> </w:t>
      </w:r>
      <w:r w:rsidR="002832DD">
        <w:rPr>
          <w:lang w:val="en-US"/>
        </w:rPr>
        <w:fldChar w:fldCharType="begin"/>
      </w:r>
      <w:r w:rsidR="002832DD">
        <w:rPr>
          <w:lang w:val="en-US"/>
        </w:rPr>
        <w:instrText xml:space="preserve"> ADDIN ZOTERO_ITEM CSL_CITATION {"citationID":"nLfkhH7n","properties":{"formattedCitation":"(23)","plainCitation":"(23)","noteIndex":0},"citationItems":[{"id":106,"uris":["http://zotero.org/users/5477069/items/2PWU8SPM"],"uri":["http://zotero.org/users/5477069/items/2PWU8SPM"],"itemData":{"id":106,"type":"article-journal","title":"Formation and stability of oil-in-water nanoemulsions containing rice bran oil: in vitro and in vivo assessments","container-title":"Journal of Nanobiotechnology","page":"44","volume":"9","source":"PubMed Central","abstract":"Background\nNanoemulsions have practical application in a multitude of commercial areas, such as the chemical, pharmaceutical and cosmetic industries. Cosmetic industries use rice bran oil in sunscreen formulations, anti ageing products and in treatments for skin diseases. The aim of this study was to create rice bran oil nanoemulsions using low energy emulsification methods and to evaluate their physical stability, irritation potential and moisturising activity on volunteers with normal and diseased skin types.\n\nResults\nThe nanoemulsion developed by this phase diagram method was composed of 10% rice bran oil, 10% surfactants sorbitan oleate/PEG-30 castor oil, 0.05% antioxidant and 0.50% preservatives formulated in distilled water. The nanoemulsion was stable over the time course of this study. In vitro assays showed that this formulation has a low irritation potential, and when applied to human skin during in vivo studies, the nanoemulsion improved the skin's moisture and maintained normal skin pH values.\n\nConclusion\nThe results of irritation potential studies and in vivo assessments indicate that this nanoemulsion has potential to be a useful tool to treat skin diseases, such as atopic dermatitis and psoriasis.","DOI":"10.1186/1477-3155-9-44","ISSN":"1477-3155","note":"PMID: 21952107\nPMCID: PMC3198904","title-short":"Formation and stability of oil-in-water nanoemulsions containing rice bran oil","journalAbbreviation":"J Nanobiotechnology","author":[{"family":"Bernardi","given":"Daniela S"},{"family":"Pereira","given":"Tatiana A"},{"family":"Maciel","given":"Naira R"},{"family":"Bortoloto","given":"Josiane"},{"family":"Viera","given":"Gisely S"},{"family":"Oliveira","given":"Gustavo C"},{"family":"Rocha-Filho","given":"Pedro A"}],"issued":{"date-parts":[["2011",9,28]]}}}],"schema":"https://github.com/citation-style-language/schema/raw/master/csl-citation.json"} </w:instrText>
      </w:r>
      <w:r w:rsidR="002832DD">
        <w:rPr>
          <w:lang w:val="en-US"/>
        </w:rPr>
        <w:fldChar w:fldCharType="separate"/>
      </w:r>
      <w:r w:rsidR="002832DD">
        <w:rPr>
          <w:noProof/>
          <w:lang w:val="en-US"/>
        </w:rPr>
        <w:t>(23)</w:t>
      </w:r>
      <w:r w:rsidR="002832DD">
        <w:rPr>
          <w:lang w:val="en-US"/>
        </w:rPr>
        <w:fldChar w:fldCharType="end"/>
      </w:r>
      <w:r w:rsidRPr="00F74F1B">
        <w:rPr>
          <w:lang w:val="en-US"/>
        </w:rPr>
        <w:t xml:space="preserve">. This may indicate that the loaded drug is dissolved within the </w:t>
      </w:r>
      <w:r w:rsidR="00551F45">
        <w:rPr>
          <w:lang w:val="en-US"/>
        </w:rPr>
        <w:t xml:space="preserve">core of </w:t>
      </w:r>
      <w:r w:rsidRPr="00F74F1B">
        <w:rPr>
          <w:lang w:val="en-US"/>
        </w:rPr>
        <w:t xml:space="preserve">oil droplets rather </w:t>
      </w:r>
      <w:r w:rsidR="00551F45">
        <w:rPr>
          <w:lang w:val="en-US"/>
        </w:rPr>
        <w:t xml:space="preserve">than </w:t>
      </w:r>
      <w:r w:rsidRPr="00F74F1B">
        <w:rPr>
          <w:lang w:val="en-US"/>
        </w:rPr>
        <w:t xml:space="preserve">the </w:t>
      </w:r>
      <w:r w:rsidR="00551F45">
        <w:rPr>
          <w:lang w:val="en-US"/>
        </w:rPr>
        <w:t xml:space="preserve">oil/water </w:t>
      </w:r>
      <w:r w:rsidRPr="00F74F1B">
        <w:rPr>
          <w:lang w:val="en-US"/>
        </w:rPr>
        <w:t xml:space="preserve">interface. In other words, if the drug was at the surface of oil droplets, it would have caused an increment in droplet surface hydrophobicity and hence caused the droplets to </w:t>
      </w:r>
      <w:r w:rsidR="001141F4">
        <w:rPr>
          <w:lang w:val="en-US"/>
        </w:rPr>
        <w:t>agglomerate</w:t>
      </w:r>
      <w:r w:rsidRPr="00F74F1B">
        <w:rPr>
          <w:lang w:val="en-US"/>
        </w:rPr>
        <w:t xml:space="preserve">, potentially leading to </w:t>
      </w:r>
      <w:r w:rsidR="001141F4">
        <w:rPr>
          <w:lang w:val="en-US"/>
        </w:rPr>
        <w:t>larger size and higher polydispersity</w:t>
      </w:r>
      <w:r w:rsidR="00064496">
        <w:rPr>
          <w:lang w:val="en-US"/>
        </w:rPr>
        <w:t xml:space="preserve"> </w:t>
      </w:r>
      <w:r w:rsidR="00064496">
        <w:rPr>
          <w:lang w:val="en-US"/>
        </w:rPr>
        <w:fldChar w:fldCharType="begin"/>
      </w:r>
      <w:r w:rsidR="00EA5690">
        <w:rPr>
          <w:lang w:val="en-US"/>
        </w:rPr>
        <w:instrText xml:space="preserve"> ADDIN ZOTERO_ITEM CSL_CITATION {"citationID":"eqaXLOeT","properties":{"formattedCitation":"(24)","plainCitation":"(24)","noteIndex":0},"citationItems":[{"id":407,"uris":["http://zotero.org/users/5477069/items/6HQJM32Z"],"uri":["http://zotero.org/users/5477069/items/6HQJM32Z"],"itemData":{"id":407,"type":"article-journal","title":"Air-jet and vibrating-mesh nebulization of niosomes generated using a particulate-based proniosome technology","container-title":"International Journal of Pharmaceutics","page":"193-199","volume":"444","issue":"1-2","source":"PubMed","abstract":"The aerosol properties of niosomes were studied using Aeroneb Pro and Omron MicroAir vibrating-mesh nebulizers and Pari LC Sprint air-jet nebulizer. Proniosomes were prepared by coating sucrose particles with Span 60 (sorbitan monostearate), cholesterol and beclometasone dipropionate (BDP) (1:1:0.1). Nano-sized niosomes were produced by manual shaking of the proniosomes in deionized water followed by sonication (median size 236nm). The entrapment of BDP in proniosome-derived niosomes was higher than that in conventional thin film-made niosomes, being 36.4% and 27.5% respectively. All nebulizers generated aerosols with very high drug output, which was 83.6% using the Aeroneb Pro, 85.5% using the Pari and 72.4% using the Omron. The median droplet size was 3.32μm, 3.06μm and 4.86μm for the Aeroneb Pro, Pari and Omron nebulizers respectively and the \"fine particle fraction\" (FPF) of BDP was respectively 68.7%, 76.2% and 42.1%. The predicted extrathoracic deposition, based on size distribution of nebulized droplets was negligible for all devices, suggesting all of them are potentially suitable for pulmonary delivery of niosomes. The predicted drug deposition in the alveolar region was low using the Omron (3.2%), but greater using the Aeroneb Pro (17.4%) and the Pari (20.5%). Overall, noisome-BDP aerosols with high drug output and FPF can be generated from proniosomes and delivered using vibrating-mesh or air-jet nebulizers.","DOI":"10.1016/j.ijpharm.2012.12.040","ISSN":"1873-3476","note":"PMID: 23299083","journalAbbreviation":"Int J Pharm","language":"eng","author":[{"family":"Elhissi","given":"Abdelbary"},{"family":"Hidayat","given":"Kanar"},{"family":"Phoenix","given":"David A."},{"family":"Mwesigwa","given":"Enosh"},{"family":"Crean","given":"Stjohn"},{"family":"Ahmed","given":"Waqar"},{"family":"Faheem","given":"Ahmed"},{"family":"Taylor","given":"Kevin M. G."}],"issued":{"date-parts":[["2013",2,28]]}}}],"schema":"https://github.com/citation-style-language/schema/raw/master/csl-citation.json"} </w:instrText>
      </w:r>
      <w:r w:rsidR="00064496">
        <w:rPr>
          <w:lang w:val="en-US"/>
        </w:rPr>
        <w:fldChar w:fldCharType="separate"/>
      </w:r>
      <w:r w:rsidR="00EA5690">
        <w:rPr>
          <w:noProof/>
          <w:lang w:val="en-US"/>
        </w:rPr>
        <w:t>(24)</w:t>
      </w:r>
      <w:r w:rsidR="00064496">
        <w:rPr>
          <w:lang w:val="en-US"/>
        </w:rPr>
        <w:fldChar w:fldCharType="end"/>
      </w:r>
      <w:r w:rsidRPr="00F74F1B">
        <w:rPr>
          <w:lang w:val="en-US"/>
        </w:rPr>
        <w:t xml:space="preserve">. Similar to </w:t>
      </w:r>
      <w:r w:rsidR="001141F4">
        <w:rPr>
          <w:lang w:val="en-US"/>
        </w:rPr>
        <w:t>size</w:t>
      </w:r>
      <w:r w:rsidR="001141F4" w:rsidRPr="00F74F1B">
        <w:rPr>
          <w:lang w:val="en-US"/>
        </w:rPr>
        <w:t xml:space="preserve"> </w:t>
      </w:r>
      <w:r w:rsidRPr="00F74F1B">
        <w:rPr>
          <w:lang w:val="en-US"/>
        </w:rPr>
        <w:t xml:space="preserve">findings, Clinoleic formulations showed slightly lower PI values compared to that of Intralipid formulations. This might be due to the fact that sodium oleate in </w:t>
      </w:r>
      <w:r w:rsidRPr="00F74F1B">
        <w:rPr>
          <w:lang w:val="en-US"/>
        </w:rPr>
        <w:lastRenderedPageBreak/>
        <w:t xml:space="preserve">Clinoleic emulsion plays a role </w:t>
      </w:r>
      <w:r w:rsidR="00A12B90">
        <w:rPr>
          <w:lang w:val="en-US"/>
        </w:rPr>
        <w:t>in</w:t>
      </w:r>
      <w:r w:rsidR="00A12B90" w:rsidRPr="00F74F1B">
        <w:rPr>
          <w:lang w:val="en-US"/>
        </w:rPr>
        <w:t xml:space="preserve"> </w:t>
      </w:r>
      <w:r w:rsidRPr="00F74F1B">
        <w:rPr>
          <w:lang w:val="en-US"/>
        </w:rPr>
        <w:t>decreasing the droplet size</w:t>
      </w:r>
      <w:r w:rsidR="001141F4">
        <w:rPr>
          <w:lang w:val="en-US"/>
        </w:rPr>
        <w:t xml:space="preserve"> by decreasing the oil/water interfacial tension</w:t>
      </w:r>
      <w:r w:rsidRPr="00F74F1B">
        <w:rPr>
          <w:lang w:val="en-US"/>
        </w:rPr>
        <w:t xml:space="preserve"> </w:t>
      </w:r>
      <w:r w:rsidR="002832DD">
        <w:rPr>
          <w:lang w:val="en-US"/>
        </w:rPr>
        <w:fldChar w:fldCharType="begin"/>
      </w:r>
      <w:r w:rsidR="002832DD">
        <w:rPr>
          <w:lang w:val="en-US"/>
        </w:rPr>
        <w:instrText xml:space="preserve"> ADDIN ZOTERO_ITEM CSL_CITATION {"citationID":"MOhB7Svg","properties":{"formattedCitation":"(18)","plainCitation":"(18)","noteIndex":0},"citationItems":[{"id":19,"uris":["http://zotero.org/users/5477069/items/HCBWM8PZ"],"uri":["http://zotero.org/users/5477069/items/HCBWM8PZ"],"itemData":{"id":19,"type":"article-journal","title":"Novel paclitaxel formulations solubilized by parenteral nutrition nanoemulsions for application against glioma cell lines","container-title":"International journal of pharmaceutics","page":"102–109","volume":"506","issue":"1-2","source":"Google Scholar","author":[{"family":"Najlah","given":"Mohammad"},{"family":"Kadam","given":"Alisha"},{"family":"Wan","given":"Ka-Wai"},{"family":"Ahmed","given":"Waqar"},{"family":"Taylor","given":"Kevin MG"},{"family":"Elhissi","given":"Abdelbary MA"}],"issued":{"date-parts":[["2016"]]}}}],"schema":"https://github.com/citation-style-language/schema/raw/master/csl-citation.json"} </w:instrText>
      </w:r>
      <w:r w:rsidR="002832DD">
        <w:rPr>
          <w:lang w:val="en-US"/>
        </w:rPr>
        <w:fldChar w:fldCharType="separate"/>
      </w:r>
      <w:r w:rsidR="002832DD">
        <w:rPr>
          <w:noProof/>
          <w:lang w:val="en-US"/>
        </w:rPr>
        <w:t>(18)</w:t>
      </w:r>
      <w:r w:rsidR="002832DD">
        <w:rPr>
          <w:lang w:val="en-US"/>
        </w:rPr>
        <w:fldChar w:fldCharType="end"/>
      </w:r>
      <w:r w:rsidRPr="00F74F1B">
        <w:rPr>
          <w:lang w:val="en-US"/>
        </w:rPr>
        <w:t xml:space="preserve"> (Table 1).</w:t>
      </w:r>
      <w:bookmarkStart w:id="8" w:name="_Ref356850"/>
      <w:r w:rsidRPr="00F74F1B">
        <w:rPr>
          <w:lang w:val="en-US"/>
        </w:rPr>
        <w:t xml:space="preserve"> Furthermore, the increase in drug concentration did not affect the PI values</w:t>
      </w:r>
      <w:r w:rsidR="001141F4">
        <w:rPr>
          <w:lang w:val="en-US"/>
        </w:rPr>
        <w:t>, showing</w:t>
      </w:r>
      <w:r w:rsidRPr="00F74F1B">
        <w:rPr>
          <w:lang w:val="en-US"/>
        </w:rPr>
        <w:t xml:space="preserve"> no positive or negative correlation between the drug concentration and PI </w:t>
      </w:r>
      <w:r w:rsidR="001141F4">
        <w:rPr>
          <w:lang w:val="en-US"/>
        </w:rPr>
        <w:t>measurements, regardless of nanoemulsion type</w:t>
      </w:r>
      <w:r w:rsidRPr="00F74F1B">
        <w:rPr>
          <w:lang w:val="en-US"/>
        </w:rPr>
        <w:t xml:space="preserve"> (Figure 2b).</w:t>
      </w:r>
    </w:p>
    <w:bookmarkEnd w:id="8"/>
    <w:p w14:paraId="4C8D8F1F" w14:textId="24ED107E" w:rsidR="005A6A38" w:rsidRPr="009F19D9" w:rsidRDefault="003F3548" w:rsidP="009F19D9">
      <w:pPr>
        <w:pStyle w:val="Heading2"/>
        <w:numPr>
          <w:ilvl w:val="1"/>
          <w:numId w:val="31"/>
        </w:numPr>
      </w:pPr>
      <w:r>
        <w:t>Zeta potential</w:t>
      </w:r>
      <w:r w:rsidR="005A6A38" w:rsidRPr="00F74F1B">
        <w:t xml:space="preserve"> </w:t>
      </w:r>
      <w:r>
        <w:t xml:space="preserve">analysis </w:t>
      </w:r>
      <w:r w:rsidR="005A6A38" w:rsidRPr="00F74F1B">
        <w:t xml:space="preserve">and pH </w:t>
      </w:r>
      <w:r>
        <w:t xml:space="preserve">determination </w:t>
      </w:r>
      <w:r w:rsidR="005A6A38" w:rsidRPr="00F74F1B">
        <w:t>of nanoemulsions</w:t>
      </w:r>
    </w:p>
    <w:p w14:paraId="6DB86D74" w14:textId="4D10134F" w:rsidR="005A6A38" w:rsidRPr="00F74F1B" w:rsidRDefault="005A6A38" w:rsidP="007349DF">
      <w:pPr>
        <w:pStyle w:val="Paragraph"/>
        <w:jc w:val="both"/>
        <w:rPr>
          <w:lang w:val="en-US"/>
        </w:rPr>
      </w:pPr>
      <w:r w:rsidRPr="00F74F1B">
        <w:rPr>
          <w:lang w:val="en-US"/>
        </w:rPr>
        <w:t xml:space="preserve">The zeta potential values for all formulations are negative, ranging between -38 and -53.35 mV (Figure 3a). </w:t>
      </w:r>
      <w:r w:rsidR="003B5799">
        <w:rPr>
          <w:lang w:val="en-US"/>
        </w:rPr>
        <w:t>Drug l</w:t>
      </w:r>
      <w:r w:rsidRPr="00F74F1B">
        <w:rPr>
          <w:lang w:val="en-US"/>
        </w:rPr>
        <w:t xml:space="preserve">oading </w:t>
      </w:r>
      <w:r w:rsidR="003B5799">
        <w:rPr>
          <w:lang w:val="en-US"/>
        </w:rPr>
        <w:t>in</w:t>
      </w:r>
      <w:r w:rsidRPr="00F74F1B">
        <w:rPr>
          <w:lang w:val="en-US"/>
        </w:rPr>
        <w:t xml:space="preserve">to Intralipid nanoemulsions resulted in a trend of </w:t>
      </w:r>
      <w:r w:rsidR="003B5799" w:rsidRPr="00F74F1B">
        <w:rPr>
          <w:lang w:val="en-US"/>
        </w:rPr>
        <w:t>increas</w:t>
      </w:r>
      <w:r w:rsidR="003B5799">
        <w:rPr>
          <w:lang w:val="en-US"/>
        </w:rPr>
        <w:t>ing the</w:t>
      </w:r>
      <w:r w:rsidRPr="00F74F1B">
        <w:rPr>
          <w:lang w:val="en-US"/>
        </w:rPr>
        <w:t xml:space="preserve"> negative zeta potential values, but this was not statistically significant. This trend</w:t>
      </w:r>
      <w:r w:rsidR="003B5799">
        <w:rPr>
          <w:lang w:val="en-US"/>
        </w:rPr>
        <w:t>, however,</w:t>
      </w:r>
      <w:r w:rsidRPr="00F74F1B">
        <w:rPr>
          <w:lang w:val="en-US"/>
        </w:rPr>
        <w:t xml:space="preserve"> was not observed for the Clinoleic nanoemulsions. Since progressive loading of CP into the emulsions </w:t>
      </w:r>
      <w:r w:rsidR="003B5799">
        <w:rPr>
          <w:lang w:val="en-US"/>
        </w:rPr>
        <w:t>caused</w:t>
      </w:r>
      <w:r w:rsidRPr="00F74F1B">
        <w:rPr>
          <w:lang w:val="en-US"/>
        </w:rPr>
        <w:t xml:space="preserve"> no </w:t>
      </w:r>
      <w:r w:rsidR="003B5799">
        <w:rPr>
          <w:lang w:val="en-US"/>
        </w:rPr>
        <w:t>appreciable</w:t>
      </w:r>
      <w:r w:rsidR="003B5799" w:rsidRPr="00F74F1B">
        <w:rPr>
          <w:lang w:val="en-US"/>
        </w:rPr>
        <w:t xml:space="preserve"> </w:t>
      </w:r>
      <w:r w:rsidRPr="00F74F1B">
        <w:rPr>
          <w:lang w:val="en-US"/>
        </w:rPr>
        <w:t>change</w:t>
      </w:r>
      <w:r w:rsidR="003B5799">
        <w:rPr>
          <w:lang w:val="en-US"/>
        </w:rPr>
        <w:t>s</w:t>
      </w:r>
      <w:r w:rsidRPr="00F74F1B">
        <w:rPr>
          <w:lang w:val="en-US"/>
        </w:rPr>
        <w:t xml:space="preserve"> in size distribution (Figure 2) and zeta potential (Figure 3</w:t>
      </w:r>
      <w:r w:rsidR="00A47802">
        <w:rPr>
          <w:lang w:val="en-US"/>
        </w:rPr>
        <w:t>a</w:t>
      </w:r>
      <w:r w:rsidRPr="00F74F1B">
        <w:rPr>
          <w:lang w:val="en-US"/>
        </w:rPr>
        <w:t xml:space="preserve">), it is suggested that the drug is likely to be located within the core of oil droplets for both </w:t>
      </w:r>
      <w:r w:rsidR="003B5799">
        <w:rPr>
          <w:lang w:val="en-US"/>
        </w:rPr>
        <w:t>types of emulsion</w:t>
      </w:r>
      <w:r w:rsidRPr="00F74F1B">
        <w:rPr>
          <w:lang w:val="en-US"/>
        </w:rPr>
        <w:t xml:space="preserve">. It is worth to note that Clinoleic nanoemulsions showed lower negative zeta potential values compared to those of Intralipid. This might be attributed to the differences in compositions between </w:t>
      </w:r>
      <w:r w:rsidR="003B5799">
        <w:rPr>
          <w:lang w:val="en-US"/>
        </w:rPr>
        <w:t xml:space="preserve">the two </w:t>
      </w:r>
      <w:r w:rsidR="007349DF">
        <w:rPr>
          <w:lang w:val="en-US"/>
        </w:rPr>
        <w:t>emulsions</w:t>
      </w:r>
      <w:r w:rsidR="00D3398E">
        <w:rPr>
          <w:lang w:val="en-US"/>
        </w:rPr>
        <w:t xml:space="preserve"> (Table 1)</w:t>
      </w:r>
      <w:r w:rsidRPr="00F74F1B">
        <w:rPr>
          <w:lang w:val="en-US"/>
        </w:rPr>
        <w:t xml:space="preserve">. Similar results were reported earlier by our group; whereby, loading paclitaxel into TPN nanoemulsions had no effect on the zeta potential </w:t>
      </w:r>
      <w:r w:rsidR="002832DD">
        <w:rPr>
          <w:lang w:val="en-US"/>
        </w:rPr>
        <w:fldChar w:fldCharType="begin"/>
      </w:r>
      <w:r w:rsidR="002832DD">
        <w:rPr>
          <w:lang w:val="en-US"/>
        </w:rPr>
        <w:instrText xml:space="preserve"> ADDIN ZOTERO_ITEM CSL_CITATION {"citationID":"NBxWnUwf","properties":{"formattedCitation":"(17)","plainCitation":"(17)","noteIndex":0},"citationItems":[{"id":20,"uris":["http://zotero.org/users/5477069/items/6UINGYJQ"],"uri":["http://zotero.org/users/5477069/items/6UINGYJQ"],"itemData":{"id":20,"type":"article-journal","title":"Stability of parenteral nanoemulsions loaded with paclitaxel: the influence of lipid phase composition, drug concentration and storage temperature","container-title":"Pharmaceutical development and technology","page":"999–1004","volume":"19","issue":"8","source":"Google Scholar","title-short":"Stability of parenteral nanoemulsions loaded with paclitaxel","author":[{"family":"Kadam","given":"Alisha N."},{"family":"Najlah","given":"Mohammad"},{"family":"Wan","given":"Ka-Wai"},{"family":"Ahmed","given":"Waqar"},{"family":"Crean","given":"St John"},{"family":"Phoenix","given":"David A."},{"family":"Taylor","given":"Kevin MG"},{"family":"Elhissi","given":"Abdelbary MA"}],"issued":{"date-parts":[["2014"]]}}}],"schema":"https://github.com/citation-style-language/schema/raw/master/csl-citation.json"} </w:instrText>
      </w:r>
      <w:r w:rsidR="002832DD">
        <w:rPr>
          <w:lang w:val="en-US"/>
        </w:rPr>
        <w:fldChar w:fldCharType="separate"/>
      </w:r>
      <w:r w:rsidR="002832DD">
        <w:rPr>
          <w:noProof/>
          <w:lang w:val="en-US"/>
        </w:rPr>
        <w:t>(17)</w:t>
      </w:r>
      <w:r w:rsidR="002832DD">
        <w:rPr>
          <w:lang w:val="en-US"/>
        </w:rPr>
        <w:fldChar w:fldCharType="end"/>
      </w:r>
      <w:r w:rsidRPr="00F74F1B">
        <w:rPr>
          <w:lang w:val="en-US"/>
        </w:rPr>
        <w:t xml:space="preserve">. This supports the hypothesis of using TPN lipid nanoemulsions as vehicles for drugs that </w:t>
      </w:r>
      <w:r w:rsidR="003B5799">
        <w:rPr>
          <w:lang w:val="en-US"/>
        </w:rPr>
        <w:t>have</w:t>
      </w:r>
      <w:r w:rsidR="003B5799" w:rsidRPr="00F74F1B">
        <w:rPr>
          <w:lang w:val="en-US"/>
        </w:rPr>
        <w:t xml:space="preserve"> </w:t>
      </w:r>
      <w:r w:rsidRPr="00F74F1B">
        <w:rPr>
          <w:lang w:val="en-US"/>
        </w:rPr>
        <w:t>poor water</w:t>
      </w:r>
      <w:r w:rsidR="003B5799">
        <w:rPr>
          <w:lang w:val="en-US"/>
        </w:rPr>
        <w:t xml:space="preserve"> solubility</w:t>
      </w:r>
      <w:r w:rsidRPr="00F74F1B">
        <w:rPr>
          <w:lang w:val="en-US"/>
        </w:rPr>
        <w:t xml:space="preserve"> such as paclitaxel</w:t>
      </w:r>
      <w:r w:rsidR="003B5799">
        <w:rPr>
          <w:lang w:val="en-US"/>
        </w:rPr>
        <w:t xml:space="preserve"> in our previous publication </w:t>
      </w:r>
      <w:r w:rsidR="003B5799">
        <w:rPr>
          <w:lang w:val="en-US"/>
        </w:rPr>
        <w:fldChar w:fldCharType="begin"/>
      </w:r>
      <w:r w:rsidR="00761A16">
        <w:rPr>
          <w:lang w:val="en-US"/>
        </w:rPr>
        <w:instrText xml:space="preserve"> ADDIN ZOTERO_ITEM CSL_CITATION {"citationID":"Z9N34WFG","properties":{"formattedCitation":"(17)","plainCitation":"(17)","noteIndex":0},"citationItems":[{"id":20,"uris":["http://zotero.org/users/5477069/items/6UINGYJQ"],"uri":["http://zotero.org/users/5477069/items/6UINGYJQ"],"itemData":{"id":20,"type":"article-journal","title":"Stability of parenteral nanoemulsions loaded with paclitaxel: the influence of lipid phase composition, drug concentration and storage temperature","container-title":"Pharmaceutical development and technology","page":"999–1004","volume":"19","issue":"8","source":"Google Scholar","title-short":"Stability of parenteral nanoemulsions loaded with paclitaxel","author":[{"family":"Kadam","given":"Alisha N."},{"family":"Najlah","given":"Mohammad"},{"family":"Wan","given":"Ka-Wai"},{"family":"Ahmed","given":"Waqar"},{"family":"Crean","given":"St John"},{"family":"Phoenix","given":"David A."},{"family":"Taylor","given":"Kevin MG"},{"family":"Elhissi","given":"Abdelbary MA"}],"issued":{"date-parts":[["2014"]]}}}],"schema":"https://github.com/citation-style-language/schema/raw/master/csl-citation.json"} </w:instrText>
      </w:r>
      <w:r w:rsidR="003B5799">
        <w:rPr>
          <w:lang w:val="en-US"/>
        </w:rPr>
        <w:fldChar w:fldCharType="separate"/>
      </w:r>
      <w:r w:rsidR="003B5799">
        <w:rPr>
          <w:noProof/>
          <w:lang w:val="en-US"/>
        </w:rPr>
        <w:t>(17)</w:t>
      </w:r>
      <w:r w:rsidR="003B5799">
        <w:rPr>
          <w:lang w:val="en-US"/>
        </w:rPr>
        <w:fldChar w:fldCharType="end"/>
      </w:r>
      <w:r w:rsidRPr="00F74F1B">
        <w:rPr>
          <w:lang w:val="en-US"/>
        </w:rPr>
        <w:t xml:space="preserve"> </w:t>
      </w:r>
      <w:r w:rsidR="00C52F7E">
        <w:rPr>
          <w:lang w:val="en-US"/>
        </w:rPr>
        <w:t>,</w:t>
      </w:r>
      <w:r w:rsidRPr="00F74F1B">
        <w:rPr>
          <w:lang w:val="en-US"/>
        </w:rPr>
        <w:t xml:space="preserve"> and CP in our present investigation.</w:t>
      </w:r>
    </w:p>
    <w:p w14:paraId="574BE922" w14:textId="0D4CE82E" w:rsidR="005A6A38" w:rsidRDefault="005A6A38" w:rsidP="00897264">
      <w:pPr>
        <w:pStyle w:val="MDPI31text"/>
        <w:spacing w:line="480" w:lineRule="auto"/>
        <w:rPr>
          <w:bCs/>
          <w:lang w:val="en-GB"/>
        </w:rPr>
      </w:pPr>
      <w:r w:rsidRPr="00F74F1B">
        <w:rPr>
          <w:rFonts w:ascii="Times New Roman" w:hAnsi="Times New Roman"/>
          <w:snapToGrid/>
          <w:color w:val="auto"/>
          <w:sz w:val="24"/>
          <w:szCs w:val="24"/>
          <w:lang w:eastAsia="en-GB" w:bidi="ar-SA"/>
        </w:rPr>
        <w:t xml:space="preserve">According to Elsheikh, et al (2012), </w:t>
      </w:r>
      <w:r w:rsidR="00897264">
        <w:rPr>
          <w:rFonts w:ascii="Times New Roman" w:hAnsi="Times New Roman"/>
          <w:snapToGrid/>
          <w:color w:val="auto"/>
          <w:sz w:val="24"/>
          <w:szCs w:val="24"/>
          <w:lang w:eastAsia="en-GB" w:bidi="ar-SA"/>
        </w:rPr>
        <w:t xml:space="preserve">nanoemulsions having </w:t>
      </w:r>
      <w:r w:rsidRPr="00F74F1B">
        <w:rPr>
          <w:rFonts w:ascii="Times New Roman" w:hAnsi="Times New Roman"/>
          <w:snapToGrid/>
          <w:color w:val="auto"/>
          <w:sz w:val="24"/>
          <w:szCs w:val="24"/>
          <w:lang w:eastAsia="en-GB" w:bidi="ar-SA"/>
        </w:rPr>
        <w:t>zeta potential values of -30 mV</w:t>
      </w:r>
      <w:r w:rsidR="00897264">
        <w:rPr>
          <w:rFonts w:ascii="Times New Roman" w:hAnsi="Times New Roman"/>
          <w:snapToGrid/>
          <w:color w:val="auto"/>
          <w:sz w:val="24"/>
          <w:szCs w:val="24"/>
          <w:lang w:eastAsia="en-GB" w:bidi="ar-SA"/>
        </w:rPr>
        <w:t xml:space="preserve"> or lower</w:t>
      </w:r>
      <w:r w:rsidRPr="00F74F1B">
        <w:rPr>
          <w:rFonts w:ascii="Times New Roman" w:hAnsi="Times New Roman"/>
          <w:snapToGrid/>
          <w:color w:val="auto"/>
          <w:sz w:val="24"/>
          <w:szCs w:val="24"/>
          <w:lang w:eastAsia="en-GB" w:bidi="ar-SA"/>
        </w:rPr>
        <w:t xml:space="preserve"> are not susceptible to coalescence during storage (i.e. electro-statically stable) </w:t>
      </w:r>
      <w:r w:rsidR="002832DD">
        <w:rPr>
          <w:rFonts w:ascii="Times New Roman" w:hAnsi="Times New Roman"/>
          <w:snapToGrid/>
          <w:color w:val="auto"/>
          <w:sz w:val="24"/>
          <w:szCs w:val="24"/>
          <w:lang w:eastAsia="en-GB" w:bidi="ar-SA"/>
        </w:rPr>
        <w:fldChar w:fldCharType="begin"/>
      </w:r>
      <w:r w:rsidR="00EA5690">
        <w:rPr>
          <w:rFonts w:ascii="Times New Roman" w:hAnsi="Times New Roman"/>
          <w:snapToGrid/>
          <w:color w:val="auto"/>
          <w:sz w:val="24"/>
          <w:szCs w:val="24"/>
          <w:lang w:eastAsia="en-GB" w:bidi="ar-SA"/>
        </w:rPr>
        <w:instrText xml:space="preserve"> ADDIN ZOTERO_ITEM CSL_CITATION {"citationID":"MCFGf7fJ","properties":{"formattedCitation":"(25)","plainCitation":"(25)","noteIndex":0},"citationItems":[{"id":112,"uris":["http://zotero.org/users/5477069/items/HJCNF253"],"uri":["http://zotero.org/users/5477069/items/HJCNF253"],"itemData":{"id":112,"type":"article-journal","title":"Nanoemulsion liquid preconcentrates for raloxifene hydrochloride: optimization and in vivo appraisal","container-title":"International Journal of Nanomedicine","page":"3787-3802","volume":"7","source":"PubMed","abstract":"Raloxifene hydrochloride (RLX) is a selective estrogen-receptor modulator for treatment of osteoporosis and prevention of breast and endometrial cancer. By virtue of extensive presystemic clearance, RLX bioavailability is only 2%. The current study aimed to tailor and characterize RLX-loaded self-nanoemulsifying drug-delivery systems (SNEDDS) using bioactive excipients affecting drug metabolism. The potential of oral nanocarriers to enhance RLX delivery to endocrine target organs was assessed in fasted and fed female Wistar rats using high-performance liquid chromatography. RLX was loaded in the dissolved and dispersed status in the alkalinized (A-SNEDDS) and nonalkalinized (NA-SNEDDS) systems, respectively. Optimization and assessment relied on solubility studies, emulsification efficiency, phase diagrams, dilution robustness, cloud point, particle size, zeta potential (ZP), polydispersity index (PDI), and transmission electron microscopy. In vitro release was assessed using dialysis bag versus dissolution cup methods. NA-SNEDDS were developed with suitable globule size (38.49 ± 4.30 nm), ZP (31.70 ± 3.58 mV), PDI (0.31 ± 0.02), and cloud point (85°C). A-SNEDDS exhibited good globule size (35 ± 2.80 nm), adequate PDI (0.28 ± 0.06), and lower ZP magnitude (-21.20 ± 3.46 mV). Transmission electron microscopy revealed spherical globules and contended data of size analysis. Release studies demonstrated a nonsignificant enhancement of RLX release from NA-SNEDDS compared to drug suspension with the lowest release shown by A-SNEDDS. A conflicting result was elucidated from in vivo trial. A significant enhancement in RLX uptake by endocrine organs was observed after nanocarrier administration compared to RLX suspension. In vivo studies reflected a poor in vitro/in vivo correlation, recommended nanocarrier administration before meals, and did not reveal any advantage for drug loading in the solubilized form (A-SNEDDS). To conclude, NA-SNEDDS possessed superior in vitro characteristics to A-SNEDDS, with equal in vivo potential. NA-SNEDDS elaborated in this work could successfully double RLX delivery to endocrine target organs, with promising consequences of lower dose and side effects of the drug.","DOI":"10.2147/IJN.S33186","ISSN":"1178-2013","note":"PMID: 22888234\nPMCID: PMC3414224","title-short":"Nanoemulsion liquid preconcentrates for raloxifene hydrochloride","journalAbbreviation":"Int J Nanomedicine","language":"eng","author":[{"family":"Elsheikh","given":"Manal A."},{"family":"Elnaggar","given":"Yosra S. R."},{"family":"Gohar","given":"Eman Y."},{"family":"Abdallah","given":"Ossama Y."}],"issued":{"date-parts":[["2012"]]}}}],"schema":"https://github.com/citation-style-language/schema/raw/master/csl-citation.json"} </w:instrText>
      </w:r>
      <w:r w:rsidR="002832DD">
        <w:rPr>
          <w:rFonts w:ascii="Times New Roman" w:hAnsi="Times New Roman"/>
          <w:snapToGrid/>
          <w:color w:val="auto"/>
          <w:sz w:val="24"/>
          <w:szCs w:val="24"/>
          <w:lang w:eastAsia="en-GB" w:bidi="ar-SA"/>
        </w:rPr>
        <w:fldChar w:fldCharType="separate"/>
      </w:r>
      <w:r w:rsidR="00EA5690">
        <w:rPr>
          <w:rFonts w:ascii="Times New Roman" w:hAnsi="Times New Roman"/>
          <w:noProof/>
          <w:snapToGrid/>
          <w:color w:val="auto"/>
          <w:sz w:val="24"/>
          <w:szCs w:val="24"/>
          <w:lang w:eastAsia="en-GB" w:bidi="ar-SA"/>
        </w:rPr>
        <w:t>(25)</w:t>
      </w:r>
      <w:r w:rsidR="002832DD">
        <w:rPr>
          <w:rFonts w:ascii="Times New Roman" w:hAnsi="Times New Roman"/>
          <w:snapToGrid/>
          <w:color w:val="auto"/>
          <w:sz w:val="24"/>
          <w:szCs w:val="24"/>
          <w:lang w:eastAsia="en-GB" w:bidi="ar-SA"/>
        </w:rPr>
        <w:fldChar w:fldCharType="end"/>
      </w:r>
      <w:r w:rsidRPr="00F74F1B">
        <w:rPr>
          <w:rFonts w:ascii="Times New Roman" w:hAnsi="Times New Roman"/>
          <w:snapToGrid/>
          <w:color w:val="auto"/>
          <w:sz w:val="24"/>
          <w:szCs w:val="24"/>
          <w:lang w:eastAsia="en-GB" w:bidi="ar-SA"/>
        </w:rPr>
        <w:t xml:space="preserve">. </w:t>
      </w:r>
      <w:r w:rsidR="00897264">
        <w:rPr>
          <w:rFonts w:ascii="Times New Roman" w:hAnsi="Times New Roman"/>
          <w:snapToGrid/>
          <w:color w:val="auto"/>
          <w:sz w:val="24"/>
          <w:szCs w:val="24"/>
          <w:lang w:eastAsia="en-GB" w:bidi="ar-SA"/>
        </w:rPr>
        <w:t>In the present study, a</w:t>
      </w:r>
      <w:r w:rsidRPr="00F74F1B">
        <w:rPr>
          <w:rFonts w:ascii="Times New Roman" w:hAnsi="Times New Roman"/>
          <w:snapToGrid/>
          <w:color w:val="auto"/>
          <w:sz w:val="24"/>
          <w:szCs w:val="24"/>
          <w:lang w:eastAsia="en-GB" w:bidi="ar-SA"/>
        </w:rPr>
        <w:t xml:space="preserve">ll formulations </w:t>
      </w:r>
      <w:r w:rsidR="00897264">
        <w:rPr>
          <w:rFonts w:ascii="Times New Roman" w:hAnsi="Times New Roman"/>
          <w:snapToGrid/>
          <w:color w:val="auto"/>
          <w:sz w:val="24"/>
          <w:szCs w:val="24"/>
          <w:lang w:eastAsia="en-GB" w:bidi="ar-SA"/>
        </w:rPr>
        <w:t>had</w:t>
      </w:r>
      <w:r w:rsidRPr="00F74F1B">
        <w:rPr>
          <w:rFonts w:ascii="Times New Roman" w:hAnsi="Times New Roman"/>
          <w:snapToGrid/>
          <w:color w:val="auto"/>
          <w:sz w:val="24"/>
          <w:szCs w:val="24"/>
          <w:lang w:eastAsia="en-GB" w:bidi="ar-SA"/>
        </w:rPr>
        <w:t xml:space="preserve"> negative zeta potential values lower than -30 mV, indicating stability of the nanoemulsions. It is worth to mention that pH might influence zeta potential </w:t>
      </w:r>
      <w:r w:rsidR="00897264">
        <w:rPr>
          <w:rFonts w:ascii="Times New Roman" w:hAnsi="Times New Roman"/>
          <w:snapToGrid/>
          <w:color w:val="auto"/>
          <w:sz w:val="24"/>
          <w:szCs w:val="24"/>
          <w:lang w:eastAsia="en-GB" w:bidi="ar-SA"/>
        </w:rPr>
        <w:t>measurements</w:t>
      </w:r>
      <w:r w:rsidRPr="00F74F1B">
        <w:rPr>
          <w:rFonts w:ascii="Times New Roman" w:hAnsi="Times New Roman"/>
          <w:snapToGrid/>
          <w:color w:val="auto"/>
          <w:sz w:val="24"/>
          <w:szCs w:val="24"/>
          <w:lang w:eastAsia="en-GB" w:bidi="ar-SA"/>
        </w:rPr>
        <w:t xml:space="preserve">. Explicitly, the negativity of the surface charge increases in disperse systems </w:t>
      </w:r>
      <w:r w:rsidR="00897264">
        <w:rPr>
          <w:rFonts w:ascii="Times New Roman" w:hAnsi="Times New Roman"/>
          <w:snapToGrid/>
          <w:color w:val="auto"/>
          <w:sz w:val="24"/>
          <w:szCs w:val="24"/>
          <w:lang w:eastAsia="en-GB" w:bidi="ar-SA"/>
        </w:rPr>
        <w:t>having</w:t>
      </w:r>
      <w:r w:rsidR="00897264" w:rsidRPr="00F74F1B">
        <w:rPr>
          <w:rFonts w:ascii="Times New Roman" w:hAnsi="Times New Roman"/>
          <w:snapToGrid/>
          <w:color w:val="auto"/>
          <w:sz w:val="24"/>
          <w:szCs w:val="24"/>
          <w:lang w:eastAsia="en-GB" w:bidi="ar-SA"/>
        </w:rPr>
        <w:t xml:space="preserve"> </w:t>
      </w:r>
      <w:r w:rsidRPr="00F74F1B">
        <w:rPr>
          <w:rFonts w:ascii="Times New Roman" w:hAnsi="Times New Roman"/>
          <w:snapToGrid/>
          <w:color w:val="auto"/>
          <w:sz w:val="24"/>
          <w:szCs w:val="24"/>
          <w:lang w:eastAsia="en-GB" w:bidi="ar-SA"/>
        </w:rPr>
        <w:t xml:space="preserve">pH values higher than 6, whereas neutral or </w:t>
      </w:r>
      <w:r w:rsidRPr="00F74F1B">
        <w:rPr>
          <w:rFonts w:ascii="Times New Roman" w:hAnsi="Times New Roman"/>
          <w:snapToGrid/>
          <w:color w:val="auto"/>
          <w:sz w:val="24"/>
          <w:szCs w:val="24"/>
          <w:lang w:eastAsia="en-GB" w:bidi="ar-SA"/>
        </w:rPr>
        <w:lastRenderedPageBreak/>
        <w:t xml:space="preserve">positive zeta potential values are anticipated in more acidic formulations </w:t>
      </w:r>
      <w:r w:rsidR="002832DD">
        <w:rPr>
          <w:rFonts w:ascii="Times New Roman" w:hAnsi="Times New Roman"/>
          <w:snapToGrid/>
          <w:color w:val="auto"/>
          <w:sz w:val="24"/>
          <w:szCs w:val="24"/>
          <w:lang w:eastAsia="en-GB" w:bidi="ar-SA"/>
        </w:rPr>
        <w:fldChar w:fldCharType="begin"/>
      </w:r>
      <w:r w:rsidR="00EA5690">
        <w:rPr>
          <w:rFonts w:ascii="Times New Roman" w:hAnsi="Times New Roman"/>
          <w:snapToGrid/>
          <w:color w:val="auto"/>
          <w:sz w:val="24"/>
          <w:szCs w:val="24"/>
          <w:lang w:eastAsia="en-GB" w:bidi="ar-SA"/>
        </w:rPr>
        <w:instrText xml:space="preserve"> ADDIN ZOTERO_ITEM CSL_CITATION {"citationID":"umaWCKuo","properties":{"formattedCitation":"(26,27)","plainCitation":"(26,27)","noteIndex":0},"citationItems":[{"id":117,"uris":["http://zotero.org/users/5477069/items/FDB64VHX"],"uri":["http://zotero.org/users/5477069/items/FDB64VHX"],"itemData":{"id":117,"type":"article-journal","title":"pH Effects on solubility, zeta potential, and correlation between antibacterial activity and molecular weight of chitosan","container-title":"Carbohydrate Polymers","page":"74-81","volume":"134","source":"ScienceDirect","abstract":"Six chitosans with molecular weights (MWs) of 300, 156, 72.1, 29.2, 7.1, and 3.3kDa were prepared by cellulase degradation of chitosan (300kDa) and ultrafiltration techniques. We examined the correlation between activity against Escherichia coli and Staphylococcus aureus and chitosan MW, and provided the underlying explanation. In acidic pH conditions, the chitosan activity increased with increasing MW, irrespective of the temperature and bacteria tested. However, at neutral pH, chitosan activity increased as the MW decreased, and little activity was observed for chitosans with MW &gt;29.2kDa. At pH 5.0 and 6.0, chitosans exhibited good water solubility and zeta potential (ZP) decreased with the MW, whereas the solubility and ZP of the chitosans decreased with increasing MW at pH 7.0. Particularly, low solubility and negative ZP values were determined for chitosans with MW &gt;29.2kDa, which may explain the loss of their antibacterial activity at pH 7.0.","DOI":"10.1016/j.carbpol.2015.07.072","ISSN":"0144-8617","journalAbbreviation":"Carbohydrate Polymers","author":[{"family":"Chang","given":"Shun-Hsien"},{"family":"Lin","given":"Hong-Ting Victor"},{"family":"Wu","given":"Guan-James"},{"family":"Tsai","given":"Guo Jane"}],"issued":{"date-parts":[["2015",12,10]]}}},{"id":120,"uris":["http://zotero.org/users/5477069/items/2FSDBJTR"],"uri":["http://zotero.org/users/5477069/items/2FSDBJTR"],"itemData":{"id":120,"type":"article-journal","title":"The influence of pH and NaCl on the zeta potential and rheology of anatase dispersions","container-title":"Colloids and Surfaces A: Physicochemical and Engineering Aspects","page":"349-359","volume":"175","issue":"3","source":"ScienceDirect","abstract":"The rheological behaviour of anatase dispersions was compared with the ζ potential, when the pH (from 3 to 10) and sodium chloride concentration (from 0 to 1 mol dm−3) was varied over a wide range. The isoelectric point, pHiep, is shifted to higher values with increasing salt concentration until a charge reversal was no longer observed at a concentration of 1 mol dm−3 NaCl. The rheological properties were analyzed in the form of the critical yield stress and the shear stress and viscosity at arbitrarily selected high and low shear rates, respectively. The maximum of the rheological properties was found to correlate with to the pHiep. The electrokinetic and rheological features of the system were related to a recent theory of Hunter et al. [J. Colloid Int. Sci. 28 (1968) 250] by plotting the yield stress against the square of the ζ potential for each salt concentration. The acidic branch, i.e. when pH&lt;pHiep, of these curves followed the expectations of the theory quite well. For the alkaline branch (pH&gt;pHiep), however, the curves did not show the expected linear behaviour. Also when comparing the influence of pH and sodium chloride concentration on the rheology, it was found that on the acidic yield stress branch the dependency of pH and salt concentration was very different from the one on the alkaline branch. On the acidic branch, low ionic strengths shared a common straight line. On the contrary, the alkaline branch had separate linear dependencies for each salt concentration. Moreover, the lines on the alkaline side seemed to be quite parallel for medium salt concentrations.","DOI":"10.1016/S0927-7757(00)00634-8","ISSN":"0927-7757","journalAbbreviation":"Colloids and Surfaces A: Physicochemical and Engineering Aspects","author":[{"family":"Gustafsson","given":"Jan"},{"family":"Mikkola","given":"Pasi"},{"family":"Jokinen","given":"Mika"},{"family":"Rosenholm","given":"Jarl B"}],"issued":{"date-parts":[["2000",12,30]]}}}],"schema":"https://github.com/citation-style-language/schema/raw/master/csl-citation.json"} </w:instrText>
      </w:r>
      <w:r w:rsidR="002832DD">
        <w:rPr>
          <w:rFonts w:ascii="Times New Roman" w:hAnsi="Times New Roman"/>
          <w:snapToGrid/>
          <w:color w:val="auto"/>
          <w:sz w:val="24"/>
          <w:szCs w:val="24"/>
          <w:lang w:eastAsia="en-GB" w:bidi="ar-SA"/>
        </w:rPr>
        <w:fldChar w:fldCharType="separate"/>
      </w:r>
      <w:r w:rsidR="00EA5690">
        <w:rPr>
          <w:rFonts w:ascii="Times New Roman" w:hAnsi="Times New Roman"/>
          <w:noProof/>
          <w:snapToGrid/>
          <w:color w:val="auto"/>
          <w:sz w:val="24"/>
          <w:szCs w:val="24"/>
          <w:lang w:eastAsia="en-GB" w:bidi="ar-SA"/>
        </w:rPr>
        <w:t>(26,27)</w:t>
      </w:r>
      <w:r w:rsidR="002832DD">
        <w:rPr>
          <w:rFonts w:ascii="Times New Roman" w:hAnsi="Times New Roman"/>
          <w:snapToGrid/>
          <w:color w:val="auto"/>
          <w:sz w:val="24"/>
          <w:szCs w:val="24"/>
          <w:lang w:eastAsia="en-GB" w:bidi="ar-SA"/>
        </w:rPr>
        <w:fldChar w:fldCharType="end"/>
      </w:r>
      <w:r w:rsidRPr="00F74F1B">
        <w:rPr>
          <w:rFonts w:ascii="Times New Roman" w:hAnsi="Times New Roman"/>
          <w:snapToGrid/>
          <w:color w:val="auto"/>
          <w:sz w:val="24"/>
          <w:szCs w:val="24"/>
          <w:lang w:eastAsia="en-GB" w:bidi="ar-SA"/>
        </w:rPr>
        <w:t xml:space="preserve">. The pH </w:t>
      </w:r>
      <w:r w:rsidR="00897264">
        <w:rPr>
          <w:rFonts w:ascii="Times New Roman" w:hAnsi="Times New Roman"/>
          <w:snapToGrid/>
          <w:color w:val="auto"/>
          <w:sz w:val="24"/>
          <w:szCs w:val="24"/>
          <w:lang w:eastAsia="en-GB" w:bidi="ar-SA"/>
        </w:rPr>
        <w:t>measurements</w:t>
      </w:r>
      <w:r w:rsidR="00897264" w:rsidRPr="00F74F1B">
        <w:rPr>
          <w:rFonts w:ascii="Times New Roman" w:hAnsi="Times New Roman"/>
          <w:snapToGrid/>
          <w:color w:val="auto"/>
          <w:sz w:val="24"/>
          <w:szCs w:val="24"/>
          <w:lang w:eastAsia="en-GB" w:bidi="ar-SA"/>
        </w:rPr>
        <w:t xml:space="preserve"> </w:t>
      </w:r>
      <w:r w:rsidRPr="00F74F1B">
        <w:rPr>
          <w:rFonts w:ascii="Times New Roman" w:hAnsi="Times New Roman"/>
          <w:snapToGrid/>
          <w:color w:val="auto"/>
          <w:sz w:val="24"/>
          <w:szCs w:val="24"/>
          <w:lang w:eastAsia="en-GB" w:bidi="ar-SA"/>
        </w:rPr>
        <w:t>for all Intralipid and Clinoleic formulations were between 6.5 and 7.7 (Figure 3b)</w:t>
      </w:r>
      <w:r w:rsidR="00897264">
        <w:rPr>
          <w:rFonts w:ascii="Times New Roman" w:hAnsi="Times New Roman"/>
          <w:snapToGrid/>
          <w:color w:val="auto"/>
          <w:sz w:val="24"/>
          <w:szCs w:val="24"/>
          <w:lang w:eastAsia="en-GB" w:bidi="ar-SA"/>
        </w:rPr>
        <w:t>, coming</w:t>
      </w:r>
      <w:r w:rsidRPr="00F74F1B">
        <w:rPr>
          <w:rFonts w:ascii="Times New Roman" w:hAnsi="Times New Roman"/>
          <w:snapToGrid/>
          <w:color w:val="auto"/>
          <w:sz w:val="24"/>
          <w:szCs w:val="24"/>
          <w:lang w:eastAsia="en-GB" w:bidi="ar-SA"/>
        </w:rPr>
        <w:t xml:space="preserve"> in correspondence with their negative zeta potential. In this context, CP, a zwitterionic drug (pKa 6.09 and 8.62) </w:t>
      </w:r>
      <w:r w:rsidR="002832DD">
        <w:rPr>
          <w:rFonts w:ascii="Times New Roman" w:hAnsi="Times New Roman"/>
          <w:snapToGrid/>
          <w:color w:val="auto"/>
          <w:sz w:val="24"/>
          <w:szCs w:val="24"/>
          <w:lang w:eastAsia="en-GB" w:bidi="ar-SA"/>
        </w:rPr>
        <w:fldChar w:fldCharType="begin"/>
      </w:r>
      <w:r w:rsidR="00EA5690">
        <w:rPr>
          <w:rFonts w:ascii="Times New Roman" w:hAnsi="Times New Roman"/>
          <w:snapToGrid/>
          <w:color w:val="auto"/>
          <w:sz w:val="24"/>
          <w:szCs w:val="24"/>
          <w:lang w:eastAsia="en-GB" w:bidi="ar-SA"/>
        </w:rPr>
        <w:instrText xml:space="preserve"> ADDIN ZOTERO_ITEM CSL_CITATION {"citationID":"y8tC97VO","properties":{"formattedCitation":"(28)","plainCitation":"(28)","noteIndex":0},"citationItems":[{"id":145,"uris":["http://zotero.org/users/5477069/items/I5BQZDKP"],"uri":["http://zotero.org/users/5477069/items/I5BQZDKP"],"itemData":{"id":145,"type":"article-journal","title":"Comparison between capillary electrophoresis, liquid chromatography, potentiometric and spectrophotometric techniques for evaluation of pKa values of zwitterionic drugs in acetonitrile–water mixtures","container-title":"Analytica Chimica Acta","page":"309-321","volume":"437","issue":"2","source":"ScienceDirect","abstract":"Capillary electrophoresis, liquid chromatography, potentiometry and UV–visible spectrophotometry are frequently used for determination of pKa values of substances. In this work, we have compared the application of the different techniques to the determination of pKa values of a series of zwitterionic quinolones in acetonitrile–water mixtures, emphasizing the advantages of capillary electrophoresis for the determination of equilibrium constants of widely used drugs in aqueous and aqueous organic media.","DOI":"10.1016/S0003-2670(01)00997-7","ISSN":"0003-2670","journalAbbreviation":"Analytica Chimica Acta","author":[{"family":"Barbosa","given":"J"},{"family":"Barrón","given":"D"},{"family":"Jiménez-Lozano","given":"E"},{"family":"Sanz-Nebot","given":"V"}],"issued":{"date-parts":[["2001",6,27]]}}}],"schema":"https://github.com/citation-style-language/schema/raw/master/csl-citation.json"} </w:instrText>
      </w:r>
      <w:r w:rsidR="002832DD">
        <w:rPr>
          <w:rFonts w:ascii="Times New Roman" w:hAnsi="Times New Roman"/>
          <w:snapToGrid/>
          <w:color w:val="auto"/>
          <w:sz w:val="24"/>
          <w:szCs w:val="24"/>
          <w:lang w:eastAsia="en-GB" w:bidi="ar-SA"/>
        </w:rPr>
        <w:fldChar w:fldCharType="separate"/>
      </w:r>
      <w:r w:rsidR="00EA5690">
        <w:rPr>
          <w:rFonts w:ascii="Times New Roman" w:hAnsi="Times New Roman"/>
          <w:noProof/>
          <w:snapToGrid/>
          <w:color w:val="auto"/>
          <w:sz w:val="24"/>
          <w:szCs w:val="24"/>
          <w:lang w:eastAsia="en-GB" w:bidi="ar-SA"/>
        </w:rPr>
        <w:t>(28)</w:t>
      </w:r>
      <w:r w:rsidR="002832DD">
        <w:rPr>
          <w:rFonts w:ascii="Times New Roman" w:hAnsi="Times New Roman"/>
          <w:snapToGrid/>
          <w:color w:val="auto"/>
          <w:sz w:val="24"/>
          <w:szCs w:val="24"/>
          <w:lang w:eastAsia="en-GB" w:bidi="ar-SA"/>
        </w:rPr>
        <w:fldChar w:fldCharType="end"/>
      </w:r>
      <w:r w:rsidRPr="00F74F1B">
        <w:rPr>
          <w:rFonts w:ascii="Times New Roman" w:hAnsi="Times New Roman"/>
          <w:snapToGrid/>
          <w:color w:val="auto"/>
          <w:sz w:val="24"/>
          <w:szCs w:val="24"/>
          <w:lang w:eastAsia="en-GB" w:bidi="ar-SA"/>
        </w:rPr>
        <w:t>, is practically insoluble at the physiological</w:t>
      </w:r>
      <w:r w:rsidR="00897264">
        <w:rPr>
          <w:rFonts w:ascii="Times New Roman" w:hAnsi="Times New Roman"/>
          <w:snapToGrid/>
          <w:color w:val="auto"/>
          <w:sz w:val="24"/>
          <w:szCs w:val="24"/>
          <w:lang w:eastAsia="en-GB" w:bidi="ar-SA"/>
        </w:rPr>
        <w:t xml:space="preserve"> environment of</w:t>
      </w:r>
      <w:r w:rsidRPr="00F74F1B">
        <w:rPr>
          <w:rFonts w:ascii="Times New Roman" w:hAnsi="Times New Roman"/>
          <w:snapToGrid/>
          <w:color w:val="auto"/>
          <w:sz w:val="24"/>
          <w:szCs w:val="24"/>
          <w:lang w:eastAsia="en-GB" w:bidi="ar-SA"/>
        </w:rPr>
        <w:t xml:space="preserve"> pH 7.4 </w:t>
      </w:r>
      <w:r w:rsidR="002832DD">
        <w:rPr>
          <w:rFonts w:ascii="Times New Roman" w:hAnsi="Times New Roman"/>
          <w:snapToGrid/>
          <w:color w:val="auto"/>
          <w:sz w:val="24"/>
          <w:szCs w:val="24"/>
          <w:lang w:eastAsia="en-GB" w:bidi="ar-SA"/>
        </w:rPr>
        <w:fldChar w:fldCharType="begin"/>
      </w:r>
      <w:r w:rsidR="00EA5690">
        <w:rPr>
          <w:rFonts w:ascii="Times New Roman" w:hAnsi="Times New Roman"/>
          <w:snapToGrid/>
          <w:color w:val="auto"/>
          <w:sz w:val="24"/>
          <w:szCs w:val="24"/>
          <w:lang w:eastAsia="en-GB" w:bidi="ar-SA"/>
        </w:rPr>
        <w:instrText xml:space="preserve"> ADDIN ZOTERO_ITEM CSL_CITATION {"citationID":"BCVXqGm3","properties":{"formattedCitation":"(10,29,30)","plainCitation":"(10,29,30)","noteIndex":0},"citationItems":[{"id":82,"uris":["http://zotero.org/users/5477069/items/3MAZLJ26"],"uri":["http://zotero.org/users/5477069/items/3MAZLJ26"],"itemData":{"id":82,"type":"article-journal","title":"Solubility of antibiotics in different solvents. Part II. non-hydrochloride forms of tetracycline and ciprofloxacin","container-title":"Industrial and Engineering Chemistry Research","page":"8083-8089","volume":"47","issue":"21","source":"Scopus","archive":"Scopus","abstract":"The aim of this work is to establish a comparison between the solubility of the hydrochloride and non-hydrochloride forms of ciprofloxacin and tetracycline in relevant solvents. For that purpose the solubilities of the non-hydrochloride forms of ciprofloxacin and tetracycline were measured in water, ethanol, 2-propanol, and acetone, in the temperature range between 293.15 and 323.15 K for ciprofloxacin and between 288.15 and 303.15 K for tetracycline. The obtained results were compared with those of part I of this study, published previously, where the solubilities of the respective hydrochloride forms of the antibiotics in the same solvents were investigated. The solubility of the hydrochloride forms in water is about 2 orders of magnitude higher than those of the respective base forms. In acetone, we see the opposite effect. For ethanol and 2-propanol the influence of the hydrochloride group of the antibiotic on the solubility in the alcohol is much smaller than for water and acetone. The experimental data was correlated with good results using two different activity coefficient models, NRTL and UNIQUAC, with UNIQUAC giving better results, particularly for ciprofloxacin. The performance of COSMO-RS model to describe the studied systems was also evaluated. © 2008 American Chemical Society.","DOI":"10.1021/ie8003495","author":[{"family":"Caço","given":"A.I."},{"family":"Varanda","given":"F."},{"family":"De Melo","given":"M.J.P."},{"family":"Dias","given":"A.M.A."},{"family":"Dohrn","given":"R."},{"family":"Marrucho","given":"I.M."}],"issued":{"date-parts":[["2008"]]}}},{"id":125,"uris":["http://zotero.org/users/5477069/items/5J9BC8L2"],"uri":["http://zotero.org/users/5477069/items/5J9BC8L2"],"itemData":{"id":125,"type":"chapter","title":"Ciprofloxacin: Analytical Profile","container-title":"Profiles of Drug Substances, Excipients and Related Methodology","publisher":"Academic Press","page":"179-207","volume":"31","source":"ScienceDirect","abstract":"This chapter discusses several methods for the determination of ciprofloxacin in pharmaceutical formulations and in biological fluids includes titration methods, spectrophotometric methods, chemiluminescence methods, electrochemical methods, thin-layer chromatography, high performance liquid chromatographic methods, gas chromatography, capillary electrophoresis, and immunoassay methods. The effect of pH on the fluorescence of ciprofloxacin and norfloxacin has been studied, and the ground-state microscopic dissociation constants are determined in the chapter. Gas chromatography is used to analyze the residual piperazine of ciprofloxacin and norfloxacin in pharmaceutical preparations. Ciprofloxacin intravenous infusion is a sterile solution of ciprofloxacin lactate (prepared by the interaction of ciprofloxacin and lactic acid) in sodium chloride intravenous infusion solution. Ciprofloxacin and its metabolite desethyleneciprofloxacin is determined in human plasma using capillary electrophoresis in the presence of N-(1-naphthyl) ethylenediamine dihdrochloride as the internal standard.","URL":"http://www.sciencedirect.com/science/article/pii/S0099542804310051","note":"DOI: 10.1016/S0099-5428(04)31005-1","title-short":"Ciprofloxacin","author":[{"family":"Al-Omar","given":"Mohammed A."}],"editor":[{"family":"Brittain","given":"Harry G."}],"issued":{"date-parts":[["2005",1,1]]},"accessed":{"date-parts":[["2019",2,2]]}}},{"id":129,"uris":["http://zotero.org/users/5477069/items/2GEGEAPA"],"uri":["http://zotero.org/users/5477069/items/2GEGEAPA"],"itemData":{"id":129,"type":"article-journal","title":"The effect of temperature and pH on the solubility of quinolone compounds: estimation of heat of fusion","container-title":"Pharmaceutical Research","page":"522-527","volume":"11","issue":"4","source":"PubMed","abstract":"Although many reports involving fluoroquinolone agents have been published in the past decades, only a few address preformulation studies. In this paper, we describe the effect of temperature and pH on the aqueous solubility of two typically used quinolones, ciprofloxacin and norfloxacin. We measured the aqueous solubilities over the pH range of 5.5 to 9.5 at temperature of 6, 25, 30, and 40 degrees C. The intrinsic solubilities and the thermodynamic dissociation constants were determined from solubility data and the temperature dependence of the intrinsic solubility was evaluated using van't Hoff and Hildebrand plots. The heat of fusion was determined from these two plots. When the heat of fusion was compared to that measured from differential scanning calorimetry (DSC) studies, we found that the Hildebrand method overestimated, and the van't Hoff equation underestimated, the heat of fusion. From the absolute values of the relative errors, the Hildebrand plot produced the better results. DSC results show that the heat of fusion is 15.41 kcal/mol for ciprofloxacin and 7.88 kcal/mol for norfloxacin.","ISSN":"0724-8741","note":"PMID: 8058609","title-short":"The effect of temperature and pH on the solubility of quinolone compounds","journalAbbreviation":"Pharm. Res.","language":"eng","author":[{"family":"Yu","given":"X."},{"family":"Zipp","given":"G. L."},{"family":"Davidson","given":"G. W."}],"issued":{"date-parts":[["1994",4]]}}}],"schema":"https://github.com/citation-style-language/schema/raw/master/csl-citation.json"} </w:instrText>
      </w:r>
      <w:r w:rsidR="002832DD">
        <w:rPr>
          <w:rFonts w:ascii="Times New Roman" w:hAnsi="Times New Roman"/>
          <w:snapToGrid/>
          <w:color w:val="auto"/>
          <w:sz w:val="24"/>
          <w:szCs w:val="24"/>
          <w:lang w:eastAsia="en-GB" w:bidi="ar-SA"/>
        </w:rPr>
        <w:fldChar w:fldCharType="separate"/>
      </w:r>
      <w:r w:rsidR="00EA5690">
        <w:rPr>
          <w:rFonts w:ascii="Times New Roman" w:hAnsi="Times New Roman"/>
          <w:noProof/>
          <w:snapToGrid/>
          <w:color w:val="auto"/>
          <w:sz w:val="24"/>
          <w:szCs w:val="24"/>
          <w:lang w:eastAsia="en-GB" w:bidi="ar-SA"/>
        </w:rPr>
        <w:t>(10,29,30)</w:t>
      </w:r>
      <w:r w:rsidR="002832DD">
        <w:rPr>
          <w:rFonts w:ascii="Times New Roman" w:hAnsi="Times New Roman"/>
          <w:snapToGrid/>
          <w:color w:val="auto"/>
          <w:sz w:val="24"/>
          <w:szCs w:val="24"/>
          <w:lang w:eastAsia="en-GB" w:bidi="ar-SA"/>
        </w:rPr>
        <w:fldChar w:fldCharType="end"/>
      </w:r>
      <w:r w:rsidRPr="00F74F1B">
        <w:rPr>
          <w:rFonts w:ascii="Times New Roman" w:hAnsi="Times New Roman"/>
          <w:snapToGrid/>
          <w:color w:val="auto"/>
          <w:sz w:val="24"/>
          <w:szCs w:val="24"/>
          <w:lang w:eastAsia="en-GB" w:bidi="ar-SA"/>
        </w:rPr>
        <w:t xml:space="preserve">. This </w:t>
      </w:r>
      <w:r w:rsidR="00897264">
        <w:rPr>
          <w:rFonts w:ascii="Times New Roman" w:hAnsi="Times New Roman"/>
          <w:snapToGrid/>
          <w:color w:val="auto"/>
          <w:sz w:val="24"/>
          <w:szCs w:val="24"/>
          <w:lang w:eastAsia="en-GB" w:bidi="ar-SA"/>
        </w:rPr>
        <w:t>consolidates the merit of</w:t>
      </w:r>
      <w:r w:rsidRPr="00F74F1B">
        <w:rPr>
          <w:rFonts w:ascii="Times New Roman" w:hAnsi="Times New Roman"/>
          <w:snapToGrid/>
          <w:color w:val="auto"/>
          <w:sz w:val="24"/>
          <w:szCs w:val="24"/>
          <w:lang w:eastAsia="en-GB" w:bidi="ar-SA"/>
        </w:rPr>
        <w:t xml:space="preserve"> TPN nanoemulsion as a</w:t>
      </w:r>
      <w:r w:rsidR="00897264">
        <w:rPr>
          <w:rFonts w:ascii="Times New Roman" w:hAnsi="Times New Roman"/>
          <w:snapToGrid/>
          <w:color w:val="auto"/>
          <w:sz w:val="24"/>
          <w:szCs w:val="24"/>
          <w:lang w:eastAsia="en-GB" w:bidi="ar-SA"/>
        </w:rPr>
        <w:t xml:space="preserve"> potential</w:t>
      </w:r>
      <w:r w:rsidRPr="00F74F1B">
        <w:rPr>
          <w:rFonts w:ascii="Times New Roman" w:hAnsi="Times New Roman"/>
          <w:snapToGrid/>
          <w:color w:val="auto"/>
          <w:sz w:val="24"/>
          <w:szCs w:val="24"/>
          <w:lang w:eastAsia="en-GB" w:bidi="ar-SA"/>
        </w:rPr>
        <w:t xml:space="preserve"> </w:t>
      </w:r>
      <w:r w:rsidR="00897264">
        <w:rPr>
          <w:rFonts w:ascii="Times New Roman" w:hAnsi="Times New Roman"/>
          <w:snapToGrid/>
          <w:color w:val="auto"/>
          <w:sz w:val="24"/>
          <w:szCs w:val="24"/>
          <w:lang w:eastAsia="en-GB" w:bidi="ar-SA"/>
        </w:rPr>
        <w:t>clinically feasible drug delivery system</w:t>
      </w:r>
      <w:r w:rsidRPr="00F74F1B">
        <w:rPr>
          <w:rFonts w:ascii="Times New Roman" w:hAnsi="Times New Roman"/>
          <w:snapToGrid/>
          <w:color w:val="auto"/>
          <w:sz w:val="24"/>
          <w:szCs w:val="24"/>
          <w:lang w:eastAsia="en-GB" w:bidi="ar-SA"/>
        </w:rPr>
        <w:t xml:space="preserve">. As expected, CP </w:t>
      </w:r>
      <w:r w:rsidR="00A12B90">
        <w:rPr>
          <w:rFonts w:ascii="Times New Roman" w:hAnsi="Times New Roman"/>
          <w:snapToGrid/>
          <w:color w:val="auto"/>
          <w:sz w:val="24"/>
          <w:szCs w:val="24"/>
          <w:lang w:eastAsia="en-GB" w:bidi="ar-SA"/>
        </w:rPr>
        <w:t>was</w:t>
      </w:r>
      <w:r w:rsidR="00A12B90" w:rsidRPr="00F74F1B">
        <w:rPr>
          <w:rFonts w:ascii="Times New Roman" w:hAnsi="Times New Roman"/>
          <w:snapToGrid/>
          <w:color w:val="auto"/>
          <w:sz w:val="24"/>
          <w:szCs w:val="24"/>
          <w:lang w:eastAsia="en-GB" w:bidi="ar-SA"/>
        </w:rPr>
        <w:t xml:space="preserve"> </w:t>
      </w:r>
      <w:r w:rsidRPr="00F74F1B">
        <w:rPr>
          <w:rFonts w:ascii="Times New Roman" w:hAnsi="Times New Roman"/>
          <w:snapToGrid/>
          <w:color w:val="auto"/>
          <w:sz w:val="24"/>
          <w:szCs w:val="24"/>
          <w:lang w:eastAsia="en-GB" w:bidi="ar-SA"/>
        </w:rPr>
        <w:t xml:space="preserve">dissolved </w:t>
      </w:r>
      <w:r w:rsidR="00D86DFA">
        <w:rPr>
          <w:rFonts w:ascii="Times New Roman" w:hAnsi="Times New Roman"/>
          <w:snapToGrid/>
          <w:color w:val="auto"/>
          <w:sz w:val="24"/>
          <w:szCs w:val="24"/>
          <w:lang w:eastAsia="en-GB" w:bidi="ar-SA"/>
        </w:rPr>
        <w:t>by the</w:t>
      </w:r>
      <w:r w:rsidRPr="00F74F1B">
        <w:rPr>
          <w:rFonts w:ascii="Times New Roman" w:hAnsi="Times New Roman"/>
          <w:snapToGrid/>
          <w:color w:val="auto"/>
          <w:sz w:val="24"/>
          <w:szCs w:val="24"/>
          <w:lang w:eastAsia="en-GB" w:bidi="ar-SA"/>
        </w:rPr>
        <w:t xml:space="preserve"> oil droplets, hence, no alteration to the acidity of the formulations was observed</w:t>
      </w:r>
      <w:r w:rsidR="00897264">
        <w:rPr>
          <w:rFonts w:ascii="Times New Roman" w:hAnsi="Times New Roman"/>
          <w:snapToGrid/>
          <w:color w:val="auto"/>
          <w:sz w:val="24"/>
          <w:szCs w:val="24"/>
          <w:lang w:eastAsia="en-GB" w:bidi="ar-SA"/>
        </w:rPr>
        <w:t>, regardless of</w:t>
      </w:r>
      <w:r w:rsidRPr="00F74F1B">
        <w:rPr>
          <w:rFonts w:ascii="Times New Roman" w:hAnsi="Times New Roman"/>
          <w:snapToGrid/>
          <w:color w:val="auto"/>
          <w:sz w:val="24"/>
          <w:szCs w:val="24"/>
          <w:lang w:eastAsia="en-GB" w:bidi="ar-SA"/>
        </w:rPr>
        <w:t xml:space="preserve"> drug concentration. The neutral pH values of the loaded formulations suggested the need for stability studies to confirm the suitability of TPN nanoemulsions loaded with CP for </w:t>
      </w:r>
      <w:r w:rsidR="00897264">
        <w:rPr>
          <w:rFonts w:ascii="Times New Roman" w:hAnsi="Times New Roman"/>
          <w:snapToGrid/>
          <w:color w:val="auto"/>
          <w:sz w:val="24"/>
          <w:szCs w:val="24"/>
          <w:lang w:eastAsia="en-GB" w:bidi="ar-SA"/>
        </w:rPr>
        <w:t xml:space="preserve">possible </w:t>
      </w:r>
      <w:r w:rsidRPr="00F74F1B">
        <w:rPr>
          <w:rFonts w:ascii="Times New Roman" w:hAnsi="Times New Roman"/>
          <w:snapToGrid/>
          <w:color w:val="auto"/>
          <w:sz w:val="24"/>
          <w:szCs w:val="24"/>
          <w:lang w:eastAsia="en-GB" w:bidi="ar-SA"/>
        </w:rPr>
        <w:t xml:space="preserve">future </w:t>
      </w:r>
      <w:r w:rsidRPr="00010F4A">
        <w:rPr>
          <w:rFonts w:ascii="Times New Roman" w:hAnsi="Times New Roman"/>
          <w:i/>
          <w:iCs/>
          <w:snapToGrid/>
          <w:color w:val="auto"/>
          <w:sz w:val="24"/>
          <w:szCs w:val="24"/>
          <w:lang w:eastAsia="en-GB" w:bidi="ar-SA"/>
        </w:rPr>
        <w:t>in vivo</w:t>
      </w:r>
      <w:r w:rsidRPr="00F74F1B">
        <w:rPr>
          <w:rFonts w:ascii="Times New Roman" w:hAnsi="Times New Roman"/>
          <w:snapToGrid/>
          <w:color w:val="auto"/>
          <w:sz w:val="24"/>
          <w:szCs w:val="24"/>
          <w:lang w:eastAsia="en-GB" w:bidi="ar-SA"/>
        </w:rPr>
        <w:t xml:space="preserve"> investigations</w:t>
      </w:r>
      <w:r w:rsidRPr="00D25C0B">
        <w:rPr>
          <w:bCs/>
          <w:lang w:val="en-GB"/>
        </w:rPr>
        <w:t>.</w:t>
      </w:r>
    </w:p>
    <w:p w14:paraId="163BB012" w14:textId="7CC18CBF" w:rsidR="005A6A38" w:rsidRPr="00F74F1B" w:rsidRDefault="005A6A38" w:rsidP="005A20EF">
      <w:pPr>
        <w:pStyle w:val="Heading2"/>
        <w:numPr>
          <w:ilvl w:val="1"/>
          <w:numId w:val="31"/>
        </w:numPr>
      </w:pPr>
      <w:r w:rsidRPr="00F74F1B">
        <w:t xml:space="preserve">Entrapment efficiency and </w:t>
      </w:r>
      <w:r w:rsidR="005A20EF" w:rsidRPr="00F74F1B">
        <w:t>load</w:t>
      </w:r>
      <w:r w:rsidR="005A20EF">
        <w:t>ed</w:t>
      </w:r>
      <w:r w:rsidR="005A20EF" w:rsidRPr="00F74F1B">
        <w:t xml:space="preserve"> </w:t>
      </w:r>
      <w:r w:rsidRPr="00F74F1B">
        <w:t>weight of CP in nanoemulsion droplets</w:t>
      </w:r>
    </w:p>
    <w:p w14:paraId="0ADE598A" w14:textId="77777777" w:rsidR="005A6A38" w:rsidRPr="00AA6215" w:rsidRDefault="005A6A38" w:rsidP="005A6A38">
      <w:pPr>
        <w:pStyle w:val="MDPI31text"/>
        <w:ind w:firstLine="0"/>
        <w:rPr>
          <w:bCs/>
          <w:i/>
          <w:iCs/>
          <w:lang w:val="en-GB"/>
        </w:rPr>
      </w:pPr>
    </w:p>
    <w:p w14:paraId="0F1DC30D" w14:textId="710FDA1E" w:rsidR="005A6A38" w:rsidRPr="009F19D9" w:rsidRDefault="005A6A38" w:rsidP="003716EE">
      <w:pPr>
        <w:pStyle w:val="MDPI31text"/>
        <w:spacing w:line="480" w:lineRule="auto"/>
        <w:ind w:firstLine="0"/>
        <w:rPr>
          <w:rFonts w:ascii="Times New Roman" w:hAnsi="Times New Roman"/>
          <w:snapToGrid/>
          <w:color w:val="auto"/>
          <w:sz w:val="24"/>
          <w:szCs w:val="24"/>
          <w:lang w:eastAsia="en-GB" w:bidi="ar-SA"/>
        </w:rPr>
      </w:pPr>
      <w:r w:rsidRPr="009F19D9">
        <w:rPr>
          <w:rFonts w:ascii="Times New Roman" w:hAnsi="Times New Roman"/>
          <w:snapToGrid/>
          <w:color w:val="auto"/>
          <w:sz w:val="24"/>
          <w:szCs w:val="24"/>
          <w:lang w:eastAsia="en-GB" w:bidi="ar-SA"/>
        </w:rPr>
        <w:t xml:space="preserve">Entrapment efficiency is the percentage of CP entrapped in the oil phase of the nanoemulsion, whereas </w:t>
      </w:r>
      <w:r w:rsidR="003A7D12">
        <w:rPr>
          <w:rFonts w:ascii="Times New Roman" w:hAnsi="Times New Roman"/>
          <w:snapToGrid/>
          <w:color w:val="auto"/>
          <w:sz w:val="24"/>
          <w:szCs w:val="24"/>
          <w:lang w:eastAsia="en-GB" w:bidi="ar-SA"/>
        </w:rPr>
        <w:t xml:space="preserve">drug </w:t>
      </w:r>
      <w:r w:rsidRPr="009F19D9">
        <w:rPr>
          <w:rFonts w:ascii="Times New Roman" w:hAnsi="Times New Roman"/>
          <w:snapToGrid/>
          <w:color w:val="auto"/>
          <w:sz w:val="24"/>
          <w:szCs w:val="24"/>
          <w:lang w:eastAsia="en-GB" w:bidi="ar-SA"/>
        </w:rPr>
        <w:t xml:space="preserve">loading represents the proportional amount (mg) of the </w:t>
      </w:r>
      <w:r w:rsidR="00A12B90" w:rsidRPr="009F19D9">
        <w:rPr>
          <w:rFonts w:ascii="Times New Roman" w:hAnsi="Times New Roman"/>
          <w:snapToGrid/>
          <w:color w:val="auto"/>
          <w:sz w:val="24"/>
          <w:szCs w:val="24"/>
          <w:lang w:eastAsia="en-GB" w:bidi="ar-SA"/>
        </w:rPr>
        <w:t>drug</w:t>
      </w:r>
      <w:r w:rsidR="00A12B90">
        <w:rPr>
          <w:rFonts w:ascii="Times New Roman" w:hAnsi="Times New Roman"/>
          <w:snapToGrid/>
          <w:color w:val="auto"/>
          <w:sz w:val="24"/>
          <w:szCs w:val="24"/>
          <w:lang w:eastAsia="en-GB" w:bidi="ar-SA"/>
        </w:rPr>
        <w:t>-</w:t>
      </w:r>
      <w:r w:rsidRPr="009F19D9">
        <w:rPr>
          <w:rFonts w:ascii="Times New Roman" w:hAnsi="Times New Roman"/>
          <w:snapToGrid/>
          <w:color w:val="auto"/>
          <w:sz w:val="24"/>
          <w:szCs w:val="24"/>
          <w:lang w:eastAsia="en-GB" w:bidi="ar-SA"/>
        </w:rPr>
        <w:t xml:space="preserve">loaded to the unit of volume (ml) of nanoemulsion. </w:t>
      </w:r>
      <w:r w:rsidR="005A20EF">
        <w:rPr>
          <w:rFonts w:ascii="Times New Roman" w:hAnsi="Times New Roman"/>
          <w:snapToGrid/>
          <w:color w:val="auto"/>
          <w:sz w:val="24"/>
          <w:szCs w:val="24"/>
          <w:lang w:eastAsia="en-GB" w:bidi="ar-SA"/>
        </w:rPr>
        <w:t>Drug entrapment efficiency and loading</w:t>
      </w:r>
      <w:r w:rsidRPr="009F19D9">
        <w:rPr>
          <w:rFonts w:ascii="Times New Roman" w:hAnsi="Times New Roman"/>
          <w:snapToGrid/>
          <w:color w:val="auto"/>
          <w:sz w:val="24"/>
          <w:szCs w:val="24"/>
          <w:lang w:eastAsia="en-GB" w:bidi="ar-SA"/>
        </w:rPr>
        <w:t xml:space="preserve"> were</w:t>
      </w:r>
      <w:r w:rsidR="005A20EF">
        <w:rPr>
          <w:rFonts w:ascii="Times New Roman" w:hAnsi="Times New Roman"/>
          <w:snapToGrid/>
          <w:color w:val="auto"/>
          <w:sz w:val="24"/>
          <w:szCs w:val="24"/>
          <w:lang w:eastAsia="en-GB" w:bidi="ar-SA"/>
        </w:rPr>
        <w:t xml:space="preserve"> both</w:t>
      </w:r>
      <w:r w:rsidRPr="009F19D9">
        <w:rPr>
          <w:rFonts w:ascii="Times New Roman" w:hAnsi="Times New Roman"/>
          <w:snapToGrid/>
          <w:color w:val="auto"/>
          <w:sz w:val="24"/>
          <w:szCs w:val="24"/>
          <w:lang w:eastAsia="en-GB" w:bidi="ar-SA"/>
        </w:rPr>
        <w:t xml:space="preserve"> investigated for a range of drug concentrations </w:t>
      </w:r>
      <w:r w:rsidR="003A7D12" w:rsidRPr="009F19D9">
        <w:rPr>
          <w:rFonts w:ascii="Times New Roman" w:hAnsi="Times New Roman"/>
          <w:snapToGrid/>
          <w:color w:val="auto"/>
          <w:sz w:val="24"/>
          <w:szCs w:val="24"/>
          <w:lang w:eastAsia="en-GB" w:bidi="ar-SA"/>
        </w:rPr>
        <w:t>a</w:t>
      </w:r>
      <w:r w:rsidR="003A7D12">
        <w:rPr>
          <w:rFonts w:ascii="Times New Roman" w:hAnsi="Times New Roman"/>
          <w:snapToGrid/>
          <w:color w:val="auto"/>
          <w:sz w:val="24"/>
          <w:szCs w:val="24"/>
          <w:lang w:eastAsia="en-GB" w:bidi="ar-SA"/>
        </w:rPr>
        <w:t>s</w:t>
      </w:r>
      <w:r w:rsidR="003A7D12" w:rsidRPr="009F19D9">
        <w:rPr>
          <w:rFonts w:ascii="Times New Roman" w:hAnsi="Times New Roman"/>
          <w:snapToGrid/>
          <w:color w:val="auto"/>
          <w:sz w:val="24"/>
          <w:szCs w:val="24"/>
          <w:lang w:eastAsia="en-GB" w:bidi="ar-SA"/>
        </w:rPr>
        <w:t xml:space="preserve"> </w:t>
      </w:r>
      <w:r w:rsidRPr="009F19D9">
        <w:rPr>
          <w:rFonts w:ascii="Times New Roman" w:hAnsi="Times New Roman"/>
          <w:snapToGrid/>
          <w:color w:val="auto"/>
          <w:sz w:val="24"/>
          <w:szCs w:val="24"/>
          <w:lang w:eastAsia="en-GB" w:bidi="ar-SA"/>
        </w:rPr>
        <w:t xml:space="preserve">shown in Figure 4. The highest drug entrapment efficiency among all concentrations for both nanoemulsions is shown at 5 mg/mL CP concentration (Figure 4a), reaching 87.4 ± 12% for Clinoleic formulations and 72.3 ± 12.3% for Intralipid formulations. Moreover, </w:t>
      </w:r>
      <w:r w:rsidR="003A7D12">
        <w:rPr>
          <w:rFonts w:ascii="Times New Roman" w:hAnsi="Times New Roman"/>
          <w:snapToGrid/>
          <w:color w:val="auto"/>
          <w:sz w:val="24"/>
          <w:szCs w:val="24"/>
          <w:lang w:eastAsia="en-GB" w:bidi="ar-SA"/>
        </w:rPr>
        <w:t xml:space="preserve">for </w:t>
      </w:r>
      <w:r w:rsidRPr="009F19D9">
        <w:rPr>
          <w:rFonts w:ascii="Times New Roman" w:hAnsi="Times New Roman"/>
          <w:snapToGrid/>
          <w:color w:val="auto"/>
          <w:sz w:val="24"/>
          <w:szCs w:val="24"/>
          <w:lang w:eastAsia="en-GB" w:bidi="ar-SA"/>
        </w:rPr>
        <w:t xml:space="preserve">all </w:t>
      </w:r>
      <w:r w:rsidR="003A7D12">
        <w:rPr>
          <w:rFonts w:ascii="Times New Roman" w:hAnsi="Times New Roman"/>
          <w:snapToGrid/>
          <w:color w:val="auto"/>
          <w:sz w:val="24"/>
          <w:szCs w:val="24"/>
          <w:lang w:eastAsia="en-GB" w:bidi="ar-SA"/>
        </w:rPr>
        <w:t xml:space="preserve">drug </w:t>
      </w:r>
      <w:r w:rsidRPr="009F19D9">
        <w:rPr>
          <w:rFonts w:ascii="Times New Roman" w:hAnsi="Times New Roman"/>
          <w:snapToGrid/>
          <w:color w:val="auto"/>
          <w:sz w:val="24"/>
          <w:szCs w:val="24"/>
          <w:lang w:eastAsia="en-GB" w:bidi="ar-SA"/>
        </w:rPr>
        <w:t>concentrations</w:t>
      </w:r>
      <w:r w:rsidR="003A7D12">
        <w:rPr>
          <w:rFonts w:ascii="Times New Roman" w:hAnsi="Times New Roman"/>
          <w:snapToGrid/>
          <w:color w:val="auto"/>
          <w:sz w:val="24"/>
          <w:szCs w:val="24"/>
          <w:lang w:eastAsia="en-GB" w:bidi="ar-SA"/>
        </w:rPr>
        <w:t>,</w:t>
      </w:r>
      <w:r w:rsidRPr="009F19D9">
        <w:rPr>
          <w:rFonts w:ascii="Times New Roman" w:hAnsi="Times New Roman"/>
          <w:snapToGrid/>
          <w:color w:val="auto"/>
          <w:sz w:val="24"/>
          <w:szCs w:val="24"/>
          <w:lang w:eastAsia="en-GB" w:bidi="ar-SA"/>
        </w:rPr>
        <w:t xml:space="preserve"> </w:t>
      </w:r>
      <w:r w:rsidR="003A7D12">
        <w:rPr>
          <w:rFonts w:ascii="Times New Roman" w:hAnsi="Times New Roman"/>
          <w:snapToGrid/>
          <w:color w:val="auto"/>
          <w:sz w:val="24"/>
          <w:szCs w:val="24"/>
          <w:lang w:eastAsia="en-GB" w:bidi="ar-SA"/>
        </w:rPr>
        <w:t xml:space="preserve">CP had similar entrapment in both emulsions, though </w:t>
      </w:r>
      <w:r w:rsidR="00F375C4">
        <w:rPr>
          <w:rFonts w:ascii="Times New Roman" w:hAnsi="Times New Roman"/>
          <w:snapToGrid/>
          <w:color w:val="auto"/>
          <w:sz w:val="24"/>
          <w:szCs w:val="24"/>
          <w:lang w:eastAsia="en-GB" w:bidi="ar-SA"/>
        </w:rPr>
        <w:t>a</w:t>
      </w:r>
      <w:r w:rsidR="003A7D12">
        <w:rPr>
          <w:rFonts w:ascii="Times New Roman" w:hAnsi="Times New Roman"/>
          <w:snapToGrid/>
          <w:color w:val="auto"/>
          <w:sz w:val="24"/>
          <w:szCs w:val="24"/>
          <w:lang w:eastAsia="en-GB" w:bidi="ar-SA"/>
        </w:rPr>
        <w:t xml:space="preserve"> trend of higher entrapment efficiencies was observed for the</w:t>
      </w:r>
      <w:r w:rsidRPr="009F19D9">
        <w:rPr>
          <w:rFonts w:ascii="Times New Roman" w:hAnsi="Times New Roman"/>
          <w:snapToGrid/>
          <w:color w:val="auto"/>
          <w:sz w:val="24"/>
          <w:szCs w:val="24"/>
          <w:lang w:eastAsia="en-GB" w:bidi="ar-SA"/>
        </w:rPr>
        <w:t xml:space="preserve"> Clinoleic </w:t>
      </w:r>
      <w:r w:rsidR="003716EE">
        <w:rPr>
          <w:rFonts w:ascii="Times New Roman" w:hAnsi="Times New Roman"/>
          <w:snapToGrid/>
          <w:color w:val="auto"/>
          <w:sz w:val="24"/>
          <w:szCs w:val="24"/>
          <w:lang w:eastAsia="en-GB" w:bidi="ar-SA"/>
        </w:rPr>
        <w:t>formulations</w:t>
      </w:r>
      <w:r w:rsidRPr="009F19D9">
        <w:rPr>
          <w:rFonts w:ascii="Times New Roman" w:hAnsi="Times New Roman"/>
          <w:snapToGrid/>
          <w:color w:val="auto"/>
          <w:sz w:val="24"/>
          <w:szCs w:val="24"/>
          <w:lang w:eastAsia="en-GB" w:bidi="ar-SA"/>
        </w:rPr>
        <w:t>.  Nevertheless, for both type</w:t>
      </w:r>
      <w:r w:rsidR="00A12B90">
        <w:rPr>
          <w:rFonts w:ascii="Times New Roman" w:hAnsi="Times New Roman"/>
          <w:snapToGrid/>
          <w:color w:val="auto"/>
          <w:sz w:val="24"/>
          <w:szCs w:val="24"/>
          <w:lang w:eastAsia="en-GB" w:bidi="ar-SA"/>
        </w:rPr>
        <w:t>s</w:t>
      </w:r>
      <w:r w:rsidRPr="009F19D9">
        <w:rPr>
          <w:rFonts w:ascii="Times New Roman" w:hAnsi="Times New Roman"/>
          <w:snapToGrid/>
          <w:color w:val="auto"/>
          <w:sz w:val="24"/>
          <w:szCs w:val="24"/>
          <w:lang w:eastAsia="en-GB" w:bidi="ar-SA"/>
        </w:rPr>
        <w:t xml:space="preserve"> of formulations, the loading weight </w:t>
      </w:r>
      <w:r w:rsidR="00CB6C33" w:rsidRPr="009F19D9">
        <w:rPr>
          <w:rFonts w:ascii="Times New Roman" w:hAnsi="Times New Roman"/>
          <w:snapToGrid/>
          <w:color w:val="auto"/>
          <w:sz w:val="24"/>
          <w:szCs w:val="24"/>
          <w:lang w:eastAsia="en-GB" w:bidi="ar-SA"/>
        </w:rPr>
        <w:t>increase</w:t>
      </w:r>
      <w:r w:rsidR="00CB6C33">
        <w:rPr>
          <w:rFonts w:ascii="Times New Roman" w:hAnsi="Times New Roman"/>
          <w:snapToGrid/>
          <w:color w:val="auto"/>
          <w:sz w:val="24"/>
          <w:szCs w:val="24"/>
          <w:lang w:eastAsia="en-GB" w:bidi="ar-SA"/>
        </w:rPr>
        <w:t>d</w:t>
      </w:r>
      <w:r w:rsidR="00CB6C33" w:rsidRPr="009F19D9">
        <w:rPr>
          <w:rFonts w:ascii="Times New Roman" w:hAnsi="Times New Roman"/>
          <w:snapToGrid/>
          <w:color w:val="auto"/>
          <w:sz w:val="24"/>
          <w:szCs w:val="24"/>
          <w:lang w:eastAsia="en-GB" w:bidi="ar-SA"/>
        </w:rPr>
        <w:t xml:space="preserve"> </w:t>
      </w:r>
      <w:r w:rsidRPr="009F19D9">
        <w:rPr>
          <w:rFonts w:ascii="Times New Roman" w:hAnsi="Times New Roman"/>
          <w:snapToGrid/>
          <w:color w:val="auto"/>
          <w:sz w:val="24"/>
          <w:szCs w:val="24"/>
          <w:lang w:eastAsia="en-GB" w:bidi="ar-SA"/>
        </w:rPr>
        <w:t>significantly (p &lt; 0.05) with increasing the drug concentrations, reaching the maximum weight at 10 mg/mL with 7.73 ± 0.77 mg and 4.95 ± 0.59 mg for Clinoleic and Intralipid systems, respectively</w:t>
      </w:r>
      <w:r w:rsidR="00CB6C33">
        <w:rPr>
          <w:rFonts w:ascii="Times New Roman" w:hAnsi="Times New Roman"/>
          <w:snapToGrid/>
          <w:color w:val="auto"/>
          <w:sz w:val="24"/>
          <w:szCs w:val="24"/>
          <w:lang w:eastAsia="en-GB" w:bidi="ar-SA"/>
        </w:rPr>
        <w:t xml:space="preserve"> (Figure 4b)</w:t>
      </w:r>
      <w:r w:rsidRPr="009F19D9">
        <w:rPr>
          <w:rFonts w:ascii="Times New Roman" w:hAnsi="Times New Roman"/>
          <w:snapToGrid/>
          <w:color w:val="auto"/>
          <w:sz w:val="24"/>
          <w:szCs w:val="24"/>
          <w:lang w:eastAsia="en-GB" w:bidi="ar-SA"/>
        </w:rPr>
        <w:t xml:space="preserve">. In comparison to findings from this study, </w:t>
      </w:r>
      <w:r w:rsidR="00CB6C33">
        <w:rPr>
          <w:rFonts w:ascii="Times New Roman" w:hAnsi="Times New Roman"/>
          <w:snapToGrid/>
          <w:color w:val="auto"/>
          <w:sz w:val="24"/>
          <w:szCs w:val="24"/>
          <w:lang w:eastAsia="en-GB" w:bidi="ar-SA"/>
        </w:rPr>
        <w:t xml:space="preserve">in our previous investigation, </w:t>
      </w:r>
      <w:r w:rsidRPr="009F19D9">
        <w:rPr>
          <w:rFonts w:ascii="Times New Roman" w:hAnsi="Times New Roman"/>
          <w:snapToGrid/>
          <w:color w:val="auto"/>
          <w:sz w:val="24"/>
          <w:szCs w:val="24"/>
          <w:lang w:eastAsia="en-GB" w:bidi="ar-SA"/>
        </w:rPr>
        <w:t xml:space="preserve">EE% </w:t>
      </w:r>
      <w:r w:rsidR="00CB6C33">
        <w:rPr>
          <w:rFonts w:ascii="Times New Roman" w:hAnsi="Times New Roman"/>
          <w:snapToGrid/>
          <w:color w:val="auto"/>
          <w:sz w:val="24"/>
          <w:szCs w:val="24"/>
          <w:lang w:eastAsia="en-GB" w:bidi="ar-SA"/>
        </w:rPr>
        <w:t xml:space="preserve">of </w:t>
      </w:r>
      <w:r w:rsidR="00CB6C33">
        <w:rPr>
          <w:rFonts w:ascii="Times New Roman" w:hAnsi="Times New Roman"/>
          <w:snapToGrid/>
          <w:color w:val="auto"/>
          <w:sz w:val="24"/>
          <w:szCs w:val="24"/>
          <w:lang w:eastAsia="en-GB" w:bidi="ar-SA"/>
        </w:rPr>
        <w:lastRenderedPageBreak/>
        <w:t xml:space="preserve">paclitaxel </w:t>
      </w:r>
      <w:r w:rsidRPr="009F19D9">
        <w:rPr>
          <w:rFonts w:ascii="Times New Roman" w:hAnsi="Times New Roman"/>
          <w:snapToGrid/>
          <w:color w:val="auto"/>
          <w:sz w:val="24"/>
          <w:szCs w:val="24"/>
          <w:lang w:eastAsia="en-GB" w:bidi="ar-SA"/>
        </w:rPr>
        <w:t xml:space="preserve">in Clinoleic </w:t>
      </w:r>
      <w:r w:rsidR="00CB6C33">
        <w:rPr>
          <w:rFonts w:ascii="Times New Roman" w:hAnsi="Times New Roman"/>
          <w:snapToGrid/>
          <w:color w:val="auto"/>
          <w:sz w:val="24"/>
          <w:szCs w:val="24"/>
          <w:lang w:eastAsia="en-GB" w:bidi="ar-SA"/>
        </w:rPr>
        <w:t xml:space="preserve">emulsion </w:t>
      </w:r>
      <w:r w:rsidRPr="009F19D9">
        <w:rPr>
          <w:rFonts w:ascii="Times New Roman" w:hAnsi="Times New Roman"/>
          <w:snapToGrid/>
          <w:color w:val="auto"/>
          <w:sz w:val="24"/>
          <w:szCs w:val="24"/>
          <w:lang w:eastAsia="en-GB" w:bidi="ar-SA"/>
        </w:rPr>
        <w:t xml:space="preserve">was </w:t>
      </w:r>
      <w:r w:rsidR="00CB6C33">
        <w:rPr>
          <w:rFonts w:ascii="Times New Roman" w:hAnsi="Times New Roman"/>
          <w:snapToGrid/>
          <w:color w:val="auto"/>
          <w:sz w:val="24"/>
          <w:szCs w:val="24"/>
          <w:lang w:eastAsia="en-GB" w:bidi="ar-SA"/>
        </w:rPr>
        <w:t>found</w:t>
      </w:r>
      <w:r w:rsidR="00CB6C33" w:rsidRPr="009F19D9">
        <w:rPr>
          <w:rFonts w:ascii="Times New Roman" w:hAnsi="Times New Roman"/>
          <w:snapToGrid/>
          <w:color w:val="auto"/>
          <w:sz w:val="24"/>
          <w:szCs w:val="24"/>
          <w:lang w:eastAsia="en-GB" w:bidi="ar-SA"/>
        </w:rPr>
        <w:t xml:space="preserve"> </w:t>
      </w:r>
      <w:r w:rsidRPr="009F19D9">
        <w:rPr>
          <w:rFonts w:ascii="Times New Roman" w:hAnsi="Times New Roman"/>
          <w:snapToGrid/>
          <w:color w:val="auto"/>
          <w:sz w:val="24"/>
          <w:szCs w:val="24"/>
          <w:lang w:eastAsia="en-GB" w:bidi="ar-SA"/>
        </w:rPr>
        <w:t xml:space="preserve">to be higher than that of Intralipid nanoemulsions </w:t>
      </w:r>
      <w:r w:rsidR="002832DD">
        <w:rPr>
          <w:rFonts w:ascii="Times New Roman" w:hAnsi="Times New Roman"/>
          <w:snapToGrid/>
          <w:color w:val="auto"/>
          <w:sz w:val="24"/>
          <w:szCs w:val="24"/>
          <w:lang w:eastAsia="en-GB" w:bidi="ar-SA"/>
        </w:rPr>
        <w:fldChar w:fldCharType="begin"/>
      </w:r>
      <w:r w:rsidR="002832DD">
        <w:rPr>
          <w:rFonts w:ascii="Times New Roman" w:hAnsi="Times New Roman"/>
          <w:snapToGrid/>
          <w:color w:val="auto"/>
          <w:sz w:val="24"/>
          <w:szCs w:val="24"/>
          <w:lang w:eastAsia="en-GB" w:bidi="ar-SA"/>
        </w:rPr>
        <w:instrText xml:space="preserve"> ADDIN ZOTERO_ITEM CSL_CITATION {"citationID":"JeOeNI7k","properties":{"formattedCitation":"(17)","plainCitation":"(17)","noteIndex":0},"citationItems":[{"id":20,"uris":["http://zotero.org/users/5477069/items/6UINGYJQ"],"uri":["http://zotero.org/users/5477069/items/6UINGYJQ"],"itemData":{"id":20,"type":"article-journal","title":"Stability of parenteral nanoemulsions loaded with paclitaxel: the influence of lipid phase composition, drug concentration and storage temperature","container-title":"Pharmaceutical development and technology","page":"999–1004","volume":"19","issue":"8","source":"Google Scholar","title-short":"Stability of parenteral nanoemulsions loaded with paclitaxel","author":[{"family":"Kadam","given":"Alisha N."},{"family":"Najlah","given":"Mohammad"},{"family":"Wan","given":"Ka-Wai"},{"family":"Ahmed","given":"Waqar"},{"family":"Crean","given":"St John"},{"family":"Phoenix","given":"David A."},{"family":"Taylor","given":"Kevin MG"},{"family":"Elhissi","given":"Abdelbary MA"}],"issued":{"date-parts":[["2014"]]}}}],"schema":"https://github.com/citation-style-language/schema/raw/master/csl-citation.json"} </w:instrText>
      </w:r>
      <w:r w:rsidR="002832DD">
        <w:rPr>
          <w:rFonts w:ascii="Times New Roman" w:hAnsi="Times New Roman"/>
          <w:snapToGrid/>
          <w:color w:val="auto"/>
          <w:sz w:val="24"/>
          <w:szCs w:val="24"/>
          <w:lang w:eastAsia="en-GB" w:bidi="ar-SA"/>
        </w:rPr>
        <w:fldChar w:fldCharType="separate"/>
      </w:r>
      <w:r w:rsidR="002832DD">
        <w:rPr>
          <w:rFonts w:ascii="Times New Roman" w:hAnsi="Times New Roman"/>
          <w:noProof/>
          <w:snapToGrid/>
          <w:color w:val="auto"/>
          <w:sz w:val="24"/>
          <w:szCs w:val="24"/>
          <w:lang w:eastAsia="en-GB" w:bidi="ar-SA"/>
        </w:rPr>
        <w:t>(17)</w:t>
      </w:r>
      <w:r w:rsidR="002832DD">
        <w:rPr>
          <w:rFonts w:ascii="Times New Roman" w:hAnsi="Times New Roman"/>
          <w:snapToGrid/>
          <w:color w:val="auto"/>
          <w:sz w:val="24"/>
          <w:szCs w:val="24"/>
          <w:lang w:eastAsia="en-GB" w:bidi="ar-SA"/>
        </w:rPr>
        <w:fldChar w:fldCharType="end"/>
      </w:r>
      <w:r w:rsidR="00CB6C33">
        <w:rPr>
          <w:rFonts w:ascii="Times New Roman" w:hAnsi="Times New Roman"/>
          <w:snapToGrid/>
          <w:color w:val="auto"/>
          <w:sz w:val="24"/>
          <w:szCs w:val="24"/>
          <w:lang w:eastAsia="en-GB" w:bidi="ar-SA"/>
        </w:rPr>
        <w:t>. In contrast,</w:t>
      </w:r>
      <w:r w:rsidRPr="009F19D9">
        <w:rPr>
          <w:rFonts w:ascii="Times New Roman" w:hAnsi="Times New Roman"/>
          <w:snapToGrid/>
          <w:color w:val="auto"/>
          <w:sz w:val="24"/>
          <w:szCs w:val="24"/>
          <w:lang w:eastAsia="en-GB" w:bidi="ar-SA"/>
        </w:rPr>
        <w:t xml:space="preserve"> Intralipid nanoemulsions </w:t>
      </w:r>
      <w:r w:rsidR="00CB6C33">
        <w:rPr>
          <w:rFonts w:ascii="Times New Roman" w:hAnsi="Times New Roman"/>
          <w:snapToGrid/>
          <w:color w:val="auto"/>
          <w:sz w:val="24"/>
          <w:szCs w:val="24"/>
          <w:lang w:eastAsia="en-GB" w:bidi="ar-SA"/>
        </w:rPr>
        <w:t>offered</w:t>
      </w:r>
      <w:r w:rsidR="00CB6C33" w:rsidRPr="009F19D9">
        <w:rPr>
          <w:rFonts w:ascii="Times New Roman" w:hAnsi="Times New Roman"/>
          <w:snapToGrid/>
          <w:color w:val="auto"/>
          <w:sz w:val="24"/>
          <w:szCs w:val="24"/>
          <w:lang w:eastAsia="en-GB" w:bidi="ar-SA"/>
        </w:rPr>
        <w:t xml:space="preserve"> </w:t>
      </w:r>
      <w:r w:rsidRPr="009F19D9">
        <w:rPr>
          <w:rFonts w:ascii="Times New Roman" w:hAnsi="Times New Roman"/>
          <w:snapToGrid/>
          <w:color w:val="auto"/>
          <w:sz w:val="24"/>
          <w:szCs w:val="24"/>
          <w:lang w:eastAsia="en-GB" w:bidi="ar-SA"/>
        </w:rPr>
        <w:t>a superior EE over Clinoleic formulations when amphotericin B</w:t>
      </w:r>
      <w:r w:rsidR="00CB6C33">
        <w:rPr>
          <w:rFonts w:ascii="Times New Roman" w:hAnsi="Times New Roman"/>
          <w:snapToGrid/>
          <w:color w:val="auto"/>
          <w:sz w:val="24"/>
          <w:szCs w:val="24"/>
          <w:lang w:eastAsia="en-GB" w:bidi="ar-SA"/>
        </w:rPr>
        <w:t xml:space="preserve"> was the drug of choice</w:t>
      </w:r>
      <w:r w:rsidRPr="009F19D9">
        <w:rPr>
          <w:rFonts w:ascii="Times New Roman" w:hAnsi="Times New Roman"/>
          <w:snapToGrid/>
          <w:color w:val="auto"/>
          <w:sz w:val="24"/>
          <w:szCs w:val="24"/>
          <w:lang w:eastAsia="en-GB" w:bidi="ar-SA"/>
        </w:rPr>
        <w:t xml:space="preserve"> </w:t>
      </w:r>
      <w:r w:rsidR="002832DD">
        <w:rPr>
          <w:rFonts w:ascii="Times New Roman" w:hAnsi="Times New Roman"/>
          <w:snapToGrid/>
          <w:color w:val="auto"/>
          <w:sz w:val="24"/>
          <w:szCs w:val="24"/>
          <w:lang w:eastAsia="en-GB" w:bidi="ar-SA"/>
        </w:rPr>
        <w:fldChar w:fldCharType="begin"/>
      </w:r>
      <w:r w:rsidR="00EA5690">
        <w:rPr>
          <w:rFonts w:ascii="Times New Roman" w:hAnsi="Times New Roman"/>
          <w:snapToGrid/>
          <w:color w:val="auto"/>
          <w:sz w:val="24"/>
          <w:szCs w:val="24"/>
          <w:lang w:eastAsia="en-GB" w:bidi="ar-SA"/>
        </w:rPr>
        <w:instrText xml:space="preserve"> ADDIN ZOTERO_ITEM CSL_CITATION {"citationID":"SyUkqdOZ","properties":{"formattedCitation":"(31)","plainCitation":"(31)","noteIndex":0},"citationItems":[{"id":631,"uris":["http://zotero.org/users/5477069/items/6CDVJXNI"],"uri":["http://zotero.org/users/5477069/items/6CDVJXNI"],"itemData":{"id":631,"type":"article-journal","title":"Amphotericin B lipid nanoemulsion aerosols for targeting peripheral respiratory airways via nebulization","container-title":"International Journal of Pharmaceutics","page":"611-616","volume":"436","issue":"1","source":"ScienceDirect","abstract":"Amphotericin B (AmB) lipid nanoemulsions were prepared and characterized and their suitability for pulmonary delivery via nebulization was evaluated. AmB nanoemulsions were prepared by sonicating and vortexing the drug with two commercially available lipid nanoemulsions: the Intralipid® or Clinoleic®. Loading the nanoemulsions with the drug slightly increased the size of the lipid droplets and did not affect the zeta potential of the nanoemulsions. The loading efficiency of AmB was found to be 87.46±2.21% in the Intralipid® nanoemulsions and 80.7±0.70% in the Clinoleic® formulation. This respectively corresponded to 21.86mg and 20.19mg of AmB being successfully loaded in the nanoemulsions. On aerosolization using a Pari Sprint jet nebulizer, both nanoemulsions produced very high drug output which was approximately 90% for both formulations. Using the two-stage impinger, the Clinoleic® emulsion had higher fine particle fraction (FPF) than the Intralipid®, since the Clinoleic® displayed higher deposition of AmB in the lower impinger stage (exceeding 80%), compared to 57% for the Intralipid®. Overall, the ease of preparation of the AmB lipid nanoemulsions, along with their in vitro nebulization performance suggest that lipid nanoemulsions could be successful nanocarriers for delivery of AmB to the peripheral respiratory airways.","DOI":"10.1016/j.ijpharm.2012.07.028","ISSN":"0378-5173","journalAbbreviation":"International Journal of Pharmaceutics","author":[{"family":"Nasr","given":"Maha"},{"family":"Nawaz","given":"Samrana"},{"family":"Elhissi","given":"Abdelbary"}],"issued":{"date-parts":[["2012",10,15]]}}}],"schema":"https://github.com/citation-style-language/schema/raw/master/csl-citation.json"} </w:instrText>
      </w:r>
      <w:r w:rsidR="002832DD">
        <w:rPr>
          <w:rFonts w:ascii="Times New Roman" w:hAnsi="Times New Roman"/>
          <w:snapToGrid/>
          <w:color w:val="auto"/>
          <w:sz w:val="24"/>
          <w:szCs w:val="24"/>
          <w:lang w:eastAsia="en-GB" w:bidi="ar-SA"/>
        </w:rPr>
        <w:fldChar w:fldCharType="separate"/>
      </w:r>
      <w:r w:rsidR="00EA5690">
        <w:rPr>
          <w:rFonts w:ascii="Times New Roman" w:hAnsi="Times New Roman"/>
          <w:noProof/>
          <w:snapToGrid/>
          <w:color w:val="auto"/>
          <w:sz w:val="24"/>
          <w:szCs w:val="24"/>
          <w:lang w:eastAsia="en-GB" w:bidi="ar-SA"/>
        </w:rPr>
        <w:t>(31)</w:t>
      </w:r>
      <w:r w:rsidR="002832DD">
        <w:rPr>
          <w:rFonts w:ascii="Times New Roman" w:hAnsi="Times New Roman"/>
          <w:snapToGrid/>
          <w:color w:val="auto"/>
          <w:sz w:val="24"/>
          <w:szCs w:val="24"/>
          <w:lang w:eastAsia="en-GB" w:bidi="ar-SA"/>
        </w:rPr>
        <w:fldChar w:fldCharType="end"/>
      </w:r>
      <w:r w:rsidR="00CB6C33">
        <w:rPr>
          <w:rFonts w:ascii="Times New Roman" w:hAnsi="Times New Roman"/>
          <w:snapToGrid/>
          <w:color w:val="auto"/>
          <w:sz w:val="24"/>
          <w:szCs w:val="24"/>
          <w:lang w:eastAsia="en-GB" w:bidi="ar-SA"/>
        </w:rPr>
        <w:t>, suggesting that drug physicochemical properties is the main determinant of the most appropriate nanoemulsion composition</w:t>
      </w:r>
      <w:r w:rsidRPr="009F19D9">
        <w:rPr>
          <w:rFonts w:ascii="Times New Roman" w:hAnsi="Times New Roman"/>
          <w:snapToGrid/>
          <w:color w:val="auto"/>
          <w:sz w:val="24"/>
          <w:szCs w:val="24"/>
          <w:lang w:eastAsia="en-GB" w:bidi="ar-SA"/>
        </w:rPr>
        <w:t xml:space="preserve">. This indicates that the percentage of entrapment efficiency is likely to be dependent on physicochemical properties of the selected drug. Nevertheless, the advantage of using nanoemulsions loaded with hydrophobic drugs, such as CP, was confirmed because </w:t>
      </w:r>
      <w:r w:rsidR="00C052EF">
        <w:rPr>
          <w:rFonts w:ascii="Times New Roman" w:hAnsi="Times New Roman"/>
          <w:snapToGrid/>
          <w:color w:val="auto"/>
          <w:sz w:val="24"/>
          <w:szCs w:val="24"/>
          <w:lang w:eastAsia="en-GB" w:bidi="ar-SA"/>
        </w:rPr>
        <w:t xml:space="preserve">of </w:t>
      </w:r>
      <w:r w:rsidRPr="009F19D9">
        <w:rPr>
          <w:rFonts w:ascii="Times New Roman" w:hAnsi="Times New Roman"/>
          <w:snapToGrid/>
          <w:color w:val="auto"/>
          <w:sz w:val="24"/>
          <w:szCs w:val="24"/>
          <w:lang w:eastAsia="en-GB" w:bidi="ar-SA"/>
        </w:rPr>
        <w:t xml:space="preserve">the </w:t>
      </w:r>
      <w:r w:rsidR="0095100C">
        <w:rPr>
          <w:rFonts w:ascii="Times New Roman" w:hAnsi="Times New Roman"/>
          <w:snapToGrid/>
          <w:color w:val="auto"/>
          <w:sz w:val="24"/>
          <w:szCs w:val="24"/>
          <w:lang w:eastAsia="en-GB" w:bidi="ar-SA"/>
        </w:rPr>
        <w:t xml:space="preserve">increase in the </w:t>
      </w:r>
      <w:r w:rsidRPr="009F19D9">
        <w:rPr>
          <w:rFonts w:ascii="Times New Roman" w:hAnsi="Times New Roman"/>
          <w:snapToGrid/>
          <w:color w:val="auto"/>
          <w:sz w:val="24"/>
          <w:szCs w:val="24"/>
          <w:lang w:eastAsia="en-GB" w:bidi="ar-SA"/>
        </w:rPr>
        <w:t xml:space="preserve">intrinsic solubility </w:t>
      </w:r>
      <w:r w:rsidR="0095100C">
        <w:rPr>
          <w:rFonts w:ascii="Times New Roman" w:hAnsi="Times New Roman"/>
          <w:snapToGrid/>
          <w:color w:val="auto"/>
          <w:sz w:val="24"/>
          <w:szCs w:val="24"/>
          <w:lang w:eastAsia="en-GB" w:bidi="ar-SA"/>
        </w:rPr>
        <w:t>of the drug</w:t>
      </w:r>
      <w:r w:rsidRPr="009F19D9">
        <w:rPr>
          <w:rFonts w:ascii="Times New Roman" w:hAnsi="Times New Roman"/>
          <w:snapToGrid/>
          <w:color w:val="auto"/>
          <w:sz w:val="24"/>
          <w:szCs w:val="24"/>
          <w:lang w:eastAsia="en-GB" w:bidi="ar-SA"/>
        </w:rPr>
        <w:t xml:space="preserve"> (Figure 4b).</w:t>
      </w:r>
    </w:p>
    <w:p w14:paraId="03D07AE1" w14:textId="77777777" w:rsidR="005A6A38" w:rsidRPr="00F74F1B" w:rsidRDefault="005A6A38" w:rsidP="00F74F1B">
      <w:pPr>
        <w:pStyle w:val="Heading2"/>
        <w:numPr>
          <w:ilvl w:val="1"/>
          <w:numId w:val="31"/>
        </w:numPr>
      </w:pPr>
      <w:r w:rsidRPr="00F74F1B">
        <w:t>In vitro release of ciprofloxacin</w:t>
      </w:r>
    </w:p>
    <w:p w14:paraId="7006C335" w14:textId="77777777" w:rsidR="005A6A38" w:rsidRDefault="005A6A38" w:rsidP="005A6A38">
      <w:pPr>
        <w:pStyle w:val="MDPI31text"/>
        <w:ind w:firstLine="0"/>
        <w:rPr>
          <w:lang w:val="en-GB"/>
        </w:rPr>
      </w:pPr>
    </w:p>
    <w:p w14:paraId="4E7BAE4E" w14:textId="2B0BE995" w:rsidR="005A6A38" w:rsidRPr="009F19D9" w:rsidRDefault="005A6A38" w:rsidP="0095100C">
      <w:pPr>
        <w:pStyle w:val="MDPI31text"/>
        <w:spacing w:line="480" w:lineRule="auto"/>
        <w:ind w:firstLine="0"/>
        <w:rPr>
          <w:rFonts w:ascii="Times New Roman" w:hAnsi="Times New Roman"/>
          <w:snapToGrid/>
          <w:color w:val="auto"/>
          <w:sz w:val="24"/>
          <w:szCs w:val="24"/>
          <w:lang w:eastAsia="en-GB" w:bidi="ar-SA"/>
        </w:rPr>
      </w:pPr>
      <w:r w:rsidRPr="009F19D9">
        <w:rPr>
          <w:rFonts w:ascii="Times New Roman" w:hAnsi="Times New Roman"/>
          <w:snapToGrid/>
          <w:color w:val="auto"/>
          <w:sz w:val="24"/>
          <w:szCs w:val="24"/>
          <w:lang w:eastAsia="en-GB" w:bidi="ar-SA"/>
        </w:rPr>
        <w:t xml:space="preserve">In vitro release profiles of CP from both Clinoleic and Intralipid nanoemulsions </w:t>
      </w:r>
      <w:r w:rsidR="00A12B90" w:rsidRPr="009F19D9">
        <w:rPr>
          <w:rFonts w:ascii="Times New Roman" w:hAnsi="Times New Roman"/>
          <w:snapToGrid/>
          <w:color w:val="auto"/>
          <w:sz w:val="24"/>
          <w:szCs w:val="24"/>
          <w:lang w:eastAsia="en-GB" w:bidi="ar-SA"/>
        </w:rPr>
        <w:t>w</w:t>
      </w:r>
      <w:r w:rsidR="00A12B90">
        <w:rPr>
          <w:rFonts w:ascii="Times New Roman" w:hAnsi="Times New Roman"/>
          <w:snapToGrid/>
          <w:color w:val="auto"/>
          <w:sz w:val="24"/>
          <w:szCs w:val="24"/>
          <w:lang w:eastAsia="en-GB" w:bidi="ar-SA"/>
        </w:rPr>
        <w:t>ere</w:t>
      </w:r>
      <w:r w:rsidR="00A12B90" w:rsidRPr="009F19D9">
        <w:rPr>
          <w:rFonts w:ascii="Times New Roman" w:hAnsi="Times New Roman"/>
          <w:snapToGrid/>
          <w:color w:val="auto"/>
          <w:sz w:val="24"/>
          <w:szCs w:val="24"/>
          <w:lang w:eastAsia="en-GB" w:bidi="ar-SA"/>
        </w:rPr>
        <w:t xml:space="preserve"> </w:t>
      </w:r>
      <w:r w:rsidRPr="009F19D9">
        <w:rPr>
          <w:rFonts w:ascii="Times New Roman" w:hAnsi="Times New Roman"/>
          <w:snapToGrid/>
          <w:color w:val="auto"/>
          <w:sz w:val="24"/>
          <w:szCs w:val="24"/>
          <w:lang w:eastAsia="en-GB" w:bidi="ar-SA"/>
        </w:rPr>
        <w:t>studied over 24 hours in pH 7.4 at 37 </w:t>
      </w:r>
      <w:r w:rsidRPr="00184F5B">
        <w:rPr>
          <w:rFonts w:ascii="Times New Roman" w:hAnsi="Times New Roman"/>
          <w:snapToGrid/>
          <w:color w:val="auto"/>
          <w:sz w:val="24"/>
          <w:szCs w:val="24"/>
          <w:vertAlign w:val="superscript"/>
          <w:lang w:eastAsia="en-GB" w:bidi="ar-SA"/>
        </w:rPr>
        <w:t>o</w:t>
      </w:r>
      <w:r w:rsidRPr="009F19D9">
        <w:rPr>
          <w:rFonts w:ascii="Times New Roman" w:hAnsi="Times New Roman"/>
          <w:snapToGrid/>
          <w:color w:val="auto"/>
          <w:sz w:val="24"/>
          <w:szCs w:val="24"/>
          <w:lang w:eastAsia="en-GB" w:bidi="ar-SA"/>
        </w:rPr>
        <w:t xml:space="preserve">C (Figure 5). Both nanoemulsion formulations showed sustained release profiles compared to </w:t>
      </w:r>
      <w:r w:rsidR="0095100C">
        <w:rPr>
          <w:rFonts w:ascii="Times New Roman" w:hAnsi="Times New Roman"/>
          <w:snapToGrid/>
          <w:color w:val="auto"/>
          <w:sz w:val="24"/>
          <w:szCs w:val="24"/>
          <w:lang w:eastAsia="en-GB" w:bidi="ar-SA"/>
        </w:rPr>
        <w:t xml:space="preserve">the </w:t>
      </w:r>
      <w:r w:rsidRPr="009F19D9">
        <w:rPr>
          <w:rFonts w:ascii="Times New Roman" w:hAnsi="Times New Roman"/>
          <w:snapToGrid/>
          <w:color w:val="auto"/>
          <w:sz w:val="24"/>
          <w:szCs w:val="24"/>
          <w:lang w:eastAsia="en-GB" w:bidi="ar-SA"/>
        </w:rPr>
        <w:t xml:space="preserve">free </w:t>
      </w:r>
      <w:r w:rsidR="0095100C">
        <w:rPr>
          <w:rFonts w:ascii="Times New Roman" w:hAnsi="Times New Roman"/>
          <w:snapToGrid/>
          <w:color w:val="auto"/>
          <w:sz w:val="24"/>
          <w:szCs w:val="24"/>
          <w:lang w:eastAsia="en-GB" w:bidi="ar-SA"/>
        </w:rPr>
        <w:t>drug</w:t>
      </w:r>
      <w:r w:rsidR="0095100C" w:rsidRPr="009F19D9">
        <w:rPr>
          <w:rFonts w:ascii="Times New Roman" w:hAnsi="Times New Roman"/>
          <w:snapToGrid/>
          <w:color w:val="auto"/>
          <w:sz w:val="24"/>
          <w:szCs w:val="24"/>
          <w:lang w:eastAsia="en-GB" w:bidi="ar-SA"/>
        </w:rPr>
        <w:t xml:space="preserve"> </w:t>
      </w:r>
      <w:r w:rsidRPr="009F19D9">
        <w:rPr>
          <w:rFonts w:ascii="Times New Roman" w:hAnsi="Times New Roman"/>
          <w:snapToGrid/>
          <w:color w:val="auto"/>
          <w:sz w:val="24"/>
          <w:szCs w:val="24"/>
          <w:lang w:eastAsia="en-GB" w:bidi="ar-SA"/>
        </w:rPr>
        <w:t xml:space="preserve">profile (Figure 5). The presence of essential fatty acid, sodium oleate and olive oil in Clinoleic formulation did not cause a significant change </w:t>
      </w:r>
      <w:r w:rsidR="00A12B90">
        <w:rPr>
          <w:rFonts w:ascii="Times New Roman" w:hAnsi="Times New Roman"/>
          <w:snapToGrid/>
          <w:color w:val="auto"/>
          <w:sz w:val="24"/>
          <w:szCs w:val="24"/>
          <w:lang w:eastAsia="en-GB" w:bidi="ar-SA"/>
        </w:rPr>
        <w:t>i</w:t>
      </w:r>
      <w:r w:rsidR="00A12B90" w:rsidRPr="009F19D9">
        <w:rPr>
          <w:rFonts w:ascii="Times New Roman" w:hAnsi="Times New Roman"/>
          <w:snapToGrid/>
          <w:color w:val="auto"/>
          <w:sz w:val="24"/>
          <w:szCs w:val="24"/>
          <w:lang w:eastAsia="en-GB" w:bidi="ar-SA"/>
        </w:rPr>
        <w:t xml:space="preserve">n </w:t>
      </w:r>
      <w:r w:rsidRPr="009F19D9">
        <w:rPr>
          <w:rFonts w:ascii="Times New Roman" w:hAnsi="Times New Roman"/>
          <w:snapToGrid/>
          <w:color w:val="auto"/>
          <w:sz w:val="24"/>
          <w:szCs w:val="24"/>
          <w:lang w:eastAsia="en-GB" w:bidi="ar-SA"/>
        </w:rPr>
        <w:t xml:space="preserve">the </w:t>
      </w:r>
      <w:r w:rsidR="0095100C">
        <w:rPr>
          <w:rFonts w:ascii="Times New Roman" w:hAnsi="Times New Roman"/>
          <w:snapToGrid/>
          <w:color w:val="auto"/>
          <w:sz w:val="24"/>
          <w:szCs w:val="24"/>
          <w:lang w:eastAsia="en-GB" w:bidi="ar-SA"/>
        </w:rPr>
        <w:t>release</w:t>
      </w:r>
      <w:r w:rsidR="0095100C" w:rsidRPr="009F19D9">
        <w:rPr>
          <w:rFonts w:ascii="Times New Roman" w:hAnsi="Times New Roman"/>
          <w:snapToGrid/>
          <w:color w:val="auto"/>
          <w:sz w:val="24"/>
          <w:szCs w:val="24"/>
          <w:lang w:eastAsia="en-GB" w:bidi="ar-SA"/>
        </w:rPr>
        <w:t xml:space="preserve"> </w:t>
      </w:r>
      <w:r w:rsidRPr="009F19D9">
        <w:rPr>
          <w:rFonts w:ascii="Times New Roman" w:hAnsi="Times New Roman"/>
          <w:snapToGrid/>
          <w:color w:val="auto"/>
          <w:sz w:val="24"/>
          <w:szCs w:val="24"/>
          <w:lang w:eastAsia="en-GB" w:bidi="ar-SA"/>
        </w:rPr>
        <w:t xml:space="preserve">profile compared to that of Intralipid formulation (f2 = 73%). This might be due to the similarity in droplet size, PDI and </w:t>
      </w:r>
      <w:r w:rsidR="0095100C">
        <w:rPr>
          <w:rFonts w:ascii="Times New Roman" w:hAnsi="Times New Roman"/>
          <w:snapToGrid/>
          <w:color w:val="auto"/>
          <w:sz w:val="24"/>
          <w:szCs w:val="24"/>
          <w:lang w:eastAsia="en-GB" w:bidi="ar-SA"/>
        </w:rPr>
        <w:t>zeta potential</w:t>
      </w:r>
      <w:r w:rsidRPr="009F19D9">
        <w:rPr>
          <w:rFonts w:ascii="Times New Roman" w:hAnsi="Times New Roman"/>
          <w:snapToGrid/>
          <w:color w:val="auto"/>
          <w:sz w:val="24"/>
          <w:szCs w:val="24"/>
          <w:lang w:eastAsia="en-GB" w:bidi="ar-SA"/>
        </w:rPr>
        <w:t xml:space="preserve"> for both nanoemulsions. However, significant differences (f2&lt; 50%) between the </w:t>
      </w:r>
      <w:r w:rsidR="0095100C">
        <w:rPr>
          <w:rFonts w:ascii="Times New Roman" w:hAnsi="Times New Roman"/>
          <w:snapToGrid/>
          <w:color w:val="auto"/>
          <w:sz w:val="24"/>
          <w:szCs w:val="24"/>
          <w:lang w:eastAsia="en-GB" w:bidi="ar-SA"/>
        </w:rPr>
        <w:t>release</w:t>
      </w:r>
      <w:r w:rsidR="0095100C" w:rsidRPr="009F19D9">
        <w:rPr>
          <w:rFonts w:ascii="Times New Roman" w:hAnsi="Times New Roman"/>
          <w:snapToGrid/>
          <w:color w:val="auto"/>
          <w:sz w:val="24"/>
          <w:szCs w:val="24"/>
          <w:lang w:eastAsia="en-GB" w:bidi="ar-SA"/>
        </w:rPr>
        <w:t xml:space="preserve"> </w:t>
      </w:r>
      <w:r w:rsidRPr="009F19D9">
        <w:rPr>
          <w:rFonts w:ascii="Times New Roman" w:hAnsi="Times New Roman"/>
          <w:snapToGrid/>
          <w:color w:val="auto"/>
          <w:sz w:val="24"/>
          <w:szCs w:val="24"/>
          <w:lang w:eastAsia="en-GB" w:bidi="ar-SA"/>
        </w:rPr>
        <w:t>profile of free CP compared to those of both Clinoleic and Intralipid formulations are shown</w:t>
      </w:r>
      <w:r w:rsidR="0095100C">
        <w:rPr>
          <w:rFonts w:ascii="Times New Roman" w:hAnsi="Times New Roman"/>
          <w:snapToGrid/>
          <w:color w:val="auto"/>
          <w:sz w:val="24"/>
          <w:szCs w:val="24"/>
          <w:lang w:eastAsia="en-GB" w:bidi="ar-SA"/>
        </w:rPr>
        <w:t>, so that</w:t>
      </w:r>
      <w:r w:rsidRPr="009F19D9">
        <w:rPr>
          <w:rFonts w:ascii="Times New Roman" w:hAnsi="Times New Roman"/>
          <w:snapToGrid/>
          <w:color w:val="auto"/>
          <w:sz w:val="24"/>
          <w:szCs w:val="24"/>
          <w:lang w:eastAsia="en-GB" w:bidi="ar-SA"/>
        </w:rPr>
        <w:t xml:space="preserve"> over 95% of drug was released</w:t>
      </w:r>
      <w:r w:rsidR="0095100C">
        <w:rPr>
          <w:rFonts w:ascii="Times New Roman" w:hAnsi="Times New Roman"/>
          <w:snapToGrid/>
          <w:color w:val="auto"/>
          <w:sz w:val="24"/>
          <w:szCs w:val="24"/>
          <w:lang w:eastAsia="en-GB" w:bidi="ar-SA"/>
        </w:rPr>
        <w:t xml:space="preserve"> from the traditional </w:t>
      </w:r>
      <w:r w:rsidR="00FE1234">
        <w:rPr>
          <w:rFonts w:ascii="Times New Roman" w:hAnsi="Times New Roman"/>
          <w:snapToGrid/>
          <w:color w:val="auto"/>
          <w:sz w:val="24"/>
          <w:szCs w:val="24"/>
          <w:lang w:eastAsia="en-GB" w:bidi="ar-SA"/>
        </w:rPr>
        <w:t xml:space="preserve">free drug </w:t>
      </w:r>
      <w:r w:rsidR="0095100C">
        <w:rPr>
          <w:rFonts w:ascii="Times New Roman" w:hAnsi="Times New Roman"/>
          <w:snapToGrid/>
          <w:color w:val="auto"/>
          <w:sz w:val="24"/>
          <w:szCs w:val="24"/>
          <w:lang w:eastAsia="en-GB" w:bidi="ar-SA"/>
        </w:rPr>
        <w:t>formulation</w:t>
      </w:r>
      <w:r w:rsidRPr="009F19D9">
        <w:rPr>
          <w:rFonts w:ascii="Times New Roman" w:hAnsi="Times New Roman"/>
          <w:snapToGrid/>
          <w:color w:val="auto"/>
          <w:sz w:val="24"/>
          <w:szCs w:val="24"/>
          <w:lang w:eastAsia="en-GB" w:bidi="ar-SA"/>
        </w:rPr>
        <w:t xml:space="preserve"> after 24 hours (Figure 5). </w:t>
      </w:r>
    </w:p>
    <w:p w14:paraId="79DACF75" w14:textId="77777777" w:rsidR="005A6A38" w:rsidRPr="00010F4A" w:rsidRDefault="005A6A38" w:rsidP="005A6A38">
      <w:pPr>
        <w:pStyle w:val="MDPI16affiliation"/>
        <w:ind w:left="0" w:firstLine="0"/>
      </w:pPr>
    </w:p>
    <w:p w14:paraId="5A55B5A3" w14:textId="26AD3B29" w:rsidR="005A6A38" w:rsidRDefault="005A6A38" w:rsidP="003716EE">
      <w:pPr>
        <w:pStyle w:val="MDPI31text"/>
        <w:spacing w:line="480" w:lineRule="auto"/>
        <w:ind w:firstLine="0"/>
        <w:rPr>
          <w:lang w:val="en-GB"/>
        </w:rPr>
      </w:pPr>
      <w:r w:rsidRPr="009F19D9">
        <w:rPr>
          <w:rFonts w:ascii="Times New Roman" w:hAnsi="Times New Roman"/>
          <w:snapToGrid/>
          <w:color w:val="auto"/>
          <w:sz w:val="24"/>
          <w:szCs w:val="24"/>
          <w:lang w:eastAsia="en-GB" w:bidi="ar-SA"/>
        </w:rPr>
        <w:t xml:space="preserve">The rapid release of the free drug compared to that of drug-loaded to nanoemulsion formulations might be due to the free diffusion of CP molecules. Loaded drug molecules must </w:t>
      </w:r>
      <w:r w:rsidR="00FE1234">
        <w:rPr>
          <w:rFonts w:ascii="Times New Roman" w:hAnsi="Times New Roman"/>
          <w:snapToGrid/>
          <w:color w:val="auto"/>
          <w:sz w:val="24"/>
          <w:szCs w:val="24"/>
          <w:lang w:eastAsia="en-GB" w:bidi="ar-SA"/>
        </w:rPr>
        <w:t>leave</w:t>
      </w:r>
      <w:r w:rsidRPr="009F19D9">
        <w:rPr>
          <w:rFonts w:ascii="Times New Roman" w:hAnsi="Times New Roman"/>
          <w:snapToGrid/>
          <w:color w:val="auto"/>
          <w:sz w:val="24"/>
          <w:szCs w:val="24"/>
          <w:lang w:eastAsia="en-GB" w:bidi="ar-SA"/>
        </w:rPr>
        <w:t xml:space="preserve"> the oil droplet of the emulsion before reaching the bulk </w:t>
      </w:r>
      <w:r w:rsidR="00FE1234">
        <w:rPr>
          <w:rFonts w:ascii="Times New Roman" w:hAnsi="Times New Roman"/>
          <w:snapToGrid/>
          <w:color w:val="auto"/>
          <w:sz w:val="24"/>
          <w:szCs w:val="24"/>
          <w:lang w:eastAsia="en-GB" w:bidi="ar-SA"/>
        </w:rPr>
        <w:t>dispersion</w:t>
      </w:r>
      <w:r w:rsidR="00FE1234" w:rsidRPr="009F19D9">
        <w:rPr>
          <w:rFonts w:ascii="Times New Roman" w:hAnsi="Times New Roman"/>
          <w:snapToGrid/>
          <w:color w:val="auto"/>
          <w:sz w:val="24"/>
          <w:szCs w:val="24"/>
          <w:lang w:eastAsia="en-GB" w:bidi="ar-SA"/>
        </w:rPr>
        <w:t xml:space="preserve"> </w:t>
      </w:r>
      <w:r w:rsidRPr="009F19D9">
        <w:rPr>
          <w:rFonts w:ascii="Times New Roman" w:hAnsi="Times New Roman"/>
          <w:snapToGrid/>
          <w:color w:val="auto"/>
          <w:sz w:val="24"/>
          <w:szCs w:val="24"/>
          <w:lang w:eastAsia="en-GB" w:bidi="ar-SA"/>
        </w:rPr>
        <w:t xml:space="preserve">medium. Similar </w:t>
      </w:r>
      <w:r w:rsidR="00FE1234">
        <w:rPr>
          <w:rFonts w:ascii="Times New Roman" w:hAnsi="Times New Roman"/>
          <w:snapToGrid/>
          <w:color w:val="auto"/>
          <w:sz w:val="24"/>
          <w:szCs w:val="24"/>
          <w:lang w:eastAsia="en-GB" w:bidi="ar-SA"/>
        </w:rPr>
        <w:t>release</w:t>
      </w:r>
      <w:r w:rsidR="00FE1234" w:rsidRPr="009F19D9">
        <w:rPr>
          <w:rFonts w:ascii="Times New Roman" w:hAnsi="Times New Roman"/>
          <w:snapToGrid/>
          <w:color w:val="auto"/>
          <w:sz w:val="24"/>
          <w:szCs w:val="24"/>
          <w:lang w:eastAsia="en-GB" w:bidi="ar-SA"/>
        </w:rPr>
        <w:t xml:space="preserve"> </w:t>
      </w:r>
      <w:r w:rsidRPr="009F19D9">
        <w:rPr>
          <w:rFonts w:ascii="Times New Roman" w:hAnsi="Times New Roman"/>
          <w:snapToGrid/>
          <w:color w:val="auto"/>
          <w:sz w:val="24"/>
          <w:szCs w:val="24"/>
          <w:lang w:eastAsia="en-GB" w:bidi="ar-SA"/>
        </w:rPr>
        <w:t xml:space="preserve">results have been reported for the release of CP from lipid-core nanocapsule formulations </w:t>
      </w:r>
      <w:r w:rsidR="002832DD">
        <w:rPr>
          <w:rFonts w:ascii="Times New Roman" w:hAnsi="Times New Roman"/>
          <w:snapToGrid/>
          <w:color w:val="auto"/>
          <w:sz w:val="24"/>
          <w:szCs w:val="24"/>
          <w:lang w:eastAsia="en-GB" w:bidi="ar-SA"/>
        </w:rPr>
        <w:fldChar w:fldCharType="begin"/>
      </w:r>
      <w:r w:rsidR="00EA5690">
        <w:rPr>
          <w:rFonts w:ascii="Times New Roman" w:hAnsi="Times New Roman"/>
          <w:snapToGrid/>
          <w:color w:val="auto"/>
          <w:sz w:val="24"/>
          <w:szCs w:val="24"/>
          <w:lang w:eastAsia="en-GB" w:bidi="ar-SA"/>
        </w:rPr>
        <w:instrText xml:space="preserve"> ADDIN ZOTERO_ITEM CSL_CITATION {"citationID":"zmWluMBH","properties":{"formattedCitation":"(32)","plainCitation":"(32)","noteIndex":0},"citationItems":[{"id":131,"uris":["http://zotero.org/users/5477069/items/XGJBTV9G"],"uri":["http://zotero.org/users/5477069/items/XGJBTV9G"],"itemData":{"id":131,"type":"article-journal","title":"Ciprofloxacin-loaded lipid-core nanocapsules as mucus penetrating drug delivery system intended for the treatment of bacterial infections in cystic fibrosis","container-title":"International Journal of Pharmaceutics","page":"92-102","volume":"527","issue":"1-2","source":"PubMed","abstract":"Treatment of bacterial airway infections is essential for cystic fibrosis therapy. However, effectiveness of antibacterial treatment is limited as bacteria inside the mucus are protected from antibiotics and immune response. To overcome this biological barrier, ciprofloxacin was loaded into lipid-core nanocapsules (LNC) for high mucus permeability, sustained release and antibacterial activity. Ciprofloxacin-loaded LNC with a mean size of 180nm showed a by 50% increased drug permeation through mucus. In bacterial growth assays, the drug in the LNC had similar minimum inhibitory concentrations as the free drug in P. aeruginosa and S. aureus. Interestingly, formation of biofilm-like aggregates, which were observed for S. aureus treated with free ciprofloxacin, was avoided by exposure to LNC. With the combined advantages over the non-encapsulated drug, ciprofloxacin-loaded LNC represent a promising drug delivery system with the prospect of an improved antibiotic therapy in cystic fibrosis.","DOI":"10.1016/j.ijpharm.2017.05.013","ISSN":"1873-3476","note":"PMID: 28499793","journalAbbreviation":"Int J Pharm","language":"eng","author":[{"family":"Torge","given":"Afra"},{"family":"Wagner","given":"Stefanie"},{"family":"Chaves","given":"Paula S."},{"family":"Oliveira","given":"Edilene G."},{"family":"Guterres","given":"Silvia S."},{"family":"Pohlmann","given":"Adriana R."},{"family":"Titz","given":"Alexander"},{"family":"Schneider","given":"Marc"},{"family":"Beck","given":"Ruy C. R."}],"issued":{"date-parts":[["2017",7,15]]}}}],"schema":"https://github.com/citation-style-language/schema/raw/master/csl-citation.json"} </w:instrText>
      </w:r>
      <w:r w:rsidR="002832DD">
        <w:rPr>
          <w:rFonts w:ascii="Times New Roman" w:hAnsi="Times New Roman"/>
          <w:snapToGrid/>
          <w:color w:val="auto"/>
          <w:sz w:val="24"/>
          <w:szCs w:val="24"/>
          <w:lang w:eastAsia="en-GB" w:bidi="ar-SA"/>
        </w:rPr>
        <w:fldChar w:fldCharType="separate"/>
      </w:r>
      <w:r w:rsidR="00EA5690">
        <w:rPr>
          <w:rFonts w:ascii="Times New Roman" w:hAnsi="Times New Roman"/>
          <w:noProof/>
          <w:snapToGrid/>
          <w:color w:val="auto"/>
          <w:sz w:val="24"/>
          <w:szCs w:val="24"/>
          <w:lang w:eastAsia="en-GB" w:bidi="ar-SA"/>
        </w:rPr>
        <w:t>(32)</w:t>
      </w:r>
      <w:r w:rsidR="002832DD">
        <w:rPr>
          <w:rFonts w:ascii="Times New Roman" w:hAnsi="Times New Roman"/>
          <w:snapToGrid/>
          <w:color w:val="auto"/>
          <w:sz w:val="24"/>
          <w:szCs w:val="24"/>
          <w:lang w:eastAsia="en-GB" w:bidi="ar-SA"/>
        </w:rPr>
        <w:fldChar w:fldCharType="end"/>
      </w:r>
      <w:r w:rsidRPr="009F19D9">
        <w:rPr>
          <w:rFonts w:ascii="Times New Roman" w:hAnsi="Times New Roman"/>
          <w:snapToGrid/>
          <w:color w:val="auto"/>
          <w:sz w:val="24"/>
          <w:szCs w:val="24"/>
          <w:lang w:eastAsia="en-GB" w:bidi="ar-SA"/>
        </w:rPr>
        <w:t xml:space="preserve">. In that study, </w:t>
      </w:r>
      <w:r w:rsidR="00FE1234">
        <w:rPr>
          <w:rFonts w:ascii="Times New Roman" w:hAnsi="Times New Roman"/>
          <w:snapToGrid/>
          <w:color w:val="auto"/>
          <w:sz w:val="24"/>
          <w:szCs w:val="24"/>
          <w:lang w:eastAsia="en-GB" w:bidi="ar-SA"/>
        </w:rPr>
        <w:t>CP</w:t>
      </w:r>
      <w:r w:rsidR="00FE1234" w:rsidRPr="009F19D9">
        <w:rPr>
          <w:rFonts w:ascii="Times New Roman" w:hAnsi="Times New Roman"/>
          <w:snapToGrid/>
          <w:color w:val="auto"/>
          <w:sz w:val="24"/>
          <w:szCs w:val="24"/>
          <w:lang w:eastAsia="en-GB" w:bidi="ar-SA"/>
        </w:rPr>
        <w:t xml:space="preserve"> </w:t>
      </w:r>
      <w:r w:rsidRPr="009F19D9">
        <w:rPr>
          <w:rFonts w:ascii="Times New Roman" w:hAnsi="Times New Roman"/>
          <w:snapToGrid/>
          <w:color w:val="auto"/>
          <w:sz w:val="24"/>
          <w:szCs w:val="24"/>
          <w:lang w:eastAsia="en-GB" w:bidi="ar-SA"/>
        </w:rPr>
        <w:t xml:space="preserve">was loaded into lipid-core nanocapsules </w:t>
      </w:r>
      <w:r w:rsidRPr="009F19D9">
        <w:rPr>
          <w:rFonts w:ascii="Times New Roman" w:hAnsi="Times New Roman"/>
          <w:snapToGrid/>
          <w:color w:val="auto"/>
          <w:sz w:val="24"/>
          <w:szCs w:val="24"/>
          <w:lang w:eastAsia="en-GB" w:bidi="ar-SA"/>
        </w:rPr>
        <w:lastRenderedPageBreak/>
        <w:t>composed of a polymeric shell of poly(ε-caprolactone) (PCL) and a lipid core. The time needed 50% of CP</w:t>
      </w:r>
      <w:r w:rsidR="00FE1234">
        <w:rPr>
          <w:rFonts w:ascii="Times New Roman" w:hAnsi="Times New Roman"/>
          <w:snapToGrid/>
          <w:color w:val="auto"/>
          <w:sz w:val="24"/>
          <w:szCs w:val="24"/>
          <w:lang w:eastAsia="en-GB" w:bidi="ar-SA"/>
        </w:rPr>
        <w:t xml:space="preserve"> to get released</w:t>
      </w:r>
      <w:r w:rsidRPr="009F19D9">
        <w:rPr>
          <w:rFonts w:ascii="Times New Roman" w:hAnsi="Times New Roman"/>
          <w:snapToGrid/>
          <w:color w:val="auto"/>
          <w:sz w:val="24"/>
          <w:szCs w:val="24"/>
          <w:lang w:eastAsia="en-GB" w:bidi="ar-SA"/>
        </w:rPr>
        <w:t xml:space="preserve"> from the nanocapsule</w:t>
      </w:r>
      <w:r w:rsidR="00FE1234">
        <w:rPr>
          <w:rFonts w:ascii="Times New Roman" w:hAnsi="Times New Roman"/>
          <w:snapToGrid/>
          <w:color w:val="auto"/>
          <w:sz w:val="24"/>
          <w:szCs w:val="24"/>
          <w:lang w:eastAsia="en-GB" w:bidi="ar-SA"/>
        </w:rPr>
        <w:t>s was</w:t>
      </w:r>
      <w:r w:rsidRPr="009F19D9">
        <w:rPr>
          <w:rFonts w:ascii="Times New Roman" w:hAnsi="Times New Roman"/>
          <w:snapToGrid/>
          <w:color w:val="auto"/>
          <w:sz w:val="24"/>
          <w:szCs w:val="24"/>
          <w:lang w:eastAsia="en-GB" w:bidi="ar-SA"/>
        </w:rPr>
        <w:t xml:space="preserve"> </w:t>
      </w:r>
      <w:r w:rsidR="00FE1234">
        <w:rPr>
          <w:rFonts w:ascii="Times New Roman" w:hAnsi="Times New Roman"/>
          <w:snapToGrid/>
          <w:color w:val="auto"/>
          <w:sz w:val="24"/>
          <w:szCs w:val="24"/>
          <w:lang w:eastAsia="en-GB" w:bidi="ar-SA"/>
        </w:rPr>
        <w:t xml:space="preserve">relatively </w:t>
      </w:r>
      <w:r w:rsidRPr="009F19D9">
        <w:rPr>
          <w:rFonts w:ascii="Times New Roman" w:hAnsi="Times New Roman"/>
          <w:snapToGrid/>
          <w:color w:val="auto"/>
          <w:sz w:val="24"/>
          <w:szCs w:val="24"/>
          <w:lang w:eastAsia="en-GB" w:bidi="ar-SA"/>
        </w:rPr>
        <w:t>short</w:t>
      </w:r>
      <w:r w:rsidR="00FE1234">
        <w:rPr>
          <w:rFonts w:ascii="Times New Roman" w:hAnsi="Times New Roman"/>
          <w:snapToGrid/>
          <w:color w:val="auto"/>
          <w:sz w:val="24"/>
          <w:szCs w:val="24"/>
          <w:lang w:eastAsia="en-GB" w:bidi="ar-SA"/>
        </w:rPr>
        <w:t xml:space="preserve"> </w:t>
      </w:r>
      <w:r w:rsidR="00FE1234">
        <w:rPr>
          <w:rFonts w:ascii="Times New Roman" w:hAnsi="Times New Roman"/>
          <w:snapToGrid/>
          <w:color w:val="auto"/>
          <w:sz w:val="24"/>
          <w:szCs w:val="24"/>
          <w:lang w:eastAsia="en-GB" w:bidi="ar-SA"/>
        </w:rPr>
        <w:fldChar w:fldCharType="begin"/>
      </w:r>
      <w:r w:rsidR="00EA5690">
        <w:rPr>
          <w:rFonts w:ascii="Times New Roman" w:hAnsi="Times New Roman"/>
          <w:snapToGrid/>
          <w:color w:val="auto"/>
          <w:sz w:val="24"/>
          <w:szCs w:val="24"/>
          <w:lang w:eastAsia="en-GB" w:bidi="ar-SA"/>
        </w:rPr>
        <w:instrText xml:space="preserve"> ADDIN ZOTERO_ITEM CSL_CITATION {"citationID":"znsPuOsl","properties":{"formattedCitation":"(32)","plainCitation":"(32)","noteIndex":0},"citationItems":[{"id":131,"uris":["http://zotero.org/users/5477069/items/XGJBTV9G"],"uri":["http://zotero.org/users/5477069/items/XGJBTV9G"],"itemData":{"id":131,"type":"article-journal","title":"Ciprofloxacin-loaded lipid-core nanocapsules as mucus penetrating drug delivery system intended for the treatment of bacterial infections in cystic fibrosis","container-title":"International Journal of Pharmaceutics","page":"92-102","volume":"527","issue":"1-2","source":"PubMed","abstract":"Treatment of bacterial airway infections is essential for cystic fibrosis therapy. However, effectiveness of antibacterial treatment is limited as bacteria inside the mucus are protected from antibiotics and immune response. To overcome this biological barrier, ciprofloxacin was loaded into lipid-core nanocapsules (LNC) for high mucus permeability, sustained release and antibacterial activity. Ciprofloxacin-loaded LNC with a mean size of 180nm showed a by 50% increased drug permeation through mucus. In bacterial growth assays, the drug in the LNC had similar minimum inhibitory concentrations as the free drug in P. aeruginosa and S. aureus. Interestingly, formation of biofilm-like aggregates, which were observed for S. aureus treated with free ciprofloxacin, was avoided by exposure to LNC. With the combined advantages over the non-encapsulated drug, ciprofloxacin-loaded LNC represent a promising drug delivery system with the prospect of an improved antibiotic therapy in cystic fibrosis.","DOI":"10.1016/j.ijpharm.2017.05.013","ISSN":"1873-3476","note":"PMID: 28499793","journalAbbreviation":"Int J Pharm","language":"eng","author":[{"family":"Torge","given":"Afra"},{"family":"Wagner","given":"Stefanie"},{"family":"Chaves","given":"Paula S."},{"family":"Oliveira","given":"Edilene G."},{"family":"Guterres","given":"Silvia S."},{"family":"Pohlmann","given":"Adriana R."},{"family":"Titz","given":"Alexander"},{"family":"Schneider","given":"Marc"},{"family":"Beck","given":"Ruy C. R."}],"issued":{"date-parts":[["2017",7,15]]}}}],"schema":"https://github.com/citation-style-language/schema/raw/master/csl-citation.json"} </w:instrText>
      </w:r>
      <w:r w:rsidR="00FE1234">
        <w:rPr>
          <w:rFonts w:ascii="Times New Roman" w:hAnsi="Times New Roman"/>
          <w:snapToGrid/>
          <w:color w:val="auto"/>
          <w:sz w:val="24"/>
          <w:szCs w:val="24"/>
          <w:lang w:eastAsia="en-GB" w:bidi="ar-SA"/>
        </w:rPr>
        <w:fldChar w:fldCharType="separate"/>
      </w:r>
      <w:r w:rsidR="00EA5690">
        <w:rPr>
          <w:rFonts w:ascii="Times New Roman" w:hAnsi="Times New Roman"/>
          <w:noProof/>
          <w:snapToGrid/>
          <w:color w:val="auto"/>
          <w:sz w:val="24"/>
          <w:szCs w:val="24"/>
          <w:lang w:eastAsia="en-GB" w:bidi="ar-SA"/>
        </w:rPr>
        <w:t>(32)</w:t>
      </w:r>
      <w:r w:rsidR="00FE1234">
        <w:rPr>
          <w:rFonts w:ascii="Times New Roman" w:hAnsi="Times New Roman"/>
          <w:snapToGrid/>
          <w:color w:val="auto"/>
          <w:sz w:val="24"/>
          <w:szCs w:val="24"/>
          <w:lang w:eastAsia="en-GB" w:bidi="ar-SA"/>
        </w:rPr>
        <w:fldChar w:fldCharType="end"/>
      </w:r>
      <w:r w:rsidRPr="009F19D9">
        <w:rPr>
          <w:rFonts w:ascii="Times New Roman" w:hAnsi="Times New Roman"/>
          <w:snapToGrid/>
          <w:color w:val="auto"/>
          <w:sz w:val="24"/>
          <w:szCs w:val="24"/>
          <w:lang w:eastAsia="en-GB" w:bidi="ar-SA"/>
        </w:rPr>
        <w:t xml:space="preserve"> </w:t>
      </w:r>
      <w:r w:rsidR="00FE1234">
        <w:rPr>
          <w:rFonts w:ascii="Times New Roman" w:hAnsi="Times New Roman"/>
          <w:snapToGrid/>
          <w:color w:val="auto"/>
          <w:sz w:val="24"/>
          <w:szCs w:val="24"/>
          <w:lang w:eastAsia="en-GB" w:bidi="ar-SA"/>
        </w:rPr>
        <w:t>compared to</w:t>
      </w:r>
      <w:r w:rsidR="00FE1234" w:rsidRPr="009F19D9">
        <w:rPr>
          <w:rFonts w:ascii="Times New Roman" w:hAnsi="Times New Roman"/>
          <w:snapToGrid/>
          <w:color w:val="auto"/>
          <w:sz w:val="24"/>
          <w:szCs w:val="24"/>
          <w:lang w:eastAsia="en-GB" w:bidi="ar-SA"/>
        </w:rPr>
        <w:t xml:space="preserve"> </w:t>
      </w:r>
      <w:r w:rsidR="00FE1234">
        <w:rPr>
          <w:rFonts w:ascii="Times New Roman" w:hAnsi="Times New Roman"/>
          <w:snapToGrid/>
          <w:color w:val="auto"/>
          <w:sz w:val="24"/>
          <w:szCs w:val="24"/>
          <w:lang w:eastAsia="en-GB" w:bidi="ar-SA"/>
        </w:rPr>
        <w:t xml:space="preserve">that found for </w:t>
      </w:r>
      <w:r w:rsidRPr="009F19D9">
        <w:rPr>
          <w:rFonts w:ascii="Times New Roman" w:hAnsi="Times New Roman"/>
          <w:snapToGrid/>
          <w:color w:val="auto"/>
          <w:sz w:val="24"/>
          <w:szCs w:val="24"/>
          <w:lang w:eastAsia="en-GB" w:bidi="ar-SA"/>
        </w:rPr>
        <w:t>Intralipid and Clinoleic nanoemulsions</w:t>
      </w:r>
      <w:r w:rsidR="00FE1234">
        <w:rPr>
          <w:rFonts w:ascii="Times New Roman" w:hAnsi="Times New Roman"/>
          <w:snapToGrid/>
          <w:color w:val="auto"/>
          <w:sz w:val="24"/>
          <w:szCs w:val="24"/>
          <w:lang w:eastAsia="en-GB" w:bidi="ar-SA"/>
        </w:rPr>
        <w:t xml:space="preserve"> in this study</w:t>
      </w:r>
      <w:r w:rsidRPr="009F19D9">
        <w:rPr>
          <w:rFonts w:ascii="Times New Roman" w:hAnsi="Times New Roman"/>
          <w:snapToGrid/>
          <w:color w:val="auto"/>
          <w:sz w:val="24"/>
          <w:szCs w:val="24"/>
          <w:lang w:eastAsia="en-GB" w:bidi="ar-SA"/>
        </w:rPr>
        <w:t xml:space="preserve">. In this context, Türeli et al (2017) have reported the development of </w:t>
      </w:r>
      <w:r w:rsidR="00FE1234">
        <w:rPr>
          <w:rFonts w:ascii="Times New Roman" w:hAnsi="Times New Roman"/>
          <w:snapToGrid/>
          <w:color w:val="auto"/>
          <w:sz w:val="24"/>
          <w:szCs w:val="24"/>
          <w:lang w:eastAsia="en-GB" w:bidi="ar-SA"/>
        </w:rPr>
        <w:t>CP</w:t>
      </w:r>
      <w:r w:rsidRPr="009F19D9">
        <w:rPr>
          <w:rFonts w:ascii="Times New Roman" w:hAnsi="Times New Roman"/>
          <w:snapToGrid/>
          <w:color w:val="auto"/>
          <w:sz w:val="24"/>
          <w:szCs w:val="24"/>
          <w:lang w:eastAsia="en-GB" w:bidi="ar-SA"/>
        </w:rPr>
        <w:t xml:space="preserve">-loaded Poly(Lactide-co-Glycolide) (PLGA) nanoparticles for enhanced permeability </w:t>
      </w:r>
      <w:r w:rsidR="002832DD">
        <w:rPr>
          <w:rFonts w:ascii="Times New Roman" w:hAnsi="Times New Roman"/>
          <w:snapToGrid/>
          <w:color w:val="auto"/>
          <w:sz w:val="24"/>
          <w:szCs w:val="24"/>
          <w:lang w:eastAsia="en-GB" w:bidi="ar-SA"/>
        </w:rPr>
        <w:fldChar w:fldCharType="begin"/>
      </w:r>
      <w:r w:rsidR="00EA5690">
        <w:rPr>
          <w:rFonts w:ascii="Times New Roman" w:hAnsi="Times New Roman"/>
          <w:snapToGrid/>
          <w:color w:val="auto"/>
          <w:sz w:val="24"/>
          <w:szCs w:val="24"/>
          <w:lang w:eastAsia="en-GB" w:bidi="ar-SA"/>
        </w:rPr>
        <w:instrText xml:space="preserve"> ADDIN ZOTERO_ITEM CSL_CITATION {"citationID":"fCOZbalm","properties":{"formattedCitation":"(33)","plainCitation":"(33)","noteIndex":0},"citationItems":[{"id":133,"uris":["http://zotero.org/users/5477069/items/DHQSBMC9"],"uri":["http://zotero.org/users/5477069/items/DHQSBMC9"],"itemData":{"id":133,"type":"article-journal","title":"Ciprofloxacin-loaded PLGA nanoparticles against cystic fibrosis P. aeruginosa lung infections","container-title":"European Journal of Pharmaceutics and Biopharmaceutics: Official Journal of Arbeitsgemeinschaft Fur Pharmazeutische Verfahrenstechnik e.V","page":"363-371","volume":"117","source":"PubMed","abstract":"Current pulmonary treatments against Pseudomonas aeruginosa infections in cystic fibrosis (CF) lung suffer from deactivation of the drug and immobilization in thick and viscous biofilm/mucus blend, along with the general antibiotic resistance. Administration of nanoparticles (NPs) with high antibiotic load capable of penetrating the tight mesh of biofilm/mucus can be an advent to overcome the treatment bottlenecks. Biodegradable and biocompatible polymer nanoparticles efficiently loaded with ciprofloxacin complex offer a solution for emerging treatment strategies. NPs were prepared under controlled conditions by utilizing MicroJet Reactor (MJR) to yield a particle size of 190.4±28.6nm with 0.089 PDI. Encapsulation efficiency of the drug was 79% resulting in a loading of 14%. Release was determined to be controlled and medium-independent in PBS, PBS+0.2% Tween 80 and simulated lung fluid. Cytotoxicity assays with Calu-3 cells and CF bronchial epithelial cells (CFBE41o-) indicated that complex-loaded PLGA NPs were non-toxic at concentrations </w:instrText>
      </w:r>
      <w:r w:rsidR="00EA5690">
        <w:rPr>
          <w:rFonts w:ascii="Cambria Math" w:hAnsi="Cambria Math" w:cs="Cambria Math"/>
          <w:snapToGrid/>
          <w:color w:val="auto"/>
          <w:sz w:val="24"/>
          <w:szCs w:val="24"/>
          <w:lang w:eastAsia="en-GB" w:bidi="ar-SA"/>
        </w:rPr>
        <w:instrText>≫</w:instrText>
      </w:r>
      <w:r w:rsidR="00EA5690">
        <w:rPr>
          <w:rFonts w:ascii="Times New Roman" w:hAnsi="Times New Roman"/>
          <w:snapToGrid/>
          <w:color w:val="auto"/>
          <w:sz w:val="24"/>
          <w:szCs w:val="24"/>
          <w:lang w:eastAsia="en-GB" w:bidi="ar-SA"/>
        </w:rPr>
        <w:instrText xml:space="preserve"> MICcipro against lab strains of the bacteria. Antibacterial activity tests revealed enhanced activity when applied as nanoparticles. NPs' colloidal stability in mucus was proven. Notably, a decrease in mucus turbidity was observed upon incubation with NPs. Herewith, ciprofloxacin complex-loaded PLGA NPs are introduced as promising pulmonary nano drug delivery systems against P.aeruginosa infections in CF lung.","DOI":"10.1016/j.ejpb.2017.04.032","ISSN":"1873-3441","note":"PMID: 28476373","journalAbbreviation":"Eur J Pharm Biopharm","language":"eng","author":[{"family":"Günday Türeli","given":"Nazende"},{"family":"Torge","given":"Afra"},{"family":"Juntke","given":"Jenny"},{"family":"Schwarz","given":"Bianca C."},{"family":"Schneider-Daum","given":"Nicole"},{"family":"Türeli","given":"Akif Emre"},{"family":"Lehr","given":"Claus-Michael"},{"family":"Schneider","given":"Marc"}],"issued":{"date-parts":[["2017",8]]}}}],"schema":"https://github.com/citation-style-language/schema/raw/master/csl-citation.json"} </w:instrText>
      </w:r>
      <w:r w:rsidR="002832DD">
        <w:rPr>
          <w:rFonts w:ascii="Times New Roman" w:hAnsi="Times New Roman"/>
          <w:snapToGrid/>
          <w:color w:val="auto"/>
          <w:sz w:val="24"/>
          <w:szCs w:val="24"/>
          <w:lang w:eastAsia="en-GB" w:bidi="ar-SA"/>
        </w:rPr>
        <w:fldChar w:fldCharType="separate"/>
      </w:r>
      <w:r w:rsidR="00EA5690">
        <w:rPr>
          <w:rFonts w:ascii="Times New Roman" w:hAnsi="Times New Roman"/>
          <w:noProof/>
          <w:snapToGrid/>
          <w:color w:val="auto"/>
          <w:sz w:val="24"/>
          <w:szCs w:val="24"/>
          <w:lang w:eastAsia="en-GB" w:bidi="ar-SA"/>
        </w:rPr>
        <w:t>(33)</w:t>
      </w:r>
      <w:r w:rsidR="002832DD">
        <w:rPr>
          <w:rFonts w:ascii="Times New Roman" w:hAnsi="Times New Roman"/>
          <w:snapToGrid/>
          <w:color w:val="auto"/>
          <w:sz w:val="24"/>
          <w:szCs w:val="24"/>
          <w:lang w:eastAsia="en-GB" w:bidi="ar-SA"/>
        </w:rPr>
        <w:fldChar w:fldCharType="end"/>
      </w:r>
      <w:r w:rsidRPr="009F19D9">
        <w:rPr>
          <w:rFonts w:ascii="Times New Roman" w:hAnsi="Times New Roman"/>
          <w:snapToGrid/>
          <w:color w:val="auto"/>
          <w:sz w:val="24"/>
          <w:szCs w:val="24"/>
          <w:lang w:eastAsia="en-GB" w:bidi="ar-SA"/>
        </w:rPr>
        <w:t xml:space="preserve">. </w:t>
      </w:r>
      <w:r w:rsidR="003716EE">
        <w:rPr>
          <w:rFonts w:ascii="Times New Roman" w:hAnsi="Times New Roman"/>
          <w:snapToGrid/>
          <w:color w:val="auto"/>
          <w:sz w:val="24"/>
          <w:szCs w:val="24"/>
          <w:lang w:eastAsia="en-GB" w:bidi="ar-SA"/>
        </w:rPr>
        <w:t>I</w:t>
      </w:r>
      <w:r w:rsidR="00FE1234">
        <w:rPr>
          <w:rFonts w:ascii="Times New Roman" w:hAnsi="Times New Roman"/>
          <w:snapToGrid/>
          <w:color w:val="auto"/>
          <w:sz w:val="24"/>
          <w:szCs w:val="24"/>
          <w:lang w:eastAsia="en-GB" w:bidi="ar-SA"/>
        </w:rPr>
        <w:t>mportantly</w:t>
      </w:r>
      <w:r w:rsidRPr="009F19D9">
        <w:rPr>
          <w:rFonts w:ascii="Times New Roman" w:hAnsi="Times New Roman"/>
          <w:snapToGrid/>
          <w:color w:val="auto"/>
          <w:sz w:val="24"/>
          <w:szCs w:val="24"/>
          <w:lang w:eastAsia="en-GB" w:bidi="ar-SA"/>
        </w:rPr>
        <w:t xml:space="preserve">, the nanoemulsion formulations showed </w:t>
      </w:r>
      <w:r w:rsidR="00A12B90">
        <w:rPr>
          <w:rFonts w:ascii="Times New Roman" w:hAnsi="Times New Roman"/>
          <w:snapToGrid/>
          <w:color w:val="auto"/>
          <w:sz w:val="24"/>
          <w:szCs w:val="24"/>
          <w:lang w:eastAsia="en-GB" w:bidi="ar-SA"/>
        </w:rPr>
        <w:t xml:space="preserve">a </w:t>
      </w:r>
      <w:r w:rsidR="00FE1234">
        <w:rPr>
          <w:rFonts w:ascii="Times New Roman" w:hAnsi="Times New Roman"/>
          <w:snapToGrid/>
          <w:color w:val="auto"/>
          <w:sz w:val="24"/>
          <w:szCs w:val="24"/>
          <w:lang w:eastAsia="en-GB" w:bidi="ar-SA"/>
        </w:rPr>
        <w:t>more pro</w:t>
      </w:r>
      <w:r w:rsidR="00FE1234" w:rsidRPr="009F19D9">
        <w:rPr>
          <w:rFonts w:ascii="Times New Roman" w:hAnsi="Times New Roman"/>
          <w:snapToGrid/>
          <w:color w:val="auto"/>
          <w:sz w:val="24"/>
          <w:szCs w:val="24"/>
          <w:lang w:eastAsia="en-GB" w:bidi="ar-SA"/>
        </w:rPr>
        <w:t>longe</w:t>
      </w:r>
      <w:r w:rsidR="00FE1234">
        <w:rPr>
          <w:rFonts w:ascii="Times New Roman" w:hAnsi="Times New Roman"/>
          <w:snapToGrid/>
          <w:color w:val="auto"/>
          <w:sz w:val="24"/>
          <w:szCs w:val="24"/>
          <w:lang w:eastAsia="en-GB" w:bidi="ar-SA"/>
        </w:rPr>
        <w:t>d drug release</w:t>
      </w:r>
      <w:r w:rsidRPr="009F19D9">
        <w:rPr>
          <w:rFonts w:ascii="Times New Roman" w:hAnsi="Times New Roman"/>
          <w:snapToGrid/>
          <w:color w:val="auto"/>
          <w:sz w:val="24"/>
          <w:szCs w:val="24"/>
          <w:lang w:eastAsia="en-GB" w:bidi="ar-SA"/>
        </w:rPr>
        <w:t xml:space="preserve"> compared to that of </w:t>
      </w:r>
      <w:r w:rsidR="00FE1234">
        <w:rPr>
          <w:rFonts w:ascii="Times New Roman" w:hAnsi="Times New Roman"/>
          <w:snapToGrid/>
          <w:color w:val="auto"/>
          <w:sz w:val="24"/>
          <w:szCs w:val="24"/>
          <w:lang w:eastAsia="en-GB" w:bidi="ar-SA"/>
        </w:rPr>
        <w:t xml:space="preserve">the </w:t>
      </w:r>
      <w:r w:rsidRPr="009F19D9">
        <w:rPr>
          <w:rFonts w:ascii="Times New Roman" w:hAnsi="Times New Roman"/>
          <w:snapToGrid/>
          <w:color w:val="auto"/>
          <w:sz w:val="24"/>
          <w:szCs w:val="24"/>
          <w:lang w:eastAsia="en-GB" w:bidi="ar-SA"/>
        </w:rPr>
        <w:t>PLGA nanoparticle formulations. In both nanocapsule and nanoparticle formulations, the time</w:t>
      </w:r>
      <w:r w:rsidR="00FE1234">
        <w:rPr>
          <w:rFonts w:ascii="Times New Roman" w:hAnsi="Times New Roman"/>
          <w:snapToGrid/>
          <w:color w:val="auto"/>
          <w:sz w:val="24"/>
          <w:szCs w:val="24"/>
          <w:lang w:eastAsia="en-GB" w:bidi="ar-SA"/>
        </w:rPr>
        <w:t xml:space="preserve"> needed</w:t>
      </w:r>
      <w:r w:rsidRPr="009F19D9">
        <w:rPr>
          <w:rFonts w:ascii="Times New Roman" w:hAnsi="Times New Roman"/>
          <w:snapToGrid/>
          <w:color w:val="auto"/>
          <w:sz w:val="24"/>
          <w:szCs w:val="24"/>
          <w:lang w:eastAsia="en-GB" w:bidi="ar-SA"/>
        </w:rPr>
        <w:t xml:space="preserve"> for 50% </w:t>
      </w:r>
      <w:r w:rsidR="00FE1234">
        <w:rPr>
          <w:rFonts w:ascii="Times New Roman" w:hAnsi="Times New Roman"/>
          <w:snapToGrid/>
          <w:color w:val="auto"/>
          <w:sz w:val="24"/>
          <w:szCs w:val="24"/>
          <w:lang w:eastAsia="en-GB" w:bidi="ar-SA"/>
        </w:rPr>
        <w:t xml:space="preserve">of the </w:t>
      </w:r>
      <w:r w:rsidRPr="009F19D9">
        <w:rPr>
          <w:rFonts w:ascii="Times New Roman" w:hAnsi="Times New Roman"/>
          <w:snapToGrid/>
          <w:color w:val="auto"/>
          <w:sz w:val="24"/>
          <w:szCs w:val="24"/>
          <w:lang w:eastAsia="en-GB" w:bidi="ar-SA"/>
        </w:rPr>
        <w:t xml:space="preserve">drug </w:t>
      </w:r>
      <w:r w:rsidR="00FE1234">
        <w:rPr>
          <w:rFonts w:ascii="Times New Roman" w:hAnsi="Times New Roman"/>
          <w:snapToGrid/>
          <w:color w:val="auto"/>
          <w:sz w:val="24"/>
          <w:szCs w:val="24"/>
          <w:lang w:eastAsia="en-GB" w:bidi="ar-SA"/>
        </w:rPr>
        <w:t xml:space="preserve">to be </w:t>
      </w:r>
      <w:r w:rsidRPr="009F19D9">
        <w:rPr>
          <w:rFonts w:ascii="Times New Roman" w:hAnsi="Times New Roman"/>
          <w:snapToGrid/>
          <w:color w:val="auto"/>
          <w:sz w:val="24"/>
          <w:szCs w:val="24"/>
          <w:lang w:eastAsia="en-GB" w:bidi="ar-SA"/>
        </w:rPr>
        <w:t>release</w:t>
      </w:r>
      <w:r w:rsidR="00FE1234">
        <w:rPr>
          <w:rFonts w:ascii="Times New Roman" w:hAnsi="Times New Roman"/>
          <w:snapToGrid/>
          <w:color w:val="auto"/>
          <w:sz w:val="24"/>
          <w:szCs w:val="24"/>
          <w:lang w:eastAsia="en-GB" w:bidi="ar-SA"/>
        </w:rPr>
        <w:t>d</w:t>
      </w:r>
      <w:r w:rsidRPr="009F19D9">
        <w:rPr>
          <w:rFonts w:ascii="Times New Roman" w:hAnsi="Times New Roman"/>
          <w:snapToGrid/>
          <w:color w:val="auto"/>
          <w:sz w:val="24"/>
          <w:szCs w:val="24"/>
          <w:lang w:eastAsia="en-GB" w:bidi="ar-SA"/>
        </w:rPr>
        <w:t xml:space="preserve"> did not exceed 3 h</w:t>
      </w:r>
      <w:r w:rsidR="002832DD">
        <w:rPr>
          <w:rFonts w:ascii="Times New Roman" w:hAnsi="Times New Roman"/>
          <w:snapToGrid/>
          <w:color w:val="auto"/>
          <w:sz w:val="24"/>
          <w:szCs w:val="24"/>
          <w:lang w:eastAsia="en-GB" w:bidi="ar-SA"/>
        </w:rPr>
        <w:t>,</w:t>
      </w:r>
      <w:r w:rsidRPr="009F19D9">
        <w:rPr>
          <w:rFonts w:ascii="Times New Roman" w:hAnsi="Times New Roman"/>
          <w:snapToGrid/>
          <w:color w:val="auto"/>
          <w:sz w:val="24"/>
          <w:szCs w:val="24"/>
          <w:lang w:eastAsia="en-GB" w:bidi="ar-SA"/>
        </w:rPr>
        <w:t xml:space="preserve"> whereas it </w:t>
      </w:r>
      <w:r w:rsidR="00FE1234">
        <w:rPr>
          <w:rFonts w:ascii="Times New Roman" w:hAnsi="Times New Roman"/>
          <w:snapToGrid/>
          <w:color w:val="auto"/>
          <w:sz w:val="24"/>
          <w:szCs w:val="24"/>
          <w:lang w:eastAsia="en-GB" w:bidi="ar-SA"/>
        </w:rPr>
        <w:t>was</w:t>
      </w:r>
      <w:r w:rsidR="00FE1234" w:rsidRPr="009F19D9">
        <w:rPr>
          <w:rFonts w:ascii="Times New Roman" w:hAnsi="Times New Roman"/>
          <w:snapToGrid/>
          <w:color w:val="auto"/>
          <w:sz w:val="24"/>
          <w:szCs w:val="24"/>
          <w:lang w:eastAsia="en-GB" w:bidi="ar-SA"/>
        </w:rPr>
        <w:t xml:space="preserve"> </w:t>
      </w:r>
      <w:r w:rsidRPr="009F19D9">
        <w:rPr>
          <w:rFonts w:ascii="Times New Roman" w:hAnsi="Times New Roman"/>
          <w:snapToGrid/>
          <w:color w:val="auto"/>
          <w:sz w:val="24"/>
          <w:szCs w:val="24"/>
          <w:lang w:eastAsia="en-GB" w:bidi="ar-SA"/>
        </w:rPr>
        <w:t>approximately 8 h</w:t>
      </w:r>
      <w:r w:rsidR="00581285">
        <w:rPr>
          <w:rFonts w:ascii="Times New Roman" w:hAnsi="Times New Roman"/>
          <w:snapToGrid/>
          <w:color w:val="auto"/>
          <w:sz w:val="24"/>
          <w:szCs w:val="24"/>
          <w:lang w:eastAsia="en-GB" w:bidi="ar-SA"/>
        </w:rPr>
        <w:t xml:space="preserve"> </w:t>
      </w:r>
      <w:r w:rsidR="00FE1234">
        <w:rPr>
          <w:rFonts w:ascii="Times New Roman" w:hAnsi="Times New Roman"/>
          <w:snapToGrid/>
          <w:color w:val="auto"/>
          <w:sz w:val="24"/>
          <w:szCs w:val="24"/>
          <w:lang w:eastAsia="en-GB" w:bidi="ar-SA"/>
        </w:rPr>
        <w:t xml:space="preserve">in our </w:t>
      </w:r>
      <w:r w:rsidR="00581285">
        <w:rPr>
          <w:rFonts w:ascii="Times New Roman" w:hAnsi="Times New Roman"/>
          <w:snapToGrid/>
          <w:color w:val="auto"/>
          <w:sz w:val="24"/>
          <w:szCs w:val="24"/>
          <w:lang w:eastAsia="en-GB" w:bidi="ar-SA"/>
        </w:rPr>
        <w:t>nanoemulsion formulations.</w:t>
      </w:r>
      <w:r w:rsidRPr="009F19D9">
        <w:rPr>
          <w:rFonts w:ascii="Times New Roman" w:hAnsi="Times New Roman"/>
          <w:snapToGrid/>
          <w:color w:val="auto"/>
          <w:sz w:val="24"/>
          <w:szCs w:val="24"/>
          <w:lang w:eastAsia="en-GB" w:bidi="ar-SA"/>
        </w:rPr>
        <w:t xml:space="preserve"> Therefore, the results of in vitro </w:t>
      </w:r>
      <w:r w:rsidR="00206BF7">
        <w:rPr>
          <w:rFonts w:ascii="Times New Roman" w:hAnsi="Times New Roman"/>
          <w:snapToGrid/>
          <w:color w:val="auto"/>
          <w:sz w:val="24"/>
          <w:szCs w:val="24"/>
          <w:lang w:eastAsia="en-GB" w:bidi="ar-SA"/>
        </w:rPr>
        <w:t>release</w:t>
      </w:r>
      <w:r w:rsidR="00206BF7" w:rsidRPr="009F19D9">
        <w:rPr>
          <w:rFonts w:ascii="Times New Roman" w:hAnsi="Times New Roman"/>
          <w:snapToGrid/>
          <w:color w:val="auto"/>
          <w:sz w:val="24"/>
          <w:szCs w:val="24"/>
          <w:lang w:eastAsia="en-GB" w:bidi="ar-SA"/>
        </w:rPr>
        <w:t xml:space="preserve"> </w:t>
      </w:r>
      <w:r w:rsidRPr="009F19D9">
        <w:rPr>
          <w:rFonts w:ascii="Times New Roman" w:hAnsi="Times New Roman"/>
          <w:snapToGrid/>
          <w:color w:val="auto"/>
          <w:sz w:val="24"/>
          <w:szCs w:val="24"/>
          <w:lang w:eastAsia="en-GB" w:bidi="ar-SA"/>
        </w:rPr>
        <w:t>studies</w:t>
      </w:r>
      <w:r w:rsidR="00581285">
        <w:rPr>
          <w:rFonts w:ascii="Times New Roman" w:hAnsi="Times New Roman"/>
          <w:snapToGrid/>
          <w:color w:val="auto"/>
          <w:sz w:val="24"/>
          <w:szCs w:val="24"/>
          <w:lang w:eastAsia="en-GB" w:bidi="ar-SA"/>
        </w:rPr>
        <w:t xml:space="preserve"> reveal</w:t>
      </w:r>
      <w:r w:rsidR="00206BF7">
        <w:rPr>
          <w:rFonts w:ascii="Times New Roman" w:hAnsi="Times New Roman"/>
          <w:snapToGrid/>
          <w:color w:val="auto"/>
          <w:sz w:val="24"/>
          <w:szCs w:val="24"/>
          <w:lang w:eastAsia="en-GB" w:bidi="ar-SA"/>
        </w:rPr>
        <w:t>ed</w:t>
      </w:r>
      <w:r w:rsidR="00581285">
        <w:rPr>
          <w:rFonts w:ascii="Times New Roman" w:hAnsi="Times New Roman"/>
          <w:snapToGrid/>
          <w:color w:val="auto"/>
          <w:sz w:val="24"/>
          <w:szCs w:val="24"/>
          <w:lang w:eastAsia="en-GB" w:bidi="ar-SA"/>
        </w:rPr>
        <w:t xml:space="preserve"> that </w:t>
      </w:r>
      <w:r w:rsidR="00A12B90">
        <w:rPr>
          <w:rFonts w:ascii="Times New Roman" w:hAnsi="Times New Roman"/>
          <w:snapToGrid/>
          <w:color w:val="auto"/>
          <w:sz w:val="24"/>
          <w:szCs w:val="24"/>
          <w:lang w:eastAsia="en-GB" w:bidi="ar-SA"/>
        </w:rPr>
        <w:t xml:space="preserve">nanoemulsions </w:t>
      </w:r>
      <w:r w:rsidR="00581285">
        <w:rPr>
          <w:rFonts w:ascii="Times New Roman" w:hAnsi="Times New Roman"/>
          <w:snapToGrid/>
          <w:color w:val="auto"/>
          <w:sz w:val="24"/>
          <w:szCs w:val="24"/>
          <w:lang w:eastAsia="en-GB" w:bidi="ar-SA"/>
        </w:rPr>
        <w:t xml:space="preserve">are comparable </w:t>
      </w:r>
      <w:r w:rsidR="00206BF7">
        <w:rPr>
          <w:rFonts w:ascii="Times New Roman" w:hAnsi="Times New Roman"/>
          <w:snapToGrid/>
          <w:color w:val="auto"/>
          <w:sz w:val="24"/>
          <w:szCs w:val="24"/>
          <w:lang w:eastAsia="en-GB" w:bidi="ar-SA"/>
        </w:rPr>
        <w:t xml:space="preserve">or superior </w:t>
      </w:r>
      <w:r w:rsidR="00581285">
        <w:rPr>
          <w:rFonts w:ascii="Times New Roman" w:hAnsi="Times New Roman"/>
          <w:snapToGrid/>
          <w:color w:val="auto"/>
          <w:sz w:val="24"/>
          <w:szCs w:val="24"/>
          <w:lang w:eastAsia="en-GB" w:bidi="ar-SA"/>
        </w:rPr>
        <w:t xml:space="preserve">to </w:t>
      </w:r>
      <w:r w:rsidR="00206BF7">
        <w:rPr>
          <w:rFonts w:ascii="Times New Roman" w:hAnsi="Times New Roman"/>
          <w:snapToGrid/>
          <w:color w:val="auto"/>
          <w:sz w:val="24"/>
          <w:szCs w:val="24"/>
          <w:lang w:eastAsia="en-GB" w:bidi="ar-SA"/>
        </w:rPr>
        <w:t xml:space="preserve">those shown with other delivery </w:t>
      </w:r>
      <w:r w:rsidR="00E54A9B">
        <w:rPr>
          <w:rFonts w:ascii="Times New Roman" w:hAnsi="Times New Roman"/>
          <w:snapToGrid/>
          <w:color w:val="auto"/>
          <w:sz w:val="24"/>
          <w:szCs w:val="24"/>
          <w:lang w:eastAsia="en-GB" w:bidi="ar-SA"/>
        </w:rPr>
        <w:t>system</w:t>
      </w:r>
      <w:r w:rsidR="003E1B95">
        <w:rPr>
          <w:rFonts w:ascii="Times New Roman" w:hAnsi="Times New Roman"/>
          <w:snapToGrid/>
          <w:color w:val="auto"/>
          <w:sz w:val="24"/>
          <w:szCs w:val="24"/>
          <w:lang w:eastAsia="en-GB" w:bidi="ar-SA"/>
        </w:rPr>
        <w:t>s</w:t>
      </w:r>
      <w:r w:rsidR="00BE0B09">
        <w:rPr>
          <w:rFonts w:ascii="Times New Roman" w:hAnsi="Times New Roman"/>
          <w:snapToGrid/>
          <w:color w:val="auto"/>
          <w:sz w:val="24"/>
          <w:szCs w:val="24"/>
          <w:lang w:eastAsia="en-GB" w:bidi="ar-SA"/>
        </w:rPr>
        <w:t>,</w:t>
      </w:r>
      <w:r w:rsidR="00E54A9B">
        <w:rPr>
          <w:rFonts w:ascii="Times New Roman" w:hAnsi="Times New Roman"/>
          <w:snapToGrid/>
          <w:color w:val="auto"/>
          <w:sz w:val="24"/>
          <w:szCs w:val="24"/>
          <w:lang w:eastAsia="en-GB" w:bidi="ar-SA"/>
        </w:rPr>
        <w:t xml:space="preserve"> and</w:t>
      </w:r>
      <w:r w:rsidR="00581285">
        <w:rPr>
          <w:rFonts w:ascii="Times New Roman" w:hAnsi="Times New Roman"/>
          <w:snapToGrid/>
          <w:color w:val="auto"/>
          <w:sz w:val="24"/>
          <w:szCs w:val="24"/>
          <w:lang w:eastAsia="en-GB" w:bidi="ar-SA"/>
        </w:rPr>
        <w:t xml:space="preserve"> </w:t>
      </w:r>
      <w:r w:rsidR="00206BF7">
        <w:rPr>
          <w:rFonts w:ascii="Times New Roman" w:hAnsi="Times New Roman"/>
          <w:snapToGrid/>
          <w:color w:val="auto"/>
          <w:sz w:val="24"/>
          <w:szCs w:val="24"/>
          <w:lang w:eastAsia="en-GB" w:bidi="ar-SA"/>
        </w:rPr>
        <w:t xml:space="preserve">owing to the fact that our nanoemulsions are licensed parenteral formulations, their biocompatibility is </w:t>
      </w:r>
      <w:r w:rsidR="003716EE">
        <w:rPr>
          <w:rFonts w:ascii="Times New Roman" w:hAnsi="Times New Roman"/>
          <w:snapToGrid/>
          <w:color w:val="auto"/>
          <w:sz w:val="24"/>
          <w:szCs w:val="24"/>
          <w:lang w:eastAsia="en-GB" w:bidi="ar-SA"/>
        </w:rPr>
        <w:t xml:space="preserve">well </w:t>
      </w:r>
      <w:r w:rsidR="00206BF7">
        <w:rPr>
          <w:rFonts w:ascii="Times New Roman" w:hAnsi="Times New Roman"/>
          <w:snapToGrid/>
          <w:color w:val="auto"/>
          <w:sz w:val="24"/>
          <w:szCs w:val="24"/>
          <w:lang w:eastAsia="en-GB" w:bidi="ar-SA"/>
        </w:rPr>
        <w:t>established</w:t>
      </w:r>
      <w:r w:rsidR="00581285">
        <w:rPr>
          <w:rFonts w:ascii="Times New Roman" w:hAnsi="Times New Roman"/>
          <w:snapToGrid/>
          <w:color w:val="auto"/>
          <w:sz w:val="24"/>
          <w:szCs w:val="24"/>
          <w:lang w:eastAsia="en-GB" w:bidi="ar-SA"/>
        </w:rPr>
        <w:t xml:space="preserve">. </w:t>
      </w:r>
      <w:r w:rsidR="00206BF7">
        <w:rPr>
          <w:rFonts w:ascii="Times New Roman" w:hAnsi="Times New Roman"/>
          <w:snapToGrid/>
          <w:color w:val="auto"/>
          <w:sz w:val="24"/>
          <w:szCs w:val="24"/>
          <w:lang w:eastAsia="en-GB" w:bidi="ar-SA"/>
        </w:rPr>
        <w:t xml:space="preserve">However, in vivo studies using appropriate animal models are needed in the near future to investigate the potential </w:t>
      </w:r>
      <w:r w:rsidR="00BE0B09">
        <w:rPr>
          <w:rFonts w:ascii="Times New Roman" w:hAnsi="Times New Roman"/>
          <w:snapToGrid/>
          <w:color w:val="auto"/>
          <w:sz w:val="24"/>
          <w:szCs w:val="24"/>
          <w:lang w:eastAsia="en-GB" w:bidi="ar-SA"/>
        </w:rPr>
        <w:t>influence</w:t>
      </w:r>
      <w:r w:rsidR="00206BF7">
        <w:rPr>
          <w:rFonts w:ascii="Times New Roman" w:hAnsi="Times New Roman"/>
          <w:snapToGrid/>
          <w:color w:val="auto"/>
          <w:sz w:val="24"/>
          <w:szCs w:val="24"/>
          <w:lang w:eastAsia="en-GB" w:bidi="ar-SA"/>
        </w:rPr>
        <w:t xml:space="preserve"> of CP incorporation on formulation biocompatibility. </w:t>
      </w:r>
      <w:r w:rsidRPr="009F19D9">
        <w:rPr>
          <w:rFonts w:ascii="Times New Roman" w:hAnsi="Times New Roman"/>
          <w:snapToGrid/>
          <w:color w:val="auto"/>
          <w:sz w:val="24"/>
          <w:szCs w:val="24"/>
          <w:lang w:eastAsia="en-GB" w:bidi="ar-SA"/>
        </w:rPr>
        <w:t xml:space="preserve"> </w:t>
      </w:r>
    </w:p>
    <w:p w14:paraId="25260B0E" w14:textId="77777777" w:rsidR="005A6A38" w:rsidRPr="00F74F1B" w:rsidRDefault="005A6A38" w:rsidP="00F74F1B">
      <w:pPr>
        <w:pStyle w:val="Heading2"/>
        <w:numPr>
          <w:ilvl w:val="1"/>
          <w:numId w:val="31"/>
        </w:numPr>
      </w:pPr>
      <w:r w:rsidRPr="00F74F1B">
        <w:t>Stability studies</w:t>
      </w:r>
    </w:p>
    <w:p w14:paraId="3F82CD96" w14:textId="77777777" w:rsidR="005A6A38" w:rsidRPr="00D25C0B" w:rsidRDefault="005A6A38" w:rsidP="005A6A38">
      <w:pPr>
        <w:pStyle w:val="MDPI31text"/>
        <w:rPr>
          <w:lang w:val="en-GB"/>
        </w:rPr>
      </w:pPr>
    </w:p>
    <w:p w14:paraId="1815C17F" w14:textId="1A5A6A7B" w:rsidR="005A6A38" w:rsidRPr="009F19D9" w:rsidRDefault="005A6A38" w:rsidP="005C792C">
      <w:pPr>
        <w:pStyle w:val="MDPI31text"/>
        <w:spacing w:line="480" w:lineRule="auto"/>
        <w:ind w:firstLine="0"/>
        <w:rPr>
          <w:rFonts w:ascii="Times New Roman" w:hAnsi="Times New Roman"/>
          <w:snapToGrid/>
          <w:color w:val="auto"/>
          <w:sz w:val="24"/>
          <w:szCs w:val="24"/>
          <w:lang w:eastAsia="en-GB" w:bidi="ar-SA"/>
        </w:rPr>
      </w:pPr>
      <w:r w:rsidRPr="009F19D9">
        <w:rPr>
          <w:rFonts w:ascii="Times New Roman" w:hAnsi="Times New Roman"/>
          <w:snapToGrid/>
          <w:color w:val="auto"/>
          <w:sz w:val="24"/>
          <w:szCs w:val="24"/>
          <w:lang w:eastAsia="en-GB" w:bidi="ar-SA"/>
        </w:rPr>
        <w:t xml:space="preserve">The heterogeneous construction of emulsion systems </w:t>
      </w:r>
      <w:r w:rsidR="005C792C">
        <w:rPr>
          <w:rFonts w:ascii="Times New Roman" w:hAnsi="Times New Roman"/>
          <w:snapToGrid/>
          <w:color w:val="auto"/>
          <w:sz w:val="24"/>
          <w:szCs w:val="24"/>
          <w:lang w:eastAsia="en-GB" w:bidi="ar-SA"/>
        </w:rPr>
        <w:t>makes them inherently</w:t>
      </w:r>
      <w:r w:rsidR="005C792C" w:rsidRPr="009F19D9">
        <w:rPr>
          <w:rFonts w:ascii="Times New Roman" w:hAnsi="Times New Roman"/>
          <w:snapToGrid/>
          <w:color w:val="auto"/>
          <w:sz w:val="24"/>
          <w:szCs w:val="24"/>
          <w:lang w:eastAsia="en-GB" w:bidi="ar-SA"/>
        </w:rPr>
        <w:t xml:space="preserve"> </w:t>
      </w:r>
      <w:r w:rsidRPr="009F19D9">
        <w:rPr>
          <w:rFonts w:ascii="Times New Roman" w:hAnsi="Times New Roman"/>
          <w:snapToGrid/>
          <w:color w:val="auto"/>
          <w:sz w:val="24"/>
          <w:szCs w:val="24"/>
          <w:lang w:eastAsia="en-GB" w:bidi="ar-SA"/>
        </w:rPr>
        <w:t xml:space="preserve">thermodynamically unstable; this is considered one of the major challenges </w:t>
      </w:r>
      <w:r w:rsidR="005C792C">
        <w:rPr>
          <w:rFonts w:ascii="Times New Roman" w:hAnsi="Times New Roman"/>
          <w:snapToGrid/>
          <w:color w:val="auto"/>
          <w:sz w:val="24"/>
          <w:szCs w:val="24"/>
          <w:lang w:eastAsia="en-GB" w:bidi="ar-SA"/>
        </w:rPr>
        <w:t xml:space="preserve">of designing nanoemulsion formulations that are stable </w:t>
      </w:r>
      <w:r w:rsidRPr="009F19D9">
        <w:rPr>
          <w:rFonts w:ascii="Times New Roman" w:hAnsi="Times New Roman"/>
          <w:snapToGrid/>
          <w:color w:val="auto"/>
          <w:sz w:val="24"/>
          <w:szCs w:val="24"/>
          <w:lang w:eastAsia="en-GB" w:bidi="ar-SA"/>
        </w:rPr>
        <w:t xml:space="preserve">during storage. The stability of an emulsion is dependent on its physicochemical properties as well as the storage conditions </w:t>
      </w:r>
      <w:r w:rsidR="002832DD">
        <w:rPr>
          <w:rFonts w:ascii="Times New Roman" w:hAnsi="Times New Roman"/>
          <w:snapToGrid/>
          <w:color w:val="auto"/>
          <w:sz w:val="24"/>
          <w:szCs w:val="24"/>
          <w:lang w:eastAsia="en-GB" w:bidi="ar-SA"/>
        </w:rPr>
        <w:fldChar w:fldCharType="begin"/>
      </w:r>
      <w:r w:rsidR="00EA5690">
        <w:rPr>
          <w:rFonts w:ascii="Times New Roman" w:hAnsi="Times New Roman"/>
          <w:snapToGrid/>
          <w:color w:val="auto"/>
          <w:sz w:val="24"/>
          <w:szCs w:val="24"/>
          <w:lang w:eastAsia="en-GB" w:bidi="ar-SA"/>
        </w:rPr>
        <w:instrText xml:space="preserve"> ADDIN ZOTERO_ITEM CSL_CITATION {"citationID":"KyfJ8Nkn","properties":{"formattedCitation":"(34)","plainCitation":"(34)","noteIndex":0},"citationItems":[{"id":135,"uris":["http://zotero.org/users/5477069/items/TUEBE53K"],"uri":["http://zotero.org/users/5477069/items/TUEBE53K"],"itemData":{"id":135,"type":"webpage","title":"Emulsions and Microemulsions","container-title":"Encyclopedia of Pharmaceutical Science and Technology, Six Volume Set (Print)","abstract":"An emulsion is a heterogeneous dispersion composed of two immiscible liquids (by convention described as oil and water) one of which is dispersed uniformly as","URL":"https://www.taylorfrancis.com/","note":"DOI: 10.1081/E-EPT4-120050265","language":"en","author":[{"family":"Eccleston","given":"Gillian M."}],"issued":{"date-parts":[["2013",7,1]]},"accessed":{"date-parts":[["2019",2,2]]}}}],"schema":"https://github.com/citation-style-language/schema/raw/master/csl-citation.json"} </w:instrText>
      </w:r>
      <w:r w:rsidR="002832DD">
        <w:rPr>
          <w:rFonts w:ascii="Times New Roman" w:hAnsi="Times New Roman"/>
          <w:snapToGrid/>
          <w:color w:val="auto"/>
          <w:sz w:val="24"/>
          <w:szCs w:val="24"/>
          <w:lang w:eastAsia="en-GB" w:bidi="ar-SA"/>
        </w:rPr>
        <w:fldChar w:fldCharType="separate"/>
      </w:r>
      <w:r w:rsidR="00EA5690">
        <w:rPr>
          <w:rFonts w:ascii="Times New Roman" w:hAnsi="Times New Roman"/>
          <w:noProof/>
          <w:snapToGrid/>
          <w:color w:val="auto"/>
          <w:sz w:val="24"/>
          <w:szCs w:val="24"/>
          <w:lang w:eastAsia="en-GB" w:bidi="ar-SA"/>
        </w:rPr>
        <w:t>(34)</w:t>
      </w:r>
      <w:r w:rsidR="002832DD">
        <w:rPr>
          <w:rFonts w:ascii="Times New Roman" w:hAnsi="Times New Roman"/>
          <w:snapToGrid/>
          <w:color w:val="auto"/>
          <w:sz w:val="24"/>
          <w:szCs w:val="24"/>
          <w:lang w:eastAsia="en-GB" w:bidi="ar-SA"/>
        </w:rPr>
        <w:fldChar w:fldCharType="end"/>
      </w:r>
      <w:r w:rsidRPr="009F19D9">
        <w:rPr>
          <w:rFonts w:ascii="Times New Roman" w:hAnsi="Times New Roman"/>
          <w:snapToGrid/>
          <w:color w:val="auto"/>
          <w:sz w:val="24"/>
          <w:szCs w:val="24"/>
          <w:lang w:eastAsia="en-GB" w:bidi="ar-SA"/>
        </w:rPr>
        <w:t xml:space="preserve">. Therefore, it is important to investigate the effect of loaded CP on the </w:t>
      </w:r>
      <w:r w:rsidR="005C792C">
        <w:rPr>
          <w:rFonts w:ascii="Times New Roman" w:hAnsi="Times New Roman"/>
          <w:snapToGrid/>
          <w:color w:val="auto"/>
          <w:sz w:val="24"/>
          <w:szCs w:val="24"/>
          <w:lang w:eastAsia="en-GB" w:bidi="ar-SA"/>
        </w:rPr>
        <w:t xml:space="preserve">physical </w:t>
      </w:r>
      <w:r w:rsidRPr="009F19D9">
        <w:rPr>
          <w:rFonts w:ascii="Times New Roman" w:hAnsi="Times New Roman"/>
          <w:snapToGrid/>
          <w:color w:val="auto"/>
          <w:sz w:val="24"/>
          <w:szCs w:val="24"/>
          <w:lang w:eastAsia="en-GB" w:bidi="ar-SA"/>
        </w:rPr>
        <w:t>stability of Clinoleic and Intralipid nanoemulsions.</w:t>
      </w:r>
    </w:p>
    <w:p w14:paraId="15ACDBFD" w14:textId="5EC35561" w:rsidR="005A6A38" w:rsidRDefault="005A6A38" w:rsidP="0090453C">
      <w:pPr>
        <w:pStyle w:val="MDPI31text"/>
        <w:spacing w:line="480" w:lineRule="auto"/>
        <w:rPr>
          <w:lang w:val="en-GB"/>
        </w:rPr>
      </w:pPr>
      <w:r w:rsidRPr="009F19D9">
        <w:rPr>
          <w:rFonts w:ascii="Times New Roman" w:hAnsi="Times New Roman"/>
          <w:snapToGrid/>
          <w:color w:val="auto"/>
          <w:sz w:val="24"/>
          <w:szCs w:val="24"/>
          <w:lang w:eastAsia="en-GB" w:bidi="ar-SA"/>
        </w:rPr>
        <w:t>As shown in Figure 6, for both Clinoleic and Intralipid formulations, the average droplet size values did not change significantly (p&gt;0.05) following storage for 180 days at 4</w:t>
      </w:r>
      <w:r w:rsidRPr="004C1F28">
        <w:rPr>
          <w:rFonts w:ascii="Times New Roman" w:hAnsi="Times New Roman"/>
          <w:snapToGrid/>
          <w:color w:val="auto"/>
          <w:sz w:val="24"/>
          <w:szCs w:val="24"/>
          <w:vertAlign w:val="superscript"/>
          <w:lang w:eastAsia="en-GB" w:bidi="ar-SA"/>
        </w:rPr>
        <w:t>o</w:t>
      </w:r>
      <w:r w:rsidRPr="009F19D9">
        <w:rPr>
          <w:rFonts w:ascii="Times New Roman" w:hAnsi="Times New Roman"/>
          <w:snapToGrid/>
          <w:color w:val="auto"/>
          <w:sz w:val="24"/>
          <w:szCs w:val="24"/>
          <w:lang w:eastAsia="en-GB" w:bidi="ar-SA"/>
        </w:rPr>
        <w:t xml:space="preserve">C (Figure 6a). These results apply for both the blank (i.e. drug-free) and drug-loaded </w:t>
      </w:r>
      <w:r w:rsidRPr="009F19D9">
        <w:rPr>
          <w:rFonts w:ascii="Times New Roman" w:hAnsi="Times New Roman"/>
          <w:snapToGrid/>
          <w:color w:val="auto"/>
          <w:sz w:val="24"/>
          <w:szCs w:val="24"/>
          <w:lang w:eastAsia="en-GB" w:bidi="ar-SA"/>
        </w:rPr>
        <w:lastRenderedPageBreak/>
        <w:t xml:space="preserve">emulsions at all concentrations. This gives an initial suggestion of the compatibility of CP (at studied concentrations) with the components of both parenteral </w:t>
      </w:r>
      <w:r w:rsidR="0090453C">
        <w:rPr>
          <w:rFonts w:ascii="Times New Roman" w:hAnsi="Times New Roman"/>
          <w:snapToGrid/>
          <w:color w:val="auto"/>
          <w:sz w:val="24"/>
          <w:szCs w:val="24"/>
          <w:lang w:eastAsia="en-GB" w:bidi="ar-SA"/>
        </w:rPr>
        <w:t>nanoemulsions</w:t>
      </w:r>
      <w:r w:rsidRPr="009F19D9">
        <w:rPr>
          <w:rFonts w:ascii="Times New Roman" w:hAnsi="Times New Roman"/>
          <w:snapToGrid/>
          <w:color w:val="auto"/>
          <w:sz w:val="24"/>
          <w:szCs w:val="24"/>
          <w:lang w:eastAsia="en-GB" w:bidi="ar-SA"/>
        </w:rPr>
        <w:t>.</w:t>
      </w:r>
      <w:r w:rsidRPr="00D25C0B">
        <w:rPr>
          <w:lang w:val="en-GB"/>
        </w:rPr>
        <w:t xml:space="preserve"> </w:t>
      </w:r>
    </w:p>
    <w:p w14:paraId="23802AE4" w14:textId="06AF6101" w:rsidR="005A6A38" w:rsidRPr="009F19D9" w:rsidRDefault="0090453C" w:rsidP="000410CF">
      <w:pPr>
        <w:pStyle w:val="MDPI31text"/>
        <w:spacing w:line="480" w:lineRule="auto"/>
        <w:ind w:firstLine="0"/>
        <w:rPr>
          <w:rFonts w:ascii="Times New Roman" w:hAnsi="Times New Roman"/>
          <w:snapToGrid/>
          <w:color w:val="auto"/>
          <w:sz w:val="24"/>
          <w:szCs w:val="24"/>
          <w:lang w:eastAsia="en-GB" w:bidi="ar-SA"/>
        </w:rPr>
      </w:pPr>
      <w:r>
        <w:rPr>
          <w:rFonts w:ascii="Times New Roman" w:hAnsi="Times New Roman"/>
          <w:snapToGrid/>
          <w:color w:val="auto"/>
          <w:sz w:val="24"/>
          <w:szCs w:val="24"/>
          <w:lang w:eastAsia="en-GB" w:bidi="ar-SA"/>
        </w:rPr>
        <w:t xml:space="preserve">Similarly, </w:t>
      </w:r>
      <w:r w:rsidR="005A6A38" w:rsidRPr="009F19D9">
        <w:rPr>
          <w:rFonts w:ascii="Times New Roman" w:hAnsi="Times New Roman"/>
          <w:snapToGrid/>
          <w:color w:val="auto"/>
          <w:sz w:val="24"/>
          <w:szCs w:val="24"/>
          <w:lang w:eastAsia="en-GB" w:bidi="ar-SA"/>
        </w:rPr>
        <w:t>PI values of both nanoemulsion formulations were not affected by increasing the drug concentration up to 10 mg/mL for 180 days at 4</w:t>
      </w:r>
      <w:r w:rsidR="005A6A38" w:rsidRPr="00184F5B">
        <w:rPr>
          <w:rFonts w:ascii="Times New Roman" w:hAnsi="Times New Roman"/>
          <w:snapToGrid/>
          <w:color w:val="auto"/>
          <w:sz w:val="24"/>
          <w:szCs w:val="24"/>
          <w:vertAlign w:val="superscript"/>
          <w:lang w:eastAsia="en-GB" w:bidi="ar-SA"/>
        </w:rPr>
        <w:t>o</w:t>
      </w:r>
      <w:r w:rsidR="005A6A38" w:rsidRPr="009F19D9">
        <w:rPr>
          <w:rFonts w:ascii="Times New Roman" w:hAnsi="Times New Roman"/>
          <w:snapToGrid/>
          <w:color w:val="auto"/>
          <w:sz w:val="24"/>
          <w:szCs w:val="24"/>
          <w:lang w:eastAsia="en-GB" w:bidi="ar-SA"/>
        </w:rPr>
        <w:t xml:space="preserve">C (Figure 6b). The PI values for all concentrations </w:t>
      </w:r>
      <w:r>
        <w:rPr>
          <w:rFonts w:ascii="Times New Roman" w:hAnsi="Times New Roman"/>
          <w:snapToGrid/>
          <w:color w:val="auto"/>
          <w:sz w:val="24"/>
          <w:szCs w:val="24"/>
          <w:lang w:eastAsia="en-GB" w:bidi="ar-SA"/>
        </w:rPr>
        <w:t>remained</w:t>
      </w:r>
      <w:r w:rsidR="005A6A38" w:rsidRPr="009F19D9">
        <w:rPr>
          <w:rFonts w:ascii="Times New Roman" w:hAnsi="Times New Roman"/>
          <w:snapToGrid/>
          <w:color w:val="auto"/>
          <w:sz w:val="24"/>
          <w:szCs w:val="24"/>
          <w:lang w:eastAsia="en-GB" w:bidi="ar-SA"/>
        </w:rPr>
        <w:t xml:space="preserve"> around 0.250 with small variances, indicating that there is a narrow distribution range of droplet size </w:t>
      </w:r>
      <w:r w:rsidR="000B73DA">
        <w:rPr>
          <w:rFonts w:ascii="Times New Roman" w:hAnsi="Times New Roman"/>
          <w:snapToGrid/>
          <w:color w:val="auto"/>
          <w:sz w:val="24"/>
          <w:szCs w:val="24"/>
          <w:lang w:eastAsia="en-GB" w:bidi="ar-SA"/>
        </w:rPr>
        <w:fldChar w:fldCharType="begin"/>
      </w:r>
      <w:r w:rsidR="00EA5690">
        <w:rPr>
          <w:rFonts w:ascii="Times New Roman" w:hAnsi="Times New Roman"/>
          <w:snapToGrid/>
          <w:color w:val="auto"/>
          <w:sz w:val="24"/>
          <w:szCs w:val="24"/>
          <w:lang w:eastAsia="en-GB" w:bidi="ar-SA"/>
        </w:rPr>
        <w:instrText xml:space="preserve"> ADDIN ZOTERO_ITEM CSL_CITATION {"citationID":"oW7f48kh","properties":{"formattedCitation":"(35)","plainCitation":"(35)","noteIndex":0},"citationItems":[{"id":633,"uris":["http://zotero.org/users/5477069/items/NGM8MKFV"],"uri":["http://zotero.org/users/5477069/items/NGM8MKFV"],"itemData":{"id":633,"type":"book","title":"Particle Size Analysis In Pharmaceutics And Other Industries: Theory And Practice: Theory And Practice","publisher":"CRC Press","number-of-pages":"260","source":"Google Books","abstract":"Recent major advances in particle size analysis, particularly with regard to its application in the pharmaceutical and related industries, provides justification for this title. It is a book for technicians and senior technicians, project and development managers, and formulation More...development scientists in a wide range of industries, pharmace","ISBN":"978-0-203-98417-8","note":"Google-Books-ID: AjSG6dpwQJwC","title-short":"Particle Size Analysis In Pharmaceutics And Other Industries","language":"en","author":[{"family":"Washington","given":"Clive"}],"issued":{"date-parts":[["1992",6,30]]}}}],"schema":"https://github.com/citation-style-language/schema/raw/master/csl-citation.json"} </w:instrText>
      </w:r>
      <w:r w:rsidR="000B73DA">
        <w:rPr>
          <w:rFonts w:ascii="Times New Roman" w:hAnsi="Times New Roman"/>
          <w:snapToGrid/>
          <w:color w:val="auto"/>
          <w:sz w:val="24"/>
          <w:szCs w:val="24"/>
          <w:lang w:eastAsia="en-GB" w:bidi="ar-SA"/>
        </w:rPr>
        <w:fldChar w:fldCharType="separate"/>
      </w:r>
      <w:r w:rsidR="00EA5690">
        <w:rPr>
          <w:rFonts w:ascii="Times New Roman" w:hAnsi="Times New Roman"/>
          <w:noProof/>
          <w:snapToGrid/>
          <w:color w:val="auto"/>
          <w:sz w:val="24"/>
          <w:szCs w:val="24"/>
          <w:lang w:eastAsia="en-GB" w:bidi="ar-SA"/>
        </w:rPr>
        <w:t>(35)</w:t>
      </w:r>
      <w:r w:rsidR="000B73DA">
        <w:rPr>
          <w:rFonts w:ascii="Times New Roman" w:hAnsi="Times New Roman"/>
          <w:snapToGrid/>
          <w:color w:val="auto"/>
          <w:sz w:val="24"/>
          <w:szCs w:val="24"/>
          <w:lang w:eastAsia="en-GB" w:bidi="ar-SA"/>
        </w:rPr>
        <w:fldChar w:fldCharType="end"/>
      </w:r>
      <w:r w:rsidR="005A6A38" w:rsidRPr="009F19D9">
        <w:rPr>
          <w:rFonts w:ascii="Times New Roman" w:hAnsi="Times New Roman"/>
          <w:snapToGrid/>
          <w:color w:val="auto"/>
          <w:sz w:val="24"/>
          <w:szCs w:val="24"/>
          <w:lang w:eastAsia="en-GB" w:bidi="ar-SA"/>
        </w:rPr>
        <w:t>.</w:t>
      </w:r>
    </w:p>
    <w:p w14:paraId="06FA263A" w14:textId="11291305" w:rsidR="005A6A38" w:rsidRPr="009F19D9" w:rsidRDefault="00D15F54" w:rsidP="00D15F54">
      <w:pPr>
        <w:pStyle w:val="MDPI31text"/>
        <w:spacing w:line="480" w:lineRule="auto"/>
        <w:rPr>
          <w:rFonts w:ascii="Times New Roman" w:hAnsi="Times New Roman"/>
          <w:snapToGrid/>
          <w:color w:val="auto"/>
          <w:sz w:val="24"/>
          <w:szCs w:val="24"/>
          <w:lang w:eastAsia="en-GB" w:bidi="ar-SA"/>
        </w:rPr>
      </w:pPr>
      <w:r>
        <w:rPr>
          <w:rFonts w:ascii="Times New Roman" w:hAnsi="Times New Roman"/>
          <w:snapToGrid/>
          <w:color w:val="auto"/>
          <w:sz w:val="24"/>
          <w:szCs w:val="24"/>
          <w:lang w:eastAsia="en-GB" w:bidi="ar-SA"/>
        </w:rPr>
        <w:t>Z</w:t>
      </w:r>
      <w:r w:rsidR="005A6A38" w:rsidRPr="009F19D9">
        <w:rPr>
          <w:rFonts w:ascii="Times New Roman" w:hAnsi="Times New Roman"/>
          <w:snapToGrid/>
          <w:color w:val="auto"/>
          <w:sz w:val="24"/>
          <w:szCs w:val="24"/>
          <w:lang w:eastAsia="en-GB" w:bidi="ar-SA"/>
        </w:rPr>
        <w:t xml:space="preserve">eta potential </w:t>
      </w:r>
      <w:r>
        <w:rPr>
          <w:rFonts w:ascii="Times New Roman" w:hAnsi="Times New Roman"/>
          <w:snapToGrid/>
          <w:color w:val="auto"/>
          <w:sz w:val="24"/>
          <w:szCs w:val="24"/>
          <w:lang w:eastAsia="en-GB" w:bidi="ar-SA"/>
        </w:rPr>
        <w:t>measurements</w:t>
      </w:r>
      <w:r w:rsidRPr="009F19D9">
        <w:rPr>
          <w:rFonts w:ascii="Times New Roman" w:hAnsi="Times New Roman"/>
          <w:snapToGrid/>
          <w:color w:val="auto"/>
          <w:sz w:val="24"/>
          <w:szCs w:val="24"/>
          <w:lang w:eastAsia="en-GB" w:bidi="ar-SA"/>
        </w:rPr>
        <w:t xml:space="preserve"> </w:t>
      </w:r>
      <w:r w:rsidR="005A6A38" w:rsidRPr="009F19D9">
        <w:rPr>
          <w:rFonts w:ascii="Times New Roman" w:hAnsi="Times New Roman"/>
          <w:snapToGrid/>
          <w:color w:val="auto"/>
          <w:sz w:val="24"/>
          <w:szCs w:val="24"/>
          <w:lang w:eastAsia="en-GB" w:bidi="ar-SA"/>
        </w:rPr>
        <w:t xml:space="preserve">for all blank and loaded formulations </w:t>
      </w:r>
      <w:r>
        <w:rPr>
          <w:rFonts w:ascii="Times New Roman" w:hAnsi="Times New Roman"/>
          <w:snapToGrid/>
          <w:color w:val="auto"/>
          <w:sz w:val="24"/>
          <w:szCs w:val="24"/>
          <w:lang w:eastAsia="en-GB" w:bidi="ar-SA"/>
        </w:rPr>
        <w:t xml:space="preserve">also </w:t>
      </w:r>
      <w:r w:rsidR="005A6A38" w:rsidRPr="009F19D9">
        <w:rPr>
          <w:rFonts w:ascii="Times New Roman" w:hAnsi="Times New Roman"/>
          <w:snapToGrid/>
          <w:color w:val="auto"/>
          <w:sz w:val="24"/>
          <w:szCs w:val="24"/>
          <w:lang w:eastAsia="en-GB" w:bidi="ar-SA"/>
        </w:rPr>
        <w:t>showed no significant changes during the period of storage at 4</w:t>
      </w:r>
      <w:r w:rsidR="005A6A38" w:rsidRPr="00184F5B">
        <w:rPr>
          <w:rFonts w:ascii="Times New Roman" w:hAnsi="Times New Roman"/>
          <w:snapToGrid/>
          <w:color w:val="auto"/>
          <w:sz w:val="24"/>
          <w:szCs w:val="24"/>
          <w:vertAlign w:val="superscript"/>
          <w:lang w:eastAsia="en-GB" w:bidi="ar-SA"/>
        </w:rPr>
        <w:t>o</w:t>
      </w:r>
      <w:r w:rsidR="005A6A38" w:rsidRPr="009F19D9">
        <w:rPr>
          <w:rFonts w:ascii="Times New Roman" w:hAnsi="Times New Roman"/>
          <w:snapToGrid/>
          <w:color w:val="auto"/>
          <w:sz w:val="24"/>
          <w:szCs w:val="24"/>
          <w:lang w:eastAsia="en-GB" w:bidi="ar-SA"/>
        </w:rPr>
        <w:t>C for CP (Figure 7a). All zeta potential readings were of high negative values (&gt; -30 mV). This means that the surface charges for all droplets remained stable, allowing active repulsion among the droplets</w:t>
      </w:r>
      <w:r>
        <w:rPr>
          <w:rFonts w:ascii="Times New Roman" w:hAnsi="Times New Roman"/>
          <w:snapToGrid/>
          <w:color w:val="auto"/>
          <w:sz w:val="24"/>
          <w:szCs w:val="24"/>
          <w:lang w:eastAsia="en-GB" w:bidi="ar-SA"/>
        </w:rPr>
        <w:t xml:space="preserve"> during prolonged storage for 6 months</w:t>
      </w:r>
      <w:r w:rsidR="005A6A38" w:rsidRPr="009F19D9">
        <w:rPr>
          <w:rFonts w:ascii="Times New Roman" w:hAnsi="Times New Roman"/>
          <w:snapToGrid/>
          <w:color w:val="auto"/>
          <w:sz w:val="24"/>
          <w:szCs w:val="24"/>
          <w:lang w:eastAsia="en-GB" w:bidi="ar-SA"/>
        </w:rPr>
        <w:t xml:space="preserve">. Consequently, the droplets </w:t>
      </w:r>
      <w:r>
        <w:rPr>
          <w:rFonts w:ascii="Times New Roman" w:hAnsi="Times New Roman"/>
          <w:snapToGrid/>
          <w:color w:val="auto"/>
          <w:sz w:val="24"/>
          <w:szCs w:val="24"/>
          <w:lang w:eastAsia="en-GB" w:bidi="ar-SA"/>
        </w:rPr>
        <w:t>had</w:t>
      </w:r>
      <w:r w:rsidRPr="009F19D9">
        <w:rPr>
          <w:rFonts w:ascii="Times New Roman" w:hAnsi="Times New Roman"/>
          <w:snapToGrid/>
          <w:color w:val="auto"/>
          <w:sz w:val="24"/>
          <w:szCs w:val="24"/>
          <w:lang w:eastAsia="en-GB" w:bidi="ar-SA"/>
        </w:rPr>
        <w:t xml:space="preserve"> </w:t>
      </w:r>
      <w:r w:rsidR="005A6A38" w:rsidRPr="009F19D9">
        <w:rPr>
          <w:rFonts w:ascii="Times New Roman" w:hAnsi="Times New Roman"/>
          <w:snapToGrid/>
          <w:color w:val="auto"/>
          <w:sz w:val="24"/>
          <w:szCs w:val="24"/>
          <w:lang w:eastAsia="en-GB" w:bidi="ar-SA"/>
        </w:rPr>
        <w:t xml:space="preserve">less tendency to </w:t>
      </w:r>
      <w:r w:rsidR="00BE0B09">
        <w:rPr>
          <w:rFonts w:ascii="Times New Roman" w:hAnsi="Times New Roman"/>
          <w:snapToGrid/>
          <w:color w:val="auto"/>
          <w:sz w:val="24"/>
          <w:szCs w:val="24"/>
          <w:lang w:eastAsia="en-GB" w:bidi="ar-SA"/>
        </w:rPr>
        <w:t>coalesce</w:t>
      </w:r>
      <w:r>
        <w:rPr>
          <w:rFonts w:ascii="Times New Roman" w:hAnsi="Times New Roman"/>
          <w:snapToGrid/>
          <w:color w:val="auto"/>
          <w:sz w:val="24"/>
          <w:szCs w:val="24"/>
          <w:lang w:eastAsia="en-GB" w:bidi="ar-SA"/>
        </w:rPr>
        <w:t>, constituting a positive indicator for</w:t>
      </w:r>
      <w:r w:rsidR="00BE0B09">
        <w:rPr>
          <w:rFonts w:ascii="Times New Roman" w:hAnsi="Times New Roman"/>
          <w:snapToGrid/>
          <w:color w:val="auto"/>
          <w:sz w:val="24"/>
          <w:szCs w:val="24"/>
          <w:lang w:eastAsia="en-GB" w:bidi="ar-SA"/>
        </w:rPr>
        <w:t xml:space="preserve"> </w:t>
      </w:r>
      <w:r w:rsidR="005A6A38" w:rsidRPr="009F19D9">
        <w:rPr>
          <w:rFonts w:ascii="Times New Roman" w:hAnsi="Times New Roman"/>
          <w:snapToGrid/>
          <w:color w:val="auto"/>
          <w:sz w:val="24"/>
          <w:szCs w:val="24"/>
          <w:lang w:eastAsia="en-GB" w:bidi="ar-SA"/>
        </w:rPr>
        <w:t xml:space="preserve">long-term </w:t>
      </w:r>
      <w:r w:rsidRPr="009F19D9">
        <w:rPr>
          <w:rFonts w:ascii="Times New Roman" w:hAnsi="Times New Roman"/>
          <w:snapToGrid/>
          <w:color w:val="auto"/>
          <w:sz w:val="24"/>
          <w:szCs w:val="24"/>
          <w:lang w:eastAsia="en-GB" w:bidi="ar-SA"/>
        </w:rPr>
        <w:t>stabilit</w:t>
      </w:r>
      <w:r>
        <w:rPr>
          <w:rFonts w:ascii="Times New Roman" w:hAnsi="Times New Roman"/>
          <w:snapToGrid/>
          <w:color w:val="auto"/>
          <w:sz w:val="24"/>
          <w:szCs w:val="24"/>
          <w:lang w:eastAsia="en-GB" w:bidi="ar-SA"/>
        </w:rPr>
        <w:t>y of the emulsions</w:t>
      </w:r>
      <w:r w:rsidR="005A6A38" w:rsidRPr="009F19D9">
        <w:rPr>
          <w:rFonts w:ascii="Times New Roman" w:hAnsi="Times New Roman"/>
          <w:snapToGrid/>
          <w:color w:val="auto"/>
          <w:sz w:val="24"/>
          <w:szCs w:val="24"/>
          <w:lang w:eastAsia="en-GB" w:bidi="ar-SA"/>
        </w:rPr>
        <w:t xml:space="preserve">. </w:t>
      </w:r>
    </w:p>
    <w:p w14:paraId="459937CB" w14:textId="77777777" w:rsidR="005A6A38" w:rsidRPr="005F6659" w:rsidRDefault="005A6A38" w:rsidP="009F19D9">
      <w:pPr>
        <w:pStyle w:val="MDPI31text"/>
        <w:keepNext/>
        <w:ind w:firstLine="0"/>
        <w:jc w:val="center"/>
      </w:pPr>
      <w:r w:rsidRPr="005E4DEE">
        <w:rPr>
          <w:noProof/>
          <w:lang w:val="en-GB" w:eastAsia="en-GB" w:bidi="ar-SA"/>
        </w:rPr>
        <mc:AlternateContent>
          <mc:Choice Requires="wps">
            <w:drawing>
              <wp:anchor distT="0" distB="0" distL="114300" distR="114300" simplePos="0" relativeHeight="251659264" behindDoc="0" locked="0" layoutInCell="1" allowOverlap="1" wp14:anchorId="0694AD1C" wp14:editId="10C1B0B7">
                <wp:simplePos x="0" y="0"/>
                <wp:positionH relativeFrom="column">
                  <wp:posOffset>972185</wp:posOffset>
                </wp:positionH>
                <wp:positionV relativeFrom="paragraph">
                  <wp:posOffset>13204825</wp:posOffset>
                </wp:positionV>
                <wp:extent cx="442750" cy="369332"/>
                <wp:effectExtent l="0" t="0" r="0" b="0"/>
                <wp:wrapNone/>
                <wp:docPr id="8" name="TextBox 7">
                  <a:extLst xmlns:a="http://schemas.openxmlformats.org/drawingml/2006/main">
                    <a:ext uri="{FF2B5EF4-FFF2-40B4-BE49-F238E27FC236}">
                      <a16:creationId xmlns:a16="http://schemas.microsoft.com/office/drawing/2014/main" id="{3E144431-B3E2-9A40-8185-84B671D9FC2C}"/>
                    </a:ext>
                  </a:extLst>
                </wp:docPr>
                <wp:cNvGraphicFramePr/>
                <a:graphic xmlns:a="http://schemas.openxmlformats.org/drawingml/2006/main">
                  <a:graphicData uri="http://schemas.microsoft.com/office/word/2010/wordprocessingShape">
                    <wps:wsp>
                      <wps:cNvSpPr txBox="1"/>
                      <wps:spPr>
                        <a:xfrm>
                          <a:off x="0" y="0"/>
                          <a:ext cx="442750" cy="369332"/>
                        </a:xfrm>
                        <a:prstGeom prst="rect">
                          <a:avLst/>
                        </a:prstGeom>
                        <a:noFill/>
                      </wps:spPr>
                      <wps:txbx>
                        <w:txbxContent>
                          <w:p w14:paraId="0779945F" w14:textId="77777777" w:rsidR="003A7D12" w:rsidRDefault="003A7D12" w:rsidP="005A6A38">
                            <w:r>
                              <w:rPr>
                                <w:rFonts w:asciiTheme="minorHAnsi" w:hAnsi="Calibri" w:cstheme="minorBidi"/>
                                <w:b/>
                                <w:bCs/>
                                <w:color w:val="000000" w:themeColor="text1"/>
                                <w:kern w:val="24"/>
                                <w:sz w:val="36"/>
                                <w:szCs w:val="36"/>
                              </w:rPr>
                              <w:t>(a)</w:t>
                            </w:r>
                          </w:p>
                        </w:txbxContent>
                      </wps:txbx>
                      <wps:bodyPr wrap="none" rtlCol="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94AD1C" id="_x0000_t202" coordsize="21600,21600" o:spt="202" path="m,l,21600r21600,l21600,xe">
                <v:stroke joinstyle="miter"/>
                <v:path gradientshapeok="t" o:connecttype="rect"/>
              </v:shapetype>
              <v:shape id="TextBox 7" o:spid="_x0000_s1026" type="#_x0000_t202" style="position:absolute;left:0;text-align:left;margin-left:76.55pt;margin-top:1039.75pt;width:34.85pt;height:29.1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" filled="f" stroked="f">
                <v:textbox style="mso-fit-shape-to-text:t">
                  <w:txbxContent>
                    <w:p w14:paraId="0779945F" w14:textId="77777777" w:rsidR="003A7D12" w:rsidRDefault="003A7D12" w:rsidP="005A6A38">
                      <w:r>
                        <w:rPr>
                          <w:rFonts w:asciiTheme="minorHAnsi" w:hAnsi="Calibri" w:cstheme="minorBidi"/>
                          <w:b/>
                          <w:bCs/>
                          <w:color w:val="000000" w:themeColor="text1"/>
                          <w:kern w:val="24"/>
                          <w:sz w:val="36"/>
                          <w:szCs w:val="36"/>
                        </w:rPr>
                        <w:t>(a)</w:t>
                      </w:r>
                    </w:p>
                  </w:txbxContent>
                </v:textbox>
              </v:shape>
            </w:pict>
          </mc:Fallback>
        </mc:AlternateContent>
      </w:r>
      <w:r w:rsidRPr="005E4DEE">
        <w:rPr>
          <w:noProof/>
          <w:lang w:val="en-GB" w:eastAsia="en-GB" w:bidi="ar-SA"/>
        </w:rPr>
        <mc:AlternateContent>
          <mc:Choice Requires="wps">
            <w:drawing>
              <wp:anchor distT="0" distB="0" distL="114300" distR="114300" simplePos="0" relativeHeight="251660288" behindDoc="0" locked="0" layoutInCell="1" allowOverlap="1" wp14:anchorId="71A51007" wp14:editId="6464DB8B">
                <wp:simplePos x="0" y="0"/>
                <wp:positionH relativeFrom="column">
                  <wp:posOffset>972185</wp:posOffset>
                </wp:positionH>
                <wp:positionV relativeFrom="paragraph">
                  <wp:posOffset>15789910</wp:posOffset>
                </wp:positionV>
                <wp:extent cx="452368" cy="369332"/>
                <wp:effectExtent l="0" t="0" r="0" b="0"/>
                <wp:wrapNone/>
                <wp:docPr id="9" name="Rectangle 8">
                  <a:extLst xmlns:a="http://schemas.openxmlformats.org/drawingml/2006/main">
                    <a:ext uri="{FF2B5EF4-FFF2-40B4-BE49-F238E27FC236}">
                      <a16:creationId xmlns:a16="http://schemas.microsoft.com/office/drawing/2014/main" id="{463DDA54-C0A2-2B42-B37C-C9A45D22546B}"/>
                    </a:ext>
                  </a:extLst>
                </wp:docPr>
                <wp:cNvGraphicFramePr/>
                <a:graphic xmlns:a="http://schemas.openxmlformats.org/drawingml/2006/main">
                  <a:graphicData uri="http://schemas.microsoft.com/office/word/2010/wordprocessingShape">
                    <wps:wsp>
                      <wps:cNvSpPr/>
                      <wps:spPr>
                        <a:xfrm>
                          <a:off x="0" y="0"/>
                          <a:ext cx="452368" cy="369332"/>
                        </a:xfrm>
                        <a:prstGeom prst="rect">
                          <a:avLst/>
                        </a:prstGeom>
                      </wps:spPr>
                      <wps:txbx>
                        <w:txbxContent>
                          <w:p w14:paraId="011D57DA" w14:textId="77777777" w:rsidR="003A7D12" w:rsidRDefault="003A7D12" w:rsidP="005A6A38">
                            <w:r>
                              <w:rPr>
                                <w:rFonts w:asciiTheme="minorHAnsi" w:hAnsi="Calibri" w:cstheme="minorBidi"/>
                                <w:b/>
                                <w:bCs/>
                                <w:color w:val="000000" w:themeColor="text1"/>
                                <w:kern w:val="24"/>
                                <w:sz w:val="36"/>
                                <w:szCs w:val="36"/>
                              </w:rPr>
                              <w:t>(b)</w:t>
                            </w:r>
                          </w:p>
                        </w:txbxContent>
                      </wps:txbx>
                      <wps:bodyPr wrap="none">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A51007" id="Rectangle 8" o:spid="_x0000_s1027" style="position:absolute;left:0;text-align:left;margin-left:76.55pt;margin-top:1243.3pt;width:35.6pt;height:29.1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" filled="f" stroked="f">
                <v:textbox style="mso-fit-shape-to-text:t">
                  <w:txbxContent>
                    <w:p w14:paraId="011D57DA" w14:textId="77777777" w:rsidR="003A7D12" w:rsidRDefault="003A7D12" w:rsidP="005A6A38">
                      <w:r>
                        <w:rPr>
                          <w:rFonts w:asciiTheme="minorHAnsi" w:hAnsi="Calibri" w:cstheme="minorBidi"/>
                          <w:b/>
                          <w:bCs/>
                          <w:color w:val="000000" w:themeColor="text1"/>
                          <w:kern w:val="24"/>
                          <w:sz w:val="36"/>
                          <w:szCs w:val="36"/>
                        </w:rPr>
                        <w:t>(b)</w:t>
                      </w:r>
                    </w:p>
                  </w:txbxContent>
                </v:textbox>
              </v:rect>
            </w:pict>
          </mc:Fallback>
        </mc:AlternateContent>
      </w:r>
      <w:r w:rsidRPr="005E4DEE">
        <w:rPr>
          <w:noProof/>
          <w:lang w:val="en-GB" w:eastAsia="en-GB" w:bidi="ar-SA"/>
        </w:rPr>
        <mc:AlternateContent>
          <mc:Choice Requires="wps">
            <w:drawing>
              <wp:anchor distT="0" distB="0" distL="114300" distR="114300" simplePos="0" relativeHeight="251661312" behindDoc="0" locked="0" layoutInCell="1" allowOverlap="1" wp14:anchorId="0C475F35" wp14:editId="291C2376">
                <wp:simplePos x="0" y="0"/>
                <wp:positionH relativeFrom="column">
                  <wp:posOffset>3319780</wp:posOffset>
                </wp:positionH>
                <wp:positionV relativeFrom="paragraph">
                  <wp:posOffset>12622530</wp:posOffset>
                </wp:positionV>
                <wp:extent cx="1481496" cy="369332"/>
                <wp:effectExtent l="0" t="0" r="0" b="0"/>
                <wp:wrapNone/>
                <wp:docPr id="10" name="TextBox 9">
                  <a:extLst xmlns:a="http://schemas.openxmlformats.org/drawingml/2006/main">
                    <a:ext uri="{FF2B5EF4-FFF2-40B4-BE49-F238E27FC236}">
                      <a16:creationId xmlns:a16="http://schemas.microsoft.com/office/drawing/2014/main" id="{738D6C5E-4E86-2B4C-839B-5B26E4E943AE}"/>
                    </a:ext>
                  </a:extLst>
                </wp:docPr>
                <wp:cNvGraphicFramePr/>
                <a:graphic xmlns:a="http://schemas.openxmlformats.org/drawingml/2006/main">
                  <a:graphicData uri="http://schemas.microsoft.com/office/word/2010/wordprocessingShape">
                    <wps:wsp>
                      <wps:cNvSpPr txBox="1"/>
                      <wps:spPr>
                        <a:xfrm>
                          <a:off x="0" y="0"/>
                          <a:ext cx="1481496" cy="369332"/>
                        </a:xfrm>
                        <a:prstGeom prst="rect">
                          <a:avLst/>
                        </a:prstGeom>
                        <a:noFill/>
                      </wps:spPr>
                      <wps:txbx>
                        <w:txbxContent>
                          <w:p w14:paraId="29446860" w14:textId="77777777" w:rsidR="003A7D12" w:rsidRDefault="003A7D12" w:rsidP="005A6A38">
                            <w:r>
                              <w:rPr>
                                <w:rFonts w:asciiTheme="minorHAnsi" w:hAnsi="Calibri" w:cstheme="minorBidi"/>
                                <w:color w:val="000000" w:themeColor="text1"/>
                                <w:kern w:val="24"/>
                                <w:sz w:val="36"/>
                                <w:szCs w:val="36"/>
                              </w:rPr>
                              <w:t xml:space="preserve">Clinoleic 20% </w:t>
                            </w:r>
                          </w:p>
                        </w:txbxContent>
                      </wps:txbx>
                      <wps:bodyPr wrap="none" rtlCol="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475F35" id="TextBox 9" o:spid="_x0000_s1028" type="#_x0000_t202" style="position:absolute;left:0;text-align:left;margin-left:261.4pt;margin-top:993.9pt;width:116.65pt;height:29.1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" filled="f" stroked="f">
                <v:textbox style="mso-fit-shape-to-text:t">
                  <w:txbxContent>
                    <w:p w14:paraId="29446860" w14:textId="77777777" w:rsidR="003A7D12" w:rsidRDefault="003A7D12" w:rsidP="005A6A38">
                      <w:r>
                        <w:rPr>
                          <w:rFonts w:asciiTheme="minorHAnsi" w:hAnsi="Calibri" w:cstheme="minorBidi"/>
                          <w:color w:val="000000" w:themeColor="text1"/>
                          <w:kern w:val="24"/>
                          <w:sz w:val="36"/>
                          <w:szCs w:val="36"/>
                        </w:rPr>
                        <w:t xml:space="preserve">Clinoleic 20% </w:t>
                      </w:r>
                    </w:p>
                  </w:txbxContent>
                </v:textbox>
              </v:shape>
            </w:pict>
          </mc:Fallback>
        </mc:AlternateContent>
      </w:r>
      <w:r w:rsidRPr="005E4DEE">
        <w:rPr>
          <w:noProof/>
          <w:lang w:val="en-GB" w:eastAsia="en-GB" w:bidi="ar-SA"/>
        </w:rPr>
        <mc:AlternateContent>
          <mc:Choice Requires="wps">
            <w:drawing>
              <wp:anchor distT="0" distB="0" distL="114300" distR="114300" simplePos="0" relativeHeight="251662336" behindDoc="0" locked="0" layoutInCell="1" allowOverlap="1" wp14:anchorId="378929FA" wp14:editId="241C39EF">
                <wp:simplePos x="0" y="0"/>
                <wp:positionH relativeFrom="column">
                  <wp:posOffset>7876540</wp:posOffset>
                </wp:positionH>
                <wp:positionV relativeFrom="paragraph">
                  <wp:posOffset>12672695</wp:posOffset>
                </wp:positionV>
                <wp:extent cx="1479444" cy="369332"/>
                <wp:effectExtent l="0" t="0" r="0" b="0"/>
                <wp:wrapNone/>
                <wp:docPr id="11" name="Rectangle 10">
                  <a:extLst xmlns:a="http://schemas.openxmlformats.org/drawingml/2006/main">
                    <a:ext uri="{FF2B5EF4-FFF2-40B4-BE49-F238E27FC236}">
                      <a16:creationId xmlns:a16="http://schemas.microsoft.com/office/drawing/2014/main" id="{A96CDC06-5384-A041-9F84-B5E2FC5B2A99}"/>
                    </a:ext>
                  </a:extLst>
                </wp:docPr>
                <wp:cNvGraphicFramePr/>
                <a:graphic xmlns:a="http://schemas.openxmlformats.org/drawingml/2006/main">
                  <a:graphicData uri="http://schemas.microsoft.com/office/word/2010/wordprocessingShape">
                    <wps:wsp>
                      <wps:cNvSpPr/>
                      <wps:spPr>
                        <a:xfrm>
                          <a:off x="0" y="0"/>
                          <a:ext cx="1479444" cy="369332"/>
                        </a:xfrm>
                        <a:prstGeom prst="rect">
                          <a:avLst/>
                        </a:prstGeom>
                      </wps:spPr>
                      <wps:txbx>
                        <w:txbxContent>
                          <w:p w14:paraId="7A7EDFAC" w14:textId="77777777" w:rsidR="003A7D12" w:rsidRDefault="003A7D12" w:rsidP="005A6A38">
                            <w:r>
                              <w:rPr>
                                <w:rFonts w:asciiTheme="minorHAnsi" w:hAnsi="Calibri" w:cstheme="minorBidi"/>
                                <w:color w:val="000000" w:themeColor="text1"/>
                                <w:kern w:val="24"/>
                                <w:sz w:val="36"/>
                                <w:szCs w:val="36"/>
                              </w:rPr>
                              <w:t>Intralipid 20%</w:t>
                            </w:r>
                          </w:p>
                        </w:txbxContent>
                      </wps:txbx>
                      <wps:bodyPr wrap="none">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8929FA" id="Rectangle 10" o:spid="_x0000_s1029" style="position:absolute;left:0;text-align:left;margin-left:620.2pt;margin-top:997.85pt;width:116.5pt;height:29.1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" filled="f" stroked="f">
                <v:textbox style="mso-fit-shape-to-text:t">
                  <w:txbxContent>
                    <w:p w14:paraId="7A7EDFAC" w14:textId="77777777" w:rsidR="003A7D12" w:rsidRDefault="003A7D12" w:rsidP="005A6A38">
                      <w:r>
                        <w:rPr>
                          <w:rFonts w:asciiTheme="minorHAnsi" w:hAnsi="Calibri" w:cstheme="minorBidi"/>
                          <w:color w:val="000000" w:themeColor="text1"/>
                          <w:kern w:val="24"/>
                          <w:sz w:val="36"/>
                          <w:szCs w:val="36"/>
                        </w:rPr>
                        <w:t>Intralipid 20%</w:t>
                      </w:r>
                    </w:p>
                  </w:txbxContent>
                </v:textbox>
              </v:rect>
            </w:pict>
          </mc:Fallback>
        </mc:AlternateContent>
      </w:r>
    </w:p>
    <w:p w14:paraId="21FE2D7B" w14:textId="6A561E42" w:rsidR="005A6A38" w:rsidRPr="009F19D9" w:rsidRDefault="005A6A38" w:rsidP="000410CF">
      <w:pPr>
        <w:pStyle w:val="MDPI31text"/>
        <w:spacing w:line="480" w:lineRule="auto"/>
        <w:rPr>
          <w:rFonts w:ascii="Times New Roman" w:hAnsi="Times New Roman"/>
          <w:snapToGrid/>
          <w:color w:val="auto"/>
          <w:sz w:val="24"/>
          <w:szCs w:val="24"/>
          <w:lang w:eastAsia="en-GB" w:bidi="ar-SA"/>
        </w:rPr>
      </w:pPr>
      <w:r w:rsidRPr="009F19D9">
        <w:rPr>
          <w:rFonts w:ascii="Times New Roman" w:hAnsi="Times New Roman"/>
          <w:snapToGrid/>
          <w:color w:val="auto"/>
          <w:sz w:val="24"/>
          <w:szCs w:val="24"/>
          <w:lang w:eastAsia="en-GB" w:bidi="ar-SA"/>
        </w:rPr>
        <w:t xml:space="preserve">Similar to size, </w:t>
      </w:r>
      <w:r w:rsidR="00D804BB">
        <w:rPr>
          <w:rFonts w:ascii="Times New Roman" w:hAnsi="Times New Roman"/>
          <w:snapToGrid/>
          <w:color w:val="auto"/>
          <w:sz w:val="24"/>
          <w:szCs w:val="24"/>
          <w:lang w:eastAsia="en-GB" w:bidi="ar-SA"/>
        </w:rPr>
        <w:t xml:space="preserve">size distribution </w:t>
      </w:r>
      <w:r w:rsidRPr="009F19D9">
        <w:rPr>
          <w:rFonts w:ascii="Times New Roman" w:hAnsi="Times New Roman"/>
          <w:snapToGrid/>
          <w:color w:val="auto"/>
          <w:sz w:val="24"/>
          <w:szCs w:val="24"/>
          <w:lang w:eastAsia="en-GB" w:bidi="ar-SA"/>
        </w:rPr>
        <w:t xml:space="preserve">and zeta potential values, pH values of the nanoemulsions </w:t>
      </w:r>
      <w:r w:rsidR="00D804BB">
        <w:rPr>
          <w:rFonts w:ascii="Times New Roman" w:hAnsi="Times New Roman"/>
          <w:snapToGrid/>
          <w:color w:val="auto"/>
          <w:sz w:val="24"/>
          <w:szCs w:val="24"/>
          <w:lang w:eastAsia="en-GB" w:bidi="ar-SA"/>
        </w:rPr>
        <w:t>loaded with a range of</w:t>
      </w:r>
      <w:r w:rsidRPr="009F19D9">
        <w:rPr>
          <w:rFonts w:ascii="Times New Roman" w:hAnsi="Times New Roman"/>
          <w:snapToGrid/>
          <w:color w:val="auto"/>
          <w:sz w:val="24"/>
          <w:szCs w:val="24"/>
          <w:lang w:eastAsia="en-GB" w:bidi="ar-SA"/>
        </w:rPr>
        <w:t xml:space="preserve"> CP concentrations remained stable for the</w:t>
      </w:r>
      <w:r w:rsidR="00D804BB">
        <w:rPr>
          <w:rFonts w:ascii="Times New Roman" w:hAnsi="Times New Roman"/>
          <w:snapToGrid/>
          <w:color w:val="auto"/>
          <w:sz w:val="24"/>
          <w:szCs w:val="24"/>
          <w:lang w:eastAsia="en-GB" w:bidi="ar-SA"/>
        </w:rPr>
        <w:t xml:space="preserve"> whole period of</w:t>
      </w:r>
      <w:r w:rsidRPr="009F19D9">
        <w:rPr>
          <w:rFonts w:ascii="Times New Roman" w:hAnsi="Times New Roman"/>
          <w:snapToGrid/>
          <w:color w:val="auto"/>
          <w:sz w:val="24"/>
          <w:szCs w:val="24"/>
          <w:lang w:eastAsia="en-GB" w:bidi="ar-SA"/>
        </w:rPr>
        <w:t xml:space="preserve"> 180 days at 4 </w:t>
      </w:r>
      <w:r w:rsidRPr="00184F5B">
        <w:rPr>
          <w:rFonts w:ascii="Times New Roman" w:hAnsi="Times New Roman"/>
          <w:snapToGrid/>
          <w:color w:val="auto"/>
          <w:sz w:val="24"/>
          <w:szCs w:val="24"/>
          <w:vertAlign w:val="superscript"/>
          <w:lang w:eastAsia="en-GB" w:bidi="ar-SA"/>
        </w:rPr>
        <w:t>o</w:t>
      </w:r>
      <w:r w:rsidRPr="009F19D9">
        <w:rPr>
          <w:rFonts w:ascii="Times New Roman" w:hAnsi="Times New Roman"/>
          <w:snapToGrid/>
          <w:color w:val="auto"/>
          <w:sz w:val="24"/>
          <w:szCs w:val="24"/>
          <w:lang w:eastAsia="en-GB" w:bidi="ar-SA"/>
        </w:rPr>
        <w:t xml:space="preserve">C temperature </w:t>
      </w:r>
      <w:r w:rsidR="00D804BB">
        <w:rPr>
          <w:rFonts w:ascii="Times New Roman" w:hAnsi="Times New Roman"/>
          <w:snapToGrid/>
          <w:color w:val="auto"/>
          <w:sz w:val="24"/>
          <w:szCs w:val="24"/>
          <w:lang w:eastAsia="en-GB" w:bidi="ar-SA"/>
        </w:rPr>
        <w:t>(</w:t>
      </w:r>
      <w:r w:rsidRPr="009F19D9">
        <w:rPr>
          <w:rFonts w:ascii="Times New Roman" w:hAnsi="Times New Roman"/>
          <w:snapToGrid/>
          <w:color w:val="auto"/>
          <w:sz w:val="24"/>
          <w:szCs w:val="24"/>
          <w:lang w:eastAsia="en-GB" w:bidi="ar-SA"/>
        </w:rPr>
        <w:t xml:space="preserve">pH </w:t>
      </w:r>
      <w:r w:rsidR="00D804BB">
        <w:rPr>
          <w:rFonts w:ascii="Times New Roman" w:hAnsi="Times New Roman"/>
          <w:snapToGrid/>
          <w:color w:val="auto"/>
          <w:sz w:val="24"/>
          <w:szCs w:val="24"/>
          <w:lang w:eastAsia="en-GB" w:bidi="ar-SA"/>
        </w:rPr>
        <w:t>measurements</w:t>
      </w:r>
      <w:r w:rsidR="00D804BB" w:rsidRPr="009F19D9">
        <w:rPr>
          <w:rFonts w:ascii="Times New Roman" w:hAnsi="Times New Roman"/>
          <w:snapToGrid/>
          <w:color w:val="auto"/>
          <w:sz w:val="24"/>
          <w:szCs w:val="24"/>
          <w:lang w:eastAsia="en-GB" w:bidi="ar-SA"/>
        </w:rPr>
        <w:t xml:space="preserve"> </w:t>
      </w:r>
      <w:r w:rsidRPr="009F19D9">
        <w:rPr>
          <w:rFonts w:ascii="Times New Roman" w:hAnsi="Times New Roman"/>
          <w:snapToGrid/>
          <w:color w:val="auto"/>
          <w:sz w:val="24"/>
          <w:szCs w:val="24"/>
          <w:lang w:eastAsia="en-GB" w:bidi="ar-SA"/>
        </w:rPr>
        <w:t xml:space="preserve">were in the neutral </w:t>
      </w:r>
      <w:r w:rsidR="00D804BB">
        <w:rPr>
          <w:rFonts w:ascii="Times New Roman" w:hAnsi="Times New Roman"/>
          <w:snapToGrid/>
          <w:color w:val="auto"/>
          <w:sz w:val="24"/>
          <w:szCs w:val="24"/>
          <w:lang w:eastAsia="en-GB" w:bidi="ar-SA"/>
        </w:rPr>
        <w:t>region</w:t>
      </w:r>
      <w:r w:rsidR="00D804BB" w:rsidRPr="009F19D9">
        <w:rPr>
          <w:rFonts w:ascii="Times New Roman" w:hAnsi="Times New Roman"/>
          <w:snapToGrid/>
          <w:color w:val="auto"/>
          <w:sz w:val="24"/>
          <w:szCs w:val="24"/>
          <w:lang w:eastAsia="en-GB" w:bidi="ar-SA"/>
        </w:rPr>
        <w:t xml:space="preserve"> </w:t>
      </w:r>
      <w:r w:rsidRPr="009F19D9">
        <w:rPr>
          <w:rFonts w:ascii="Times New Roman" w:hAnsi="Times New Roman"/>
          <w:snapToGrid/>
          <w:color w:val="auto"/>
          <w:sz w:val="24"/>
          <w:szCs w:val="24"/>
          <w:lang w:eastAsia="en-GB" w:bidi="ar-SA"/>
        </w:rPr>
        <w:t>between 6.0 and 8.0 (Figure 7b)</w:t>
      </w:r>
      <w:r w:rsidR="00D804BB">
        <w:rPr>
          <w:rFonts w:ascii="Times New Roman" w:hAnsi="Times New Roman"/>
          <w:snapToGrid/>
          <w:color w:val="auto"/>
          <w:sz w:val="24"/>
          <w:szCs w:val="24"/>
          <w:lang w:eastAsia="en-GB" w:bidi="ar-SA"/>
        </w:rPr>
        <w:t>)</w:t>
      </w:r>
      <w:r w:rsidRPr="009F19D9">
        <w:rPr>
          <w:rFonts w:ascii="Times New Roman" w:hAnsi="Times New Roman"/>
          <w:snapToGrid/>
          <w:color w:val="auto"/>
          <w:sz w:val="24"/>
          <w:szCs w:val="24"/>
          <w:lang w:eastAsia="en-GB" w:bidi="ar-SA"/>
        </w:rPr>
        <w:t>. This correlates with the physiological pH (7.4)</w:t>
      </w:r>
      <w:r w:rsidR="00D804BB">
        <w:rPr>
          <w:rFonts w:ascii="Times New Roman" w:hAnsi="Times New Roman"/>
          <w:snapToGrid/>
          <w:color w:val="auto"/>
          <w:sz w:val="24"/>
          <w:szCs w:val="24"/>
          <w:lang w:eastAsia="en-GB" w:bidi="ar-SA"/>
        </w:rPr>
        <w:t xml:space="preserve">, indicating no undesirable osmotic effects of the nanoemulsion on blood </w:t>
      </w:r>
      <w:r w:rsidR="00BE0B09">
        <w:rPr>
          <w:rFonts w:ascii="Times New Roman" w:hAnsi="Times New Roman"/>
          <w:snapToGrid/>
          <w:color w:val="auto"/>
          <w:sz w:val="24"/>
          <w:szCs w:val="24"/>
          <w:lang w:eastAsia="en-GB" w:bidi="ar-SA"/>
        </w:rPr>
        <w:t>components</w:t>
      </w:r>
      <w:r w:rsidR="00D804BB">
        <w:rPr>
          <w:rFonts w:ascii="Times New Roman" w:hAnsi="Times New Roman"/>
          <w:snapToGrid/>
          <w:color w:val="auto"/>
          <w:sz w:val="24"/>
          <w:szCs w:val="24"/>
          <w:lang w:eastAsia="en-GB" w:bidi="ar-SA"/>
        </w:rPr>
        <w:t xml:space="preserve"> </w:t>
      </w:r>
      <w:r w:rsidR="000410CF">
        <w:rPr>
          <w:rFonts w:ascii="Times New Roman" w:hAnsi="Times New Roman"/>
          <w:snapToGrid/>
          <w:color w:val="auto"/>
          <w:sz w:val="24"/>
          <w:szCs w:val="24"/>
          <w:lang w:eastAsia="en-GB" w:bidi="ar-SA"/>
        </w:rPr>
        <w:t xml:space="preserve">are </w:t>
      </w:r>
      <w:r w:rsidR="00D804BB">
        <w:rPr>
          <w:rFonts w:ascii="Times New Roman" w:hAnsi="Times New Roman"/>
          <w:snapToGrid/>
          <w:color w:val="auto"/>
          <w:sz w:val="24"/>
          <w:szCs w:val="24"/>
          <w:lang w:eastAsia="en-GB" w:bidi="ar-SA"/>
        </w:rPr>
        <w:t>likely to happen</w:t>
      </w:r>
      <w:r w:rsidRPr="009F19D9">
        <w:rPr>
          <w:rFonts w:ascii="Times New Roman" w:hAnsi="Times New Roman"/>
          <w:snapToGrid/>
          <w:color w:val="auto"/>
          <w:sz w:val="24"/>
          <w:szCs w:val="24"/>
          <w:lang w:eastAsia="en-GB" w:bidi="ar-SA"/>
        </w:rPr>
        <w:t xml:space="preserve">. </w:t>
      </w:r>
    </w:p>
    <w:p w14:paraId="2F238D25" w14:textId="04D3AB9D" w:rsidR="005A6A38" w:rsidRPr="009F19D9" w:rsidRDefault="005A6A38" w:rsidP="007772B2">
      <w:pPr>
        <w:pStyle w:val="MDPI31text"/>
        <w:spacing w:line="480" w:lineRule="auto"/>
        <w:rPr>
          <w:lang w:val="en-GB"/>
        </w:rPr>
      </w:pPr>
      <w:r w:rsidRPr="009F19D9">
        <w:rPr>
          <w:rFonts w:ascii="Times New Roman" w:hAnsi="Times New Roman"/>
          <w:snapToGrid/>
          <w:color w:val="auto"/>
          <w:sz w:val="24"/>
          <w:szCs w:val="24"/>
          <w:lang w:eastAsia="en-GB" w:bidi="ar-SA"/>
        </w:rPr>
        <w:t xml:space="preserve">The stability of nanoemulsions were also studied at room temperature (Figures 8 and 9). </w:t>
      </w:r>
      <w:r w:rsidR="003F5EC1">
        <w:rPr>
          <w:rFonts w:ascii="Times New Roman" w:hAnsi="Times New Roman"/>
          <w:snapToGrid/>
          <w:color w:val="auto"/>
          <w:sz w:val="24"/>
          <w:szCs w:val="24"/>
          <w:lang w:eastAsia="en-GB" w:bidi="ar-SA"/>
        </w:rPr>
        <w:t>T</w:t>
      </w:r>
      <w:r w:rsidRPr="009F19D9">
        <w:rPr>
          <w:rFonts w:ascii="Times New Roman" w:hAnsi="Times New Roman"/>
          <w:snapToGrid/>
          <w:color w:val="auto"/>
          <w:sz w:val="24"/>
          <w:szCs w:val="24"/>
          <w:lang w:eastAsia="en-GB" w:bidi="ar-SA"/>
        </w:rPr>
        <w:t>he average droplet size (Figure 8a) and the PI (Figure 8b) did not change significantly (P&gt;0.05) in both Clinoleic and Intralipid formulations after 60 days of storage at room temperature. These results confirm that these nanoemulsions did not demonstrate coalescence that may lead to heterogeneity during storage at room temperature or at 4</w:t>
      </w:r>
      <w:r w:rsidRPr="009F19D9">
        <w:rPr>
          <w:rFonts w:ascii="Times New Roman" w:hAnsi="Times New Roman"/>
          <w:snapToGrid/>
          <w:color w:val="auto"/>
          <w:sz w:val="24"/>
          <w:szCs w:val="24"/>
          <w:vertAlign w:val="superscript"/>
          <w:lang w:eastAsia="en-GB" w:bidi="ar-SA"/>
        </w:rPr>
        <w:t>o</w:t>
      </w:r>
      <w:r w:rsidRPr="009F19D9">
        <w:rPr>
          <w:rFonts w:ascii="Times New Roman" w:hAnsi="Times New Roman"/>
          <w:snapToGrid/>
          <w:color w:val="auto"/>
          <w:sz w:val="24"/>
          <w:szCs w:val="24"/>
          <w:lang w:eastAsia="en-GB" w:bidi="ar-SA"/>
        </w:rPr>
        <w:t>C</w:t>
      </w:r>
      <w:r w:rsidRPr="001F3F24">
        <w:rPr>
          <w:lang w:val="en-GB"/>
        </w:rPr>
        <w:t>.</w:t>
      </w:r>
    </w:p>
    <w:p w14:paraId="53A8EC52" w14:textId="476B4D26" w:rsidR="00076E51" w:rsidRDefault="005A6A38" w:rsidP="007772B2">
      <w:pPr>
        <w:pStyle w:val="MDPI31text"/>
        <w:spacing w:line="480" w:lineRule="auto"/>
        <w:rPr>
          <w:rFonts w:ascii="Times New Roman" w:hAnsi="Times New Roman"/>
          <w:snapToGrid/>
          <w:color w:val="auto"/>
          <w:sz w:val="24"/>
          <w:szCs w:val="24"/>
          <w:lang w:eastAsia="en-GB" w:bidi="ar-SA"/>
        </w:rPr>
      </w:pPr>
      <w:r w:rsidRPr="009F19D9">
        <w:rPr>
          <w:rFonts w:ascii="Times New Roman" w:hAnsi="Times New Roman"/>
          <w:snapToGrid/>
          <w:color w:val="auto"/>
          <w:sz w:val="24"/>
          <w:szCs w:val="24"/>
          <w:lang w:eastAsia="en-GB" w:bidi="ar-SA"/>
        </w:rPr>
        <w:t xml:space="preserve">No change in the values of zeta potential for both Clinoleic and Intralipid nanoemulsion formulations were recorded during storage at room temperature for 60 days </w:t>
      </w:r>
      <w:r w:rsidRPr="009F19D9">
        <w:rPr>
          <w:rFonts w:ascii="Times New Roman" w:hAnsi="Times New Roman"/>
          <w:snapToGrid/>
          <w:color w:val="auto"/>
          <w:sz w:val="24"/>
          <w:szCs w:val="24"/>
          <w:lang w:eastAsia="en-GB" w:bidi="ar-SA"/>
        </w:rPr>
        <w:lastRenderedPageBreak/>
        <w:t>(Figure 9a). The zeta potential values for all nanoemulsions were not affected by the inclusion of the drug at all concentrations studied at different storage conditions (i.e. at 4</w:t>
      </w:r>
      <w:r w:rsidRPr="00184F5B">
        <w:rPr>
          <w:rFonts w:ascii="Times New Roman" w:hAnsi="Times New Roman"/>
          <w:snapToGrid/>
          <w:color w:val="auto"/>
          <w:sz w:val="24"/>
          <w:szCs w:val="24"/>
          <w:vertAlign w:val="superscript"/>
          <w:lang w:eastAsia="en-GB" w:bidi="ar-SA"/>
        </w:rPr>
        <w:t>o</w:t>
      </w:r>
      <w:r w:rsidRPr="009F19D9">
        <w:rPr>
          <w:rFonts w:ascii="Times New Roman" w:hAnsi="Times New Roman"/>
          <w:snapToGrid/>
          <w:color w:val="auto"/>
          <w:sz w:val="24"/>
          <w:szCs w:val="24"/>
          <w:lang w:eastAsia="en-GB" w:bidi="ar-SA"/>
        </w:rPr>
        <w:t xml:space="preserve">C and room temperature). However, this was not applied for pH values of the formulations during 60 days of storage at room temperature. As shown in Figure 9b, the pH values </w:t>
      </w:r>
      <w:r w:rsidR="006C540B">
        <w:rPr>
          <w:rFonts w:ascii="Times New Roman" w:hAnsi="Times New Roman"/>
          <w:snapToGrid/>
          <w:color w:val="auto"/>
          <w:sz w:val="24"/>
          <w:szCs w:val="24"/>
          <w:lang w:eastAsia="en-GB" w:bidi="ar-SA"/>
        </w:rPr>
        <w:t>were constant for the first month</w:t>
      </w:r>
      <w:r w:rsidR="00424843">
        <w:rPr>
          <w:rFonts w:ascii="Times New Roman" w:hAnsi="Times New Roman"/>
          <w:snapToGrid/>
          <w:color w:val="auto"/>
          <w:sz w:val="24"/>
          <w:szCs w:val="24"/>
          <w:lang w:eastAsia="en-GB" w:bidi="ar-SA"/>
        </w:rPr>
        <w:t>. After the second month,</w:t>
      </w:r>
      <w:r w:rsidR="006C540B">
        <w:rPr>
          <w:rFonts w:ascii="Times New Roman" w:hAnsi="Times New Roman"/>
          <w:snapToGrid/>
          <w:color w:val="auto"/>
          <w:sz w:val="24"/>
          <w:szCs w:val="24"/>
          <w:lang w:eastAsia="en-GB" w:bidi="ar-SA"/>
        </w:rPr>
        <w:t xml:space="preserve"> </w:t>
      </w:r>
      <w:r w:rsidR="00424843" w:rsidRPr="009F19D9">
        <w:rPr>
          <w:rFonts w:ascii="Times New Roman" w:hAnsi="Times New Roman"/>
          <w:snapToGrid/>
          <w:color w:val="auto"/>
          <w:sz w:val="24"/>
          <w:szCs w:val="24"/>
          <w:lang w:eastAsia="en-GB" w:bidi="ar-SA"/>
        </w:rPr>
        <w:t xml:space="preserve">pH values </w:t>
      </w:r>
      <w:r w:rsidRPr="009F19D9">
        <w:rPr>
          <w:rFonts w:ascii="Times New Roman" w:hAnsi="Times New Roman"/>
          <w:snapToGrid/>
          <w:color w:val="auto"/>
          <w:sz w:val="24"/>
          <w:szCs w:val="24"/>
          <w:lang w:eastAsia="en-GB" w:bidi="ar-SA"/>
        </w:rPr>
        <w:t xml:space="preserve">dropped from 7.3 and 6.6 in the day of preparation to 4.1 and 3.4 for blank Clinoleic and Intralipid nanoemulsions, respectively. This might be due to the hydrolysis of phospholipid in the emulsion formulations to fatty acids. Similar pH stability results were shown for Clinoleic and Intralipid nanoemulsion </w:t>
      </w:r>
      <w:r w:rsidR="00D804BB" w:rsidRPr="009F19D9">
        <w:rPr>
          <w:rFonts w:ascii="Times New Roman" w:hAnsi="Times New Roman"/>
          <w:snapToGrid/>
          <w:color w:val="auto"/>
          <w:sz w:val="24"/>
          <w:szCs w:val="24"/>
          <w:lang w:eastAsia="en-GB" w:bidi="ar-SA"/>
        </w:rPr>
        <w:t>load</w:t>
      </w:r>
      <w:r w:rsidR="00D804BB">
        <w:rPr>
          <w:rFonts w:ascii="Times New Roman" w:hAnsi="Times New Roman"/>
          <w:snapToGrid/>
          <w:color w:val="auto"/>
          <w:sz w:val="24"/>
          <w:szCs w:val="24"/>
          <w:lang w:eastAsia="en-GB" w:bidi="ar-SA"/>
        </w:rPr>
        <w:t>ed with</w:t>
      </w:r>
      <w:r w:rsidR="00D804BB" w:rsidRPr="009F19D9">
        <w:rPr>
          <w:rFonts w:ascii="Times New Roman" w:hAnsi="Times New Roman"/>
          <w:snapToGrid/>
          <w:color w:val="auto"/>
          <w:sz w:val="24"/>
          <w:szCs w:val="24"/>
          <w:lang w:eastAsia="en-GB" w:bidi="ar-SA"/>
        </w:rPr>
        <w:t xml:space="preserve"> </w:t>
      </w:r>
      <w:r w:rsidRPr="009F19D9">
        <w:rPr>
          <w:rFonts w:ascii="Times New Roman" w:hAnsi="Times New Roman"/>
          <w:snapToGrid/>
          <w:color w:val="auto"/>
          <w:sz w:val="24"/>
          <w:szCs w:val="24"/>
          <w:lang w:eastAsia="en-GB" w:bidi="ar-SA"/>
        </w:rPr>
        <w:t xml:space="preserve">paclitaxel </w:t>
      </w:r>
      <w:r w:rsidR="000B73DA">
        <w:rPr>
          <w:rFonts w:ascii="Times New Roman" w:hAnsi="Times New Roman"/>
          <w:snapToGrid/>
          <w:color w:val="auto"/>
          <w:sz w:val="24"/>
          <w:szCs w:val="24"/>
          <w:lang w:eastAsia="en-GB" w:bidi="ar-SA"/>
        </w:rPr>
        <w:fldChar w:fldCharType="begin"/>
      </w:r>
      <w:r w:rsidR="000B73DA">
        <w:rPr>
          <w:rFonts w:ascii="Times New Roman" w:hAnsi="Times New Roman"/>
          <w:snapToGrid/>
          <w:color w:val="auto"/>
          <w:sz w:val="24"/>
          <w:szCs w:val="24"/>
          <w:lang w:eastAsia="en-GB" w:bidi="ar-SA"/>
        </w:rPr>
        <w:instrText xml:space="preserve"> ADDIN ZOTERO_ITEM CSL_CITATION {"citationID":"108BDuAJ","properties":{"formattedCitation":"(18)","plainCitation":"(18)","noteIndex":0},"citationItems":[{"id":19,"uris":["http://zotero.org/users/5477069/items/HCBWM8PZ"],"uri":["http://zotero.org/users/5477069/items/HCBWM8PZ"],"itemData":{"id":19,"type":"article-journal","title":"Novel paclitaxel formulations solubilized by parenteral nutrition nanoemulsions for application against glioma cell lines","container-title":"International journal of pharmaceutics","page":"102–109","volume":"506","issue":"1-2","source":"Google Scholar","author":[{"family":"Najlah","given":"Mohammad"},{"family":"Kadam","given":"Alisha"},{"family":"Wan","given":"Ka-Wai"},{"family":"Ahmed","given":"Waqar"},{"family":"Taylor","given":"Kevin MG"},{"family":"Elhissi","given":"Abdelbary MA"}],"issued":{"date-parts":[["2016"]]}}}],"schema":"https://github.com/citation-style-language/schema/raw/master/csl-citation.json"} </w:instrText>
      </w:r>
      <w:r w:rsidR="000B73DA">
        <w:rPr>
          <w:rFonts w:ascii="Times New Roman" w:hAnsi="Times New Roman"/>
          <w:snapToGrid/>
          <w:color w:val="auto"/>
          <w:sz w:val="24"/>
          <w:szCs w:val="24"/>
          <w:lang w:eastAsia="en-GB" w:bidi="ar-SA"/>
        </w:rPr>
        <w:fldChar w:fldCharType="separate"/>
      </w:r>
      <w:r w:rsidR="000B73DA">
        <w:rPr>
          <w:rFonts w:ascii="Times New Roman" w:hAnsi="Times New Roman"/>
          <w:noProof/>
          <w:snapToGrid/>
          <w:color w:val="auto"/>
          <w:sz w:val="24"/>
          <w:szCs w:val="24"/>
          <w:lang w:eastAsia="en-GB" w:bidi="ar-SA"/>
        </w:rPr>
        <w:t>(18)</w:t>
      </w:r>
      <w:r w:rsidR="000B73DA">
        <w:rPr>
          <w:rFonts w:ascii="Times New Roman" w:hAnsi="Times New Roman"/>
          <w:snapToGrid/>
          <w:color w:val="auto"/>
          <w:sz w:val="24"/>
          <w:szCs w:val="24"/>
          <w:lang w:eastAsia="en-GB" w:bidi="ar-SA"/>
        </w:rPr>
        <w:fldChar w:fldCharType="end"/>
      </w:r>
      <w:r w:rsidRPr="009F19D9">
        <w:rPr>
          <w:rFonts w:ascii="Times New Roman" w:hAnsi="Times New Roman"/>
          <w:snapToGrid/>
          <w:color w:val="auto"/>
          <w:sz w:val="24"/>
          <w:szCs w:val="24"/>
          <w:lang w:eastAsia="en-GB" w:bidi="ar-SA"/>
        </w:rPr>
        <w:t xml:space="preserve">. Nevertheless, in </w:t>
      </w:r>
      <w:r w:rsidR="00D804BB">
        <w:rPr>
          <w:rFonts w:ascii="Times New Roman" w:hAnsi="Times New Roman"/>
          <w:snapToGrid/>
          <w:color w:val="auto"/>
          <w:sz w:val="24"/>
          <w:szCs w:val="24"/>
          <w:lang w:eastAsia="en-GB" w:bidi="ar-SA"/>
        </w:rPr>
        <w:t xml:space="preserve">the work conducted by </w:t>
      </w:r>
      <w:r w:rsidRPr="009F19D9">
        <w:rPr>
          <w:rFonts w:ascii="Times New Roman" w:hAnsi="Times New Roman"/>
          <w:snapToGrid/>
          <w:color w:val="auto"/>
          <w:sz w:val="24"/>
          <w:szCs w:val="24"/>
          <w:lang w:eastAsia="en-GB" w:bidi="ar-SA"/>
        </w:rPr>
        <w:t xml:space="preserve">Kadam </w:t>
      </w:r>
      <w:r w:rsidR="00D804BB">
        <w:rPr>
          <w:rFonts w:ascii="Times New Roman" w:hAnsi="Times New Roman"/>
          <w:snapToGrid/>
          <w:color w:val="auto"/>
          <w:sz w:val="24"/>
          <w:szCs w:val="24"/>
          <w:lang w:eastAsia="en-GB" w:bidi="ar-SA"/>
        </w:rPr>
        <w:t xml:space="preserve">and co-workers </w:t>
      </w:r>
      <w:r w:rsidR="00D804BB">
        <w:rPr>
          <w:rFonts w:ascii="Times New Roman" w:hAnsi="Times New Roman"/>
          <w:snapToGrid/>
          <w:color w:val="auto"/>
          <w:sz w:val="24"/>
          <w:szCs w:val="24"/>
          <w:lang w:eastAsia="en-GB" w:bidi="ar-SA"/>
        </w:rPr>
        <w:fldChar w:fldCharType="begin"/>
      </w:r>
      <w:r w:rsidR="00761A16">
        <w:rPr>
          <w:rFonts w:ascii="Times New Roman" w:hAnsi="Times New Roman"/>
          <w:snapToGrid/>
          <w:color w:val="auto"/>
          <w:sz w:val="24"/>
          <w:szCs w:val="24"/>
          <w:lang w:eastAsia="en-GB" w:bidi="ar-SA"/>
        </w:rPr>
        <w:instrText xml:space="preserve"> ADDIN ZOTERO_ITEM CSL_CITATION {"citationID":"1jPlLSF5","properties":{"formattedCitation":"(18)","plainCitation":"(18)","noteIndex":0},"citationItems":[{"id":19,"uris":["http://zotero.org/users/5477069/items/HCBWM8PZ"],"uri":["http://zotero.org/users/5477069/items/HCBWM8PZ"],"itemData":{"id":19,"type":"article-journal","title":"Novel paclitaxel formulations solubilized by parenteral nutrition nanoemulsions for application against glioma cell lines","container-title":"International journal of pharmaceutics","page":"102–109","volume":"506","issue":"1-2","source":"Google Scholar","author":[{"family":"Najlah","given":"Mohammad"},{"family":"Kadam","given":"Alisha"},{"family":"Wan","given":"Ka-Wai"},{"family":"Ahmed","given":"Waqar"},{"family":"Taylor","given":"Kevin MG"},{"family":"Elhissi","given":"Abdelbary MA"}],"issued":{"date-parts":[["2016"]]}}}],"schema":"https://github.com/citation-style-language/schema/raw/master/csl-citation.json"} </w:instrText>
      </w:r>
      <w:r w:rsidR="00D804BB">
        <w:rPr>
          <w:rFonts w:ascii="Times New Roman" w:hAnsi="Times New Roman"/>
          <w:snapToGrid/>
          <w:color w:val="auto"/>
          <w:sz w:val="24"/>
          <w:szCs w:val="24"/>
          <w:lang w:eastAsia="en-GB" w:bidi="ar-SA"/>
        </w:rPr>
        <w:fldChar w:fldCharType="separate"/>
      </w:r>
      <w:r w:rsidR="00D804BB">
        <w:rPr>
          <w:rFonts w:ascii="Times New Roman" w:hAnsi="Times New Roman"/>
          <w:noProof/>
          <w:snapToGrid/>
          <w:color w:val="auto"/>
          <w:sz w:val="24"/>
          <w:szCs w:val="24"/>
          <w:lang w:eastAsia="en-GB" w:bidi="ar-SA"/>
        </w:rPr>
        <w:t>(18)</w:t>
      </w:r>
      <w:r w:rsidR="00D804BB">
        <w:rPr>
          <w:rFonts w:ascii="Times New Roman" w:hAnsi="Times New Roman"/>
          <w:snapToGrid/>
          <w:color w:val="auto"/>
          <w:sz w:val="24"/>
          <w:szCs w:val="24"/>
          <w:lang w:eastAsia="en-GB" w:bidi="ar-SA"/>
        </w:rPr>
        <w:fldChar w:fldCharType="end"/>
      </w:r>
      <w:r w:rsidRPr="009F19D9">
        <w:rPr>
          <w:rFonts w:ascii="Times New Roman" w:hAnsi="Times New Roman"/>
          <w:snapToGrid/>
          <w:color w:val="auto"/>
          <w:sz w:val="24"/>
          <w:szCs w:val="24"/>
          <w:lang w:eastAsia="en-GB" w:bidi="ar-SA"/>
        </w:rPr>
        <w:t xml:space="preserve">, the decrease in the pH </w:t>
      </w:r>
      <w:r w:rsidR="00D804BB">
        <w:rPr>
          <w:rFonts w:ascii="Times New Roman" w:hAnsi="Times New Roman"/>
          <w:snapToGrid/>
          <w:color w:val="auto"/>
          <w:sz w:val="24"/>
          <w:szCs w:val="24"/>
          <w:lang w:eastAsia="en-GB" w:bidi="ar-SA"/>
        </w:rPr>
        <w:t xml:space="preserve"> was accompanied by an increase in </w:t>
      </w:r>
      <w:r w:rsidRPr="009F19D9">
        <w:rPr>
          <w:rFonts w:ascii="Times New Roman" w:hAnsi="Times New Roman"/>
          <w:snapToGrid/>
          <w:color w:val="auto"/>
          <w:sz w:val="24"/>
          <w:szCs w:val="24"/>
          <w:lang w:eastAsia="en-GB" w:bidi="ar-SA"/>
        </w:rPr>
        <w:t xml:space="preserve">droplet size and </w:t>
      </w:r>
      <w:r w:rsidR="00795184">
        <w:rPr>
          <w:rFonts w:ascii="Times New Roman" w:hAnsi="Times New Roman"/>
          <w:snapToGrid/>
          <w:color w:val="auto"/>
          <w:sz w:val="24"/>
          <w:szCs w:val="24"/>
          <w:lang w:eastAsia="en-GB" w:bidi="ar-SA"/>
        </w:rPr>
        <w:t xml:space="preserve">changes in the </w:t>
      </w:r>
      <w:r w:rsidRPr="009F19D9">
        <w:rPr>
          <w:rFonts w:ascii="Times New Roman" w:hAnsi="Times New Roman"/>
          <w:snapToGrid/>
          <w:color w:val="auto"/>
          <w:sz w:val="24"/>
          <w:szCs w:val="24"/>
          <w:lang w:eastAsia="en-GB" w:bidi="ar-SA"/>
        </w:rPr>
        <w:t xml:space="preserve">zeta potential </w:t>
      </w:r>
      <w:r w:rsidR="00795184">
        <w:rPr>
          <w:rFonts w:ascii="Times New Roman" w:hAnsi="Times New Roman"/>
          <w:snapToGrid/>
          <w:color w:val="auto"/>
          <w:sz w:val="24"/>
          <w:szCs w:val="24"/>
          <w:lang w:eastAsia="en-GB" w:bidi="ar-SA"/>
        </w:rPr>
        <w:t>measurements</w:t>
      </w:r>
      <w:r w:rsidRPr="009F19D9">
        <w:rPr>
          <w:rFonts w:ascii="Times New Roman" w:hAnsi="Times New Roman"/>
          <w:snapToGrid/>
          <w:color w:val="auto"/>
          <w:sz w:val="24"/>
          <w:szCs w:val="24"/>
          <w:lang w:eastAsia="en-GB" w:bidi="ar-SA"/>
        </w:rPr>
        <w:t xml:space="preserve"> </w:t>
      </w:r>
      <w:r w:rsidR="000B73DA">
        <w:rPr>
          <w:rFonts w:ascii="Times New Roman" w:hAnsi="Times New Roman"/>
          <w:snapToGrid/>
          <w:color w:val="auto"/>
          <w:sz w:val="24"/>
          <w:szCs w:val="24"/>
          <w:lang w:eastAsia="en-GB" w:bidi="ar-SA"/>
        </w:rPr>
        <w:fldChar w:fldCharType="begin"/>
      </w:r>
      <w:r w:rsidR="00EA5690">
        <w:rPr>
          <w:rFonts w:ascii="Times New Roman" w:hAnsi="Times New Roman"/>
          <w:snapToGrid/>
          <w:color w:val="auto"/>
          <w:sz w:val="24"/>
          <w:szCs w:val="24"/>
          <w:lang w:eastAsia="en-GB" w:bidi="ar-SA"/>
        </w:rPr>
        <w:instrText xml:space="preserve"> ADDIN ZOTERO_ITEM CSL_CITATION {"citationID":"7YA18aTs","properties":{"formattedCitation":"(17,30)","plainCitation":"(17,30)","noteIndex":0},"citationItems":[{"id":20,"uris":["http://zotero.org/users/5477069/items/6UINGYJQ"],"uri":["http://zotero.org/users/5477069/items/6UINGYJQ"],"itemData":{"id":20,"type":"article-journal","title":"Stability of parenteral nanoemulsions loaded with paclitaxel: the influence of lipid phase composition, drug concentration and storage temperature","container-title":"Pharmaceutical development and technology","page":"999–1004","volume":"19","issue":"8","source":"Google Scholar","title-short":"Stability of parenteral nanoemulsions loaded with paclitaxel","author":[{"family":"Kadam","given":"Alisha N."},{"family":"Najlah","given":"Mohammad"},{"family":"Wan","given":"Ka-Wai"},{"family":"Ahmed","given":"Waqar"},{"family":"Crean","given":"St John"},{"family":"Phoenix","given":"David A."},{"family":"Taylor","given":"Kevin MG"},{"family":"Elhissi","given":"Abdelbary MA"}],"issued":{"date-parts":[["2014"]]}}},{"id":129,"uris":["http://zotero.org/users/5477069/items/2GEGEAPA"],"uri":["http://zotero.org/users/5477069/items/2GEGEAPA"],"itemData":{"id":129,"type":"article-journal","title":"The effect of temperature and pH on the solubility of quinolone compounds: estimation of heat of fusion","container-title":"Pharmaceutical Research","page":"522-527","volume":"11","issue":"4","source":"PubMed","abstract":"Although many reports involving fluoroquinolone agents have been published in the past decades, only a few address preformulation studies. In this paper, we describe the effect of temperature and pH on the aqueous solubility of two typically used quinolones, ciprofloxacin and norfloxacin. We measured the aqueous solubilities over the pH range of 5.5 to 9.5 at temperature of 6, 25, 30, and 40 degrees C. The intrinsic solubilities and the thermodynamic dissociation constants were determined from solubility data and the temperature dependence of the intrinsic solubility was evaluated using van't Hoff and Hildebrand plots. The heat of fusion was determined from these two plots. When the heat of fusion was compared to that measured from differential scanning calorimetry (DSC) studies, we found that the Hildebrand method overestimated, and the van't Hoff equation underestimated, the heat of fusion. From the absolute values of the relative errors, the Hildebrand plot produced the better results. DSC results show that the heat of fusion is 15.41 kcal/mol for ciprofloxacin and 7.88 kcal/mol for norfloxacin.","ISSN":"0724-8741","note":"PMID: 8058609","title-short":"The effect of temperature and pH on the solubility of quinolone compounds","journalAbbreviation":"Pharm. Res.","language":"eng","author":[{"family":"Yu","given":"X."},{"family":"Zipp","given":"G. L."},{"family":"Davidson","given":"G. W."}],"issued":{"date-parts":[["1994",4]]}}}],"schema":"https://github.com/citation-style-language/schema/raw/master/csl-citation.json"} </w:instrText>
      </w:r>
      <w:r w:rsidR="000B73DA">
        <w:rPr>
          <w:rFonts w:ascii="Times New Roman" w:hAnsi="Times New Roman"/>
          <w:snapToGrid/>
          <w:color w:val="auto"/>
          <w:sz w:val="24"/>
          <w:szCs w:val="24"/>
          <w:lang w:eastAsia="en-GB" w:bidi="ar-SA"/>
        </w:rPr>
        <w:fldChar w:fldCharType="separate"/>
      </w:r>
      <w:r w:rsidR="00EA5690">
        <w:rPr>
          <w:rFonts w:ascii="Times New Roman" w:hAnsi="Times New Roman"/>
          <w:noProof/>
          <w:snapToGrid/>
          <w:color w:val="auto"/>
          <w:sz w:val="24"/>
          <w:szCs w:val="24"/>
          <w:lang w:eastAsia="en-GB" w:bidi="ar-SA"/>
        </w:rPr>
        <w:t>(17,30)</w:t>
      </w:r>
      <w:r w:rsidR="000B73DA">
        <w:rPr>
          <w:rFonts w:ascii="Times New Roman" w:hAnsi="Times New Roman"/>
          <w:snapToGrid/>
          <w:color w:val="auto"/>
          <w:sz w:val="24"/>
          <w:szCs w:val="24"/>
          <w:lang w:eastAsia="en-GB" w:bidi="ar-SA"/>
        </w:rPr>
        <w:fldChar w:fldCharType="end"/>
      </w:r>
      <w:r w:rsidRPr="009F19D9">
        <w:rPr>
          <w:rFonts w:ascii="Times New Roman" w:hAnsi="Times New Roman"/>
          <w:snapToGrid/>
          <w:color w:val="auto"/>
          <w:sz w:val="24"/>
          <w:szCs w:val="24"/>
          <w:lang w:eastAsia="en-GB" w:bidi="ar-SA"/>
        </w:rPr>
        <w:t xml:space="preserve">. In contrast, this effect was not </w:t>
      </w:r>
      <w:r w:rsidR="00795184">
        <w:rPr>
          <w:rFonts w:ascii="Times New Roman" w:hAnsi="Times New Roman"/>
          <w:snapToGrid/>
          <w:color w:val="auto"/>
          <w:sz w:val="24"/>
          <w:szCs w:val="24"/>
          <w:lang w:eastAsia="en-GB" w:bidi="ar-SA"/>
        </w:rPr>
        <w:t>observed</w:t>
      </w:r>
      <w:r w:rsidR="00795184" w:rsidRPr="009F19D9">
        <w:rPr>
          <w:rFonts w:ascii="Times New Roman" w:hAnsi="Times New Roman"/>
          <w:snapToGrid/>
          <w:color w:val="auto"/>
          <w:sz w:val="24"/>
          <w:szCs w:val="24"/>
          <w:lang w:eastAsia="en-GB" w:bidi="ar-SA"/>
        </w:rPr>
        <w:t xml:space="preserve"> </w:t>
      </w:r>
      <w:r w:rsidRPr="009F19D9">
        <w:rPr>
          <w:rFonts w:ascii="Times New Roman" w:hAnsi="Times New Roman"/>
          <w:snapToGrid/>
          <w:color w:val="auto"/>
          <w:sz w:val="24"/>
          <w:szCs w:val="24"/>
          <w:lang w:eastAsia="en-GB" w:bidi="ar-SA"/>
        </w:rPr>
        <w:t xml:space="preserve">in the case of CP formulations </w:t>
      </w:r>
      <w:r w:rsidR="00795184">
        <w:rPr>
          <w:rFonts w:ascii="Times New Roman" w:hAnsi="Times New Roman"/>
          <w:snapToGrid/>
          <w:color w:val="auto"/>
          <w:sz w:val="24"/>
          <w:szCs w:val="24"/>
          <w:lang w:eastAsia="en-GB" w:bidi="ar-SA"/>
        </w:rPr>
        <w:t xml:space="preserve">since </w:t>
      </w:r>
      <w:r w:rsidRPr="009F19D9">
        <w:rPr>
          <w:rFonts w:ascii="Times New Roman" w:hAnsi="Times New Roman"/>
          <w:snapToGrid/>
          <w:color w:val="auto"/>
          <w:sz w:val="24"/>
          <w:szCs w:val="24"/>
          <w:lang w:eastAsia="en-GB" w:bidi="ar-SA"/>
        </w:rPr>
        <w:t xml:space="preserve">only pH values were </w:t>
      </w:r>
      <w:r w:rsidR="00795184" w:rsidRPr="009F19D9">
        <w:rPr>
          <w:rFonts w:ascii="Times New Roman" w:hAnsi="Times New Roman"/>
          <w:snapToGrid/>
          <w:color w:val="auto"/>
          <w:sz w:val="24"/>
          <w:szCs w:val="24"/>
          <w:lang w:eastAsia="en-GB" w:bidi="ar-SA"/>
        </w:rPr>
        <w:t>change</w:t>
      </w:r>
      <w:r w:rsidR="00795184">
        <w:rPr>
          <w:rFonts w:ascii="Times New Roman" w:hAnsi="Times New Roman"/>
          <w:snapToGrid/>
          <w:color w:val="auto"/>
          <w:sz w:val="24"/>
          <w:szCs w:val="24"/>
          <w:lang w:eastAsia="en-GB" w:bidi="ar-SA"/>
        </w:rPr>
        <w:t>d</w:t>
      </w:r>
      <w:r w:rsidR="00795184" w:rsidRPr="009F19D9">
        <w:rPr>
          <w:rFonts w:ascii="Times New Roman" w:hAnsi="Times New Roman"/>
          <w:snapToGrid/>
          <w:color w:val="auto"/>
          <w:sz w:val="24"/>
          <w:szCs w:val="24"/>
          <w:lang w:eastAsia="en-GB" w:bidi="ar-SA"/>
        </w:rPr>
        <w:t xml:space="preserve"> </w:t>
      </w:r>
      <w:r w:rsidRPr="009F19D9">
        <w:rPr>
          <w:rFonts w:ascii="Times New Roman" w:hAnsi="Times New Roman"/>
          <w:snapToGrid/>
          <w:color w:val="auto"/>
          <w:sz w:val="24"/>
          <w:szCs w:val="24"/>
          <w:lang w:eastAsia="en-GB" w:bidi="ar-SA"/>
        </w:rPr>
        <w:t xml:space="preserve">during storage at room temperature. This might be explained by the nature of the chemical structure of CP, classified as a zwitterionic drug, moderating </w:t>
      </w:r>
      <w:r w:rsidR="00795184">
        <w:rPr>
          <w:rFonts w:ascii="Times New Roman" w:hAnsi="Times New Roman"/>
          <w:snapToGrid/>
          <w:color w:val="auto"/>
          <w:sz w:val="24"/>
          <w:szCs w:val="24"/>
          <w:lang w:eastAsia="en-GB" w:bidi="ar-SA"/>
        </w:rPr>
        <w:t>the possible</w:t>
      </w:r>
      <w:r w:rsidR="00795184" w:rsidRPr="009F19D9">
        <w:rPr>
          <w:rFonts w:ascii="Times New Roman" w:hAnsi="Times New Roman"/>
          <w:snapToGrid/>
          <w:color w:val="auto"/>
          <w:sz w:val="24"/>
          <w:szCs w:val="24"/>
          <w:lang w:eastAsia="en-GB" w:bidi="ar-SA"/>
        </w:rPr>
        <w:t xml:space="preserve"> </w:t>
      </w:r>
      <w:r w:rsidRPr="009F19D9">
        <w:rPr>
          <w:rFonts w:ascii="Times New Roman" w:hAnsi="Times New Roman"/>
          <w:snapToGrid/>
          <w:color w:val="auto"/>
          <w:sz w:val="24"/>
          <w:szCs w:val="24"/>
          <w:lang w:eastAsia="en-GB" w:bidi="ar-SA"/>
        </w:rPr>
        <w:t>changes in the pH values</w:t>
      </w:r>
      <w:r w:rsidR="00795184">
        <w:rPr>
          <w:rFonts w:ascii="Times New Roman" w:hAnsi="Times New Roman"/>
          <w:snapToGrid/>
          <w:color w:val="auto"/>
          <w:sz w:val="24"/>
          <w:szCs w:val="24"/>
          <w:lang w:eastAsia="en-GB" w:bidi="ar-SA"/>
        </w:rPr>
        <w:t xml:space="preserve"> of the formulation</w:t>
      </w:r>
      <w:r w:rsidRPr="009F19D9">
        <w:rPr>
          <w:rFonts w:ascii="Times New Roman" w:hAnsi="Times New Roman"/>
          <w:snapToGrid/>
          <w:color w:val="auto"/>
          <w:sz w:val="24"/>
          <w:szCs w:val="24"/>
          <w:lang w:eastAsia="en-GB" w:bidi="ar-SA"/>
        </w:rPr>
        <w:t xml:space="preserve">. This </w:t>
      </w:r>
      <w:r w:rsidR="00795184">
        <w:rPr>
          <w:rFonts w:ascii="Times New Roman" w:hAnsi="Times New Roman"/>
          <w:snapToGrid/>
          <w:color w:val="auto"/>
          <w:sz w:val="24"/>
          <w:szCs w:val="24"/>
          <w:lang w:eastAsia="en-GB" w:bidi="ar-SA"/>
        </w:rPr>
        <w:t>’buffering’ effect</w:t>
      </w:r>
      <w:r w:rsidRPr="009F19D9">
        <w:rPr>
          <w:rFonts w:ascii="Times New Roman" w:hAnsi="Times New Roman"/>
          <w:snapToGrid/>
          <w:color w:val="auto"/>
          <w:sz w:val="24"/>
          <w:szCs w:val="24"/>
          <w:lang w:eastAsia="en-GB" w:bidi="ar-SA"/>
        </w:rPr>
        <w:t xml:space="preserve"> can be noticed when increasing the drug concentration in both nanoemulsion formulations. While Clinoleic pH increased significantly (p&lt; 0.05) from 4.6 to 6.1 when the concentration was increased from 1 to 10 mg/mL, Intralipid pH increased from 3.9 to 5.9 for the same range of drug concentrations (Figure 9b).</w:t>
      </w:r>
      <w:r w:rsidR="005A6214">
        <w:rPr>
          <w:rFonts w:ascii="Times New Roman" w:hAnsi="Times New Roman"/>
          <w:snapToGrid/>
          <w:color w:val="auto"/>
          <w:sz w:val="24"/>
          <w:szCs w:val="24"/>
          <w:lang w:eastAsia="en-GB" w:bidi="ar-SA"/>
        </w:rPr>
        <w:t xml:space="preserve"> </w:t>
      </w:r>
    </w:p>
    <w:p w14:paraId="01EA8688" w14:textId="23EB31C7" w:rsidR="005A6A38" w:rsidRPr="009F19D9" w:rsidRDefault="005A6214" w:rsidP="00795184">
      <w:pPr>
        <w:pStyle w:val="MDPI31text"/>
        <w:spacing w:line="480" w:lineRule="auto"/>
        <w:rPr>
          <w:rFonts w:ascii="Times New Roman" w:hAnsi="Times New Roman"/>
          <w:snapToGrid/>
          <w:color w:val="auto"/>
          <w:sz w:val="24"/>
          <w:szCs w:val="24"/>
          <w:lang w:eastAsia="en-GB" w:bidi="ar-SA"/>
        </w:rPr>
      </w:pPr>
      <w:r>
        <w:rPr>
          <w:rFonts w:ascii="Times New Roman" w:hAnsi="Times New Roman"/>
          <w:snapToGrid/>
          <w:color w:val="auto"/>
          <w:sz w:val="24"/>
          <w:szCs w:val="24"/>
          <w:lang w:eastAsia="en-GB" w:bidi="ar-SA"/>
        </w:rPr>
        <w:t xml:space="preserve">It is worth </w:t>
      </w:r>
      <w:r w:rsidR="00795184">
        <w:rPr>
          <w:rFonts w:ascii="Times New Roman" w:hAnsi="Times New Roman"/>
          <w:snapToGrid/>
          <w:color w:val="auto"/>
          <w:sz w:val="24"/>
          <w:szCs w:val="24"/>
          <w:lang w:eastAsia="en-GB" w:bidi="ar-SA"/>
        </w:rPr>
        <w:t>noting</w:t>
      </w:r>
      <w:r>
        <w:rPr>
          <w:rFonts w:ascii="Times New Roman" w:hAnsi="Times New Roman"/>
          <w:snapToGrid/>
          <w:color w:val="auto"/>
          <w:sz w:val="24"/>
          <w:szCs w:val="24"/>
          <w:lang w:eastAsia="en-GB" w:bidi="ar-SA"/>
        </w:rPr>
        <w:t xml:space="preserve"> that these changes</w:t>
      </w:r>
      <w:r w:rsidR="00076E51">
        <w:rPr>
          <w:rFonts w:ascii="Times New Roman" w:hAnsi="Times New Roman"/>
          <w:snapToGrid/>
          <w:color w:val="auto"/>
          <w:sz w:val="24"/>
          <w:szCs w:val="24"/>
          <w:lang w:eastAsia="en-GB" w:bidi="ar-SA"/>
        </w:rPr>
        <w:t xml:space="preserve"> on</w:t>
      </w:r>
      <w:r>
        <w:rPr>
          <w:rFonts w:ascii="Times New Roman" w:hAnsi="Times New Roman"/>
          <w:snapToGrid/>
          <w:color w:val="auto"/>
          <w:sz w:val="24"/>
          <w:szCs w:val="24"/>
          <w:lang w:eastAsia="en-GB" w:bidi="ar-SA"/>
        </w:rPr>
        <w:t xml:space="preserve"> pH values were not </w:t>
      </w:r>
      <w:r w:rsidR="00076E51">
        <w:rPr>
          <w:rFonts w:ascii="Times New Roman" w:hAnsi="Times New Roman"/>
          <w:snapToGrid/>
          <w:color w:val="auto"/>
          <w:sz w:val="24"/>
          <w:szCs w:val="24"/>
          <w:lang w:eastAsia="en-GB" w:bidi="ar-SA"/>
        </w:rPr>
        <w:t>observed for both nanoemu</w:t>
      </w:r>
      <w:r w:rsidR="00A12B90">
        <w:rPr>
          <w:rFonts w:ascii="Times New Roman" w:hAnsi="Times New Roman"/>
          <w:snapToGrid/>
          <w:color w:val="auto"/>
          <w:sz w:val="24"/>
          <w:szCs w:val="24"/>
          <w:lang w:eastAsia="en-GB" w:bidi="ar-SA"/>
        </w:rPr>
        <w:t>l</w:t>
      </w:r>
      <w:r w:rsidR="00076E51">
        <w:rPr>
          <w:rFonts w:ascii="Times New Roman" w:hAnsi="Times New Roman"/>
          <w:snapToGrid/>
          <w:color w:val="auto"/>
          <w:sz w:val="24"/>
          <w:szCs w:val="24"/>
          <w:lang w:eastAsia="en-GB" w:bidi="ar-SA"/>
        </w:rPr>
        <w:t xml:space="preserve">sions when </w:t>
      </w:r>
      <w:r w:rsidR="00795184">
        <w:rPr>
          <w:rFonts w:ascii="Times New Roman" w:hAnsi="Times New Roman"/>
          <w:snapToGrid/>
          <w:color w:val="auto"/>
          <w:sz w:val="24"/>
          <w:szCs w:val="24"/>
          <w:lang w:eastAsia="en-GB" w:bidi="ar-SA"/>
        </w:rPr>
        <w:t xml:space="preserve">they were </w:t>
      </w:r>
      <w:r w:rsidR="00076E51">
        <w:rPr>
          <w:rFonts w:ascii="Times New Roman" w:hAnsi="Times New Roman"/>
          <w:snapToGrid/>
          <w:color w:val="auto"/>
          <w:sz w:val="24"/>
          <w:szCs w:val="24"/>
          <w:lang w:eastAsia="en-GB" w:bidi="ar-SA"/>
        </w:rPr>
        <w:t>stored in their original sealed bags (data not shown). This might indicate that when more cautious procedures for drug loading are applied (</w:t>
      </w:r>
      <w:r w:rsidR="00795184">
        <w:rPr>
          <w:rFonts w:ascii="Times New Roman" w:hAnsi="Times New Roman"/>
          <w:snapToGrid/>
          <w:color w:val="auto"/>
          <w:sz w:val="24"/>
          <w:szCs w:val="24"/>
          <w:lang w:eastAsia="en-GB" w:bidi="ar-SA"/>
        </w:rPr>
        <w:t>e.g. within sterile area</w:t>
      </w:r>
      <w:r w:rsidR="00076E51">
        <w:rPr>
          <w:rFonts w:ascii="Times New Roman" w:hAnsi="Times New Roman"/>
          <w:snapToGrid/>
          <w:color w:val="auto"/>
          <w:sz w:val="24"/>
          <w:szCs w:val="24"/>
          <w:lang w:eastAsia="en-GB" w:bidi="ar-SA"/>
        </w:rPr>
        <w:t xml:space="preserve">), more stable formulations at room temperature </w:t>
      </w:r>
      <w:r w:rsidR="00795184">
        <w:rPr>
          <w:rFonts w:ascii="Times New Roman" w:hAnsi="Times New Roman"/>
          <w:snapToGrid/>
          <w:color w:val="auto"/>
          <w:sz w:val="24"/>
          <w:szCs w:val="24"/>
          <w:lang w:eastAsia="en-GB" w:bidi="ar-SA"/>
        </w:rPr>
        <w:t xml:space="preserve">should be </w:t>
      </w:r>
      <w:r w:rsidR="00076E51">
        <w:rPr>
          <w:rFonts w:ascii="Times New Roman" w:hAnsi="Times New Roman"/>
          <w:snapToGrid/>
          <w:color w:val="auto"/>
          <w:sz w:val="24"/>
          <w:szCs w:val="24"/>
          <w:lang w:eastAsia="en-GB" w:bidi="ar-SA"/>
        </w:rPr>
        <w:t xml:space="preserve">expected.     </w:t>
      </w:r>
    </w:p>
    <w:p w14:paraId="1D37CAD4" w14:textId="77777777" w:rsidR="005A6A38" w:rsidRPr="008E078E" w:rsidRDefault="005A6A38" w:rsidP="005A6A38">
      <w:pPr>
        <w:pStyle w:val="MDPI31text"/>
        <w:rPr>
          <w:lang w:val="en-GB" w:bidi="ar-SA"/>
        </w:rPr>
      </w:pPr>
    </w:p>
    <w:p w14:paraId="60D528ED" w14:textId="0FDF9080" w:rsidR="00076E51" w:rsidRDefault="005A6A38" w:rsidP="00795184">
      <w:pPr>
        <w:pStyle w:val="MDPI31text"/>
        <w:spacing w:line="480" w:lineRule="auto"/>
        <w:rPr>
          <w:rFonts w:ascii="Times New Roman" w:hAnsi="Times New Roman"/>
          <w:snapToGrid/>
          <w:color w:val="auto"/>
          <w:sz w:val="24"/>
          <w:szCs w:val="24"/>
          <w:lang w:eastAsia="en-GB" w:bidi="ar-SA"/>
        </w:rPr>
      </w:pPr>
      <w:r w:rsidRPr="009F19D9">
        <w:rPr>
          <w:rFonts w:ascii="Times New Roman" w:hAnsi="Times New Roman"/>
          <w:snapToGrid/>
          <w:color w:val="auto"/>
          <w:sz w:val="24"/>
          <w:szCs w:val="24"/>
          <w:lang w:eastAsia="en-GB" w:bidi="ar-SA"/>
        </w:rPr>
        <w:t>Although both nanoemulsion formulations behave</w:t>
      </w:r>
      <w:r w:rsidR="00795184">
        <w:rPr>
          <w:rFonts w:ascii="Times New Roman" w:hAnsi="Times New Roman"/>
          <w:snapToGrid/>
          <w:color w:val="auto"/>
          <w:sz w:val="24"/>
          <w:szCs w:val="24"/>
          <w:lang w:eastAsia="en-GB" w:bidi="ar-SA"/>
        </w:rPr>
        <w:t>d</w:t>
      </w:r>
      <w:r w:rsidRPr="009F19D9">
        <w:rPr>
          <w:rFonts w:ascii="Times New Roman" w:hAnsi="Times New Roman"/>
          <w:snapToGrid/>
          <w:color w:val="auto"/>
          <w:sz w:val="24"/>
          <w:szCs w:val="24"/>
          <w:lang w:eastAsia="en-GB" w:bidi="ar-SA"/>
        </w:rPr>
        <w:t xml:space="preserve"> similarly in terms of in vitro tests, it has been reported that after 24 h of in vivo application, Clinoleic parenteral </w:t>
      </w:r>
      <w:r w:rsidRPr="009F19D9">
        <w:rPr>
          <w:rFonts w:ascii="Times New Roman" w:hAnsi="Times New Roman"/>
          <w:snapToGrid/>
          <w:color w:val="auto"/>
          <w:sz w:val="24"/>
          <w:szCs w:val="24"/>
          <w:lang w:eastAsia="en-GB" w:bidi="ar-SA"/>
        </w:rPr>
        <w:lastRenderedPageBreak/>
        <w:t xml:space="preserve">nanoemulsion </w:t>
      </w:r>
      <w:r w:rsidR="00795184">
        <w:rPr>
          <w:rFonts w:ascii="Times New Roman" w:hAnsi="Times New Roman"/>
          <w:snapToGrid/>
          <w:color w:val="auto"/>
          <w:sz w:val="24"/>
          <w:szCs w:val="24"/>
          <w:lang w:eastAsia="en-GB" w:bidi="ar-SA"/>
        </w:rPr>
        <w:t>may</w:t>
      </w:r>
      <w:r w:rsidR="00795184" w:rsidRPr="009F19D9">
        <w:rPr>
          <w:rFonts w:ascii="Times New Roman" w:hAnsi="Times New Roman"/>
          <w:snapToGrid/>
          <w:color w:val="auto"/>
          <w:sz w:val="24"/>
          <w:szCs w:val="24"/>
          <w:lang w:eastAsia="en-GB" w:bidi="ar-SA"/>
        </w:rPr>
        <w:t xml:space="preserve"> </w:t>
      </w:r>
      <w:r w:rsidRPr="009F19D9">
        <w:rPr>
          <w:rFonts w:ascii="Times New Roman" w:hAnsi="Times New Roman"/>
          <w:snapToGrid/>
          <w:color w:val="auto"/>
          <w:sz w:val="24"/>
          <w:szCs w:val="24"/>
          <w:lang w:eastAsia="en-GB" w:bidi="ar-SA"/>
        </w:rPr>
        <w:t xml:space="preserve">cause </w:t>
      </w:r>
      <w:r w:rsidR="00A12B90">
        <w:rPr>
          <w:rFonts w:ascii="Times New Roman" w:hAnsi="Times New Roman"/>
          <w:snapToGrid/>
          <w:color w:val="auto"/>
          <w:sz w:val="24"/>
          <w:szCs w:val="24"/>
          <w:lang w:eastAsia="en-GB" w:bidi="ar-SA"/>
        </w:rPr>
        <w:t>fewer</w:t>
      </w:r>
      <w:r w:rsidR="00A12B90" w:rsidRPr="009F19D9">
        <w:rPr>
          <w:rFonts w:ascii="Times New Roman" w:hAnsi="Times New Roman"/>
          <w:snapToGrid/>
          <w:color w:val="auto"/>
          <w:sz w:val="24"/>
          <w:szCs w:val="24"/>
          <w:lang w:eastAsia="en-GB" w:bidi="ar-SA"/>
        </w:rPr>
        <w:t xml:space="preserve"> </w:t>
      </w:r>
      <w:r w:rsidRPr="009F19D9">
        <w:rPr>
          <w:rFonts w:ascii="Times New Roman" w:hAnsi="Times New Roman"/>
          <w:snapToGrid/>
          <w:color w:val="auto"/>
          <w:sz w:val="24"/>
          <w:szCs w:val="24"/>
          <w:lang w:eastAsia="en-GB" w:bidi="ar-SA"/>
        </w:rPr>
        <w:t xml:space="preserve">side effects than Intralipid parenteral formulations </w:t>
      </w:r>
      <w:r w:rsidR="000B73DA">
        <w:rPr>
          <w:rFonts w:ascii="Times New Roman" w:hAnsi="Times New Roman"/>
          <w:snapToGrid/>
          <w:color w:val="auto"/>
          <w:sz w:val="24"/>
          <w:szCs w:val="24"/>
          <w:lang w:eastAsia="en-GB" w:bidi="ar-SA"/>
        </w:rPr>
        <w:fldChar w:fldCharType="begin"/>
      </w:r>
      <w:r w:rsidR="00EA5690">
        <w:rPr>
          <w:rFonts w:ascii="Times New Roman" w:hAnsi="Times New Roman"/>
          <w:snapToGrid/>
          <w:color w:val="auto"/>
          <w:sz w:val="24"/>
          <w:szCs w:val="24"/>
          <w:lang w:eastAsia="en-GB" w:bidi="ar-SA"/>
        </w:rPr>
        <w:instrText xml:space="preserve"> ADDIN ZOTERO_ITEM CSL_CITATION {"citationID":"qkQchIkV","properties":{"formattedCitation":"(36)","plainCitation":"(36)","noteIndex":0},"citationItems":[{"id":635,"uris":["http://zotero.org/users/5477069/items/9DR9ZZ54"],"uri":["http://zotero.org/users/5477069/items/9DR9ZZ54"],"itemData":{"id":635,"type":"article-journal","title":"Substitution of standard soybean oil with olive oil-based lipid emulsion in parenteral nutrition: comparison of vascular, metabolic, and inflammatory effects","container-title":"The Journal of Clinical Endocrinology and Metabolism","page":"3207-3216","volume":"96","issue":"10","source":"PubMed","abstract":"CONTEXT: Soybean oil-based lipid emulsions are the only Food and Drug Administration-approved lipid formulation for clinical use in parenteral nutrition (PN). Recently concerns with its use have been raised due to the proinflammatory effects that may lead to increased complications because they are rich in ω-6 polyunsaturated fatty acids.\nMETHODS: This was a prospective, randomized, controlled, crossover study comparing the vascular, metabolic, immune, and inflammatory effects of 24-h infusion of PN containing soybean oil-based lipid emulsion (Intralipid), olive oil-based (ClinOleic), lipid free, and normal saline in 12 healthy subjects.\nRESULTS: Soybean oil-PN increased systolic blood pressure compared with olive oil-PN (P &lt; 0.05). Soybean oil PN reduced brachial artery flow-mediated dilatation from baseline (-23% at 4 h and -25% at 24 h, both P &lt; 0.01); in contrast, olive oil PN, lipid free PN, and saline did not change either systolic blood pressure or flow-mediated dilatation. Compared with saline, soybean oil PN, olive oil PN, and lipid free PN similarly increased glucose and insulin concentrations during infusion (P &lt; 0.05). There were no significant changes in plasma free fatty acids, lipid profile, inflammatory and oxidative stress markers, immune function parameters, or sympathetic activity between soybean oil- and olive oil-based lipid emulsions.\nCONCLUSION: The 24-h infusion of PN containing soybean oil-based lipid emulsion increased blood pressure and impaired endothelial function compared with PN containing olive oil-based lipid emulsion and lipid-free PN in healthy subjects. These vascular changes may have significant implications in worsening outcome in subjects receiving nutrition support. Randomized controlled trials with relevant clinical outcome measures are needed in patients receiving PN with olive oil-based and soybean oil-based lipid emulsions.","DOI":"10.1210/jc.2011-0480","ISSN":"1945-7197","note":"PMID: 21832112\nPMCID: PMC3200250","title-short":"Substitution of standard soybean oil with olive oil-based lipid emulsion in parenteral nutrition","journalAbbreviation":"J. Clin. Endocrinol. Metab.","language":"eng","author":[{"family":"Siqueira","given":"Joselita"},{"family":"Smiley","given":"Dawn"},{"family":"Newton","given":"Christopher"},{"family":"Le","given":"Ngoc-Anh"},{"family":"Gosmanov","given":"Aidar R."},{"family":"Spiegelman","given":"Ronnie"},{"family":"Peng","given":"Limin"},{"family":"Osteen","given":"Samantha J."},{"family":"Jones","given":"Dean P."},{"family":"Quyyumi","given":"Arshed A."},{"family":"Ziegler","given":"Thomas R."},{"family":"Umpierrez","given":"Guillermo E."}],"issued":{"date-parts":[["2011",10]]}}}],"schema":"https://github.com/citation-style-language/schema/raw/master/csl-citation.json"} </w:instrText>
      </w:r>
      <w:r w:rsidR="000B73DA">
        <w:rPr>
          <w:rFonts w:ascii="Times New Roman" w:hAnsi="Times New Roman"/>
          <w:snapToGrid/>
          <w:color w:val="auto"/>
          <w:sz w:val="24"/>
          <w:szCs w:val="24"/>
          <w:lang w:eastAsia="en-GB" w:bidi="ar-SA"/>
        </w:rPr>
        <w:fldChar w:fldCharType="separate"/>
      </w:r>
      <w:r w:rsidR="00EA5690">
        <w:rPr>
          <w:rFonts w:ascii="Times New Roman" w:hAnsi="Times New Roman"/>
          <w:noProof/>
          <w:snapToGrid/>
          <w:color w:val="auto"/>
          <w:sz w:val="24"/>
          <w:szCs w:val="24"/>
          <w:lang w:eastAsia="en-GB" w:bidi="ar-SA"/>
        </w:rPr>
        <w:t>(36)</w:t>
      </w:r>
      <w:r w:rsidR="000B73DA">
        <w:rPr>
          <w:rFonts w:ascii="Times New Roman" w:hAnsi="Times New Roman"/>
          <w:snapToGrid/>
          <w:color w:val="auto"/>
          <w:sz w:val="24"/>
          <w:szCs w:val="24"/>
          <w:lang w:eastAsia="en-GB" w:bidi="ar-SA"/>
        </w:rPr>
        <w:fldChar w:fldCharType="end"/>
      </w:r>
      <w:r w:rsidRPr="009F19D9">
        <w:rPr>
          <w:rFonts w:ascii="Times New Roman" w:hAnsi="Times New Roman"/>
          <w:snapToGrid/>
          <w:color w:val="auto"/>
          <w:sz w:val="24"/>
          <w:szCs w:val="24"/>
          <w:lang w:eastAsia="en-GB" w:bidi="ar-SA"/>
        </w:rPr>
        <w:t>. It was found that Intralipid parenteral nanoemulsion might increase blood pressure, endothelial dysfunction and inflammatory reactions, due to the presence of soybean oil. However, these effects were not observed for olive oil (i.e. in Clinoleic formulations)</w:t>
      </w:r>
      <w:r w:rsidR="000B73DA">
        <w:rPr>
          <w:rFonts w:ascii="Times New Roman" w:hAnsi="Times New Roman"/>
          <w:snapToGrid/>
          <w:color w:val="auto"/>
          <w:sz w:val="24"/>
          <w:szCs w:val="24"/>
          <w:lang w:eastAsia="en-GB" w:bidi="ar-SA"/>
        </w:rPr>
        <w:t xml:space="preserve">. </w:t>
      </w:r>
      <w:r w:rsidRPr="009F19D9">
        <w:rPr>
          <w:rFonts w:ascii="Times New Roman" w:hAnsi="Times New Roman"/>
          <w:snapToGrid/>
          <w:color w:val="auto"/>
          <w:sz w:val="24"/>
          <w:szCs w:val="24"/>
          <w:lang w:eastAsia="en-GB" w:bidi="ar-SA"/>
        </w:rPr>
        <w:t xml:space="preserve">Nevertheless, both nanoemulsion carriers are approved by regulatory </w:t>
      </w:r>
      <w:r w:rsidR="00795184">
        <w:rPr>
          <w:rFonts w:ascii="Times New Roman" w:hAnsi="Times New Roman"/>
          <w:snapToGrid/>
          <w:color w:val="auto"/>
          <w:sz w:val="24"/>
          <w:szCs w:val="24"/>
          <w:lang w:eastAsia="en-GB" w:bidi="ar-SA"/>
        </w:rPr>
        <w:t>authorities</w:t>
      </w:r>
      <w:r w:rsidR="00795184" w:rsidRPr="009F19D9">
        <w:rPr>
          <w:rFonts w:ascii="Times New Roman" w:hAnsi="Times New Roman"/>
          <w:snapToGrid/>
          <w:color w:val="auto"/>
          <w:sz w:val="24"/>
          <w:szCs w:val="24"/>
          <w:lang w:eastAsia="en-GB" w:bidi="ar-SA"/>
        </w:rPr>
        <w:t xml:space="preserve"> </w:t>
      </w:r>
      <w:r w:rsidRPr="009F19D9">
        <w:rPr>
          <w:rFonts w:ascii="Times New Roman" w:hAnsi="Times New Roman"/>
          <w:snapToGrid/>
          <w:color w:val="auto"/>
          <w:sz w:val="24"/>
          <w:szCs w:val="24"/>
          <w:lang w:eastAsia="en-GB" w:bidi="ar-SA"/>
        </w:rPr>
        <w:t xml:space="preserve">in Europe and USA </w:t>
      </w:r>
      <w:r w:rsidR="000B73DA" w:rsidRPr="009F19D9">
        <w:rPr>
          <w:rFonts w:ascii="Times New Roman" w:hAnsi="Times New Roman"/>
          <w:snapToGrid/>
          <w:color w:val="auto"/>
          <w:sz w:val="24"/>
          <w:szCs w:val="24"/>
          <w:lang w:eastAsia="en-GB" w:bidi="ar-SA"/>
        </w:rPr>
        <w:t xml:space="preserve"> </w:t>
      </w:r>
      <w:r w:rsidR="000B73DA">
        <w:rPr>
          <w:rFonts w:ascii="Times New Roman" w:hAnsi="Times New Roman"/>
          <w:snapToGrid/>
          <w:color w:val="auto"/>
          <w:sz w:val="24"/>
          <w:szCs w:val="24"/>
          <w:lang w:eastAsia="en-GB" w:bidi="ar-SA"/>
        </w:rPr>
        <w:fldChar w:fldCharType="begin"/>
      </w:r>
      <w:r w:rsidR="00EA5690">
        <w:rPr>
          <w:rFonts w:ascii="Times New Roman" w:hAnsi="Times New Roman"/>
          <w:snapToGrid/>
          <w:color w:val="auto"/>
          <w:sz w:val="24"/>
          <w:szCs w:val="24"/>
          <w:lang w:eastAsia="en-GB" w:bidi="ar-SA"/>
        </w:rPr>
        <w:instrText xml:space="preserve"> ADDIN ZOTERO_ITEM CSL_CITATION {"citationID":"WJdtLMcn","properties":{"formattedCitation":"(36)","plainCitation":"(36)","noteIndex":0},"citationItems":[{"id":635,"uris":["http://zotero.org/users/5477069/items/9DR9ZZ54"],"uri":["http://zotero.org/users/5477069/items/9DR9ZZ54"],"itemData":{"id":635,"type":"article-journal","title":"Substitution of standard soybean oil with olive oil-based lipid emulsion in parenteral nutrition: comparison of vascular, metabolic, and inflammatory effects","container-title":"The Journal of Clinical Endocrinology and Metabolism","page":"3207-3216","volume":"96","issue":"10","source":"PubMed","abstract":"CONTEXT: Soybean oil-based lipid emulsions are the only Food and Drug Administration-approved lipid formulation for clinical use in parenteral nutrition (PN). Recently concerns with its use have been raised due to the proinflammatory effects that may lead to increased complications because they are rich in ω-6 polyunsaturated fatty acids.\nMETHODS: This was a prospective, randomized, controlled, crossover study comparing the vascular, metabolic, immune, and inflammatory effects of 24-h infusion of PN containing soybean oil-based lipid emulsion (Intralipid), olive oil-based (ClinOleic), lipid free, and normal saline in 12 healthy subjects.\nRESULTS: Soybean oil-PN increased systolic blood pressure compared with olive oil-PN (P &lt; 0.05). Soybean oil PN reduced brachial artery flow-mediated dilatation from baseline (-23% at 4 h and -25% at 24 h, both P &lt; 0.01); in contrast, olive oil PN, lipid free PN, and saline did not change either systolic blood pressure or flow-mediated dilatation. Compared with saline, soybean oil PN, olive oil PN, and lipid free PN similarly increased glucose and insulin concentrations during infusion (P &lt; 0.05). There were no significant changes in plasma free fatty acids, lipid profile, inflammatory and oxidative stress markers, immune function parameters, or sympathetic activity between soybean oil- and olive oil-based lipid emulsions.\nCONCLUSION: The 24-h infusion of PN containing soybean oil-based lipid emulsion increased blood pressure and impaired endothelial function compared with PN containing olive oil-based lipid emulsion and lipid-free PN in healthy subjects. These vascular changes may have significant implications in worsening outcome in subjects receiving nutrition support. Randomized controlled trials with relevant clinical outcome measures are needed in patients receiving PN with olive oil-based and soybean oil-based lipid emulsions.","DOI":"10.1210/jc.2011-0480","ISSN":"1945-7197","note":"PMID: 21832112\nPMCID: PMC3200250","title-short":"Substitution of standard soybean oil with olive oil-based lipid emulsion in parenteral nutrition","journalAbbreviation":"J. Clin. Endocrinol. Metab.","language":"eng","author":[{"family":"Siqueira","given":"Joselita"},{"family":"Smiley","given":"Dawn"},{"family":"Newton","given":"Christopher"},{"family":"Le","given":"Ngoc-Anh"},{"family":"Gosmanov","given":"Aidar R."},{"family":"Spiegelman","given":"Ronnie"},{"family":"Peng","given":"Limin"},{"family":"Osteen","given":"Samantha J."},{"family":"Jones","given":"Dean P."},{"family":"Quyyumi","given":"Arshed A."},{"family":"Ziegler","given":"Thomas R."},{"family":"Umpierrez","given":"Guillermo E."}],"issued":{"date-parts":[["2011",10]]}}}],"schema":"https://github.com/citation-style-language/schema/raw/master/csl-citation.json"} </w:instrText>
      </w:r>
      <w:r w:rsidR="000B73DA">
        <w:rPr>
          <w:rFonts w:ascii="Times New Roman" w:hAnsi="Times New Roman"/>
          <w:snapToGrid/>
          <w:color w:val="auto"/>
          <w:sz w:val="24"/>
          <w:szCs w:val="24"/>
          <w:lang w:eastAsia="en-GB" w:bidi="ar-SA"/>
        </w:rPr>
        <w:fldChar w:fldCharType="separate"/>
      </w:r>
      <w:r w:rsidR="00EA5690">
        <w:rPr>
          <w:rFonts w:ascii="Times New Roman" w:hAnsi="Times New Roman"/>
          <w:noProof/>
          <w:snapToGrid/>
          <w:color w:val="auto"/>
          <w:sz w:val="24"/>
          <w:szCs w:val="24"/>
          <w:lang w:eastAsia="en-GB" w:bidi="ar-SA"/>
        </w:rPr>
        <w:t>(36)</w:t>
      </w:r>
      <w:r w:rsidR="000B73DA">
        <w:rPr>
          <w:rFonts w:ascii="Times New Roman" w:hAnsi="Times New Roman"/>
          <w:snapToGrid/>
          <w:color w:val="auto"/>
          <w:sz w:val="24"/>
          <w:szCs w:val="24"/>
          <w:lang w:eastAsia="en-GB" w:bidi="ar-SA"/>
        </w:rPr>
        <w:fldChar w:fldCharType="end"/>
      </w:r>
      <w:r w:rsidRPr="009F19D9">
        <w:rPr>
          <w:rFonts w:ascii="Times New Roman" w:hAnsi="Times New Roman"/>
          <w:snapToGrid/>
          <w:color w:val="auto"/>
          <w:sz w:val="24"/>
          <w:szCs w:val="24"/>
          <w:lang w:eastAsia="en-GB" w:bidi="ar-SA"/>
        </w:rPr>
        <w:t xml:space="preserve">. </w:t>
      </w:r>
    </w:p>
    <w:p w14:paraId="7342AA71" w14:textId="2BF16C52" w:rsidR="008C0B71" w:rsidRDefault="008C0B71" w:rsidP="008C0B71">
      <w:pPr>
        <w:pStyle w:val="Heading1"/>
        <w:numPr>
          <w:ilvl w:val="0"/>
          <w:numId w:val="31"/>
        </w:numPr>
        <w:rPr>
          <w:szCs w:val="24"/>
        </w:rPr>
      </w:pPr>
      <w:r>
        <w:t>C</w:t>
      </w:r>
      <w:r w:rsidRPr="008C0B71">
        <w:t>onclusion</w:t>
      </w:r>
      <w:r w:rsidRPr="008C0B71">
        <w:rPr>
          <w:szCs w:val="24"/>
        </w:rPr>
        <w:tab/>
      </w:r>
    </w:p>
    <w:p w14:paraId="2B433E36" w14:textId="085B6AF0" w:rsidR="006130F9" w:rsidRDefault="00BE0B09" w:rsidP="00795184">
      <w:pPr>
        <w:pStyle w:val="MDPI31text"/>
        <w:spacing w:line="480" w:lineRule="auto"/>
        <w:rPr>
          <w:rFonts w:ascii="Times New Roman" w:hAnsi="Times New Roman"/>
          <w:snapToGrid/>
          <w:color w:val="auto"/>
          <w:sz w:val="24"/>
          <w:szCs w:val="24"/>
          <w:lang w:eastAsia="en-GB" w:bidi="ar-SA"/>
        </w:rPr>
      </w:pPr>
      <w:r>
        <w:rPr>
          <w:rFonts w:ascii="Times New Roman" w:hAnsi="Times New Roman"/>
          <w:snapToGrid/>
          <w:color w:val="auto"/>
          <w:sz w:val="24"/>
          <w:szCs w:val="24"/>
          <w:lang w:val="en-GB" w:eastAsia="en-GB" w:bidi="ar-SA"/>
        </w:rPr>
        <w:t>L</w:t>
      </w:r>
      <w:r w:rsidRPr="008C0B71">
        <w:rPr>
          <w:rFonts w:ascii="Times New Roman" w:hAnsi="Times New Roman"/>
          <w:snapToGrid/>
          <w:color w:val="auto"/>
          <w:sz w:val="24"/>
          <w:szCs w:val="24"/>
          <w:lang w:val="en-GB" w:eastAsia="en-GB" w:bidi="ar-SA"/>
        </w:rPr>
        <w:t>icensed</w:t>
      </w:r>
      <w:r w:rsidR="008C0B71" w:rsidRPr="008C0B71">
        <w:rPr>
          <w:rFonts w:ascii="Times New Roman" w:hAnsi="Times New Roman"/>
          <w:snapToGrid/>
          <w:color w:val="auto"/>
          <w:sz w:val="24"/>
          <w:szCs w:val="24"/>
          <w:lang w:val="en-GB" w:eastAsia="en-GB" w:bidi="ar-SA"/>
        </w:rPr>
        <w:t xml:space="preserve"> parenteral nutrition nanoemulsions, Clinoleic</w:t>
      </w:r>
      <w:r w:rsidR="008C0B71" w:rsidRPr="008C0B71">
        <w:rPr>
          <w:rFonts w:ascii="Times New Roman" w:hAnsi="Times New Roman"/>
          <w:snapToGrid/>
          <w:color w:val="auto"/>
          <w:sz w:val="24"/>
          <w:szCs w:val="24"/>
          <w:vertAlign w:val="superscript"/>
          <w:lang w:val="en-GB" w:eastAsia="en-GB" w:bidi="ar-SA"/>
        </w:rPr>
        <w:t>®</w:t>
      </w:r>
      <w:r w:rsidR="008C0B71" w:rsidRPr="008C0B71">
        <w:rPr>
          <w:rFonts w:ascii="Times New Roman" w:hAnsi="Times New Roman"/>
          <w:snapToGrid/>
          <w:color w:val="auto"/>
          <w:sz w:val="24"/>
          <w:szCs w:val="24"/>
          <w:lang w:val="en-GB" w:eastAsia="en-GB" w:bidi="ar-SA"/>
        </w:rPr>
        <w:t xml:space="preserve"> and Intralipid</w:t>
      </w:r>
      <w:r w:rsidR="008C0B71" w:rsidRPr="008C0B71">
        <w:rPr>
          <w:rFonts w:ascii="Times New Roman" w:hAnsi="Times New Roman"/>
          <w:snapToGrid/>
          <w:color w:val="auto"/>
          <w:sz w:val="24"/>
          <w:szCs w:val="24"/>
          <w:vertAlign w:val="superscript"/>
          <w:lang w:val="en-GB" w:eastAsia="en-GB" w:bidi="ar-SA"/>
        </w:rPr>
        <w:t>®</w:t>
      </w:r>
      <w:r w:rsidR="008C0B71" w:rsidRPr="008C0B71">
        <w:rPr>
          <w:rFonts w:ascii="Times New Roman" w:hAnsi="Times New Roman"/>
          <w:snapToGrid/>
          <w:color w:val="auto"/>
          <w:sz w:val="24"/>
          <w:szCs w:val="24"/>
          <w:lang w:val="en-GB" w:eastAsia="en-GB" w:bidi="ar-SA"/>
        </w:rPr>
        <w:t xml:space="preserve"> were success</w:t>
      </w:r>
      <w:r w:rsidR="008C0B71">
        <w:rPr>
          <w:rFonts w:ascii="Times New Roman" w:hAnsi="Times New Roman"/>
          <w:snapToGrid/>
          <w:color w:val="auto"/>
          <w:sz w:val="24"/>
          <w:szCs w:val="24"/>
          <w:lang w:val="en-GB" w:eastAsia="en-GB" w:bidi="ar-SA"/>
        </w:rPr>
        <w:t>fully loaded with</w:t>
      </w:r>
      <w:r w:rsidR="008C0B71" w:rsidRPr="008C0B71">
        <w:rPr>
          <w:rFonts w:ascii="Times New Roman" w:hAnsi="Times New Roman"/>
          <w:snapToGrid/>
          <w:color w:val="auto"/>
          <w:sz w:val="24"/>
          <w:szCs w:val="24"/>
          <w:lang w:val="en-GB" w:eastAsia="en-GB" w:bidi="ar-SA"/>
        </w:rPr>
        <w:t xml:space="preserve"> </w:t>
      </w:r>
      <w:r w:rsidR="00EB778B">
        <w:rPr>
          <w:rFonts w:ascii="Times New Roman" w:hAnsi="Times New Roman"/>
          <w:snapToGrid/>
          <w:color w:val="auto"/>
          <w:sz w:val="24"/>
          <w:szCs w:val="24"/>
          <w:lang w:val="en-GB" w:eastAsia="en-GB" w:bidi="ar-SA"/>
        </w:rPr>
        <w:t>c</w:t>
      </w:r>
      <w:r w:rsidR="008C0B71">
        <w:rPr>
          <w:rFonts w:ascii="Times New Roman" w:hAnsi="Times New Roman"/>
          <w:snapToGrid/>
          <w:color w:val="auto"/>
          <w:sz w:val="24"/>
          <w:szCs w:val="24"/>
          <w:lang w:val="en-GB" w:eastAsia="en-GB" w:bidi="ar-SA"/>
        </w:rPr>
        <w:t xml:space="preserve">iprofloxacin at </w:t>
      </w:r>
      <w:r w:rsidR="00EB778B">
        <w:rPr>
          <w:rFonts w:ascii="Times New Roman" w:hAnsi="Times New Roman"/>
          <w:snapToGrid/>
          <w:color w:val="auto"/>
          <w:sz w:val="24"/>
          <w:szCs w:val="24"/>
          <w:lang w:val="en-GB" w:eastAsia="en-GB" w:bidi="ar-SA"/>
        </w:rPr>
        <w:t xml:space="preserve">a </w:t>
      </w:r>
      <w:r w:rsidR="008C0B71">
        <w:rPr>
          <w:rFonts w:ascii="Times New Roman" w:hAnsi="Times New Roman"/>
          <w:snapToGrid/>
          <w:color w:val="auto"/>
          <w:sz w:val="24"/>
          <w:szCs w:val="24"/>
          <w:lang w:val="en-GB" w:eastAsia="en-GB" w:bidi="ar-SA"/>
        </w:rPr>
        <w:t xml:space="preserve">range </w:t>
      </w:r>
      <w:r w:rsidR="00EB778B">
        <w:rPr>
          <w:rFonts w:ascii="Times New Roman" w:hAnsi="Times New Roman"/>
          <w:snapToGrid/>
          <w:color w:val="auto"/>
          <w:sz w:val="24"/>
          <w:szCs w:val="24"/>
          <w:lang w:val="en-GB" w:eastAsia="en-GB" w:bidi="ar-SA"/>
        </w:rPr>
        <w:t xml:space="preserve">of </w:t>
      </w:r>
      <w:r w:rsidR="008C0B71">
        <w:rPr>
          <w:rFonts w:ascii="Times New Roman" w:hAnsi="Times New Roman"/>
          <w:snapToGrid/>
          <w:color w:val="auto"/>
          <w:sz w:val="24"/>
          <w:szCs w:val="24"/>
          <w:lang w:val="en-GB" w:eastAsia="en-GB" w:bidi="ar-SA"/>
        </w:rPr>
        <w:t>concentrations</w:t>
      </w:r>
      <w:r w:rsidR="00EB778B">
        <w:rPr>
          <w:rFonts w:ascii="Times New Roman" w:hAnsi="Times New Roman"/>
          <w:snapToGrid/>
          <w:color w:val="auto"/>
          <w:sz w:val="24"/>
          <w:szCs w:val="24"/>
          <w:lang w:val="en-GB" w:eastAsia="en-GB" w:bidi="ar-SA"/>
        </w:rPr>
        <w:t xml:space="preserve"> (1-10 mg/ml)</w:t>
      </w:r>
      <w:r w:rsidR="008C0B71">
        <w:rPr>
          <w:rFonts w:ascii="Times New Roman" w:hAnsi="Times New Roman"/>
          <w:snapToGrid/>
          <w:color w:val="auto"/>
          <w:sz w:val="24"/>
          <w:szCs w:val="24"/>
          <w:lang w:val="en-GB" w:eastAsia="en-GB" w:bidi="ar-SA"/>
        </w:rPr>
        <w:t>.</w:t>
      </w:r>
      <w:r w:rsidR="008C0B71" w:rsidRPr="008C0B71">
        <w:rPr>
          <w:rFonts w:ascii="Times New Roman" w:hAnsi="Times New Roman"/>
          <w:snapToGrid/>
          <w:color w:val="auto"/>
          <w:sz w:val="24"/>
          <w:szCs w:val="24"/>
          <w:lang w:val="en-GB" w:eastAsia="en-GB" w:bidi="ar-SA"/>
        </w:rPr>
        <w:t xml:space="preserve"> </w:t>
      </w:r>
      <w:r w:rsidR="00EB778B">
        <w:rPr>
          <w:rFonts w:ascii="Times New Roman" w:hAnsi="Times New Roman"/>
          <w:snapToGrid/>
          <w:color w:val="auto"/>
          <w:sz w:val="24"/>
          <w:szCs w:val="24"/>
          <w:lang w:val="en-GB" w:eastAsia="en-GB" w:bidi="ar-SA"/>
        </w:rPr>
        <w:t>The d</w:t>
      </w:r>
      <w:r w:rsidR="008C0B71" w:rsidRPr="008C0B71">
        <w:rPr>
          <w:rFonts w:ascii="Times New Roman" w:hAnsi="Times New Roman"/>
          <w:snapToGrid/>
          <w:color w:val="auto"/>
          <w:sz w:val="24"/>
          <w:szCs w:val="24"/>
          <w:lang w:val="en-GB" w:eastAsia="en-GB" w:bidi="ar-SA"/>
        </w:rPr>
        <w:t>roplet size</w:t>
      </w:r>
      <w:r w:rsidR="00EB778B">
        <w:rPr>
          <w:rFonts w:ascii="Times New Roman" w:hAnsi="Times New Roman"/>
          <w:snapToGrid/>
          <w:color w:val="auto"/>
          <w:sz w:val="24"/>
          <w:szCs w:val="24"/>
          <w:lang w:val="en-GB" w:eastAsia="en-GB" w:bidi="ar-SA"/>
        </w:rPr>
        <w:t xml:space="preserve">, </w:t>
      </w:r>
      <w:r w:rsidR="00EB778B" w:rsidRPr="00EB778B">
        <w:rPr>
          <w:rFonts w:ascii="Times New Roman" w:hAnsi="Times New Roman"/>
          <w:snapToGrid/>
          <w:color w:val="auto"/>
          <w:sz w:val="22"/>
          <w:szCs w:val="24"/>
          <w:lang w:eastAsia="en-GB" w:bidi="ar-SA"/>
        </w:rPr>
        <w:t>Polydispersity Index (PI), pH</w:t>
      </w:r>
      <w:r w:rsidR="00EB778B">
        <w:rPr>
          <w:rFonts w:ascii="Times New Roman" w:hAnsi="Times New Roman"/>
          <w:snapToGrid/>
          <w:color w:val="auto"/>
          <w:sz w:val="24"/>
          <w:szCs w:val="24"/>
          <w:lang w:val="en-GB" w:eastAsia="en-GB" w:bidi="ar-SA"/>
        </w:rPr>
        <w:t xml:space="preserve"> and </w:t>
      </w:r>
      <w:r w:rsidR="00EB778B" w:rsidRPr="00EB778B">
        <w:rPr>
          <w:rFonts w:ascii="Times New Roman" w:hAnsi="Times New Roman"/>
          <w:snapToGrid/>
          <w:color w:val="auto"/>
          <w:sz w:val="24"/>
          <w:szCs w:val="24"/>
          <w:lang w:val="en-GB" w:eastAsia="en-GB" w:bidi="ar-SA"/>
        </w:rPr>
        <w:t>zeta potential values</w:t>
      </w:r>
      <w:r w:rsidR="00EB778B" w:rsidRPr="008C0B71">
        <w:rPr>
          <w:rFonts w:ascii="Times New Roman" w:hAnsi="Times New Roman"/>
          <w:snapToGrid/>
          <w:color w:val="auto"/>
          <w:sz w:val="24"/>
          <w:szCs w:val="24"/>
          <w:lang w:val="en-GB" w:eastAsia="en-GB" w:bidi="ar-SA"/>
        </w:rPr>
        <w:t xml:space="preserve"> </w:t>
      </w:r>
      <w:r w:rsidR="008C0B71" w:rsidRPr="008C0B71">
        <w:rPr>
          <w:rFonts w:ascii="Times New Roman" w:hAnsi="Times New Roman"/>
          <w:snapToGrid/>
          <w:color w:val="auto"/>
          <w:sz w:val="24"/>
          <w:szCs w:val="24"/>
          <w:lang w:val="en-GB" w:eastAsia="en-GB" w:bidi="ar-SA"/>
        </w:rPr>
        <w:t xml:space="preserve">of the </w:t>
      </w:r>
      <w:r w:rsidR="00EB778B">
        <w:rPr>
          <w:rFonts w:ascii="Times New Roman" w:hAnsi="Times New Roman"/>
          <w:snapToGrid/>
          <w:color w:val="auto"/>
          <w:sz w:val="24"/>
          <w:szCs w:val="24"/>
          <w:lang w:val="en-GB" w:eastAsia="en-GB" w:bidi="ar-SA"/>
        </w:rPr>
        <w:t>ciprofloxacin</w:t>
      </w:r>
      <w:r w:rsidR="008C0B71" w:rsidRPr="008C0B71">
        <w:rPr>
          <w:rFonts w:ascii="Times New Roman" w:hAnsi="Times New Roman"/>
          <w:snapToGrid/>
          <w:color w:val="auto"/>
          <w:sz w:val="24"/>
          <w:szCs w:val="24"/>
          <w:lang w:val="en-GB" w:eastAsia="en-GB" w:bidi="ar-SA"/>
        </w:rPr>
        <w:t xml:space="preserve">-loaded emulsions </w:t>
      </w:r>
      <w:r w:rsidR="00EB778B">
        <w:rPr>
          <w:rFonts w:ascii="Times New Roman" w:hAnsi="Times New Roman"/>
          <w:snapToGrid/>
          <w:color w:val="auto"/>
          <w:sz w:val="24"/>
          <w:szCs w:val="24"/>
          <w:lang w:val="en-GB" w:eastAsia="en-GB" w:bidi="ar-SA"/>
        </w:rPr>
        <w:t xml:space="preserve">were similar </w:t>
      </w:r>
      <w:r w:rsidR="008C0B71" w:rsidRPr="008C0B71">
        <w:rPr>
          <w:rFonts w:ascii="Times New Roman" w:hAnsi="Times New Roman"/>
          <w:snapToGrid/>
          <w:color w:val="auto"/>
          <w:sz w:val="24"/>
          <w:szCs w:val="24"/>
          <w:lang w:val="en-GB" w:eastAsia="en-GB" w:bidi="ar-SA"/>
        </w:rPr>
        <w:t xml:space="preserve">to </w:t>
      </w:r>
      <w:r w:rsidR="006130F9">
        <w:rPr>
          <w:rFonts w:ascii="Times New Roman" w:hAnsi="Times New Roman"/>
          <w:snapToGrid/>
          <w:color w:val="auto"/>
          <w:sz w:val="24"/>
          <w:szCs w:val="24"/>
          <w:lang w:val="en-GB" w:eastAsia="en-GB" w:bidi="ar-SA"/>
        </w:rPr>
        <w:t xml:space="preserve">those of </w:t>
      </w:r>
      <w:r w:rsidR="008C0B71" w:rsidRPr="008C0B71">
        <w:rPr>
          <w:rFonts w:ascii="Times New Roman" w:hAnsi="Times New Roman"/>
          <w:snapToGrid/>
          <w:color w:val="auto"/>
          <w:sz w:val="24"/>
          <w:szCs w:val="24"/>
          <w:lang w:val="en-GB" w:eastAsia="en-GB" w:bidi="ar-SA"/>
        </w:rPr>
        <w:t xml:space="preserve">drug-free formulations. </w:t>
      </w:r>
      <w:r w:rsidR="00EB778B">
        <w:rPr>
          <w:rFonts w:ascii="Times New Roman" w:hAnsi="Times New Roman"/>
          <w:snapToGrid/>
          <w:color w:val="auto"/>
          <w:sz w:val="24"/>
          <w:szCs w:val="24"/>
          <w:lang w:val="en-GB" w:eastAsia="en-GB" w:bidi="ar-SA"/>
        </w:rPr>
        <w:t xml:space="preserve">Both </w:t>
      </w:r>
      <w:r w:rsidR="008C0B71" w:rsidRPr="008C0B71">
        <w:rPr>
          <w:rFonts w:ascii="Times New Roman" w:hAnsi="Times New Roman"/>
          <w:snapToGrid/>
          <w:color w:val="auto"/>
          <w:sz w:val="24"/>
          <w:szCs w:val="24"/>
          <w:lang w:val="en-GB" w:eastAsia="en-GB" w:bidi="ar-SA"/>
        </w:rPr>
        <w:t xml:space="preserve">nanoemulsion formulations (Clinoleic and Intralipid) </w:t>
      </w:r>
      <w:r w:rsidR="00EB778B">
        <w:rPr>
          <w:rFonts w:ascii="Times New Roman" w:hAnsi="Times New Roman"/>
          <w:snapToGrid/>
          <w:color w:val="auto"/>
          <w:sz w:val="24"/>
          <w:szCs w:val="24"/>
          <w:lang w:val="en-GB" w:eastAsia="en-GB" w:bidi="ar-SA"/>
        </w:rPr>
        <w:t xml:space="preserve">showed similar </w:t>
      </w:r>
      <w:r w:rsidR="00154ACA" w:rsidRPr="008C0B71">
        <w:rPr>
          <w:rFonts w:ascii="Times New Roman" w:hAnsi="Times New Roman"/>
          <w:snapToGrid/>
          <w:color w:val="auto"/>
          <w:sz w:val="24"/>
          <w:szCs w:val="24"/>
          <w:lang w:val="en-GB" w:eastAsia="en-GB" w:bidi="ar-SA"/>
        </w:rPr>
        <w:t xml:space="preserve">loading </w:t>
      </w:r>
      <w:r w:rsidR="00154ACA">
        <w:rPr>
          <w:rFonts w:ascii="Times New Roman" w:hAnsi="Times New Roman"/>
          <w:snapToGrid/>
          <w:color w:val="auto"/>
          <w:sz w:val="24"/>
          <w:szCs w:val="24"/>
          <w:lang w:eastAsia="en-GB" w:bidi="ar-SA"/>
        </w:rPr>
        <w:t xml:space="preserve">efficiencies with a higher </w:t>
      </w:r>
      <w:r w:rsidR="00795184">
        <w:rPr>
          <w:rFonts w:ascii="Times New Roman" w:hAnsi="Times New Roman"/>
          <w:snapToGrid/>
          <w:color w:val="auto"/>
          <w:sz w:val="24"/>
          <w:szCs w:val="24"/>
          <w:lang w:eastAsia="en-GB" w:bidi="ar-SA"/>
        </w:rPr>
        <w:t xml:space="preserve">trend </w:t>
      </w:r>
      <w:r w:rsidR="00154ACA" w:rsidRPr="00154ACA">
        <w:rPr>
          <w:rFonts w:ascii="Times New Roman" w:hAnsi="Times New Roman"/>
          <w:snapToGrid/>
          <w:color w:val="auto"/>
          <w:sz w:val="24"/>
          <w:szCs w:val="24"/>
          <w:lang w:eastAsia="en-GB" w:bidi="ar-SA"/>
        </w:rPr>
        <w:t xml:space="preserve">(not significant) </w:t>
      </w:r>
      <w:r w:rsidR="006130F9">
        <w:rPr>
          <w:rFonts w:ascii="Times New Roman" w:hAnsi="Times New Roman"/>
          <w:snapToGrid/>
          <w:color w:val="auto"/>
          <w:sz w:val="24"/>
          <w:szCs w:val="24"/>
          <w:lang w:eastAsia="en-GB" w:bidi="ar-SA"/>
        </w:rPr>
        <w:t>for</w:t>
      </w:r>
      <w:r w:rsidR="00154ACA" w:rsidRPr="00154ACA">
        <w:rPr>
          <w:rFonts w:ascii="Times New Roman" w:hAnsi="Times New Roman"/>
          <w:snapToGrid/>
          <w:color w:val="auto"/>
          <w:sz w:val="24"/>
          <w:szCs w:val="24"/>
          <w:lang w:eastAsia="en-GB" w:bidi="ar-SA"/>
        </w:rPr>
        <w:t xml:space="preserve"> Clinoleic over Intralipid formulations</w:t>
      </w:r>
      <w:r w:rsidR="006130F9">
        <w:rPr>
          <w:rFonts w:ascii="Times New Roman" w:hAnsi="Times New Roman"/>
          <w:snapToGrid/>
          <w:color w:val="auto"/>
          <w:sz w:val="24"/>
          <w:szCs w:val="24"/>
          <w:lang w:eastAsia="en-GB" w:bidi="ar-SA"/>
        </w:rPr>
        <w:t>.</w:t>
      </w:r>
      <w:r w:rsidR="00154ACA">
        <w:rPr>
          <w:rFonts w:ascii="Times New Roman" w:hAnsi="Times New Roman"/>
          <w:snapToGrid/>
          <w:color w:val="auto"/>
          <w:sz w:val="24"/>
          <w:szCs w:val="24"/>
          <w:lang w:eastAsia="en-GB" w:bidi="ar-SA"/>
        </w:rPr>
        <w:t xml:space="preserve"> </w:t>
      </w:r>
      <w:r w:rsidR="006130F9">
        <w:rPr>
          <w:rFonts w:ascii="Times New Roman" w:hAnsi="Times New Roman"/>
          <w:snapToGrid/>
          <w:color w:val="auto"/>
          <w:sz w:val="24"/>
          <w:szCs w:val="24"/>
          <w:lang w:eastAsia="en-GB" w:bidi="ar-SA"/>
        </w:rPr>
        <w:t xml:space="preserve">Both </w:t>
      </w:r>
      <w:r w:rsidR="006130F9" w:rsidRPr="00154ACA">
        <w:rPr>
          <w:rFonts w:ascii="Times New Roman" w:hAnsi="Times New Roman"/>
          <w:snapToGrid/>
          <w:color w:val="auto"/>
          <w:sz w:val="24"/>
          <w:szCs w:val="24"/>
          <w:lang w:eastAsia="en-GB" w:bidi="ar-SA"/>
        </w:rPr>
        <w:t>formulations</w:t>
      </w:r>
      <w:r w:rsidR="006130F9">
        <w:rPr>
          <w:rFonts w:ascii="Times New Roman" w:hAnsi="Times New Roman"/>
          <w:snapToGrid/>
          <w:color w:val="auto"/>
          <w:sz w:val="24"/>
          <w:szCs w:val="24"/>
          <w:lang w:eastAsia="en-GB" w:bidi="ar-SA"/>
        </w:rPr>
        <w:t xml:space="preserve"> </w:t>
      </w:r>
      <w:r w:rsidR="006130F9" w:rsidRPr="008C0B71">
        <w:rPr>
          <w:rFonts w:ascii="Times New Roman" w:hAnsi="Times New Roman"/>
          <w:snapToGrid/>
          <w:color w:val="auto"/>
          <w:sz w:val="24"/>
          <w:szCs w:val="24"/>
          <w:lang w:val="en-GB" w:eastAsia="en-GB" w:bidi="ar-SA"/>
        </w:rPr>
        <w:t xml:space="preserve">demonstrated </w:t>
      </w:r>
      <w:r w:rsidR="006130F9">
        <w:rPr>
          <w:rFonts w:ascii="Times New Roman" w:hAnsi="Times New Roman"/>
          <w:snapToGrid/>
          <w:color w:val="auto"/>
          <w:sz w:val="24"/>
          <w:szCs w:val="24"/>
          <w:lang w:val="en-GB" w:eastAsia="en-GB" w:bidi="ar-SA"/>
        </w:rPr>
        <w:t>sustained drug release over 24 hours.</w:t>
      </w:r>
    </w:p>
    <w:p w14:paraId="23B56A32" w14:textId="6E8E4BC4" w:rsidR="00A66DC2" w:rsidRDefault="00154ACA" w:rsidP="007772B2">
      <w:pPr>
        <w:pStyle w:val="MDPI31text"/>
        <w:spacing w:line="480" w:lineRule="auto"/>
        <w:rPr>
          <w:rFonts w:ascii="Times New Roman" w:hAnsi="Times New Roman"/>
          <w:snapToGrid/>
          <w:color w:val="auto"/>
          <w:sz w:val="24"/>
          <w:szCs w:val="24"/>
          <w:lang w:val="en-GB" w:eastAsia="en-GB" w:bidi="ar-SA"/>
        </w:rPr>
      </w:pPr>
      <w:r>
        <w:rPr>
          <w:rFonts w:ascii="Times New Roman" w:hAnsi="Times New Roman"/>
          <w:snapToGrid/>
          <w:color w:val="auto"/>
          <w:sz w:val="24"/>
          <w:szCs w:val="24"/>
          <w:lang w:val="en-GB" w:eastAsia="en-GB" w:bidi="ar-SA"/>
        </w:rPr>
        <w:t xml:space="preserve">Despite the fact that </w:t>
      </w:r>
      <w:r w:rsidRPr="00154ACA">
        <w:rPr>
          <w:rFonts w:ascii="Times New Roman" w:hAnsi="Times New Roman"/>
          <w:snapToGrid/>
          <w:color w:val="auto"/>
          <w:sz w:val="24"/>
          <w:szCs w:val="24"/>
          <w:lang w:val="en-GB" w:eastAsia="en-GB" w:bidi="ar-SA"/>
        </w:rPr>
        <w:t>CP loaded Clinoleic and Intralipid parenteral formulations have shown excellent in vitro stability at 4</w:t>
      </w:r>
      <w:r w:rsidRPr="00154ACA">
        <w:rPr>
          <w:rFonts w:ascii="Times New Roman" w:hAnsi="Times New Roman"/>
          <w:snapToGrid/>
          <w:color w:val="auto"/>
          <w:sz w:val="24"/>
          <w:szCs w:val="24"/>
          <w:vertAlign w:val="superscript"/>
          <w:lang w:val="en-GB" w:eastAsia="en-GB" w:bidi="ar-SA"/>
        </w:rPr>
        <w:t>o</w:t>
      </w:r>
      <w:r w:rsidRPr="00154ACA">
        <w:rPr>
          <w:rFonts w:ascii="Times New Roman" w:hAnsi="Times New Roman"/>
          <w:snapToGrid/>
          <w:color w:val="auto"/>
          <w:sz w:val="24"/>
          <w:szCs w:val="24"/>
          <w:lang w:val="en-GB" w:eastAsia="en-GB" w:bidi="ar-SA"/>
        </w:rPr>
        <w:t xml:space="preserve">C, </w:t>
      </w:r>
      <w:r>
        <w:rPr>
          <w:rFonts w:ascii="Times New Roman" w:hAnsi="Times New Roman"/>
          <w:snapToGrid/>
          <w:color w:val="auto"/>
          <w:sz w:val="24"/>
          <w:szCs w:val="24"/>
          <w:lang w:val="en-GB" w:eastAsia="en-GB" w:bidi="ar-SA"/>
        </w:rPr>
        <w:t>m</w:t>
      </w:r>
      <w:r w:rsidR="008C0B71" w:rsidRPr="008C0B71">
        <w:rPr>
          <w:rFonts w:ascii="Times New Roman" w:hAnsi="Times New Roman"/>
          <w:snapToGrid/>
          <w:color w:val="auto"/>
          <w:sz w:val="24"/>
          <w:szCs w:val="24"/>
          <w:lang w:val="en-GB" w:eastAsia="en-GB" w:bidi="ar-SA"/>
        </w:rPr>
        <w:t xml:space="preserve">ore studies are </w:t>
      </w:r>
      <w:r w:rsidR="00795184">
        <w:rPr>
          <w:rFonts w:ascii="Times New Roman" w:hAnsi="Times New Roman"/>
          <w:snapToGrid/>
          <w:color w:val="auto"/>
          <w:sz w:val="24"/>
          <w:szCs w:val="24"/>
          <w:lang w:val="en-GB" w:eastAsia="en-GB" w:bidi="ar-SA"/>
        </w:rPr>
        <w:t>needed</w:t>
      </w:r>
      <w:r w:rsidR="00795184" w:rsidRPr="008C0B71">
        <w:rPr>
          <w:rFonts w:ascii="Times New Roman" w:hAnsi="Times New Roman"/>
          <w:snapToGrid/>
          <w:color w:val="auto"/>
          <w:sz w:val="24"/>
          <w:szCs w:val="24"/>
          <w:lang w:val="en-GB" w:eastAsia="en-GB" w:bidi="ar-SA"/>
        </w:rPr>
        <w:t xml:space="preserve"> </w:t>
      </w:r>
      <w:r w:rsidR="008C0B71" w:rsidRPr="008C0B71">
        <w:rPr>
          <w:rFonts w:ascii="Times New Roman" w:hAnsi="Times New Roman"/>
          <w:snapToGrid/>
          <w:color w:val="auto"/>
          <w:sz w:val="24"/>
          <w:szCs w:val="24"/>
          <w:lang w:val="en-GB" w:eastAsia="en-GB" w:bidi="ar-SA"/>
        </w:rPr>
        <w:t xml:space="preserve">to explain the </w:t>
      </w:r>
      <w:r w:rsidRPr="00154ACA">
        <w:rPr>
          <w:rFonts w:ascii="Times New Roman" w:hAnsi="Times New Roman"/>
          <w:snapToGrid/>
          <w:color w:val="auto"/>
          <w:sz w:val="24"/>
          <w:szCs w:val="24"/>
          <w:lang w:val="en-GB" w:eastAsia="en-GB" w:bidi="ar-SA"/>
        </w:rPr>
        <w:t xml:space="preserve">drop in the pH values </w:t>
      </w:r>
      <w:r>
        <w:rPr>
          <w:rFonts w:ascii="Times New Roman" w:hAnsi="Times New Roman"/>
          <w:snapToGrid/>
          <w:color w:val="auto"/>
          <w:sz w:val="24"/>
          <w:szCs w:val="24"/>
          <w:lang w:val="en-GB" w:eastAsia="en-GB" w:bidi="ar-SA"/>
        </w:rPr>
        <w:t xml:space="preserve">of both formulations </w:t>
      </w:r>
      <w:r w:rsidRPr="00154ACA">
        <w:rPr>
          <w:rFonts w:ascii="Times New Roman" w:hAnsi="Times New Roman"/>
          <w:snapToGrid/>
          <w:color w:val="auto"/>
          <w:sz w:val="24"/>
          <w:szCs w:val="24"/>
          <w:lang w:val="en-GB" w:eastAsia="en-GB" w:bidi="ar-SA"/>
        </w:rPr>
        <w:t xml:space="preserve">after 2 months of storage at room temperature. </w:t>
      </w:r>
      <w:r w:rsidR="00A66DC2">
        <w:rPr>
          <w:rFonts w:ascii="Times New Roman" w:hAnsi="Times New Roman"/>
          <w:snapToGrid/>
          <w:color w:val="auto"/>
          <w:sz w:val="24"/>
          <w:szCs w:val="24"/>
          <w:lang w:val="en-GB" w:eastAsia="en-GB" w:bidi="ar-SA"/>
        </w:rPr>
        <w:t xml:space="preserve">Specifically, </w:t>
      </w:r>
      <w:r w:rsidR="00795184">
        <w:rPr>
          <w:rFonts w:ascii="Times New Roman" w:hAnsi="Times New Roman"/>
          <w:snapToGrid/>
          <w:color w:val="auto"/>
          <w:sz w:val="24"/>
          <w:szCs w:val="24"/>
          <w:lang w:val="en-GB" w:eastAsia="en-GB" w:bidi="ar-SA"/>
        </w:rPr>
        <w:t>aseptic conditions</w:t>
      </w:r>
      <w:r w:rsidR="00A66DC2">
        <w:rPr>
          <w:rFonts w:ascii="Times New Roman" w:hAnsi="Times New Roman"/>
          <w:snapToGrid/>
          <w:color w:val="auto"/>
          <w:sz w:val="24"/>
          <w:szCs w:val="24"/>
          <w:lang w:val="en-GB" w:eastAsia="en-GB" w:bidi="ar-SA"/>
        </w:rPr>
        <w:t xml:space="preserve"> of loading </w:t>
      </w:r>
      <w:r w:rsidR="006130F9">
        <w:rPr>
          <w:rFonts w:ascii="Times New Roman" w:hAnsi="Times New Roman"/>
          <w:snapToGrid/>
          <w:color w:val="auto"/>
          <w:sz w:val="24"/>
          <w:szCs w:val="24"/>
          <w:lang w:val="en-GB" w:eastAsia="en-GB" w:bidi="ar-SA"/>
        </w:rPr>
        <w:t>might be</w:t>
      </w:r>
      <w:r w:rsidR="00A66DC2">
        <w:rPr>
          <w:rFonts w:ascii="Times New Roman" w:hAnsi="Times New Roman"/>
          <w:snapToGrid/>
          <w:color w:val="auto"/>
          <w:sz w:val="24"/>
          <w:szCs w:val="24"/>
          <w:lang w:val="en-GB" w:eastAsia="en-GB" w:bidi="ar-SA"/>
        </w:rPr>
        <w:t xml:space="preserve"> required to produce formulations with long</w:t>
      </w:r>
      <w:r w:rsidR="007772B2">
        <w:rPr>
          <w:rFonts w:ascii="Times New Roman" w:hAnsi="Times New Roman"/>
          <w:snapToGrid/>
          <w:color w:val="auto"/>
          <w:sz w:val="24"/>
          <w:szCs w:val="24"/>
          <w:lang w:val="en-GB" w:eastAsia="en-GB" w:bidi="ar-SA"/>
        </w:rPr>
        <w:t>-</w:t>
      </w:r>
      <w:r w:rsidR="00A66DC2">
        <w:rPr>
          <w:rFonts w:ascii="Times New Roman" w:hAnsi="Times New Roman"/>
          <w:snapToGrid/>
          <w:color w:val="auto"/>
          <w:sz w:val="24"/>
          <w:szCs w:val="24"/>
          <w:lang w:val="en-GB" w:eastAsia="en-GB" w:bidi="ar-SA"/>
        </w:rPr>
        <w:t xml:space="preserve">term stability at room temperature.  </w:t>
      </w:r>
    </w:p>
    <w:p w14:paraId="17FCF042" w14:textId="313717B0" w:rsidR="008C0B71" w:rsidRDefault="008C0B71" w:rsidP="00795184">
      <w:pPr>
        <w:pStyle w:val="MDPI31text"/>
        <w:spacing w:line="480" w:lineRule="auto"/>
        <w:rPr>
          <w:rFonts w:ascii="Times New Roman" w:hAnsi="Times New Roman"/>
          <w:snapToGrid/>
          <w:color w:val="auto"/>
          <w:sz w:val="24"/>
          <w:szCs w:val="24"/>
          <w:lang w:eastAsia="en-GB" w:bidi="ar-SA"/>
        </w:rPr>
      </w:pPr>
      <w:r w:rsidRPr="008C0B71">
        <w:rPr>
          <w:rFonts w:ascii="Times New Roman" w:hAnsi="Times New Roman"/>
          <w:snapToGrid/>
          <w:color w:val="auto"/>
          <w:sz w:val="24"/>
          <w:szCs w:val="24"/>
          <w:lang w:val="en-GB" w:eastAsia="en-GB" w:bidi="ar-SA"/>
        </w:rPr>
        <w:t xml:space="preserve">The results suggest that parenteral nutrition lipid nanoemulsions </w:t>
      </w:r>
      <w:r w:rsidR="00A66DC2">
        <w:rPr>
          <w:rFonts w:ascii="Times New Roman" w:hAnsi="Times New Roman"/>
          <w:snapToGrid/>
          <w:color w:val="auto"/>
          <w:sz w:val="24"/>
          <w:szCs w:val="24"/>
          <w:lang w:val="en-GB" w:eastAsia="en-GB" w:bidi="ar-SA"/>
        </w:rPr>
        <w:t xml:space="preserve">have </w:t>
      </w:r>
      <w:r w:rsidR="00A12B90">
        <w:rPr>
          <w:rFonts w:ascii="Times New Roman" w:hAnsi="Times New Roman"/>
          <w:snapToGrid/>
          <w:color w:val="auto"/>
          <w:sz w:val="24"/>
          <w:szCs w:val="24"/>
          <w:lang w:val="en-GB" w:eastAsia="en-GB" w:bidi="ar-SA"/>
        </w:rPr>
        <w:t xml:space="preserve">the </w:t>
      </w:r>
      <w:r w:rsidR="00A66DC2">
        <w:rPr>
          <w:rFonts w:ascii="Times New Roman" w:hAnsi="Times New Roman"/>
          <w:snapToGrid/>
          <w:color w:val="auto"/>
          <w:sz w:val="24"/>
          <w:szCs w:val="24"/>
          <w:lang w:val="en-GB" w:eastAsia="en-GB" w:bidi="ar-SA"/>
        </w:rPr>
        <w:t xml:space="preserve">potential to be used as </w:t>
      </w:r>
      <w:r w:rsidR="00A66DC2" w:rsidRPr="00A66DC2">
        <w:rPr>
          <w:rFonts w:ascii="Times New Roman" w:hAnsi="Times New Roman"/>
          <w:snapToGrid/>
          <w:color w:val="auto"/>
          <w:sz w:val="24"/>
          <w:szCs w:val="24"/>
          <w:lang w:val="en-GB" w:eastAsia="en-GB" w:bidi="ar-SA"/>
        </w:rPr>
        <w:t xml:space="preserve">biocompatible </w:t>
      </w:r>
      <w:r w:rsidR="00A66DC2">
        <w:rPr>
          <w:rFonts w:ascii="Times New Roman" w:hAnsi="Times New Roman"/>
          <w:snapToGrid/>
          <w:color w:val="auto"/>
          <w:sz w:val="24"/>
          <w:szCs w:val="24"/>
          <w:lang w:val="en-GB" w:eastAsia="en-GB" w:bidi="ar-SA"/>
        </w:rPr>
        <w:t>vehicles for</w:t>
      </w:r>
      <w:r w:rsidRPr="008C0B71">
        <w:rPr>
          <w:rFonts w:ascii="Times New Roman" w:hAnsi="Times New Roman"/>
          <w:snapToGrid/>
          <w:color w:val="auto"/>
          <w:sz w:val="24"/>
          <w:szCs w:val="24"/>
          <w:lang w:val="en-GB" w:eastAsia="en-GB" w:bidi="ar-SA"/>
        </w:rPr>
        <w:t xml:space="preserve"> poorly water-soluble </w:t>
      </w:r>
      <w:r w:rsidR="00A66DC2" w:rsidRPr="00A66DC2">
        <w:rPr>
          <w:rFonts w:ascii="Times New Roman" w:hAnsi="Times New Roman"/>
          <w:snapToGrid/>
          <w:color w:val="auto"/>
          <w:sz w:val="24"/>
          <w:szCs w:val="24"/>
          <w:lang w:val="en-GB" w:eastAsia="en-GB" w:bidi="ar-SA"/>
        </w:rPr>
        <w:t xml:space="preserve">antibacterial </w:t>
      </w:r>
      <w:r w:rsidRPr="008C0B71">
        <w:rPr>
          <w:rFonts w:ascii="Times New Roman" w:hAnsi="Times New Roman"/>
          <w:snapToGrid/>
          <w:color w:val="auto"/>
          <w:sz w:val="24"/>
          <w:szCs w:val="24"/>
          <w:lang w:val="en-GB" w:eastAsia="en-GB" w:bidi="ar-SA"/>
        </w:rPr>
        <w:t xml:space="preserve">drugs (e.g. </w:t>
      </w:r>
      <w:r w:rsidR="00A66DC2">
        <w:rPr>
          <w:rFonts w:ascii="Times New Roman" w:hAnsi="Times New Roman"/>
          <w:snapToGrid/>
          <w:color w:val="auto"/>
          <w:sz w:val="24"/>
          <w:szCs w:val="24"/>
          <w:lang w:val="en-GB" w:eastAsia="en-GB" w:bidi="ar-SA"/>
        </w:rPr>
        <w:t>ciprofloxacin</w:t>
      </w:r>
      <w:r w:rsidRPr="008C0B71">
        <w:rPr>
          <w:rFonts w:ascii="Times New Roman" w:hAnsi="Times New Roman"/>
          <w:snapToGrid/>
          <w:color w:val="auto"/>
          <w:sz w:val="24"/>
          <w:szCs w:val="24"/>
          <w:lang w:val="en-GB" w:eastAsia="en-GB" w:bidi="ar-SA"/>
        </w:rPr>
        <w:t xml:space="preserve">). </w:t>
      </w:r>
      <w:r w:rsidR="00795184">
        <w:rPr>
          <w:rFonts w:ascii="Times New Roman" w:hAnsi="Times New Roman"/>
          <w:snapToGrid/>
          <w:color w:val="auto"/>
          <w:sz w:val="24"/>
          <w:szCs w:val="24"/>
          <w:lang w:val="en-GB" w:eastAsia="en-GB" w:bidi="ar-SA"/>
        </w:rPr>
        <w:t xml:space="preserve">In vivo </w:t>
      </w:r>
      <w:r w:rsidR="00A66DC2">
        <w:rPr>
          <w:rFonts w:ascii="Times New Roman" w:hAnsi="Times New Roman"/>
          <w:snapToGrid/>
          <w:color w:val="auto"/>
          <w:sz w:val="24"/>
          <w:szCs w:val="24"/>
          <w:lang w:val="en-GB" w:eastAsia="en-GB" w:bidi="ar-SA"/>
        </w:rPr>
        <w:t xml:space="preserve">studies </w:t>
      </w:r>
      <w:r w:rsidRPr="008C0B71">
        <w:rPr>
          <w:rFonts w:ascii="Times New Roman" w:hAnsi="Times New Roman"/>
          <w:snapToGrid/>
          <w:color w:val="auto"/>
          <w:sz w:val="24"/>
          <w:szCs w:val="24"/>
          <w:lang w:val="en-GB" w:eastAsia="en-GB" w:bidi="ar-SA"/>
        </w:rPr>
        <w:t>are required to validate this hypothesis.</w:t>
      </w:r>
    </w:p>
    <w:p w14:paraId="6B4359BB" w14:textId="77777777" w:rsidR="005A6A38" w:rsidRDefault="005A6A38" w:rsidP="005A6A38">
      <w:pPr>
        <w:pStyle w:val="MDPI71References"/>
        <w:numPr>
          <w:ilvl w:val="0"/>
          <w:numId w:val="0"/>
        </w:numPr>
        <w:spacing w:after="240"/>
      </w:pPr>
    </w:p>
    <w:p w14:paraId="11D647CF" w14:textId="77777777" w:rsidR="009F19D9" w:rsidRDefault="005A6A38" w:rsidP="009F19D9">
      <w:pPr>
        <w:pStyle w:val="MDPI64CoI"/>
      </w:pPr>
      <w:r w:rsidRPr="00F74F1B">
        <w:rPr>
          <w:rFonts w:ascii="Times New Roman" w:hAnsi="Times New Roman" w:cs="Arial"/>
          <w:b/>
          <w:bCs/>
          <w:snapToGrid/>
          <w:color w:val="auto"/>
          <w:kern w:val="32"/>
          <w:sz w:val="24"/>
          <w:szCs w:val="32"/>
          <w:lang w:eastAsia="en-GB" w:bidi="ar-SA"/>
        </w:rPr>
        <w:t>Conflicts of Interest</w:t>
      </w:r>
      <w:r w:rsidRPr="006E26FC">
        <w:t xml:space="preserve"> </w:t>
      </w:r>
    </w:p>
    <w:p w14:paraId="648D8C5D" w14:textId="77777777" w:rsidR="009F19D9" w:rsidRPr="009F19D9" w:rsidRDefault="009F19D9" w:rsidP="009F19D9">
      <w:pPr>
        <w:pStyle w:val="MDPI64CoI"/>
      </w:pPr>
    </w:p>
    <w:p w14:paraId="254EC685" w14:textId="77777777" w:rsidR="005A6A38" w:rsidRPr="009F19D9" w:rsidRDefault="005A6A38" w:rsidP="009F19D9">
      <w:pPr>
        <w:pStyle w:val="MDPI31text"/>
        <w:spacing w:line="480" w:lineRule="auto"/>
        <w:ind w:firstLine="0"/>
        <w:rPr>
          <w:rFonts w:ascii="Times New Roman" w:hAnsi="Times New Roman"/>
          <w:snapToGrid/>
          <w:color w:val="auto"/>
          <w:sz w:val="24"/>
          <w:szCs w:val="24"/>
          <w:lang w:eastAsia="en-GB" w:bidi="ar-SA"/>
        </w:rPr>
      </w:pPr>
      <w:r w:rsidRPr="009F19D9">
        <w:rPr>
          <w:rFonts w:ascii="Times New Roman" w:hAnsi="Times New Roman"/>
          <w:snapToGrid/>
          <w:color w:val="auto"/>
          <w:sz w:val="24"/>
          <w:szCs w:val="24"/>
          <w:lang w:eastAsia="en-GB" w:bidi="ar-SA"/>
        </w:rPr>
        <w:t>The authors declare no conflict of interest.</w:t>
      </w:r>
    </w:p>
    <w:p w14:paraId="5A22A406" w14:textId="77777777" w:rsidR="005A6A38" w:rsidRDefault="005A6A38" w:rsidP="00F74F1B">
      <w:pPr>
        <w:pStyle w:val="Heading1"/>
        <w:rPr>
          <w:lang w:val="en-US"/>
        </w:rPr>
      </w:pPr>
      <w:r w:rsidRPr="00F74F1B">
        <w:rPr>
          <w:lang w:val="en-US"/>
        </w:rPr>
        <w:lastRenderedPageBreak/>
        <w:t>References</w:t>
      </w:r>
    </w:p>
    <w:p w14:paraId="616F66B7" w14:textId="2994784E" w:rsidR="00EA5690" w:rsidRPr="00010F4A" w:rsidRDefault="00125AFC" w:rsidP="00010F4A">
      <w:pPr>
        <w:pStyle w:val="Bibliography"/>
        <w:rPr>
          <w:color w:val="auto"/>
        </w:rPr>
      </w:pPr>
      <w:r>
        <w:fldChar w:fldCharType="begin"/>
      </w:r>
      <w:r w:rsidR="006E1782">
        <w:instrText xml:space="preserve"> ADDIN ZOTERO_BIBL {"uncited":[],"omitted":[],"custom":[]} CSL_BIBLIOGRAPHY </w:instrText>
      </w:r>
      <w:r>
        <w:fldChar w:fldCharType="separate"/>
      </w:r>
      <w:r w:rsidR="00EA5690" w:rsidRPr="00010F4A">
        <w:rPr>
          <w:color w:val="auto"/>
        </w:rPr>
        <w:t xml:space="preserve">1. </w:t>
      </w:r>
      <w:r w:rsidR="00EA5690" w:rsidRPr="00010F4A">
        <w:rPr>
          <w:color w:val="auto"/>
        </w:rPr>
        <w:tab/>
        <w:t xml:space="preserve">Emmerson AM, Jones AM. The quinolones: decades of development and use. J Antimicrob Chemother. 2003 May;51 Suppl 1:13–20. </w:t>
      </w:r>
    </w:p>
    <w:p w14:paraId="09C47764" w14:textId="77777777" w:rsidR="00EA5690" w:rsidRPr="00010F4A" w:rsidRDefault="00EA5690" w:rsidP="00010F4A">
      <w:pPr>
        <w:pStyle w:val="Bibliography"/>
        <w:rPr>
          <w:color w:val="auto"/>
        </w:rPr>
      </w:pPr>
      <w:r w:rsidRPr="00010F4A">
        <w:rPr>
          <w:color w:val="auto"/>
        </w:rPr>
        <w:t xml:space="preserve">2. </w:t>
      </w:r>
      <w:r w:rsidRPr="00010F4A">
        <w:rPr>
          <w:color w:val="auto"/>
        </w:rPr>
        <w:tab/>
        <w:t xml:space="preserve">Lesher GY, Froelich EJ, Gruett MD, Bailey JH, Brundage RP. 1,8-Naphthyridine derivatives. A new class of chemotherapeutic agent. J Med Pharm Chem. 1962 Sep;91:1063–5. </w:t>
      </w:r>
    </w:p>
    <w:p w14:paraId="5124E2F0" w14:textId="77777777" w:rsidR="00EA5690" w:rsidRPr="00010F4A" w:rsidRDefault="00EA5690" w:rsidP="00010F4A">
      <w:pPr>
        <w:pStyle w:val="Bibliography"/>
        <w:rPr>
          <w:color w:val="auto"/>
        </w:rPr>
      </w:pPr>
      <w:r w:rsidRPr="00010F4A">
        <w:rPr>
          <w:color w:val="auto"/>
        </w:rPr>
        <w:t xml:space="preserve">3. </w:t>
      </w:r>
      <w:r w:rsidRPr="00010F4A">
        <w:rPr>
          <w:color w:val="auto"/>
        </w:rPr>
        <w:tab/>
        <w:t xml:space="preserve">Rádl S. From chloroquine to antineoplastic drugs? the story of antibacterial quinolones. Arch Pharm (Weinheim). 1996 Mar;329(3):115–9. </w:t>
      </w:r>
    </w:p>
    <w:p w14:paraId="0F22E017" w14:textId="77777777" w:rsidR="00EA5690" w:rsidRPr="00010F4A" w:rsidRDefault="00EA5690" w:rsidP="00010F4A">
      <w:pPr>
        <w:pStyle w:val="Bibliography"/>
        <w:rPr>
          <w:color w:val="auto"/>
        </w:rPr>
      </w:pPr>
      <w:r w:rsidRPr="00010F4A">
        <w:rPr>
          <w:color w:val="auto"/>
        </w:rPr>
        <w:t xml:space="preserve">4. </w:t>
      </w:r>
      <w:r w:rsidRPr="00010F4A">
        <w:rPr>
          <w:color w:val="auto"/>
        </w:rPr>
        <w:tab/>
        <w:t xml:space="preserve">Anderson RJ, Groundwater PW, Todd A, editors. Antibacterial agents: chemistry, mode of action, mechanisms of resistance, and clinical applications. Chichester, West Sussex: John Wiley &amp; Sons; 2012. 363 p. </w:t>
      </w:r>
    </w:p>
    <w:p w14:paraId="47FB9019" w14:textId="77777777" w:rsidR="00EA5690" w:rsidRPr="00010F4A" w:rsidRDefault="00EA5690" w:rsidP="00010F4A">
      <w:pPr>
        <w:pStyle w:val="Bibliography"/>
        <w:rPr>
          <w:color w:val="auto"/>
        </w:rPr>
      </w:pPr>
      <w:r w:rsidRPr="00010F4A">
        <w:rPr>
          <w:color w:val="auto"/>
        </w:rPr>
        <w:t xml:space="preserve">5. </w:t>
      </w:r>
      <w:r w:rsidRPr="00010F4A">
        <w:rPr>
          <w:color w:val="auto"/>
        </w:rPr>
        <w:tab/>
        <w:t xml:space="preserve">Ruiz J. Mechanisms of resistance to quinolones: target alterations, decreased accumulation and DNA gyrase protection. J Antimicrob Chemother. 2003 May 1;51(5):1109–17. </w:t>
      </w:r>
    </w:p>
    <w:p w14:paraId="18D3DC56" w14:textId="77777777" w:rsidR="00EA5690" w:rsidRPr="00010F4A" w:rsidRDefault="00EA5690" w:rsidP="00010F4A">
      <w:pPr>
        <w:pStyle w:val="Bibliography"/>
        <w:rPr>
          <w:color w:val="auto"/>
        </w:rPr>
      </w:pPr>
      <w:r w:rsidRPr="00010F4A">
        <w:rPr>
          <w:color w:val="auto"/>
        </w:rPr>
        <w:t xml:space="preserve">6. </w:t>
      </w:r>
      <w:r w:rsidRPr="00010F4A">
        <w:rPr>
          <w:color w:val="auto"/>
        </w:rPr>
        <w:tab/>
        <w:t xml:space="preserve">Höffken G, Lode H, Prinzing C, Borner K, Koeppe P. Pharmacokinetics of ciprofloxacin after oral and parenteral administration. Antimicrob Agents Chemother. 1985 Mar;27(3):375–9. </w:t>
      </w:r>
    </w:p>
    <w:p w14:paraId="12B88D23" w14:textId="77777777" w:rsidR="00EA5690" w:rsidRPr="00010F4A" w:rsidRDefault="00EA5690" w:rsidP="00010F4A">
      <w:pPr>
        <w:pStyle w:val="Bibliography"/>
        <w:rPr>
          <w:color w:val="auto"/>
        </w:rPr>
      </w:pPr>
      <w:r w:rsidRPr="00010F4A">
        <w:rPr>
          <w:color w:val="auto"/>
        </w:rPr>
        <w:t xml:space="preserve">7. </w:t>
      </w:r>
      <w:r w:rsidRPr="00010F4A">
        <w:rPr>
          <w:color w:val="auto"/>
        </w:rPr>
        <w:tab/>
        <w:t xml:space="preserve">Easmon CS, Crane JP. Uptake of ciprofloxacin by macrophages. J Clin Pathol. 1985 Apr;38(4):442–4. </w:t>
      </w:r>
    </w:p>
    <w:p w14:paraId="4D0B2C8A" w14:textId="77777777" w:rsidR="00EA5690" w:rsidRPr="00010F4A" w:rsidRDefault="00EA5690" w:rsidP="00010F4A">
      <w:pPr>
        <w:pStyle w:val="Bibliography"/>
        <w:rPr>
          <w:color w:val="auto"/>
        </w:rPr>
      </w:pPr>
      <w:r w:rsidRPr="00010F4A">
        <w:rPr>
          <w:color w:val="auto"/>
        </w:rPr>
        <w:t xml:space="preserve">8. </w:t>
      </w:r>
      <w:r w:rsidRPr="00010F4A">
        <w:rPr>
          <w:color w:val="auto"/>
        </w:rPr>
        <w:tab/>
        <w:t xml:space="preserve">Easmon CSF, Crane JP. Uptake of ciprofloxacin by human neutrophils. J Antimicrob Chemother. 1985 Jul 1;16(1):67–73. </w:t>
      </w:r>
    </w:p>
    <w:p w14:paraId="40B88625" w14:textId="77777777" w:rsidR="00EA5690" w:rsidRPr="00010F4A" w:rsidRDefault="00EA5690" w:rsidP="00010F4A">
      <w:pPr>
        <w:pStyle w:val="Bibliography"/>
        <w:rPr>
          <w:color w:val="auto"/>
        </w:rPr>
      </w:pPr>
      <w:r w:rsidRPr="00010F4A">
        <w:rPr>
          <w:color w:val="auto"/>
        </w:rPr>
        <w:t xml:space="preserve">9. </w:t>
      </w:r>
      <w:r w:rsidRPr="00010F4A">
        <w:rPr>
          <w:color w:val="auto"/>
        </w:rPr>
        <w:tab/>
        <w:t xml:space="preserve">Choi JM, Park K, Lee B, Jeong D, Dindulkar SD, Choi Y, et al. Solubility and bioavailability enhancement of ciprofloxacin by induced oval-shaped mono-6-deoxy-6-aminoethylamino-β-cyclodextrin. Carbohydrate Polymers. 2017 May 1;163:118–28. </w:t>
      </w:r>
    </w:p>
    <w:p w14:paraId="01FF1562" w14:textId="77777777" w:rsidR="00EA5690" w:rsidRPr="00010F4A" w:rsidRDefault="00EA5690" w:rsidP="00010F4A">
      <w:pPr>
        <w:pStyle w:val="Bibliography"/>
        <w:rPr>
          <w:color w:val="auto"/>
        </w:rPr>
      </w:pPr>
      <w:r w:rsidRPr="00010F4A">
        <w:rPr>
          <w:color w:val="auto"/>
        </w:rPr>
        <w:t xml:space="preserve">10. </w:t>
      </w:r>
      <w:r w:rsidRPr="00010F4A">
        <w:rPr>
          <w:color w:val="auto"/>
        </w:rPr>
        <w:tab/>
        <w:t xml:space="preserve">Caço AI, Varanda F, De Melo MJP, Dias AMA, Dohrn R, Marrucho IM. Solubility of antibiotics in different solvents. Part II. non-hydrochloride forms of tetracycline and ciprofloxacin. Industrial and Engineering Chemistry Research. 2008;47(21):8083–9. </w:t>
      </w:r>
    </w:p>
    <w:p w14:paraId="31E3FF35" w14:textId="77777777" w:rsidR="00EA5690" w:rsidRPr="00010F4A" w:rsidRDefault="00EA5690" w:rsidP="00010F4A">
      <w:pPr>
        <w:pStyle w:val="Bibliography"/>
        <w:rPr>
          <w:color w:val="auto"/>
        </w:rPr>
      </w:pPr>
      <w:r w:rsidRPr="00010F4A">
        <w:rPr>
          <w:color w:val="auto"/>
        </w:rPr>
        <w:t xml:space="preserve">11. </w:t>
      </w:r>
      <w:r w:rsidRPr="00010F4A">
        <w:rPr>
          <w:color w:val="auto"/>
        </w:rPr>
        <w:tab/>
        <w:t xml:space="preserve">Gupta A, Eral HB, Hatton TA, Doyle PS. Nanoemulsions: formation, properties and applications. Soft Matter. 2016 Mar 21;12(11):2826–41. </w:t>
      </w:r>
    </w:p>
    <w:p w14:paraId="12C26D59" w14:textId="77777777" w:rsidR="00EA5690" w:rsidRPr="00010F4A" w:rsidRDefault="00EA5690" w:rsidP="00010F4A">
      <w:pPr>
        <w:pStyle w:val="Bibliography"/>
        <w:rPr>
          <w:color w:val="auto"/>
        </w:rPr>
      </w:pPr>
      <w:r w:rsidRPr="00010F4A">
        <w:rPr>
          <w:color w:val="auto"/>
        </w:rPr>
        <w:t xml:space="preserve">12. </w:t>
      </w:r>
      <w:r w:rsidRPr="00010F4A">
        <w:rPr>
          <w:color w:val="auto"/>
        </w:rPr>
        <w:tab/>
        <w:t xml:space="preserve">Kim CK, Cho YJ, Gao ZG. Preparation and evaluation of biphenyl dimethyl dicarboxylate microemulsions for oral delivery. J Control Release. 2001 Jan 29;70(1–2):149–55. </w:t>
      </w:r>
    </w:p>
    <w:p w14:paraId="47E9B8B0" w14:textId="77777777" w:rsidR="00EA5690" w:rsidRPr="00010F4A" w:rsidRDefault="00EA5690" w:rsidP="00010F4A">
      <w:pPr>
        <w:pStyle w:val="Bibliography"/>
        <w:rPr>
          <w:color w:val="auto"/>
        </w:rPr>
      </w:pPr>
      <w:r w:rsidRPr="00010F4A">
        <w:rPr>
          <w:color w:val="auto"/>
        </w:rPr>
        <w:t xml:space="preserve">13. </w:t>
      </w:r>
      <w:r w:rsidRPr="00010F4A">
        <w:rPr>
          <w:color w:val="auto"/>
        </w:rPr>
        <w:tab/>
        <w:t xml:space="preserve">Choudhury H, Gorain B, Karmakar S, Biswas E, Dey G, Barik R, et al. Improvement of cellular uptake, in vitro antitumor activity and sustained release profile with increased bioavailability from a nanoemulsion platform. Int J Pharm. 2014 Jan 2;460(1–2):131–43. </w:t>
      </w:r>
    </w:p>
    <w:p w14:paraId="6C5F0B1B" w14:textId="77777777" w:rsidR="00EA5690" w:rsidRPr="00010F4A" w:rsidRDefault="00EA5690" w:rsidP="00010F4A">
      <w:pPr>
        <w:pStyle w:val="Bibliography"/>
        <w:rPr>
          <w:color w:val="auto"/>
        </w:rPr>
      </w:pPr>
      <w:r w:rsidRPr="00010F4A">
        <w:rPr>
          <w:color w:val="auto"/>
        </w:rPr>
        <w:lastRenderedPageBreak/>
        <w:t xml:space="preserve">14. </w:t>
      </w:r>
      <w:r w:rsidRPr="00010F4A">
        <w:rPr>
          <w:color w:val="auto"/>
        </w:rPr>
        <w:tab/>
        <w:t xml:space="preserve">Pawar VK, Panchal SB, Singh Y, Meher JG, Sharma K, Singh P, et al. Immunotherapeutic vitamin E nanoemulsion synergies the antiproliferative activity of paclitaxel in breast cancer cells via modulating Th1 and Th2 immune response. J Control Release. 2014 Dec 28;196:295–306. </w:t>
      </w:r>
    </w:p>
    <w:p w14:paraId="1539FC7A" w14:textId="77777777" w:rsidR="00EA5690" w:rsidRPr="00010F4A" w:rsidRDefault="00EA5690" w:rsidP="00010F4A">
      <w:pPr>
        <w:pStyle w:val="Bibliography"/>
        <w:rPr>
          <w:color w:val="auto"/>
        </w:rPr>
      </w:pPr>
      <w:r w:rsidRPr="00010F4A">
        <w:rPr>
          <w:color w:val="auto"/>
        </w:rPr>
        <w:t xml:space="preserve">15. </w:t>
      </w:r>
      <w:r w:rsidRPr="00010F4A">
        <w:rPr>
          <w:color w:val="auto"/>
        </w:rPr>
        <w:tab/>
        <w:t xml:space="preserve">Ames MM, Kovach JS. Parenteral formulation of hexamethylmelamine potentially suitable for use in man. Cancer Treat Rep. 1982 Jul;66(7):1579–81. </w:t>
      </w:r>
    </w:p>
    <w:p w14:paraId="6C979CEC" w14:textId="77777777" w:rsidR="00EA5690" w:rsidRPr="00010F4A" w:rsidRDefault="00EA5690" w:rsidP="00010F4A">
      <w:pPr>
        <w:pStyle w:val="Bibliography"/>
        <w:rPr>
          <w:color w:val="auto"/>
        </w:rPr>
      </w:pPr>
      <w:r w:rsidRPr="00010F4A">
        <w:rPr>
          <w:color w:val="auto"/>
        </w:rPr>
        <w:t xml:space="preserve">16. </w:t>
      </w:r>
      <w:r w:rsidRPr="00010F4A">
        <w:rPr>
          <w:color w:val="auto"/>
        </w:rPr>
        <w:tab/>
        <w:t>Ames MM, Kovach JS. Hexamethylmelamine formulation exhibiting reduced neurotoxicity [Internet]. 5004593, 1991 [cited 2019 Jan 31]. Available from: http://www.freepatentsonline.com/5004593.html</w:t>
      </w:r>
    </w:p>
    <w:p w14:paraId="0F6C0A51" w14:textId="77777777" w:rsidR="00EA5690" w:rsidRPr="00010F4A" w:rsidRDefault="00EA5690" w:rsidP="00010F4A">
      <w:pPr>
        <w:pStyle w:val="Bibliography"/>
        <w:rPr>
          <w:color w:val="auto"/>
        </w:rPr>
      </w:pPr>
      <w:r w:rsidRPr="00010F4A">
        <w:rPr>
          <w:color w:val="auto"/>
        </w:rPr>
        <w:t xml:space="preserve">17. </w:t>
      </w:r>
      <w:r w:rsidRPr="00010F4A">
        <w:rPr>
          <w:color w:val="auto"/>
        </w:rPr>
        <w:tab/>
        <w:t xml:space="preserve">Kadam AN, Najlah M, Wan K-W, Ahmed W, Crean SJ, Phoenix DA, et al. Stability of parenteral nanoemulsions loaded with paclitaxel: the influence of lipid phase composition, drug concentration and storage temperature. Pharmaceutical development and technology. 2014;19(8):999–1004. </w:t>
      </w:r>
    </w:p>
    <w:p w14:paraId="3ED46D37" w14:textId="77777777" w:rsidR="00EA5690" w:rsidRPr="00010F4A" w:rsidRDefault="00EA5690" w:rsidP="00010F4A">
      <w:pPr>
        <w:pStyle w:val="Bibliography"/>
        <w:rPr>
          <w:color w:val="auto"/>
        </w:rPr>
      </w:pPr>
      <w:r w:rsidRPr="00010F4A">
        <w:rPr>
          <w:color w:val="auto"/>
        </w:rPr>
        <w:t xml:space="preserve">18. </w:t>
      </w:r>
      <w:r w:rsidRPr="00010F4A">
        <w:rPr>
          <w:color w:val="auto"/>
        </w:rPr>
        <w:tab/>
        <w:t xml:space="preserve">Najlah M, Kadam A, Wan K-W, Ahmed W, Taylor KM, Elhissi AM. Novel paclitaxel formulations solubilized by parenteral nutrition nanoemulsions for application against glioma cell lines. International journal of pharmaceutics. 2016;506(1–2):102–109. </w:t>
      </w:r>
    </w:p>
    <w:p w14:paraId="766E9BC3" w14:textId="77777777" w:rsidR="00EA5690" w:rsidRPr="00010F4A" w:rsidRDefault="00EA5690" w:rsidP="00010F4A">
      <w:pPr>
        <w:pStyle w:val="Bibliography"/>
        <w:rPr>
          <w:color w:val="auto"/>
        </w:rPr>
      </w:pPr>
      <w:r w:rsidRPr="00010F4A">
        <w:rPr>
          <w:color w:val="auto"/>
        </w:rPr>
        <w:t xml:space="preserve">19. </w:t>
      </w:r>
      <w:r w:rsidRPr="00010F4A">
        <w:rPr>
          <w:color w:val="auto"/>
        </w:rPr>
        <w:tab/>
        <w:t xml:space="preserve">Kumar R, Gupta RB, Betageri GV. Formulation, characterization, and in vitro release of glyburide from proliposomal beads. Drug Deliv. 2001 Mar;8(1):25–7. </w:t>
      </w:r>
    </w:p>
    <w:p w14:paraId="0C5A7E4E" w14:textId="77777777" w:rsidR="00EA5690" w:rsidRPr="00010F4A" w:rsidRDefault="00EA5690" w:rsidP="00010F4A">
      <w:pPr>
        <w:pStyle w:val="Bibliography"/>
        <w:rPr>
          <w:color w:val="auto"/>
        </w:rPr>
      </w:pPr>
      <w:r w:rsidRPr="00010F4A">
        <w:rPr>
          <w:color w:val="auto"/>
        </w:rPr>
        <w:t xml:space="preserve">20. </w:t>
      </w:r>
      <w:r w:rsidRPr="00010F4A">
        <w:rPr>
          <w:color w:val="auto"/>
        </w:rPr>
        <w:tab/>
        <w:t xml:space="preserve">Gala RP, Khan I, Elhissi AMA, Alhnan MA. A comprehensive production method of self-cryoprotected nano-liposome powders. Int J Pharm. 2015;486(1–2):153–8. </w:t>
      </w:r>
    </w:p>
    <w:p w14:paraId="06AC308F" w14:textId="77777777" w:rsidR="00EA5690" w:rsidRPr="00010F4A" w:rsidRDefault="00EA5690" w:rsidP="00010F4A">
      <w:pPr>
        <w:pStyle w:val="Bibliography"/>
        <w:rPr>
          <w:color w:val="auto"/>
        </w:rPr>
      </w:pPr>
      <w:r w:rsidRPr="00010F4A">
        <w:rPr>
          <w:color w:val="auto"/>
        </w:rPr>
        <w:t xml:space="preserve">21. </w:t>
      </w:r>
      <w:r w:rsidRPr="00010F4A">
        <w:rPr>
          <w:color w:val="auto"/>
        </w:rPr>
        <w:tab/>
        <w:t xml:space="preserve">Wu S-S, Chein C-Y, Wen Y-H. Analysis of Ciprofloxacin by a Simple High-Performance Liquid Chromatography Method. J Chromatogr Sci. 2008 Jul 1;46(6):490–5. </w:t>
      </w:r>
    </w:p>
    <w:p w14:paraId="16CF9699" w14:textId="77777777" w:rsidR="00EA5690" w:rsidRPr="00010F4A" w:rsidRDefault="00EA5690" w:rsidP="00010F4A">
      <w:pPr>
        <w:pStyle w:val="Bibliography"/>
        <w:rPr>
          <w:color w:val="auto"/>
        </w:rPr>
      </w:pPr>
      <w:r w:rsidRPr="00010F4A">
        <w:rPr>
          <w:color w:val="auto"/>
        </w:rPr>
        <w:t xml:space="preserve">22. </w:t>
      </w:r>
      <w:r w:rsidRPr="00010F4A">
        <w:rPr>
          <w:color w:val="auto"/>
        </w:rPr>
        <w:tab/>
        <w:t xml:space="preserve">Costa P, Sousa Lobo JM. Modeling and comparison of dissolution profiles. European Journal of Pharmaceutical Sciences. 2001 May 1;13(2):123–33. </w:t>
      </w:r>
    </w:p>
    <w:p w14:paraId="34D12B59" w14:textId="77777777" w:rsidR="00EA5690" w:rsidRPr="00010F4A" w:rsidRDefault="00EA5690" w:rsidP="00010F4A">
      <w:pPr>
        <w:pStyle w:val="Bibliography"/>
        <w:rPr>
          <w:color w:val="auto"/>
        </w:rPr>
      </w:pPr>
      <w:r w:rsidRPr="00010F4A">
        <w:rPr>
          <w:color w:val="auto"/>
        </w:rPr>
        <w:t xml:space="preserve">23. </w:t>
      </w:r>
      <w:r w:rsidRPr="00010F4A">
        <w:rPr>
          <w:color w:val="auto"/>
        </w:rPr>
        <w:tab/>
        <w:t xml:space="preserve">Bernardi DS, Pereira TA, Maciel NR, Bortoloto J, Viera GS, Oliveira GC, et al. Formation and stability of oil-in-water nanoemulsions containing rice bran oil: in vitro and in vivo assessments. J Nanobiotechnology. 2011 Sep 28;9:44. </w:t>
      </w:r>
    </w:p>
    <w:p w14:paraId="5778BEE9" w14:textId="77777777" w:rsidR="00EA5690" w:rsidRPr="00010F4A" w:rsidRDefault="00EA5690" w:rsidP="00010F4A">
      <w:pPr>
        <w:pStyle w:val="Bibliography"/>
        <w:rPr>
          <w:color w:val="auto"/>
        </w:rPr>
      </w:pPr>
      <w:r w:rsidRPr="00010F4A">
        <w:rPr>
          <w:color w:val="auto"/>
        </w:rPr>
        <w:t xml:space="preserve">24. </w:t>
      </w:r>
      <w:r w:rsidRPr="00010F4A">
        <w:rPr>
          <w:color w:val="auto"/>
        </w:rPr>
        <w:tab/>
        <w:t xml:space="preserve">Elhissi A, Hidayat K, Phoenix DA, Mwesigwa E, Crean S, Ahmed W, et al. Air-jet and vibrating-mesh nebulization of niosomes generated using a particulate-based proniosome technology. Int J Pharm. 2013 Feb 28;444(1–2):193–9. </w:t>
      </w:r>
    </w:p>
    <w:p w14:paraId="4E40D8B8" w14:textId="77777777" w:rsidR="00EA5690" w:rsidRPr="00010F4A" w:rsidRDefault="00EA5690" w:rsidP="00010F4A">
      <w:pPr>
        <w:pStyle w:val="Bibliography"/>
        <w:rPr>
          <w:color w:val="auto"/>
        </w:rPr>
      </w:pPr>
      <w:r w:rsidRPr="00010F4A">
        <w:rPr>
          <w:color w:val="auto"/>
        </w:rPr>
        <w:t xml:space="preserve">25. </w:t>
      </w:r>
      <w:r w:rsidRPr="00010F4A">
        <w:rPr>
          <w:color w:val="auto"/>
        </w:rPr>
        <w:tab/>
        <w:t xml:space="preserve">Elsheikh MA, Elnaggar YSR, Gohar EY, Abdallah OY. Nanoemulsion liquid preconcentrates for raloxifene hydrochloride: optimization and in vivo appraisal. Int J Nanomedicine. 2012;7:3787–802. </w:t>
      </w:r>
    </w:p>
    <w:p w14:paraId="28C6F026" w14:textId="77777777" w:rsidR="00EA5690" w:rsidRPr="00010F4A" w:rsidRDefault="00EA5690" w:rsidP="00010F4A">
      <w:pPr>
        <w:pStyle w:val="Bibliography"/>
        <w:rPr>
          <w:color w:val="auto"/>
        </w:rPr>
      </w:pPr>
      <w:r w:rsidRPr="00010F4A">
        <w:rPr>
          <w:color w:val="auto"/>
        </w:rPr>
        <w:t xml:space="preserve">26. </w:t>
      </w:r>
      <w:r w:rsidRPr="00010F4A">
        <w:rPr>
          <w:color w:val="auto"/>
        </w:rPr>
        <w:tab/>
        <w:t xml:space="preserve">Chang S-H, Lin H-TV, Wu G-J, Tsai GJ. pH Effects on solubility, zeta potential, and correlation between antibacterial activity and molecular weight of chitosan. Carbohydrate Polymers. 2015 Dec 10;134:74–81. </w:t>
      </w:r>
    </w:p>
    <w:p w14:paraId="72F7AB75" w14:textId="77777777" w:rsidR="00EA5690" w:rsidRPr="00010F4A" w:rsidRDefault="00EA5690" w:rsidP="00010F4A">
      <w:pPr>
        <w:pStyle w:val="Bibliography"/>
        <w:rPr>
          <w:color w:val="auto"/>
        </w:rPr>
      </w:pPr>
      <w:r w:rsidRPr="00010F4A">
        <w:rPr>
          <w:color w:val="auto"/>
        </w:rPr>
        <w:lastRenderedPageBreak/>
        <w:t xml:space="preserve">27. </w:t>
      </w:r>
      <w:r w:rsidRPr="00010F4A">
        <w:rPr>
          <w:color w:val="auto"/>
        </w:rPr>
        <w:tab/>
        <w:t xml:space="preserve">Gustafsson J, Mikkola P, Jokinen M, Rosenholm JB. The influence of pH and NaCl on the zeta potential and rheology of anatase dispersions. Colloids and Surfaces A: Physicochemical and Engineering Aspects. 2000 Dec 30;175(3):349–59. </w:t>
      </w:r>
    </w:p>
    <w:p w14:paraId="2279968D" w14:textId="77777777" w:rsidR="00EA5690" w:rsidRPr="00010F4A" w:rsidRDefault="00EA5690" w:rsidP="00010F4A">
      <w:pPr>
        <w:pStyle w:val="Bibliography"/>
        <w:rPr>
          <w:color w:val="auto"/>
        </w:rPr>
      </w:pPr>
      <w:r w:rsidRPr="00010F4A">
        <w:rPr>
          <w:color w:val="auto"/>
        </w:rPr>
        <w:t xml:space="preserve">28. </w:t>
      </w:r>
      <w:r w:rsidRPr="00010F4A">
        <w:rPr>
          <w:color w:val="auto"/>
        </w:rPr>
        <w:tab/>
        <w:t xml:space="preserve">Barbosa J, Barrón D, Jiménez-Lozano E, Sanz-Nebot V. Comparison between capillary electrophoresis, liquid chromatography, potentiometric and spectrophotometric techniques for evaluation of pKa values of zwitterionic drugs in acetonitrile–water mixtures. Analytica Chimica Acta. 2001 Jun 27;437(2):309–21. </w:t>
      </w:r>
    </w:p>
    <w:p w14:paraId="2D915A31" w14:textId="77777777" w:rsidR="00EA5690" w:rsidRPr="00010F4A" w:rsidRDefault="00EA5690" w:rsidP="00010F4A">
      <w:pPr>
        <w:pStyle w:val="Bibliography"/>
        <w:rPr>
          <w:color w:val="auto"/>
        </w:rPr>
      </w:pPr>
      <w:r w:rsidRPr="00010F4A">
        <w:rPr>
          <w:color w:val="auto"/>
        </w:rPr>
        <w:t xml:space="preserve">29. </w:t>
      </w:r>
      <w:r w:rsidRPr="00010F4A">
        <w:rPr>
          <w:color w:val="auto"/>
        </w:rPr>
        <w:tab/>
        <w:t>Al-Omar MA. Ciprofloxacin: Analytical Profile. In: Brittain HG, editor. Profiles of Drug Substances, Excipients and Related Methodology [Internet]. Academic Press; 2005 [cited 2019 Feb 2]. p. 179–207. Available from: http://www.sciencedirect.com/science/article/pii/S0099542804310051</w:t>
      </w:r>
    </w:p>
    <w:p w14:paraId="3C3DE1C4" w14:textId="77777777" w:rsidR="00EA5690" w:rsidRPr="00010F4A" w:rsidRDefault="00EA5690" w:rsidP="00010F4A">
      <w:pPr>
        <w:pStyle w:val="Bibliography"/>
        <w:rPr>
          <w:color w:val="auto"/>
        </w:rPr>
      </w:pPr>
      <w:r w:rsidRPr="00010F4A">
        <w:rPr>
          <w:color w:val="auto"/>
        </w:rPr>
        <w:t xml:space="preserve">30. </w:t>
      </w:r>
      <w:r w:rsidRPr="00010F4A">
        <w:rPr>
          <w:color w:val="auto"/>
        </w:rPr>
        <w:tab/>
        <w:t xml:space="preserve">Yu X, Zipp GL, Davidson GW. The effect of temperature and pH on the solubility of quinolone compounds: estimation of heat of fusion. Pharm Res. 1994 Apr;11(4):522–7. </w:t>
      </w:r>
    </w:p>
    <w:p w14:paraId="2D0AFF7C" w14:textId="77777777" w:rsidR="00EA5690" w:rsidRPr="00010F4A" w:rsidRDefault="00EA5690" w:rsidP="00010F4A">
      <w:pPr>
        <w:pStyle w:val="Bibliography"/>
        <w:rPr>
          <w:color w:val="auto"/>
        </w:rPr>
      </w:pPr>
      <w:r w:rsidRPr="00010F4A">
        <w:rPr>
          <w:color w:val="auto"/>
        </w:rPr>
        <w:t xml:space="preserve">31. </w:t>
      </w:r>
      <w:r w:rsidRPr="00010F4A">
        <w:rPr>
          <w:color w:val="auto"/>
        </w:rPr>
        <w:tab/>
        <w:t xml:space="preserve">Nasr M, Nawaz S, Elhissi A. Amphotericin B lipid nanoemulsion aerosols for targeting peripheral respiratory airways via nebulization. International Journal of Pharmaceutics. 2012 Oct 15;436(1):611–6. </w:t>
      </w:r>
    </w:p>
    <w:p w14:paraId="19F80560" w14:textId="77777777" w:rsidR="00EA5690" w:rsidRPr="00010F4A" w:rsidRDefault="00EA5690" w:rsidP="00010F4A">
      <w:pPr>
        <w:pStyle w:val="Bibliography"/>
        <w:rPr>
          <w:color w:val="auto"/>
        </w:rPr>
      </w:pPr>
      <w:r w:rsidRPr="00010F4A">
        <w:rPr>
          <w:color w:val="auto"/>
        </w:rPr>
        <w:t xml:space="preserve">32. </w:t>
      </w:r>
      <w:r w:rsidRPr="00010F4A">
        <w:rPr>
          <w:color w:val="auto"/>
        </w:rPr>
        <w:tab/>
        <w:t xml:space="preserve">Torge A, Wagner S, Chaves PS, Oliveira EG, Guterres SS, Pohlmann AR, et al. Ciprofloxacin-loaded lipid-core nanocapsules as mucus penetrating drug delivery system intended for the treatment of bacterial infections in cystic fibrosis. Int J Pharm. 2017 Jul 15;527(1–2):92–102. </w:t>
      </w:r>
    </w:p>
    <w:p w14:paraId="5AF2F8BC" w14:textId="77777777" w:rsidR="00EA5690" w:rsidRPr="00010F4A" w:rsidRDefault="00EA5690" w:rsidP="00010F4A">
      <w:pPr>
        <w:pStyle w:val="Bibliography"/>
        <w:rPr>
          <w:color w:val="auto"/>
        </w:rPr>
      </w:pPr>
      <w:r w:rsidRPr="00010F4A">
        <w:rPr>
          <w:color w:val="auto"/>
        </w:rPr>
        <w:t xml:space="preserve">33. </w:t>
      </w:r>
      <w:r w:rsidRPr="00010F4A">
        <w:rPr>
          <w:color w:val="auto"/>
        </w:rPr>
        <w:tab/>
        <w:t xml:space="preserve">Günday Türeli N, Torge A, Juntke J, Schwarz BC, Schneider-Daum N, Türeli AE, et al. Ciprofloxacin-loaded PLGA nanoparticles against cystic fibrosis P. aeruginosa lung infections. Eur J Pharm Biopharm. 2017 Aug;117:363–71. </w:t>
      </w:r>
    </w:p>
    <w:p w14:paraId="363D1B5D" w14:textId="77777777" w:rsidR="00EA5690" w:rsidRPr="00010F4A" w:rsidRDefault="00EA5690" w:rsidP="00010F4A">
      <w:pPr>
        <w:pStyle w:val="Bibliography"/>
        <w:rPr>
          <w:color w:val="auto"/>
        </w:rPr>
      </w:pPr>
      <w:r w:rsidRPr="00010F4A">
        <w:rPr>
          <w:color w:val="auto"/>
        </w:rPr>
        <w:t xml:space="preserve">34. </w:t>
      </w:r>
      <w:r w:rsidRPr="00010F4A">
        <w:rPr>
          <w:color w:val="auto"/>
        </w:rPr>
        <w:tab/>
        <w:t>Eccleston GM. Emulsions and Microemulsions [Internet]. Encyclopedia of Pharmaceutical Science and Technology, Six Volume Set (Print). 2013 [cited 2019 Feb 2]. Available from: https://www.taylorfrancis.com/</w:t>
      </w:r>
    </w:p>
    <w:p w14:paraId="614F9B2C" w14:textId="77777777" w:rsidR="00EA5690" w:rsidRPr="00010F4A" w:rsidRDefault="00EA5690" w:rsidP="00010F4A">
      <w:pPr>
        <w:pStyle w:val="Bibliography"/>
        <w:rPr>
          <w:color w:val="auto"/>
        </w:rPr>
      </w:pPr>
      <w:r w:rsidRPr="00010F4A">
        <w:rPr>
          <w:color w:val="auto"/>
        </w:rPr>
        <w:t xml:space="preserve">35. </w:t>
      </w:r>
      <w:r w:rsidRPr="00010F4A">
        <w:rPr>
          <w:color w:val="auto"/>
        </w:rPr>
        <w:tab/>
        <w:t xml:space="preserve">Washington C. Particle Size Analysis In Pharmaceutics And Other Industries: Theory And Practice: Theory And Practice. CRC Press; 1992. 260 p. </w:t>
      </w:r>
    </w:p>
    <w:p w14:paraId="4600BF66" w14:textId="77777777" w:rsidR="00EA5690" w:rsidRPr="00010F4A" w:rsidRDefault="00EA5690" w:rsidP="00010F4A">
      <w:pPr>
        <w:pStyle w:val="Bibliography"/>
        <w:rPr>
          <w:color w:val="auto"/>
        </w:rPr>
      </w:pPr>
      <w:r w:rsidRPr="00010F4A">
        <w:rPr>
          <w:color w:val="auto"/>
        </w:rPr>
        <w:t xml:space="preserve">36. </w:t>
      </w:r>
      <w:r w:rsidRPr="00010F4A">
        <w:rPr>
          <w:color w:val="auto"/>
        </w:rPr>
        <w:tab/>
        <w:t xml:space="preserve">Siqueira J, Smiley D, Newton C, Le N-A, Gosmanov AR, Spiegelman R, et al. Substitution of standard soybean oil with olive oil-based lipid emulsion in parenteral nutrition: comparison of vascular, metabolic, and inflammatory effects. J Clin Endocrinol Metab. 2011 Oct;96(10):3207–16. </w:t>
      </w:r>
    </w:p>
    <w:p w14:paraId="6D623DE6" w14:textId="502E5562" w:rsidR="00E0313E" w:rsidRDefault="00125AFC" w:rsidP="00125AFC">
      <w:pPr>
        <w:pStyle w:val="Paragraph"/>
        <w:rPr>
          <w:lang w:val="en-US"/>
        </w:rPr>
      </w:pPr>
      <w:r>
        <w:rPr>
          <w:lang w:val="en-US"/>
        </w:rPr>
        <w:fldChar w:fldCharType="end"/>
      </w:r>
    </w:p>
    <w:p w14:paraId="33E4EDAD" w14:textId="77777777" w:rsidR="00E0313E" w:rsidRDefault="00E0313E" w:rsidP="00E0313E">
      <w:pPr>
        <w:pStyle w:val="Newparagraph"/>
        <w:rPr>
          <w:lang w:val="en-US"/>
        </w:rPr>
      </w:pPr>
      <w:r>
        <w:rPr>
          <w:lang w:val="en-US"/>
        </w:rPr>
        <w:br w:type="page"/>
      </w:r>
    </w:p>
    <w:p w14:paraId="7014E83B" w14:textId="77777777" w:rsidR="00125AFC" w:rsidRPr="00125AFC" w:rsidRDefault="00125AFC" w:rsidP="00125AFC">
      <w:pPr>
        <w:pStyle w:val="Paragraph"/>
        <w:rPr>
          <w:lang w:val="en-US"/>
        </w:rPr>
      </w:pPr>
    </w:p>
    <w:p w14:paraId="14C826B8" w14:textId="77777777" w:rsidR="005D7A83" w:rsidRDefault="005D7A83" w:rsidP="003565D4">
      <w:pPr>
        <w:pStyle w:val="Tabletitle"/>
      </w:pPr>
    </w:p>
    <w:p w14:paraId="65F2D5B0" w14:textId="77777777" w:rsidR="005D7A83" w:rsidRDefault="005D7A83" w:rsidP="003565D4">
      <w:pPr>
        <w:pStyle w:val="Tabletitle"/>
      </w:pPr>
    </w:p>
    <w:p w14:paraId="0A76E2B3" w14:textId="77777777" w:rsidR="005D7A83" w:rsidRDefault="005D7A83" w:rsidP="003565D4">
      <w:pPr>
        <w:pStyle w:val="Tabletitle"/>
      </w:pPr>
    </w:p>
    <w:p w14:paraId="707767B2" w14:textId="77777777" w:rsidR="005D7A83" w:rsidRDefault="005D7A83" w:rsidP="003565D4">
      <w:pPr>
        <w:pStyle w:val="Tabletitle"/>
      </w:pPr>
    </w:p>
    <w:p w14:paraId="0AEBB6C7" w14:textId="71980AA7" w:rsidR="00F153C8" w:rsidRDefault="00F153C8" w:rsidP="008107F1">
      <w:pPr>
        <w:pStyle w:val="Tabletitle"/>
        <w:rPr>
          <w:lang w:val="en-US"/>
        </w:rPr>
      </w:pPr>
      <w:r w:rsidRPr="00F153C8">
        <w:rPr>
          <w:lang w:val="en-US"/>
        </w:rPr>
        <w:t>Table 1. Compositions of the Clinoleic and Intralipid emulsions.</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3972"/>
        <w:gridCol w:w="3783"/>
      </w:tblGrid>
      <w:tr w:rsidR="00453C38" w:rsidRPr="00860492" w14:paraId="39B2F16A" w14:textId="77777777" w:rsidTr="003A7D12">
        <w:trPr>
          <w:trHeight w:val="279"/>
        </w:trPr>
        <w:tc>
          <w:tcPr>
            <w:tcW w:w="3972" w:type="dxa"/>
            <w:shd w:val="clear" w:color="auto" w:fill="auto"/>
            <w:vAlign w:val="center"/>
          </w:tcPr>
          <w:p w14:paraId="0BC1E9FD" w14:textId="77777777" w:rsidR="00453C38" w:rsidRPr="00860492" w:rsidRDefault="00453C38" w:rsidP="003A7D12">
            <w:pPr>
              <w:pStyle w:val="MDPI31text"/>
              <w:ind w:firstLine="0"/>
              <w:jc w:val="left"/>
              <w:rPr>
                <w:b/>
              </w:rPr>
            </w:pPr>
            <w:r w:rsidRPr="00860492">
              <w:rPr>
                <w:b/>
              </w:rPr>
              <w:t>Clinoleic TPN (100 ml)</w:t>
            </w:r>
          </w:p>
        </w:tc>
        <w:tc>
          <w:tcPr>
            <w:tcW w:w="3783" w:type="dxa"/>
            <w:shd w:val="clear" w:color="auto" w:fill="auto"/>
            <w:vAlign w:val="center"/>
          </w:tcPr>
          <w:p w14:paraId="293A393F" w14:textId="77777777" w:rsidR="00453C38" w:rsidRPr="00860492" w:rsidRDefault="00453C38" w:rsidP="003A7D12">
            <w:pPr>
              <w:pStyle w:val="MDPI31text"/>
              <w:ind w:firstLine="0"/>
              <w:jc w:val="left"/>
              <w:rPr>
                <w:b/>
              </w:rPr>
            </w:pPr>
            <w:r w:rsidRPr="00860492">
              <w:rPr>
                <w:b/>
              </w:rPr>
              <w:t>Intralipid TPN (100 ml)</w:t>
            </w:r>
          </w:p>
        </w:tc>
      </w:tr>
      <w:tr w:rsidR="00453C38" w:rsidRPr="00860492" w14:paraId="56D3B381" w14:textId="77777777" w:rsidTr="003A7D12">
        <w:trPr>
          <w:trHeight w:val="348"/>
        </w:trPr>
        <w:tc>
          <w:tcPr>
            <w:tcW w:w="3972" w:type="dxa"/>
            <w:shd w:val="clear" w:color="auto" w:fill="auto"/>
          </w:tcPr>
          <w:p w14:paraId="20E44CF2" w14:textId="77777777" w:rsidR="00453C38" w:rsidRPr="00860492" w:rsidRDefault="00453C38" w:rsidP="003A7D12">
            <w:pPr>
              <w:pStyle w:val="MDPI31text"/>
              <w:ind w:firstLine="0"/>
              <w:jc w:val="left"/>
            </w:pPr>
            <w:r w:rsidRPr="00860492">
              <w:t>Refined olive oil (approx. 80%) and refined soybean oil (approx. 20%) 20 g</w:t>
            </w:r>
          </w:p>
        </w:tc>
        <w:tc>
          <w:tcPr>
            <w:tcW w:w="3783" w:type="dxa"/>
            <w:shd w:val="clear" w:color="auto" w:fill="auto"/>
          </w:tcPr>
          <w:p w14:paraId="7168A6CB" w14:textId="77777777" w:rsidR="00453C38" w:rsidRPr="00860492" w:rsidRDefault="00453C38" w:rsidP="003A7D12">
            <w:pPr>
              <w:pStyle w:val="MDPI31text"/>
              <w:ind w:firstLine="0"/>
              <w:jc w:val="left"/>
            </w:pPr>
            <w:r w:rsidRPr="00860492">
              <w:t>Refined soybean oil 20 g</w:t>
            </w:r>
          </w:p>
        </w:tc>
      </w:tr>
      <w:tr w:rsidR="00453C38" w:rsidRPr="00860492" w14:paraId="7C23D98D" w14:textId="77777777" w:rsidTr="003A7D12">
        <w:trPr>
          <w:trHeight w:val="101"/>
        </w:trPr>
        <w:tc>
          <w:tcPr>
            <w:tcW w:w="3972" w:type="dxa"/>
            <w:shd w:val="clear" w:color="auto" w:fill="auto"/>
          </w:tcPr>
          <w:p w14:paraId="129A3C26" w14:textId="77777777" w:rsidR="00453C38" w:rsidRPr="00860492" w:rsidRDefault="00453C38" w:rsidP="003A7D12">
            <w:pPr>
              <w:pStyle w:val="MDPI31text"/>
              <w:ind w:firstLine="0"/>
              <w:jc w:val="left"/>
            </w:pPr>
            <w:r w:rsidRPr="00860492">
              <w:t>Purified egg phospholipids 1.2 g</w:t>
            </w:r>
          </w:p>
          <w:p w14:paraId="420240F1" w14:textId="77777777" w:rsidR="00453C38" w:rsidRPr="00860492" w:rsidRDefault="00453C38" w:rsidP="003A7D12">
            <w:pPr>
              <w:pStyle w:val="MDPI31text"/>
              <w:jc w:val="left"/>
            </w:pPr>
          </w:p>
        </w:tc>
        <w:tc>
          <w:tcPr>
            <w:tcW w:w="3783" w:type="dxa"/>
            <w:shd w:val="clear" w:color="auto" w:fill="auto"/>
          </w:tcPr>
          <w:p w14:paraId="6B822DCC" w14:textId="77777777" w:rsidR="00453C38" w:rsidRPr="00860492" w:rsidRDefault="00453C38" w:rsidP="003A7D12">
            <w:pPr>
              <w:pStyle w:val="MDPI31text"/>
              <w:ind w:firstLine="0"/>
              <w:jc w:val="left"/>
            </w:pPr>
            <w:r w:rsidRPr="00860492">
              <w:t>Purified egg phosphatides 1.2 g</w:t>
            </w:r>
          </w:p>
        </w:tc>
      </w:tr>
      <w:tr w:rsidR="00453C38" w:rsidRPr="00860492" w14:paraId="5490C7C2" w14:textId="77777777" w:rsidTr="003A7D12">
        <w:trPr>
          <w:trHeight w:val="264"/>
        </w:trPr>
        <w:tc>
          <w:tcPr>
            <w:tcW w:w="3972" w:type="dxa"/>
            <w:shd w:val="clear" w:color="auto" w:fill="auto"/>
          </w:tcPr>
          <w:p w14:paraId="065DEC8A" w14:textId="77777777" w:rsidR="00453C38" w:rsidRPr="00860492" w:rsidRDefault="00453C38" w:rsidP="003A7D12">
            <w:pPr>
              <w:pStyle w:val="MDPI31text"/>
              <w:ind w:firstLine="0"/>
              <w:jc w:val="left"/>
            </w:pPr>
            <w:r w:rsidRPr="00860492">
              <w:t>Glycerol 2.25 g</w:t>
            </w:r>
          </w:p>
        </w:tc>
        <w:tc>
          <w:tcPr>
            <w:tcW w:w="3783" w:type="dxa"/>
            <w:shd w:val="clear" w:color="auto" w:fill="auto"/>
          </w:tcPr>
          <w:p w14:paraId="5C48166A" w14:textId="77777777" w:rsidR="00453C38" w:rsidRPr="00860492" w:rsidRDefault="00453C38" w:rsidP="003A7D12">
            <w:pPr>
              <w:pStyle w:val="MDPI31text"/>
              <w:ind w:firstLine="0"/>
              <w:jc w:val="left"/>
            </w:pPr>
            <w:r w:rsidRPr="00860492">
              <w:t>Glycerol anhydrous 2.2 g</w:t>
            </w:r>
          </w:p>
        </w:tc>
      </w:tr>
      <w:tr w:rsidR="00453C38" w:rsidRPr="00860492" w14:paraId="578CD77B" w14:textId="77777777" w:rsidTr="003A7D12">
        <w:trPr>
          <w:trHeight w:val="285"/>
        </w:trPr>
        <w:tc>
          <w:tcPr>
            <w:tcW w:w="3972" w:type="dxa"/>
            <w:shd w:val="clear" w:color="auto" w:fill="auto"/>
          </w:tcPr>
          <w:p w14:paraId="514C42DB" w14:textId="77777777" w:rsidR="00453C38" w:rsidRPr="00860492" w:rsidRDefault="00453C38" w:rsidP="003A7D12">
            <w:pPr>
              <w:pStyle w:val="MDPI31text"/>
              <w:ind w:firstLine="0"/>
              <w:jc w:val="left"/>
            </w:pPr>
            <w:r w:rsidRPr="00860492">
              <w:t>Essential fatty acids 4 g</w:t>
            </w:r>
          </w:p>
          <w:p w14:paraId="75AD9C2E" w14:textId="77777777" w:rsidR="00453C38" w:rsidRPr="00860492" w:rsidRDefault="00453C38" w:rsidP="003A7D12">
            <w:pPr>
              <w:pStyle w:val="MDPI31text"/>
              <w:ind w:firstLine="0"/>
              <w:jc w:val="left"/>
            </w:pPr>
            <w:r w:rsidRPr="00860492">
              <w:t>Sodium oleate 0.03 g</w:t>
            </w:r>
          </w:p>
        </w:tc>
        <w:tc>
          <w:tcPr>
            <w:tcW w:w="3783" w:type="dxa"/>
            <w:shd w:val="clear" w:color="auto" w:fill="auto"/>
            <w:vAlign w:val="center"/>
          </w:tcPr>
          <w:p w14:paraId="204D7BA3" w14:textId="77777777" w:rsidR="00453C38" w:rsidRPr="00860492" w:rsidRDefault="00453C38" w:rsidP="003A7D12">
            <w:pPr>
              <w:pStyle w:val="MDPI31text"/>
              <w:jc w:val="left"/>
            </w:pPr>
          </w:p>
        </w:tc>
      </w:tr>
    </w:tbl>
    <w:p w14:paraId="70DD8FB1" w14:textId="77777777" w:rsidR="008107F1" w:rsidRPr="00F153C8" w:rsidRDefault="008107F1" w:rsidP="008107F1"/>
    <w:p w14:paraId="6CED8209" w14:textId="60132725" w:rsidR="00453C38" w:rsidRDefault="00453C38">
      <w:pPr>
        <w:spacing w:line="240" w:lineRule="auto"/>
        <w:rPr>
          <w:lang w:val="en-US"/>
        </w:rPr>
      </w:pPr>
      <w:r>
        <w:rPr>
          <w:lang w:val="en-US"/>
        </w:rPr>
        <w:br w:type="page"/>
      </w:r>
    </w:p>
    <w:p w14:paraId="53B1B574" w14:textId="77777777" w:rsidR="00B005E9" w:rsidRDefault="00464C0C" w:rsidP="00B005E9">
      <w:pPr>
        <w:pStyle w:val="Figurecaption"/>
        <w:rPr>
          <w:rFonts w:ascii="Palatino Linotype" w:hAnsi="Palatino Linotype"/>
          <w:color w:val="000000"/>
          <w:sz w:val="18"/>
          <w:szCs w:val="18"/>
          <w:lang w:val="en-US" w:eastAsia="de-DE" w:bidi="en-US"/>
        </w:rPr>
      </w:pPr>
      <w:bookmarkStart w:id="9" w:name="_Ref322882"/>
      <w:r w:rsidRPr="00B005E9">
        <w:rPr>
          <w:lang w:bidi="en-US"/>
        </w:rPr>
        <w:lastRenderedPageBreak/>
        <w:t>Figure 1</w:t>
      </w:r>
      <w:bookmarkEnd w:id="9"/>
      <w:r w:rsidRPr="00B005E9">
        <w:rPr>
          <w:lang w:bidi="en-US"/>
        </w:rPr>
        <w:t>. The chemical structure of ciprofloxacin.</w:t>
      </w:r>
      <w:bookmarkStart w:id="10" w:name="_Ref344992"/>
      <w:bookmarkStart w:id="11" w:name="_Ref409349"/>
      <w:r w:rsidR="00967127" w:rsidRPr="00B005E9">
        <w:rPr>
          <w:rFonts w:ascii="Palatino Linotype" w:hAnsi="Palatino Linotype"/>
          <w:color w:val="000000"/>
          <w:sz w:val="18"/>
          <w:szCs w:val="18"/>
          <w:lang w:val="en-US" w:eastAsia="de-DE" w:bidi="en-US"/>
        </w:rPr>
        <w:t xml:space="preserve"> </w:t>
      </w:r>
    </w:p>
    <w:p w14:paraId="68B2DCDA" w14:textId="77777777" w:rsidR="00B005E9" w:rsidRDefault="00967127" w:rsidP="00B005E9">
      <w:pPr>
        <w:pStyle w:val="Figurecaption"/>
        <w:rPr>
          <w:rFonts w:ascii="Palatino Linotype" w:hAnsi="Palatino Linotype"/>
          <w:color w:val="000000"/>
          <w:sz w:val="18"/>
          <w:szCs w:val="18"/>
          <w:lang w:val="en-US" w:eastAsia="de-DE" w:bidi="en-US"/>
        </w:rPr>
      </w:pPr>
      <w:r w:rsidRPr="00B005E9">
        <w:rPr>
          <w:lang w:val="en-US" w:bidi="en-US"/>
        </w:rPr>
        <w:t>Figure 2</w:t>
      </w:r>
      <w:bookmarkEnd w:id="10"/>
      <w:r w:rsidRPr="00B005E9">
        <w:rPr>
          <w:lang w:val="en-US" w:bidi="en-US"/>
        </w:rPr>
        <w:t xml:space="preserve">. (a) Size (Z </w:t>
      </w:r>
      <w:r w:rsidRPr="00B005E9">
        <w:rPr>
          <w:vertAlign w:val="subscript"/>
          <w:lang w:val="en-US" w:bidi="en-US"/>
        </w:rPr>
        <w:t>average</w:t>
      </w:r>
      <w:r w:rsidRPr="00B005E9">
        <w:rPr>
          <w:lang w:val="en-US" w:bidi="en-US"/>
        </w:rPr>
        <w:t>) and (b) PI of Clinoleic and Intralipid nanoemulsion droplets at a range of CP concentrations (n=3 ± SD).</w:t>
      </w:r>
      <w:bookmarkStart w:id="12" w:name="_Ref429425"/>
      <w:bookmarkEnd w:id="11"/>
      <w:r w:rsidR="00452C97" w:rsidRPr="00B005E9">
        <w:rPr>
          <w:rFonts w:ascii="Palatino Linotype" w:hAnsi="Palatino Linotype"/>
          <w:color w:val="000000"/>
          <w:sz w:val="18"/>
          <w:szCs w:val="18"/>
          <w:lang w:val="en-US" w:eastAsia="de-DE" w:bidi="en-US"/>
        </w:rPr>
        <w:t xml:space="preserve"> </w:t>
      </w:r>
    </w:p>
    <w:p w14:paraId="2191F38C" w14:textId="77777777" w:rsidR="00B005E9" w:rsidRDefault="00452C97" w:rsidP="00B005E9">
      <w:pPr>
        <w:pStyle w:val="Figurecaption"/>
        <w:rPr>
          <w:rFonts w:ascii="Palatino Linotype" w:hAnsi="Palatino Linotype"/>
          <w:color w:val="000000"/>
          <w:sz w:val="18"/>
          <w:szCs w:val="18"/>
          <w:lang w:val="en-US" w:eastAsia="de-DE" w:bidi="en-US"/>
        </w:rPr>
      </w:pPr>
      <w:r w:rsidRPr="00B005E9">
        <w:rPr>
          <w:lang w:val="en-US" w:bidi="en-US"/>
        </w:rPr>
        <w:t>Figure 3</w:t>
      </w:r>
      <w:bookmarkEnd w:id="12"/>
      <w:r w:rsidRPr="00B005E9">
        <w:rPr>
          <w:lang w:val="en-US" w:bidi="en-US"/>
        </w:rPr>
        <w:t>. (a) Zeta potential and (b) pH of Clinoleic and Intralipid formulations at a range of CP concentrations (n=3 ± SD).</w:t>
      </w:r>
      <w:bookmarkStart w:id="13" w:name="_Ref445960"/>
      <w:r w:rsidR="003B2446" w:rsidRPr="00B005E9">
        <w:rPr>
          <w:rFonts w:ascii="Palatino Linotype" w:hAnsi="Palatino Linotype"/>
          <w:color w:val="000000"/>
          <w:sz w:val="18"/>
          <w:szCs w:val="18"/>
          <w:lang w:val="en-US" w:eastAsia="de-DE" w:bidi="en-US"/>
        </w:rPr>
        <w:t xml:space="preserve"> </w:t>
      </w:r>
    </w:p>
    <w:p w14:paraId="61171FAB" w14:textId="77777777" w:rsidR="00B005E9" w:rsidRDefault="003B2446" w:rsidP="00B005E9">
      <w:pPr>
        <w:pStyle w:val="Figurecaption"/>
        <w:rPr>
          <w:rFonts w:ascii="Palatino Linotype" w:hAnsi="Palatino Linotype"/>
          <w:color w:val="000000"/>
          <w:sz w:val="18"/>
          <w:szCs w:val="18"/>
          <w:lang w:val="en-US" w:eastAsia="de-DE" w:bidi="en-US"/>
        </w:rPr>
      </w:pPr>
      <w:r w:rsidRPr="00B005E9">
        <w:rPr>
          <w:lang w:val="en-US" w:bidi="en-US"/>
        </w:rPr>
        <w:t>Figure 4</w:t>
      </w:r>
      <w:bookmarkEnd w:id="13"/>
      <w:r w:rsidRPr="00B005E9">
        <w:rPr>
          <w:lang w:val="en-US" w:bidi="en-US"/>
        </w:rPr>
        <w:t>. (a) Loading efficiency of CP in Clinoleic and Intralipid nanoemulsions and (b) CP loaded per ml of the nanoemulsion (n=3 ± SD).</w:t>
      </w:r>
      <w:bookmarkStart w:id="14" w:name="_Ref456756"/>
      <w:r w:rsidR="00A23EBF" w:rsidRPr="00B005E9">
        <w:rPr>
          <w:rFonts w:ascii="Palatino Linotype" w:hAnsi="Palatino Linotype"/>
          <w:color w:val="000000"/>
          <w:sz w:val="18"/>
          <w:szCs w:val="18"/>
          <w:lang w:val="en-US" w:eastAsia="de-DE" w:bidi="en-US"/>
        </w:rPr>
        <w:t xml:space="preserve"> </w:t>
      </w:r>
    </w:p>
    <w:p w14:paraId="1F22D8E6" w14:textId="77777777" w:rsidR="00B005E9" w:rsidRDefault="00A23EBF" w:rsidP="00B005E9">
      <w:pPr>
        <w:pStyle w:val="Figurecaption"/>
        <w:rPr>
          <w:rFonts w:ascii="Palatino Linotype" w:hAnsi="Palatino Linotype"/>
          <w:color w:val="000000"/>
          <w:sz w:val="18"/>
          <w:szCs w:val="18"/>
          <w:lang w:val="en-US" w:eastAsia="de-DE" w:bidi="en-US"/>
        </w:rPr>
      </w:pPr>
      <w:r w:rsidRPr="00B005E9">
        <w:rPr>
          <w:lang w:val="en-US" w:bidi="en-US"/>
        </w:rPr>
        <w:t>Figure 5</w:t>
      </w:r>
      <w:bookmarkEnd w:id="14"/>
      <w:r w:rsidRPr="00B005E9">
        <w:rPr>
          <w:lang w:val="en-US" w:bidi="en-US"/>
        </w:rPr>
        <w:t xml:space="preserve">. The release profiles of CP (0.5 mg/ml) from Clinoleic and Intralipid nanoemulsion at 37 </w:t>
      </w:r>
      <w:r w:rsidRPr="00B005E9">
        <w:rPr>
          <w:vertAlign w:val="superscript"/>
          <w:lang w:val="en-US" w:bidi="en-US"/>
        </w:rPr>
        <w:t>o</w:t>
      </w:r>
      <w:r w:rsidRPr="00B005E9">
        <w:rPr>
          <w:lang w:val="en-US" w:bidi="en-US"/>
        </w:rPr>
        <w:t>C (n=3 ± SD).</w:t>
      </w:r>
      <w:bookmarkStart w:id="15" w:name="_Ref459729"/>
      <w:r w:rsidR="00984B3B" w:rsidRPr="00B005E9">
        <w:rPr>
          <w:rFonts w:ascii="Palatino Linotype" w:hAnsi="Palatino Linotype"/>
          <w:color w:val="000000"/>
          <w:sz w:val="18"/>
          <w:szCs w:val="18"/>
          <w:lang w:val="en-US" w:eastAsia="de-DE" w:bidi="en-US"/>
        </w:rPr>
        <w:t xml:space="preserve"> </w:t>
      </w:r>
    </w:p>
    <w:p w14:paraId="5303D1EF" w14:textId="4BAFDAEE" w:rsidR="00B005E9" w:rsidRDefault="00984B3B" w:rsidP="00B005E9">
      <w:pPr>
        <w:pStyle w:val="Figurecaption"/>
        <w:rPr>
          <w:rFonts w:ascii="Palatino Linotype" w:hAnsi="Palatino Linotype"/>
          <w:color w:val="000000"/>
          <w:sz w:val="18"/>
          <w:szCs w:val="18"/>
          <w:lang w:val="en-US" w:eastAsia="de-DE" w:bidi="en-US"/>
        </w:rPr>
      </w:pPr>
      <w:r w:rsidRPr="00B005E9">
        <w:rPr>
          <w:lang w:val="en-US" w:bidi="en-US"/>
        </w:rPr>
        <w:t>Figure 6</w:t>
      </w:r>
      <w:bookmarkEnd w:id="15"/>
      <w:r w:rsidRPr="00B005E9">
        <w:rPr>
          <w:lang w:val="en-US" w:bidi="en-US"/>
        </w:rPr>
        <w:t xml:space="preserve">. (a) Size (Z </w:t>
      </w:r>
      <w:r w:rsidRPr="00B005E9">
        <w:rPr>
          <w:vertAlign w:val="subscript"/>
          <w:lang w:val="en-US" w:bidi="en-US"/>
        </w:rPr>
        <w:t>average</w:t>
      </w:r>
      <w:r w:rsidRPr="00B005E9">
        <w:rPr>
          <w:lang w:val="en-US" w:bidi="en-US"/>
        </w:rPr>
        <w:t xml:space="preserve">) and (b) PI of Clinoleic (left) and Intralipid (right) nanoemulsion droplets at a range of CP concentrations stored at 4 </w:t>
      </w:r>
      <w:r w:rsidRPr="00B005E9">
        <w:rPr>
          <w:vertAlign w:val="superscript"/>
          <w:lang w:val="en-US" w:bidi="en-US"/>
        </w:rPr>
        <w:t>o</w:t>
      </w:r>
      <w:r w:rsidRPr="00B005E9">
        <w:rPr>
          <w:lang w:val="en-US" w:bidi="en-US"/>
        </w:rPr>
        <w:t>C</w:t>
      </w:r>
      <w:r w:rsidR="00A12B90">
        <w:rPr>
          <w:lang w:val="en-US" w:bidi="en-US"/>
        </w:rPr>
        <w:t xml:space="preserve"> </w:t>
      </w:r>
      <w:r w:rsidRPr="00B005E9">
        <w:rPr>
          <w:lang w:val="en-US" w:bidi="en-US"/>
        </w:rPr>
        <w:t>(n=3 ± SD).</w:t>
      </w:r>
      <w:bookmarkStart w:id="16" w:name="_Ref460191"/>
      <w:r w:rsidR="00D149CD" w:rsidRPr="00B005E9">
        <w:rPr>
          <w:rFonts w:ascii="Palatino Linotype" w:hAnsi="Palatino Linotype"/>
          <w:color w:val="000000"/>
          <w:sz w:val="18"/>
          <w:szCs w:val="18"/>
          <w:lang w:val="en-US" w:eastAsia="de-DE" w:bidi="en-US"/>
        </w:rPr>
        <w:t xml:space="preserve"> </w:t>
      </w:r>
    </w:p>
    <w:p w14:paraId="25A68C0D" w14:textId="77777777" w:rsidR="00B005E9" w:rsidRDefault="00D149CD" w:rsidP="00B005E9">
      <w:pPr>
        <w:pStyle w:val="Figurecaption"/>
        <w:rPr>
          <w:rFonts w:ascii="Palatino Linotype" w:hAnsi="Palatino Linotype"/>
          <w:color w:val="000000"/>
          <w:sz w:val="18"/>
          <w:szCs w:val="18"/>
          <w:lang w:val="en-US" w:eastAsia="de-DE" w:bidi="en-US"/>
        </w:rPr>
      </w:pPr>
      <w:r w:rsidRPr="00B005E9">
        <w:rPr>
          <w:lang w:val="en-US" w:bidi="en-US"/>
        </w:rPr>
        <w:t>Figure 7</w:t>
      </w:r>
      <w:bookmarkEnd w:id="16"/>
      <w:r w:rsidRPr="00B005E9">
        <w:rPr>
          <w:lang w:val="en-US" w:bidi="en-US"/>
        </w:rPr>
        <w:t xml:space="preserve">. (a) Zeta potential (b) pH of Clinoleic (left) and Intralipid (right) nanoemulsion droplets at a range of CP concentrations stored at 4 </w:t>
      </w:r>
      <w:r w:rsidRPr="00B005E9">
        <w:rPr>
          <w:vertAlign w:val="superscript"/>
          <w:lang w:val="en-US" w:bidi="en-US"/>
        </w:rPr>
        <w:t>o</w:t>
      </w:r>
      <w:r w:rsidRPr="00B005E9">
        <w:rPr>
          <w:lang w:val="en-US" w:bidi="en-US"/>
        </w:rPr>
        <w:t>C (n=3 ± SD).</w:t>
      </w:r>
      <w:bookmarkStart w:id="17" w:name="_Ref497191"/>
      <w:r w:rsidR="00021D70" w:rsidRPr="00B005E9">
        <w:rPr>
          <w:rFonts w:ascii="Palatino Linotype" w:hAnsi="Palatino Linotype"/>
          <w:color w:val="000000"/>
          <w:sz w:val="18"/>
          <w:szCs w:val="18"/>
          <w:lang w:val="en-US" w:eastAsia="de-DE" w:bidi="en-US"/>
        </w:rPr>
        <w:t xml:space="preserve"> </w:t>
      </w:r>
    </w:p>
    <w:p w14:paraId="1597EB4A" w14:textId="77777777" w:rsidR="00B005E9" w:rsidRDefault="00021D70" w:rsidP="00B005E9">
      <w:pPr>
        <w:pStyle w:val="Figurecaption"/>
        <w:rPr>
          <w:rFonts w:ascii="Palatino Linotype" w:hAnsi="Palatino Linotype"/>
          <w:snapToGrid w:val="0"/>
          <w:color w:val="000000"/>
          <w:sz w:val="20"/>
          <w:szCs w:val="22"/>
          <w:lang w:val="en-US" w:eastAsia="de-DE" w:bidi="en-US"/>
        </w:rPr>
      </w:pPr>
      <w:r w:rsidRPr="00B005E9">
        <w:rPr>
          <w:lang w:val="en-US" w:bidi="en-US"/>
        </w:rPr>
        <w:t>Figure 8</w:t>
      </w:r>
      <w:bookmarkEnd w:id="17"/>
      <w:r w:rsidRPr="00B005E9">
        <w:rPr>
          <w:lang w:val="en-US" w:bidi="en-US"/>
        </w:rPr>
        <w:t xml:space="preserve">. (a) Size (Z </w:t>
      </w:r>
      <w:r w:rsidRPr="00B005E9">
        <w:rPr>
          <w:vertAlign w:val="subscript"/>
          <w:lang w:val="en-US" w:bidi="en-US"/>
        </w:rPr>
        <w:t>average</w:t>
      </w:r>
      <w:r w:rsidRPr="00B005E9">
        <w:rPr>
          <w:lang w:val="en-US" w:bidi="en-US"/>
        </w:rPr>
        <w:t xml:space="preserve">) and (b) PI of Clinoleic (left) and Intralipid (right) nanoemulsion droplets at a range of CP concentrations stored at 25 </w:t>
      </w:r>
      <w:r w:rsidRPr="00B005E9">
        <w:rPr>
          <w:vertAlign w:val="superscript"/>
          <w:lang w:val="en-US" w:bidi="en-US"/>
        </w:rPr>
        <w:t>o</w:t>
      </w:r>
      <w:r w:rsidRPr="00B005E9">
        <w:rPr>
          <w:lang w:val="en-US" w:bidi="en-US"/>
        </w:rPr>
        <w:t>C (n=3 ± SD).</w:t>
      </w:r>
      <w:bookmarkStart w:id="18" w:name="_Ref501206"/>
      <w:r w:rsidR="00B005E9" w:rsidRPr="00B005E9">
        <w:rPr>
          <w:rFonts w:ascii="Palatino Linotype" w:hAnsi="Palatino Linotype"/>
          <w:snapToGrid w:val="0"/>
          <w:color w:val="000000"/>
          <w:sz w:val="20"/>
          <w:szCs w:val="22"/>
          <w:lang w:val="en-US" w:eastAsia="de-DE" w:bidi="en-US"/>
        </w:rPr>
        <w:t xml:space="preserve"> </w:t>
      </w:r>
    </w:p>
    <w:p w14:paraId="455E21D2" w14:textId="0157850D" w:rsidR="00B005E9" w:rsidRPr="00B005E9" w:rsidRDefault="00B005E9" w:rsidP="00B005E9">
      <w:pPr>
        <w:pStyle w:val="Figurecaption"/>
        <w:rPr>
          <w:lang w:bidi="en-US"/>
        </w:rPr>
      </w:pPr>
      <w:r w:rsidRPr="00B005E9">
        <w:rPr>
          <w:lang w:val="en-US" w:bidi="en-US"/>
        </w:rPr>
        <w:t>Figure 9</w:t>
      </w:r>
      <w:bookmarkEnd w:id="18"/>
      <w:r w:rsidRPr="00B005E9">
        <w:rPr>
          <w:lang w:val="en-US" w:bidi="en-US"/>
        </w:rPr>
        <w:t xml:space="preserve">. (a) Zeta potential (b) pH of Clinoleic (left) and Intralipid (right) nanoemulsion droplets at a range of CP concentrations stored at 25 </w:t>
      </w:r>
      <w:r w:rsidRPr="00B005E9">
        <w:rPr>
          <w:vertAlign w:val="superscript"/>
          <w:lang w:val="en-US" w:bidi="en-US"/>
        </w:rPr>
        <w:t>o</w:t>
      </w:r>
      <w:r w:rsidRPr="00B005E9">
        <w:rPr>
          <w:lang w:val="en-US" w:bidi="en-US"/>
        </w:rPr>
        <w:t>C (n=3 ± SD).</w:t>
      </w:r>
    </w:p>
    <w:p w14:paraId="184F67E4" w14:textId="395144A9" w:rsidR="00021D70" w:rsidRPr="00B005E9" w:rsidRDefault="00021D70" w:rsidP="00021D70">
      <w:pPr>
        <w:pStyle w:val="Figurecaption"/>
        <w:rPr>
          <w:lang w:bidi="en-US"/>
        </w:rPr>
      </w:pPr>
    </w:p>
    <w:p w14:paraId="4D9912CD" w14:textId="04732A67" w:rsidR="00D149CD" w:rsidRPr="00D149CD" w:rsidRDefault="00D149CD" w:rsidP="00D149CD">
      <w:pPr>
        <w:pStyle w:val="Figurecaption"/>
        <w:rPr>
          <w:lang w:val="en-US" w:bidi="en-US"/>
        </w:rPr>
      </w:pPr>
    </w:p>
    <w:p w14:paraId="062A41E9" w14:textId="1E2F3A4C" w:rsidR="00984B3B" w:rsidRPr="00984B3B" w:rsidRDefault="00984B3B" w:rsidP="00984B3B">
      <w:pPr>
        <w:pStyle w:val="Figurecaption"/>
        <w:rPr>
          <w:lang w:val="en-US" w:bidi="en-US"/>
        </w:rPr>
      </w:pPr>
    </w:p>
    <w:p w14:paraId="202CA3E6" w14:textId="6B9866D3" w:rsidR="00A23EBF" w:rsidRPr="00A23EBF" w:rsidRDefault="00A23EBF" w:rsidP="00A23EBF">
      <w:pPr>
        <w:pStyle w:val="Figurecaption"/>
        <w:rPr>
          <w:lang w:val="en-US" w:bidi="en-US"/>
        </w:rPr>
      </w:pPr>
    </w:p>
    <w:p w14:paraId="50686FDC" w14:textId="5198365E" w:rsidR="003B2446" w:rsidRPr="003B2446" w:rsidRDefault="003B2446" w:rsidP="003B2446">
      <w:pPr>
        <w:pStyle w:val="Figurecaption"/>
        <w:rPr>
          <w:lang w:val="en-US" w:bidi="en-US"/>
        </w:rPr>
      </w:pPr>
    </w:p>
    <w:p w14:paraId="3D1A12A2" w14:textId="2C49A0F4" w:rsidR="00452C97" w:rsidRPr="00452C97" w:rsidRDefault="00452C97" w:rsidP="00452C97">
      <w:pPr>
        <w:pStyle w:val="Figurecaption"/>
        <w:rPr>
          <w:lang w:val="en-US" w:bidi="en-US"/>
        </w:rPr>
      </w:pPr>
    </w:p>
    <w:p w14:paraId="4D178E5B" w14:textId="147BD30B" w:rsidR="00464C0C" w:rsidRPr="00967127" w:rsidRDefault="00464C0C" w:rsidP="00464C0C">
      <w:pPr>
        <w:pStyle w:val="Figurecaption"/>
        <w:rPr>
          <w:lang w:val="en-US" w:bidi="en-US"/>
        </w:rPr>
      </w:pPr>
    </w:p>
    <w:p w14:paraId="6A1247F7" w14:textId="77777777" w:rsidR="00FE4713" w:rsidRDefault="00FE4713" w:rsidP="0080308E">
      <w:pPr>
        <w:pStyle w:val="Figurecaption"/>
      </w:pPr>
    </w:p>
    <w:sectPr w:rsidR="00FE4713" w:rsidSect="00165A21">
      <w:footerReference w:type="even" r:id="rId8"/>
      <w:footerReference w:type="default" r:id="rId9"/>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FEEDE" w14:textId="77777777" w:rsidR="00F92012" w:rsidRDefault="00F92012" w:rsidP="00AF2C92">
      <w:r>
        <w:separator/>
      </w:r>
    </w:p>
  </w:endnote>
  <w:endnote w:type="continuationSeparator" w:id="0">
    <w:p w14:paraId="64E6EE83" w14:textId="77777777" w:rsidR="00F92012" w:rsidRDefault="00F92012"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09353260"/>
      <w:docPartObj>
        <w:docPartGallery w:val="Page Numbers (Bottom of Page)"/>
        <w:docPartUnique/>
      </w:docPartObj>
    </w:sdtPr>
    <w:sdtEndPr>
      <w:rPr>
        <w:rStyle w:val="PageNumber"/>
      </w:rPr>
    </w:sdtEndPr>
    <w:sdtContent>
      <w:p w14:paraId="04E597A4" w14:textId="7FC8BCF0" w:rsidR="008D4A29" w:rsidRDefault="008D4A29" w:rsidP="006B52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CB576C" w14:textId="77777777" w:rsidR="008D4A29" w:rsidRDefault="008D4A29" w:rsidP="00833E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68190235"/>
      <w:docPartObj>
        <w:docPartGallery w:val="Page Numbers (Bottom of Page)"/>
        <w:docPartUnique/>
      </w:docPartObj>
    </w:sdtPr>
    <w:sdtEndPr>
      <w:rPr>
        <w:rStyle w:val="PageNumber"/>
      </w:rPr>
    </w:sdtEndPr>
    <w:sdtContent>
      <w:p w14:paraId="10AB864E" w14:textId="6C5661B0" w:rsidR="008D4A29" w:rsidRDefault="008D4A29" w:rsidP="006B52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E39C2">
          <w:rPr>
            <w:rStyle w:val="PageNumber"/>
            <w:noProof/>
          </w:rPr>
          <w:t>1</w:t>
        </w:r>
        <w:r>
          <w:rPr>
            <w:rStyle w:val="PageNumber"/>
          </w:rPr>
          <w:fldChar w:fldCharType="end"/>
        </w:r>
      </w:p>
    </w:sdtContent>
  </w:sdt>
  <w:p w14:paraId="3F8C9E8E" w14:textId="77777777" w:rsidR="008D4A29" w:rsidRDefault="008D4A29" w:rsidP="00833E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C39B3" w14:textId="77777777" w:rsidR="00F92012" w:rsidRDefault="00F92012" w:rsidP="00AF2C92">
      <w:r>
        <w:separator/>
      </w:r>
    </w:p>
  </w:footnote>
  <w:footnote w:type="continuationSeparator" w:id="0">
    <w:p w14:paraId="7B4E7DBD" w14:textId="77777777" w:rsidR="00F92012" w:rsidRDefault="00F92012"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734D8A"/>
    <w:multiLevelType w:val="hybridMultilevel"/>
    <w:tmpl w:val="78E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99C6913"/>
    <w:multiLevelType w:val="hybridMultilevel"/>
    <w:tmpl w:val="258CC43A"/>
    <w:lvl w:ilvl="0" w:tplc="3878DAD2">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EF15900"/>
    <w:multiLevelType w:val="multilevel"/>
    <w:tmpl w:val="FDE49F9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11F7BD1"/>
    <w:multiLevelType w:val="hybridMultilevel"/>
    <w:tmpl w:val="7402F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2"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23"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4A34BAB"/>
    <w:multiLevelType w:val="multilevel"/>
    <w:tmpl w:val="4EC2E75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356369"/>
    <w:multiLevelType w:val="multilevel"/>
    <w:tmpl w:val="02D4022C"/>
    <w:lvl w:ilvl="0">
      <w:start w:val="3"/>
      <w:numFmt w:val="decimal"/>
      <w:lvlText w:val="%1."/>
      <w:lvlJc w:val="left"/>
      <w:pPr>
        <w:ind w:left="450" w:hanging="360"/>
      </w:pPr>
      <w:rPr>
        <w:rFonts w:hint="default"/>
        <w:b/>
        <w:bCs/>
      </w:rPr>
    </w:lvl>
    <w:lvl w:ilvl="1">
      <w:start w:val="1"/>
      <w:numFmt w:val="decimal"/>
      <w:lvlText w:val="%1.%2."/>
      <w:lvlJc w:val="left"/>
      <w:pPr>
        <w:ind w:left="1080" w:hanging="360"/>
      </w:pPr>
      <w:rPr>
        <w:rFonts w:hint="default"/>
        <w:b w:val="0"/>
        <w:bCs w:val="0"/>
        <w:i/>
        <w:iCs/>
      </w:rPr>
    </w:lvl>
    <w:lvl w:ilvl="2">
      <w:start w:val="1"/>
      <w:numFmt w:val="decimal"/>
      <w:lvlText w:val="%1.%2.%3."/>
      <w:lvlJc w:val="left"/>
      <w:pPr>
        <w:ind w:left="153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10"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4050" w:hanging="1440"/>
      </w:pPr>
      <w:rPr>
        <w:rFonts w:hint="default"/>
      </w:rPr>
    </w:lvl>
    <w:lvl w:ilvl="8">
      <w:start w:val="1"/>
      <w:numFmt w:val="decimal"/>
      <w:lvlText w:val="%1.%2.%3.%4.%5.%6.%7.%8.%9."/>
      <w:lvlJc w:val="left"/>
      <w:pPr>
        <w:ind w:left="4410" w:hanging="1440"/>
      </w:pPr>
      <w:rPr>
        <w:rFonts w:hint="default"/>
      </w:rPr>
    </w:lvl>
  </w:abstractNum>
  <w:abstractNum w:abstractNumId="32"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FE96CCC"/>
    <w:multiLevelType w:val="hybridMultilevel"/>
    <w:tmpl w:val="B9686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7"/>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4"/>
  </w:num>
  <w:num w:numId="14">
    <w:abstractNumId w:val="28"/>
  </w:num>
  <w:num w:numId="15">
    <w:abstractNumId w:val="18"/>
  </w:num>
  <w:num w:numId="16">
    <w:abstractNumId w:val="23"/>
  </w:num>
  <w:num w:numId="17">
    <w:abstractNumId w:val="12"/>
  </w:num>
  <w:num w:numId="18">
    <w:abstractNumId w:val="0"/>
  </w:num>
  <w:num w:numId="19">
    <w:abstractNumId w:val="14"/>
  </w:num>
  <w:num w:numId="20">
    <w:abstractNumId w:val="28"/>
  </w:num>
  <w:num w:numId="21">
    <w:abstractNumId w:val="28"/>
  </w:num>
  <w:num w:numId="22">
    <w:abstractNumId w:val="28"/>
  </w:num>
  <w:num w:numId="23">
    <w:abstractNumId w:val="28"/>
  </w:num>
  <w:num w:numId="24">
    <w:abstractNumId w:val="24"/>
  </w:num>
  <w:num w:numId="25">
    <w:abstractNumId w:val="25"/>
  </w:num>
  <w:num w:numId="26">
    <w:abstractNumId w:val="29"/>
  </w:num>
  <w:num w:numId="27">
    <w:abstractNumId w:val="30"/>
  </w:num>
  <w:num w:numId="28">
    <w:abstractNumId w:val="28"/>
  </w:num>
  <w:num w:numId="29">
    <w:abstractNumId w:val="17"/>
  </w:num>
  <w:num w:numId="30">
    <w:abstractNumId w:val="32"/>
  </w:num>
  <w:num w:numId="31">
    <w:abstractNumId w:val="15"/>
  </w:num>
  <w:num w:numId="32">
    <w:abstractNumId w:val="21"/>
  </w:num>
  <w:num w:numId="33">
    <w:abstractNumId w:val="22"/>
  </w:num>
  <w:num w:numId="34">
    <w:abstractNumId w:val="19"/>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16"/>
  </w:num>
  <w:num w:numId="38">
    <w:abstractNumId w:val="13"/>
  </w:num>
  <w:num w:numId="39">
    <w:abstractNumId w:val="26"/>
  </w:num>
  <w:num w:numId="40">
    <w:abstractNumId w:val="31"/>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W1NLc0MTY1NjMwNzVV0lEKTi0uzszPAykwrAUAGNt2/SwAAAA="/>
  </w:docVars>
  <w:rsids>
    <w:rsidRoot w:val="004E3E8C"/>
    <w:rsid w:val="00001899"/>
    <w:rsid w:val="000041D6"/>
    <w:rsid w:val="000049AD"/>
    <w:rsid w:val="00006E76"/>
    <w:rsid w:val="00010F4A"/>
    <w:rsid w:val="000133C0"/>
    <w:rsid w:val="00014C4E"/>
    <w:rsid w:val="0001677F"/>
    <w:rsid w:val="00017107"/>
    <w:rsid w:val="000202E2"/>
    <w:rsid w:val="00021D70"/>
    <w:rsid w:val="00022441"/>
    <w:rsid w:val="0002261E"/>
    <w:rsid w:val="00024839"/>
    <w:rsid w:val="00026871"/>
    <w:rsid w:val="00037A98"/>
    <w:rsid w:val="000410CF"/>
    <w:rsid w:val="000427FB"/>
    <w:rsid w:val="0004455E"/>
    <w:rsid w:val="00047CB5"/>
    <w:rsid w:val="00051FAA"/>
    <w:rsid w:val="000560F0"/>
    <w:rsid w:val="000572A9"/>
    <w:rsid w:val="00061325"/>
    <w:rsid w:val="00064496"/>
    <w:rsid w:val="00072587"/>
    <w:rsid w:val="000733AC"/>
    <w:rsid w:val="00074D22"/>
    <w:rsid w:val="00075081"/>
    <w:rsid w:val="0007528A"/>
    <w:rsid w:val="00076E51"/>
    <w:rsid w:val="000811AB"/>
    <w:rsid w:val="00083C5F"/>
    <w:rsid w:val="0009172C"/>
    <w:rsid w:val="000928A0"/>
    <w:rsid w:val="000930EC"/>
    <w:rsid w:val="00095E61"/>
    <w:rsid w:val="000966C1"/>
    <w:rsid w:val="000970AC"/>
    <w:rsid w:val="000A1167"/>
    <w:rsid w:val="000A4428"/>
    <w:rsid w:val="000A6D40"/>
    <w:rsid w:val="000A7BC3"/>
    <w:rsid w:val="000B1661"/>
    <w:rsid w:val="000B2E88"/>
    <w:rsid w:val="000B4603"/>
    <w:rsid w:val="000B73DA"/>
    <w:rsid w:val="000C09BE"/>
    <w:rsid w:val="000C1380"/>
    <w:rsid w:val="000C554F"/>
    <w:rsid w:val="000D0DC5"/>
    <w:rsid w:val="000D15FF"/>
    <w:rsid w:val="000D28DF"/>
    <w:rsid w:val="000D488B"/>
    <w:rsid w:val="000D68DF"/>
    <w:rsid w:val="000E138D"/>
    <w:rsid w:val="000E187A"/>
    <w:rsid w:val="000E2D61"/>
    <w:rsid w:val="000E39C2"/>
    <w:rsid w:val="000E450E"/>
    <w:rsid w:val="000E6259"/>
    <w:rsid w:val="000F458D"/>
    <w:rsid w:val="000F4677"/>
    <w:rsid w:val="000F5BE0"/>
    <w:rsid w:val="00100587"/>
    <w:rsid w:val="0010284E"/>
    <w:rsid w:val="00102E8C"/>
    <w:rsid w:val="00103122"/>
    <w:rsid w:val="0010336A"/>
    <w:rsid w:val="001050F1"/>
    <w:rsid w:val="00105AEA"/>
    <w:rsid w:val="00106DAF"/>
    <w:rsid w:val="001141F4"/>
    <w:rsid w:val="00116023"/>
    <w:rsid w:val="00125AFC"/>
    <w:rsid w:val="00134A51"/>
    <w:rsid w:val="00140727"/>
    <w:rsid w:val="00154ACA"/>
    <w:rsid w:val="00160628"/>
    <w:rsid w:val="00161344"/>
    <w:rsid w:val="00162195"/>
    <w:rsid w:val="00162469"/>
    <w:rsid w:val="0016322A"/>
    <w:rsid w:val="00165A21"/>
    <w:rsid w:val="001705CE"/>
    <w:rsid w:val="0017714B"/>
    <w:rsid w:val="001804DF"/>
    <w:rsid w:val="00181BDC"/>
    <w:rsid w:val="00181DB0"/>
    <w:rsid w:val="001829E3"/>
    <w:rsid w:val="00184F5B"/>
    <w:rsid w:val="0019731E"/>
    <w:rsid w:val="001A09FE"/>
    <w:rsid w:val="001A0E19"/>
    <w:rsid w:val="001A67C9"/>
    <w:rsid w:val="001A69DE"/>
    <w:rsid w:val="001B1C7C"/>
    <w:rsid w:val="001B398F"/>
    <w:rsid w:val="001B46C6"/>
    <w:rsid w:val="001B4B48"/>
    <w:rsid w:val="001B4D1F"/>
    <w:rsid w:val="001B7681"/>
    <w:rsid w:val="001B7CAE"/>
    <w:rsid w:val="001C0772"/>
    <w:rsid w:val="001C0D4F"/>
    <w:rsid w:val="001C1DEC"/>
    <w:rsid w:val="001C5736"/>
    <w:rsid w:val="001D4A49"/>
    <w:rsid w:val="001E0572"/>
    <w:rsid w:val="001E0A67"/>
    <w:rsid w:val="001E1028"/>
    <w:rsid w:val="001E14E2"/>
    <w:rsid w:val="001E6302"/>
    <w:rsid w:val="001E7DCB"/>
    <w:rsid w:val="001F3411"/>
    <w:rsid w:val="001F4287"/>
    <w:rsid w:val="001F4DBA"/>
    <w:rsid w:val="0020415E"/>
    <w:rsid w:val="00204FF4"/>
    <w:rsid w:val="00206BF7"/>
    <w:rsid w:val="0021056E"/>
    <w:rsid w:val="0021075D"/>
    <w:rsid w:val="0021165A"/>
    <w:rsid w:val="00211BC9"/>
    <w:rsid w:val="00215AC7"/>
    <w:rsid w:val="0021620C"/>
    <w:rsid w:val="00216E78"/>
    <w:rsid w:val="00217275"/>
    <w:rsid w:val="002202D1"/>
    <w:rsid w:val="00231BB0"/>
    <w:rsid w:val="00236F4B"/>
    <w:rsid w:val="00242B0D"/>
    <w:rsid w:val="00244685"/>
    <w:rsid w:val="002467C6"/>
    <w:rsid w:val="0024692A"/>
    <w:rsid w:val="00252BBA"/>
    <w:rsid w:val="00253123"/>
    <w:rsid w:val="00264001"/>
    <w:rsid w:val="00266354"/>
    <w:rsid w:val="00267A18"/>
    <w:rsid w:val="00273462"/>
    <w:rsid w:val="0027395B"/>
    <w:rsid w:val="00275854"/>
    <w:rsid w:val="002832DD"/>
    <w:rsid w:val="00283B41"/>
    <w:rsid w:val="00285F28"/>
    <w:rsid w:val="00286398"/>
    <w:rsid w:val="002A3C42"/>
    <w:rsid w:val="002A5D75"/>
    <w:rsid w:val="002B1B1A"/>
    <w:rsid w:val="002B7228"/>
    <w:rsid w:val="002C53EE"/>
    <w:rsid w:val="002C6E89"/>
    <w:rsid w:val="002C7752"/>
    <w:rsid w:val="002D24F7"/>
    <w:rsid w:val="002D2799"/>
    <w:rsid w:val="002D2CD7"/>
    <w:rsid w:val="002D4DDC"/>
    <w:rsid w:val="002D4F75"/>
    <w:rsid w:val="002D6493"/>
    <w:rsid w:val="002D7AB6"/>
    <w:rsid w:val="002E06D0"/>
    <w:rsid w:val="002E3C27"/>
    <w:rsid w:val="002E403A"/>
    <w:rsid w:val="002E7F3A"/>
    <w:rsid w:val="002F4EDB"/>
    <w:rsid w:val="002F6054"/>
    <w:rsid w:val="002F7850"/>
    <w:rsid w:val="003122DB"/>
    <w:rsid w:val="00315713"/>
    <w:rsid w:val="0031686C"/>
    <w:rsid w:val="00316FE0"/>
    <w:rsid w:val="003204D2"/>
    <w:rsid w:val="0032605E"/>
    <w:rsid w:val="003275D1"/>
    <w:rsid w:val="00330B2A"/>
    <w:rsid w:val="00331E17"/>
    <w:rsid w:val="00333063"/>
    <w:rsid w:val="003408E3"/>
    <w:rsid w:val="00343480"/>
    <w:rsid w:val="00344BFD"/>
    <w:rsid w:val="00345E89"/>
    <w:rsid w:val="003522A1"/>
    <w:rsid w:val="0035254B"/>
    <w:rsid w:val="00353555"/>
    <w:rsid w:val="003565D4"/>
    <w:rsid w:val="003607FB"/>
    <w:rsid w:val="00360FD5"/>
    <w:rsid w:val="003634A5"/>
    <w:rsid w:val="00366868"/>
    <w:rsid w:val="00367506"/>
    <w:rsid w:val="00370085"/>
    <w:rsid w:val="003716EE"/>
    <w:rsid w:val="003744A7"/>
    <w:rsid w:val="00376235"/>
    <w:rsid w:val="00381FB6"/>
    <w:rsid w:val="00382DDA"/>
    <w:rsid w:val="003836D3"/>
    <w:rsid w:val="00383A52"/>
    <w:rsid w:val="00391652"/>
    <w:rsid w:val="0039507F"/>
    <w:rsid w:val="003A1260"/>
    <w:rsid w:val="003A295F"/>
    <w:rsid w:val="003A41DD"/>
    <w:rsid w:val="003A7033"/>
    <w:rsid w:val="003A7D12"/>
    <w:rsid w:val="003B2446"/>
    <w:rsid w:val="003B47FE"/>
    <w:rsid w:val="003B5673"/>
    <w:rsid w:val="003B5799"/>
    <w:rsid w:val="003B62C9"/>
    <w:rsid w:val="003C7176"/>
    <w:rsid w:val="003C7C18"/>
    <w:rsid w:val="003D0929"/>
    <w:rsid w:val="003D4729"/>
    <w:rsid w:val="003D7DD6"/>
    <w:rsid w:val="003E1B95"/>
    <w:rsid w:val="003E4F9E"/>
    <w:rsid w:val="003E5AAF"/>
    <w:rsid w:val="003E600D"/>
    <w:rsid w:val="003E64DF"/>
    <w:rsid w:val="003E6A5D"/>
    <w:rsid w:val="003F193A"/>
    <w:rsid w:val="003F3548"/>
    <w:rsid w:val="003F4207"/>
    <w:rsid w:val="003F5C46"/>
    <w:rsid w:val="003F5EC1"/>
    <w:rsid w:val="003F7CBB"/>
    <w:rsid w:val="003F7D34"/>
    <w:rsid w:val="00412C8E"/>
    <w:rsid w:val="0041518D"/>
    <w:rsid w:val="00420C91"/>
    <w:rsid w:val="0042221D"/>
    <w:rsid w:val="00424843"/>
    <w:rsid w:val="00424DD3"/>
    <w:rsid w:val="004269C5"/>
    <w:rsid w:val="00427ED7"/>
    <w:rsid w:val="004318C8"/>
    <w:rsid w:val="00435939"/>
    <w:rsid w:val="00435CEE"/>
    <w:rsid w:val="00437CC7"/>
    <w:rsid w:val="00442B9C"/>
    <w:rsid w:val="00445602"/>
    <w:rsid w:val="0044738A"/>
    <w:rsid w:val="004473D3"/>
    <w:rsid w:val="00452231"/>
    <w:rsid w:val="00452C97"/>
    <w:rsid w:val="00453C38"/>
    <w:rsid w:val="00460C13"/>
    <w:rsid w:val="00463228"/>
    <w:rsid w:val="00463782"/>
    <w:rsid w:val="00464C0C"/>
    <w:rsid w:val="004667E0"/>
    <w:rsid w:val="0046760E"/>
    <w:rsid w:val="00470E10"/>
    <w:rsid w:val="00473368"/>
    <w:rsid w:val="00477A97"/>
    <w:rsid w:val="00481343"/>
    <w:rsid w:val="00483796"/>
    <w:rsid w:val="0048549E"/>
    <w:rsid w:val="004929ED"/>
    <w:rsid w:val="00493347"/>
    <w:rsid w:val="00496092"/>
    <w:rsid w:val="004A08DB"/>
    <w:rsid w:val="004A25D0"/>
    <w:rsid w:val="004A37E8"/>
    <w:rsid w:val="004A7549"/>
    <w:rsid w:val="004B09D4"/>
    <w:rsid w:val="004B2BDB"/>
    <w:rsid w:val="004B330A"/>
    <w:rsid w:val="004B7C8E"/>
    <w:rsid w:val="004C1F28"/>
    <w:rsid w:val="004D0502"/>
    <w:rsid w:val="004D0EDC"/>
    <w:rsid w:val="004D1220"/>
    <w:rsid w:val="004D14B3"/>
    <w:rsid w:val="004D1529"/>
    <w:rsid w:val="004D2253"/>
    <w:rsid w:val="004D5514"/>
    <w:rsid w:val="004D56C3"/>
    <w:rsid w:val="004E0338"/>
    <w:rsid w:val="004E3E8C"/>
    <w:rsid w:val="004E4FF3"/>
    <w:rsid w:val="004E56A8"/>
    <w:rsid w:val="004F0090"/>
    <w:rsid w:val="004F3B55"/>
    <w:rsid w:val="004F4E46"/>
    <w:rsid w:val="004F6B7D"/>
    <w:rsid w:val="005015F6"/>
    <w:rsid w:val="005030C4"/>
    <w:rsid w:val="005031C5"/>
    <w:rsid w:val="00504C1B"/>
    <w:rsid w:val="00504FDC"/>
    <w:rsid w:val="005120CC"/>
    <w:rsid w:val="00512B7B"/>
    <w:rsid w:val="00514EA1"/>
    <w:rsid w:val="00516AAB"/>
    <w:rsid w:val="0051798B"/>
    <w:rsid w:val="00521F5A"/>
    <w:rsid w:val="00521FDF"/>
    <w:rsid w:val="00525E06"/>
    <w:rsid w:val="00526454"/>
    <w:rsid w:val="00531823"/>
    <w:rsid w:val="00534ECC"/>
    <w:rsid w:val="0053720D"/>
    <w:rsid w:val="00540EF5"/>
    <w:rsid w:val="00541BF3"/>
    <w:rsid w:val="00541CD3"/>
    <w:rsid w:val="005452B2"/>
    <w:rsid w:val="005476FA"/>
    <w:rsid w:val="00551F45"/>
    <w:rsid w:val="0055595E"/>
    <w:rsid w:val="00557988"/>
    <w:rsid w:val="00561CEB"/>
    <w:rsid w:val="00562C49"/>
    <w:rsid w:val="00562DEF"/>
    <w:rsid w:val="00563A35"/>
    <w:rsid w:val="00566596"/>
    <w:rsid w:val="00573CD4"/>
    <w:rsid w:val="005741E9"/>
    <w:rsid w:val="005748CF"/>
    <w:rsid w:val="005753ED"/>
    <w:rsid w:val="00581285"/>
    <w:rsid w:val="00584270"/>
    <w:rsid w:val="00584738"/>
    <w:rsid w:val="005920B0"/>
    <w:rsid w:val="0059380D"/>
    <w:rsid w:val="00595A8F"/>
    <w:rsid w:val="00597BF2"/>
    <w:rsid w:val="005A0F35"/>
    <w:rsid w:val="005A20EF"/>
    <w:rsid w:val="005A6214"/>
    <w:rsid w:val="005A6A38"/>
    <w:rsid w:val="005B134E"/>
    <w:rsid w:val="005B2039"/>
    <w:rsid w:val="005B344F"/>
    <w:rsid w:val="005B3FBA"/>
    <w:rsid w:val="005B4A1D"/>
    <w:rsid w:val="005B674D"/>
    <w:rsid w:val="005C0CBE"/>
    <w:rsid w:val="005C1FCF"/>
    <w:rsid w:val="005C792C"/>
    <w:rsid w:val="005D1885"/>
    <w:rsid w:val="005D4A38"/>
    <w:rsid w:val="005D7A83"/>
    <w:rsid w:val="005E2EEA"/>
    <w:rsid w:val="005E3708"/>
    <w:rsid w:val="005E3CCD"/>
    <w:rsid w:val="005E3D6B"/>
    <w:rsid w:val="005E5E4A"/>
    <w:rsid w:val="005E693D"/>
    <w:rsid w:val="005E75BF"/>
    <w:rsid w:val="005F57BA"/>
    <w:rsid w:val="005F61E6"/>
    <w:rsid w:val="005F6C45"/>
    <w:rsid w:val="00605A69"/>
    <w:rsid w:val="00606C54"/>
    <w:rsid w:val="006130F9"/>
    <w:rsid w:val="00614375"/>
    <w:rsid w:val="00615B0A"/>
    <w:rsid w:val="006168CF"/>
    <w:rsid w:val="0062011B"/>
    <w:rsid w:val="00626DE0"/>
    <w:rsid w:val="00630901"/>
    <w:rsid w:val="00631F8E"/>
    <w:rsid w:val="00636EE9"/>
    <w:rsid w:val="00640950"/>
    <w:rsid w:val="00641AE7"/>
    <w:rsid w:val="00642629"/>
    <w:rsid w:val="0065293D"/>
    <w:rsid w:val="00653EFC"/>
    <w:rsid w:val="00654021"/>
    <w:rsid w:val="00661045"/>
    <w:rsid w:val="006664B5"/>
    <w:rsid w:val="00666DA8"/>
    <w:rsid w:val="00671057"/>
    <w:rsid w:val="00675AAF"/>
    <w:rsid w:val="0068031A"/>
    <w:rsid w:val="00681B2F"/>
    <w:rsid w:val="0068335F"/>
    <w:rsid w:val="00692198"/>
    <w:rsid w:val="00693302"/>
    <w:rsid w:val="0069640B"/>
    <w:rsid w:val="006A1B83"/>
    <w:rsid w:val="006A21CD"/>
    <w:rsid w:val="006A5918"/>
    <w:rsid w:val="006B0702"/>
    <w:rsid w:val="006B21B2"/>
    <w:rsid w:val="006B4A4A"/>
    <w:rsid w:val="006C19B2"/>
    <w:rsid w:val="006C540B"/>
    <w:rsid w:val="006C5BB8"/>
    <w:rsid w:val="006C6936"/>
    <w:rsid w:val="006C7B01"/>
    <w:rsid w:val="006D0FE8"/>
    <w:rsid w:val="006D1211"/>
    <w:rsid w:val="006D4B2B"/>
    <w:rsid w:val="006D4F3C"/>
    <w:rsid w:val="006D5C66"/>
    <w:rsid w:val="006E099A"/>
    <w:rsid w:val="006E1782"/>
    <w:rsid w:val="006E1B3C"/>
    <w:rsid w:val="006E23FB"/>
    <w:rsid w:val="006E325A"/>
    <w:rsid w:val="006E33EC"/>
    <w:rsid w:val="006E3802"/>
    <w:rsid w:val="006E6C02"/>
    <w:rsid w:val="006F231A"/>
    <w:rsid w:val="006F2629"/>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9DF"/>
    <w:rsid w:val="00734EB8"/>
    <w:rsid w:val="00735F8B"/>
    <w:rsid w:val="00742D1F"/>
    <w:rsid w:val="00743EBA"/>
    <w:rsid w:val="00744C8E"/>
    <w:rsid w:val="0074707E"/>
    <w:rsid w:val="007516DC"/>
    <w:rsid w:val="00754B80"/>
    <w:rsid w:val="00761918"/>
    <w:rsid w:val="00761A16"/>
    <w:rsid w:val="00762F03"/>
    <w:rsid w:val="0076413B"/>
    <w:rsid w:val="007645A5"/>
    <w:rsid w:val="007648AE"/>
    <w:rsid w:val="00764BF8"/>
    <w:rsid w:val="0076514D"/>
    <w:rsid w:val="00772E5A"/>
    <w:rsid w:val="00773D59"/>
    <w:rsid w:val="007772B2"/>
    <w:rsid w:val="00781003"/>
    <w:rsid w:val="007839F5"/>
    <w:rsid w:val="00790B81"/>
    <w:rsid w:val="007911FD"/>
    <w:rsid w:val="00793930"/>
    <w:rsid w:val="00793DD1"/>
    <w:rsid w:val="00794FEC"/>
    <w:rsid w:val="00795184"/>
    <w:rsid w:val="007A003E"/>
    <w:rsid w:val="007A1965"/>
    <w:rsid w:val="007A2ED1"/>
    <w:rsid w:val="007A4BE6"/>
    <w:rsid w:val="007B0DC6"/>
    <w:rsid w:val="007B1094"/>
    <w:rsid w:val="007B1762"/>
    <w:rsid w:val="007B3320"/>
    <w:rsid w:val="007B7886"/>
    <w:rsid w:val="007C01EC"/>
    <w:rsid w:val="007C301F"/>
    <w:rsid w:val="007C4540"/>
    <w:rsid w:val="007C65AF"/>
    <w:rsid w:val="007D135D"/>
    <w:rsid w:val="007D730F"/>
    <w:rsid w:val="007D7CD8"/>
    <w:rsid w:val="007E3AA7"/>
    <w:rsid w:val="007F737D"/>
    <w:rsid w:val="0080308E"/>
    <w:rsid w:val="00806705"/>
    <w:rsid w:val="00806738"/>
    <w:rsid w:val="008107F1"/>
    <w:rsid w:val="008140F1"/>
    <w:rsid w:val="00820E74"/>
    <w:rsid w:val="008216D5"/>
    <w:rsid w:val="008249CE"/>
    <w:rsid w:val="00831A50"/>
    <w:rsid w:val="00831B3C"/>
    <w:rsid w:val="00831C89"/>
    <w:rsid w:val="00832114"/>
    <w:rsid w:val="00833E63"/>
    <w:rsid w:val="00834C46"/>
    <w:rsid w:val="0084093E"/>
    <w:rsid w:val="00841CE1"/>
    <w:rsid w:val="00844127"/>
    <w:rsid w:val="008452FC"/>
    <w:rsid w:val="008473D8"/>
    <w:rsid w:val="008528DC"/>
    <w:rsid w:val="00852B8C"/>
    <w:rsid w:val="00854981"/>
    <w:rsid w:val="00864B2E"/>
    <w:rsid w:val="00865963"/>
    <w:rsid w:val="0087450E"/>
    <w:rsid w:val="00875A82"/>
    <w:rsid w:val="00876CA3"/>
    <w:rsid w:val="008772FE"/>
    <w:rsid w:val="008775F1"/>
    <w:rsid w:val="008821AE"/>
    <w:rsid w:val="00883D3A"/>
    <w:rsid w:val="008854F7"/>
    <w:rsid w:val="00885A9D"/>
    <w:rsid w:val="008929D2"/>
    <w:rsid w:val="00893636"/>
    <w:rsid w:val="00893B94"/>
    <w:rsid w:val="00895453"/>
    <w:rsid w:val="00896E9D"/>
    <w:rsid w:val="00896F11"/>
    <w:rsid w:val="00897264"/>
    <w:rsid w:val="008A1049"/>
    <w:rsid w:val="008A12D5"/>
    <w:rsid w:val="008A1C98"/>
    <w:rsid w:val="008A322D"/>
    <w:rsid w:val="008A4D72"/>
    <w:rsid w:val="008A6285"/>
    <w:rsid w:val="008A63B2"/>
    <w:rsid w:val="008B345D"/>
    <w:rsid w:val="008B5B8F"/>
    <w:rsid w:val="008C0B71"/>
    <w:rsid w:val="008C1FC2"/>
    <w:rsid w:val="008C2980"/>
    <w:rsid w:val="008C5AFB"/>
    <w:rsid w:val="008D07FB"/>
    <w:rsid w:val="008D0C02"/>
    <w:rsid w:val="008D357D"/>
    <w:rsid w:val="008D4A29"/>
    <w:rsid w:val="008E387B"/>
    <w:rsid w:val="008E6087"/>
    <w:rsid w:val="008E758D"/>
    <w:rsid w:val="008F10A7"/>
    <w:rsid w:val="008F755D"/>
    <w:rsid w:val="008F7A39"/>
    <w:rsid w:val="009021E8"/>
    <w:rsid w:val="0090453C"/>
    <w:rsid w:val="00911440"/>
    <w:rsid w:val="00911712"/>
    <w:rsid w:val="00911B27"/>
    <w:rsid w:val="00916017"/>
    <w:rsid w:val="009170BE"/>
    <w:rsid w:val="00920B55"/>
    <w:rsid w:val="00920FAA"/>
    <w:rsid w:val="009262C9"/>
    <w:rsid w:val="00930EB9"/>
    <w:rsid w:val="00933DC7"/>
    <w:rsid w:val="0093587B"/>
    <w:rsid w:val="009418F4"/>
    <w:rsid w:val="00942BBC"/>
    <w:rsid w:val="00944180"/>
    <w:rsid w:val="00944AA0"/>
    <w:rsid w:val="00947DA2"/>
    <w:rsid w:val="0095100C"/>
    <w:rsid w:val="00951177"/>
    <w:rsid w:val="00956AE5"/>
    <w:rsid w:val="00967127"/>
    <w:rsid w:val="009673E8"/>
    <w:rsid w:val="00974DB8"/>
    <w:rsid w:val="00980661"/>
    <w:rsid w:val="00980778"/>
    <w:rsid w:val="0098093B"/>
    <w:rsid w:val="00984B3B"/>
    <w:rsid w:val="009876D4"/>
    <w:rsid w:val="009914A5"/>
    <w:rsid w:val="0099548E"/>
    <w:rsid w:val="00996456"/>
    <w:rsid w:val="00996A12"/>
    <w:rsid w:val="00997B0F"/>
    <w:rsid w:val="009A1CAD"/>
    <w:rsid w:val="009A3440"/>
    <w:rsid w:val="009A5832"/>
    <w:rsid w:val="009A6838"/>
    <w:rsid w:val="009B24B5"/>
    <w:rsid w:val="009B4EBC"/>
    <w:rsid w:val="009B5ABB"/>
    <w:rsid w:val="009B73CE"/>
    <w:rsid w:val="009C2461"/>
    <w:rsid w:val="009C6FE2"/>
    <w:rsid w:val="009C7674"/>
    <w:rsid w:val="009D004A"/>
    <w:rsid w:val="009D0351"/>
    <w:rsid w:val="009D5880"/>
    <w:rsid w:val="009E0511"/>
    <w:rsid w:val="009E3B07"/>
    <w:rsid w:val="009E51D1"/>
    <w:rsid w:val="009E5531"/>
    <w:rsid w:val="009F171E"/>
    <w:rsid w:val="009F19D9"/>
    <w:rsid w:val="009F3D2F"/>
    <w:rsid w:val="009F5D1A"/>
    <w:rsid w:val="009F7052"/>
    <w:rsid w:val="00A02668"/>
    <w:rsid w:val="00A02801"/>
    <w:rsid w:val="00A06A39"/>
    <w:rsid w:val="00A07F58"/>
    <w:rsid w:val="00A12B90"/>
    <w:rsid w:val="00A131CB"/>
    <w:rsid w:val="00A14513"/>
    <w:rsid w:val="00A14847"/>
    <w:rsid w:val="00A16D6D"/>
    <w:rsid w:val="00A21383"/>
    <w:rsid w:val="00A2199F"/>
    <w:rsid w:val="00A21B31"/>
    <w:rsid w:val="00A2360E"/>
    <w:rsid w:val="00A23EBF"/>
    <w:rsid w:val="00A26E0C"/>
    <w:rsid w:val="00A32FCB"/>
    <w:rsid w:val="00A34C25"/>
    <w:rsid w:val="00A3507D"/>
    <w:rsid w:val="00A3717A"/>
    <w:rsid w:val="00A4088C"/>
    <w:rsid w:val="00A4456B"/>
    <w:rsid w:val="00A448D4"/>
    <w:rsid w:val="00A452E0"/>
    <w:rsid w:val="00A47802"/>
    <w:rsid w:val="00A51EA5"/>
    <w:rsid w:val="00A53742"/>
    <w:rsid w:val="00A557A1"/>
    <w:rsid w:val="00A6212A"/>
    <w:rsid w:val="00A63059"/>
    <w:rsid w:val="00A63AE3"/>
    <w:rsid w:val="00A651A4"/>
    <w:rsid w:val="00A66DC2"/>
    <w:rsid w:val="00A67D28"/>
    <w:rsid w:val="00A71361"/>
    <w:rsid w:val="00A746E2"/>
    <w:rsid w:val="00A81FF2"/>
    <w:rsid w:val="00A83904"/>
    <w:rsid w:val="00A90A79"/>
    <w:rsid w:val="00A96B30"/>
    <w:rsid w:val="00AA59B5"/>
    <w:rsid w:val="00AA7777"/>
    <w:rsid w:val="00AA7B84"/>
    <w:rsid w:val="00AB4DBD"/>
    <w:rsid w:val="00AC0B4C"/>
    <w:rsid w:val="00AC1164"/>
    <w:rsid w:val="00AC2296"/>
    <w:rsid w:val="00AC2754"/>
    <w:rsid w:val="00AC48B0"/>
    <w:rsid w:val="00AC4ACD"/>
    <w:rsid w:val="00AC5DFB"/>
    <w:rsid w:val="00AD13DC"/>
    <w:rsid w:val="00AD6DE2"/>
    <w:rsid w:val="00AE0A40"/>
    <w:rsid w:val="00AE1240"/>
    <w:rsid w:val="00AE1ED4"/>
    <w:rsid w:val="00AE21E1"/>
    <w:rsid w:val="00AE2F8D"/>
    <w:rsid w:val="00AE3BAE"/>
    <w:rsid w:val="00AE607D"/>
    <w:rsid w:val="00AE6A21"/>
    <w:rsid w:val="00AF1C8F"/>
    <w:rsid w:val="00AF2B68"/>
    <w:rsid w:val="00AF2C92"/>
    <w:rsid w:val="00AF3EC1"/>
    <w:rsid w:val="00AF5025"/>
    <w:rsid w:val="00AF519F"/>
    <w:rsid w:val="00AF5387"/>
    <w:rsid w:val="00AF55F5"/>
    <w:rsid w:val="00AF7E86"/>
    <w:rsid w:val="00B005E9"/>
    <w:rsid w:val="00B024B9"/>
    <w:rsid w:val="00B077FA"/>
    <w:rsid w:val="00B127D7"/>
    <w:rsid w:val="00B13B0C"/>
    <w:rsid w:val="00B1453A"/>
    <w:rsid w:val="00B20F82"/>
    <w:rsid w:val="00B25BD5"/>
    <w:rsid w:val="00B26E84"/>
    <w:rsid w:val="00B34079"/>
    <w:rsid w:val="00B3793A"/>
    <w:rsid w:val="00B401BA"/>
    <w:rsid w:val="00B407E4"/>
    <w:rsid w:val="00B425B6"/>
    <w:rsid w:val="00B42A72"/>
    <w:rsid w:val="00B441AE"/>
    <w:rsid w:val="00B45F33"/>
    <w:rsid w:val="00B46D50"/>
    <w:rsid w:val="00B53170"/>
    <w:rsid w:val="00B62999"/>
    <w:rsid w:val="00B63BE3"/>
    <w:rsid w:val="00B64885"/>
    <w:rsid w:val="00B66810"/>
    <w:rsid w:val="00B72BE3"/>
    <w:rsid w:val="00B73B80"/>
    <w:rsid w:val="00B770C7"/>
    <w:rsid w:val="00B80F26"/>
    <w:rsid w:val="00B822BD"/>
    <w:rsid w:val="00B842F4"/>
    <w:rsid w:val="00B91A7B"/>
    <w:rsid w:val="00B929DD"/>
    <w:rsid w:val="00B95405"/>
    <w:rsid w:val="00B963F1"/>
    <w:rsid w:val="00BA020A"/>
    <w:rsid w:val="00BB02A4"/>
    <w:rsid w:val="00BB1270"/>
    <w:rsid w:val="00BB1E44"/>
    <w:rsid w:val="00BB5267"/>
    <w:rsid w:val="00BB52B8"/>
    <w:rsid w:val="00BB59D8"/>
    <w:rsid w:val="00BB7E69"/>
    <w:rsid w:val="00BC07F9"/>
    <w:rsid w:val="00BC3C1F"/>
    <w:rsid w:val="00BC7CE7"/>
    <w:rsid w:val="00BD183B"/>
    <w:rsid w:val="00BD295E"/>
    <w:rsid w:val="00BD4664"/>
    <w:rsid w:val="00BE0B09"/>
    <w:rsid w:val="00BE1193"/>
    <w:rsid w:val="00BF4849"/>
    <w:rsid w:val="00BF4EA7"/>
    <w:rsid w:val="00C00EDB"/>
    <w:rsid w:val="00C02863"/>
    <w:rsid w:val="00C0383A"/>
    <w:rsid w:val="00C052EF"/>
    <w:rsid w:val="00C067FF"/>
    <w:rsid w:val="00C12862"/>
    <w:rsid w:val="00C13D28"/>
    <w:rsid w:val="00C1433C"/>
    <w:rsid w:val="00C14585"/>
    <w:rsid w:val="00C1637B"/>
    <w:rsid w:val="00C165A0"/>
    <w:rsid w:val="00C216CE"/>
    <w:rsid w:val="00C2184F"/>
    <w:rsid w:val="00C22A78"/>
    <w:rsid w:val="00C23C7E"/>
    <w:rsid w:val="00C246C5"/>
    <w:rsid w:val="00C25A82"/>
    <w:rsid w:val="00C30A2A"/>
    <w:rsid w:val="00C33993"/>
    <w:rsid w:val="00C4069E"/>
    <w:rsid w:val="00C417B3"/>
    <w:rsid w:val="00C41ADC"/>
    <w:rsid w:val="00C44149"/>
    <w:rsid w:val="00C44410"/>
    <w:rsid w:val="00C44A15"/>
    <w:rsid w:val="00C4630A"/>
    <w:rsid w:val="00C523F0"/>
    <w:rsid w:val="00C526D2"/>
    <w:rsid w:val="00C52F7E"/>
    <w:rsid w:val="00C5794E"/>
    <w:rsid w:val="00C60968"/>
    <w:rsid w:val="00C63D39"/>
    <w:rsid w:val="00C63EDD"/>
    <w:rsid w:val="00C65B36"/>
    <w:rsid w:val="00C7292E"/>
    <w:rsid w:val="00C74E88"/>
    <w:rsid w:val="00C80924"/>
    <w:rsid w:val="00C8286B"/>
    <w:rsid w:val="00C82CE4"/>
    <w:rsid w:val="00C947F8"/>
    <w:rsid w:val="00C9515F"/>
    <w:rsid w:val="00C963C5"/>
    <w:rsid w:val="00CA030C"/>
    <w:rsid w:val="00CA1F41"/>
    <w:rsid w:val="00CA32EE"/>
    <w:rsid w:val="00CA6A1A"/>
    <w:rsid w:val="00CB6C33"/>
    <w:rsid w:val="00CC1E75"/>
    <w:rsid w:val="00CC2E0E"/>
    <w:rsid w:val="00CC361C"/>
    <w:rsid w:val="00CC474B"/>
    <w:rsid w:val="00CC658C"/>
    <w:rsid w:val="00CC67BF"/>
    <w:rsid w:val="00CD0843"/>
    <w:rsid w:val="00CD2C66"/>
    <w:rsid w:val="00CD5A78"/>
    <w:rsid w:val="00CD7345"/>
    <w:rsid w:val="00CD7EBB"/>
    <w:rsid w:val="00CE372E"/>
    <w:rsid w:val="00CF0A1B"/>
    <w:rsid w:val="00CF19F6"/>
    <w:rsid w:val="00CF1DAD"/>
    <w:rsid w:val="00CF2F4F"/>
    <w:rsid w:val="00CF536D"/>
    <w:rsid w:val="00CF600D"/>
    <w:rsid w:val="00D10CB8"/>
    <w:rsid w:val="00D12806"/>
    <w:rsid w:val="00D12D44"/>
    <w:rsid w:val="00D149CD"/>
    <w:rsid w:val="00D15018"/>
    <w:rsid w:val="00D158AC"/>
    <w:rsid w:val="00D15F54"/>
    <w:rsid w:val="00D1694C"/>
    <w:rsid w:val="00D20F5E"/>
    <w:rsid w:val="00D23B76"/>
    <w:rsid w:val="00D3398E"/>
    <w:rsid w:val="00D379A3"/>
    <w:rsid w:val="00D43272"/>
    <w:rsid w:val="00D45FF3"/>
    <w:rsid w:val="00D472AE"/>
    <w:rsid w:val="00D512CF"/>
    <w:rsid w:val="00D528B9"/>
    <w:rsid w:val="00D53186"/>
    <w:rsid w:val="00D5487D"/>
    <w:rsid w:val="00D60140"/>
    <w:rsid w:val="00D6024A"/>
    <w:rsid w:val="00D608B5"/>
    <w:rsid w:val="00D71F99"/>
    <w:rsid w:val="00D73AF5"/>
    <w:rsid w:val="00D73CA4"/>
    <w:rsid w:val="00D73D71"/>
    <w:rsid w:val="00D74396"/>
    <w:rsid w:val="00D80284"/>
    <w:rsid w:val="00D804BB"/>
    <w:rsid w:val="00D81F71"/>
    <w:rsid w:val="00D8642D"/>
    <w:rsid w:val="00D86DFA"/>
    <w:rsid w:val="00D90A5E"/>
    <w:rsid w:val="00D91A68"/>
    <w:rsid w:val="00D95A68"/>
    <w:rsid w:val="00DA17C7"/>
    <w:rsid w:val="00DA6A9A"/>
    <w:rsid w:val="00DB11B7"/>
    <w:rsid w:val="00DB1EFD"/>
    <w:rsid w:val="00DB2116"/>
    <w:rsid w:val="00DB3EAF"/>
    <w:rsid w:val="00DC3203"/>
    <w:rsid w:val="00DC3C99"/>
    <w:rsid w:val="00DC52F5"/>
    <w:rsid w:val="00DC5B61"/>
    <w:rsid w:val="00DC5D96"/>
    <w:rsid w:val="00DC5FD0"/>
    <w:rsid w:val="00DD0354"/>
    <w:rsid w:val="00DD27D7"/>
    <w:rsid w:val="00DD458C"/>
    <w:rsid w:val="00DD6E1F"/>
    <w:rsid w:val="00DD72E9"/>
    <w:rsid w:val="00DD7605"/>
    <w:rsid w:val="00DE2020"/>
    <w:rsid w:val="00DE3476"/>
    <w:rsid w:val="00DE6A2F"/>
    <w:rsid w:val="00DF1984"/>
    <w:rsid w:val="00DF5B84"/>
    <w:rsid w:val="00DF6D5B"/>
    <w:rsid w:val="00DF771B"/>
    <w:rsid w:val="00DF7EE2"/>
    <w:rsid w:val="00E01BAA"/>
    <w:rsid w:val="00E0282A"/>
    <w:rsid w:val="00E0313E"/>
    <w:rsid w:val="00E07E14"/>
    <w:rsid w:val="00E14F94"/>
    <w:rsid w:val="00E17336"/>
    <w:rsid w:val="00E17D15"/>
    <w:rsid w:val="00E22B95"/>
    <w:rsid w:val="00E25EBB"/>
    <w:rsid w:val="00E30331"/>
    <w:rsid w:val="00E30BB8"/>
    <w:rsid w:val="00E31F9C"/>
    <w:rsid w:val="00E40488"/>
    <w:rsid w:val="00E50367"/>
    <w:rsid w:val="00E51ABA"/>
    <w:rsid w:val="00E524CB"/>
    <w:rsid w:val="00E54A9B"/>
    <w:rsid w:val="00E65456"/>
    <w:rsid w:val="00E65A91"/>
    <w:rsid w:val="00E66188"/>
    <w:rsid w:val="00E664FB"/>
    <w:rsid w:val="00E667DA"/>
    <w:rsid w:val="00E70373"/>
    <w:rsid w:val="00E72E40"/>
    <w:rsid w:val="00E73665"/>
    <w:rsid w:val="00E73999"/>
    <w:rsid w:val="00E73BDC"/>
    <w:rsid w:val="00E73E9E"/>
    <w:rsid w:val="00E77DB9"/>
    <w:rsid w:val="00E81660"/>
    <w:rsid w:val="00E854FE"/>
    <w:rsid w:val="00E906CC"/>
    <w:rsid w:val="00E939A0"/>
    <w:rsid w:val="00E97E4E"/>
    <w:rsid w:val="00EA109C"/>
    <w:rsid w:val="00EA1CC2"/>
    <w:rsid w:val="00EA2D76"/>
    <w:rsid w:val="00EA4644"/>
    <w:rsid w:val="00EA5690"/>
    <w:rsid w:val="00EA758A"/>
    <w:rsid w:val="00EB199F"/>
    <w:rsid w:val="00EB27C4"/>
    <w:rsid w:val="00EB4031"/>
    <w:rsid w:val="00EB5387"/>
    <w:rsid w:val="00EB5C10"/>
    <w:rsid w:val="00EB7322"/>
    <w:rsid w:val="00EB778B"/>
    <w:rsid w:val="00EC0FE9"/>
    <w:rsid w:val="00EC426D"/>
    <w:rsid w:val="00EC571B"/>
    <w:rsid w:val="00EC57D7"/>
    <w:rsid w:val="00EC6385"/>
    <w:rsid w:val="00ED1DE9"/>
    <w:rsid w:val="00ED23D4"/>
    <w:rsid w:val="00ED5E0B"/>
    <w:rsid w:val="00EE37B6"/>
    <w:rsid w:val="00EF0F45"/>
    <w:rsid w:val="00EF7463"/>
    <w:rsid w:val="00F002EF"/>
    <w:rsid w:val="00F01EE9"/>
    <w:rsid w:val="00F02F94"/>
    <w:rsid w:val="00F04900"/>
    <w:rsid w:val="00F065A4"/>
    <w:rsid w:val="00F126B9"/>
    <w:rsid w:val="00F12715"/>
    <w:rsid w:val="00F144D5"/>
    <w:rsid w:val="00F146F0"/>
    <w:rsid w:val="00F15039"/>
    <w:rsid w:val="00F153C8"/>
    <w:rsid w:val="00F20FF3"/>
    <w:rsid w:val="00F2190B"/>
    <w:rsid w:val="00F228B5"/>
    <w:rsid w:val="00F2389C"/>
    <w:rsid w:val="00F25C67"/>
    <w:rsid w:val="00F30DFF"/>
    <w:rsid w:val="00F32B80"/>
    <w:rsid w:val="00F340EB"/>
    <w:rsid w:val="00F35285"/>
    <w:rsid w:val="00F375C4"/>
    <w:rsid w:val="00F42B94"/>
    <w:rsid w:val="00F43B9D"/>
    <w:rsid w:val="00F44D5E"/>
    <w:rsid w:val="00F469FD"/>
    <w:rsid w:val="00F53A35"/>
    <w:rsid w:val="00F53C41"/>
    <w:rsid w:val="00F55A3D"/>
    <w:rsid w:val="00F5744B"/>
    <w:rsid w:val="00F61209"/>
    <w:rsid w:val="00F6259E"/>
    <w:rsid w:val="00F65DD4"/>
    <w:rsid w:val="00F672B2"/>
    <w:rsid w:val="00F73B05"/>
    <w:rsid w:val="00F74F1B"/>
    <w:rsid w:val="00F83973"/>
    <w:rsid w:val="00F87FA3"/>
    <w:rsid w:val="00F92012"/>
    <w:rsid w:val="00F93D8C"/>
    <w:rsid w:val="00FA3102"/>
    <w:rsid w:val="00FA48D4"/>
    <w:rsid w:val="00FA54FA"/>
    <w:rsid w:val="00FB1529"/>
    <w:rsid w:val="00FB227E"/>
    <w:rsid w:val="00FB3D61"/>
    <w:rsid w:val="00FB44CE"/>
    <w:rsid w:val="00FB5009"/>
    <w:rsid w:val="00FB76AB"/>
    <w:rsid w:val="00FC0D5D"/>
    <w:rsid w:val="00FD03FE"/>
    <w:rsid w:val="00FD126E"/>
    <w:rsid w:val="00FD3C36"/>
    <w:rsid w:val="00FD4D81"/>
    <w:rsid w:val="00FD7498"/>
    <w:rsid w:val="00FD7FB3"/>
    <w:rsid w:val="00FE1234"/>
    <w:rsid w:val="00FE153B"/>
    <w:rsid w:val="00FE4713"/>
    <w:rsid w:val="00FF1F44"/>
    <w:rsid w:val="00FF225E"/>
    <w:rsid w:val="00FF22C8"/>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AF112A"/>
  <w15:docId w15:val="{FBCD1A0A-BC46-BA4A-AFB3-CA965C145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uiPriority="9" w:qFormat="1"/>
    <w:lsdException w:name="heading 2" w:qFormat="1"/>
    <w:lsdException w:name="heading 3" w:qFormat="1"/>
    <w:lsdException w:name="heading 4"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iPriority="37" w:unhideWhenUsed="1"/>
    <w:lsdException w:name="TOC Heading" w:semiHidden="1" w:unhideWhenUsed="1"/>
    <w:lsdException w:name="Plain Table 4" w:uiPriority="44"/>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285"/>
    <w:pPr>
      <w:spacing w:line="480" w:lineRule="auto"/>
    </w:pPr>
    <w:rPr>
      <w:sz w:val="24"/>
      <w:szCs w:val="24"/>
    </w:rPr>
  </w:style>
  <w:style w:type="paragraph" w:styleId="Heading1">
    <w:name w:val="heading 1"/>
    <w:basedOn w:val="Normal"/>
    <w:next w:val="Paragraph"/>
    <w:link w:val="Heading1Char"/>
    <w:uiPriority w:val="9"/>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uiPriority w:val="9"/>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uiPriority w:val="99"/>
    <w:rsid w:val="00F02F94"/>
    <w:pPr>
      <w:tabs>
        <w:tab w:val="center" w:pos="4320"/>
        <w:tab w:val="right" w:pos="8640"/>
      </w:tabs>
      <w:spacing w:line="240" w:lineRule="auto"/>
    </w:pPr>
  </w:style>
  <w:style w:type="character" w:customStyle="1" w:styleId="HeaderChar">
    <w:name w:val="Header Char"/>
    <w:basedOn w:val="DefaultParagraphFont"/>
    <w:link w:val="Header"/>
    <w:uiPriority w:val="99"/>
    <w:rsid w:val="00F02F94"/>
    <w:rPr>
      <w:sz w:val="24"/>
      <w:szCs w:val="24"/>
    </w:rPr>
  </w:style>
  <w:style w:type="paragraph" w:styleId="Footer">
    <w:name w:val="footer"/>
    <w:basedOn w:val="Normal"/>
    <w:link w:val="FooterChar"/>
    <w:uiPriority w:val="99"/>
    <w:rsid w:val="00F02F94"/>
    <w:pPr>
      <w:tabs>
        <w:tab w:val="center" w:pos="4320"/>
        <w:tab w:val="right" w:pos="8640"/>
      </w:tabs>
      <w:spacing w:line="240" w:lineRule="auto"/>
    </w:pPr>
  </w:style>
  <w:style w:type="character" w:customStyle="1" w:styleId="FooterChar">
    <w:name w:val="Footer Char"/>
    <w:basedOn w:val="DefaultParagraphFont"/>
    <w:link w:val="Footer"/>
    <w:uiPriority w:val="99"/>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BalloonText">
    <w:name w:val="Balloon Text"/>
    <w:basedOn w:val="Normal"/>
    <w:link w:val="BalloonTextChar"/>
    <w:uiPriority w:val="99"/>
    <w:semiHidden/>
    <w:unhideWhenUsed/>
    <w:rsid w:val="004E3E8C"/>
    <w:pPr>
      <w:spacing w:line="240" w:lineRule="auto"/>
    </w:pPr>
    <w:rPr>
      <w:sz w:val="18"/>
      <w:szCs w:val="18"/>
    </w:rPr>
  </w:style>
  <w:style w:type="character" w:customStyle="1" w:styleId="BalloonTextChar">
    <w:name w:val="Balloon Text Char"/>
    <w:basedOn w:val="DefaultParagraphFont"/>
    <w:link w:val="BalloonText"/>
    <w:uiPriority w:val="99"/>
    <w:semiHidden/>
    <w:rsid w:val="004E3E8C"/>
    <w:rPr>
      <w:sz w:val="18"/>
      <w:szCs w:val="18"/>
    </w:rPr>
  </w:style>
  <w:style w:type="character" w:styleId="Hyperlink">
    <w:name w:val="Hyperlink"/>
    <w:basedOn w:val="DefaultParagraphFont"/>
    <w:uiPriority w:val="99"/>
    <w:unhideWhenUsed/>
    <w:rsid w:val="004E3E8C"/>
    <w:rPr>
      <w:color w:val="0000FF" w:themeColor="hyperlink"/>
      <w:u w:val="single"/>
    </w:rPr>
  </w:style>
  <w:style w:type="character" w:customStyle="1" w:styleId="UnresolvedMention1">
    <w:name w:val="Unresolved Mention1"/>
    <w:basedOn w:val="DefaultParagraphFont"/>
    <w:uiPriority w:val="99"/>
    <w:semiHidden/>
    <w:unhideWhenUsed/>
    <w:rsid w:val="004E3E8C"/>
    <w:rPr>
      <w:color w:val="605E5C"/>
      <w:shd w:val="clear" w:color="auto" w:fill="E1DFDD"/>
    </w:rPr>
  </w:style>
  <w:style w:type="paragraph" w:styleId="ListParagraph">
    <w:name w:val="List Paragraph"/>
    <w:basedOn w:val="Normal"/>
    <w:uiPriority w:val="34"/>
    <w:qFormat/>
    <w:rsid w:val="006F2629"/>
    <w:pPr>
      <w:ind w:left="720"/>
      <w:contextualSpacing/>
    </w:pPr>
  </w:style>
  <w:style w:type="paragraph" w:customStyle="1" w:styleId="MDPI31text">
    <w:name w:val="MDPI_3.1_text"/>
    <w:qFormat/>
    <w:rsid w:val="005A6A38"/>
    <w:pPr>
      <w:adjustRightInd w:val="0"/>
      <w:snapToGrid w:val="0"/>
      <w:spacing w:line="260" w:lineRule="atLeast"/>
      <w:ind w:firstLine="425"/>
      <w:jc w:val="both"/>
    </w:pPr>
    <w:rPr>
      <w:rFonts w:ascii="Palatino Linotype" w:hAnsi="Palatino Linotype"/>
      <w:snapToGrid w:val="0"/>
      <w:color w:val="000000"/>
      <w:szCs w:val="22"/>
      <w:lang w:val="en-US" w:eastAsia="de-DE" w:bidi="en-US"/>
    </w:rPr>
  </w:style>
  <w:style w:type="paragraph" w:customStyle="1" w:styleId="MDPI11articletype">
    <w:name w:val="MDPI_1.1_article_type"/>
    <w:basedOn w:val="MDPI31text"/>
    <w:next w:val="MDPI12title"/>
    <w:qFormat/>
    <w:rsid w:val="005A6A38"/>
    <w:pPr>
      <w:spacing w:before="240" w:line="240" w:lineRule="auto"/>
      <w:ind w:firstLine="0"/>
      <w:jc w:val="left"/>
    </w:pPr>
    <w:rPr>
      <w:i/>
    </w:rPr>
  </w:style>
  <w:style w:type="paragraph" w:customStyle="1" w:styleId="MDPI12title">
    <w:name w:val="MDPI_1.2_title"/>
    <w:next w:val="MDPI13authornames"/>
    <w:qFormat/>
    <w:rsid w:val="005A6A38"/>
    <w:pPr>
      <w:adjustRightInd w:val="0"/>
      <w:snapToGrid w:val="0"/>
      <w:spacing w:after="240" w:line="400" w:lineRule="exact"/>
    </w:pPr>
    <w:rPr>
      <w:rFonts w:ascii="Palatino Linotype" w:hAnsi="Palatino Linotype"/>
      <w:b/>
      <w:snapToGrid w:val="0"/>
      <w:color w:val="000000"/>
      <w:sz w:val="36"/>
      <w:lang w:val="en-US" w:eastAsia="de-DE" w:bidi="en-US"/>
    </w:rPr>
  </w:style>
  <w:style w:type="paragraph" w:customStyle="1" w:styleId="MDPI13authornames">
    <w:name w:val="MDPI_1.3_authornames"/>
    <w:basedOn w:val="MDPI31text"/>
    <w:next w:val="MDPI14history"/>
    <w:qFormat/>
    <w:rsid w:val="005A6A38"/>
    <w:pPr>
      <w:spacing w:after="120"/>
      <w:ind w:firstLine="0"/>
      <w:jc w:val="left"/>
    </w:pPr>
    <w:rPr>
      <w:b/>
      <w:snapToGrid/>
    </w:rPr>
  </w:style>
  <w:style w:type="paragraph" w:customStyle="1" w:styleId="MDPI14history">
    <w:name w:val="MDPI_1.4_history"/>
    <w:basedOn w:val="MDPI62Acknowledgments"/>
    <w:next w:val="Normal"/>
    <w:qFormat/>
    <w:rsid w:val="005A6A38"/>
    <w:pPr>
      <w:ind w:left="113"/>
      <w:jc w:val="left"/>
    </w:pPr>
    <w:rPr>
      <w:snapToGrid/>
    </w:rPr>
  </w:style>
  <w:style w:type="paragraph" w:customStyle="1" w:styleId="MDPI16affiliation">
    <w:name w:val="MDPI_1.6_affiliation"/>
    <w:basedOn w:val="MDPI62Acknowledgments"/>
    <w:qFormat/>
    <w:rsid w:val="005A6A38"/>
    <w:pPr>
      <w:spacing w:before="0"/>
      <w:ind w:left="311" w:hanging="198"/>
      <w:jc w:val="left"/>
    </w:pPr>
    <w:rPr>
      <w:snapToGrid/>
      <w:szCs w:val="18"/>
    </w:rPr>
  </w:style>
  <w:style w:type="paragraph" w:customStyle="1" w:styleId="MDPI17abstract">
    <w:name w:val="MDPI_1.7_abstract"/>
    <w:basedOn w:val="MDPI31text"/>
    <w:next w:val="MDPI18keywords"/>
    <w:qFormat/>
    <w:rsid w:val="005A6A38"/>
    <w:pPr>
      <w:spacing w:before="240"/>
      <w:ind w:left="113" w:firstLine="0"/>
    </w:pPr>
    <w:rPr>
      <w:snapToGrid/>
    </w:rPr>
  </w:style>
  <w:style w:type="paragraph" w:customStyle="1" w:styleId="MDPI18keywords">
    <w:name w:val="MDPI_1.8_keywords"/>
    <w:basedOn w:val="MDPI31text"/>
    <w:next w:val="Normal"/>
    <w:qFormat/>
    <w:rsid w:val="005A6A38"/>
    <w:pPr>
      <w:spacing w:before="240"/>
      <w:ind w:left="113" w:firstLine="0"/>
    </w:pPr>
  </w:style>
  <w:style w:type="paragraph" w:customStyle="1" w:styleId="MDPI19line">
    <w:name w:val="MDPI_1.9_line"/>
    <w:basedOn w:val="MDPI31text"/>
    <w:qFormat/>
    <w:rsid w:val="005A6A38"/>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5A6A38"/>
    <w:pPr>
      <w:adjustRightInd w:val="0"/>
      <w:snapToGrid w:val="0"/>
      <w:spacing w:line="300" w:lineRule="exact"/>
      <w:jc w:val="center"/>
    </w:pPr>
    <w:rPr>
      <w:rFonts w:eastAsia="SimSu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5A6A38"/>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headerjournallogo">
    <w:name w:val="MDPI_header_journal_logo"/>
    <w:qFormat/>
    <w:rsid w:val="005A6A38"/>
    <w:pPr>
      <w:adjustRightInd w:val="0"/>
      <w:snapToGrid w:val="0"/>
    </w:pPr>
    <w:rPr>
      <w:rFonts w:ascii="Palatino Linotype" w:hAnsi="Palatino Linotype"/>
      <w:i/>
      <w:color w:val="000000"/>
      <w:sz w:val="24"/>
      <w:szCs w:val="22"/>
      <w:lang w:val="en-US" w:eastAsia="de-CH"/>
    </w:rPr>
  </w:style>
  <w:style w:type="paragraph" w:customStyle="1" w:styleId="MDPI32textnoindent">
    <w:name w:val="MDPI_3.2_text_no_indent"/>
    <w:basedOn w:val="MDPI31text"/>
    <w:qFormat/>
    <w:rsid w:val="005A6A38"/>
    <w:pPr>
      <w:ind w:firstLine="0"/>
    </w:pPr>
  </w:style>
  <w:style w:type="paragraph" w:customStyle="1" w:styleId="MDPI33textspaceafter">
    <w:name w:val="MDPI_3.3_text_space_after"/>
    <w:basedOn w:val="MDPI31text"/>
    <w:qFormat/>
    <w:rsid w:val="005A6A38"/>
    <w:pPr>
      <w:spacing w:after="240"/>
    </w:pPr>
  </w:style>
  <w:style w:type="paragraph" w:customStyle="1" w:styleId="MDPI35textbeforelist">
    <w:name w:val="MDPI_3.5_text_before_list"/>
    <w:basedOn w:val="MDPI31text"/>
    <w:qFormat/>
    <w:rsid w:val="005A6A38"/>
    <w:pPr>
      <w:spacing w:after="120"/>
    </w:pPr>
  </w:style>
  <w:style w:type="paragraph" w:customStyle="1" w:styleId="MDPI36textafterlist">
    <w:name w:val="MDPI_3.6_text_after_list"/>
    <w:basedOn w:val="MDPI31text"/>
    <w:qFormat/>
    <w:rsid w:val="005A6A38"/>
    <w:pPr>
      <w:spacing w:before="120"/>
    </w:pPr>
  </w:style>
  <w:style w:type="paragraph" w:customStyle="1" w:styleId="MDPI37itemize">
    <w:name w:val="MDPI_3.7_itemize"/>
    <w:basedOn w:val="MDPI31text"/>
    <w:qFormat/>
    <w:rsid w:val="005A6A38"/>
    <w:pPr>
      <w:numPr>
        <w:numId w:val="32"/>
      </w:numPr>
      <w:ind w:left="425" w:hanging="425"/>
    </w:pPr>
  </w:style>
  <w:style w:type="paragraph" w:customStyle="1" w:styleId="MDPI38bullet">
    <w:name w:val="MDPI_3.8_bullet"/>
    <w:basedOn w:val="MDPI31text"/>
    <w:qFormat/>
    <w:rsid w:val="005A6A38"/>
    <w:pPr>
      <w:numPr>
        <w:numId w:val="33"/>
      </w:numPr>
      <w:ind w:left="425" w:hanging="425"/>
    </w:pPr>
  </w:style>
  <w:style w:type="paragraph" w:customStyle="1" w:styleId="MDPI39equation">
    <w:name w:val="MDPI_3.9_equation"/>
    <w:basedOn w:val="MDPI31text"/>
    <w:qFormat/>
    <w:rsid w:val="005A6A38"/>
    <w:pPr>
      <w:spacing w:before="120" w:after="120"/>
      <w:ind w:left="709" w:firstLine="0"/>
      <w:jc w:val="center"/>
    </w:pPr>
  </w:style>
  <w:style w:type="paragraph" w:customStyle="1" w:styleId="MDPI3aequationnumber">
    <w:name w:val="MDPI_3.a_equation_number"/>
    <w:basedOn w:val="MDPI31text"/>
    <w:qFormat/>
    <w:rsid w:val="005A6A38"/>
    <w:pPr>
      <w:spacing w:before="120" w:after="120" w:line="240" w:lineRule="auto"/>
      <w:ind w:firstLine="0"/>
      <w:jc w:val="right"/>
    </w:pPr>
  </w:style>
  <w:style w:type="paragraph" w:customStyle="1" w:styleId="MDPI62Acknowledgments">
    <w:name w:val="MDPI_6.2_Acknowledgments"/>
    <w:qFormat/>
    <w:rsid w:val="005A6A38"/>
    <w:pPr>
      <w:adjustRightInd w:val="0"/>
      <w:snapToGrid w:val="0"/>
      <w:spacing w:before="120" w:line="200" w:lineRule="atLeast"/>
      <w:jc w:val="both"/>
    </w:pPr>
    <w:rPr>
      <w:rFonts w:ascii="Palatino Linotype" w:hAnsi="Palatino Linotype"/>
      <w:snapToGrid w:val="0"/>
      <w:color w:val="000000"/>
      <w:sz w:val="18"/>
      <w:lang w:val="en-US" w:eastAsia="de-DE" w:bidi="en-US"/>
    </w:rPr>
  </w:style>
  <w:style w:type="paragraph" w:customStyle="1" w:styleId="MDPI41tablecaption">
    <w:name w:val="MDPI_4.1_table_caption"/>
    <w:basedOn w:val="MDPI62Acknowledgments"/>
    <w:qFormat/>
    <w:rsid w:val="005A6A38"/>
    <w:pPr>
      <w:spacing w:before="240" w:after="120" w:line="260" w:lineRule="atLeast"/>
      <w:ind w:left="425" w:right="425"/>
    </w:pPr>
    <w:rPr>
      <w:snapToGrid/>
      <w:szCs w:val="22"/>
    </w:rPr>
  </w:style>
  <w:style w:type="paragraph" w:customStyle="1" w:styleId="MDPI42tablebody">
    <w:name w:val="MDPI_4.2_table_body"/>
    <w:qFormat/>
    <w:rsid w:val="005A6A38"/>
    <w:pPr>
      <w:adjustRightInd w:val="0"/>
      <w:snapToGrid w:val="0"/>
      <w:spacing w:line="260" w:lineRule="atLeast"/>
      <w:jc w:val="center"/>
    </w:pPr>
    <w:rPr>
      <w:rFonts w:ascii="Palatino Linotype" w:hAnsi="Palatino Linotype"/>
      <w:snapToGrid w:val="0"/>
      <w:color w:val="000000"/>
      <w:lang w:val="en-US" w:eastAsia="de-DE" w:bidi="en-US"/>
    </w:rPr>
  </w:style>
  <w:style w:type="paragraph" w:customStyle="1" w:styleId="MDPI43tablefooter">
    <w:name w:val="MDPI_4.3_table_footer"/>
    <w:basedOn w:val="MDPI41tablecaption"/>
    <w:next w:val="MDPI31text"/>
    <w:qFormat/>
    <w:rsid w:val="005A6A38"/>
    <w:pPr>
      <w:spacing w:before="0"/>
      <w:ind w:left="0" w:right="0"/>
    </w:pPr>
  </w:style>
  <w:style w:type="paragraph" w:customStyle="1" w:styleId="MDPI51figurecaption">
    <w:name w:val="MDPI_5.1_figure_caption"/>
    <w:basedOn w:val="MDPI62Acknowledgments"/>
    <w:qFormat/>
    <w:rsid w:val="005A6A38"/>
    <w:pPr>
      <w:spacing w:after="240" w:line="260" w:lineRule="atLeast"/>
      <w:ind w:left="425" w:right="425"/>
    </w:pPr>
    <w:rPr>
      <w:snapToGrid/>
    </w:rPr>
  </w:style>
  <w:style w:type="paragraph" w:customStyle="1" w:styleId="MDPI52figure">
    <w:name w:val="MDPI_5.2_figure"/>
    <w:qFormat/>
    <w:rsid w:val="005A6A38"/>
    <w:pPr>
      <w:jc w:val="center"/>
    </w:pPr>
    <w:rPr>
      <w:rFonts w:ascii="Palatino Linotype" w:hAnsi="Palatino Linotype"/>
      <w:snapToGrid w:val="0"/>
      <w:color w:val="000000"/>
      <w:sz w:val="24"/>
      <w:lang w:val="en-US" w:eastAsia="de-DE" w:bidi="en-US"/>
    </w:rPr>
  </w:style>
  <w:style w:type="paragraph" w:customStyle="1" w:styleId="MDPI61Supplementary">
    <w:name w:val="MDPI_6.1_Supplementary"/>
    <w:basedOn w:val="MDPI62Acknowledgments"/>
    <w:qFormat/>
    <w:rsid w:val="005A6A38"/>
    <w:pPr>
      <w:spacing w:before="240"/>
    </w:pPr>
    <w:rPr>
      <w:lang w:eastAsia="en-US"/>
    </w:rPr>
  </w:style>
  <w:style w:type="paragraph" w:customStyle="1" w:styleId="MDPI63AuthorContributions">
    <w:name w:val="MDPI_6.3_AuthorContributions"/>
    <w:basedOn w:val="MDPI62Acknowledgments"/>
    <w:qFormat/>
    <w:rsid w:val="005A6A38"/>
    <w:rPr>
      <w:rFonts w:eastAsia="SimSun"/>
      <w:color w:val="auto"/>
      <w:lang w:eastAsia="en-US"/>
    </w:rPr>
  </w:style>
  <w:style w:type="paragraph" w:customStyle="1" w:styleId="MDPI64CoI">
    <w:name w:val="MDPI_6.4_CoI"/>
    <w:basedOn w:val="MDPI62Acknowledgments"/>
    <w:qFormat/>
    <w:rsid w:val="005A6A38"/>
  </w:style>
  <w:style w:type="paragraph" w:customStyle="1" w:styleId="MDPI23heading3">
    <w:name w:val="MDPI_2.3_heading3"/>
    <w:basedOn w:val="MDPI31text"/>
    <w:qFormat/>
    <w:rsid w:val="005A6A38"/>
    <w:pPr>
      <w:spacing w:before="240" w:after="120"/>
      <w:ind w:firstLine="0"/>
      <w:jc w:val="left"/>
      <w:outlineLvl w:val="2"/>
    </w:pPr>
  </w:style>
  <w:style w:type="paragraph" w:customStyle="1" w:styleId="MDPI21heading1">
    <w:name w:val="MDPI_2.1_heading1"/>
    <w:basedOn w:val="MDPI23heading3"/>
    <w:qFormat/>
    <w:rsid w:val="005A6A38"/>
    <w:pPr>
      <w:outlineLvl w:val="0"/>
    </w:pPr>
    <w:rPr>
      <w:b/>
    </w:rPr>
  </w:style>
  <w:style w:type="paragraph" w:customStyle="1" w:styleId="MDPI22heading2">
    <w:name w:val="MDPI_2.2_heading2"/>
    <w:basedOn w:val="Normal"/>
    <w:qFormat/>
    <w:rsid w:val="005A6A38"/>
    <w:pPr>
      <w:kinsoku w:val="0"/>
      <w:overflowPunct w:val="0"/>
      <w:autoSpaceDE w:val="0"/>
      <w:autoSpaceDN w:val="0"/>
      <w:adjustRightInd w:val="0"/>
      <w:snapToGrid w:val="0"/>
      <w:spacing w:before="240" w:after="120" w:line="260" w:lineRule="atLeast"/>
      <w:outlineLvl w:val="1"/>
    </w:pPr>
    <w:rPr>
      <w:rFonts w:ascii="Palatino Linotype" w:hAnsi="Palatino Linotype"/>
      <w:i/>
      <w:noProof/>
      <w:snapToGrid w:val="0"/>
      <w:color w:val="000000"/>
      <w:sz w:val="20"/>
      <w:szCs w:val="22"/>
      <w:lang w:val="en-US" w:eastAsia="de-DE" w:bidi="en-US"/>
    </w:rPr>
  </w:style>
  <w:style w:type="paragraph" w:customStyle="1" w:styleId="MDPI71References">
    <w:name w:val="MDPI_7.1_References"/>
    <w:basedOn w:val="MDPI62Acknowledgments"/>
    <w:qFormat/>
    <w:rsid w:val="005A6A38"/>
    <w:pPr>
      <w:numPr>
        <w:numId w:val="34"/>
      </w:numPr>
      <w:spacing w:before="0" w:line="260" w:lineRule="atLeast"/>
      <w:ind w:left="425" w:hanging="425"/>
    </w:pPr>
  </w:style>
  <w:style w:type="character" w:styleId="LineNumber">
    <w:name w:val="line number"/>
    <w:basedOn w:val="DefaultParagraphFont"/>
    <w:uiPriority w:val="99"/>
    <w:semiHidden/>
    <w:unhideWhenUsed/>
    <w:rsid w:val="005A6A38"/>
  </w:style>
  <w:style w:type="table" w:customStyle="1" w:styleId="MDPI41threelinetable">
    <w:name w:val="MDPI_4.1_three_line_table"/>
    <w:basedOn w:val="TableNormal"/>
    <w:uiPriority w:val="99"/>
    <w:rsid w:val="005A6A38"/>
    <w:pPr>
      <w:adjustRightInd w:val="0"/>
      <w:snapToGrid w:val="0"/>
      <w:jc w:val="center"/>
    </w:pPr>
    <w:rPr>
      <w:rFonts w:ascii="Palatino Linotype" w:eastAsia="SimSun" w:hAnsi="Palatino Linotype"/>
      <w:color w:val="000000"/>
      <w:lang w:eastAsia="en-US"/>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customStyle="1" w:styleId="UnresolvedMention10">
    <w:name w:val="Unresolved Mention1"/>
    <w:uiPriority w:val="99"/>
    <w:semiHidden/>
    <w:unhideWhenUsed/>
    <w:rsid w:val="005A6A38"/>
    <w:rPr>
      <w:color w:val="605E5C"/>
      <w:shd w:val="clear" w:color="auto" w:fill="E1DFDD"/>
    </w:rPr>
  </w:style>
  <w:style w:type="table" w:styleId="PlainTable4">
    <w:name w:val="Plain Table 4"/>
    <w:basedOn w:val="TableNormal"/>
    <w:uiPriority w:val="44"/>
    <w:rsid w:val="005A6A38"/>
    <w:rPr>
      <w:rFonts w:ascii="Calibri" w:eastAsia="SimSun" w:hAnsi="Calibr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FollowedHyperlink">
    <w:name w:val="FollowedHyperlink"/>
    <w:basedOn w:val="DefaultParagraphFont"/>
    <w:uiPriority w:val="99"/>
    <w:semiHidden/>
    <w:unhideWhenUsed/>
    <w:rsid w:val="005A6A38"/>
    <w:rPr>
      <w:color w:val="800080" w:themeColor="followedHyperlink"/>
      <w:u w:val="single"/>
    </w:rPr>
  </w:style>
  <w:style w:type="paragraph" w:styleId="Bibliography">
    <w:name w:val="Bibliography"/>
    <w:basedOn w:val="Normal"/>
    <w:next w:val="Normal"/>
    <w:link w:val="BibliographyChar"/>
    <w:uiPriority w:val="37"/>
    <w:unhideWhenUsed/>
    <w:rsid w:val="005A6A38"/>
    <w:pPr>
      <w:tabs>
        <w:tab w:val="left" w:pos="380"/>
      </w:tabs>
      <w:spacing w:after="240" w:line="240" w:lineRule="atLeast"/>
      <w:ind w:left="384" w:hanging="384"/>
      <w:jc w:val="both"/>
    </w:pPr>
    <w:rPr>
      <w:color w:val="000000"/>
      <w:szCs w:val="20"/>
      <w:lang w:val="en-US" w:eastAsia="de-DE"/>
    </w:rPr>
  </w:style>
  <w:style w:type="paragraph" w:customStyle="1" w:styleId="EndNoteBibliographyTitle">
    <w:name w:val="EndNote Bibliography Title"/>
    <w:basedOn w:val="Normal"/>
    <w:link w:val="EndNoteBibliographyTitleChar"/>
    <w:rsid w:val="005A6A38"/>
    <w:pPr>
      <w:spacing w:line="340" w:lineRule="atLeast"/>
      <w:jc w:val="center"/>
    </w:pPr>
    <w:rPr>
      <w:color w:val="000000"/>
      <w:szCs w:val="20"/>
      <w:lang w:val="de-DE" w:eastAsia="de-DE"/>
    </w:rPr>
  </w:style>
  <w:style w:type="character" w:customStyle="1" w:styleId="BibliographyChar">
    <w:name w:val="Bibliography Char"/>
    <w:basedOn w:val="DefaultParagraphFont"/>
    <w:link w:val="Bibliography"/>
    <w:uiPriority w:val="37"/>
    <w:rsid w:val="005A6A38"/>
    <w:rPr>
      <w:color w:val="000000"/>
      <w:sz w:val="24"/>
      <w:lang w:val="en-US" w:eastAsia="de-DE"/>
    </w:rPr>
  </w:style>
  <w:style w:type="character" w:customStyle="1" w:styleId="EndNoteBibliographyTitleChar">
    <w:name w:val="EndNote Bibliography Title Char"/>
    <w:basedOn w:val="BibliographyChar"/>
    <w:link w:val="EndNoteBibliographyTitle"/>
    <w:rsid w:val="005A6A38"/>
    <w:rPr>
      <w:color w:val="000000"/>
      <w:sz w:val="24"/>
      <w:lang w:val="de-DE" w:eastAsia="de-DE"/>
    </w:rPr>
  </w:style>
  <w:style w:type="paragraph" w:customStyle="1" w:styleId="EndNoteBibliography">
    <w:name w:val="EndNote Bibliography"/>
    <w:basedOn w:val="Normal"/>
    <w:link w:val="EndNoteBibliographyChar"/>
    <w:rsid w:val="005A6A38"/>
    <w:pPr>
      <w:spacing w:line="240" w:lineRule="atLeast"/>
      <w:jc w:val="both"/>
    </w:pPr>
    <w:rPr>
      <w:color w:val="000000"/>
      <w:szCs w:val="20"/>
      <w:lang w:val="de-DE" w:eastAsia="de-DE"/>
    </w:rPr>
  </w:style>
  <w:style w:type="character" w:customStyle="1" w:styleId="EndNoteBibliographyChar">
    <w:name w:val="EndNote Bibliography Char"/>
    <w:basedOn w:val="BibliographyChar"/>
    <w:link w:val="EndNoteBibliography"/>
    <w:rsid w:val="005A6A38"/>
    <w:rPr>
      <w:color w:val="000000"/>
      <w:sz w:val="24"/>
      <w:lang w:val="de-DE" w:eastAsia="de-DE"/>
    </w:rPr>
  </w:style>
  <w:style w:type="character" w:styleId="CommentReference">
    <w:name w:val="annotation reference"/>
    <w:basedOn w:val="DefaultParagraphFont"/>
    <w:uiPriority w:val="99"/>
    <w:semiHidden/>
    <w:unhideWhenUsed/>
    <w:rsid w:val="005A6A38"/>
    <w:rPr>
      <w:sz w:val="16"/>
      <w:szCs w:val="16"/>
    </w:rPr>
  </w:style>
  <w:style w:type="paragraph" w:styleId="CommentText">
    <w:name w:val="annotation text"/>
    <w:basedOn w:val="Normal"/>
    <w:link w:val="CommentTextChar"/>
    <w:uiPriority w:val="99"/>
    <w:semiHidden/>
    <w:unhideWhenUsed/>
    <w:rsid w:val="005A6A38"/>
    <w:pPr>
      <w:spacing w:line="240" w:lineRule="auto"/>
      <w:jc w:val="both"/>
    </w:pPr>
    <w:rPr>
      <w:color w:val="000000"/>
      <w:sz w:val="20"/>
      <w:szCs w:val="20"/>
      <w:lang w:val="en-US" w:eastAsia="de-DE"/>
    </w:rPr>
  </w:style>
  <w:style w:type="character" w:customStyle="1" w:styleId="CommentTextChar">
    <w:name w:val="Comment Text Char"/>
    <w:basedOn w:val="DefaultParagraphFont"/>
    <w:link w:val="CommentText"/>
    <w:uiPriority w:val="99"/>
    <w:semiHidden/>
    <w:rsid w:val="005A6A38"/>
    <w:rPr>
      <w:color w:val="000000"/>
      <w:lang w:val="en-US" w:eastAsia="de-DE"/>
    </w:rPr>
  </w:style>
  <w:style w:type="paragraph" w:styleId="CommentSubject">
    <w:name w:val="annotation subject"/>
    <w:basedOn w:val="CommentText"/>
    <w:next w:val="CommentText"/>
    <w:link w:val="CommentSubjectChar"/>
    <w:uiPriority w:val="99"/>
    <w:semiHidden/>
    <w:unhideWhenUsed/>
    <w:rsid w:val="005A6A38"/>
    <w:rPr>
      <w:b/>
      <w:bCs/>
    </w:rPr>
  </w:style>
  <w:style w:type="character" w:customStyle="1" w:styleId="CommentSubjectChar">
    <w:name w:val="Comment Subject Char"/>
    <w:basedOn w:val="CommentTextChar"/>
    <w:link w:val="CommentSubject"/>
    <w:uiPriority w:val="99"/>
    <w:semiHidden/>
    <w:rsid w:val="005A6A38"/>
    <w:rPr>
      <w:b/>
      <w:bCs/>
      <w:color w:val="000000"/>
      <w:lang w:val="en-US" w:eastAsia="de-DE"/>
    </w:rPr>
  </w:style>
  <w:style w:type="paragraph" w:styleId="Revision">
    <w:name w:val="Revision"/>
    <w:hidden/>
    <w:uiPriority w:val="99"/>
    <w:semiHidden/>
    <w:rsid w:val="005A6A38"/>
    <w:rPr>
      <w:color w:val="000000"/>
      <w:sz w:val="24"/>
      <w:lang w:val="en-US" w:eastAsia="de-DE"/>
    </w:rPr>
  </w:style>
  <w:style w:type="paragraph" w:styleId="Caption">
    <w:name w:val="caption"/>
    <w:basedOn w:val="Normal"/>
    <w:next w:val="Normal"/>
    <w:uiPriority w:val="35"/>
    <w:unhideWhenUsed/>
    <w:qFormat/>
    <w:rsid w:val="005A6A38"/>
    <w:pPr>
      <w:spacing w:after="200" w:line="240" w:lineRule="auto"/>
      <w:jc w:val="both"/>
    </w:pPr>
    <w:rPr>
      <w:i/>
      <w:iCs/>
      <w:color w:val="1F497D" w:themeColor="text2"/>
      <w:sz w:val="18"/>
      <w:szCs w:val="18"/>
      <w:lang w:val="en-US" w:eastAsia="de-DE"/>
    </w:rPr>
  </w:style>
  <w:style w:type="character" w:styleId="PlaceholderText">
    <w:name w:val="Placeholder Text"/>
    <w:basedOn w:val="DefaultParagraphFont"/>
    <w:uiPriority w:val="99"/>
    <w:semiHidden/>
    <w:rsid w:val="005A6A38"/>
    <w:rPr>
      <w:color w:val="808080"/>
    </w:rPr>
  </w:style>
  <w:style w:type="character" w:customStyle="1" w:styleId="UnresolvedMention2">
    <w:name w:val="Unresolved Mention2"/>
    <w:basedOn w:val="DefaultParagraphFont"/>
    <w:uiPriority w:val="99"/>
    <w:semiHidden/>
    <w:unhideWhenUsed/>
    <w:rsid w:val="005A6A38"/>
    <w:rPr>
      <w:color w:val="605E5C"/>
      <w:shd w:val="clear" w:color="auto" w:fill="E1DFDD"/>
    </w:rPr>
  </w:style>
  <w:style w:type="character" w:styleId="PageNumber">
    <w:name w:val="page number"/>
    <w:basedOn w:val="DefaultParagraphFont"/>
    <w:semiHidden/>
    <w:unhideWhenUsed/>
    <w:rsid w:val="008D4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FAC26-F96C-4C70-A901-ECA52CD25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21AEFB34</Template>
  <TotalTime>2</TotalTime>
  <Pages>21</Pages>
  <Words>20290</Words>
  <Characters>115659</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TF_Template_Word_Mac_2011</vt:lpstr>
    </vt:vector>
  </TitlesOfParts>
  <Manager/>
  <Company/>
  <LinksUpToDate>false</LinksUpToDate>
  <CharactersWithSpaces>135678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subject/>
  <dc:creator>Mohammad Najlah</dc:creator>
  <cp:keywords/>
  <dc:description/>
  <cp:lastModifiedBy>Blanshard, Lisa</cp:lastModifiedBy>
  <cp:revision>3</cp:revision>
  <cp:lastPrinted>2011-07-22T14:54:00Z</cp:lastPrinted>
  <dcterms:created xsi:type="dcterms:W3CDTF">2020-01-27T21:10:00Z</dcterms:created>
  <dcterms:modified xsi:type="dcterms:W3CDTF">2020-02-12T10:43:00Z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id="kPMzhhTd"/&gt;&lt;style id="http://www.zotero.org/styles/national-library-of-medicine" hasBibliography="1" bibliographyStyleHasBeenSet="1"/&gt;&lt;prefs&gt;&lt;pref name="fieldType" value="Field"/&gt;&lt;/prefs&gt;&lt;/data&gt;</vt:lpwstr>
  </property>
</Properties>
</file>