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9313D" w14:textId="29914661" w:rsidR="007A7FFC" w:rsidRDefault="007A7FFC" w:rsidP="000D1AFC">
      <w:pPr>
        <w:pStyle w:val="Heading2"/>
        <w:rPr>
          <w:lang w:val="en-US"/>
        </w:rPr>
      </w:pPr>
    </w:p>
    <w:p w14:paraId="4545B74D" w14:textId="0CFD3E0C" w:rsidR="007A7FFC" w:rsidRPr="00AF720A" w:rsidRDefault="007A7FFC" w:rsidP="007A7FFC">
      <w:pPr>
        <w:jc w:val="center"/>
        <w:rPr>
          <w:b/>
          <w:lang w:val="en-US"/>
        </w:rPr>
      </w:pPr>
      <w:r w:rsidRPr="00AF720A">
        <w:rPr>
          <w:b/>
          <w:lang w:val="en-US"/>
        </w:rPr>
        <w:t xml:space="preserve">Chocolate Consumption and </w:t>
      </w:r>
      <w:r w:rsidR="007C0EA4" w:rsidRPr="00AF720A">
        <w:rPr>
          <w:b/>
          <w:lang w:val="en-US"/>
        </w:rPr>
        <w:t xml:space="preserve">Indicators </w:t>
      </w:r>
      <w:r w:rsidRPr="00AF720A">
        <w:rPr>
          <w:b/>
          <w:lang w:val="en-US"/>
        </w:rPr>
        <w:t>of Adiposity in US Adults</w:t>
      </w:r>
    </w:p>
    <w:p w14:paraId="6A42029C" w14:textId="65137E49" w:rsidR="00681DD7" w:rsidRPr="00AF720A" w:rsidRDefault="00681DD7" w:rsidP="007A7FFC">
      <w:pPr>
        <w:jc w:val="center"/>
        <w:rPr>
          <w:b/>
          <w:lang w:val="en-US"/>
        </w:rPr>
      </w:pPr>
      <w:r w:rsidRPr="00AF720A">
        <w:rPr>
          <w:b/>
          <w:lang w:val="en-US"/>
        </w:rPr>
        <w:t>Running title: chocolate and adiposity</w:t>
      </w:r>
    </w:p>
    <w:p w14:paraId="62C7F364" w14:textId="74A231C6" w:rsidR="007A7FFC" w:rsidRPr="00AF720A" w:rsidRDefault="007A7FFC" w:rsidP="007A7FFC">
      <w:pPr>
        <w:jc w:val="center"/>
        <w:rPr>
          <w:lang w:val="en-US"/>
        </w:rPr>
      </w:pPr>
      <w:r w:rsidRPr="00AF720A">
        <w:rPr>
          <w:lang w:val="en-US"/>
        </w:rPr>
        <w:t>Lee Smith</w:t>
      </w:r>
      <w:r w:rsidR="00BB21C2" w:rsidRPr="00AF720A">
        <w:rPr>
          <w:lang w:val="en-US"/>
        </w:rPr>
        <w:t xml:space="preserve"> PhD</w:t>
      </w:r>
      <w:r w:rsidR="00A231BD" w:rsidRPr="00AF720A">
        <w:rPr>
          <w:vertAlign w:val="superscript"/>
          <w:lang w:val="en-US"/>
        </w:rPr>
        <w:t>1</w:t>
      </w:r>
      <w:r w:rsidR="00350254" w:rsidRPr="00AF720A">
        <w:rPr>
          <w:vertAlign w:val="superscript"/>
          <w:lang w:val="en-US"/>
        </w:rPr>
        <w:t>*</w:t>
      </w:r>
      <w:r w:rsidRPr="00AF720A">
        <w:rPr>
          <w:lang w:val="en-US"/>
        </w:rPr>
        <w:t>, Igor Grabovac</w:t>
      </w:r>
      <w:r w:rsidR="00BB21C2" w:rsidRPr="00AF720A">
        <w:rPr>
          <w:lang w:val="en-US"/>
        </w:rPr>
        <w:t xml:space="preserve"> MD</w:t>
      </w:r>
      <w:r w:rsidR="00A231BD" w:rsidRPr="00AF720A">
        <w:rPr>
          <w:vertAlign w:val="superscript"/>
          <w:lang w:val="en-US"/>
        </w:rPr>
        <w:t>2</w:t>
      </w:r>
      <w:r w:rsidRPr="00AF720A">
        <w:rPr>
          <w:lang w:val="en-US"/>
        </w:rPr>
        <w:t>, Sarah E. Jackson</w:t>
      </w:r>
      <w:r w:rsidR="00BB21C2" w:rsidRPr="00AF720A">
        <w:rPr>
          <w:lang w:val="en-US"/>
        </w:rPr>
        <w:t xml:space="preserve"> PhD</w:t>
      </w:r>
      <w:r w:rsidR="00A231BD" w:rsidRPr="00AF720A">
        <w:rPr>
          <w:vertAlign w:val="superscript"/>
          <w:lang w:val="en-US"/>
        </w:rPr>
        <w:t>3</w:t>
      </w:r>
      <w:r w:rsidRPr="00AF720A">
        <w:rPr>
          <w:lang w:val="en-US"/>
        </w:rPr>
        <w:t xml:space="preserve">, </w:t>
      </w:r>
      <w:r w:rsidR="00C84A9B" w:rsidRPr="00AF720A">
        <w:rPr>
          <w:lang w:val="en-US"/>
        </w:rPr>
        <w:t>Nicola Veronese</w:t>
      </w:r>
      <w:r w:rsidR="00BB21C2" w:rsidRPr="00AF720A">
        <w:rPr>
          <w:lang w:val="en-US"/>
        </w:rPr>
        <w:t xml:space="preserve"> MD</w:t>
      </w:r>
      <w:r w:rsidR="000104C7" w:rsidRPr="00AF720A">
        <w:rPr>
          <w:vertAlign w:val="superscript"/>
          <w:lang w:val="en-US"/>
        </w:rPr>
        <w:t>4</w:t>
      </w:r>
      <w:r w:rsidR="00C84A9B" w:rsidRPr="00AF720A">
        <w:rPr>
          <w:lang w:val="en-US"/>
        </w:rPr>
        <w:t xml:space="preserve">, </w:t>
      </w:r>
      <w:r w:rsidRPr="00AF720A">
        <w:rPr>
          <w:lang w:val="en-US"/>
        </w:rPr>
        <w:t>Ce Shang</w:t>
      </w:r>
      <w:r w:rsidR="00BB21C2" w:rsidRPr="00AF720A">
        <w:rPr>
          <w:lang w:val="en-US"/>
        </w:rPr>
        <w:t xml:space="preserve"> PhD</w:t>
      </w:r>
      <w:r w:rsidR="00A231BD" w:rsidRPr="00AF720A">
        <w:rPr>
          <w:vertAlign w:val="superscript"/>
          <w:lang w:val="en-US"/>
        </w:rPr>
        <w:t>5</w:t>
      </w:r>
      <w:r w:rsidRPr="00AF720A">
        <w:rPr>
          <w:lang w:val="en-US"/>
        </w:rPr>
        <w:t xml:space="preserve">, </w:t>
      </w:r>
      <w:r w:rsidR="00411C47" w:rsidRPr="00AF720A">
        <w:rPr>
          <w:lang w:val="en-US"/>
        </w:rPr>
        <w:t>Guillermo F. López-Sánchez</w:t>
      </w:r>
      <w:r w:rsidR="00BB21C2" w:rsidRPr="00AF720A">
        <w:rPr>
          <w:lang w:val="en-US"/>
        </w:rPr>
        <w:t xml:space="preserve"> PhD</w:t>
      </w:r>
      <w:r w:rsidR="00411C47" w:rsidRPr="00AF720A">
        <w:rPr>
          <w:vertAlign w:val="superscript"/>
          <w:lang w:val="en-US"/>
        </w:rPr>
        <w:t>6</w:t>
      </w:r>
      <w:r w:rsidR="00411C47" w:rsidRPr="00AF720A">
        <w:rPr>
          <w:lang w:val="en-US"/>
        </w:rPr>
        <w:t xml:space="preserve">, </w:t>
      </w:r>
      <w:r w:rsidR="00A231BD" w:rsidRPr="00AF720A">
        <w:rPr>
          <w:lang w:val="en-US"/>
        </w:rPr>
        <w:t xml:space="preserve">Felipe B. </w:t>
      </w:r>
      <w:proofErr w:type="spellStart"/>
      <w:r w:rsidR="00A231BD" w:rsidRPr="00AF720A">
        <w:rPr>
          <w:lang w:val="en-US"/>
        </w:rPr>
        <w:t>Schuch</w:t>
      </w:r>
      <w:proofErr w:type="spellEnd"/>
      <w:r w:rsidR="00BB21C2" w:rsidRPr="00AF720A">
        <w:rPr>
          <w:lang w:val="en-US"/>
        </w:rPr>
        <w:t xml:space="preserve"> PhD</w:t>
      </w:r>
      <w:r w:rsidR="00411C47" w:rsidRPr="00AF720A">
        <w:rPr>
          <w:vertAlign w:val="superscript"/>
          <w:lang w:val="en-US"/>
        </w:rPr>
        <w:t>7</w:t>
      </w:r>
      <w:r w:rsidR="00A231BD" w:rsidRPr="00AF720A">
        <w:rPr>
          <w:lang w:val="en-US"/>
        </w:rPr>
        <w:t xml:space="preserve">, </w:t>
      </w:r>
      <w:r w:rsidRPr="00AF720A">
        <w:rPr>
          <w:lang w:val="en-US"/>
        </w:rPr>
        <w:t xml:space="preserve">Ai </w:t>
      </w:r>
      <w:proofErr w:type="spellStart"/>
      <w:r w:rsidRPr="00AF720A">
        <w:rPr>
          <w:lang w:val="en-US"/>
        </w:rPr>
        <w:t>Koyanagi</w:t>
      </w:r>
      <w:proofErr w:type="spellEnd"/>
      <w:r w:rsidR="00BB21C2" w:rsidRPr="00AF720A">
        <w:rPr>
          <w:lang w:val="en-US"/>
        </w:rPr>
        <w:t xml:space="preserve"> MD</w:t>
      </w:r>
      <w:r w:rsidR="00411C47" w:rsidRPr="00AF720A">
        <w:rPr>
          <w:vertAlign w:val="superscript"/>
          <w:lang w:val="en-US"/>
        </w:rPr>
        <w:t>8</w:t>
      </w:r>
      <w:r w:rsidR="000104C7" w:rsidRPr="00AF720A">
        <w:rPr>
          <w:vertAlign w:val="superscript"/>
          <w:lang w:val="en-US"/>
        </w:rPr>
        <w:t>,</w:t>
      </w:r>
      <w:r w:rsidR="00411C47" w:rsidRPr="00AF720A">
        <w:rPr>
          <w:vertAlign w:val="superscript"/>
          <w:lang w:val="en-US"/>
        </w:rPr>
        <w:t>9</w:t>
      </w:r>
      <w:r w:rsidRPr="00AF720A">
        <w:rPr>
          <w:lang w:val="en-US"/>
        </w:rPr>
        <w:t>, Louis Jacob</w:t>
      </w:r>
      <w:r w:rsidR="00BB21C2" w:rsidRPr="00AF720A">
        <w:rPr>
          <w:lang w:val="en-US"/>
        </w:rPr>
        <w:t xml:space="preserve"> MD</w:t>
      </w:r>
      <w:r w:rsidR="00411C47" w:rsidRPr="00AF720A">
        <w:rPr>
          <w:vertAlign w:val="superscript"/>
          <w:lang w:val="en-US"/>
        </w:rPr>
        <w:t>10</w:t>
      </w:r>
      <w:r w:rsidRPr="00AF720A">
        <w:rPr>
          <w:lang w:val="en-US"/>
        </w:rPr>
        <w:t xml:space="preserve">, Pinar </w:t>
      </w:r>
      <w:proofErr w:type="spellStart"/>
      <w:r w:rsidRPr="00AF720A">
        <w:rPr>
          <w:lang w:val="en-US"/>
        </w:rPr>
        <w:t>Soysa</w:t>
      </w:r>
      <w:r w:rsidR="00BB21C2" w:rsidRPr="00AF720A">
        <w:rPr>
          <w:lang w:val="en-US"/>
        </w:rPr>
        <w:t>l</w:t>
      </w:r>
      <w:proofErr w:type="spellEnd"/>
      <w:r w:rsidR="00BB21C2" w:rsidRPr="00AF720A">
        <w:rPr>
          <w:lang w:val="en-US"/>
        </w:rPr>
        <w:t xml:space="preserve"> MD</w:t>
      </w:r>
      <w:r w:rsidR="00411C47" w:rsidRPr="00AF720A">
        <w:rPr>
          <w:vertAlign w:val="superscript"/>
          <w:lang w:val="en-US"/>
        </w:rPr>
        <w:t>11</w:t>
      </w:r>
      <w:r w:rsidRPr="00AF720A">
        <w:rPr>
          <w:lang w:val="en-US"/>
        </w:rPr>
        <w:t>, Lin Yang</w:t>
      </w:r>
      <w:r w:rsidR="00BB21C2" w:rsidRPr="00AF720A">
        <w:rPr>
          <w:lang w:val="en-US"/>
        </w:rPr>
        <w:t xml:space="preserve"> PhD</w:t>
      </w:r>
      <w:r w:rsidR="00A231BD" w:rsidRPr="00AF720A">
        <w:rPr>
          <w:vertAlign w:val="superscript"/>
          <w:lang w:val="en-US"/>
        </w:rPr>
        <w:t>1</w:t>
      </w:r>
      <w:r w:rsidR="00411C47" w:rsidRPr="00AF720A">
        <w:rPr>
          <w:vertAlign w:val="superscript"/>
          <w:lang w:val="en-US"/>
        </w:rPr>
        <w:t>2</w:t>
      </w:r>
      <w:r w:rsidR="00055446" w:rsidRPr="00AF720A">
        <w:rPr>
          <w:lang w:val="en-US"/>
        </w:rPr>
        <w:t xml:space="preserve">, </w:t>
      </w:r>
      <w:proofErr w:type="spellStart"/>
      <w:r w:rsidR="00055446" w:rsidRPr="00AF720A">
        <w:rPr>
          <w:lang w:val="en-US"/>
        </w:rPr>
        <w:t>Xiangzhu</w:t>
      </w:r>
      <w:proofErr w:type="spellEnd"/>
      <w:r w:rsidR="00055446" w:rsidRPr="00AF720A">
        <w:rPr>
          <w:lang w:val="en-US"/>
        </w:rPr>
        <w:t xml:space="preserve"> Zhu</w:t>
      </w:r>
      <w:r w:rsidR="00BB21C2" w:rsidRPr="00AF720A">
        <w:rPr>
          <w:lang w:val="en-US"/>
        </w:rPr>
        <w:t xml:space="preserve"> PhD</w:t>
      </w:r>
      <w:r w:rsidR="00A231BD" w:rsidRPr="00AF720A">
        <w:rPr>
          <w:vertAlign w:val="superscript"/>
          <w:lang w:val="en-US"/>
        </w:rPr>
        <w:t>1</w:t>
      </w:r>
      <w:r w:rsidR="00411C47" w:rsidRPr="00AF720A">
        <w:rPr>
          <w:vertAlign w:val="superscript"/>
          <w:lang w:val="en-US"/>
        </w:rPr>
        <w:t>3</w:t>
      </w:r>
    </w:p>
    <w:p w14:paraId="78F6F7FA" w14:textId="77777777" w:rsidR="00A231BD" w:rsidRPr="00AF720A" w:rsidRDefault="00A231BD" w:rsidP="00762330">
      <w:pPr>
        <w:jc w:val="both"/>
        <w:rPr>
          <w:lang w:val="en-US"/>
        </w:rPr>
      </w:pPr>
    </w:p>
    <w:p w14:paraId="0EA0E0C4" w14:textId="09B7B87D" w:rsidR="00A231BD" w:rsidRPr="00AF720A" w:rsidRDefault="00A231BD" w:rsidP="00762330">
      <w:pPr>
        <w:jc w:val="both"/>
        <w:rPr>
          <w:lang w:val="en-US"/>
        </w:rPr>
      </w:pPr>
      <w:r w:rsidRPr="00AF720A">
        <w:rPr>
          <w:lang w:val="en-US"/>
        </w:rPr>
        <w:t>1. The Cambridge Centre for Sport and Exercise Science, Anglia Ruskin University, Cambridge, UK</w:t>
      </w:r>
    </w:p>
    <w:p w14:paraId="682D3C8B" w14:textId="6CAAC233" w:rsidR="00A231BD" w:rsidRPr="00AF720A" w:rsidRDefault="00A231BD" w:rsidP="00762330">
      <w:pPr>
        <w:jc w:val="both"/>
        <w:rPr>
          <w:lang w:val="en-US"/>
        </w:rPr>
      </w:pPr>
      <w:r w:rsidRPr="00AF720A">
        <w:rPr>
          <w:lang w:val="en-US"/>
        </w:rPr>
        <w:t>2. Department of Social and Preventive Medicine, Center for Public Health, Medical University of Vienna, Vienna, Austria</w:t>
      </w:r>
    </w:p>
    <w:p w14:paraId="6DE90F11" w14:textId="3812C59A" w:rsidR="00A231BD" w:rsidRPr="00AF720A" w:rsidRDefault="00A231BD" w:rsidP="00762330">
      <w:pPr>
        <w:jc w:val="both"/>
        <w:rPr>
          <w:lang w:val="en-US"/>
        </w:rPr>
      </w:pPr>
      <w:r w:rsidRPr="00AF720A">
        <w:rPr>
          <w:lang w:val="en-US"/>
        </w:rPr>
        <w:t xml:space="preserve">3. </w:t>
      </w:r>
      <w:r w:rsidR="00ED45EC" w:rsidRPr="00AF720A">
        <w:rPr>
          <w:lang w:val="en-US"/>
        </w:rPr>
        <w:t xml:space="preserve">Department of </w:t>
      </w:r>
      <w:proofErr w:type="spellStart"/>
      <w:r w:rsidR="00ED45EC" w:rsidRPr="00AF720A">
        <w:rPr>
          <w:lang w:val="en-US"/>
        </w:rPr>
        <w:t>Behavioural</w:t>
      </w:r>
      <w:proofErr w:type="spellEnd"/>
      <w:r w:rsidR="00ED45EC" w:rsidRPr="00AF720A">
        <w:rPr>
          <w:lang w:val="en-US"/>
        </w:rPr>
        <w:t xml:space="preserve"> Science and Health, University College London, London, United Kingdom</w:t>
      </w:r>
    </w:p>
    <w:p w14:paraId="73A815C9" w14:textId="43337651" w:rsidR="00A90093" w:rsidRPr="00AF720A" w:rsidRDefault="000104C7" w:rsidP="00762330">
      <w:pPr>
        <w:jc w:val="both"/>
        <w:rPr>
          <w:lang w:val="en-US"/>
        </w:rPr>
      </w:pPr>
      <w:r w:rsidRPr="00AF720A">
        <w:rPr>
          <w:lang w:val="en-US"/>
        </w:rPr>
        <w:t>4.</w:t>
      </w:r>
      <w:r w:rsidR="00A90093" w:rsidRPr="00AF720A">
        <w:rPr>
          <w:lang w:val="en-US"/>
        </w:rPr>
        <w:t>National Research C</w:t>
      </w:r>
      <w:r w:rsidR="00A90093" w:rsidRPr="00AF720A">
        <w:rPr>
          <w:lang w:val="it-IT"/>
        </w:rPr>
        <w:t>ouncil, Neuros</w:t>
      </w:r>
      <w:proofErr w:type="spellStart"/>
      <w:r w:rsidR="00A90093" w:rsidRPr="00AF720A">
        <w:rPr>
          <w:lang w:val="en-US"/>
        </w:rPr>
        <w:t>cience</w:t>
      </w:r>
      <w:proofErr w:type="spellEnd"/>
      <w:r w:rsidR="00A90093" w:rsidRPr="00AF720A">
        <w:rPr>
          <w:lang w:val="en-US"/>
        </w:rPr>
        <w:t xml:space="preserve"> Institute, Aging Branch, Padova, Italy. </w:t>
      </w:r>
    </w:p>
    <w:p w14:paraId="284EE54F" w14:textId="085E7865" w:rsidR="00ED45EC" w:rsidRPr="00AF720A" w:rsidRDefault="00ED45EC" w:rsidP="00ED45EC">
      <w:pPr>
        <w:jc w:val="both"/>
        <w:rPr>
          <w:lang w:val="en-US"/>
        </w:rPr>
      </w:pPr>
      <w:r w:rsidRPr="00AF720A">
        <w:rPr>
          <w:lang w:val="en-US"/>
        </w:rPr>
        <w:t>5. Oklahoma Tobacco Research Center, Stephenson Cancer Center</w:t>
      </w:r>
    </w:p>
    <w:p w14:paraId="2B3D7D4E" w14:textId="4E30B71B" w:rsidR="00411C47" w:rsidRPr="00AF720A" w:rsidRDefault="00411C47" w:rsidP="00ED45EC">
      <w:pPr>
        <w:jc w:val="both"/>
        <w:rPr>
          <w:lang w:val="en-US"/>
        </w:rPr>
      </w:pPr>
      <w:r w:rsidRPr="00AF720A">
        <w:rPr>
          <w:lang w:val="en-US"/>
        </w:rPr>
        <w:t xml:space="preserve">6. Faculty of Sport Sciences, University of Murcia, Spain. </w:t>
      </w:r>
    </w:p>
    <w:p w14:paraId="242D670A" w14:textId="225A09EA" w:rsidR="00B7744D" w:rsidRPr="00AF720A" w:rsidRDefault="00411C47" w:rsidP="000104C7">
      <w:pPr>
        <w:jc w:val="both"/>
        <w:rPr>
          <w:lang w:val="en-US"/>
        </w:rPr>
      </w:pPr>
      <w:r w:rsidRPr="00AF720A">
        <w:rPr>
          <w:lang w:val="en-US"/>
        </w:rPr>
        <w:t>7</w:t>
      </w:r>
      <w:r w:rsidR="00A231BD" w:rsidRPr="00AF720A">
        <w:rPr>
          <w:lang w:val="en-US"/>
        </w:rPr>
        <w:t xml:space="preserve">. Department </w:t>
      </w:r>
      <w:proofErr w:type="gramStart"/>
      <w:r w:rsidR="00A231BD" w:rsidRPr="00AF720A">
        <w:rPr>
          <w:lang w:val="en-US"/>
        </w:rPr>
        <w:t>Of</w:t>
      </w:r>
      <w:proofErr w:type="gramEnd"/>
      <w:r w:rsidR="00A231BD" w:rsidRPr="00AF720A">
        <w:rPr>
          <w:lang w:val="en-US"/>
        </w:rPr>
        <w:t xml:space="preserve"> Sports Methods And Techniques, Federal University of Santa Maria, Santa Maria, Brazil.</w:t>
      </w:r>
    </w:p>
    <w:p w14:paraId="0E6F9459" w14:textId="03C8DB28" w:rsidR="00B7744D" w:rsidRPr="00AF720A" w:rsidRDefault="00411C47" w:rsidP="000104C7">
      <w:pPr>
        <w:jc w:val="both"/>
        <w:rPr>
          <w:lang w:val="en-US"/>
        </w:rPr>
      </w:pPr>
      <w:r w:rsidRPr="00AF720A">
        <w:rPr>
          <w:rFonts w:ascii="AppleSystemUIFont" w:eastAsiaTheme="minorEastAsia" w:hAnsi="AppleSystemUIFont" w:cs="AppleSystemUIFont"/>
          <w:bCs w:val="0"/>
          <w:sz w:val="24"/>
          <w:szCs w:val="24"/>
          <w:lang w:val="en-US" w:eastAsia="en-US"/>
        </w:rPr>
        <w:t>8</w:t>
      </w:r>
      <w:r w:rsidR="00A231BD" w:rsidRPr="00AF720A">
        <w:rPr>
          <w:rFonts w:ascii="AppleSystemUIFont" w:eastAsiaTheme="minorEastAsia" w:hAnsi="AppleSystemUIFont" w:cs="AppleSystemUIFont"/>
          <w:bCs w:val="0"/>
          <w:sz w:val="24"/>
          <w:szCs w:val="24"/>
          <w:lang w:val="en-US" w:eastAsia="en-US"/>
        </w:rPr>
        <w:t xml:space="preserve">. </w:t>
      </w:r>
      <w:r w:rsidR="00B7744D" w:rsidRPr="00AF720A">
        <w:rPr>
          <w:rFonts w:ascii="AppleSystemUIFont" w:eastAsiaTheme="minorEastAsia" w:hAnsi="AppleSystemUIFont" w:cs="AppleSystemUIFont"/>
          <w:bCs w:val="0"/>
          <w:sz w:val="24"/>
          <w:szCs w:val="24"/>
          <w:lang w:val="en-US" w:eastAsia="en-US"/>
        </w:rPr>
        <w:t xml:space="preserve">Research and Development Unit, Parc </w:t>
      </w:r>
      <w:proofErr w:type="spellStart"/>
      <w:r w:rsidR="00B7744D" w:rsidRPr="00AF720A">
        <w:rPr>
          <w:rFonts w:ascii="AppleSystemUIFont" w:eastAsiaTheme="minorEastAsia" w:hAnsi="AppleSystemUIFont" w:cs="AppleSystemUIFont"/>
          <w:bCs w:val="0"/>
          <w:sz w:val="24"/>
          <w:szCs w:val="24"/>
          <w:lang w:val="en-US" w:eastAsia="en-US"/>
        </w:rPr>
        <w:t>Sanitari</w:t>
      </w:r>
      <w:proofErr w:type="spellEnd"/>
      <w:r w:rsidR="00B7744D" w:rsidRPr="00AF720A">
        <w:rPr>
          <w:rFonts w:ascii="AppleSystemUIFont" w:eastAsiaTheme="minorEastAsia" w:hAnsi="AppleSystemUIFont" w:cs="AppleSystemUIFont"/>
          <w:bCs w:val="0"/>
          <w:sz w:val="24"/>
          <w:szCs w:val="24"/>
          <w:lang w:val="en-US" w:eastAsia="en-US"/>
        </w:rPr>
        <w:t xml:space="preserve"> Sant Joan de </w:t>
      </w:r>
      <w:proofErr w:type="spellStart"/>
      <w:r w:rsidR="00B7744D" w:rsidRPr="00AF720A">
        <w:rPr>
          <w:rFonts w:ascii="AppleSystemUIFont" w:eastAsiaTheme="minorEastAsia" w:hAnsi="AppleSystemUIFont" w:cs="AppleSystemUIFont"/>
          <w:bCs w:val="0"/>
          <w:sz w:val="24"/>
          <w:szCs w:val="24"/>
          <w:lang w:val="en-US" w:eastAsia="en-US"/>
        </w:rPr>
        <w:t>Déu</w:t>
      </w:r>
      <w:proofErr w:type="spellEnd"/>
      <w:r w:rsidR="00B7744D" w:rsidRPr="00AF720A">
        <w:rPr>
          <w:rFonts w:ascii="AppleSystemUIFont" w:eastAsiaTheme="minorEastAsia" w:hAnsi="AppleSystemUIFont" w:cs="AppleSystemUIFont"/>
          <w:bCs w:val="0"/>
          <w:sz w:val="24"/>
          <w:szCs w:val="24"/>
          <w:lang w:val="en-US" w:eastAsia="en-US"/>
        </w:rPr>
        <w:t>, CIBERSAM, Barcelona, Spain</w:t>
      </w:r>
    </w:p>
    <w:p w14:paraId="00167A61" w14:textId="358B25FF" w:rsidR="00B7744D" w:rsidRPr="00AF720A" w:rsidRDefault="00411C47" w:rsidP="00762330">
      <w:pPr>
        <w:jc w:val="both"/>
        <w:rPr>
          <w:rFonts w:ascii="AppleSystemUIFont" w:eastAsiaTheme="minorEastAsia" w:hAnsi="AppleSystemUIFont" w:cs="AppleSystemUIFont"/>
          <w:bCs w:val="0"/>
          <w:sz w:val="24"/>
          <w:szCs w:val="24"/>
          <w:lang w:val="es-ES" w:eastAsia="en-US"/>
        </w:rPr>
      </w:pPr>
      <w:r w:rsidRPr="00AF720A">
        <w:rPr>
          <w:rFonts w:ascii="AppleSystemUIFont" w:eastAsiaTheme="minorEastAsia" w:hAnsi="AppleSystemUIFont" w:cs="AppleSystemUIFont"/>
          <w:bCs w:val="0"/>
          <w:sz w:val="24"/>
          <w:szCs w:val="24"/>
          <w:lang w:val="es-ES" w:eastAsia="en-US"/>
        </w:rPr>
        <w:t>9.</w:t>
      </w:r>
      <w:r w:rsidR="00B7744D" w:rsidRPr="00AF720A">
        <w:rPr>
          <w:rFonts w:ascii="AppleSystemUIFont" w:eastAsiaTheme="minorEastAsia" w:hAnsi="AppleSystemUIFont" w:cs="AppleSystemUIFont"/>
          <w:bCs w:val="0"/>
          <w:sz w:val="24"/>
          <w:szCs w:val="24"/>
          <w:vertAlign w:val="superscript"/>
          <w:lang w:val="es-ES" w:eastAsia="en-US"/>
        </w:rPr>
        <w:t xml:space="preserve"> </w:t>
      </w:r>
      <w:r w:rsidR="00B7744D" w:rsidRPr="00AF720A">
        <w:rPr>
          <w:rFonts w:ascii="AppleSystemUIFont" w:eastAsiaTheme="minorEastAsia" w:hAnsi="AppleSystemUIFont" w:cs="AppleSystemUIFont"/>
          <w:bCs w:val="0"/>
          <w:sz w:val="24"/>
          <w:szCs w:val="24"/>
          <w:lang w:val="es-ES" w:eastAsia="en-US"/>
        </w:rPr>
        <w:t xml:space="preserve">ICREA, Pg. </w:t>
      </w:r>
      <w:proofErr w:type="spellStart"/>
      <w:r w:rsidR="00B7744D" w:rsidRPr="00AF720A">
        <w:rPr>
          <w:rFonts w:ascii="AppleSystemUIFont" w:eastAsiaTheme="minorEastAsia" w:hAnsi="AppleSystemUIFont" w:cs="AppleSystemUIFont"/>
          <w:bCs w:val="0"/>
          <w:sz w:val="24"/>
          <w:szCs w:val="24"/>
          <w:lang w:val="es-ES" w:eastAsia="en-US"/>
        </w:rPr>
        <w:t>Lluis</w:t>
      </w:r>
      <w:proofErr w:type="spellEnd"/>
      <w:r w:rsidR="00B7744D" w:rsidRPr="00AF720A">
        <w:rPr>
          <w:rFonts w:ascii="AppleSystemUIFont" w:eastAsiaTheme="minorEastAsia" w:hAnsi="AppleSystemUIFont" w:cs="AppleSystemUIFont"/>
          <w:bCs w:val="0"/>
          <w:sz w:val="24"/>
          <w:szCs w:val="24"/>
          <w:lang w:val="es-ES" w:eastAsia="en-US"/>
        </w:rPr>
        <w:t xml:space="preserve"> Companys 23, Barcelona, </w:t>
      </w:r>
      <w:proofErr w:type="spellStart"/>
      <w:r w:rsidR="00B7744D" w:rsidRPr="00AF720A">
        <w:rPr>
          <w:rFonts w:ascii="AppleSystemUIFont" w:eastAsiaTheme="minorEastAsia" w:hAnsi="AppleSystemUIFont" w:cs="AppleSystemUIFont"/>
          <w:bCs w:val="0"/>
          <w:sz w:val="24"/>
          <w:szCs w:val="24"/>
          <w:lang w:val="es-ES" w:eastAsia="en-US"/>
        </w:rPr>
        <w:t>Spain</w:t>
      </w:r>
      <w:proofErr w:type="spellEnd"/>
    </w:p>
    <w:p w14:paraId="5918139D" w14:textId="703A484D" w:rsidR="00ED45EC" w:rsidRPr="00AF720A" w:rsidRDefault="00411C47" w:rsidP="00762330">
      <w:pPr>
        <w:jc w:val="both"/>
        <w:rPr>
          <w:rFonts w:ascii="AppleSystemUIFont" w:eastAsiaTheme="minorEastAsia" w:hAnsi="AppleSystemUIFont" w:cs="AppleSystemUIFont"/>
          <w:bCs w:val="0"/>
          <w:sz w:val="24"/>
          <w:szCs w:val="24"/>
          <w:lang w:val="en-US" w:eastAsia="en-US"/>
        </w:rPr>
      </w:pPr>
      <w:r w:rsidRPr="00AF720A">
        <w:rPr>
          <w:rFonts w:ascii="AppleSystemUIFont" w:eastAsiaTheme="minorEastAsia" w:hAnsi="AppleSystemUIFont" w:cs="AppleSystemUIFont"/>
          <w:bCs w:val="0"/>
          <w:sz w:val="24"/>
          <w:szCs w:val="24"/>
          <w:lang w:val="en-US" w:eastAsia="en-US"/>
        </w:rPr>
        <w:lastRenderedPageBreak/>
        <w:t>10</w:t>
      </w:r>
      <w:r w:rsidR="00ED45EC" w:rsidRPr="00AF720A">
        <w:rPr>
          <w:rFonts w:ascii="AppleSystemUIFont" w:eastAsiaTheme="minorEastAsia" w:hAnsi="AppleSystemUIFont" w:cs="AppleSystemUIFont"/>
          <w:bCs w:val="0"/>
          <w:sz w:val="24"/>
          <w:szCs w:val="24"/>
          <w:lang w:val="en-US" w:eastAsia="en-US"/>
        </w:rPr>
        <w:t>. Faculty of Medicine, University of Versailles Saint-Quentin-</w:t>
      </w:r>
      <w:proofErr w:type="spellStart"/>
      <w:r w:rsidR="00ED45EC" w:rsidRPr="00AF720A">
        <w:rPr>
          <w:rFonts w:ascii="AppleSystemUIFont" w:eastAsiaTheme="minorEastAsia" w:hAnsi="AppleSystemUIFont" w:cs="AppleSystemUIFont"/>
          <w:bCs w:val="0"/>
          <w:sz w:val="24"/>
          <w:szCs w:val="24"/>
          <w:lang w:val="en-US" w:eastAsia="en-US"/>
        </w:rPr>
        <w:t>en</w:t>
      </w:r>
      <w:proofErr w:type="spellEnd"/>
      <w:r w:rsidR="00ED45EC" w:rsidRPr="00AF720A">
        <w:rPr>
          <w:rFonts w:ascii="AppleSystemUIFont" w:eastAsiaTheme="minorEastAsia" w:hAnsi="AppleSystemUIFont" w:cs="AppleSystemUIFont"/>
          <w:bCs w:val="0"/>
          <w:sz w:val="24"/>
          <w:szCs w:val="24"/>
          <w:lang w:val="en-US" w:eastAsia="en-US"/>
        </w:rPr>
        <w:t xml:space="preserve">-Yvelines, </w:t>
      </w:r>
      <w:proofErr w:type="spellStart"/>
      <w:r w:rsidR="00ED45EC" w:rsidRPr="00AF720A">
        <w:rPr>
          <w:rFonts w:ascii="AppleSystemUIFont" w:eastAsiaTheme="minorEastAsia" w:hAnsi="AppleSystemUIFont" w:cs="AppleSystemUIFont"/>
          <w:bCs w:val="0"/>
          <w:sz w:val="24"/>
          <w:szCs w:val="24"/>
          <w:lang w:val="en-US" w:eastAsia="en-US"/>
        </w:rPr>
        <w:t>Montigny</w:t>
      </w:r>
      <w:proofErr w:type="spellEnd"/>
      <w:r w:rsidR="00ED45EC" w:rsidRPr="00AF720A">
        <w:rPr>
          <w:rFonts w:ascii="AppleSystemUIFont" w:eastAsiaTheme="minorEastAsia" w:hAnsi="AppleSystemUIFont" w:cs="AppleSystemUIFont"/>
          <w:bCs w:val="0"/>
          <w:sz w:val="24"/>
          <w:szCs w:val="24"/>
          <w:lang w:val="en-US" w:eastAsia="en-US"/>
        </w:rPr>
        <w:t>-le-Bretonneux, France</w:t>
      </w:r>
    </w:p>
    <w:p w14:paraId="614D850C" w14:textId="1B1B9F2D" w:rsidR="00ED45EC" w:rsidRPr="00AF720A" w:rsidRDefault="00411C47" w:rsidP="00762330">
      <w:pPr>
        <w:jc w:val="both"/>
        <w:rPr>
          <w:rFonts w:ascii="AppleSystemUIFont" w:eastAsiaTheme="minorEastAsia" w:hAnsi="AppleSystemUIFont" w:cs="AppleSystemUIFont"/>
          <w:bCs w:val="0"/>
          <w:sz w:val="24"/>
          <w:szCs w:val="24"/>
          <w:lang w:val="en-US" w:eastAsia="en-US"/>
        </w:rPr>
      </w:pPr>
      <w:r w:rsidRPr="00AF720A">
        <w:rPr>
          <w:rFonts w:ascii="AppleSystemUIFont" w:eastAsiaTheme="minorEastAsia" w:hAnsi="AppleSystemUIFont" w:cs="AppleSystemUIFont"/>
          <w:bCs w:val="0"/>
          <w:sz w:val="24"/>
          <w:szCs w:val="24"/>
          <w:lang w:val="en-US" w:eastAsia="en-US"/>
        </w:rPr>
        <w:t>11</w:t>
      </w:r>
      <w:r w:rsidR="00ED45EC" w:rsidRPr="00AF720A">
        <w:rPr>
          <w:rFonts w:ascii="AppleSystemUIFont" w:eastAsiaTheme="minorEastAsia" w:hAnsi="AppleSystemUIFont" w:cs="AppleSystemUIFont"/>
          <w:bCs w:val="0"/>
          <w:sz w:val="24"/>
          <w:szCs w:val="24"/>
          <w:lang w:val="en-US" w:eastAsia="en-US"/>
        </w:rPr>
        <w:t xml:space="preserve">. Department of Geriatric Medicine, Faculty of Medicine, </w:t>
      </w:r>
      <w:proofErr w:type="spellStart"/>
      <w:r w:rsidR="00ED45EC" w:rsidRPr="00AF720A">
        <w:rPr>
          <w:rFonts w:ascii="AppleSystemUIFont" w:eastAsiaTheme="minorEastAsia" w:hAnsi="AppleSystemUIFont" w:cs="AppleSystemUIFont"/>
          <w:bCs w:val="0"/>
          <w:sz w:val="24"/>
          <w:szCs w:val="24"/>
          <w:lang w:val="en-US" w:eastAsia="en-US"/>
        </w:rPr>
        <w:t>Bezmialem</w:t>
      </w:r>
      <w:proofErr w:type="spellEnd"/>
      <w:r w:rsidR="00ED45EC" w:rsidRPr="00AF720A">
        <w:rPr>
          <w:rFonts w:ascii="AppleSystemUIFont" w:eastAsiaTheme="minorEastAsia" w:hAnsi="AppleSystemUIFont" w:cs="AppleSystemUIFont"/>
          <w:bCs w:val="0"/>
          <w:sz w:val="24"/>
          <w:szCs w:val="24"/>
          <w:lang w:val="en-US" w:eastAsia="en-US"/>
        </w:rPr>
        <w:t xml:space="preserve"> </w:t>
      </w:r>
      <w:proofErr w:type="spellStart"/>
      <w:r w:rsidR="00ED45EC" w:rsidRPr="00AF720A">
        <w:rPr>
          <w:rFonts w:ascii="AppleSystemUIFont" w:eastAsiaTheme="minorEastAsia" w:hAnsi="AppleSystemUIFont" w:cs="AppleSystemUIFont"/>
          <w:bCs w:val="0"/>
          <w:sz w:val="24"/>
          <w:szCs w:val="24"/>
          <w:lang w:val="en-US" w:eastAsia="en-US"/>
        </w:rPr>
        <w:t>Vakif</w:t>
      </w:r>
      <w:proofErr w:type="spellEnd"/>
      <w:r w:rsidR="00ED45EC" w:rsidRPr="00AF720A">
        <w:rPr>
          <w:rFonts w:ascii="AppleSystemUIFont" w:eastAsiaTheme="minorEastAsia" w:hAnsi="AppleSystemUIFont" w:cs="AppleSystemUIFont"/>
          <w:bCs w:val="0"/>
          <w:sz w:val="24"/>
          <w:szCs w:val="24"/>
          <w:lang w:val="en-US" w:eastAsia="en-US"/>
        </w:rPr>
        <w:t xml:space="preserve"> University, Istanbul, Turkey</w:t>
      </w:r>
    </w:p>
    <w:p w14:paraId="0C58F17D" w14:textId="7BDCC18C" w:rsidR="00ED45EC" w:rsidRPr="00AF720A" w:rsidRDefault="00411C47" w:rsidP="00762330">
      <w:pPr>
        <w:jc w:val="both"/>
        <w:rPr>
          <w:rFonts w:ascii="AppleSystemUIFont" w:eastAsiaTheme="minorEastAsia" w:hAnsi="AppleSystemUIFont" w:cs="AppleSystemUIFont"/>
          <w:bCs w:val="0"/>
          <w:sz w:val="24"/>
          <w:szCs w:val="24"/>
          <w:lang w:val="en-US" w:eastAsia="en-US"/>
        </w:rPr>
      </w:pPr>
      <w:r w:rsidRPr="00AF720A">
        <w:rPr>
          <w:rFonts w:ascii="AppleSystemUIFont" w:eastAsiaTheme="minorEastAsia" w:hAnsi="AppleSystemUIFont" w:cs="AppleSystemUIFont"/>
          <w:bCs w:val="0"/>
          <w:sz w:val="24"/>
          <w:szCs w:val="24"/>
          <w:lang w:val="en-US" w:eastAsia="en-US"/>
        </w:rPr>
        <w:t>12</w:t>
      </w:r>
      <w:r w:rsidR="00ED45EC" w:rsidRPr="00AF720A">
        <w:rPr>
          <w:rFonts w:ascii="AppleSystemUIFont" w:eastAsiaTheme="minorEastAsia" w:hAnsi="AppleSystemUIFont" w:cs="AppleSystemUIFont"/>
          <w:bCs w:val="0"/>
          <w:sz w:val="24"/>
          <w:szCs w:val="24"/>
          <w:lang w:val="en-US" w:eastAsia="en-US"/>
        </w:rPr>
        <w:t>. Cancer Epidemiology and Prevention Research, Alberta Health Services, Calgary, Canada</w:t>
      </w:r>
    </w:p>
    <w:p w14:paraId="4FEC8C0D" w14:textId="20637C0D" w:rsidR="00ED45EC" w:rsidRPr="00AF720A" w:rsidRDefault="00411C47" w:rsidP="00762330">
      <w:pPr>
        <w:jc w:val="both"/>
        <w:rPr>
          <w:rFonts w:ascii="AppleSystemUIFont" w:eastAsiaTheme="minorEastAsia" w:hAnsi="AppleSystemUIFont" w:cs="AppleSystemUIFont"/>
          <w:bCs w:val="0"/>
          <w:sz w:val="24"/>
          <w:szCs w:val="24"/>
          <w:lang w:val="en-US" w:eastAsia="en-US"/>
        </w:rPr>
      </w:pPr>
      <w:r w:rsidRPr="00AF720A">
        <w:rPr>
          <w:rFonts w:ascii="AppleSystemUIFont" w:eastAsiaTheme="minorEastAsia" w:hAnsi="AppleSystemUIFont" w:cs="AppleSystemUIFont"/>
          <w:bCs w:val="0"/>
          <w:sz w:val="24"/>
          <w:szCs w:val="24"/>
          <w:lang w:val="en-US" w:eastAsia="en-US"/>
        </w:rPr>
        <w:t>13</w:t>
      </w:r>
      <w:r w:rsidR="00ED45EC" w:rsidRPr="00AF720A">
        <w:rPr>
          <w:rFonts w:ascii="AppleSystemUIFont" w:eastAsiaTheme="minorEastAsia" w:hAnsi="AppleSystemUIFont" w:cs="AppleSystemUIFont"/>
          <w:bCs w:val="0"/>
          <w:sz w:val="24"/>
          <w:szCs w:val="24"/>
          <w:lang w:val="en-US" w:eastAsia="en-US"/>
        </w:rPr>
        <w:t>. Department of Medicine, Vanderbilt University Medical Center, USA</w:t>
      </w:r>
    </w:p>
    <w:p w14:paraId="1250D52F" w14:textId="4C473E3A" w:rsidR="000104C7" w:rsidRPr="00AF720A" w:rsidRDefault="00350254" w:rsidP="00762330">
      <w:pPr>
        <w:jc w:val="both"/>
        <w:rPr>
          <w:lang w:val="en-US"/>
        </w:rPr>
      </w:pPr>
      <w:r w:rsidRPr="00AF720A">
        <w:rPr>
          <w:lang w:val="en-US"/>
        </w:rPr>
        <w:t xml:space="preserve">*Corresponding author; Dr Lee Smith; The Cambridge Centre for Sport and Exercise Sciences, Anglia Ruskin University, Cambridge, UK; </w:t>
      </w:r>
      <w:hyperlink r:id="rId8" w:history="1">
        <w:r w:rsidR="00411C47" w:rsidRPr="00AF720A">
          <w:rPr>
            <w:rStyle w:val="Hyperlink"/>
            <w:color w:val="auto"/>
            <w:lang w:val="en-US"/>
          </w:rPr>
          <w:t>lee.smith@anglia.ac.uk</w:t>
        </w:r>
      </w:hyperlink>
      <w:r w:rsidR="00411C47" w:rsidRPr="00AF720A">
        <w:rPr>
          <w:lang w:val="en-US"/>
        </w:rPr>
        <w:t xml:space="preserve"> </w:t>
      </w:r>
    </w:p>
    <w:p w14:paraId="4003432D" w14:textId="77777777" w:rsidR="00CE31EB" w:rsidRPr="00AF720A" w:rsidRDefault="00CE31EB" w:rsidP="00762330">
      <w:pPr>
        <w:jc w:val="both"/>
        <w:rPr>
          <w:lang w:val="en-US"/>
        </w:rPr>
      </w:pPr>
    </w:p>
    <w:p w14:paraId="428A90AF" w14:textId="4C02ED7C" w:rsidR="00CE31EB" w:rsidRPr="00AF720A" w:rsidRDefault="00CE31EB" w:rsidP="00762330">
      <w:pPr>
        <w:jc w:val="both"/>
        <w:rPr>
          <w:lang w:val="en-US"/>
        </w:rPr>
      </w:pPr>
      <w:r w:rsidRPr="00AF720A">
        <w:rPr>
          <w:lang w:val="en-US"/>
        </w:rPr>
        <w:t>Type of manuscript: Clinical Research Study.</w:t>
      </w:r>
    </w:p>
    <w:p w14:paraId="5790C909" w14:textId="3749D445" w:rsidR="000104C7" w:rsidRPr="00AF720A" w:rsidRDefault="00CA0149" w:rsidP="00762330">
      <w:pPr>
        <w:jc w:val="both"/>
        <w:rPr>
          <w:lang w:val="en-US"/>
        </w:rPr>
      </w:pPr>
      <w:r w:rsidRPr="00AF720A">
        <w:rPr>
          <w:lang w:val="en-US"/>
        </w:rPr>
        <w:t>Word count: 2261</w:t>
      </w:r>
      <w:r w:rsidR="00CE31EB" w:rsidRPr="00AF720A">
        <w:rPr>
          <w:lang w:val="en-US"/>
        </w:rPr>
        <w:t>.</w:t>
      </w:r>
    </w:p>
    <w:p w14:paraId="0E6A602B" w14:textId="424C7195" w:rsidR="00CA0149" w:rsidRPr="00AF720A" w:rsidRDefault="00CA0149" w:rsidP="00762330">
      <w:pPr>
        <w:jc w:val="both"/>
        <w:rPr>
          <w:lang w:val="en-US"/>
        </w:rPr>
      </w:pPr>
      <w:r w:rsidRPr="00AF720A">
        <w:rPr>
          <w:lang w:val="en-US"/>
        </w:rPr>
        <w:t xml:space="preserve">Conflicts of interest: All authors declare no conflicts of interest. </w:t>
      </w:r>
    </w:p>
    <w:p w14:paraId="09AE2A30" w14:textId="33C2033F" w:rsidR="00CE31EB" w:rsidRPr="00AF720A" w:rsidRDefault="00CE31EB" w:rsidP="00762330">
      <w:pPr>
        <w:jc w:val="both"/>
        <w:rPr>
          <w:lang w:val="en-US"/>
        </w:rPr>
      </w:pPr>
      <w:r w:rsidRPr="00AF720A">
        <w:rPr>
          <w:lang w:val="en-US"/>
        </w:rPr>
        <w:t>Funding: None.</w:t>
      </w:r>
    </w:p>
    <w:p w14:paraId="7EE4534B" w14:textId="52240FA6" w:rsidR="00681DD7" w:rsidRPr="00AF720A" w:rsidRDefault="00681DD7" w:rsidP="00762330">
      <w:pPr>
        <w:jc w:val="both"/>
        <w:rPr>
          <w:lang w:val="en-US"/>
        </w:rPr>
      </w:pPr>
      <w:r w:rsidRPr="00AF720A">
        <w:rPr>
          <w:lang w:val="en-US"/>
        </w:rPr>
        <w:t>Number of Figures: 0</w:t>
      </w:r>
      <w:r w:rsidR="00CE31EB" w:rsidRPr="00AF720A">
        <w:rPr>
          <w:lang w:val="en-US"/>
        </w:rPr>
        <w:t>.</w:t>
      </w:r>
    </w:p>
    <w:p w14:paraId="146EAEE4" w14:textId="351DF1A6" w:rsidR="00681DD7" w:rsidRPr="00AF720A" w:rsidRDefault="00681DD7" w:rsidP="00762330">
      <w:pPr>
        <w:jc w:val="both"/>
        <w:rPr>
          <w:lang w:val="en-US"/>
        </w:rPr>
      </w:pPr>
      <w:r w:rsidRPr="00AF720A">
        <w:rPr>
          <w:lang w:val="en-US"/>
        </w:rPr>
        <w:t>Number of Tables: 3</w:t>
      </w:r>
      <w:r w:rsidR="00CE31EB" w:rsidRPr="00AF720A">
        <w:rPr>
          <w:lang w:val="en-US"/>
        </w:rPr>
        <w:t>.</w:t>
      </w:r>
    </w:p>
    <w:p w14:paraId="2637A359" w14:textId="3F824933" w:rsidR="000104C7" w:rsidRPr="00AF720A" w:rsidRDefault="000104C7" w:rsidP="00762330">
      <w:pPr>
        <w:jc w:val="both"/>
        <w:rPr>
          <w:lang w:val="en-US"/>
        </w:rPr>
      </w:pPr>
    </w:p>
    <w:p w14:paraId="043F0864" w14:textId="01319629" w:rsidR="000104C7" w:rsidRPr="00AF720A" w:rsidRDefault="000104C7" w:rsidP="00762330">
      <w:pPr>
        <w:jc w:val="both"/>
        <w:rPr>
          <w:lang w:val="en-US"/>
        </w:rPr>
      </w:pPr>
    </w:p>
    <w:p w14:paraId="665A4E5A" w14:textId="317CBA06" w:rsidR="000104C7" w:rsidRPr="00AF720A" w:rsidRDefault="000104C7" w:rsidP="00762330">
      <w:pPr>
        <w:jc w:val="both"/>
        <w:rPr>
          <w:lang w:val="en-US"/>
        </w:rPr>
      </w:pPr>
    </w:p>
    <w:p w14:paraId="18F949A1" w14:textId="2E8A69F9" w:rsidR="000104C7" w:rsidRPr="00AF720A" w:rsidRDefault="000104C7" w:rsidP="00762330">
      <w:pPr>
        <w:jc w:val="both"/>
        <w:rPr>
          <w:lang w:val="en-US"/>
        </w:rPr>
      </w:pPr>
    </w:p>
    <w:p w14:paraId="0F10500C" w14:textId="7FDBA6FC" w:rsidR="000104C7" w:rsidRPr="00AF720A" w:rsidRDefault="000104C7" w:rsidP="00762330">
      <w:pPr>
        <w:jc w:val="both"/>
        <w:rPr>
          <w:lang w:val="en-US"/>
        </w:rPr>
      </w:pPr>
    </w:p>
    <w:p w14:paraId="26F0D114" w14:textId="6D7A1D83" w:rsidR="00ED45EC" w:rsidRPr="00AF720A" w:rsidRDefault="00ED45EC" w:rsidP="00762330">
      <w:pPr>
        <w:jc w:val="both"/>
        <w:rPr>
          <w:b/>
          <w:lang w:val="en-US"/>
        </w:rPr>
      </w:pPr>
      <w:r w:rsidRPr="00AF720A">
        <w:rPr>
          <w:b/>
          <w:lang w:val="en-US"/>
        </w:rPr>
        <w:t>Abstract</w:t>
      </w:r>
    </w:p>
    <w:p w14:paraId="621B9161" w14:textId="00F9B569" w:rsidR="00023033" w:rsidRPr="00AF720A" w:rsidRDefault="00BB21C2" w:rsidP="00762330">
      <w:pPr>
        <w:rPr>
          <w:lang w:val="en-US"/>
        </w:rPr>
      </w:pPr>
      <w:bookmarkStart w:id="0" w:name="_Hlk16446604"/>
      <w:r w:rsidRPr="00AF720A">
        <w:rPr>
          <w:b/>
          <w:lang w:val="en-US"/>
        </w:rPr>
        <w:t>Purpose</w:t>
      </w:r>
      <w:r w:rsidR="00023033" w:rsidRPr="00AF720A">
        <w:rPr>
          <w:b/>
          <w:lang w:val="en-US"/>
        </w:rPr>
        <w:t>:</w:t>
      </w:r>
      <w:r w:rsidR="00023033" w:rsidRPr="00AF720A">
        <w:rPr>
          <w:lang w:val="en-US"/>
        </w:rPr>
        <w:t xml:space="preserve"> To </w:t>
      </w:r>
      <w:bookmarkStart w:id="1" w:name="_Hlk12130651"/>
      <w:r w:rsidR="00023033" w:rsidRPr="00AF720A">
        <w:rPr>
          <w:lang w:val="en-US"/>
        </w:rPr>
        <w:t>investigate the association between consumption of chocolate and measures of adiposity in a large</w:t>
      </w:r>
      <w:r w:rsidR="005A40F3" w:rsidRPr="00AF720A">
        <w:rPr>
          <w:lang w:val="en-US"/>
        </w:rPr>
        <w:t>,</w:t>
      </w:r>
      <w:r w:rsidR="00023033" w:rsidRPr="00AF720A">
        <w:rPr>
          <w:lang w:val="en-US"/>
        </w:rPr>
        <w:t xml:space="preserve"> representative sample of US adults</w:t>
      </w:r>
      <w:r w:rsidR="003A4B7E" w:rsidRPr="00AF720A">
        <w:rPr>
          <w:lang w:val="en-US"/>
        </w:rPr>
        <w:t>.</w:t>
      </w:r>
      <w:r w:rsidR="00023033" w:rsidRPr="00AF720A">
        <w:rPr>
          <w:lang w:val="en-US"/>
        </w:rPr>
        <w:t xml:space="preserve"> </w:t>
      </w:r>
    </w:p>
    <w:bookmarkEnd w:id="1"/>
    <w:p w14:paraId="5E0CBCE1" w14:textId="6DC965D6" w:rsidR="002D05A2" w:rsidRPr="00AF720A" w:rsidRDefault="002D05A2" w:rsidP="002D05A2">
      <w:pPr>
        <w:rPr>
          <w:lang w:val="en-US"/>
        </w:rPr>
      </w:pPr>
      <w:r w:rsidRPr="00AF720A">
        <w:rPr>
          <w:b/>
          <w:lang w:val="en-US"/>
        </w:rPr>
        <w:t>Methods:</w:t>
      </w:r>
      <w:r w:rsidRPr="00AF720A">
        <w:rPr>
          <w:lang w:val="en-US"/>
        </w:rPr>
        <w:t xml:space="preserve"> </w:t>
      </w:r>
      <w:r w:rsidR="00762330" w:rsidRPr="00AF720A">
        <w:rPr>
          <w:lang w:val="en-US"/>
        </w:rPr>
        <w:t>Cross-sectional d</w:t>
      </w:r>
      <w:r w:rsidRPr="00AF720A">
        <w:rPr>
          <w:lang w:val="en-US"/>
        </w:rPr>
        <w:t xml:space="preserve">ata from </w:t>
      </w:r>
      <w:bookmarkStart w:id="2" w:name="_Hlk12130692"/>
      <w:r w:rsidRPr="00AF720A">
        <w:rPr>
          <w:lang w:val="en-US"/>
        </w:rPr>
        <w:t xml:space="preserve">13,626 </w:t>
      </w:r>
      <w:r w:rsidR="005A40F3" w:rsidRPr="00AF720A">
        <w:rPr>
          <w:lang w:val="en-US"/>
        </w:rPr>
        <w:t xml:space="preserve">non-diabetic </w:t>
      </w:r>
      <w:r w:rsidRPr="00AF720A">
        <w:rPr>
          <w:lang w:val="en-US"/>
        </w:rPr>
        <w:t xml:space="preserve">adults (≥20 years) </w:t>
      </w:r>
      <w:bookmarkEnd w:id="2"/>
      <w:r w:rsidRPr="00AF720A">
        <w:rPr>
          <w:lang w:val="en-US"/>
        </w:rPr>
        <w:t xml:space="preserve">participating in the National Health and Nutrition Examination Survey </w:t>
      </w:r>
      <w:r w:rsidR="00762330" w:rsidRPr="00AF720A">
        <w:rPr>
          <w:lang w:val="en-US"/>
        </w:rPr>
        <w:t xml:space="preserve">study were aggregated </w:t>
      </w:r>
      <w:r w:rsidR="009261F4" w:rsidRPr="00AF720A">
        <w:rPr>
          <w:lang w:val="en-US"/>
        </w:rPr>
        <w:t>using</w:t>
      </w:r>
      <w:r w:rsidR="00762330" w:rsidRPr="00AF720A">
        <w:rPr>
          <w:lang w:val="en-US"/>
        </w:rPr>
        <w:t xml:space="preserve"> </w:t>
      </w:r>
      <w:r w:rsidR="009261F4" w:rsidRPr="00AF720A">
        <w:rPr>
          <w:lang w:val="en-US"/>
        </w:rPr>
        <w:t xml:space="preserve">five </w:t>
      </w:r>
      <w:r w:rsidR="00762330" w:rsidRPr="00AF720A">
        <w:rPr>
          <w:lang w:val="en-US"/>
        </w:rPr>
        <w:t>study cycle</w:t>
      </w:r>
      <w:r w:rsidR="009261F4" w:rsidRPr="00AF720A">
        <w:rPr>
          <w:lang w:val="en-US"/>
        </w:rPr>
        <w:t>s from</w:t>
      </w:r>
      <w:r w:rsidRPr="00AF720A">
        <w:rPr>
          <w:lang w:val="en-US"/>
        </w:rPr>
        <w:t xml:space="preserve"> 200</w:t>
      </w:r>
      <w:r w:rsidR="009261F4" w:rsidRPr="00AF720A">
        <w:rPr>
          <w:lang w:val="en-US"/>
        </w:rPr>
        <w:t>5</w:t>
      </w:r>
      <w:r w:rsidRPr="00AF720A">
        <w:rPr>
          <w:lang w:val="en-US"/>
        </w:rPr>
        <w:t>-0</w:t>
      </w:r>
      <w:r w:rsidR="009261F4" w:rsidRPr="00AF720A">
        <w:rPr>
          <w:lang w:val="en-US"/>
        </w:rPr>
        <w:t>6</w:t>
      </w:r>
      <w:r w:rsidRPr="00AF720A">
        <w:rPr>
          <w:lang w:val="en-US"/>
        </w:rPr>
        <w:t xml:space="preserve"> </w:t>
      </w:r>
      <w:r w:rsidR="00762330" w:rsidRPr="00AF720A">
        <w:rPr>
          <w:lang w:val="en-US"/>
        </w:rPr>
        <w:t xml:space="preserve">through </w:t>
      </w:r>
      <w:r w:rsidRPr="00AF720A">
        <w:rPr>
          <w:lang w:val="en-US"/>
        </w:rPr>
        <w:t xml:space="preserve">2013-14. Chocolate consumption was determined based on two 24-hour dietary recalls. Body mass index (BMI) and waist </w:t>
      </w:r>
      <w:r w:rsidR="00C84A9B" w:rsidRPr="00AF720A">
        <w:rPr>
          <w:lang w:val="en-US"/>
        </w:rPr>
        <w:t>circumference</w:t>
      </w:r>
      <w:r w:rsidRPr="00AF720A">
        <w:rPr>
          <w:lang w:val="en-US"/>
        </w:rPr>
        <w:t xml:space="preserve"> were </w:t>
      </w:r>
      <w:r w:rsidR="005A40F3" w:rsidRPr="00AF720A">
        <w:rPr>
          <w:lang w:val="en-US"/>
        </w:rPr>
        <w:t>objectively measured</w:t>
      </w:r>
      <w:r w:rsidRPr="00AF720A">
        <w:rPr>
          <w:lang w:val="en-US"/>
        </w:rPr>
        <w:t xml:space="preserve">. We used multivariable linear regression to test associations of </w:t>
      </w:r>
      <w:r w:rsidR="005A40F3" w:rsidRPr="00AF720A">
        <w:rPr>
          <w:lang w:val="en-US"/>
        </w:rPr>
        <w:t>(</w:t>
      </w:r>
      <w:proofErr w:type="spellStart"/>
      <w:r w:rsidR="005A40F3" w:rsidRPr="00AF720A">
        <w:rPr>
          <w:lang w:val="en-US"/>
        </w:rPr>
        <w:t>i</w:t>
      </w:r>
      <w:proofErr w:type="spellEnd"/>
      <w:r w:rsidR="005A40F3" w:rsidRPr="00AF720A">
        <w:rPr>
          <w:lang w:val="en-US"/>
        </w:rPr>
        <w:t xml:space="preserve">) any </w:t>
      </w:r>
      <w:r w:rsidRPr="00AF720A">
        <w:rPr>
          <w:lang w:val="en-US"/>
        </w:rPr>
        <w:t xml:space="preserve">chocolate consumption (yes/no), and </w:t>
      </w:r>
      <w:r w:rsidR="005A40F3" w:rsidRPr="00AF720A">
        <w:rPr>
          <w:lang w:val="en-US"/>
        </w:rPr>
        <w:t xml:space="preserve">(ii) </w:t>
      </w:r>
      <w:r w:rsidRPr="00AF720A">
        <w:rPr>
          <w:lang w:val="en-US"/>
        </w:rPr>
        <w:t>the total amount of chocolate consumption (gram</w:t>
      </w:r>
      <w:r w:rsidR="005A40F3" w:rsidRPr="00AF720A">
        <w:rPr>
          <w:lang w:val="en-US"/>
        </w:rPr>
        <w:t>s</w:t>
      </w:r>
      <w:r w:rsidRPr="00AF720A">
        <w:rPr>
          <w:lang w:val="en-US"/>
        </w:rPr>
        <w:t xml:space="preserve">/day, in quartiles) with BMI and waist </w:t>
      </w:r>
      <w:r w:rsidR="00C84A9B" w:rsidRPr="00AF720A">
        <w:rPr>
          <w:lang w:val="en-US"/>
        </w:rPr>
        <w:t>circumference</w:t>
      </w:r>
      <w:r w:rsidRPr="00AF720A">
        <w:rPr>
          <w:lang w:val="en-US"/>
        </w:rPr>
        <w:t xml:space="preserve">. </w:t>
      </w:r>
      <w:r w:rsidR="005A40F3" w:rsidRPr="00AF720A">
        <w:rPr>
          <w:lang w:val="en-US"/>
        </w:rPr>
        <w:t>M</w:t>
      </w:r>
      <w:r w:rsidRPr="00AF720A">
        <w:rPr>
          <w:lang w:val="en-US"/>
        </w:rPr>
        <w:t>odels controlled for sociodemographic, lifestyle, health-related, and dietary covariates.</w:t>
      </w:r>
    </w:p>
    <w:p w14:paraId="16BE5177" w14:textId="368DCE8B" w:rsidR="002D05A2" w:rsidRPr="00AF720A" w:rsidRDefault="00BB21C2" w:rsidP="00023033">
      <w:pPr>
        <w:rPr>
          <w:lang w:val="en-US"/>
        </w:rPr>
      </w:pPr>
      <w:bookmarkStart w:id="3" w:name="_Hlk12130717"/>
      <w:r w:rsidRPr="00AF720A">
        <w:rPr>
          <w:b/>
          <w:lang w:val="en-US"/>
        </w:rPr>
        <w:t xml:space="preserve">Results: </w:t>
      </w:r>
      <w:r w:rsidR="002D05A2" w:rsidRPr="00AF720A">
        <w:rPr>
          <w:lang w:val="en-US"/>
        </w:rPr>
        <w:t xml:space="preserve">Overall, 11.1% of the population self-reported </w:t>
      </w:r>
      <w:r w:rsidR="00A31252" w:rsidRPr="00AF720A">
        <w:rPr>
          <w:lang w:val="en-US"/>
        </w:rPr>
        <w:t xml:space="preserve">any </w:t>
      </w:r>
      <w:r w:rsidR="002D05A2" w:rsidRPr="00AF720A">
        <w:rPr>
          <w:lang w:val="en-US"/>
        </w:rPr>
        <w:t>chocolate consumption</w:t>
      </w:r>
      <w:r w:rsidR="00653566" w:rsidRPr="00AF720A">
        <w:rPr>
          <w:lang w:val="en-US"/>
        </w:rPr>
        <w:t xml:space="preserve"> in </w:t>
      </w:r>
      <w:r w:rsidR="00D34174" w:rsidRPr="00AF720A">
        <w:rPr>
          <w:lang w:val="en-US"/>
        </w:rPr>
        <w:t>either of</w:t>
      </w:r>
      <w:r w:rsidR="00A31252" w:rsidRPr="00AF720A">
        <w:rPr>
          <w:lang w:val="en-US"/>
        </w:rPr>
        <w:t xml:space="preserve"> their two 24-hour dietary recalls</w:t>
      </w:r>
      <w:r w:rsidR="002D05A2" w:rsidRPr="00AF720A">
        <w:rPr>
          <w:lang w:val="en-US"/>
        </w:rPr>
        <w:t xml:space="preserve">. </w:t>
      </w:r>
      <w:r w:rsidR="00C84A9B" w:rsidRPr="00AF720A">
        <w:rPr>
          <w:lang w:val="en-US"/>
        </w:rPr>
        <w:t>Adjusted linear regression models showed that i</w:t>
      </w:r>
      <w:r w:rsidR="002D05A2" w:rsidRPr="00AF720A">
        <w:rPr>
          <w:lang w:val="en-US"/>
        </w:rPr>
        <w:t>ndividuals who reported any chocolate consumption had 0.92 kg/m</w:t>
      </w:r>
      <w:r w:rsidR="002D05A2" w:rsidRPr="00AF720A">
        <w:rPr>
          <w:vertAlign w:val="superscript"/>
          <w:lang w:val="en-US"/>
        </w:rPr>
        <w:t>2</w:t>
      </w:r>
      <w:r w:rsidR="002D05A2" w:rsidRPr="00AF720A">
        <w:rPr>
          <w:lang w:val="en-US"/>
        </w:rPr>
        <w:t xml:space="preserve"> (95% CI: 0.53 to 1.32) lower BMI, and 2.07 cm (95% CI: 1.22 to 2.92) lower waist circumference than those </w:t>
      </w:r>
      <w:r w:rsidR="004820B3" w:rsidRPr="00AF720A">
        <w:rPr>
          <w:lang w:val="en-US"/>
        </w:rPr>
        <w:t xml:space="preserve">who </w:t>
      </w:r>
      <w:r w:rsidR="002D05A2" w:rsidRPr="00AF720A">
        <w:rPr>
          <w:lang w:val="en-US"/>
        </w:rPr>
        <w:t>report</w:t>
      </w:r>
      <w:r w:rsidR="004820B3" w:rsidRPr="00AF720A">
        <w:rPr>
          <w:lang w:val="en-US"/>
        </w:rPr>
        <w:t>ed</w:t>
      </w:r>
      <w:r w:rsidR="002D05A2" w:rsidRPr="00AF720A">
        <w:rPr>
          <w:lang w:val="en-US"/>
        </w:rPr>
        <w:t xml:space="preserve"> </w:t>
      </w:r>
      <w:r w:rsidR="00C84A9B" w:rsidRPr="00AF720A">
        <w:rPr>
          <w:lang w:val="en-US"/>
        </w:rPr>
        <w:t xml:space="preserve">no </w:t>
      </w:r>
      <w:r w:rsidR="002D05A2" w:rsidRPr="00AF720A">
        <w:rPr>
          <w:lang w:val="en-US"/>
        </w:rPr>
        <w:t xml:space="preserve">chocolate consumption. In models examining the association of amount of chocolate consumption and weight status, </w:t>
      </w:r>
      <w:r w:rsidR="00571D6D" w:rsidRPr="00AF720A">
        <w:rPr>
          <w:lang w:val="en-US"/>
        </w:rPr>
        <w:t xml:space="preserve">compared to those who did not consume chocolate, </w:t>
      </w:r>
      <w:r w:rsidR="002D05A2" w:rsidRPr="00AF720A">
        <w:rPr>
          <w:lang w:val="en-US"/>
        </w:rPr>
        <w:t>lower BMI (p for trend =0.003) and waist circumference (p for trend =0.001) were observed in the 1</w:t>
      </w:r>
      <w:r w:rsidR="002D05A2" w:rsidRPr="00AF720A">
        <w:rPr>
          <w:vertAlign w:val="superscript"/>
          <w:lang w:val="en-US"/>
        </w:rPr>
        <w:t>st</w:t>
      </w:r>
      <w:r w:rsidR="002D05A2" w:rsidRPr="00AF720A">
        <w:rPr>
          <w:lang w:val="en-US"/>
        </w:rPr>
        <w:t>, 2</w:t>
      </w:r>
      <w:r w:rsidR="002D05A2" w:rsidRPr="00AF720A">
        <w:rPr>
          <w:vertAlign w:val="superscript"/>
          <w:lang w:val="en-US"/>
        </w:rPr>
        <w:t>nd</w:t>
      </w:r>
      <w:r w:rsidR="002D05A2" w:rsidRPr="00AF720A">
        <w:rPr>
          <w:lang w:val="en-US"/>
        </w:rPr>
        <w:t xml:space="preserve"> and 3</w:t>
      </w:r>
      <w:r w:rsidR="002D05A2" w:rsidRPr="00AF720A">
        <w:rPr>
          <w:vertAlign w:val="superscript"/>
          <w:lang w:val="en-US"/>
        </w:rPr>
        <w:t>rd</w:t>
      </w:r>
      <w:r w:rsidR="002D05A2" w:rsidRPr="00AF720A">
        <w:rPr>
          <w:lang w:val="en-US"/>
        </w:rPr>
        <w:t xml:space="preserve"> quartile of total chocolate consumption.</w:t>
      </w:r>
      <w:bookmarkEnd w:id="3"/>
    </w:p>
    <w:p w14:paraId="71664FE1" w14:textId="2275C37D" w:rsidR="00023033" w:rsidRPr="00AF720A" w:rsidRDefault="00023033" w:rsidP="00023033">
      <w:pPr>
        <w:rPr>
          <w:lang w:val="en-US"/>
        </w:rPr>
      </w:pPr>
      <w:r w:rsidRPr="00AF720A">
        <w:rPr>
          <w:b/>
          <w:lang w:val="en-US"/>
        </w:rPr>
        <w:t>Conclusions:</w:t>
      </w:r>
      <w:r w:rsidRPr="00AF720A">
        <w:rPr>
          <w:lang w:val="en-US"/>
        </w:rPr>
        <w:t xml:space="preserve"> </w:t>
      </w:r>
      <w:bookmarkStart w:id="4" w:name="_Hlk12130767"/>
      <w:r w:rsidR="00D34174" w:rsidRPr="00AF720A">
        <w:rPr>
          <w:lang w:val="en-US"/>
        </w:rPr>
        <w:t>I</w:t>
      </w:r>
      <w:r w:rsidRPr="00AF720A">
        <w:rPr>
          <w:lang w:val="en-US"/>
        </w:rPr>
        <w:t xml:space="preserve">n this representative sample of US adults, chocolate consumption was associated with lower markers of adiposity. </w:t>
      </w:r>
      <w:bookmarkEnd w:id="4"/>
      <w:r w:rsidR="00D34174" w:rsidRPr="00AF720A">
        <w:rPr>
          <w:lang w:val="en-US"/>
        </w:rPr>
        <w:t>Further research</w:t>
      </w:r>
      <w:r w:rsidRPr="00AF720A">
        <w:rPr>
          <w:lang w:val="en-US"/>
        </w:rPr>
        <w:t xml:space="preserve"> </w:t>
      </w:r>
      <w:r w:rsidR="00D34174" w:rsidRPr="00AF720A">
        <w:rPr>
          <w:lang w:val="en-US"/>
        </w:rPr>
        <w:t xml:space="preserve">using </w:t>
      </w:r>
      <w:r w:rsidRPr="00AF720A">
        <w:rPr>
          <w:lang w:val="en-US"/>
        </w:rPr>
        <w:t xml:space="preserve">a longitudinal or experimental design </w:t>
      </w:r>
      <w:r w:rsidR="00D34174" w:rsidRPr="00AF720A">
        <w:rPr>
          <w:lang w:val="en-US"/>
        </w:rPr>
        <w:t>is needed to establish the direction of causation</w:t>
      </w:r>
      <w:r w:rsidRPr="00AF720A">
        <w:rPr>
          <w:lang w:val="en-US"/>
        </w:rPr>
        <w:t>.</w:t>
      </w:r>
    </w:p>
    <w:bookmarkEnd w:id="0"/>
    <w:p w14:paraId="3D202945" w14:textId="25FA058A" w:rsidR="002D05A2" w:rsidRPr="00AF720A" w:rsidRDefault="00023033" w:rsidP="000104C7">
      <w:pPr>
        <w:rPr>
          <w:lang w:val="en-US"/>
        </w:rPr>
      </w:pPr>
      <w:r w:rsidRPr="00AF720A">
        <w:rPr>
          <w:b/>
          <w:lang w:val="en-US"/>
        </w:rPr>
        <w:lastRenderedPageBreak/>
        <w:t>Keywords:</w:t>
      </w:r>
      <w:r w:rsidRPr="00AF720A">
        <w:rPr>
          <w:lang w:val="en-US"/>
        </w:rPr>
        <w:t xml:space="preserve"> Chocolate, body mass index, waist circumference, overweight, obesity, observational</w:t>
      </w:r>
      <w:r w:rsidR="002D05A2" w:rsidRPr="00AF720A">
        <w:rPr>
          <w:lang w:val="en-US"/>
        </w:rPr>
        <w:br w:type="page"/>
      </w:r>
    </w:p>
    <w:p w14:paraId="052DE30C" w14:textId="4A0BAE07" w:rsidR="000D1AFC" w:rsidRPr="00AF720A" w:rsidRDefault="000D1AFC" w:rsidP="000D1AFC">
      <w:pPr>
        <w:pStyle w:val="Heading2"/>
        <w:rPr>
          <w:lang w:val="en-US"/>
        </w:rPr>
      </w:pPr>
      <w:r w:rsidRPr="00AF720A">
        <w:rPr>
          <w:lang w:val="en-US"/>
        </w:rPr>
        <w:lastRenderedPageBreak/>
        <w:t>Introduction</w:t>
      </w:r>
    </w:p>
    <w:p w14:paraId="2D7B37DD" w14:textId="2FAF498C" w:rsidR="00687228" w:rsidRPr="00AF720A" w:rsidRDefault="000D1AFC" w:rsidP="00762330">
      <w:pPr>
        <w:rPr>
          <w:lang w:val="en-US"/>
        </w:rPr>
      </w:pPr>
      <w:r w:rsidRPr="00AF720A">
        <w:rPr>
          <w:lang w:val="en-US"/>
        </w:rPr>
        <w:t xml:space="preserve">In 2015/2016, </w:t>
      </w:r>
      <w:r w:rsidR="00112091" w:rsidRPr="00AF720A">
        <w:rPr>
          <w:lang w:val="en-US"/>
        </w:rPr>
        <w:t xml:space="preserve">approximately </w:t>
      </w:r>
      <w:r w:rsidRPr="00AF720A">
        <w:rPr>
          <w:lang w:val="en-US"/>
        </w:rPr>
        <w:t>7.3 million tons of retail chocolate confectionery were consumed worldwide</w:t>
      </w:r>
      <w:r w:rsidR="00682473" w:rsidRPr="00AF720A">
        <w:rPr>
          <w:lang w:val="en-US"/>
        </w:rPr>
        <w:t xml:space="preserve"> </w:t>
      </w:r>
      <w:r w:rsidR="00682473" w:rsidRPr="00AF720A">
        <w:rPr>
          <w:lang w:val="en-US"/>
        </w:rPr>
        <w:fldChar w:fldCharType="begin"/>
      </w:r>
      <w:r w:rsidR="00682473" w:rsidRPr="00AF720A">
        <w:rPr>
          <w:lang w:val="en-US"/>
        </w:rPr>
        <w:instrText xml:space="preserve"> ADDIN ZOTERO_ITEM CSL_CITATION {"citationID":"mAlKCiC5","properties":{"formattedCitation":"(1)","plainCitation":"(1)","noteIndex":0},"citationItems":[{"id":8123,"uris":["http://zotero.org/users/446899/items/XUJ4CVFI"],"uri":["http://zotero.org/users/446899/items/XUJ4CVFI"],"itemData":{"id":8123,"type":"webpage","title":"Consumption of chocolate worldwide, 2012/13-2018/19","container-title":"Statista","abstract":"This statistic depicts the retail consumption of chocolate confectionery worldwide from 2012/2013 to 2018/2019. In 2015/2016, about 7.3 million tons of retail chocolate confectionery were consumed worldwide, with consumption expected to reach approximately 7.7 million tons by 2018/2019. &lt;a href=\"/statistics/569521/chocolate-retail-sales-worldwide/\" target=\"_blank\"&gt;Global retail sales of chocolate&lt;/a&gt; reached approximately 101 billion U.S. dollars in 2015, with the U.S. accounting for the largest portion of &lt;a href=\"/statistics/569637/global-retail-sales-chocolate-confectionery-by-country/\" target=\"_blank\"&gt;chocolate confectionary sales worldwide&lt;/a&gt; that year.","URL":"https://www.statista.com/statistics/238849/global-chocolate-consumption/","language":"en","author":[{"family":"Statista","given":""}],"issued":{"date-parts":[["2019"]]},"accessed":{"date-parts":[["2019",6,22]]}}}],"schema":"https://github.com/citation-style-language/schema/raw/master/csl-citation.json"} </w:instrText>
      </w:r>
      <w:r w:rsidR="00682473" w:rsidRPr="00AF720A">
        <w:rPr>
          <w:lang w:val="en-US"/>
        </w:rPr>
        <w:fldChar w:fldCharType="separate"/>
      </w:r>
      <w:r w:rsidR="00682473" w:rsidRPr="00AF720A">
        <w:t>(1)</w:t>
      </w:r>
      <w:r w:rsidR="00682473" w:rsidRPr="00AF720A">
        <w:rPr>
          <w:lang w:val="en-US"/>
        </w:rPr>
        <w:fldChar w:fldCharType="end"/>
      </w:r>
      <w:r w:rsidR="00112091" w:rsidRPr="00AF720A">
        <w:rPr>
          <w:lang w:val="en-US"/>
        </w:rPr>
        <w:t>.</w:t>
      </w:r>
      <w:r w:rsidRPr="00AF720A">
        <w:rPr>
          <w:lang w:val="en-US"/>
        </w:rPr>
        <w:t xml:space="preserve"> </w:t>
      </w:r>
      <w:r w:rsidR="00112091" w:rsidRPr="00AF720A">
        <w:rPr>
          <w:lang w:val="en-US"/>
        </w:rPr>
        <w:t>T</w:t>
      </w:r>
      <w:r w:rsidRPr="00AF720A">
        <w:rPr>
          <w:lang w:val="en-US"/>
        </w:rPr>
        <w:t>his figure</w:t>
      </w:r>
      <w:r w:rsidR="00112091" w:rsidRPr="00AF720A">
        <w:rPr>
          <w:lang w:val="en-US"/>
        </w:rPr>
        <w:t xml:space="preserve"> is</w:t>
      </w:r>
      <w:r w:rsidRPr="00AF720A">
        <w:rPr>
          <w:lang w:val="en-US"/>
        </w:rPr>
        <w:t xml:space="preserve"> expected to reach approximately 7.7 million tons by 2018/2019 </w:t>
      </w:r>
      <w:r w:rsidR="00112091" w:rsidRPr="00AF720A">
        <w:rPr>
          <w:lang w:val="en-US"/>
        </w:rPr>
        <w:fldChar w:fldCharType="begin"/>
      </w:r>
      <w:r w:rsidR="00682473" w:rsidRPr="00AF720A">
        <w:rPr>
          <w:lang w:val="en-US"/>
        </w:rPr>
        <w:instrText xml:space="preserve"> ADDIN ZOTERO_ITEM CSL_CITATION {"citationID":"VEdHWAYJ","properties":{"formattedCitation":"(1)","plainCitation":"(1)","noteIndex":0},"citationItems":[{"id":8123,"uris":["http://zotero.org/users/446899/items/XUJ4CVFI"],"uri":["http://zotero.org/users/446899/items/XUJ4CVFI"],"itemData":{"id":8123,"type":"webpage","title":"Consumption of chocolate worldwide, 2012/13-2018/19","container-title":"Statista","abstract":"This statistic depicts the retail consumption of chocolate confectionery worldwide from 2012/2013 to 2018/2019. In 2015/2016, about 7.3 million tons of retail chocolate confectionery were consumed worldwide, with consumption expected to reach approximately 7.7 million tons by 2018/2019. &lt;a href=\"/statistics/569521/chocolate-retail-sales-worldwide/\" target=\"_blank\"&gt;Global retail sales of chocolate&lt;/a&gt; reached approximately 101 billion U.S. dollars in 2015, with the U.S. accounting for the largest portion of &lt;a href=\"/statistics/569637/global-retail-sales-chocolate-confectionery-by-country/\" target=\"_blank\"&gt;chocolate confectionary sales worldwide&lt;/a&gt; that year.","URL":"https://www.statista.com/statistics/238849/global-chocolate-consumption/","language":"en","author":[{"family":"Statista","given":""}],"issued":{"date-parts":[["2019"]]},"accessed":{"date-parts":[["2019",6,22]]}}}],"schema":"https://github.com/citation-style-language/schema/raw/master/csl-citation.json"} </w:instrText>
      </w:r>
      <w:r w:rsidR="00112091" w:rsidRPr="00AF720A">
        <w:rPr>
          <w:lang w:val="en-US"/>
        </w:rPr>
        <w:fldChar w:fldCharType="separate"/>
      </w:r>
      <w:r w:rsidR="00112091" w:rsidRPr="00AF720A">
        <w:t>(1)</w:t>
      </w:r>
      <w:r w:rsidR="00112091" w:rsidRPr="00AF720A">
        <w:rPr>
          <w:lang w:val="en-US"/>
        </w:rPr>
        <w:fldChar w:fldCharType="end"/>
      </w:r>
      <w:hyperlink r:id="rId9" w:history="1"/>
      <w:r w:rsidR="003A4B7E" w:rsidRPr="00AF720A">
        <w:rPr>
          <w:lang w:val="en-US"/>
        </w:rPr>
        <w:t>. I</w:t>
      </w:r>
      <w:r w:rsidRPr="00AF720A">
        <w:rPr>
          <w:lang w:val="en-US"/>
        </w:rPr>
        <w:t>n the US</w:t>
      </w:r>
      <w:r w:rsidR="003A4B7E" w:rsidRPr="00AF720A">
        <w:rPr>
          <w:lang w:val="en-US"/>
        </w:rPr>
        <w:t xml:space="preserve">, </w:t>
      </w:r>
      <w:r w:rsidR="002F1916" w:rsidRPr="00AF720A">
        <w:rPr>
          <w:lang w:val="en-US"/>
        </w:rPr>
        <w:t>the average person consume</w:t>
      </w:r>
      <w:r w:rsidR="0075343B" w:rsidRPr="00AF720A">
        <w:rPr>
          <w:lang w:val="en-US"/>
        </w:rPr>
        <w:t>s</w:t>
      </w:r>
      <w:r w:rsidR="002F1916" w:rsidRPr="00AF720A">
        <w:rPr>
          <w:lang w:val="en-US"/>
        </w:rPr>
        <w:t xml:space="preserve"> 4.4 kg of chocolate per ye</w:t>
      </w:r>
      <w:r w:rsidR="003F3B07" w:rsidRPr="00AF720A">
        <w:rPr>
          <w:lang w:val="en-US"/>
        </w:rPr>
        <w:t>a</w:t>
      </w:r>
      <w:r w:rsidR="002F1916" w:rsidRPr="00AF720A">
        <w:rPr>
          <w:lang w:val="en-US"/>
        </w:rPr>
        <w:t>r</w:t>
      </w:r>
      <w:r w:rsidR="00682473" w:rsidRPr="00AF720A">
        <w:t xml:space="preserve"> </w:t>
      </w:r>
      <w:r w:rsidR="00682473" w:rsidRPr="00AF720A">
        <w:fldChar w:fldCharType="begin"/>
      </w:r>
      <w:r w:rsidR="00682473" w:rsidRPr="00AF720A">
        <w:instrText xml:space="preserve"> ADDIN ZOTERO_ITEM CSL_CITATION {"citationID":"DuQCJGgO","properties":{"formattedCitation":"(2)","plainCitation":"(2)","noteIndex":0},"citationItems":[{"id":8125,"uris":["http://zotero.org/users/446899/items/V3WECHWP"],"uri":["http://zotero.org/users/446899/items/V3WECHWP"],"itemData":{"id":8125,"type":"webpage","title":"Statistics &amp; Facts on Chocolate Consumption and Industry","container-title":"www.statista.com","abstract":"Where is chocolate consumed, and how big is the chocolate industry? Discover all relevant statistics and facts on chocolate consumption and industry now on statista.com!, Where is chocolate consumed, and how big is the chocolate industry? Discover all relevant statistics and facts on chocolate consumption and industry now on statista.com!","URL":"https://www.statista.com/topics/1638/chocolate-industry/","shortTitle":"Topic","language":"en","author":[{"family":"Statista","given":""}],"issued":{"date-parts":[["2018"]]},"accessed":{"date-parts":[["2019",6,22]]}}}],"schema":"https://github.com/citation-style-language/schema/raw/master/csl-citation.json"} </w:instrText>
      </w:r>
      <w:r w:rsidR="00682473" w:rsidRPr="00AF720A">
        <w:fldChar w:fldCharType="separate"/>
      </w:r>
      <w:r w:rsidR="00682473" w:rsidRPr="00AF720A">
        <w:t>(2)</w:t>
      </w:r>
      <w:r w:rsidR="00682473" w:rsidRPr="00AF720A">
        <w:fldChar w:fldCharType="end"/>
      </w:r>
      <w:r w:rsidR="007C0EA4" w:rsidRPr="00AF720A">
        <w:rPr>
          <w:lang w:val="en-US"/>
        </w:rPr>
        <w:t>.</w:t>
      </w:r>
      <w:r w:rsidR="002F1916" w:rsidRPr="00AF720A">
        <w:rPr>
          <w:lang w:val="en-US"/>
        </w:rPr>
        <w:t xml:space="preserve"> With chocolate</w:t>
      </w:r>
      <w:r w:rsidR="0075343B" w:rsidRPr="00AF720A">
        <w:rPr>
          <w:lang w:val="en-US"/>
        </w:rPr>
        <w:t xml:space="preserve"> consumed in such substantial volumes</w:t>
      </w:r>
      <w:r w:rsidR="003A4B7E" w:rsidRPr="00AF720A">
        <w:rPr>
          <w:lang w:val="en-US"/>
        </w:rPr>
        <w:t>,</w:t>
      </w:r>
      <w:r w:rsidR="002F1916" w:rsidRPr="00AF720A">
        <w:rPr>
          <w:lang w:val="en-US"/>
        </w:rPr>
        <w:t xml:space="preserve"> it is important to understand its impact on human health. In a recent umbrella review </w:t>
      </w:r>
      <w:r w:rsidR="0075343B" w:rsidRPr="00AF720A">
        <w:rPr>
          <w:lang w:val="en-US"/>
        </w:rPr>
        <w:fldChar w:fldCharType="begin"/>
      </w:r>
      <w:r w:rsidR="0075343B" w:rsidRPr="00AF720A">
        <w:rPr>
          <w:lang w:val="en-US"/>
        </w:rPr>
        <w:instrText xml:space="preserve"> ADDIN ZOTERO_ITEM CSL_CITATION {"citationID":"pGw4YH3X","properties":{"formattedCitation":"(3)","plainCitation":"(3)","noteIndex":0},"citationItems":[{"id":7542,"uris":["http://zotero.org/users/446899/items/5ZWRBP3A"],"uri":["http://zotero.org/users/446899/items/5ZWRBP3A"],"itemData":{"id":7542,"type":"article-journal","title":"Is chocolate consumption associated with health outcomes? An umbrella review of systematic reviews and meta-analyses","container-title":"Clinical Nutrition","source":"ScienceDirect","abstract":"Summary\nBackground &amp; aims\nThe literature regarding the potential health benefits of chocolate consumption are unclear and the epidemiological credibility has not been systematically scrutinized, while the strength of the evidence is undetermined. We therefore aimed to map and grade the diverse health outcomes associated with chocolate consumption using an umbrella review of systematic reviews.\nMethods\nUmbrella review of systematic reviews of observational and intervention studies (randomized placebo-controlled trials, RCTs). For each association, random-effects summary effect size, 95% confidence interval, and 95% prediction interval were estimated. We also assessed heterogeneity, evidence for small-study effect and evidence for excess significance bias. For significant outcomes of the RCTs, the GRADE assessment was furtherly used.\nResults\nFrom 240 articles returned, 10 systematic reviews were included (8 of which included a meta-analysis), including a total of 84 studies (36 prospective observational studies and 48 interventional). Nineteen different outcomes were included. Among observational studies, including a total of 1,061,637 participants, the best available evidence suggests that chocolate consumption is associated with reduced risk of cardiovascular disease (CVD) death (n = 4 studies), acute myocardial infarction (n = 6), stroke (n = 5) and diabetes (n = 6), although this was based on a weak evidence of credibility. Across meta-analyses of intervention studies, chocolate consumption was positively associated with flow-mediated dilatation at 90–150 min (n = 3) and at 2–18 weeks (n = 3), and insulin resistance markers (n = 2). However, using the GRADE assessment, the evidence for these outcomes was low or very low. Data from two systematic reviews, reported that chocolate consumption was not associated with better depressive mood or cognitive function.\nConclusions\nThere is weak evidence to suggest that chocolate consumption may be associated with favorable health outcomes.","URL":"http://www.sciencedirect.com/science/article/pii/S0261561418302048","DOI":"10.1016/j.clnu.2018.05.019","ISSN":"0261-5614","shortTitle":"Is chocolate consumption associated with health outcomes?","journalAbbreviation":"Clinical Nutrition","author":[{"family":"Veronese","given":"Nicola"},{"family":"Demurtas","given":"Jacopo"},{"family":"Celotto","given":"Stefano"},{"family":"Caruso","given":"Maria Gabriella"},{"family":"Maggi","given":"Stefania"},{"family":"Bolzetta","given":"Francesco"},{"family":"Firth","given":"Joseph"},{"family":"Smith","given":"Lee"},{"family":"Schofield","given":"Patricia"},{"family":"Koyanagi","given":"Ai"},{"family":"Yang","given":"Lin"},{"family":"Solmi","given":"Marco"},{"family":"Stubbs","given":"Brendon"}],"issued":{"date-parts":[["2018",6,1]]},"accessed":{"date-parts":[["2019",3,20]]}}}],"schema":"https://github.com/citation-style-language/schema/raw/master/csl-citation.json"} </w:instrText>
      </w:r>
      <w:r w:rsidR="0075343B" w:rsidRPr="00AF720A">
        <w:rPr>
          <w:lang w:val="en-US"/>
        </w:rPr>
        <w:fldChar w:fldCharType="separate"/>
      </w:r>
      <w:r w:rsidR="0075343B" w:rsidRPr="00AF720A">
        <w:t>(3)</w:t>
      </w:r>
      <w:r w:rsidR="0075343B" w:rsidRPr="00AF720A">
        <w:rPr>
          <w:lang w:val="en-US"/>
        </w:rPr>
        <w:fldChar w:fldCharType="end"/>
      </w:r>
      <w:r w:rsidR="0075343B" w:rsidRPr="00AF720A">
        <w:rPr>
          <w:lang w:val="en-US"/>
        </w:rPr>
        <w:t xml:space="preserve"> </w:t>
      </w:r>
      <w:r w:rsidR="002F1916" w:rsidRPr="00AF720A">
        <w:rPr>
          <w:lang w:val="en-US"/>
        </w:rPr>
        <w:t>with integrated meta-</w:t>
      </w:r>
      <w:r w:rsidR="00C17CA6" w:rsidRPr="00AF720A">
        <w:rPr>
          <w:lang w:val="en-US"/>
        </w:rPr>
        <w:t>analyses</w:t>
      </w:r>
      <w:r w:rsidR="003A4B7E" w:rsidRPr="00AF720A">
        <w:rPr>
          <w:lang w:val="en-US"/>
        </w:rPr>
        <w:t>, which included</w:t>
      </w:r>
      <w:r w:rsidR="002F1916" w:rsidRPr="00AF720A">
        <w:rPr>
          <w:lang w:val="en-US"/>
        </w:rPr>
        <w:t xml:space="preserve"> 10 systematic reviews (8 meta-analys</w:t>
      </w:r>
      <w:r w:rsidR="003A4B7E" w:rsidRPr="00AF720A">
        <w:rPr>
          <w:lang w:val="en-US"/>
        </w:rPr>
        <w:t>e</w:t>
      </w:r>
      <w:r w:rsidR="002F1916" w:rsidRPr="00AF720A">
        <w:rPr>
          <w:lang w:val="en-US"/>
        </w:rPr>
        <w:t>s)</w:t>
      </w:r>
      <w:r w:rsidR="003A4B7E" w:rsidRPr="00AF720A">
        <w:rPr>
          <w:lang w:val="en-US"/>
        </w:rPr>
        <w:t xml:space="preserve"> and a total of</w:t>
      </w:r>
      <w:r w:rsidR="002F1916" w:rsidRPr="00AF720A">
        <w:rPr>
          <w:lang w:val="en-US"/>
        </w:rPr>
        <w:t xml:space="preserve"> 84 studies</w:t>
      </w:r>
      <w:r w:rsidR="003A4B7E" w:rsidRPr="00AF720A">
        <w:rPr>
          <w:lang w:val="en-US"/>
        </w:rPr>
        <w:t>,</w:t>
      </w:r>
      <w:r w:rsidR="002F1916" w:rsidRPr="00AF720A">
        <w:rPr>
          <w:lang w:val="en-US"/>
        </w:rPr>
        <w:t xml:space="preserve"> chocolate consumption was</w:t>
      </w:r>
      <w:r w:rsidR="0075343B" w:rsidRPr="00AF720A">
        <w:rPr>
          <w:lang w:val="en-US"/>
        </w:rPr>
        <w:t xml:space="preserve"> found to be</w:t>
      </w:r>
      <w:r w:rsidR="002F1916" w:rsidRPr="00AF720A">
        <w:rPr>
          <w:lang w:val="en-US"/>
        </w:rPr>
        <w:t xml:space="preserve"> associated with reduced risk of cardiovascular disease death, acute myocardial infarction, stroke and diabetes, although this was based on a weak evidence of credibility. </w:t>
      </w:r>
      <w:r w:rsidR="0075343B" w:rsidRPr="00AF720A">
        <w:rPr>
          <w:lang w:val="en-US"/>
        </w:rPr>
        <w:t>I</w:t>
      </w:r>
      <w:r w:rsidR="002F1916" w:rsidRPr="00AF720A">
        <w:rPr>
          <w:lang w:val="en-US"/>
        </w:rPr>
        <w:t>ntervention studies</w:t>
      </w:r>
      <w:r w:rsidR="0075343B" w:rsidRPr="00AF720A">
        <w:rPr>
          <w:lang w:val="en-US"/>
        </w:rPr>
        <w:t xml:space="preserve"> suggested</w:t>
      </w:r>
      <w:r w:rsidR="002F1916" w:rsidRPr="00AF720A">
        <w:rPr>
          <w:lang w:val="en-US"/>
        </w:rPr>
        <w:t xml:space="preserve"> chocolate consumption </w:t>
      </w:r>
      <w:r w:rsidR="0075343B" w:rsidRPr="00AF720A">
        <w:rPr>
          <w:lang w:val="en-US"/>
        </w:rPr>
        <w:t>improvements in</w:t>
      </w:r>
      <w:r w:rsidR="002F1916" w:rsidRPr="00AF720A">
        <w:rPr>
          <w:lang w:val="en-US"/>
        </w:rPr>
        <w:t xml:space="preserve"> flow-mediated dilatation </w:t>
      </w:r>
      <w:r w:rsidR="0075343B" w:rsidRPr="00AF720A">
        <w:rPr>
          <w:lang w:val="en-US"/>
        </w:rPr>
        <w:t xml:space="preserve">(an indicator of blood vessel health) </w:t>
      </w:r>
      <w:r w:rsidR="002F1916" w:rsidRPr="00AF720A">
        <w:rPr>
          <w:lang w:val="en-US"/>
        </w:rPr>
        <w:t xml:space="preserve">and </w:t>
      </w:r>
      <w:r w:rsidR="0075343B" w:rsidRPr="00AF720A">
        <w:rPr>
          <w:lang w:val="en-US"/>
        </w:rPr>
        <w:t xml:space="preserve">markers of </w:t>
      </w:r>
      <w:r w:rsidR="002F1916" w:rsidRPr="00AF720A">
        <w:rPr>
          <w:lang w:val="en-US"/>
        </w:rPr>
        <w:t xml:space="preserve">insulin resistance </w:t>
      </w:r>
      <w:r w:rsidR="00682473" w:rsidRPr="00AF720A">
        <w:rPr>
          <w:lang w:val="en-US"/>
        </w:rPr>
        <w:fldChar w:fldCharType="begin"/>
      </w:r>
      <w:r w:rsidR="00DB336B" w:rsidRPr="00AF720A">
        <w:rPr>
          <w:lang w:val="en-US"/>
        </w:rPr>
        <w:instrText xml:space="preserve"> ADDIN ZOTERO_ITEM CSL_CITATION {"citationID":"B8uiwtL9","properties":{"formattedCitation":"(3)","plainCitation":"(3)","noteIndex":0},"citationItems":[{"id":7542,"uris":["http://zotero.org/users/446899/items/5ZWRBP3A"],"uri":["http://zotero.org/users/446899/items/5ZWRBP3A"],"itemData":{"id":7542,"type":"article-journal","title":"Is chocolate consumption associated with health outcomes? An umbrella review of systematic reviews and meta-analyses","container-title":"Clinical Nutrition","source":"ScienceDirect","abstract":"Summary\nBackground &amp; aims\nThe literature regarding the potential health benefits of chocolate consumption are unclear and the epidemiological credibility has not been systematically scrutinized, while the strength of the evidence is undetermined. We therefore aimed to map and grade the diverse health outcomes associated with chocolate consumption using an umbrella review of systematic reviews.\nMethods\nUmbrella review of systematic reviews of observational and intervention studies (randomized placebo-controlled trials, RCTs). For each association, random-effects summary effect size, 95% confidence interval, and 95% prediction interval were estimated. We also assessed heterogeneity, evidence for small-study effect and evidence for excess significance bias. For significant outcomes of the RCTs, the GRADE assessment was furtherly used.\nResults\nFrom 240 articles returned, 10 systematic reviews were included (8 of which included a meta-analysis), including a total of 84 studies (36 prospective observational studies and 48 interventional). Nineteen different outcomes were included. Among observational studies, including a total of 1,061,637 participants, the best available evidence suggests that chocolate consumption is associated with reduced risk of cardiovascular disease (CVD) death (n = 4 studies), acute myocardial infarction (n = 6), stroke (n = 5) and diabetes (n = 6), although this was based on a weak evidence of credibility. Across meta-analyses of intervention studies, chocolate consumption was positively associated with flow-mediated dilatation at 90–150 min (n = 3) and at 2–18 weeks (n = 3), and insulin resistance markers (n = 2). However, using the GRADE assessment, the evidence for these outcomes was low or very low. Data from two systematic reviews, reported that chocolate consumption was not associated with better depressive mood or cognitive function.\nConclusions\nThere is weak evidence to suggest that chocolate consumption may be associated with favorable health outcomes.","URL":"http://www.sciencedirect.com/science/article/pii/S0261561418302048","DOI":"10.1016/j.clnu.2018.05.019","ISSN":"0261-5614","shortTitle":"Is chocolate consumption associated with health outcomes?","journalAbbreviation":"Clinical Nutrition","author":[{"family":"Veronese","given":"Nicola"},{"family":"Demurtas","given":"Jacopo"},{"family":"Celotto","given":"Stefano"},{"family":"Caruso","given":"Maria Gabriella"},{"family":"Maggi","given":"Stefania"},{"family":"Bolzetta","given":"Francesco"},{"family":"Firth","given":"Joseph"},{"family":"Smith","given":"Lee"},{"family":"Schofield","given":"Patricia"},{"family":"Koyanagi","given":"Ai"},{"family":"Yang","given":"Lin"},{"family":"Solmi","given":"Marco"},{"family":"Stubbs","given":"Brendon"}],"issued":{"date-parts":[["2018",6,1]]},"accessed":{"date-parts":[["2019",3,20]]}}}],"schema":"https://github.com/citation-style-language/schema/raw/master/csl-citation.json"} </w:instrText>
      </w:r>
      <w:r w:rsidR="00682473" w:rsidRPr="00AF720A">
        <w:rPr>
          <w:lang w:val="en-US"/>
        </w:rPr>
        <w:fldChar w:fldCharType="separate"/>
      </w:r>
      <w:r w:rsidR="00682473" w:rsidRPr="00AF720A">
        <w:t>(3)</w:t>
      </w:r>
      <w:r w:rsidR="00682473" w:rsidRPr="00AF720A">
        <w:rPr>
          <w:lang w:val="en-US"/>
        </w:rPr>
        <w:fldChar w:fldCharType="end"/>
      </w:r>
      <w:r w:rsidR="002F1916" w:rsidRPr="00AF720A">
        <w:rPr>
          <w:lang w:val="en-US"/>
        </w:rPr>
        <w:t>.</w:t>
      </w:r>
    </w:p>
    <w:p w14:paraId="488EF11E" w14:textId="1BBCFA2B" w:rsidR="0022065A" w:rsidRPr="00AF720A" w:rsidRDefault="002F1916" w:rsidP="00762330">
      <w:r w:rsidRPr="00AF720A">
        <w:rPr>
          <w:lang w:val="en-US"/>
        </w:rPr>
        <w:t>Such</w:t>
      </w:r>
      <w:r w:rsidR="00CB4171" w:rsidRPr="00AF720A">
        <w:rPr>
          <w:lang w:val="en-US"/>
        </w:rPr>
        <w:t xml:space="preserve"> health</w:t>
      </w:r>
      <w:r w:rsidRPr="00AF720A">
        <w:rPr>
          <w:lang w:val="en-US"/>
        </w:rPr>
        <w:t xml:space="preserve"> benefits </w:t>
      </w:r>
      <w:r w:rsidR="00CB4171" w:rsidRPr="00AF720A">
        <w:rPr>
          <w:lang w:val="en-US"/>
        </w:rPr>
        <w:t xml:space="preserve">of </w:t>
      </w:r>
      <w:r w:rsidR="001526AE" w:rsidRPr="00AF720A">
        <w:rPr>
          <w:lang w:val="en-US"/>
        </w:rPr>
        <w:t xml:space="preserve">chocolate consumption </w:t>
      </w:r>
      <w:r w:rsidRPr="00AF720A">
        <w:rPr>
          <w:lang w:val="en-US"/>
        </w:rPr>
        <w:t xml:space="preserve">may be a result of flavonoids </w:t>
      </w:r>
      <w:r w:rsidR="002324F6" w:rsidRPr="00AF720A">
        <w:rPr>
          <w:lang w:val="en-US"/>
        </w:rPr>
        <w:t xml:space="preserve">that </w:t>
      </w:r>
      <w:r w:rsidRPr="00AF720A">
        <w:rPr>
          <w:lang w:val="en-US"/>
        </w:rPr>
        <w:t xml:space="preserve">are </w:t>
      </w:r>
      <w:r w:rsidR="009E50BF" w:rsidRPr="00AF720A">
        <w:rPr>
          <w:lang w:val="en-US"/>
        </w:rPr>
        <w:t>present in</w:t>
      </w:r>
      <w:r w:rsidRPr="00AF720A">
        <w:rPr>
          <w:lang w:val="en-US"/>
        </w:rPr>
        <w:t xml:space="preserve"> chocolate. Indeed, research has suggested that </w:t>
      </w:r>
      <w:r w:rsidR="00687228" w:rsidRPr="00AF720A">
        <w:rPr>
          <w:lang w:val="en-US"/>
        </w:rPr>
        <w:t>f</w:t>
      </w:r>
      <w:r w:rsidRPr="00AF720A">
        <w:rPr>
          <w:lang w:val="en-US"/>
        </w:rPr>
        <w:t>lavonoids</w:t>
      </w:r>
      <w:r w:rsidR="007C0EA4" w:rsidRPr="00AF720A">
        <w:rPr>
          <w:lang w:val="en-US"/>
        </w:rPr>
        <w:t xml:space="preserve"> </w:t>
      </w:r>
      <w:r w:rsidR="00687228" w:rsidRPr="00AF720A">
        <w:rPr>
          <w:lang w:val="en-US"/>
        </w:rPr>
        <w:t xml:space="preserve">may protect </w:t>
      </w:r>
      <w:r w:rsidRPr="00AF720A">
        <w:rPr>
          <w:lang w:val="en-US"/>
        </w:rPr>
        <w:t xml:space="preserve">against </w:t>
      </w:r>
      <w:r w:rsidR="00BB21C2" w:rsidRPr="00AF720A">
        <w:rPr>
          <w:lang w:val="en-US"/>
        </w:rPr>
        <w:t>cardiovascular disease</w:t>
      </w:r>
      <w:r w:rsidRPr="00AF720A">
        <w:rPr>
          <w:lang w:val="en-US"/>
        </w:rPr>
        <w:t xml:space="preserve">, </w:t>
      </w:r>
      <w:r w:rsidR="00687228" w:rsidRPr="00AF720A">
        <w:rPr>
          <w:lang w:val="en-US"/>
        </w:rPr>
        <w:t>acting</w:t>
      </w:r>
      <w:r w:rsidRPr="00AF720A">
        <w:rPr>
          <w:lang w:val="en-US"/>
        </w:rPr>
        <w:t xml:space="preserve"> as antioxidant, antiplatelet, and anti-inflammatory agents </w:t>
      </w:r>
      <w:r w:rsidR="008079C9" w:rsidRPr="00AF720A">
        <w:rPr>
          <w:lang w:val="en-US"/>
        </w:rPr>
        <w:fldChar w:fldCharType="begin"/>
      </w:r>
      <w:r w:rsidR="008079C9" w:rsidRPr="00AF720A">
        <w:rPr>
          <w:lang w:val="en-US"/>
        </w:rPr>
        <w:instrText xml:space="preserve"> ADDIN ZOTERO_ITEM CSL_CITATION {"citationID":"YeYVWUrA","properties":{"formattedCitation":"(4)","plainCitation":"(4)","noteIndex":0},"citationItems":[{"id":8129,"uris":["http://zotero.org/users/446899/items/3DN9GIU4"],"uri":["http://zotero.org/users/446899/items/3DN9GIU4"],"itemData":{"id":8129,"type":"article-journal","title":"Cocoa and Cardiovascular Health","container-title":"Circulation","page":"1433-1441","volume":"119","issue":"10","source":"ahajournals.org (Atypon)","abstract":"Epidemiological data demonstrate that regular dietary intake of plant-derived foods and beverages reduces the risk of coronary heart disease and stroke. Among many ingredients, cocoa might be an important mediator. Indeed, recent research demonstrates a beneficial effect of cocoa on blood pressure, insulin resistance, and vascular and platelet function. Although still debated, a range of potential mechanisms through which cocoa might exert its benefits on cardiovascular health have been proposed, including activation of nitric oxide and antioxidant and antiinflammatory effects. This review summarizes the available data on the cardiovascular effects of cocoa, outlines potential mechanisms involved in the response to cocoa, and highlights the potential clinical implications associated with its consumption.","DOI":"10.1161/CIRCULATIONAHA.108.827022","journalAbbreviation":"Circulation","author":[{"literal":"Corti Roberto"},{"literal":"Flammer Andreas J."},{"literal":"Hollenberg Norman K."},{"literal":"Lüscher Thomas F."}],"issued":{"date-parts":[["2009",3,17]]}}}],"schema":"https://github.com/citation-style-language/schema/raw/master/csl-citation.json"} </w:instrText>
      </w:r>
      <w:r w:rsidR="008079C9" w:rsidRPr="00AF720A">
        <w:rPr>
          <w:lang w:val="en-US"/>
        </w:rPr>
        <w:fldChar w:fldCharType="separate"/>
      </w:r>
      <w:r w:rsidR="008079C9" w:rsidRPr="00AF720A">
        <w:t>(4)</w:t>
      </w:r>
      <w:r w:rsidR="008079C9" w:rsidRPr="00AF720A">
        <w:rPr>
          <w:lang w:val="en-US"/>
        </w:rPr>
        <w:fldChar w:fldCharType="end"/>
      </w:r>
      <w:r w:rsidR="008079C9" w:rsidRPr="00AF720A">
        <w:rPr>
          <w:lang w:val="en-US"/>
        </w:rPr>
        <w:t>.</w:t>
      </w:r>
      <w:r w:rsidR="00687228" w:rsidRPr="00AF720A">
        <w:rPr>
          <w:lang w:val="en-US"/>
        </w:rPr>
        <w:t xml:space="preserve"> F</w:t>
      </w:r>
      <w:r w:rsidRPr="00AF720A">
        <w:rPr>
          <w:lang w:val="en-US"/>
        </w:rPr>
        <w:t xml:space="preserve">lavonoids in chocolate </w:t>
      </w:r>
      <w:r w:rsidR="00687228" w:rsidRPr="00AF720A">
        <w:rPr>
          <w:lang w:val="en-US"/>
        </w:rPr>
        <w:t xml:space="preserve">have also been shown to be protective against </w:t>
      </w:r>
      <w:r w:rsidRPr="00AF720A">
        <w:rPr>
          <w:lang w:val="en-US"/>
        </w:rPr>
        <w:t xml:space="preserve">other potential risk factors for </w:t>
      </w:r>
      <w:r w:rsidR="00BB21C2" w:rsidRPr="00AF720A">
        <w:rPr>
          <w:lang w:val="en-US"/>
        </w:rPr>
        <w:t>cardiovascular disease</w:t>
      </w:r>
      <w:r w:rsidRPr="00AF720A">
        <w:rPr>
          <w:lang w:val="en-US"/>
        </w:rPr>
        <w:t>, such as hypercholesterolemia, hypertension</w:t>
      </w:r>
      <w:r w:rsidR="00B14C29" w:rsidRPr="00AF720A">
        <w:rPr>
          <w:lang w:val="en-US"/>
        </w:rPr>
        <w:t>,</w:t>
      </w:r>
      <w:r w:rsidRPr="00AF720A">
        <w:rPr>
          <w:lang w:val="en-US"/>
        </w:rPr>
        <w:t xml:space="preserve"> </w:t>
      </w:r>
      <w:r w:rsidR="00B14C29" w:rsidRPr="00AF720A">
        <w:rPr>
          <w:lang w:val="en-US"/>
        </w:rPr>
        <w:t>and</w:t>
      </w:r>
      <w:r w:rsidRPr="00AF720A">
        <w:rPr>
          <w:lang w:val="en-US"/>
        </w:rPr>
        <w:t xml:space="preserve"> improve</w:t>
      </w:r>
      <w:r w:rsidR="00B14C29" w:rsidRPr="00AF720A">
        <w:rPr>
          <w:lang w:val="en-US"/>
        </w:rPr>
        <w:t>d</w:t>
      </w:r>
      <w:r w:rsidRPr="00AF720A">
        <w:rPr>
          <w:lang w:val="en-US"/>
        </w:rPr>
        <w:t xml:space="preserve"> endothelial function </w:t>
      </w:r>
      <w:r w:rsidR="00852C19" w:rsidRPr="00AF720A">
        <w:rPr>
          <w:lang w:val="en-US"/>
        </w:rPr>
        <w:fldChar w:fldCharType="begin"/>
      </w:r>
      <w:r w:rsidR="00852C19" w:rsidRPr="00AF720A">
        <w:rPr>
          <w:lang w:val="en-US"/>
        </w:rPr>
        <w:instrText xml:space="preserve"> ADDIN ZOTERO_ITEM CSL_CITATION {"citationID":"ddufNI07","properties":{"formattedCitation":"(5)","plainCitation":"(5)","noteIndex":0},"citationItems":[{"id":8132,"uris":["http://zotero.org/users/446899/items/MSY4THDY"],"uri":["http://zotero.org/users/446899/items/MSY4THDY"],"itemData":{"id":8132,"type":"article-journal","title":"Chocolate--guilty pleasure or healthy supplement?","container-title":"Journal of Clinical Hypertension (Greenwich, Conn.)","page":"101-106","volume":"16","issue":"2","source":"PubMed","abstract":"Dark chocolate and other cocoa products are popular in the population as a whole, but their overall health benefit remains controversial. Observations from the Kuna Indian population have shown an impressive cardiovascular health benefit from cocoa. For various reasons, this benefit has not been as robust as in other populations. Additionally, several mechanisms have been proposed that might confer cocoa's possible health benefit, but no consensus has been reached on cocoa's physiologic role in promoting cardiovascular health. Flavanols, as well as theobromine, may contribute to enhancements in endothelial function and subsequent improvements in various contributors to cardiovascular disease (CVD) including hypertension, platelet aggregation and adhesion, insulin resistance, and hypercholesterolemia. While the benefits of cocoa may be altered at the various stages of growth, development, and production, it appears that for many people \"healthy\" dark chocolate may, indeed, provide a pleasurable role in CVD risk reduction. The objectives of this review are to discuss the associations of cocoa with decreased blood pressure and improved CVD risk, to describe the possible mechanisms for these potential benefits, and to highlight considerations for the use of cocoa as a dietary supplement.","ISSN":"1751-7176","note":"PMID: 24734311","journalAbbreviation":"J Clin Hypertens (Greenwich)","language":"eng","author":[{"family":"Latham","given":"Laura S."},{"family":"Hensen","given":"Zeb K."},{"family":"Minor","given":"Deborah S."}],"issued":{"date-parts":[["2014",2]]}}}],"schema":"https://github.com/citation-style-language/schema/raw/master/csl-citation.json"} </w:instrText>
      </w:r>
      <w:r w:rsidR="00852C19" w:rsidRPr="00AF720A">
        <w:rPr>
          <w:lang w:val="en-US"/>
        </w:rPr>
        <w:fldChar w:fldCharType="separate"/>
      </w:r>
      <w:r w:rsidR="00852C19" w:rsidRPr="00AF720A">
        <w:t>(5)</w:t>
      </w:r>
      <w:r w:rsidR="00852C19" w:rsidRPr="00AF720A">
        <w:rPr>
          <w:lang w:val="en-US"/>
        </w:rPr>
        <w:fldChar w:fldCharType="end"/>
      </w:r>
      <w:r w:rsidR="00852C19" w:rsidRPr="00AF720A">
        <w:rPr>
          <w:lang w:val="en-US"/>
        </w:rPr>
        <w:t xml:space="preserve">. </w:t>
      </w:r>
      <w:r w:rsidR="00153FEC" w:rsidRPr="00AF720A">
        <w:rPr>
          <w:lang w:val="en-US"/>
        </w:rPr>
        <w:t xml:space="preserve">Flavonoids may also </w:t>
      </w:r>
      <w:r w:rsidR="001526AE" w:rsidRPr="00AF720A">
        <w:rPr>
          <w:lang w:val="en-US"/>
        </w:rPr>
        <w:t xml:space="preserve">influence </w:t>
      </w:r>
      <w:r w:rsidR="00B14C29" w:rsidRPr="00AF720A">
        <w:rPr>
          <w:lang w:val="en-US"/>
        </w:rPr>
        <w:t>health via effects on adiposity,</w:t>
      </w:r>
      <w:r w:rsidR="00153FEC" w:rsidRPr="00AF720A">
        <w:rPr>
          <w:lang w:val="en-US"/>
        </w:rPr>
        <w:t xml:space="preserve"> acting as a fat-reduction agent. </w:t>
      </w:r>
      <w:r w:rsidR="0022065A" w:rsidRPr="00AF720A">
        <w:rPr>
          <w:lang w:val="en-US"/>
        </w:rPr>
        <w:t xml:space="preserve">For example, one study of </w:t>
      </w:r>
      <w:r w:rsidR="0022065A" w:rsidRPr="00AF720A">
        <w:t xml:space="preserve">2734 healthy, female </w:t>
      </w:r>
      <w:r w:rsidR="00970D7D" w:rsidRPr="00AF720A">
        <w:t xml:space="preserve">monozygotic </w:t>
      </w:r>
      <w:r w:rsidR="0022065A" w:rsidRPr="00AF720A">
        <w:t>twins aged 18–83 y</w:t>
      </w:r>
      <w:r w:rsidR="00970D7D" w:rsidRPr="00AF720A">
        <w:t xml:space="preserve">ears, found that higher habitual intake of a number of flavonoids </w:t>
      </w:r>
      <w:r w:rsidR="00B14C29" w:rsidRPr="00AF720A">
        <w:t xml:space="preserve">was </w:t>
      </w:r>
      <w:r w:rsidR="00970D7D" w:rsidRPr="00AF720A">
        <w:t>associated with lower fat mass</w:t>
      </w:r>
      <w:r w:rsidR="00B14C29" w:rsidRPr="00AF720A">
        <w:t>,</w:t>
      </w:r>
      <w:r w:rsidR="00970D7D" w:rsidRPr="00AF720A">
        <w:t xml:space="preserve"> independent of shared genetic and common environmental factors</w:t>
      </w:r>
      <w:r w:rsidR="00950778" w:rsidRPr="00AF720A">
        <w:t xml:space="preserve"> </w:t>
      </w:r>
      <w:r w:rsidR="00950778" w:rsidRPr="00AF720A">
        <w:fldChar w:fldCharType="begin"/>
      </w:r>
      <w:r w:rsidR="00950778" w:rsidRPr="00AF720A">
        <w:instrText xml:space="preserve"> ADDIN ZOTERO_ITEM CSL_CITATION {"citationID":"Vv8c0sZT","properties":{"formattedCitation":"(6)","plainCitation":"(6)","noteIndex":0},"citationItems":[{"id":8133,"uris":["http://zotero.org/users/446899/items/AHGM4ZCW"],"uri":["http://zotero.org/users/446899/items/AHGM4ZCW"],"itemData":{"id":8133,"type":"article-journal","title":"Higher dietary flavonoid intakes are associated with lower objectively measured body composition in women: evidence from discordant monozygotic twins12","container-title":"The American Journal of Clinical Nutrition","page":"626-634","volume":"105","issue":"3","source":"PubMed Central","abstract":"Background: Although dietary flavonoid intake has been associated with less weight gain, there are limited data on its impact on fat mass, and to our knowledge, the contribution of genetic factors to this relation has not previously been assessed., Objective: We examined the associations between flavonoid intakes and fat mass., Design: In a study of 2734 healthy, female twins aged 18–83 y from the TwinsUK registry, intakes of total flavonoids and 7 subclasses (flavanones, anthocyanins, flavan-3-ols, flavonols, flavones, polymers, and proanthocyanidins) were calculated with the use of food-frequency questionnaires. Measures of dual-energy X-ray absorptiometry–derived fat mass included the limb-to-trunk fat mass ratio (FMR), fat mass index, and central fat mass index., Results: In cross-sectional multivariable analyses, higher intake of anthocyanins, flavonols, and proanthocyanidins were associated with a lower FMR with mean ± SE differences between extreme quintiles of −0.03 ± 0.02 (P-trend = 0.02), −0.03 ± 0.02 (P-trend = 0.03), and −0.05 ± 0.02 (P-trend &lt; 0.01), respectively. These associations were not markedly changed after further adjustment for fiber and total fruit and vegetable intakes. In monozygotic, intake-discordant twin pairs, twins with higher intakes of flavan-3-ols (n = 154, P = 0.03), flavonols (n = 173, P = 0.03), and proanthocyanidins (n = 172, P &lt; 0.01) had a significantly lower FMR than that of their co-twins with within-pair differences of 3–4%. Furthermore, in confirmatory food-based analyses, twins with higher intakes of flavonol-rich foods (onions, tea, and pears; P = 0.01) and proanthocyanidin-rich foods (apples and cocoa drinks; P = 0.04) and, in younger participants (aged &lt;50 y) only, of anthocyanin-rich foods (berries, pears, grapes, and wine; P = 0.01) had a 3–9% lower FMR than that of their co-twins., Conclusions: These data suggest that higher habitual intake of a number of flavonoids, including anthocyanins, flavan-3-ols, flavonols, and proanthocyanidins, are associated with lower fat mass independent of shared genetic and common environmental factors. Intervention trials are needed to further examine the effect of flavonoid-rich foods on body composition.","DOI":"10.3945/ajcn.116.144394","ISSN":"0002-9165","note":"PMID: 28100511\nPMCID: PMC5320412","shortTitle":"Higher dietary flavonoid intakes are associated with lower objectively measured body composition in women","journalAbbreviation":"Am J Clin Nutr","author":[{"family":"Jennings","given":"Amy"},{"family":"MacGregor","given":"Alex"},{"family":"Spector","given":"Tim"},{"family":"Cassidy","given":"Aedín"}],"issued":{"date-parts":[["2017",3]]}}}],"schema":"https://github.com/citation-style-language/schema/raw/master/csl-citation.json"} </w:instrText>
      </w:r>
      <w:r w:rsidR="00950778" w:rsidRPr="00AF720A">
        <w:fldChar w:fldCharType="separate"/>
      </w:r>
      <w:r w:rsidR="00950778" w:rsidRPr="00AF720A">
        <w:t>(6)</w:t>
      </w:r>
      <w:r w:rsidR="00950778" w:rsidRPr="00AF720A">
        <w:fldChar w:fldCharType="end"/>
      </w:r>
      <w:r w:rsidR="00970D7D" w:rsidRPr="00AF720A">
        <w:t xml:space="preserve">. </w:t>
      </w:r>
      <w:bookmarkStart w:id="5" w:name="_Hlk11313765"/>
      <w:r w:rsidR="00D34CB5" w:rsidRPr="00AF720A">
        <w:rPr>
          <w:lang w:val="en-US"/>
        </w:rPr>
        <w:t>Thus</w:t>
      </w:r>
      <w:r w:rsidR="00CB4171" w:rsidRPr="00AF720A">
        <w:rPr>
          <w:lang w:val="en-US"/>
        </w:rPr>
        <w:t>, it</w:t>
      </w:r>
      <w:r w:rsidR="00396D5F" w:rsidRPr="00AF720A">
        <w:rPr>
          <w:lang w:val="en-US"/>
        </w:rPr>
        <w:t xml:space="preserve"> is </w:t>
      </w:r>
      <w:r w:rsidR="00116E54" w:rsidRPr="00AF720A">
        <w:rPr>
          <w:lang w:val="en-US"/>
        </w:rPr>
        <w:t>plausible</w:t>
      </w:r>
      <w:r w:rsidR="00396D5F" w:rsidRPr="00AF720A">
        <w:rPr>
          <w:lang w:val="en-US"/>
        </w:rPr>
        <w:t xml:space="preserve"> that benefits of chocolate consumption on health are driven by lower levels of adiposity among chocolate consumers.</w:t>
      </w:r>
    </w:p>
    <w:bookmarkEnd w:id="5"/>
    <w:p w14:paraId="15F3D324" w14:textId="0519634C" w:rsidR="00F5050E" w:rsidRPr="00AF720A" w:rsidRDefault="00116E54" w:rsidP="00153FEC">
      <w:pPr>
        <w:rPr>
          <w:lang w:val="en-US"/>
        </w:rPr>
      </w:pPr>
      <w:r w:rsidRPr="00AF720A">
        <w:rPr>
          <w:lang w:val="en-US"/>
        </w:rPr>
        <w:t>The existing literature on the association between chocolate consumption and adiposity is mixed. For example, a</w:t>
      </w:r>
      <w:r w:rsidRPr="00AF720A">
        <w:t xml:space="preserve"> recent meta-analysis showed that higher confectionary intake was inversely associated with overweight and obesity </w:t>
      </w:r>
      <w:r w:rsidRPr="00AF720A">
        <w:fldChar w:fldCharType="begin"/>
      </w:r>
      <w:r w:rsidRPr="00AF720A">
        <w:instrText xml:space="preserve"> ADDIN ZOTERO_ITEM CSL_CITATION {"citationID":"WJaLC2Sw","properties":{"formattedCitation":"(7)","plainCitation":"(7)","noteIndex":0},"citationItems":[{"id":8136,"uris":["http://zotero.org/users/446899/items/LD7EUZ2Y"],"uri":["http://zotero.org/users/446899/items/LD7EUZ2Y"],"itemData":{"id":8136,"type":"article-journal","title":"Confectionery consumption and overweight, obesity, and related outcomes in children and adolescents: a systematic review and meta-analysis","container-title":"The American Journal of Clinical Nutrition","page":"1344-1356","volume":"103","issue":"5","source":"academic.oup.com","abstract":"ABSTRACT.  Background: Many calorie-rich dietary components contribute to obesity. However, the contribution of confectionery to obesity in children and adolesc","DOI":"10.3945/ajcn.115.119883","ISSN":"0002-9165","shortTitle":"Confectionery consumption and overweight, obesity, and related outcomes in children and adolescents","journalAbbreviation":"Am J Clin Nutr","language":"en","author":[{"family":"Gasser","given":"Constantine E."},{"family":"Mensah","given":"Fiona K."},{"family":"Russell","given":"Melissa"},{"family":"Dunn","given":"Sophie E."},{"family":"Wake","given":"Melissa"}],"issued":{"date-parts":[["2016",5,1]]}}}],"schema":"https://github.com/citation-style-language/schema/raw/master/csl-citation.json"} </w:instrText>
      </w:r>
      <w:r w:rsidRPr="00AF720A">
        <w:fldChar w:fldCharType="separate"/>
      </w:r>
      <w:r w:rsidRPr="00AF720A">
        <w:t>(7)</w:t>
      </w:r>
      <w:r w:rsidRPr="00AF720A">
        <w:fldChar w:fldCharType="end"/>
      </w:r>
      <w:r w:rsidRPr="00AF720A">
        <w:t xml:space="preserve">. </w:t>
      </w:r>
      <w:r w:rsidR="001B181C" w:rsidRPr="00AF720A">
        <w:rPr>
          <w:lang w:val="en-US"/>
        </w:rPr>
        <w:t xml:space="preserve">However, </w:t>
      </w:r>
      <w:r w:rsidRPr="00AF720A">
        <w:rPr>
          <w:lang w:val="en-US"/>
        </w:rPr>
        <w:t xml:space="preserve">a prospective </w:t>
      </w:r>
      <w:r w:rsidR="00E72D2E" w:rsidRPr="00AF720A">
        <w:rPr>
          <w:lang w:val="en-US"/>
        </w:rPr>
        <w:t xml:space="preserve">study of 12,830 participants </w:t>
      </w:r>
      <w:r w:rsidRPr="00AF720A">
        <w:rPr>
          <w:lang w:val="en-US"/>
        </w:rPr>
        <w:t>showed</w:t>
      </w:r>
      <w:r w:rsidR="00E72D2E" w:rsidRPr="00AF720A">
        <w:rPr>
          <w:lang w:val="en-US"/>
        </w:rPr>
        <w:t xml:space="preserve"> that chocolate </w:t>
      </w:r>
      <w:r w:rsidRPr="00AF720A">
        <w:rPr>
          <w:lang w:val="en-US"/>
        </w:rPr>
        <w:t xml:space="preserve">consumption </w:t>
      </w:r>
      <w:r w:rsidR="00E72D2E" w:rsidRPr="00AF720A">
        <w:rPr>
          <w:lang w:val="en-US"/>
        </w:rPr>
        <w:t>was associated with long-term weight gain, in a dose-response manner</w:t>
      </w:r>
      <w:r w:rsidR="006A42D5" w:rsidRPr="00AF720A">
        <w:rPr>
          <w:lang w:val="en-US"/>
        </w:rPr>
        <w:t xml:space="preserve"> </w:t>
      </w:r>
      <w:r w:rsidR="006A42D5" w:rsidRPr="00AF720A">
        <w:rPr>
          <w:lang w:val="en-US"/>
        </w:rPr>
        <w:fldChar w:fldCharType="begin"/>
      </w:r>
      <w:r w:rsidR="00DB336B" w:rsidRPr="00AF720A">
        <w:rPr>
          <w:lang w:val="en-US"/>
        </w:rPr>
        <w:instrText xml:space="preserve"> ADDIN ZOTERO_ITEM CSL_CITATION {"citationID":"yDu8kd2P","properties":{"formattedCitation":"(8)","plainCitation":"(8)","noteIndex":0},"citationItems":[{"id":8143,"uris":["http://zotero.org/users/446899/items/7BPLVR7M"],"uri":["http://zotero.org/users/446899/items/7BPLVR7M"],"itemData":{"id":8143,"type":"article-journal","title":"Habitual Chocolate Consumption May Increase Body Weight in a Dose-Response Manner","container-title":"PLOS ONE","page":"e70271","volume":"8","issue":"8","source":"PLoS Journals","abstract":"Objective Habitual chocolate intake was recently found to be associated with lower body weight in three cross-sectional epidemiological studies. Our objective was to assess whether these cross-sectional results hold up in a more rigorous prospective analysis. Methods We used data from the Atherosclerosis Risk in Communities cohort. Usual dietary intake was assessed by questionnaire at baseline (1987–98), and after six years. Participants reported usual chocolate intake as the frequency of eating a 1-oz (</w:instrText>
      </w:r>
      <w:r w:rsidR="00DB336B" w:rsidRPr="00AF720A">
        <w:rPr>
          <w:rFonts w:ascii="Cambria Math" w:hAnsi="Cambria Math" w:cs="Cambria Math"/>
          <w:lang w:val="en-US"/>
        </w:rPr>
        <w:instrText>∼</w:instrText>
      </w:r>
      <w:r w:rsidR="00DB336B" w:rsidRPr="00AF720A">
        <w:rPr>
          <w:lang w:val="en-US"/>
        </w:rPr>
        <w:instrText xml:space="preserve">28 g) serving. Body weight and height were measured at the two visits. Missing data were replaced by multiple imputation. Linear mixed-effects models were used to evaluate cross-sectional and prospective associations between chocolate intake and adiposity. Results Data were from 15,732 and 12,830 participants at the first and second visit, respectively. More frequent chocolate consumption was associated with a significantly greater prospective weight gain over time, in a dose-response manner. For instance, compared to participants who ate a chocolate serving less often than monthly, those who ate it 1–4 times a month and at least weekly experienced an increase in Body Mass Index (kg/m2) of 0.26 (95% CI 0.08, 0.44) and 0.39 (0.23, 0.55), respectively, during the six-year study period. In cross-sectional analyses the frequency of chocolate consumption was inversely associated with body weight. This inverse association was attenuated after excluding participants with preexisting obesity-related illness. Compared to participants without such illness, those with it had higher BMI and reported less frequent chocolate intake, lower caloric intake, and diets richer in fruits and vegetables. They tended to make these dietary changes after becoming ill. Conclusions Our prospective analysis found that a chocolate habit was associated with long-term weight gain, in a dose-response manner. Our cross-sectional finding that chocolate intake was associated with lower body weight did not apply to participants without preexisting serious illness.","DOI":"10.1371/journal.pone.0070271","ISSN":"1932-6203","journalAbbreviation":"PLOS ONE","language":"en","author":[{"family":"Greenberg","given":"James A."},{"family":"Buijsse","given":"Brian"}],"issued":{"date-parts":[["2013",8,7]]}}}],"schema":"https://github.com/citation-style-language/schema/raw/master/csl-citation.json"} </w:instrText>
      </w:r>
      <w:r w:rsidR="006A42D5" w:rsidRPr="00AF720A">
        <w:rPr>
          <w:lang w:val="en-US"/>
        </w:rPr>
        <w:fldChar w:fldCharType="separate"/>
      </w:r>
      <w:r w:rsidR="00DB336B" w:rsidRPr="00AF720A">
        <w:t>(8)</w:t>
      </w:r>
      <w:r w:rsidR="006A42D5" w:rsidRPr="00AF720A">
        <w:rPr>
          <w:lang w:val="en-US"/>
        </w:rPr>
        <w:fldChar w:fldCharType="end"/>
      </w:r>
      <w:r w:rsidR="00E72D2E" w:rsidRPr="00AF720A">
        <w:rPr>
          <w:lang w:val="en-US"/>
        </w:rPr>
        <w:t>.</w:t>
      </w:r>
      <w:r w:rsidR="000104C7" w:rsidRPr="00AF720A">
        <w:rPr>
          <w:lang w:val="en-US"/>
        </w:rPr>
        <w:t xml:space="preserve"> </w:t>
      </w:r>
      <w:r w:rsidRPr="00AF720A">
        <w:rPr>
          <w:lang w:val="en-US"/>
        </w:rPr>
        <w:t>A key limitation of previous studies is that they</w:t>
      </w:r>
      <w:r w:rsidR="00E72D2E" w:rsidRPr="00AF720A">
        <w:rPr>
          <w:lang w:val="en-US"/>
        </w:rPr>
        <w:t xml:space="preserve"> have not</w:t>
      </w:r>
      <w:r w:rsidR="007A0D33" w:rsidRPr="00AF720A">
        <w:rPr>
          <w:lang w:val="en-US"/>
        </w:rPr>
        <w:t xml:space="preserve"> accounted for the amount of dark and non-dark chocolate consumed</w:t>
      </w:r>
      <w:r w:rsidR="00E72D2E" w:rsidRPr="00AF720A">
        <w:rPr>
          <w:lang w:val="en-US"/>
        </w:rPr>
        <w:t xml:space="preserve">. </w:t>
      </w:r>
      <w:r w:rsidRPr="00AF720A">
        <w:rPr>
          <w:lang w:val="en-US"/>
        </w:rPr>
        <w:t>D</w:t>
      </w:r>
      <w:r w:rsidR="00E72D2E" w:rsidRPr="00AF720A">
        <w:rPr>
          <w:lang w:val="en-US"/>
        </w:rPr>
        <w:t xml:space="preserve">ark chocolate </w:t>
      </w:r>
      <w:r w:rsidR="00E72D2E" w:rsidRPr="00AF720A">
        <w:rPr>
          <w:lang w:val="en-US"/>
        </w:rPr>
        <w:lastRenderedPageBreak/>
        <w:t>contains a higher volume of flavonoids</w:t>
      </w:r>
      <w:r w:rsidR="00F5050E" w:rsidRPr="00AF720A">
        <w:rPr>
          <w:lang w:val="en-US"/>
        </w:rPr>
        <w:t xml:space="preserve"> than other chocolate types</w:t>
      </w:r>
      <w:r w:rsidRPr="00AF720A">
        <w:rPr>
          <w:lang w:val="en-US"/>
        </w:rPr>
        <w:t>, so</w:t>
      </w:r>
      <w:r w:rsidR="00E72D2E" w:rsidRPr="00AF720A">
        <w:rPr>
          <w:lang w:val="en-US"/>
        </w:rPr>
        <w:t xml:space="preserve"> it is important to </w:t>
      </w:r>
      <w:r w:rsidR="00162606" w:rsidRPr="00AF720A">
        <w:rPr>
          <w:lang w:val="en-US"/>
        </w:rPr>
        <w:t xml:space="preserve">take this into account </w:t>
      </w:r>
      <w:r w:rsidR="007A0D33" w:rsidRPr="00AF720A">
        <w:rPr>
          <w:lang w:val="en-US"/>
        </w:rPr>
        <w:t xml:space="preserve">when investigating the association between chocolate consumption </w:t>
      </w:r>
      <w:r w:rsidR="00E72D2E" w:rsidRPr="00AF720A">
        <w:rPr>
          <w:lang w:val="en-US"/>
        </w:rPr>
        <w:t>and measures of adiposity.</w:t>
      </w:r>
    </w:p>
    <w:p w14:paraId="5AFDB673" w14:textId="0E1D17E7" w:rsidR="000D1AFC" w:rsidRPr="00AF720A" w:rsidRDefault="00F5050E" w:rsidP="00762330">
      <w:pPr>
        <w:rPr>
          <w:lang w:val="en-US"/>
        </w:rPr>
      </w:pPr>
      <w:r w:rsidRPr="00AF720A">
        <w:rPr>
          <w:lang w:val="en-US"/>
        </w:rPr>
        <w:t xml:space="preserve">Therefore, the aim of the present study was to investigate the association between consumption of </w:t>
      </w:r>
      <w:r w:rsidR="00116E54" w:rsidRPr="00AF720A">
        <w:rPr>
          <w:lang w:val="en-US"/>
        </w:rPr>
        <w:t xml:space="preserve">dark and non-dark </w:t>
      </w:r>
      <w:r w:rsidRPr="00AF720A">
        <w:rPr>
          <w:lang w:val="en-US"/>
        </w:rPr>
        <w:t>chocolate and measures of adiposity in a large</w:t>
      </w:r>
      <w:r w:rsidR="00116E54" w:rsidRPr="00AF720A">
        <w:rPr>
          <w:lang w:val="en-US"/>
        </w:rPr>
        <w:t>,</w:t>
      </w:r>
      <w:r w:rsidRPr="00AF720A">
        <w:rPr>
          <w:lang w:val="en-US"/>
        </w:rPr>
        <w:t xml:space="preserve"> representative sample of US adults</w:t>
      </w:r>
      <w:r w:rsidR="009D521C" w:rsidRPr="00AF720A">
        <w:rPr>
          <w:lang w:val="en-US"/>
        </w:rPr>
        <w:t>.</w:t>
      </w:r>
    </w:p>
    <w:p w14:paraId="2F64040D" w14:textId="53EA34F0" w:rsidR="004139B6" w:rsidRPr="00AF720A" w:rsidRDefault="00EA7ACF" w:rsidP="00EA436E">
      <w:pPr>
        <w:pStyle w:val="Heading2"/>
        <w:rPr>
          <w:lang w:val="en-US"/>
        </w:rPr>
      </w:pPr>
      <w:r w:rsidRPr="00AF720A">
        <w:rPr>
          <w:lang w:val="en-US"/>
        </w:rPr>
        <w:t>Materials and methods</w:t>
      </w:r>
    </w:p>
    <w:p w14:paraId="2AFC4330" w14:textId="4FADEB4A" w:rsidR="00DD061A" w:rsidRPr="00AF720A" w:rsidRDefault="00DD061A" w:rsidP="00EA436E">
      <w:pPr>
        <w:pStyle w:val="Heading3"/>
        <w:rPr>
          <w:lang w:val="en-US"/>
        </w:rPr>
      </w:pPr>
      <w:r w:rsidRPr="00AF720A">
        <w:rPr>
          <w:lang w:val="en-US"/>
        </w:rPr>
        <w:t xml:space="preserve">Study </w:t>
      </w:r>
      <w:r w:rsidR="00E901B1" w:rsidRPr="00AF720A">
        <w:rPr>
          <w:lang w:val="en-US"/>
        </w:rPr>
        <w:t>p</w:t>
      </w:r>
      <w:r w:rsidR="004139B6" w:rsidRPr="00AF720A">
        <w:rPr>
          <w:lang w:val="en-US"/>
        </w:rPr>
        <w:t>opulation</w:t>
      </w:r>
    </w:p>
    <w:p w14:paraId="2AAA4176" w14:textId="2C560A9B" w:rsidR="003E79BC" w:rsidRPr="00AF720A" w:rsidRDefault="003E79BC" w:rsidP="00EA436E">
      <w:pPr>
        <w:rPr>
          <w:lang w:val="en-US"/>
        </w:rPr>
      </w:pPr>
      <w:r w:rsidRPr="00AF720A">
        <w:rPr>
          <w:lang w:val="en-US"/>
        </w:rPr>
        <w:t>The National Health and Nutrition Examination Survey (NHANES)</w:t>
      </w:r>
      <w:r w:rsidR="00D830D7" w:rsidRPr="00AF720A">
        <w:rPr>
          <w:lang w:val="en-US"/>
        </w:rPr>
        <w:t>, described in detail elsewhere</w:t>
      </w:r>
      <w:r w:rsidR="00AB34E7" w:rsidRPr="00AF720A">
        <w:rPr>
          <w:lang w:val="en-US"/>
        </w:rPr>
        <w:t xml:space="preserve"> </w:t>
      </w:r>
      <w:r w:rsidR="00AB34E7" w:rsidRPr="00AF720A">
        <w:rPr>
          <w:lang w:val="en-US"/>
        </w:rPr>
        <w:fldChar w:fldCharType="begin"/>
      </w:r>
      <w:r w:rsidR="00DB336B" w:rsidRPr="00AF720A">
        <w:rPr>
          <w:lang w:val="en-US"/>
        </w:rPr>
        <w:instrText xml:space="preserve"> ADDIN ZOTERO_ITEM CSL_CITATION {"citationID":"KLMat0IC","properties":{"formattedCitation":"(9,10)","plainCitation":"(9,10)","noteIndex":0},"citationItems":[{"id":5924,"uris":["http://zotero.org/users/446899/items/LNX8CRE3"],"uri":["http://zotero.org/users/446899/items/LNX8CRE3"],"itemData":{"id":5924,"type":"article-journal","title":"The National Health and Nutrition Examination Survey: Sample Design, 1999-2006","container-title":"Vital and Health Statistics. Series 2, Data Evaluation and Methods Research","page":"1-39","issue":"155","source":"PubMed","abstract":"BACKGROUND: Data collection for the National Health and Nutrition Examination Survey (NHANES) comprises three levels: a household screener, an interview, and a physical examination. The primary objective of the screener is to determine whether any household members are eligible for the interview and examination. Eligibility is determined by the preset selection probabilities for the desired demographic subdomains. After selection as an eligible sample person, the interview collects person-level demographic, health, and nutrition information as well as information about the household. The examination includes physical measurements, tests such as eye and dental examinations, and the collection of blood and urine specimens for laboratory testing.\nOBJECTIVES: This report will first describe the broad design specifications for the 1999-2006 survey including survey objectives, domain and precision specifications, operational requirements, sample design, and estimations procedures. Details of the sample design are divided into two sections. The first section (NHANES 1999-2001 Sample Design) broadly describes the sample design and various design changes during the first three years of the continuous NHANES (1999-2001). The second section (NHANES 2002-2006 Sample Design) describes the final sample design developed and applied for 2002-2006. Weighting and variance estimation procedures are presented in the same manner; however, to correspond to the public data release cycles, the weighting and variance sections are separated into those used for 1999-2002, and those used for 2003-2006. Much of this report is based on survey operations documents and sample design reports prepared by Westat. Documentation of the survey content, procedures, and methods to assess nonsampling errors are reported elsewhere.","ISSN":"0083-2057","note":"PMID: 22788053","shortTitle":"The National Health and Nutrition Examination Survey","journalAbbreviation":"Vital Health Stat 2","language":"eng","author":[{"family":"Curtin","given":"Lester R."},{"family":"Mohadjer","given":"Leyla K."},{"family":"Dohrmann","given":"Sylvia M."},{"family":"Montaquila","given":"Jill M."},{"family":"Kruszan-Moran","given":"Deanna"},{"family":"Mirel","given":"Lisa B."},{"family":"Carroll","given":"Margaret D."},{"family":"Hirsch","given":"Rosemarie"},{"family":"Schober","given":"Susan"},{"family":"Johnson","given":"Clifford L."}],"issued":{"date-parts":[["2012",5]]}}},{"id":7924,"uris":["http://zotero.org/users/446899/items/DR45IGLW"],"uri":["http://zotero.org/users/446899/items/DR45IGLW"],"itemData":{"id":7924,"type":"article-journal","title":"National Health and Nutrition Examination Survey: sample design, 2007-2010","container-title":"Vital and Health Statistics. Series 2, Data Evaluation and Methods Research","page":"1-23","issue":"160","source":"PubMed","abstract":"BACKGROUND: Data collection for the National Health and Nutrition Examination Survey (NHANES) comprises three levels: a household screener, an interview, and a physical examination. The primary objective of the screener is to determine whether any household members are eligible for the interview an dexamination. Eligibility is determined by preset selection probabilities for the desired demographic subdomains. After an eligible sample person is selected, the interview collects person-level demographic, health, and nutrition information, as well as information about the household. The examination includes physical measurements, tests such as hearing and dental examinations, and the collection of blood and urine specimens for laboratory testing.\nOBJECTIVES: This report provides some background on the NHANES program, beginning with the first survey cycle in the 1970s and highlighting significant changes since its inception. The report then describes the broad design specifications for the 2007-2010 survey cycle, including survey objectives, domain and precision specifications, and operational requirements unique to NHANES. In addition, the report describes the details of the survey design, including the calculation of sampling rates and sample selection methods. Documentation of survey content, data collection procedures, estimation methods, and methods to assess nonsampling errors are reported elsewhere.","ISSN":"0083-2057","note":"PMID: 25090039","shortTitle":"National Health and Nutrition Examination Survey","journalAbbreviation":"Vital Health Stat 2","language":"eng","author":[{"family":"Curtin","given":"Lester R."},{"family":"Mohadjer","given":"Leyla K."},{"family":"Dohrmann","given":"Sylvia M."},{"family":"Kruszon-Moran","given":"Deanna"},{"family":"Mirel","given":"Lisa B."},{"family":"Carroll","given":"Margaret D."},{"family":"Hirsch","given":"Rosemarie"},{"family":"Burt","given":"Vicki L."},{"family":"Johnson","given":"Clifford L."}],"issued":{"date-parts":[["2013",8]]}}}],"schema":"https://github.com/citation-style-language/schema/raw/master/csl-citation.json"} </w:instrText>
      </w:r>
      <w:r w:rsidR="00AB34E7" w:rsidRPr="00AF720A">
        <w:rPr>
          <w:lang w:val="en-US"/>
        </w:rPr>
        <w:fldChar w:fldCharType="separate"/>
      </w:r>
      <w:r w:rsidR="00DB336B" w:rsidRPr="00AF720A">
        <w:t>(9,10)</w:t>
      </w:r>
      <w:r w:rsidR="00AB34E7" w:rsidRPr="00AF720A">
        <w:rPr>
          <w:lang w:val="en-US"/>
        </w:rPr>
        <w:fldChar w:fldCharType="end"/>
      </w:r>
      <w:r w:rsidR="00D830D7" w:rsidRPr="00AF720A">
        <w:rPr>
          <w:lang w:val="en-US"/>
        </w:rPr>
        <w:t>,</w:t>
      </w:r>
      <w:r w:rsidRPr="00AF720A">
        <w:rPr>
          <w:lang w:val="en-US"/>
        </w:rPr>
        <w:t xml:space="preserve"> </w:t>
      </w:r>
      <w:r w:rsidR="00300860" w:rsidRPr="00AF720A">
        <w:rPr>
          <w:lang w:val="en-US"/>
        </w:rPr>
        <w:t>was designed to provide cross-sectional estimates o</w:t>
      </w:r>
      <w:r w:rsidR="00227D78" w:rsidRPr="00AF720A">
        <w:rPr>
          <w:lang w:val="en-US"/>
        </w:rPr>
        <w:t>f</w:t>
      </w:r>
      <w:r w:rsidR="00300860" w:rsidRPr="00AF720A">
        <w:rPr>
          <w:lang w:val="en-US"/>
        </w:rPr>
        <w:t xml:space="preserve"> the prevalence of health, nutrition, and potential risk factors</w:t>
      </w:r>
      <w:r w:rsidR="003D1B76" w:rsidRPr="00AF720A">
        <w:rPr>
          <w:lang w:val="en-US"/>
        </w:rPr>
        <w:t xml:space="preserve"> among </w:t>
      </w:r>
      <w:r w:rsidR="00577286" w:rsidRPr="00AF720A">
        <w:rPr>
          <w:lang w:val="en-US"/>
        </w:rPr>
        <w:t xml:space="preserve">the </w:t>
      </w:r>
      <w:r w:rsidR="003D1B76" w:rsidRPr="00AF720A">
        <w:rPr>
          <w:lang w:val="en-US"/>
        </w:rPr>
        <w:t>civilian non-institutionalized US populatio</w:t>
      </w:r>
      <w:r w:rsidR="00AB34E7" w:rsidRPr="00AF720A">
        <w:rPr>
          <w:lang w:val="en-US"/>
        </w:rPr>
        <w:t>n</w:t>
      </w:r>
      <w:r w:rsidR="00311A20" w:rsidRPr="00AF720A">
        <w:rPr>
          <w:lang w:val="en-US"/>
        </w:rPr>
        <w:t>.</w:t>
      </w:r>
      <w:r w:rsidR="00300860" w:rsidRPr="00AF720A">
        <w:rPr>
          <w:lang w:val="en-US"/>
        </w:rPr>
        <w:t xml:space="preserve"> </w:t>
      </w:r>
      <w:r w:rsidR="00D830D7" w:rsidRPr="00AF720A">
        <w:rPr>
          <w:lang w:val="en-US"/>
        </w:rPr>
        <w:t xml:space="preserve">Since 1999, NHANES </w:t>
      </w:r>
      <w:r w:rsidR="00B3354A" w:rsidRPr="00AF720A">
        <w:rPr>
          <w:lang w:val="en-US"/>
        </w:rPr>
        <w:t>has surveyed</w:t>
      </w:r>
      <w:r w:rsidR="00D830D7" w:rsidRPr="00AF720A">
        <w:rPr>
          <w:lang w:val="en-US"/>
        </w:rPr>
        <w:t xml:space="preserve"> a nationally representative, complex, stratified, multistage probability sample of the US population continuously in 2-year cycles, </w:t>
      </w:r>
      <w:r w:rsidR="00B3354A" w:rsidRPr="00AF720A">
        <w:rPr>
          <w:lang w:val="en-US"/>
        </w:rPr>
        <w:t xml:space="preserve">with different participants included in each wave. The assessment methods </w:t>
      </w:r>
      <w:r w:rsidR="00D830D7" w:rsidRPr="00AF720A">
        <w:rPr>
          <w:lang w:val="en-US"/>
        </w:rPr>
        <w:t>includ</w:t>
      </w:r>
      <w:r w:rsidR="00B3354A" w:rsidRPr="00AF720A">
        <w:rPr>
          <w:lang w:val="en-US"/>
        </w:rPr>
        <w:t>e</w:t>
      </w:r>
      <w:r w:rsidR="00D830D7" w:rsidRPr="00AF720A">
        <w:rPr>
          <w:lang w:val="en-US"/>
        </w:rPr>
        <w:t xml:space="preserve"> a household interview and a physical examination in a mobile examination </w:t>
      </w:r>
      <w:r w:rsidR="003A092A" w:rsidRPr="00AF720A">
        <w:rPr>
          <w:lang w:val="en-US"/>
        </w:rPr>
        <w:t>center</w:t>
      </w:r>
      <w:r w:rsidR="00D830D7" w:rsidRPr="00AF720A">
        <w:rPr>
          <w:lang w:val="en-US"/>
        </w:rPr>
        <w:t xml:space="preserve">. </w:t>
      </w:r>
      <w:r w:rsidR="0014079C" w:rsidRPr="00AF720A">
        <w:rPr>
          <w:lang w:val="en-US"/>
        </w:rPr>
        <w:t>For the present analyses, w</w:t>
      </w:r>
      <w:r w:rsidR="00FD1667" w:rsidRPr="00AF720A">
        <w:rPr>
          <w:lang w:val="en-US"/>
        </w:rPr>
        <w:t xml:space="preserve">e </w:t>
      </w:r>
      <w:r w:rsidR="005906F4" w:rsidRPr="00AF720A">
        <w:rPr>
          <w:lang w:val="en-US"/>
        </w:rPr>
        <w:t xml:space="preserve">included </w:t>
      </w:r>
      <w:r w:rsidR="00116E54" w:rsidRPr="00AF720A">
        <w:rPr>
          <w:lang w:val="en-US"/>
        </w:rPr>
        <w:t xml:space="preserve">non-diabetic </w:t>
      </w:r>
      <w:r w:rsidR="00FA3284" w:rsidRPr="00AF720A">
        <w:rPr>
          <w:lang w:val="en-US"/>
        </w:rPr>
        <w:t xml:space="preserve">adult </w:t>
      </w:r>
      <w:r w:rsidR="005906F4" w:rsidRPr="00AF720A">
        <w:rPr>
          <w:lang w:val="en-US"/>
        </w:rPr>
        <w:t xml:space="preserve">participants </w:t>
      </w:r>
      <w:r w:rsidR="0014079C" w:rsidRPr="00AF720A">
        <w:rPr>
          <w:lang w:val="en-US"/>
        </w:rPr>
        <w:t xml:space="preserve">over five </w:t>
      </w:r>
      <w:r w:rsidR="00762330" w:rsidRPr="00AF720A">
        <w:rPr>
          <w:lang w:val="en-US"/>
        </w:rPr>
        <w:t xml:space="preserve">study </w:t>
      </w:r>
      <w:r w:rsidR="0014079C" w:rsidRPr="00AF720A">
        <w:rPr>
          <w:lang w:val="en-US"/>
        </w:rPr>
        <w:t xml:space="preserve">cycles </w:t>
      </w:r>
      <w:r w:rsidR="00762330" w:rsidRPr="00AF720A">
        <w:rPr>
          <w:lang w:val="en-US"/>
        </w:rPr>
        <w:t>(</w:t>
      </w:r>
      <w:r w:rsidR="009261F4" w:rsidRPr="00AF720A">
        <w:rPr>
          <w:lang w:val="en-US"/>
        </w:rPr>
        <w:t>2005-06</w:t>
      </w:r>
      <w:r w:rsidR="00116E54" w:rsidRPr="00AF720A">
        <w:rPr>
          <w:lang w:val="en-US"/>
        </w:rPr>
        <w:t>;</w:t>
      </w:r>
      <w:r w:rsidR="009261F4" w:rsidRPr="00AF720A">
        <w:rPr>
          <w:lang w:val="en-US"/>
        </w:rPr>
        <w:t xml:space="preserve"> </w:t>
      </w:r>
      <w:r w:rsidR="0014079C" w:rsidRPr="00AF720A">
        <w:rPr>
          <w:lang w:val="en-US"/>
        </w:rPr>
        <w:t>2007-08</w:t>
      </w:r>
      <w:r w:rsidR="00762330" w:rsidRPr="00AF720A">
        <w:rPr>
          <w:lang w:val="en-US"/>
        </w:rPr>
        <w:t xml:space="preserve">; 2009-10; 2011-12; </w:t>
      </w:r>
      <w:r w:rsidR="0014079C" w:rsidRPr="00AF720A">
        <w:rPr>
          <w:lang w:val="en-US"/>
        </w:rPr>
        <w:t>2013-14</w:t>
      </w:r>
      <w:r w:rsidR="00762330" w:rsidRPr="00AF720A">
        <w:rPr>
          <w:lang w:val="en-US"/>
        </w:rPr>
        <w:t>)</w:t>
      </w:r>
      <w:r w:rsidR="0014079C" w:rsidRPr="00AF720A">
        <w:rPr>
          <w:lang w:val="en-US"/>
        </w:rPr>
        <w:t xml:space="preserve"> with</w:t>
      </w:r>
      <w:r w:rsidR="00FD1667" w:rsidRPr="00AF720A">
        <w:rPr>
          <w:lang w:val="en-US"/>
        </w:rPr>
        <w:t xml:space="preserve"> </w:t>
      </w:r>
      <w:r w:rsidR="003C1768" w:rsidRPr="00AF720A">
        <w:rPr>
          <w:lang w:val="en-US"/>
        </w:rPr>
        <w:t xml:space="preserve">available </w:t>
      </w:r>
      <w:r w:rsidR="00FD1667" w:rsidRPr="00AF720A">
        <w:rPr>
          <w:lang w:val="en-US"/>
        </w:rPr>
        <w:t xml:space="preserve">data on </w:t>
      </w:r>
      <w:r w:rsidR="00301CF0" w:rsidRPr="00AF720A">
        <w:rPr>
          <w:lang w:val="en-US"/>
        </w:rPr>
        <w:t>chocolate consumption from</w:t>
      </w:r>
      <w:r w:rsidR="00FD1667" w:rsidRPr="00AF720A">
        <w:rPr>
          <w:lang w:val="en-US"/>
        </w:rPr>
        <w:t xml:space="preserve"> two </w:t>
      </w:r>
      <w:r w:rsidR="0014079C" w:rsidRPr="00AF720A">
        <w:rPr>
          <w:lang w:val="en-US"/>
        </w:rPr>
        <w:t>24-hour</w:t>
      </w:r>
      <w:r w:rsidR="00FD1667" w:rsidRPr="00AF720A">
        <w:rPr>
          <w:lang w:val="en-US"/>
        </w:rPr>
        <w:t xml:space="preserve"> dietary recalls.</w:t>
      </w:r>
      <w:r w:rsidR="005906F4" w:rsidRPr="00AF720A">
        <w:rPr>
          <w:lang w:val="en-US"/>
        </w:rPr>
        <w:t xml:space="preserve"> </w:t>
      </w:r>
    </w:p>
    <w:p w14:paraId="43819700" w14:textId="42115BE8" w:rsidR="0033179E" w:rsidRPr="00AF720A" w:rsidRDefault="00C2575A" w:rsidP="00EA436E">
      <w:pPr>
        <w:pStyle w:val="Heading3"/>
        <w:rPr>
          <w:lang w:val="en-US"/>
        </w:rPr>
      </w:pPr>
      <w:r w:rsidRPr="00AF720A">
        <w:rPr>
          <w:lang w:val="en-US"/>
        </w:rPr>
        <w:t>Measures</w:t>
      </w:r>
    </w:p>
    <w:p w14:paraId="2EFF9A9D" w14:textId="6914A958" w:rsidR="00C2575A" w:rsidRPr="00AF720A" w:rsidRDefault="00C2575A" w:rsidP="00C2575A">
      <w:pPr>
        <w:pStyle w:val="Heading4"/>
        <w:rPr>
          <w:lang w:val="en-US"/>
        </w:rPr>
      </w:pPr>
      <w:r w:rsidRPr="00AF720A">
        <w:rPr>
          <w:lang w:val="en-US"/>
        </w:rPr>
        <w:t>Exposure: chocolate consumption</w:t>
      </w:r>
    </w:p>
    <w:p w14:paraId="59A76377" w14:textId="12B09564" w:rsidR="009B22D0" w:rsidRPr="00AF720A" w:rsidRDefault="00FD1667" w:rsidP="00EA436E">
      <w:pPr>
        <w:rPr>
          <w:lang w:val="en-US"/>
        </w:rPr>
      </w:pPr>
      <w:r w:rsidRPr="00AF720A">
        <w:rPr>
          <w:lang w:val="en-US"/>
        </w:rPr>
        <w:t>A key component of NHANES is dietary assessment. In brief, NHAN</w:t>
      </w:r>
      <w:r w:rsidR="001C7859" w:rsidRPr="00AF720A">
        <w:rPr>
          <w:lang w:val="en-US"/>
        </w:rPr>
        <w:t>E</w:t>
      </w:r>
      <w:r w:rsidRPr="00AF720A">
        <w:rPr>
          <w:lang w:val="en-US"/>
        </w:rPr>
        <w:t xml:space="preserve">S participants </w:t>
      </w:r>
      <w:r w:rsidR="001C7859" w:rsidRPr="00AF720A">
        <w:rPr>
          <w:lang w:val="en-US"/>
        </w:rPr>
        <w:t>are asked to complete two 24-hour recalls of</w:t>
      </w:r>
      <w:r w:rsidRPr="00AF720A">
        <w:rPr>
          <w:lang w:val="en-US"/>
        </w:rPr>
        <w:t xml:space="preserve"> dietary intake using the USDA’s Automated Multiple-Pass</w:t>
      </w:r>
      <w:r w:rsidR="0033179E" w:rsidRPr="00AF720A">
        <w:rPr>
          <w:lang w:val="en-US"/>
        </w:rPr>
        <w:t xml:space="preserve"> method</w:t>
      </w:r>
      <w:r w:rsidR="000D5A8E" w:rsidRPr="00AF720A">
        <w:rPr>
          <w:lang w:val="en-US"/>
        </w:rPr>
        <w:t xml:space="preserve"> </w:t>
      </w:r>
      <w:r w:rsidR="00AB34E7" w:rsidRPr="00AF720A">
        <w:rPr>
          <w:lang w:val="en-US"/>
        </w:rPr>
        <w:fldChar w:fldCharType="begin"/>
      </w:r>
      <w:r w:rsidR="00DB336B" w:rsidRPr="00AF720A">
        <w:rPr>
          <w:lang w:val="en-US"/>
        </w:rPr>
        <w:instrText xml:space="preserve"> ADDIN ZOTERO_ITEM CSL_CITATION {"citationID":"xHZqbeg9","properties":{"formattedCitation":"(11)","plainCitation":"(11)","noteIndex":0},"citationItems":[{"id":5922,"uris":["http://zotero.org/users/446899/items/RATALIYL"],"uri":["http://zotero.org/users/446899/items/RATALIYL"],"itemData":{"id":5922,"type":"article-journal","title":"Update on NHANES Dietary Data: Focus on Collection, Release, Analytical Considerations, and Uses to Inform Public Policy","container-title":"Advances in Nutrition (Bethesda, Md.)","page":"121-134","volume":"7","issue":"1","source":"PubMed","abstract":"NHANES is the cornerstone for national nutrition monitoring to inform nutrition and health policy. Nutritional assessment in NHANES is described with a focus on dietary data collection, analysis, and uses in nutrition monitoring. NHANES has been collecting thorough data on diet, nutritional status, and chronic disease in cross-sectional surveys with nationally representative samples since the early 1970s. Continuous data collection began in 1999 with public data release in 2-y cycles on </w:instrText>
      </w:r>
      <w:r w:rsidR="00DB336B" w:rsidRPr="00AF720A">
        <w:rPr>
          <w:rFonts w:ascii="Cambria Math" w:hAnsi="Cambria Math" w:cs="Cambria Math"/>
          <w:lang w:val="en-US"/>
        </w:rPr>
        <w:instrText>∼</w:instrText>
      </w:r>
      <w:r w:rsidR="00DB336B" w:rsidRPr="00AF720A">
        <w:rPr>
          <w:lang w:val="en-US"/>
        </w:rPr>
        <w:instrText xml:space="preserve">10,000 participants. In 2002, the Continuing Survey of Food Intakes by Individuals and the NHANES dietary component were merged, forming a consolidated dietary data collection known as What We Eat in America; since then, 24-h recalls have been collected on 2 d using the USDA's Automated Multiple-Pass Method. Detailed and targeted food-frequency questionnaires have been collected in some NHANES cycles. Dietary supplement use data have been collected (in detail since 2007) so that total nutrient intakes can be described for the population. The continuous NHANES can adapt its content to address emerging public health needs and reflect federal priorities. Changes in data collection methods are made after expert input and validation/crossover studies. NHANES dietary data are used to describe intake of foods, nutrients, food groups, and dietary patterns by the US population and large sociodemographic groups to plan and evaluate nutrition programs and policies. Usual dietary intake distributions can be estimated after adjusting for day-to-day variation. NHANES remains open and flexible to incorporate improvements while maintaining data quality and providing timely data to track the nation's nutrition and health status. In summary, NHANES collects dietary data in the context of its broad, multipurpose goals; the strengths and limitations of these data are also discussed in this review.","DOI":"10.3945/an.115.009258","ISSN":"2156-5376","note":"PMID: 26773020\nPMCID: PMC4717880","shortTitle":"Update on NHANES Dietary Data","journalAbbreviation":"Adv Nutr","language":"eng","author":[{"family":"Ahluwalia","given":"Namanjeet"},{"family":"Dwyer","given":"Johanna"},{"family":"Terry","given":"Ana"},{"family":"Moshfegh","given":"Alanna"},{"family":"Johnson","given":"Clifford"}],"issued":{"date-parts":[["2016",1]]}}}],"schema":"https://github.com/citation-style-language/schema/raw/master/csl-citation.json"} </w:instrText>
      </w:r>
      <w:r w:rsidR="00AB34E7" w:rsidRPr="00AF720A">
        <w:rPr>
          <w:lang w:val="en-US"/>
        </w:rPr>
        <w:fldChar w:fldCharType="separate"/>
      </w:r>
      <w:r w:rsidR="00DB336B" w:rsidRPr="00AF720A">
        <w:t>(11)</w:t>
      </w:r>
      <w:r w:rsidR="00AB34E7" w:rsidRPr="00AF720A">
        <w:rPr>
          <w:lang w:val="en-US"/>
        </w:rPr>
        <w:fldChar w:fldCharType="end"/>
      </w:r>
      <w:r w:rsidRPr="00AF720A">
        <w:rPr>
          <w:lang w:val="en-US"/>
        </w:rPr>
        <w:t xml:space="preserve">. </w:t>
      </w:r>
      <w:r w:rsidR="001C7859" w:rsidRPr="00AF720A">
        <w:rPr>
          <w:lang w:val="en-US"/>
        </w:rPr>
        <w:t>For the cycles used in the present analyses, t</w:t>
      </w:r>
      <w:r w:rsidR="0033179E" w:rsidRPr="00AF720A">
        <w:rPr>
          <w:lang w:val="en-US"/>
        </w:rPr>
        <w:t xml:space="preserve">he first </w:t>
      </w:r>
      <w:r w:rsidR="001C7859" w:rsidRPr="00AF720A">
        <w:rPr>
          <w:lang w:val="en-US"/>
        </w:rPr>
        <w:t>24-hour</w:t>
      </w:r>
      <w:r w:rsidR="0033179E" w:rsidRPr="00AF720A">
        <w:rPr>
          <w:lang w:val="en-US"/>
        </w:rPr>
        <w:t xml:space="preserve"> recall was administered </w:t>
      </w:r>
      <w:r w:rsidR="001C7859" w:rsidRPr="00AF720A">
        <w:rPr>
          <w:lang w:val="en-US"/>
        </w:rPr>
        <w:t xml:space="preserve">in person </w:t>
      </w:r>
      <w:r w:rsidR="0033179E" w:rsidRPr="00AF720A">
        <w:rPr>
          <w:lang w:val="en-US"/>
        </w:rPr>
        <w:t>by a trained dietary interviewer using a standardized protocol</w:t>
      </w:r>
      <w:r w:rsidRPr="00AF720A">
        <w:rPr>
          <w:lang w:val="en-US"/>
        </w:rPr>
        <w:t xml:space="preserve"> </w:t>
      </w:r>
      <w:r w:rsidR="0033179E" w:rsidRPr="00AF720A">
        <w:rPr>
          <w:lang w:val="en-US"/>
        </w:rPr>
        <w:t xml:space="preserve">during the physical examination in a mobile examination center. The second </w:t>
      </w:r>
      <w:r w:rsidR="001C7859" w:rsidRPr="00AF720A">
        <w:rPr>
          <w:lang w:val="en-US"/>
        </w:rPr>
        <w:t xml:space="preserve">24-hour </w:t>
      </w:r>
      <w:r w:rsidR="0033179E" w:rsidRPr="00AF720A">
        <w:rPr>
          <w:lang w:val="en-US"/>
        </w:rPr>
        <w:t xml:space="preserve">recall was administered via telephone </w:t>
      </w:r>
      <w:r w:rsidR="001C7859" w:rsidRPr="00AF720A">
        <w:rPr>
          <w:lang w:val="en-US"/>
        </w:rPr>
        <w:t xml:space="preserve">between 3 and 10 days after </w:t>
      </w:r>
      <w:r w:rsidR="0033179E" w:rsidRPr="00AF720A">
        <w:rPr>
          <w:lang w:val="en-US"/>
        </w:rPr>
        <w:t xml:space="preserve">the first recall. Nutrient intakes were </w:t>
      </w:r>
      <w:r w:rsidR="0033179E" w:rsidRPr="00AF720A">
        <w:rPr>
          <w:lang w:val="en-US"/>
        </w:rPr>
        <w:lastRenderedPageBreak/>
        <w:t xml:space="preserve">calculated based on food intake using a revised nutrient database that </w:t>
      </w:r>
      <w:r w:rsidR="008E3AD5" w:rsidRPr="00AF720A">
        <w:rPr>
          <w:lang w:val="en-US"/>
        </w:rPr>
        <w:t>converts</w:t>
      </w:r>
      <w:r w:rsidR="0033179E" w:rsidRPr="00AF720A">
        <w:rPr>
          <w:lang w:val="en-US"/>
        </w:rPr>
        <w:t xml:space="preserve"> intakes of food items to nutrients for each individual. </w:t>
      </w:r>
      <w:r w:rsidR="009B22D0" w:rsidRPr="00AF720A">
        <w:rPr>
          <w:lang w:val="en-US"/>
        </w:rPr>
        <w:t>Daily c</w:t>
      </w:r>
      <w:r w:rsidR="00B21285" w:rsidRPr="00AF720A">
        <w:rPr>
          <w:lang w:val="en-US"/>
        </w:rPr>
        <w:t>hocolate</w:t>
      </w:r>
      <w:r w:rsidR="0033179E" w:rsidRPr="00AF720A">
        <w:rPr>
          <w:lang w:val="en-US"/>
        </w:rPr>
        <w:t xml:space="preserve"> </w:t>
      </w:r>
      <w:r w:rsidR="000A6951" w:rsidRPr="00AF720A">
        <w:rPr>
          <w:lang w:val="en-US"/>
        </w:rPr>
        <w:t>consumption</w:t>
      </w:r>
      <w:r w:rsidR="00345D60" w:rsidRPr="00AF720A">
        <w:rPr>
          <w:lang w:val="en-US"/>
        </w:rPr>
        <w:t xml:space="preserve"> (</w:t>
      </w:r>
      <w:r w:rsidR="00C72527" w:rsidRPr="00AF720A">
        <w:rPr>
          <w:lang w:val="en-US"/>
        </w:rPr>
        <w:t>overall</w:t>
      </w:r>
      <w:r w:rsidR="00345D60" w:rsidRPr="00AF720A">
        <w:rPr>
          <w:lang w:val="en-US"/>
        </w:rPr>
        <w:t xml:space="preserve"> and dark chocolate </w:t>
      </w:r>
      <w:r w:rsidR="00332DE6" w:rsidRPr="00AF720A">
        <w:rPr>
          <w:lang w:val="en-US"/>
        </w:rPr>
        <w:t xml:space="preserve">[≥45% cocoa solids] </w:t>
      </w:r>
      <w:r w:rsidR="00C72527" w:rsidRPr="00AF720A">
        <w:rPr>
          <w:lang w:val="en-US"/>
        </w:rPr>
        <w:t>specifically</w:t>
      </w:r>
      <w:r w:rsidR="00345D60" w:rsidRPr="00AF720A">
        <w:rPr>
          <w:lang w:val="en-US"/>
        </w:rPr>
        <w:t>)</w:t>
      </w:r>
      <w:r w:rsidR="0033179E" w:rsidRPr="00AF720A">
        <w:rPr>
          <w:lang w:val="en-US"/>
        </w:rPr>
        <w:t xml:space="preserve"> was calculated </w:t>
      </w:r>
      <w:r w:rsidR="009B22D0" w:rsidRPr="00AF720A">
        <w:rPr>
          <w:lang w:val="en-US"/>
        </w:rPr>
        <w:t>in g</w:t>
      </w:r>
      <w:r w:rsidR="003B6FB8" w:rsidRPr="00AF720A">
        <w:rPr>
          <w:lang w:val="en-US"/>
        </w:rPr>
        <w:t>ram</w:t>
      </w:r>
      <w:r w:rsidR="001C4179" w:rsidRPr="00AF720A">
        <w:rPr>
          <w:lang w:val="en-US"/>
        </w:rPr>
        <w:t>s</w:t>
      </w:r>
      <w:r w:rsidR="009B22D0" w:rsidRPr="00AF720A">
        <w:rPr>
          <w:lang w:val="en-US"/>
        </w:rPr>
        <w:t xml:space="preserve"> </w:t>
      </w:r>
      <w:r w:rsidR="0033179E" w:rsidRPr="00AF720A">
        <w:rPr>
          <w:lang w:val="en-US"/>
        </w:rPr>
        <w:t xml:space="preserve">using the average of </w:t>
      </w:r>
      <w:r w:rsidR="008E3AD5" w:rsidRPr="00AF720A">
        <w:rPr>
          <w:lang w:val="en-US"/>
        </w:rPr>
        <w:t>the two 24-hour recalls</w:t>
      </w:r>
      <w:r w:rsidR="001D1AEA" w:rsidRPr="00AF720A">
        <w:rPr>
          <w:lang w:val="en-US"/>
        </w:rPr>
        <w:t xml:space="preserve">, with implausibly high intakes excluded by removing observations above </w:t>
      </w:r>
      <w:r w:rsidR="008E3AD5" w:rsidRPr="00AF720A">
        <w:rPr>
          <w:lang w:val="en-US"/>
        </w:rPr>
        <w:t>the</w:t>
      </w:r>
      <w:r w:rsidR="0033179E" w:rsidRPr="00AF720A">
        <w:rPr>
          <w:lang w:val="en-US"/>
        </w:rPr>
        <w:t xml:space="preserve"> 99</w:t>
      </w:r>
      <w:r w:rsidR="008E3AD5" w:rsidRPr="00AF720A">
        <w:rPr>
          <w:vertAlign w:val="superscript"/>
          <w:lang w:val="en-US"/>
        </w:rPr>
        <w:t>th</w:t>
      </w:r>
      <w:r w:rsidR="008E3AD5" w:rsidRPr="00AF720A">
        <w:rPr>
          <w:lang w:val="en-US"/>
        </w:rPr>
        <w:t xml:space="preserve"> centile</w:t>
      </w:r>
      <w:r w:rsidR="0033179E" w:rsidRPr="00AF720A">
        <w:rPr>
          <w:lang w:val="en-US"/>
        </w:rPr>
        <w:t>.</w:t>
      </w:r>
      <w:r w:rsidR="00412338" w:rsidRPr="00AF720A">
        <w:rPr>
          <w:lang w:val="en-US"/>
        </w:rPr>
        <w:t xml:space="preserve"> </w:t>
      </w:r>
      <w:r w:rsidR="009B22D0" w:rsidRPr="00AF720A">
        <w:rPr>
          <w:lang w:val="en-US"/>
        </w:rPr>
        <w:t xml:space="preserve">The present analyses focus on </w:t>
      </w:r>
      <w:r w:rsidR="00E06EA1" w:rsidRPr="00AF720A">
        <w:rPr>
          <w:lang w:val="en-US"/>
        </w:rPr>
        <w:t>two</w:t>
      </w:r>
      <w:r w:rsidR="009B22D0" w:rsidRPr="00AF720A">
        <w:rPr>
          <w:lang w:val="en-US"/>
        </w:rPr>
        <w:t xml:space="preserve"> variables derived from this measure of chocolate consumption</w:t>
      </w:r>
      <w:r w:rsidR="00124E70" w:rsidRPr="00AF720A">
        <w:rPr>
          <w:lang w:val="en-US"/>
        </w:rPr>
        <w:t xml:space="preserve">. The first was </w:t>
      </w:r>
      <w:r w:rsidR="00B34F4F" w:rsidRPr="00AF720A">
        <w:rPr>
          <w:lang w:val="en-US"/>
        </w:rPr>
        <w:t xml:space="preserve">a three-level categorical measure of </w:t>
      </w:r>
      <w:r w:rsidR="00904414" w:rsidRPr="00AF720A">
        <w:rPr>
          <w:lang w:val="en-US"/>
        </w:rPr>
        <w:t xml:space="preserve">chocolate consumption </w:t>
      </w:r>
      <w:r w:rsidR="00587BE3" w:rsidRPr="00AF720A">
        <w:rPr>
          <w:lang w:val="en-US"/>
        </w:rPr>
        <w:t>(none</w:t>
      </w:r>
      <w:r w:rsidR="00B34F4F" w:rsidRPr="00AF720A">
        <w:rPr>
          <w:lang w:val="en-US"/>
        </w:rPr>
        <w:t>, chocolate</w:t>
      </w:r>
      <w:r w:rsidR="001C4179" w:rsidRPr="00AF720A">
        <w:rPr>
          <w:lang w:val="en-US"/>
        </w:rPr>
        <w:t xml:space="preserve"> but no dark chocolate</w:t>
      </w:r>
      <w:r w:rsidR="00B34F4F" w:rsidRPr="00AF720A">
        <w:rPr>
          <w:lang w:val="en-US"/>
        </w:rPr>
        <w:t>, any dark chocolate</w:t>
      </w:r>
      <w:r w:rsidR="005A1817" w:rsidRPr="00AF720A">
        <w:rPr>
          <w:lang w:val="en-US"/>
        </w:rPr>
        <w:t>)</w:t>
      </w:r>
      <w:r w:rsidR="00124E70" w:rsidRPr="00AF720A">
        <w:rPr>
          <w:lang w:val="en-US"/>
        </w:rPr>
        <w:t>. The second was</w:t>
      </w:r>
      <w:r w:rsidR="005A1817" w:rsidRPr="00AF720A">
        <w:rPr>
          <w:lang w:val="en-US"/>
        </w:rPr>
        <w:t xml:space="preserve"> </w:t>
      </w:r>
      <w:r w:rsidR="00B34F4F" w:rsidRPr="00AF720A">
        <w:rPr>
          <w:lang w:val="en-US"/>
        </w:rPr>
        <w:t>a five-level measure of the</w:t>
      </w:r>
      <w:r w:rsidR="0019765D" w:rsidRPr="00AF720A">
        <w:rPr>
          <w:lang w:val="en-US"/>
        </w:rPr>
        <w:t xml:space="preserve"> </w:t>
      </w:r>
      <w:r w:rsidR="00904414" w:rsidRPr="00AF720A">
        <w:rPr>
          <w:lang w:val="en-US"/>
        </w:rPr>
        <w:t xml:space="preserve">amount of chocolate consumed </w:t>
      </w:r>
      <w:r w:rsidR="005A1817" w:rsidRPr="00AF720A">
        <w:rPr>
          <w:lang w:val="en-US"/>
        </w:rPr>
        <w:t xml:space="preserve">(any type) in </w:t>
      </w:r>
      <w:r w:rsidR="00904414" w:rsidRPr="00AF720A">
        <w:rPr>
          <w:lang w:val="en-US"/>
        </w:rPr>
        <w:t>g</w:t>
      </w:r>
      <w:r w:rsidR="003B6FB8" w:rsidRPr="00AF720A">
        <w:rPr>
          <w:lang w:val="en-US"/>
        </w:rPr>
        <w:t>ram</w:t>
      </w:r>
      <w:r w:rsidR="001954A9" w:rsidRPr="00AF720A">
        <w:rPr>
          <w:lang w:val="en-US"/>
        </w:rPr>
        <w:t>s</w:t>
      </w:r>
      <w:r w:rsidR="00904414" w:rsidRPr="00AF720A">
        <w:rPr>
          <w:lang w:val="en-US"/>
        </w:rPr>
        <w:t>/day</w:t>
      </w:r>
      <w:r w:rsidR="00124E70" w:rsidRPr="00AF720A">
        <w:rPr>
          <w:lang w:val="en-US"/>
        </w:rPr>
        <w:t>. Individuals who reported no chocolate consumption were coded 0, and those who reported any chocolate consumption were grouped into quartiles, coded 1 through 4 from the lowest to highest chocolate consumption.</w:t>
      </w:r>
    </w:p>
    <w:p w14:paraId="68DBD146" w14:textId="2984A81B" w:rsidR="00C2575A" w:rsidRPr="00AF720A" w:rsidRDefault="00C2575A" w:rsidP="00937FEB">
      <w:pPr>
        <w:pStyle w:val="Heading4"/>
        <w:rPr>
          <w:lang w:val="en-US"/>
        </w:rPr>
      </w:pPr>
      <w:r w:rsidRPr="00AF720A">
        <w:rPr>
          <w:lang w:val="en-US"/>
        </w:rPr>
        <w:t xml:space="preserve">Outcome: </w:t>
      </w:r>
      <w:r w:rsidR="00937FEB" w:rsidRPr="00AF720A">
        <w:rPr>
          <w:lang w:val="en-US"/>
        </w:rPr>
        <w:t>weight status</w:t>
      </w:r>
    </w:p>
    <w:p w14:paraId="7EBF0365" w14:textId="1B691464" w:rsidR="00937FEB" w:rsidRPr="00AF720A" w:rsidRDefault="00FA3284" w:rsidP="00C84A9B">
      <w:pPr>
        <w:pStyle w:val="CommentText"/>
      </w:pPr>
      <w:r w:rsidRPr="00AF720A">
        <w:rPr>
          <w:lang w:val="en-US"/>
        </w:rPr>
        <w:t xml:space="preserve">Anthropometric measures including weight, height and waist circumference were used to define weight status. </w:t>
      </w:r>
      <w:r w:rsidR="00937FEB" w:rsidRPr="00AF720A">
        <w:rPr>
          <w:lang w:val="en-US"/>
        </w:rPr>
        <w:t xml:space="preserve">Weight and height were measured during the physical examination in a </w:t>
      </w:r>
      <w:r w:rsidR="00BB21C2" w:rsidRPr="00AF720A">
        <w:rPr>
          <w:lang w:val="en-US"/>
        </w:rPr>
        <w:t>mobile examination center</w:t>
      </w:r>
      <w:r w:rsidR="00937FEB" w:rsidRPr="00AF720A">
        <w:rPr>
          <w:lang w:val="en-US"/>
        </w:rPr>
        <w:t xml:space="preserve"> or in the participant’s home, following standard procedures. Body mass index (BMI) was calculated as weight in kilograms divided by the square of height in meters and categorized as underweight (&lt;18.5 kg/m</w:t>
      </w:r>
      <w:r w:rsidR="00937FEB" w:rsidRPr="00AF720A">
        <w:rPr>
          <w:vertAlign w:val="superscript"/>
          <w:lang w:val="en-US"/>
        </w:rPr>
        <w:t>2</w:t>
      </w:r>
      <w:r w:rsidR="00937FEB" w:rsidRPr="00AF720A">
        <w:rPr>
          <w:lang w:val="en-US"/>
        </w:rPr>
        <w:t>), normal weight (18.5 – 24.9 kg/m</w:t>
      </w:r>
      <w:r w:rsidR="00937FEB" w:rsidRPr="00AF720A">
        <w:rPr>
          <w:vertAlign w:val="superscript"/>
          <w:lang w:val="en-US"/>
        </w:rPr>
        <w:t>2</w:t>
      </w:r>
      <w:r w:rsidR="00937FEB" w:rsidRPr="00AF720A">
        <w:rPr>
          <w:lang w:val="en-US"/>
        </w:rPr>
        <w:t>), overweight (25.0 – 29.9 kg/m</w:t>
      </w:r>
      <w:r w:rsidR="00937FEB" w:rsidRPr="00AF720A">
        <w:rPr>
          <w:vertAlign w:val="superscript"/>
          <w:lang w:val="en-US"/>
        </w:rPr>
        <w:t>2</w:t>
      </w:r>
      <w:r w:rsidR="00937FEB" w:rsidRPr="00AF720A">
        <w:rPr>
          <w:lang w:val="en-US"/>
        </w:rPr>
        <w:t>), or obese (≥30 kg/m</w:t>
      </w:r>
      <w:r w:rsidR="00937FEB" w:rsidRPr="00AF720A">
        <w:rPr>
          <w:vertAlign w:val="superscript"/>
          <w:lang w:val="en-US"/>
        </w:rPr>
        <w:t>2</w:t>
      </w:r>
      <w:r w:rsidR="00937FEB" w:rsidRPr="00AF720A">
        <w:rPr>
          <w:lang w:val="en-US"/>
        </w:rPr>
        <w:t xml:space="preserve">). For analytic purposes, we excluded those who with an underweight BMI </w:t>
      </w:r>
      <w:r w:rsidR="00762330" w:rsidRPr="00AF720A">
        <w:rPr>
          <w:lang w:val="en-US"/>
        </w:rPr>
        <w:t xml:space="preserve">(n=380) </w:t>
      </w:r>
      <w:r w:rsidR="00937FEB" w:rsidRPr="00AF720A">
        <w:rPr>
          <w:lang w:val="en-US"/>
        </w:rPr>
        <w:t>due to potential underlying health conditions.</w:t>
      </w:r>
      <w:r w:rsidRPr="00AF720A">
        <w:rPr>
          <w:lang w:val="en-US"/>
        </w:rPr>
        <w:t xml:space="preserve"> </w:t>
      </w:r>
      <w:r w:rsidR="00937FEB" w:rsidRPr="00AF720A">
        <w:rPr>
          <w:lang w:val="en-US"/>
        </w:rPr>
        <w:t xml:space="preserve">Waist circumference </w:t>
      </w:r>
      <w:r w:rsidR="007067C4" w:rsidRPr="00AF720A">
        <w:rPr>
          <w:lang w:val="en-US"/>
        </w:rPr>
        <w:t xml:space="preserve">was </w:t>
      </w:r>
      <w:r w:rsidRPr="00AF720A">
        <w:rPr>
          <w:lang w:val="en-US"/>
        </w:rPr>
        <w:t xml:space="preserve">measured during the physical examination using a tape measure at the uppermost lateral border of the hip </w:t>
      </w:r>
      <w:r w:rsidR="00647C7C" w:rsidRPr="00AF720A">
        <w:rPr>
          <w:lang w:val="en-US"/>
        </w:rPr>
        <w:t>crest</w:t>
      </w:r>
      <w:r w:rsidR="006A42D5" w:rsidRPr="00AF720A">
        <w:rPr>
          <w:lang w:val="en-US"/>
        </w:rPr>
        <w:t xml:space="preserve"> </w:t>
      </w:r>
      <w:r w:rsidRPr="00AF720A">
        <w:rPr>
          <w:lang w:val="en-US"/>
        </w:rPr>
        <w:t>(ilium)</w:t>
      </w:r>
      <w:r w:rsidR="006A42D5" w:rsidRPr="00AF720A">
        <w:rPr>
          <w:lang w:val="en-US"/>
        </w:rPr>
        <w:t xml:space="preserve"> </w:t>
      </w:r>
      <w:r w:rsidR="00B57561" w:rsidRPr="00AF720A">
        <w:rPr>
          <w:lang w:val="en-US"/>
        </w:rPr>
        <w:fldChar w:fldCharType="begin"/>
      </w:r>
      <w:r w:rsidR="00DB336B" w:rsidRPr="00AF720A">
        <w:rPr>
          <w:lang w:val="en-US"/>
        </w:rPr>
        <w:instrText xml:space="preserve"> ADDIN ZOTERO_ITEM CSL_CITATION {"citationID":"uco7Rptn","properties":{"formattedCitation":"(12)","plainCitation":"(12)","noteIndex":0},"citationItems":[{"id":8149,"uris":["http://zotero.org/users/446899/items/GGADJVFL"],"uri":["http://zotero.org/users/446899/items/GGADJVFL"],"itemData":{"id":8149,"type":"article-journal","title":"Assessing Adiposity","container-title":"Circulation","page":"1996-2019","volume":"124","issue":"18","source":"ahajournals.org (Atypon)","DOI":"10.1161/CIR.0b013e318233bc6a","journalAbbreviation":"Circulation","author":[{"literal":"Cornier Marc-Andre"},{"literal":"Després Jean-Pierre"},{"literal":"Davis Nichola"},{"literal":"Grossniklaus Daurice A."},{"literal":"Klein Samuel"},{"literal":"Lamarche Benoit"},{"literal":"Lopez-Jimenez Francisco"},{"literal":"Rao Goutham"},{"literal":"St-Onge Marie-Pierre"},{"literal":"Towfighi Amytis"},{"literal":"Poirier Paul"}],"issued":{"date-parts":[["2011",11,1]]}}}],"schema":"https://github.com/citation-style-language/schema/raw/master/csl-citation.json"} </w:instrText>
      </w:r>
      <w:r w:rsidR="00B57561" w:rsidRPr="00AF720A">
        <w:rPr>
          <w:lang w:val="en-US"/>
        </w:rPr>
        <w:fldChar w:fldCharType="separate"/>
      </w:r>
      <w:r w:rsidR="00DB336B" w:rsidRPr="00AF720A">
        <w:t>(12)</w:t>
      </w:r>
      <w:r w:rsidR="00B57561" w:rsidRPr="00AF720A">
        <w:rPr>
          <w:lang w:val="en-US"/>
        </w:rPr>
        <w:fldChar w:fldCharType="end"/>
      </w:r>
      <w:r w:rsidRPr="00AF720A">
        <w:rPr>
          <w:lang w:val="en-US"/>
        </w:rPr>
        <w:t>.</w:t>
      </w:r>
      <w:r w:rsidR="00B57561" w:rsidRPr="00AF720A">
        <w:t xml:space="preserve"> </w:t>
      </w:r>
    </w:p>
    <w:p w14:paraId="2662FE96" w14:textId="57173700" w:rsidR="0033179E" w:rsidRPr="00AF720A" w:rsidRDefault="00C2575A" w:rsidP="00C2575A">
      <w:pPr>
        <w:pStyle w:val="Heading4"/>
        <w:rPr>
          <w:lang w:val="en-US"/>
        </w:rPr>
      </w:pPr>
      <w:r w:rsidRPr="00AF720A">
        <w:rPr>
          <w:lang w:val="en-US"/>
        </w:rPr>
        <w:t>Covariates</w:t>
      </w:r>
    </w:p>
    <w:p w14:paraId="01365D01" w14:textId="050A3624" w:rsidR="0068270E" w:rsidRPr="00AF720A" w:rsidRDefault="0068270E" w:rsidP="00EA436E">
      <w:pPr>
        <w:rPr>
          <w:lang w:val="en-US"/>
        </w:rPr>
      </w:pPr>
      <w:r w:rsidRPr="00AF720A">
        <w:rPr>
          <w:lang w:val="en-US"/>
        </w:rPr>
        <w:t>Total energy intake and total sugar intake were derived from the mean of the two 24-hour dietary recalls, and categorized into quartiles. Alcohol intake was derived from two 24-hour recalls and dichotomized to no (zero intake) and yes (any intake).</w:t>
      </w:r>
    </w:p>
    <w:p w14:paraId="3ECF2E4D" w14:textId="4077A440" w:rsidR="00AE0A90" w:rsidRPr="00AF720A" w:rsidRDefault="00D64E98" w:rsidP="00EA436E">
      <w:pPr>
        <w:rPr>
          <w:lang w:val="en-US"/>
        </w:rPr>
      </w:pPr>
      <w:r w:rsidRPr="00AF720A">
        <w:rPr>
          <w:lang w:val="en-US"/>
        </w:rPr>
        <w:lastRenderedPageBreak/>
        <w:t xml:space="preserve">Self-reported socio-demographic characteristics included age, </w:t>
      </w:r>
      <w:r w:rsidR="00E17854" w:rsidRPr="00AF720A">
        <w:rPr>
          <w:lang w:val="en-US"/>
        </w:rPr>
        <w:t>marital status (</w:t>
      </w:r>
      <w:r w:rsidR="005A0F09" w:rsidRPr="00AF720A">
        <w:rPr>
          <w:lang w:val="en-US"/>
        </w:rPr>
        <w:t xml:space="preserve">collapsed to </w:t>
      </w:r>
      <w:r w:rsidR="00E17854" w:rsidRPr="00AF720A">
        <w:rPr>
          <w:lang w:val="en-US"/>
        </w:rPr>
        <w:t>living alone</w:t>
      </w:r>
      <w:r w:rsidR="005A0F09" w:rsidRPr="00AF720A">
        <w:rPr>
          <w:lang w:val="en-US"/>
        </w:rPr>
        <w:t xml:space="preserve"> [widowed, divorced, separated, never married] and</w:t>
      </w:r>
      <w:r w:rsidR="00E17854" w:rsidRPr="00AF720A">
        <w:rPr>
          <w:lang w:val="en-US"/>
        </w:rPr>
        <w:t xml:space="preserve"> living with someone</w:t>
      </w:r>
      <w:r w:rsidR="005A0F09" w:rsidRPr="00AF720A">
        <w:rPr>
          <w:lang w:val="en-US"/>
        </w:rPr>
        <w:t xml:space="preserve"> [married, living with partner]</w:t>
      </w:r>
      <w:r w:rsidR="00E17854" w:rsidRPr="00AF720A">
        <w:rPr>
          <w:lang w:val="en-US"/>
        </w:rPr>
        <w:t>)</w:t>
      </w:r>
      <w:r w:rsidR="005A0F09" w:rsidRPr="00AF720A">
        <w:rPr>
          <w:lang w:val="en-US"/>
        </w:rPr>
        <w:t>,</w:t>
      </w:r>
      <w:r w:rsidR="00E17854" w:rsidRPr="00AF720A">
        <w:rPr>
          <w:lang w:val="en-US"/>
        </w:rPr>
        <w:t xml:space="preserve"> </w:t>
      </w:r>
      <w:r w:rsidR="00D11483" w:rsidRPr="00AF720A">
        <w:rPr>
          <w:lang w:val="en-US"/>
        </w:rPr>
        <w:t>sex</w:t>
      </w:r>
      <w:r w:rsidR="005A0F09" w:rsidRPr="00AF720A">
        <w:rPr>
          <w:lang w:val="en-US"/>
        </w:rPr>
        <w:t xml:space="preserve"> (men and women)</w:t>
      </w:r>
      <w:r w:rsidRPr="00AF720A">
        <w:rPr>
          <w:lang w:val="en-US"/>
        </w:rPr>
        <w:t xml:space="preserve">, </w:t>
      </w:r>
      <w:r w:rsidR="00D57929" w:rsidRPr="00AF720A">
        <w:rPr>
          <w:lang w:val="en-US"/>
        </w:rPr>
        <w:t>race (non-Hispanic white, non-Hispanic black, Hispanic, other</w:t>
      </w:r>
      <w:r w:rsidR="005A0F09" w:rsidRPr="00AF720A">
        <w:rPr>
          <w:lang w:val="en-US"/>
        </w:rPr>
        <w:t xml:space="preserve"> [other than non-Hispanic white, non-Hispanic black, Hispanic, including multi-racial]</w:t>
      </w:r>
      <w:r w:rsidR="00D57929" w:rsidRPr="00AF720A">
        <w:rPr>
          <w:lang w:val="en-US"/>
        </w:rPr>
        <w:t xml:space="preserve">), </w:t>
      </w:r>
      <w:r w:rsidR="0076033C" w:rsidRPr="00AF720A">
        <w:rPr>
          <w:lang w:val="en-US"/>
        </w:rPr>
        <w:t>education (</w:t>
      </w:r>
      <w:r w:rsidR="005A0F09" w:rsidRPr="00AF720A">
        <w:rPr>
          <w:lang w:val="en-US"/>
        </w:rPr>
        <w:t xml:space="preserve">collapsed to </w:t>
      </w:r>
      <w:r w:rsidR="0076033C" w:rsidRPr="00AF720A">
        <w:rPr>
          <w:lang w:val="en-US"/>
        </w:rPr>
        <w:t>below high school</w:t>
      </w:r>
      <w:r w:rsidR="005A0F09" w:rsidRPr="00AF720A">
        <w:rPr>
          <w:lang w:val="en-US"/>
        </w:rPr>
        <w:t xml:space="preserve"> [less than 9</w:t>
      </w:r>
      <w:r w:rsidR="005A0F09" w:rsidRPr="00AF720A">
        <w:rPr>
          <w:vertAlign w:val="superscript"/>
          <w:lang w:val="en-US"/>
        </w:rPr>
        <w:t>th</w:t>
      </w:r>
      <w:r w:rsidR="005A0F09" w:rsidRPr="00AF720A">
        <w:rPr>
          <w:lang w:val="en-US"/>
        </w:rPr>
        <w:t xml:space="preserve"> grade, 9-11</w:t>
      </w:r>
      <w:r w:rsidR="005A0F09" w:rsidRPr="00AF720A">
        <w:rPr>
          <w:vertAlign w:val="superscript"/>
          <w:lang w:val="en-US"/>
        </w:rPr>
        <w:t>th</w:t>
      </w:r>
      <w:r w:rsidR="005A0F09" w:rsidRPr="00AF720A">
        <w:rPr>
          <w:lang w:val="en-US"/>
        </w:rPr>
        <w:t xml:space="preserve"> grade]</w:t>
      </w:r>
      <w:r w:rsidR="0076033C" w:rsidRPr="00AF720A">
        <w:rPr>
          <w:lang w:val="en-US"/>
        </w:rPr>
        <w:t>, high school</w:t>
      </w:r>
      <w:r w:rsidR="005A0F09" w:rsidRPr="00AF720A">
        <w:rPr>
          <w:lang w:val="en-US"/>
        </w:rPr>
        <w:t xml:space="preserve"> [high school graduate/GED or equivalent]</w:t>
      </w:r>
      <w:r w:rsidR="0076033C" w:rsidRPr="00AF720A">
        <w:rPr>
          <w:lang w:val="en-US"/>
        </w:rPr>
        <w:t>, above high school</w:t>
      </w:r>
      <w:r w:rsidR="005A0F09" w:rsidRPr="00AF720A">
        <w:rPr>
          <w:lang w:val="en-US"/>
        </w:rPr>
        <w:t xml:space="preserve"> [some college or AA degree, college graduate or above]</w:t>
      </w:r>
      <w:r w:rsidR="0076033C" w:rsidRPr="00AF720A">
        <w:rPr>
          <w:lang w:val="en-US"/>
        </w:rPr>
        <w:t xml:space="preserve">) </w:t>
      </w:r>
      <w:r w:rsidR="005906F4" w:rsidRPr="00AF720A">
        <w:rPr>
          <w:lang w:val="en-US"/>
        </w:rPr>
        <w:t xml:space="preserve">and </w:t>
      </w:r>
      <w:r w:rsidRPr="00AF720A">
        <w:rPr>
          <w:lang w:val="en-US"/>
        </w:rPr>
        <w:t>annual household income (</w:t>
      </w:r>
      <w:r w:rsidR="005A0F09" w:rsidRPr="00AF720A">
        <w:rPr>
          <w:lang w:val="en-US"/>
        </w:rPr>
        <w:t>15 categories of annu</w:t>
      </w:r>
      <w:r w:rsidR="00DD522B" w:rsidRPr="00AF720A">
        <w:rPr>
          <w:lang w:val="en-US"/>
        </w:rPr>
        <w:t>a</w:t>
      </w:r>
      <w:r w:rsidR="005A0F09" w:rsidRPr="00AF720A">
        <w:rPr>
          <w:lang w:val="en-US"/>
        </w:rPr>
        <w:t>l household income levels collapse</w:t>
      </w:r>
      <w:r w:rsidR="00DD522B" w:rsidRPr="00AF720A">
        <w:rPr>
          <w:lang w:val="en-US"/>
        </w:rPr>
        <w:t>d</w:t>
      </w:r>
      <w:r w:rsidR="005A0F09" w:rsidRPr="00AF720A">
        <w:rPr>
          <w:lang w:val="en-US"/>
        </w:rPr>
        <w:t xml:space="preserve"> to </w:t>
      </w:r>
      <w:r w:rsidR="00D11483" w:rsidRPr="00AF720A">
        <w:rPr>
          <w:lang w:val="en-US"/>
        </w:rPr>
        <w:t>&lt;</w:t>
      </w:r>
      <w:r w:rsidRPr="00AF720A">
        <w:rPr>
          <w:lang w:val="en-US"/>
        </w:rPr>
        <w:t>$25,000, $25,000</w:t>
      </w:r>
      <w:r w:rsidR="00D11483" w:rsidRPr="00AF720A">
        <w:rPr>
          <w:lang w:val="en-US"/>
        </w:rPr>
        <w:t>–</w:t>
      </w:r>
      <w:r w:rsidR="005906F4" w:rsidRPr="00AF720A">
        <w:rPr>
          <w:lang w:val="en-US"/>
        </w:rPr>
        <w:t xml:space="preserve">$74,999, and </w:t>
      </w:r>
      <w:r w:rsidR="00D11483" w:rsidRPr="00AF720A">
        <w:rPr>
          <w:lang w:val="en-US"/>
        </w:rPr>
        <w:t>≥</w:t>
      </w:r>
      <w:r w:rsidR="005906F4" w:rsidRPr="00AF720A">
        <w:rPr>
          <w:lang w:val="en-US"/>
        </w:rPr>
        <w:t>$75,000)</w:t>
      </w:r>
      <w:r w:rsidRPr="00AF720A">
        <w:rPr>
          <w:lang w:val="en-US"/>
        </w:rPr>
        <w:t xml:space="preserve">. </w:t>
      </w:r>
    </w:p>
    <w:p w14:paraId="5397F166" w14:textId="042E3C0C" w:rsidR="005E4A91" w:rsidRPr="00AF720A" w:rsidRDefault="00D64E98" w:rsidP="00EA436E">
      <w:pPr>
        <w:rPr>
          <w:lang w:val="en-US"/>
        </w:rPr>
      </w:pPr>
      <w:r w:rsidRPr="00AF720A">
        <w:rPr>
          <w:lang w:val="en-US"/>
        </w:rPr>
        <w:t>Lifestyle characteristics included leisure</w:t>
      </w:r>
      <w:r w:rsidR="00AE0A90" w:rsidRPr="00AF720A">
        <w:rPr>
          <w:lang w:val="en-US"/>
        </w:rPr>
        <w:t>-</w:t>
      </w:r>
      <w:r w:rsidRPr="00AF720A">
        <w:rPr>
          <w:lang w:val="en-US"/>
        </w:rPr>
        <w:t xml:space="preserve">time physical activity and smoking status. Participants reported the number of days and minutes spent in moderate and vigorous recreational activities in a typical week. We summarized the total number of minutes for both activities and classified participants as inactive (zero </w:t>
      </w:r>
      <w:r w:rsidRPr="00AF720A">
        <w:rPr>
          <w:rFonts w:eastAsiaTheme="minorEastAsia"/>
          <w:lang w:val="en-US" w:eastAsia="zh-CN"/>
        </w:rPr>
        <w:t>moderate-to-vigorous physical activity</w:t>
      </w:r>
      <w:r w:rsidRPr="00AF720A">
        <w:rPr>
          <w:lang w:val="en-US"/>
        </w:rPr>
        <w:t>)</w:t>
      </w:r>
      <w:r w:rsidR="00AE0A90" w:rsidRPr="00AF720A">
        <w:rPr>
          <w:lang w:val="en-US"/>
        </w:rPr>
        <w:t xml:space="preserve"> </w:t>
      </w:r>
      <w:r w:rsidR="00AE0A90" w:rsidRPr="00AF720A">
        <w:rPr>
          <w:rFonts w:eastAsiaTheme="minorEastAsia"/>
          <w:lang w:val="en-US" w:eastAsia="zh-CN"/>
        </w:rPr>
        <w:t>or</w:t>
      </w:r>
      <w:r w:rsidRPr="00AF720A">
        <w:rPr>
          <w:rFonts w:eastAsiaTheme="minorEastAsia"/>
          <w:lang w:val="en-US" w:eastAsia="zh-CN"/>
        </w:rPr>
        <w:t xml:space="preserve"> active (any moderate-to-vigorous physical activity</w:t>
      </w:r>
      <w:r w:rsidRPr="00AF720A">
        <w:rPr>
          <w:lang w:val="en-US"/>
        </w:rPr>
        <w:t>) based on physical activity guideline</w:t>
      </w:r>
      <w:r w:rsidR="00AE0A90" w:rsidRPr="00AF720A">
        <w:rPr>
          <w:lang w:val="en-US"/>
        </w:rPr>
        <w:t>s</w:t>
      </w:r>
      <w:r w:rsidR="00AB34E7" w:rsidRPr="00AF720A">
        <w:rPr>
          <w:lang w:val="en-US"/>
        </w:rPr>
        <w:t xml:space="preserve"> </w:t>
      </w:r>
      <w:r w:rsidR="00AB34E7" w:rsidRPr="00AF720A">
        <w:rPr>
          <w:lang w:val="en-US"/>
        </w:rPr>
        <w:fldChar w:fldCharType="begin"/>
      </w:r>
      <w:r w:rsidR="00DB336B" w:rsidRPr="00AF720A">
        <w:rPr>
          <w:lang w:val="en-US"/>
        </w:rPr>
        <w:instrText xml:space="preserve"> ADDIN ZOTERO_ITEM CSL_CITATION {"citationID":"N8Vcfjfp","properties":{"formattedCitation":"(13)","plainCitation":"(13)","noteIndex":0},"citationItems":[{"id":7578,"uris":["http://zotero.org/users/446899/items/XZQWHPEH"],"uri":["http://zotero.org/users/446899/items/XZQWHPEH"],"itemData":{"id":7578,"type":"report","title":"Physical Activity Guidelines for Americans, 2nd edition","publisher":"U.S. Department of Health and Human Services","publisher-place":"Washington DC","page":"118","source":"Zotero","event-place":"Washington DC","language":"en","author":[{"family":"U.S. Department of Health and Human Services","given":""}],"issued":{"date-parts":[["2018"]]}}}],"schema":"https://github.com/citation-style-language/schema/raw/master/csl-citation.json"} </w:instrText>
      </w:r>
      <w:r w:rsidR="00AB34E7" w:rsidRPr="00AF720A">
        <w:rPr>
          <w:lang w:val="en-US"/>
        </w:rPr>
        <w:fldChar w:fldCharType="separate"/>
      </w:r>
      <w:r w:rsidR="00DB336B" w:rsidRPr="00AF720A">
        <w:t>(13)</w:t>
      </w:r>
      <w:r w:rsidR="00AB34E7" w:rsidRPr="00AF720A">
        <w:rPr>
          <w:lang w:val="en-US"/>
        </w:rPr>
        <w:fldChar w:fldCharType="end"/>
      </w:r>
      <w:r w:rsidRPr="00AF720A">
        <w:rPr>
          <w:rFonts w:eastAsiaTheme="minorEastAsia"/>
          <w:lang w:val="en-US" w:eastAsia="zh-CN"/>
        </w:rPr>
        <w:t>.</w:t>
      </w:r>
      <w:r w:rsidRPr="00AF720A">
        <w:rPr>
          <w:lang w:val="en-US"/>
        </w:rPr>
        <w:t xml:space="preserve"> Smoking status was classified into: never smokers (</w:t>
      </w:r>
      <w:r w:rsidR="00AE0A90" w:rsidRPr="00AF720A">
        <w:rPr>
          <w:lang w:val="en-US"/>
        </w:rPr>
        <w:t>have never smoked</w:t>
      </w:r>
      <w:r w:rsidRPr="00AF720A">
        <w:rPr>
          <w:lang w:val="en-US"/>
        </w:rPr>
        <w:t xml:space="preserve"> 100 cigarettes and do not smoke now), former smokers (</w:t>
      </w:r>
      <w:r w:rsidR="00AE0A90" w:rsidRPr="00AF720A">
        <w:rPr>
          <w:lang w:val="en-US"/>
        </w:rPr>
        <w:t xml:space="preserve">have </w:t>
      </w:r>
      <w:r w:rsidRPr="00AF720A">
        <w:rPr>
          <w:lang w:val="en-US"/>
        </w:rPr>
        <w:t xml:space="preserve">smoked 100 cigarettes in </w:t>
      </w:r>
      <w:r w:rsidR="009D4D38" w:rsidRPr="00AF720A">
        <w:rPr>
          <w:lang w:val="en-US"/>
        </w:rPr>
        <w:t>lifetime</w:t>
      </w:r>
      <w:r w:rsidRPr="00AF720A">
        <w:rPr>
          <w:lang w:val="en-US"/>
        </w:rPr>
        <w:t xml:space="preserve"> and do not smoke now), and current smokers (</w:t>
      </w:r>
      <w:r w:rsidR="00AE0A90" w:rsidRPr="00AF720A">
        <w:rPr>
          <w:lang w:val="en-US"/>
        </w:rPr>
        <w:t xml:space="preserve">have </w:t>
      </w:r>
      <w:r w:rsidRPr="00AF720A">
        <w:rPr>
          <w:lang w:val="en-US"/>
        </w:rPr>
        <w:t xml:space="preserve">smoked 100 cigarettes in </w:t>
      </w:r>
      <w:r w:rsidR="009D4D38" w:rsidRPr="00AF720A">
        <w:rPr>
          <w:lang w:val="en-US"/>
        </w:rPr>
        <w:t>lifetime</w:t>
      </w:r>
      <w:r w:rsidR="00AE0A90" w:rsidRPr="00AF720A">
        <w:rPr>
          <w:lang w:val="en-US"/>
        </w:rPr>
        <w:t xml:space="preserve"> </w:t>
      </w:r>
      <w:r w:rsidRPr="00AF720A">
        <w:rPr>
          <w:lang w:val="en-US"/>
        </w:rPr>
        <w:t>and smoke now).</w:t>
      </w:r>
      <w:r w:rsidR="005906F4" w:rsidRPr="00AF720A">
        <w:rPr>
          <w:lang w:val="en-US"/>
        </w:rPr>
        <w:t xml:space="preserve"> </w:t>
      </w:r>
    </w:p>
    <w:p w14:paraId="3206D6F4" w14:textId="53361274" w:rsidR="0076033C" w:rsidRPr="00AF720A" w:rsidRDefault="005906F4" w:rsidP="00EA436E">
      <w:pPr>
        <w:rPr>
          <w:lang w:val="en-US"/>
        </w:rPr>
      </w:pPr>
      <w:r w:rsidRPr="00AF720A">
        <w:rPr>
          <w:lang w:val="en-US"/>
        </w:rPr>
        <w:t xml:space="preserve">Information on chronic conditions that were considered suspected </w:t>
      </w:r>
      <w:r w:rsidR="0076033C" w:rsidRPr="00AF720A">
        <w:rPr>
          <w:lang w:val="en-US"/>
        </w:rPr>
        <w:t>correlates</w:t>
      </w:r>
      <w:r w:rsidRPr="00AF720A">
        <w:rPr>
          <w:lang w:val="en-US"/>
        </w:rPr>
        <w:t xml:space="preserve"> were extracted, including </w:t>
      </w:r>
      <w:r w:rsidR="0076033C" w:rsidRPr="00AF720A">
        <w:rPr>
          <w:lang w:val="en-US"/>
        </w:rPr>
        <w:t xml:space="preserve">self-reported doctors’ </w:t>
      </w:r>
      <w:r w:rsidR="005E4A91" w:rsidRPr="00AF720A">
        <w:rPr>
          <w:lang w:val="en-US"/>
        </w:rPr>
        <w:t>diagnoses</w:t>
      </w:r>
      <w:r w:rsidR="0076033C" w:rsidRPr="00AF720A">
        <w:rPr>
          <w:lang w:val="en-US"/>
        </w:rPr>
        <w:t xml:space="preserve"> </w:t>
      </w:r>
      <w:r w:rsidR="00F80748" w:rsidRPr="00AF720A">
        <w:rPr>
          <w:lang w:val="en-US"/>
        </w:rPr>
        <w:t xml:space="preserve">(by answering </w:t>
      </w:r>
      <w:r w:rsidR="00DD522B" w:rsidRPr="00AF720A">
        <w:rPr>
          <w:lang w:val="en-US"/>
        </w:rPr>
        <w:t xml:space="preserve">the </w:t>
      </w:r>
      <w:r w:rsidR="00F80748" w:rsidRPr="00AF720A">
        <w:rPr>
          <w:lang w:val="en-US"/>
        </w:rPr>
        <w:t xml:space="preserve">question “Has a doctor or other health professional ever told you that you had…” for each condition) </w:t>
      </w:r>
      <w:r w:rsidR="0076033C" w:rsidRPr="00AF720A">
        <w:rPr>
          <w:lang w:val="en-US"/>
        </w:rPr>
        <w:t>of cardiovascular disease, arthritis, and cancer.</w:t>
      </w:r>
      <w:r w:rsidR="000E5168" w:rsidRPr="00AF720A">
        <w:rPr>
          <w:lang w:val="en-US"/>
        </w:rPr>
        <w:t xml:space="preserve"> Participants </w:t>
      </w:r>
      <w:r w:rsidR="00AC0DBF" w:rsidRPr="00AF720A">
        <w:rPr>
          <w:lang w:val="en-US"/>
        </w:rPr>
        <w:t xml:space="preserve">who </w:t>
      </w:r>
      <w:r w:rsidR="000E5168" w:rsidRPr="00AF720A">
        <w:rPr>
          <w:lang w:val="en-US"/>
        </w:rPr>
        <w:t xml:space="preserve">reported diabetes mellitus were excluded from the analyses due to </w:t>
      </w:r>
      <w:r w:rsidR="00AC0DBF" w:rsidRPr="00AF720A">
        <w:rPr>
          <w:lang w:val="en-US"/>
        </w:rPr>
        <w:t xml:space="preserve">potential confounding by increased prevalence of </w:t>
      </w:r>
      <w:r w:rsidR="00762330" w:rsidRPr="00AF720A">
        <w:rPr>
          <w:lang w:val="en-US"/>
        </w:rPr>
        <w:t>obesity</w:t>
      </w:r>
      <w:r w:rsidR="006A42D5" w:rsidRPr="00AF720A">
        <w:rPr>
          <w:lang w:val="en-US"/>
        </w:rPr>
        <w:t xml:space="preserve"> </w:t>
      </w:r>
      <w:r w:rsidR="006A42D5" w:rsidRPr="00AF720A">
        <w:rPr>
          <w:lang w:val="en-US"/>
        </w:rPr>
        <w:fldChar w:fldCharType="begin"/>
      </w:r>
      <w:r w:rsidR="00DB336B" w:rsidRPr="00AF720A">
        <w:rPr>
          <w:lang w:val="en-US"/>
        </w:rPr>
        <w:instrText xml:space="preserve"> ADDIN ZOTERO_ITEM CSL_CITATION {"citationID":"0GEkiQp8","properties":{"formattedCitation":"(14)","plainCitation":"(14)","noteIndex":0},"citationItems":[{"id":1048,"uris":["http://zotero.org/users/446899/items/TETMEQVC"],"uri":["http://zotero.org/users/446899/items/TETMEQVC"],"itemData":{"id":1048,"type":"article-journal","title":"Prevalence of obesity, diabetes, and obesity-related health risk factors, 2001","container-title":"JAMA","page":"76-79","volume":"289","issue":"1","source":"Silverchair","abstract":"Context Obesity and diabetes are increasing in the United States.Objective To estimate the prevalence of obesity and diabetes among US adults in\n2001.Design, Setting, and Participants Random-digit telephone survey of 195 005 adults aged 18 years or\nolder residing in all states participating in the Behavioral Risk Factor Surveillance\nSystem in 2001.Main Outcome Measures Body mass index, based on self-reported weight and height and self-reported\ndiabetes.Results In 2001 the prevalence of obesity (BMI ≥30) was 20.9% vs 19.8% in\n2000, an increase of 5.6%. The prevalence of diabetes increased to 7.9% vs\n7.3% in 2000, an increase of 8.2%. The prevalence of BMI of 40 or higher in\n2001 was 2.3%. Overweight and obesity were significantly associated with diabetes,\nhigh blood pressure, high cholesterol, asthma, arthritis, and poor health\nstatus. Compared with adults with normal weight, adults with a BMI of 40 or\nhigher had an odds ratio (OR) of 7.37 (95% confidence interval [CI], 6.39-8.50)\nfor diagnosed diabetes, 6.38 (95% CI, 5.67-7.17) for high blood pressure,\n1.88 (95% CI,1.67-2.13) for high cholesterol levels, 2.72 (95% CI, 2.38-3.12)\nfor asthma, 4.41 (95% CI, 3.91-4.97) for arthritis, and 4.19 (95% CI, 3.68-4.76)\nfor fair or poor health.Conclusions Increases in obesity and diabetes among US adults continue in both sexes,\nall ages, all races, all educational levels, and all smoking levels. Obesity\nis strongly associated with several major health risk factors.","DOI":"10.1001/jama.289.1.76","ISSN":"0098-7484","journalAbbreviation":"JAMA","author":[{"family":"Mokdad","given":"AH"},{"family":"Ford","given":"ES"},{"family":"Bowman","given":"BA"},{"family":"Dietz","given":"WH"},{"family":"Vinicor","given":"F"},{"family":"Bales","given":"VS"},{"family":"Marks","given":"JS"}],"issued":{"date-parts":[["2003",1,1]]}}}],"schema":"https://github.com/citation-style-language/schema/raw/master/csl-citation.json"} </w:instrText>
      </w:r>
      <w:r w:rsidR="006A42D5" w:rsidRPr="00AF720A">
        <w:rPr>
          <w:lang w:val="en-US"/>
        </w:rPr>
        <w:fldChar w:fldCharType="separate"/>
      </w:r>
      <w:r w:rsidR="00DB336B" w:rsidRPr="00AF720A">
        <w:t>(14)</w:t>
      </w:r>
      <w:r w:rsidR="006A42D5" w:rsidRPr="00AF720A">
        <w:rPr>
          <w:lang w:val="en-US"/>
        </w:rPr>
        <w:fldChar w:fldCharType="end"/>
      </w:r>
      <w:r w:rsidR="00762330" w:rsidRPr="00AF720A">
        <w:rPr>
          <w:lang w:val="en-US"/>
        </w:rPr>
        <w:t xml:space="preserve"> </w:t>
      </w:r>
      <w:hyperlink r:id="rId10" w:history="1"/>
      <w:r w:rsidR="00AC0DBF" w:rsidRPr="00AF720A">
        <w:rPr>
          <w:lang w:val="en-US"/>
        </w:rPr>
        <w:t>and likelihood of dietary restrictions that prohibit chocolate consumption.</w:t>
      </w:r>
    </w:p>
    <w:p w14:paraId="3D2ACF96" w14:textId="4AE97931" w:rsidR="000955EB" w:rsidRPr="00AF720A" w:rsidRDefault="0042228B" w:rsidP="00EA436E">
      <w:pPr>
        <w:pStyle w:val="Heading3"/>
        <w:rPr>
          <w:lang w:val="en-US"/>
        </w:rPr>
      </w:pPr>
      <w:r w:rsidRPr="00AF720A">
        <w:rPr>
          <w:lang w:val="en-US"/>
        </w:rPr>
        <w:t>Statistical analyses</w:t>
      </w:r>
    </w:p>
    <w:p w14:paraId="10632B4D" w14:textId="71B1B15D" w:rsidR="004E42B0" w:rsidRPr="00AF720A" w:rsidRDefault="004B0951" w:rsidP="00873CE5">
      <w:pPr>
        <w:pStyle w:val="NoSpacing"/>
        <w:snapToGrid w:val="0"/>
        <w:spacing w:after="120" w:line="480" w:lineRule="auto"/>
        <w:rPr>
          <w:rFonts w:ascii="Arial" w:hAnsi="Arial" w:cs="Arial"/>
          <w:lang w:val="en-US"/>
        </w:rPr>
      </w:pPr>
      <w:r w:rsidRPr="00AF720A">
        <w:rPr>
          <w:rFonts w:ascii="Arial" w:hAnsi="Arial" w:cs="Arial"/>
          <w:bCs/>
          <w:lang w:val="en-US"/>
        </w:rPr>
        <w:t xml:space="preserve">All statistical analyses were performed using </w:t>
      </w:r>
      <w:r w:rsidRPr="00AF720A">
        <w:rPr>
          <w:rFonts w:ascii="Arial" w:hAnsi="Arial" w:cs="Arial"/>
          <w:lang w:val="en-US"/>
        </w:rPr>
        <w:t>S</w:t>
      </w:r>
      <w:r w:rsidR="006E6749" w:rsidRPr="00AF720A">
        <w:rPr>
          <w:rFonts w:ascii="Arial" w:hAnsi="Arial" w:cs="Arial"/>
          <w:lang w:val="en-US"/>
        </w:rPr>
        <w:t xml:space="preserve">TATA </w:t>
      </w:r>
      <w:r w:rsidRPr="00AF720A">
        <w:rPr>
          <w:rFonts w:ascii="Arial" w:hAnsi="Arial" w:cs="Arial"/>
          <w:lang w:val="en-US"/>
        </w:rPr>
        <w:t xml:space="preserve">version </w:t>
      </w:r>
      <w:r w:rsidR="006E6749" w:rsidRPr="00AF720A">
        <w:rPr>
          <w:rFonts w:ascii="Arial" w:hAnsi="Arial" w:cs="Arial"/>
          <w:lang w:val="en-US"/>
        </w:rPr>
        <w:t>14.0</w:t>
      </w:r>
      <w:r w:rsidRPr="00AF720A">
        <w:rPr>
          <w:rFonts w:ascii="Arial" w:hAnsi="Arial" w:cs="Arial"/>
          <w:lang w:val="en-US"/>
        </w:rPr>
        <w:t xml:space="preserve"> (STATA Corp., College Station, Texas, USA). Survey analysis procedure</w:t>
      </w:r>
      <w:r w:rsidR="00881C55" w:rsidRPr="00AF720A">
        <w:rPr>
          <w:rFonts w:ascii="Arial" w:hAnsi="Arial" w:cs="Arial"/>
          <w:lang w:val="en-US"/>
        </w:rPr>
        <w:t>s</w:t>
      </w:r>
      <w:r w:rsidRPr="00AF720A">
        <w:rPr>
          <w:rFonts w:ascii="Arial" w:hAnsi="Arial" w:cs="Arial"/>
          <w:lang w:val="en-US"/>
        </w:rPr>
        <w:t xml:space="preserve"> w</w:t>
      </w:r>
      <w:r w:rsidR="00881C55" w:rsidRPr="00AF720A">
        <w:rPr>
          <w:rFonts w:ascii="Arial" w:hAnsi="Arial" w:cs="Arial"/>
          <w:lang w:val="en-US"/>
        </w:rPr>
        <w:t>ere</w:t>
      </w:r>
      <w:r w:rsidRPr="00AF720A">
        <w:rPr>
          <w:rFonts w:ascii="Arial" w:hAnsi="Arial" w:cs="Arial"/>
          <w:lang w:val="en-US"/>
        </w:rPr>
        <w:t xml:space="preserve"> used to account for the sample weights, stratification, and clustering of the complex sampling design to ensure nationally representative estimates</w:t>
      </w:r>
      <w:r w:rsidR="00AB34E7" w:rsidRPr="00AF720A">
        <w:rPr>
          <w:rFonts w:ascii="Arial" w:hAnsi="Arial" w:cs="Arial"/>
          <w:lang w:val="en-US"/>
        </w:rPr>
        <w:t xml:space="preserve"> </w:t>
      </w:r>
      <w:r w:rsidR="00AB34E7" w:rsidRPr="00AF720A">
        <w:rPr>
          <w:rFonts w:ascii="Arial" w:hAnsi="Arial" w:cs="Arial"/>
          <w:lang w:val="en-US"/>
        </w:rPr>
        <w:fldChar w:fldCharType="begin"/>
      </w:r>
      <w:r w:rsidR="00DB336B" w:rsidRPr="00AF720A">
        <w:rPr>
          <w:rFonts w:ascii="Arial" w:hAnsi="Arial" w:cs="Arial"/>
          <w:lang w:val="en-US"/>
        </w:rPr>
        <w:instrText xml:space="preserve"> ADDIN ZOTERO_ITEM CSL_CITATION {"citationID":"6ZR3qj1U","properties":{"formattedCitation":"(9)","plainCitation":"(9)","noteIndex":0},"citationItems":[{"id":5924,"uris":["http://zotero.org/users/446899/items/LNX8CRE3"],"uri":["http://zotero.org/users/446899/items/LNX8CRE3"],"itemData":{"id":5924,"type":"article-journal","title":"The National Health and Nutrition Examination Survey: Sample Design, 1999-2006","container-title":"Vital and Health Statistics. Series 2, Data Evaluation and Methods Research","page":"1-39","issue":"155","source":"PubMed","abstract":"BACKGROUND: Data collection for the National Health and Nutrition Examination Survey (NHANES) comprises three levels: a household screener, an interview, and a physical examination. The primary objective of the screener is to determine whether any household members are eligible for the interview and examination. Eligibility is determined by the preset selection probabilities for the desired demographic subdomains. After selection as an eligible sample person, the interview collects person-level demographic, health, and nutrition information as well as information about the household. The examination includes physical measurements, tests such as eye and dental examinations, and the collection of blood and urine specimens for laboratory testing.\nOBJECTIVES: This report will first describe the broad design specifications for the 1999-2006 survey including survey objectives, domain and precision specifications, operational requirements, sample design, and estimations procedures. Details of the sample design are divided into two sections. The first section (NHANES 1999-2001 Sample Design) broadly describes the sample design and various design changes during the first three years of the continuous NHANES (1999-2001). The second section (NHANES 2002-2006 Sample Design) describes the final sample design developed and applied for 2002-2006. Weighting and variance estimation procedures are presented in the same manner; however, to correspond to the public data release cycles, the weighting and variance sections are separated into those used for 1999-2002, and those used for 2003-2006. Much of this report is based on survey operations documents and sample design reports prepared by Westat. Documentation of the survey content, procedures, and methods to assess nonsampling errors are reported elsewhere.","ISSN":"0083-2057","note":"PMID: 22788053","shortTitle":"The National Health and Nutrition Examination Survey","journalAbbreviation":"Vital Health Stat 2","language":"eng","author":[{"family":"Curtin","given":"Lester R."},{"family":"Mohadjer","given":"Leyla K."},{"family":"Dohrmann","given":"Sylvia M."},{"family":"Montaquila","given":"Jill M."},{"family":"Kruszan-Moran","given":"Deanna"},{"family":"Mirel","given":"Lisa B."},{"family":"Carroll","given":"Margaret D."},{"family":"Hirsch","given":"Rosemarie"},{"family":"Schober","given":"Susan"},{"family":"Johnson","given":"Clifford L."}],"issued":{"date-parts":[["2012",5]]}}}],"schema":"https://github.com/citation-style-language/schema/raw/master/csl-citation.json"} </w:instrText>
      </w:r>
      <w:r w:rsidR="00AB34E7" w:rsidRPr="00AF720A">
        <w:rPr>
          <w:rFonts w:ascii="Arial" w:hAnsi="Arial" w:cs="Arial"/>
          <w:lang w:val="en-US"/>
        </w:rPr>
        <w:fldChar w:fldCharType="separate"/>
      </w:r>
      <w:r w:rsidR="00DB336B" w:rsidRPr="00AF720A">
        <w:rPr>
          <w:rFonts w:ascii="Arial" w:hAnsi="Arial" w:cs="Arial"/>
        </w:rPr>
        <w:t>(9)</w:t>
      </w:r>
      <w:r w:rsidR="00AB34E7" w:rsidRPr="00AF720A">
        <w:rPr>
          <w:rFonts w:ascii="Arial" w:hAnsi="Arial" w:cs="Arial"/>
          <w:lang w:val="en-US"/>
        </w:rPr>
        <w:fldChar w:fldCharType="end"/>
      </w:r>
      <w:r w:rsidRPr="00AF720A">
        <w:rPr>
          <w:rFonts w:ascii="Arial" w:hAnsi="Arial" w:cs="Arial"/>
          <w:lang w:val="en-US"/>
        </w:rPr>
        <w:t xml:space="preserve">. </w:t>
      </w:r>
      <w:r w:rsidR="00873CE5" w:rsidRPr="00AF720A">
        <w:rPr>
          <w:rFonts w:ascii="Arial" w:hAnsi="Arial" w:cs="Arial"/>
          <w:lang w:val="en-US"/>
        </w:rPr>
        <w:t xml:space="preserve">Descriptive characteristics </w:t>
      </w:r>
      <w:r w:rsidR="00873CE5" w:rsidRPr="00AF720A">
        <w:rPr>
          <w:rFonts w:ascii="Arial" w:hAnsi="Arial" w:cs="Arial"/>
          <w:lang w:val="en-US"/>
        </w:rPr>
        <w:lastRenderedPageBreak/>
        <w:t>were analy</w:t>
      </w:r>
      <w:r w:rsidR="005251D3" w:rsidRPr="00AF720A">
        <w:rPr>
          <w:rFonts w:ascii="Arial" w:hAnsi="Arial" w:cs="Arial"/>
          <w:lang w:val="en-US"/>
        </w:rPr>
        <w:t>z</w:t>
      </w:r>
      <w:r w:rsidR="00873CE5" w:rsidRPr="00AF720A">
        <w:rPr>
          <w:rFonts w:ascii="Arial" w:hAnsi="Arial" w:cs="Arial"/>
          <w:lang w:val="en-US"/>
        </w:rPr>
        <w:t xml:space="preserve">ed </w:t>
      </w:r>
      <w:r w:rsidR="00B17112" w:rsidRPr="00AF720A">
        <w:rPr>
          <w:rFonts w:ascii="Arial" w:hAnsi="Arial" w:cs="Arial"/>
          <w:lang w:val="en-US"/>
        </w:rPr>
        <w:t xml:space="preserve">by summarizing </w:t>
      </w:r>
      <w:r w:rsidR="00873CE5" w:rsidRPr="00AF720A">
        <w:rPr>
          <w:rFonts w:ascii="Arial" w:hAnsi="Arial" w:cs="Arial"/>
          <w:lang w:val="en-US"/>
        </w:rPr>
        <w:t>weighted means and standard errors</w:t>
      </w:r>
      <w:r w:rsidR="00762330" w:rsidRPr="00AF720A">
        <w:rPr>
          <w:rFonts w:ascii="Arial" w:hAnsi="Arial" w:cs="Arial"/>
          <w:lang w:val="en-US"/>
        </w:rPr>
        <w:t xml:space="preserve"> and one-way ANOVA</w:t>
      </w:r>
      <w:r w:rsidR="00873CE5" w:rsidRPr="00AF720A">
        <w:rPr>
          <w:rFonts w:ascii="Arial" w:hAnsi="Arial" w:cs="Arial"/>
          <w:lang w:val="en-US"/>
        </w:rPr>
        <w:t xml:space="preserve"> for continuous variables</w:t>
      </w:r>
      <w:r w:rsidR="00ED3187" w:rsidRPr="00AF720A">
        <w:rPr>
          <w:rFonts w:ascii="Arial" w:hAnsi="Arial" w:cs="Arial"/>
          <w:lang w:val="en-US"/>
        </w:rPr>
        <w:t xml:space="preserve"> and</w:t>
      </w:r>
      <w:r w:rsidR="00873CE5" w:rsidRPr="00AF720A">
        <w:rPr>
          <w:rFonts w:ascii="Arial" w:hAnsi="Arial" w:cs="Arial"/>
          <w:lang w:val="en-US"/>
        </w:rPr>
        <w:t xml:space="preserve"> weighted proportions</w:t>
      </w:r>
      <w:r w:rsidR="00762330" w:rsidRPr="00AF720A">
        <w:rPr>
          <w:rFonts w:ascii="Arial" w:hAnsi="Arial" w:cs="Arial"/>
          <w:lang w:val="en-US"/>
        </w:rPr>
        <w:t xml:space="preserve"> and </w:t>
      </w:r>
      <w:r w:rsidR="00876411" w:rsidRPr="00AF720A">
        <w:rPr>
          <w:rFonts w:ascii="Arial" w:hAnsi="Arial" w:cs="Arial"/>
          <w:lang w:val="en-US"/>
        </w:rPr>
        <w:t>c</w:t>
      </w:r>
      <w:r w:rsidR="00762330" w:rsidRPr="00AF720A">
        <w:rPr>
          <w:rFonts w:ascii="Arial" w:hAnsi="Arial" w:cs="Arial"/>
          <w:lang w:val="en-US"/>
        </w:rPr>
        <w:t>hi-square test</w:t>
      </w:r>
      <w:r w:rsidR="00876411" w:rsidRPr="00AF720A">
        <w:rPr>
          <w:rFonts w:ascii="Arial" w:hAnsi="Arial" w:cs="Arial"/>
          <w:lang w:val="en-US"/>
        </w:rPr>
        <w:t>s</w:t>
      </w:r>
      <w:r w:rsidR="00873CE5" w:rsidRPr="00AF720A">
        <w:rPr>
          <w:rFonts w:ascii="Arial" w:hAnsi="Arial" w:cs="Arial"/>
          <w:lang w:val="en-US"/>
        </w:rPr>
        <w:t xml:space="preserve"> for categorical variables</w:t>
      </w:r>
      <w:r w:rsidR="00ED3187" w:rsidRPr="00AF720A">
        <w:rPr>
          <w:rFonts w:ascii="Arial" w:hAnsi="Arial" w:cs="Arial"/>
          <w:lang w:val="en-US"/>
        </w:rPr>
        <w:t xml:space="preserve"> </w:t>
      </w:r>
      <w:r w:rsidR="00873CE5" w:rsidRPr="00AF720A">
        <w:rPr>
          <w:rFonts w:ascii="Arial" w:hAnsi="Arial" w:cs="Arial"/>
          <w:lang w:val="en-US"/>
        </w:rPr>
        <w:t xml:space="preserve">by </w:t>
      </w:r>
      <w:r w:rsidR="0014516F" w:rsidRPr="00AF720A">
        <w:rPr>
          <w:rFonts w:ascii="Arial" w:hAnsi="Arial" w:cs="Arial"/>
          <w:lang w:val="en-US"/>
        </w:rPr>
        <w:t>BMI category.</w:t>
      </w:r>
    </w:p>
    <w:p w14:paraId="7D0DD9FD" w14:textId="48EE1ECB" w:rsidR="009059F6" w:rsidRPr="00AF720A" w:rsidRDefault="0014516F" w:rsidP="00936810">
      <w:pPr>
        <w:pStyle w:val="NoSpacing"/>
        <w:snapToGrid w:val="0"/>
        <w:spacing w:after="120" w:line="480" w:lineRule="auto"/>
        <w:rPr>
          <w:rFonts w:ascii="Arial" w:hAnsi="Arial" w:cs="Arial"/>
          <w:lang w:val="en-US"/>
        </w:rPr>
      </w:pPr>
      <w:r w:rsidRPr="00AF720A">
        <w:rPr>
          <w:rFonts w:ascii="Arial" w:hAnsi="Arial" w:cs="Arial"/>
          <w:lang w:val="en-US"/>
        </w:rPr>
        <w:t xml:space="preserve">For each outcome of BMI and waist circumference, </w:t>
      </w:r>
      <w:r w:rsidR="003A0331" w:rsidRPr="00AF720A">
        <w:rPr>
          <w:rFonts w:ascii="Arial" w:hAnsi="Arial" w:cs="Arial"/>
          <w:lang w:val="en-US"/>
        </w:rPr>
        <w:t>two</w:t>
      </w:r>
      <w:r w:rsidR="0076033C" w:rsidRPr="00AF720A">
        <w:rPr>
          <w:rFonts w:ascii="Arial" w:hAnsi="Arial" w:cs="Arial"/>
          <w:lang w:val="en-US"/>
        </w:rPr>
        <w:t xml:space="preserve"> </w:t>
      </w:r>
      <w:r w:rsidR="003E07C3" w:rsidRPr="00AF720A">
        <w:rPr>
          <w:rFonts w:ascii="Arial" w:hAnsi="Arial" w:cs="Arial"/>
          <w:lang w:val="en-US"/>
        </w:rPr>
        <w:t xml:space="preserve">multivariable </w:t>
      </w:r>
      <w:r w:rsidRPr="00AF720A">
        <w:rPr>
          <w:rFonts w:ascii="Arial" w:hAnsi="Arial" w:cs="Arial"/>
          <w:lang w:val="en-US"/>
        </w:rPr>
        <w:t>linear</w:t>
      </w:r>
      <w:r w:rsidR="007831E4" w:rsidRPr="00AF720A">
        <w:rPr>
          <w:rFonts w:ascii="Arial" w:hAnsi="Arial" w:cs="Arial"/>
          <w:lang w:val="en-US"/>
        </w:rPr>
        <w:t xml:space="preserve"> regression </w:t>
      </w:r>
      <w:r w:rsidR="0076033C" w:rsidRPr="00AF720A">
        <w:rPr>
          <w:rFonts w:ascii="Arial" w:hAnsi="Arial" w:cs="Arial"/>
          <w:lang w:val="en-US"/>
        </w:rPr>
        <w:t xml:space="preserve">models </w:t>
      </w:r>
      <w:r w:rsidR="007831E4" w:rsidRPr="00AF720A">
        <w:rPr>
          <w:rFonts w:ascii="Arial" w:hAnsi="Arial" w:cs="Arial"/>
          <w:lang w:val="en-US"/>
        </w:rPr>
        <w:t>were constructed to</w:t>
      </w:r>
      <w:r w:rsidR="0076033C" w:rsidRPr="00AF720A">
        <w:rPr>
          <w:rFonts w:ascii="Arial" w:hAnsi="Arial" w:cs="Arial"/>
          <w:lang w:val="en-US"/>
        </w:rPr>
        <w:t xml:space="preserve"> evaluate the </w:t>
      </w:r>
      <w:r w:rsidR="00873CE5" w:rsidRPr="00AF720A">
        <w:rPr>
          <w:rFonts w:ascii="Arial" w:hAnsi="Arial" w:cs="Arial"/>
          <w:lang w:val="en-US"/>
        </w:rPr>
        <w:t xml:space="preserve">association of </w:t>
      </w:r>
      <w:r w:rsidR="000A6951" w:rsidRPr="00AF720A">
        <w:rPr>
          <w:rFonts w:ascii="Arial" w:hAnsi="Arial" w:cs="Arial"/>
          <w:lang w:val="en-US"/>
        </w:rPr>
        <w:t>chocolate consumption</w:t>
      </w:r>
      <w:r w:rsidR="00873CE5" w:rsidRPr="00AF720A">
        <w:rPr>
          <w:rFonts w:ascii="Arial" w:hAnsi="Arial" w:cs="Arial"/>
          <w:lang w:val="en-US"/>
        </w:rPr>
        <w:t xml:space="preserve"> with </w:t>
      </w:r>
      <w:r w:rsidRPr="00AF720A">
        <w:rPr>
          <w:rFonts w:ascii="Arial" w:hAnsi="Arial" w:cs="Arial"/>
          <w:lang w:val="en-US"/>
        </w:rPr>
        <w:t>weight status</w:t>
      </w:r>
      <w:r w:rsidR="00873CE5" w:rsidRPr="00AF720A">
        <w:rPr>
          <w:rFonts w:ascii="Arial" w:hAnsi="Arial" w:cs="Arial"/>
          <w:lang w:val="en-US"/>
        </w:rPr>
        <w:t xml:space="preserve">. </w:t>
      </w:r>
      <w:r w:rsidR="00B17112" w:rsidRPr="00AF720A">
        <w:rPr>
          <w:rFonts w:ascii="Arial" w:hAnsi="Arial" w:cs="Arial"/>
          <w:lang w:val="en-US"/>
        </w:rPr>
        <w:t>First, we</w:t>
      </w:r>
      <w:r w:rsidR="003E07C3" w:rsidRPr="00AF720A">
        <w:rPr>
          <w:rFonts w:ascii="Arial" w:hAnsi="Arial" w:cs="Arial"/>
          <w:lang w:val="en-US"/>
        </w:rPr>
        <w:t xml:space="preserve"> </w:t>
      </w:r>
      <w:r w:rsidR="0076033C" w:rsidRPr="00AF720A">
        <w:rPr>
          <w:rFonts w:ascii="Arial" w:hAnsi="Arial" w:cs="Arial"/>
          <w:lang w:val="en-US"/>
        </w:rPr>
        <w:t xml:space="preserve">estimated the </w:t>
      </w:r>
      <w:r w:rsidR="00873CE5" w:rsidRPr="00AF720A">
        <w:rPr>
          <w:rFonts w:ascii="Arial" w:hAnsi="Arial" w:cs="Arial"/>
          <w:lang w:val="en-US"/>
        </w:rPr>
        <w:t xml:space="preserve">association of </w:t>
      </w:r>
      <w:r w:rsidR="003A0331" w:rsidRPr="00AF720A">
        <w:rPr>
          <w:rFonts w:ascii="Arial" w:hAnsi="Arial" w:cs="Arial"/>
          <w:lang w:val="en-US"/>
        </w:rPr>
        <w:t xml:space="preserve">overall </w:t>
      </w:r>
      <w:r w:rsidR="000A6951" w:rsidRPr="00AF720A">
        <w:rPr>
          <w:rFonts w:ascii="Arial" w:hAnsi="Arial" w:cs="Arial"/>
          <w:lang w:val="en-US"/>
        </w:rPr>
        <w:t>chocolate consumption</w:t>
      </w:r>
      <w:r w:rsidR="00873CE5" w:rsidRPr="00AF720A">
        <w:rPr>
          <w:rFonts w:ascii="Arial" w:hAnsi="Arial" w:cs="Arial"/>
          <w:lang w:val="en-US"/>
        </w:rPr>
        <w:t xml:space="preserve"> (</w:t>
      </w:r>
      <w:r w:rsidR="003A0331" w:rsidRPr="00AF720A">
        <w:rPr>
          <w:rFonts w:ascii="Arial" w:hAnsi="Arial" w:cs="Arial"/>
          <w:lang w:val="en-US"/>
        </w:rPr>
        <w:t>yes/no</w:t>
      </w:r>
      <w:r w:rsidR="00B17112" w:rsidRPr="00AF720A">
        <w:rPr>
          <w:rFonts w:ascii="Arial" w:hAnsi="Arial" w:cs="Arial"/>
          <w:lang w:val="en-US"/>
        </w:rPr>
        <w:t>)</w:t>
      </w:r>
      <w:r w:rsidR="003E07C3" w:rsidRPr="00AF720A">
        <w:rPr>
          <w:rFonts w:ascii="Arial" w:hAnsi="Arial" w:cs="Arial"/>
          <w:lang w:val="en-US"/>
        </w:rPr>
        <w:t xml:space="preserve"> </w:t>
      </w:r>
      <w:r w:rsidR="00873CE5" w:rsidRPr="00AF720A">
        <w:rPr>
          <w:rFonts w:ascii="Arial" w:hAnsi="Arial" w:cs="Arial"/>
          <w:lang w:val="en-US"/>
        </w:rPr>
        <w:t xml:space="preserve">with </w:t>
      </w:r>
      <w:r w:rsidRPr="00AF720A">
        <w:rPr>
          <w:rFonts w:ascii="Arial" w:hAnsi="Arial" w:cs="Arial"/>
          <w:lang w:val="en-US"/>
        </w:rPr>
        <w:t>BMI and waist circumference, respectively</w:t>
      </w:r>
      <w:r w:rsidR="00873CE5" w:rsidRPr="00AF720A">
        <w:rPr>
          <w:rFonts w:ascii="Arial" w:hAnsi="Arial" w:cs="Arial"/>
          <w:lang w:val="en-US"/>
        </w:rPr>
        <w:t xml:space="preserve">. </w:t>
      </w:r>
      <w:r w:rsidR="00B17112" w:rsidRPr="00AF720A">
        <w:rPr>
          <w:rFonts w:ascii="Arial" w:hAnsi="Arial" w:cs="Arial"/>
          <w:lang w:val="en-US"/>
        </w:rPr>
        <w:t xml:space="preserve">Secondly, we </w:t>
      </w:r>
      <w:r w:rsidR="003A0331" w:rsidRPr="00AF720A">
        <w:rPr>
          <w:rFonts w:ascii="Arial" w:hAnsi="Arial" w:cs="Arial"/>
          <w:lang w:val="en-US"/>
        </w:rPr>
        <w:t>examine</w:t>
      </w:r>
      <w:r w:rsidR="00876411" w:rsidRPr="00AF720A">
        <w:rPr>
          <w:rFonts w:ascii="Arial" w:hAnsi="Arial" w:cs="Arial"/>
          <w:lang w:val="en-US"/>
        </w:rPr>
        <w:t>d</w:t>
      </w:r>
      <w:r w:rsidR="003E07C3" w:rsidRPr="00AF720A">
        <w:rPr>
          <w:rFonts w:ascii="Arial" w:hAnsi="Arial" w:cs="Arial"/>
          <w:lang w:val="en-US"/>
        </w:rPr>
        <w:t xml:space="preserve"> whether the amount of chocolate consumption (</w:t>
      </w:r>
      <w:r w:rsidR="00E67112" w:rsidRPr="00AF720A">
        <w:rPr>
          <w:rFonts w:ascii="Arial" w:hAnsi="Arial" w:cs="Arial"/>
          <w:lang w:val="en-US"/>
        </w:rPr>
        <w:t xml:space="preserve">zero for non-chocolate consumers, and </w:t>
      </w:r>
      <w:r w:rsidR="003E07C3" w:rsidRPr="00AF720A">
        <w:rPr>
          <w:rFonts w:ascii="Arial" w:hAnsi="Arial" w:cs="Arial"/>
          <w:lang w:val="en-US"/>
        </w:rPr>
        <w:t>in quartiles</w:t>
      </w:r>
      <w:r w:rsidR="00E67112" w:rsidRPr="00AF720A">
        <w:rPr>
          <w:rFonts w:ascii="Arial" w:hAnsi="Arial" w:cs="Arial"/>
          <w:lang w:val="en-US"/>
        </w:rPr>
        <w:t xml:space="preserve"> among chocolate consumers</w:t>
      </w:r>
      <w:r w:rsidR="003E07C3" w:rsidRPr="00AF720A">
        <w:rPr>
          <w:rFonts w:ascii="Arial" w:hAnsi="Arial" w:cs="Arial"/>
          <w:lang w:val="en-US"/>
        </w:rPr>
        <w:t xml:space="preserve">) </w:t>
      </w:r>
      <w:r w:rsidR="00BD6669" w:rsidRPr="00AF720A">
        <w:rPr>
          <w:rFonts w:ascii="Arial" w:hAnsi="Arial" w:cs="Arial"/>
          <w:lang w:val="en-US"/>
        </w:rPr>
        <w:t>was</w:t>
      </w:r>
      <w:r w:rsidR="003E07C3" w:rsidRPr="00AF720A">
        <w:rPr>
          <w:rFonts w:ascii="Arial" w:hAnsi="Arial" w:cs="Arial"/>
          <w:lang w:val="en-US"/>
        </w:rPr>
        <w:t xml:space="preserve"> </w:t>
      </w:r>
      <w:r w:rsidR="00EF7300" w:rsidRPr="00AF720A">
        <w:rPr>
          <w:rFonts w:ascii="Arial" w:hAnsi="Arial" w:cs="Arial"/>
          <w:lang w:val="en-US"/>
        </w:rPr>
        <w:t xml:space="preserve">independently </w:t>
      </w:r>
      <w:r w:rsidR="003E07C3" w:rsidRPr="00AF720A">
        <w:rPr>
          <w:rFonts w:ascii="Arial" w:hAnsi="Arial" w:cs="Arial"/>
          <w:lang w:val="en-US"/>
        </w:rPr>
        <w:t xml:space="preserve">associated with </w:t>
      </w:r>
      <w:r w:rsidRPr="00AF720A">
        <w:rPr>
          <w:rFonts w:ascii="Arial" w:hAnsi="Arial" w:cs="Arial"/>
          <w:lang w:val="en-US"/>
        </w:rPr>
        <w:t>weight status</w:t>
      </w:r>
      <w:r w:rsidR="00BD6669" w:rsidRPr="00AF720A">
        <w:rPr>
          <w:rFonts w:ascii="Arial" w:hAnsi="Arial" w:cs="Arial"/>
          <w:lang w:val="en-US"/>
        </w:rPr>
        <w:t>,</w:t>
      </w:r>
      <w:r w:rsidR="00B17112" w:rsidRPr="00AF720A">
        <w:rPr>
          <w:rFonts w:ascii="Arial" w:hAnsi="Arial" w:cs="Arial"/>
          <w:lang w:val="en-US"/>
        </w:rPr>
        <w:t xml:space="preserve"> </w:t>
      </w:r>
      <w:r w:rsidR="00D7232D" w:rsidRPr="00AF720A">
        <w:rPr>
          <w:rFonts w:ascii="Arial" w:hAnsi="Arial" w:cs="Arial"/>
          <w:lang w:val="en-US"/>
        </w:rPr>
        <w:t>with and without adjustment</w:t>
      </w:r>
      <w:r w:rsidR="00B17112" w:rsidRPr="00AF720A">
        <w:rPr>
          <w:rFonts w:ascii="Arial" w:hAnsi="Arial" w:cs="Arial"/>
          <w:lang w:val="en-US"/>
        </w:rPr>
        <w:t xml:space="preserve"> for dark chocolate consumption (yes/no)</w:t>
      </w:r>
      <w:r w:rsidR="003E07C3" w:rsidRPr="00AF720A">
        <w:rPr>
          <w:rFonts w:ascii="Arial" w:hAnsi="Arial" w:cs="Arial"/>
          <w:lang w:val="en-US"/>
        </w:rPr>
        <w:t xml:space="preserve">. </w:t>
      </w:r>
      <w:r w:rsidR="00677E20" w:rsidRPr="00AF720A">
        <w:rPr>
          <w:rFonts w:ascii="Arial" w:hAnsi="Arial" w:cs="Arial"/>
          <w:lang w:val="en-US"/>
        </w:rPr>
        <w:t>It was not possible to analy</w:t>
      </w:r>
      <w:r w:rsidR="00876411" w:rsidRPr="00AF720A">
        <w:rPr>
          <w:rFonts w:ascii="Arial" w:hAnsi="Arial" w:cs="Arial"/>
          <w:lang w:val="en-US"/>
        </w:rPr>
        <w:t>z</w:t>
      </w:r>
      <w:r w:rsidR="00677E20" w:rsidRPr="00AF720A">
        <w:rPr>
          <w:rFonts w:ascii="Arial" w:hAnsi="Arial" w:cs="Arial"/>
          <w:lang w:val="en-US"/>
        </w:rPr>
        <w:t xml:space="preserve">e the association with the amount of dark chocolate consumption specifically due to the small number of participants reporting any dark chocolate consumption. </w:t>
      </w:r>
      <w:r w:rsidR="003E07C3" w:rsidRPr="00AF720A">
        <w:rPr>
          <w:rFonts w:ascii="Arial" w:hAnsi="Arial" w:cs="Arial"/>
          <w:lang w:val="en-US"/>
        </w:rPr>
        <w:t xml:space="preserve">All </w:t>
      </w:r>
      <w:r w:rsidR="00936810" w:rsidRPr="00AF720A">
        <w:rPr>
          <w:rFonts w:ascii="Arial" w:hAnsi="Arial" w:cs="Arial"/>
          <w:lang w:val="en-US"/>
        </w:rPr>
        <w:t>models were adjusted</w:t>
      </w:r>
      <w:r w:rsidR="00873CE5" w:rsidRPr="00AF720A">
        <w:rPr>
          <w:rFonts w:ascii="Arial" w:hAnsi="Arial" w:cs="Arial"/>
          <w:lang w:val="en-US"/>
        </w:rPr>
        <w:t xml:space="preserve"> for </w:t>
      </w:r>
      <w:r w:rsidR="0076033C" w:rsidRPr="00AF720A">
        <w:rPr>
          <w:rFonts w:ascii="Arial" w:hAnsi="Arial" w:cs="Arial"/>
          <w:lang w:val="en-US"/>
        </w:rPr>
        <w:t>sociodemographic factors (age</w:t>
      </w:r>
      <w:r w:rsidR="00306484" w:rsidRPr="00AF720A">
        <w:rPr>
          <w:rFonts w:ascii="Arial" w:hAnsi="Arial" w:cs="Arial"/>
          <w:lang w:val="en-US"/>
        </w:rPr>
        <w:t xml:space="preserve">, </w:t>
      </w:r>
      <w:r w:rsidR="00BD6669" w:rsidRPr="00AF720A">
        <w:rPr>
          <w:rFonts w:ascii="Arial" w:hAnsi="Arial" w:cs="Arial"/>
          <w:lang w:val="en-US"/>
        </w:rPr>
        <w:t>sex</w:t>
      </w:r>
      <w:r w:rsidR="00B17112" w:rsidRPr="00AF720A">
        <w:rPr>
          <w:rFonts w:ascii="Arial" w:hAnsi="Arial" w:cs="Arial"/>
          <w:lang w:val="en-US"/>
        </w:rPr>
        <w:t>,</w:t>
      </w:r>
      <w:r w:rsidR="00E67112" w:rsidRPr="00AF720A">
        <w:rPr>
          <w:rFonts w:ascii="Arial" w:hAnsi="Arial" w:cs="Arial"/>
          <w:lang w:val="en-US"/>
        </w:rPr>
        <w:t xml:space="preserve"> </w:t>
      </w:r>
      <w:r w:rsidR="00D7232D" w:rsidRPr="00AF720A">
        <w:rPr>
          <w:rFonts w:ascii="Arial" w:hAnsi="Arial" w:cs="Arial"/>
          <w:lang w:val="en-US"/>
        </w:rPr>
        <w:t>marital</w:t>
      </w:r>
      <w:r w:rsidR="00E67112" w:rsidRPr="00AF720A">
        <w:rPr>
          <w:rFonts w:ascii="Arial" w:hAnsi="Arial" w:cs="Arial"/>
          <w:lang w:val="en-US"/>
        </w:rPr>
        <w:t xml:space="preserve"> status,</w:t>
      </w:r>
      <w:r w:rsidR="00B17112" w:rsidRPr="00AF720A">
        <w:rPr>
          <w:rFonts w:ascii="Arial" w:hAnsi="Arial" w:cs="Arial"/>
          <w:lang w:val="en-US"/>
        </w:rPr>
        <w:t xml:space="preserve"> </w:t>
      </w:r>
      <w:r w:rsidR="0076033C" w:rsidRPr="00AF720A">
        <w:rPr>
          <w:rFonts w:ascii="Arial" w:hAnsi="Arial" w:cs="Arial"/>
          <w:lang w:val="en-US"/>
        </w:rPr>
        <w:t>education level,</w:t>
      </w:r>
      <w:r w:rsidR="00306484" w:rsidRPr="00AF720A">
        <w:rPr>
          <w:rFonts w:ascii="Arial" w:hAnsi="Arial" w:cs="Arial"/>
          <w:lang w:val="en-US"/>
        </w:rPr>
        <w:t xml:space="preserve"> annual household income),</w:t>
      </w:r>
      <w:r w:rsidRPr="00AF720A">
        <w:rPr>
          <w:rFonts w:ascii="Arial" w:hAnsi="Arial" w:cs="Arial"/>
          <w:lang w:val="en-US"/>
        </w:rPr>
        <w:t xml:space="preserve"> </w:t>
      </w:r>
      <w:r w:rsidR="00306484" w:rsidRPr="00AF720A">
        <w:rPr>
          <w:rFonts w:ascii="Arial" w:hAnsi="Arial" w:cs="Arial"/>
          <w:lang w:val="en-US"/>
        </w:rPr>
        <w:t>lifestyle factors (leisure</w:t>
      </w:r>
      <w:r w:rsidR="00ED14C9" w:rsidRPr="00AF720A">
        <w:rPr>
          <w:rFonts w:ascii="Arial" w:hAnsi="Arial" w:cs="Arial"/>
          <w:lang w:val="en-US"/>
        </w:rPr>
        <w:t>-</w:t>
      </w:r>
      <w:r w:rsidR="00306484" w:rsidRPr="00AF720A">
        <w:rPr>
          <w:rFonts w:ascii="Arial" w:hAnsi="Arial" w:cs="Arial"/>
          <w:lang w:val="en-US"/>
        </w:rPr>
        <w:t>time phys</w:t>
      </w:r>
      <w:r w:rsidR="003C3F23" w:rsidRPr="00AF720A">
        <w:rPr>
          <w:rFonts w:ascii="Arial" w:hAnsi="Arial" w:cs="Arial"/>
          <w:lang w:val="en-US"/>
        </w:rPr>
        <w:t>ical activity, smoking status</w:t>
      </w:r>
      <w:r w:rsidR="00873CE5" w:rsidRPr="00AF720A">
        <w:rPr>
          <w:rFonts w:ascii="Arial" w:hAnsi="Arial" w:cs="Arial"/>
          <w:lang w:val="en-US"/>
        </w:rPr>
        <w:t xml:space="preserve">, alcohol </w:t>
      </w:r>
      <w:r w:rsidR="001B73DE" w:rsidRPr="00AF720A">
        <w:rPr>
          <w:rFonts w:ascii="Arial" w:hAnsi="Arial" w:cs="Arial"/>
          <w:lang w:val="en-US"/>
        </w:rPr>
        <w:t>intake</w:t>
      </w:r>
      <w:r w:rsidR="003A092A" w:rsidRPr="00AF720A">
        <w:rPr>
          <w:rFonts w:ascii="Arial" w:hAnsi="Arial" w:cs="Arial"/>
          <w:lang w:val="en-US"/>
        </w:rPr>
        <w:t>)</w:t>
      </w:r>
      <w:r w:rsidR="00873CE5" w:rsidRPr="00AF720A">
        <w:rPr>
          <w:rFonts w:ascii="Arial" w:hAnsi="Arial" w:cs="Arial"/>
          <w:lang w:val="en-US"/>
        </w:rPr>
        <w:t xml:space="preserve">, </w:t>
      </w:r>
      <w:r w:rsidR="003E3885" w:rsidRPr="00AF720A">
        <w:rPr>
          <w:rFonts w:ascii="Arial" w:hAnsi="Arial" w:cs="Arial"/>
          <w:lang w:val="en-US"/>
        </w:rPr>
        <w:t xml:space="preserve">total energy intake, </w:t>
      </w:r>
      <w:r w:rsidR="00396FD1" w:rsidRPr="00AF720A">
        <w:rPr>
          <w:rFonts w:ascii="Arial" w:hAnsi="Arial" w:cs="Arial"/>
          <w:lang w:val="en-US"/>
        </w:rPr>
        <w:t xml:space="preserve">and </w:t>
      </w:r>
      <w:r w:rsidR="00873CE5" w:rsidRPr="00AF720A">
        <w:rPr>
          <w:rFonts w:ascii="Arial" w:hAnsi="Arial" w:cs="Arial"/>
          <w:lang w:val="en-US"/>
        </w:rPr>
        <w:t>chronic conditions</w:t>
      </w:r>
      <w:r w:rsidR="003C3F23" w:rsidRPr="00AF720A">
        <w:rPr>
          <w:rFonts w:ascii="Arial" w:hAnsi="Arial" w:cs="Arial"/>
          <w:lang w:val="en-US"/>
        </w:rPr>
        <w:t xml:space="preserve">. </w:t>
      </w:r>
      <w:r w:rsidR="00FD7B8D" w:rsidRPr="00AF720A">
        <w:rPr>
          <w:rFonts w:ascii="Arial" w:hAnsi="Arial" w:cs="Arial"/>
          <w:lang w:val="en-US"/>
        </w:rPr>
        <w:t>We considered</w:t>
      </w:r>
      <w:r w:rsidR="0050064A" w:rsidRPr="00AF720A">
        <w:rPr>
          <w:rFonts w:ascii="Arial" w:hAnsi="Arial" w:cs="Arial"/>
          <w:lang w:val="en-US"/>
        </w:rPr>
        <w:t xml:space="preserve"> </w:t>
      </w:r>
      <w:r w:rsidR="004C458F" w:rsidRPr="00AF720A">
        <w:rPr>
          <w:rFonts w:ascii="Arial" w:hAnsi="Arial" w:cs="Arial"/>
          <w:i/>
          <w:lang w:val="en-US"/>
        </w:rPr>
        <w:t>p</w:t>
      </w:r>
      <w:r w:rsidR="00D56453" w:rsidRPr="00AF720A">
        <w:rPr>
          <w:rFonts w:ascii="Arial" w:hAnsi="Arial" w:cs="Arial"/>
          <w:lang w:val="en-US"/>
        </w:rPr>
        <w:t xml:space="preserve"> values </w:t>
      </w:r>
      <w:r w:rsidR="0050064A" w:rsidRPr="00AF720A">
        <w:rPr>
          <w:rFonts w:ascii="Arial" w:hAnsi="Arial" w:cs="Arial"/>
          <w:lang w:val="en-US"/>
        </w:rPr>
        <w:t>&lt;0.05</w:t>
      </w:r>
      <w:r w:rsidR="00FD7B8D" w:rsidRPr="00AF720A">
        <w:rPr>
          <w:rFonts w:ascii="Arial" w:hAnsi="Arial" w:cs="Arial"/>
          <w:lang w:val="en-US"/>
        </w:rPr>
        <w:t xml:space="preserve"> </w:t>
      </w:r>
      <w:r w:rsidR="006F4CF6" w:rsidRPr="00AF720A">
        <w:rPr>
          <w:rFonts w:ascii="Arial" w:hAnsi="Arial" w:cs="Arial"/>
          <w:lang w:val="en-US"/>
        </w:rPr>
        <w:t xml:space="preserve">to be </w:t>
      </w:r>
      <w:r w:rsidR="00FD7B8D" w:rsidRPr="00AF720A">
        <w:rPr>
          <w:rFonts w:ascii="Arial" w:hAnsi="Arial" w:cs="Arial"/>
          <w:lang w:val="en-US"/>
        </w:rPr>
        <w:t>statistically significant</w:t>
      </w:r>
      <w:r w:rsidR="0050064A" w:rsidRPr="00AF720A">
        <w:rPr>
          <w:rFonts w:ascii="Arial" w:hAnsi="Arial" w:cs="Arial"/>
          <w:lang w:val="en-US"/>
        </w:rPr>
        <w:t>.</w:t>
      </w:r>
    </w:p>
    <w:p w14:paraId="36E3813A" w14:textId="77777777" w:rsidR="00642546" w:rsidRPr="00AF720A" w:rsidRDefault="00642546" w:rsidP="00873CE5">
      <w:pPr>
        <w:pStyle w:val="NoSpacing"/>
        <w:snapToGrid w:val="0"/>
        <w:spacing w:after="120" w:line="480" w:lineRule="auto"/>
        <w:rPr>
          <w:rFonts w:ascii="Arial" w:hAnsi="Arial" w:cs="Arial"/>
          <w:lang w:val="en-US" w:eastAsia="zh-CN"/>
        </w:rPr>
      </w:pPr>
    </w:p>
    <w:p w14:paraId="65C4D44F" w14:textId="51F79B2F" w:rsidR="000C22D1" w:rsidRPr="00AF720A" w:rsidRDefault="00EA7ACF" w:rsidP="00EA436E">
      <w:pPr>
        <w:pStyle w:val="Heading2"/>
        <w:rPr>
          <w:highlight w:val="yellow"/>
          <w:lang w:val="en-US"/>
        </w:rPr>
      </w:pPr>
      <w:r w:rsidRPr="00AF720A">
        <w:rPr>
          <w:lang w:val="en-US"/>
        </w:rPr>
        <w:t>Results</w:t>
      </w:r>
    </w:p>
    <w:p w14:paraId="7377FFFB" w14:textId="416497D5" w:rsidR="00777188" w:rsidRPr="00AF720A" w:rsidRDefault="00FB0EBD" w:rsidP="003B559A">
      <w:pPr>
        <w:pStyle w:val="NoSpacing"/>
        <w:snapToGrid w:val="0"/>
        <w:spacing w:after="120" w:line="480" w:lineRule="auto"/>
        <w:rPr>
          <w:rFonts w:ascii="Arial" w:hAnsi="Arial" w:cs="Arial"/>
          <w:bCs/>
          <w:lang w:val="en-US"/>
        </w:rPr>
      </w:pPr>
      <w:r w:rsidRPr="00AF720A">
        <w:rPr>
          <w:rFonts w:ascii="Arial" w:hAnsi="Arial" w:cs="Arial"/>
          <w:bCs/>
          <w:lang w:val="en-US"/>
        </w:rPr>
        <w:t>A total of</w:t>
      </w:r>
      <w:r w:rsidR="00A973AE" w:rsidRPr="00AF720A">
        <w:rPr>
          <w:rFonts w:ascii="Arial" w:hAnsi="Arial" w:cs="Arial"/>
          <w:bCs/>
          <w:lang w:val="en-US"/>
        </w:rPr>
        <w:t xml:space="preserve"> </w:t>
      </w:r>
      <w:r w:rsidR="001E3610" w:rsidRPr="00AF720A">
        <w:rPr>
          <w:rFonts w:ascii="Arial" w:hAnsi="Arial" w:cs="Arial"/>
          <w:bCs/>
          <w:lang w:val="en-US"/>
        </w:rPr>
        <w:t>20,125</w:t>
      </w:r>
      <w:r w:rsidR="004E42B0" w:rsidRPr="00AF720A">
        <w:rPr>
          <w:rFonts w:ascii="Arial" w:hAnsi="Arial" w:cs="Arial"/>
          <w:bCs/>
          <w:lang w:val="en-US"/>
        </w:rPr>
        <w:t xml:space="preserve"> </w:t>
      </w:r>
      <w:r w:rsidR="00D049E5" w:rsidRPr="00AF720A">
        <w:rPr>
          <w:rFonts w:ascii="Arial" w:hAnsi="Arial" w:cs="Arial"/>
          <w:bCs/>
          <w:lang w:val="en-US"/>
        </w:rPr>
        <w:t>men and women</w:t>
      </w:r>
      <w:r w:rsidR="00A973AE" w:rsidRPr="00AF720A">
        <w:rPr>
          <w:rFonts w:ascii="Arial" w:hAnsi="Arial" w:cs="Arial"/>
          <w:bCs/>
          <w:lang w:val="en-US"/>
        </w:rPr>
        <w:t xml:space="preserve"> </w:t>
      </w:r>
      <w:r w:rsidR="007164BA" w:rsidRPr="00AF720A">
        <w:rPr>
          <w:rFonts w:ascii="Arial" w:hAnsi="Arial" w:cs="Arial"/>
          <w:bCs/>
          <w:lang w:val="en-US"/>
        </w:rPr>
        <w:t>age</w:t>
      </w:r>
      <w:r w:rsidRPr="00AF720A">
        <w:rPr>
          <w:rFonts w:ascii="Arial" w:hAnsi="Arial" w:cs="Arial"/>
          <w:bCs/>
          <w:lang w:val="en-US"/>
        </w:rPr>
        <w:t>d</w:t>
      </w:r>
      <w:r w:rsidR="007164BA" w:rsidRPr="00AF720A">
        <w:rPr>
          <w:rFonts w:ascii="Arial" w:hAnsi="Arial" w:cs="Arial"/>
          <w:bCs/>
          <w:lang w:val="en-US"/>
        </w:rPr>
        <w:t xml:space="preserve"> </w:t>
      </w:r>
      <w:r w:rsidRPr="00AF720A">
        <w:rPr>
          <w:rFonts w:ascii="Arial" w:hAnsi="Arial" w:cs="Arial"/>
          <w:bCs/>
          <w:lang w:val="en-US"/>
        </w:rPr>
        <w:t>≥</w:t>
      </w:r>
      <w:r w:rsidR="004E42B0" w:rsidRPr="00AF720A">
        <w:rPr>
          <w:rFonts w:ascii="Arial" w:hAnsi="Arial" w:cs="Arial"/>
          <w:bCs/>
          <w:lang w:val="en-US"/>
        </w:rPr>
        <w:t>20</w:t>
      </w:r>
      <w:r w:rsidR="007164BA" w:rsidRPr="00AF720A">
        <w:rPr>
          <w:rFonts w:ascii="Arial" w:hAnsi="Arial" w:cs="Arial"/>
          <w:bCs/>
          <w:lang w:val="en-US"/>
        </w:rPr>
        <w:t xml:space="preserve"> years </w:t>
      </w:r>
      <w:r w:rsidR="001E3610" w:rsidRPr="00AF720A">
        <w:rPr>
          <w:rFonts w:ascii="Arial" w:hAnsi="Arial" w:cs="Arial"/>
          <w:bCs/>
          <w:lang w:val="en-US"/>
        </w:rPr>
        <w:t>provide</w:t>
      </w:r>
      <w:r w:rsidR="00E73857" w:rsidRPr="00AF720A">
        <w:rPr>
          <w:rFonts w:ascii="Arial" w:hAnsi="Arial" w:cs="Arial"/>
          <w:bCs/>
          <w:lang w:val="en-US"/>
        </w:rPr>
        <w:t>d data on chocolate consumption, BMI and waist circumference</w:t>
      </w:r>
      <w:r w:rsidR="001E3610" w:rsidRPr="00AF720A">
        <w:rPr>
          <w:rFonts w:ascii="Arial" w:hAnsi="Arial" w:cs="Arial"/>
          <w:bCs/>
          <w:lang w:val="en-US"/>
        </w:rPr>
        <w:t>. We excluded those who were underweight (n=304), and those with di</w:t>
      </w:r>
      <w:r w:rsidR="00F56FF3" w:rsidRPr="00AF720A">
        <w:rPr>
          <w:rFonts w:ascii="Arial" w:hAnsi="Arial" w:cs="Arial"/>
          <w:bCs/>
          <w:lang w:val="en-US"/>
        </w:rPr>
        <w:t>abetes (n=2518)</w:t>
      </w:r>
      <w:r w:rsidR="001E3610" w:rsidRPr="00AF720A">
        <w:rPr>
          <w:rFonts w:ascii="Arial" w:hAnsi="Arial" w:cs="Arial"/>
          <w:bCs/>
          <w:lang w:val="en-US"/>
        </w:rPr>
        <w:t xml:space="preserve">. </w:t>
      </w:r>
      <w:r w:rsidR="00F56FF3" w:rsidRPr="00AF720A">
        <w:rPr>
          <w:rFonts w:ascii="Arial" w:hAnsi="Arial" w:cs="Arial"/>
          <w:bCs/>
          <w:lang w:val="en-US"/>
        </w:rPr>
        <w:t>A further 3</w:t>
      </w:r>
      <w:r w:rsidR="00BF5A2C" w:rsidRPr="00AF720A">
        <w:rPr>
          <w:rFonts w:ascii="Arial" w:hAnsi="Arial" w:cs="Arial"/>
          <w:bCs/>
          <w:lang w:val="en-US"/>
        </w:rPr>
        <w:t>,</w:t>
      </w:r>
      <w:r w:rsidR="00F56FF3" w:rsidRPr="00AF720A">
        <w:rPr>
          <w:rFonts w:ascii="Arial" w:hAnsi="Arial" w:cs="Arial"/>
          <w:bCs/>
          <w:lang w:val="en-US"/>
        </w:rPr>
        <w:t xml:space="preserve">677 participants were excluded due to missing </w:t>
      </w:r>
      <w:r w:rsidR="007933FA" w:rsidRPr="00AF720A">
        <w:rPr>
          <w:rFonts w:ascii="Arial" w:hAnsi="Arial" w:cs="Arial"/>
          <w:bCs/>
          <w:lang w:val="en-US"/>
        </w:rPr>
        <w:t xml:space="preserve">data on </w:t>
      </w:r>
      <w:r w:rsidR="00F56FF3" w:rsidRPr="00AF720A">
        <w:rPr>
          <w:rFonts w:ascii="Arial" w:hAnsi="Arial" w:cs="Arial"/>
          <w:bCs/>
          <w:lang w:val="en-US"/>
        </w:rPr>
        <w:t xml:space="preserve">covariates, leaving a total of 13,626 </w:t>
      </w:r>
      <w:r w:rsidR="00BE4CD2" w:rsidRPr="00AF720A">
        <w:rPr>
          <w:rFonts w:ascii="Arial" w:hAnsi="Arial" w:cs="Arial"/>
          <w:bCs/>
          <w:lang w:val="en-US"/>
        </w:rPr>
        <w:t xml:space="preserve">people </w:t>
      </w:r>
      <w:r w:rsidR="00F56FF3" w:rsidRPr="00AF720A">
        <w:rPr>
          <w:rFonts w:ascii="Arial" w:hAnsi="Arial" w:cs="Arial"/>
          <w:bCs/>
          <w:lang w:val="en-US"/>
        </w:rPr>
        <w:t>in the final analyses</w:t>
      </w:r>
      <w:r w:rsidR="001E3610" w:rsidRPr="00AF720A">
        <w:rPr>
          <w:rFonts w:ascii="Arial" w:hAnsi="Arial" w:cs="Arial"/>
          <w:bCs/>
          <w:lang w:val="en-US"/>
        </w:rPr>
        <w:t xml:space="preserve"> </w:t>
      </w:r>
      <w:r w:rsidR="002A0F6F" w:rsidRPr="00AF720A">
        <w:rPr>
          <w:rFonts w:ascii="Arial" w:hAnsi="Arial" w:cs="Arial"/>
          <w:bCs/>
          <w:lang w:val="en-US"/>
        </w:rPr>
        <w:t xml:space="preserve">(mean age </w:t>
      </w:r>
      <w:r w:rsidR="00F56FF3" w:rsidRPr="00AF720A">
        <w:rPr>
          <w:rFonts w:ascii="Arial" w:hAnsi="Arial" w:cs="Arial"/>
          <w:bCs/>
          <w:lang w:val="en-US"/>
        </w:rPr>
        <w:t>46.5</w:t>
      </w:r>
      <w:r w:rsidR="002A0F6F" w:rsidRPr="00AF720A">
        <w:rPr>
          <w:rFonts w:ascii="Arial" w:hAnsi="Arial" w:cs="Arial"/>
          <w:bCs/>
          <w:lang w:val="en-US"/>
        </w:rPr>
        <w:t xml:space="preserve"> years, </w:t>
      </w:r>
      <w:r w:rsidR="00F56FF3" w:rsidRPr="00AF720A">
        <w:rPr>
          <w:rFonts w:ascii="Arial" w:hAnsi="Arial" w:cs="Arial"/>
          <w:bCs/>
          <w:lang w:val="en-US"/>
        </w:rPr>
        <w:t>47.8</w:t>
      </w:r>
      <w:r w:rsidR="002A0F6F" w:rsidRPr="00AF720A">
        <w:rPr>
          <w:rFonts w:ascii="Arial" w:hAnsi="Arial" w:cs="Arial"/>
          <w:bCs/>
          <w:lang w:val="en-US"/>
        </w:rPr>
        <w:t>% male)</w:t>
      </w:r>
      <w:r w:rsidR="001D02C4" w:rsidRPr="00AF720A">
        <w:rPr>
          <w:rFonts w:ascii="Arial" w:hAnsi="Arial" w:cs="Arial"/>
          <w:bCs/>
          <w:lang w:val="en-US"/>
        </w:rPr>
        <w:t>.</w:t>
      </w:r>
      <w:r w:rsidR="005A23B7" w:rsidRPr="00AF720A">
        <w:rPr>
          <w:rFonts w:ascii="Arial" w:hAnsi="Arial" w:cs="Arial"/>
          <w:bCs/>
          <w:lang w:val="en-US"/>
        </w:rPr>
        <w:t xml:space="preserve"> </w:t>
      </w:r>
      <w:r w:rsidR="00777188" w:rsidRPr="00AF720A">
        <w:rPr>
          <w:rFonts w:ascii="Arial" w:hAnsi="Arial" w:cs="Arial"/>
          <w:bCs/>
          <w:lang w:val="en-US"/>
        </w:rPr>
        <w:t>The individuals we excluded</w:t>
      </w:r>
      <w:r w:rsidR="00642A37" w:rsidRPr="00AF720A">
        <w:rPr>
          <w:rFonts w:ascii="Arial" w:hAnsi="Arial" w:cs="Arial"/>
          <w:bCs/>
          <w:lang w:val="en-US"/>
        </w:rPr>
        <w:t xml:space="preserve"> </w:t>
      </w:r>
      <w:r w:rsidR="005E39CE" w:rsidRPr="00AF720A">
        <w:rPr>
          <w:rFonts w:ascii="Arial" w:hAnsi="Arial" w:cs="Arial"/>
          <w:bCs/>
          <w:lang w:val="en-US"/>
        </w:rPr>
        <w:t>had lower BMI compare</w:t>
      </w:r>
      <w:r w:rsidR="000D1AFC" w:rsidRPr="00AF720A">
        <w:rPr>
          <w:rFonts w:ascii="Arial" w:hAnsi="Arial" w:cs="Arial"/>
          <w:bCs/>
          <w:lang w:val="en-US"/>
        </w:rPr>
        <w:t xml:space="preserve">d </w:t>
      </w:r>
      <w:r w:rsidR="0074224D" w:rsidRPr="00AF720A">
        <w:rPr>
          <w:rFonts w:ascii="Arial" w:hAnsi="Arial" w:cs="Arial"/>
          <w:bCs/>
          <w:lang w:val="en-US"/>
        </w:rPr>
        <w:t xml:space="preserve">with </w:t>
      </w:r>
      <w:r w:rsidR="00642A37" w:rsidRPr="00AF720A">
        <w:rPr>
          <w:rFonts w:ascii="Arial" w:hAnsi="Arial" w:cs="Arial"/>
          <w:bCs/>
          <w:lang w:val="en-US"/>
        </w:rPr>
        <w:t>the analy</w:t>
      </w:r>
      <w:r w:rsidR="007933FA" w:rsidRPr="00AF720A">
        <w:rPr>
          <w:rFonts w:ascii="Arial" w:hAnsi="Arial" w:cs="Arial"/>
          <w:bCs/>
          <w:lang w:val="en-US"/>
        </w:rPr>
        <w:t>z</w:t>
      </w:r>
      <w:r w:rsidR="00642A37" w:rsidRPr="00AF720A">
        <w:rPr>
          <w:rFonts w:ascii="Arial" w:hAnsi="Arial" w:cs="Arial"/>
          <w:bCs/>
          <w:lang w:val="en-US"/>
        </w:rPr>
        <w:t>ed sample (</w:t>
      </w:r>
      <w:r w:rsidR="005E39CE" w:rsidRPr="00AF720A">
        <w:rPr>
          <w:rFonts w:ascii="Arial" w:hAnsi="Arial" w:cs="Arial"/>
          <w:bCs/>
          <w:lang w:val="en-US"/>
        </w:rPr>
        <w:t>28.6 kg/m</w:t>
      </w:r>
      <w:r w:rsidR="005E39CE" w:rsidRPr="00AF720A">
        <w:rPr>
          <w:rFonts w:ascii="Arial" w:hAnsi="Arial" w:cs="Arial"/>
          <w:bCs/>
          <w:vertAlign w:val="superscript"/>
          <w:lang w:val="en-US"/>
        </w:rPr>
        <w:t>2</w:t>
      </w:r>
      <w:r w:rsidR="005E39CE" w:rsidRPr="00AF720A">
        <w:rPr>
          <w:rFonts w:ascii="Arial" w:hAnsi="Arial" w:cs="Arial"/>
          <w:bCs/>
          <w:lang w:val="en-US"/>
        </w:rPr>
        <w:t xml:space="preserve"> vs. 29.8 kg/m</w:t>
      </w:r>
      <w:r w:rsidR="005E39CE" w:rsidRPr="00AF720A">
        <w:rPr>
          <w:rFonts w:ascii="Arial" w:hAnsi="Arial" w:cs="Arial"/>
          <w:bCs/>
          <w:vertAlign w:val="superscript"/>
          <w:lang w:val="en-US"/>
        </w:rPr>
        <w:t>2</w:t>
      </w:r>
      <w:r w:rsidR="005E39CE" w:rsidRPr="00AF720A">
        <w:rPr>
          <w:rFonts w:ascii="Arial" w:hAnsi="Arial" w:cs="Arial"/>
          <w:bCs/>
          <w:lang w:val="en-US"/>
        </w:rPr>
        <w:t xml:space="preserve">, </w:t>
      </w:r>
      <w:r w:rsidR="00642A37" w:rsidRPr="00AF720A">
        <w:rPr>
          <w:rFonts w:ascii="Arial" w:hAnsi="Arial" w:cs="Arial"/>
          <w:bCs/>
          <w:lang w:val="en-US"/>
        </w:rPr>
        <w:t>p</w:t>
      </w:r>
      <w:r w:rsidR="005E39CE" w:rsidRPr="00AF720A">
        <w:rPr>
          <w:rFonts w:ascii="Arial" w:hAnsi="Arial" w:cs="Arial"/>
          <w:bCs/>
          <w:lang w:val="en-US"/>
        </w:rPr>
        <w:t xml:space="preserve"> &lt;.001</w:t>
      </w:r>
      <w:r w:rsidR="00642A37" w:rsidRPr="00AF720A">
        <w:rPr>
          <w:rFonts w:ascii="Arial" w:hAnsi="Arial" w:cs="Arial"/>
          <w:bCs/>
          <w:lang w:val="en-US"/>
        </w:rPr>
        <w:t xml:space="preserve">), </w:t>
      </w:r>
      <w:r w:rsidR="005E39CE" w:rsidRPr="00AF720A">
        <w:rPr>
          <w:rFonts w:ascii="Arial" w:hAnsi="Arial" w:cs="Arial"/>
          <w:bCs/>
          <w:lang w:val="en-US"/>
        </w:rPr>
        <w:t>yet</w:t>
      </w:r>
      <w:r w:rsidR="00642A37" w:rsidRPr="00AF720A">
        <w:rPr>
          <w:rFonts w:ascii="Arial" w:hAnsi="Arial" w:cs="Arial"/>
          <w:bCs/>
          <w:lang w:val="en-US"/>
        </w:rPr>
        <w:t xml:space="preserve"> there were more chocolate consumers in the analy</w:t>
      </w:r>
      <w:r w:rsidR="007933FA" w:rsidRPr="00AF720A">
        <w:rPr>
          <w:rFonts w:ascii="Arial" w:hAnsi="Arial" w:cs="Arial"/>
          <w:bCs/>
          <w:lang w:val="en-US"/>
        </w:rPr>
        <w:t>z</w:t>
      </w:r>
      <w:r w:rsidR="00642A37" w:rsidRPr="00AF720A">
        <w:rPr>
          <w:rFonts w:ascii="Arial" w:hAnsi="Arial" w:cs="Arial"/>
          <w:bCs/>
          <w:lang w:val="en-US"/>
        </w:rPr>
        <w:t>ed sample (</w:t>
      </w:r>
      <w:r w:rsidR="002148E0" w:rsidRPr="00AF720A">
        <w:rPr>
          <w:rFonts w:ascii="Arial" w:hAnsi="Arial" w:cs="Arial"/>
          <w:bCs/>
          <w:lang w:val="en-US"/>
        </w:rPr>
        <w:t>11.1% vs. 7.0%, p</w:t>
      </w:r>
      <w:r w:rsidR="0074224D" w:rsidRPr="00AF720A">
        <w:rPr>
          <w:rFonts w:ascii="Arial" w:hAnsi="Arial" w:cs="Arial"/>
          <w:bCs/>
          <w:lang w:val="en-US"/>
        </w:rPr>
        <w:t xml:space="preserve"> </w:t>
      </w:r>
      <w:r w:rsidR="002148E0" w:rsidRPr="00AF720A">
        <w:rPr>
          <w:rFonts w:ascii="Arial" w:hAnsi="Arial" w:cs="Arial"/>
          <w:bCs/>
          <w:lang w:val="en-US"/>
        </w:rPr>
        <w:t xml:space="preserve">&lt;.001). </w:t>
      </w:r>
    </w:p>
    <w:p w14:paraId="34693CD3" w14:textId="53F44370" w:rsidR="00E36601" w:rsidRPr="00AF720A" w:rsidRDefault="001D02C4" w:rsidP="003B559A">
      <w:pPr>
        <w:pStyle w:val="NoSpacing"/>
        <w:snapToGrid w:val="0"/>
        <w:spacing w:after="120" w:line="480" w:lineRule="auto"/>
        <w:rPr>
          <w:rFonts w:ascii="Arial" w:hAnsi="Arial" w:cs="Arial"/>
          <w:bCs/>
          <w:lang w:val="en-US"/>
        </w:rPr>
      </w:pPr>
      <w:r w:rsidRPr="00AF720A">
        <w:rPr>
          <w:rFonts w:ascii="Arial" w:hAnsi="Arial" w:cs="Arial"/>
          <w:bCs/>
          <w:lang w:val="en-US"/>
        </w:rPr>
        <w:t xml:space="preserve">Of </w:t>
      </w:r>
      <w:r w:rsidR="00777188" w:rsidRPr="00AF720A">
        <w:rPr>
          <w:rFonts w:ascii="Arial" w:hAnsi="Arial" w:cs="Arial"/>
          <w:bCs/>
          <w:lang w:val="en-US"/>
        </w:rPr>
        <w:t>our analy</w:t>
      </w:r>
      <w:r w:rsidR="007933FA" w:rsidRPr="00AF720A">
        <w:rPr>
          <w:rFonts w:ascii="Arial" w:hAnsi="Arial" w:cs="Arial"/>
          <w:bCs/>
          <w:lang w:val="en-US"/>
        </w:rPr>
        <w:t>z</w:t>
      </w:r>
      <w:r w:rsidR="00777188" w:rsidRPr="00AF720A">
        <w:rPr>
          <w:rFonts w:ascii="Arial" w:hAnsi="Arial" w:cs="Arial"/>
          <w:bCs/>
          <w:lang w:val="en-US"/>
        </w:rPr>
        <w:t>ed</w:t>
      </w:r>
      <w:r w:rsidRPr="00AF720A">
        <w:rPr>
          <w:rFonts w:ascii="Arial" w:hAnsi="Arial" w:cs="Arial"/>
          <w:bCs/>
          <w:lang w:val="en-US"/>
        </w:rPr>
        <w:t xml:space="preserve"> sample,</w:t>
      </w:r>
      <w:r w:rsidR="005A23B7" w:rsidRPr="00AF720A">
        <w:rPr>
          <w:rFonts w:ascii="Arial" w:hAnsi="Arial" w:cs="Arial"/>
          <w:bCs/>
          <w:lang w:val="en-US"/>
        </w:rPr>
        <w:t xml:space="preserve"> </w:t>
      </w:r>
      <w:r w:rsidR="00B17112" w:rsidRPr="00AF720A">
        <w:rPr>
          <w:rFonts w:ascii="Arial" w:hAnsi="Arial" w:cs="Arial"/>
          <w:bCs/>
          <w:lang w:val="en-US"/>
        </w:rPr>
        <w:t>1</w:t>
      </w:r>
      <w:r w:rsidR="00BD6669" w:rsidRPr="00AF720A">
        <w:rPr>
          <w:rFonts w:ascii="Arial" w:hAnsi="Arial" w:cs="Arial"/>
          <w:bCs/>
          <w:lang w:val="en-US"/>
        </w:rPr>
        <w:t>,</w:t>
      </w:r>
      <w:r w:rsidR="00F56FF3" w:rsidRPr="00AF720A">
        <w:rPr>
          <w:rFonts w:ascii="Arial" w:hAnsi="Arial" w:cs="Arial"/>
          <w:bCs/>
          <w:lang w:val="en-US"/>
        </w:rPr>
        <w:t xml:space="preserve">332 </w:t>
      </w:r>
      <w:r w:rsidR="00B17112" w:rsidRPr="00AF720A">
        <w:rPr>
          <w:rFonts w:ascii="Arial" w:hAnsi="Arial" w:cs="Arial"/>
          <w:bCs/>
          <w:lang w:val="en-US"/>
        </w:rPr>
        <w:t>(</w:t>
      </w:r>
      <w:r w:rsidR="00F56FF3" w:rsidRPr="00AF720A">
        <w:rPr>
          <w:rFonts w:ascii="Arial" w:hAnsi="Arial" w:cs="Arial"/>
          <w:bCs/>
          <w:lang w:val="en-US"/>
        </w:rPr>
        <w:t>11.1</w:t>
      </w:r>
      <w:r w:rsidR="00B17112" w:rsidRPr="00AF720A">
        <w:rPr>
          <w:rFonts w:ascii="Arial" w:hAnsi="Arial" w:cs="Arial"/>
          <w:bCs/>
          <w:lang w:val="en-US"/>
        </w:rPr>
        <w:t>%) adults</w:t>
      </w:r>
      <w:r w:rsidR="005A23B7" w:rsidRPr="00AF720A">
        <w:rPr>
          <w:rFonts w:ascii="Arial" w:hAnsi="Arial" w:cs="Arial"/>
          <w:bCs/>
          <w:lang w:val="en-US"/>
        </w:rPr>
        <w:t xml:space="preserve"> reported any chocolate consumption in their two 24-hour dietary recalls</w:t>
      </w:r>
      <w:r w:rsidR="0046136C" w:rsidRPr="00AF720A">
        <w:rPr>
          <w:rFonts w:ascii="Arial" w:hAnsi="Arial" w:cs="Arial"/>
          <w:bCs/>
          <w:lang w:val="en-US"/>
        </w:rPr>
        <w:t xml:space="preserve">, of whom </w:t>
      </w:r>
      <w:r w:rsidR="00F56FF3" w:rsidRPr="00AF720A">
        <w:rPr>
          <w:rFonts w:ascii="Arial" w:hAnsi="Arial" w:cs="Arial"/>
          <w:bCs/>
          <w:lang w:val="en-US"/>
        </w:rPr>
        <w:t xml:space="preserve">148 </w:t>
      </w:r>
      <w:r w:rsidR="00B17112" w:rsidRPr="00AF720A">
        <w:rPr>
          <w:rFonts w:ascii="Arial" w:hAnsi="Arial" w:cs="Arial"/>
          <w:bCs/>
          <w:lang w:val="en-US"/>
        </w:rPr>
        <w:t xml:space="preserve">(12.1%) </w:t>
      </w:r>
      <w:r w:rsidR="0046136C" w:rsidRPr="00AF720A">
        <w:rPr>
          <w:rFonts w:ascii="Arial" w:hAnsi="Arial" w:cs="Arial"/>
          <w:bCs/>
          <w:lang w:val="en-US"/>
        </w:rPr>
        <w:t>reported any dark chocolate consumption</w:t>
      </w:r>
      <w:r w:rsidR="00A973AE" w:rsidRPr="00AF720A">
        <w:rPr>
          <w:rFonts w:ascii="Arial" w:hAnsi="Arial" w:cs="Arial"/>
          <w:bCs/>
          <w:lang w:val="en-US"/>
        </w:rPr>
        <w:t>.</w:t>
      </w:r>
      <w:r w:rsidR="00B87C14" w:rsidRPr="00AF720A">
        <w:rPr>
          <w:rFonts w:ascii="Arial" w:hAnsi="Arial" w:cs="Arial"/>
          <w:bCs/>
          <w:lang w:val="en-US"/>
        </w:rPr>
        <w:t xml:space="preserve"> Sample characteristics in relation to </w:t>
      </w:r>
      <w:r w:rsidR="00850317" w:rsidRPr="00AF720A">
        <w:rPr>
          <w:rFonts w:ascii="Arial" w:hAnsi="Arial" w:cs="Arial"/>
          <w:bCs/>
          <w:lang w:val="en-US"/>
        </w:rPr>
        <w:t>BMI category</w:t>
      </w:r>
      <w:r w:rsidR="00B87C14" w:rsidRPr="00AF720A">
        <w:rPr>
          <w:rFonts w:ascii="Arial" w:hAnsi="Arial" w:cs="Arial"/>
          <w:bCs/>
          <w:lang w:val="en-US"/>
        </w:rPr>
        <w:t xml:space="preserve"> are summari</w:t>
      </w:r>
      <w:r w:rsidR="007933FA" w:rsidRPr="00AF720A">
        <w:rPr>
          <w:rFonts w:ascii="Arial" w:hAnsi="Arial" w:cs="Arial"/>
          <w:bCs/>
          <w:lang w:val="en-US"/>
        </w:rPr>
        <w:t>z</w:t>
      </w:r>
      <w:r w:rsidR="00B87C14" w:rsidRPr="00AF720A">
        <w:rPr>
          <w:rFonts w:ascii="Arial" w:hAnsi="Arial" w:cs="Arial"/>
          <w:bCs/>
          <w:lang w:val="en-US"/>
        </w:rPr>
        <w:t>ed in Table 1.</w:t>
      </w:r>
      <w:r w:rsidR="00176058" w:rsidRPr="00AF720A">
        <w:rPr>
          <w:rFonts w:ascii="Arial" w:hAnsi="Arial" w:cs="Arial"/>
          <w:bCs/>
          <w:lang w:val="en-US"/>
        </w:rPr>
        <w:t xml:space="preserve"> </w:t>
      </w:r>
      <w:r w:rsidR="00850317" w:rsidRPr="00AF720A">
        <w:rPr>
          <w:rFonts w:ascii="Arial" w:hAnsi="Arial" w:cs="Arial"/>
          <w:bCs/>
          <w:lang w:val="en-US"/>
        </w:rPr>
        <w:t>There were significant difference</w:t>
      </w:r>
      <w:r w:rsidR="005B65BD" w:rsidRPr="00AF720A">
        <w:rPr>
          <w:rFonts w:ascii="Arial" w:hAnsi="Arial" w:cs="Arial"/>
          <w:bCs/>
          <w:lang w:val="en-US"/>
        </w:rPr>
        <w:t>s</w:t>
      </w:r>
      <w:r w:rsidR="00850317" w:rsidRPr="00AF720A">
        <w:rPr>
          <w:rFonts w:ascii="Arial" w:hAnsi="Arial" w:cs="Arial"/>
          <w:bCs/>
          <w:lang w:val="en-US"/>
        </w:rPr>
        <w:t xml:space="preserve"> among socio-demographic and </w:t>
      </w:r>
      <w:r w:rsidR="00850317" w:rsidRPr="00AF720A">
        <w:rPr>
          <w:rFonts w:ascii="Arial" w:hAnsi="Arial" w:cs="Arial"/>
          <w:bCs/>
          <w:lang w:val="en-US"/>
        </w:rPr>
        <w:lastRenderedPageBreak/>
        <w:t xml:space="preserve">lifestyle characteristics across weight status. </w:t>
      </w:r>
      <w:r w:rsidR="005E1F8D" w:rsidRPr="00AF720A">
        <w:rPr>
          <w:rFonts w:ascii="Arial" w:hAnsi="Arial" w:cs="Arial"/>
          <w:bCs/>
          <w:lang w:val="en-US"/>
        </w:rPr>
        <w:t xml:space="preserve">Those </w:t>
      </w:r>
      <w:r w:rsidR="005B65BD" w:rsidRPr="00AF720A">
        <w:rPr>
          <w:rFonts w:ascii="Arial" w:hAnsi="Arial" w:cs="Arial"/>
          <w:bCs/>
          <w:lang w:val="en-US"/>
        </w:rPr>
        <w:t xml:space="preserve">with a </w:t>
      </w:r>
      <w:r w:rsidR="005E1F8D" w:rsidRPr="00AF720A">
        <w:rPr>
          <w:rFonts w:ascii="Arial" w:hAnsi="Arial" w:cs="Arial"/>
          <w:bCs/>
          <w:lang w:val="en-US"/>
        </w:rPr>
        <w:t xml:space="preserve">BMI </w:t>
      </w:r>
      <w:r w:rsidR="005E1F8D" w:rsidRPr="00AF720A">
        <w:rPr>
          <w:rFonts w:ascii="Arial" w:hAnsi="Arial" w:cs="Arial"/>
          <w:lang w:val="en-US"/>
        </w:rPr>
        <w:t>≥30 kg/m</w:t>
      </w:r>
      <w:r w:rsidR="005E1F8D" w:rsidRPr="00AF720A">
        <w:rPr>
          <w:rFonts w:ascii="Arial" w:hAnsi="Arial" w:cs="Arial"/>
          <w:vertAlign w:val="superscript"/>
          <w:lang w:val="en-US"/>
        </w:rPr>
        <w:t>2</w:t>
      </w:r>
      <w:r w:rsidR="005E1F8D" w:rsidRPr="00AF720A">
        <w:rPr>
          <w:rFonts w:ascii="Arial" w:hAnsi="Arial" w:cs="Arial"/>
          <w:bCs/>
          <w:lang w:val="en-US"/>
        </w:rPr>
        <w:t xml:space="preserve"> </w:t>
      </w:r>
      <w:r w:rsidR="001A08B9" w:rsidRPr="00AF720A">
        <w:rPr>
          <w:rFonts w:ascii="Arial" w:hAnsi="Arial" w:cs="Arial"/>
          <w:bCs/>
          <w:lang w:val="en-US"/>
        </w:rPr>
        <w:t xml:space="preserve">were more likely to be non-Hispanic </w:t>
      </w:r>
      <w:r w:rsidR="005E1F8D" w:rsidRPr="00AF720A">
        <w:rPr>
          <w:rFonts w:ascii="Arial" w:hAnsi="Arial" w:cs="Arial"/>
          <w:bCs/>
          <w:lang w:val="en-US"/>
        </w:rPr>
        <w:t>black or Hispanic,</w:t>
      </w:r>
      <w:r w:rsidR="001A08B9" w:rsidRPr="00AF720A">
        <w:rPr>
          <w:rFonts w:ascii="Arial" w:hAnsi="Arial" w:cs="Arial"/>
          <w:bCs/>
          <w:lang w:val="en-US"/>
        </w:rPr>
        <w:t xml:space="preserve"> and have a </w:t>
      </w:r>
      <w:r w:rsidR="005E1F8D" w:rsidRPr="00AF720A">
        <w:rPr>
          <w:rFonts w:ascii="Arial" w:hAnsi="Arial" w:cs="Arial"/>
          <w:bCs/>
          <w:lang w:val="en-US"/>
        </w:rPr>
        <w:t>lower</w:t>
      </w:r>
      <w:r w:rsidR="001A08B9" w:rsidRPr="00AF720A">
        <w:rPr>
          <w:rFonts w:ascii="Arial" w:hAnsi="Arial" w:cs="Arial"/>
          <w:bCs/>
          <w:lang w:val="en-US"/>
        </w:rPr>
        <w:t xml:space="preserve"> household income and level of education, and were less likely to smoke or </w:t>
      </w:r>
      <w:r w:rsidR="005E1F8D" w:rsidRPr="00AF720A">
        <w:rPr>
          <w:rFonts w:ascii="Arial" w:hAnsi="Arial" w:cs="Arial"/>
          <w:bCs/>
          <w:lang w:val="en-US"/>
        </w:rPr>
        <w:t>drink alcohol</w:t>
      </w:r>
      <w:r w:rsidR="001A08B9" w:rsidRPr="00AF720A">
        <w:rPr>
          <w:rFonts w:ascii="Arial" w:hAnsi="Arial" w:cs="Arial"/>
          <w:bCs/>
          <w:lang w:val="en-US"/>
        </w:rPr>
        <w:t xml:space="preserve">. </w:t>
      </w:r>
      <w:r w:rsidR="00B17112" w:rsidRPr="00AF720A">
        <w:rPr>
          <w:rFonts w:ascii="Arial" w:hAnsi="Arial" w:cs="Arial"/>
          <w:bCs/>
          <w:lang w:val="en-US"/>
        </w:rPr>
        <w:t>A</w:t>
      </w:r>
      <w:r w:rsidR="00EE231E" w:rsidRPr="00AF720A">
        <w:rPr>
          <w:rFonts w:ascii="Arial" w:hAnsi="Arial" w:cs="Arial"/>
          <w:bCs/>
          <w:lang w:val="en-US"/>
        </w:rPr>
        <w:t>vera</w:t>
      </w:r>
      <w:r w:rsidR="005E1F8D" w:rsidRPr="00AF720A">
        <w:rPr>
          <w:rFonts w:ascii="Arial" w:hAnsi="Arial" w:cs="Arial"/>
          <w:bCs/>
          <w:lang w:val="en-US"/>
        </w:rPr>
        <w:t>ge daily intakes of</w:t>
      </w:r>
      <w:r w:rsidR="00EE231E" w:rsidRPr="00AF720A">
        <w:rPr>
          <w:rFonts w:ascii="Arial" w:hAnsi="Arial" w:cs="Arial"/>
          <w:bCs/>
          <w:lang w:val="en-US"/>
        </w:rPr>
        <w:t xml:space="preserve"> sugar were higher</w:t>
      </w:r>
      <w:r w:rsidR="00B17112" w:rsidRPr="00AF720A">
        <w:rPr>
          <w:rFonts w:ascii="Arial" w:hAnsi="Arial" w:cs="Arial"/>
          <w:bCs/>
          <w:lang w:val="en-US"/>
        </w:rPr>
        <w:t xml:space="preserve"> among adults </w:t>
      </w:r>
      <w:r w:rsidR="005E1F8D" w:rsidRPr="00AF720A">
        <w:rPr>
          <w:rFonts w:ascii="Arial" w:hAnsi="Arial" w:cs="Arial"/>
          <w:bCs/>
          <w:lang w:val="en-US"/>
        </w:rPr>
        <w:t>who had BMI bel</w:t>
      </w:r>
      <w:r w:rsidR="003A0331" w:rsidRPr="00AF720A">
        <w:rPr>
          <w:rFonts w:ascii="Arial" w:hAnsi="Arial" w:cs="Arial"/>
          <w:bCs/>
          <w:lang w:val="en-US"/>
        </w:rPr>
        <w:t>ow the obese range</w:t>
      </w:r>
      <w:r w:rsidR="00EE231E" w:rsidRPr="00AF720A">
        <w:rPr>
          <w:rFonts w:ascii="Arial" w:hAnsi="Arial" w:cs="Arial"/>
          <w:bCs/>
          <w:lang w:val="en-US"/>
        </w:rPr>
        <w:t xml:space="preserve">. </w:t>
      </w:r>
    </w:p>
    <w:p w14:paraId="553F57F7" w14:textId="0A59BB00" w:rsidR="00642546" w:rsidRPr="00AF720A" w:rsidRDefault="00494F2E" w:rsidP="00EA436E">
      <w:pPr>
        <w:rPr>
          <w:lang w:val="en-US"/>
        </w:rPr>
      </w:pPr>
      <w:r w:rsidRPr="00AF720A">
        <w:rPr>
          <w:lang w:val="en-US"/>
        </w:rPr>
        <w:t xml:space="preserve">After adjustment for covariates, </w:t>
      </w:r>
      <w:r w:rsidR="00322BB8" w:rsidRPr="00AF720A">
        <w:rPr>
          <w:lang w:val="en-US"/>
        </w:rPr>
        <w:t xml:space="preserve">we observed significant associations of chocolate </w:t>
      </w:r>
      <w:r w:rsidR="00617BB2" w:rsidRPr="00AF720A">
        <w:rPr>
          <w:lang w:val="en-US"/>
        </w:rPr>
        <w:t xml:space="preserve">consumption </w:t>
      </w:r>
      <w:r w:rsidR="00322BB8" w:rsidRPr="00AF720A">
        <w:rPr>
          <w:lang w:val="en-US"/>
        </w:rPr>
        <w:t>with BMI and waist circumference. I</w:t>
      </w:r>
      <w:r w:rsidR="005B65BD" w:rsidRPr="00AF720A">
        <w:rPr>
          <w:lang w:val="en-US"/>
        </w:rPr>
        <w:t>n the fully adjusted linear regression model, i</w:t>
      </w:r>
      <w:r w:rsidR="003E2AA5" w:rsidRPr="00AF720A">
        <w:rPr>
          <w:lang w:val="en-US"/>
        </w:rPr>
        <w:t xml:space="preserve">ndividuals who reported any </w:t>
      </w:r>
      <w:r w:rsidR="00360D81" w:rsidRPr="00AF720A">
        <w:rPr>
          <w:lang w:val="en-US"/>
        </w:rPr>
        <w:t xml:space="preserve">chocolate consumption </w:t>
      </w:r>
      <w:r w:rsidR="003E2AA5" w:rsidRPr="00AF720A">
        <w:rPr>
          <w:lang w:val="en-US"/>
        </w:rPr>
        <w:t xml:space="preserve">had </w:t>
      </w:r>
      <w:r w:rsidR="005B65BD" w:rsidRPr="00AF720A">
        <w:rPr>
          <w:lang w:val="en-US"/>
        </w:rPr>
        <w:t xml:space="preserve">a </w:t>
      </w:r>
      <w:r w:rsidR="00322BB8" w:rsidRPr="00AF720A">
        <w:rPr>
          <w:lang w:val="en-US"/>
        </w:rPr>
        <w:t>0.92 kg/m</w:t>
      </w:r>
      <w:r w:rsidR="00322BB8" w:rsidRPr="00AF720A">
        <w:rPr>
          <w:vertAlign w:val="superscript"/>
          <w:lang w:val="en-US"/>
        </w:rPr>
        <w:t>2</w:t>
      </w:r>
      <w:r w:rsidR="00322BB8" w:rsidRPr="00AF720A">
        <w:rPr>
          <w:lang w:val="en-US"/>
        </w:rPr>
        <w:t xml:space="preserve"> (95% CI: 0.53 to 1.32) lower BMI, and 2.07 cm (95% CI: 1.22 to 2.92) lower waist circumference than those</w:t>
      </w:r>
      <w:r w:rsidR="000D1AFC" w:rsidRPr="00AF720A">
        <w:rPr>
          <w:lang w:val="en-US"/>
        </w:rPr>
        <w:t xml:space="preserve"> who</w:t>
      </w:r>
      <w:r w:rsidR="00322BB8" w:rsidRPr="00AF720A">
        <w:rPr>
          <w:lang w:val="en-US"/>
        </w:rPr>
        <w:t xml:space="preserve"> </w:t>
      </w:r>
      <w:r w:rsidR="003E2AA5" w:rsidRPr="00AF720A">
        <w:rPr>
          <w:lang w:val="en-US"/>
        </w:rPr>
        <w:t>did not report any</w:t>
      </w:r>
      <w:r w:rsidR="00322BB8" w:rsidRPr="00AF720A">
        <w:rPr>
          <w:lang w:val="en-US"/>
        </w:rPr>
        <w:t xml:space="preserve"> chocolate consumption (Tables 2 and 3).</w:t>
      </w:r>
      <w:r w:rsidR="00495546" w:rsidRPr="00AF720A">
        <w:rPr>
          <w:lang w:val="en-US"/>
        </w:rPr>
        <w:t xml:space="preserve"> </w:t>
      </w:r>
      <w:r w:rsidR="00AC6039" w:rsidRPr="00AF720A">
        <w:rPr>
          <w:lang w:val="en-US"/>
        </w:rPr>
        <w:t xml:space="preserve">In models </w:t>
      </w:r>
      <w:r w:rsidR="00322BB8" w:rsidRPr="00AF720A">
        <w:rPr>
          <w:lang w:val="en-US"/>
        </w:rPr>
        <w:t xml:space="preserve">examining the association of </w:t>
      </w:r>
      <w:bookmarkStart w:id="6" w:name="_Hlk11313431"/>
      <w:r w:rsidR="00322BB8" w:rsidRPr="00AF720A">
        <w:rPr>
          <w:lang w:val="en-US"/>
        </w:rPr>
        <w:t xml:space="preserve">amount </w:t>
      </w:r>
      <w:r w:rsidR="0017369C" w:rsidRPr="00AF720A">
        <w:rPr>
          <w:lang w:val="en-US"/>
        </w:rPr>
        <w:t>of chocolate consumption</w:t>
      </w:r>
      <w:r w:rsidR="00322BB8" w:rsidRPr="00AF720A">
        <w:rPr>
          <w:lang w:val="en-US"/>
        </w:rPr>
        <w:t xml:space="preserve"> and weight status</w:t>
      </w:r>
      <w:r w:rsidR="0017369C" w:rsidRPr="00AF720A">
        <w:rPr>
          <w:lang w:val="en-US"/>
        </w:rPr>
        <w:t>,</w:t>
      </w:r>
      <w:r w:rsidR="00C65ABD" w:rsidRPr="00AF720A">
        <w:rPr>
          <w:lang w:val="en-US"/>
        </w:rPr>
        <w:t xml:space="preserve"> </w:t>
      </w:r>
      <w:r w:rsidR="00322BB8" w:rsidRPr="00AF720A">
        <w:rPr>
          <w:lang w:val="en-US"/>
        </w:rPr>
        <w:t>significantly lower BMI (p for trend = 0.003) and waist circumference (p for trend = 0.001)</w:t>
      </w:r>
      <w:bookmarkEnd w:id="6"/>
      <w:r w:rsidR="00322BB8" w:rsidRPr="00AF720A">
        <w:rPr>
          <w:lang w:val="en-US"/>
        </w:rPr>
        <w:t xml:space="preserve"> were observed in </w:t>
      </w:r>
      <w:r w:rsidR="0017369C" w:rsidRPr="00AF720A">
        <w:rPr>
          <w:lang w:val="en-US"/>
        </w:rPr>
        <w:t xml:space="preserve">the </w:t>
      </w:r>
      <w:r w:rsidR="00322BB8" w:rsidRPr="00AF720A">
        <w:rPr>
          <w:lang w:val="en-US"/>
        </w:rPr>
        <w:t>1</w:t>
      </w:r>
      <w:r w:rsidR="00322BB8" w:rsidRPr="00AF720A">
        <w:rPr>
          <w:vertAlign w:val="superscript"/>
          <w:lang w:val="en-US"/>
        </w:rPr>
        <w:t>st</w:t>
      </w:r>
      <w:r w:rsidR="00322BB8" w:rsidRPr="00AF720A">
        <w:rPr>
          <w:lang w:val="en-US"/>
        </w:rPr>
        <w:t>, 2</w:t>
      </w:r>
      <w:r w:rsidR="00322BB8" w:rsidRPr="00AF720A">
        <w:rPr>
          <w:vertAlign w:val="superscript"/>
          <w:lang w:val="en-US"/>
        </w:rPr>
        <w:t>nd</w:t>
      </w:r>
      <w:r w:rsidR="00322BB8" w:rsidRPr="00AF720A">
        <w:rPr>
          <w:lang w:val="en-US"/>
        </w:rPr>
        <w:t xml:space="preserve"> and 3</w:t>
      </w:r>
      <w:r w:rsidR="00322BB8" w:rsidRPr="00AF720A">
        <w:rPr>
          <w:vertAlign w:val="superscript"/>
          <w:lang w:val="en-US"/>
        </w:rPr>
        <w:t>rd</w:t>
      </w:r>
      <w:r w:rsidR="00322BB8" w:rsidRPr="00AF720A">
        <w:rPr>
          <w:lang w:val="en-US"/>
        </w:rPr>
        <w:t xml:space="preserve"> </w:t>
      </w:r>
      <w:r w:rsidR="0017369C" w:rsidRPr="00AF720A">
        <w:rPr>
          <w:lang w:val="en-US"/>
        </w:rPr>
        <w:t xml:space="preserve">quartile of </w:t>
      </w:r>
      <w:r w:rsidR="00C65ABD" w:rsidRPr="00AF720A">
        <w:rPr>
          <w:lang w:val="en-US"/>
        </w:rPr>
        <w:t>total cho</w:t>
      </w:r>
      <w:r w:rsidR="00322BB8" w:rsidRPr="00AF720A">
        <w:rPr>
          <w:lang w:val="en-US"/>
        </w:rPr>
        <w:t>colate consumption (Tables 2 and 3). The estimated beta-coefficients in the top quartile of total chocolate consumption</w:t>
      </w:r>
      <w:r w:rsidR="004F2FA9" w:rsidRPr="00AF720A">
        <w:rPr>
          <w:lang w:val="en-US"/>
        </w:rPr>
        <w:t xml:space="preserve"> did not reach statistical significances, yet both were suggesting lower </w:t>
      </w:r>
      <w:r w:rsidR="005B65BD" w:rsidRPr="00AF720A">
        <w:rPr>
          <w:lang w:val="en-US"/>
        </w:rPr>
        <w:t>adiposity</w:t>
      </w:r>
      <w:r w:rsidR="004F2FA9" w:rsidRPr="00AF720A">
        <w:rPr>
          <w:lang w:val="en-US"/>
        </w:rPr>
        <w:t xml:space="preserve"> (BMI: -0.71, 95% CI: -1.69 to 0.28; waist circumference: -1.50, 95% CI: -3.54 to 0.55). </w:t>
      </w:r>
    </w:p>
    <w:p w14:paraId="512D833C" w14:textId="0F19E983" w:rsidR="00446A22" w:rsidRPr="00AF720A" w:rsidRDefault="007A0D33" w:rsidP="00134222">
      <w:pPr>
        <w:pStyle w:val="NoSpacing"/>
        <w:snapToGrid w:val="0"/>
        <w:spacing w:after="120" w:line="480" w:lineRule="auto"/>
        <w:rPr>
          <w:rFonts w:ascii="Arial" w:hAnsi="Arial" w:cs="Arial"/>
          <w:b/>
          <w:lang w:val="en-US" w:eastAsia="zh-CN"/>
        </w:rPr>
      </w:pPr>
      <w:r w:rsidRPr="00AF720A">
        <w:rPr>
          <w:rFonts w:ascii="Arial" w:hAnsi="Arial" w:cs="Arial"/>
          <w:b/>
          <w:lang w:val="en-US" w:eastAsia="zh-CN"/>
        </w:rPr>
        <w:t>Discussion</w:t>
      </w:r>
    </w:p>
    <w:p w14:paraId="701FF9C3" w14:textId="2F67B163" w:rsidR="007A0D33" w:rsidRPr="00AF720A" w:rsidRDefault="007A0D33" w:rsidP="00134222">
      <w:pPr>
        <w:pStyle w:val="NoSpacing"/>
        <w:snapToGrid w:val="0"/>
        <w:spacing w:after="120" w:line="480" w:lineRule="auto"/>
        <w:rPr>
          <w:rFonts w:ascii="Arial" w:hAnsi="Arial" w:cs="Arial"/>
          <w:lang w:val="en-US" w:eastAsia="zh-CN"/>
        </w:rPr>
      </w:pPr>
      <w:r w:rsidRPr="00AF720A">
        <w:rPr>
          <w:rFonts w:ascii="Arial" w:hAnsi="Arial" w:cs="Arial"/>
          <w:lang w:val="en-US" w:eastAsia="zh-CN"/>
        </w:rPr>
        <w:t>In this large</w:t>
      </w:r>
      <w:r w:rsidR="005C35B3" w:rsidRPr="00AF720A">
        <w:rPr>
          <w:rFonts w:ascii="Arial" w:hAnsi="Arial" w:cs="Arial"/>
          <w:lang w:val="en-US" w:eastAsia="zh-CN"/>
        </w:rPr>
        <w:t>,</w:t>
      </w:r>
      <w:r w:rsidRPr="00AF720A">
        <w:rPr>
          <w:rFonts w:ascii="Arial" w:hAnsi="Arial" w:cs="Arial"/>
          <w:lang w:val="en-US" w:eastAsia="zh-CN"/>
        </w:rPr>
        <w:t xml:space="preserve"> representative sample of US </w:t>
      </w:r>
      <w:r w:rsidR="001F5578" w:rsidRPr="00AF720A">
        <w:rPr>
          <w:rFonts w:ascii="Arial" w:hAnsi="Arial" w:cs="Arial"/>
          <w:lang w:val="en-US" w:eastAsia="zh-CN"/>
        </w:rPr>
        <w:t>adults,</w:t>
      </w:r>
      <w:r w:rsidRPr="00AF720A">
        <w:rPr>
          <w:rFonts w:ascii="Arial" w:hAnsi="Arial" w:cs="Arial"/>
          <w:lang w:val="en-US" w:eastAsia="zh-CN"/>
        </w:rPr>
        <w:t xml:space="preserve"> </w:t>
      </w:r>
      <w:r w:rsidR="009930F5" w:rsidRPr="00AF720A">
        <w:rPr>
          <w:rFonts w:ascii="Arial" w:hAnsi="Arial" w:cs="Arial"/>
          <w:lang w:val="en-US" w:eastAsia="zh-CN"/>
        </w:rPr>
        <w:t>people</w:t>
      </w:r>
      <w:r w:rsidRPr="00AF720A">
        <w:rPr>
          <w:rFonts w:ascii="Arial" w:hAnsi="Arial" w:cs="Arial"/>
          <w:lang w:val="en-US" w:eastAsia="zh-CN"/>
        </w:rPr>
        <w:t xml:space="preserve"> who reported any chocolate consumption had on average a 0.92 kg/m2 lower BMI, and 2.07 cm lower waist circumferences than those who did not report any chocolate consumption. Moreover, </w:t>
      </w:r>
      <w:r w:rsidR="001F5578" w:rsidRPr="00AF720A">
        <w:rPr>
          <w:rFonts w:ascii="Arial" w:hAnsi="Arial" w:cs="Arial"/>
          <w:lang w:val="en-US" w:eastAsia="zh-CN"/>
        </w:rPr>
        <w:t>a higher amount of chocolate consumption was found to be associated with lower BMI and waist circumference. Importantly, these associations were observed independent of the proportion of dark/ no</w:t>
      </w:r>
      <w:r w:rsidR="00491954" w:rsidRPr="00AF720A">
        <w:rPr>
          <w:rFonts w:ascii="Arial" w:hAnsi="Arial" w:cs="Arial"/>
          <w:lang w:val="en-US" w:eastAsia="zh-CN"/>
        </w:rPr>
        <w:t>n</w:t>
      </w:r>
      <w:r w:rsidR="001F5578" w:rsidRPr="00AF720A">
        <w:rPr>
          <w:rFonts w:ascii="Arial" w:hAnsi="Arial" w:cs="Arial"/>
          <w:lang w:val="en-US" w:eastAsia="zh-CN"/>
        </w:rPr>
        <w:t>-dark chocolate consumed and other potentially</w:t>
      </w:r>
      <w:r w:rsidR="00491954" w:rsidRPr="00AF720A">
        <w:rPr>
          <w:rFonts w:ascii="Arial" w:hAnsi="Arial" w:cs="Arial"/>
          <w:lang w:val="en-US" w:eastAsia="zh-CN"/>
        </w:rPr>
        <w:t xml:space="preserve"> important</w:t>
      </w:r>
      <w:r w:rsidR="001F5578" w:rsidRPr="00AF720A">
        <w:rPr>
          <w:rFonts w:ascii="Arial" w:hAnsi="Arial" w:cs="Arial"/>
          <w:lang w:val="en-US" w:eastAsia="zh-CN"/>
        </w:rPr>
        <w:t xml:space="preserve"> confounding variables such as total caloric intake. </w:t>
      </w:r>
    </w:p>
    <w:p w14:paraId="4104AAC5" w14:textId="227C72F3" w:rsidR="001F5578" w:rsidRPr="00AF720A" w:rsidRDefault="001F5578" w:rsidP="00134222">
      <w:pPr>
        <w:pStyle w:val="NoSpacing"/>
        <w:snapToGrid w:val="0"/>
        <w:spacing w:after="120" w:line="480" w:lineRule="auto"/>
        <w:rPr>
          <w:rFonts w:ascii="Arial" w:hAnsi="Arial" w:cs="Arial"/>
          <w:lang w:val="en-US" w:eastAsia="zh-CN"/>
        </w:rPr>
      </w:pPr>
      <w:r w:rsidRPr="00AF720A">
        <w:rPr>
          <w:rFonts w:ascii="Arial" w:hAnsi="Arial" w:cs="Arial"/>
          <w:lang w:val="en-US" w:eastAsia="zh-CN"/>
        </w:rPr>
        <w:t xml:space="preserve">Findings from the present study support </w:t>
      </w:r>
      <w:r w:rsidR="00DB336B" w:rsidRPr="00AF720A">
        <w:rPr>
          <w:rFonts w:ascii="Arial" w:hAnsi="Arial" w:cs="Arial"/>
          <w:lang w:val="en-US" w:eastAsia="zh-CN"/>
        </w:rPr>
        <w:t>those</w:t>
      </w:r>
      <w:r w:rsidRPr="00AF720A">
        <w:rPr>
          <w:rFonts w:ascii="Arial" w:hAnsi="Arial" w:cs="Arial"/>
          <w:lang w:val="en-US" w:eastAsia="zh-CN"/>
        </w:rPr>
        <w:t xml:space="preserve"> of some, but not all, previous literature</w:t>
      </w:r>
      <w:r w:rsidR="00AB34E7" w:rsidRPr="00AF720A">
        <w:rPr>
          <w:rFonts w:ascii="Arial" w:hAnsi="Arial" w:cs="Arial"/>
          <w:lang w:val="en-US" w:eastAsia="zh-CN"/>
        </w:rPr>
        <w:t xml:space="preserve"> </w:t>
      </w:r>
      <w:r w:rsidR="00AB34E7" w:rsidRPr="00AF720A">
        <w:rPr>
          <w:rFonts w:ascii="Arial" w:hAnsi="Arial" w:cs="Arial"/>
          <w:lang w:val="en-US" w:eastAsia="zh-CN"/>
        </w:rPr>
        <w:fldChar w:fldCharType="begin"/>
      </w:r>
      <w:r w:rsidR="00AB34E7" w:rsidRPr="00AF720A">
        <w:rPr>
          <w:rFonts w:ascii="Arial" w:hAnsi="Arial" w:cs="Arial"/>
          <w:lang w:val="en-US" w:eastAsia="zh-CN"/>
        </w:rPr>
        <w:instrText xml:space="preserve"> ADDIN ZOTERO_ITEM CSL_CITATION {"citationID":"Te1zGk1s","properties":{"formattedCitation":"(7)","plainCitation":"(7)","noteIndex":0},"citationItems":[{"id":8136,"uris":["http://zotero.org/users/446899/items/LD7EUZ2Y"],"uri":["http://zotero.org/users/446899/items/LD7EUZ2Y"],"itemData":{"id":8136,"type":"article-journal","title":"Confectionery consumption and overweight, obesity, and related outcomes in children and adolescents: a systematic review and meta-analysis","container-title":"The American Journal of Clinical Nutrition","page":"1344-1356","volume":"103","issue":"5","source":"academic.oup.com","abstract":"ABSTRACT.  Background: Many calorie-rich dietary components contribute to obesity. However, the contribution of confectionery to obesity in children and adolesc","DOI":"10.3945/ajcn.115.119883","ISSN":"0002-9165","shortTitle":"Confectionery consumption and overweight, obesity, and related outcomes in children and adolescents","journalAbbreviation":"Am J Clin Nutr","language":"en","author":[{"family":"Gasser","given":"Constantine E."},{"family":"Mensah","given":"Fiona K."},{"family":"Russell","given":"Melissa"},{"family":"Dunn","given":"Sophie E."},{"family":"Wake","given":"Melissa"}],"issued":{"date-parts":[["2016",5,1]]}}}],"schema":"https://github.com/citation-style-language/schema/raw/master/csl-citation.json"} </w:instrText>
      </w:r>
      <w:r w:rsidR="00AB34E7" w:rsidRPr="00AF720A">
        <w:rPr>
          <w:rFonts w:ascii="Arial" w:hAnsi="Arial" w:cs="Arial"/>
          <w:lang w:val="en-US" w:eastAsia="zh-CN"/>
        </w:rPr>
        <w:fldChar w:fldCharType="separate"/>
      </w:r>
      <w:r w:rsidR="00AB34E7" w:rsidRPr="00AF720A">
        <w:rPr>
          <w:rFonts w:ascii="Arial" w:hAnsi="Arial" w:cs="Arial"/>
        </w:rPr>
        <w:t>(7)</w:t>
      </w:r>
      <w:r w:rsidR="00AB34E7" w:rsidRPr="00AF720A">
        <w:rPr>
          <w:rFonts w:ascii="Arial" w:hAnsi="Arial" w:cs="Arial"/>
          <w:lang w:val="en-US" w:eastAsia="zh-CN"/>
        </w:rPr>
        <w:fldChar w:fldCharType="end"/>
      </w:r>
      <w:r w:rsidRPr="00AF720A">
        <w:rPr>
          <w:rFonts w:ascii="Arial" w:hAnsi="Arial" w:cs="Arial"/>
          <w:lang w:val="en-US" w:eastAsia="zh-CN"/>
        </w:rPr>
        <w:t xml:space="preserve">. </w:t>
      </w:r>
      <w:r w:rsidR="00704B85" w:rsidRPr="00AF720A">
        <w:rPr>
          <w:rFonts w:ascii="Arial" w:hAnsi="Arial" w:cs="Arial"/>
          <w:lang w:val="en-US" w:eastAsia="zh-CN"/>
        </w:rPr>
        <w:t>T</w:t>
      </w:r>
      <w:r w:rsidR="00141D72" w:rsidRPr="00AF720A">
        <w:rPr>
          <w:rFonts w:ascii="Arial" w:hAnsi="Arial" w:cs="Arial"/>
          <w:lang w:val="en-US" w:eastAsia="zh-CN"/>
        </w:rPr>
        <w:t>hree</w:t>
      </w:r>
      <w:r w:rsidRPr="00AF720A">
        <w:rPr>
          <w:rFonts w:ascii="Arial" w:hAnsi="Arial" w:cs="Arial"/>
          <w:lang w:val="en-US" w:eastAsia="zh-CN"/>
        </w:rPr>
        <w:t xml:space="preserve"> mechanisms may explain the association between chocolate consumption and lower measures of adiposity. </w:t>
      </w:r>
      <w:r w:rsidR="007B4D32" w:rsidRPr="00AF720A">
        <w:rPr>
          <w:rFonts w:ascii="Arial" w:hAnsi="Arial" w:cs="Arial"/>
          <w:lang w:val="en-US" w:eastAsia="zh-CN"/>
        </w:rPr>
        <w:t xml:space="preserve">Firstly, those who consume a greater amount of chocolate may consume less fat </w:t>
      </w:r>
      <w:r w:rsidR="00AB34E7" w:rsidRPr="00AF720A">
        <w:rPr>
          <w:rFonts w:ascii="Arial" w:hAnsi="Arial" w:cs="Arial"/>
          <w:lang w:val="en-US" w:eastAsia="zh-CN"/>
        </w:rPr>
        <w:fldChar w:fldCharType="begin"/>
      </w:r>
      <w:r w:rsidR="00DB336B" w:rsidRPr="00AF720A">
        <w:rPr>
          <w:rFonts w:ascii="Arial" w:hAnsi="Arial" w:cs="Arial"/>
          <w:lang w:val="en-US" w:eastAsia="zh-CN"/>
        </w:rPr>
        <w:instrText xml:space="preserve"> ADDIN ZOTERO_ITEM CSL_CITATION {"citationID":"k98BjMBk","properties":{"formattedCitation":"(15)","plainCitation":"(15)","noteIndex":0},"citationItems":[{"id":8152,"uris":["http://zotero.org/users/446899/items/TVPIRIQR"],"uri":["http://zotero.org/users/446899/items/TVPIRIQR"],"itemData":{"id":8152,"type":"article-journal","title":"Comparison of overweight and obesity prevalence in school-aged youth from 34 countries and their relationships with physical activity and dietary patterns","container-title":"Obesity Reviews: An Official Journal of the International Association for the Study of Obesity","page":"123-132","volume":"6","issue":"2","source":"PubMed","abstract":"The purposes of this systematic review were to present and compare recent estimates of the prevalence of overweight and obesity in school-aged youth from 34 countries and to examine associations between overweight and selected dietary and physical activity patterns. Data consisted of a cross-sectional survey of 137 593 youth (10-16 years) from the 34 (primarily European) participating countries of the 2001-2002 Health Behaviour in School-Aged Children Study. The prevalence of overweight and obesity was determined based on self-reported height and weight and the international child body mass index standards. Logistic regression was employed to examine associations between overweight status with selected dietary and physical activity patterns. The two countries with the highest prevalence of overweight (pre-obese + obese) and obese youth were Malta (25.4% and 7.9%) and the United States (25.1% and 6.8%) while the two countries with the lowest prevalence were Lithuania (5.1% and 0.4%) and Latvia (5.9% and 0.5%). Overweight and obesity prevalence was particularly high in countries located in North America, Great Britain, and south-western Europe. Within most countries physical activity levels were lower and television viewing times were higher in overweight compared to normal weight youth. In 91% of the countries examined, the frequency of sweets intake was lower in overweight than normal weight youth. Overweight status was not associated with the intake of fruits, vegetables, and soft drinks or time spent on the computer. In conclusion, the adolescent obesity epidemic is a global issue. Increasing physical activity participation and decreasing television viewing should be the focus of strategies aimed at preventing and treating overweight and obesity in youth.","DOI":"10.1111/j.1467-789X.2005.00176.x","ISSN":"1467-7881","note":"PMID: 15836463","journalAbbreviation":"Obes Rev","language":"eng","author":[{"family":"Janssen","given":"I."},{"family":"Katzmarzyk","given":"P. T."},{"family":"Boyce","given":"W. F."},{"family":"Vereecken","given":"C."},{"family":"Mulvihill","given":"C."},{"family":"Roberts","given":"C."},{"family":"Currie","given":"C."},{"family":"Pickett","given":"W."},{"literal":"Health Behaviour in School-Aged Children Obesity Working Group"}],"issued":{"date-parts":[["2005",5]]}}}],"schema":"https://github.com/citation-style-language/schema/raw/master/csl-citation.json"} </w:instrText>
      </w:r>
      <w:r w:rsidR="00AB34E7" w:rsidRPr="00AF720A">
        <w:rPr>
          <w:rFonts w:ascii="Arial" w:hAnsi="Arial" w:cs="Arial"/>
          <w:lang w:val="en-US" w:eastAsia="zh-CN"/>
        </w:rPr>
        <w:fldChar w:fldCharType="separate"/>
      </w:r>
      <w:r w:rsidR="00DB336B" w:rsidRPr="00AF720A">
        <w:rPr>
          <w:rFonts w:ascii="Arial" w:hAnsi="Arial" w:cs="Arial"/>
        </w:rPr>
        <w:t>(15)</w:t>
      </w:r>
      <w:r w:rsidR="00AB34E7" w:rsidRPr="00AF720A">
        <w:rPr>
          <w:rFonts w:ascii="Arial" w:hAnsi="Arial" w:cs="Arial"/>
          <w:lang w:val="en-US" w:eastAsia="zh-CN"/>
        </w:rPr>
        <w:fldChar w:fldCharType="end"/>
      </w:r>
      <w:r w:rsidR="007B4D32" w:rsidRPr="00AF720A">
        <w:rPr>
          <w:rFonts w:ascii="Arial" w:hAnsi="Arial" w:cs="Arial"/>
          <w:lang w:val="en-US" w:eastAsia="zh-CN"/>
        </w:rPr>
        <w:t xml:space="preserve"> </w:t>
      </w:r>
      <w:r w:rsidR="007C43EC" w:rsidRPr="00AF720A">
        <w:rPr>
          <w:rFonts w:ascii="Arial" w:hAnsi="Arial" w:cs="Arial"/>
          <w:lang w:val="en-US" w:eastAsia="zh-CN"/>
        </w:rPr>
        <w:t>and sugar (abundant in chocolate) contains less kilojoules than fat</w:t>
      </w:r>
      <w:r w:rsidR="00AB34E7" w:rsidRPr="00AF720A">
        <w:t xml:space="preserve"> </w:t>
      </w:r>
      <w:r w:rsidR="00AB34E7" w:rsidRPr="00AF720A">
        <w:rPr>
          <w:rFonts w:ascii="Arial" w:hAnsi="Arial" w:cs="Arial"/>
          <w:lang w:val="en-US" w:eastAsia="zh-CN"/>
        </w:rPr>
        <w:fldChar w:fldCharType="begin"/>
      </w:r>
      <w:r w:rsidR="00DB336B" w:rsidRPr="00AF720A">
        <w:rPr>
          <w:rFonts w:ascii="Arial" w:hAnsi="Arial" w:cs="Arial"/>
          <w:lang w:val="en-US" w:eastAsia="zh-CN"/>
        </w:rPr>
        <w:instrText xml:space="preserve"> ADDIN ZOTERO_ITEM CSL_CITATION {"citationID":"h37iYJ0P","properties":{"formattedCitation":"(15)","plainCitation":"(15)","noteIndex":0},"citationItems":[{"id":8152,"uris":["http://zotero.org/users/446899/items/TVPIRIQR"],"uri":["http://zotero.org/users/446899/items/TVPIRIQR"],"itemData":{"id":8152,"type":"article-journal","title":"Comparison of overweight and obesity prevalence in school-aged youth from 34 countries and their relationships with physical activity and dietary patterns","container-title":"Obesity Reviews: An Official Journal of the International Association for the Study of Obesity","page":"123-132","volume":"6","issue":"2","source":"PubMed","abstract":"The purposes of this systematic review were to present and compare recent estimates of the prevalence of overweight and obesity in school-aged youth from 34 countries and to examine associations between overweight and selected dietary and physical activity patterns. Data consisted of a cross-sectional survey of 137 593 youth (10-16 years) from the 34 (primarily European) participating countries of the 2001-2002 Health Behaviour in School-Aged Children Study. The prevalence of overweight and obesity was determined based on self-reported height and weight and the international child body mass index standards. Logistic regression was employed to examine associations between overweight status with selected dietary and physical activity patterns. The two countries with the highest prevalence of overweight (pre-obese + obese) and obese youth were Malta (25.4% and 7.9%) and the United States (25.1% and 6.8%) while the two countries with the lowest prevalence were Lithuania (5.1% and 0.4%) and Latvia (5.9% and 0.5%). Overweight and obesity prevalence was particularly high in countries located in North America, Great Britain, and south-western Europe. Within most countries physical activity levels were lower and television viewing times were higher in overweight compared to normal weight youth. In 91% of the countries examined, the frequency of sweets intake was lower in overweight than normal weight youth. Overweight status was not associated with the intake of fruits, vegetables, and soft drinks or time spent on the computer. In conclusion, the adolescent obesity epidemic is a global issue. Increasing physical activity participation and decreasing television viewing should be the focus of strategies aimed at preventing and treating overweight and obesity in youth.","DOI":"10.1111/j.1467-789X.2005.00176.x","ISSN":"1467-7881","note":"PMID: 15836463","journalAbbreviation":"Obes Rev","language":"eng","author":[{"family":"Janssen","given":"I."},{"family":"Katzmarzyk","given":"P. T."},{"family":"Boyce","given":"W. F."},{"family":"Vereecken","given":"C."},{"family":"Mulvihill","given":"C."},{"family":"Roberts","given":"C."},{"family":"Currie","given":"C."},{"family":"Pickett","given":"W."},{"literal":"Health Behaviour in School-Aged Children Obesity Working Group"}],"issued":{"date-parts":[["2005",5]]}}}],"schema":"https://github.com/citation-style-language/schema/raw/master/csl-citation.json"} </w:instrText>
      </w:r>
      <w:r w:rsidR="00AB34E7" w:rsidRPr="00AF720A">
        <w:rPr>
          <w:rFonts w:ascii="Arial" w:hAnsi="Arial" w:cs="Arial"/>
          <w:lang w:val="en-US" w:eastAsia="zh-CN"/>
        </w:rPr>
        <w:fldChar w:fldCharType="separate"/>
      </w:r>
      <w:r w:rsidR="00DB336B" w:rsidRPr="00AF720A">
        <w:rPr>
          <w:rFonts w:ascii="Arial" w:hAnsi="Arial" w:cs="Arial"/>
        </w:rPr>
        <w:t>(15)</w:t>
      </w:r>
      <w:r w:rsidR="00AB34E7" w:rsidRPr="00AF720A">
        <w:rPr>
          <w:rFonts w:ascii="Arial" w:hAnsi="Arial" w:cs="Arial"/>
          <w:lang w:val="en-US" w:eastAsia="zh-CN"/>
        </w:rPr>
        <w:fldChar w:fldCharType="end"/>
      </w:r>
      <w:r w:rsidR="00AB34E7" w:rsidRPr="00AF720A">
        <w:rPr>
          <w:rFonts w:ascii="Arial" w:hAnsi="Arial" w:cs="Arial"/>
          <w:lang w:val="en-US" w:eastAsia="zh-CN"/>
        </w:rPr>
        <w:t>.</w:t>
      </w:r>
      <w:r w:rsidR="007C43EC" w:rsidRPr="00AF720A">
        <w:rPr>
          <w:rFonts w:ascii="Arial" w:hAnsi="Arial" w:cs="Arial"/>
          <w:lang w:val="en-US" w:eastAsia="zh-CN"/>
        </w:rPr>
        <w:t xml:space="preserve"> Second, literature has shown that consumption of sugar may lead to increased satiety that may result in lower caloric intake</w:t>
      </w:r>
      <w:r w:rsidR="009C3B42" w:rsidRPr="00AF720A">
        <w:rPr>
          <w:rFonts w:ascii="Arial" w:hAnsi="Arial" w:cs="Arial"/>
          <w:lang w:val="en-US" w:eastAsia="zh-CN"/>
        </w:rPr>
        <w:t xml:space="preserve"> </w:t>
      </w:r>
      <w:r w:rsidR="009C3B42" w:rsidRPr="00AF720A">
        <w:rPr>
          <w:rFonts w:ascii="Arial" w:hAnsi="Arial" w:cs="Arial"/>
          <w:lang w:val="en-US" w:eastAsia="zh-CN"/>
        </w:rPr>
        <w:fldChar w:fldCharType="begin"/>
      </w:r>
      <w:r w:rsidR="009C3B42" w:rsidRPr="00AF720A">
        <w:rPr>
          <w:rFonts w:ascii="Arial" w:hAnsi="Arial" w:cs="Arial"/>
          <w:lang w:val="en-US" w:eastAsia="zh-CN"/>
        </w:rPr>
        <w:instrText xml:space="preserve"> ADDIN ZOTERO_ITEM CSL_CITATION {"citationID":"UvBUmpyi","properties":{"formattedCitation":"(16)","plainCitation":"(16)","noteIndex":0},"citationItems":[{"id":8154,"uris":["http://zotero.org/users/446899/items/K5VU4J3D"],"uri":["http://zotero.org/users/446899/items/K5VU4J3D"],"itemData":{"id":8154,"type":"article-journal","title":"Consumption of sugars and the regulation of short-term satiety and food intake","container-title":"The American Journal of Clinical Nutrition","page":"843S-849S","volume":"78","issue":"4","source":"PubMed","abstract":"This review examines the relation between the consumption of sugars and their effects on short-term (ie, to 2 h) satiety and food intake in humans. Many factors need to be considered in the evaluation of reported studies and the conclusions derived from this body of literature. These factors include evaluation of the dose and form (solid or liquid) of the treatments, time of day administered, characteristics of the subjects, sample size, and approaches used to measure satiety and food intake. Mechanisms by which sugars may signal regulatory systems for food intake need to be considered when evaluating both study designs and conclusions. For this reason, the relation between the blood glucose response to sugar consumption and subsequent feeding behavior is also examined. It is concluded that sugars stimulate satiety mechanisms and reduce food intake in the short term and that the mechanisms by which this response occurs cannot be attributed solely to their effect on blood glucose.","DOI":"10.1093/ajcn/78.4.843S","ISSN":"0002-9165","note":"PMID: 14522748","journalAbbreviation":"Am. J. Clin. Nutr.","language":"eng","author":[{"family":"Anderson","given":"G. Harvey"},{"family":"Woodend","given":"Dianne"}],"issued":{"date-parts":[["2003",10]]}}}],"schema":"https://github.com/citation-style-language/schema/raw/master/csl-citation.json"} </w:instrText>
      </w:r>
      <w:r w:rsidR="009C3B42" w:rsidRPr="00AF720A">
        <w:rPr>
          <w:rFonts w:ascii="Arial" w:hAnsi="Arial" w:cs="Arial"/>
          <w:lang w:val="en-US" w:eastAsia="zh-CN"/>
        </w:rPr>
        <w:fldChar w:fldCharType="separate"/>
      </w:r>
      <w:r w:rsidR="009C3B42" w:rsidRPr="00AF720A">
        <w:rPr>
          <w:rFonts w:ascii="Arial" w:hAnsi="Arial" w:cs="Arial"/>
        </w:rPr>
        <w:t>(16)</w:t>
      </w:r>
      <w:r w:rsidR="009C3B42" w:rsidRPr="00AF720A">
        <w:rPr>
          <w:rFonts w:ascii="Arial" w:hAnsi="Arial" w:cs="Arial"/>
          <w:lang w:val="en-US" w:eastAsia="zh-CN"/>
        </w:rPr>
        <w:fldChar w:fldCharType="end"/>
      </w:r>
      <w:r w:rsidR="007C43EC" w:rsidRPr="00AF720A">
        <w:rPr>
          <w:rFonts w:ascii="Arial" w:hAnsi="Arial" w:cs="Arial"/>
          <w:lang w:val="en-US" w:eastAsia="zh-CN"/>
        </w:rPr>
        <w:t xml:space="preserve">, however, this variable was controlled for in the </w:t>
      </w:r>
      <w:r w:rsidR="007C43EC" w:rsidRPr="00AF720A">
        <w:rPr>
          <w:rFonts w:ascii="Arial" w:hAnsi="Arial" w:cs="Arial"/>
          <w:lang w:val="en-US" w:eastAsia="zh-CN"/>
        </w:rPr>
        <w:lastRenderedPageBreak/>
        <w:t xml:space="preserve">present analyses. </w:t>
      </w:r>
      <w:r w:rsidR="008A2544" w:rsidRPr="00AF720A">
        <w:rPr>
          <w:rFonts w:ascii="Arial" w:hAnsi="Arial" w:cs="Arial"/>
          <w:lang w:val="en-US" w:eastAsia="zh-CN"/>
        </w:rPr>
        <w:t xml:space="preserve">Third, it may be that the flavonoids in the chocolate are responsible for the lower levels of BMI and </w:t>
      </w:r>
      <w:r w:rsidR="00BB21C2" w:rsidRPr="00AF720A">
        <w:rPr>
          <w:rFonts w:ascii="Arial" w:hAnsi="Arial" w:cs="Arial"/>
          <w:lang w:val="en-US" w:eastAsia="zh-CN"/>
        </w:rPr>
        <w:t>waist circumference</w:t>
      </w:r>
      <w:r w:rsidR="008A2544" w:rsidRPr="00AF720A">
        <w:rPr>
          <w:rFonts w:ascii="Arial" w:hAnsi="Arial" w:cs="Arial"/>
          <w:lang w:val="en-US" w:eastAsia="zh-CN"/>
        </w:rPr>
        <w:t xml:space="preserve"> observed in this study</w:t>
      </w:r>
      <w:r w:rsidR="00814AD1" w:rsidRPr="00AF720A">
        <w:t xml:space="preserve"> </w:t>
      </w:r>
      <w:r w:rsidR="00814AD1" w:rsidRPr="00AF720A">
        <w:fldChar w:fldCharType="begin"/>
      </w:r>
      <w:r w:rsidR="00814AD1" w:rsidRPr="00AF720A">
        <w:instrText xml:space="preserve"> ADDIN ZOTERO_ITEM CSL_CITATION {"citationID":"dXyh9YVG","properties":{"formattedCitation":"(6)","plainCitation":"(6)","noteIndex":0},"citationItems":[{"id":8133,"uris":["http://zotero.org/users/446899/items/AHGM4ZCW"],"uri":["http://zotero.org/users/446899/items/AHGM4ZCW"],"itemData":{"id":8133,"type":"article-journal","title":"Higher dietary flavonoid intakes are associated with lower objectively measured body composition in women: evidence from discordant monozygotic twins12","container-title":"The American Journal of Clinical Nutrition","page":"626-634","volume":"105","issue":"3","source":"PubMed Central","abstract":"Background: Although dietary flavonoid intake has been associated with less weight gain, there are limited data on its impact on fat mass, and to our knowledge, the contribution of genetic factors to this relation has not previously been assessed., Objective: We examined the associations between flavonoid intakes and fat mass., Design: In a study of 2734 healthy, female twins aged 18–83 y from the TwinsUK registry, intakes of total flavonoids and 7 subclasses (flavanones, anthocyanins, flavan-3-ols, flavonols, flavones, polymers, and proanthocyanidins) were calculated with the use of food-frequency questionnaires. Measures of dual-energy X-ray absorptiometry–derived fat mass included the limb-to-trunk fat mass ratio (FMR), fat mass index, and central fat mass index., Results: In cross-sectional multivariable analyses, higher intake of anthocyanins, flavonols, and proanthocyanidins were associated with a lower FMR with mean ± SE differences between extreme quintiles of −0.03 ± 0.02 (P-trend = 0.02), −0.03 ± 0.02 (P-trend = 0.03), and −0.05 ± 0.02 (P-trend &lt; 0.01), respectively. These associations were not markedly changed after further adjustment for fiber and total fruit and vegetable intakes. In monozygotic, intake-discordant twin pairs, twins with higher intakes of flavan-3-ols (n = 154, P = 0.03), flavonols (n = 173, P = 0.03), and proanthocyanidins (n = 172, P &lt; 0.01) had a significantly lower FMR than that of their co-twins with within-pair differences of 3–4%. Furthermore, in confirmatory food-based analyses, twins with higher intakes of flavonol-rich foods (onions, tea, and pears; P = 0.01) and proanthocyanidin-rich foods (apples and cocoa drinks; P = 0.04) and, in younger participants (aged &lt;50 y) only, of anthocyanin-rich foods (berries, pears, grapes, and wine; P = 0.01) had a 3–9% lower FMR than that of their co-twins., Conclusions: These data suggest that higher habitual intake of a number of flavonoids, including anthocyanins, flavan-3-ols, flavonols, and proanthocyanidins, are associated with lower fat mass independent of shared genetic and common environmental factors. Intervention trials are needed to further examine the effect of flavonoid-rich foods on body composition.","DOI":"10.3945/ajcn.116.144394","ISSN":"0002-9165","note":"PMID: 28100511\nPMCID: PMC5320412","shortTitle":"Higher dietary flavonoid intakes are associated with lower objectively measured body composition in women","journalAbbreviation":"Am J Clin Nutr","author":[{"family":"Jennings","given":"Amy"},{"family":"MacGregor","given":"Alex"},{"family":"Spector","given":"Tim"},{"family":"Cassidy","given":"Aedín"}],"issued":{"date-parts":[["2017",3]]}}}],"schema":"https://github.com/citation-style-language/schema/raw/master/csl-citation.json"} </w:instrText>
      </w:r>
      <w:r w:rsidR="00814AD1" w:rsidRPr="00AF720A">
        <w:fldChar w:fldCharType="separate"/>
      </w:r>
      <w:r w:rsidR="00814AD1" w:rsidRPr="00AF720A">
        <w:rPr>
          <w:rFonts w:ascii="Calibri" w:hAnsi="Calibri" w:cs="Calibri"/>
        </w:rPr>
        <w:t>(6)</w:t>
      </w:r>
      <w:r w:rsidR="00814AD1" w:rsidRPr="00AF720A">
        <w:fldChar w:fldCharType="end"/>
      </w:r>
      <w:r w:rsidR="008A2544" w:rsidRPr="00AF720A">
        <w:rPr>
          <w:rFonts w:ascii="Arial" w:hAnsi="Arial" w:cs="Arial"/>
          <w:lang w:val="en-US" w:eastAsia="zh-CN"/>
        </w:rPr>
        <w:t xml:space="preserve">. </w:t>
      </w:r>
      <w:r w:rsidR="00EF78E2" w:rsidRPr="00AF720A">
        <w:rPr>
          <w:rFonts w:ascii="Arial" w:hAnsi="Arial" w:cs="Arial"/>
          <w:lang w:val="en-US" w:eastAsia="zh-CN"/>
        </w:rPr>
        <w:t>Interestingly, adjustment for consumption of dark chocolate (rich in flavonoids) in models examining chocolate consumption and adiposity outcomes made no substantial difference to the findings. F</w:t>
      </w:r>
      <w:r w:rsidR="008A2544" w:rsidRPr="00AF720A">
        <w:rPr>
          <w:rFonts w:ascii="Arial" w:hAnsi="Arial" w:cs="Arial"/>
          <w:lang w:val="en-US" w:eastAsia="zh-CN"/>
        </w:rPr>
        <w:t>uture experimental research is needed to confirm or refute these findings</w:t>
      </w:r>
      <w:r w:rsidR="00EF78E2" w:rsidRPr="00AF720A">
        <w:rPr>
          <w:rFonts w:ascii="Arial" w:hAnsi="Arial" w:cs="Arial"/>
          <w:lang w:val="en-US" w:eastAsia="zh-CN"/>
        </w:rPr>
        <w:t xml:space="preserve"> and further understand the role flavonoids play, if any, in influencing levels of adiposity</w:t>
      </w:r>
      <w:r w:rsidR="008A2544" w:rsidRPr="00AF720A">
        <w:rPr>
          <w:rFonts w:ascii="Arial" w:hAnsi="Arial" w:cs="Arial"/>
          <w:lang w:val="en-US" w:eastAsia="zh-CN"/>
        </w:rPr>
        <w:t xml:space="preserve">. </w:t>
      </w:r>
      <w:r w:rsidR="00704B85" w:rsidRPr="00AF720A">
        <w:rPr>
          <w:rFonts w:ascii="Arial" w:hAnsi="Arial" w:cs="Arial"/>
          <w:lang w:val="en-US" w:eastAsia="zh-CN"/>
        </w:rPr>
        <w:t xml:space="preserve">It should be noted that </w:t>
      </w:r>
      <w:r w:rsidR="00FF2A76" w:rsidRPr="00AF720A">
        <w:rPr>
          <w:rFonts w:ascii="Arial" w:hAnsi="Arial" w:cs="Arial"/>
          <w:lang w:val="en-US" w:eastAsia="zh-CN"/>
        </w:rPr>
        <w:t>despite these plausible mechanisms</w:t>
      </w:r>
      <w:r w:rsidR="0029161D" w:rsidRPr="00AF720A">
        <w:rPr>
          <w:rFonts w:ascii="Arial" w:hAnsi="Arial" w:cs="Arial"/>
          <w:lang w:val="en-US" w:eastAsia="zh-CN"/>
        </w:rPr>
        <w:t>,</w:t>
      </w:r>
      <w:r w:rsidR="00FF2A76" w:rsidRPr="00AF720A">
        <w:rPr>
          <w:rFonts w:ascii="Arial" w:hAnsi="Arial" w:cs="Arial"/>
          <w:lang w:val="en-US" w:eastAsia="zh-CN"/>
        </w:rPr>
        <w:t xml:space="preserve"> owing to the cross-sectional nature of the </w:t>
      </w:r>
      <w:r w:rsidR="00704B85" w:rsidRPr="00AF720A">
        <w:rPr>
          <w:rFonts w:ascii="Arial" w:hAnsi="Arial" w:cs="Arial"/>
          <w:lang w:val="en-US" w:eastAsia="zh-CN"/>
        </w:rPr>
        <w:t>present study</w:t>
      </w:r>
      <w:r w:rsidR="00FF2A76" w:rsidRPr="00AF720A">
        <w:rPr>
          <w:rFonts w:ascii="Arial" w:hAnsi="Arial" w:cs="Arial"/>
          <w:lang w:val="en-US" w:eastAsia="zh-CN"/>
        </w:rPr>
        <w:t xml:space="preserve"> another plausible </w:t>
      </w:r>
      <w:r w:rsidR="00704B85" w:rsidRPr="00AF720A">
        <w:rPr>
          <w:rFonts w:ascii="Arial" w:hAnsi="Arial" w:cs="Arial"/>
          <w:lang w:val="en-US" w:eastAsia="zh-CN"/>
        </w:rPr>
        <w:t>explanation of the findings</w:t>
      </w:r>
      <w:r w:rsidR="00FF2A76" w:rsidRPr="00AF720A">
        <w:rPr>
          <w:rFonts w:ascii="Arial" w:hAnsi="Arial" w:cs="Arial"/>
          <w:lang w:val="en-US" w:eastAsia="zh-CN"/>
        </w:rPr>
        <w:t xml:space="preserve"> is</w:t>
      </w:r>
      <w:r w:rsidR="00704B85" w:rsidRPr="00AF720A">
        <w:rPr>
          <w:rFonts w:ascii="Arial" w:hAnsi="Arial" w:cs="Arial"/>
          <w:lang w:val="en-US" w:eastAsia="zh-CN"/>
        </w:rPr>
        <w:t xml:space="preserve"> that of</w:t>
      </w:r>
      <w:r w:rsidR="00FF2A76" w:rsidRPr="00AF720A">
        <w:rPr>
          <w:rFonts w:ascii="Arial" w:hAnsi="Arial" w:cs="Arial"/>
          <w:lang w:val="en-US" w:eastAsia="zh-CN"/>
        </w:rPr>
        <w:t xml:space="preserve"> reverse causation. For example, those who are overweight and obese may reduce their chocolate consumption if they believe that this is contributing to their weight problem.</w:t>
      </w:r>
      <w:r w:rsidR="0029161D" w:rsidRPr="00AF720A">
        <w:rPr>
          <w:rFonts w:ascii="Arial" w:hAnsi="Arial" w:cs="Arial"/>
          <w:lang w:val="en-US" w:eastAsia="zh-CN"/>
        </w:rPr>
        <w:t xml:space="preserve"> Given that a previous study using a prospective design showed chocolate intake was associated with weight gain over time</w:t>
      </w:r>
      <w:r w:rsidR="00E5769C" w:rsidRPr="00AF720A">
        <w:rPr>
          <w:rFonts w:ascii="Arial" w:hAnsi="Arial" w:cs="Arial"/>
          <w:lang w:val="en-US" w:eastAsia="zh-CN"/>
        </w:rPr>
        <w:t xml:space="preserve"> </w:t>
      </w:r>
      <w:r w:rsidR="00E5769C" w:rsidRPr="00AF720A">
        <w:rPr>
          <w:lang w:val="en-US"/>
        </w:rPr>
        <w:fldChar w:fldCharType="begin"/>
      </w:r>
      <w:r w:rsidR="00E5769C" w:rsidRPr="00AF720A">
        <w:rPr>
          <w:lang w:val="en-US"/>
        </w:rPr>
        <w:instrText xml:space="preserve"> ADDIN ZOTERO_ITEM CSL_CITATION {"citationID":"yDu8kd2P","properties":{"formattedCitation":"(8)","plainCitation":"(8)","noteIndex":0},"citationItems":[{"id":8143,"uris":["http://zotero.org/users/446899/items/7BPLVR7M"],"uri":["http://zotero.org/users/446899/items/7BPLVR7M"],"itemData":{"id":8143,"type":"article-journal","title":"Habitual Chocolate Consumption May Increase Body Weight in a Dose-Response Manner","container-title":"PLOS ONE","page":"e70271","volume":"8","issue":"8","source":"PLoS Journals","abstract":"Objective Habitual chocolate intake was recently found to be associated with lower body weight in three cross-sectional epidemiological studies. Our objective was to assess whether these cross-sectional results hold up in a more rigorous prospective analysis. Methods We used data from the Atherosclerosis Risk in Communities cohort. Usual dietary intake was assessed by questionnaire at baseline (1987–98), and after six years. Participants reported usual chocolate intake as the frequency of eating a 1-oz (</w:instrText>
      </w:r>
      <w:r w:rsidR="00E5769C" w:rsidRPr="00AF720A">
        <w:rPr>
          <w:rFonts w:ascii="Cambria Math" w:hAnsi="Cambria Math" w:cs="Cambria Math"/>
          <w:lang w:val="en-US"/>
        </w:rPr>
        <w:instrText>∼</w:instrText>
      </w:r>
      <w:r w:rsidR="00E5769C" w:rsidRPr="00AF720A">
        <w:rPr>
          <w:lang w:val="en-US"/>
        </w:rPr>
        <w:instrText xml:space="preserve">28 g) serving. Body weight and height were measured at the two visits. Missing data were replaced by multiple imputation. Linear mixed-effects models were used to evaluate cross-sectional and prospective associations between chocolate intake and adiposity. Results Data were from 15,732 and 12,830 participants at the first and second visit, respectively. More frequent chocolate consumption was associated with a significantly greater prospective weight gain over time, in a dose-response manner. For instance, compared to participants who ate a chocolate serving less often than monthly, those who ate it 1–4 times a month and at least weekly experienced an increase in Body Mass Index (kg/m2) of 0.26 (95% CI 0.08, 0.44) and 0.39 (0.23, 0.55), respectively, during the six-year study period. In cross-sectional analyses the frequency of chocolate consumption was inversely associated with body weight. This inverse association was attenuated after excluding participants with preexisting obesity-related illness. Compared to participants without such illness, those with it had higher BMI and reported less frequent chocolate intake, lower caloric intake, and diets richer in fruits and vegetables. They tended to make these dietary changes after becoming ill. Conclusions Our prospective analysis found that a chocolate habit was associated with long-term weight gain, in a dose-response manner. Our cross-sectional finding that chocolate intake was associated with lower body weight did not apply to participants without preexisting serious illness.","DOI":"10.1371/journal.pone.0070271","ISSN":"1932-6203","journalAbbreviation":"PLOS ONE","language":"en","author":[{"family":"Greenberg","given":"James A."},{"family":"Buijsse","given":"Brian"}],"issued":{"date-parts":[["2013",8,7]]}}}],"schema":"https://github.com/citation-style-language/schema/raw/master/csl-citation.json"} </w:instrText>
      </w:r>
      <w:r w:rsidR="00E5769C" w:rsidRPr="00AF720A">
        <w:rPr>
          <w:lang w:val="en-US"/>
        </w:rPr>
        <w:fldChar w:fldCharType="separate"/>
      </w:r>
      <w:r w:rsidR="00E5769C" w:rsidRPr="00AF720A">
        <w:rPr>
          <w:rFonts w:ascii="Arial" w:hAnsi="Arial" w:cs="Arial"/>
        </w:rPr>
        <w:t>(8)</w:t>
      </w:r>
      <w:r w:rsidR="00E5769C" w:rsidRPr="00AF720A">
        <w:rPr>
          <w:lang w:val="en-US"/>
        </w:rPr>
        <w:fldChar w:fldCharType="end"/>
      </w:r>
      <w:r w:rsidR="0029161D" w:rsidRPr="00AF720A">
        <w:rPr>
          <w:rFonts w:ascii="Arial" w:hAnsi="Arial" w:cs="Arial"/>
          <w:lang w:val="en-US" w:eastAsia="zh-CN"/>
        </w:rPr>
        <w:t>, this</w:t>
      </w:r>
      <w:r w:rsidR="00DC719C" w:rsidRPr="00AF720A">
        <w:rPr>
          <w:rFonts w:ascii="Arial" w:hAnsi="Arial" w:cs="Arial"/>
          <w:lang w:val="en-US" w:eastAsia="zh-CN"/>
        </w:rPr>
        <w:t xml:space="preserve"> is a plausible explanation</w:t>
      </w:r>
      <w:r w:rsidR="0029161D" w:rsidRPr="00AF720A">
        <w:rPr>
          <w:rFonts w:ascii="Arial" w:hAnsi="Arial" w:cs="Arial"/>
          <w:lang w:val="en-US" w:eastAsia="zh-CN"/>
        </w:rPr>
        <w:t>.</w:t>
      </w:r>
      <w:r w:rsidR="00FF2A76" w:rsidRPr="00AF720A">
        <w:rPr>
          <w:rFonts w:ascii="Arial" w:hAnsi="Arial" w:cs="Arial"/>
          <w:lang w:val="en-US" w:eastAsia="zh-CN"/>
        </w:rPr>
        <w:t xml:space="preserve"> A further explanation may be owing to reporting bias where those who are overweight and obese</w:t>
      </w:r>
      <w:r w:rsidR="00704B85" w:rsidRPr="00AF720A">
        <w:rPr>
          <w:rFonts w:ascii="Arial" w:hAnsi="Arial" w:cs="Arial"/>
          <w:lang w:val="en-US" w:eastAsia="zh-CN"/>
        </w:rPr>
        <w:t xml:space="preserve"> (but not of normal weight)</w:t>
      </w:r>
      <w:r w:rsidR="00FF2A76" w:rsidRPr="00AF720A">
        <w:rPr>
          <w:rFonts w:ascii="Arial" w:hAnsi="Arial" w:cs="Arial"/>
          <w:lang w:val="en-US" w:eastAsia="zh-CN"/>
        </w:rPr>
        <w:t xml:space="preserve"> may </w:t>
      </w:r>
      <w:r w:rsidR="004C6140" w:rsidRPr="00AF720A">
        <w:rPr>
          <w:rFonts w:ascii="Arial" w:hAnsi="Arial" w:cs="Arial"/>
          <w:lang w:val="en-US" w:eastAsia="zh-CN"/>
        </w:rPr>
        <w:t>report lower chocolate consumption than true owing to the fear of being judged. Future studies now need to investigate the observed association using an objective measure of chocolate consumption and a longitudinal or experimental research design</w:t>
      </w:r>
      <w:r w:rsidR="00704B85" w:rsidRPr="00AF720A">
        <w:rPr>
          <w:rFonts w:ascii="Arial" w:hAnsi="Arial" w:cs="Arial"/>
          <w:lang w:val="en-US" w:eastAsia="zh-CN"/>
        </w:rPr>
        <w:t>, controlling for important dietary variables</w:t>
      </w:r>
      <w:r w:rsidR="004C6140" w:rsidRPr="00AF720A">
        <w:rPr>
          <w:rFonts w:ascii="Arial" w:hAnsi="Arial" w:cs="Arial"/>
          <w:lang w:val="en-US" w:eastAsia="zh-CN"/>
        </w:rPr>
        <w:t xml:space="preserve">. </w:t>
      </w:r>
    </w:p>
    <w:p w14:paraId="2A826A55" w14:textId="33B3A16B" w:rsidR="004C6140" w:rsidRPr="00AF720A" w:rsidRDefault="00DB336B" w:rsidP="00134222">
      <w:pPr>
        <w:pStyle w:val="NoSpacing"/>
        <w:snapToGrid w:val="0"/>
        <w:spacing w:after="120" w:line="480" w:lineRule="auto"/>
        <w:rPr>
          <w:rFonts w:ascii="Arial" w:hAnsi="Arial" w:cs="Arial"/>
          <w:lang w:val="en-US" w:eastAsia="zh-CN"/>
        </w:rPr>
      </w:pPr>
      <w:r w:rsidRPr="00AF720A">
        <w:rPr>
          <w:rFonts w:ascii="Arial" w:hAnsi="Arial" w:cs="Arial"/>
          <w:lang w:val="en-US" w:eastAsia="zh-CN"/>
        </w:rPr>
        <w:t>S</w:t>
      </w:r>
      <w:r w:rsidR="004C6140" w:rsidRPr="00AF720A">
        <w:rPr>
          <w:rFonts w:ascii="Arial" w:hAnsi="Arial" w:cs="Arial"/>
          <w:lang w:val="en-US" w:eastAsia="zh-CN"/>
        </w:rPr>
        <w:t>trength</w:t>
      </w:r>
      <w:r w:rsidRPr="00AF720A">
        <w:rPr>
          <w:rFonts w:ascii="Arial" w:hAnsi="Arial" w:cs="Arial"/>
          <w:lang w:val="en-US" w:eastAsia="zh-CN"/>
        </w:rPr>
        <w:t>s</w:t>
      </w:r>
      <w:r w:rsidR="004C6140" w:rsidRPr="00AF720A">
        <w:rPr>
          <w:rFonts w:ascii="Arial" w:hAnsi="Arial" w:cs="Arial"/>
          <w:lang w:val="en-US" w:eastAsia="zh-CN"/>
        </w:rPr>
        <w:t xml:space="preserve"> of the present study </w:t>
      </w:r>
      <w:r w:rsidRPr="00AF720A">
        <w:rPr>
          <w:rFonts w:ascii="Arial" w:hAnsi="Arial" w:cs="Arial"/>
          <w:lang w:val="en-US" w:eastAsia="zh-CN"/>
        </w:rPr>
        <w:t xml:space="preserve">include </w:t>
      </w:r>
      <w:r w:rsidR="004C6140" w:rsidRPr="00AF720A">
        <w:rPr>
          <w:rFonts w:ascii="Arial" w:hAnsi="Arial" w:cs="Arial"/>
          <w:lang w:val="en-US" w:eastAsia="zh-CN"/>
        </w:rPr>
        <w:t>the large</w:t>
      </w:r>
      <w:r w:rsidRPr="00AF720A">
        <w:rPr>
          <w:rFonts w:ascii="Arial" w:hAnsi="Arial" w:cs="Arial"/>
          <w:lang w:val="en-US" w:eastAsia="zh-CN"/>
        </w:rPr>
        <w:t>,</w:t>
      </w:r>
      <w:r w:rsidR="004C6140" w:rsidRPr="00AF720A">
        <w:rPr>
          <w:rFonts w:ascii="Arial" w:hAnsi="Arial" w:cs="Arial"/>
          <w:lang w:val="en-US" w:eastAsia="zh-CN"/>
        </w:rPr>
        <w:t xml:space="preserve"> representative sample of US adults and </w:t>
      </w:r>
      <w:r w:rsidRPr="00AF720A">
        <w:rPr>
          <w:rFonts w:ascii="Arial" w:hAnsi="Arial" w:cs="Arial"/>
          <w:lang w:val="en-US" w:eastAsia="zh-CN"/>
        </w:rPr>
        <w:t>adjustment</w:t>
      </w:r>
      <w:r w:rsidR="004C6140" w:rsidRPr="00AF720A">
        <w:rPr>
          <w:rFonts w:ascii="Arial" w:hAnsi="Arial" w:cs="Arial"/>
          <w:lang w:val="en-US" w:eastAsia="zh-CN"/>
        </w:rPr>
        <w:t xml:space="preserve"> for important dietary variables (dark chocolate/non-dark chocolate, total </w:t>
      </w:r>
      <w:r w:rsidRPr="00AF720A">
        <w:rPr>
          <w:rFonts w:ascii="Arial" w:hAnsi="Arial" w:cs="Arial"/>
          <w:lang w:val="en-US" w:eastAsia="zh-CN"/>
        </w:rPr>
        <w:t xml:space="preserve">energy </w:t>
      </w:r>
      <w:r w:rsidR="004C6140" w:rsidRPr="00AF720A">
        <w:rPr>
          <w:rFonts w:ascii="Arial" w:hAnsi="Arial" w:cs="Arial"/>
          <w:lang w:val="en-US" w:eastAsia="zh-CN"/>
        </w:rPr>
        <w:t>intake) in statistical models. However, the present findings must be interpreted in light of its limitations</w:t>
      </w:r>
      <w:r w:rsidRPr="00AF720A">
        <w:rPr>
          <w:rFonts w:ascii="Arial" w:hAnsi="Arial" w:cs="Arial"/>
          <w:lang w:val="en-US" w:eastAsia="zh-CN"/>
        </w:rPr>
        <w:t>,</w:t>
      </w:r>
      <w:r w:rsidR="004C6140" w:rsidRPr="00AF720A">
        <w:rPr>
          <w:rFonts w:ascii="Arial" w:hAnsi="Arial" w:cs="Arial"/>
          <w:lang w:val="en-US" w:eastAsia="zh-CN"/>
        </w:rPr>
        <w:t xml:space="preserve"> including the cross-sectional study design and the possibility of reporting bias. </w:t>
      </w:r>
      <w:r w:rsidR="008A2544" w:rsidRPr="00AF720A">
        <w:rPr>
          <w:rFonts w:ascii="Arial" w:hAnsi="Arial" w:cs="Arial"/>
          <w:lang w:val="en-US" w:eastAsia="zh-CN"/>
        </w:rPr>
        <w:t>Finally, the chocolate consumption variable was only based on two days</w:t>
      </w:r>
      <w:r w:rsidRPr="00AF720A">
        <w:rPr>
          <w:rFonts w:ascii="Arial" w:hAnsi="Arial" w:cs="Arial"/>
          <w:lang w:val="en-US" w:eastAsia="zh-CN"/>
        </w:rPr>
        <w:t>’ recall</w:t>
      </w:r>
      <w:r w:rsidR="008A2544" w:rsidRPr="00AF720A">
        <w:rPr>
          <w:rFonts w:ascii="Arial" w:hAnsi="Arial" w:cs="Arial"/>
          <w:lang w:val="en-US" w:eastAsia="zh-CN"/>
        </w:rPr>
        <w:t>, therefore, it may not reflect consumption over a longer period.</w:t>
      </w:r>
    </w:p>
    <w:p w14:paraId="216BB5EB" w14:textId="36685342" w:rsidR="004C6140" w:rsidRPr="00AF720A" w:rsidRDefault="004C6140" w:rsidP="00134222">
      <w:pPr>
        <w:pStyle w:val="NoSpacing"/>
        <w:snapToGrid w:val="0"/>
        <w:spacing w:after="120" w:line="480" w:lineRule="auto"/>
        <w:rPr>
          <w:rFonts w:ascii="Arial" w:hAnsi="Arial" w:cs="Arial"/>
          <w:lang w:val="en-US" w:eastAsia="zh-CN"/>
        </w:rPr>
      </w:pPr>
      <w:r w:rsidRPr="00AF720A">
        <w:rPr>
          <w:rFonts w:ascii="Arial" w:hAnsi="Arial" w:cs="Arial"/>
          <w:lang w:val="en-US" w:eastAsia="zh-CN"/>
        </w:rPr>
        <w:t>In conclusion, in th</w:t>
      </w:r>
      <w:r w:rsidR="00704B85" w:rsidRPr="00AF720A">
        <w:rPr>
          <w:rFonts w:ascii="Arial" w:hAnsi="Arial" w:cs="Arial"/>
          <w:lang w:val="en-US" w:eastAsia="zh-CN"/>
        </w:rPr>
        <w:t>is</w:t>
      </w:r>
      <w:r w:rsidRPr="00AF720A">
        <w:rPr>
          <w:rFonts w:ascii="Arial" w:hAnsi="Arial" w:cs="Arial"/>
          <w:lang w:val="en-US" w:eastAsia="zh-CN"/>
        </w:rPr>
        <w:t xml:space="preserve"> large</w:t>
      </w:r>
      <w:r w:rsidR="00DB336B" w:rsidRPr="00AF720A">
        <w:rPr>
          <w:rFonts w:ascii="Arial" w:hAnsi="Arial" w:cs="Arial"/>
          <w:lang w:val="en-US" w:eastAsia="zh-CN"/>
        </w:rPr>
        <w:t>,</w:t>
      </w:r>
      <w:r w:rsidRPr="00AF720A">
        <w:rPr>
          <w:rFonts w:ascii="Arial" w:hAnsi="Arial" w:cs="Arial"/>
          <w:lang w:val="en-US" w:eastAsia="zh-CN"/>
        </w:rPr>
        <w:t xml:space="preserve"> representative sample of US adults</w:t>
      </w:r>
      <w:r w:rsidR="001526AE" w:rsidRPr="00AF720A">
        <w:rPr>
          <w:rFonts w:ascii="Arial" w:hAnsi="Arial" w:cs="Arial"/>
          <w:lang w:val="en-US" w:eastAsia="zh-CN"/>
        </w:rPr>
        <w:t>,</w:t>
      </w:r>
      <w:r w:rsidRPr="00AF720A">
        <w:rPr>
          <w:rFonts w:ascii="Arial" w:hAnsi="Arial" w:cs="Arial"/>
          <w:lang w:val="en-US" w:eastAsia="zh-CN"/>
        </w:rPr>
        <w:t xml:space="preserve"> chocolate consumption was associated with lower markers of adiposity. </w:t>
      </w:r>
      <w:r w:rsidR="00DB336B" w:rsidRPr="00AF720A">
        <w:rPr>
          <w:rFonts w:ascii="Arial" w:hAnsi="Arial" w:cs="Arial"/>
          <w:lang w:val="en-US" w:eastAsia="zh-CN"/>
        </w:rPr>
        <w:t>Further research using</w:t>
      </w:r>
      <w:r w:rsidRPr="00AF720A">
        <w:rPr>
          <w:rFonts w:ascii="Arial" w:hAnsi="Arial" w:cs="Arial"/>
          <w:lang w:val="en-US" w:eastAsia="zh-CN"/>
        </w:rPr>
        <w:t xml:space="preserve"> a longitudinal or experimental design </w:t>
      </w:r>
      <w:r w:rsidR="00DB336B" w:rsidRPr="00AF720A">
        <w:rPr>
          <w:rFonts w:ascii="Arial" w:hAnsi="Arial" w:cs="Arial"/>
          <w:lang w:val="en-US" w:eastAsia="zh-CN"/>
        </w:rPr>
        <w:t xml:space="preserve">and capturing average </w:t>
      </w:r>
      <w:r w:rsidRPr="00AF720A">
        <w:rPr>
          <w:rFonts w:ascii="Arial" w:hAnsi="Arial" w:cs="Arial"/>
          <w:lang w:val="en-US" w:eastAsia="zh-CN"/>
        </w:rPr>
        <w:t xml:space="preserve">chocolate consumption </w:t>
      </w:r>
      <w:r w:rsidR="00DB336B" w:rsidRPr="00AF720A">
        <w:rPr>
          <w:rFonts w:ascii="Arial" w:hAnsi="Arial" w:cs="Arial"/>
          <w:lang w:val="en-US" w:eastAsia="zh-CN"/>
        </w:rPr>
        <w:t xml:space="preserve">over a prolonged period </w:t>
      </w:r>
      <w:r w:rsidRPr="00AF720A">
        <w:rPr>
          <w:rFonts w:ascii="Arial" w:hAnsi="Arial" w:cs="Arial"/>
          <w:lang w:val="en-US" w:eastAsia="zh-CN"/>
        </w:rPr>
        <w:t xml:space="preserve">is needed </w:t>
      </w:r>
      <w:r w:rsidR="00DB336B" w:rsidRPr="00AF720A">
        <w:rPr>
          <w:rFonts w:ascii="Arial" w:hAnsi="Arial" w:cs="Arial"/>
          <w:lang w:val="en-US" w:eastAsia="zh-CN"/>
        </w:rPr>
        <w:t>to shed light on the potential causal role of chocolate on adiposity</w:t>
      </w:r>
      <w:r w:rsidRPr="00AF720A">
        <w:rPr>
          <w:rFonts w:ascii="Arial" w:hAnsi="Arial" w:cs="Arial"/>
          <w:lang w:val="en-US" w:eastAsia="zh-CN"/>
        </w:rPr>
        <w:t>.</w:t>
      </w:r>
    </w:p>
    <w:p w14:paraId="5B4ED2FB" w14:textId="7A00D660" w:rsidR="00C97369" w:rsidRPr="00AF720A" w:rsidRDefault="00C97369" w:rsidP="00134222">
      <w:pPr>
        <w:pStyle w:val="NoSpacing"/>
        <w:snapToGrid w:val="0"/>
        <w:spacing w:after="120" w:line="480" w:lineRule="auto"/>
        <w:rPr>
          <w:rFonts w:ascii="Arial" w:hAnsi="Arial" w:cs="Arial"/>
          <w:lang w:val="en-US" w:eastAsia="zh-CN"/>
        </w:rPr>
      </w:pPr>
    </w:p>
    <w:p w14:paraId="0D2D0FFF" w14:textId="22D24268" w:rsidR="00C97369" w:rsidRPr="00AF720A" w:rsidRDefault="00C97369" w:rsidP="00134222">
      <w:pPr>
        <w:pStyle w:val="NoSpacing"/>
        <w:snapToGrid w:val="0"/>
        <w:spacing w:after="120" w:line="480" w:lineRule="auto"/>
        <w:rPr>
          <w:rFonts w:ascii="Arial" w:hAnsi="Arial" w:cs="Arial"/>
          <w:b/>
          <w:lang w:val="en-US" w:eastAsia="zh-CN"/>
        </w:rPr>
      </w:pPr>
      <w:r w:rsidRPr="00AF720A">
        <w:rPr>
          <w:rFonts w:ascii="Arial" w:hAnsi="Arial" w:cs="Arial"/>
          <w:b/>
          <w:lang w:val="en-US" w:eastAsia="zh-CN"/>
        </w:rPr>
        <w:lastRenderedPageBreak/>
        <w:t>Author contributions</w:t>
      </w:r>
    </w:p>
    <w:p w14:paraId="774A49C6" w14:textId="5ECA1274" w:rsidR="00C97369" w:rsidRPr="00AF720A" w:rsidRDefault="00C97369" w:rsidP="00134222">
      <w:pPr>
        <w:pStyle w:val="NoSpacing"/>
        <w:snapToGrid w:val="0"/>
        <w:spacing w:after="120" w:line="480" w:lineRule="auto"/>
        <w:rPr>
          <w:rFonts w:ascii="Arial" w:hAnsi="Arial" w:cs="Arial"/>
          <w:lang w:val="en-US" w:eastAsia="zh-CN"/>
        </w:rPr>
      </w:pPr>
      <w:r w:rsidRPr="00AF720A">
        <w:rPr>
          <w:rFonts w:ascii="Arial" w:hAnsi="Arial" w:cs="Arial"/>
          <w:lang w:val="en-US" w:eastAsia="zh-CN"/>
        </w:rPr>
        <w:t xml:space="preserve">LS and LY conceived the idea, XZ analyzed the data, LS interpreted the results, LS and LY drafted the manuscript, all authors critically revised the manuscript, all authors approved the final version of the manuscript before submission. </w:t>
      </w:r>
    </w:p>
    <w:p w14:paraId="0932E288" w14:textId="161D721E" w:rsidR="0042253A" w:rsidRPr="00AF720A" w:rsidRDefault="0042253A" w:rsidP="00134222">
      <w:pPr>
        <w:pStyle w:val="NoSpacing"/>
        <w:snapToGrid w:val="0"/>
        <w:spacing w:after="120" w:line="480" w:lineRule="auto"/>
        <w:rPr>
          <w:rFonts w:ascii="Arial" w:hAnsi="Arial" w:cs="Arial"/>
          <w:b/>
          <w:lang w:val="en-US" w:eastAsia="zh-CN"/>
        </w:rPr>
      </w:pPr>
      <w:r w:rsidRPr="00AF720A">
        <w:rPr>
          <w:rFonts w:ascii="Arial" w:hAnsi="Arial" w:cs="Arial"/>
          <w:b/>
          <w:lang w:val="en-US" w:eastAsia="zh-CN"/>
        </w:rPr>
        <w:t xml:space="preserve">Conflicts of interest: </w:t>
      </w:r>
      <w:r w:rsidRPr="00AF720A">
        <w:rPr>
          <w:rFonts w:ascii="Arial" w:hAnsi="Arial" w:cs="Arial"/>
          <w:lang w:val="en-US" w:eastAsia="zh-CN"/>
        </w:rPr>
        <w:t>None declared.</w:t>
      </w:r>
      <w:r w:rsidRPr="00AF720A">
        <w:rPr>
          <w:rFonts w:ascii="Arial" w:hAnsi="Arial" w:cs="Arial"/>
          <w:b/>
          <w:lang w:val="en-US" w:eastAsia="zh-CN"/>
        </w:rPr>
        <w:t xml:space="preserve"> </w:t>
      </w:r>
    </w:p>
    <w:p w14:paraId="4023AA04" w14:textId="333E4148" w:rsidR="00DB336B" w:rsidRPr="00AF720A" w:rsidRDefault="00DB336B">
      <w:pPr>
        <w:adjustRightInd/>
        <w:snapToGrid/>
        <w:spacing w:afterLines="0" w:after="200" w:line="276" w:lineRule="auto"/>
        <w:rPr>
          <w:rFonts w:eastAsiaTheme="minorEastAsia"/>
          <w:bCs w:val="0"/>
          <w:lang w:val="en-US" w:eastAsia="zh-CN"/>
        </w:rPr>
      </w:pPr>
      <w:r w:rsidRPr="00AF720A">
        <w:rPr>
          <w:lang w:val="en-US" w:eastAsia="zh-CN"/>
        </w:rPr>
        <w:br w:type="page"/>
      </w:r>
    </w:p>
    <w:p w14:paraId="765B3B39" w14:textId="706E4F4F" w:rsidR="00DB336B" w:rsidRPr="00AF720A" w:rsidRDefault="00DB336B" w:rsidP="00134222">
      <w:pPr>
        <w:pStyle w:val="NoSpacing"/>
        <w:snapToGrid w:val="0"/>
        <w:spacing w:after="120" w:line="480" w:lineRule="auto"/>
        <w:rPr>
          <w:rFonts w:ascii="Arial" w:hAnsi="Arial" w:cs="Arial"/>
          <w:lang w:val="en-US" w:eastAsia="zh-CN"/>
        </w:rPr>
      </w:pPr>
      <w:r w:rsidRPr="00AF720A">
        <w:rPr>
          <w:rFonts w:ascii="Arial" w:hAnsi="Arial" w:cs="Arial"/>
          <w:lang w:val="en-US" w:eastAsia="zh-CN"/>
        </w:rPr>
        <w:lastRenderedPageBreak/>
        <w:t>REFERENCES</w:t>
      </w:r>
    </w:p>
    <w:p w14:paraId="3807F94C" w14:textId="6D7A60B1" w:rsidR="00DB336B" w:rsidRPr="00AF720A" w:rsidRDefault="00DB336B" w:rsidP="00DB336B">
      <w:pPr>
        <w:pStyle w:val="Bibliography"/>
        <w:spacing w:after="288"/>
      </w:pPr>
      <w:r w:rsidRPr="00AF720A">
        <w:rPr>
          <w:lang w:val="en-US" w:eastAsia="zh-CN"/>
        </w:rPr>
        <w:fldChar w:fldCharType="begin"/>
      </w:r>
      <w:r w:rsidRPr="00AF720A">
        <w:rPr>
          <w:lang w:val="en-US" w:eastAsia="zh-CN"/>
        </w:rPr>
        <w:instrText xml:space="preserve"> ADDIN ZOTERO_BIBL {"uncited":[],"omitted":[],"custom":[]} CSL_BIBLIOGRAPHY </w:instrText>
      </w:r>
      <w:r w:rsidRPr="00AF720A">
        <w:rPr>
          <w:lang w:val="en-US" w:eastAsia="zh-CN"/>
        </w:rPr>
        <w:fldChar w:fldCharType="separate"/>
      </w:r>
      <w:r w:rsidRPr="00AF720A">
        <w:t xml:space="preserve">1. </w:t>
      </w:r>
      <w:r w:rsidRPr="00AF720A">
        <w:tab/>
        <w:t>Statista. Consumption of chocolate worldwide, 2012/13-2018/19 [Internet]</w:t>
      </w:r>
      <w:r w:rsidR="003155D7" w:rsidRPr="00AF720A">
        <w:t>. Statista. 2019 [cited 2020 Jan 11</w:t>
      </w:r>
      <w:r w:rsidRPr="00AF720A">
        <w:t>]. Available from: https://www.statista.com/statistics/238849/global-chocolate-consumption/</w:t>
      </w:r>
      <w:r w:rsidR="004850F9" w:rsidRPr="00AF720A">
        <w:t xml:space="preserve">  </w:t>
      </w:r>
    </w:p>
    <w:p w14:paraId="24F3A14B" w14:textId="1B6DE4CC" w:rsidR="00DB336B" w:rsidRPr="00AF720A" w:rsidRDefault="00DB336B" w:rsidP="00DB336B">
      <w:pPr>
        <w:pStyle w:val="Bibliography"/>
        <w:spacing w:after="288"/>
      </w:pPr>
      <w:r w:rsidRPr="00AF720A">
        <w:t xml:space="preserve">2. </w:t>
      </w:r>
      <w:r w:rsidRPr="00AF720A">
        <w:tab/>
        <w:t xml:space="preserve">Statista. Statistics &amp; Facts on Chocolate Consumption and Industry [Internet]. www.statista.com. 2018 [cited </w:t>
      </w:r>
      <w:r w:rsidR="003155D7" w:rsidRPr="00AF720A">
        <w:t>2020 Jan 11</w:t>
      </w:r>
      <w:r w:rsidRPr="00AF720A">
        <w:t>]. Available from: https://www.statista.com/topics/1638/chocolate-industry/</w:t>
      </w:r>
      <w:r w:rsidR="004850F9" w:rsidRPr="00AF720A">
        <w:t xml:space="preserve"> </w:t>
      </w:r>
    </w:p>
    <w:p w14:paraId="5487606D" w14:textId="3B89FE54" w:rsidR="00646EA3" w:rsidRPr="00AF720A" w:rsidRDefault="00DB336B" w:rsidP="00646EA3">
      <w:pPr>
        <w:pStyle w:val="Bibliography"/>
        <w:spacing w:after="288"/>
      </w:pPr>
      <w:r w:rsidRPr="00AF720A">
        <w:t xml:space="preserve">3. </w:t>
      </w:r>
      <w:r w:rsidRPr="00AF720A">
        <w:tab/>
        <w:t>Veronese N, Demurtas J, Celotto S, Caruso MG, Maggi S, Bolzetta F, Firth J, Smith L, Schofield P, Koyanagi A, et al. Is chocolate consumption associated with health outcomes? An umbrella review of systematic reviews and meta-analyses. Cl</w:t>
      </w:r>
      <w:r w:rsidR="00646EA3" w:rsidRPr="00AF720A">
        <w:t>in Nutr. 2019;</w:t>
      </w:r>
      <w:r w:rsidR="00646EA3" w:rsidRPr="00AF720A">
        <w:rPr>
          <w:i/>
          <w:iCs/>
          <w:shd w:val="clear" w:color="auto" w:fill="FFFFFF"/>
        </w:rPr>
        <w:t>38</w:t>
      </w:r>
      <w:r w:rsidR="00646EA3" w:rsidRPr="00AF720A">
        <w:rPr>
          <w:shd w:val="clear" w:color="auto" w:fill="FFFFFF"/>
        </w:rPr>
        <w:t>(3):1101-8.</w:t>
      </w:r>
    </w:p>
    <w:p w14:paraId="01BAD736" w14:textId="77777777" w:rsidR="00DB336B" w:rsidRPr="00AF720A" w:rsidRDefault="00DB336B" w:rsidP="00DB336B">
      <w:pPr>
        <w:pStyle w:val="Bibliography"/>
        <w:spacing w:after="288"/>
      </w:pPr>
      <w:r w:rsidRPr="00AF720A">
        <w:t xml:space="preserve">4. </w:t>
      </w:r>
      <w:r w:rsidRPr="00AF720A">
        <w:tab/>
        <w:t xml:space="preserve">Corti Roberto, Flammer Andreas J., Hollenberg Norman K., Lüscher Thomas F. Cocoa and Cardiovascular Health. Circulation. 2009;119:1433–41. </w:t>
      </w:r>
    </w:p>
    <w:p w14:paraId="77DED169" w14:textId="77777777" w:rsidR="00DB336B" w:rsidRPr="00AF720A" w:rsidRDefault="00DB336B" w:rsidP="00DB336B">
      <w:pPr>
        <w:pStyle w:val="Bibliography"/>
        <w:spacing w:after="288"/>
      </w:pPr>
      <w:r w:rsidRPr="00AF720A">
        <w:t xml:space="preserve">5. </w:t>
      </w:r>
      <w:r w:rsidRPr="00AF720A">
        <w:tab/>
        <w:t xml:space="preserve">Latham LS, Hensen ZK, Minor DS. Chocolate--guilty pleasure or healthy supplement? J Clin Hypertens Greenwich Conn. 2014;16:101–6. </w:t>
      </w:r>
    </w:p>
    <w:p w14:paraId="3A149C16" w14:textId="77777777" w:rsidR="00DB336B" w:rsidRPr="00AF720A" w:rsidRDefault="00DB336B" w:rsidP="00DB336B">
      <w:pPr>
        <w:pStyle w:val="Bibliography"/>
        <w:spacing w:after="288"/>
      </w:pPr>
      <w:r w:rsidRPr="00AF720A">
        <w:t xml:space="preserve">6. </w:t>
      </w:r>
      <w:r w:rsidRPr="00AF720A">
        <w:tab/>
        <w:t xml:space="preserve">Jennings A, MacGregor A, Spector T, Cassidy A. Higher dietary flavonoid intakes are associated with lower objectively measured body composition in women: evidence from discordant monozygotic twins12. Am J Clin Nutr. 2017;105:626–34. </w:t>
      </w:r>
    </w:p>
    <w:p w14:paraId="43B4DAF9" w14:textId="77777777" w:rsidR="00DB336B" w:rsidRPr="00AF720A" w:rsidRDefault="00DB336B" w:rsidP="00DB336B">
      <w:pPr>
        <w:pStyle w:val="Bibliography"/>
        <w:spacing w:after="288"/>
      </w:pPr>
      <w:r w:rsidRPr="00AF720A">
        <w:t xml:space="preserve">7. </w:t>
      </w:r>
      <w:r w:rsidRPr="00AF720A">
        <w:tab/>
        <w:t xml:space="preserve">Gasser CE, Mensah FK, Russell M, Dunn SE, Wake M. Confectionery consumption and overweight, obesity, and related outcomes in children and adolescents: a systematic review and meta-analysis. Am J Clin Nutr. 2016;103:1344–56. </w:t>
      </w:r>
    </w:p>
    <w:p w14:paraId="0C415A47" w14:textId="77777777" w:rsidR="00DB336B" w:rsidRPr="00AF720A" w:rsidRDefault="00DB336B" w:rsidP="00DB336B">
      <w:pPr>
        <w:pStyle w:val="Bibliography"/>
        <w:spacing w:after="288"/>
      </w:pPr>
      <w:r w:rsidRPr="00AF720A">
        <w:t xml:space="preserve">8. </w:t>
      </w:r>
      <w:r w:rsidRPr="00AF720A">
        <w:tab/>
        <w:t xml:space="preserve">Greenberg JA, Buijsse B. Habitual Chocolate Consumption May Increase Body Weight in a Dose-Response Manner. PLOS ONE. 2013;8:e70271. </w:t>
      </w:r>
    </w:p>
    <w:p w14:paraId="423104C6" w14:textId="77777777" w:rsidR="00DB336B" w:rsidRPr="00AF720A" w:rsidRDefault="00DB336B" w:rsidP="00DB336B">
      <w:pPr>
        <w:pStyle w:val="Bibliography"/>
        <w:spacing w:after="288"/>
      </w:pPr>
      <w:r w:rsidRPr="00AF720A">
        <w:t xml:space="preserve">9. </w:t>
      </w:r>
      <w:r w:rsidRPr="00AF720A">
        <w:tab/>
        <w:t xml:space="preserve">Curtin LR, Mohadjer LK, Dohrmann SM, Montaquila JM, Kruszan-Moran D, Mirel LB, Carroll MD, Hirsch R, Schober S, Johnson CL. The National Health and Nutrition Examination Survey: Sample Design, 1999-2006. Vital Health Stat 2. 2012;1–39. </w:t>
      </w:r>
    </w:p>
    <w:p w14:paraId="6D90F57F" w14:textId="77777777" w:rsidR="00DB336B" w:rsidRPr="00AF720A" w:rsidRDefault="00DB336B" w:rsidP="00DB336B">
      <w:pPr>
        <w:pStyle w:val="Bibliography"/>
        <w:spacing w:after="288"/>
      </w:pPr>
      <w:r w:rsidRPr="00AF720A">
        <w:t xml:space="preserve">10. </w:t>
      </w:r>
      <w:r w:rsidRPr="00AF720A">
        <w:tab/>
        <w:t xml:space="preserve">Curtin LR, Mohadjer LK, Dohrmann SM, Kruszon-Moran D, Mirel LB, Carroll MD, Hirsch R, Burt VL, Johnson CL. National Health and Nutrition Examination Survey: sample design, 2007-2010. Vital Health Stat 2. 2013;1–23. </w:t>
      </w:r>
    </w:p>
    <w:p w14:paraId="6D26F39B" w14:textId="77777777" w:rsidR="00DB336B" w:rsidRPr="00AF720A" w:rsidRDefault="00DB336B" w:rsidP="00DB336B">
      <w:pPr>
        <w:pStyle w:val="Bibliography"/>
        <w:spacing w:after="288"/>
      </w:pPr>
      <w:r w:rsidRPr="00AF720A">
        <w:t xml:space="preserve">11. </w:t>
      </w:r>
      <w:r w:rsidRPr="00AF720A">
        <w:tab/>
        <w:t xml:space="preserve">Ahluwalia N, Dwyer J, Terry A, Moshfegh A, Johnson C. Update on NHANES Dietary Data: Focus on Collection, Release, Analytical Considerations, and Uses to Inform Public Policy. Adv Nutr Bethesda Md. 2016;7:121–34. </w:t>
      </w:r>
    </w:p>
    <w:p w14:paraId="0A5C85DC" w14:textId="77777777" w:rsidR="00DB336B" w:rsidRPr="00AF720A" w:rsidRDefault="00DB336B" w:rsidP="00DB336B">
      <w:pPr>
        <w:pStyle w:val="Bibliography"/>
        <w:spacing w:after="288"/>
      </w:pPr>
      <w:r w:rsidRPr="00AF720A">
        <w:t xml:space="preserve">12. </w:t>
      </w:r>
      <w:r w:rsidRPr="00AF720A">
        <w:tab/>
        <w:t xml:space="preserve">Cornier Marc-Andre, Després Jean-Pierre, Davis Nichola, Grossniklaus Daurice A., Klein Samuel, Lamarche Benoit, Lopez-Jimenez Francisco, Rao Goutham, St-Onge Marie-Pierre, Towfighi Amytis, et al. Assessing Adiposity. Circulation. 2011;124:1996–2019. </w:t>
      </w:r>
    </w:p>
    <w:p w14:paraId="1A8808D7" w14:textId="77777777" w:rsidR="00DB336B" w:rsidRPr="00AF720A" w:rsidRDefault="00DB336B" w:rsidP="00DB336B">
      <w:pPr>
        <w:pStyle w:val="Bibliography"/>
        <w:spacing w:after="288"/>
      </w:pPr>
      <w:r w:rsidRPr="00AF720A">
        <w:t xml:space="preserve">13. </w:t>
      </w:r>
      <w:r w:rsidRPr="00AF720A">
        <w:tab/>
        <w:t xml:space="preserve">U.S. Department of Health and Human Services. Physical Activity Guidelines for Americans, 2nd edition. Washington DC: U.S. Department of Health and Human Services; 2018 p. 118. </w:t>
      </w:r>
    </w:p>
    <w:p w14:paraId="6FC7D141" w14:textId="77777777" w:rsidR="00DB336B" w:rsidRPr="00AF720A" w:rsidRDefault="00DB336B" w:rsidP="00DB336B">
      <w:pPr>
        <w:pStyle w:val="Bibliography"/>
        <w:spacing w:after="288"/>
      </w:pPr>
      <w:r w:rsidRPr="00AF720A">
        <w:lastRenderedPageBreak/>
        <w:t xml:space="preserve">14. </w:t>
      </w:r>
      <w:r w:rsidRPr="00AF720A">
        <w:tab/>
        <w:t xml:space="preserve">Mokdad A, Ford E, Bowman B, Dietz W, Vinicor F, Bales V, Marks J. Prevalence of obesity, diabetes, and obesity-related health risk factors, 2001. JAMA. 2003;289:76–9. </w:t>
      </w:r>
    </w:p>
    <w:p w14:paraId="5FB3B0CF" w14:textId="77777777" w:rsidR="00DB336B" w:rsidRPr="00AF720A" w:rsidRDefault="00DB336B" w:rsidP="00DB336B">
      <w:pPr>
        <w:pStyle w:val="Bibliography"/>
        <w:spacing w:after="288"/>
      </w:pPr>
      <w:r w:rsidRPr="00AF720A">
        <w:t xml:space="preserve">15. </w:t>
      </w:r>
      <w:r w:rsidRPr="00AF720A">
        <w:tab/>
        <w:t xml:space="preserve">Janssen I, Katzmarzyk PT, Boyce WF, Vereecken C, Mulvihill C, Roberts C, Currie C, Pickett W, Health Behaviour in School-Aged Children Obesity Working Group. Comparison of overweight and obesity prevalence in school-aged youth from 34 countries and their relationships with physical activity and dietary patterns. Obes Rev Off J Int Assoc Study Obes. 2005;6:123–32. </w:t>
      </w:r>
    </w:p>
    <w:p w14:paraId="0B92DB54" w14:textId="77777777" w:rsidR="00DB336B" w:rsidRPr="00AF720A" w:rsidRDefault="00DB336B" w:rsidP="00DB336B">
      <w:pPr>
        <w:pStyle w:val="Bibliography"/>
        <w:spacing w:after="288"/>
      </w:pPr>
      <w:r w:rsidRPr="00AF720A">
        <w:t xml:space="preserve">16. </w:t>
      </w:r>
      <w:r w:rsidRPr="00AF720A">
        <w:tab/>
        <w:t xml:space="preserve">Anderson GH, Woodend D. Consumption of sugars and the regulation of short-term satiety and food intake. Am J Clin Nutr. 2003;78:843S-849S. </w:t>
      </w:r>
    </w:p>
    <w:p w14:paraId="52E58CBF" w14:textId="1E8553CC" w:rsidR="00DB336B" w:rsidRPr="00AF720A" w:rsidRDefault="00DB336B" w:rsidP="00134222">
      <w:pPr>
        <w:pStyle w:val="NoSpacing"/>
        <w:snapToGrid w:val="0"/>
        <w:spacing w:after="120" w:line="480" w:lineRule="auto"/>
        <w:rPr>
          <w:rFonts w:ascii="Arial" w:hAnsi="Arial" w:cs="Arial"/>
          <w:lang w:val="en-US" w:eastAsia="zh-CN"/>
        </w:rPr>
      </w:pPr>
      <w:r w:rsidRPr="00AF720A">
        <w:rPr>
          <w:rFonts w:ascii="Arial" w:hAnsi="Arial" w:cs="Arial"/>
          <w:lang w:val="en-US" w:eastAsia="zh-CN"/>
        </w:rPr>
        <w:fldChar w:fldCharType="end"/>
      </w:r>
    </w:p>
    <w:p w14:paraId="2CEE8715" w14:textId="77777777" w:rsidR="00D944D2" w:rsidRPr="00AF720A" w:rsidRDefault="00D944D2" w:rsidP="00EA436E">
      <w:pPr>
        <w:rPr>
          <w:lang w:val="en-US"/>
        </w:rPr>
      </w:pPr>
    </w:p>
    <w:p w14:paraId="4FA70F0D" w14:textId="77777777" w:rsidR="005E1F8D" w:rsidRPr="00AF720A" w:rsidRDefault="005E1F8D">
      <w:pPr>
        <w:adjustRightInd/>
        <w:snapToGrid/>
        <w:spacing w:afterLines="0" w:after="200" w:line="276" w:lineRule="auto"/>
        <w:rPr>
          <w:lang w:val="en-US"/>
        </w:rPr>
      </w:pPr>
      <w:r w:rsidRPr="00AF720A">
        <w:rPr>
          <w:lang w:val="en-US"/>
        </w:rPr>
        <w:br w:type="page"/>
      </w:r>
    </w:p>
    <w:tbl>
      <w:tblPr>
        <w:tblW w:w="11880" w:type="dxa"/>
        <w:tblInd w:w="-540" w:type="dxa"/>
        <w:tblLayout w:type="fixed"/>
        <w:tblLook w:val="04A0" w:firstRow="1" w:lastRow="0" w:firstColumn="1" w:lastColumn="0" w:noHBand="0" w:noVBand="1"/>
      </w:tblPr>
      <w:tblGrid>
        <w:gridCol w:w="4050"/>
        <w:gridCol w:w="1304"/>
        <w:gridCol w:w="1576"/>
        <w:gridCol w:w="2250"/>
        <w:gridCol w:w="1710"/>
        <w:gridCol w:w="990"/>
      </w:tblGrid>
      <w:tr w:rsidR="0033593D" w:rsidRPr="00AF720A" w14:paraId="3AB4E348" w14:textId="77777777" w:rsidTr="00D60A28">
        <w:trPr>
          <w:trHeight w:val="570"/>
        </w:trPr>
        <w:tc>
          <w:tcPr>
            <w:tcW w:w="11880" w:type="dxa"/>
            <w:gridSpan w:val="6"/>
            <w:tcBorders>
              <w:top w:val="nil"/>
              <w:left w:val="nil"/>
              <w:bottom w:val="single" w:sz="4" w:space="0" w:color="auto"/>
              <w:right w:val="nil"/>
            </w:tcBorders>
            <w:shd w:val="clear" w:color="auto" w:fill="auto"/>
            <w:vAlign w:val="bottom"/>
            <w:hideMark/>
          </w:tcPr>
          <w:p w14:paraId="7F2B49A3" w14:textId="37B89EE3" w:rsidR="0076143F" w:rsidRPr="00AF720A" w:rsidRDefault="0076143F" w:rsidP="00947F65">
            <w:pPr>
              <w:adjustRightInd/>
              <w:snapToGrid/>
              <w:spacing w:afterLines="0" w:after="0" w:line="240" w:lineRule="auto"/>
              <w:rPr>
                <w:bCs w:val="0"/>
                <w:lang w:val="en-US" w:eastAsia="zh-CN"/>
              </w:rPr>
            </w:pPr>
            <w:r w:rsidRPr="00AF720A">
              <w:rPr>
                <w:bCs w:val="0"/>
                <w:lang w:val="en-US" w:eastAsia="zh-CN"/>
              </w:rPr>
              <w:lastRenderedPageBreak/>
              <w:t>Table 1. Socio-demographic characteristics of US adults aged 20-80 Years in the NHANES (</w:t>
            </w:r>
            <w:r w:rsidR="00947F65" w:rsidRPr="00AF720A">
              <w:rPr>
                <w:bCs w:val="0"/>
                <w:lang w:val="en-US" w:eastAsia="zh-CN"/>
              </w:rPr>
              <w:t>2005</w:t>
            </w:r>
            <w:r w:rsidRPr="00AF720A">
              <w:rPr>
                <w:bCs w:val="0"/>
                <w:lang w:val="en-US" w:eastAsia="zh-CN"/>
              </w:rPr>
              <w:t xml:space="preserve">-2014), by </w:t>
            </w:r>
            <w:r w:rsidR="00245910" w:rsidRPr="00AF720A">
              <w:rPr>
                <w:bCs w:val="0"/>
                <w:lang w:val="en-US" w:eastAsia="zh-CN"/>
              </w:rPr>
              <w:t>weight status (body mass index, kg/</w:t>
            </w:r>
            <w:r w:rsidR="00245910" w:rsidRPr="00AF720A">
              <w:rPr>
                <w:bCs w:val="0"/>
                <w:vertAlign w:val="superscript"/>
                <w:lang w:val="en-US" w:eastAsia="zh-CN"/>
              </w:rPr>
              <w:t>m</w:t>
            </w:r>
            <w:r w:rsidR="00245910" w:rsidRPr="00AF720A">
              <w:rPr>
                <w:bCs w:val="0"/>
                <w:lang w:val="en-US" w:eastAsia="zh-CN"/>
              </w:rPr>
              <w:t>)</w:t>
            </w:r>
            <w:r w:rsidRPr="00AF720A">
              <w:rPr>
                <w:bCs w:val="0"/>
                <w:vertAlign w:val="superscript"/>
                <w:lang w:val="en-US" w:eastAsia="zh-CN"/>
              </w:rPr>
              <w:t>a</w:t>
            </w:r>
          </w:p>
        </w:tc>
      </w:tr>
      <w:tr w:rsidR="0033593D" w:rsidRPr="00AF720A" w14:paraId="2ED9A4CC" w14:textId="77777777" w:rsidTr="00D60A28">
        <w:trPr>
          <w:trHeight w:val="70"/>
        </w:trPr>
        <w:tc>
          <w:tcPr>
            <w:tcW w:w="4050" w:type="dxa"/>
            <w:tcBorders>
              <w:top w:val="nil"/>
              <w:left w:val="nil"/>
              <w:bottom w:val="nil"/>
              <w:right w:val="nil"/>
            </w:tcBorders>
            <w:shd w:val="clear" w:color="auto" w:fill="auto"/>
            <w:noWrap/>
            <w:vAlign w:val="bottom"/>
            <w:hideMark/>
          </w:tcPr>
          <w:p w14:paraId="48801EBE"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 </w:t>
            </w:r>
          </w:p>
        </w:tc>
        <w:tc>
          <w:tcPr>
            <w:tcW w:w="1304" w:type="dxa"/>
            <w:tcBorders>
              <w:top w:val="nil"/>
              <w:left w:val="nil"/>
              <w:right w:val="nil"/>
            </w:tcBorders>
            <w:shd w:val="clear" w:color="auto" w:fill="auto"/>
            <w:noWrap/>
            <w:vAlign w:val="bottom"/>
            <w:hideMark/>
          </w:tcPr>
          <w:p w14:paraId="762833D7"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 </w:t>
            </w:r>
          </w:p>
        </w:tc>
        <w:tc>
          <w:tcPr>
            <w:tcW w:w="6526" w:type="dxa"/>
            <w:gridSpan w:val="4"/>
            <w:tcBorders>
              <w:top w:val="single" w:sz="4" w:space="0" w:color="auto"/>
              <w:left w:val="nil"/>
              <w:bottom w:val="single" w:sz="4" w:space="0" w:color="auto"/>
              <w:right w:val="nil"/>
            </w:tcBorders>
            <w:shd w:val="clear" w:color="auto" w:fill="auto"/>
            <w:noWrap/>
            <w:vAlign w:val="bottom"/>
            <w:hideMark/>
          </w:tcPr>
          <w:p w14:paraId="7F59B09E" w14:textId="1E5634AB"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Body Mass Index (</w:t>
            </w:r>
            <w:r w:rsidRPr="00AF720A">
              <w:rPr>
                <w:lang w:val="en-US"/>
              </w:rPr>
              <w:t>kg/m</w:t>
            </w:r>
            <w:r w:rsidRPr="00AF720A">
              <w:rPr>
                <w:vertAlign w:val="superscript"/>
                <w:lang w:val="en-US"/>
              </w:rPr>
              <w:t>2</w:t>
            </w:r>
            <w:r w:rsidRPr="00AF720A">
              <w:rPr>
                <w:bCs w:val="0"/>
                <w:lang w:val="en-US" w:eastAsia="zh-CN"/>
              </w:rPr>
              <w:t>)</w:t>
            </w:r>
          </w:p>
        </w:tc>
      </w:tr>
      <w:tr w:rsidR="0033593D" w:rsidRPr="00AF720A" w14:paraId="7EA3E88C" w14:textId="77777777" w:rsidTr="00D60A28">
        <w:trPr>
          <w:trHeight w:val="287"/>
        </w:trPr>
        <w:tc>
          <w:tcPr>
            <w:tcW w:w="4050" w:type="dxa"/>
            <w:tcBorders>
              <w:top w:val="nil"/>
              <w:left w:val="nil"/>
              <w:bottom w:val="nil"/>
              <w:right w:val="nil"/>
            </w:tcBorders>
            <w:shd w:val="clear" w:color="auto" w:fill="auto"/>
            <w:noWrap/>
            <w:vAlign w:val="bottom"/>
            <w:hideMark/>
          </w:tcPr>
          <w:p w14:paraId="6E93E246" w14:textId="77777777" w:rsidR="0076143F" w:rsidRPr="00AF720A" w:rsidRDefault="0076143F" w:rsidP="00531775">
            <w:pPr>
              <w:adjustRightInd/>
              <w:snapToGrid/>
              <w:spacing w:afterLines="0" w:after="0" w:line="240" w:lineRule="auto"/>
              <w:jc w:val="center"/>
              <w:rPr>
                <w:bCs w:val="0"/>
                <w:lang w:val="en-US" w:eastAsia="zh-CN"/>
              </w:rPr>
            </w:pPr>
          </w:p>
        </w:tc>
        <w:tc>
          <w:tcPr>
            <w:tcW w:w="1304" w:type="dxa"/>
            <w:tcBorders>
              <w:top w:val="nil"/>
              <w:left w:val="nil"/>
              <w:bottom w:val="nil"/>
              <w:right w:val="nil"/>
            </w:tcBorders>
            <w:shd w:val="clear" w:color="auto" w:fill="auto"/>
            <w:noWrap/>
            <w:vAlign w:val="bottom"/>
            <w:hideMark/>
          </w:tcPr>
          <w:p w14:paraId="3A5C922A"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 </w:t>
            </w:r>
          </w:p>
        </w:tc>
        <w:tc>
          <w:tcPr>
            <w:tcW w:w="1576" w:type="dxa"/>
            <w:tcBorders>
              <w:top w:val="nil"/>
              <w:left w:val="nil"/>
              <w:bottom w:val="nil"/>
              <w:right w:val="nil"/>
            </w:tcBorders>
            <w:shd w:val="clear" w:color="auto" w:fill="auto"/>
            <w:vAlign w:val="bottom"/>
            <w:hideMark/>
          </w:tcPr>
          <w:p w14:paraId="0C601D1E" w14:textId="2F934D9D" w:rsidR="0076143F" w:rsidRPr="00AF720A" w:rsidRDefault="00245910" w:rsidP="00245910">
            <w:pPr>
              <w:adjustRightInd/>
              <w:snapToGrid/>
              <w:spacing w:afterLines="0" w:after="0" w:line="240" w:lineRule="auto"/>
              <w:jc w:val="center"/>
              <w:rPr>
                <w:bCs w:val="0"/>
                <w:lang w:val="en-US" w:eastAsia="zh-CN"/>
              </w:rPr>
            </w:pPr>
            <w:r w:rsidRPr="00AF720A">
              <w:rPr>
                <w:lang w:val="en-US"/>
              </w:rPr>
              <w:t xml:space="preserve">18.5 – 24.9 </w:t>
            </w:r>
          </w:p>
        </w:tc>
        <w:tc>
          <w:tcPr>
            <w:tcW w:w="2250" w:type="dxa"/>
            <w:tcBorders>
              <w:top w:val="nil"/>
              <w:left w:val="nil"/>
              <w:bottom w:val="nil"/>
              <w:right w:val="nil"/>
            </w:tcBorders>
            <w:shd w:val="clear" w:color="auto" w:fill="auto"/>
            <w:vAlign w:val="bottom"/>
            <w:hideMark/>
          </w:tcPr>
          <w:p w14:paraId="5E49C2CA" w14:textId="55F2D794" w:rsidR="0076143F" w:rsidRPr="00AF720A" w:rsidRDefault="00245910" w:rsidP="00245910">
            <w:pPr>
              <w:adjustRightInd/>
              <w:snapToGrid/>
              <w:spacing w:afterLines="0" w:after="0" w:line="240" w:lineRule="auto"/>
              <w:jc w:val="center"/>
              <w:rPr>
                <w:bCs w:val="0"/>
                <w:lang w:val="en-US" w:eastAsia="zh-CN"/>
              </w:rPr>
            </w:pPr>
            <w:r w:rsidRPr="00AF720A">
              <w:rPr>
                <w:lang w:val="en-US"/>
              </w:rPr>
              <w:t>25.0 – 29.9</w:t>
            </w:r>
          </w:p>
        </w:tc>
        <w:tc>
          <w:tcPr>
            <w:tcW w:w="1710" w:type="dxa"/>
            <w:tcBorders>
              <w:top w:val="nil"/>
              <w:left w:val="nil"/>
              <w:bottom w:val="nil"/>
              <w:right w:val="nil"/>
            </w:tcBorders>
            <w:shd w:val="clear" w:color="auto" w:fill="auto"/>
            <w:vAlign w:val="bottom"/>
            <w:hideMark/>
          </w:tcPr>
          <w:p w14:paraId="4EC2B6BE" w14:textId="30BD6A7D" w:rsidR="0076143F" w:rsidRPr="00AF720A" w:rsidRDefault="00245910" w:rsidP="00531775">
            <w:pPr>
              <w:adjustRightInd/>
              <w:snapToGrid/>
              <w:spacing w:afterLines="0" w:after="0" w:line="240" w:lineRule="auto"/>
              <w:jc w:val="center"/>
              <w:rPr>
                <w:bCs w:val="0"/>
                <w:lang w:val="en-US" w:eastAsia="zh-CN"/>
              </w:rPr>
            </w:pPr>
            <w:r w:rsidRPr="00AF720A">
              <w:rPr>
                <w:lang w:val="en-US"/>
              </w:rPr>
              <w:t>≥30</w:t>
            </w:r>
          </w:p>
        </w:tc>
        <w:tc>
          <w:tcPr>
            <w:tcW w:w="990" w:type="dxa"/>
            <w:tcBorders>
              <w:top w:val="nil"/>
              <w:left w:val="nil"/>
              <w:bottom w:val="nil"/>
              <w:right w:val="nil"/>
            </w:tcBorders>
            <w:shd w:val="clear" w:color="auto" w:fill="auto"/>
            <w:vAlign w:val="bottom"/>
            <w:hideMark/>
          </w:tcPr>
          <w:p w14:paraId="1EE97E6D"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P-value</w:t>
            </w:r>
          </w:p>
        </w:tc>
      </w:tr>
      <w:tr w:rsidR="0033593D" w:rsidRPr="00AF720A" w14:paraId="27060E01" w14:textId="77777777" w:rsidTr="00D60A28">
        <w:trPr>
          <w:trHeight w:val="261"/>
        </w:trPr>
        <w:tc>
          <w:tcPr>
            <w:tcW w:w="4050" w:type="dxa"/>
            <w:tcBorders>
              <w:top w:val="nil"/>
              <w:left w:val="nil"/>
              <w:bottom w:val="nil"/>
              <w:right w:val="nil"/>
            </w:tcBorders>
            <w:shd w:val="clear" w:color="auto" w:fill="auto"/>
            <w:noWrap/>
            <w:vAlign w:val="bottom"/>
            <w:hideMark/>
          </w:tcPr>
          <w:p w14:paraId="711D319A" w14:textId="77777777" w:rsidR="0076143F" w:rsidRPr="00AF720A" w:rsidRDefault="0076143F" w:rsidP="00531775">
            <w:pPr>
              <w:adjustRightInd/>
              <w:snapToGrid/>
              <w:spacing w:afterLines="0" w:after="0" w:line="240" w:lineRule="auto"/>
              <w:jc w:val="center"/>
              <w:rPr>
                <w:bCs w:val="0"/>
                <w:lang w:val="en-US" w:eastAsia="zh-CN"/>
              </w:rPr>
            </w:pPr>
          </w:p>
        </w:tc>
        <w:tc>
          <w:tcPr>
            <w:tcW w:w="1304" w:type="dxa"/>
            <w:tcBorders>
              <w:top w:val="nil"/>
              <w:left w:val="nil"/>
              <w:bottom w:val="single" w:sz="4" w:space="0" w:color="auto"/>
              <w:right w:val="nil"/>
            </w:tcBorders>
            <w:shd w:val="clear" w:color="auto" w:fill="auto"/>
            <w:noWrap/>
            <w:vAlign w:val="bottom"/>
            <w:hideMark/>
          </w:tcPr>
          <w:p w14:paraId="0804CCC5"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 </w:t>
            </w:r>
          </w:p>
        </w:tc>
        <w:tc>
          <w:tcPr>
            <w:tcW w:w="1576" w:type="dxa"/>
            <w:tcBorders>
              <w:top w:val="nil"/>
              <w:left w:val="nil"/>
              <w:bottom w:val="single" w:sz="4" w:space="0" w:color="auto"/>
              <w:right w:val="nil"/>
            </w:tcBorders>
            <w:shd w:val="clear" w:color="auto" w:fill="auto"/>
            <w:vAlign w:val="bottom"/>
            <w:hideMark/>
          </w:tcPr>
          <w:p w14:paraId="3B3063BB" w14:textId="213461E2" w:rsidR="0076143F" w:rsidRPr="00AF720A" w:rsidRDefault="0076143F" w:rsidP="00245910">
            <w:pPr>
              <w:adjustRightInd/>
              <w:snapToGrid/>
              <w:spacing w:afterLines="0" w:after="0" w:line="240" w:lineRule="auto"/>
              <w:jc w:val="center"/>
              <w:rPr>
                <w:bCs w:val="0"/>
                <w:lang w:val="en-US" w:eastAsia="zh-CN"/>
              </w:rPr>
            </w:pPr>
            <w:r w:rsidRPr="00AF720A">
              <w:rPr>
                <w:bCs w:val="0"/>
                <w:lang w:val="en-US" w:eastAsia="zh-CN"/>
              </w:rPr>
              <w:t>(n=</w:t>
            </w:r>
            <w:r w:rsidR="00245910" w:rsidRPr="00AF720A">
              <w:rPr>
                <w:bCs w:val="0"/>
                <w:lang w:val="en-US" w:eastAsia="zh-CN"/>
              </w:rPr>
              <w:t>3,996</w:t>
            </w:r>
            <w:r w:rsidRPr="00AF720A">
              <w:rPr>
                <w:bCs w:val="0"/>
                <w:lang w:val="en-US" w:eastAsia="zh-CN"/>
              </w:rPr>
              <w:t>)</w:t>
            </w:r>
          </w:p>
        </w:tc>
        <w:tc>
          <w:tcPr>
            <w:tcW w:w="2250" w:type="dxa"/>
            <w:tcBorders>
              <w:top w:val="nil"/>
              <w:left w:val="nil"/>
              <w:bottom w:val="single" w:sz="4" w:space="0" w:color="auto"/>
              <w:right w:val="nil"/>
            </w:tcBorders>
            <w:shd w:val="clear" w:color="auto" w:fill="auto"/>
            <w:vAlign w:val="bottom"/>
            <w:hideMark/>
          </w:tcPr>
          <w:p w14:paraId="4A6EBF52" w14:textId="168372DE" w:rsidR="0076143F" w:rsidRPr="00AF720A" w:rsidRDefault="0076143F" w:rsidP="00245910">
            <w:pPr>
              <w:adjustRightInd/>
              <w:snapToGrid/>
              <w:spacing w:afterLines="0" w:after="0" w:line="240" w:lineRule="auto"/>
              <w:jc w:val="center"/>
              <w:rPr>
                <w:bCs w:val="0"/>
                <w:lang w:val="en-US" w:eastAsia="zh-CN"/>
              </w:rPr>
            </w:pPr>
            <w:r w:rsidRPr="00AF720A">
              <w:rPr>
                <w:bCs w:val="0"/>
                <w:lang w:val="en-US" w:eastAsia="zh-CN"/>
              </w:rPr>
              <w:t>(n=</w:t>
            </w:r>
            <w:r w:rsidR="00245910" w:rsidRPr="00AF720A">
              <w:rPr>
                <w:bCs w:val="0"/>
                <w:lang w:val="en-US" w:eastAsia="zh-CN"/>
              </w:rPr>
              <w:t>4,744</w:t>
            </w:r>
            <w:r w:rsidRPr="00AF720A">
              <w:rPr>
                <w:bCs w:val="0"/>
                <w:lang w:val="en-US" w:eastAsia="zh-CN"/>
              </w:rPr>
              <w:t>)</w:t>
            </w:r>
          </w:p>
        </w:tc>
        <w:tc>
          <w:tcPr>
            <w:tcW w:w="1710" w:type="dxa"/>
            <w:tcBorders>
              <w:top w:val="nil"/>
              <w:left w:val="nil"/>
              <w:bottom w:val="single" w:sz="4" w:space="0" w:color="auto"/>
              <w:right w:val="nil"/>
            </w:tcBorders>
            <w:shd w:val="clear" w:color="auto" w:fill="auto"/>
            <w:vAlign w:val="bottom"/>
            <w:hideMark/>
          </w:tcPr>
          <w:p w14:paraId="15AE8415" w14:textId="2FBCE0BC" w:rsidR="0076143F" w:rsidRPr="00AF720A" w:rsidRDefault="0076143F" w:rsidP="00245910">
            <w:pPr>
              <w:adjustRightInd/>
              <w:snapToGrid/>
              <w:spacing w:afterLines="0" w:after="0" w:line="240" w:lineRule="auto"/>
              <w:jc w:val="center"/>
              <w:rPr>
                <w:bCs w:val="0"/>
                <w:lang w:val="en-US" w:eastAsia="zh-CN"/>
              </w:rPr>
            </w:pPr>
            <w:r w:rsidRPr="00AF720A">
              <w:rPr>
                <w:bCs w:val="0"/>
                <w:lang w:val="en-US" w:eastAsia="zh-CN"/>
              </w:rPr>
              <w:t>(n=</w:t>
            </w:r>
            <w:r w:rsidR="00245910" w:rsidRPr="00AF720A">
              <w:rPr>
                <w:bCs w:val="0"/>
                <w:lang w:val="en-US" w:eastAsia="zh-CN"/>
              </w:rPr>
              <w:t>4,886</w:t>
            </w:r>
            <w:r w:rsidRPr="00AF720A">
              <w:rPr>
                <w:bCs w:val="0"/>
                <w:lang w:val="en-US" w:eastAsia="zh-CN"/>
              </w:rPr>
              <w:t>)</w:t>
            </w:r>
          </w:p>
        </w:tc>
        <w:tc>
          <w:tcPr>
            <w:tcW w:w="990" w:type="dxa"/>
            <w:tcBorders>
              <w:top w:val="nil"/>
              <w:left w:val="nil"/>
              <w:bottom w:val="single" w:sz="4" w:space="0" w:color="auto"/>
              <w:right w:val="nil"/>
            </w:tcBorders>
            <w:shd w:val="clear" w:color="auto" w:fill="auto"/>
            <w:noWrap/>
            <w:vAlign w:val="bottom"/>
            <w:hideMark/>
          </w:tcPr>
          <w:p w14:paraId="630DE48E"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 </w:t>
            </w:r>
          </w:p>
        </w:tc>
      </w:tr>
      <w:tr w:rsidR="0033593D" w:rsidRPr="00AF720A" w14:paraId="3BC540DE" w14:textId="77777777" w:rsidTr="00D60A28">
        <w:trPr>
          <w:trHeight w:val="285"/>
        </w:trPr>
        <w:tc>
          <w:tcPr>
            <w:tcW w:w="4050" w:type="dxa"/>
            <w:tcBorders>
              <w:top w:val="nil"/>
              <w:left w:val="nil"/>
              <w:bottom w:val="nil"/>
              <w:right w:val="nil"/>
            </w:tcBorders>
            <w:shd w:val="clear" w:color="auto" w:fill="auto"/>
            <w:noWrap/>
            <w:vAlign w:val="bottom"/>
            <w:hideMark/>
          </w:tcPr>
          <w:p w14:paraId="2E53FDDA"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Age (years)</w:t>
            </w:r>
          </w:p>
        </w:tc>
        <w:tc>
          <w:tcPr>
            <w:tcW w:w="1304" w:type="dxa"/>
            <w:tcBorders>
              <w:top w:val="nil"/>
              <w:left w:val="nil"/>
              <w:bottom w:val="nil"/>
              <w:right w:val="nil"/>
            </w:tcBorders>
            <w:shd w:val="clear" w:color="auto" w:fill="auto"/>
            <w:noWrap/>
            <w:vAlign w:val="bottom"/>
            <w:hideMark/>
          </w:tcPr>
          <w:p w14:paraId="673E6497"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mean (se)</w:t>
            </w:r>
          </w:p>
        </w:tc>
        <w:tc>
          <w:tcPr>
            <w:tcW w:w="1576" w:type="dxa"/>
            <w:tcBorders>
              <w:top w:val="nil"/>
              <w:left w:val="nil"/>
              <w:bottom w:val="nil"/>
              <w:right w:val="nil"/>
            </w:tcBorders>
            <w:shd w:val="clear" w:color="auto" w:fill="auto"/>
            <w:noWrap/>
            <w:vAlign w:val="bottom"/>
            <w:hideMark/>
          </w:tcPr>
          <w:p w14:paraId="5FA5F13C" w14:textId="365BC41F"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44.3 (0.5)</w:t>
            </w:r>
          </w:p>
        </w:tc>
        <w:tc>
          <w:tcPr>
            <w:tcW w:w="2250" w:type="dxa"/>
            <w:tcBorders>
              <w:top w:val="nil"/>
              <w:left w:val="nil"/>
              <w:bottom w:val="nil"/>
              <w:right w:val="nil"/>
            </w:tcBorders>
            <w:shd w:val="clear" w:color="auto" w:fill="auto"/>
            <w:noWrap/>
            <w:vAlign w:val="bottom"/>
            <w:hideMark/>
          </w:tcPr>
          <w:p w14:paraId="7C2478B7" w14:textId="07D3AA16"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48.1 (0.3)</w:t>
            </w:r>
          </w:p>
        </w:tc>
        <w:tc>
          <w:tcPr>
            <w:tcW w:w="1710" w:type="dxa"/>
            <w:tcBorders>
              <w:top w:val="nil"/>
              <w:left w:val="nil"/>
              <w:bottom w:val="nil"/>
              <w:right w:val="nil"/>
            </w:tcBorders>
            <w:shd w:val="clear" w:color="auto" w:fill="auto"/>
            <w:noWrap/>
            <w:vAlign w:val="bottom"/>
            <w:hideMark/>
          </w:tcPr>
          <w:p w14:paraId="1E37F03B" w14:textId="6744018E"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46.9 (0.4)</w:t>
            </w:r>
          </w:p>
        </w:tc>
        <w:tc>
          <w:tcPr>
            <w:tcW w:w="990" w:type="dxa"/>
            <w:tcBorders>
              <w:top w:val="nil"/>
              <w:left w:val="nil"/>
              <w:bottom w:val="nil"/>
              <w:right w:val="nil"/>
            </w:tcBorders>
            <w:shd w:val="clear" w:color="auto" w:fill="auto"/>
            <w:noWrap/>
            <w:vAlign w:val="bottom"/>
            <w:hideMark/>
          </w:tcPr>
          <w:p w14:paraId="6307C2B3"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2FE717B7" w14:textId="77777777" w:rsidTr="00D60A28">
        <w:trPr>
          <w:trHeight w:val="285"/>
        </w:trPr>
        <w:tc>
          <w:tcPr>
            <w:tcW w:w="4050" w:type="dxa"/>
            <w:tcBorders>
              <w:top w:val="nil"/>
              <w:left w:val="nil"/>
              <w:bottom w:val="nil"/>
              <w:right w:val="nil"/>
            </w:tcBorders>
            <w:shd w:val="clear" w:color="auto" w:fill="auto"/>
            <w:noWrap/>
            <w:vAlign w:val="center"/>
          </w:tcPr>
          <w:p w14:paraId="19565772"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Gender (men)</w:t>
            </w:r>
          </w:p>
        </w:tc>
        <w:tc>
          <w:tcPr>
            <w:tcW w:w="1304" w:type="dxa"/>
            <w:tcBorders>
              <w:top w:val="nil"/>
              <w:left w:val="nil"/>
              <w:bottom w:val="nil"/>
              <w:right w:val="nil"/>
            </w:tcBorders>
            <w:shd w:val="clear" w:color="auto" w:fill="auto"/>
            <w:noWrap/>
            <w:vAlign w:val="center"/>
          </w:tcPr>
          <w:p w14:paraId="20657F3E"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tcPr>
          <w:p w14:paraId="70CF244B" w14:textId="1B475548"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41.2</w:t>
            </w:r>
          </w:p>
        </w:tc>
        <w:tc>
          <w:tcPr>
            <w:tcW w:w="2250" w:type="dxa"/>
            <w:tcBorders>
              <w:top w:val="nil"/>
              <w:left w:val="nil"/>
              <w:bottom w:val="nil"/>
              <w:right w:val="nil"/>
            </w:tcBorders>
            <w:shd w:val="clear" w:color="auto" w:fill="auto"/>
            <w:noWrap/>
            <w:vAlign w:val="bottom"/>
          </w:tcPr>
          <w:p w14:paraId="55B048FB" w14:textId="500B845A"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55.0</w:t>
            </w:r>
          </w:p>
        </w:tc>
        <w:tc>
          <w:tcPr>
            <w:tcW w:w="1710" w:type="dxa"/>
            <w:tcBorders>
              <w:top w:val="nil"/>
              <w:left w:val="nil"/>
              <w:bottom w:val="nil"/>
              <w:right w:val="nil"/>
            </w:tcBorders>
            <w:shd w:val="clear" w:color="auto" w:fill="auto"/>
            <w:noWrap/>
            <w:vAlign w:val="bottom"/>
          </w:tcPr>
          <w:p w14:paraId="66ECA936" w14:textId="0C5CD5B2"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46.2</w:t>
            </w:r>
          </w:p>
        </w:tc>
        <w:tc>
          <w:tcPr>
            <w:tcW w:w="990" w:type="dxa"/>
            <w:tcBorders>
              <w:top w:val="nil"/>
              <w:left w:val="nil"/>
              <w:bottom w:val="nil"/>
              <w:right w:val="nil"/>
            </w:tcBorders>
            <w:shd w:val="clear" w:color="auto" w:fill="auto"/>
            <w:noWrap/>
            <w:vAlign w:val="bottom"/>
          </w:tcPr>
          <w:p w14:paraId="20246944" w14:textId="78ECBD72"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58E09527" w14:textId="77777777" w:rsidTr="00D60A28">
        <w:trPr>
          <w:trHeight w:val="285"/>
        </w:trPr>
        <w:tc>
          <w:tcPr>
            <w:tcW w:w="4050" w:type="dxa"/>
            <w:tcBorders>
              <w:top w:val="nil"/>
              <w:left w:val="nil"/>
              <w:bottom w:val="nil"/>
              <w:right w:val="nil"/>
            </w:tcBorders>
            <w:shd w:val="clear" w:color="auto" w:fill="auto"/>
            <w:noWrap/>
            <w:vAlign w:val="center"/>
            <w:hideMark/>
          </w:tcPr>
          <w:p w14:paraId="4F85A24B" w14:textId="4EE09331" w:rsidR="0076143F" w:rsidRPr="00AF720A" w:rsidRDefault="0076143F" w:rsidP="00762330">
            <w:pPr>
              <w:adjustRightInd/>
              <w:snapToGrid/>
              <w:spacing w:afterLines="0" w:after="0" w:line="240" w:lineRule="auto"/>
              <w:rPr>
                <w:bCs w:val="0"/>
                <w:lang w:val="en-US" w:eastAsia="zh-CN"/>
              </w:rPr>
            </w:pPr>
            <w:r w:rsidRPr="00AF720A">
              <w:rPr>
                <w:bCs w:val="0"/>
                <w:lang w:val="en-US" w:eastAsia="zh-CN"/>
              </w:rPr>
              <w:t xml:space="preserve">Marital status (living with </w:t>
            </w:r>
            <w:r w:rsidR="00762330" w:rsidRPr="00AF720A">
              <w:rPr>
                <w:bCs w:val="0"/>
                <w:lang w:val="en-US" w:eastAsia="zh-CN"/>
              </w:rPr>
              <w:t>a partner</w:t>
            </w:r>
            <w:r w:rsidRPr="00AF720A">
              <w:rPr>
                <w:bCs w:val="0"/>
                <w:lang w:val="en-US" w:eastAsia="zh-CN"/>
              </w:rPr>
              <w:t>)</w:t>
            </w:r>
          </w:p>
        </w:tc>
        <w:tc>
          <w:tcPr>
            <w:tcW w:w="1304" w:type="dxa"/>
            <w:tcBorders>
              <w:top w:val="nil"/>
              <w:left w:val="nil"/>
              <w:bottom w:val="nil"/>
              <w:right w:val="nil"/>
            </w:tcBorders>
            <w:shd w:val="clear" w:color="auto" w:fill="auto"/>
            <w:noWrap/>
            <w:vAlign w:val="center"/>
            <w:hideMark/>
          </w:tcPr>
          <w:p w14:paraId="54AFF6C7"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7D9B20D5" w14:textId="599A6D21"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60.7</w:t>
            </w:r>
          </w:p>
        </w:tc>
        <w:tc>
          <w:tcPr>
            <w:tcW w:w="2250" w:type="dxa"/>
            <w:tcBorders>
              <w:top w:val="nil"/>
              <w:left w:val="nil"/>
              <w:bottom w:val="nil"/>
              <w:right w:val="nil"/>
            </w:tcBorders>
            <w:shd w:val="clear" w:color="auto" w:fill="auto"/>
            <w:noWrap/>
            <w:vAlign w:val="bottom"/>
            <w:hideMark/>
          </w:tcPr>
          <w:p w14:paraId="434784D6" w14:textId="7FD1CF09"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68.4</w:t>
            </w:r>
          </w:p>
        </w:tc>
        <w:tc>
          <w:tcPr>
            <w:tcW w:w="1710" w:type="dxa"/>
            <w:tcBorders>
              <w:top w:val="nil"/>
              <w:left w:val="nil"/>
              <w:bottom w:val="nil"/>
              <w:right w:val="nil"/>
            </w:tcBorders>
            <w:shd w:val="clear" w:color="auto" w:fill="auto"/>
            <w:noWrap/>
            <w:vAlign w:val="bottom"/>
            <w:hideMark/>
          </w:tcPr>
          <w:p w14:paraId="29BFF084" w14:textId="385875A0" w:rsidR="0076143F" w:rsidRPr="00AF720A" w:rsidRDefault="00245910" w:rsidP="00245910">
            <w:pPr>
              <w:adjustRightInd/>
              <w:snapToGrid/>
              <w:spacing w:afterLines="0" w:after="0" w:line="240" w:lineRule="auto"/>
              <w:jc w:val="center"/>
              <w:rPr>
                <w:bCs w:val="0"/>
                <w:lang w:val="en-US" w:eastAsia="zh-CN"/>
              </w:rPr>
            </w:pPr>
            <w:r w:rsidRPr="00AF720A">
              <w:rPr>
                <w:bCs w:val="0"/>
                <w:lang w:val="en-US" w:eastAsia="zh-CN"/>
              </w:rPr>
              <w:t>64.7</w:t>
            </w:r>
          </w:p>
        </w:tc>
        <w:tc>
          <w:tcPr>
            <w:tcW w:w="990" w:type="dxa"/>
            <w:tcBorders>
              <w:top w:val="nil"/>
              <w:left w:val="nil"/>
              <w:bottom w:val="nil"/>
              <w:right w:val="nil"/>
            </w:tcBorders>
            <w:shd w:val="clear" w:color="auto" w:fill="auto"/>
            <w:noWrap/>
            <w:vAlign w:val="bottom"/>
            <w:hideMark/>
          </w:tcPr>
          <w:p w14:paraId="437ACB93"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1DC07BE0" w14:textId="77777777" w:rsidTr="00D60A28">
        <w:trPr>
          <w:trHeight w:val="285"/>
        </w:trPr>
        <w:tc>
          <w:tcPr>
            <w:tcW w:w="4050" w:type="dxa"/>
            <w:tcBorders>
              <w:top w:val="nil"/>
              <w:left w:val="nil"/>
              <w:bottom w:val="nil"/>
              <w:right w:val="nil"/>
            </w:tcBorders>
            <w:shd w:val="clear" w:color="auto" w:fill="auto"/>
            <w:noWrap/>
            <w:vAlign w:val="center"/>
            <w:hideMark/>
          </w:tcPr>
          <w:p w14:paraId="3AC6CF56"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Race</w:t>
            </w:r>
          </w:p>
        </w:tc>
        <w:tc>
          <w:tcPr>
            <w:tcW w:w="1304" w:type="dxa"/>
            <w:tcBorders>
              <w:top w:val="nil"/>
              <w:left w:val="nil"/>
              <w:bottom w:val="nil"/>
              <w:right w:val="nil"/>
            </w:tcBorders>
            <w:shd w:val="clear" w:color="auto" w:fill="auto"/>
            <w:noWrap/>
            <w:vAlign w:val="center"/>
            <w:hideMark/>
          </w:tcPr>
          <w:p w14:paraId="780CEBBB" w14:textId="77777777" w:rsidR="0076143F" w:rsidRPr="00AF720A" w:rsidRDefault="0076143F" w:rsidP="00531775">
            <w:pPr>
              <w:adjustRightInd/>
              <w:snapToGrid/>
              <w:spacing w:afterLines="0" w:after="0" w:line="240" w:lineRule="auto"/>
              <w:rPr>
                <w:bCs w:val="0"/>
                <w:lang w:val="en-US" w:eastAsia="zh-CN"/>
              </w:rPr>
            </w:pPr>
          </w:p>
        </w:tc>
        <w:tc>
          <w:tcPr>
            <w:tcW w:w="1576" w:type="dxa"/>
            <w:tcBorders>
              <w:top w:val="nil"/>
              <w:left w:val="nil"/>
              <w:bottom w:val="nil"/>
              <w:right w:val="nil"/>
            </w:tcBorders>
            <w:shd w:val="clear" w:color="auto" w:fill="auto"/>
            <w:noWrap/>
            <w:vAlign w:val="bottom"/>
            <w:hideMark/>
          </w:tcPr>
          <w:p w14:paraId="22BC6ECE"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2250" w:type="dxa"/>
            <w:tcBorders>
              <w:top w:val="nil"/>
              <w:left w:val="nil"/>
              <w:bottom w:val="nil"/>
              <w:right w:val="nil"/>
            </w:tcBorders>
            <w:shd w:val="clear" w:color="auto" w:fill="auto"/>
            <w:noWrap/>
            <w:vAlign w:val="bottom"/>
            <w:hideMark/>
          </w:tcPr>
          <w:p w14:paraId="31F390B4"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6803283F"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5C2BF770"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5722C313" w14:textId="77777777" w:rsidTr="00D60A28">
        <w:trPr>
          <w:trHeight w:val="285"/>
        </w:trPr>
        <w:tc>
          <w:tcPr>
            <w:tcW w:w="4050" w:type="dxa"/>
            <w:tcBorders>
              <w:top w:val="nil"/>
              <w:left w:val="nil"/>
              <w:bottom w:val="nil"/>
              <w:right w:val="nil"/>
            </w:tcBorders>
            <w:shd w:val="clear" w:color="auto" w:fill="auto"/>
            <w:noWrap/>
            <w:vAlign w:val="center"/>
            <w:hideMark/>
          </w:tcPr>
          <w:p w14:paraId="7C5D0156"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Non-Hispanic White</w:t>
            </w:r>
          </w:p>
        </w:tc>
        <w:tc>
          <w:tcPr>
            <w:tcW w:w="1304" w:type="dxa"/>
            <w:tcBorders>
              <w:top w:val="nil"/>
              <w:left w:val="nil"/>
              <w:bottom w:val="nil"/>
              <w:right w:val="nil"/>
            </w:tcBorders>
            <w:shd w:val="clear" w:color="auto" w:fill="auto"/>
            <w:noWrap/>
            <w:vAlign w:val="center"/>
            <w:hideMark/>
          </w:tcPr>
          <w:p w14:paraId="17092C97"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56006982" w14:textId="6EF8F2C9"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73.6</w:t>
            </w:r>
          </w:p>
        </w:tc>
        <w:tc>
          <w:tcPr>
            <w:tcW w:w="2250" w:type="dxa"/>
            <w:tcBorders>
              <w:top w:val="nil"/>
              <w:left w:val="nil"/>
              <w:bottom w:val="nil"/>
              <w:right w:val="nil"/>
            </w:tcBorders>
            <w:shd w:val="clear" w:color="auto" w:fill="auto"/>
            <w:noWrap/>
            <w:vAlign w:val="bottom"/>
            <w:hideMark/>
          </w:tcPr>
          <w:p w14:paraId="68DC7318" w14:textId="3CFC135D"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73.4</w:t>
            </w:r>
          </w:p>
        </w:tc>
        <w:tc>
          <w:tcPr>
            <w:tcW w:w="1710" w:type="dxa"/>
            <w:tcBorders>
              <w:top w:val="nil"/>
              <w:left w:val="nil"/>
              <w:bottom w:val="nil"/>
              <w:right w:val="nil"/>
            </w:tcBorders>
            <w:shd w:val="clear" w:color="auto" w:fill="auto"/>
            <w:noWrap/>
            <w:vAlign w:val="bottom"/>
            <w:hideMark/>
          </w:tcPr>
          <w:p w14:paraId="6C385BDF" w14:textId="797E78D4"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69.2</w:t>
            </w:r>
          </w:p>
        </w:tc>
        <w:tc>
          <w:tcPr>
            <w:tcW w:w="990" w:type="dxa"/>
            <w:tcBorders>
              <w:top w:val="nil"/>
              <w:left w:val="nil"/>
              <w:bottom w:val="nil"/>
              <w:right w:val="nil"/>
            </w:tcBorders>
            <w:shd w:val="clear" w:color="auto" w:fill="auto"/>
            <w:noWrap/>
            <w:vAlign w:val="bottom"/>
            <w:hideMark/>
          </w:tcPr>
          <w:p w14:paraId="49297964"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1103E08E" w14:textId="77777777" w:rsidTr="00D60A28">
        <w:trPr>
          <w:trHeight w:val="285"/>
        </w:trPr>
        <w:tc>
          <w:tcPr>
            <w:tcW w:w="4050" w:type="dxa"/>
            <w:tcBorders>
              <w:top w:val="nil"/>
              <w:left w:val="nil"/>
              <w:bottom w:val="nil"/>
              <w:right w:val="nil"/>
            </w:tcBorders>
            <w:shd w:val="clear" w:color="auto" w:fill="auto"/>
            <w:noWrap/>
            <w:vAlign w:val="center"/>
            <w:hideMark/>
          </w:tcPr>
          <w:p w14:paraId="6BA29042"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Non-Hispanic Black</w:t>
            </w:r>
          </w:p>
        </w:tc>
        <w:tc>
          <w:tcPr>
            <w:tcW w:w="1304" w:type="dxa"/>
            <w:tcBorders>
              <w:top w:val="nil"/>
              <w:left w:val="nil"/>
              <w:bottom w:val="nil"/>
              <w:right w:val="nil"/>
            </w:tcBorders>
            <w:shd w:val="clear" w:color="auto" w:fill="auto"/>
            <w:noWrap/>
            <w:vAlign w:val="center"/>
            <w:hideMark/>
          </w:tcPr>
          <w:p w14:paraId="56852471"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4CD3F59E" w14:textId="219FA840"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7.6</w:t>
            </w:r>
          </w:p>
        </w:tc>
        <w:tc>
          <w:tcPr>
            <w:tcW w:w="2250" w:type="dxa"/>
            <w:tcBorders>
              <w:top w:val="nil"/>
              <w:left w:val="nil"/>
              <w:bottom w:val="nil"/>
              <w:right w:val="nil"/>
            </w:tcBorders>
            <w:shd w:val="clear" w:color="auto" w:fill="auto"/>
            <w:noWrap/>
            <w:vAlign w:val="bottom"/>
            <w:hideMark/>
          </w:tcPr>
          <w:p w14:paraId="7A827DD2" w14:textId="3B4FAB45"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8.3</w:t>
            </w:r>
          </w:p>
        </w:tc>
        <w:tc>
          <w:tcPr>
            <w:tcW w:w="1710" w:type="dxa"/>
            <w:tcBorders>
              <w:top w:val="nil"/>
              <w:left w:val="nil"/>
              <w:bottom w:val="nil"/>
              <w:right w:val="nil"/>
            </w:tcBorders>
            <w:shd w:val="clear" w:color="auto" w:fill="auto"/>
            <w:noWrap/>
            <w:vAlign w:val="bottom"/>
            <w:hideMark/>
          </w:tcPr>
          <w:p w14:paraId="7B21CFCE" w14:textId="4F9C56C6"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13.7</w:t>
            </w:r>
          </w:p>
        </w:tc>
        <w:tc>
          <w:tcPr>
            <w:tcW w:w="990" w:type="dxa"/>
            <w:tcBorders>
              <w:top w:val="nil"/>
              <w:left w:val="nil"/>
              <w:bottom w:val="nil"/>
              <w:right w:val="nil"/>
            </w:tcBorders>
            <w:shd w:val="clear" w:color="auto" w:fill="auto"/>
            <w:noWrap/>
            <w:vAlign w:val="bottom"/>
            <w:hideMark/>
          </w:tcPr>
          <w:p w14:paraId="5B2E0F0A"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1D4251BA" w14:textId="77777777" w:rsidTr="00D60A28">
        <w:trPr>
          <w:trHeight w:val="285"/>
        </w:trPr>
        <w:tc>
          <w:tcPr>
            <w:tcW w:w="4050" w:type="dxa"/>
            <w:tcBorders>
              <w:top w:val="nil"/>
              <w:left w:val="nil"/>
              <w:bottom w:val="nil"/>
              <w:right w:val="nil"/>
            </w:tcBorders>
            <w:shd w:val="clear" w:color="auto" w:fill="auto"/>
            <w:noWrap/>
            <w:vAlign w:val="center"/>
            <w:hideMark/>
          </w:tcPr>
          <w:p w14:paraId="5CCA6CF8"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 xml:space="preserve">Hispanic </w:t>
            </w:r>
          </w:p>
        </w:tc>
        <w:tc>
          <w:tcPr>
            <w:tcW w:w="1304" w:type="dxa"/>
            <w:tcBorders>
              <w:top w:val="nil"/>
              <w:left w:val="nil"/>
              <w:bottom w:val="nil"/>
              <w:right w:val="nil"/>
            </w:tcBorders>
            <w:shd w:val="clear" w:color="auto" w:fill="auto"/>
            <w:noWrap/>
            <w:vAlign w:val="center"/>
            <w:hideMark/>
          </w:tcPr>
          <w:p w14:paraId="5CC34793"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4A9DB84E" w14:textId="3F14ADB2"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9.5</w:t>
            </w:r>
          </w:p>
        </w:tc>
        <w:tc>
          <w:tcPr>
            <w:tcW w:w="2250" w:type="dxa"/>
            <w:tcBorders>
              <w:top w:val="nil"/>
              <w:left w:val="nil"/>
              <w:bottom w:val="nil"/>
              <w:right w:val="nil"/>
            </w:tcBorders>
            <w:shd w:val="clear" w:color="auto" w:fill="auto"/>
            <w:noWrap/>
            <w:vAlign w:val="bottom"/>
            <w:hideMark/>
          </w:tcPr>
          <w:p w14:paraId="1FB46360" w14:textId="2AECC3D2"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13.2</w:t>
            </w:r>
          </w:p>
        </w:tc>
        <w:tc>
          <w:tcPr>
            <w:tcW w:w="1710" w:type="dxa"/>
            <w:tcBorders>
              <w:top w:val="nil"/>
              <w:left w:val="nil"/>
              <w:bottom w:val="nil"/>
              <w:right w:val="nil"/>
            </w:tcBorders>
            <w:shd w:val="clear" w:color="auto" w:fill="auto"/>
            <w:noWrap/>
            <w:vAlign w:val="bottom"/>
            <w:hideMark/>
          </w:tcPr>
          <w:p w14:paraId="665527F3" w14:textId="72284400"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14.6</w:t>
            </w:r>
          </w:p>
        </w:tc>
        <w:tc>
          <w:tcPr>
            <w:tcW w:w="990" w:type="dxa"/>
            <w:tcBorders>
              <w:top w:val="nil"/>
              <w:left w:val="nil"/>
              <w:bottom w:val="nil"/>
              <w:right w:val="nil"/>
            </w:tcBorders>
            <w:shd w:val="clear" w:color="auto" w:fill="auto"/>
            <w:noWrap/>
            <w:vAlign w:val="bottom"/>
            <w:hideMark/>
          </w:tcPr>
          <w:p w14:paraId="6BEA7974"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7FBDD663" w14:textId="77777777" w:rsidTr="00D60A28">
        <w:trPr>
          <w:trHeight w:val="285"/>
        </w:trPr>
        <w:tc>
          <w:tcPr>
            <w:tcW w:w="4050" w:type="dxa"/>
            <w:tcBorders>
              <w:top w:val="nil"/>
              <w:left w:val="nil"/>
              <w:bottom w:val="nil"/>
              <w:right w:val="nil"/>
            </w:tcBorders>
            <w:shd w:val="clear" w:color="auto" w:fill="auto"/>
            <w:noWrap/>
            <w:vAlign w:val="center"/>
            <w:hideMark/>
          </w:tcPr>
          <w:p w14:paraId="14460658"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Other</w:t>
            </w:r>
          </w:p>
        </w:tc>
        <w:tc>
          <w:tcPr>
            <w:tcW w:w="1304" w:type="dxa"/>
            <w:tcBorders>
              <w:top w:val="nil"/>
              <w:left w:val="nil"/>
              <w:bottom w:val="nil"/>
              <w:right w:val="nil"/>
            </w:tcBorders>
            <w:shd w:val="clear" w:color="auto" w:fill="auto"/>
            <w:noWrap/>
            <w:vAlign w:val="center"/>
            <w:hideMark/>
          </w:tcPr>
          <w:p w14:paraId="5D6E132B"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62E2311C" w14:textId="051B9CB4"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9.3</w:t>
            </w:r>
          </w:p>
        </w:tc>
        <w:tc>
          <w:tcPr>
            <w:tcW w:w="2250" w:type="dxa"/>
            <w:tcBorders>
              <w:top w:val="nil"/>
              <w:left w:val="nil"/>
              <w:bottom w:val="nil"/>
              <w:right w:val="nil"/>
            </w:tcBorders>
            <w:shd w:val="clear" w:color="auto" w:fill="auto"/>
            <w:noWrap/>
            <w:vAlign w:val="bottom"/>
            <w:hideMark/>
          </w:tcPr>
          <w:p w14:paraId="1A82ECDF" w14:textId="549DA2F7"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5.1</w:t>
            </w:r>
          </w:p>
        </w:tc>
        <w:tc>
          <w:tcPr>
            <w:tcW w:w="1710" w:type="dxa"/>
            <w:tcBorders>
              <w:top w:val="nil"/>
              <w:left w:val="nil"/>
              <w:bottom w:val="nil"/>
              <w:right w:val="nil"/>
            </w:tcBorders>
            <w:shd w:val="clear" w:color="auto" w:fill="auto"/>
            <w:noWrap/>
            <w:vAlign w:val="bottom"/>
            <w:hideMark/>
          </w:tcPr>
          <w:p w14:paraId="2BC5D77E" w14:textId="4B3D7E9C"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3.5</w:t>
            </w:r>
          </w:p>
        </w:tc>
        <w:tc>
          <w:tcPr>
            <w:tcW w:w="990" w:type="dxa"/>
            <w:tcBorders>
              <w:top w:val="nil"/>
              <w:left w:val="nil"/>
              <w:bottom w:val="nil"/>
              <w:right w:val="nil"/>
            </w:tcBorders>
            <w:shd w:val="clear" w:color="auto" w:fill="auto"/>
            <w:noWrap/>
            <w:vAlign w:val="bottom"/>
            <w:hideMark/>
          </w:tcPr>
          <w:p w14:paraId="5FE8C441"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2FC3BD20" w14:textId="77777777" w:rsidTr="00D60A28">
        <w:trPr>
          <w:trHeight w:val="285"/>
        </w:trPr>
        <w:tc>
          <w:tcPr>
            <w:tcW w:w="5354" w:type="dxa"/>
            <w:gridSpan w:val="2"/>
            <w:tcBorders>
              <w:top w:val="nil"/>
              <w:left w:val="nil"/>
              <w:bottom w:val="nil"/>
              <w:right w:val="nil"/>
            </w:tcBorders>
            <w:shd w:val="clear" w:color="auto" w:fill="auto"/>
            <w:noWrap/>
            <w:vAlign w:val="center"/>
            <w:hideMark/>
          </w:tcPr>
          <w:p w14:paraId="30D69FEF"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Household income</w:t>
            </w:r>
          </w:p>
        </w:tc>
        <w:tc>
          <w:tcPr>
            <w:tcW w:w="1576" w:type="dxa"/>
            <w:tcBorders>
              <w:top w:val="nil"/>
              <w:left w:val="nil"/>
              <w:bottom w:val="nil"/>
              <w:right w:val="nil"/>
            </w:tcBorders>
            <w:shd w:val="clear" w:color="auto" w:fill="auto"/>
            <w:noWrap/>
            <w:vAlign w:val="bottom"/>
            <w:hideMark/>
          </w:tcPr>
          <w:p w14:paraId="34C252FD" w14:textId="77777777" w:rsidR="0076143F" w:rsidRPr="00AF720A" w:rsidRDefault="0076143F" w:rsidP="00531775">
            <w:pPr>
              <w:adjustRightInd/>
              <w:snapToGrid/>
              <w:spacing w:afterLines="0" w:after="0" w:line="240" w:lineRule="auto"/>
              <w:rPr>
                <w:bCs w:val="0"/>
                <w:lang w:val="en-US" w:eastAsia="zh-CN"/>
              </w:rPr>
            </w:pPr>
          </w:p>
        </w:tc>
        <w:tc>
          <w:tcPr>
            <w:tcW w:w="2250" w:type="dxa"/>
            <w:tcBorders>
              <w:top w:val="nil"/>
              <w:left w:val="nil"/>
              <w:bottom w:val="nil"/>
              <w:right w:val="nil"/>
            </w:tcBorders>
            <w:shd w:val="clear" w:color="auto" w:fill="auto"/>
            <w:noWrap/>
            <w:vAlign w:val="bottom"/>
            <w:hideMark/>
          </w:tcPr>
          <w:p w14:paraId="1DF69279"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175DE847"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08A4A7BD"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337AA418" w14:textId="77777777" w:rsidTr="00D60A28">
        <w:trPr>
          <w:trHeight w:val="300"/>
        </w:trPr>
        <w:tc>
          <w:tcPr>
            <w:tcW w:w="4050" w:type="dxa"/>
            <w:tcBorders>
              <w:top w:val="nil"/>
              <w:left w:val="nil"/>
              <w:bottom w:val="nil"/>
              <w:right w:val="nil"/>
            </w:tcBorders>
            <w:shd w:val="clear" w:color="auto" w:fill="auto"/>
            <w:noWrap/>
            <w:vAlign w:val="center"/>
            <w:hideMark/>
          </w:tcPr>
          <w:p w14:paraId="033B48B3"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rFonts w:ascii="Calibri" w:hAnsi="Calibri"/>
                <w:bCs w:val="0"/>
                <w:lang w:val="en-US" w:eastAsia="zh-CN"/>
              </w:rPr>
              <w:t>≤</w:t>
            </w:r>
            <w:r w:rsidRPr="00AF720A">
              <w:rPr>
                <w:bCs w:val="0"/>
                <w:lang w:val="en-US" w:eastAsia="zh-CN"/>
              </w:rPr>
              <w:t xml:space="preserve"> $20000</w:t>
            </w:r>
          </w:p>
        </w:tc>
        <w:tc>
          <w:tcPr>
            <w:tcW w:w="1304" w:type="dxa"/>
            <w:tcBorders>
              <w:top w:val="nil"/>
              <w:left w:val="nil"/>
              <w:bottom w:val="nil"/>
              <w:right w:val="nil"/>
            </w:tcBorders>
            <w:shd w:val="clear" w:color="auto" w:fill="auto"/>
            <w:noWrap/>
            <w:vAlign w:val="center"/>
            <w:hideMark/>
          </w:tcPr>
          <w:p w14:paraId="1460A6DD"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5AEE29BA" w14:textId="6DF26F23"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19.6</w:t>
            </w:r>
          </w:p>
        </w:tc>
        <w:tc>
          <w:tcPr>
            <w:tcW w:w="2250" w:type="dxa"/>
            <w:tcBorders>
              <w:top w:val="nil"/>
              <w:left w:val="nil"/>
              <w:bottom w:val="nil"/>
              <w:right w:val="nil"/>
            </w:tcBorders>
            <w:shd w:val="clear" w:color="auto" w:fill="auto"/>
            <w:noWrap/>
            <w:vAlign w:val="bottom"/>
            <w:hideMark/>
          </w:tcPr>
          <w:p w14:paraId="7DC3B350" w14:textId="722AC176"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19.0</w:t>
            </w:r>
          </w:p>
        </w:tc>
        <w:tc>
          <w:tcPr>
            <w:tcW w:w="1710" w:type="dxa"/>
            <w:tcBorders>
              <w:top w:val="nil"/>
              <w:left w:val="nil"/>
              <w:bottom w:val="nil"/>
              <w:right w:val="nil"/>
            </w:tcBorders>
            <w:shd w:val="clear" w:color="auto" w:fill="auto"/>
            <w:noWrap/>
            <w:vAlign w:val="bottom"/>
            <w:hideMark/>
          </w:tcPr>
          <w:p w14:paraId="57C2EFBC" w14:textId="44778849"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21.4</w:t>
            </w:r>
          </w:p>
        </w:tc>
        <w:tc>
          <w:tcPr>
            <w:tcW w:w="990" w:type="dxa"/>
            <w:tcBorders>
              <w:top w:val="nil"/>
              <w:left w:val="nil"/>
              <w:bottom w:val="nil"/>
              <w:right w:val="nil"/>
            </w:tcBorders>
            <w:shd w:val="clear" w:color="auto" w:fill="auto"/>
            <w:noWrap/>
            <w:vAlign w:val="bottom"/>
            <w:hideMark/>
          </w:tcPr>
          <w:p w14:paraId="6C73D9E2"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046C03AB" w14:textId="77777777" w:rsidTr="00D60A28">
        <w:trPr>
          <w:trHeight w:val="285"/>
        </w:trPr>
        <w:tc>
          <w:tcPr>
            <w:tcW w:w="4050" w:type="dxa"/>
            <w:tcBorders>
              <w:top w:val="nil"/>
              <w:left w:val="nil"/>
              <w:bottom w:val="nil"/>
              <w:right w:val="nil"/>
            </w:tcBorders>
            <w:shd w:val="clear" w:color="auto" w:fill="auto"/>
            <w:noWrap/>
            <w:vAlign w:val="center"/>
            <w:hideMark/>
          </w:tcPr>
          <w:p w14:paraId="02F60344"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$20000-74999</w:t>
            </w:r>
          </w:p>
        </w:tc>
        <w:tc>
          <w:tcPr>
            <w:tcW w:w="1304" w:type="dxa"/>
            <w:tcBorders>
              <w:top w:val="nil"/>
              <w:left w:val="nil"/>
              <w:bottom w:val="nil"/>
              <w:right w:val="nil"/>
            </w:tcBorders>
            <w:shd w:val="clear" w:color="auto" w:fill="auto"/>
            <w:noWrap/>
            <w:vAlign w:val="center"/>
            <w:hideMark/>
          </w:tcPr>
          <w:p w14:paraId="32E7F350"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076E12F8" w14:textId="6A628DC2"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37.5</w:t>
            </w:r>
          </w:p>
        </w:tc>
        <w:tc>
          <w:tcPr>
            <w:tcW w:w="2250" w:type="dxa"/>
            <w:tcBorders>
              <w:top w:val="nil"/>
              <w:left w:val="nil"/>
              <w:bottom w:val="nil"/>
              <w:right w:val="nil"/>
            </w:tcBorders>
            <w:shd w:val="clear" w:color="auto" w:fill="auto"/>
            <w:noWrap/>
            <w:vAlign w:val="bottom"/>
            <w:hideMark/>
          </w:tcPr>
          <w:p w14:paraId="24DA627A" w14:textId="6FC12325"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40.9</w:t>
            </w:r>
          </w:p>
        </w:tc>
        <w:tc>
          <w:tcPr>
            <w:tcW w:w="1710" w:type="dxa"/>
            <w:tcBorders>
              <w:top w:val="nil"/>
              <w:left w:val="nil"/>
              <w:bottom w:val="nil"/>
              <w:right w:val="nil"/>
            </w:tcBorders>
            <w:shd w:val="clear" w:color="auto" w:fill="auto"/>
            <w:noWrap/>
            <w:vAlign w:val="bottom"/>
            <w:hideMark/>
          </w:tcPr>
          <w:p w14:paraId="6900A681" w14:textId="6DF849ED"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46.1</w:t>
            </w:r>
          </w:p>
        </w:tc>
        <w:tc>
          <w:tcPr>
            <w:tcW w:w="990" w:type="dxa"/>
            <w:tcBorders>
              <w:top w:val="nil"/>
              <w:left w:val="nil"/>
              <w:bottom w:val="nil"/>
              <w:right w:val="nil"/>
            </w:tcBorders>
            <w:shd w:val="clear" w:color="auto" w:fill="auto"/>
            <w:noWrap/>
            <w:vAlign w:val="bottom"/>
            <w:hideMark/>
          </w:tcPr>
          <w:p w14:paraId="590087F1"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3D93C2CE" w14:textId="77777777" w:rsidTr="00D60A28">
        <w:trPr>
          <w:trHeight w:val="300"/>
        </w:trPr>
        <w:tc>
          <w:tcPr>
            <w:tcW w:w="4050" w:type="dxa"/>
            <w:tcBorders>
              <w:top w:val="nil"/>
              <w:left w:val="nil"/>
              <w:bottom w:val="nil"/>
              <w:right w:val="nil"/>
            </w:tcBorders>
            <w:shd w:val="clear" w:color="auto" w:fill="auto"/>
            <w:noWrap/>
            <w:vAlign w:val="center"/>
            <w:hideMark/>
          </w:tcPr>
          <w:p w14:paraId="3ED565CD"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rFonts w:ascii="Calibri" w:hAnsi="Calibri"/>
                <w:bCs w:val="0"/>
                <w:lang w:val="en-US" w:eastAsia="zh-CN"/>
              </w:rPr>
              <w:t>≥</w:t>
            </w:r>
            <w:r w:rsidRPr="00AF720A">
              <w:rPr>
                <w:bCs w:val="0"/>
                <w:lang w:val="en-US" w:eastAsia="zh-CN"/>
              </w:rPr>
              <w:t>$75000</w:t>
            </w:r>
          </w:p>
        </w:tc>
        <w:tc>
          <w:tcPr>
            <w:tcW w:w="1304" w:type="dxa"/>
            <w:tcBorders>
              <w:top w:val="nil"/>
              <w:left w:val="nil"/>
              <w:bottom w:val="nil"/>
              <w:right w:val="nil"/>
            </w:tcBorders>
            <w:shd w:val="clear" w:color="auto" w:fill="auto"/>
            <w:noWrap/>
            <w:vAlign w:val="center"/>
            <w:hideMark/>
          </w:tcPr>
          <w:p w14:paraId="1BAF4989"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2EA4BB00" w14:textId="7916C8BB"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42.9</w:t>
            </w:r>
          </w:p>
        </w:tc>
        <w:tc>
          <w:tcPr>
            <w:tcW w:w="2250" w:type="dxa"/>
            <w:tcBorders>
              <w:top w:val="nil"/>
              <w:left w:val="nil"/>
              <w:bottom w:val="nil"/>
              <w:right w:val="nil"/>
            </w:tcBorders>
            <w:shd w:val="clear" w:color="auto" w:fill="auto"/>
            <w:noWrap/>
            <w:vAlign w:val="bottom"/>
            <w:hideMark/>
          </w:tcPr>
          <w:p w14:paraId="00A6CB9E" w14:textId="1A602BEB"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40.1</w:t>
            </w:r>
          </w:p>
        </w:tc>
        <w:tc>
          <w:tcPr>
            <w:tcW w:w="1710" w:type="dxa"/>
            <w:tcBorders>
              <w:top w:val="nil"/>
              <w:left w:val="nil"/>
              <w:bottom w:val="nil"/>
              <w:right w:val="nil"/>
            </w:tcBorders>
            <w:shd w:val="clear" w:color="auto" w:fill="auto"/>
            <w:noWrap/>
            <w:vAlign w:val="bottom"/>
            <w:hideMark/>
          </w:tcPr>
          <w:p w14:paraId="19DE0CFF" w14:textId="496FD940"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32.5</w:t>
            </w:r>
          </w:p>
        </w:tc>
        <w:tc>
          <w:tcPr>
            <w:tcW w:w="990" w:type="dxa"/>
            <w:tcBorders>
              <w:top w:val="nil"/>
              <w:left w:val="nil"/>
              <w:bottom w:val="nil"/>
              <w:right w:val="nil"/>
            </w:tcBorders>
            <w:shd w:val="clear" w:color="auto" w:fill="auto"/>
            <w:noWrap/>
            <w:vAlign w:val="bottom"/>
            <w:hideMark/>
          </w:tcPr>
          <w:p w14:paraId="76A546A3"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109A3752" w14:textId="77777777" w:rsidTr="00D60A28">
        <w:trPr>
          <w:trHeight w:val="285"/>
        </w:trPr>
        <w:tc>
          <w:tcPr>
            <w:tcW w:w="5354" w:type="dxa"/>
            <w:gridSpan w:val="2"/>
            <w:tcBorders>
              <w:top w:val="nil"/>
              <w:left w:val="nil"/>
              <w:bottom w:val="nil"/>
              <w:right w:val="nil"/>
            </w:tcBorders>
            <w:shd w:val="clear" w:color="auto" w:fill="auto"/>
            <w:noWrap/>
            <w:vAlign w:val="center"/>
            <w:hideMark/>
          </w:tcPr>
          <w:p w14:paraId="68A52423"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Education</w:t>
            </w:r>
          </w:p>
        </w:tc>
        <w:tc>
          <w:tcPr>
            <w:tcW w:w="1576" w:type="dxa"/>
            <w:tcBorders>
              <w:top w:val="nil"/>
              <w:left w:val="nil"/>
              <w:bottom w:val="nil"/>
              <w:right w:val="nil"/>
            </w:tcBorders>
            <w:shd w:val="clear" w:color="auto" w:fill="auto"/>
            <w:noWrap/>
            <w:vAlign w:val="bottom"/>
            <w:hideMark/>
          </w:tcPr>
          <w:p w14:paraId="2268419C" w14:textId="77777777" w:rsidR="0076143F" w:rsidRPr="00AF720A" w:rsidRDefault="0076143F" w:rsidP="00531775">
            <w:pPr>
              <w:adjustRightInd/>
              <w:snapToGrid/>
              <w:spacing w:afterLines="0" w:after="0" w:line="240" w:lineRule="auto"/>
              <w:rPr>
                <w:bCs w:val="0"/>
                <w:lang w:val="en-US" w:eastAsia="zh-CN"/>
              </w:rPr>
            </w:pPr>
          </w:p>
        </w:tc>
        <w:tc>
          <w:tcPr>
            <w:tcW w:w="2250" w:type="dxa"/>
            <w:tcBorders>
              <w:top w:val="nil"/>
              <w:left w:val="nil"/>
              <w:bottom w:val="nil"/>
              <w:right w:val="nil"/>
            </w:tcBorders>
            <w:shd w:val="clear" w:color="auto" w:fill="auto"/>
            <w:noWrap/>
            <w:vAlign w:val="bottom"/>
            <w:hideMark/>
          </w:tcPr>
          <w:p w14:paraId="14A9D0EC"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51C099A4"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64D31359"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2EFF7007" w14:textId="77777777" w:rsidTr="00D60A28">
        <w:trPr>
          <w:trHeight w:val="285"/>
        </w:trPr>
        <w:tc>
          <w:tcPr>
            <w:tcW w:w="4050" w:type="dxa"/>
            <w:tcBorders>
              <w:top w:val="nil"/>
              <w:left w:val="nil"/>
              <w:bottom w:val="nil"/>
              <w:right w:val="nil"/>
            </w:tcBorders>
            <w:shd w:val="clear" w:color="auto" w:fill="auto"/>
            <w:noWrap/>
            <w:vAlign w:val="center"/>
            <w:hideMark/>
          </w:tcPr>
          <w:p w14:paraId="0748ED2E"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Less than High school</w:t>
            </w:r>
          </w:p>
        </w:tc>
        <w:tc>
          <w:tcPr>
            <w:tcW w:w="1304" w:type="dxa"/>
            <w:tcBorders>
              <w:top w:val="nil"/>
              <w:left w:val="nil"/>
              <w:bottom w:val="nil"/>
              <w:right w:val="nil"/>
            </w:tcBorders>
            <w:shd w:val="clear" w:color="auto" w:fill="auto"/>
            <w:noWrap/>
            <w:vAlign w:val="center"/>
            <w:hideMark/>
          </w:tcPr>
          <w:p w14:paraId="13BFAD85"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3B707672" w14:textId="142A8BA8"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12.5</w:t>
            </w:r>
          </w:p>
        </w:tc>
        <w:tc>
          <w:tcPr>
            <w:tcW w:w="2250" w:type="dxa"/>
            <w:tcBorders>
              <w:top w:val="nil"/>
              <w:left w:val="nil"/>
              <w:bottom w:val="nil"/>
              <w:right w:val="nil"/>
            </w:tcBorders>
            <w:shd w:val="clear" w:color="auto" w:fill="auto"/>
            <w:noWrap/>
            <w:vAlign w:val="bottom"/>
            <w:hideMark/>
          </w:tcPr>
          <w:p w14:paraId="647CD6EB" w14:textId="66A250C1"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15.3</w:t>
            </w:r>
          </w:p>
        </w:tc>
        <w:tc>
          <w:tcPr>
            <w:tcW w:w="1710" w:type="dxa"/>
            <w:tcBorders>
              <w:top w:val="nil"/>
              <w:left w:val="nil"/>
              <w:bottom w:val="nil"/>
              <w:right w:val="nil"/>
            </w:tcBorders>
            <w:shd w:val="clear" w:color="auto" w:fill="auto"/>
            <w:noWrap/>
            <w:vAlign w:val="bottom"/>
            <w:hideMark/>
          </w:tcPr>
          <w:p w14:paraId="244DD79B" w14:textId="392C588C"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16.0</w:t>
            </w:r>
          </w:p>
        </w:tc>
        <w:tc>
          <w:tcPr>
            <w:tcW w:w="990" w:type="dxa"/>
            <w:tcBorders>
              <w:top w:val="nil"/>
              <w:left w:val="nil"/>
              <w:bottom w:val="nil"/>
              <w:right w:val="nil"/>
            </w:tcBorders>
            <w:shd w:val="clear" w:color="auto" w:fill="auto"/>
            <w:noWrap/>
            <w:vAlign w:val="bottom"/>
            <w:hideMark/>
          </w:tcPr>
          <w:p w14:paraId="59550DCE"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2120075E" w14:textId="77777777" w:rsidTr="00D60A28">
        <w:trPr>
          <w:trHeight w:val="285"/>
        </w:trPr>
        <w:tc>
          <w:tcPr>
            <w:tcW w:w="4050" w:type="dxa"/>
            <w:tcBorders>
              <w:top w:val="nil"/>
              <w:left w:val="nil"/>
              <w:bottom w:val="nil"/>
              <w:right w:val="nil"/>
            </w:tcBorders>
            <w:shd w:val="clear" w:color="auto" w:fill="auto"/>
            <w:noWrap/>
            <w:vAlign w:val="center"/>
            <w:hideMark/>
          </w:tcPr>
          <w:p w14:paraId="18798E5E"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High School</w:t>
            </w:r>
          </w:p>
        </w:tc>
        <w:tc>
          <w:tcPr>
            <w:tcW w:w="1304" w:type="dxa"/>
            <w:tcBorders>
              <w:top w:val="nil"/>
              <w:left w:val="nil"/>
              <w:bottom w:val="nil"/>
              <w:right w:val="nil"/>
            </w:tcBorders>
            <w:shd w:val="clear" w:color="auto" w:fill="auto"/>
            <w:noWrap/>
            <w:vAlign w:val="center"/>
            <w:hideMark/>
          </w:tcPr>
          <w:p w14:paraId="0A576D1D"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5701B784" w14:textId="691F565A"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19.6</w:t>
            </w:r>
          </w:p>
        </w:tc>
        <w:tc>
          <w:tcPr>
            <w:tcW w:w="2250" w:type="dxa"/>
            <w:tcBorders>
              <w:top w:val="nil"/>
              <w:left w:val="nil"/>
              <w:bottom w:val="nil"/>
              <w:right w:val="nil"/>
            </w:tcBorders>
            <w:shd w:val="clear" w:color="auto" w:fill="auto"/>
            <w:noWrap/>
            <w:vAlign w:val="bottom"/>
            <w:hideMark/>
          </w:tcPr>
          <w:p w14:paraId="77EA35D1" w14:textId="15033D9D"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21.5</w:t>
            </w:r>
          </w:p>
        </w:tc>
        <w:tc>
          <w:tcPr>
            <w:tcW w:w="1710" w:type="dxa"/>
            <w:tcBorders>
              <w:top w:val="nil"/>
              <w:left w:val="nil"/>
              <w:bottom w:val="nil"/>
              <w:right w:val="nil"/>
            </w:tcBorders>
            <w:shd w:val="clear" w:color="auto" w:fill="auto"/>
            <w:noWrap/>
            <w:vAlign w:val="bottom"/>
            <w:hideMark/>
          </w:tcPr>
          <w:p w14:paraId="6F1F7E38" w14:textId="3E933CEA"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24.3</w:t>
            </w:r>
          </w:p>
        </w:tc>
        <w:tc>
          <w:tcPr>
            <w:tcW w:w="990" w:type="dxa"/>
            <w:tcBorders>
              <w:top w:val="nil"/>
              <w:left w:val="nil"/>
              <w:bottom w:val="nil"/>
              <w:right w:val="nil"/>
            </w:tcBorders>
            <w:shd w:val="clear" w:color="auto" w:fill="auto"/>
            <w:noWrap/>
            <w:vAlign w:val="bottom"/>
            <w:hideMark/>
          </w:tcPr>
          <w:p w14:paraId="263A2EBE"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58DA01F6" w14:textId="77777777" w:rsidTr="00D60A28">
        <w:trPr>
          <w:trHeight w:val="285"/>
        </w:trPr>
        <w:tc>
          <w:tcPr>
            <w:tcW w:w="4050" w:type="dxa"/>
            <w:tcBorders>
              <w:top w:val="nil"/>
              <w:left w:val="nil"/>
              <w:bottom w:val="nil"/>
              <w:right w:val="nil"/>
            </w:tcBorders>
            <w:shd w:val="clear" w:color="auto" w:fill="auto"/>
            <w:noWrap/>
            <w:vAlign w:val="center"/>
            <w:hideMark/>
          </w:tcPr>
          <w:p w14:paraId="64C75A8B"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Some college and above</w:t>
            </w:r>
          </w:p>
        </w:tc>
        <w:tc>
          <w:tcPr>
            <w:tcW w:w="1304" w:type="dxa"/>
            <w:tcBorders>
              <w:top w:val="nil"/>
              <w:left w:val="nil"/>
              <w:bottom w:val="nil"/>
              <w:right w:val="nil"/>
            </w:tcBorders>
            <w:shd w:val="clear" w:color="auto" w:fill="auto"/>
            <w:noWrap/>
            <w:vAlign w:val="center"/>
            <w:hideMark/>
          </w:tcPr>
          <w:p w14:paraId="4EE96594"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6AEACBDC" w14:textId="66981111"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67.9</w:t>
            </w:r>
          </w:p>
        </w:tc>
        <w:tc>
          <w:tcPr>
            <w:tcW w:w="2250" w:type="dxa"/>
            <w:tcBorders>
              <w:top w:val="nil"/>
              <w:left w:val="nil"/>
              <w:bottom w:val="nil"/>
              <w:right w:val="nil"/>
            </w:tcBorders>
            <w:shd w:val="clear" w:color="auto" w:fill="auto"/>
            <w:noWrap/>
            <w:vAlign w:val="bottom"/>
            <w:hideMark/>
          </w:tcPr>
          <w:p w14:paraId="4C9BA2BE" w14:textId="3149BC57"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63.2</w:t>
            </w:r>
          </w:p>
        </w:tc>
        <w:tc>
          <w:tcPr>
            <w:tcW w:w="1710" w:type="dxa"/>
            <w:tcBorders>
              <w:top w:val="nil"/>
              <w:left w:val="nil"/>
              <w:bottom w:val="nil"/>
              <w:right w:val="nil"/>
            </w:tcBorders>
            <w:shd w:val="clear" w:color="auto" w:fill="auto"/>
            <w:noWrap/>
            <w:vAlign w:val="bottom"/>
            <w:hideMark/>
          </w:tcPr>
          <w:p w14:paraId="09BF3B8D" w14:textId="7111921D"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59.7</w:t>
            </w:r>
          </w:p>
        </w:tc>
        <w:tc>
          <w:tcPr>
            <w:tcW w:w="990" w:type="dxa"/>
            <w:tcBorders>
              <w:top w:val="nil"/>
              <w:left w:val="nil"/>
              <w:bottom w:val="nil"/>
              <w:right w:val="nil"/>
            </w:tcBorders>
            <w:shd w:val="clear" w:color="auto" w:fill="auto"/>
            <w:noWrap/>
            <w:vAlign w:val="bottom"/>
            <w:hideMark/>
          </w:tcPr>
          <w:p w14:paraId="085C529D"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2FA201D8" w14:textId="77777777" w:rsidTr="00D60A28">
        <w:trPr>
          <w:trHeight w:val="285"/>
        </w:trPr>
        <w:tc>
          <w:tcPr>
            <w:tcW w:w="4050" w:type="dxa"/>
            <w:tcBorders>
              <w:top w:val="nil"/>
              <w:left w:val="nil"/>
              <w:bottom w:val="nil"/>
              <w:right w:val="nil"/>
            </w:tcBorders>
            <w:shd w:val="clear" w:color="auto" w:fill="auto"/>
            <w:noWrap/>
            <w:vAlign w:val="center"/>
            <w:hideMark/>
          </w:tcPr>
          <w:p w14:paraId="3E8A2BA9"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Smoking</w:t>
            </w:r>
          </w:p>
        </w:tc>
        <w:tc>
          <w:tcPr>
            <w:tcW w:w="1304" w:type="dxa"/>
            <w:tcBorders>
              <w:top w:val="nil"/>
              <w:left w:val="nil"/>
              <w:bottom w:val="nil"/>
              <w:right w:val="nil"/>
            </w:tcBorders>
            <w:shd w:val="clear" w:color="auto" w:fill="auto"/>
            <w:noWrap/>
            <w:vAlign w:val="center"/>
            <w:hideMark/>
          </w:tcPr>
          <w:p w14:paraId="55B9BE72" w14:textId="77777777" w:rsidR="0076143F" w:rsidRPr="00AF720A" w:rsidRDefault="0076143F" w:rsidP="00531775">
            <w:pPr>
              <w:adjustRightInd/>
              <w:snapToGrid/>
              <w:spacing w:afterLines="0" w:after="0" w:line="240" w:lineRule="auto"/>
              <w:rPr>
                <w:bCs w:val="0"/>
                <w:lang w:val="en-US" w:eastAsia="zh-CN"/>
              </w:rPr>
            </w:pPr>
          </w:p>
        </w:tc>
        <w:tc>
          <w:tcPr>
            <w:tcW w:w="1576" w:type="dxa"/>
            <w:tcBorders>
              <w:top w:val="nil"/>
              <w:left w:val="nil"/>
              <w:bottom w:val="nil"/>
              <w:right w:val="nil"/>
            </w:tcBorders>
            <w:shd w:val="clear" w:color="auto" w:fill="auto"/>
            <w:noWrap/>
            <w:vAlign w:val="bottom"/>
            <w:hideMark/>
          </w:tcPr>
          <w:p w14:paraId="51CC0344"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2250" w:type="dxa"/>
            <w:tcBorders>
              <w:top w:val="nil"/>
              <w:left w:val="nil"/>
              <w:bottom w:val="nil"/>
              <w:right w:val="nil"/>
            </w:tcBorders>
            <w:shd w:val="clear" w:color="auto" w:fill="auto"/>
            <w:noWrap/>
            <w:vAlign w:val="bottom"/>
            <w:hideMark/>
          </w:tcPr>
          <w:p w14:paraId="1AA6181B"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1710" w:type="dxa"/>
            <w:tcBorders>
              <w:top w:val="nil"/>
              <w:left w:val="nil"/>
              <w:bottom w:val="nil"/>
              <w:right w:val="nil"/>
            </w:tcBorders>
            <w:shd w:val="clear" w:color="auto" w:fill="auto"/>
            <w:noWrap/>
            <w:vAlign w:val="bottom"/>
            <w:hideMark/>
          </w:tcPr>
          <w:p w14:paraId="70F77376" w14:textId="77777777" w:rsidR="0076143F" w:rsidRPr="00AF720A" w:rsidRDefault="0076143F" w:rsidP="00531775">
            <w:pPr>
              <w:adjustRightInd/>
              <w:snapToGrid/>
              <w:spacing w:afterLines="0" w:after="0" w:line="240" w:lineRule="auto"/>
              <w:jc w:val="center"/>
              <w:rPr>
                <w:rFonts w:ascii="Times New Roman" w:hAnsi="Times New Roman" w:cs="Times New Roman"/>
                <w:bCs w:val="0"/>
                <w:sz w:val="20"/>
                <w:szCs w:val="20"/>
                <w:lang w:val="en-US" w:eastAsia="zh-CN"/>
              </w:rPr>
            </w:pPr>
          </w:p>
        </w:tc>
        <w:tc>
          <w:tcPr>
            <w:tcW w:w="990" w:type="dxa"/>
            <w:tcBorders>
              <w:top w:val="nil"/>
              <w:left w:val="nil"/>
              <w:bottom w:val="nil"/>
              <w:right w:val="nil"/>
            </w:tcBorders>
            <w:shd w:val="clear" w:color="auto" w:fill="auto"/>
            <w:noWrap/>
            <w:vAlign w:val="bottom"/>
            <w:hideMark/>
          </w:tcPr>
          <w:p w14:paraId="601563C9"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4DDD0392" w14:textId="77777777" w:rsidTr="00D60A28">
        <w:trPr>
          <w:trHeight w:val="285"/>
        </w:trPr>
        <w:tc>
          <w:tcPr>
            <w:tcW w:w="4050" w:type="dxa"/>
            <w:tcBorders>
              <w:top w:val="nil"/>
              <w:left w:val="nil"/>
              <w:bottom w:val="nil"/>
              <w:right w:val="nil"/>
            </w:tcBorders>
            <w:shd w:val="clear" w:color="auto" w:fill="auto"/>
            <w:noWrap/>
            <w:vAlign w:val="center"/>
            <w:hideMark/>
          </w:tcPr>
          <w:p w14:paraId="752D7D8D"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Never smoker</w:t>
            </w:r>
          </w:p>
        </w:tc>
        <w:tc>
          <w:tcPr>
            <w:tcW w:w="1304" w:type="dxa"/>
            <w:tcBorders>
              <w:top w:val="nil"/>
              <w:left w:val="nil"/>
              <w:bottom w:val="nil"/>
              <w:right w:val="nil"/>
            </w:tcBorders>
            <w:shd w:val="clear" w:color="auto" w:fill="auto"/>
            <w:noWrap/>
            <w:vAlign w:val="center"/>
            <w:hideMark/>
          </w:tcPr>
          <w:p w14:paraId="6D36925D"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6199FBA2" w14:textId="2027BC2F"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56.7</w:t>
            </w:r>
          </w:p>
        </w:tc>
        <w:tc>
          <w:tcPr>
            <w:tcW w:w="2250" w:type="dxa"/>
            <w:tcBorders>
              <w:top w:val="nil"/>
              <w:left w:val="nil"/>
              <w:bottom w:val="nil"/>
              <w:right w:val="nil"/>
            </w:tcBorders>
            <w:shd w:val="clear" w:color="auto" w:fill="auto"/>
            <w:noWrap/>
            <w:vAlign w:val="bottom"/>
            <w:hideMark/>
          </w:tcPr>
          <w:p w14:paraId="6B576DCF" w14:textId="70D77909"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55.0</w:t>
            </w:r>
          </w:p>
        </w:tc>
        <w:tc>
          <w:tcPr>
            <w:tcW w:w="1710" w:type="dxa"/>
            <w:tcBorders>
              <w:top w:val="nil"/>
              <w:left w:val="nil"/>
              <w:bottom w:val="nil"/>
              <w:right w:val="nil"/>
            </w:tcBorders>
            <w:shd w:val="clear" w:color="auto" w:fill="auto"/>
            <w:noWrap/>
            <w:vAlign w:val="bottom"/>
            <w:hideMark/>
          </w:tcPr>
          <w:p w14:paraId="141C96FD" w14:textId="5B9D2DF4"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57.2</w:t>
            </w:r>
          </w:p>
        </w:tc>
        <w:tc>
          <w:tcPr>
            <w:tcW w:w="990" w:type="dxa"/>
            <w:tcBorders>
              <w:top w:val="nil"/>
              <w:left w:val="nil"/>
              <w:bottom w:val="nil"/>
              <w:right w:val="nil"/>
            </w:tcBorders>
            <w:shd w:val="clear" w:color="auto" w:fill="auto"/>
            <w:noWrap/>
            <w:vAlign w:val="bottom"/>
            <w:hideMark/>
          </w:tcPr>
          <w:p w14:paraId="27D913E5"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2AD1C1E8" w14:textId="77777777" w:rsidTr="00D60A28">
        <w:trPr>
          <w:trHeight w:val="285"/>
        </w:trPr>
        <w:tc>
          <w:tcPr>
            <w:tcW w:w="4050" w:type="dxa"/>
            <w:tcBorders>
              <w:top w:val="nil"/>
              <w:left w:val="nil"/>
              <w:bottom w:val="nil"/>
              <w:right w:val="nil"/>
            </w:tcBorders>
            <w:shd w:val="clear" w:color="auto" w:fill="auto"/>
            <w:noWrap/>
            <w:vAlign w:val="center"/>
            <w:hideMark/>
          </w:tcPr>
          <w:p w14:paraId="32DEC78A"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Former smoker</w:t>
            </w:r>
          </w:p>
        </w:tc>
        <w:tc>
          <w:tcPr>
            <w:tcW w:w="1304" w:type="dxa"/>
            <w:tcBorders>
              <w:top w:val="nil"/>
              <w:left w:val="nil"/>
              <w:bottom w:val="nil"/>
              <w:right w:val="nil"/>
            </w:tcBorders>
            <w:shd w:val="clear" w:color="auto" w:fill="auto"/>
            <w:noWrap/>
            <w:vAlign w:val="center"/>
            <w:hideMark/>
          </w:tcPr>
          <w:p w14:paraId="2799C842"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51A45E9F" w14:textId="68AAF2BB"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20.2</w:t>
            </w:r>
          </w:p>
        </w:tc>
        <w:tc>
          <w:tcPr>
            <w:tcW w:w="2250" w:type="dxa"/>
            <w:tcBorders>
              <w:top w:val="nil"/>
              <w:left w:val="nil"/>
              <w:bottom w:val="nil"/>
              <w:right w:val="nil"/>
            </w:tcBorders>
            <w:shd w:val="clear" w:color="auto" w:fill="auto"/>
            <w:noWrap/>
            <w:vAlign w:val="bottom"/>
            <w:hideMark/>
          </w:tcPr>
          <w:p w14:paraId="29CEE104" w14:textId="68059000"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26.6</w:t>
            </w:r>
          </w:p>
        </w:tc>
        <w:tc>
          <w:tcPr>
            <w:tcW w:w="1710" w:type="dxa"/>
            <w:tcBorders>
              <w:top w:val="nil"/>
              <w:left w:val="nil"/>
              <w:bottom w:val="nil"/>
              <w:right w:val="nil"/>
            </w:tcBorders>
            <w:shd w:val="clear" w:color="auto" w:fill="auto"/>
            <w:noWrap/>
            <w:vAlign w:val="bottom"/>
            <w:hideMark/>
          </w:tcPr>
          <w:p w14:paraId="009B1579" w14:textId="79D44AB4"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25.2</w:t>
            </w:r>
          </w:p>
        </w:tc>
        <w:tc>
          <w:tcPr>
            <w:tcW w:w="990" w:type="dxa"/>
            <w:tcBorders>
              <w:top w:val="nil"/>
              <w:left w:val="nil"/>
              <w:bottom w:val="nil"/>
              <w:right w:val="nil"/>
            </w:tcBorders>
            <w:shd w:val="clear" w:color="auto" w:fill="auto"/>
            <w:noWrap/>
            <w:vAlign w:val="bottom"/>
            <w:hideMark/>
          </w:tcPr>
          <w:p w14:paraId="58936D37"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33C8BD35" w14:textId="77777777" w:rsidTr="00D60A28">
        <w:trPr>
          <w:trHeight w:val="285"/>
        </w:trPr>
        <w:tc>
          <w:tcPr>
            <w:tcW w:w="4050" w:type="dxa"/>
            <w:tcBorders>
              <w:top w:val="nil"/>
              <w:left w:val="nil"/>
              <w:bottom w:val="nil"/>
              <w:right w:val="nil"/>
            </w:tcBorders>
            <w:shd w:val="clear" w:color="auto" w:fill="auto"/>
            <w:noWrap/>
            <w:vAlign w:val="center"/>
            <w:hideMark/>
          </w:tcPr>
          <w:p w14:paraId="4C08A7F0" w14:textId="77777777" w:rsidR="0076143F" w:rsidRPr="00AF720A" w:rsidRDefault="0076143F" w:rsidP="00531775">
            <w:pPr>
              <w:adjustRightInd/>
              <w:snapToGrid/>
              <w:spacing w:afterLines="0" w:after="0" w:line="240" w:lineRule="auto"/>
              <w:ind w:firstLineChars="200" w:firstLine="440"/>
              <w:rPr>
                <w:bCs w:val="0"/>
                <w:lang w:val="en-US" w:eastAsia="zh-CN"/>
              </w:rPr>
            </w:pPr>
            <w:r w:rsidRPr="00AF720A">
              <w:rPr>
                <w:bCs w:val="0"/>
                <w:lang w:val="en-US" w:eastAsia="zh-CN"/>
              </w:rPr>
              <w:t>Current smoker</w:t>
            </w:r>
          </w:p>
        </w:tc>
        <w:tc>
          <w:tcPr>
            <w:tcW w:w="1304" w:type="dxa"/>
            <w:tcBorders>
              <w:top w:val="nil"/>
              <w:left w:val="nil"/>
              <w:bottom w:val="nil"/>
              <w:right w:val="nil"/>
            </w:tcBorders>
            <w:shd w:val="clear" w:color="auto" w:fill="auto"/>
            <w:noWrap/>
            <w:vAlign w:val="center"/>
            <w:hideMark/>
          </w:tcPr>
          <w:p w14:paraId="031F870C"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6B8C7734" w14:textId="672FA5E7"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23.1</w:t>
            </w:r>
          </w:p>
        </w:tc>
        <w:tc>
          <w:tcPr>
            <w:tcW w:w="2250" w:type="dxa"/>
            <w:tcBorders>
              <w:top w:val="nil"/>
              <w:left w:val="nil"/>
              <w:bottom w:val="nil"/>
              <w:right w:val="nil"/>
            </w:tcBorders>
            <w:shd w:val="clear" w:color="auto" w:fill="auto"/>
            <w:noWrap/>
            <w:vAlign w:val="bottom"/>
            <w:hideMark/>
          </w:tcPr>
          <w:p w14:paraId="06C5E74E" w14:textId="57E65AF3"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28.4</w:t>
            </w:r>
          </w:p>
        </w:tc>
        <w:tc>
          <w:tcPr>
            <w:tcW w:w="1710" w:type="dxa"/>
            <w:tcBorders>
              <w:top w:val="nil"/>
              <w:left w:val="nil"/>
              <w:bottom w:val="nil"/>
              <w:right w:val="nil"/>
            </w:tcBorders>
            <w:shd w:val="clear" w:color="auto" w:fill="auto"/>
            <w:noWrap/>
            <w:vAlign w:val="bottom"/>
            <w:hideMark/>
          </w:tcPr>
          <w:p w14:paraId="7147449E" w14:textId="3B90AE21"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17.6</w:t>
            </w:r>
          </w:p>
        </w:tc>
        <w:tc>
          <w:tcPr>
            <w:tcW w:w="990" w:type="dxa"/>
            <w:tcBorders>
              <w:top w:val="nil"/>
              <w:left w:val="nil"/>
              <w:bottom w:val="nil"/>
              <w:right w:val="nil"/>
            </w:tcBorders>
            <w:shd w:val="clear" w:color="auto" w:fill="auto"/>
            <w:noWrap/>
            <w:vAlign w:val="bottom"/>
            <w:hideMark/>
          </w:tcPr>
          <w:p w14:paraId="562064D2" w14:textId="77777777" w:rsidR="0076143F" w:rsidRPr="00AF720A" w:rsidRDefault="0076143F" w:rsidP="00531775">
            <w:pPr>
              <w:adjustRightInd/>
              <w:snapToGrid/>
              <w:spacing w:afterLines="0" w:after="0" w:line="240" w:lineRule="auto"/>
              <w:jc w:val="center"/>
              <w:rPr>
                <w:bCs w:val="0"/>
                <w:lang w:val="en-US" w:eastAsia="zh-CN"/>
              </w:rPr>
            </w:pPr>
          </w:p>
        </w:tc>
      </w:tr>
      <w:tr w:rsidR="0033593D" w:rsidRPr="00AF720A" w14:paraId="2D06096E" w14:textId="77777777" w:rsidTr="00D60A28">
        <w:trPr>
          <w:trHeight w:val="285"/>
        </w:trPr>
        <w:tc>
          <w:tcPr>
            <w:tcW w:w="4050" w:type="dxa"/>
            <w:tcBorders>
              <w:top w:val="nil"/>
              <w:left w:val="nil"/>
              <w:bottom w:val="nil"/>
              <w:right w:val="nil"/>
            </w:tcBorders>
            <w:shd w:val="clear" w:color="auto" w:fill="auto"/>
            <w:noWrap/>
            <w:vAlign w:val="center"/>
            <w:hideMark/>
          </w:tcPr>
          <w:p w14:paraId="370F69D4"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Alcohol drinking (yes)</w:t>
            </w:r>
          </w:p>
        </w:tc>
        <w:tc>
          <w:tcPr>
            <w:tcW w:w="1304" w:type="dxa"/>
            <w:tcBorders>
              <w:top w:val="nil"/>
              <w:left w:val="nil"/>
              <w:bottom w:val="nil"/>
              <w:right w:val="nil"/>
            </w:tcBorders>
            <w:shd w:val="clear" w:color="auto" w:fill="auto"/>
            <w:noWrap/>
            <w:vAlign w:val="center"/>
            <w:hideMark/>
          </w:tcPr>
          <w:p w14:paraId="655BC01B"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0BE5C0B3" w14:textId="344438F7"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41.2</w:t>
            </w:r>
          </w:p>
        </w:tc>
        <w:tc>
          <w:tcPr>
            <w:tcW w:w="2250" w:type="dxa"/>
            <w:tcBorders>
              <w:top w:val="nil"/>
              <w:left w:val="nil"/>
              <w:bottom w:val="nil"/>
              <w:right w:val="nil"/>
            </w:tcBorders>
            <w:shd w:val="clear" w:color="auto" w:fill="auto"/>
            <w:noWrap/>
            <w:vAlign w:val="bottom"/>
            <w:hideMark/>
          </w:tcPr>
          <w:p w14:paraId="081E544B" w14:textId="4C8D96F7"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39.3</w:t>
            </w:r>
          </w:p>
        </w:tc>
        <w:tc>
          <w:tcPr>
            <w:tcW w:w="1710" w:type="dxa"/>
            <w:tcBorders>
              <w:top w:val="nil"/>
              <w:left w:val="nil"/>
              <w:bottom w:val="nil"/>
              <w:right w:val="nil"/>
            </w:tcBorders>
            <w:shd w:val="clear" w:color="auto" w:fill="auto"/>
            <w:noWrap/>
            <w:vAlign w:val="bottom"/>
            <w:hideMark/>
          </w:tcPr>
          <w:p w14:paraId="0E947CBE" w14:textId="78640BA8"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29.9</w:t>
            </w:r>
          </w:p>
        </w:tc>
        <w:tc>
          <w:tcPr>
            <w:tcW w:w="990" w:type="dxa"/>
            <w:tcBorders>
              <w:top w:val="nil"/>
              <w:left w:val="nil"/>
              <w:bottom w:val="nil"/>
              <w:right w:val="nil"/>
            </w:tcBorders>
            <w:shd w:val="clear" w:color="auto" w:fill="auto"/>
            <w:noWrap/>
            <w:vAlign w:val="bottom"/>
            <w:hideMark/>
          </w:tcPr>
          <w:p w14:paraId="7182410A" w14:textId="4EEFE740"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&lt;.001</w:t>
            </w:r>
          </w:p>
        </w:tc>
      </w:tr>
      <w:tr w:rsidR="0033593D" w:rsidRPr="00AF720A" w14:paraId="020A8331" w14:textId="77777777" w:rsidTr="00D60A28">
        <w:trPr>
          <w:trHeight w:val="285"/>
        </w:trPr>
        <w:tc>
          <w:tcPr>
            <w:tcW w:w="4050" w:type="dxa"/>
            <w:tcBorders>
              <w:top w:val="nil"/>
              <w:left w:val="nil"/>
              <w:bottom w:val="nil"/>
              <w:right w:val="nil"/>
            </w:tcBorders>
            <w:shd w:val="clear" w:color="auto" w:fill="auto"/>
            <w:noWrap/>
            <w:vAlign w:val="center"/>
            <w:hideMark/>
          </w:tcPr>
          <w:p w14:paraId="4748BE1B"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Chronic conditions (yes)</w:t>
            </w:r>
            <w:r w:rsidRPr="00AF720A">
              <w:rPr>
                <w:bCs w:val="0"/>
                <w:vertAlign w:val="superscript"/>
                <w:lang w:val="en-US" w:eastAsia="zh-CN"/>
              </w:rPr>
              <w:t>b</w:t>
            </w:r>
          </w:p>
        </w:tc>
        <w:tc>
          <w:tcPr>
            <w:tcW w:w="1304" w:type="dxa"/>
            <w:tcBorders>
              <w:top w:val="nil"/>
              <w:left w:val="nil"/>
              <w:bottom w:val="nil"/>
              <w:right w:val="nil"/>
            </w:tcBorders>
            <w:shd w:val="clear" w:color="auto" w:fill="auto"/>
            <w:noWrap/>
            <w:vAlign w:val="center"/>
            <w:hideMark/>
          </w:tcPr>
          <w:p w14:paraId="4CB1E009"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w:t>
            </w:r>
          </w:p>
        </w:tc>
        <w:tc>
          <w:tcPr>
            <w:tcW w:w="1576" w:type="dxa"/>
            <w:tcBorders>
              <w:top w:val="nil"/>
              <w:left w:val="nil"/>
              <w:bottom w:val="nil"/>
              <w:right w:val="nil"/>
            </w:tcBorders>
            <w:shd w:val="clear" w:color="auto" w:fill="auto"/>
            <w:noWrap/>
            <w:vAlign w:val="bottom"/>
            <w:hideMark/>
          </w:tcPr>
          <w:p w14:paraId="5EEC8505" w14:textId="5BB79479"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26.8</w:t>
            </w:r>
          </w:p>
        </w:tc>
        <w:tc>
          <w:tcPr>
            <w:tcW w:w="2250" w:type="dxa"/>
            <w:tcBorders>
              <w:top w:val="nil"/>
              <w:left w:val="nil"/>
              <w:bottom w:val="nil"/>
              <w:right w:val="nil"/>
            </w:tcBorders>
            <w:shd w:val="clear" w:color="auto" w:fill="auto"/>
            <w:noWrap/>
            <w:vAlign w:val="bottom"/>
            <w:hideMark/>
          </w:tcPr>
          <w:p w14:paraId="32B80328" w14:textId="4F521624"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35.6</w:t>
            </w:r>
          </w:p>
        </w:tc>
        <w:tc>
          <w:tcPr>
            <w:tcW w:w="1710" w:type="dxa"/>
            <w:tcBorders>
              <w:top w:val="nil"/>
              <w:left w:val="nil"/>
              <w:bottom w:val="nil"/>
              <w:right w:val="nil"/>
            </w:tcBorders>
            <w:shd w:val="clear" w:color="auto" w:fill="auto"/>
            <w:noWrap/>
            <w:vAlign w:val="bottom"/>
            <w:hideMark/>
          </w:tcPr>
          <w:p w14:paraId="585DF66A" w14:textId="715C71CF"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48.2</w:t>
            </w:r>
          </w:p>
        </w:tc>
        <w:tc>
          <w:tcPr>
            <w:tcW w:w="990" w:type="dxa"/>
            <w:tcBorders>
              <w:top w:val="nil"/>
              <w:left w:val="nil"/>
              <w:bottom w:val="nil"/>
              <w:right w:val="nil"/>
            </w:tcBorders>
            <w:shd w:val="clear" w:color="auto" w:fill="auto"/>
            <w:noWrap/>
            <w:vAlign w:val="bottom"/>
            <w:hideMark/>
          </w:tcPr>
          <w:p w14:paraId="27C31507" w14:textId="26EFBDDA" w:rsidR="0076143F" w:rsidRPr="00AF720A" w:rsidRDefault="00245910" w:rsidP="00531775">
            <w:pPr>
              <w:adjustRightInd/>
              <w:snapToGrid/>
              <w:spacing w:afterLines="0" w:after="0" w:line="240" w:lineRule="auto"/>
              <w:jc w:val="center"/>
              <w:rPr>
                <w:bCs w:val="0"/>
                <w:lang w:val="en-US" w:eastAsia="zh-CN"/>
              </w:rPr>
            </w:pPr>
            <w:r w:rsidRPr="00AF720A">
              <w:rPr>
                <w:bCs w:val="0"/>
                <w:lang w:val="en-US" w:eastAsia="zh-CN"/>
              </w:rPr>
              <w:t>&lt;.0001</w:t>
            </w:r>
          </w:p>
        </w:tc>
      </w:tr>
      <w:tr w:rsidR="0033593D" w:rsidRPr="00AF720A" w14:paraId="2B1A92DD" w14:textId="77777777" w:rsidTr="00D60A28">
        <w:trPr>
          <w:trHeight w:val="285"/>
        </w:trPr>
        <w:tc>
          <w:tcPr>
            <w:tcW w:w="4050" w:type="dxa"/>
            <w:tcBorders>
              <w:top w:val="nil"/>
              <w:left w:val="nil"/>
              <w:bottom w:val="nil"/>
              <w:right w:val="nil"/>
            </w:tcBorders>
            <w:shd w:val="clear" w:color="auto" w:fill="auto"/>
            <w:noWrap/>
            <w:vAlign w:val="center"/>
            <w:hideMark/>
          </w:tcPr>
          <w:p w14:paraId="7ACABEE7"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Total energy intake (kcal, day)</w:t>
            </w:r>
          </w:p>
        </w:tc>
        <w:tc>
          <w:tcPr>
            <w:tcW w:w="1304" w:type="dxa"/>
            <w:tcBorders>
              <w:top w:val="nil"/>
              <w:left w:val="nil"/>
              <w:bottom w:val="nil"/>
              <w:right w:val="nil"/>
            </w:tcBorders>
            <w:shd w:val="clear" w:color="auto" w:fill="auto"/>
            <w:noWrap/>
            <w:vAlign w:val="bottom"/>
            <w:hideMark/>
          </w:tcPr>
          <w:p w14:paraId="4F0A9AAE"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mean (se)</w:t>
            </w:r>
          </w:p>
        </w:tc>
        <w:tc>
          <w:tcPr>
            <w:tcW w:w="1576" w:type="dxa"/>
            <w:tcBorders>
              <w:top w:val="nil"/>
              <w:left w:val="nil"/>
              <w:bottom w:val="nil"/>
              <w:right w:val="nil"/>
            </w:tcBorders>
            <w:shd w:val="clear" w:color="auto" w:fill="auto"/>
            <w:noWrap/>
            <w:vAlign w:val="bottom"/>
            <w:hideMark/>
          </w:tcPr>
          <w:p w14:paraId="64DCDB4D" w14:textId="52479597" w:rsidR="0076143F" w:rsidRPr="00AF720A" w:rsidRDefault="0076143F" w:rsidP="001C3169">
            <w:pPr>
              <w:adjustRightInd/>
              <w:snapToGrid/>
              <w:spacing w:afterLines="0" w:after="0" w:line="240" w:lineRule="auto"/>
              <w:jc w:val="center"/>
              <w:rPr>
                <w:bCs w:val="0"/>
                <w:lang w:val="en-US" w:eastAsia="zh-CN"/>
              </w:rPr>
            </w:pPr>
            <w:r w:rsidRPr="00AF720A">
              <w:rPr>
                <w:bCs w:val="0"/>
                <w:lang w:val="en-US" w:eastAsia="zh-CN"/>
              </w:rPr>
              <w:t>2</w:t>
            </w:r>
            <w:r w:rsidR="001C3169" w:rsidRPr="00AF720A">
              <w:rPr>
                <w:bCs w:val="0"/>
                <w:lang w:val="en-US" w:eastAsia="zh-CN"/>
              </w:rPr>
              <w:t>133.7</w:t>
            </w:r>
            <w:r w:rsidRPr="00AF720A">
              <w:rPr>
                <w:bCs w:val="0"/>
                <w:lang w:val="en-US" w:eastAsia="zh-CN"/>
              </w:rPr>
              <w:t xml:space="preserve"> (</w:t>
            </w:r>
            <w:r w:rsidR="001C3169" w:rsidRPr="00AF720A">
              <w:rPr>
                <w:bCs w:val="0"/>
                <w:lang w:val="en-US" w:eastAsia="zh-CN"/>
              </w:rPr>
              <w:t>20.7</w:t>
            </w:r>
            <w:r w:rsidRPr="00AF720A">
              <w:rPr>
                <w:bCs w:val="0"/>
                <w:lang w:val="en-US" w:eastAsia="zh-CN"/>
              </w:rPr>
              <w:t>)</w:t>
            </w:r>
          </w:p>
        </w:tc>
        <w:tc>
          <w:tcPr>
            <w:tcW w:w="2250" w:type="dxa"/>
            <w:tcBorders>
              <w:top w:val="nil"/>
              <w:left w:val="nil"/>
              <w:bottom w:val="nil"/>
              <w:right w:val="nil"/>
            </w:tcBorders>
            <w:shd w:val="clear" w:color="auto" w:fill="auto"/>
            <w:noWrap/>
            <w:vAlign w:val="bottom"/>
            <w:hideMark/>
          </w:tcPr>
          <w:p w14:paraId="07D60DDD" w14:textId="733225D8" w:rsidR="0076143F" w:rsidRPr="00AF720A" w:rsidRDefault="0076143F" w:rsidP="001C3169">
            <w:pPr>
              <w:adjustRightInd/>
              <w:snapToGrid/>
              <w:spacing w:afterLines="0" w:after="0" w:line="240" w:lineRule="auto"/>
              <w:jc w:val="center"/>
              <w:rPr>
                <w:bCs w:val="0"/>
                <w:lang w:val="en-US" w:eastAsia="zh-CN"/>
              </w:rPr>
            </w:pPr>
            <w:r w:rsidRPr="00AF720A">
              <w:rPr>
                <w:bCs w:val="0"/>
                <w:lang w:val="en-US" w:eastAsia="zh-CN"/>
              </w:rPr>
              <w:t>2</w:t>
            </w:r>
            <w:r w:rsidR="001C3169" w:rsidRPr="00AF720A">
              <w:rPr>
                <w:bCs w:val="0"/>
                <w:lang w:val="en-US" w:eastAsia="zh-CN"/>
              </w:rPr>
              <w:t>145.7</w:t>
            </w:r>
            <w:r w:rsidRPr="00AF720A">
              <w:rPr>
                <w:bCs w:val="0"/>
                <w:lang w:val="en-US" w:eastAsia="zh-CN"/>
              </w:rPr>
              <w:t xml:space="preserve"> (</w:t>
            </w:r>
            <w:r w:rsidR="001C3169" w:rsidRPr="00AF720A">
              <w:rPr>
                <w:bCs w:val="0"/>
                <w:lang w:val="en-US" w:eastAsia="zh-CN"/>
              </w:rPr>
              <w:t>15.5</w:t>
            </w:r>
            <w:r w:rsidRPr="00AF720A">
              <w:rPr>
                <w:bCs w:val="0"/>
                <w:lang w:val="en-US" w:eastAsia="zh-CN"/>
              </w:rPr>
              <w:t>)</w:t>
            </w:r>
          </w:p>
        </w:tc>
        <w:tc>
          <w:tcPr>
            <w:tcW w:w="1710" w:type="dxa"/>
            <w:tcBorders>
              <w:top w:val="nil"/>
              <w:left w:val="nil"/>
              <w:bottom w:val="nil"/>
              <w:right w:val="nil"/>
            </w:tcBorders>
            <w:shd w:val="clear" w:color="auto" w:fill="auto"/>
            <w:noWrap/>
            <w:vAlign w:val="bottom"/>
            <w:hideMark/>
          </w:tcPr>
          <w:p w14:paraId="39DE988C" w14:textId="32B3E90E" w:rsidR="0076143F" w:rsidRPr="00AF720A" w:rsidRDefault="0076143F" w:rsidP="001C3169">
            <w:pPr>
              <w:adjustRightInd/>
              <w:snapToGrid/>
              <w:spacing w:afterLines="0" w:after="0" w:line="240" w:lineRule="auto"/>
              <w:jc w:val="center"/>
              <w:rPr>
                <w:bCs w:val="0"/>
                <w:lang w:val="en-US" w:eastAsia="zh-CN"/>
              </w:rPr>
            </w:pPr>
            <w:r w:rsidRPr="00AF720A">
              <w:rPr>
                <w:bCs w:val="0"/>
                <w:lang w:val="en-US" w:eastAsia="zh-CN"/>
              </w:rPr>
              <w:t>21</w:t>
            </w:r>
            <w:r w:rsidR="001C3169" w:rsidRPr="00AF720A">
              <w:rPr>
                <w:bCs w:val="0"/>
                <w:lang w:val="en-US" w:eastAsia="zh-CN"/>
              </w:rPr>
              <w:t>03.9</w:t>
            </w:r>
            <w:r w:rsidRPr="00AF720A">
              <w:rPr>
                <w:bCs w:val="0"/>
                <w:lang w:val="en-US" w:eastAsia="zh-CN"/>
              </w:rPr>
              <w:t xml:space="preserve"> (</w:t>
            </w:r>
            <w:r w:rsidR="001C3169" w:rsidRPr="00AF720A">
              <w:rPr>
                <w:bCs w:val="0"/>
                <w:lang w:val="en-US" w:eastAsia="zh-CN"/>
              </w:rPr>
              <w:t>16.2</w:t>
            </w:r>
            <w:r w:rsidRPr="00AF720A">
              <w:rPr>
                <w:bCs w:val="0"/>
                <w:lang w:val="en-US" w:eastAsia="zh-CN"/>
              </w:rPr>
              <w:t>)</w:t>
            </w:r>
          </w:p>
        </w:tc>
        <w:tc>
          <w:tcPr>
            <w:tcW w:w="990" w:type="dxa"/>
            <w:tcBorders>
              <w:top w:val="nil"/>
              <w:left w:val="nil"/>
              <w:bottom w:val="nil"/>
              <w:right w:val="nil"/>
            </w:tcBorders>
            <w:shd w:val="clear" w:color="auto" w:fill="auto"/>
            <w:noWrap/>
            <w:vAlign w:val="bottom"/>
            <w:hideMark/>
          </w:tcPr>
          <w:p w14:paraId="2B8F14B8" w14:textId="61604803" w:rsidR="0076143F" w:rsidRPr="00AF720A" w:rsidRDefault="0076143F" w:rsidP="001C3169">
            <w:pPr>
              <w:adjustRightInd/>
              <w:snapToGrid/>
              <w:spacing w:afterLines="0" w:after="0" w:line="240" w:lineRule="auto"/>
              <w:jc w:val="center"/>
              <w:rPr>
                <w:bCs w:val="0"/>
                <w:lang w:val="en-US" w:eastAsia="zh-CN"/>
              </w:rPr>
            </w:pPr>
            <w:r w:rsidRPr="00AF720A">
              <w:rPr>
                <w:bCs w:val="0"/>
                <w:lang w:val="en-US" w:eastAsia="zh-CN"/>
              </w:rPr>
              <w:t>0.</w:t>
            </w:r>
            <w:r w:rsidR="001C3169" w:rsidRPr="00AF720A">
              <w:rPr>
                <w:bCs w:val="0"/>
                <w:lang w:val="en-US" w:eastAsia="zh-CN"/>
              </w:rPr>
              <w:t>262</w:t>
            </w:r>
          </w:p>
        </w:tc>
      </w:tr>
      <w:tr w:rsidR="0033593D" w:rsidRPr="00AF720A" w14:paraId="4BC7D55E" w14:textId="77777777" w:rsidTr="00D60A28">
        <w:trPr>
          <w:trHeight w:val="285"/>
        </w:trPr>
        <w:tc>
          <w:tcPr>
            <w:tcW w:w="4050" w:type="dxa"/>
            <w:tcBorders>
              <w:top w:val="nil"/>
              <w:left w:val="nil"/>
              <w:bottom w:val="nil"/>
              <w:right w:val="nil"/>
            </w:tcBorders>
            <w:shd w:val="clear" w:color="auto" w:fill="auto"/>
            <w:noWrap/>
            <w:vAlign w:val="center"/>
            <w:hideMark/>
          </w:tcPr>
          <w:p w14:paraId="3580EEB8"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Total sugar intake (gram, day)</w:t>
            </w:r>
          </w:p>
        </w:tc>
        <w:tc>
          <w:tcPr>
            <w:tcW w:w="1304" w:type="dxa"/>
            <w:tcBorders>
              <w:top w:val="nil"/>
              <w:left w:val="nil"/>
              <w:bottom w:val="nil"/>
              <w:right w:val="nil"/>
            </w:tcBorders>
            <w:shd w:val="clear" w:color="auto" w:fill="auto"/>
            <w:noWrap/>
            <w:vAlign w:val="bottom"/>
            <w:hideMark/>
          </w:tcPr>
          <w:p w14:paraId="2E52D8CB"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mean (se)</w:t>
            </w:r>
          </w:p>
        </w:tc>
        <w:tc>
          <w:tcPr>
            <w:tcW w:w="1576" w:type="dxa"/>
            <w:tcBorders>
              <w:top w:val="nil"/>
              <w:left w:val="nil"/>
              <w:bottom w:val="nil"/>
              <w:right w:val="nil"/>
            </w:tcBorders>
            <w:shd w:val="clear" w:color="auto" w:fill="auto"/>
            <w:noWrap/>
            <w:vAlign w:val="bottom"/>
            <w:hideMark/>
          </w:tcPr>
          <w:p w14:paraId="3B53B651" w14:textId="07393987" w:rsidR="0076143F" w:rsidRPr="00AF720A" w:rsidRDefault="003F33CD" w:rsidP="003F33CD">
            <w:pPr>
              <w:adjustRightInd/>
              <w:snapToGrid/>
              <w:spacing w:afterLines="0" w:after="0" w:line="240" w:lineRule="auto"/>
              <w:jc w:val="center"/>
              <w:rPr>
                <w:bCs w:val="0"/>
                <w:lang w:val="en-US" w:eastAsia="zh-CN"/>
              </w:rPr>
            </w:pPr>
            <w:r w:rsidRPr="00AF720A">
              <w:rPr>
                <w:bCs w:val="0"/>
                <w:lang w:val="en-US" w:eastAsia="zh-CN"/>
              </w:rPr>
              <w:t>118.2</w:t>
            </w:r>
            <w:r w:rsidR="0076143F" w:rsidRPr="00AF720A">
              <w:rPr>
                <w:bCs w:val="0"/>
                <w:lang w:val="en-US" w:eastAsia="zh-CN"/>
              </w:rPr>
              <w:t xml:space="preserve"> (</w:t>
            </w:r>
            <w:r w:rsidRPr="00AF720A">
              <w:rPr>
                <w:bCs w:val="0"/>
                <w:lang w:val="en-US" w:eastAsia="zh-CN"/>
              </w:rPr>
              <w:t>1.5)</w:t>
            </w:r>
          </w:p>
        </w:tc>
        <w:tc>
          <w:tcPr>
            <w:tcW w:w="2250" w:type="dxa"/>
            <w:tcBorders>
              <w:top w:val="nil"/>
              <w:left w:val="nil"/>
              <w:bottom w:val="nil"/>
              <w:right w:val="nil"/>
            </w:tcBorders>
            <w:shd w:val="clear" w:color="auto" w:fill="auto"/>
            <w:noWrap/>
            <w:vAlign w:val="bottom"/>
            <w:hideMark/>
          </w:tcPr>
          <w:p w14:paraId="158621B6" w14:textId="17837766" w:rsidR="0076143F" w:rsidRPr="00AF720A" w:rsidRDefault="003F33CD" w:rsidP="00531775">
            <w:pPr>
              <w:adjustRightInd/>
              <w:snapToGrid/>
              <w:spacing w:afterLines="0" w:after="0" w:line="240" w:lineRule="auto"/>
              <w:jc w:val="center"/>
              <w:rPr>
                <w:bCs w:val="0"/>
                <w:lang w:val="en-US" w:eastAsia="zh-CN"/>
              </w:rPr>
            </w:pPr>
            <w:r w:rsidRPr="00AF720A">
              <w:rPr>
                <w:bCs w:val="0"/>
                <w:lang w:val="en-US" w:eastAsia="zh-CN"/>
              </w:rPr>
              <w:t>113.7 (1.1)</w:t>
            </w:r>
          </w:p>
        </w:tc>
        <w:tc>
          <w:tcPr>
            <w:tcW w:w="1710" w:type="dxa"/>
            <w:tcBorders>
              <w:top w:val="nil"/>
              <w:left w:val="nil"/>
              <w:bottom w:val="nil"/>
              <w:right w:val="nil"/>
            </w:tcBorders>
            <w:shd w:val="clear" w:color="auto" w:fill="auto"/>
            <w:noWrap/>
            <w:vAlign w:val="bottom"/>
            <w:hideMark/>
          </w:tcPr>
          <w:p w14:paraId="55C80640" w14:textId="31989893" w:rsidR="0076143F" w:rsidRPr="00AF720A" w:rsidRDefault="003F33CD" w:rsidP="00531775">
            <w:pPr>
              <w:adjustRightInd/>
              <w:snapToGrid/>
              <w:spacing w:afterLines="0" w:after="0" w:line="240" w:lineRule="auto"/>
              <w:jc w:val="center"/>
              <w:rPr>
                <w:bCs w:val="0"/>
                <w:lang w:val="en-US" w:eastAsia="zh-CN"/>
              </w:rPr>
            </w:pPr>
            <w:r w:rsidRPr="00AF720A">
              <w:rPr>
                <w:bCs w:val="0"/>
                <w:lang w:val="en-US" w:eastAsia="zh-CN"/>
              </w:rPr>
              <w:t>112.6 (1.4)</w:t>
            </w:r>
          </w:p>
        </w:tc>
        <w:tc>
          <w:tcPr>
            <w:tcW w:w="990" w:type="dxa"/>
            <w:tcBorders>
              <w:top w:val="nil"/>
              <w:left w:val="nil"/>
              <w:bottom w:val="nil"/>
              <w:right w:val="nil"/>
            </w:tcBorders>
            <w:shd w:val="clear" w:color="auto" w:fill="auto"/>
            <w:noWrap/>
            <w:vAlign w:val="bottom"/>
            <w:hideMark/>
          </w:tcPr>
          <w:p w14:paraId="75A4BBDC" w14:textId="6B394649" w:rsidR="0076143F" w:rsidRPr="00AF720A" w:rsidRDefault="003F33CD" w:rsidP="00531775">
            <w:pPr>
              <w:adjustRightInd/>
              <w:snapToGrid/>
              <w:spacing w:afterLines="0" w:after="0" w:line="240" w:lineRule="auto"/>
              <w:jc w:val="center"/>
              <w:rPr>
                <w:bCs w:val="0"/>
                <w:lang w:val="en-US" w:eastAsia="zh-CN"/>
              </w:rPr>
            </w:pPr>
            <w:r w:rsidRPr="00AF720A">
              <w:rPr>
                <w:bCs w:val="0"/>
                <w:lang w:val="en-US" w:eastAsia="zh-CN"/>
              </w:rPr>
              <w:t>0.004</w:t>
            </w:r>
          </w:p>
        </w:tc>
      </w:tr>
      <w:tr w:rsidR="0033593D" w:rsidRPr="00AF720A" w14:paraId="6A4F6C90" w14:textId="77777777" w:rsidTr="00D60A28">
        <w:trPr>
          <w:trHeight w:val="285"/>
        </w:trPr>
        <w:tc>
          <w:tcPr>
            <w:tcW w:w="4050" w:type="dxa"/>
            <w:tcBorders>
              <w:top w:val="nil"/>
              <w:left w:val="nil"/>
              <w:bottom w:val="nil"/>
              <w:right w:val="nil"/>
            </w:tcBorders>
            <w:shd w:val="clear" w:color="auto" w:fill="auto"/>
            <w:noWrap/>
            <w:vAlign w:val="center"/>
            <w:hideMark/>
          </w:tcPr>
          <w:p w14:paraId="4C514719" w14:textId="77777777" w:rsidR="0076143F" w:rsidRPr="00AF720A" w:rsidRDefault="0076143F" w:rsidP="00531775">
            <w:pPr>
              <w:adjustRightInd/>
              <w:snapToGrid/>
              <w:spacing w:afterLines="0" w:after="0" w:line="240" w:lineRule="auto"/>
              <w:rPr>
                <w:bCs w:val="0"/>
                <w:lang w:val="en-US" w:eastAsia="zh-CN"/>
              </w:rPr>
            </w:pPr>
            <w:r w:rsidRPr="00AF720A">
              <w:rPr>
                <w:bCs w:val="0"/>
                <w:lang w:val="en-US" w:eastAsia="zh-CN"/>
              </w:rPr>
              <w:t>Total chocolate intake (gram, day)</w:t>
            </w:r>
          </w:p>
        </w:tc>
        <w:tc>
          <w:tcPr>
            <w:tcW w:w="1304" w:type="dxa"/>
            <w:tcBorders>
              <w:top w:val="nil"/>
              <w:left w:val="nil"/>
              <w:bottom w:val="nil"/>
              <w:right w:val="nil"/>
            </w:tcBorders>
            <w:shd w:val="clear" w:color="auto" w:fill="auto"/>
            <w:noWrap/>
            <w:vAlign w:val="bottom"/>
            <w:hideMark/>
          </w:tcPr>
          <w:p w14:paraId="65215CA7" w14:textId="77777777" w:rsidR="0076143F" w:rsidRPr="00AF720A" w:rsidRDefault="0076143F" w:rsidP="00531775">
            <w:pPr>
              <w:adjustRightInd/>
              <w:snapToGrid/>
              <w:spacing w:afterLines="0" w:after="0" w:line="240" w:lineRule="auto"/>
              <w:jc w:val="center"/>
              <w:rPr>
                <w:bCs w:val="0"/>
                <w:lang w:val="en-US" w:eastAsia="zh-CN"/>
              </w:rPr>
            </w:pPr>
            <w:r w:rsidRPr="00AF720A">
              <w:rPr>
                <w:bCs w:val="0"/>
                <w:lang w:val="en-US" w:eastAsia="zh-CN"/>
              </w:rPr>
              <w:t>mean (se)</w:t>
            </w:r>
          </w:p>
        </w:tc>
        <w:tc>
          <w:tcPr>
            <w:tcW w:w="1576" w:type="dxa"/>
            <w:tcBorders>
              <w:top w:val="nil"/>
              <w:left w:val="nil"/>
              <w:bottom w:val="nil"/>
              <w:right w:val="nil"/>
            </w:tcBorders>
            <w:shd w:val="clear" w:color="auto" w:fill="auto"/>
            <w:noWrap/>
            <w:vAlign w:val="bottom"/>
            <w:hideMark/>
          </w:tcPr>
          <w:p w14:paraId="4BEC52F3" w14:textId="4331ECA0" w:rsidR="0076143F" w:rsidRPr="00AF720A" w:rsidRDefault="003F33CD" w:rsidP="00531775">
            <w:pPr>
              <w:adjustRightInd/>
              <w:snapToGrid/>
              <w:spacing w:afterLines="0" w:after="0" w:line="240" w:lineRule="auto"/>
              <w:jc w:val="center"/>
              <w:rPr>
                <w:bCs w:val="0"/>
                <w:lang w:val="en-US" w:eastAsia="zh-CN"/>
              </w:rPr>
            </w:pPr>
            <w:r w:rsidRPr="00AF720A">
              <w:rPr>
                <w:bCs w:val="0"/>
                <w:lang w:val="en-US" w:eastAsia="zh-CN"/>
              </w:rPr>
              <w:t>94.3 (4.2)</w:t>
            </w:r>
          </w:p>
        </w:tc>
        <w:tc>
          <w:tcPr>
            <w:tcW w:w="2250" w:type="dxa"/>
            <w:tcBorders>
              <w:top w:val="nil"/>
              <w:left w:val="nil"/>
              <w:bottom w:val="nil"/>
              <w:right w:val="nil"/>
            </w:tcBorders>
            <w:shd w:val="clear" w:color="auto" w:fill="auto"/>
            <w:noWrap/>
            <w:vAlign w:val="bottom"/>
            <w:hideMark/>
          </w:tcPr>
          <w:p w14:paraId="44371DC7" w14:textId="541ECDE6" w:rsidR="0076143F" w:rsidRPr="00AF720A" w:rsidRDefault="003F33CD" w:rsidP="00531775">
            <w:pPr>
              <w:adjustRightInd/>
              <w:snapToGrid/>
              <w:spacing w:afterLines="0" w:after="0" w:line="240" w:lineRule="auto"/>
              <w:jc w:val="center"/>
              <w:rPr>
                <w:bCs w:val="0"/>
                <w:lang w:val="en-US" w:eastAsia="zh-CN"/>
              </w:rPr>
            </w:pPr>
            <w:r w:rsidRPr="00AF720A">
              <w:rPr>
                <w:bCs w:val="0"/>
                <w:lang w:val="en-US" w:eastAsia="zh-CN"/>
              </w:rPr>
              <w:t>87.4 (3.1)</w:t>
            </w:r>
          </w:p>
        </w:tc>
        <w:tc>
          <w:tcPr>
            <w:tcW w:w="1710" w:type="dxa"/>
            <w:tcBorders>
              <w:top w:val="nil"/>
              <w:left w:val="nil"/>
              <w:bottom w:val="nil"/>
              <w:right w:val="nil"/>
            </w:tcBorders>
            <w:shd w:val="clear" w:color="auto" w:fill="auto"/>
            <w:noWrap/>
            <w:vAlign w:val="bottom"/>
            <w:hideMark/>
          </w:tcPr>
          <w:p w14:paraId="117E2B8B" w14:textId="4E1445D2" w:rsidR="0076143F" w:rsidRPr="00AF720A" w:rsidRDefault="003F33CD" w:rsidP="00531775">
            <w:pPr>
              <w:adjustRightInd/>
              <w:snapToGrid/>
              <w:spacing w:afterLines="0" w:after="0" w:line="240" w:lineRule="auto"/>
              <w:jc w:val="center"/>
              <w:rPr>
                <w:bCs w:val="0"/>
                <w:lang w:val="en-US" w:eastAsia="zh-CN"/>
              </w:rPr>
            </w:pPr>
            <w:r w:rsidRPr="00AF720A">
              <w:rPr>
                <w:bCs w:val="0"/>
                <w:lang w:val="en-US" w:eastAsia="zh-CN"/>
              </w:rPr>
              <w:t>86.4 (3.7)</w:t>
            </w:r>
          </w:p>
        </w:tc>
        <w:tc>
          <w:tcPr>
            <w:tcW w:w="990" w:type="dxa"/>
            <w:tcBorders>
              <w:top w:val="nil"/>
              <w:left w:val="nil"/>
              <w:bottom w:val="nil"/>
              <w:right w:val="nil"/>
            </w:tcBorders>
            <w:shd w:val="clear" w:color="auto" w:fill="auto"/>
            <w:noWrap/>
            <w:vAlign w:val="bottom"/>
            <w:hideMark/>
          </w:tcPr>
          <w:p w14:paraId="30593B94" w14:textId="289FF2A8" w:rsidR="0076143F" w:rsidRPr="00AF720A" w:rsidRDefault="009F525A" w:rsidP="00531775">
            <w:pPr>
              <w:adjustRightInd/>
              <w:snapToGrid/>
              <w:spacing w:afterLines="0" w:after="0" w:line="240" w:lineRule="auto"/>
              <w:jc w:val="center"/>
              <w:rPr>
                <w:bCs w:val="0"/>
                <w:lang w:val="en-US" w:eastAsia="zh-CN"/>
              </w:rPr>
            </w:pPr>
            <w:r w:rsidRPr="00AF720A">
              <w:rPr>
                <w:bCs w:val="0"/>
                <w:lang w:val="en-US" w:eastAsia="zh-CN"/>
              </w:rPr>
              <w:t>0.141</w:t>
            </w:r>
          </w:p>
        </w:tc>
      </w:tr>
      <w:tr w:rsidR="0033593D" w:rsidRPr="00AF720A" w14:paraId="4492AE39" w14:textId="77777777" w:rsidTr="00D60A28">
        <w:trPr>
          <w:trHeight w:val="285"/>
        </w:trPr>
        <w:tc>
          <w:tcPr>
            <w:tcW w:w="11880" w:type="dxa"/>
            <w:gridSpan w:val="6"/>
            <w:tcBorders>
              <w:top w:val="single" w:sz="4" w:space="0" w:color="auto"/>
              <w:left w:val="nil"/>
              <w:bottom w:val="nil"/>
              <w:right w:val="nil"/>
            </w:tcBorders>
            <w:shd w:val="clear" w:color="auto" w:fill="auto"/>
            <w:noWrap/>
            <w:vAlign w:val="center"/>
            <w:hideMark/>
          </w:tcPr>
          <w:p w14:paraId="0404BB50" w14:textId="6529C769" w:rsidR="00D60A28" w:rsidRPr="00AF720A" w:rsidRDefault="00D60A28" w:rsidP="00D60A28">
            <w:pPr>
              <w:adjustRightInd/>
              <w:snapToGrid/>
              <w:spacing w:afterLines="0" w:after="0" w:line="240" w:lineRule="auto"/>
              <w:rPr>
                <w:bCs w:val="0"/>
                <w:lang w:val="en-US" w:eastAsia="zh-CN"/>
              </w:rPr>
            </w:pPr>
            <w:r w:rsidRPr="00AF720A">
              <w:rPr>
                <w:bCs w:val="0"/>
                <w:lang w:val="en-US" w:eastAsia="zh-CN"/>
              </w:rPr>
              <w:t>a. All estimate</w:t>
            </w:r>
            <w:r w:rsidR="006220D5" w:rsidRPr="00AF720A">
              <w:rPr>
                <w:bCs w:val="0"/>
                <w:lang w:val="en-US" w:eastAsia="zh-CN"/>
              </w:rPr>
              <w:t>s</w:t>
            </w:r>
            <w:r w:rsidRPr="00AF720A">
              <w:rPr>
                <w:bCs w:val="0"/>
                <w:lang w:val="en-US" w:eastAsia="zh-CN"/>
              </w:rPr>
              <w:t xml:space="preserve"> are weighted to be nationally representative</w:t>
            </w:r>
          </w:p>
        </w:tc>
      </w:tr>
      <w:tr w:rsidR="0033593D" w:rsidRPr="00AF720A" w14:paraId="539DF8AF" w14:textId="77777777" w:rsidTr="00D60A28">
        <w:trPr>
          <w:trHeight w:val="225"/>
        </w:trPr>
        <w:tc>
          <w:tcPr>
            <w:tcW w:w="11880" w:type="dxa"/>
            <w:gridSpan w:val="6"/>
            <w:tcBorders>
              <w:top w:val="nil"/>
              <w:left w:val="nil"/>
              <w:bottom w:val="nil"/>
              <w:right w:val="nil"/>
            </w:tcBorders>
            <w:shd w:val="clear" w:color="auto" w:fill="auto"/>
            <w:noWrap/>
            <w:vAlign w:val="bottom"/>
            <w:hideMark/>
          </w:tcPr>
          <w:p w14:paraId="36D9910A" w14:textId="032D1A2F" w:rsidR="00D60A28" w:rsidRPr="00AF720A" w:rsidRDefault="005E1F8D" w:rsidP="005E1F8D">
            <w:pPr>
              <w:adjustRightInd/>
              <w:snapToGrid/>
              <w:spacing w:afterLines="0" w:after="0" w:line="240" w:lineRule="auto"/>
              <w:rPr>
                <w:bCs w:val="0"/>
                <w:lang w:val="en-US" w:eastAsia="zh-CN"/>
              </w:rPr>
            </w:pPr>
            <w:r w:rsidRPr="00AF720A">
              <w:rPr>
                <w:bCs w:val="0"/>
                <w:lang w:val="en-US" w:eastAsia="zh-CN"/>
              </w:rPr>
              <w:t>b</w:t>
            </w:r>
            <w:r w:rsidR="00D60A28" w:rsidRPr="00AF720A">
              <w:rPr>
                <w:bCs w:val="0"/>
                <w:lang w:val="en-US" w:eastAsia="zh-CN"/>
              </w:rPr>
              <w:t>. Chronic conditions include cardiovascular disease, arthritis, and cancer.</w:t>
            </w:r>
          </w:p>
        </w:tc>
      </w:tr>
    </w:tbl>
    <w:p w14:paraId="3D7CB268" w14:textId="77777777" w:rsidR="005F3D2F" w:rsidRPr="00AF720A" w:rsidRDefault="005F3D2F" w:rsidP="0076143F">
      <w:pPr>
        <w:rPr>
          <w:lang w:val="en-US"/>
        </w:rPr>
        <w:sectPr w:rsidR="005F3D2F" w:rsidRPr="00AF720A" w:rsidSect="005F3D2F">
          <w:footerReference w:type="even" r:id="rId11"/>
          <w:footerReference w:type="default" r:id="rId12"/>
          <w:pgSz w:w="12240" w:h="15840"/>
          <w:pgMar w:top="720" w:right="720" w:bottom="720" w:left="720" w:header="720" w:footer="720" w:gutter="0"/>
          <w:cols w:space="720"/>
          <w:docGrid w:linePitch="360"/>
        </w:sectPr>
      </w:pPr>
    </w:p>
    <w:tbl>
      <w:tblPr>
        <w:tblW w:w="117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6"/>
        <w:gridCol w:w="820"/>
        <w:gridCol w:w="898"/>
        <w:gridCol w:w="805"/>
        <w:gridCol w:w="263"/>
        <w:gridCol w:w="900"/>
        <w:gridCol w:w="900"/>
        <w:gridCol w:w="810"/>
        <w:gridCol w:w="270"/>
        <w:gridCol w:w="810"/>
        <w:gridCol w:w="990"/>
        <w:gridCol w:w="728"/>
      </w:tblGrid>
      <w:tr w:rsidR="0014516F" w:rsidRPr="00AF720A" w14:paraId="576D2221" w14:textId="1FFFFE91" w:rsidTr="0014516F">
        <w:trPr>
          <w:trHeight w:val="285"/>
        </w:trPr>
        <w:tc>
          <w:tcPr>
            <w:tcW w:w="11790" w:type="dxa"/>
            <w:gridSpan w:val="12"/>
          </w:tcPr>
          <w:p w14:paraId="3AD5B8A6" w14:textId="1B2CEB07" w:rsidR="0014516F" w:rsidRPr="00AF720A" w:rsidRDefault="0014516F" w:rsidP="00947F65">
            <w:pPr>
              <w:adjustRightInd/>
              <w:snapToGrid/>
              <w:spacing w:afterLines="0" w:after="0" w:line="240" w:lineRule="auto"/>
              <w:rPr>
                <w:bCs w:val="0"/>
                <w:sz w:val="20"/>
                <w:szCs w:val="20"/>
                <w:lang w:val="en-US" w:eastAsia="zh-CN"/>
              </w:rPr>
            </w:pPr>
            <w:r w:rsidRPr="00AF720A">
              <w:rPr>
                <w:bCs w:val="0"/>
                <w:sz w:val="20"/>
                <w:szCs w:val="20"/>
                <w:lang w:val="en-US" w:eastAsia="zh-CN"/>
              </w:rPr>
              <w:lastRenderedPageBreak/>
              <w:t>Table 2 Associations of chocolate consumption with body mass index (kg/m</w:t>
            </w:r>
            <w:r w:rsidRPr="00AF720A">
              <w:rPr>
                <w:bCs w:val="0"/>
                <w:sz w:val="20"/>
                <w:szCs w:val="20"/>
                <w:vertAlign w:val="superscript"/>
                <w:lang w:val="en-US" w:eastAsia="zh-CN"/>
              </w:rPr>
              <w:t>2</w:t>
            </w:r>
            <w:r w:rsidRPr="00AF720A">
              <w:rPr>
                <w:bCs w:val="0"/>
                <w:sz w:val="20"/>
                <w:szCs w:val="20"/>
                <w:lang w:val="en-US" w:eastAsia="zh-CN"/>
              </w:rPr>
              <w:t>) among adults aged 20-80 years (n=13,626) in NHANES (</w:t>
            </w:r>
            <w:r w:rsidR="00947F65" w:rsidRPr="00AF720A">
              <w:rPr>
                <w:bCs w:val="0"/>
                <w:sz w:val="20"/>
                <w:szCs w:val="20"/>
                <w:lang w:val="en-US" w:eastAsia="zh-CN"/>
              </w:rPr>
              <w:t>2005</w:t>
            </w:r>
            <w:r w:rsidRPr="00AF720A">
              <w:rPr>
                <w:bCs w:val="0"/>
                <w:sz w:val="20"/>
                <w:szCs w:val="20"/>
                <w:lang w:val="en-US" w:eastAsia="zh-CN"/>
              </w:rPr>
              <w:t>-2014)</w:t>
            </w:r>
          </w:p>
        </w:tc>
      </w:tr>
      <w:tr w:rsidR="0014516F" w:rsidRPr="00AF720A" w14:paraId="1D988143" w14:textId="537DB52C" w:rsidTr="00ED5E75">
        <w:trPr>
          <w:trHeight w:val="285"/>
        </w:trPr>
        <w:tc>
          <w:tcPr>
            <w:tcW w:w="3596" w:type="dxa"/>
            <w:shd w:val="clear" w:color="auto" w:fill="auto"/>
            <w:noWrap/>
            <w:vAlign w:val="center"/>
            <w:hideMark/>
          </w:tcPr>
          <w:p w14:paraId="10C32DD9" w14:textId="77777777" w:rsidR="0014516F" w:rsidRPr="00AF720A" w:rsidRDefault="0014516F" w:rsidP="00ED5E75">
            <w:pPr>
              <w:adjustRightInd/>
              <w:snapToGrid/>
              <w:spacing w:afterLines="0" w:after="0" w:line="240" w:lineRule="auto"/>
              <w:rPr>
                <w:bCs w:val="0"/>
                <w:sz w:val="20"/>
                <w:szCs w:val="20"/>
                <w:lang w:eastAsia="zh-CN"/>
              </w:rPr>
            </w:pPr>
          </w:p>
        </w:tc>
        <w:tc>
          <w:tcPr>
            <w:tcW w:w="2523" w:type="dxa"/>
            <w:gridSpan w:val="3"/>
            <w:shd w:val="clear" w:color="auto" w:fill="auto"/>
            <w:noWrap/>
            <w:vAlign w:val="center"/>
            <w:hideMark/>
          </w:tcPr>
          <w:p w14:paraId="7BDA6E14" w14:textId="4F3A9BBC"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Unadjusted</w:t>
            </w:r>
          </w:p>
        </w:tc>
        <w:tc>
          <w:tcPr>
            <w:tcW w:w="263" w:type="dxa"/>
            <w:shd w:val="clear" w:color="auto" w:fill="auto"/>
            <w:vAlign w:val="center"/>
          </w:tcPr>
          <w:p w14:paraId="74A9611B" w14:textId="77777777" w:rsidR="0014516F" w:rsidRPr="00AF720A" w:rsidRDefault="0014516F" w:rsidP="006220D5">
            <w:pPr>
              <w:adjustRightInd/>
              <w:snapToGrid/>
              <w:spacing w:afterLines="0" w:after="0" w:line="240" w:lineRule="auto"/>
              <w:rPr>
                <w:bCs w:val="0"/>
                <w:sz w:val="20"/>
                <w:szCs w:val="20"/>
                <w:lang w:val="en-US" w:eastAsia="zh-CN"/>
              </w:rPr>
            </w:pPr>
          </w:p>
        </w:tc>
        <w:tc>
          <w:tcPr>
            <w:tcW w:w="2610" w:type="dxa"/>
            <w:gridSpan w:val="3"/>
            <w:vAlign w:val="center"/>
          </w:tcPr>
          <w:p w14:paraId="6E496332" w14:textId="48DA1E5F"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Multivariable-</w:t>
            </w:r>
            <w:proofErr w:type="spellStart"/>
            <w:r w:rsidRPr="00AF720A">
              <w:rPr>
                <w:bCs w:val="0"/>
                <w:sz w:val="20"/>
                <w:szCs w:val="20"/>
                <w:lang w:val="en-US" w:eastAsia="zh-CN"/>
              </w:rPr>
              <w:t>adjusted</w:t>
            </w:r>
            <w:r w:rsidRPr="00AF720A">
              <w:rPr>
                <w:bCs w:val="0"/>
                <w:sz w:val="20"/>
                <w:szCs w:val="20"/>
                <w:vertAlign w:val="superscript"/>
                <w:lang w:val="en-US" w:eastAsia="zh-CN"/>
              </w:rPr>
              <w:t>a</w:t>
            </w:r>
            <w:proofErr w:type="spellEnd"/>
          </w:p>
        </w:tc>
        <w:tc>
          <w:tcPr>
            <w:tcW w:w="270" w:type="dxa"/>
            <w:vAlign w:val="center"/>
          </w:tcPr>
          <w:p w14:paraId="5A0E3033" w14:textId="77777777" w:rsidR="0014516F" w:rsidRPr="00AF720A" w:rsidRDefault="0014516F" w:rsidP="006220D5">
            <w:pPr>
              <w:adjustRightInd/>
              <w:snapToGrid/>
              <w:spacing w:afterLines="0" w:after="0" w:line="240" w:lineRule="auto"/>
              <w:rPr>
                <w:bCs w:val="0"/>
                <w:sz w:val="20"/>
                <w:szCs w:val="20"/>
                <w:lang w:val="en-US" w:eastAsia="zh-CN"/>
              </w:rPr>
            </w:pPr>
          </w:p>
        </w:tc>
        <w:tc>
          <w:tcPr>
            <w:tcW w:w="2528" w:type="dxa"/>
            <w:gridSpan w:val="3"/>
            <w:vAlign w:val="center"/>
          </w:tcPr>
          <w:p w14:paraId="1E2C1E70" w14:textId="63EFB12F"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Multivariable-</w:t>
            </w:r>
            <w:proofErr w:type="spellStart"/>
            <w:r w:rsidRPr="00AF720A">
              <w:rPr>
                <w:bCs w:val="0"/>
                <w:sz w:val="20"/>
                <w:szCs w:val="20"/>
                <w:lang w:val="en-US" w:eastAsia="zh-CN"/>
              </w:rPr>
              <w:t>adjusted</w:t>
            </w:r>
            <w:r w:rsidR="00AC1AEE" w:rsidRPr="00AF720A">
              <w:rPr>
                <w:bCs w:val="0"/>
                <w:sz w:val="20"/>
                <w:szCs w:val="20"/>
                <w:vertAlign w:val="superscript"/>
                <w:lang w:val="en-US" w:eastAsia="zh-CN"/>
              </w:rPr>
              <w:t>b</w:t>
            </w:r>
            <w:proofErr w:type="spellEnd"/>
          </w:p>
        </w:tc>
      </w:tr>
      <w:tr w:rsidR="0014516F" w:rsidRPr="00AF720A" w14:paraId="4371E589" w14:textId="77777777" w:rsidTr="00ED5E75">
        <w:trPr>
          <w:trHeight w:val="285"/>
        </w:trPr>
        <w:tc>
          <w:tcPr>
            <w:tcW w:w="3596" w:type="dxa"/>
            <w:shd w:val="clear" w:color="auto" w:fill="auto"/>
            <w:noWrap/>
            <w:vAlign w:val="center"/>
          </w:tcPr>
          <w:p w14:paraId="44DB5F07" w14:textId="56BE6502" w:rsidR="0014516F" w:rsidRPr="00AF720A" w:rsidRDefault="0014516F" w:rsidP="00ED5E75">
            <w:pPr>
              <w:adjustRightInd/>
              <w:snapToGrid/>
              <w:spacing w:afterLines="0" w:after="0" w:line="240" w:lineRule="auto"/>
              <w:rPr>
                <w:bCs w:val="0"/>
                <w:sz w:val="20"/>
                <w:szCs w:val="20"/>
                <w:lang w:val="en-US" w:eastAsia="zh-CN"/>
              </w:rPr>
            </w:pPr>
          </w:p>
        </w:tc>
        <w:tc>
          <w:tcPr>
            <w:tcW w:w="2523" w:type="dxa"/>
            <w:gridSpan w:val="3"/>
            <w:shd w:val="clear" w:color="auto" w:fill="auto"/>
            <w:noWrap/>
            <w:vAlign w:val="center"/>
          </w:tcPr>
          <w:p w14:paraId="66507EE6" w14:textId="74B64E85"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Beta-coefficient (95% CI)</w:t>
            </w:r>
          </w:p>
        </w:tc>
        <w:tc>
          <w:tcPr>
            <w:tcW w:w="263" w:type="dxa"/>
            <w:vAlign w:val="center"/>
          </w:tcPr>
          <w:p w14:paraId="39213896" w14:textId="77777777" w:rsidR="0014516F" w:rsidRPr="00AF720A" w:rsidRDefault="0014516F" w:rsidP="00ED5E75">
            <w:pPr>
              <w:adjustRightInd/>
              <w:snapToGrid/>
              <w:spacing w:afterLines="0" w:after="0" w:line="240" w:lineRule="auto"/>
              <w:rPr>
                <w:bCs w:val="0"/>
                <w:sz w:val="20"/>
                <w:szCs w:val="20"/>
                <w:lang w:val="en-US" w:eastAsia="zh-CN"/>
              </w:rPr>
            </w:pPr>
          </w:p>
        </w:tc>
        <w:tc>
          <w:tcPr>
            <w:tcW w:w="2610" w:type="dxa"/>
            <w:gridSpan w:val="3"/>
            <w:vAlign w:val="center"/>
          </w:tcPr>
          <w:p w14:paraId="4C6DD026" w14:textId="6654A148"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Beta-coefficient (95% CI)</w:t>
            </w:r>
          </w:p>
        </w:tc>
        <w:tc>
          <w:tcPr>
            <w:tcW w:w="270" w:type="dxa"/>
            <w:vAlign w:val="center"/>
          </w:tcPr>
          <w:p w14:paraId="04A8452E" w14:textId="77777777" w:rsidR="0014516F" w:rsidRPr="00AF720A" w:rsidRDefault="0014516F" w:rsidP="00ED5E75">
            <w:pPr>
              <w:adjustRightInd/>
              <w:snapToGrid/>
              <w:spacing w:afterLines="0" w:after="0" w:line="240" w:lineRule="auto"/>
              <w:rPr>
                <w:bCs w:val="0"/>
                <w:sz w:val="20"/>
                <w:szCs w:val="20"/>
                <w:lang w:val="en-US" w:eastAsia="zh-CN"/>
              </w:rPr>
            </w:pPr>
          </w:p>
        </w:tc>
        <w:tc>
          <w:tcPr>
            <w:tcW w:w="2528" w:type="dxa"/>
            <w:gridSpan w:val="3"/>
            <w:vAlign w:val="center"/>
          </w:tcPr>
          <w:p w14:paraId="2436BB9F" w14:textId="6A6CA439"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Beta-coefficient (95% CI)</w:t>
            </w:r>
          </w:p>
        </w:tc>
      </w:tr>
      <w:tr w:rsidR="0014516F" w:rsidRPr="00AF720A" w14:paraId="5DEC3E72" w14:textId="77777777" w:rsidTr="00ED5E75">
        <w:trPr>
          <w:trHeight w:val="285"/>
        </w:trPr>
        <w:tc>
          <w:tcPr>
            <w:tcW w:w="3596" w:type="dxa"/>
            <w:shd w:val="clear" w:color="auto" w:fill="auto"/>
            <w:noWrap/>
            <w:vAlign w:val="center"/>
            <w:hideMark/>
          </w:tcPr>
          <w:p w14:paraId="7EA3A142" w14:textId="023B996B"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Overall chocolate</w:t>
            </w:r>
          </w:p>
        </w:tc>
        <w:tc>
          <w:tcPr>
            <w:tcW w:w="820" w:type="dxa"/>
            <w:shd w:val="clear" w:color="auto" w:fill="auto"/>
            <w:noWrap/>
            <w:vAlign w:val="center"/>
            <w:hideMark/>
          </w:tcPr>
          <w:p w14:paraId="666E4A79" w14:textId="77777777" w:rsidR="0014516F" w:rsidRPr="00AF720A" w:rsidRDefault="0014516F" w:rsidP="006220D5">
            <w:pPr>
              <w:adjustRightInd/>
              <w:snapToGrid/>
              <w:spacing w:afterLines="0" w:after="0" w:line="240" w:lineRule="auto"/>
              <w:rPr>
                <w:bCs w:val="0"/>
                <w:sz w:val="20"/>
                <w:szCs w:val="20"/>
                <w:lang w:val="en-US" w:eastAsia="zh-CN"/>
              </w:rPr>
            </w:pPr>
          </w:p>
        </w:tc>
        <w:tc>
          <w:tcPr>
            <w:tcW w:w="898" w:type="dxa"/>
            <w:shd w:val="clear" w:color="auto" w:fill="auto"/>
            <w:noWrap/>
            <w:vAlign w:val="center"/>
            <w:hideMark/>
          </w:tcPr>
          <w:p w14:paraId="302BFA92" w14:textId="77777777" w:rsidR="0014516F" w:rsidRPr="00AF720A" w:rsidRDefault="0014516F" w:rsidP="00ED5E75">
            <w:pPr>
              <w:adjustRightInd/>
              <w:snapToGrid/>
              <w:spacing w:afterLines="0" w:after="0" w:line="240" w:lineRule="auto"/>
              <w:rPr>
                <w:bCs w:val="0"/>
                <w:sz w:val="20"/>
                <w:szCs w:val="20"/>
                <w:lang w:val="en-US" w:eastAsia="zh-CN"/>
              </w:rPr>
            </w:pPr>
          </w:p>
        </w:tc>
        <w:tc>
          <w:tcPr>
            <w:tcW w:w="805" w:type="dxa"/>
            <w:shd w:val="clear" w:color="auto" w:fill="auto"/>
            <w:noWrap/>
            <w:vAlign w:val="center"/>
            <w:hideMark/>
          </w:tcPr>
          <w:p w14:paraId="22387B1F" w14:textId="77777777" w:rsidR="0014516F" w:rsidRPr="00AF720A" w:rsidRDefault="0014516F" w:rsidP="006220D5">
            <w:pPr>
              <w:adjustRightInd/>
              <w:snapToGrid/>
              <w:spacing w:afterLines="0" w:after="0" w:line="240" w:lineRule="auto"/>
              <w:rPr>
                <w:bCs w:val="0"/>
                <w:sz w:val="20"/>
                <w:szCs w:val="20"/>
                <w:lang w:val="en-US" w:eastAsia="zh-CN"/>
              </w:rPr>
            </w:pPr>
          </w:p>
        </w:tc>
        <w:tc>
          <w:tcPr>
            <w:tcW w:w="263" w:type="dxa"/>
            <w:vAlign w:val="center"/>
          </w:tcPr>
          <w:p w14:paraId="6F0D5987" w14:textId="77777777" w:rsidR="0014516F" w:rsidRPr="00AF720A" w:rsidRDefault="0014516F" w:rsidP="006220D5">
            <w:pPr>
              <w:adjustRightInd/>
              <w:snapToGrid/>
              <w:spacing w:afterLines="0" w:after="0" w:line="240" w:lineRule="auto"/>
              <w:rPr>
                <w:bCs w:val="0"/>
                <w:sz w:val="20"/>
                <w:szCs w:val="20"/>
                <w:lang w:val="en-US" w:eastAsia="zh-CN"/>
              </w:rPr>
            </w:pPr>
          </w:p>
        </w:tc>
        <w:tc>
          <w:tcPr>
            <w:tcW w:w="900" w:type="dxa"/>
            <w:vAlign w:val="center"/>
          </w:tcPr>
          <w:p w14:paraId="10DA54E7" w14:textId="77777777" w:rsidR="0014516F" w:rsidRPr="00AF720A" w:rsidRDefault="0014516F" w:rsidP="006220D5">
            <w:pPr>
              <w:adjustRightInd/>
              <w:snapToGrid/>
              <w:spacing w:afterLines="0" w:after="0" w:line="240" w:lineRule="auto"/>
              <w:rPr>
                <w:bCs w:val="0"/>
                <w:sz w:val="20"/>
                <w:szCs w:val="20"/>
                <w:lang w:val="en-US" w:eastAsia="zh-CN"/>
              </w:rPr>
            </w:pPr>
          </w:p>
        </w:tc>
        <w:tc>
          <w:tcPr>
            <w:tcW w:w="900" w:type="dxa"/>
            <w:vAlign w:val="center"/>
          </w:tcPr>
          <w:p w14:paraId="4071355C" w14:textId="77777777"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3397627A" w14:textId="77777777" w:rsidR="0014516F" w:rsidRPr="00AF720A" w:rsidRDefault="0014516F" w:rsidP="006220D5">
            <w:pPr>
              <w:adjustRightInd/>
              <w:snapToGrid/>
              <w:spacing w:afterLines="0" w:after="0" w:line="240" w:lineRule="auto"/>
              <w:rPr>
                <w:bCs w:val="0"/>
                <w:sz w:val="20"/>
                <w:szCs w:val="20"/>
                <w:lang w:val="en-US" w:eastAsia="zh-CN"/>
              </w:rPr>
            </w:pPr>
          </w:p>
        </w:tc>
        <w:tc>
          <w:tcPr>
            <w:tcW w:w="270" w:type="dxa"/>
            <w:vAlign w:val="center"/>
          </w:tcPr>
          <w:p w14:paraId="49B8AB7D" w14:textId="77777777" w:rsidR="0014516F" w:rsidRPr="00AF720A" w:rsidRDefault="0014516F" w:rsidP="006220D5">
            <w:pPr>
              <w:adjustRightInd/>
              <w:snapToGrid/>
              <w:spacing w:afterLines="0" w:after="0" w:line="240" w:lineRule="auto"/>
              <w:rPr>
                <w:bCs w:val="0"/>
                <w:sz w:val="20"/>
                <w:szCs w:val="20"/>
                <w:lang w:val="en-US" w:eastAsia="zh-CN"/>
              </w:rPr>
            </w:pPr>
          </w:p>
        </w:tc>
        <w:tc>
          <w:tcPr>
            <w:tcW w:w="810" w:type="dxa"/>
            <w:vAlign w:val="center"/>
          </w:tcPr>
          <w:p w14:paraId="13CE2C88" w14:textId="5C8A890D" w:rsidR="0014516F" w:rsidRPr="00AF720A" w:rsidRDefault="0014516F" w:rsidP="006220D5">
            <w:pPr>
              <w:adjustRightInd/>
              <w:snapToGrid/>
              <w:spacing w:afterLines="0" w:after="0" w:line="240" w:lineRule="auto"/>
              <w:rPr>
                <w:bCs w:val="0"/>
                <w:sz w:val="20"/>
                <w:szCs w:val="20"/>
                <w:lang w:val="en-US" w:eastAsia="zh-CN"/>
              </w:rPr>
            </w:pPr>
          </w:p>
        </w:tc>
        <w:tc>
          <w:tcPr>
            <w:tcW w:w="990" w:type="dxa"/>
            <w:vAlign w:val="center"/>
          </w:tcPr>
          <w:p w14:paraId="678F10CE" w14:textId="77777777" w:rsidR="0014516F" w:rsidRPr="00AF720A" w:rsidRDefault="0014516F" w:rsidP="006220D5">
            <w:pPr>
              <w:adjustRightInd/>
              <w:snapToGrid/>
              <w:spacing w:afterLines="0" w:after="0" w:line="240" w:lineRule="auto"/>
              <w:rPr>
                <w:bCs w:val="0"/>
                <w:sz w:val="20"/>
                <w:szCs w:val="20"/>
                <w:lang w:val="en-US" w:eastAsia="zh-CN"/>
              </w:rPr>
            </w:pPr>
          </w:p>
        </w:tc>
        <w:tc>
          <w:tcPr>
            <w:tcW w:w="728" w:type="dxa"/>
            <w:vAlign w:val="center"/>
          </w:tcPr>
          <w:p w14:paraId="6E308B99" w14:textId="1E038310" w:rsidR="0014516F" w:rsidRPr="00AF720A" w:rsidRDefault="0014516F" w:rsidP="006220D5">
            <w:pPr>
              <w:adjustRightInd/>
              <w:snapToGrid/>
              <w:spacing w:afterLines="0" w:after="0" w:line="240" w:lineRule="auto"/>
              <w:rPr>
                <w:bCs w:val="0"/>
                <w:sz w:val="20"/>
                <w:szCs w:val="20"/>
                <w:lang w:val="en-US" w:eastAsia="zh-CN"/>
              </w:rPr>
            </w:pPr>
          </w:p>
        </w:tc>
      </w:tr>
      <w:tr w:rsidR="0014516F" w:rsidRPr="00AF720A" w14:paraId="180A1417" w14:textId="77777777" w:rsidTr="00ED5E75">
        <w:trPr>
          <w:trHeight w:val="285"/>
        </w:trPr>
        <w:tc>
          <w:tcPr>
            <w:tcW w:w="3596" w:type="dxa"/>
            <w:shd w:val="clear" w:color="auto" w:fill="auto"/>
            <w:noWrap/>
            <w:vAlign w:val="center"/>
            <w:hideMark/>
          </w:tcPr>
          <w:p w14:paraId="4B2483F0" w14:textId="6008F90E" w:rsidR="0014516F" w:rsidRPr="00AF720A"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No</w:t>
            </w:r>
          </w:p>
        </w:tc>
        <w:tc>
          <w:tcPr>
            <w:tcW w:w="1718" w:type="dxa"/>
            <w:gridSpan w:val="2"/>
            <w:shd w:val="clear" w:color="auto" w:fill="auto"/>
            <w:noWrap/>
            <w:vAlign w:val="center"/>
            <w:hideMark/>
          </w:tcPr>
          <w:p w14:paraId="52E676F0" w14:textId="77777777"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805" w:type="dxa"/>
            <w:shd w:val="clear" w:color="auto" w:fill="auto"/>
            <w:noWrap/>
            <w:vAlign w:val="center"/>
            <w:hideMark/>
          </w:tcPr>
          <w:p w14:paraId="6E6DAC7A" w14:textId="77777777" w:rsidR="0014516F" w:rsidRPr="00AF720A" w:rsidRDefault="0014516F" w:rsidP="006220D5">
            <w:pPr>
              <w:adjustRightInd/>
              <w:snapToGrid/>
              <w:spacing w:afterLines="0" w:after="0" w:line="240" w:lineRule="auto"/>
              <w:rPr>
                <w:bCs w:val="0"/>
                <w:sz w:val="20"/>
                <w:szCs w:val="20"/>
                <w:lang w:val="en-US" w:eastAsia="zh-CN"/>
              </w:rPr>
            </w:pPr>
          </w:p>
        </w:tc>
        <w:tc>
          <w:tcPr>
            <w:tcW w:w="263" w:type="dxa"/>
            <w:vAlign w:val="center"/>
          </w:tcPr>
          <w:p w14:paraId="596A8C10" w14:textId="77777777" w:rsidR="0014516F" w:rsidRPr="00AF720A" w:rsidRDefault="0014516F" w:rsidP="006220D5">
            <w:pPr>
              <w:adjustRightInd/>
              <w:snapToGrid/>
              <w:spacing w:afterLines="0" w:after="0" w:line="240" w:lineRule="auto"/>
              <w:ind w:firstLineChars="200" w:firstLine="400"/>
              <w:rPr>
                <w:bCs w:val="0"/>
                <w:sz w:val="20"/>
                <w:szCs w:val="20"/>
                <w:lang w:val="en-US" w:eastAsia="zh-CN"/>
              </w:rPr>
            </w:pPr>
          </w:p>
        </w:tc>
        <w:tc>
          <w:tcPr>
            <w:tcW w:w="1800" w:type="dxa"/>
            <w:gridSpan w:val="2"/>
            <w:vAlign w:val="center"/>
          </w:tcPr>
          <w:p w14:paraId="1108AFB3" w14:textId="54BDEDAE"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810" w:type="dxa"/>
            <w:vAlign w:val="center"/>
          </w:tcPr>
          <w:p w14:paraId="11C7CABC" w14:textId="77777777" w:rsidR="0014516F" w:rsidRPr="00AF720A" w:rsidRDefault="0014516F" w:rsidP="006220D5">
            <w:pPr>
              <w:adjustRightInd/>
              <w:snapToGrid/>
              <w:spacing w:afterLines="0" w:after="0" w:line="240" w:lineRule="auto"/>
              <w:ind w:firstLineChars="200" w:firstLine="400"/>
              <w:rPr>
                <w:bCs w:val="0"/>
                <w:sz w:val="20"/>
                <w:szCs w:val="20"/>
                <w:lang w:val="en-US" w:eastAsia="zh-CN"/>
              </w:rPr>
            </w:pPr>
          </w:p>
        </w:tc>
        <w:tc>
          <w:tcPr>
            <w:tcW w:w="270" w:type="dxa"/>
            <w:vAlign w:val="center"/>
          </w:tcPr>
          <w:p w14:paraId="6B86C888" w14:textId="77777777" w:rsidR="0014516F" w:rsidRPr="00AF720A" w:rsidRDefault="0014516F" w:rsidP="006220D5">
            <w:pPr>
              <w:adjustRightInd/>
              <w:snapToGrid/>
              <w:spacing w:afterLines="0" w:after="0" w:line="240" w:lineRule="auto"/>
              <w:ind w:firstLineChars="200" w:firstLine="400"/>
              <w:rPr>
                <w:bCs w:val="0"/>
                <w:sz w:val="20"/>
                <w:szCs w:val="20"/>
                <w:lang w:val="en-US" w:eastAsia="zh-CN"/>
              </w:rPr>
            </w:pPr>
          </w:p>
        </w:tc>
        <w:tc>
          <w:tcPr>
            <w:tcW w:w="1800" w:type="dxa"/>
            <w:gridSpan w:val="2"/>
            <w:vAlign w:val="center"/>
          </w:tcPr>
          <w:p w14:paraId="728B2DD5" w14:textId="53525504" w:rsidR="0014516F" w:rsidRPr="00AF720A" w:rsidRDefault="0014516F" w:rsidP="006220D5">
            <w:pPr>
              <w:adjustRightInd/>
              <w:snapToGrid/>
              <w:spacing w:afterLines="0" w:after="0" w:line="240" w:lineRule="auto"/>
              <w:ind w:firstLineChars="200" w:firstLine="400"/>
              <w:rPr>
                <w:bCs w:val="0"/>
                <w:sz w:val="20"/>
                <w:szCs w:val="20"/>
                <w:lang w:val="en-US" w:eastAsia="zh-CN"/>
              </w:rPr>
            </w:pPr>
          </w:p>
        </w:tc>
        <w:tc>
          <w:tcPr>
            <w:tcW w:w="728" w:type="dxa"/>
            <w:vAlign w:val="center"/>
          </w:tcPr>
          <w:p w14:paraId="678C2205" w14:textId="76849FE6" w:rsidR="0014516F" w:rsidRPr="00AF720A" w:rsidRDefault="0014516F" w:rsidP="006220D5">
            <w:pPr>
              <w:adjustRightInd/>
              <w:snapToGrid/>
              <w:spacing w:afterLines="0" w:after="0" w:line="240" w:lineRule="auto"/>
              <w:ind w:firstLineChars="200" w:firstLine="400"/>
              <w:rPr>
                <w:bCs w:val="0"/>
                <w:sz w:val="20"/>
                <w:szCs w:val="20"/>
                <w:lang w:val="en-US" w:eastAsia="zh-CN"/>
              </w:rPr>
            </w:pPr>
          </w:p>
        </w:tc>
      </w:tr>
      <w:tr w:rsidR="0014516F" w:rsidRPr="00AF720A" w14:paraId="70145CED" w14:textId="77777777" w:rsidTr="00ED5E75">
        <w:trPr>
          <w:trHeight w:val="285"/>
        </w:trPr>
        <w:tc>
          <w:tcPr>
            <w:tcW w:w="3596" w:type="dxa"/>
            <w:shd w:val="clear" w:color="auto" w:fill="auto"/>
            <w:noWrap/>
            <w:vAlign w:val="center"/>
            <w:hideMark/>
          </w:tcPr>
          <w:p w14:paraId="3C9654C1" w14:textId="2111B254" w:rsidR="0014516F" w:rsidRPr="00AF720A"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Yes</w:t>
            </w:r>
          </w:p>
        </w:tc>
        <w:tc>
          <w:tcPr>
            <w:tcW w:w="820" w:type="dxa"/>
            <w:shd w:val="clear" w:color="auto" w:fill="auto"/>
            <w:noWrap/>
            <w:vAlign w:val="center"/>
            <w:hideMark/>
          </w:tcPr>
          <w:p w14:paraId="6E3E40A9" w14:textId="5286AFFA"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 xml:space="preserve">-1.19 </w:t>
            </w:r>
          </w:p>
        </w:tc>
        <w:tc>
          <w:tcPr>
            <w:tcW w:w="1703" w:type="dxa"/>
            <w:gridSpan w:val="2"/>
            <w:shd w:val="clear" w:color="auto" w:fill="auto"/>
            <w:noWrap/>
            <w:vAlign w:val="center"/>
            <w:hideMark/>
          </w:tcPr>
          <w:p w14:paraId="68467728" w14:textId="2F67485A" w:rsidR="0014516F" w:rsidRPr="00AF720A" w:rsidRDefault="0014516F" w:rsidP="006220D5">
            <w:pPr>
              <w:adjustRightInd/>
              <w:snapToGrid/>
              <w:spacing w:afterLines="0" w:after="0" w:line="240" w:lineRule="auto"/>
              <w:ind w:right="-108"/>
              <w:rPr>
                <w:bCs w:val="0"/>
                <w:sz w:val="20"/>
                <w:szCs w:val="20"/>
                <w:lang w:val="en-US" w:eastAsia="zh-CN"/>
              </w:rPr>
            </w:pPr>
            <w:r w:rsidRPr="00AF720A">
              <w:rPr>
                <w:bCs w:val="0"/>
                <w:sz w:val="20"/>
                <w:szCs w:val="20"/>
                <w:lang w:val="en-US" w:eastAsia="zh-CN"/>
              </w:rPr>
              <w:t>(-1.63 to - 0.74)</w:t>
            </w:r>
          </w:p>
        </w:tc>
        <w:tc>
          <w:tcPr>
            <w:tcW w:w="263" w:type="dxa"/>
            <w:vAlign w:val="center"/>
          </w:tcPr>
          <w:p w14:paraId="5AD669A8" w14:textId="2F79F804" w:rsidR="0014516F" w:rsidRPr="00AF720A" w:rsidRDefault="0014516F" w:rsidP="00ED5E75">
            <w:pPr>
              <w:adjustRightInd/>
              <w:snapToGrid/>
              <w:spacing w:afterLines="0" w:after="0" w:line="240" w:lineRule="auto"/>
              <w:rPr>
                <w:bCs w:val="0"/>
                <w:sz w:val="20"/>
                <w:szCs w:val="20"/>
                <w:lang w:val="en-US" w:eastAsia="zh-CN"/>
              </w:rPr>
            </w:pPr>
          </w:p>
        </w:tc>
        <w:tc>
          <w:tcPr>
            <w:tcW w:w="900" w:type="dxa"/>
            <w:vAlign w:val="center"/>
          </w:tcPr>
          <w:p w14:paraId="2E428363" w14:textId="2A27638A"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-0.94</w:t>
            </w:r>
          </w:p>
        </w:tc>
        <w:tc>
          <w:tcPr>
            <w:tcW w:w="1710" w:type="dxa"/>
            <w:gridSpan w:val="2"/>
            <w:vAlign w:val="center"/>
          </w:tcPr>
          <w:p w14:paraId="63B41716" w14:textId="1B1E94D5" w:rsidR="0014516F" w:rsidRPr="00AF720A" w:rsidRDefault="0014516F" w:rsidP="006220D5">
            <w:pPr>
              <w:adjustRightInd/>
              <w:snapToGrid/>
              <w:spacing w:afterLines="0" w:after="0" w:line="240" w:lineRule="auto"/>
              <w:ind w:right="-18"/>
              <w:rPr>
                <w:bCs w:val="0"/>
                <w:sz w:val="20"/>
                <w:szCs w:val="20"/>
                <w:lang w:val="en-US" w:eastAsia="zh-CN"/>
              </w:rPr>
            </w:pPr>
            <w:r w:rsidRPr="00AF720A">
              <w:rPr>
                <w:bCs w:val="0"/>
                <w:sz w:val="20"/>
                <w:szCs w:val="20"/>
                <w:lang w:val="en-US" w:eastAsia="zh-CN"/>
              </w:rPr>
              <w:t>(-1.34 to -0.53)</w:t>
            </w:r>
          </w:p>
        </w:tc>
        <w:tc>
          <w:tcPr>
            <w:tcW w:w="270" w:type="dxa"/>
            <w:vAlign w:val="center"/>
          </w:tcPr>
          <w:p w14:paraId="44E4806A" w14:textId="421C0E3C"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59079B9A" w14:textId="61B37AB3"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-0.92</w:t>
            </w:r>
          </w:p>
        </w:tc>
        <w:tc>
          <w:tcPr>
            <w:tcW w:w="1718" w:type="dxa"/>
            <w:gridSpan w:val="2"/>
            <w:vAlign w:val="center"/>
          </w:tcPr>
          <w:p w14:paraId="6EA038AE" w14:textId="3D204C5E"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(-1.32 to -0.53)</w:t>
            </w:r>
          </w:p>
        </w:tc>
      </w:tr>
      <w:tr w:rsidR="0014516F" w:rsidRPr="00AF720A" w14:paraId="0C240507" w14:textId="77777777" w:rsidTr="00ED5E75">
        <w:trPr>
          <w:trHeight w:val="285"/>
        </w:trPr>
        <w:tc>
          <w:tcPr>
            <w:tcW w:w="3596" w:type="dxa"/>
            <w:shd w:val="clear" w:color="auto" w:fill="auto"/>
            <w:noWrap/>
            <w:vAlign w:val="center"/>
            <w:hideMark/>
          </w:tcPr>
          <w:p w14:paraId="583DD3FA" w14:textId="61E0A58A"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Daily chocolate consumption</w:t>
            </w:r>
          </w:p>
        </w:tc>
        <w:tc>
          <w:tcPr>
            <w:tcW w:w="820" w:type="dxa"/>
            <w:shd w:val="clear" w:color="auto" w:fill="auto"/>
            <w:noWrap/>
            <w:vAlign w:val="center"/>
            <w:hideMark/>
          </w:tcPr>
          <w:p w14:paraId="56F9FC9B" w14:textId="77777777" w:rsidR="0014516F" w:rsidRPr="00AF720A" w:rsidRDefault="0014516F" w:rsidP="00ED5E75">
            <w:pPr>
              <w:adjustRightInd/>
              <w:snapToGrid/>
              <w:spacing w:afterLines="0" w:after="0" w:line="240" w:lineRule="auto"/>
              <w:rPr>
                <w:bCs w:val="0"/>
                <w:sz w:val="20"/>
                <w:szCs w:val="20"/>
                <w:lang w:val="en-US" w:eastAsia="zh-CN"/>
              </w:rPr>
            </w:pPr>
          </w:p>
        </w:tc>
        <w:tc>
          <w:tcPr>
            <w:tcW w:w="898" w:type="dxa"/>
            <w:shd w:val="clear" w:color="auto" w:fill="auto"/>
            <w:noWrap/>
            <w:vAlign w:val="center"/>
            <w:hideMark/>
          </w:tcPr>
          <w:p w14:paraId="4F5C9788" w14:textId="77777777" w:rsidR="0014516F" w:rsidRPr="00AF720A" w:rsidRDefault="0014516F" w:rsidP="00ED5E75">
            <w:pPr>
              <w:adjustRightInd/>
              <w:snapToGrid/>
              <w:spacing w:afterLines="0" w:after="0" w:line="240" w:lineRule="auto"/>
              <w:rPr>
                <w:bCs w:val="0"/>
                <w:sz w:val="20"/>
                <w:szCs w:val="20"/>
                <w:lang w:val="en-US" w:eastAsia="zh-CN"/>
              </w:rPr>
            </w:pPr>
          </w:p>
        </w:tc>
        <w:tc>
          <w:tcPr>
            <w:tcW w:w="805" w:type="dxa"/>
            <w:shd w:val="clear" w:color="auto" w:fill="auto"/>
            <w:noWrap/>
            <w:vAlign w:val="center"/>
            <w:hideMark/>
          </w:tcPr>
          <w:p w14:paraId="2E2E125A" w14:textId="77777777" w:rsidR="0014516F" w:rsidRPr="00AF720A" w:rsidRDefault="0014516F" w:rsidP="006220D5">
            <w:pPr>
              <w:adjustRightInd/>
              <w:snapToGrid/>
              <w:spacing w:afterLines="0" w:after="0" w:line="240" w:lineRule="auto"/>
              <w:rPr>
                <w:bCs w:val="0"/>
                <w:sz w:val="20"/>
                <w:szCs w:val="20"/>
                <w:lang w:val="en-US" w:eastAsia="zh-CN"/>
              </w:rPr>
            </w:pPr>
          </w:p>
        </w:tc>
        <w:tc>
          <w:tcPr>
            <w:tcW w:w="263" w:type="dxa"/>
            <w:vAlign w:val="center"/>
          </w:tcPr>
          <w:p w14:paraId="31645D58" w14:textId="77777777" w:rsidR="0014516F" w:rsidRPr="00AF720A" w:rsidRDefault="0014516F" w:rsidP="00ED5E75">
            <w:pPr>
              <w:adjustRightInd/>
              <w:snapToGrid/>
              <w:spacing w:afterLines="0" w:after="0" w:line="240" w:lineRule="auto"/>
              <w:rPr>
                <w:bCs w:val="0"/>
                <w:sz w:val="20"/>
                <w:szCs w:val="20"/>
                <w:lang w:val="en-US" w:eastAsia="zh-CN"/>
              </w:rPr>
            </w:pPr>
          </w:p>
        </w:tc>
        <w:tc>
          <w:tcPr>
            <w:tcW w:w="900" w:type="dxa"/>
            <w:vAlign w:val="center"/>
          </w:tcPr>
          <w:p w14:paraId="3AD6567D" w14:textId="77777777" w:rsidR="0014516F" w:rsidRPr="00AF720A" w:rsidRDefault="0014516F" w:rsidP="00ED5E75">
            <w:pPr>
              <w:adjustRightInd/>
              <w:snapToGrid/>
              <w:spacing w:afterLines="0" w:after="0" w:line="240" w:lineRule="auto"/>
              <w:rPr>
                <w:bCs w:val="0"/>
                <w:sz w:val="20"/>
                <w:szCs w:val="20"/>
                <w:lang w:val="en-US" w:eastAsia="zh-CN"/>
              </w:rPr>
            </w:pPr>
          </w:p>
        </w:tc>
        <w:tc>
          <w:tcPr>
            <w:tcW w:w="900" w:type="dxa"/>
            <w:vAlign w:val="center"/>
          </w:tcPr>
          <w:p w14:paraId="5E7BF68F" w14:textId="77777777"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550D774D" w14:textId="77777777" w:rsidR="0014516F" w:rsidRPr="00AF720A" w:rsidRDefault="0014516F" w:rsidP="006220D5">
            <w:pPr>
              <w:adjustRightInd/>
              <w:snapToGrid/>
              <w:spacing w:afterLines="0" w:after="0" w:line="240" w:lineRule="auto"/>
              <w:rPr>
                <w:bCs w:val="0"/>
                <w:sz w:val="20"/>
                <w:szCs w:val="20"/>
                <w:lang w:val="en-US" w:eastAsia="zh-CN"/>
              </w:rPr>
            </w:pPr>
          </w:p>
        </w:tc>
        <w:tc>
          <w:tcPr>
            <w:tcW w:w="270" w:type="dxa"/>
            <w:vAlign w:val="center"/>
          </w:tcPr>
          <w:p w14:paraId="3096F7A7" w14:textId="77777777"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6EB3F20D" w14:textId="1A32F969" w:rsidR="0014516F" w:rsidRPr="00AF720A" w:rsidRDefault="0014516F" w:rsidP="00ED5E75">
            <w:pPr>
              <w:adjustRightInd/>
              <w:snapToGrid/>
              <w:spacing w:afterLines="0" w:after="0" w:line="240" w:lineRule="auto"/>
              <w:rPr>
                <w:bCs w:val="0"/>
                <w:sz w:val="20"/>
                <w:szCs w:val="20"/>
                <w:lang w:val="en-US" w:eastAsia="zh-CN"/>
              </w:rPr>
            </w:pPr>
          </w:p>
        </w:tc>
        <w:tc>
          <w:tcPr>
            <w:tcW w:w="990" w:type="dxa"/>
            <w:vAlign w:val="center"/>
          </w:tcPr>
          <w:p w14:paraId="0859CB52" w14:textId="77777777" w:rsidR="0014516F" w:rsidRPr="00AF720A" w:rsidRDefault="0014516F" w:rsidP="00ED5E75">
            <w:pPr>
              <w:adjustRightInd/>
              <w:snapToGrid/>
              <w:spacing w:afterLines="0" w:after="0" w:line="240" w:lineRule="auto"/>
              <w:rPr>
                <w:bCs w:val="0"/>
                <w:sz w:val="20"/>
                <w:szCs w:val="20"/>
                <w:lang w:val="en-US" w:eastAsia="zh-CN"/>
              </w:rPr>
            </w:pPr>
          </w:p>
        </w:tc>
        <w:tc>
          <w:tcPr>
            <w:tcW w:w="728" w:type="dxa"/>
            <w:vAlign w:val="center"/>
          </w:tcPr>
          <w:p w14:paraId="725DC17F" w14:textId="794314DB" w:rsidR="0014516F" w:rsidRPr="00AF720A" w:rsidRDefault="0014516F" w:rsidP="006220D5">
            <w:pPr>
              <w:adjustRightInd/>
              <w:snapToGrid/>
              <w:spacing w:afterLines="0" w:after="0" w:line="240" w:lineRule="auto"/>
              <w:rPr>
                <w:bCs w:val="0"/>
                <w:sz w:val="20"/>
                <w:szCs w:val="20"/>
                <w:lang w:val="en-US" w:eastAsia="zh-CN"/>
              </w:rPr>
            </w:pPr>
          </w:p>
        </w:tc>
      </w:tr>
      <w:tr w:rsidR="0014516F" w:rsidRPr="00AF720A" w14:paraId="53E65192" w14:textId="77777777" w:rsidTr="00ED5E75">
        <w:trPr>
          <w:trHeight w:val="285"/>
        </w:trPr>
        <w:tc>
          <w:tcPr>
            <w:tcW w:w="3596" w:type="dxa"/>
            <w:shd w:val="clear" w:color="auto" w:fill="auto"/>
            <w:noWrap/>
            <w:vAlign w:val="center"/>
            <w:hideMark/>
          </w:tcPr>
          <w:p w14:paraId="5CE19849" w14:textId="77777777" w:rsidR="0014516F" w:rsidRPr="00AF720A"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None</w:t>
            </w:r>
          </w:p>
        </w:tc>
        <w:tc>
          <w:tcPr>
            <w:tcW w:w="1718" w:type="dxa"/>
            <w:gridSpan w:val="2"/>
            <w:shd w:val="clear" w:color="auto" w:fill="auto"/>
            <w:noWrap/>
            <w:vAlign w:val="center"/>
            <w:hideMark/>
          </w:tcPr>
          <w:p w14:paraId="559C11F1" w14:textId="77777777"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805" w:type="dxa"/>
            <w:shd w:val="clear" w:color="auto" w:fill="auto"/>
            <w:noWrap/>
            <w:vAlign w:val="center"/>
            <w:hideMark/>
          </w:tcPr>
          <w:p w14:paraId="5F693A31" w14:textId="77777777" w:rsidR="0014516F" w:rsidRPr="00AF720A" w:rsidRDefault="0014516F" w:rsidP="006220D5">
            <w:pPr>
              <w:adjustRightInd/>
              <w:snapToGrid/>
              <w:spacing w:afterLines="0" w:after="0" w:line="240" w:lineRule="auto"/>
              <w:rPr>
                <w:bCs w:val="0"/>
                <w:sz w:val="20"/>
                <w:szCs w:val="20"/>
                <w:lang w:val="en-US" w:eastAsia="zh-CN"/>
              </w:rPr>
            </w:pPr>
          </w:p>
        </w:tc>
        <w:tc>
          <w:tcPr>
            <w:tcW w:w="263" w:type="dxa"/>
            <w:vAlign w:val="center"/>
          </w:tcPr>
          <w:p w14:paraId="380957BC" w14:textId="77777777" w:rsidR="0014516F" w:rsidRPr="00AF720A" w:rsidRDefault="0014516F" w:rsidP="00ED5E75">
            <w:pPr>
              <w:adjustRightInd/>
              <w:snapToGrid/>
              <w:spacing w:afterLines="0" w:after="0" w:line="240" w:lineRule="auto"/>
              <w:rPr>
                <w:bCs w:val="0"/>
                <w:sz w:val="20"/>
                <w:szCs w:val="20"/>
                <w:lang w:val="en-US" w:eastAsia="zh-CN"/>
              </w:rPr>
            </w:pPr>
          </w:p>
        </w:tc>
        <w:tc>
          <w:tcPr>
            <w:tcW w:w="1800" w:type="dxa"/>
            <w:gridSpan w:val="2"/>
            <w:vAlign w:val="center"/>
          </w:tcPr>
          <w:p w14:paraId="1E0CB188" w14:textId="10F387CB"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810" w:type="dxa"/>
            <w:vAlign w:val="center"/>
          </w:tcPr>
          <w:p w14:paraId="7130023B" w14:textId="77777777" w:rsidR="0014516F" w:rsidRPr="00AF720A" w:rsidRDefault="0014516F" w:rsidP="006220D5">
            <w:pPr>
              <w:adjustRightInd/>
              <w:snapToGrid/>
              <w:spacing w:afterLines="0" w:after="0" w:line="240" w:lineRule="auto"/>
              <w:rPr>
                <w:bCs w:val="0"/>
                <w:sz w:val="20"/>
                <w:szCs w:val="20"/>
                <w:lang w:val="en-US" w:eastAsia="zh-CN"/>
              </w:rPr>
            </w:pPr>
          </w:p>
        </w:tc>
        <w:tc>
          <w:tcPr>
            <w:tcW w:w="270" w:type="dxa"/>
            <w:vAlign w:val="center"/>
          </w:tcPr>
          <w:p w14:paraId="7A0F06C8" w14:textId="77777777" w:rsidR="0014516F" w:rsidRPr="00AF720A" w:rsidRDefault="0014516F" w:rsidP="006220D5">
            <w:pPr>
              <w:adjustRightInd/>
              <w:snapToGrid/>
              <w:spacing w:afterLines="0" w:after="0" w:line="240" w:lineRule="auto"/>
              <w:rPr>
                <w:bCs w:val="0"/>
                <w:sz w:val="20"/>
                <w:szCs w:val="20"/>
                <w:lang w:val="en-US" w:eastAsia="zh-CN"/>
              </w:rPr>
            </w:pPr>
          </w:p>
        </w:tc>
        <w:tc>
          <w:tcPr>
            <w:tcW w:w="1800" w:type="dxa"/>
            <w:gridSpan w:val="2"/>
            <w:vAlign w:val="center"/>
          </w:tcPr>
          <w:p w14:paraId="5015134A" w14:textId="55253F20"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728" w:type="dxa"/>
            <w:vAlign w:val="center"/>
          </w:tcPr>
          <w:p w14:paraId="597792AC" w14:textId="77D9C028" w:rsidR="0014516F" w:rsidRPr="00AF720A" w:rsidRDefault="0014516F" w:rsidP="006220D5">
            <w:pPr>
              <w:adjustRightInd/>
              <w:snapToGrid/>
              <w:spacing w:afterLines="0" w:after="0" w:line="240" w:lineRule="auto"/>
              <w:rPr>
                <w:bCs w:val="0"/>
                <w:sz w:val="20"/>
                <w:szCs w:val="20"/>
                <w:lang w:val="en-US" w:eastAsia="zh-CN"/>
              </w:rPr>
            </w:pPr>
          </w:p>
        </w:tc>
      </w:tr>
      <w:tr w:rsidR="0014516F" w:rsidRPr="00AF720A" w14:paraId="0882A861" w14:textId="77777777" w:rsidTr="00ED5E75">
        <w:trPr>
          <w:trHeight w:val="285"/>
        </w:trPr>
        <w:tc>
          <w:tcPr>
            <w:tcW w:w="3596" w:type="dxa"/>
            <w:shd w:val="clear" w:color="auto" w:fill="auto"/>
            <w:noWrap/>
            <w:vAlign w:val="center"/>
            <w:hideMark/>
          </w:tcPr>
          <w:p w14:paraId="45D43C8F" w14:textId="0EC8B2DD" w:rsidR="0014516F" w:rsidRPr="00AF720A"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1</w:t>
            </w:r>
            <w:r w:rsidRPr="00AF720A">
              <w:rPr>
                <w:bCs w:val="0"/>
                <w:sz w:val="20"/>
                <w:szCs w:val="20"/>
                <w:vertAlign w:val="superscript"/>
                <w:lang w:val="en-US" w:eastAsia="zh-CN"/>
              </w:rPr>
              <w:t>st</w:t>
            </w:r>
            <w:r w:rsidRPr="00AF720A">
              <w:rPr>
                <w:bCs w:val="0"/>
                <w:sz w:val="20"/>
                <w:szCs w:val="20"/>
                <w:lang w:val="en-US" w:eastAsia="zh-CN"/>
              </w:rPr>
              <w:t xml:space="preserve"> quartile (1.7 – 30.0 grams)</w:t>
            </w:r>
          </w:p>
        </w:tc>
        <w:tc>
          <w:tcPr>
            <w:tcW w:w="820" w:type="dxa"/>
            <w:shd w:val="clear" w:color="auto" w:fill="auto"/>
            <w:noWrap/>
            <w:vAlign w:val="center"/>
            <w:hideMark/>
          </w:tcPr>
          <w:p w14:paraId="7A2410B7" w14:textId="5AF47B62"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-0.93</w:t>
            </w:r>
          </w:p>
        </w:tc>
        <w:tc>
          <w:tcPr>
            <w:tcW w:w="1703" w:type="dxa"/>
            <w:gridSpan w:val="2"/>
            <w:shd w:val="clear" w:color="auto" w:fill="auto"/>
            <w:noWrap/>
            <w:vAlign w:val="center"/>
            <w:hideMark/>
          </w:tcPr>
          <w:p w14:paraId="6B334308" w14:textId="4A99376E"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(-1.63 to -0.23)</w:t>
            </w:r>
          </w:p>
        </w:tc>
        <w:tc>
          <w:tcPr>
            <w:tcW w:w="263" w:type="dxa"/>
            <w:vAlign w:val="center"/>
          </w:tcPr>
          <w:p w14:paraId="2BC01375" w14:textId="77777777" w:rsidR="0014516F" w:rsidRPr="00AF720A" w:rsidRDefault="0014516F" w:rsidP="00ED5E75">
            <w:pPr>
              <w:adjustRightInd/>
              <w:snapToGrid/>
              <w:spacing w:afterLines="0" w:after="0" w:line="240" w:lineRule="auto"/>
              <w:rPr>
                <w:bCs w:val="0"/>
                <w:sz w:val="20"/>
                <w:szCs w:val="20"/>
                <w:lang w:val="en-US" w:eastAsia="zh-CN"/>
              </w:rPr>
            </w:pPr>
          </w:p>
        </w:tc>
        <w:tc>
          <w:tcPr>
            <w:tcW w:w="900" w:type="dxa"/>
            <w:vAlign w:val="center"/>
          </w:tcPr>
          <w:p w14:paraId="3DCFFDEA" w14:textId="7026AF8F"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-0.79</w:t>
            </w:r>
          </w:p>
        </w:tc>
        <w:tc>
          <w:tcPr>
            <w:tcW w:w="1710" w:type="dxa"/>
            <w:gridSpan w:val="2"/>
            <w:vAlign w:val="center"/>
          </w:tcPr>
          <w:p w14:paraId="3F99208B" w14:textId="599EFB0A" w:rsidR="0014516F" w:rsidRPr="00AF720A" w:rsidRDefault="0014516F" w:rsidP="006220D5">
            <w:pPr>
              <w:tabs>
                <w:tab w:val="left" w:pos="882"/>
              </w:tabs>
              <w:adjustRightInd/>
              <w:snapToGrid/>
              <w:spacing w:afterLines="0" w:after="0" w:line="240" w:lineRule="auto"/>
              <w:rPr>
                <w:bCs w:val="0"/>
                <w:sz w:val="20"/>
                <w:szCs w:val="20"/>
                <w:lang w:val="en-US" w:eastAsia="zh-CN"/>
              </w:rPr>
            </w:pPr>
            <w:r w:rsidRPr="00AF720A">
              <w:rPr>
                <w:bCs w:val="0"/>
                <w:sz w:val="20"/>
                <w:szCs w:val="20"/>
                <w:lang w:val="en-US" w:eastAsia="zh-CN"/>
              </w:rPr>
              <w:t>(-1.44 to -0.14)</w:t>
            </w:r>
          </w:p>
        </w:tc>
        <w:tc>
          <w:tcPr>
            <w:tcW w:w="270" w:type="dxa"/>
            <w:vAlign w:val="center"/>
          </w:tcPr>
          <w:p w14:paraId="17E37B5D" w14:textId="495ADFEC"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5926B1DC" w14:textId="52E30FF2"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-0.80</w:t>
            </w:r>
          </w:p>
        </w:tc>
        <w:tc>
          <w:tcPr>
            <w:tcW w:w="1718" w:type="dxa"/>
            <w:gridSpan w:val="2"/>
            <w:vAlign w:val="center"/>
          </w:tcPr>
          <w:p w14:paraId="02B74227" w14:textId="4FBE39B0"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(-1.44 to -0.14)</w:t>
            </w:r>
          </w:p>
        </w:tc>
      </w:tr>
      <w:tr w:rsidR="0014516F" w:rsidRPr="00AF720A" w14:paraId="2B4BE23D" w14:textId="77777777" w:rsidTr="00ED5E75">
        <w:trPr>
          <w:trHeight w:val="285"/>
        </w:trPr>
        <w:tc>
          <w:tcPr>
            <w:tcW w:w="3596" w:type="dxa"/>
            <w:shd w:val="clear" w:color="auto" w:fill="auto"/>
            <w:noWrap/>
            <w:vAlign w:val="center"/>
            <w:hideMark/>
          </w:tcPr>
          <w:p w14:paraId="1782380E" w14:textId="1CA47321" w:rsidR="0014516F" w:rsidRPr="00AF720A"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2</w:t>
            </w:r>
            <w:r w:rsidRPr="00AF720A">
              <w:rPr>
                <w:bCs w:val="0"/>
                <w:sz w:val="20"/>
                <w:szCs w:val="20"/>
                <w:vertAlign w:val="superscript"/>
                <w:lang w:val="en-US" w:eastAsia="zh-CN"/>
              </w:rPr>
              <w:t>nd</w:t>
            </w:r>
            <w:r w:rsidRPr="00AF720A">
              <w:rPr>
                <w:bCs w:val="0"/>
                <w:sz w:val="20"/>
                <w:szCs w:val="20"/>
                <w:lang w:val="en-US" w:eastAsia="zh-CN"/>
              </w:rPr>
              <w:t xml:space="preserve"> quartile (30.4 – 95.1 grams)</w:t>
            </w:r>
          </w:p>
        </w:tc>
        <w:tc>
          <w:tcPr>
            <w:tcW w:w="820" w:type="dxa"/>
            <w:shd w:val="clear" w:color="auto" w:fill="auto"/>
            <w:noWrap/>
            <w:vAlign w:val="center"/>
            <w:hideMark/>
          </w:tcPr>
          <w:p w14:paraId="79AD2801" w14:textId="07631DEC"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-1.42</w:t>
            </w:r>
          </w:p>
        </w:tc>
        <w:tc>
          <w:tcPr>
            <w:tcW w:w="1703" w:type="dxa"/>
            <w:gridSpan w:val="2"/>
            <w:shd w:val="clear" w:color="auto" w:fill="auto"/>
            <w:noWrap/>
            <w:vAlign w:val="center"/>
            <w:hideMark/>
          </w:tcPr>
          <w:p w14:paraId="1ADB98E9" w14:textId="4D7E1025" w:rsidR="0014516F" w:rsidRPr="00AF720A" w:rsidRDefault="0014516F" w:rsidP="006220D5">
            <w:pPr>
              <w:tabs>
                <w:tab w:val="left" w:pos="877"/>
              </w:tabs>
              <w:adjustRightInd/>
              <w:snapToGrid/>
              <w:spacing w:afterLines="0" w:after="0" w:line="240" w:lineRule="auto"/>
              <w:ind w:right="-108"/>
              <w:rPr>
                <w:bCs w:val="0"/>
                <w:sz w:val="20"/>
                <w:szCs w:val="20"/>
                <w:lang w:val="en-US" w:eastAsia="zh-CN"/>
              </w:rPr>
            </w:pPr>
            <w:r w:rsidRPr="00AF720A">
              <w:rPr>
                <w:bCs w:val="0"/>
                <w:sz w:val="20"/>
                <w:szCs w:val="20"/>
                <w:lang w:val="en-US" w:eastAsia="zh-CN"/>
              </w:rPr>
              <w:t>(-0.19 to -0.65)</w:t>
            </w:r>
          </w:p>
        </w:tc>
        <w:tc>
          <w:tcPr>
            <w:tcW w:w="263" w:type="dxa"/>
            <w:vAlign w:val="center"/>
          </w:tcPr>
          <w:p w14:paraId="5F236577" w14:textId="77777777" w:rsidR="0014516F" w:rsidRPr="00AF720A" w:rsidRDefault="0014516F" w:rsidP="00ED5E75">
            <w:pPr>
              <w:adjustRightInd/>
              <w:snapToGrid/>
              <w:spacing w:afterLines="0" w:after="0" w:line="240" w:lineRule="auto"/>
              <w:rPr>
                <w:bCs w:val="0"/>
                <w:sz w:val="20"/>
                <w:szCs w:val="20"/>
                <w:lang w:val="en-US" w:eastAsia="zh-CN"/>
              </w:rPr>
            </w:pPr>
          </w:p>
        </w:tc>
        <w:tc>
          <w:tcPr>
            <w:tcW w:w="900" w:type="dxa"/>
            <w:vAlign w:val="center"/>
          </w:tcPr>
          <w:p w14:paraId="729E6F89" w14:textId="69F7D21F"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-1.07</w:t>
            </w:r>
          </w:p>
        </w:tc>
        <w:tc>
          <w:tcPr>
            <w:tcW w:w="1710" w:type="dxa"/>
            <w:gridSpan w:val="2"/>
            <w:vAlign w:val="center"/>
          </w:tcPr>
          <w:p w14:paraId="7C77589B" w14:textId="5317376E"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(-1.84 to -0.31)</w:t>
            </w:r>
          </w:p>
        </w:tc>
        <w:tc>
          <w:tcPr>
            <w:tcW w:w="270" w:type="dxa"/>
            <w:vAlign w:val="center"/>
          </w:tcPr>
          <w:p w14:paraId="4D6CDEB0" w14:textId="3E4D4F8E"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093D9B92" w14:textId="3FFC8B41"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-1.07</w:t>
            </w:r>
          </w:p>
        </w:tc>
        <w:tc>
          <w:tcPr>
            <w:tcW w:w="1718" w:type="dxa"/>
            <w:gridSpan w:val="2"/>
            <w:vAlign w:val="center"/>
          </w:tcPr>
          <w:p w14:paraId="6BF86DDB" w14:textId="409C859A"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(-1.81 to -0.32)</w:t>
            </w:r>
          </w:p>
        </w:tc>
      </w:tr>
      <w:tr w:rsidR="0014516F" w:rsidRPr="00AF720A" w14:paraId="68F86799" w14:textId="77777777" w:rsidTr="00ED5E75">
        <w:trPr>
          <w:trHeight w:val="285"/>
        </w:trPr>
        <w:tc>
          <w:tcPr>
            <w:tcW w:w="3596" w:type="dxa"/>
            <w:shd w:val="clear" w:color="auto" w:fill="auto"/>
            <w:noWrap/>
            <w:vAlign w:val="center"/>
          </w:tcPr>
          <w:p w14:paraId="19330C50" w14:textId="77777777" w:rsidR="0014516F" w:rsidRPr="00AF720A" w:rsidDel="00573548"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3</w:t>
            </w:r>
            <w:r w:rsidRPr="00AF720A">
              <w:rPr>
                <w:bCs w:val="0"/>
                <w:sz w:val="20"/>
                <w:szCs w:val="20"/>
                <w:vertAlign w:val="superscript"/>
                <w:lang w:val="en-US" w:eastAsia="zh-CN"/>
              </w:rPr>
              <w:t>rd</w:t>
            </w:r>
            <w:r w:rsidRPr="00AF720A">
              <w:rPr>
                <w:bCs w:val="0"/>
                <w:sz w:val="20"/>
                <w:szCs w:val="20"/>
                <w:lang w:val="en-US" w:eastAsia="zh-CN"/>
              </w:rPr>
              <w:t xml:space="preserve"> quartile (100 – 100 grams)</w:t>
            </w:r>
          </w:p>
        </w:tc>
        <w:tc>
          <w:tcPr>
            <w:tcW w:w="820" w:type="dxa"/>
            <w:shd w:val="clear" w:color="auto" w:fill="auto"/>
            <w:noWrap/>
            <w:vAlign w:val="center"/>
          </w:tcPr>
          <w:p w14:paraId="566C1DD8" w14:textId="2CFD21A2"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-1.34</w:t>
            </w:r>
          </w:p>
        </w:tc>
        <w:tc>
          <w:tcPr>
            <w:tcW w:w="1703" w:type="dxa"/>
            <w:gridSpan w:val="2"/>
            <w:shd w:val="clear" w:color="auto" w:fill="auto"/>
            <w:noWrap/>
            <w:vAlign w:val="center"/>
          </w:tcPr>
          <w:p w14:paraId="046BD3F9" w14:textId="395ADB29" w:rsidR="0014516F" w:rsidRPr="00AF720A" w:rsidRDefault="0014516F" w:rsidP="006220D5">
            <w:pPr>
              <w:adjustRightInd/>
              <w:snapToGrid/>
              <w:spacing w:afterLines="0" w:after="0" w:line="240" w:lineRule="auto"/>
              <w:ind w:right="-18"/>
              <w:rPr>
                <w:bCs w:val="0"/>
                <w:sz w:val="20"/>
                <w:szCs w:val="20"/>
                <w:lang w:val="en-US" w:eastAsia="zh-CN"/>
              </w:rPr>
            </w:pPr>
            <w:r w:rsidRPr="00AF720A">
              <w:rPr>
                <w:bCs w:val="0"/>
                <w:sz w:val="20"/>
                <w:szCs w:val="20"/>
                <w:lang w:val="en-US" w:eastAsia="zh-CN"/>
              </w:rPr>
              <w:t>(-2.19 to -0.48)</w:t>
            </w:r>
          </w:p>
        </w:tc>
        <w:tc>
          <w:tcPr>
            <w:tcW w:w="263" w:type="dxa"/>
            <w:vAlign w:val="center"/>
          </w:tcPr>
          <w:p w14:paraId="44CF610A" w14:textId="77777777" w:rsidR="0014516F" w:rsidRPr="00AF720A" w:rsidRDefault="0014516F" w:rsidP="00ED5E75">
            <w:pPr>
              <w:adjustRightInd/>
              <w:snapToGrid/>
              <w:spacing w:afterLines="0" w:after="0" w:line="240" w:lineRule="auto"/>
              <w:rPr>
                <w:bCs w:val="0"/>
                <w:sz w:val="20"/>
                <w:szCs w:val="20"/>
                <w:lang w:val="en-US" w:eastAsia="zh-CN"/>
              </w:rPr>
            </w:pPr>
          </w:p>
        </w:tc>
        <w:tc>
          <w:tcPr>
            <w:tcW w:w="900" w:type="dxa"/>
            <w:vAlign w:val="center"/>
          </w:tcPr>
          <w:p w14:paraId="34417C8E" w14:textId="30B2E709"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-1.08</w:t>
            </w:r>
          </w:p>
        </w:tc>
        <w:tc>
          <w:tcPr>
            <w:tcW w:w="1710" w:type="dxa"/>
            <w:gridSpan w:val="2"/>
            <w:vAlign w:val="center"/>
          </w:tcPr>
          <w:p w14:paraId="66C70C9E" w14:textId="6DF0AF5F" w:rsidR="0014516F" w:rsidRPr="00AF720A" w:rsidRDefault="0014516F" w:rsidP="006220D5">
            <w:pPr>
              <w:tabs>
                <w:tab w:val="left" w:pos="972"/>
              </w:tabs>
              <w:adjustRightInd/>
              <w:snapToGrid/>
              <w:spacing w:afterLines="0" w:after="0" w:line="240" w:lineRule="auto"/>
              <w:ind w:right="-108"/>
              <w:rPr>
                <w:bCs w:val="0"/>
                <w:sz w:val="20"/>
                <w:szCs w:val="20"/>
                <w:lang w:val="en-US" w:eastAsia="zh-CN"/>
              </w:rPr>
            </w:pPr>
            <w:r w:rsidRPr="00AF720A">
              <w:rPr>
                <w:bCs w:val="0"/>
                <w:sz w:val="20"/>
                <w:szCs w:val="20"/>
                <w:lang w:val="en-US" w:eastAsia="zh-CN"/>
              </w:rPr>
              <w:t>(-1.90 to -0.27)</w:t>
            </w:r>
          </w:p>
        </w:tc>
        <w:tc>
          <w:tcPr>
            <w:tcW w:w="270" w:type="dxa"/>
            <w:vAlign w:val="center"/>
          </w:tcPr>
          <w:p w14:paraId="4C078930" w14:textId="36F1C6DD"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47376F3E" w14:textId="51572FBD"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-1.08</w:t>
            </w:r>
          </w:p>
        </w:tc>
        <w:tc>
          <w:tcPr>
            <w:tcW w:w="1718" w:type="dxa"/>
            <w:gridSpan w:val="2"/>
            <w:vAlign w:val="center"/>
          </w:tcPr>
          <w:p w14:paraId="62CA9100" w14:textId="3C9137C0"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(-1.89 to -0.27)</w:t>
            </w:r>
          </w:p>
        </w:tc>
      </w:tr>
      <w:tr w:rsidR="0014516F" w:rsidRPr="00AF720A" w14:paraId="446727C0" w14:textId="77777777" w:rsidTr="00ED5E75">
        <w:trPr>
          <w:trHeight w:val="285"/>
        </w:trPr>
        <w:tc>
          <w:tcPr>
            <w:tcW w:w="3596" w:type="dxa"/>
            <w:shd w:val="clear" w:color="auto" w:fill="auto"/>
            <w:noWrap/>
            <w:vAlign w:val="center"/>
            <w:hideMark/>
          </w:tcPr>
          <w:p w14:paraId="1CAB4827" w14:textId="5813DAF9" w:rsidR="0014516F" w:rsidRPr="00AF720A"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4</w:t>
            </w:r>
            <w:r w:rsidRPr="00AF720A">
              <w:rPr>
                <w:bCs w:val="0"/>
                <w:sz w:val="20"/>
                <w:szCs w:val="20"/>
                <w:vertAlign w:val="superscript"/>
                <w:lang w:val="en-US" w:eastAsia="zh-CN"/>
              </w:rPr>
              <w:t>th</w:t>
            </w:r>
            <w:r w:rsidRPr="00AF720A">
              <w:rPr>
                <w:bCs w:val="0"/>
                <w:sz w:val="20"/>
                <w:szCs w:val="20"/>
                <w:lang w:val="en-US" w:eastAsia="zh-CN"/>
              </w:rPr>
              <w:t xml:space="preserve"> quartile (102.6 – 453.6 grams)</w:t>
            </w:r>
          </w:p>
        </w:tc>
        <w:tc>
          <w:tcPr>
            <w:tcW w:w="820" w:type="dxa"/>
            <w:shd w:val="clear" w:color="auto" w:fill="auto"/>
            <w:noWrap/>
            <w:vAlign w:val="center"/>
            <w:hideMark/>
          </w:tcPr>
          <w:p w14:paraId="71FBC566" w14:textId="0E8B0363"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-0.97</w:t>
            </w:r>
          </w:p>
        </w:tc>
        <w:tc>
          <w:tcPr>
            <w:tcW w:w="1703" w:type="dxa"/>
            <w:gridSpan w:val="2"/>
            <w:shd w:val="clear" w:color="auto" w:fill="auto"/>
            <w:noWrap/>
            <w:vAlign w:val="center"/>
            <w:hideMark/>
          </w:tcPr>
          <w:p w14:paraId="00607297" w14:textId="2E57CCEB"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(-2.00 to 0.07)</w:t>
            </w:r>
          </w:p>
        </w:tc>
        <w:tc>
          <w:tcPr>
            <w:tcW w:w="263" w:type="dxa"/>
            <w:vAlign w:val="center"/>
          </w:tcPr>
          <w:p w14:paraId="272ED4DC" w14:textId="77777777" w:rsidR="0014516F" w:rsidRPr="00AF720A" w:rsidRDefault="0014516F" w:rsidP="00ED5E75">
            <w:pPr>
              <w:adjustRightInd/>
              <w:snapToGrid/>
              <w:spacing w:afterLines="0" w:after="0" w:line="240" w:lineRule="auto"/>
              <w:rPr>
                <w:bCs w:val="0"/>
                <w:sz w:val="20"/>
                <w:szCs w:val="20"/>
                <w:lang w:val="en-US" w:eastAsia="zh-CN"/>
              </w:rPr>
            </w:pPr>
          </w:p>
        </w:tc>
        <w:tc>
          <w:tcPr>
            <w:tcW w:w="900" w:type="dxa"/>
            <w:vAlign w:val="center"/>
          </w:tcPr>
          <w:p w14:paraId="6990B517" w14:textId="7F4CF23C"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-0.71</w:t>
            </w:r>
          </w:p>
        </w:tc>
        <w:tc>
          <w:tcPr>
            <w:tcW w:w="1710" w:type="dxa"/>
            <w:gridSpan w:val="2"/>
            <w:vAlign w:val="center"/>
          </w:tcPr>
          <w:p w14:paraId="11441364" w14:textId="20BA601D" w:rsidR="0014516F" w:rsidRPr="00AF720A" w:rsidRDefault="0014516F" w:rsidP="006220D5">
            <w:pPr>
              <w:adjustRightInd/>
              <w:snapToGrid/>
              <w:spacing w:afterLines="0" w:after="0" w:line="240" w:lineRule="auto"/>
              <w:ind w:right="-18"/>
              <w:rPr>
                <w:bCs w:val="0"/>
                <w:sz w:val="20"/>
                <w:szCs w:val="20"/>
                <w:lang w:val="en-US" w:eastAsia="zh-CN"/>
              </w:rPr>
            </w:pPr>
            <w:r w:rsidRPr="00AF720A">
              <w:rPr>
                <w:bCs w:val="0"/>
                <w:sz w:val="20"/>
                <w:szCs w:val="20"/>
                <w:lang w:val="en-US" w:eastAsia="zh-CN"/>
              </w:rPr>
              <w:t>(-1.70 to 0.28)</w:t>
            </w:r>
          </w:p>
        </w:tc>
        <w:tc>
          <w:tcPr>
            <w:tcW w:w="270" w:type="dxa"/>
            <w:vAlign w:val="center"/>
          </w:tcPr>
          <w:p w14:paraId="2C8969EC" w14:textId="7466E2AD" w:rsidR="0014516F" w:rsidRPr="00AF720A" w:rsidRDefault="0014516F" w:rsidP="00ED5E75">
            <w:pPr>
              <w:adjustRightInd/>
              <w:snapToGrid/>
              <w:spacing w:afterLines="0" w:after="0" w:line="240" w:lineRule="auto"/>
              <w:rPr>
                <w:bCs w:val="0"/>
                <w:sz w:val="20"/>
                <w:szCs w:val="20"/>
                <w:lang w:val="en-US" w:eastAsia="zh-CN"/>
              </w:rPr>
            </w:pPr>
          </w:p>
        </w:tc>
        <w:tc>
          <w:tcPr>
            <w:tcW w:w="810" w:type="dxa"/>
            <w:vAlign w:val="center"/>
          </w:tcPr>
          <w:p w14:paraId="74B271FB" w14:textId="2ABEC337"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-0.71</w:t>
            </w:r>
          </w:p>
        </w:tc>
        <w:tc>
          <w:tcPr>
            <w:tcW w:w="1718" w:type="dxa"/>
            <w:gridSpan w:val="2"/>
            <w:vAlign w:val="center"/>
          </w:tcPr>
          <w:p w14:paraId="4AA8D529" w14:textId="4C89837E" w:rsidR="0014516F" w:rsidRPr="00AF720A" w:rsidRDefault="0014516F" w:rsidP="006220D5">
            <w:pPr>
              <w:adjustRightInd/>
              <w:snapToGrid/>
              <w:spacing w:afterLines="0" w:after="0" w:line="240" w:lineRule="auto"/>
              <w:rPr>
                <w:bCs w:val="0"/>
                <w:sz w:val="20"/>
                <w:szCs w:val="20"/>
                <w:lang w:val="en-US" w:eastAsia="zh-CN"/>
              </w:rPr>
            </w:pPr>
            <w:r w:rsidRPr="00AF720A">
              <w:rPr>
                <w:bCs w:val="0"/>
                <w:sz w:val="20"/>
                <w:szCs w:val="20"/>
                <w:lang w:val="en-US" w:eastAsia="zh-CN"/>
              </w:rPr>
              <w:t>(-1.69 to 0.28)</w:t>
            </w:r>
          </w:p>
        </w:tc>
      </w:tr>
      <w:tr w:rsidR="0014516F" w:rsidRPr="00AF720A" w14:paraId="695722C9" w14:textId="77777777" w:rsidTr="00ED5E75">
        <w:trPr>
          <w:trHeight w:val="285"/>
        </w:trPr>
        <w:tc>
          <w:tcPr>
            <w:tcW w:w="3596" w:type="dxa"/>
            <w:shd w:val="clear" w:color="auto" w:fill="auto"/>
            <w:noWrap/>
            <w:vAlign w:val="center"/>
          </w:tcPr>
          <w:p w14:paraId="446CC028" w14:textId="61266F6B" w:rsidR="0014516F" w:rsidRPr="00AF720A" w:rsidRDefault="0014516F" w:rsidP="006220D5">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 xml:space="preserve">P for </w:t>
            </w:r>
            <w:proofErr w:type="spellStart"/>
            <w:r w:rsidRPr="00AF720A">
              <w:rPr>
                <w:bCs w:val="0"/>
                <w:sz w:val="20"/>
                <w:szCs w:val="20"/>
                <w:lang w:val="en-US" w:eastAsia="zh-CN"/>
              </w:rPr>
              <w:t>trend</w:t>
            </w:r>
            <w:r w:rsidR="00AC1AEE" w:rsidRPr="00AF720A">
              <w:rPr>
                <w:bCs w:val="0"/>
                <w:sz w:val="20"/>
                <w:szCs w:val="20"/>
                <w:vertAlign w:val="superscript"/>
                <w:lang w:val="en-US" w:eastAsia="zh-CN"/>
              </w:rPr>
              <w:t>c</w:t>
            </w:r>
            <w:proofErr w:type="spellEnd"/>
          </w:p>
        </w:tc>
        <w:tc>
          <w:tcPr>
            <w:tcW w:w="2523" w:type="dxa"/>
            <w:gridSpan w:val="3"/>
            <w:shd w:val="clear" w:color="auto" w:fill="auto"/>
            <w:noWrap/>
            <w:vAlign w:val="center"/>
          </w:tcPr>
          <w:p w14:paraId="1B148E8F" w14:textId="0E2EBCF6"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&lt;.001</w:t>
            </w:r>
          </w:p>
        </w:tc>
        <w:tc>
          <w:tcPr>
            <w:tcW w:w="263" w:type="dxa"/>
            <w:vAlign w:val="center"/>
          </w:tcPr>
          <w:p w14:paraId="737F0ADA" w14:textId="77777777" w:rsidR="0014516F" w:rsidRPr="00AF720A" w:rsidRDefault="0014516F" w:rsidP="00ED5E75">
            <w:pPr>
              <w:adjustRightInd/>
              <w:snapToGrid/>
              <w:spacing w:afterLines="0" w:after="0" w:line="240" w:lineRule="auto"/>
              <w:rPr>
                <w:bCs w:val="0"/>
                <w:sz w:val="20"/>
                <w:szCs w:val="20"/>
                <w:lang w:val="en-US" w:eastAsia="zh-CN"/>
              </w:rPr>
            </w:pPr>
          </w:p>
        </w:tc>
        <w:tc>
          <w:tcPr>
            <w:tcW w:w="2610" w:type="dxa"/>
            <w:gridSpan w:val="3"/>
            <w:vAlign w:val="center"/>
          </w:tcPr>
          <w:p w14:paraId="008B8585" w14:textId="6245C30C"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0.002</w:t>
            </w:r>
          </w:p>
        </w:tc>
        <w:tc>
          <w:tcPr>
            <w:tcW w:w="270" w:type="dxa"/>
            <w:vAlign w:val="center"/>
          </w:tcPr>
          <w:p w14:paraId="077E5814" w14:textId="77777777" w:rsidR="0014516F" w:rsidRPr="00AF720A" w:rsidRDefault="0014516F" w:rsidP="00ED5E75">
            <w:pPr>
              <w:adjustRightInd/>
              <w:snapToGrid/>
              <w:spacing w:afterLines="0" w:after="0" w:line="240" w:lineRule="auto"/>
              <w:rPr>
                <w:bCs w:val="0"/>
                <w:sz w:val="20"/>
                <w:szCs w:val="20"/>
                <w:lang w:val="en-US" w:eastAsia="zh-CN"/>
              </w:rPr>
            </w:pPr>
          </w:p>
        </w:tc>
        <w:tc>
          <w:tcPr>
            <w:tcW w:w="2528" w:type="dxa"/>
            <w:gridSpan w:val="3"/>
            <w:vAlign w:val="center"/>
          </w:tcPr>
          <w:p w14:paraId="6BD03EC9" w14:textId="2F29BAA4" w:rsidR="0014516F" w:rsidRPr="00AF720A" w:rsidRDefault="0014516F" w:rsidP="00ED5E75">
            <w:pPr>
              <w:adjustRightInd/>
              <w:snapToGrid/>
              <w:spacing w:afterLines="0" w:after="0" w:line="240" w:lineRule="auto"/>
              <w:rPr>
                <w:bCs w:val="0"/>
                <w:sz w:val="20"/>
                <w:szCs w:val="20"/>
                <w:lang w:val="en-US" w:eastAsia="zh-CN"/>
              </w:rPr>
            </w:pPr>
            <w:r w:rsidRPr="00AF720A">
              <w:rPr>
                <w:bCs w:val="0"/>
                <w:sz w:val="20"/>
                <w:szCs w:val="20"/>
                <w:lang w:val="en-US" w:eastAsia="zh-CN"/>
              </w:rPr>
              <w:t>0.003</w:t>
            </w:r>
          </w:p>
        </w:tc>
      </w:tr>
      <w:tr w:rsidR="0014516F" w:rsidRPr="00AF720A" w14:paraId="7494B6B4" w14:textId="16FA0F80" w:rsidTr="0014516F">
        <w:trPr>
          <w:trHeight w:val="285"/>
        </w:trPr>
        <w:tc>
          <w:tcPr>
            <w:tcW w:w="11790" w:type="dxa"/>
            <w:gridSpan w:val="12"/>
          </w:tcPr>
          <w:p w14:paraId="12315979" w14:textId="532F03FF" w:rsidR="0014516F" w:rsidRPr="00AF720A" w:rsidRDefault="0014516F" w:rsidP="00BC48F6">
            <w:pPr>
              <w:adjustRightInd/>
              <w:snapToGrid/>
              <w:spacing w:afterLines="0" w:after="0" w:line="240" w:lineRule="auto"/>
              <w:rPr>
                <w:bCs w:val="0"/>
                <w:sz w:val="20"/>
                <w:szCs w:val="20"/>
                <w:lang w:val="en-US" w:eastAsia="zh-CN"/>
              </w:rPr>
            </w:pPr>
            <w:r w:rsidRPr="00AF720A">
              <w:rPr>
                <w:bCs w:val="0"/>
                <w:sz w:val="20"/>
                <w:szCs w:val="20"/>
                <w:lang w:val="en-US" w:eastAsia="zh-CN"/>
              </w:rPr>
              <w:t>a. Adjusted for age, sex, race (non-Hispanic white, non-Hispanic black, Hispanic, other), education (below high school, high school, high school and higher), household annual income (&lt;$20000, $20000-74999, $75000 and higher), physical activity (inactive, any activity), smoking status (never smoker, former smoker, current smoker), energy intake in quartiles, sugar intake (gram, day), alcohol consumption (yes/no), chronic conditions including cardiovascular disease, arthritis and cancer (yes/no).</w:t>
            </w:r>
          </w:p>
        </w:tc>
      </w:tr>
      <w:tr w:rsidR="0014516F" w:rsidRPr="00AF720A" w14:paraId="052D2F0E" w14:textId="3B299E55" w:rsidTr="0014516F">
        <w:trPr>
          <w:trHeight w:val="285"/>
        </w:trPr>
        <w:tc>
          <w:tcPr>
            <w:tcW w:w="11790" w:type="dxa"/>
            <w:gridSpan w:val="12"/>
          </w:tcPr>
          <w:p w14:paraId="46AC0110" w14:textId="3AC4A594" w:rsidR="0014516F" w:rsidRPr="00AF720A" w:rsidRDefault="00AC1AEE" w:rsidP="0014516F">
            <w:pPr>
              <w:adjustRightInd/>
              <w:snapToGrid/>
              <w:spacing w:afterLines="0" w:after="0" w:line="240" w:lineRule="auto"/>
              <w:rPr>
                <w:bCs w:val="0"/>
                <w:sz w:val="20"/>
                <w:szCs w:val="20"/>
                <w:lang w:val="en-US" w:eastAsia="zh-CN"/>
              </w:rPr>
            </w:pPr>
            <w:r w:rsidRPr="00AF720A">
              <w:rPr>
                <w:bCs w:val="0"/>
                <w:sz w:val="20"/>
                <w:szCs w:val="20"/>
                <w:lang w:val="en-US" w:eastAsia="zh-CN"/>
              </w:rPr>
              <w:t>b</w:t>
            </w:r>
            <w:r w:rsidR="0014516F" w:rsidRPr="00AF720A">
              <w:rPr>
                <w:bCs w:val="0"/>
                <w:sz w:val="20"/>
                <w:szCs w:val="20"/>
                <w:lang w:val="en-US" w:eastAsia="zh-CN"/>
              </w:rPr>
              <w:t>. Additionally adjusted for dark chocolate consumption (yes/no).</w:t>
            </w:r>
          </w:p>
        </w:tc>
      </w:tr>
      <w:tr w:rsidR="0014516F" w:rsidRPr="00AF720A" w14:paraId="1F78C32B" w14:textId="7C6CF3A9" w:rsidTr="0014516F">
        <w:trPr>
          <w:trHeight w:val="285"/>
        </w:trPr>
        <w:tc>
          <w:tcPr>
            <w:tcW w:w="11790" w:type="dxa"/>
            <w:gridSpan w:val="12"/>
          </w:tcPr>
          <w:p w14:paraId="7ACC92F3" w14:textId="13F38874" w:rsidR="0014516F" w:rsidRPr="00AF720A" w:rsidRDefault="00AC1AEE" w:rsidP="00FD5D85">
            <w:pPr>
              <w:adjustRightInd/>
              <w:snapToGrid/>
              <w:spacing w:afterLines="0" w:after="0" w:line="240" w:lineRule="auto"/>
              <w:rPr>
                <w:bCs w:val="0"/>
                <w:sz w:val="20"/>
                <w:szCs w:val="20"/>
                <w:lang w:val="en-US" w:eastAsia="zh-CN"/>
              </w:rPr>
            </w:pPr>
            <w:r w:rsidRPr="00AF720A">
              <w:rPr>
                <w:bCs w:val="0"/>
                <w:sz w:val="20"/>
                <w:szCs w:val="20"/>
                <w:lang w:val="en-US" w:eastAsia="zh-CN"/>
              </w:rPr>
              <w:t>c</w:t>
            </w:r>
            <w:r w:rsidR="0014516F" w:rsidRPr="00AF720A">
              <w:rPr>
                <w:bCs w:val="0"/>
                <w:sz w:val="20"/>
                <w:szCs w:val="20"/>
                <w:lang w:val="en-US" w:eastAsia="zh-CN"/>
              </w:rPr>
              <w:t>. P for trend was calculated by modeling the median value of chocolate consumption in each quartile as a continuous variable.</w:t>
            </w:r>
          </w:p>
        </w:tc>
      </w:tr>
    </w:tbl>
    <w:p w14:paraId="08C0C130" w14:textId="77777777" w:rsidR="00937FEB" w:rsidRPr="00AF720A" w:rsidRDefault="00937FEB" w:rsidP="0076143F">
      <w:pPr>
        <w:sectPr w:rsidR="00937FEB" w:rsidRPr="00AF720A" w:rsidSect="0014516F">
          <w:pgSz w:w="12240" w:h="15840"/>
          <w:pgMar w:top="720" w:right="720" w:bottom="720" w:left="720" w:header="720" w:footer="720" w:gutter="0"/>
          <w:cols w:space="720"/>
          <w:docGrid w:linePitch="360"/>
        </w:sectPr>
      </w:pPr>
    </w:p>
    <w:p w14:paraId="03D327E9" w14:textId="1CEE9B19" w:rsidR="00772106" w:rsidRPr="00AF720A" w:rsidRDefault="00772106" w:rsidP="0076143F"/>
    <w:tbl>
      <w:tblPr>
        <w:tblW w:w="1160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8"/>
        <w:gridCol w:w="816"/>
        <w:gridCol w:w="898"/>
        <w:gridCol w:w="805"/>
        <w:gridCol w:w="236"/>
        <w:gridCol w:w="900"/>
        <w:gridCol w:w="900"/>
        <w:gridCol w:w="751"/>
        <w:gridCol w:w="270"/>
        <w:gridCol w:w="844"/>
        <w:gridCol w:w="990"/>
        <w:gridCol w:w="609"/>
      </w:tblGrid>
      <w:tr w:rsidR="0014516F" w:rsidRPr="00AF720A" w14:paraId="57B4748F" w14:textId="78143E5E" w:rsidTr="0014516F">
        <w:trPr>
          <w:trHeight w:val="285"/>
        </w:trPr>
        <w:tc>
          <w:tcPr>
            <w:tcW w:w="11607" w:type="dxa"/>
            <w:gridSpan w:val="12"/>
          </w:tcPr>
          <w:p w14:paraId="3BA981E7" w14:textId="72176D75" w:rsidR="0014516F" w:rsidRPr="00AF720A" w:rsidRDefault="0014516F" w:rsidP="00947F65">
            <w:pPr>
              <w:adjustRightInd/>
              <w:snapToGrid/>
              <w:spacing w:afterLines="0" w:after="0" w:line="240" w:lineRule="auto"/>
              <w:rPr>
                <w:bCs w:val="0"/>
                <w:sz w:val="20"/>
                <w:szCs w:val="20"/>
                <w:lang w:val="en-US" w:eastAsia="zh-CN"/>
              </w:rPr>
            </w:pPr>
            <w:r w:rsidRPr="00AF720A">
              <w:rPr>
                <w:bCs w:val="0"/>
                <w:sz w:val="20"/>
                <w:szCs w:val="20"/>
                <w:lang w:val="en-US" w:eastAsia="zh-CN"/>
              </w:rPr>
              <w:t>Table 3. Associations of chocolate consumption with waist circumference (cm) among adults aged 20-80 years (n=13,626) in NHANES (</w:t>
            </w:r>
            <w:r w:rsidR="00947F65" w:rsidRPr="00AF720A">
              <w:rPr>
                <w:bCs w:val="0"/>
                <w:sz w:val="20"/>
                <w:szCs w:val="20"/>
                <w:lang w:val="en-US" w:eastAsia="zh-CN"/>
              </w:rPr>
              <w:t>2005</w:t>
            </w:r>
            <w:r w:rsidRPr="00AF720A">
              <w:rPr>
                <w:bCs w:val="0"/>
                <w:sz w:val="20"/>
                <w:szCs w:val="20"/>
                <w:lang w:val="en-US" w:eastAsia="zh-CN"/>
              </w:rPr>
              <w:t>-2014)</w:t>
            </w:r>
          </w:p>
        </w:tc>
      </w:tr>
      <w:tr w:rsidR="0014516F" w:rsidRPr="00AF720A" w14:paraId="4EF5A03A" w14:textId="77777777" w:rsidTr="0014516F">
        <w:trPr>
          <w:trHeight w:val="285"/>
        </w:trPr>
        <w:tc>
          <w:tcPr>
            <w:tcW w:w="3588" w:type="dxa"/>
            <w:shd w:val="clear" w:color="auto" w:fill="auto"/>
            <w:noWrap/>
            <w:vAlign w:val="bottom"/>
            <w:hideMark/>
          </w:tcPr>
          <w:p w14:paraId="40E87FDF" w14:textId="77777777" w:rsidR="0014516F" w:rsidRPr="00AF720A" w:rsidRDefault="0014516F" w:rsidP="00B45670">
            <w:pPr>
              <w:adjustRightInd/>
              <w:snapToGrid/>
              <w:spacing w:afterLines="0" w:after="0" w:line="240" w:lineRule="auto"/>
              <w:jc w:val="center"/>
              <w:rPr>
                <w:bCs w:val="0"/>
                <w:sz w:val="20"/>
                <w:szCs w:val="20"/>
                <w:lang w:eastAsia="zh-CN"/>
              </w:rPr>
            </w:pPr>
          </w:p>
        </w:tc>
        <w:tc>
          <w:tcPr>
            <w:tcW w:w="2519" w:type="dxa"/>
            <w:gridSpan w:val="3"/>
            <w:shd w:val="clear" w:color="auto" w:fill="auto"/>
            <w:noWrap/>
            <w:vAlign w:val="bottom"/>
            <w:hideMark/>
          </w:tcPr>
          <w:p w14:paraId="327E5365"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Unadjusted</w:t>
            </w:r>
          </w:p>
        </w:tc>
        <w:tc>
          <w:tcPr>
            <w:tcW w:w="236" w:type="dxa"/>
            <w:shd w:val="clear" w:color="auto" w:fill="auto"/>
            <w:vAlign w:val="bottom"/>
          </w:tcPr>
          <w:p w14:paraId="33522B2D" w14:textId="77777777" w:rsidR="0014516F" w:rsidRPr="00AF720A" w:rsidRDefault="0014516F" w:rsidP="00B45670">
            <w:pPr>
              <w:adjustRightInd/>
              <w:snapToGrid/>
              <w:spacing w:afterLines="0" w:after="0" w:line="240" w:lineRule="auto"/>
              <w:rPr>
                <w:bCs w:val="0"/>
                <w:sz w:val="20"/>
                <w:szCs w:val="20"/>
                <w:lang w:val="en-US" w:eastAsia="zh-CN"/>
              </w:rPr>
            </w:pPr>
          </w:p>
        </w:tc>
        <w:tc>
          <w:tcPr>
            <w:tcW w:w="2551" w:type="dxa"/>
            <w:gridSpan w:val="3"/>
          </w:tcPr>
          <w:p w14:paraId="7C0A2203" w14:textId="619BB0C0"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Multivariable-</w:t>
            </w:r>
            <w:proofErr w:type="spellStart"/>
            <w:r w:rsidRPr="00AF720A">
              <w:rPr>
                <w:bCs w:val="0"/>
                <w:sz w:val="20"/>
                <w:szCs w:val="20"/>
                <w:lang w:val="en-US" w:eastAsia="zh-CN"/>
              </w:rPr>
              <w:t>adjusted</w:t>
            </w:r>
            <w:r w:rsidRPr="00AF720A">
              <w:rPr>
                <w:bCs w:val="0"/>
                <w:sz w:val="20"/>
                <w:szCs w:val="20"/>
                <w:vertAlign w:val="superscript"/>
                <w:lang w:val="en-US" w:eastAsia="zh-CN"/>
              </w:rPr>
              <w:t>a</w:t>
            </w:r>
            <w:proofErr w:type="spellEnd"/>
          </w:p>
        </w:tc>
        <w:tc>
          <w:tcPr>
            <w:tcW w:w="270" w:type="dxa"/>
          </w:tcPr>
          <w:p w14:paraId="2BC7B83D" w14:textId="77777777" w:rsidR="0014516F" w:rsidRPr="00AF720A" w:rsidRDefault="0014516F" w:rsidP="00B45670">
            <w:pPr>
              <w:adjustRightInd/>
              <w:snapToGrid/>
              <w:spacing w:afterLines="0" w:after="0" w:line="240" w:lineRule="auto"/>
              <w:rPr>
                <w:bCs w:val="0"/>
                <w:sz w:val="20"/>
                <w:szCs w:val="20"/>
                <w:lang w:val="en-US" w:eastAsia="zh-CN"/>
              </w:rPr>
            </w:pPr>
          </w:p>
        </w:tc>
        <w:tc>
          <w:tcPr>
            <w:tcW w:w="2443" w:type="dxa"/>
            <w:gridSpan w:val="3"/>
          </w:tcPr>
          <w:p w14:paraId="27F3CC69" w14:textId="0DB2A6E1"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Multivariable-</w:t>
            </w:r>
            <w:proofErr w:type="spellStart"/>
            <w:r w:rsidRPr="00AF720A">
              <w:rPr>
                <w:bCs w:val="0"/>
                <w:sz w:val="20"/>
                <w:szCs w:val="20"/>
                <w:lang w:val="en-US" w:eastAsia="zh-CN"/>
              </w:rPr>
              <w:t>adjusted</w:t>
            </w:r>
            <w:r w:rsidRPr="00AF720A">
              <w:rPr>
                <w:bCs w:val="0"/>
                <w:sz w:val="20"/>
                <w:szCs w:val="20"/>
                <w:vertAlign w:val="superscript"/>
                <w:lang w:val="en-US" w:eastAsia="zh-CN"/>
              </w:rPr>
              <w:t>b</w:t>
            </w:r>
            <w:proofErr w:type="spellEnd"/>
          </w:p>
        </w:tc>
      </w:tr>
      <w:tr w:rsidR="0014516F" w:rsidRPr="00AF720A" w14:paraId="2A1B900E" w14:textId="77777777" w:rsidTr="0014516F">
        <w:trPr>
          <w:trHeight w:val="285"/>
        </w:trPr>
        <w:tc>
          <w:tcPr>
            <w:tcW w:w="3588" w:type="dxa"/>
            <w:shd w:val="clear" w:color="auto" w:fill="auto"/>
            <w:noWrap/>
            <w:vAlign w:val="bottom"/>
          </w:tcPr>
          <w:p w14:paraId="4010A0DF"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2519" w:type="dxa"/>
            <w:gridSpan w:val="3"/>
            <w:shd w:val="clear" w:color="auto" w:fill="auto"/>
            <w:noWrap/>
            <w:vAlign w:val="bottom"/>
          </w:tcPr>
          <w:p w14:paraId="58F84FA5" w14:textId="77777777"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Beta-coefficient (95% CI)</w:t>
            </w:r>
          </w:p>
        </w:tc>
        <w:tc>
          <w:tcPr>
            <w:tcW w:w="236" w:type="dxa"/>
          </w:tcPr>
          <w:p w14:paraId="49145577"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2551" w:type="dxa"/>
            <w:gridSpan w:val="3"/>
          </w:tcPr>
          <w:p w14:paraId="5824453F" w14:textId="77777777"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Beta-coefficient (95% CI)</w:t>
            </w:r>
          </w:p>
        </w:tc>
        <w:tc>
          <w:tcPr>
            <w:tcW w:w="270" w:type="dxa"/>
          </w:tcPr>
          <w:p w14:paraId="0281744E"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2443" w:type="dxa"/>
            <w:gridSpan w:val="3"/>
          </w:tcPr>
          <w:p w14:paraId="3B5795D3" w14:textId="77777777"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Beta-coefficient (95% CI)</w:t>
            </w:r>
          </w:p>
        </w:tc>
      </w:tr>
      <w:tr w:rsidR="0014516F" w:rsidRPr="00AF720A" w14:paraId="255995C6" w14:textId="77777777" w:rsidTr="0014516F">
        <w:trPr>
          <w:trHeight w:val="285"/>
        </w:trPr>
        <w:tc>
          <w:tcPr>
            <w:tcW w:w="3588" w:type="dxa"/>
            <w:shd w:val="clear" w:color="auto" w:fill="auto"/>
            <w:noWrap/>
            <w:vAlign w:val="bottom"/>
            <w:hideMark/>
          </w:tcPr>
          <w:p w14:paraId="7E722FBD"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Overall chocolate</w:t>
            </w:r>
          </w:p>
        </w:tc>
        <w:tc>
          <w:tcPr>
            <w:tcW w:w="816" w:type="dxa"/>
            <w:shd w:val="clear" w:color="auto" w:fill="auto"/>
            <w:noWrap/>
            <w:vAlign w:val="bottom"/>
            <w:hideMark/>
          </w:tcPr>
          <w:p w14:paraId="7D9E70E0" w14:textId="77777777" w:rsidR="0014516F" w:rsidRPr="00AF720A" w:rsidRDefault="0014516F" w:rsidP="00B45670">
            <w:pPr>
              <w:adjustRightInd/>
              <w:snapToGrid/>
              <w:spacing w:afterLines="0" w:after="0" w:line="240" w:lineRule="auto"/>
              <w:rPr>
                <w:bCs w:val="0"/>
                <w:sz w:val="20"/>
                <w:szCs w:val="20"/>
                <w:lang w:val="en-US" w:eastAsia="zh-CN"/>
              </w:rPr>
            </w:pPr>
          </w:p>
        </w:tc>
        <w:tc>
          <w:tcPr>
            <w:tcW w:w="898" w:type="dxa"/>
            <w:shd w:val="clear" w:color="auto" w:fill="auto"/>
            <w:noWrap/>
            <w:vAlign w:val="bottom"/>
            <w:hideMark/>
          </w:tcPr>
          <w:p w14:paraId="425D2E19" w14:textId="77777777" w:rsidR="0014516F" w:rsidRPr="00AF720A" w:rsidRDefault="0014516F" w:rsidP="00B45670">
            <w:pPr>
              <w:adjustRightInd/>
              <w:snapToGrid/>
              <w:spacing w:afterLines="0" w:after="0" w:line="240" w:lineRule="auto"/>
              <w:jc w:val="right"/>
              <w:rPr>
                <w:bCs w:val="0"/>
                <w:sz w:val="20"/>
                <w:szCs w:val="20"/>
                <w:lang w:val="en-US" w:eastAsia="zh-CN"/>
              </w:rPr>
            </w:pPr>
          </w:p>
        </w:tc>
        <w:tc>
          <w:tcPr>
            <w:tcW w:w="805" w:type="dxa"/>
            <w:shd w:val="clear" w:color="auto" w:fill="auto"/>
            <w:noWrap/>
            <w:vAlign w:val="bottom"/>
            <w:hideMark/>
          </w:tcPr>
          <w:p w14:paraId="0BBE3E24" w14:textId="77777777" w:rsidR="0014516F" w:rsidRPr="00AF720A" w:rsidRDefault="0014516F" w:rsidP="00B45670">
            <w:pPr>
              <w:adjustRightInd/>
              <w:snapToGrid/>
              <w:spacing w:afterLines="0" w:after="0" w:line="240" w:lineRule="auto"/>
              <w:rPr>
                <w:bCs w:val="0"/>
                <w:sz w:val="20"/>
                <w:szCs w:val="20"/>
                <w:lang w:val="en-US" w:eastAsia="zh-CN"/>
              </w:rPr>
            </w:pPr>
          </w:p>
        </w:tc>
        <w:tc>
          <w:tcPr>
            <w:tcW w:w="236" w:type="dxa"/>
          </w:tcPr>
          <w:p w14:paraId="1C62A261" w14:textId="77777777" w:rsidR="0014516F" w:rsidRPr="00AF720A" w:rsidRDefault="0014516F" w:rsidP="00B45670">
            <w:pPr>
              <w:adjustRightInd/>
              <w:snapToGrid/>
              <w:spacing w:afterLines="0" w:after="0" w:line="240" w:lineRule="auto"/>
              <w:rPr>
                <w:bCs w:val="0"/>
                <w:sz w:val="20"/>
                <w:szCs w:val="20"/>
                <w:lang w:val="en-US" w:eastAsia="zh-CN"/>
              </w:rPr>
            </w:pPr>
          </w:p>
        </w:tc>
        <w:tc>
          <w:tcPr>
            <w:tcW w:w="900" w:type="dxa"/>
          </w:tcPr>
          <w:p w14:paraId="4FFF3AA4" w14:textId="77777777" w:rsidR="0014516F" w:rsidRPr="00AF720A" w:rsidRDefault="0014516F" w:rsidP="00B45670">
            <w:pPr>
              <w:adjustRightInd/>
              <w:snapToGrid/>
              <w:spacing w:afterLines="0" w:after="0" w:line="240" w:lineRule="auto"/>
              <w:rPr>
                <w:bCs w:val="0"/>
                <w:sz w:val="20"/>
                <w:szCs w:val="20"/>
                <w:lang w:val="en-US" w:eastAsia="zh-CN"/>
              </w:rPr>
            </w:pPr>
          </w:p>
        </w:tc>
        <w:tc>
          <w:tcPr>
            <w:tcW w:w="900" w:type="dxa"/>
          </w:tcPr>
          <w:p w14:paraId="0D7975C1" w14:textId="77777777" w:rsidR="0014516F" w:rsidRPr="00AF720A" w:rsidRDefault="0014516F" w:rsidP="00B45670">
            <w:pPr>
              <w:adjustRightInd/>
              <w:snapToGrid/>
              <w:spacing w:afterLines="0" w:after="0" w:line="240" w:lineRule="auto"/>
              <w:jc w:val="right"/>
              <w:rPr>
                <w:bCs w:val="0"/>
                <w:sz w:val="20"/>
                <w:szCs w:val="20"/>
                <w:lang w:val="en-US" w:eastAsia="zh-CN"/>
              </w:rPr>
            </w:pPr>
          </w:p>
        </w:tc>
        <w:tc>
          <w:tcPr>
            <w:tcW w:w="751" w:type="dxa"/>
          </w:tcPr>
          <w:p w14:paraId="07A72E3B" w14:textId="77777777" w:rsidR="0014516F" w:rsidRPr="00AF720A" w:rsidRDefault="0014516F" w:rsidP="00B45670">
            <w:pPr>
              <w:adjustRightInd/>
              <w:snapToGrid/>
              <w:spacing w:afterLines="0" w:after="0" w:line="240" w:lineRule="auto"/>
              <w:rPr>
                <w:bCs w:val="0"/>
                <w:sz w:val="20"/>
                <w:szCs w:val="20"/>
                <w:lang w:val="en-US" w:eastAsia="zh-CN"/>
              </w:rPr>
            </w:pPr>
          </w:p>
        </w:tc>
        <w:tc>
          <w:tcPr>
            <w:tcW w:w="270" w:type="dxa"/>
          </w:tcPr>
          <w:p w14:paraId="33A53AFE" w14:textId="77777777" w:rsidR="0014516F" w:rsidRPr="00AF720A" w:rsidRDefault="0014516F" w:rsidP="00B45670">
            <w:pPr>
              <w:adjustRightInd/>
              <w:snapToGrid/>
              <w:spacing w:afterLines="0" w:after="0" w:line="240" w:lineRule="auto"/>
              <w:rPr>
                <w:bCs w:val="0"/>
                <w:sz w:val="20"/>
                <w:szCs w:val="20"/>
                <w:lang w:val="en-US" w:eastAsia="zh-CN"/>
              </w:rPr>
            </w:pPr>
          </w:p>
        </w:tc>
        <w:tc>
          <w:tcPr>
            <w:tcW w:w="844" w:type="dxa"/>
          </w:tcPr>
          <w:p w14:paraId="64D4E688" w14:textId="77777777" w:rsidR="0014516F" w:rsidRPr="00AF720A" w:rsidRDefault="0014516F" w:rsidP="00B45670">
            <w:pPr>
              <w:adjustRightInd/>
              <w:snapToGrid/>
              <w:spacing w:afterLines="0" w:after="0" w:line="240" w:lineRule="auto"/>
              <w:rPr>
                <w:bCs w:val="0"/>
                <w:sz w:val="20"/>
                <w:szCs w:val="20"/>
                <w:lang w:val="en-US" w:eastAsia="zh-CN"/>
              </w:rPr>
            </w:pPr>
          </w:p>
        </w:tc>
        <w:tc>
          <w:tcPr>
            <w:tcW w:w="990" w:type="dxa"/>
          </w:tcPr>
          <w:p w14:paraId="569CDB74" w14:textId="77777777" w:rsidR="0014516F" w:rsidRPr="00AF720A" w:rsidRDefault="0014516F" w:rsidP="00B45670">
            <w:pPr>
              <w:adjustRightInd/>
              <w:snapToGrid/>
              <w:spacing w:afterLines="0" w:after="0" w:line="240" w:lineRule="auto"/>
              <w:rPr>
                <w:bCs w:val="0"/>
                <w:sz w:val="20"/>
                <w:szCs w:val="20"/>
                <w:lang w:val="en-US" w:eastAsia="zh-CN"/>
              </w:rPr>
            </w:pPr>
          </w:p>
        </w:tc>
        <w:tc>
          <w:tcPr>
            <w:tcW w:w="609" w:type="dxa"/>
          </w:tcPr>
          <w:p w14:paraId="5A9BC822" w14:textId="77777777" w:rsidR="0014516F" w:rsidRPr="00AF720A" w:rsidRDefault="0014516F" w:rsidP="00B45670">
            <w:pPr>
              <w:adjustRightInd/>
              <w:snapToGrid/>
              <w:spacing w:afterLines="0" w:after="0" w:line="240" w:lineRule="auto"/>
              <w:rPr>
                <w:bCs w:val="0"/>
                <w:sz w:val="20"/>
                <w:szCs w:val="20"/>
                <w:lang w:val="en-US" w:eastAsia="zh-CN"/>
              </w:rPr>
            </w:pPr>
          </w:p>
        </w:tc>
      </w:tr>
      <w:tr w:rsidR="0014516F" w:rsidRPr="00AF720A" w14:paraId="2FF0E464" w14:textId="77777777" w:rsidTr="0014516F">
        <w:trPr>
          <w:trHeight w:val="285"/>
        </w:trPr>
        <w:tc>
          <w:tcPr>
            <w:tcW w:w="3588" w:type="dxa"/>
            <w:shd w:val="clear" w:color="auto" w:fill="auto"/>
            <w:noWrap/>
            <w:vAlign w:val="bottom"/>
            <w:hideMark/>
          </w:tcPr>
          <w:p w14:paraId="78D3831A"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No</w:t>
            </w:r>
          </w:p>
        </w:tc>
        <w:tc>
          <w:tcPr>
            <w:tcW w:w="1714" w:type="dxa"/>
            <w:gridSpan w:val="2"/>
            <w:shd w:val="clear" w:color="auto" w:fill="auto"/>
            <w:noWrap/>
            <w:vAlign w:val="bottom"/>
            <w:hideMark/>
          </w:tcPr>
          <w:p w14:paraId="655962CC"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805" w:type="dxa"/>
            <w:shd w:val="clear" w:color="auto" w:fill="auto"/>
            <w:noWrap/>
            <w:vAlign w:val="bottom"/>
            <w:hideMark/>
          </w:tcPr>
          <w:p w14:paraId="31300ABF" w14:textId="77777777" w:rsidR="0014516F" w:rsidRPr="00AF720A" w:rsidRDefault="0014516F" w:rsidP="00B45670">
            <w:pPr>
              <w:adjustRightInd/>
              <w:snapToGrid/>
              <w:spacing w:afterLines="0" w:after="0" w:line="240" w:lineRule="auto"/>
              <w:rPr>
                <w:bCs w:val="0"/>
                <w:sz w:val="20"/>
                <w:szCs w:val="20"/>
                <w:lang w:val="en-US" w:eastAsia="zh-CN"/>
              </w:rPr>
            </w:pPr>
          </w:p>
        </w:tc>
        <w:tc>
          <w:tcPr>
            <w:tcW w:w="236" w:type="dxa"/>
          </w:tcPr>
          <w:p w14:paraId="1B1904AD"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p>
        </w:tc>
        <w:tc>
          <w:tcPr>
            <w:tcW w:w="1800" w:type="dxa"/>
            <w:gridSpan w:val="2"/>
          </w:tcPr>
          <w:p w14:paraId="02EAA510"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751" w:type="dxa"/>
          </w:tcPr>
          <w:p w14:paraId="7ECAF6BA"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p>
        </w:tc>
        <w:tc>
          <w:tcPr>
            <w:tcW w:w="270" w:type="dxa"/>
          </w:tcPr>
          <w:p w14:paraId="4B684C50"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p>
        </w:tc>
        <w:tc>
          <w:tcPr>
            <w:tcW w:w="1834" w:type="dxa"/>
            <w:gridSpan w:val="2"/>
          </w:tcPr>
          <w:p w14:paraId="7B446483"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p>
        </w:tc>
        <w:tc>
          <w:tcPr>
            <w:tcW w:w="609" w:type="dxa"/>
          </w:tcPr>
          <w:p w14:paraId="09D0F26D"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p>
        </w:tc>
      </w:tr>
      <w:tr w:rsidR="0014516F" w:rsidRPr="00AF720A" w14:paraId="1200FB94" w14:textId="77777777" w:rsidTr="0014516F">
        <w:trPr>
          <w:trHeight w:val="285"/>
        </w:trPr>
        <w:tc>
          <w:tcPr>
            <w:tcW w:w="3588" w:type="dxa"/>
            <w:shd w:val="clear" w:color="auto" w:fill="auto"/>
            <w:noWrap/>
            <w:vAlign w:val="bottom"/>
            <w:hideMark/>
          </w:tcPr>
          <w:p w14:paraId="47768AEC"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Yes</w:t>
            </w:r>
          </w:p>
        </w:tc>
        <w:tc>
          <w:tcPr>
            <w:tcW w:w="816" w:type="dxa"/>
            <w:shd w:val="clear" w:color="auto" w:fill="auto"/>
            <w:noWrap/>
            <w:vAlign w:val="bottom"/>
            <w:hideMark/>
          </w:tcPr>
          <w:p w14:paraId="29BC5B39" w14:textId="6BA245C7"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 xml:space="preserve">-2.64 </w:t>
            </w:r>
          </w:p>
        </w:tc>
        <w:tc>
          <w:tcPr>
            <w:tcW w:w="1703" w:type="dxa"/>
            <w:gridSpan w:val="2"/>
            <w:shd w:val="clear" w:color="auto" w:fill="auto"/>
            <w:noWrap/>
            <w:vAlign w:val="bottom"/>
            <w:hideMark/>
          </w:tcPr>
          <w:p w14:paraId="3A046B3B" w14:textId="3806D6DE" w:rsidR="0014516F" w:rsidRPr="00AF720A" w:rsidRDefault="0014516F" w:rsidP="00B45670">
            <w:pPr>
              <w:adjustRightInd/>
              <w:snapToGrid/>
              <w:spacing w:afterLines="0" w:after="0" w:line="240" w:lineRule="auto"/>
              <w:ind w:right="-108"/>
              <w:rPr>
                <w:bCs w:val="0"/>
                <w:sz w:val="20"/>
                <w:szCs w:val="20"/>
                <w:lang w:val="en-US" w:eastAsia="zh-CN"/>
              </w:rPr>
            </w:pPr>
            <w:r w:rsidRPr="00AF720A">
              <w:rPr>
                <w:bCs w:val="0"/>
                <w:sz w:val="20"/>
                <w:szCs w:val="20"/>
                <w:lang w:val="en-US" w:eastAsia="zh-CN"/>
              </w:rPr>
              <w:t>(-3.66 to -1.62)</w:t>
            </w:r>
          </w:p>
        </w:tc>
        <w:tc>
          <w:tcPr>
            <w:tcW w:w="236" w:type="dxa"/>
          </w:tcPr>
          <w:p w14:paraId="569281E3"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00" w:type="dxa"/>
            <w:vAlign w:val="bottom"/>
          </w:tcPr>
          <w:p w14:paraId="0926BB01" w14:textId="61AFCFCD"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-2.08</w:t>
            </w:r>
          </w:p>
        </w:tc>
        <w:tc>
          <w:tcPr>
            <w:tcW w:w="1651" w:type="dxa"/>
            <w:gridSpan w:val="2"/>
            <w:vAlign w:val="bottom"/>
          </w:tcPr>
          <w:p w14:paraId="2DE0BFC6" w14:textId="16B71889" w:rsidR="0014516F" w:rsidRPr="00AF720A" w:rsidRDefault="0014516F" w:rsidP="00B45670">
            <w:pPr>
              <w:adjustRightInd/>
              <w:snapToGrid/>
              <w:spacing w:afterLines="0" w:after="0" w:line="240" w:lineRule="auto"/>
              <w:ind w:right="-18"/>
              <w:rPr>
                <w:bCs w:val="0"/>
                <w:sz w:val="20"/>
                <w:szCs w:val="20"/>
                <w:lang w:val="en-US" w:eastAsia="zh-CN"/>
              </w:rPr>
            </w:pPr>
            <w:r w:rsidRPr="00AF720A">
              <w:rPr>
                <w:bCs w:val="0"/>
                <w:sz w:val="20"/>
                <w:szCs w:val="20"/>
                <w:lang w:val="en-US" w:eastAsia="zh-CN"/>
              </w:rPr>
              <w:t>(-2.97 to -1.19)</w:t>
            </w:r>
          </w:p>
        </w:tc>
        <w:tc>
          <w:tcPr>
            <w:tcW w:w="270" w:type="dxa"/>
            <w:vAlign w:val="bottom"/>
          </w:tcPr>
          <w:p w14:paraId="2229E16E"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844" w:type="dxa"/>
            <w:vAlign w:val="bottom"/>
          </w:tcPr>
          <w:p w14:paraId="3BB9EBEA" w14:textId="1B69079B"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-2.07</w:t>
            </w:r>
          </w:p>
        </w:tc>
        <w:tc>
          <w:tcPr>
            <w:tcW w:w="1599" w:type="dxa"/>
            <w:gridSpan w:val="2"/>
            <w:vAlign w:val="bottom"/>
          </w:tcPr>
          <w:p w14:paraId="669C3743" w14:textId="17D7E22E"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(-2.92 to -1.22)</w:t>
            </w:r>
          </w:p>
        </w:tc>
      </w:tr>
      <w:tr w:rsidR="0014516F" w:rsidRPr="00AF720A" w14:paraId="10E0DA77" w14:textId="77777777" w:rsidTr="0014516F">
        <w:trPr>
          <w:trHeight w:val="285"/>
        </w:trPr>
        <w:tc>
          <w:tcPr>
            <w:tcW w:w="3588" w:type="dxa"/>
            <w:shd w:val="clear" w:color="auto" w:fill="auto"/>
            <w:noWrap/>
            <w:vAlign w:val="bottom"/>
            <w:hideMark/>
          </w:tcPr>
          <w:p w14:paraId="4AC0285E"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Daily chocolate consumption</w:t>
            </w:r>
          </w:p>
        </w:tc>
        <w:tc>
          <w:tcPr>
            <w:tcW w:w="816" w:type="dxa"/>
            <w:shd w:val="clear" w:color="auto" w:fill="auto"/>
            <w:noWrap/>
            <w:vAlign w:val="bottom"/>
            <w:hideMark/>
          </w:tcPr>
          <w:p w14:paraId="48D9828D"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898" w:type="dxa"/>
            <w:shd w:val="clear" w:color="auto" w:fill="auto"/>
            <w:noWrap/>
            <w:vAlign w:val="bottom"/>
            <w:hideMark/>
          </w:tcPr>
          <w:p w14:paraId="5B724458" w14:textId="77777777" w:rsidR="0014516F" w:rsidRPr="00AF720A" w:rsidRDefault="0014516F" w:rsidP="00B45670">
            <w:pPr>
              <w:adjustRightInd/>
              <w:snapToGrid/>
              <w:spacing w:afterLines="0" w:after="0" w:line="240" w:lineRule="auto"/>
              <w:jc w:val="right"/>
              <w:rPr>
                <w:bCs w:val="0"/>
                <w:sz w:val="20"/>
                <w:szCs w:val="20"/>
                <w:lang w:val="en-US" w:eastAsia="zh-CN"/>
              </w:rPr>
            </w:pPr>
          </w:p>
        </w:tc>
        <w:tc>
          <w:tcPr>
            <w:tcW w:w="805" w:type="dxa"/>
            <w:shd w:val="clear" w:color="auto" w:fill="auto"/>
            <w:noWrap/>
            <w:vAlign w:val="bottom"/>
            <w:hideMark/>
          </w:tcPr>
          <w:p w14:paraId="49B4DE1A" w14:textId="77777777" w:rsidR="0014516F" w:rsidRPr="00AF720A" w:rsidRDefault="0014516F" w:rsidP="00B45670">
            <w:pPr>
              <w:adjustRightInd/>
              <w:snapToGrid/>
              <w:spacing w:afterLines="0" w:after="0" w:line="240" w:lineRule="auto"/>
              <w:rPr>
                <w:bCs w:val="0"/>
                <w:sz w:val="20"/>
                <w:szCs w:val="20"/>
                <w:lang w:val="en-US" w:eastAsia="zh-CN"/>
              </w:rPr>
            </w:pPr>
          </w:p>
        </w:tc>
        <w:tc>
          <w:tcPr>
            <w:tcW w:w="236" w:type="dxa"/>
          </w:tcPr>
          <w:p w14:paraId="3AB96822"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00" w:type="dxa"/>
          </w:tcPr>
          <w:p w14:paraId="6F72ADEB"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00" w:type="dxa"/>
          </w:tcPr>
          <w:p w14:paraId="1D871273" w14:textId="77777777" w:rsidR="0014516F" w:rsidRPr="00AF720A" w:rsidRDefault="0014516F" w:rsidP="00B45670">
            <w:pPr>
              <w:adjustRightInd/>
              <w:snapToGrid/>
              <w:spacing w:afterLines="0" w:after="0" w:line="240" w:lineRule="auto"/>
              <w:jc w:val="right"/>
              <w:rPr>
                <w:bCs w:val="0"/>
                <w:sz w:val="20"/>
                <w:szCs w:val="20"/>
                <w:lang w:val="en-US" w:eastAsia="zh-CN"/>
              </w:rPr>
            </w:pPr>
          </w:p>
        </w:tc>
        <w:tc>
          <w:tcPr>
            <w:tcW w:w="751" w:type="dxa"/>
          </w:tcPr>
          <w:p w14:paraId="61DB85D7" w14:textId="77777777" w:rsidR="0014516F" w:rsidRPr="00AF720A" w:rsidRDefault="0014516F" w:rsidP="00B45670">
            <w:pPr>
              <w:adjustRightInd/>
              <w:snapToGrid/>
              <w:spacing w:afterLines="0" w:after="0" w:line="240" w:lineRule="auto"/>
              <w:rPr>
                <w:bCs w:val="0"/>
                <w:sz w:val="20"/>
                <w:szCs w:val="20"/>
                <w:lang w:val="en-US" w:eastAsia="zh-CN"/>
              </w:rPr>
            </w:pPr>
          </w:p>
        </w:tc>
        <w:tc>
          <w:tcPr>
            <w:tcW w:w="270" w:type="dxa"/>
          </w:tcPr>
          <w:p w14:paraId="3DAA6E8F"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844" w:type="dxa"/>
          </w:tcPr>
          <w:p w14:paraId="4E603B8A"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90" w:type="dxa"/>
          </w:tcPr>
          <w:p w14:paraId="5CD903EF"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609" w:type="dxa"/>
          </w:tcPr>
          <w:p w14:paraId="0C78C9C2" w14:textId="77777777" w:rsidR="0014516F" w:rsidRPr="00AF720A" w:rsidRDefault="0014516F" w:rsidP="00B45670">
            <w:pPr>
              <w:adjustRightInd/>
              <w:snapToGrid/>
              <w:spacing w:afterLines="0" w:after="0" w:line="240" w:lineRule="auto"/>
              <w:rPr>
                <w:bCs w:val="0"/>
                <w:sz w:val="20"/>
                <w:szCs w:val="20"/>
                <w:lang w:val="en-US" w:eastAsia="zh-CN"/>
              </w:rPr>
            </w:pPr>
          </w:p>
        </w:tc>
      </w:tr>
      <w:tr w:rsidR="0014516F" w:rsidRPr="00AF720A" w14:paraId="5DE6E2E4" w14:textId="77777777" w:rsidTr="0014516F">
        <w:trPr>
          <w:trHeight w:val="285"/>
        </w:trPr>
        <w:tc>
          <w:tcPr>
            <w:tcW w:w="3588" w:type="dxa"/>
            <w:shd w:val="clear" w:color="auto" w:fill="auto"/>
            <w:noWrap/>
            <w:vAlign w:val="bottom"/>
            <w:hideMark/>
          </w:tcPr>
          <w:p w14:paraId="1D29C98B"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None</w:t>
            </w:r>
          </w:p>
        </w:tc>
        <w:tc>
          <w:tcPr>
            <w:tcW w:w="1714" w:type="dxa"/>
            <w:gridSpan w:val="2"/>
            <w:shd w:val="clear" w:color="auto" w:fill="auto"/>
            <w:noWrap/>
            <w:vAlign w:val="bottom"/>
            <w:hideMark/>
          </w:tcPr>
          <w:p w14:paraId="6725A9D1"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805" w:type="dxa"/>
            <w:shd w:val="clear" w:color="auto" w:fill="auto"/>
            <w:noWrap/>
            <w:vAlign w:val="bottom"/>
            <w:hideMark/>
          </w:tcPr>
          <w:p w14:paraId="2AF0AC57" w14:textId="77777777" w:rsidR="0014516F" w:rsidRPr="00AF720A" w:rsidRDefault="0014516F" w:rsidP="00B45670">
            <w:pPr>
              <w:adjustRightInd/>
              <w:snapToGrid/>
              <w:spacing w:afterLines="0" w:after="0" w:line="240" w:lineRule="auto"/>
              <w:rPr>
                <w:bCs w:val="0"/>
                <w:sz w:val="20"/>
                <w:szCs w:val="20"/>
                <w:lang w:val="en-US" w:eastAsia="zh-CN"/>
              </w:rPr>
            </w:pPr>
          </w:p>
        </w:tc>
        <w:tc>
          <w:tcPr>
            <w:tcW w:w="236" w:type="dxa"/>
          </w:tcPr>
          <w:p w14:paraId="6E105148"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1800" w:type="dxa"/>
            <w:gridSpan w:val="2"/>
          </w:tcPr>
          <w:p w14:paraId="72E098EB"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751" w:type="dxa"/>
          </w:tcPr>
          <w:p w14:paraId="2D576CBA" w14:textId="77777777" w:rsidR="0014516F" w:rsidRPr="00AF720A" w:rsidRDefault="0014516F" w:rsidP="00B45670">
            <w:pPr>
              <w:adjustRightInd/>
              <w:snapToGrid/>
              <w:spacing w:afterLines="0" w:after="0" w:line="240" w:lineRule="auto"/>
              <w:rPr>
                <w:bCs w:val="0"/>
                <w:sz w:val="20"/>
                <w:szCs w:val="20"/>
                <w:lang w:val="en-US" w:eastAsia="zh-CN"/>
              </w:rPr>
            </w:pPr>
          </w:p>
        </w:tc>
        <w:tc>
          <w:tcPr>
            <w:tcW w:w="270" w:type="dxa"/>
          </w:tcPr>
          <w:p w14:paraId="0DF2F111" w14:textId="77777777" w:rsidR="0014516F" w:rsidRPr="00AF720A" w:rsidRDefault="0014516F" w:rsidP="00B45670">
            <w:pPr>
              <w:adjustRightInd/>
              <w:snapToGrid/>
              <w:spacing w:afterLines="0" w:after="0" w:line="240" w:lineRule="auto"/>
              <w:rPr>
                <w:bCs w:val="0"/>
                <w:sz w:val="20"/>
                <w:szCs w:val="20"/>
                <w:lang w:val="en-US" w:eastAsia="zh-CN"/>
              </w:rPr>
            </w:pPr>
          </w:p>
        </w:tc>
        <w:tc>
          <w:tcPr>
            <w:tcW w:w="1834" w:type="dxa"/>
            <w:gridSpan w:val="2"/>
          </w:tcPr>
          <w:p w14:paraId="3C16D651" w14:textId="77777777"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Reference</w:t>
            </w:r>
          </w:p>
        </w:tc>
        <w:tc>
          <w:tcPr>
            <w:tcW w:w="609" w:type="dxa"/>
          </w:tcPr>
          <w:p w14:paraId="5328C3A8" w14:textId="77777777" w:rsidR="0014516F" w:rsidRPr="00AF720A" w:rsidRDefault="0014516F" w:rsidP="00B45670">
            <w:pPr>
              <w:adjustRightInd/>
              <w:snapToGrid/>
              <w:spacing w:afterLines="0" w:after="0" w:line="240" w:lineRule="auto"/>
              <w:rPr>
                <w:bCs w:val="0"/>
                <w:sz w:val="20"/>
                <w:szCs w:val="20"/>
                <w:lang w:val="en-US" w:eastAsia="zh-CN"/>
              </w:rPr>
            </w:pPr>
          </w:p>
        </w:tc>
      </w:tr>
      <w:tr w:rsidR="0014516F" w:rsidRPr="00AF720A" w14:paraId="4654BDAF" w14:textId="77777777" w:rsidTr="0014516F">
        <w:trPr>
          <w:trHeight w:val="285"/>
        </w:trPr>
        <w:tc>
          <w:tcPr>
            <w:tcW w:w="3588" w:type="dxa"/>
            <w:shd w:val="clear" w:color="auto" w:fill="auto"/>
            <w:noWrap/>
            <w:vAlign w:val="bottom"/>
            <w:hideMark/>
          </w:tcPr>
          <w:p w14:paraId="7D9B1D04"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1</w:t>
            </w:r>
            <w:r w:rsidRPr="00AF720A">
              <w:rPr>
                <w:bCs w:val="0"/>
                <w:sz w:val="20"/>
                <w:szCs w:val="20"/>
                <w:vertAlign w:val="superscript"/>
                <w:lang w:val="en-US" w:eastAsia="zh-CN"/>
              </w:rPr>
              <w:t>st</w:t>
            </w:r>
            <w:r w:rsidRPr="00AF720A">
              <w:rPr>
                <w:bCs w:val="0"/>
                <w:sz w:val="20"/>
                <w:szCs w:val="20"/>
                <w:lang w:val="en-US" w:eastAsia="zh-CN"/>
              </w:rPr>
              <w:t xml:space="preserve"> quartile (1.7 – 30.0 grams)</w:t>
            </w:r>
          </w:p>
        </w:tc>
        <w:tc>
          <w:tcPr>
            <w:tcW w:w="816" w:type="dxa"/>
            <w:shd w:val="clear" w:color="auto" w:fill="auto"/>
            <w:noWrap/>
            <w:vAlign w:val="bottom"/>
            <w:hideMark/>
          </w:tcPr>
          <w:p w14:paraId="42B51AA3" w14:textId="437C64E9"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-1.49</w:t>
            </w:r>
          </w:p>
        </w:tc>
        <w:tc>
          <w:tcPr>
            <w:tcW w:w="1703" w:type="dxa"/>
            <w:gridSpan w:val="2"/>
            <w:shd w:val="clear" w:color="auto" w:fill="auto"/>
            <w:noWrap/>
            <w:vAlign w:val="bottom"/>
            <w:hideMark/>
          </w:tcPr>
          <w:p w14:paraId="38CBC68B" w14:textId="571E9A34"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(-3.09 to 0.10)</w:t>
            </w:r>
          </w:p>
        </w:tc>
        <w:tc>
          <w:tcPr>
            <w:tcW w:w="236" w:type="dxa"/>
          </w:tcPr>
          <w:p w14:paraId="7C8C887A"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00" w:type="dxa"/>
            <w:vAlign w:val="bottom"/>
          </w:tcPr>
          <w:p w14:paraId="398E0404" w14:textId="5DC3BCCD"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-1.27</w:t>
            </w:r>
          </w:p>
        </w:tc>
        <w:tc>
          <w:tcPr>
            <w:tcW w:w="1651" w:type="dxa"/>
            <w:gridSpan w:val="2"/>
            <w:vAlign w:val="bottom"/>
          </w:tcPr>
          <w:p w14:paraId="183CE69F" w14:textId="65CCF3CF" w:rsidR="0014516F" w:rsidRPr="00AF720A" w:rsidRDefault="0014516F" w:rsidP="00B45670">
            <w:pPr>
              <w:tabs>
                <w:tab w:val="left" w:pos="882"/>
              </w:tabs>
              <w:adjustRightInd/>
              <w:snapToGrid/>
              <w:spacing w:afterLines="0" w:after="0" w:line="240" w:lineRule="auto"/>
              <w:rPr>
                <w:bCs w:val="0"/>
                <w:sz w:val="20"/>
                <w:szCs w:val="20"/>
                <w:lang w:val="en-US" w:eastAsia="zh-CN"/>
              </w:rPr>
            </w:pPr>
            <w:r w:rsidRPr="00AF720A">
              <w:rPr>
                <w:bCs w:val="0"/>
                <w:sz w:val="20"/>
                <w:szCs w:val="20"/>
                <w:lang w:val="en-US" w:eastAsia="zh-CN"/>
              </w:rPr>
              <w:t>(-2.77 to 0.23)</w:t>
            </w:r>
          </w:p>
        </w:tc>
        <w:tc>
          <w:tcPr>
            <w:tcW w:w="270" w:type="dxa"/>
            <w:vAlign w:val="bottom"/>
          </w:tcPr>
          <w:p w14:paraId="73681B14"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844" w:type="dxa"/>
            <w:vAlign w:val="bottom"/>
          </w:tcPr>
          <w:p w14:paraId="7BE3CCBE" w14:textId="1B1E6156"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-1.27</w:t>
            </w:r>
          </w:p>
        </w:tc>
        <w:tc>
          <w:tcPr>
            <w:tcW w:w="1599" w:type="dxa"/>
            <w:gridSpan w:val="2"/>
            <w:vAlign w:val="bottom"/>
          </w:tcPr>
          <w:p w14:paraId="6D32863D" w14:textId="153DF1D9"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(-2.77 to 0.23)</w:t>
            </w:r>
          </w:p>
        </w:tc>
      </w:tr>
      <w:tr w:rsidR="0014516F" w:rsidRPr="00AF720A" w14:paraId="6A7C30F2" w14:textId="77777777" w:rsidTr="0014516F">
        <w:trPr>
          <w:trHeight w:val="285"/>
        </w:trPr>
        <w:tc>
          <w:tcPr>
            <w:tcW w:w="3588" w:type="dxa"/>
            <w:shd w:val="clear" w:color="auto" w:fill="auto"/>
            <w:noWrap/>
            <w:vAlign w:val="bottom"/>
            <w:hideMark/>
          </w:tcPr>
          <w:p w14:paraId="3BFDAF3A"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2</w:t>
            </w:r>
            <w:r w:rsidRPr="00AF720A">
              <w:rPr>
                <w:bCs w:val="0"/>
                <w:sz w:val="20"/>
                <w:szCs w:val="20"/>
                <w:vertAlign w:val="superscript"/>
                <w:lang w:val="en-US" w:eastAsia="zh-CN"/>
              </w:rPr>
              <w:t>nd</w:t>
            </w:r>
            <w:r w:rsidRPr="00AF720A">
              <w:rPr>
                <w:bCs w:val="0"/>
                <w:sz w:val="20"/>
                <w:szCs w:val="20"/>
                <w:lang w:val="en-US" w:eastAsia="zh-CN"/>
              </w:rPr>
              <w:t xml:space="preserve"> quartile (30.4 – 95.1 grams)</w:t>
            </w:r>
          </w:p>
        </w:tc>
        <w:tc>
          <w:tcPr>
            <w:tcW w:w="816" w:type="dxa"/>
            <w:shd w:val="clear" w:color="auto" w:fill="auto"/>
            <w:noWrap/>
            <w:vAlign w:val="bottom"/>
            <w:hideMark/>
          </w:tcPr>
          <w:p w14:paraId="0E3816F2" w14:textId="029751C5"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-2.70</w:t>
            </w:r>
          </w:p>
        </w:tc>
        <w:tc>
          <w:tcPr>
            <w:tcW w:w="1703" w:type="dxa"/>
            <w:gridSpan w:val="2"/>
            <w:shd w:val="clear" w:color="auto" w:fill="auto"/>
            <w:noWrap/>
            <w:vAlign w:val="bottom"/>
            <w:hideMark/>
          </w:tcPr>
          <w:p w14:paraId="18D4F159" w14:textId="16FB4F56" w:rsidR="0014516F" w:rsidRPr="00AF720A" w:rsidRDefault="0014516F" w:rsidP="00B45670">
            <w:pPr>
              <w:tabs>
                <w:tab w:val="left" w:pos="877"/>
              </w:tabs>
              <w:adjustRightInd/>
              <w:snapToGrid/>
              <w:spacing w:afterLines="0" w:after="0" w:line="240" w:lineRule="auto"/>
              <w:ind w:right="-108"/>
              <w:rPr>
                <w:bCs w:val="0"/>
                <w:sz w:val="20"/>
                <w:szCs w:val="20"/>
                <w:lang w:val="en-US" w:eastAsia="zh-CN"/>
              </w:rPr>
            </w:pPr>
            <w:r w:rsidRPr="00AF720A">
              <w:rPr>
                <w:bCs w:val="0"/>
                <w:sz w:val="20"/>
                <w:szCs w:val="20"/>
                <w:lang w:val="en-US" w:eastAsia="zh-CN"/>
              </w:rPr>
              <w:t>(-4.62 to -0.78)</w:t>
            </w:r>
          </w:p>
        </w:tc>
        <w:tc>
          <w:tcPr>
            <w:tcW w:w="236" w:type="dxa"/>
          </w:tcPr>
          <w:p w14:paraId="3C3B95FC"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00" w:type="dxa"/>
            <w:vAlign w:val="bottom"/>
          </w:tcPr>
          <w:p w14:paraId="271E75B6" w14:textId="463A572F"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-2.11</w:t>
            </w:r>
          </w:p>
        </w:tc>
        <w:tc>
          <w:tcPr>
            <w:tcW w:w="1651" w:type="dxa"/>
            <w:gridSpan w:val="2"/>
            <w:vAlign w:val="bottom"/>
          </w:tcPr>
          <w:p w14:paraId="5696969D" w14:textId="11DE4301"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(-4.02 to -0.20)</w:t>
            </w:r>
          </w:p>
        </w:tc>
        <w:tc>
          <w:tcPr>
            <w:tcW w:w="270" w:type="dxa"/>
            <w:vAlign w:val="bottom"/>
          </w:tcPr>
          <w:p w14:paraId="6A1CFA85"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844" w:type="dxa"/>
            <w:vAlign w:val="bottom"/>
          </w:tcPr>
          <w:p w14:paraId="74C3B953" w14:textId="3F778AE3"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-2.11</w:t>
            </w:r>
          </w:p>
        </w:tc>
        <w:tc>
          <w:tcPr>
            <w:tcW w:w="1599" w:type="dxa"/>
            <w:gridSpan w:val="2"/>
            <w:vAlign w:val="bottom"/>
          </w:tcPr>
          <w:p w14:paraId="13A98C68" w14:textId="3D68CC7F" w:rsidR="0014516F" w:rsidRPr="00AF720A" w:rsidRDefault="0014516F" w:rsidP="007327FB">
            <w:pPr>
              <w:adjustRightInd/>
              <w:snapToGrid/>
              <w:spacing w:afterLines="0" w:after="0" w:line="240" w:lineRule="auto"/>
              <w:rPr>
                <w:bCs w:val="0"/>
                <w:sz w:val="20"/>
                <w:szCs w:val="20"/>
                <w:lang w:val="en-US" w:eastAsia="zh-CN"/>
              </w:rPr>
            </w:pPr>
            <w:r w:rsidRPr="00AF720A">
              <w:rPr>
                <w:bCs w:val="0"/>
                <w:sz w:val="20"/>
                <w:szCs w:val="20"/>
                <w:lang w:val="en-US" w:eastAsia="zh-CN"/>
              </w:rPr>
              <w:t>(-4.00 to -0.22)</w:t>
            </w:r>
          </w:p>
        </w:tc>
      </w:tr>
      <w:tr w:rsidR="0014516F" w:rsidRPr="00AF720A" w14:paraId="1CF31392" w14:textId="77777777" w:rsidTr="0014516F">
        <w:trPr>
          <w:trHeight w:val="285"/>
        </w:trPr>
        <w:tc>
          <w:tcPr>
            <w:tcW w:w="3588" w:type="dxa"/>
            <w:shd w:val="clear" w:color="auto" w:fill="auto"/>
            <w:noWrap/>
            <w:vAlign w:val="bottom"/>
          </w:tcPr>
          <w:p w14:paraId="396E9279" w14:textId="77777777" w:rsidR="0014516F" w:rsidRPr="00AF720A" w:rsidDel="00573548"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3</w:t>
            </w:r>
            <w:r w:rsidRPr="00AF720A">
              <w:rPr>
                <w:bCs w:val="0"/>
                <w:sz w:val="20"/>
                <w:szCs w:val="20"/>
                <w:vertAlign w:val="superscript"/>
                <w:lang w:val="en-US" w:eastAsia="zh-CN"/>
              </w:rPr>
              <w:t>rd</w:t>
            </w:r>
            <w:r w:rsidRPr="00AF720A">
              <w:rPr>
                <w:bCs w:val="0"/>
                <w:sz w:val="20"/>
                <w:szCs w:val="20"/>
                <w:lang w:val="en-US" w:eastAsia="zh-CN"/>
              </w:rPr>
              <w:t xml:space="preserve"> quartile (100 – 100 grams)</w:t>
            </w:r>
          </w:p>
        </w:tc>
        <w:tc>
          <w:tcPr>
            <w:tcW w:w="816" w:type="dxa"/>
            <w:shd w:val="clear" w:color="auto" w:fill="auto"/>
            <w:noWrap/>
            <w:vAlign w:val="bottom"/>
          </w:tcPr>
          <w:p w14:paraId="61F60EA3" w14:textId="3AB9DAE4"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-3.67</w:t>
            </w:r>
          </w:p>
        </w:tc>
        <w:tc>
          <w:tcPr>
            <w:tcW w:w="1703" w:type="dxa"/>
            <w:gridSpan w:val="2"/>
            <w:shd w:val="clear" w:color="auto" w:fill="auto"/>
            <w:noWrap/>
            <w:vAlign w:val="bottom"/>
          </w:tcPr>
          <w:p w14:paraId="379C6586" w14:textId="29A21BE7" w:rsidR="0014516F" w:rsidRPr="00AF720A" w:rsidRDefault="0014516F" w:rsidP="00B45670">
            <w:pPr>
              <w:adjustRightInd/>
              <w:snapToGrid/>
              <w:spacing w:afterLines="0" w:after="0" w:line="240" w:lineRule="auto"/>
              <w:ind w:right="-18"/>
              <w:rPr>
                <w:bCs w:val="0"/>
                <w:sz w:val="20"/>
                <w:szCs w:val="20"/>
                <w:lang w:val="en-US" w:eastAsia="zh-CN"/>
              </w:rPr>
            </w:pPr>
            <w:r w:rsidRPr="00AF720A">
              <w:rPr>
                <w:bCs w:val="0"/>
                <w:sz w:val="20"/>
                <w:szCs w:val="20"/>
                <w:lang w:val="en-US" w:eastAsia="zh-CN"/>
              </w:rPr>
              <w:t>(-5.82 to -1.52)</w:t>
            </w:r>
          </w:p>
        </w:tc>
        <w:tc>
          <w:tcPr>
            <w:tcW w:w="236" w:type="dxa"/>
          </w:tcPr>
          <w:p w14:paraId="05EF8526"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00" w:type="dxa"/>
            <w:vAlign w:val="bottom"/>
          </w:tcPr>
          <w:p w14:paraId="701BEB64" w14:textId="75211868"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-3.00</w:t>
            </w:r>
          </w:p>
        </w:tc>
        <w:tc>
          <w:tcPr>
            <w:tcW w:w="1651" w:type="dxa"/>
            <w:gridSpan w:val="2"/>
            <w:vAlign w:val="bottom"/>
          </w:tcPr>
          <w:p w14:paraId="7A225010" w14:textId="033F9943" w:rsidR="0014516F" w:rsidRPr="00AF720A" w:rsidRDefault="0014516F" w:rsidP="00B45670">
            <w:pPr>
              <w:tabs>
                <w:tab w:val="left" w:pos="972"/>
              </w:tabs>
              <w:adjustRightInd/>
              <w:snapToGrid/>
              <w:spacing w:afterLines="0" w:after="0" w:line="240" w:lineRule="auto"/>
              <w:ind w:right="-108"/>
              <w:rPr>
                <w:bCs w:val="0"/>
                <w:sz w:val="20"/>
                <w:szCs w:val="20"/>
                <w:lang w:val="en-US" w:eastAsia="zh-CN"/>
              </w:rPr>
            </w:pPr>
            <w:r w:rsidRPr="00AF720A">
              <w:rPr>
                <w:bCs w:val="0"/>
                <w:sz w:val="20"/>
                <w:szCs w:val="20"/>
                <w:lang w:val="en-US" w:eastAsia="zh-CN"/>
              </w:rPr>
              <w:t>(-4.90 to -1.09)</w:t>
            </w:r>
          </w:p>
        </w:tc>
        <w:tc>
          <w:tcPr>
            <w:tcW w:w="270" w:type="dxa"/>
            <w:vAlign w:val="bottom"/>
          </w:tcPr>
          <w:p w14:paraId="11667605"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844" w:type="dxa"/>
            <w:vAlign w:val="bottom"/>
          </w:tcPr>
          <w:p w14:paraId="22CA4934" w14:textId="73C777EE" w:rsidR="0014516F" w:rsidRPr="00AF720A" w:rsidRDefault="0014516F" w:rsidP="007327FB">
            <w:pPr>
              <w:adjustRightInd/>
              <w:snapToGrid/>
              <w:spacing w:afterLines="0" w:after="0" w:line="240" w:lineRule="auto"/>
              <w:jc w:val="center"/>
              <w:rPr>
                <w:bCs w:val="0"/>
                <w:sz w:val="20"/>
                <w:szCs w:val="20"/>
                <w:lang w:val="en-US" w:eastAsia="zh-CN"/>
              </w:rPr>
            </w:pPr>
            <w:r w:rsidRPr="00AF720A">
              <w:rPr>
                <w:bCs w:val="0"/>
                <w:sz w:val="20"/>
                <w:szCs w:val="20"/>
                <w:lang w:val="en-US" w:eastAsia="zh-CN"/>
              </w:rPr>
              <w:t>-3.00</w:t>
            </w:r>
          </w:p>
        </w:tc>
        <w:tc>
          <w:tcPr>
            <w:tcW w:w="1599" w:type="dxa"/>
            <w:gridSpan w:val="2"/>
            <w:vAlign w:val="bottom"/>
          </w:tcPr>
          <w:p w14:paraId="456709E3" w14:textId="2F1FEA21" w:rsidR="0014516F" w:rsidRPr="00AF720A" w:rsidRDefault="0014516F" w:rsidP="007327FB">
            <w:pPr>
              <w:adjustRightInd/>
              <w:snapToGrid/>
              <w:spacing w:afterLines="0" w:after="0" w:line="240" w:lineRule="auto"/>
              <w:rPr>
                <w:bCs w:val="0"/>
                <w:sz w:val="20"/>
                <w:szCs w:val="20"/>
                <w:lang w:val="en-US" w:eastAsia="zh-CN"/>
              </w:rPr>
            </w:pPr>
            <w:r w:rsidRPr="00AF720A">
              <w:rPr>
                <w:bCs w:val="0"/>
                <w:sz w:val="20"/>
                <w:szCs w:val="20"/>
                <w:lang w:val="en-US" w:eastAsia="zh-CN"/>
              </w:rPr>
              <w:t>(-4.87 to -1.12)</w:t>
            </w:r>
          </w:p>
        </w:tc>
      </w:tr>
      <w:tr w:rsidR="0014516F" w:rsidRPr="00AF720A" w14:paraId="192A58C1" w14:textId="77777777" w:rsidTr="0014516F">
        <w:trPr>
          <w:trHeight w:val="285"/>
        </w:trPr>
        <w:tc>
          <w:tcPr>
            <w:tcW w:w="3588" w:type="dxa"/>
            <w:shd w:val="clear" w:color="auto" w:fill="auto"/>
            <w:noWrap/>
            <w:vAlign w:val="bottom"/>
            <w:hideMark/>
          </w:tcPr>
          <w:p w14:paraId="3442942B" w14:textId="77777777" w:rsidR="0014516F" w:rsidRPr="00AF720A"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4</w:t>
            </w:r>
            <w:r w:rsidRPr="00AF720A">
              <w:rPr>
                <w:bCs w:val="0"/>
                <w:sz w:val="20"/>
                <w:szCs w:val="20"/>
                <w:vertAlign w:val="superscript"/>
                <w:lang w:val="en-US" w:eastAsia="zh-CN"/>
              </w:rPr>
              <w:t>th</w:t>
            </w:r>
            <w:r w:rsidRPr="00AF720A">
              <w:rPr>
                <w:bCs w:val="0"/>
                <w:sz w:val="20"/>
                <w:szCs w:val="20"/>
                <w:lang w:val="en-US" w:eastAsia="zh-CN"/>
              </w:rPr>
              <w:t xml:space="preserve"> quartile (102.6 – 453.6 grams)</w:t>
            </w:r>
          </w:p>
        </w:tc>
        <w:tc>
          <w:tcPr>
            <w:tcW w:w="816" w:type="dxa"/>
            <w:shd w:val="clear" w:color="auto" w:fill="auto"/>
            <w:noWrap/>
            <w:vAlign w:val="bottom"/>
            <w:hideMark/>
          </w:tcPr>
          <w:p w14:paraId="793AFE13" w14:textId="19D28F3B"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-2.24</w:t>
            </w:r>
          </w:p>
        </w:tc>
        <w:tc>
          <w:tcPr>
            <w:tcW w:w="1703" w:type="dxa"/>
            <w:gridSpan w:val="2"/>
            <w:shd w:val="clear" w:color="auto" w:fill="auto"/>
            <w:noWrap/>
            <w:vAlign w:val="bottom"/>
            <w:hideMark/>
          </w:tcPr>
          <w:p w14:paraId="6732118A" w14:textId="47616864"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(-4.46 to -0.02)</w:t>
            </w:r>
          </w:p>
        </w:tc>
        <w:tc>
          <w:tcPr>
            <w:tcW w:w="236" w:type="dxa"/>
          </w:tcPr>
          <w:p w14:paraId="06D7D80B"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900" w:type="dxa"/>
            <w:vAlign w:val="bottom"/>
          </w:tcPr>
          <w:p w14:paraId="11E8F5AD" w14:textId="34B9A339"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-1.50</w:t>
            </w:r>
          </w:p>
        </w:tc>
        <w:tc>
          <w:tcPr>
            <w:tcW w:w="1651" w:type="dxa"/>
            <w:gridSpan w:val="2"/>
            <w:vAlign w:val="bottom"/>
          </w:tcPr>
          <w:p w14:paraId="3125ABBD" w14:textId="426FB2B2" w:rsidR="0014516F" w:rsidRPr="00AF720A" w:rsidRDefault="0014516F" w:rsidP="00B45670">
            <w:pPr>
              <w:adjustRightInd/>
              <w:snapToGrid/>
              <w:spacing w:afterLines="0" w:after="0" w:line="240" w:lineRule="auto"/>
              <w:ind w:right="-18"/>
              <w:rPr>
                <w:bCs w:val="0"/>
                <w:sz w:val="20"/>
                <w:szCs w:val="20"/>
                <w:lang w:val="en-US" w:eastAsia="zh-CN"/>
              </w:rPr>
            </w:pPr>
            <w:r w:rsidRPr="00AF720A">
              <w:rPr>
                <w:bCs w:val="0"/>
                <w:sz w:val="20"/>
                <w:szCs w:val="20"/>
                <w:lang w:val="en-US" w:eastAsia="zh-CN"/>
              </w:rPr>
              <w:t>(-3.59 to 0.60)</w:t>
            </w:r>
          </w:p>
        </w:tc>
        <w:tc>
          <w:tcPr>
            <w:tcW w:w="270" w:type="dxa"/>
            <w:vAlign w:val="bottom"/>
          </w:tcPr>
          <w:p w14:paraId="0D3A4CDA"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844" w:type="dxa"/>
            <w:vAlign w:val="bottom"/>
          </w:tcPr>
          <w:p w14:paraId="10A2FCD9" w14:textId="4F9C1401" w:rsidR="0014516F" w:rsidRPr="00AF720A" w:rsidRDefault="0014516F" w:rsidP="007327FB">
            <w:pPr>
              <w:adjustRightInd/>
              <w:snapToGrid/>
              <w:spacing w:afterLines="0" w:after="0" w:line="240" w:lineRule="auto"/>
              <w:jc w:val="center"/>
              <w:rPr>
                <w:bCs w:val="0"/>
                <w:sz w:val="20"/>
                <w:szCs w:val="20"/>
                <w:lang w:val="en-US" w:eastAsia="zh-CN"/>
              </w:rPr>
            </w:pPr>
            <w:r w:rsidRPr="00AF720A">
              <w:rPr>
                <w:bCs w:val="0"/>
                <w:sz w:val="20"/>
                <w:szCs w:val="20"/>
                <w:lang w:val="en-US" w:eastAsia="zh-CN"/>
              </w:rPr>
              <w:t>-1.50</w:t>
            </w:r>
          </w:p>
        </w:tc>
        <w:tc>
          <w:tcPr>
            <w:tcW w:w="1599" w:type="dxa"/>
            <w:gridSpan w:val="2"/>
            <w:vAlign w:val="bottom"/>
          </w:tcPr>
          <w:p w14:paraId="57CAC668" w14:textId="0743136A" w:rsidR="0014516F" w:rsidRPr="00AF720A" w:rsidRDefault="0014516F" w:rsidP="007327FB">
            <w:pPr>
              <w:adjustRightInd/>
              <w:snapToGrid/>
              <w:spacing w:afterLines="0" w:after="0" w:line="240" w:lineRule="auto"/>
              <w:rPr>
                <w:bCs w:val="0"/>
                <w:sz w:val="20"/>
                <w:szCs w:val="20"/>
                <w:lang w:val="en-US" w:eastAsia="zh-CN"/>
              </w:rPr>
            </w:pPr>
            <w:r w:rsidRPr="00AF720A">
              <w:rPr>
                <w:bCs w:val="0"/>
                <w:sz w:val="20"/>
                <w:szCs w:val="20"/>
                <w:lang w:val="en-US" w:eastAsia="zh-CN"/>
              </w:rPr>
              <w:t>(-3.54 to 0.55)</w:t>
            </w:r>
          </w:p>
        </w:tc>
      </w:tr>
      <w:tr w:rsidR="0014516F" w:rsidRPr="00AF720A" w14:paraId="2BF6D89D" w14:textId="77777777" w:rsidTr="0014516F">
        <w:trPr>
          <w:trHeight w:val="285"/>
        </w:trPr>
        <w:tc>
          <w:tcPr>
            <w:tcW w:w="3588" w:type="dxa"/>
            <w:shd w:val="clear" w:color="auto" w:fill="auto"/>
            <w:noWrap/>
            <w:vAlign w:val="bottom"/>
          </w:tcPr>
          <w:p w14:paraId="089B96D8" w14:textId="61B1419A" w:rsidR="0014516F" w:rsidRPr="00AF720A" w:rsidRDefault="0014516F" w:rsidP="00B45670">
            <w:pPr>
              <w:adjustRightInd/>
              <w:snapToGrid/>
              <w:spacing w:afterLines="0" w:after="0" w:line="240" w:lineRule="auto"/>
              <w:ind w:firstLineChars="200" w:firstLine="400"/>
              <w:rPr>
                <w:bCs w:val="0"/>
                <w:sz w:val="20"/>
                <w:szCs w:val="20"/>
                <w:lang w:val="en-US" w:eastAsia="zh-CN"/>
              </w:rPr>
            </w:pPr>
            <w:r w:rsidRPr="00AF720A">
              <w:rPr>
                <w:bCs w:val="0"/>
                <w:sz w:val="20"/>
                <w:szCs w:val="20"/>
                <w:lang w:val="en-US" w:eastAsia="zh-CN"/>
              </w:rPr>
              <w:t xml:space="preserve">P for </w:t>
            </w:r>
            <w:proofErr w:type="spellStart"/>
            <w:r w:rsidRPr="00AF720A">
              <w:rPr>
                <w:bCs w:val="0"/>
                <w:sz w:val="20"/>
                <w:szCs w:val="20"/>
                <w:lang w:val="en-US" w:eastAsia="zh-CN"/>
              </w:rPr>
              <w:t>trend</w:t>
            </w:r>
            <w:r w:rsidRPr="00AF720A">
              <w:rPr>
                <w:bCs w:val="0"/>
                <w:sz w:val="20"/>
                <w:szCs w:val="20"/>
                <w:vertAlign w:val="superscript"/>
                <w:lang w:val="en-US" w:eastAsia="zh-CN"/>
              </w:rPr>
              <w:t>c</w:t>
            </w:r>
            <w:proofErr w:type="spellEnd"/>
          </w:p>
        </w:tc>
        <w:tc>
          <w:tcPr>
            <w:tcW w:w="2519" w:type="dxa"/>
            <w:gridSpan w:val="3"/>
            <w:shd w:val="clear" w:color="auto" w:fill="auto"/>
            <w:noWrap/>
            <w:vAlign w:val="bottom"/>
          </w:tcPr>
          <w:p w14:paraId="53F68ED2" w14:textId="77777777"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&lt;.001</w:t>
            </w:r>
          </w:p>
        </w:tc>
        <w:tc>
          <w:tcPr>
            <w:tcW w:w="236" w:type="dxa"/>
          </w:tcPr>
          <w:p w14:paraId="34D1EA87"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2551" w:type="dxa"/>
            <w:gridSpan w:val="3"/>
          </w:tcPr>
          <w:p w14:paraId="245D92CF" w14:textId="4496755F" w:rsidR="0014516F" w:rsidRPr="00AF720A" w:rsidRDefault="0014516F" w:rsidP="00B45670">
            <w:pPr>
              <w:adjustRightInd/>
              <w:snapToGrid/>
              <w:spacing w:afterLines="0" w:after="0" w:line="240" w:lineRule="auto"/>
              <w:jc w:val="center"/>
              <w:rPr>
                <w:bCs w:val="0"/>
                <w:sz w:val="20"/>
                <w:szCs w:val="20"/>
                <w:lang w:val="en-US" w:eastAsia="zh-CN"/>
              </w:rPr>
            </w:pPr>
            <w:r w:rsidRPr="00AF720A">
              <w:rPr>
                <w:bCs w:val="0"/>
                <w:sz w:val="20"/>
                <w:szCs w:val="20"/>
                <w:lang w:val="en-US" w:eastAsia="zh-CN"/>
              </w:rPr>
              <w:t>0.001</w:t>
            </w:r>
          </w:p>
        </w:tc>
        <w:tc>
          <w:tcPr>
            <w:tcW w:w="270" w:type="dxa"/>
          </w:tcPr>
          <w:p w14:paraId="34D5E452" w14:textId="77777777" w:rsidR="0014516F" w:rsidRPr="00AF720A" w:rsidRDefault="0014516F" w:rsidP="00B45670">
            <w:pPr>
              <w:adjustRightInd/>
              <w:snapToGrid/>
              <w:spacing w:afterLines="0" w:after="0" w:line="240" w:lineRule="auto"/>
              <w:jc w:val="center"/>
              <w:rPr>
                <w:bCs w:val="0"/>
                <w:sz w:val="20"/>
                <w:szCs w:val="20"/>
                <w:lang w:val="en-US" w:eastAsia="zh-CN"/>
              </w:rPr>
            </w:pPr>
          </w:p>
        </w:tc>
        <w:tc>
          <w:tcPr>
            <w:tcW w:w="2443" w:type="dxa"/>
            <w:gridSpan w:val="3"/>
          </w:tcPr>
          <w:p w14:paraId="0CA4DE75" w14:textId="17BA08DA" w:rsidR="0014516F" w:rsidRPr="00AF720A" w:rsidRDefault="0014516F" w:rsidP="007327FB">
            <w:pPr>
              <w:adjustRightInd/>
              <w:snapToGrid/>
              <w:spacing w:afterLines="0" w:after="0" w:line="240" w:lineRule="auto"/>
              <w:jc w:val="center"/>
              <w:rPr>
                <w:bCs w:val="0"/>
                <w:sz w:val="20"/>
                <w:szCs w:val="20"/>
                <w:lang w:val="en-US" w:eastAsia="zh-CN"/>
              </w:rPr>
            </w:pPr>
            <w:r w:rsidRPr="00AF720A">
              <w:rPr>
                <w:bCs w:val="0"/>
                <w:sz w:val="20"/>
                <w:szCs w:val="20"/>
                <w:lang w:val="en-US" w:eastAsia="zh-CN"/>
              </w:rPr>
              <w:t>0.001</w:t>
            </w:r>
          </w:p>
        </w:tc>
      </w:tr>
      <w:tr w:rsidR="0014516F" w:rsidRPr="00AF720A" w14:paraId="4865959D" w14:textId="32F3EE2C" w:rsidTr="0014516F">
        <w:trPr>
          <w:trHeight w:val="285"/>
        </w:trPr>
        <w:tc>
          <w:tcPr>
            <w:tcW w:w="11607" w:type="dxa"/>
            <w:gridSpan w:val="12"/>
          </w:tcPr>
          <w:p w14:paraId="5304DE15" w14:textId="398E6AC4"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a. Adjusted for age, sex, race (non-Hispanic white, non-Hispanic black, Hispanic, other), education (below high school, high school, high school and higher), household annual income (&lt;$20000, $20000-74999, $75000 and higher), physical activity (inactive, any activity), smoking status (never smoker, former smoker, current smoker), energy intake in quartiles, sugar intake (gram, day), alcohol consumption (yes/no), chronic conditions including cardiovascular disease, arthritis and cancer (yes/no).</w:t>
            </w:r>
          </w:p>
        </w:tc>
      </w:tr>
      <w:tr w:rsidR="0014516F" w:rsidRPr="00AF720A" w14:paraId="60D5F631" w14:textId="4076E866" w:rsidTr="0014516F">
        <w:trPr>
          <w:trHeight w:val="285"/>
        </w:trPr>
        <w:tc>
          <w:tcPr>
            <w:tcW w:w="11607" w:type="dxa"/>
            <w:gridSpan w:val="12"/>
          </w:tcPr>
          <w:p w14:paraId="2CBE777C" w14:textId="476F9766" w:rsidR="0014516F" w:rsidRPr="00AF720A" w:rsidRDefault="0014516F" w:rsidP="0014516F">
            <w:pPr>
              <w:adjustRightInd/>
              <w:snapToGrid/>
              <w:spacing w:afterLines="0" w:after="0" w:line="240" w:lineRule="auto"/>
              <w:rPr>
                <w:bCs w:val="0"/>
                <w:sz w:val="20"/>
                <w:szCs w:val="20"/>
                <w:lang w:val="en-US" w:eastAsia="zh-CN"/>
              </w:rPr>
            </w:pPr>
            <w:r w:rsidRPr="00AF720A">
              <w:rPr>
                <w:bCs w:val="0"/>
                <w:sz w:val="20"/>
                <w:szCs w:val="20"/>
                <w:lang w:val="en-US" w:eastAsia="zh-CN"/>
              </w:rPr>
              <w:t>b. Additionally adjusted for dark chocolate consumption (yes/no).</w:t>
            </w:r>
          </w:p>
        </w:tc>
      </w:tr>
      <w:tr w:rsidR="0014516F" w:rsidRPr="00AF720A" w14:paraId="797A16F4" w14:textId="6FE6FF5D" w:rsidTr="0014516F">
        <w:trPr>
          <w:trHeight w:val="285"/>
        </w:trPr>
        <w:tc>
          <w:tcPr>
            <w:tcW w:w="11607" w:type="dxa"/>
            <w:gridSpan w:val="12"/>
          </w:tcPr>
          <w:p w14:paraId="0BDF826F" w14:textId="436311EC" w:rsidR="0014516F" w:rsidRPr="00AF720A" w:rsidRDefault="0014516F" w:rsidP="00B45670">
            <w:pPr>
              <w:adjustRightInd/>
              <w:snapToGrid/>
              <w:spacing w:afterLines="0" w:after="0" w:line="240" w:lineRule="auto"/>
              <w:rPr>
                <w:bCs w:val="0"/>
                <w:sz w:val="20"/>
                <w:szCs w:val="20"/>
                <w:lang w:val="en-US" w:eastAsia="zh-CN"/>
              </w:rPr>
            </w:pPr>
            <w:r w:rsidRPr="00AF720A">
              <w:rPr>
                <w:bCs w:val="0"/>
                <w:sz w:val="20"/>
                <w:szCs w:val="20"/>
                <w:lang w:val="en-US" w:eastAsia="zh-CN"/>
              </w:rPr>
              <w:t>c. P for trend was calculated by modeling the median value of chocolate consumption in each quartile as a continuous variable.</w:t>
            </w:r>
          </w:p>
        </w:tc>
      </w:tr>
    </w:tbl>
    <w:p w14:paraId="3AD41185" w14:textId="77777777" w:rsidR="00937FEB" w:rsidRPr="00AF720A" w:rsidRDefault="00937FEB" w:rsidP="0076143F"/>
    <w:p w14:paraId="74B0E03F" w14:textId="77777777" w:rsidR="00937FEB" w:rsidRPr="00AF720A" w:rsidRDefault="00937FEB" w:rsidP="0076143F"/>
    <w:p w14:paraId="788B28B0" w14:textId="5BBC8A86" w:rsidR="00956F6A" w:rsidRPr="00AF720A" w:rsidRDefault="00956F6A" w:rsidP="00314118">
      <w:bookmarkStart w:id="7" w:name="_GoBack"/>
      <w:bookmarkEnd w:id="7"/>
    </w:p>
    <w:sectPr w:rsidR="00956F6A" w:rsidRPr="00AF720A" w:rsidSect="001451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2DC4B" w14:textId="77777777" w:rsidR="00A914B4" w:rsidRDefault="00A914B4" w:rsidP="00EA436E">
      <w:r>
        <w:separator/>
      </w:r>
    </w:p>
  </w:endnote>
  <w:endnote w:type="continuationSeparator" w:id="0">
    <w:p w14:paraId="64A1261F" w14:textId="77777777" w:rsidR="00A914B4" w:rsidRDefault="00A914B4" w:rsidP="00EA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ppleSystemUIFon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80DD" w14:textId="77777777" w:rsidR="006B1E85" w:rsidRDefault="006B1E85" w:rsidP="00EA436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458922" w14:textId="77777777" w:rsidR="006B1E85" w:rsidRDefault="006B1E85" w:rsidP="00EA4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912875"/>
      <w:docPartObj>
        <w:docPartGallery w:val="Page Numbers (Bottom of Page)"/>
        <w:docPartUnique/>
      </w:docPartObj>
    </w:sdtPr>
    <w:sdtContent>
      <w:p w14:paraId="0F5F632F" w14:textId="7AA6BCD0" w:rsidR="006B1E85" w:rsidRDefault="006B1E85" w:rsidP="00EA436E">
        <w:pPr>
          <w:pStyle w:val="Footer"/>
        </w:pPr>
        <w:r>
          <w:fldChar w:fldCharType="begin"/>
        </w:r>
        <w:r>
          <w:instrText>PAGE   \* MERGEFORMAT</w:instrText>
        </w:r>
        <w:r>
          <w:fldChar w:fldCharType="separate"/>
        </w:r>
        <w:r w:rsidRPr="00CB66E5">
          <w:rPr>
            <w:noProof/>
            <w:lang w:val="de-DE"/>
          </w:rPr>
          <w:t>1</w:t>
        </w:r>
        <w:r>
          <w:fldChar w:fldCharType="end"/>
        </w:r>
      </w:p>
    </w:sdtContent>
  </w:sdt>
  <w:p w14:paraId="596CB240" w14:textId="77777777" w:rsidR="006B1E85" w:rsidRDefault="006B1E85" w:rsidP="00EA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E5BD" w14:textId="77777777" w:rsidR="00A914B4" w:rsidRDefault="00A914B4" w:rsidP="00EA436E">
      <w:r>
        <w:separator/>
      </w:r>
    </w:p>
  </w:footnote>
  <w:footnote w:type="continuationSeparator" w:id="0">
    <w:p w14:paraId="7CD549E0" w14:textId="77777777" w:rsidR="00A914B4" w:rsidRDefault="00A914B4" w:rsidP="00EA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0286"/>
    <w:multiLevelType w:val="hybridMultilevel"/>
    <w:tmpl w:val="5D9A4CDA"/>
    <w:lvl w:ilvl="0" w:tplc="4B627894">
      <w:start w:val="7"/>
      <w:numFmt w:val="bullet"/>
      <w:lvlText w:val=""/>
      <w:lvlJc w:val="left"/>
      <w:pPr>
        <w:ind w:left="720" w:hanging="360"/>
      </w:pPr>
      <w:rPr>
        <w:rFonts w:ascii="Symbol" w:eastAsia="Times New Roman" w:hAnsi="Symbol"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B70EB"/>
    <w:multiLevelType w:val="hybridMultilevel"/>
    <w:tmpl w:val="CAC69734"/>
    <w:lvl w:ilvl="0" w:tplc="BEB26624">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C4408"/>
    <w:multiLevelType w:val="hybridMultilevel"/>
    <w:tmpl w:val="49AE1552"/>
    <w:lvl w:ilvl="0" w:tplc="18A610FE">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B23D1"/>
    <w:multiLevelType w:val="multilevel"/>
    <w:tmpl w:val="9282020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0639B9"/>
    <w:multiLevelType w:val="hybridMultilevel"/>
    <w:tmpl w:val="6C4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76DC9"/>
    <w:multiLevelType w:val="hybridMultilevel"/>
    <w:tmpl w:val="A12E0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93465"/>
    <w:multiLevelType w:val="hybridMultilevel"/>
    <w:tmpl w:val="56D6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NzcyMzYzMTE0MjVU0lEKTi0uzszPAykwMq0FAKr645Q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0eape9hs9pefe0rs8xp5whxd5few5pppwa&quot;&gt;chocla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record-ids&gt;&lt;/item&gt;&lt;/Libraries&gt;"/>
  </w:docVars>
  <w:rsids>
    <w:rsidRoot w:val="004139B6"/>
    <w:rsid w:val="00001314"/>
    <w:rsid w:val="00002A08"/>
    <w:rsid w:val="000104C7"/>
    <w:rsid w:val="00010FEF"/>
    <w:rsid w:val="00011771"/>
    <w:rsid w:val="0001394C"/>
    <w:rsid w:val="000148B5"/>
    <w:rsid w:val="00014AF3"/>
    <w:rsid w:val="00015A92"/>
    <w:rsid w:val="00015B0C"/>
    <w:rsid w:val="00016C64"/>
    <w:rsid w:val="00022262"/>
    <w:rsid w:val="00023033"/>
    <w:rsid w:val="000328FD"/>
    <w:rsid w:val="00033FF4"/>
    <w:rsid w:val="00034BF5"/>
    <w:rsid w:val="00037D6A"/>
    <w:rsid w:val="000425C7"/>
    <w:rsid w:val="0004392D"/>
    <w:rsid w:val="00044F6B"/>
    <w:rsid w:val="00045477"/>
    <w:rsid w:val="00050407"/>
    <w:rsid w:val="00050ABA"/>
    <w:rsid w:val="000552A6"/>
    <w:rsid w:val="00055446"/>
    <w:rsid w:val="000603E5"/>
    <w:rsid w:val="00061408"/>
    <w:rsid w:val="000621FD"/>
    <w:rsid w:val="000636C8"/>
    <w:rsid w:val="0006648A"/>
    <w:rsid w:val="00067B00"/>
    <w:rsid w:val="00070980"/>
    <w:rsid w:val="000723F5"/>
    <w:rsid w:val="00072CB4"/>
    <w:rsid w:val="00072CB5"/>
    <w:rsid w:val="000742C5"/>
    <w:rsid w:val="000743E3"/>
    <w:rsid w:val="000747F3"/>
    <w:rsid w:val="00075108"/>
    <w:rsid w:val="00075E54"/>
    <w:rsid w:val="00075F81"/>
    <w:rsid w:val="00076727"/>
    <w:rsid w:val="00077D43"/>
    <w:rsid w:val="000808B0"/>
    <w:rsid w:val="00081BBF"/>
    <w:rsid w:val="00081F3B"/>
    <w:rsid w:val="0008228A"/>
    <w:rsid w:val="00082F34"/>
    <w:rsid w:val="00082F3C"/>
    <w:rsid w:val="000843B4"/>
    <w:rsid w:val="00084A3B"/>
    <w:rsid w:val="00090A02"/>
    <w:rsid w:val="00090E5E"/>
    <w:rsid w:val="000928C9"/>
    <w:rsid w:val="00093BED"/>
    <w:rsid w:val="00093CDD"/>
    <w:rsid w:val="0009559A"/>
    <w:rsid w:val="000955EB"/>
    <w:rsid w:val="0009684A"/>
    <w:rsid w:val="00097222"/>
    <w:rsid w:val="00097357"/>
    <w:rsid w:val="00097747"/>
    <w:rsid w:val="000A09B6"/>
    <w:rsid w:val="000A2707"/>
    <w:rsid w:val="000A39B4"/>
    <w:rsid w:val="000A3B0C"/>
    <w:rsid w:val="000A4FAF"/>
    <w:rsid w:val="000A6951"/>
    <w:rsid w:val="000A6C61"/>
    <w:rsid w:val="000A6D44"/>
    <w:rsid w:val="000A710A"/>
    <w:rsid w:val="000A7871"/>
    <w:rsid w:val="000B1FD7"/>
    <w:rsid w:val="000B5331"/>
    <w:rsid w:val="000C09D1"/>
    <w:rsid w:val="000C22D1"/>
    <w:rsid w:val="000C304C"/>
    <w:rsid w:val="000C7C13"/>
    <w:rsid w:val="000D098B"/>
    <w:rsid w:val="000D1281"/>
    <w:rsid w:val="000D18D0"/>
    <w:rsid w:val="000D1AFC"/>
    <w:rsid w:val="000D3195"/>
    <w:rsid w:val="000D3F35"/>
    <w:rsid w:val="000D471A"/>
    <w:rsid w:val="000D4E45"/>
    <w:rsid w:val="000D5A8E"/>
    <w:rsid w:val="000D6478"/>
    <w:rsid w:val="000E01CC"/>
    <w:rsid w:val="000E05F7"/>
    <w:rsid w:val="000E0C3C"/>
    <w:rsid w:val="000E1750"/>
    <w:rsid w:val="000E5168"/>
    <w:rsid w:val="000E7400"/>
    <w:rsid w:val="000F00D6"/>
    <w:rsid w:val="000F0A02"/>
    <w:rsid w:val="000F0B5C"/>
    <w:rsid w:val="0010145E"/>
    <w:rsid w:val="00102604"/>
    <w:rsid w:val="001037C4"/>
    <w:rsid w:val="0010655C"/>
    <w:rsid w:val="00107659"/>
    <w:rsid w:val="00112091"/>
    <w:rsid w:val="00112FFC"/>
    <w:rsid w:val="00116E54"/>
    <w:rsid w:val="001171D3"/>
    <w:rsid w:val="00117C40"/>
    <w:rsid w:val="001211A9"/>
    <w:rsid w:val="001211E1"/>
    <w:rsid w:val="00121EF1"/>
    <w:rsid w:val="00123594"/>
    <w:rsid w:val="00123863"/>
    <w:rsid w:val="00123E8E"/>
    <w:rsid w:val="00124DAC"/>
    <w:rsid w:val="00124E70"/>
    <w:rsid w:val="001275AE"/>
    <w:rsid w:val="001330F8"/>
    <w:rsid w:val="00134222"/>
    <w:rsid w:val="00134C88"/>
    <w:rsid w:val="00134D25"/>
    <w:rsid w:val="00135DCB"/>
    <w:rsid w:val="001366E8"/>
    <w:rsid w:val="0013684D"/>
    <w:rsid w:val="001374B1"/>
    <w:rsid w:val="0014079C"/>
    <w:rsid w:val="00141D72"/>
    <w:rsid w:val="0014516F"/>
    <w:rsid w:val="00145E04"/>
    <w:rsid w:val="0014643B"/>
    <w:rsid w:val="00146590"/>
    <w:rsid w:val="00150358"/>
    <w:rsid w:val="001526AE"/>
    <w:rsid w:val="00153FEC"/>
    <w:rsid w:val="00157DFC"/>
    <w:rsid w:val="0016129F"/>
    <w:rsid w:val="00162606"/>
    <w:rsid w:val="001626B6"/>
    <w:rsid w:val="001629FE"/>
    <w:rsid w:val="0016631B"/>
    <w:rsid w:val="00166CA0"/>
    <w:rsid w:val="001670F0"/>
    <w:rsid w:val="001675F3"/>
    <w:rsid w:val="00167ADE"/>
    <w:rsid w:val="00170131"/>
    <w:rsid w:val="00170AEC"/>
    <w:rsid w:val="00172C69"/>
    <w:rsid w:val="0017369C"/>
    <w:rsid w:val="00173E8B"/>
    <w:rsid w:val="00175A91"/>
    <w:rsid w:val="00176058"/>
    <w:rsid w:val="001810E9"/>
    <w:rsid w:val="001815CE"/>
    <w:rsid w:val="00181EA9"/>
    <w:rsid w:val="001840F5"/>
    <w:rsid w:val="00184D3A"/>
    <w:rsid w:val="00185039"/>
    <w:rsid w:val="0018566C"/>
    <w:rsid w:val="0018581A"/>
    <w:rsid w:val="001859CA"/>
    <w:rsid w:val="0018704B"/>
    <w:rsid w:val="00187B51"/>
    <w:rsid w:val="00192AFD"/>
    <w:rsid w:val="00193126"/>
    <w:rsid w:val="00193882"/>
    <w:rsid w:val="001954A9"/>
    <w:rsid w:val="0019686E"/>
    <w:rsid w:val="0019715C"/>
    <w:rsid w:val="0019765D"/>
    <w:rsid w:val="001A02E8"/>
    <w:rsid w:val="001A08B9"/>
    <w:rsid w:val="001A29E4"/>
    <w:rsid w:val="001A2C98"/>
    <w:rsid w:val="001A3182"/>
    <w:rsid w:val="001A4497"/>
    <w:rsid w:val="001A6CAF"/>
    <w:rsid w:val="001B062D"/>
    <w:rsid w:val="001B12EE"/>
    <w:rsid w:val="001B1814"/>
    <w:rsid w:val="001B181C"/>
    <w:rsid w:val="001B33D5"/>
    <w:rsid w:val="001B3ACB"/>
    <w:rsid w:val="001B4169"/>
    <w:rsid w:val="001B73DE"/>
    <w:rsid w:val="001C0508"/>
    <w:rsid w:val="001C28DF"/>
    <w:rsid w:val="001C2DA5"/>
    <w:rsid w:val="001C3169"/>
    <w:rsid w:val="001C32FC"/>
    <w:rsid w:val="001C4179"/>
    <w:rsid w:val="001C4797"/>
    <w:rsid w:val="001C4C78"/>
    <w:rsid w:val="001C74A7"/>
    <w:rsid w:val="001C783F"/>
    <w:rsid w:val="001C7859"/>
    <w:rsid w:val="001D02C4"/>
    <w:rsid w:val="001D0C99"/>
    <w:rsid w:val="001D1475"/>
    <w:rsid w:val="001D1AEA"/>
    <w:rsid w:val="001D1B57"/>
    <w:rsid w:val="001D1F94"/>
    <w:rsid w:val="001D3645"/>
    <w:rsid w:val="001D3BAD"/>
    <w:rsid w:val="001D46FC"/>
    <w:rsid w:val="001D4825"/>
    <w:rsid w:val="001D4960"/>
    <w:rsid w:val="001D68A8"/>
    <w:rsid w:val="001D7A16"/>
    <w:rsid w:val="001E35AC"/>
    <w:rsid w:val="001E3610"/>
    <w:rsid w:val="001E6749"/>
    <w:rsid w:val="001E6BBA"/>
    <w:rsid w:val="001F18AF"/>
    <w:rsid w:val="001F4CB5"/>
    <w:rsid w:val="001F5369"/>
    <w:rsid w:val="001F5578"/>
    <w:rsid w:val="001F55BE"/>
    <w:rsid w:val="001F607E"/>
    <w:rsid w:val="001F60C5"/>
    <w:rsid w:val="001F6593"/>
    <w:rsid w:val="001F742A"/>
    <w:rsid w:val="00200A5D"/>
    <w:rsid w:val="00200F28"/>
    <w:rsid w:val="00204323"/>
    <w:rsid w:val="00206F32"/>
    <w:rsid w:val="002145C5"/>
    <w:rsid w:val="002148E0"/>
    <w:rsid w:val="00216B1D"/>
    <w:rsid w:val="002202AA"/>
    <w:rsid w:val="0022065A"/>
    <w:rsid w:val="00221285"/>
    <w:rsid w:val="0022275A"/>
    <w:rsid w:val="00224D78"/>
    <w:rsid w:val="00227D78"/>
    <w:rsid w:val="002324F6"/>
    <w:rsid w:val="00242615"/>
    <w:rsid w:val="00242A24"/>
    <w:rsid w:val="00245910"/>
    <w:rsid w:val="002469B2"/>
    <w:rsid w:val="00246F0A"/>
    <w:rsid w:val="00247199"/>
    <w:rsid w:val="00247DA4"/>
    <w:rsid w:val="00251F1F"/>
    <w:rsid w:val="00252B66"/>
    <w:rsid w:val="00255A0F"/>
    <w:rsid w:val="00256085"/>
    <w:rsid w:val="00257424"/>
    <w:rsid w:val="00257B97"/>
    <w:rsid w:val="002613FB"/>
    <w:rsid w:val="00262036"/>
    <w:rsid w:val="00265B86"/>
    <w:rsid w:val="00265B8E"/>
    <w:rsid w:val="00266597"/>
    <w:rsid w:val="00270D11"/>
    <w:rsid w:val="00270E5A"/>
    <w:rsid w:val="00272EC0"/>
    <w:rsid w:val="002737D1"/>
    <w:rsid w:val="0027431C"/>
    <w:rsid w:val="00274751"/>
    <w:rsid w:val="00277CE7"/>
    <w:rsid w:val="00277FD4"/>
    <w:rsid w:val="00280350"/>
    <w:rsid w:val="00280984"/>
    <w:rsid w:val="00280DCC"/>
    <w:rsid w:val="00281604"/>
    <w:rsid w:val="00282A78"/>
    <w:rsid w:val="0028705D"/>
    <w:rsid w:val="00290050"/>
    <w:rsid w:val="0029161D"/>
    <w:rsid w:val="00291FF9"/>
    <w:rsid w:val="0029220B"/>
    <w:rsid w:val="00292359"/>
    <w:rsid w:val="0029465C"/>
    <w:rsid w:val="00295AC0"/>
    <w:rsid w:val="00296DAA"/>
    <w:rsid w:val="002A0F6F"/>
    <w:rsid w:val="002A34D1"/>
    <w:rsid w:val="002A4026"/>
    <w:rsid w:val="002A57A5"/>
    <w:rsid w:val="002A5D73"/>
    <w:rsid w:val="002A6651"/>
    <w:rsid w:val="002A68CE"/>
    <w:rsid w:val="002A7731"/>
    <w:rsid w:val="002A78CF"/>
    <w:rsid w:val="002B0316"/>
    <w:rsid w:val="002B061E"/>
    <w:rsid w:val="002B0A13"/>
    <w:rsid w:val="002B5250"/>
    <w:rsid w:val="002B52FC"/>
    <w:rsid w:val="002B7755"/>
    <w:rsid w:val="002B7C6E"/>
    <w:rsid w:val="002C1FB0"/>
    <w:rsid w:val="002C235C"/>
    <w:rsid w:val="002C262F"/>
    <w:rsid w:val="002C3B36"/>
    <w:rsid w:val="002C44F3"/>
    <w:rsid w:val="002D05A2"/>
    <w:rsid w:val="002D09D9"/>
    <w:rsid w:val="002D3B6B"/>
    <w:rsid w:val="002D472C"/>
    <w:rsid w:val="002D51D1"/>
    <w:rsid w:val="002D6553"/>
    <w:rsid w:val="002D6850"/>
    <w:rsid w:val="002D690B"/>
    <w:rsid w:val="002D6FD4"/>
    <w:rsid w:val="002E0158"/>
    <w:rsid w:val="002E1883"/>
    <w:rsid w:val="002E646A"/>
    <w:rsid w:val="002E725A"/>
    <w:rsid w:val="002F08CD"/>
    <w:rsid w:val="002F1916"/>
    <w:rsid w:val="002F1E90"/>
    <w:rsid w:val="002F3D1C"/>
    <w:rsid w:val="002F431C"/>
    <w:rsid w:val="002F55AD"/>
    <w:rsid w:val="00300860"/>
    <w:rsid w:val="00300CE5"/>
    <w:rsid w:val="0030103D"/>
    <w:rsid w:val="00301CF0"/>
    <w:rsid w:val="003032B4"/>
    <w:rsid w:val="003034CB"/>
    <w:rsid w:val="00304090"/>
    <w:rsid w:val="00305D77"/>
    <w:rsid w:val="00306484"/>
    <w:rsid w:val="00307E3D"/>
    <w:rsid w:val="0031010F"/>
    <w:rsid w:val="003116CF"/>
    <w:rsid w:val="00311953"/>
    <w:rsid w:val="00311A20"/>
    <w:rsid w:val="00313698"/>
    <w:rsid w:val="00314118"/>
    <w:rsid w:val="003155D7"/>
    <w:rsid w:val="003162F6"/>
    <w:rsid w:val="003169B7"/>
    <w:rsid w:val="0032002D"/>
    <w:rsid w:val="00320A6F"/>
    <w:rsid w:val="00321070"/>
    <w:rsid w:val="003220BF"/>
    <w:rsid w:val="00322BB8"/>
    <w:rsid w:val="00323D1E"/>
    <w:rsid w:val="00323DB6"/>
    <w:rsid w:val="0033179E"/>
    <w:rsid w:val="003328CC"/>
    <w:rsid w:val="00332DE6"/>
    <w:rsid w:val="0033301A"/>
    <w:rsid w:val="0033303D"/>
    <w:rsid w:val="0033372F"/>
    <w:rsid w:val="00334332"/>
    <w:rsid w:val="0033593D"/>
    <w:rsid w:val="00335F65"/>
    <w:rsid w:val="0033704A"/>
    <w:rsid w:val="00342407"/>
    <w:rsid w:val="00342537"/>
    <w:rsid w:val="00345D60"/>
    <w:rsid w:val="00346017"/>
    <w:rsid w:val="00350254"/>
    <w:rsid w:val="00350950"/>
    <w:rsid w:val="003517A6"/>
    <w:rsid w:val="0035298F"/>
    <w:rsid w:val="0035361D"/>
    <w:rsid w:val="00353CBD"/>
    <w:rsid w:val="0035475D"/>
    <w:rsid w:val="003548D8"/>
    <w:rsid w:val="00356BF3"/>
    <w:rsid w:val="00360D81"/>
    <w:rsid w:val="00361399"/>
    <w:rsid w:val="00364A30"/>
    <w:rsid w:val="00367D9C"/>
    <w:rsid w:val="00367FF0"/>
    <w:rsid w:val="003705CF"/>
    <w:rsid w:val="003713C9"/>
    <w:rsid w:val="00372649"/>
    <w:rsid w:val="00372AD8"/>
    <w:rsid w:val="00374567"/>
    <w:rsid w:val="00374581"/>
    <w:rsid w:val="003758E8"/>
    <w:rsid w:val="003767CA"/>
    <w:rsid w:val="00377E35"/>
    <w:rsid w:val="00380654"/>
    <w:rsid w:val="00380F70"/>
    <w:rsid w:val="00382087"/>
    <w:rsid w:val="0038325D"/>
    <w:rsid w:val="00384C29"/>
    <w:rsid w:val="00390E5D"/>
    <w:rsid w:val="00392EA6"/>
    <w:rsid w:val="003931B8"/>
    <w:rsid w:val="003932C8"/>
    <w:rsid w:val="00394BA4"/>
    <w:rsid w:val="0039692A"/>
    <w:rsid w:val="00396D5F"/>
    <w:rsid w:val="00396F9A"/>
    <w:rsid w:val="00396FD1"/>
    <w:rsid w:val="00397BCE"/>
    <w:rsid w:val="003A0331"/>
    <w:rsid w:val="003A092A"/>
    <w:rsid w:val="003A1048"/>
    <w:rsid w:val="003A18C7"/>
    <w:rsid w:val="003A4B7E"/>
    <w:rsid w:val="003A5CBB"/>
    <w:rsid w:val="003A65F6"/>
    <w:rsid w:val="003B0C00"/>
    <w:rsid w:val="003B4F70"/>
    <w:rsid w:val="003B4FC5"/>
    <w:rsid w:val="003B555D"/>
    <w:rsid w:val="003B559A"/>
    <w:rsid w:val="003B688F"/>
    <w:rsid w:val="003B6CE5"/>
    <w:rsid w:val="003B6FB8"/>
    <w:rsid w:val="003C0C6C"/>
    <w:rsid w:val="003C1768"/>
    <w:rsid w:val="003C3F23"/>
    <w:rsid w:val="003C5C6D"/>
    <w:rsid w:val="003C6D33"/>
    <w:rsid w:val="003D0603"/>
    <w:rsid w:val="003D0F4D"/>
    <w:rsid w:val="003D1B76"/>
    <w:rsid w:val="003D300F"/>
    <w:rsid w:val="003D4CD1"/>
    <w:rsid w:val="003D586B"/>
    <w:rsid w:val="003D72F2"/>
    <w:rsid w:val="003E07C3"/>
    <w:rsid w:val="003E2330"/>
    <w:rsid w:val="003E2509"/>
    <w:rsid w:val="003E2AA5"/>
    <w:rsid w:val="003E3885"/>
    <w:rsid w:val="003E4589"/>
    <w:rsid w:val="003E490E"/>
    <w:rsid w:val="003E4F54"/>
    <w:rsid w:val="003E5C68"/>
    <w:rsid w:val="003E7442"/>
    <w:rsid w:val="003E79BC"/>
    <w:rsid w:val="003E7ECD"/>
    <w:rsid w:val="003F053B"/>
    <w:rsid w:val="003F0A67"/>
    <w:rsid w:val="003F2882"/>
    <w:rsid w:val="003F33CD"/>
    <w:rsid w:val="003F3AB9"/>
    <w:rsid w:val="003F3B07"/>
    <w:rsid w:val="003F411A"/>
    <w:rsid w:val="003F4EC5"/>
    <w:rsid w:val="003F562F"/>
    <w:rsid w:val="003F76C3"/>
    <w:rsid w:val="003F7995"/>
    <w:rsid w:val="00401534"/>
    <w:rsid w:val="0040194D"/>
    <w:rsid w:val="004020D7"/>
    <w:rsid w:val="00402848"/>
    <w:rsid w:val="00404C87"/>
    <w:rsid w:val="00406479"/>
    <w:rsid w:val="00406A85"/>
    <w:rsid w:val="00406E4F"/>
    <w:rsid w:val="00410A53"/>
    <w:rsid w:val="004116E9"/>
    <w:rsid w:val="00411C47"/>
    <w:rsid w:val="004122B7"/>
    <w:rsid w:val="00412338"/>
    <w:rsid w:val="004139B6"/>
    <w:rsid w:val="004140C2"/>
    <w:rsid w:val="004164CB"/>
    <w:rsid w:val="00420A44"/>
    <w:rsid w:val="00421805"/>
    <w:rsid w:val="0042228B"/>
    <w:rsid w:val="0042253A"/>
    <w:rsid w:val="0042542D"/>
    <w:rsid w:val="00425E21"/>
    <w:rsid w:val="00430256"/>
    <w:rsid w:val="00430F92"/>
    <w:rsid w:val="004314CB"/>
    <w:rsid w:val="00431D90"/>
    <w:rsid w:val="0043586F"/>
    <w:rsid w:val="00443835"/>
    <w:rsid w:val="00446A22"/>
    <w:rsid w:val="00446C14"/>
    <w:rsid w:val="00446D39"/>
    <w:rsid w:val="00450F0E"/>
    <w:rsid w:val="0045208F"/>
    <w:rsid w:val="00452670"/>
    <w:rsid w:val="0045351E"/>
    <w:rsid w:val="004536E6"/>
    <w:rsid w:val="00455EA8"/>
    <w:rsid w:val="004567E5"/>
    <w:rsid w:val="00457912"/>
    <w:rsid w:val="00457E64"/>
    <w:rsid w:val="00460165"/>
    <w:rsid w:val="004605DE"/>
    <w:rsid w:val="0046134C"/>
    <w:rsid w:val="0046136C"/>
    <w:rsid w:val="0046168E"/>
    <w:rsid w:val="00461BC7"/>
    <w:rsid w:val="004644DA"/>
    <w:rsid w:val="0046637E"/>
    <w:rsid w:val="004702C0"/>
    <w:rsid w:val="00472200"/>
    <w:rsid w:val="004744F2"/>
    <w:rsid w:val="00474F06"/>
    <w:rsid w:val="00476304"/>
    <w:rsid w:val="004772BD"/>
    <w:rsid w:val="004806E5"/>
    <w:rsid w:val="004820B3"/>
    <w:rsid w:val="00483510"/>
    <w:rsid w:val="00484088"/>
    <w:rsid w:val="004850F9"/>
    <w:rsid w:val="00487B3C"/>
    <w:rsid w:val="00487C6E"/>
    <w:rsid w:val="0049014B"/>
    <w:rsid w:val="00490ADB"/>
    <w:rsid w:val="00491954"/>
    <w:rsid w:val="00491DA5"/>
    <w:rsid w:val="00494F2E"/>
    <w:rsid w:val="00495546"/>
    <w:rsid w:val="00496D07"/>
    <w:rsid w:val="004A06A8"/>
    <w:rsid w:val="004A1E3C"/>
    <w:rsid w:val="004A4419"/>
    <w:rsid w:val="004A555F"/>
    <w:rsid w:val="004B0951"/>
    <w:rsid w:val="004B13E2"/>
    <w:rsid w:val="004B190C"/>
    <w:rsid w:val="004B304C"/>
    <w:rsid w:val="004B3673"/>
    <w:rsid w:val="004B59FE"/>
    <w:rsid w:val="004B5C84"/>
    <w:rsid w:val="004B65E6"/>
    <w:rsid w:val="004C1882"/>
    <w:rsid w:val="004C1DCD"/>
    <w:rsid w:val="004C33E8"/>
    <w:rsid w:val="004C3D88"/>
    <w:rsid w:val="004C458F"/>
    <w:rsid w:val="004C6140"/>
    <w:rsid w:val="004C7A5F"/>
    <w:rsid w:val="004D2806"/>
    <w:rsid w:val="004D284B"/>
    <w:rsid w:val="004D523A"/>
    <w:rsid w:val="004D5D26"/>
    <w:rsid w:val="004D6C19"/>
    <w:rsid w:val="004E0B5F"/>
    <w:rsid w:val="004E1187"/>
    <w:rsid w:val="004E1BC6"/>
    <w:rsid w:val="004E361A"/>
    <w:rsid w:val="004E3AD3"/>
    <w:rsid w:val="004E3B32"/>
    <w:rsid w:val="004E42B0"/>
    <w:rsid w:val="004E42E1"/>
    <w:rsid w:val="004E4C78"/>
    <w:rsid w:val="004E7E89"/>
    <w:rsid w:val="004F0981"/>
    <w:rsid w:val="004F2FA9"/>
    <w:rsid w:val="004F45DD"/>
    <w:rsid w:val="004F4FFE"/>
    <w:rsid w:val="004F5DAD"/>
    <w:rsid w:val="0050064A"/>
    <w:rsid w:val="00500690"/>
    <w:rsid w:val="0050101E"/>
    <w:rsid w:val="00501631"/>
    <w:rsid w:val="005019F2"/>
    <w:rsid w:val="005055AB"/>
    <w:rsid w:val="005068F6"/>
    <w:rsid w:val="0050751A"/>
    <w:rsid w:val="00511789"/>
    <w:rsid w:val="00513484"/>
    <w:rsid w:val="005152EF"/>
    <w:rsid w:val="00517763"/>
    <w:rsid w:val="00517961"/>
    <w:rsid w:val="00521EB6"/>
    <w:rsid w:val="00523384"/>
    <w:rsid w:val="005251D3"/>
    <w:rsid w:val="00530889"/>
    <w:rsid w:val="005313D4"/>
    <w:rsid w:val="00531775"/>
    <w:rsid w:val="00532598"/>
    <w:rsid w:val="00533D73"/>
    <w:rsid w:val="00534EB0"/>
    <w:rsid w:val="00535F43"/>
    <w:rsid w:val="00536224"/>
    <w:rsid w:val="00537B35"/>
    <w:rsid w:val="0054373E"/>
    <w:rsid w:val="00545804"/>
    <w:rsid w:val="00545A6E"/>
    <w:rsid w:val="00546157"/>
    <w:rsid w:val="005502FC"/>
    <w:rsid w:val="00550A42"/>
    <w:rsid w:val="00550D28"/>
    <w:rsid w:val="0055272A"/>
    <w:rsid w:val="00552FEF"/>
    <w:rsid w:val="005531AA"/>
    <w:rsid w:val="005534C9"/>
    <w:rsid w:val="005547DD"/>
    <w:rsid w:val="00556C05"/>
    <w:rsid w:val="005607BF"/>
    <w:rsid w:val="00561E1A"/>
    <w:rsid w:val="0056226F"/>
    <w:rsid w:val="00563EA8"/>
    <w:rsid w:val="005659B8"/>
    <w:rsid w:val="0056682C"/>
    <w:rsid w:val="00571672"/>
    <w:rsid w:val="00571D37"/>
    <w:rsid w:val="00571D6D"/>
    <w:rsid w:val="005730BE"/>
    <w:rsid w:val="00573548"/>
    <w:rsid w:val="00573E7C"/>
    <w:rsid w:val="005746E4"/>
    <w:rsid w:val="0057567F"/>
    <w:rsid w:val="00575C55"/>
    <w:rsid w:val="00575EEC"/>
    <w:rsid w:val="00576C74"/>
    <w:rsid w:val="00577286"/>
    <w:rsid w:val="005810FD"/>
    <w:rsid w:val="005811AD"/>
    <w:rsid w:val="00581275"/>
    <w:rsid w:val="00581311"/>
    <w:rsid w:val="00581479"/>
    <w:rsid w:val="0058227F"/>
    <w:rsid w:val="005826B6"/>
    <w:rsid w:val="00582BEA"/>
    <w:rsid w:val="0058381A"/>
    <w:rsid w:val="00583FB3"/>
    <w:rsid w:val="00584246"/>
    <w:rsid w:val="005859DB"/>
    <w:rsid w:val="00586462"/>
    <w:rsid w:val="00587B26"/>
    <w:rsid w:val="00587BE3"/>
    <w:rsid w:val="005906F4"/>
    <w:rsid w:val="00591488"/>
    <w:rsid w:val="00591524"/>
    <w:rsid w:val="00592D8B"/>
    <w:rsid w:val="00594C25"/>
    <w:rsid w:val="005A0F09"/>
    <w:rsid w:val="005A1817"/>
    <w:rsid w:val="005A23B7"/>
    <w:rsid w:val="005A33E1"/>
    <w:rsid w:val="005A40F3"/>
    <w:rsid w:val="005A78E3"/>
    <w:rsid w:val="005B1B63"/>
    <w:rsid w:val="005B32E8"/>
    <w:rsid w:val="005B414B"/>
    <w:rsid w:val="005B483F"/>
    <w:rsid w:val="005B559C"/>
    <w:rsid w:val="005B65BD"/>
    <w:rsid w:val="005B65CB"/>
    <w:rsid w:val="005C1473"/>
    <w:rsid w:val="005C29C1"/>
    <w:rsid w:val="005C35B3"/>
    <w:rsid w:val="005C367C"/>
    <w:rsid w:val="005C3712"/>
    <w:rsid w:val="005C4163"/>
    <w:rsid w:val="005C5877"/>
    <w:rsid w:val="005C5FD3"/>
    <w:rsid w:val="005C6FAE"/>
    <w:rsid w:val="005D299C"/>
    <w:rsid w:val="005D4A09"/>
    <w:rsid w:val="005D5597"/>
    <w:rsid w:val="005D5BCC"/>
    <w:rsid w:val="005E1F8D"/>
    <w:rsid w:val="005E206B"/>
    <w:rsid w:val="005E2F1E"/>
    <w:rsid w:val="005E32AF"/>
    <w:rsid w:val="005E39CE"/>
    <w:rsid w:val="005E4A91"/>
    <w:rsid w:val="005E4BFF"/>
    <w:rsid w:val="005E4DB0"/>
    <w:rsid w:val="005E5074"/>
    <w:rsid w:val="005E5D62"/>
    <w:rsid w:val="005E7EAE"/>
    <w:rsid w:val="005F0DF2"/>
    <w:rsid w:val="005F277B"/>
    <w:rsid w:val="005F3D2F"/>
    <w:rsid w:val="005F5067"/>
    <w:rsid w:val="005F5438"/>
    <w:rsid w:val="005F596C"/>
    <w:rsid w:val="005F694B"/>
    <w:rsid w:val="005F7010"/>
    <w:rsid w:val="005F794B"/>
    <w:rsid w:val="005F7A0F"/>
    <w:rsid w:val="0060056D"/>
    <w:rsid w:val="0060090E"/>
    <w:rsid w:val="0060515D"/>
    <w:rsid w:val="006063B7"/>
    <w:rsid w:val="0060686C"/>
    <w:rsid w:val="006072B0"/>
    <w:rsid w:val="00612C6E"/>
    <w:rsid w:val="006132B7"/>
    <w:rsid w:val="00614272"/>
    <w:rsid w:val="0061627A"/>
    <w:rsid w:val="006162E7"/>
    <w:rsid w:val="00616C8D"/>
    <w:rsid w:val="00617BB2"/>
    <w:rsid w:val="00621777"/>
    <w:rsid w:val="00621E2E"/>
    <w:rsid w:val="006220D5"/>
    <w:rsid w:val="0062585F"/>
    <w:rsid w:val="0062603F"/>
    <w:rsid w:val="006261D2"/>
    <w:rsid w:val="0062681A"/>
    <w:rsid w:val="006301A8"/>
    <w:rsid w:val="0063155F"/>
    <w:rsid w:val="006316CF"/>
    <w:rsid w:val="006334F5"/>
    <w:rsid w:val="006336F2"/>
    <w:rsid w:val="00634BA1"/>
    <w:rsid w:val="00634F82"/>
    <w:rsid w:val="0063529F"/>
    <w:rsid w:val="006367F7"/>
    <w:rsid w:val="006405DD"/>
    <w:rsid w:val="00640DE9"/>
    <w:rsid w:val="00642546"/>
    <w:rsid w:val="006427E4"/>
    <w:rsid w:val="00642A37"/>
    <w:rsid w:val="006445B9"/>
    <w:rsid w:val="0064527F"/>
    <w:rsid w:val="006452A7"/>
    <w:rsid w:val="006453A4"/>
    <w:rsid w:val="00646EA3"/>
    <w:rsid w:val="00647147"/>
    <w:rsid w:val="006473FA"/>
    <w:rsid w:val="00647C7C"/>
    <w:rsid w:val="006501FA"/>
    <w:rsid w:val="00652ED7"/>
    <w:rsid w:val="00653566"/>
    <w:rsid w:val="0065357C"/>
    <w:rsid w:val="00654209"/>
    <w:rsid w:val="0065449B"/>
    <w:rsid w:val="00655506"/>
    <w:rsid w:val="00660760"/>
    <w:rsid w:val="006607D3"/>
    <w:rsid w:val="00663A45"/>
    <w:rsid w:val="00667CDB"/>
    <w:rsid w:val="006700B1"/>
    <w:rsid w:val="006711EC"/>
    <w:rsid w:val="00672EBC"/>
    <w:rsid w:val="00674CC7"/>
    <w:rsid w:val="00674D17"/>
    <w:rsid w:val="006755AC"/>
    <w:rsid w:val="00677E20"/>
    <w:rsid w:val="00680AD3"/>
    <w:rsid w:val="00681DD7"/>
    <w:rsid w:val="00682473"/>
    <w:rsid w:val="0068270E"/>
    <w:rsid w:val="006853FB"/>
    <w:rsid w:val="00685E30"/>
    <w:rsid w:val="006860F5"/>
    <w:rsid w:val="00686AFD"/>
    <w:rsid w:val="00687228"/>
    <w:rsid w:val="00691BC8"/>
    <w:rsid w:val="00692154"/>
    <w:rsid w:val="00696550"/>
    <w:rsid w:val="006A1BF0"/>
    <w:rsid w:val="006A2C92"/>
    <w:rsid w:val="006A2CAA"/>
    <w:rsid w:val="006A42D5"/>
    <w:rsid w:val="006A4BE4"/>
    <w:rsid w:val="006B005C"/>
    <w:rsid w:val="006B0E48"/>
    <w:rsid w:val="006B1E85"/>
    <w:rsid w:val="006B3FB3"/>
    <w:rsid w:val="006B4819"/>
    <w:rsid w:val="006B4A92"/>
    <w:rsid w:val="006B63C4"/>
    <w:rsid w:val="006B6622"/>
    <w:rsid w:val="006C05A3"/>
    <w:rsid w:val="006C2457"/>
    <w:rsid w:val="006C2D92"/>
    <w:rsid w:val="006C2F2F"/>
    <w:rsid w:val="006C576B"/>
    <w:rsid w:val="006C6AED"/>
    <w:rsid w:val="006D08DC"/>
    <w:rsid w:val="006D37B0"/>
    <w:rsid w:val="006D5D48"/>
    <w:rsid w:val="006E0CCA"/>
    <w:rsid w:val="006E479B"/>
    <w:rsid w:val="006E50B9"/>
    <w:rsid w:val="006E6040"/>
    <w:rsid w:val="006E6749"/>
    <w:rsid w:val="006F0E82"/>
    <w:rsid w:val="006F10CC"/>
    <w:rsid w:val="006F1799"/>
    <w:rsid w:val="006F2D85"/>
    <w:rsid w:val="006F323A"/>
    <w:rsid w:val="006F4CF6"/>
    <w:rsid w:val="006F6E41"/>
    <w:rsid w:val="00700B20"/>
    <w:rsid w:val="00704B85"/>
    <w:rsid w:val="007067C4"/>
    <w:rsid w:val="00706E3A"/>
    <w:rsid w:val="00707031"/>
    <w:rsid w:val="00707E66"/>
    <w:rsid w:val="00711139"/>
    <w:rsid w:val="00711D79"/>
    <w:rsid w:val="007143B3"/>
    <w:rsid w:val="007164BA"/>
    <w:rsid w:val="00716F30"/>
    <w:rsid w:val="00717380"/>
    <w:rsid w:val="00720373"/>
    <w:rsid w:val="0072050C"/>
    <w:rsid w:val="00720CD5"/>
    <w:rsid w:val="00720FF9"/>
    <w:rsid w:val="007211DE"/>
    <w:rsid w:val="00723D67"/>
    <w:rsid w:val="00724FDA"/>
    <w:rsid w:val="0072501A"/>
    <w:rsid w:val="00725162"/>
    <w:rsid w:val="00726D20"/>
    <w:rsid w:val="007327FB"/>
    <w:rsid w:val="00734CF8"/>
    <w:rsid w:val="00736203"/>
    <w:rsid w:val="0073653F"/>
    <w:rsid w:val="00736B42"/>
    <w:rsid w:val="00736EF5"/>
    <w:rsid w:val="007409E1"/>
    <w:rsid w:val="00740BDA"/>
    <w:rsid w:val="0074129F"/>
    <w:rsid w:val="0074224D"/>
    <w:rsid w:val="00742551"/>
    <w:rsid w:val="007436D2"/>
    <w:rsid w:val="00743F35"/>
    <w:rsid w:val="007444F5"/>
    <w:rsid w:val="00744E0C"/>
    <w:rsid w:val="00745A17"/>
    <w:rsid w:val="00746072"/>
    <w:rsid w:val="00747E46"/>
    <w:rsid w:val="00752A63"/>
    <w:rsid w:val="0075343B"/>
    <w:rsid w:val="00753D56"/>
    <w:rsid w:val="00754C8B"/>
    <w:rsid w:val="007578AC"/>
    <w:rsid w:val="00760250"/>
    <w:rsid w:val="0076033C"/>
    <w:rsid w:val="00760BC0"/>
    <w:rsid w:val="0076143F"/>
    <w:rsid w:val="00761DF4"/>
    <w:rsid w:val="00762330"/>
    <w:rsid w:val="007634DF"/>
    <w:rsid w:val="007642DE"/>
    <w:rsid w:val="00764EC9"/>
    <w:rsid w:val="00765A1E"/>
    <w:rsid w:val="0076643D"/>
    <w:rsid w:val="00766BB8"/>
    <w:rsid w:val="00767302"/>
    <w:rsid w:val="00772106"/>
    <w:rsid w:val="007736BA"/>
    <w:rsid w:val="00773A24"/>
    <w:rsid w:val="0077596B"/>
    <w:rsid w:val="00776133"/>
    <w:rsid w:val="007767D6"/>
    <w:rsid w:val="00777188"/>
    <w:rsid w:val="00781E74"/>
    <w:rsid w:val="007821A8"/>
    <w:rsid w:val="00783145"/>
    <w:rsid w:val="007831E4"/>
    <w:rsid w:val="00784493"/>
    <w:rsid w:val="0078485B"/>
    <w:rsid w:val="00785191"/>
    <w:rsid w:val="00791008"/>
    <w:rsid w:val="007933FA"/>
    <w:rsid w:val="00794F8F"/>
    <w:rsid w:val="0079558C"/>
    <w:rsid w:val="00795DC5"/>
    <w:rsid w:val="00797E78"/>
    <w:rsid w:val="007A0D33"/>
    <w:rsid w:val="007A26AF"/>
    <w:rsid w:val="007A27CB"/>
    <w:rsid w:val="007A709F"/>
    <w:rsid w:val="007A7FFC"/>
    <w:rsid w:val="007B10CD"/>
    <w:rsid w:val="007B16AA"/>
    <w:rsid w:val="007B28B1"/>
    <w:rsid w:val="007B294C"/>
    <w:rsid w:val="007B3939"/>
    <w:rsid w:val="007B4D32"/>
    <w:rsid w:val="007B53F7"/>
    <w:rsid w:val="007B6EA4"/>
    <w:rsid w:val="007B7610"/>
    <w:rsid w:val="007B789F"/>
    <w:rsid w:val="007C0016"/>
    <w:rsid w:val="007C0EA4"/>
    <w:rsid w:val="007C29E6"/>
    <w:rsid w:val="007C3ECA"/>
    <w:rsid w:val="007C402D"/>
    <w:rsid w:val="007C43EC"/>
    <w:rsid w:val="007C5AA0"/>
    <w:rsid w:val="007C64B8"/>
    <w:rsid w:val="007D0C93"/>
    <w:rsid w:val="007D24D5"/>
    <w:rsid w:val="007D357F"/>
    <w:rsid w:val="007D5291"/>
    <w:rsid w:val="007D6557"/>
    <w:rsid w:val="007D662A"/>
    <w:rsid w:val="007D6FCE"/>
    <w:rsid w:val="007D7CE8"/>
    <w:rsid w:val="007E1312"/>
    <w:rsid w:val="007E150A"/>
    <w:rsid w:val="007E2687"/>
    <w:rsid w:val="007E41FC"/>
    <w:rsid w:val="007E4FFB"/>
    <w:rsid w:val="007E5B07"/>
    <w:rsid w:val="007E5C78"/>
    <w:rsid w:val="007F053A"/>
    <w:rsid w:val="007F0AF7"/>
    <w:rsid w:val="007F0B35"/>
    <w:rsid w:val="007F1CF0"/>
    <w:rsid w:val="007F4F98"/>
    <w:rsid w:val="00803953"/>
    <w:rsid w:val="00805D28"/>
    <w:rsid w:val="00806368"/>
    <w:rsid w:val="0080699E"/>
    <w:rsid w:val="008079C9"/>
    <w:rsid w:val="00810B59"/>
    <w:rsid w:val="00811A9E"/>
    <w:rsid w:val="00811C27"/>
    <w:rsid w:val="00814AD1"/>
    <w:rsid w:val="00814D5C"/>
    <w:rsid w:val="0081600C"/>
    <w:rsid w:val="0082177D"/>
    <w:rsid w:val="00821DFC"/>
    <w:rsid w:val="008229DD"/>
    <w:rsid w:val="00822F62"/>
    <w:rsid w:val="00825DC0"/>
    <w:rsid w:val="0083210D"/>
    <w:rsid w:val="00835864"/>
    <w:rsid w:val="00836FA7"/>
    <w:rsid w:val="00837A65"/>
    <w:rsid w:val="00840ED4"/>
    <w:rsid w:val="00840F56"/>
    <w:rsid w:val="00841D7B"/>
    <w:rsid w:val="00841EF4"/>
    <w:rsid w:val="0084319D"/>
    <w:rsid w:val="00843489"/>
    <w:rsid w:val="00845BB8"/>
    <w:rsid w:val="00850317"/>
    <w:rsid w:val="00851B6E"/>
    <w:rsid w:val="00852C19"/>
    <w:rsid w:val="00854121"/>
    <w:rsid w:val="00855F8A"/>
    <w:rsid w:val="00856D09"/>
    <w:rsid w:val="00861B9F"/>
    <w:rsid w:val="00862271"/>
    <w:rsid w:val="00873B63"/>
    <w:rsid w:val="00873BE2"/>
    <w:rsid w:val="00873CE5"/>
    <w:rsid w:val="008743C5"/>
    <w:rsid w:val="00875324"/>
    <w:rsid w:val="00875FCD"/>
    <w:rsid w:val="00876411"/>
    <w:rsid w:val="0087687C"/>
    <w:rsid w:val="0087692C"/>
    <w:rsid w:val="00877B7E"/>
    <w:rsid w:val="0088035B"/>
    <w:rsid w:val="00880B46"/>
    <w:rsid w:val="00881C55"/>
    <w:rsid w:val="008821CA"/>
    <w:rsid w:val="008845BE"/>
    <w:rsid w:val="00887CB2"/>
    <w:rsid w:val="0089005F"/>
    <w:rsid w:val="008903D2"/>
    <w:rsid w:val="0089167B"/>
    <w:rsid w:val="00893EA9"/>
    <w:rsid w:val="00894089"/>
    <w:rsid w:val="00894E06"/>
    <w:rsid w:val="00897A9A"/>
    <w:rsid w:val="008A0A63"/>
    <w:rsid w:val="008A1D5B"/>
    <w:rsid w:val="008A21B3"/>
    <w:rsid w:val="008A2544"/>
    <w:rsid w:val="008A421B"/>
    <w:rsid w:val="008A50AA"/>
    <w:rsid w:val="008A53BA"/>
    <w:rsid w:val="008A6CFE"/>
    <w:rsid w:val="008B1430"/>
    <w:rsid w:val="008B1CFA"/>
    <w:rsid w:val="008B2E00"/>
    <w:rsid w:val="008B3264"/>
    <w:rsid w:val="008B3494"/>
    <w:rsid w:val="008B4237"/>
    <w:rsid w:val="008B53F9"/>
    <w:rsid w:val="008B56B8"/>
    <w:rsid w:val="008B5F15"/>
    <w:rsid w:val="008B60C2"/>
    <w:rsid w:val="008B740C"/>
    <w:rsid w:val="008C2639"/>
    <w:rsid w:val="008C383E"/>
    <w:rsid w:val="008C39A6"/>
    <w:rsid w:val="008C63C9"/>
    <w:rsid w:val="008C6B40"/>
    <w:rsid w:val="008D00EE"/>
    <w:rsid w:val="008D0D86"/>
    <w:rsid w:val="008D10B1"/>
    <w:rsid w:val="008D452B"/>
    <w:rsid w:val="008D5C25"/>
    <w:rsid w:val="008D747F"/>
    <w:rsid w:val="008E1A34"/>
    <w:rsid w:val="008E2114"/>
    <w:rsid w:val="008E24E9"/>
    <w:rsid w:val="008E3775"/>
    <w:rsid w:val="008E3AD5"/>
    <w:rsid w:val="008E3ED7"/>
    <w:rsid w:val="008E6110"/>
    <w:rsid w:val="008F27E6"/>
    <w:rsid w:val="008F2CF2"/>
    <w:rsid w:val="008F3B84"/>
    <w:rsid w:val="0090019D"/>
    <w:rsid w:val="009009F6"/>
    <w:rsid w:val="00901DAB"/>
    <w:rsid w:val="00902BAF"/>
    <w:rsid w:val="0090305C"/>
    <w:rsid w:val="00904414"/>
    <w:rsid w:val="009059F6"/>
    <w:rsid w:val="00907ADA"/>
    <w:rsid w:val="009104D5"/>
    <w:rsid w:val="00920F43"/>
    <w:rsid w:val="00922943"/>
    <w:rsid w:val="00923AB2"/>
    <w:rsid w:val="009246D9"/>
    <w:rsid w:val="009261F4"/>
    <w:rsid w:val="00926829"/>
    <w:rsid w:val="00927862"/>
    <w:rsid w:val="00930D91"/>
    <w:rsid w:val="00932B34"/>
    <w:rsid w:val="00932B62"/>
    <w:rsid w:val="00934433"/>
    <w:rsid w:val="00934713"/>
    <w:rsid w:val="00934F2F"/>
    <w:rsid w:val="009362D4"/>
    <w:rsid w:val="00936810"/>
    <w:rsid w:val="009371A7"/>
    <w:rsid w:val="00937FEB"/>
    <w:rsid w:val="009405DD"/>
    <w:rsid w:val="009407B5"/>
    <w:rsid w:val="00942076"/>
    <w:rsid w:val="00942DDC"/>
    <w:rsid w:val="00944338"/>
    <w:rsid w:val="009447B2"/>
    <w:rsid w:val="00944B2D"/>
    <w:rsid w:val="00944E48"/>
    <w:rsid w:val="009459B9"/>
    <w:rsid w:val="00947F65"/>
    <w:rsid w:val="00950778"/>
    <w:rsid w:val="00952E27"/>
    <w:rsid w:val="00956026"/>
    <w:rsid w:val="00956F6A"/>
    <w:rsid w:val="00960050"/>
    <w:rsid w:val="00960375"/>
    <w:rsid w:val="00961DF6"/>
    <w:rsid w:val="00962CDA"/>
    <w:rsid w:val="00965A73"/>
    <w:rsid w:val="00965C6C"/>
    <w:rsid w:val="00970D7D"/>
    <w:rsid w:val="009721FE"/>
    <w:rsid w:val="00972B2F"/>
    <w:rsid w:val="0097338B"/>
    <w:rsid w:val="009756CF"/>
    <w:rsid w:val="00976AEE"/>
    <w:rsid w:val="00976F3A"/>
    <w:rsid w:val="00977426"/>
    <w:rsid w:val="009774AC"/>
    <w:rsid w:val="009811AF"/>
    <w:rsid w:val="00982E30"/>
    <w:rsid w:val="00987189"/>
    <w:rsid w:val="00990EB2"/>
    <w:rsid w:val="00990FB0"/>
    <w:rsid w:val="009916B6"/>
    <w:rsid w:val="009930F5"/>
    <w:rsid w:val="009958C7"/>
    <w:rsid w:val="009959D3"/>
    <w:rsid w:val="00995F64"/>
    <w:rsid w:val="0099633B"/>
    <w:rsid w:val="009A0577"/>
    <w:rsid w:val="009A0ADF"/>
    <w:rsid w:val="009A14E8"/>
    <w:rsid w:val="009A2F81"/>
    <w:rsid w:val="009A40ED"/>
    <w:rsid w:val="009A4C7A"/>
    <w:rsid w:val="009A711A"/>
    <w:rsid w:val="009B0191"/>
    <w:rsid w:val="009B22D0"/>
    <w:rsid w:val="009B6236"/>
    <w:rsid w:val="009B75D2"/>
    <w:rsid w:val="009C2EFD"/>
    <w:rsid w:val="009C344E"/>
    <w:rsid w:val="009C3B42"/>
    <w:rsid w:val="009C4617"/>
    <w:rsid w:val="009C5267"/>
    <w:rsid w:val="009D0B8B"/>
    <w:rsid w:val="009D4298"/>
    <w:rsid w:val="009D4B67"/>
    <w:rsid w:val="009D4D38"/>
    <w:rsid w:val="009D521C"/>
    <w:rsid w:val="009D5D55"/>
    <w:rsid w:val="009D624E"/>
    <w:rsid w:val="009D677E"/>
    <w:rsid w:val="009E08AF"/>
    <w:rsid w:val="009E2731"/>
    <w:rsid w:val="009E3EB6"/>
    <w:rsid w:val="009E4098"/>
    <w:rsid w:val="009E50BF"/>
    <w:rsid w:val="009E59C9"/>
    <w:rsid w:val="009E682F"/>
    <w:rsid w:val="009E684D"/>
    <w:rsid w:val="009F215A"/>
    <w:rsid w:val="009F2C57"/>
    <w:rsid w:val="009F4AB2"/>
    <w:rsid w:val="009F525A"/>
    <w:rsid w:val="00A009BC"/>
    <w:rsid w:val="00A01497"/>
    <w:rsid w:val="00A018A4"/>
    <w:rsid w:val="00A0331B"/>
    <w:rsid w:val="00A04B3F"/>
    <w:rsid w:val="00A116E8"/>
    <w:rsid w:val="00A14EE9"/>
    <w:rsid w:val="00A16286"/>
    <w:rsid w:val="00A20211"/>
    <w:rsid w:val="00A20A50"/>
    <w:rsid w:val="00A231BD"/>
    <w:rsid w:val="00A2355A"/>
    <w:rsid w:val="00A266BC"/>
    <w:rsid w:val="00A2685F"/>
    <w:rsid w:val="00A26DFE"/>
    <w:rsid w:val="00A26EF3"/>
    <w:rsid w:val="00A3098D"/>
    <w:rsid w:val="00A31252"/>
    <w:rsid w:val="00A323AC"/>
    <w:rsid w:val="00A32CB4"/>
    <w:rsid w:val="00A34098"/>
    <w:rsid w:val="00A34274"/>
    <w:rsid w:val="00A346F4"/>
    <w:rsid w:val="00A34808"/>
    <w:rsid w:val="00A34DE7"/>
    <w:rsid w:val="00A35B0B"/>
    <w:rsid w:val="00A36404"/>
    <w:rsid w:val="00A36DE8"/>
    <w:rsid w:val="00A37CA9"/>
    <w:rsid w:val="00A4171A"/>
    <w:rsid w:val="00A42337"/>
    <w:rsid w:val="00A42FC0"/>
    <w:rsid w:val="00A43811"/>
    <w:rsid w:val="00A449A5"/>
    <w:rsid w:val="00A44A39"/>
    <w:rsid w:val="00A457F6"/>
    <w:rsid w:val="00A470E4"/>
    <w:rsid w:val="00A53452"/>
    <w:rsid w:val="00A54CE9"/>
    <w:rsid w:val="00A54D87"/>
    <w:rsid w:val="00A54F48"/>
    <w:rsid w:val="00A56586"/>
    <w:rsid w:val="00A60B4F"/>
    <w:rsid w:val="00A61C3D"/>
    <w:rsid w:val="00A61E19"/>
    <w:rsid w:val="00A65F2B"/>
    <w:rsid w:val="00A665C2"/>
    <w:rsid w:val="00A728F8"/>
    <w:rsid w:val="00A75CF8"/>
    <w:rsid w:val="00A809AB"/>
    <w:rsid w:val="00A80AEF"/>
    <w:rsid w:val="00A85DD9"/>
    <w:rsid w:val="00A877D1"/>
    <w:rsid w:val="00A90093"/>
    <w:rsid w:val="00A90235"/>
    <w:rsid w:val="00A914B4"/>
    <w:rsid w:val="00A91B57"/>
    <w:rsid w:val="00A9229F"/>
    <w:rsid w:val="00A939B0"/>
    <w:rsid w:val="00A943E3"/>
    <w:rsid w:val="00A958AC"/>
    <w:rsid w:val="00A973AE"/>
    <w:rsid w:val="00AA01B8"/>
    <w:rsid w:val="00AA2CCC"/>
    <w:rsid w:val="00AA767A"/>
    <w:rsid w:val="00AA76BF"/>
    <w:rsid w:val="00AB0CF5"/>
    <w:rsid w:val="00AB28F2"/>
    <w:rsid w:val="00AB29CE"/>
    <w:rsid w:val="00AB34E7"/>
    <w:rsid w:val="00AB49BB"/>
    <w:rsid w:val="00AB51B1"/>
    <w:rsid w:val="00AB5992"/>
    <w:rsid w:val="00AB5F2A"/>
    <w:rsid w:val="00AB7872"/>
    <w:rsid w:val="00AC0DBF"/>
    <w:rsid w:val="00AC1AEE"/>
    <w:rsid w:val="00AC2856"/>
    <w:rsid w:val="00AC480B"/>
    <w:rsid w:val="00AC6039"/>
    <w:rsid w:val="00AD1752"/>
    <w:rsid w:val="00AD1CAE"/>
    <w:rsid w:val="00AD4666"/>
    <w:rsid w:val="00AD539B"/>
    <w:rsid w:val="00AE0A90"/>
    <w:rsid w:val="00AE20C0"/>
    <w:rsid w:val="00AE241F"/>
    <w:rsid w:val="00AE2637"/>
    <w:rsid w:val="00AE2F78"/>
    <w:rsid w:val="00AE3029"/>
    <w:rsid w:val="00AE41CF"/>
    <w:rsid w:val="00AE6183"/>
    <w:rsid w:val="00AF23A6"/>
    <w:rsid w:val="00AF27DB"/>
    <w:rsid w:val="00AF3445"/>
    <w:rsid w:val="00AF3B01"/>
    <w:rsid w:val="00AF41EA"/>
    <w:rsid w:val="00AF6CA4"/>
    <w:rsid w:val="00AF6DCA"/>
    <w:rsid w:val="00AF6E68"/>
    <w:rsid w:val="00AF720A"/>
    <w:rsid w:val="00AF7931"/>
    <w:rsid w:val="00B00BB5"/>
    <w:rsid w:val="00B013B2"/>
    <w:rsid w:val="00B036B5"/>
    <w:rsid w:val="00B04851"/>
    <w:rsid w:val="00B0580F"/>
    <w:rsid w:val="00B058C5"/>
    <w:rsid w:val="00B062E4"/>
    <w:rsid w:val="00B10C63"/>
    <w:rsid w:val="00B10E1D"/>
    <w:rsid w:val="00B10F9F"/>
    <w:rsid w:val="00B113A7"/>
    <w:rsid w:val="00B11E95"/>
    <w:rsid w:val="00B11EF4"/>
    <w:rsid w:val="00B14C29"/>
    <w:rsid w:val="00B17112"/>
    <w:rsid w:val="00B1743D"/>
    <w:rsid w:val="00B21285"/>
    <w:rsid w:val="00B23DDF"/>
    <w:rsid w:val="00B24342"/>
    <w:rsid w:val="00B253EB"/>
    <w:rsid w:val="00B25411"/>
    <w:rsid w:val="00B26701"/>
    <w:rsid w:val="00B30186"/>
    <w:rsid w:val="00B3354A"/>
    <w:rsid w:val="00B344FA"/>
    <w:rsid w:val="00B34F4F"/>
    <w:rsid w:val="00B352EC"/>
    <w:rsid w:val="00B3591D"/>
    <w:rsid w:val="00B36B09"/>
    <w:rsid w:val="00B3710E"/>
    <w:rsid w:val="00B421E3"/>
    <w:rsid w:val="00B428A4"/>
    <w:rsid w:val="00B435B7"/>
    <w:rsid w:val="00B43925"/>
    <w:rsid w:val="00B44A56"/>
    <w:rsid w:val="00B45670"/>
    <w:rsid w:val="00B461EC"/>
    <w:rsid w:val="00B52FD8"/>
    <w:rsid w:val="00B5455A"/>
    <w:rsid w:val="00B57561"/>
    <w:rsid w:val="00B613DC"/>
    <w:rsid w:val="00B62F83"/>
    <w:rsid w:val="00B63557"/>
    <w:rsid w:val="00B63F1B"/>
    <w:rsid w:val="00B66288"/>
    <w:rsid w:val="00B66A3F"/>
    <w:rsid w:val="00B67433"/>
    <w:rsid w:val="00B67A64"/>
    <w:rsid w:val="00B707FE"/>
    <w:rsid w:val="00B708FF"/>
    <w:rsid w:val="00B72994"/>
    <w:rsid w:val="00B729AD"/>
    <w:rsid w:val="00B73B34"/>
    <w:rsid w:val="00B751FB"/>
    <w:rsid w:val="00B75B13"/>
    <w:rsid w:val="00B7744D"/>
    <w:rsid w:val="00B80179"/>
    <w:rsid w:val="00B80A1C"/>
    <w:rsid w:val="00B83456"/>
    <w:rsid w:val="00B846B5"/>
    <w:rsid w:val="00B84F07"/>
    <w:rsid w:val="00B85193"/>
    <w:rsid w:val="00B85EDE"/>
    <w:rsid w:val="00B86233"/>
    <w:rsid w:val="00B86C00"/>
    <w:rsid w:val="00B876DC"/>
    <w:rsid w:val="00B87C14"/>
    <w:rsid w:val="00B905F4"/>
    <w:rsid w:val="00B94462"/>
    <w:rsid w:val="00B94595"/>
    <w:rsid w:val="00B9628A"/>
    <w:rsid w:val="00B96858"/>
    <w:rsid w:val="00B9756C"/>
    <w:rsid w:val="00B976B6"/>
    <w:rsid w:val="00BA0ACB"/>
    <w:rsid w:val="00BA281B"/>
    <w:rsid w:val="00BA46F0"/>
    <w:rsid w:val="00BA7130"/>
    <w:rsid w:val="00BB0ACE"/>
    <w:rsid w:val="00BB21C2"/>
    <w:rsid w:val="00BB298C"/>
    <w:rsid w:val="00BB3FDE"/>
    <w:rsid w:val="00BB41B3"/>
    <w:rsid w:val="00BB4B92"/>
    <w:rsid w:val="00BB5D6B"/>
    <w:rsid w:val="00BC48F6"/>
    <w:rsid w:val="00BC51A4"/>
    <w:rsid w:val="00BC55A6"/>
    <w:rsid w:val="00BC78E0"/>
    <w:rsid w:val="00BC798C"/>
    <w:rsid w:val="00BC7FAB"/>
    <w:rsid w:val="00BD31DC"/>
    <w:rsid w:val="00BD3789"/>
    <w:rsid w:val="00BD55E7"/>
    <w:rsid w:val="00BD5A70"/>
    <w:rsid w:val="00BD6669"/>
    <w:rsid w:val="00BD7075"/>
    <w:rsid w:val="00BD7288"/>
    <w:rsid w:val="00BE2C44"/>
    <w:rsid w:val="00BE4CD2"/>
    <w:rsid w:val="00BE5C4A"/>
    <w:rsid w:val="00BE71DE"/>
    <w:rsid w:val="00BF1423"/>
    <w:rsid w:val="00BF488C"/>
    <w:rsid w:val="00BF5A2C"/>
    <w:rsid w:val="00BF5CAB"/>
    <w:rsid w:val="00BF7C18"/>
    <w:rsid w:val="00C01093"/>
    <w:rsid w:val="00C03501"/>
    <w:rsid w:val="00C03F51"/>
    <w:rsid w:val="00C05706"/>
    <w:rsid w:val="00C07CED"/>
    <w:rsid w:val="00C13CDB"/>
    <w:rsid w:val="00C17CA6"/>
    <w:rsid w:val="00C2022F"/>
    <w:rsid w:val="00C22027"/>
    <w:rsid w:val="00C2575A"/>
    <w:rsid w:val="00C25A3E"/>
    <w:rsid w:val="00C25B84"/>
    <w:rsid w:val="00C26430"/>
    <w:rsid w:val="00C269CD"/>
    <w:rsid w:val="00C27033"/>
    <w:rsid w:val="00C30333"/>
    <w:rsid w:val="00C30AD0"/>
    <w:rsid w:val="00C3544B"/>
    <w:rsid w:val="00C35BBD"/>
    <w:rsid w:val="00C40E51"/>
    <w:rsid w:val="00C41513"/>
    <w:rsid w:val="00C41B12"/>
    <w:rsid w:val="00C42559"/>
    <w:rsid w:val="00C43E6A"/>
    <w:rsid w:val="00C46D5A"/>
    <w:rsid w:val="00C46E5F"/>
    <w:rsid w:val="00C51C49"/>
    <w:rsid w:val="00C53C2E"/>
    <w:rsid w:val="00C55776"/>
    <w:rsid w:val="00C56FBB"/>
    <w:rsid w:val="00C57DA9"/>
    <w:rsid w:val="00C61DB5"/>
    <w:rsid w:val="00C62536"/>
    <w:rsid w:val="00C62D37"/>
    <w:rsid w:val="00C6531B"/>
    <w:rsid w:val="00C65ABD"/>
    <w:rsid w:val="00C65D6F"/>
    <w:rsid w:val="00C707CD"/>
    <w:rsid w:val="00C71070"/>
    <w:rsid w:val="00C720C1"/>
    <w:rsid w:val="00C72527"/>
    <w:rsid w:val="00C75A70"/>
    <w:rsid w:val="00C767EE"/>
    <w:rsid w:val="00C76C44"/>
    <w:rsid w:val="00C81D28"/>
    <w:rsid w:val="00C83BA6"/>
    <w:rsid w:val="00C84A9B"/>
    <w:rsid w:val="00C85A94"/>
    <w:rsid w:val="00C919E3"/>
    <w:rsid w:val="00C93ACB"/>
    <w:rsid w:val="00C95E8E"/>
    <w:rsid w:val="00C96FB7"/>
    <w:rsid w:val="00C97369"/>
    <w:rsid w:val="00C97BE2"/>
    <w:rsid w:val="00CA0149"/>
    <w:rsid w:val="00CA1388"/>
    <w:rsid w:val="00CA1A81"/>
    <w:rsid w:val="00CA3077"/>
    <w:rsid w:val="00CA36DA"/>
    <w:rsid w:val="00CA5935"/>
    <w:rsid w:val="00CA6140"/>
    <w:rsid w:val="00CA7158"/>
    <w:rsid w:val="00CA722C"/>
    <w:rsid w:val="00CA7FF5"/>
    <w:rsid w:val="00CB1468"/>
    <w:rsid w:val="00CB4171"/>
    <w:rsid w:val="00CB4DD3"/>
    <w:rsid w:val="00CB66E5"/>
    <w:rsid w:val="00CB7441"/>
    <w:rsid w:val="00CC00FF"/>
    <w:rsid w:val="00CC015C"/>
    <w:rsid w:val="00CC028D"/>
    <w:rsid w:val="00CC0585"/>
    <w:rsid w:val="00CC0CFF"/>
    <w:rsid w:val="00CC4780"/>
    <w:rsid w:val="00CC4EF2"/>
    <w:rsid w:val="00CC6914"/>
    <w:rsid w:val="00CC6A9C"/>
    <w:rsid w:val="00CD0369"/>
    <w:rsid w:val="00CD114E"/>
    <w:rsid w:val="00CD13EC"/>
    <w:rsid w:val="00CD5154"/>
    <w:rsid w:val="00CD5487"/>
    <w:rsid w:val="00CD5EA3"/>
    <w:rsid w:val="00CD6BAD"/>
    <w:rsid w:val="00CE11DB"/>
    <w:rsid w:val="00CE12D2"/>
    <w:rsid w:val="00CE2265"/>
    <w:rsid w:val="00CE31EB"/>
    <w:rsid w:val="00CE3786"/>
    <w:rsid w:val="00CE4120"/>
    <w:rsid w:val="00CF26DA"/>
    <w:rsid w:val="00CF39A2"/>
    <w:rsid w:val="00CF44B0"/>
    <w:rsid w:val="00CF6CBF"/>
    <w:rsid w:val="00CF7469"/>
    <w:rsid w:val="00D0081F"/>
    <w:rsid w:val="00D01E15"/>
    <w:rsid w:val="00D0204C"/>
    <w:rsid w:val="00D02CBF"/>
    <w:rsid w:val="00D049E5"/>
    <w:rsid w:val="00D05D9F"/>
    <w:rsid w:val="00D10CE3"/>
    <w:rsid w:val="00D11483"/>
    <w:rsid w:val="00D11E56"/>
    <w:rsid w:val="00D146C7"/>
    <w:rsid w:val="00D22026"/>
    <w:rsid w:val="00D2232F"/>
    <w:rsid w:val="00D23884"/>
    <w:rsid w:val="00D2404F"/>
    <w:rsid w:val="00D254CB"/>
    <w:rsid w:val="00D25953"/>
    <w:rsid w:val="00D2754D"/>
    <w:rsid w:val="00D31B3B"/>
    <w:rsid w:val="00D31CC6"/>
    <w:rsid w:val="00D328A1"/>
    <w:rsid w:val="00D32911"/>
    <w:rsid w:val="00D32F4E"/>
    <w:rsid w:val="00D336ED"/>
    <w:rsid w:val="00D3375D"/>
    <w:rsid w:val="00D33861"/>
    <w:rsid w:val="00D34174"/>
    <w:rsid w:val="00D34CB5"/>
    <w:rsid w:val="00D37119"/>
    <w:rsid w:val="00D37EC2"/>
    <w:rsid w:val="00D41FCC"/>
    <w:rsid w:val="00D430EA"/>
    <w:rsid w:val="00D442E9"/>
    <w:rsid w:val="00D4518C"/>
    <w:rsid w:val="00D46617"/>
    <w:rsid w:val="00D500EC"/>
    <w:rsid w:val="00D5026D"/>
    <w:rsid w:val="00D56453"/>
    <w:rsid w:val="00D57929"/>
    <w:rsid w:val="00D57DA2"/>
    <w:rsid w:val="00D60A28"/>
    <w:rsid w:val="00D6423B"/>
    <w:rsid w:val="00D64E98"/>
    <w:rsid w:val="00D65AC9"/>
    <w:rsid w:val="00D65B50"/>
    <w:rsid w:val="00D66C4C"/>
    <w:rsid w:val="00D674F4"/>
    <w:rsid w:val="00D70C6B"/>
    <w:rsid w:val="00D7232D"/>
    <w:rsid w:val="00D72513"/>
    <w:rsid w:val="00D72F97"/>
    <w:rsid w:val="00D73009"/>
    <w:rsid w:val="00D7499B"/>
    <w:rsid w:val="00D7575F"/>
    <w:rsid w:val="00D76C2B"/>
    <w:rsid w:val="00D77866"/>
    <w:rsid w:val="00D8058D"/>
    <w:rsid w:val="00D81094"/>
    <w:rsid w:val="00D8192B"/>
    <w:rsid w:val="00D824FC"/>
    <w:rsid w:val="00D830D7"/>
    <w:rsid w:val="00D832C7"/>
    <w:rsid w:val="00D857D6"/>
    <w:rsid w:val="00D86C8B"/>
    <w:rsid w:val="00D873E1"/>
    <w:rsid w:val="00D925AE"/>
    <w:rsid w:val="00D944D2"/>
    <w:rsid w:val="00D95489"/>
    <w:rsid w:val="00D97473"/>
    <w:rsid w:val="00DA0A06"/>
    <w:rsid w:val="00DA124F"/>
    <w:rsid w:val="00DA3AA4"/>
    <w:rsid w:val="00DA4889"/>
    <w:rsid w:val="00DB084F"/>
    <w:rsid w:val="00DB1963"/>
    <w:rsid w:val="00DB2170"/>
    <w:rsid w:val="00DB336B"/>
    <w:rsid w:val="00DB3BD4"/>
    <w:rsid w:val="00DB614C"/>
    <w:rsid w:val="00DC26BA"/>
    <w:rsid w:val="00DC35BA"/>
    <w:rsid w:val="00DC3C1E"/>
    <w:rsid w:val="00DC5809"/>
    <w:rsid w:val="00DC5B49"/>
    <w:rsid w:val="00DC6462"/>
    <w:rsid w:val="00DC719C"/>
    <w:rsid w:val="00DC73D8"/>
    <w:rsid w:val="00DD0452"/>
    <w:rsid w:val="00DD061A"/>
    <w:rsid w:val="00DD1824"/>
    <w:rsid w:val="00DD239E"/>
    <w:rsid w:val="00DD2403"/>
    <w:rsid w:val="00DD2D56"/>
    <w:rsid w:val="00DD42BC"/>
    <w:rsid w:val="00DD522B"/>
    <w:rsid w:val="00DD5ADC"/>
    <w:rsid w:val="00DE04BF"/>
    <w:rsid w:val="00DE08AD"/>
    <w:rsid w:val="00DE4E0B"/>
    <w:rsid w:val="00DE7AA2"/>
    <w:rsid w:val="00DF24CF"/>
    <w:rsid w:val="00DF390F"/>
    <w:rsid w:val="00DF429C"/>
    <w:rsid w:val="00DF5205"/>
    <w:rsid w:val="00DF690F"/>
    <w:rsid w:val="00E01E84"/>
    <w:rsid w:val="00E038EC"/>
    <w:rsid w:val="00E06EA1"/>
    <w:rsid w:val="00E07FA9"/>
    <w:rsid w:val="00E1015C"/>
    <w:rsid w:val="00E10C17"/>
    <w:rsid w:val="00E10F86"/>
    <w:rsid w:val="00E113D0"/>
    <w:rsid w:val="00E14553"/>
    <w:rsid w:val="00E14C09"/>
    <w:rsid w:val="00E169E9"/>
    <w:rsid w:val="00E17854"/>
    <w:rsid w:val="00E17A9A"/>
    <w:rsid w:val="00E211E7"/>
    <w:rsid w:val="00E223A9"/>
    <w:rsid w:val="00E230F2"/>
    <w:rsid w:val="00E245D6"/>
    <w:rsid w:val="00E24669"/>
    <w:rsid w:val="00E257EB"/>
    <w:rsid w:val="00E25A54"/>
    <w:rsid w:val="00E275B5"/>
    <w:rsid w:val="00E307DB"/>
    <w:rsid w:val="00E3249A"/>
    <w:rsid w:val="00E32621"/>
    <w:rsid w:val="00E33A35"/>
    <w:rsid w:val="00E342D8"/>
    <w:rsid w:val="00E36601"/>
    <w:rsid w:val="00E373C2"/>
    <w:rsid w:val="00E40F3B"/>
    <w:rsid w:val="00E410C8"/>
    <w:rsid w:val="00E43018"/>
    <w:rsid w:val="00E45C2B"/>
    <w:rsid w:val="00E45EF9"/>
    <w:rsid w:val="00E46D44"/>
    <w:rsid w:val="00E4768F"/>
    <w:rsid w:val="00E50A94"/>
    <w:rsid w:val="00E5109F"/>
    <w:rsid w:val="00E51459"/>
    <w:rsid w:val="00E52917"/>
    <w:rsid w:val="00E53893"/>
    <w:rsid w:val="00E546F7"/>
    <w:rsid w:val="00E54BEE"/>
    <w:rsid w:val="00E5611D"/>
    <w:rsid w:val="00E56EDF"/>
    <w:rsid w:val="00E57250"/>
    <w:rsid w:val="00E5769C"/>
    <w:rsid w:val="00E57EAD"/>
    <w:rsid w:val="00E6158B"/>
    <w:rsid w:val="00E64542"/>
    <w:rsid w:val="00E65541"/>
    <w:rsid w:val="00E67112"/>
    <w:rsid w:val="00E70152"/>
    <w:rsid w:val="00E726C0"/>
    <w:rsid w:val="00E7284A"/>
    <w:rsid w:val="00E72D2E"/>
    <w:rsid w:val="00E73857"/>
    <w:rsid w:val="00E77DE1"/>
    <w:rsid w:val="00E8055B"/>
    <w:rsid w:val="00E821A4"/>
    <w:rsid w:val="00E8365B"/>
    <w:rsid w:val="00E86E56"/>
    <w:rsid w:val="00E901B1"/>
    <w:rsid w:val="00E90FB4"/>
    <w:rsid w:val="00E91407"/>
    <w:rsid w:val="00E91965"/>
    <w:rsid w:val="00E9465C"/>
    <w:rsid w:val="00E96059"/>
    <w:rsid w:val="00E96B91"/>
    <w:rsid w:val="00E97906"/>
    <w:rsid w:val="00EA0719"/>
    <w:rsid w:val="00EA072D"/>
    <w:rsid w:val="00EA1254"/>
    <w:rsid w:val="00EA185A"/>
    <w:rsid w:val="00EA240B"/>
    <w:rsid w:val="00EA436E"/>
    <w:rsid w:val="00EA5EF6"/>
    <w:rsid w:val="00EA74B7"/>
    <w:rsid w:val="00EA7ACF"/>
    <w:rsid w:val="00EB07D3"/>
    <w:rsid w:val="00EB0A77"/>
    <w:rsid w:val="00EB368E"/>
    <w:rsid w:val="00EB429A"/>
    <w:rsid w:val="00EB6472"/>
    <w:rsid w:val="00EB64BA"/>
    <w:rsid w:val="00EB6F18"/>
    <w:rsid w:val="00EB7343"/>
    <w:rsid w:val="00EC00EF"/>
    <w:rsid w:val="00EC042D"/>
    <w:rsid w:val="00EC2CAF"/>
    <w:rsid w:val="00EC4E78"/>
    <w:rsid w:val="00EC5262"/>
    <w:rsid w:val="00EC74ED"/>
    <w:rsid w:val="00ED06E6"/>
    <w:rsid w:val="00ED14C9"/>
    <w:rsid w:val="00ED15DA"/>
    <w:rsid w:val="00ED2384"/>
    <w:rsid w:val="00ED23EE"/>
    <w:rsid w:val="00ED3187"/>
    <w:rsid w:val="00ED45EC"/>
    <w:rsid w:val="00ED4AEC"/>
    <w:rsid w:val="00ED5E75"/>
    <w:rsid w:val="00ED7B43"/>
    <w:rsid w:val="00ED7D03"/>
    <w:rsid w:val="00EE0CE2"/>
    <w:rsid w:val="00EE0F43"/>
    <w:rsid w:val="00EE1F50"/>
    <w:rsid w:val="00EE231E"/>
    <w:rsid w:val="00EE23D7"/>
    <w:rsid w:val="00EE2A3E"/>
    <w:rsid w:val="00EE39A1"/>
    <w:rsid w:val="00EE422B"/>
    <w:rsid w:val="00EE4B8F"/>
    <w:rsid w:val="00EE649D"/>
    <w:rsid w:val="00EE78C3"/>
    <w:rsid w:val="00EF2DD3"/>
    <w:rsid w:val="00EF3227"/>
    <w:rsid w:val="00EF498D"/>
    <w:rsid w:val="00EF4BB4"/>
    <w:rsid w:val="00EF6269"/>
    <w:rsid w:val="00EF7300"/>
    <w:rsid w:val="00EF78E2"/>
    <w:rsid w:val="00F005E2"/>
    <w:rsid w:val="00F0094B"/>
    <w:rsid w:val="00F01204"/>
    <w:rsid w:val="00F0246D"/>
    <w:rsid w:val="00F0678F"/>
    <w:rsid w:val="00F07E7D"/>
    <w:rsid w:val="00F10A48"/>
    <w:rsid w:val="00F10C7F"/>
    <w:rsid w:val="00F132D7"/>
    <w:rsid w:val="00F1453A"/>
    <w:rsid w:val="00F14C00"/>
    <w:rsid w:val="00F15D1A"/>
    <w:rsid w:val="00F23D26"/>
    <w:rsid w:val="00F30E25"/>
    <w:rsid w:val="00F3230B"/>
    <w:rsid w:val="00F346ED"/>
    <w:rsid w:val="00F3665F"/>
    <w:rsid w:val="00F402B8"/>
    <w:rsid w:val="00F42B64"/>
    <w:rsid w:val="00F44A07"/>
    <w:rsid w:val="00F46205"/>
    <w:rsid w:val="00F47098"/>
    <w:rsid w:val="00F4784A"/>
    <w:rsid w:val="00F5050E"/>
    <w:rsid w:val="00F51981"/>
    <w:rsid w:val="00F51BA6"/>
    <w:rsid w:val="00F5245F"/>
    <w:rsid w:val="00F5314E"/>
    <w:rsid w:val="00F54134"/>
    <w:rsid w:val="00F54166"/>
    <w:rsid w:val="00F560F0"/>
    <w:rsid w:val="00F562BF"/>
    <w:rsid w:val="00F56FF3"/>
    <w:rsid w:val="00F60756"/>
    <w:rsid w:val="00F62853"/>
    <w:rsid w:val="00F62871"/>
    <w:rsid w:val="00F63755"/>
    <w:rsid w:val="00F63DE4"/>
    <w:rsid w:val="00F648C7"/>
    <w:rsid w:val="00F64D33"/>
    <w:rsid w:val="00F666E3"/>
    <w:rsid w:val="00F6671D"/>
    <w:rsid w:val="00F669BE"/>
    <w:rsid w:val="00F67FF0"/>
    <w:rsid w:val="00F70538"/>
    <w:rsid w:val="00F71872"/>
    <w:rsid w:val="00F733E0"/>
    <w:rsid w:val="00F7453C"/>
    <w:rsid w:val="00F80748"/>
    <w:rsid w:val="00F8126E"/>
    <w:rsid w:val="00F81FF4"/>
    <w:rsid w:val="00F8271E"/>
    <w:rsid w:val="00F8367F"/>
    <w:rsid w:val="00F8479A"/>
    <w:rsid w:val="00F8529A"/>
    <w:rsid w:val="00F879D7"/>
    <w:rsid w:val="00F900AD"/>
    <w:rsid w:val="00F90D3D"/>
    <w:rsid w:val="00F91788"/>
    <w:rsid w:val="00F91B3D"/>
    <w:rsid w:val="00F92554"/>
    <w:rsid w:val="00F92CE2"/>
    <w:rsid w:val="00F92D03"/>
    <w:rsid w:val="00F978AF"/>
    <w:rsid w:val="00FA17DD"/>
    <w:rsid w:val="00FA21CE"/>
    <w:rsid w:val="00FA2B64"/>
    <w:rsid w:val="00FA3284"/>
    <w:rsid w:val="00FA353F"/>
    <w:rsid w:val="00FA5C1A"/>
    <w:rsid w:val="00FA5C36"/>
    <w:rsid w:val="00FA5DD0"/>
    <w:rsid w:val="00FA71C8"/>
    <w:rsid w:val="00FA728B"/>
    <w:rsid w:val="00FB0EBD"/>
    <w:rsid w:val="00FB1257"/>
    <w:rsid w:val="00FB1E7B"/>
    <w:rsid w:val="00FB55C1"/>
    <w:rsid w:val="00FC3F54"/>
    <w:rsid w:val="00FC4DD6"/>
    <w:rsid w:val="00FC5146"/>
    <w:rsid w:val="00FC60E9"/>
    <w:rsid w:val="00FC69D0"/>
    <w:rsid w:val="00FD1667"/>
    <w:rsid w:val="00FD5D85"/>
    <w:rsid w:val="00FD6E0B"/>
    <w:rsid w:val="00FD7866"/>
    <w:rsid w:val="00FD7B8D"/>
    <w:rsid w:val="00FE2BCE"/>
    <w:rsid w:val="00FE43DB"/>
    <w:rsid w:val="00FE6F2D"/>
    <w:rsid w:val="00FF1C04"/>
    <w:rsid w:val="00FF20CB"/>
    <w:rsid w:val="00FF25B6"/>
    <w:rsid w:val="00FF2A76"/>
    <w:rsid w:val="00FF3051"/>
    <w:rsid w:val="00FF3128"/>
    <w:rsid w:val="00FF3257"/>
    <w:rsid w:val="00FF3C95"/>
    <w:rsid w:val="00FF41E6"/>
    <w:rsid w:val="00FF45F2"/>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4154B"/>
  <w15:docId w15:val="{4A584B96-9F2B-4A85-9F9D-5CDA98A3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36E"/>
    <w:pPr>
      <w:adjustRightInd w:val="0"/>
      <w:snapToGrid w:val="0"/>
      <w:spacing w:afterLines="120" w:after="288" w:line="480" w:lineRule="auto"/>
    </w:pPr>
    <w:rPr>
      <w:rFonts w:ascii="Arial" w:eastAsia="Times New Roman" w:hAnsi="Arial" w:cs="Arial"/>
      <w:bCs/>
      <w:lang w:val="en-GB" w:eastAsia="en-GB"/>
    </w:rPr>
  </w:style>
  <w:style w:type="paragraph" w:styleId="Heading1">
    <w:name w:val="heading 1"/>
    <w:basedOn w:val="Heading2"/>
    <w:next w:val="Normal"/>
    <w:link w:val="Heading1Char"/>
    <w:uiPriority w:val="9"/>
    <w:qFormat/>
    <w:rsid w:val="00EA436E"/>
    <w:pPr>
      <w:jc w:val="center"/>
      <w:outlineLvl w:val="0"/>
    </w:pPr>
    <w:rPr>
      <w:sz w:val="24"/>
    </w:rPr>
  </w:style>
  <w:style w:type="paragraph" w:styleId="Heading2">
    <w:name w:val="heading 2"/>
    <w:basedOn w:val="Normal"/>
    <w:next w:val="Normal"/>
    <w:link w:val="Heading2Char"/>
    <w:uiPriority w:val="9"/>
    <w:unhideWhenUsed/>
    <w:qFormat/>
    <w:rsid w:val="00E901B1"/>
    <w:pPr>
      <w:outlineLvl w:val="1"/>
    </w:pPr>
    <w:rPr>
      <w:b/>
      <w:bCs w:val="0"/>
    </w:rPr>
  </w:style>
  <w:style w:type="paragraph" w:styleId="Heading3">
    <w:name w:val="heading 3"/>
    <w:basedOn w:val="Normal"/>
    <w:next w:val="Normal"/>
    <w:link w:val="Heading3Char"/>
    <w:uiPriority w:val="9"/>
    <w:unhideWhenUsed/>
    <w:qFormat/>
    <w:rsid w:val="00E901B1"/>
    <w:pPr>
      <w:outlineLvl w:val="2"/>
    </w:pPr>
    <w:rPr>
      <w:bCs w:val="0"/>
      <w:u w:val="single"/>
    </w:rPr>
  </w:style>
  <w:style w:type="paragraph" w:styleId="Heading4">
    <w:name w:val="heading 4"/>
    <w:basedOn w:val="Heading3"/>
    <w:next w:val="Normal"/>
    <w:link w:val="Heading4Char"/>
    <w:uiPriority w:val="9"/>
    <w:unhideWhenUsed/>
    <w:qFormat/>
    <w:rsid w:val="00C2575A"/>
    <w:pPr>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DA5"/>
    <w:rPr>
      <w:color w:val="0000FF" w:themeColor="hyperlink"/>
      <w:u w:val="single"/>
    </w:rPr>
  </w:style>
  <w:style w:type="character" w:customStyle="1" w:styleId="apple-converted-space">
    <w:name w:val="apple-converted-space"/>
    <w:basedOn w:val="DefaultParagraphFont"/>
    <w:rsid w:val="00B86233"/>
  </w:style>
  <w:style w:type="paragraph" w:styleId="ListParagraph">
    <w:name w:val="List Paragraph"/>
    <w:basedOn w:val="Normal"/>
    <w:uiPriority w:val="34"/>
    <w:qFormat/>
    <w:rsid w:val="007A709F"/>
    <w:pPr>
      <w:ind w:left="720"/>
      <w:contextualSpacing/>
    </w:pPr>
  </w:style>
  <w:style w:type="paragraph" w:styleId="BalloonText">
    <w:name w:val="Balloon Text"/>
    <w:basedOn w:val="Normal"/>
    <w:link w:val="BalloonTextChar"/>
    <w:uiPriority w:val="99"/>
    <w:semiHidden/>
    <w:unhideWhenUsed/>
    <w:rsid w:val="004B3673"/>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4B3673"/>
    <w:rPr>
      <w:rFonts w:ascii="Tahoma" w:hAnsi="Tahoma" w:cs="Tahoma"/>
      <w:sz w:val="16"/>
      <w:szCs w:val="16"/>
    </w:rPr>
  </w:style>
  <w:style w:type="paragraph" w:styleId="Footer">
    <w:name w:val="footer"/>
    <w:basedOn w:val="Normal"/>
    <w:link w:val="FooterChar"/>
    <w:uiPriority w:val="99"/>
    <w:unhideWhenUsed/>
    <w:rsid w:val="009E2731"/>
    <w:pPr>
      <w:tabs>
        <w:tab w:val="center" w:pos="4320"/>
        <w:tab w:val="right" w:pos="8640"/>
      </w:tabs>
    </w:pPr>
  </w:style>
  <w:style w:type="character" w:customStyle="1" w:styleId="FooterChar">
    <w:name w:val="Footer Char"/>
    <w:basedOn w:val="DefaultParagraphFont"/>
    <w:link w:val="Footer"/>
    <w:uiPriority w:val="99"/>
    <w:rsid w:val="009E2731"/>
    <w:rPr>
      <w:rFonts w:ascii="Times New Roman" w:eastAsia="Times New Roman" w:hAnsi="Times New Roman" w:cs="Angsana New"/>
      <w:sz w:val="24"/>
      <w:szCs w:val="24"/>
      <w:lang w:val="en-GB" w:eastAsia="en-GB"/>
    </w:rPr>
  </w:style>
  <w:style w:type="character" w:styleId="PageNumber">
    <w:name w:val="page number"/>
    <w:basedOn w:val="DefaultParagraphFont"/>
    <w:uiPriority w:val="99"/>
    <w:semiHidden/>
    <w:unhideWhenUsed/>
    <w:rsid w:val="009E2731"/>
  </w:style>
  <w:style w:type="character" w:styleId="CommentReference">
    <w:name w:val="annotation reference"/>
    <w:basedOn w:val="DefaultParagraphFont"/>
    <w:uiPriority w:val="99"/>
    <w:semiHidden/>
    <w:unhideWhenUsed/>
    <w:rsid w:val="00577286"/>
    <w:rPr>
      <w:sz w:val="18"/>
      <w:szCs w:val="18"/>
    </w:rPr>
  </w:style>
  <w:style w:type="paragraph" w:styleId="CommentText">
    <w:name w:val="annotation text"/>
    <w:basedOn w:val="Normal"/>
    <w:link w:val="CommentTextChar"/>
    <w:uiPriority w:val="99"/>
    <w:unhideWhenUsed/>
    <w:rsid w:val="00577286"/>
  </w:style>
  <w:style w:type="character" w:customStyle="1" w:styleId="CommentTextChar">
    <w:name w:val="Comment Text Char"/>
    <w:basedOn w:val="DefaultParagraphFont"/>
    <w:link w:val="CommentText"/>
    <w:uiPriority w:val="99"/>
    <w:rsid w:val="00577286"/>
    <w:rPr>
      <w:rFonts w:ascii="Times New Roman" w:eastAsia="Times New Roman" w:hAnsi="Times New Roman" w:cs="Angsana New"/>
      <w:sz w:val="24"/>
      <w:szCs w:val="24"/>
      <w:lang w:val="en-GB" w:eastAsia="en-GB"/>
    </w:rPr>
  </w:style>
  <w:style w:type="paragraph" w:styleId="CommentSubject">
    <w:name w:val="annotation subject"/>
    <w:basedOn w:val="CommentText"/>
    <w:next w:val="CommentText"/>
    <w:link w:val="CommentSubjectChar"/>
    <w:uiPriority w:val="99"/>
    <w:semiHidden/>
    <w:unhideWhenUsed/>
    <w:rsid w:val="00577286"/>
    <w:rPr>
      <w:b/>
      <w:bCs w:val="0"/>
      <w:sz w:val="20"/>
      <w:szCs w:val="20"/>
    </w:rPr>
  </w:style>
  <w:style w:type="character" w:customStyle="1" w:styleId="CommentSubjectChar">
    <w:name w:val="Comment Subject Char"/>
    <w:basedOn w:val="CommentTextChar"/>
    <w:link w:val="CommentSubject"/>
    <w:uiPriority w:val="99"/>
    <w:semiHidden/>
    <w:rsid w:val="00577286"/>
    <w:rPr>
      <w:rFonts w:ascii="Times New Roman" w:eastAsia="Times New Roman" w:hAnsi="Times New Roman" w:cs="Angsana New"/>
      <w:b/>
      <w:bCs/>
      <w:sz w:val="20"/>
      <w:szCs w:val="20"/>
      <w:lang w:val="en-GB" w:eastAsia="en-GB"/>
    </w:rPr>
  </w:style>
  <w:style w:type="character" w:styleId="PlaceholderText">
    <w:name w:val="Placeholder Text"/>
    <w:basedOn w:val="DefaultParagraphFont"/>
    <w:uiPriority w:val="99"/>
    <w:semiHidden/>
    <w:rsid w:val="005C1473"/>
    <w:rPr>
      <w:color w:val="808080"/>
    </w:rPr>
  </w:style>
  <w:style w:type="paragraph" w:styleId="Revision">
    <w:name w:val="Revision"/>
    <w:hidden/>
    <w:uiPriority w:val="99"/>
    <w:semiHidden/>
    <w:rsid w:val="00167ADE"/>
    <w:pPr>
      <w:spacing w:after="0" w:line="240" w:lineRule="auto"/>
    </w:pPr>
    <w:rPr>
      <w:rFonts w:ascii="Times New Roman" w:eastAsia="Times New Roman" w:hAnsi="Times New Roman" w:cs="Angsana New"/>
      <w:sz w:val="24"/>
      <w:szCs w:val="24"/>
      <w:lang w:val="en-GB" w:eastAsia="en-GB"/>
    </w:rPr>
  </w:style>
  <w:style w:type="paragraph" w:customStyle="1" w:styleId="EndNoteBibliographyTitle">
    <w:name w:val="EndNote Bibliography Title"/>
    <w:basedOn w:val="Normal"/>
    <w:link w:val="EndNoteBibliographyTitleChar"/>
    <w:rsid w:val="007F0AF7"/>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7F0AF7"/>
    <w:rPr>
      <w:rFonts w:ascii="Times New Roman" w:eastAsia="Times New Roman" w:hAnsi="Times New Roman" w:cs="Times New Roman"/>
      <w:bCs/>
      <w:noProof/>
      <w:sz w:val="24"/>
      <w:lang w:val="en-GB" w:eastAsia="en-GB"/>
    </w:rPr>
  </w:style>
  <w:style w:type="paragraph" w:customStyle="1" w:styleId="EndNoteBibliography">
    <w:name w:val="EndNote Bibliography"/>
    <w:basedOn w:val="Normal"/>
    <w:link w:val="EndNoteBibliographyChar"/>
    <w:rsid w:val="007F0AF7"/>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7F0AF7"/>
    <w:rPr>
      <w:rFonts w:ascii="Times New Roman" w:eastAsia="Times New Roman" w:hAnsi="Times New Roman" w:cs="Times New Roman"/>
      <w:bCs/>
      <w:noProof/>
      <w:sz w:val="24"/>
      <w:lang w:val="en-GB" w:eastAsia="en-GB"/>
    </w:rPr>
  </w:style>
  <w:style w:type="character" w:customStyle="1" w:styleId="hit">
    <w:name w:val="hit"/>
    <w:basedOn w:val="DefaultParagraphFont"/>
    <w:rsid w:val="001F742A"/>
  </w:style>
  <w:style w:type="character" w:customStyle="1" w:styleId="author">
    <w:name w:val="author"/>
    <w:basedOn w:val="DefaultParagraphFont"/>
    <w:rsid w:val="001F742A"/>
  </w:style>
  <w:style w:type="character" w:customStyle="1" w:styleId="family-name">
    <w:name w:val="family-name"/>
    <w:basedOn w:val="DefaultParagraphFont"/>
    <w:rsid w:val="001F742A"/>
  </w:style>
  <w:style w:type="character" w:customStyle="1" w:styleId="given-name">
    <w:name w:val="given-name"/>
    <w:basedOn w:val="DefaultParagraphFont"/>
    <w:rsid w:val="001F742A"/>
  </w:style>
  <w:style w:type="character" w:customStyle="1" w:styleId="journal-title">
    <w:name w:val="journal-title"/>
    <w:basedOn w:val="DefaultParagraphFont"/>
    <w:rsid w:val="001F742A"/>
  </w:style>
  <w:style w:type="character" w:customStyle="1" w:styleId="journal-publication-year">
    <w:name w:val="journal-publication-year"/>
    <w:basedOn w:val="DefaultParagraphFont"/>
    <w:rsid w:val="001F742A"/>
  </w:style>
  <w:style w:type="character" w:customStyle="1" w:styleId="journal-volume">
    <w:name w:val="journal-volume"/>
    <w:basedOn w:val="DefaultParagraphFont"/>
    <w:rsid w:val="001F742A"/>
  </w:style>
  <w:style w:type="character" w:customStyle="1" w:styleId="journal-issue">
    <w:name w:val="journal-issue"/>
    <w:basedOn w:val="DefaultParagraphFont"/>
    <w:rsid w:val="001F742A"/>
  </w:style>
  <w:style w:type="character" w:customStyle="1" w:styleId="journal-pages">
    <w:name w:val="journal-pages"/>
    <w:basedOn w:val="DefaultParagraphFont"/>
    <w:rsid w:val="001F742A"/>
  </w:style>
  <w:style w:type="character" w:styleId="LineNumber">
    <w:name w:val="line number"/>
    <w:basedOn w:val="DefaultParagraphFont"/>
    <w:uiPriority w:val="99"/>
    <w:semiHidden/>
    <w:unhideWhenUsed/>
    <w:rsid w:val="000A6D44"/>
  </w:style>
  <w:style w:type="paragraph" w:styleId="Header">
    <w:name w:val="header"/>
    <w:basedOn w:val="Normal"/>
    <w:link w:val="HeaderChar"/>
    <w:uiPriority w:val="99"/>
    <w:unhideWhenUsed/>
    <w:rsid w:val="000A6D44"/>
    <w:pPr>
      <w:tabs>
        <w:tab w:val="center" w:pos="4703"/>
        <w:tab w:val="right" w:pos="9406"/>
      </w:tabs>
    </w:pPr>
  </w:style>
  <w:style w:type="character" w:customStyle="1" w:styleId="HeaderChar">
    <w:name w:val="Header Char"/>
    <w:basedOn w:val="DefaultParagraphFont"/>
    <w:link w:val="Header"/>
    <w:uiPriority w:val="99"/>
    <w:rsid w:val="000A6D44"/>
    <w:rPr>
      <w:rFonts w:ascii="Times New Roman" w:eastAsia="Times New Roman" w:hAnsi="Times New Roman" w:cs="Angsana New"/>
      <w:sz w:val="24"/>
      <w:szCs w:val="24"/>
      <w:lang w:val="en-GB" w:eastAsia="en-GB"/>
    </w:rPr>
  </w:style>
  <w:style w:type="paragraph" w:styleId="NoSpacing">
    <w:name w:val="No Spacing"/>
    <w:uiPriority w:val="1"/>
    <w:qFormat/>
    <w:rsid w:val="00E36601"/>
    <w:pPr>
      <w:spacing w:after="0" w:line="240" w:lineRule="auto"/>
    </w:pPr>
    <w:rPr>
      <w:lang w:val="en-GB"/>
    </w:rPr>
  </w:style>
  <w:style w:type="character" w:customStyle="1" w:styleId="Heading2Char">
    <w:name w:val="Heading 2 Char"/>
    <w:basedOn w:val="DefaultParagraphFont"/>
    <w:link w:val="Heading2"/>
    <w:uiPriority w:val="9"/>
    <w:rsid w:val="00E901B1"/>
    <w:rPr>
      <w:rFonts w:ascii="Arial" w:eastAsia="Times New Roman" w:hAnsi="Arial" w:cs="Arial"/>
      <w:b/>
      <w:bCs/>
      <w:lang w:val="en-GB" w:eastAsia="en-GB"/>
    </w:rPr>
  </w:style>
  <w:style w:type="character" w:customStyle="1" w:styleId="Heading3Char">
    <w:name w:val="Heading 3 Char"/>
    <w:basedOn w:val="DefaultParagraphFont"/>
    <w:link w:val="Heading3"/>
    <w:uiPriority w:val="9"/>
    <w:rsid w:val="00E901B1"/>
    <w:rPr>
      <w:rFonts w:ascii="Arial" w:eastAsia="Times New Roman" w:hAnsi="Arial" w:cs="Arial"/>
      <w:bCs/>
      <w:u w:val="single"/>
      <w:lang w:val="en-GB" w:eastAsia="en-GB"/>
    </w:rPr>
  </w:style>
  <w:style w:type="character" w:customStyle="1" w:styleId="Heading1Char">
    <w:name w:val="Heading 1 Char"/>
    <w:basedOn w:val="DefaultParagraphFont"/>
    <w:link w:val="Heading1"/>
    <w:uiPriority w:val="9"/>
    <w:rsid w:val="00EA436E"/>
    <w:rPr>
      <w:rFonts w:ascii="Arial" w:eastAsia="Times New Roman" w:hAnsi="Arial" w:cs="Arial"/>
      <w:b/>
      <w:sz w:val="24"/>
      <w:lang w:val="en-GB" w:eastAsia="en-GB"/>
    </w:rPr>
  </w:style>
  <w:style w:type="character" w:customStyle="1" w:styleId="UnresolvedMention1">
    <w:name w:val="Unresolved Mention1"/>
    <w:basedOn w:val="DefaultParagraphFont"/>
    <w:uiPriority w:val="99"/>
    <w:semiHidden/>
    <w:unhideWhenUsed/>
    <w:rsid w:val="002E1883"/>
    <w:rPr>
      <w:color w:val="605E5C"/>
      <w:shd w:val="clear" w:color="auto" w:fill="E1DFDD"/>
    </w:rPr>
  </w:style>
  <w:style w:type="paragraph" w:customStyle="1" w:styleId="para">
    <w:name w:val="para"/>
    <w:basedOn w:val="Normal"/>
    <w:rsid w:val="00AC2856"/>
    <w:pPr>
      <w:adjustRightInd/>
      <w:snapToGrid/>
      <w:spacing w:before="100" w:beforeAutospacing="1" w:afterLines="0" w:after="100" w:afterAutospacing="1" w:line="240" w:lineRule="auto"/>
    </w:pPr>
    <w:rPr>
      <w:rFonts w:ascii="Times New Roman" w:hAnsi="Times New Roman" w:cs="Times New Roman"/>
      <w:bCs w:val="0"/>
      <w:sz w:val="24"/>
      <w:szCs w:val="24"/>
    </w:rPr>
  </w:style>
  <w:style w:type="character" w:customStyle="1" w:styleId="Heading4Char">
    <w:name w:val="Heading 4 Char"/>
    <w:basedOn w:val="DefaultParagraphFont"/>
    <w:link w:val="Heading4"/>
    <w:uiPriority w:val="9"/>
    <w:rsid w:val="00C2575A"/>
    <w:rPr>
      <w:rFonts w:ascii="Arial" w:eastAsia="Times New Roman" w:hAnsi="Arial" w:cs="Arial"/>
      <w:i/>
      <w:lang w:val="en-GB" w:eastAsia="en-GB"/>
    </w:rPr>
  </w:style>
  <w:style w:type="paragraph" w:styleId="Bibliography">
    <w:name w:val="Bibliography"/>
    <w:basedOn w:val="Normal"/>
    <w:next w:val="Normal"/>
    <w:uiPriority w:val="37"/>
    <w:unhideWhenUsed/>
    <w:rsid w:val="00706E3A"/>
    <w:pPr>
      <w:tabs>
        <w:tab w:val="left" w:pos="504"/>
      </w:tabs>
      <w:spacing w:after="240" w:line="240" w:lineRule="auto"/>
      <w:ind w:left="504" w:hanging="504"/>
    </w:pPr>
  </w:style>
  <w:style w:type="character" w:styleId="FollowedHyperlink">
    <w:name w:val="FollowedHyperlink"/>
    <w:basedOn w:val="DefaultParagraphFont"/>
    <w:uiPriority w:val="99"/>
    <w:semiHidden/>
    <w:unhideWhenUsed/>
    <w:rsid w:val="00934713"/>
    <w:rPr>
      <w:color w:val="800080" w:themeColor="followedHyperlink"/>
      <w:u w:val="single"/>
    </w:rPr>
  </w:style>
  <w:style w:type="character" w:customStyle="1" w:styleId="UnresolvedMention2">
    <w:name w:val="Unresolved Mention2"/>
    <w:basedOn w:val="DefaultParagraphFont"/>
    <w:uiPriority w:val="99"/>
    <w:semiHidden/>
    <w:unhideWhenUsed/>
    <w:rsid w:val="00EB6472"/>
    <w:rPr>
      <w:color w:val="605E5C"/>
      <w:shd w:val="clear" w:color="auto" w:fill="E1DFDD"/>
    </w:rPr>
  </w:style>
  <w:style w:type="paragraph" w:customStyle="1" w:styleId="Titel1">
    <w:name w:val="Titel1"/>
    <w:basedOn w:val="Normal"/>
    <w:rsid w:val="009756CF"/>
    <w:pPr>
      <w:adjustRightInd/>
      <w:snapToGrid/>
      <w:spacing w:before="100" w:beforeAutospacing="1" w:afterLines="0" w:after="100" w:afterAutospacing="1" w:line="240" w:lineRule="auto"/>
    </w:pPr>
    <w:rPr>
      <w:rFonts w:ascii="Times New Roman" w:hAnsi="Times New Roman" w:cs="Times New Roman"/>
      <w:bCs w:val="0"/>
      <w:sz w:val="24"/>
      <w:szCs w:val="24"/>
    </w:rPr>
  </w:style>
  <w:style w:type="paragraph" w:customStyle="1" w:styleId="desc">
    <w:name w:val="desc"/>
    <w:basedOn w:val="Normal"/>
    <w:rsid w:val="009756CF"/>
    <w:pPr>
      <w:adjustRightInd/>
      <w:snapToGrid/>
      <w:spacing w:before="100" w:beforeAutospacing="1" w:afterLines="0" w:after="100" w:afterAutospacing="1" w:line="240" w:lineRule="auto"/>
    </w:pPr>
    <w:rPr>
      <w:rFonts w:ascii="Times New Roman" w:hAnsi="Times New Roman" w:cs="Times New Roman"/>
      <w:bCs w:val="0"/>
      <w:sz w:val="24"/>
      <w:szCs w:val="24"/>
    </w:rPr>
  </w:style>
  <w:style w:type="paragraph" w:customStyle="1" w:styleId="details">
    <w:name w:val="details"/>
    <w:basedOn w:val="Normal"/>
    <w:rsid w:val="009756CF"/>
    <w:pPr>
      <w:adjustRightInd/>
      <w:snapToGrid/>
      <w:spacing w:before="100" w:beforeAutospacing="1" w:afterLines="0" w:after="100" w:afterAutospacing="1" w:line="240" w:lineRule="auto"/>
    </w:pPr>
    <w:rPr>
      <w:rFonts w:ascii="Times New Roman" w:hAnsi="Times New Roman" w:cs="Times New Roman"/>
      <w:bCs w:val="0"/>
      <w:sz w:val="24"/>
      <w:szCs w:val="24"/>
    </w:rPr>
  </w:style>
  <w:style w:type="character" w:customStyle="1" w:styleId="jrnl">
    <w:name w:val="jrnl"/>
    <w:basedOn w:val="DefaultParagraphFont"/>
    <w:rsid w:val="009756CF"/>
  </w:style>
  <w:style w:type="character" w:customStyle="1" w:styleId="UnresolvedMention3">
    <w:name w:val="Unresolved Mention3"/>
    <w:basedOn w:val="DefaultParagraphFont"/>
    <w:uiPriority w:val="99"/>
    <w:semiHidden/>
    <w:unhideWhenUsed/>
    <w:rsid w:val="000D1AFC"/>
    <w:rPr>
      <w:color w:val="605E5C"/>
      <w:shd w:val="clear" w:color="auto" w:fill="E1DFDD"/>
    </w:rPr>
  </w:style>
  <w:style w:type="character" w:customStyle="1" w:styleId="UnresolvedMention4">
    <w:name w:val="Unresolved Mention4"/>
    <w:basedOn w:val="DefaultParagraphFont"/>
    <w:uiPriority w:val="99"/>
    <w:semiHidden/>
    <w:unhideWhenUsed/>
    <w:rsid w:val="0001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439">
      <w:bodyDiv w:val="1"/>
      <w:marLeft w:val="0"/>
      <w:marRight w:val="0"/>
      <w:marTop w:val="0"/>
      <w:marBottom w:val="0"/>
      <w:divBdr>
        <w:top w:val="none" w:sz="0" w:space="0" w:color="auto"/>
        <w:left w:val="none" w:sz="0" w:space="0" w:color="auto"/>
        <w:bottom w:val="none" w:sz="0" w:space="0" w:color="auto"/>
        <w:right w:val="none" w:sz="0" w:space="0" w:color="auto"/>
      </w:divBdr>
    </w:div>
    <w:div w:id="18314196">
      <w:bodyDiv w:val="1"/>
      <w:marLeft w:val="0"/>
      <w:marRight w:val="0"/>
      <w:marTop w:val="0"/>
      <w:marBottom w:val="0"/>
      <w:divBdr>
        <w:top w:val="none" w:sz="0" w:space="0" w:color="auto"/>
        <w:left w:val="none" w:sz="0" w:space="0" w:color="auto"/>
        <w:bottom w:val="none" w:sz="0" w:space="0" w:color="auto"/>
        <w:right w:val="none" w:sz="0" w:space="0" w:color="auto"/>
      </w:divBdr>
    </w:div>
    <w:div w:id="123083014">
      <w:bodyDiv w:val="1"/>
      <w:marLeft w:val="0"/>
      <w:marRight w:val="0"/>
      <w:marTop w:val="0"/>
      <w:marBottom w:val="0"/>
      <w:divBdr>
        <w:top w:val="none" w:sz="0" w:space="0" w:color="auto"/>
        <w:left w:val="none" w:sz="0" w:space="0" w:color="auto"/>
        <w:bottom w:val="none" w:sz="0" w:space="0" w:color="auto"/>
        <w:right w:val="none" w:sz="0" w:space="0" w:color="auto"/>
      </w:divBdr>
    </w:div>
    <w:div w:id="236399803">
      <w:bodyDiv w:val="1"/>
      <w:marLeft w:val="0"/>
      <w:marRight w:val="0"/>
      <w:marTop w:val="0"/>
      <w:marBottom w:val="0"/>
      <w:divBdr>
        <w:top w:val="none" w:sz="0" w:space="0" w:color="auto"/>
        <w:left w:val="none" w:sz="0" w:space="0" w:color="auto"/>
        <w:bottom w:val="none" w:sz="0" w:space="0" w:color="auto"/>
        <w:right w:val="none" w:sz="0" w:space="0" w:color="auto"/>
      </w:divBdr>
      <w:divsChild>
        <w:div w:id="24215441">
          <w:marLeft w:val="0"/>
          <w:marRight w:val="0"/>
          <w:marTop w:val="34"/>
          <w:marBottom w:val="34"/>
          <w:divBdr>
            <w:top w:val="none" w:sz="0" w:space="0" w:color="auto"/>
            <w:left w:val="none" w:sz="0" w:space="0" w:color="auto"/>
            <w:bottom w:val="none" w:sz="0" w:space="0" w:color="auto"/>
            <w:right w:val="none" w:sz="0" w:space="0" w:color="auto"/>
          </w:divBdr>
        </w:div>
      </w:divsChild>
    </w:div>
    <w:div w:id="250359557">
      <w:bodyDiv w:val="1"/>
      <w:marLeft w:val="0"/>
      <w:marRight w:val="0"/>
      <w:marTop w:val="0"/>
      <w:marBottom w:val="0"/>
      <w:divBdr>
        <w:top w:val="none" w:sz="0" w:space="0" w:color="auto"/>
        <w:left w:val="none" w:sz="0" w:space="0" w:color="auto"/>
        <w:bottom w:val="none" w:sz="0" w:space="0" w:color="auto"/>
        <w:right w:val="none" w:sz="0" w:space="0" w:color="auto"/>
      </w:divBdr>
      <w:divsChild>
        <w:div w:id="2126339262">
          <w:marLeft w:val="0"/>
          <w:marRight w:val="0"/>
          <w:marTop w:val="34"/>
          <w:marBottom w:val="34"/>
          <w:divBdr>
            <w:top w:val="none" w:sz="0" w:space="0" w:color="auto"/>
            <w:left w:val="none" w:sz="0" w:space="0" w:color="auto"/>
            <w:bottom w:val="none" w:sz="0" w:space="0" w:color="auto"/>
            <w:right w:val="none" w:sz="0" w:space="0" w:color="auto"/>
          </w:divBdr>
        </w:div>
      </w:divsChild>
    </w:div>
    <w:div w:id="421099411">
      <w:bodyDiv w:val="1"/>
      <w:marLeft w:val="0"/>
      <w:marRight w:val="0"/>
      <w:marTop w:val="0"/>
      <w:marBottom w:val="0"/>
      <w:divBdr>
        <w:top w:val="none" w:sz="0" w:space="0" w:color="auto"/>
        <w:left w:val="none" w:sz="0" w:space="0" w:color="auto"/>
        <w:bottom w:val="none" w:sz="0" w:space="0" w:color="auto"/>
        <w:right w:val="none" w:sz="0" w:space="0" w:color="auto"/>
      </w:divBdr>
    </w:div>
    <w:div w:id="549729061">
      <w:bodyDiv w:val="1"/>
      <w:marLeft w:val="0"/>
      <w:marRight w:val="0"/>
      <w:marTop w:val="0"/>
      <w:marBottom w:val="0"/>
      <w:divBdr>
        <w:top w:val="none" w:sz="0" w:space="0" w:color="auto"/>
        <w:left w:val="none" w:sz="0" w:space="0" w:color="auto"/>
        <w:bottom w:val="none" w:sz="0" w:space="0" w:color="auto"/>
        <w:right w:val="none" w:sz="0" w:space="0" w:color="auto"/>
      </w:divBdr>
      <w:divsChild>
        <w:div w:id="184633390">
          <w:marLeft w:val="0"/>
          <w:marRight w:val="0"/>
          <w:marTop w:val="34"/>
          <w:marBottom w:val="34"/>
          <w:divBdr>
            <w:top w:val="none" w:sz="0" w:space="0" w:color="auto"/>
            <w:left w:val="none" w:sz="0" w:space="0" w:color="auto"/>
            <w:bottom w:val="none" w:sz="0" w:space="0" w:color="auto"/>
            <w:right w:val="none" w:sz="0" w:space="0" w:color="auto"/>
          </w:divBdr>
        </w:div>
      </w:divsChild>
    </w:div>
    <w:div w:id="696665648">
      <w:bodyDiv w:val="1"/>
      <w:marLeft w:val="0"/>
      <w:marRight w:val="0"/>
      <w:marTop w:val="0"/>
      <w:marBottom w:val="0"/>
      <w:divBdr>
        <w:top w:val="none" w:sz="0" w:space="0" w:color="auto"/>
        <w:left w:val="none" w:sz="0" w:space="0" w:color="auto"/>
        <w:bottom w:val="none" w:sz="0" w:space="0" w:color="auto"/>
        <w:right w:val="none" w:sz="0" w:space="0" w:color="auto"/>
      </w:divBdr>
    </w:div>
    <w:div w:id="761150471">
      <w:bodyDiv w:val="1"/>
      <w:marLeft w:val="0"/>
      <w:marRight w:val="0"/>
      <w:marTop w:val="0"/>
      <w:marBottom w:val="0"/>
      <w:divBdr>
        <w:top w:val="none" w:sz="0" w:space="0" w:color="auto"/>
        <w:left w:val="none" w:sz="0" w:space="0" w:color="auto"/>
        <w:bottom w:val="none" w:sz="0" w:space="0" w:color="auto"/>
        <w:right w:val="none" w:sz="0" w:space="0" w:color="auto"/>
      </w:divBdr>
    </w:div>
    <w:div w:id="818376678">
      <w:bodyDiv w:val="1"/>
      <w:marLeft w:val="0"/>
      <w:marRight w:val="0"/>
      <w:marTop w:val="0"/>
      <w:marBottom w:val="0"/>
      <w:divBdr>
        <w:top w:val="none" w:sz="0" w:space="0" w:color="auto"/>
        <w:left w:val="none" w:sz="0" w:space="0" w:color="auto"/>
        <w:bottom w:val="none" w:sz="0" w:space="0" w:color="auto"/>
        <w:right w:val="none" w:sz="0" w:space="0" w:color="auto"/>
      </w:divBdr>
      <w:divsChild>
        <w:div w:id="1941066602">
          <w:marLeft w:val="0"/>
          <w:marRight w:val="0"/>
          <w:marTop w:val="34"/>
          <w:marBottom w:val="34"/>
          <w:divBdr>
            <w:top w:val="none" w:sz="0" w:space="0" w:color="auto"/>
            <w:left w:val="none" w:sz="0" w:space="0" w:color="auto"/>
            <w:bottom w:val="none" w:sz="0" w:space="0" w:color="auto"/>
            <w:right w:val="none" w:sz="0" w:space="0" w:color="auto"/>
          </w:divBdr>
        </w:div>
      </w:divsChild>
    </w:div>
    <w:div w:id="970595829">
      <w:bodyDiv w:val="1"/>
      <w:marLeft w:val="0"/>
      <w:marRight w:val="0"/>
      <w:marTop w:val="0"/>
      <w:marBottom w:val="0"/>
      <w:divBdr>
        <w:top w:val="none" w:sz="0" w:space="0" w:color="auto"/>
        <w:left w:val="none" w:sz="0" w:space="0" w:color="auto"/>
        <w:bottom w:val="none" w:sz="0" w:space="0" w:color="auto"/>
        <w:right w:val="none" w:sz="0" w:space="0" w:color="auto"/>
      </w:divBdr>
    </w:div>
    <w:div w:id="991369275">
      <w:bodyDiv w:val="1"/>
      <w:marLeft w:val="0"/>
      <w:marRight w:val="0"/>
      <w:marTop w:val="0"/>
      <w:marBottom w:val="0"/>
      <w:divBdr>
        <w:top w:val="none" w:sz="0" w:space="0" w:color="auto"/>
        <w:left w:val="none" w:sz="0" w:space="0" w:color="auto"/>
        <w:bottom w:val="none" w:sz="0" w:space="0" w:color="auto"/>
        <w:right w:val="none" w:sz="0" w:space="0" w:color="auto"/>
      </w:divBdr>
      <w:divsChild>
        <w:div w:id="1629890958">
          <w:marLeft w:val="0"/>
          <w:marRight w:val="0"/>
          <w:marTop w:val="34"/>
          <w:marBottom w:val="34"/>
          <w:divBdr>
            <w:top w:val="none" w:sz="0" w:space="0" w:color="auto"/>
            <w:left w:val="none" w:sz="0" w:space="0" w:color="auto"/>
            <w:bottom w:val="none" w:sz="0" w:space="0" w:color="auto"/>
            <w:right w:val="none" w:sz="0" w:space="0" w:color="auto"/>
          </w:divBdr>
        </w:div>
      </w:divsChild>
    </w:div>
    <w:div w:id="995037631">
      <w:bodyDiv w:val="1"/>
      <w:marLeft w:val="0"/>
      <w:marRight w:val="0"/>
      <w:marTop w:val="0"/>
      <w:marBottom w:val="0"/>
      <w:divBdr>
        <w:top w:val="none" w:sz="0" w:space="0" w:color="auto"/>
        <w:left w:val="none" w:sz="0" w:space="0" w:color="auto"/>
        <w:bottom w:val="none" w:sz="0" w:space="0" w:color="auto"/>
        <w:right w:val="none" w:sz="0" w:space="0" w:color="auto"/>
      </w:divBdr>
    </w:div>
    <w:div w:id="1081172228">
      <w:bodyDiv w:val="1"/>
      <w:marLeft w:val="0"/>
      <w:marRight w:val="0"/>
      <w:marTop w:val="0"/>
      <w:marBottom w:val="0"/>
      <w:divBdr>
        <w:top w:val="none" w:sz="0" w:space="0" w:color="auto"/>
        <w:left w:val="none" w:sz="0" w:space="0" w:color="auto"/>
        <w:bottom w:val="none" w:sz="0" w:space="0" w:color="auto"/>
        <w:right w:val="none" w:sz="0" w:space="0" w:color="auto"/>
      </w:divBdr>
    </w:div>
    <w:div w:id="1138181223">
      <w:bodyDiv w:val="1"/>
      <w:marLeft w:val="0"/>
      <w:marRight w:val="0"/>
      <w:marTop w:val="0"/>
      <w:marBottom w:val="0"/>
      <w:divBdr>
        <w:top w:val="none" w:sz="0" w:space="0" w:color="auto"/>
        <w:left w:val="none" w:sz="0" w:space="0" w:color="auto"/>
        <w:bottom w:val="none" w:sz="0" w:space="0" w:color="auto"/>
        <w:right w:val="none" w:sz="0" w:space="0" w:color="auto"/>
      </w:divBdr>
    </w:div>
    <w:div w:id="1142387763">
      <w:bodyDiv w:val="1"/>
      <w:marLeft w:val="0"/>
      <w:marRight w:val="0"/>
      <w:marTop w:val="0"/>
      <w:marBottom w:val="0"/>
      <w:divBdr>
        <w:top w:val="none" w:sz="0" w:space="0" w:color="auto"/>
        <w:left w:val="none" w:sz="0" w:space="0" w:color="auto"/>
        <w:bottom w:val="none" w:sz="0" w:space="0" w:color="auto"/>
        <w:right w:val="none" w:sz="0" w:space="0" w:color="auto"/>
      </w:divBdr>
    </w:div>
    <w:div w:id="1155728012">
      <w:bodyDiv w:val="1"/>
      <w:marLeft w:val="0"/>
      <w:marRight w:val="0"/>
      <w:marTop w:val="0"/>
      <w:marBottom w:val="0"/>
      <w:divBdr>
        <w:top w:val="none" w:sz="0" w:space="0" w:color="auto"/>
        <w:left w:val="none" w:sz="0" w:space="0" w:color="auto"/>
        <w:bottom w:val="none" w:sz="0" w:space="0" w:color="auto"/>
        <w:right w:val="none" w:sz="0" w:space="0" w:color="auto"/>
      </w:divBdr>
    </w:div>
    <w:div w:id="1231621813">
      <w:bodyDiv w:val="1"/>
      <w:marLeft w:val="0"/>
      <w:marRight w:val="0"/>
      <w:marTop w:val="0"/>
      <w:marBottom w:val="0"/>
      <w:divBdr>
        <w:top w:val="none" w:sz="0" w:space="0" w:color="auto"/>
        <w:left w:val="none" w:sz="0" w:space="0" w:color="auto"/>
        <w:bottom w:val="none" w:sz="0" w:space="0" w:color="auto"/>
        <w:right w:val="none" w:sz="0" w:space="0" w:color="auto"/>
      </w:divBdr>
    </w:div>
    <w:div w:id="1233203482">
      <w:bodyDiv w:val="1"/>
      <w:marLeft w:val="0"/>
      <w:marRight w:val="0"/>
      <w:marTop w:val="0"/>
      <w:marBottom w:val="0"/>
      <w:divBdr>
        <w:top w:val="none" w:sz="0" w:space="0" w:color="auto"/>
        <w:left w:val="none" w:sz="0" w:space="0" w:color="auto"/>
        <w:bottom w:val="none" w:sz="0" w:space="0" w:color="auto"/>
        <w:right w:val="none" w:sz="0" w:space="0" w:color="auto"/>
      </w:divBdr>
    </w:div>
    <w:div w:id="1400326814">
      <w:bodyDiv w:val="1"/>
      <w:marLeft w:val="0"/>
      <w:marRight w:val="0"/>
      <w:marTop w:val="0"/>
      <w:marBottom w:val="0"/>
      <w:divBdr>
        <w:top w:val="none" w:sz="0" w:space="0" w:color="auto"/>
        <w:left w:val="none" w:sz="0" w:space="0" w:color="auto"/>
        <w:bottom w:val="none" w:sz="0" w:space="0" w:color="auto"/>
        <w:right w:val="none" w:sz="0" w:space="0" w:color="auto"/>
      </w:divBdr>
    </w:div>
    <w:div w:id="1443652326">
      <w:bodyDiv w:val="1"/>
      <w:marLeft w:val="0"/>
      <w:marRight w:val="0"/>
      <w:marTop w:val="0"/>
      <w:marBottom w:val="0"/>
      <w:divBdr>
        <w:top w:val="none" w:sz="0" w:space="0" w:color="auto"/>
        <w:left w:val="none" w:sz="0" w:space="0" w:color="auto"/>
        <w:bottom w:val="none" w:sz="0" w:space="0" w:color="auto"/>
        <w:right w:val="none" w:sz="0" w:space="0" w:color="auto"/>
      </w:divBdr>
    </w:div>
    <w:div w:id="1490749274">
      <w:bodyDiv w:val="1"/>
      <w:marLeft w:val="0"/>
      <w:marRight w:val="0"/>
      <w:marTop w:val="0"/>
      <w:marBottom w:val="0"/>
      <w:divBdr>
        <w:top w:val="none" w:sz="0" w:space="0" w:color="auto"/>
        <w:left w:val="none" w:sz="0" w:space="0" w:color="auto"/>
        <w:bottom w:val="none" w:sz="0" w:space="0" w:color="auto"/>
        <w:right w:val="none" w:sz="0" w:space="0" w:color="auto"/>
      </w:divBdr>
    </w:div>
    <w:div w:id="1512573854">
      <w:bodyDiv w:val="1"/>
      <w:marLeft w:val="0"/>
      <w:marRight w:val="0"/>
      <w:marTop w:val="0"/>
      <w:marBottom w:val="0"/>
      <w:divBdr>
        <w:top w:val="none" w:sz="0" w:space="0" w:color="auto"/>
        <w:left w:val="none" w:sz="0" w:space="0" w:color="auto"/>
        <w:bottom w:val="none" w:sz="0" w:space="0" w:color="auto"/>
        <w:right w:val="none" w:sz="0" w:space="0" w:color="auto"/>
      </w:divBdr>
    </w:div>
    <w:div w:id="1516383302">
      <w:bodyDiv w:val="1"/>
      <w:marLeft w:val="0"/>
      <w:marRight w:val="0"/>
      <w:marTop w:val="0"/>
      <w:marBottom w:val="0"/>
      <w:divBdr>
        <w:top w:val="none" w:sz="0" w:space="0" w:color="auto"/>
        <w:left w:val="none" w:sz="0" w:space="0" w:color="auto"/>
        <w:bottom w:val="none" w:sz="0" w:space="0" w:color="auto"/>
        <w:right w:val="none" w:sz="0" w:space="0" w:color="auto"/>
      </w:divBdr>
      <w:divsChild>
        <w:div w:id="1610314035">
          <w:marLeft w:val="0"/>
          <w:marRight w:val="0"/>
          <w:marTop w:val="34"/>
          <w:marBottom w:val="34"/>
          <w:divBdr>
            <w:top w:val="none" w:sz="0" w:space="0" w:color="auto"/>
            <w:left w:val="none" w:sz="0" w:space="0" w:color="auto"/>
            <w:bottom w:val="none" w:sz="0" w:space="0" w:color="auto"/>
            <w:right w:val="none" w:sz="0" w:space="0" w:color="auto"/>
          </w:divBdr>
        </w:div>
      </w:divsChild>
    </w:div>
    <w:div w:id="1664353467">
      <w:bodyDiv w:val="1"/>
      <w:marLeft w:val="0"/>
      <w:marRight w:val="0"/>
      <w:marTop w:val="0"/>
      <w:marBottom w:val="0"/>
      <w:divBdr>
        <w:top w:val="none" w:sz="0" w:space="0" w:color="auto"/>
        <w:left w:val="none" w:sz="0" w:space="0" w:color="auto"/>
        <w:bottom w:val="none" w:sz="0" w:space="0" w:color="auto"/>
        <w:right w:val="none" w:sz="0" w:space="0" w:color="auto"/>
      </w:divBdr>
      <w:divsChild>
        <w:div w:id="365446862">
          <w:marLeft w:val="0"/>
          <w:marRight w:val="0"/>
          <w:marTop w:val="34"/>
          <w:marBottom w:val="34"/>
          <w:divBdr>
            <w:top w:val="none" w:sz="0" w:space="0" w:color="auto"/>
            <w:left w:val="none" w:sz="0" w:space="0" w:color="auto"/>
            <w:bottom w:val="none" w:sz="0" w:space="0" w:color="auto"/>
            <w:right w:val="none" w:sz="0" w:space="0" w:color="auto"/>
          </w:divBdr>
        </w:div>
      </w:divsChild>
    </w:div>
    <w:div w:id="1937209925">
      <w:bodyDiv w:val="1"/>
      <w:marLeft w:val="0"/>
      <w:marRight w:val="0"/>
      <w:marTop w:val="0"/>
      <w:marBottom w:val="0"/>
      <w:divBdr>
        <w:top w:val="none" w:sz="0" w:space="0" w:color="auto"/>
        <w:left w:val="none" w:sz="0" w:space="0" w:color="auto"/>
        <w:bottom w:val="none" w:sz="0" w:space="0" w:color="auto"/>
        <w:right w:val="none" w:sz="0" w:space="0" w:color="auto"/>
      </w:divBdr>
    </w:div>
    <w:div w:id="1967731703">
      <w:bodyDiv w:val="1"/>
      <w:marLeft w:val="0"/>
      <w:marRight w:val="0"/>
      <w:marTop w:val="0"/>
      <w:marBottom w:val="0"/>
      <w:divBdr>
        <w:top w:val="none" w:sz="0" w:space="0" w:color="auto"/>
        <w:left w:val="none" w:sz="0" w:space="0" w:color="auto"/>
        <w:bottom w:val="none" w:sz="0" w:space="0" w:color="auto"/>
        <w:right w:val="none" w:sz="0" w:space="0" w:color="auto"/>
      </w:divBdr>
      <w:divsChild>
        <w:div w:id="302857997">
          <w:marLeft w:val="0"/>
          <w:marRight w:val="0"/>
          <w:marTop w:val="34"/>
          <w:marBottom w:val="34"/>
          <w:divBdr>
            <w:top w:val="none" w:sz="0" w:space="0" w:color="auto"/>
            <w:left w:val="none" w:sz="0" w:space="0" w:color="auto"/>
            <w:bottom w:val="none" w:sz="0" w:space="0" w:color="auto"/>
            <w:right w:val="none" w:sz="0" w:space="0" w:color="auto"/>
          </w:divBdr>
        </w:div>
      </w:divsChild>
    </w:div>
    <w:div w:id="2006472766">
      <w:bodyDiv w:val="1"/>
      <w:marLeft w:val="0"/>
      <w:marRight w:val="0"/>
      <w:marTop w:val="0"/>
      <w:marBottom w:val="0"/>
      <w:divBdr>
        <w:top w:val="none" w:sz="0" w:space="0" w:color="auto"/>
        <w:left w:val="none" w:sz="0" w:space="0" w:color="auto"/>
        <w:bottom w:val="none" w:sz="0" w:space="0" w:color="auto"/>
        <w:right w:val="none" w:sz="0" w:space="0" w:color="auto"/>
      </w:divBdr>
    </w:div>
    <w:div w:id="211347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smith@angli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amanetwork.com/journals/jama/fullarticle/195663" TargetMode="External"/><Relationship Id="rId4" Type="http://schemas.openxmlformats.org/officeDocument/2006/relationships/settings" Target="settings.xml"/><Relationship Id="rId9" Type="http://schemas.openxmlformats.org/officeDocument/2006/relationships/hyperlink" Target="https://www.statista.com/statistics/238849/global-chocolate-consump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0346-E947-4B12-B79C-E3A0DD32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12221</Words>
  <Characters>69662</Characters>
  <Application>Microsoft Office Word</Application>
  <DocSecurity>0</DocSecurity>
  <Lines>580</Lines>
  <Paragraphs>163</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ITC</Company>
  <LinksUpToDate>false</LinksUpToDate>
  <CharactersWithSpaces>81720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ITC</dc:creator>
  <cp:lastModifiedBy>Lee Smith</cp:lastModifiedBy>
  <cp:revision>3</cp:revision>
  <cp:lastPrinted>2019-06-16T08:46:00Z</cp:lastPrinted>
  <dcterms:created xsi:type="dcterms:W3CDTF">2020-01-17T06:58:00Z</dcterms:created>
  <dcterms:modified xsi:type="dcterms:W3CDTF">2020-01-22T20:36:00Z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id="k6Z81A8b"/&gt;&lt;style id="http://www.zotero.org/styles/journal-of-nutrition" hasBibliography="1" bibliographyStyleHasBeenSet="1"/&gt;&lt;prefs&gt;&lt;pref name="fieldType" value="Field"/&gt;&lt;pref name="automaticJou</vt:lpwstr>
  </property>
  <property fmtid="{D5CDD505-2E9C-101B-9397-08002B2CF9AE}" pid="3" name="ZOTERO_PREF_2">
    <vt:lpwstr>rnalAbbreviations" value="true"/&gt;&lt;/prefs&gt;&lt;/data&gt;</vt:lpwstr>
  </property>
</Properties>
</file>