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50BE" w14:textId="77777777" w:rsidR="000E701B" w:rsidRPr="000E701B" w:rsidRDefault="000E701B" w:rsidP="000E701B">
      <w:pPr>
        <w:spacing w:after="120" w:line="480" w:lineRule="auto"/>
        <w:jc w:val="center"/>
        <w:rPr>
          <w:rFonts w:ascii="Times New Roman" w:eastAsia="Times New Roman" w:hAnsi="Times New Roman" w:cs="Times New Roman"/>
          <w:b/>
          <w:caps/>
          <w:sz w:val="28"/>
          <w:szCs w:val="28"/>
          <w:lang w:val="en-GB" w:eastAsia="de-AT"/>
        </w:rPr>
      </w:pPr>
      <w:r w:rsidRPr="000E701B">
        <w:rPr>
          <w:rFonts w:ascii="Times New Roman" w:eastAsia="Times New Roman" w:hAnsi="Times New Roman" w:cs="Times New Roman"/>
          <w:b/>
          <w:caps/>
          <w:sz w:val="28"/>
          <w:szCs w:val="28"/>
          <w:lang w:val="en-GB" w:eastAsia="de-AT"/>
        </w:rPr>
        <w:t>Competence trust, goodwill trust and negotiation power in auditor-client relationships</w:t>
      </w:r>
    </w:p>
    <w:p w14:paraId="489096F0" w14:textId="77777777" w:rsidR="000E701B" w:rsidRPr="000E701B" w:rsidRDefault="000E701B" w:rsidP="000E701B">
      <w:pPr>
        <w:spacing w:before="120" w:after="120" w:line="240" w:lineRule="auto"/>
        <w:rPr>
          <w:rFonts w:ascii="Times New Roman" w:eastAsia="Times New Roman" w:hAnsi="Times New Roman" w:cs="Times New Roman"/>
          <w:b/>
          <w:caps/>
          <w:sz w:val="24"/>
          <w:szCs w:val="24"/>
          <w:lang w:val="en-US" w:eastAsia="de-AT"/>
        </w:rPr>
      </w:pPr>
    </w:p>
    <w:p w14:paraId="6DFB5039" w14:textId="77777777" w:rsidR="000E701B" w:rsidRPr="000E701B" w:rsidRDefault="000E701B" w:rsidP="000E701B">
      <w:pPr>
        <w:spacing w:before="120" w:after="120" w:line="240" w:lineRule="auto"/>
        <w:rPr>
          <w:rFonts w:ascii="Times New Roman" w:eastAsia="Times New Roman" w:hAnsi="Times New Roman" w:cs="Times New Roman"/>
          <w:b/>
          <w:sz w:val="24"/>
          <w:szCs w:val="24"/>
          <w:lang w:val="en-US" w:eastAsia="de-AT"/>
        </w:rPr>
      </w:pPr>
      <w:r w:rsidRPr="000E701B">
        <w:rPr>
          <w:rFonts w:ascii="Times New Roman" w:eastAsia="Times New Roman" w:hAnsi="Times New Roman" w:cs="Times New Roman"/>
          <w:b/>
          <w:caps/>
          <w:sz w:val="24"/>
          <w:szCs w:val="24"/>
          <w:lang w:val="en-US" w:eastAsia="de-AT"/>
        </w:rPr>
        <w:t>Introduction</w:t>
      </w:r>
    </w:p>
    <w:p w14:paraId="5D418F25" w14:textId="77777777" w:rsidR="000E701B" w:rsidRPr="000E701B" w:rsidRDefault="000E701B" w:rsidP="000E701B">
      <w:pPr>
        <w:spacing w:before="120" w:after="120" w:line="240" w:lineRule="auto"/>
        <w:jc w:val="both"/>
        <w:rPr>
          <w:rFonts w:ascii="Times New Roman" w:eastAsia="Times New Roman" w:hAnsi="Times New Roman" w:cs="Times New Roman"/>
          <w:b/>
          <w:sz w:val="24"/>
          <w:szCs w:val="24"/>
          <w:lang w:val="en-US" w:eastAsia="de-AT"/>
        </w:rPr>
      </w:pPr>
      <w:r w:rsidRPr="000E701B">
        <w:rPr>
          <w:rFonts w:ascii="Times New Roman" w:eastAsia="Times New Roman" w:hAnsi="Times New Roman" w:cs="Times New Roman"/>
          <w:b/>
          <w:sz w:val="24"/>
          <w:szCs w:val="24"/>
          <w:lang w:val="en-US" w:eastAsia="de-AT"/>
        </w:rPr>
        <w:tab/>
      </w:r>
    </w:p>
    <w:p w14:paraId="54F36568" w14:textId="4FD7B4D7" w:rsidR="003E5065" w:rsidRDefault="000E701B" w:rsidP="009634A6">
      <w:pPr>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Scholars have emphasized that financial statements are not merely altered in order to adopt all adjustments proposed by the auditor, but rather are the result of negotiations </w:t>
      </w:r>
      <w:r w:rsidR="000856A3">
        <w:rPr>
          <w:rFonts w:ascii="Times New Roman" w:eastAsia="Times New Roman" w:hAnsi="Times New Roman" w:cs="Times New Roman"/>
          <w:sz w:val="24"/>
          <w:szCs w:val="24"/>
          <w:lang w:val="en-GB" w:eastAsia="de-AT"/>
        </w:rPr>
        <w:t xml:space="preserve">between the auditor and the client firm’s management (client) </w:t>
      </w:r>
      <w:r w:rsidRPr="000E701B">
        <w:rPr>
          <w:rFonts w:ascii="Times New Roman" w:eastAsia="Times New Roman" w:hAnsi="Times New Roman" w:cs="Times New Roman"/>
          <w:sz w:val="24"/>
          <w:szCs w:val="24"/>
          <w:lang w:val="en-GB" w:eastAsia="de-AT"/>
        </w:rPr>
        <w:t xml:space="preserve">(e.g., </w:t>
      </w:r>
      <w:proofErr w:type="spellStart"/>
      <w:r w:rsidRPr="000E701B">
        <w:rPr>
          <w:rFonts w:ascii="Times New Roman" w:eastAsia="Arial Unicode MS" w:hAnsi="Times New Roman" w:cs="Times New Roman"/>
          <w:color w:val="000000"/>
          <w:sz w:val="24"/>
          <w:szCs w:val="24"/>
          <w:u w:color="000000"/>
          <w:lang w:val="en-US" w:eastAsia="de-AT"/>
        </w:rPr>
        <w:t>Antle</w:t>
      </w:r>
      <w:proofErr w:type="spellEnd"/>
      <w:r w:rsidRPr="000E701B">
        <w:rPr>
          <w:rFonts w:ascii="Times New Roman" w:eastAsia="Arial Unicode MS" w:hAnsi="Times New Roman" w:cs="Times New Roman"/>
          <w:color w:val="000000"/>
          <w:sz w:val="24"/>
          <w:szCs w:val="24"/>
          <w:u w:color="000000"/>
          <w:lang w:val="en-US" w:eastAsia="de-AT"/>
        </w:rPr>
        <w:t xml:space="preserve"> and Nalebuff 1991; </w:t>
      </w:r>
      <w:r w:rsidRPr="000E701B">
        <w:rPr>
          <w:rFonts w:ascii="Times New Roman" w:eastAsia="Times New Roman" w:hAnsi="Times New Roman" w:cs="Times New Roman"/>
          <w:sz w:val="24"/>
          <w:szCs w:val="24"/>
          <w:lang w:val="en-GB" w:eastAsia="de-AT"/>
        </w:rPr>
        <w:t>Wright and Wright 1997). These negotiations are characterized by information asymmetries between the auditor and the client</w:t>
      </w:r>
      <w:r w:rsidR="001B1914">
        <w:rPr>
          <w:rFonts w:ascii="Times New Roman" w:eastAsia="Times New Roman" w:hAnsi="Times New Roman" w:cs="Times New Roman"/>
          <w:sz w:val="24"/>
          <w:szCs w:val="24"/>
          <w:lang w:val="en-GB" w:eastAsia="de-AT"/>
        </w:rPr>
        <w:t xml:space="preserve">, which may lead to </w:t>
      </w:r>
      <w:r w:rsidR="00A45EE4" w:rsidRPr="000E701B">
        <w:rPr>
          <w:rFonts w:ascii="Times New Roman" w:eastAsia="Times New Roman" w:hAnsi="Times New Roman" w:cs="Times New Roman"/>
          <w:sz w:val="24"/>
          <w:szCs w:val="24"/>
          <w:lang w:val="en-GB" w:eastAsia="de-AT"/>
        </w:rPr>
        <w:t xml:space="preserve">suboptimal </w:t>
      </w:r>
      <w:r w:rsidR="00A45EE4">
        <w:rPr>
          <w:rFonts w:ascii="Times New Roman" w:eastAsia="Times New Roman" w:hAnsi="Times New Roman" w:cs="Times New Roman"/>
          <w:sz w:val="24"/>
          <w:szCs w:val="24"/>
          <w:lang w:val="en-GB" w:eastAsia="de-AT"/>
        </w:rPr>
        <w:t>negotiation outcomes and thus to suboptimal audits</w:t>
      </w:r>
      <w:r w:rsidR="001B1914">
        <w:rPr>
          <w:rFonts w:ascii="Times New Roman" w:eastAsia="Times New Roman" w:hAnsi="Times New Roman" w:cs="Times New Roman"/>
          <w:sz w:val="24"/>
          <w:szCs w:val="24"/>
          <w:lang w:val="en-GB" w:eastAsia="de-AT"/>
        </w:rPr>
        <w:t>. The key to reduce these information asymmetries is to share information (e.g. Thompson 1991; Butler 1999).</w:t>
      </w:r>
      <w:r w:rsidR="001B1914" w:rsidRPr="000E701B">
        <w:rPr>
          <w:rFonts w:ascii="Times New Roman" w:eastAsia="Times New Roman" w:hAnsi="Times New Roman" w:cs="Times New Roman"/>
          <w:sz w:val="24"/>
          <w:szCs w:val="24"/>
          <w:lang w:val="en-GB" w:eastAsia="de-AT"/>
        </w:rPr>
        <w:t xml:space="preserve"> </w:t>
      </w:r>
      <w:r w:rsidR="001B1914">
        <w:rPr>
          <w:rFonts w:ascii="Times New Roman" w:eastAsia="Times New Roman" w:hAnsi="Times New Roman" w:cs="Times New Roman"/>
          <w:sz w:val="24"/>
          <w:szCs w:val="24"/>
          <w:lang w:val="en-GB" w:eastAsia="de-AT"/>
        </w:rPr>
        <w:t>However, auditor</w:t>
      </w:r>
      <w:r w:rsidR="00A45EE4">
        <w:rPr>
          <w:rFonts w:ascii="Times New Roman" w:eastAsia="Times New Roman" w:hAnsi="Times New Roman" w:cs="Times New Roman"/>
          <w:sz w:val="24"/>
          <w:szCs w:val="24"/>
          <w:lang w:val="en-GB" w:eastAsia="de-AT"/>
        </w:rPr>
        <w:t>s</w:t>
      </w:r>
      <w:r w:rsidR="001B1914">
        <w:rPr>
          <w:rFonts w:ascii="Times New Roman" w:eastAsia="Times New Roman" w:hAnsi="Times New Roman" w:cs="Times New Roman"/>
          <w:sz w:val="24"/>
          <w:szCs w:val="24"/>
          <w:lang w:val="en-GB" w:eastAsia="de-AT"/>
        </w:rPr>
        <w:t xml:space="preserve"> and client</w:t>
      </w:r>
      <w:r w:rsidR="00A45EE4">
        <w:rPr>
          <w:rFonts w:ascii="Times New Roman" w:eastAsia="Times New Roman" w:hAnsi="Times New Roman" w:cs="Times New Roman"/>
          <w:sz w:val="24"/>
          <w:szCs w:val="24"/>
          <w:lang w:val="en-GB" w:eastAsia="de-AT"/>
        </w:rPr>
        <w:t>s</w:t>
      </w:r>
      <w:r w:rsidR="001B1914">
        <w:rPr>
          <w:rFonts w:ascii="Times New Roman" w:eastAsia="Times New Roman" w:hAnsi="Times New Roman" w:cs="Times New Roman"/>
          <w:sz w:val="24"/>
          <w:szCs w:val="24"/>
          <w:lang w:val="en-GB" w:eastAsia="de-AT"/>
        </w:rPr>
        <w:t xml:space="preserve"> often hesitate to do so</w:t>
      </w:r>
      <w:r w:rsidR="00A45EE4">
        <w:rPr>
          <w:rFonts w:ascii="Times New Roman" w:eastAsia="Times New Roman" w:hAnsi="Times New Roman" w:cs="Times New Roman"/>
          <w:sz w:val="24"/>
          <w:szCs w:val="24"/>
          <w:lang w:val="en-GB" w:eastAsia="de-AT"/>
        </w:rPr>
        <w:t xml:space="preserve">. </w:t>
      </w:r>
      <w:r w:rsidR="004A2BF2">
        <w:rPr>
          <w:rFonts w:ascii="Times New Roman" w:eastAsia="Times New Roman" w:hAnsi="Times New Roman" w:cs="Times New Roman"/>
          <w:sz w:val="24"/>
          <w:szCs w:val="24"/>
          <w:lang w:val="en-GB" w:eastAsia="de-AT"/>
        </w:rPr>
        <w:t>This is because</w:t>
      </w:r>
      <w:r w:rsidR="00E1636C">
        <w:rPr>
          <w:rFonts w:ascii="Times New Roman" w:eastAsia="Times New Roman" w:hAnsi="Times New Roman" w:cs="Times New Roman"/>
          <w:sz w:val="24"/>
          <w:szCs w:val="24"/>
          <w:lang w:val="en-GB" w:eastAsia="de-AT"/>
        </w:rPr>
        <w:t xml:space="preserve"> </w:t>
      </w:r>
      <w:r w:rsidR="001B1914">
        <w:rPr>
          <w:rFonts w:ascii="Times New Roman" w:eastAsia="Times New Roman" w:hAnsi="Times New Roman" w:cs="Times New Roman"/>
          <w:sz w:val="24"/>
          <w:szCs w:val="24"/>
          <w:lang w:val="en-GB" w:eastAsia="de-AT"/>
        </w:rPr>
        <w:t>clients</w:t>
      </w:r>
      <w:r w:rsidR="00EF76F4">
        <w:rPr>
          <w:rFonts w:ascii="Times New Roman" w:eastAsia="Times New Roman" w:hAnsi="Times New Roman" w:cs="Times New Roman"/>
          <w:sz w:val="24"/>
          <w:szCs w:val="24"/>
          <w:lang w:val="en-GB" w:eastAsia="de-AT"/>
        </w:rPr>
        <w:t xml:space="preserve"> </w:t>
      </w:r>
      <w:r w:rsidR="00E1636C">
        <w:rPr>
          <w:rFonts w:ascii="Times New Roman" w:eastAsia="Times New Roman" w:hAnsi="Times New Roman" w:cs="Times New Roman"/>
          <w:sz w:val="24"/>
          <w:szCs w:val="24"/>
          <w:lang w:val="en-GB" w:eastAsia="de-AT"/>
        </w:rPr>
        <w:t xml:space="preserve">might refrain from timely and completely sharing all relevant information due to </w:t>
      </w:r>
      <w:r w:rsidR="00C17CD5">
        <w:rPr>
          <w:rFonts w:ascii="Times New Roman" w:eastAsia="Times New Roman" w:hAnsi="Times New Roman" w:cs="Times New Roman"/>
          <w:sz w:val="24"/>
          <w:szCs w:val="24"/>
          <w:lang w:val="en-GB" w:eastAsia="de-AT"/>
        </w:rPr>
        <w:t>concern</w:t>
      </w:r>
      <w:r w:rsidR="00E1636C">
        <w:rPr>
          <w:rFonts w:ascii="Times New Roman" w:eastAsia="Times New Roman" w:hAnsi="Times New Roman" w:cs="Times New Roman"/>
          <w:sz w:val="24"/>
          <w:szCs w:val="24"/>
          <w:lang w:val="en-GB" w:eastAsia="de-AT"/>
        </w:rPr>
        <w:t xml:space="preserve">s </w:t>
      </w:r>
      <w:r w:rsidR="00C17CD5" w:rsidRPr="00E458FD">
        <w:rPr>
          <w:rFonts w:ascii="Times New Roman" w:eastAsia="Times New Roman" w:hAnsi="Times New Roman" w:cs="Times New Roman"/>
          <w:sz w:val="24"/>
          <w:szCs w:val="24"/>
          <w:lang w:val="en-GB" w:eastAsia="de-AT"/>
        </w:rPr>
        <w:t xml:space="preserve">that </w:t>
      </w:r>
      <w:r w:rsidR="00E1636C" w:rsidRPr="00E458FD">
        <w:rPr>
          <w:rFonts w:ascii="Times New Roman" w:eastAsia="Times New Roman" w:hAnsi="Times New Roman" w:cs="Times New Roman"/>
          <w:sz w:val="24"/>
          <w:szCs w:val="24"/>
          <w:lang w:val="en-GB" w:eastAsia="de-AT"/>
        </w:rPr>
        <w:t xml:space="preserve">in the audit negotiations </w:t>
      </w:r>
      <w:r w:rsidR="00C17CD5" w:rsidRPr="00E458FD">
        <w:rPr>
          <w:rFonts w:ascii="Times New Roman" w:eastAsia="Times New Roman" w:hAnsi="Times New Roman" w:cs="Times New Roman"/>
          <w:sz w:val="24"/>
          <w:szCs w:val="24"/>
          <w:lang w:val="en-GB" w:eastAsia="de-AT"/>
        </w:rPr>
        <w:t>the information provided could be used against their interests</w:t>
      </w:r>
      <w:r w:rsidR="00EF4F39" w:rsidRPr="00E458FD">
        <w:rPr>
          <w:rFonts w:ascii="Times New Roman" w:eastAsia="Times New Roman" w:hAnsi="Times New Roman" w:cs="Times New Roman"/>
          <w:sz w:val="24"/>
          <w:szCs w:val="24"/>
          <w:lang w:val="en-GB" w:eastAsia="de-AT"/>
        </w:rPr>
        <w:t xml:space="preserve"> </w:t>
      </w:r>
      <w:r w:rsidR="004173B8" w:rsidRPr="00E458FD">
        <w:rPr>
          <w:rFonts w:ascii="Times New Roman" w:eastAsia="Times New Roman" w:hAnsi="Times New Roman" w:cs="Times New Roman"/>
          <w:sz w:val="24"/>
          <w:szCs w:val="24"/>
          <w:lang w:val="en-GB" w:eastAsia="de-AT"/>
        </w:rPr>
        <w:t>(</w:t>
      </w:r>
      <w:r w:rsidR="00E1636C" w:rsidRPr="00E458FD">
        <w:rPr>
          <w:rFonts w:ascii="Times New Roman" w:eastAsia="Times New Roman" w:hAnsi="Times New Roman" w:cs="Times New Roman"/>
          <w:sz w:val="24"/>
          <w:szCs w:val="24"/>
          <w:lang w:val="en-GB" w:eastAsia="de-AT"/>
        </w:rPr>
        <w:t>Rennie et al. 2010; Gibbins et al. 2010</w:t>
      </w:r>
      <w:r w:rsidR="004173B8" w:rsidRPr="00E458FD">
        <w:rPr>
          <w:rFonts w:ascii="Times New Roman" w:eastAsia="Times New Roman" w:hAnsi="Times New Roman" w:cs="Times New Roman"/>
          <w:sz w:val="24"/>
          <w:szCs w:val="24"/>
          <w:lang w:val="en-GB" w:eastAsia="de-AT"/>
        </w:rPr>
        <w:t>)</w:t>
      </w:r>
      <w:r w:rsidR="00C17CD5" w:rsidRPr="00E458FD">
        <w:rPr>
          <w:rFonts w:ascii="Times New Roman" w:eastAsia="Times New Roman" w:hAnsi="Times New Roman" w:cs="Times New Roman"/>
          <w:sz w:val="24"/>
          <w:szCs w:val="24"/>
          <w:lang w:val="en-GB" w:eastAsia="de-AT"/>
        </w:rPr>
        <w:t>,</w:t>
      </w:r>
      <w:r w:rsidR="004173B8" w:rsidRPr="00E458FD">
        <w:rPr>
          <w:rFonts w:ascii="Times New Roman" w:eastAsia="Times New Roman" w:hAnsi="Times New Roman" w:cs="Times New Roman"/>
          <w:sz w:val="24"/>
          <w:szCs w:val="24"/>
          <w:lang w:val="en-GB" w:eastAsia="de-AT"/>
        </w:rPr>
        <w:t xml:space="preserve"> and the </w:t>
      </w:r>
      <w:r w:rsidR="004173B8" w:rsidRPr="00752AC3">
        <w:rPr>
          <w:rFonts w:ascii="Times New Roman" w:eastAsia="Times New Roman" w:hAnsi="Times New Roman" w:cs="Times New Roman"/>
          <w:sz w:val="24"/>
          <w:szCs w:val="24"/>
          <w:lang w:val="en-GB" w:eastAsia="de-AT"/>
        </w:rPr>
        <w:t>auditor</w:t>
      </w:r>
      <w:r w:rsidR="00E1636C" w:rsidRPr="00752AC3">
        <w:rPr>
          <w:rFonts w:ascii="Times New Roman" w:eastAsia="Times New Roman" w:hAnsi="Times New Roman" w:cs="Times New Roman"/>
          <w:sz w:val="24"/>
          <w:szCs w:val="24"/>
          <w:lang w:val="en-GB" w:eastAsia="de-AT"/>
        </w:rPr>
        <w:t xml:space="preserve"> might</w:t>
      </w:r>
      <w:r w:rsidR="004173B8" w:rsidRPr="00752AC3">
        <w:rPr>
          <w:rFonts w:ascii="Times New Roman" w:eastAsia="Times New Roman" w:hAnsi="Times New Roman" w:cs="Times New Roman"/>
          <w:sz w:val="24"/>
          <w:szCs w:val="24"/>
          <w:lang w:val="en-GB" w:eastAsia="de-AT"/>
        </w:rPr>
        <w:t xml:space="preserve"> </w:t>
      </w:r>
      <w:r w:rsidR="00EF4F39" w:rsidRPr="00752AC3">
        <w:rPr>
          <w:rFonts w:ascii="Times New Roman" w:eastAsia="Times New Roman" w:hAnsi="Times New Roman" w:cs="Times New Roman"/>
          <w:sz w:val="24"/>
          <w:szCs w:val="24"/>
          <w:lang w:val="en-GB" w:eastAsia="de-AT"/>
        </w:rPr>
        <w:t xml:space="preserve">refrain from providing advice and </w:t>
      </w:r>
      <w:r w:rsidR="00DF1D4C">
        <w:rPr>
          <w:rFonts w:ascii="Times New Roman" w:eastAsia="Times New Roman" w:hAnsi="Times New Roman" w:cs="Times New Roman"/>
          <w:sz w:val="24"/>
          <w:szCs w:val="24"/>
          <w:lang w:val="en-GB" w:eastAsia="de-AT"/>
        </w:rPr>
        <w:t xml:space="preserve">might </w:t>
      </w:r>
      <w:r w:rsidR="00EF4F39" w:rsidRPr="00752AC3">
        <w:rPr>
          <w:rFonts w:ascii="Times New Roman" w:eastAsia="Times New Roman" w:hAnsi="Times New Roman" w:cs="Times New Roman"/>
          <w:sz w:val="24"/>
          <w:szCs w:val="24"/>
          <w:lang w:val="en-GB" w:eastAsia="de-AT"/>
        </w:rPr>
        <w:t xml:space="preserve">merely ensure that the financial statements technically comply with </w:t>
      </w:r>
      <w:r w:rsidR="009D559E" w:rsidRPr="00752AC3">
        <w:rPr>
          <w:rFonts w:ascii="Times New Roman" w:eastAsia="Times New Roman" w:hAnsi="Times New Roman" w:cs="Times New Roman"/>
          <w:sz w:val="24"/>
          <w:szCs w:val="24"/>
          <w:lang w:val="en-GB" w:eastAsia="de-AT"/>
        </w:rPr>
        <w:t xml:space="preserve">the relevant accounting standards </w:t>
      </w:r>
      <w:r w:rsidR="00EF4F39" w:rsidRPr="00752AC3">
        <w:rPr>
          <w:rFonts w:ascii="Times New Roman" w:eastAsia="Times New Roman" w:hAnsi="Times New Roman" w:cs="Times New Roman"/>
          <w:sz w:val="24"/>
          <w:szCs w:val="24"/>
          <w:lang w:val="en-GB" w:eastAsia="de-AT"/>
        </w:rPr>
        <w:t xml:space="preserve">if he is unsure about how the client </w:t>
      </w:r>
      <w:r w:rsidR="002E789F">
        <w:rPr>
          <w:rFonts w:ascii="Times New Roman" w:eastAsia="Times New Roman" w:hAnsi="Times New Roman" w:cs="Times New Roman"/>
          <w:sz w:val="24"/>
          <w:szCs w:val="24"/>
          <w:lang w:val="en-GB" w:eastAsia="de-AT"/>
        </w:rPr>
        <w:t xml:space="preserve">may </w:t>
      </w:r>
      <w:r w:rsidR="00EF4F39" w:rsidRPr="00752AC3">
        <w:rPr>
          <w:rFonts w:ascii="Times New Roman" w:eastAsia="Times New Roman" w:hAnsi="Times New Roman" w:cs="Times New Roman"/>
          <w:sz w:val="24"/>
          <w:szCs w:val="24"/>
          <w:lang w:val="en-GB" w:eastAsia="de-AT"/>
        </w:rPr>
        <w:t xml:space="preserve">use </w:t>
      </w:r>
      <w:r w:rsidR="009D559E" w:rsidRPr="00752AC3">
        <w:rPr>
          <w:rFonts w:ascii="Times New Roman" w:eastAsia="Times New Roman" w:hAnsi="Times New Roman" w:cs="Times New Roman"/>
          <w:sz w:val="24"/>
          <w:szCs w:val="24"/>
          <w:lang w:val="en-GB" w:eastAsia="de-AT"/>
        </w:rPr>
        <w:t xml:space="preserve">the information provided </w:t>
      </w:r>
      <w:r w:rsidR="00E1636C" w:rsidRPr="00752AC3">
        <w:rPr>
          <w:rFonts w:ascii="Times New Roman" w:eastAsia="Times New Roman" w:hAnsi="Times New Roman" w:cs="Times New Roman"/>
          <w:sz w:val="24"/>
          <w:szCs w:val="24"/>
          <w:lang w:val="en-GB" w:eastAsia="de-AT"/>
        </w:rPr>
        <w:t>(</w:t>
      </w:r>
      <w:proofErr w:type="spellStart"/>
      <w:r w:rsidR="00322223" w:rsidRPr="00752AC3">
        <w:rPr>
          <w:rFonts w:ascii="Times New Roman" w:eastAsia="Arial Unicode MS" w:hAnsi="Times New Roman" w:cs="Times New Roman"/>
          <w:color w:val="000000"/>
          <w:sz w:val="24"/>
          <w:szCs w:val="24"/>
          <w:u w:color="000000"/>
          <w:lang w:val="en-US" w:eastAsia="de-AT"/>
        </w:rPr>
        <w:t>Bammens</w:t>
      </w:r>
      <w:proofErr w:type="spellEnd"/>
      <w:r w:rsidR="00322223" w:rsidRPr="00752AC3">
        <w:rPr>
          <w:rFonts w:ascii="Times New Roman" w:eastAsia="Arial Unicode MS" w:hAnsi="Times New Roman" w:cs="Times New Roman"/>
          <w:color w:val="000000"/>
          <w:sz w:val="24"/>
          <w:szCs w:val="24"/>
          <w:u w:color="000000"/>
          <w:lang w:val="en-US" w:eastAsia="de-AT"/>
        </w:rPr>
        <w:t xml:space="preserve"> and </w:t>
      </w:r>
      <w:proofErr w:type="spellStart"/>
      <w:r w:rsidR="00322223" w:rsidRPr="00752AC3">
        <w:rPr>
          <w:rFonts w:ascii="Times New Roman" w:eastAsia="Arial Unicode MS" w:hAnsi="Times New Roman" w:cs="Times New Roman"/>
          <w:color w:val="000000"/>
          <w:sz w:val="24"/>
          <w:szCs w:val="24"/>
          <w:u w:color="000000"/>
          <w:lang w:val="en-US" w:eastAsia="de-AT"/>
        </w:rPr>
        <w:t>Collewaert</w:t>
      </w:r>
      <w:proofErr w:type="spellEnd"/>
      <w:r w:rsidR="00322223" w:rsidRPr="00752AC3">
        <w:rPr>
          <w:rFonts w:ascii="Times New Roman" w:eastAsia="Arial Unicode MS" w:hAnsi="Times New Roman" w:cs="Times New Roman"/>
          <w:color w:val="000000"/>
          <w:sz w:val="24"/>
          <w:szCs w:val="24"/>
          <w:u w:color="000000"/>
          <w:lang w:val="en-US" w:eastAsia="de-AT"/>
        </w:rPr>
        <w:t xml:space="preserve"> 2014</w:t>
      </w:r>
      <w:r w:rsidR="00843FFD">
        <w:rPr>
          <w:rFonts w:ascii="Times New Roman" w:eastAsia="Arial Unicode MS" w:hAnsi="Times New Roman" w:cs="Times New Roman"/>
          <w:color w:val="000000"/>
          <w:sz w:val="24"/>
          <w:szCs w:val="24"/>
          <w:u w:color="000000"/>
          <w:lang w:val="en-US" w:eastAsia="de-AT"/>
        </w:rPr>
        <w:t xml:space="preserve">). Similarly, auditors have been found to reward clients who show a proactive information sharing behavior in the audit with </w:t>
      </w:r>
      <w:r w:rsidR="00E77252">
        <w:rPr>
          <w:rFonts w:ascii="Times New Roman" w:eastAsia="Arial Unicode MS" w:hAnsi="Times New Roman" w:cs="Times New Roman"/>
          <w:color w:val="000000"/>
          <w:sz w:val="24"/>
          <w:szCs w:val="24"/>
          <w:u w:color="000000"/>
          <w:lang w:val="en-US" w:eastAsia="de-AT"/>
        </w:rPr>
        <w:t xml:space="preserve">rather </w:t>
      </w:r>
      <w:r w:rsidR="00843FFD">
        <w:rPr>
          <w:rFonts w:ascii="Times New Roman" w:eastAsia="Arial Unicode MS" w:hAnsi="Times New Roman" w:cs="Times New Roman"/>
          <w:color w:val="000000"/>
          <w:sz w:val="24"/>
          <w:szCs w:val="24"/>
          <w:u w:color="000000"/>
          <w:lang w:val="en-US" w:eastAsia="de-AT"/>
        </w:rPr>
        <w:t xml:space="preserve">taking the role of an advisor than a </w:t>
      </w:r>
      <w:r w:rsidR="004B6A72">
        <w:rPr>
          <w:rFonts w:ascii="Times New Roman" w:eastAsia="Arial Unicode MS" w:hAnsi="Times New Roman" w:cs="Times New Roman"/>
          <w:color w:val="000000"/>
          <w:sz w:val="24"/>
          <w:szCs w:val="24"/>
          <w:u w:color="000000"/>
          <w:lang w:val="en-US" w:eastAsia="de-AT"/>
        </w:rPr>
        <w:t>policeman, thus they reciprocate their clients’ information sharing behavior</w:t>
      </w:r>
      <w:r w:rsidR="00843FFD">
        <w:rPr>
          <w:rFonts w:ascii="Times New Roman" w:eastAsia="Arial Unicode MS" w:hAnsi="Times New Roman" w:cs="Times New Roman"/>
          <w:color w:val="000000"/>
          <w:sz w:val="24"/>
          <w:szCs w:val="24"/>
          <w:u w:color="000000"/>
          <w:lang w:val="en-US" w:eastAsia="de-AT"/>
        </w:rPr>
        <w:t xml:space="preserve"> (</w:t>
      </w:r>
      <w:r w:rsidR="00E1636C" w:rsidRPr="00752AC3">
        <w:rPr>
          <w:rFonts w:ascii="Times New Roman" w:eastAsia="Times New Roman" w:hAnsi="Times New Roman" w:cs="Times New Roman"/>
          <w:sz w:val="24"/>
          <w:szCs w:val="24"/>
          <w:lang w:val="en-GB" w:eastAsia="de-AT"/>
        </w:rPr>
        <w:t>McCracken et al. 2008)</w:t>
      </w:r>
      <w:r w:rsidR="004173B8" w:rsidRPr="00752AC3">
        <w:rPr>
          <w:rFonts w:ascii="Times New Roman" w:eastAsia="Times New Roman" w:hAnsi="Times New Roman" w:cs="Times New Roman"/>
          <w:sz w:val="24"/>
          <w:szCs w:val="24"/>
          <w:lang w:val="en-GB" w:eastAsia="de-AT"/>
        </w:rPr>
        <w:t>.</w:t>
      </w:r>
      <w:r w:rsidR="004173B8">
        <w:rPr>
          <w:rFonts w:ascii="Times New Roman" w:eastAsia="Times New Roman" w:hAnsi="Times New Roman" w:cs="Times New Roman"/>
          <w:sz w:val="24"/>
          <w:szCs w:val="24"/>
          <w:lang w:val="en-GB" w:eastAsia="de-AT"/>
        </w:rPr>
        <w:t xml:space="preserve"> </w:t>
      </w:r>
    </w:p>
    <w:p w14:paraId="10AA2502" w14:textId="76ED18D4" w:rsidR="00461EF1" w:rsidRDefault="000E701B">
      <w:pPr>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Trust is regarded as </w:t>
      </w:r>
      <w:r w:rsidR="00FF11B8">
        <w:rPr>
          <w:rFonts w:ascii="Times New Roman" w:eastAsia="Times New Roman" w:hAnsi="Times New Roman" w:cs="Times New Roman"/>
          <w:sz w:val="24"/>
          <w:szCs w:val="24"/>
          <w:lang w:val="en-GB" w:eastAsia="de-AT"/>
        </w:rPr>
        <w:t xml:space="preserve">a </w:t>
      </w:r>
      <w:r w:rsidRPr="000E701B">
        <w:rPr>
          <w:rFonts w:ascii="Times New Roman" w:eastAsia="Times New Roman" w:hAnsi="Times New Roman" w:cs="Times New Roman"/>
          <w:sz w:val="24"/>
          <w:szCs w:val="24"/>
          <w:lang w:val="en-GB" w:eastAsia="de-AT"/>
        </w:rPr>
        <w:t>vital element to decrease behavioural uncertainties and stimulate exchange relationships (e.g. Lewicki and Stevenson 1997; Tomlinson et al. 2009)</w:t>
      </w:r>
      <w:r w:rsidR="009D559E">
        <w:rPr>
          <w:rFonts w:ascii="Times New Roman" w:eastAsia="Times New Roman" w:hAnsi="Times New Roman" w:cs="Times New Roman"/>
          <w:sz w:val="24"/>
          <w:szCs w:val="24"/>
          <w:lang w:val="en-GB" w:eastAsia="de-AT"/>
        </w:rPr>
        <w:t>, such as auditor-client relationships (</w:t>
      </w:r>
      <w:r w:rsidR="004B268C">
        <w:rPr>
          <w:rFonts w:ascii="Times New Roman" w:eastAsia="Times New Roman" w:hAnsi="Times New Roman" w:cs="Times New Roman"/>
          <w:sz w:val="24"/>
          <w:szCs w:val="24"/>
          <w:lang w:val="en-GB" w:eastAsia="de-AT"/>
        </w:rPr>
        <w:t xml:space="preserve">e.g. </w:t>
      </w:r>
      <w:r w:rsidR="009D559E">
        <w:rPr>
          <w:rFonts w:ascii="Times New Roman" w:eastAsia="Times New Roman" w:hAnsi="Times New Roman" w:cs="Times New Roman"/>
          <w:sz w:val="24"/>
          <w:szCs w:val="24"/>
          <w:lang w:val="en-GB" w:eastAsia="de-AT"/>
        </w:rPr>
        <w:t>Aschauer et al. 2017; Richard 2006)</w:t>
      </w:r>
      <w:r w:rsidRPr="000E701B">
        <w:rPr>
          <w:rFonts w:ascii="Times New Roman" w:eastAsia="Times New Roman" w:hAnsi="Times New Roman" w:cs="Times New Roman"/>
          <w:sz w:val="24"/>
          <w:szCs w:val="24"/>
          <w:lang w:val="en-GB" w:eastAsia="de-AT"/>
        </w:rPr>
        <w:t xml:space="preserve">. Clients who perceive their auditor as trustworthy will be more likely to provide the information required by the auditor in order to gain an accurate picture of the firm, and auditors who perceive their client as trustworthy will be more willing to share information required to solve accounting issues. </w:t>
      </w:r>
      <w:r w:rsidRPr="00423F03">
        <w:rPr>
          <w:rFonts w:ascii="Times New Roman" w:eastAsia="Times New Roman" w:hAnsi="Times New Roman" w:cs="Times New Roman"/>
          <w:sz w:val="24"/>
          <w:szCs w:val="24"/>
          <w:lang w:val="en-GB" w:eastAsia="de-AT"/>
        </w:rPr>
        <w:t xml:space="preserve">In turn, the increase in information exchange between the auditor and the client </w:t>
      </w:r>
      <w:r w:rsidR="003E5065" w:rsidRPr="00423F03">
        <w:rPr>
          <w:rFonts w:ascii="Times New Roman" w:eastAsia="Times New Roman" w:hAnsi="Times New Roman" w:cs="Times New Roman"/>
          <w:sz w:val="24"/>
          <w:szCs w:val="24"/>
          <w:lang w:val="en-GB" w:eastAsia="de-AT"/>
        </w:rPr>
        <w:t xml:space="preserve">can </w:t>
      </w:r>
      <w:r w:rsidRPr="00423F03">
        <w:rPr>
          <w:rFonts w:ascii="Times New Roman" w:eastAsia="Times New Roman" w:hAnsi="Times New Roman" w:cs="Times New Roman"/>
          <w:sz w:val="24"/>
          <w:szCs w:val="24"/>
          <w:lang w:val="en-GB" w:eastAsia="de-AT"/>
        </w:rPr>
        <w:t xml:space="preserve">also affect the likelihood that the auditor or the client </w:t>
      </w:r>
      <w:r w:rsidR="001645F4">
        <w:rPr>
          <w:rFonts w:ascii="Times New Roman" w:eastAsia="Times New Roman" w:hAnsi="Times New Roman" w:cs="Times New Roman"/>
          <w:sz w:val="24"/>
          <w:szCs w:val="24"/>
          <w:lang w:val="en-GB" w:eastAsia="de-AT"/>
        </w:rPr>
        <w:t xml:space="preserve">stand up to </w:t>
      </w:r>
      <w:r w:rsidRPr="00423F03">
        <w:rPr>
          <w:rFonts w:ascii="Times New Roman" w:eastAsia="Times New Roman" w:hAnsi="Times New Roman" w:cs="Times New Roman"/>
          <w:sz w:val="24"/>
          <w:szCs w:val="24"/>
          <w:lang w:val="en-GB" w:eastAsia="de-AT"/>
        </w:rPr>
        <w:t xml:space="preserve">the accounting treatment favoured by the </w:t>
      </w:r>
      <w:r w:rsidR="00F80617">
        <w:rPr>
          <w:rFonts w:ascii="Times New Roman" w:eastAsia="Times New Roman" w:hAnsi="Times New Roman" w:cs="Times New Roman"/>
          <w:sz w:val="24"/>
          <w:szCs w:val="24"/>
          <w:lang w:val="en-GB" w:eastAsia="de-AT"/>
        </w:rPr>
        <w:t xml:space="preserve">interaction partner </w:t>
      </w:r>
      <w:r w:rsidRPr="00423F03">
        <w:rPr>
          <w:rFonts w:ascii="Times New Roman" w:eastAsia="Times New Roman" w:hAnsi="Times New Roman" w:cs="Times New Roman"/>
          <w:sz w:val="24"/>
          <w:szCs w:val="24"/>
          <w:lang w:val="en-GB" w:eastAsia="de-AT"/>
        </w:rPr>
        <w:t>in an auditor-client negotiation.</w:t>
      </w:r>
      <w:r w:rsidR="009D559E">
        <w:rPr>
          <w:rFonts w:ascii="Times New Roman" w:eastAsia="Times New Roman" w:hAnsi="Times New Roman" w:cs="Times New Roman"/>
          <w:sz w:val="24"/>
          <w:szCs w:val="24"/>
          <w:lang w:val="en-GB" w:eastAsia="de-AT"/>
        </w:rPr>
        <w:t xml:space="preserve"> </w:t>
      </w:r>
    </w:p>
    <w:p w14:paraId="709D537B" w14:textId="3A25355F" w:rsidR="00301E70" w:rsidRDefault="009D559E">
      <w:pPr>
        <w:spacing w:before="120" w:after="120" w:line="240" w:lineRule="auto"/>
        <w:ind w:firstLine="708"/>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 xml:space="preserve">In spite of the important role that trust may play in </w:t>
      </w:r>
      <w:r w:rsidR="003E5065">
        <w:rPr>
          <w:rFonts w:ascii="Times New Roman" w:eastAsia="Times New Roman" w:hAnsi="Times New Roman" w:cs="Times New Roman"/>
          <w:sz w:val="24"/>
          <w:szCs w:val="24"/>
          <w:lang w:val="en-GB" w:eastAsia="de-AT"/>
        </w:rPr>
        <w:t xml:space="preserve">the outcome of </w:t>
      </w:r>
      <w:r>
        <w:rPr>
          <w:rFonts w:ascii="Times New Roman" w:eastAsia="Times New Roman" w:hAnsi="Times New Roman" w:cs="Times New Roman"/>
          <w:sz w:val="24"/>
          <w:szCs w:val="24"/>
          <w:lang w:val="en-GB" w:eastAsia="de-AT"/>
        </w:rPr>
        <w:t>auditor-client negotiations</w:t>
      </w:r>
      <w:r w:rsidR="003E5065">
        <w:rPr>
          <w:rFonts w:ascii="Times New Roman" w:eastAsia="Times New Roman" w:hAnsi="Times New Roman" w:cs="Times New Roman"/>
          <w:sz w:val="24"/>
          <w:szCs w:val="24"/>
          <w:lang w:val="en-GB" w:eastAsia="de-AT"/>
        </w:rPr>
        <w:t xml:space="preserve">, </w:t>
      </w:r>
      <w:r w:rsidR="00E15E80">
        <w:rPr>
          <w:rFonts w:ascii="Times New Roman" w:eastAsia="Times New Roman" w:hAnsi="Times New Roman" w:cs="Times New Roman"/>
          <w:sz w:val="24"/>
          <w:szCs w:val="24"/>
          <w:lang w:val="en-GB" w:eastAsia="de-AT"/>
        </w:rPr>
        <w:t xml:space="preserve">to the best of our knowledge </w:t>
      </w:r>
      <w:r w:rsidR="004B268C">
        <w:rPr>
          <w:rFonts w:ascii="Times New Roman" w:eastAsia="Times New Roman" w:hAnsi="Times New Roman" w:cs="Times New Roman"/>
          <w:sz w:val="24"/>
          <w:szCs w:val="24"/>
          <w:lang w:val="en-GB" w:eastAsia="de-AT"/>
        </w:rPr>
        <w:t xml:space="preserve">only </w:t>
      </w:r>
      <w:proofErr w:type="spellStart"/>
      <w:r w:rsidR="004B268C">
        <w:rPr>
          <w:rFonts w:ascii="Times New Roman" w:eastAsia="Times New Roman" w:hAnsi="Times New Roman" w:cs="Times New Roman"/>
          <w:sz w:val="24"/>
          <w:szCs w:val="24"/>
          <w:lang w:val="en-GB" w:eastAsia="de-AT"/>
        </w:rPr>
        <w:t>Kerler</w:t>
      </w:r>
      <w:proofErr w:type="spellEnd"/>
      <w:r w:rsidR="004B268C">
        <w:rPr>
          <w:rFonts w:ascii="Times New Roman" w:eastAsia="Times New Roman" w:hAnsi="Times New Roman" w:cs="Times New Roman"/>
          <w:sz w:val="24"/>
          <w:szCs w:val="24"/>
          <w:lang w:val="en-GB" w:eastAsia="de-AT"/>
        </w:rPr>
        <w:t xml:space="preserve"> and Brandon (</w:t>
      </w:r>
      <w:r w:rsidR="00E15E80">
        <w:rPr>
          <w:rFonts w:ascii="Times New Roman" w:eastAsia="Times New Roman" w:hAnsi="Times New Roman" w:cs="Times New Roman"/>
          <w:sz w:val="24"/>
          <w:szCs w:val="24"/>
          <w:lang w:val="en-GB" w:eastAsia="de-AT"/>
        </w:rPr>
        <w:t xml:space="preserve">2010) have </w:t>
      </w:r>
      <w:r w:rsidR="004B268C">
        <w:rPr>
          <w:rFonts w:ascii="Times New Roman" w:eastAsia="Times New Roman" w:hAnsi="Times New Roman" w:cs="Times New Roman"/>
          <w:sz w:val="24"/>
          <w:szCs w:val="24"/>
          <w:lang w:val="en-GB" w:eastAsia="de-AT"/>
        </w:rPr>
        <w:t>investigate</w:t>
      </w:r>
      <w:r w:rsidR="00E15E80">
        <w:rPr>
          <w:rFonts w:ascii="Times New Roman" w:eastAsia="Times New Roman" w:hAnsi="Times New Roman" w:cs="Times New Roman"/>
          <w:sz w:val="24"/>
          <w:szCs w:val="24"/>
          <w:lang w:val="en-GB" w:eastAsia="de-AT"/>
        </w:rPr>
        <w:t>d</w:t>
      </w:r>
      <w:r w:rsidR="004B268C">
        <w:rPr>
          <w:rFonts w:ascii="Times New Roman" w:eastAsia="Times New Roman" w:hAnsi="Times New Roman" w:cs="Times New Roman"/>
          <w:sz w:val="24"/>
          <w:szCs w:val="24"/>
          <w:lang w:val="en-GB" w:eastAsia="de-AT"/>
        </w:rPr>
        <w:t xml:space="preserve"> </w:t>
      </w:r>
      <w:r w:rsidR="00E15E80">
        <w:rPr>
          <w:rFonts w:ascii="Times New Roman" w:eastAsia="Times New Roman" w:hAnsi="Times New Roman" w:cs="Times New Roman"/>
          <w:sz w:val="24"/>
          <w:szCs w:val="24"/>
          <w:lang w:val="en-GB" w:eastAsia="de-AT"/>
        </w:rPr>
        <w:t xml:space="preserve">this relationship so far. Their findings suggest that the </w:t>
      </w:r>
      <w:r w:rsidR="004B268C">
        <w:rPr>
          <w:rFonts w:ascii="Times New Roman" w:eastAsia="Times New Roman" w:hAnsi="Times New Roman" w:cs="Times New Roman"/>
          <w:sz w:val="24"/>
          <w:szCs w:val="24"/>
          <w:lang w:val="en-GB" w:eastAsia="de-AT"/>
        </w:rPr>
        <w:t xml:space="preserve">auditor’s trust </w:t>
      </w:r>
      <w:r w:rsidR="00894286">
        <w:rPr>
          <w:rFonts w:ascii="Times New Roman" w:eastAsia="Times New Roman" w:hAnsi="Times New Roman" w:cs="Times New Roman"/>
          <w:sz w:val="24"/>
          <w:szCs w:val="24"/>
          <w:lang w:val="en-GB" w:eastAsia="de-AT"/>
        </w:rPr>
        <w:t xml:space="preserve">in the client’s intentions </w:t>
      </w:r>
      <w:r w:rsidR="00BF701A">
        <w:rPr>
          <w:rFonts w:ascii="Times New Roman" w:eastAsia="Times New Roman" w:hAnsi="Times New Roman" w:cs="Times New Roman"/>
          <w:sz w:val="24"/>
          <w:szCs w:val="24"/>
          <w:lang w:val="en-GB" w:eastAsia="de-AT"/>
        </w:rPr>
        <w:t xml:space="preserve">to accurately prepare the financial statements and provide relevant information to the auditor </w:t>
      </w:r>
      <w:r w:rsidR="00E15E80">
        <w:rPr>
          <w:rFonts w:ascii="Times New Roman" w:eastAsia="Times New Roman" w:hAnsi="Times New Roman" w:cs="Times New Roman"/>
          <w:sz w:val="24"/>
          <w:szCs w:val="24"/>
          <w:lang w:val="en-GB" w:eastAsia="de-AT"/>
        </w:rPr>
        <w:t xml:space="preserve">is positively related to goal commitment, which is, in turn, positively related to their acceptance of the client-preferred treatment. We extend this research </w:t>
      </w:r>
      <w:r w:rsidR="00BF701A">
        <w:rPr>
          <w:rFonts w:ascii="Times New Roman" w:eastAsia="Times New Roman" w:hAnsi="Times New Roman" w:cs="Times New Roman"/>
          <w:sz w:val="24"/>
          <w:szCs w:val="24"/>
          <w:lang w:val="en-GB" w:eastAsia="de-AT"/>
        </w:rPr>
        <w:t xml:space="preserve">by investigating </w:t>
      </w:r>
      <w:r w:rsidR="002649AD">
        <w:rPr>
          <w:rFonts w:ascii="Times New Roman" w:eastAsia="Times New Roman" w:hAnsi="Times New Roman" w:cs="Times New Roman"/>
          <w:sz w:val="24"/>
          <w:szCs w:val="24"/>
          <w:lang w:val="en-GB" w:eastAsia="de-AT"/>
        </w:rPr>
        <w:t xml:space="preserve">the </w:t>
      </w:r>
      <w:r w:rsidR="009329CB">
        <w:rPr>
          <w:rFonts w:ascii="Times New Roman" w:eastAsia="Times New Roman" w:hAnsi="Times New Roman" w:cs="Times New Roman"/>
          <w:sz w:val="24"/>
          <w:szCs w:val="24"/>
          <w:lang w:val="en-GB" w:eastAsia="de-AT"/>
        </w:rPr>
        <w:t xml:space="preserve">direct </w:t>
      </w:r>
      <w:r w:rsidR="002649AD">
        <w:rPr>
          <w:rFonts w:ascii="Times New Roman" w:eastAsia="Times New Roman" w:hAnsi="Times New Roman" w:cs="Times New Roman"/>
          <w:sz w:val="24"/>
          <w:szCs w:val="24"/>
          <w:lang w:val="en-GB" w:eastAsia="de-AT"/>
        </w:rPr>
        <w:t xml:space="preserve">impact of </w:t>
      </w:r>
      <w:r w:rsidR="00BF701A">
        <w:rPr>
          <w:rFonts w:ascii="Times New Roman" w:eastAsia="Times New Roman" w:hAnsi="Times New Roman" w:cs="Times New Roman"/>
          <w:sz w:val="24"/>
          <w:szCs w:val="24"/>
          <w:lang w:val="en-GB" w:eastAsia="de-AT"/>
        </w:rPr>
        <w:t xml:space="preserve">the auditor’s trust </w:t>
      </w:r>
      <w:r w:rsidR="00F80617">
        <w:rPr>
          <w:rFonts w:ascii="Times New Roman" w:eastAsia="Times New Roman" w:hAnsi="Times New Roman" w:cs="Times New Roman"/>
          <w:sz w:val="24"/>
          <w:szCs w:val="24"/>
          <w:lang w:val="en-GB" w:eastAsia="de-AT"/>
        </w:rPr>
        <w:t xml:space="preserve">in the client and the client’s trust in the auditor on the negotiation outcome. In particular, we explore the impact of the auditor’s trust </w:t>
      </w:r>
      <w:r w:rsidR="00BF701A">
        <w:rPr>
          <w:rFonts w:ascii="Times New Roman" w:eastAsia="Times New Roman" w:hAnsi="Times New Roman" w:cs="Times New Roman"/>
          <w:sz w:val="24"/>
          <w:szCs w:val="24"/>
          <w:lang w:val="en-GB" w:eastAsia="de-AT"/>
        </w:rPr>
        <w:t xml:space="preserve">in the </w:t>
      </w:r>
      <w:r w:rsidR="009B67EF">
        <w:rPr>
          <w:rFonts w:ascii="Times New Roman" w:eastAsia="Times New Roman" w:hAnsi="Times New Roman" w:cs="Times New Roman"/>
          <w:sz w:val="24"/>
          <w:szCs w:val="24"/>
          <w:lang w:val="en-GB" w:eastAsia="de-AT"/>
        </w:rPr>
        <w:t>client</w:t>
      </w:r>
      <w:r w:rsidR="00BF701A">
        <w:rPr>
          <w:rFonts w:ascii="Times New Roman" w:eastAsia="Times New Roman" w:hAnsi="Times New Roman" w:cs="Times New Roman"/>
          <w:sz w:val="24"/>
          <w:szCs w:val="24"/>
          <w:lang w:val="en-GB" w:eastAsia="de-AT"/>
        </w:rPr>
        <w:t>’s ability</w:t>
      </w:r>
      <w:r w:rsidR="00785A48">
        <w:rPr>
          <w:rFonts w:ascii="Times New Roman" w:eastAsia="Times New Roman" w:hAnsi="Times New Roman" w:cs="Times New Roman"/>
          <w:sz w:val="24"/>
          <w:szCs w:val="24"/>
          <w:lang w:val="en-GB" w:eastAsia="de-AT"/>
        </w:rPr>
        <w:t xml:space="preserve"> (competence trust, i.e. the perception of</w:t>
      </w:r>
      <w:r w:rsidR="00BF701A">
        <w:rPr>
          <w:rFonts w:ascii="Times New Roman" w:eastAsia="Times New Roman" w:hAnsi="Times New Roman" w:cs="Times New Roman"/>
          <w:sz w:val="24"/>
          <w:szCs w:val="24"/>
          <w:lang w:val="en-GB" w:eastAsia="de-AT"/>
        </w:rPr>
        <w:t xml:space="preserve"> </w:t>
      </w:r>
      <w:r w:rsidR="006C6AA7">
        <w:rPr>
          <w:rFonts w:ascii="Times New Roman" w:eastAsia="Times New Roman" w:hAnsi="Times New Roman" w:cs="Times New Roman"/>
          <w:sz w:val="24"/>
          <w:szCs w:val="24"/>
          <w:lang w:val="en-GB" w:eastAsia="de-AT"/>
        </w:rPr>
        <w:t xml:space="preserve">a </w:t>
      </w:r>
      <w:r w:rsidR="00785A48">
        <w:rPr>
          <w:rFonts w:ascii="Times New Roman" w:eastAsia="Arial Unicode MS" w:hAnsi="Times New Roman" w:cs="Times New Roman"/>
          <w:color w:val="000000"/>
          <w:sz w:val="24"/>
          <w:szCs w:val="24"/>
          <w:u w:color="000000"/>
          <w:lang w:val="en-US" w:eastAsia="de-AT"/>
        </w:rPr>
        <w:t xml:space="preserve">high level of knowledge of the business and </w:t>
      </w:r>
      <w:r w:rsidR="006C6AA7">
        <w:rPr>
          <w:rFonts w:ascii="Times New Roman" w:eastAsia="Arial Unicode MS" w:hAnsi="Times New Roman" w:cs="Times New Roman"/>
          <w:color w:val="000000"/>
          <w:sz w:val="24"/>
          <w:szCs w:val="24"/>
          <w:u w:color="000000"/>
          <w:lang w:val="en-US" w:eastAsia="de-AT"/>
        </w:rPr>
        <w:t xml:space="preserve">the </w:t>
      </w:r>
      <w:r w:rsidR="00785A48">
        <w:rPr>
          <w:rFonts w:ascii="Times New Roman" w:eastAsia="Arial Unicode MS" w:hAnsi="Times New Roman" w:cs="Times New Roman"/>
          <w:color w:val="000000"/>
          <w:sz w:val="24"/>
          <w:szCs w:val="24"/>
          <w:u w:color="000000"/>
          <w:lang w:val="en-US" w:eastAsia="de-AT"/>
        </w:rPr>
        <w:t>industry as well as of accounting and auditing standards</w:t>
      </w:r>
      <w:r w:rsidR="00785A48">
        <w:rPr>
          <w:rFonts w:ascii="Times New Roman" w:eastAsia="Times New Roman" w:hAnsi="Times New Roman" w:cs="Times New Roman"/>
          <w:sz w:val="24"/>
          <w:szCs w:val="24"/>
          <w:lang w:val="en-US" w:eastAsia="de-AT"/>
        </w:rPr>
        <w:t>)</w:t>
      </w:r>
      <w:r w:rsidR="00BF701A" w:rsidRPr="00285B03">
        <w:rPr>
          <w:rFonts w:ascii="Times New Roman" w:eastAsia="Times New Roman" w:hAnsi="Times New Roman" w:cs="Times New Roman"/>
          <w:sz w:val="24"/>
          <w:szCs w:val="24"/>
          <w:lang w:val="en-US" w:eastAsia="de-AT"/>
        </w:rPr>
        <w:t xml:space="preserve"> </w:t>
      </w:r>
      <w:r w:rsidR="009B67EF">
        <w:rPr>
          <w:rFonts w:ascii="Times New Roman" w:eastAsia="Times New Roman" w:hAnsi="Times New Roman" w:cs="Times New Roman"/>
          <w:sz w:val="24"/>
          <w:szCs w:val="24"/>
          <w:lang w:val="en-GB" w:eastAsia="de-AT"/>
        </w:rPr>
        <w:t>and</w:t>
      </w:r>
      <w:r w:rsidR="00A65023">
        <w:rPr>
          <w:rFonts w:ascii="Times New Roman" w:eastAsia="Times New Roman" w:hAnsi="Times New Roman" w:cs="Times New Roman"/>
          <w:sz w:val="24"/>
          <w:szCs w:val="24"/>
          <w:lang w:val="en-GB" w:eastAsia="de-AT"/>
        </w:rPr>
        <w:t xml:space="preserve"> </w:t>
      </w:r>
      <w:r w:rsidR="00BF701A">
        <w:rPr>
          <w:rFonts w:ascii="Times New Roman" w:eastAsia="Times New Roman" w:hAnsi="Times New Roman" w:cs="Times New Roman"/>
          <w:sz w:val="24"/>
          <w:szCs w:val="24"/>
          <w:lang w:val="en-GB" w:eastAsia="de-AT"/>
        </w:rPr>
        <w:t>intention</w:t>
      </w:r>
      <w:r w:rsidR="00785A48">
        <w:rPr>
          <w:rFonts w:ascii="Times New Roman" w:eastAsia="Times New Roman" w:hAnsi="Times New Roman" w:cs="Times New Roman"/>
          <w:sz w:val="24"/>
          <w:szCs w:val="24"/>
          <w:lang w:val="en-GB" w:eastAsia="de-AT"/>
        </w:rPr>
        <w:t xml:space="preserve"> (goodwill trust, i.e. the perception of a </w:t>
      </w:r>
      <w:r w:rsidR="00785A48" w:rsidRPr="000E701B">
        <w:rPr>
          <w:rFonts w:ascii="Times New Roman" w:eastAsia="Times New Roman" w:hAnsi="Times New Roman" w:cs="Times New Roman"/>
          <w:sz w:val="24"/>
          <w:szCs w:val="24"/>
          <w:lang w:val="en-GB" w:eastAsia="de-AT"/>
        </w:rPr>
        <w:t>strong sense of justice</w:t>
      </w:r>
      <w:r w:rsidR="006C6AA7">
        <w:rPr>
          <w:rFonts w:ascii="Times New Roman" w:eastAsia="Times New Roman" w:hAnsi="Times New Roman" w:cs="Times New Roman"/>
          <w:sz w:val="24"/>
          <w:szCs w:val="24"/>
          <w:lang w:val="en-GB" w:eastAsia="de-AT"/>
        </w:rPr>
        <w:t xml:space="preserve"> and of an</w:t>
      </w:r>
      <w:r w:rsidR="00785A48">
        <w:rPr>
          <w:rFonts w:ascii="Times New Roman" w:eastAsia="Times New Roman" w:hAnsi="Times New Roman" w:cs="Times New Roman"/>
          <w:sz w:val="24"/>
          <w:szCs w:val="24"/>
          <w:lang w:val="en-GB" w:eastAsia="de-AT"/>
        </w:rPr>
        <w:t xml:space="preserve"> inclination to </w:t>
      </w:r>
      <w:r w:rsidR="00785A48" w:rsidRPr="000E701B">
        <w:rPr>
          <w:rFonts w:ascii="Times New Roman" w:eastAsia="Times New Roman" w:hAnsi="Times New Roman" w:cs="Times New Roman"/>
          <w:sz w:val="24"/>
          <w:szCs w:val="24"/>
          <w:lang w:val="en-GB" w:eastAsia="de-AT"/>
        </w:rPr>
        <w:t xml:space="preserve">keep promises and </w:t>
      </w:r>
      <w:r w:rsidR="00785A48">
        <w:rPr>
          <w:rFonts w:ascii="Times New Roman" w:eastAsia="Times New Roman" w:hAnsi="Times New Roman" w:cs="Times New Roman"/>
          <w:sz w:val="24"/>
          <w:szCs w:val="24"/>
          <w:lang w:val="en-GB" w:eastAsia="de-AT"/>
        </w:rPr>
        <w:t>to</w:t>
      </w:r>
      <w:r w:rsidR="00785A48" w:rsidRPr="000E701B">
        <w:rPr>
          <w:rFonts w:ascii="Times New Roman" w:eastAsia="Times New Roman" w:hAnsi="Times New Roman" w:cs="Times New Roman"/>
          <w:sz w:val="24"/>
          <w:szCs w:val="24"/>
          <w:lang w:val="en-GB" w:eastAsia="de-AT"/>
        </w:rPr>
        <w:t xml:space="preserve"> be fair</w:t>
      </w:r>
      <w:r w:rsidR="002070DC">
        <w:rPr>
          <w:rFonts w:ascii="Times New Roman" w:eastAsia="Times New Roman" w:hAnsi="Times New Roman" w:cs="Times New Roman"/>
          <w:sz w:val="24"/>
          <w:szCs w:val="24"/>
          <w:lang w:val="en-GB" w:eastAsia="de-AT"/>
        </w:rPr>
        <w:t>)</w:t>
      </w:r>
      <w:r w:rsidR="00BF701A">
        <w:rPr>
          <w:rFonts w:ascii="Times New Roman" w:eastAsia="Times New Roman" w:hAnsi="Times New Roman" w:cs="Times New Roman"/>
          <w:sz w:val="24"/>
          <w:szCs w:val="24"/>
          <w:lang w:val="en-GB" w:eastAsia="de-AT"/>
        </w:rPr>
        <w:t xml:space="preserve"> (</w:t>
      </w:r>
      <w:r w:rsidR="002649AD">
        <w:rPr>
          <w:rFonts w:ascii="Times New Roman" w:eastAsia="Times New Roman" w:hAnsi="Times New Roman" w:cs="Times New Roman"/>
          <w:sz w:val="24"/>
          <w:szCs w:val="24"/>
          <w:lang w:val="en-GB" w:eastAsia="de-AT"/>
        </w:rPr>
        <w:t xml:space="preserve">Mayer et al. 1995; </w:t>
      </w:r>
      <w:proofErr w:type="spellStart"/>
      <w:r w:rsidR="002649AD">
        <w:rPr>
          <w:rFonts w:ascii="Times New Roman" w:eastAsia="Times New Roman" w:hAnsi="Times New Roman" w:cs="Times New Roman"/>
          <w:sz w:val="24"/>
          <w:szCs w:val="24"/>
          <w:lang w:val="en-GB" w:eastAsia="de-AT"/>
        </w:rPr>
        <w:t>Nooteboom</w:t>
      </w:r>
      <w:proofErr w:type="spellEnd"/>
      <w:r w:rsidR="002649AD">
        <w:rPr>
          <w:rFonts w:ascii="Times New Roman" w:eastAsia="Times New Roman" w:hAnsi="Times New Roman" w:cs="Times New Roman"/>
          <w:sz w:val="24"/>
          <w:szCs w:val="24"/>
          <w:lang w:val="en-GB" w:eastAsia="de-AT"/>
        </w:rPr>
        <w:t xml:space="preserve"> 1996; Ring and Van De Ven 1992)</w:t>
      </w:r>
      <w:r w:rsidR="009B67EF">
        <w:rPr>
          <w:rFonts w:ascii="Times New Roman" w:eastAsia="Times New Roman" w:hAnsi="Times New Roman" w:cs="Times New Roman"/>
          <w:sz w:val="24"/>
          <w:szCs w:val="24"/>
          <w:lang w:val="en-GB" w:eastAsia="de-AT"/>
        </w:rPr>
        <w:t xml:space="preserve"> </w:t>
      </w:r>
      <w:r w:rsidR="00785A48">
        <w:rPr>
          <w:rFonts w:ascii="Times New Roman" w:eastAsia="Times New Roman" w:hAnsi="Times New Roman" w:cs="Times New Roman"/>
          <w:sz w:val="24"/>
          <w:szCs w:val="24"/>
          <w:lang w:val="en-GB" w:eastAsia="de-AT"/>
        </w:rPr>
        <w:t xml:space="preserve">to </w:t>
      </w:r>
      <w:r w:rsidR="00F80617">
        <w:rPr>
          <w:rFonts w:ascii="Times New Roman" w:eastAsia="Times New Roman" w:hAnsi="Times New Roman" w:cs="Times New Roman"/>
          <w:sz w:val="24"/>
          <w:szCs w:val="24"/>
          <w:lang w:val="en-GB" w:eastAsia="de-AT"/>
        </w:rPr>
        <w:t>draw up high</w:t>
      </w:r>
      <w:r w:rsidR="005F5A79">
        <w:rPr>
          <w:rFonts w:ascii="Times New Roman" w:eastAsia="Times New Roman" w:hAnsi="Times New Roman" w:cs="Times New Roman"/>
          <w:sz w:val="24"/>
          <w:szCs w:val="24"/>
          <w:lang w:val="en-GB" w:eastAsia="de-AT"/>
        </w:rPr>
        <w:t>-</w:t>
      </w:r>
      <w:r w:rsidR="00F80617">
        <w:rPr>
          <w:rFonts w:ascii="Times New Roman" w:eastAsia="Times New Roman" w:hAnsi="Times New Roman" w:cs="Times New Roman"/>
          <w:sz w:val="24"/>
          <w:szCs w:val="24"/>
          <w:lang w:val="en-GB" w:eastAsia="de-AT"/>
        </w:rPr>
        <w:t>quality financial statements</w:t>
      </w:r>
      <w:r w:rsidR="00785A48">
        <w:rPr>
          <w:rFonts w:ascii="Times New Roman" w:eastAsia="Times New Roman" w:hAnsi="Times New Roman" w:cs="Times New Roman"/>
          <w:sz w:val="24"/>
          <w:szCs w:val="24"/>
          <w:lang w:val="en-GB" w:eastAsia="de-AT"/>
        </w:rPr>
        <w:t xml:space="preserve"> </w:t>
      </w:r>
      <w:r w:rsidR="002649AD">
        <w:rPr>
          <w:rFonts w:ascii="Times New Roman" w:eastAsia="Times New Roman" w:hAnsi="Times New Roman" w:cs="Times New Roman"/>
          <w:sz w:val="24"/>
          <w:szCs w:val="24"/>
          <w:lang w:val="en-GB" w:eastAsia="de-AT"/>
        </w:rPr>
        <w:t xml:space="preserve">on the probability to </w:t>
      </w:r>
      <w:r w:rsidR="00616B11">
        <w:rPr>
          <w:rFonts w:ascii="Times New Roman" w:eastAsia="Times New Roman" w:hAnsi="Times New Roman" w:cs="Times New Roman"/>
          <w:sz w:val="24"/>
          <w:szCs w:val="24"/>
          <w:lang w:val="en-GB" w:eastAsia="de-AT"/>
        </w:rPr>
        <w:t>stand up</w:t>
      </w:r>
      <w:r w:rsidR="002649AD">
        <w:rPr>
          <w:rFonts w:ascii="Times New Roman" w:eastAsia="Times New Roman" w:hAnsi="Times New Roman" w:cs="Times New Roman"/>
          <w:sz w:val="24"/>
          <w:szCs w:val="24"/>
          <w:lang w:val="en-GB" w:eastAsia="de-AT"/>
        </w:rPr>
        <w:t xml:space="preserve"> </w:t>
      </w:r>
      <w:r w:rsidR="00F80617">
        <w:rPr>
          <w:rFonts w:ascii="Times New Roman" w:eastAsia="Times New Roman" w:hAnsi="Times New Roman" w:cs="Times New Roman"/>
          <w:sz w:val="24"/>
          <w:szCs w:val="24"/>
          <w:lang w:val="en-GB" w:eastAsia="de-AT"/>
        </w:rPr>
        <w:t xml:space="preserve">to the </w:t>
      </w:r>
      <w:r w:rsidR="002070DC">
        <w:rPr>
          <w:rFonts w:ascii="Times New Roman" w:eastAsia="Times New Roman" w:hAnsi="Times New Roman" w:cs="Times New Roman"/>
          <w:sz w:val="24"/>
          <w:szCs w:val="24"/>
          <w:lang w:val="en-GB" w:eastAsia="de-AT"/>
        </w:rPr>
        <w:t>client</w:t>
      </w:r>
      <w:r w:rsidR="009B67EF">
        <w:rPr>
          <w:rFonts w:ascii="Times New Roman" w:eastAsia="Times New Roman" w:hAnsi="Times New Roman" w:cs="Times New Roman"/>
          <w:sz w:val="24"/>
          <w:szCs w:val="24"/>
          <w:lang w:val="en-GB" w:eastAsia="de-AT"/>
        </w:rPr>
        <w:t>’</w:t>
      </w:r>
      <w:r w:rsidR="002070DC">
        <w:rPr>
          <w:rFonts w:ascii="Times New Roman" w:eastAsia="Times New Roman" w:hAnsi="Times New Roman" w:cs="Times New Roman"/>
          <w:sz w:val="24"/>
          <w:szCs w:val="24"/>
          <w:lang w:val="en-GB" w:eastAsia="de-AT"/>
        </w:rPr>
        <w:t>s</w:t>
      </w:r>
      <w:r w:rsidR="009B67EF">
        <w:rPr>
          <w:rFonts w:ascii="Times New Roman" w:eastAsia="Times New Roman" w:hAnsi="Times New Roman" w:cs="Times New Roman"/>
          <w:sz w:val="24"/>
          <w:szCs w:val="24"/>
          <w:lang w:val="en-GB" w:eastAsia="de-AT"/>
        </w:rPr>
        <w:t xml:space="preserve"> preferred treatment</w:t>
      </w:r>
      <w:r w:rsidR="002649AD">
        <w:rPr>
          <w:rFonts w:ascii="Times New Roman" w:eastAsia="Times New Roman" w:hAnsi="Times New Roman" w:cs="Times New Roman"/>
          <w:sz w:val="24"/>
          <w:szCs w:val="24"/>
          <w:lang w:val="en-GB" w:eastAsia="de-AT"/>
        </w:rPr>
        <w:t xml:space="preserve">. </w:t>
      </w:r>
      <w:r w:rsidR="00B564BD">
        <w:rPr>
          <w:rFonts w:ascii="Times New Roman" w:eastAsia="Times New Roman" w:hAnsi="Times New Roman" w:cs="Times New Roman"/>
          <w:sz w:val="24"/>
          <w:szCs w:val="24"/>
          <w:lang w:val="en-GB" w:eastAsia="de-AT"/>
        </w:rPr>
        <w:t xml:space="preserve">To avoid confusion, it is important to point out that goodwill trust is not linked to the auditing concept of goodwill. </w:t>
      </w:r>
      <w:r w:rsidR="002070DC">
        <w:rPr>
          <w:rFonts w:ascii="Times New Roman" w:eastAsia="Times New Roman" w:hAnsi="Times New Roman" w:cs="Times New Roman"/>
          <w:sz w:val="24"/>
          <w:szCs w:val="24"/>
          <w:lang w:val="en-GB" w:eastAsia="de-AT"/>
        </w:rPr>
        <w:t xml:space="preserve">Further, we investigate the direct impact of the client’s competence </w:t>
      </w:r>
      <w:r w:rsidR="00DF0774">
        <w:rPr>
          <w:rFonts w:ascii="Times New Roman" w:eastAsia="Times New Roman" w:hAnsi="Times New Roman" w:cs="Times New Roman"/>
          <w:sz w:val="24"/>
          <w:szCs w:val="24"/>
          <w:lang w:val="en-GB" w:eastAsia="de-AT"/>
        </w:rPr>
        <w:t xml:space="preserve">trust </w:t>
      </w:r>
      <w:r w:rsidR="002070DC">
        <w:rPr>
          <w:rFonts w:ascii="Times New Roman" w:eastAsia="Times New Roman" w:hAnsi="Times New Roman" w:cs="Times New Roman"/>
          <w:sz w:val="24"/>
          <w:szCs w:val="24"/>
          <w:lang w:val="en-GB" w:eastAsia="de-AT"/>
        </w:rPr>
        <w:t xml:space="preserve">and goodwill trust in the auditor on the probability to stand up and not follow the auditor’s preferred treatment. </w:t>
      </w:r>
      <w:r w:rsidR="00422B5D">
        <w:rPr>
          <w:rFonts w:ascii="Times New Roman" w:eastAsia="Times New Roman" w:hAnsi="Times New Roman" w:cs="Times New Roman"/>
          <w:sz w:val="24"/>
          <w:szCs w:val="24"/>
          <w:lang w:val="en-GB" w:eastAsia="de-AT"/>
        </w:rPr>
        <w:t>Competence trust and goodwill trust are the two dimensions of identification-based trust</w:t>
      </w:r>
      <w:r w:rsidR="000B630C">
        <w:rPr>
          <w:rFonts w:ascii="Times New Roman" w:eastAsia="Times New Roman" w:hAnsi="Times New Roman" w:cs="Times New Roman"/>
          <w:sz w:val="24"/>
          <w:szCs w:val="24"/>
          <w:lang w:val="en-GB" w:eastAsia="de-AT"/>
        </w:rPr>
        <w:t xml:space="preserve"> (</w:t>
      </w:r>
      <w:proofErr w:type="spellStart"/>
      <w:r w:rsidR="000B630C">
        <w:rPr>
          <w:rFonts w:ascii="Times New Roman" w:eastAsia="Times New Roman" w:hAnsi="Times New Roman" w:cs="Times New Roman"/>
          <w:sz w:val="24"/>
          <w:szCs w:val="24"/>
          <w:lang w:val="en-GB" w:eastAsia="de-AT"/>
        </w:rPr>
        <w:t>Nooteboom</w:t>
      </w:r>
      <w:proofErr w:type="spellEnd"/>
      <w:r w:rsidR="000B630C">
        <w:rPr>
          <w:rFonts w:ascii="Times New Roman" w:eastAsia="Times New Roman" w:hAnsi="Times New Roman" w:cs="Times New Roman"/>
          <w:sz w:val="24"/>
          <w:szCs w:val="24"/>
          <w:lang w:val="en-GB" w:eastAsia="de-AT"/>
        </w:rPr>
        <w:t>, 1996)</w:t>
      </w:r>
      <w:r w:rsidR="00422B5D">
        <w:rPr>
          <w:rFonts w:ascii="Times New Roman" w:eastAsia="Times New Roman" w:hAnsi="Times New Roman" w:cs="Times New Roman"/>
          <w:sz w:val="24"/>
          <w:szCs w:val="24"/>
          <w:lang w:val="en-GB" w:eastAsia="de-AT"/>
        </w:rPr>
        <w:t xml:space="preserve">, which </w:t>
      </w:r>
      <w:r w:rsidR="00FC5C38">
        <w:rPr>
          <w:rFonts w:ascii="Times New Roman" w:eastAsia="Times New Roman" w:hAnsi="Times New Roman" w:cs="Times New Roman"/>
          <w:sz w:val="24"/>
          <w:szCs w:val="24"/>
          <w:lang w:val="en-GB" w:eastAsia="de-AT"/>
        </w:rPr>
        <w:t xml:space="preserve">is the strongest form of interpersonal trust and thus an effective </w:t>
      </w:r>
      <w:r w:rsidR="000B630C">
        <w:rPr>
          <w:rFonts w:ascii="Times New Roman" w:eastAsia="Times New Roman" w:hAnsi="Times New Roman" w:cs="Times New Roman"/>
          <w:sz w:val="24"/>
          <w:szCs w:val="24"/>
          <w:lang w:val="en-GB" w:eastAsia="de-AT"/>
        </w:rPr>
        <w:t>way</w:t>
      </w:r>
      <w:r w:rsidR="00FC5C38">
        <w:rPr>
          <w:rFonts w:ascii="Times New Roman" w:eastAsia="Times New Roman" w:hAnsi="Times New Roman" w:cs="Times New Roman"/>
          <w:sz w:val="24"/>
          <w:szCs w:val="24"/>
          <w:lang w:val="en-GB" w:eastAsia="de-AT"/>
        </w:rPr>
        <w:t xml:space="preserve"> to </w:t>
      </w:r>
      <w:r w:rsidR="008B324D">
        <w:rPr>
          <w:rFonts w:ascii="Times New Roman" w:eastAsia="Times New Roman" w:hAnsi="Times New Roman" w:cs="Times New Roman"/>
          <w:sz w:val="24"/>
          <w:szCs w:val="24"/>
          <w:lang w:val="en-GB" w:eastAsia="de-AT"/>
        </w:rPr>
        <w:t xml:space="preserve">investigate </w:t>
      </w:r>
      <w:r w:rsidR="008B638B">
        <w:rPr>
          <w:rFonts w:ascii="Times New Roman" w:eastAsia="Times New Roman" w:hAnsi="Times New Roman" w:cs="Times New Roman"/>
          <w:sz w:val="24"/>
          <w:szCs w:val="24"/>
          <w:lang w:val="en-GB" w:eastAsia="de-AT"/>
        </w:rPr>
        <w:t xml:space="preserve">the </w:t>
      </w:r>
      <w:r w:rsidR="008B324D">
        <w:rPr>
          <w:rFonts w:ascii="Times New Roman" w:eastAsia="Times New Roman" w:hAnsi="Times New Roman" w:cs="Times New Roman"/>
          <w:sz w:val="24"/>
          <w:szCs w:val="24"/>
          <w:lang w:val="en-GB" w:eastAsia="de-AT"/>
        </w:rPr>
        <w:lastRenderedPageBreak/>
        <w:t xml:space="preserve">relationship between </w:t>
      </w:r>
      <w:r w:rsidR="008B638B">
        <w:rPr>
          <w:rFonts w:ascii="Times New Roman" w:eastAsia="Times New Roman" w:hAnsi="Times New Roman" w:cs="Times New Roman"/>
          <w:sz w:val="24"/>
          <w:szCs w:val="24"/>
          <w:lang w:val="en-GB" w:eastAsia="de-AT"/>
        </w:rPr>
        <w:t xml:space="preserve">trust and </w:t>
      </w:r>
      <w:r w:rsidR="00DE7E68">
        <w:rPr>
          <w:rFonts w:ascii="Times New Roman" w:eastAsia="Times New Roman" w:hAnsi="Times New Roman" w:cs="Times New Roman"/>
          <w:sz w:val="24"/>
          <w:szCs w:val="24"/>
          <w:lang w:val="en-GB" w:eastAsia="de-AT"/>
        </w:rPr>
        <w:t>the likelihood to stand up to the interaction partner’s preferred position (</w:t>
      </w:r>
      <w:r w:rsidR="008B638B">
        <w:rPr>
          <w:rFonts w:ascii="Times New Roman" w:eastAsia="Times New Roman" w:hAnsi="Times New Roman" w:cs="Times New Roman"/>
          <w:sz w:val="24"/>
          <w:szCs w:val="24"/>
          <w:lang w:val="en-GB" w:eastAsia="de-AT"/>
        </w:rPr>
        <w:t>negotiation power</w:t>
      </w:r>
      <w:r w:rsidR="00DE7E68">
        <w:rPr>
          <w:rFonts w:ascii="Times New Roman" w:eastAsia="Times New Roman" w:hAnsi="Times New Roman" w:cs="Times New Roman"/>
          <w:sz w:val="24"/>
          <w:szCs w:val="24"/>
          <w:lang w:val="en-GB" w:eastAsia="de-AT"/>
        </w:rPr>
        <w:t>)</w:t>
      </w:r>
      <w:r w:rsidR="008B638B">
        <w:rPr>
          <w:rFonts w:ascii="Times New Roman" w:eastAsia="Times New Roman" w:hAnsi="Times New Roman" w:cs="Times New Roman"/>
          <w:sz w:val="24"/>
          <w:szCs w:val="24"/>
          <w:lang w:val="en-GB" w:eastAsia="de-AT"/>
        </w:rPr>
        <w:t xml:space="preserve">. </w:t>
      </w:r>
      <w:r w:rsidR="000E701B" w:rsidRPr="000E701B">
        <w:rPr>
          <w:rFonts w:ascii="Times New Roman" w:eastAsia="Times New Roman" w:hAnsi="Times New Roman" w:cs="Times New Roman"/>
          <w:sz w:val="24"/>
          <w:szCs w:val="24"/>
          <w:lang w:val="en-GB" w:eastAsia="de-AT"/>
        </w:rPr>
        <w:t>We thereby address a call for research on the impact of competence trust and goodwill trust in auditor</w:t>
      </w:r>
      <w:r w:rsidR="008B638B">
        <w:rPr>
          <w:rFonts w:ascii="Times New Roman" w:eastAsia="Times New Roman" w:hAnsi="Times New Roman" w:cs="Times New Roman"/>
          <w:sz w:val="24"/>
          <w:szCs w:val="24"/>
          <w:lang w:val="en-GB" w:eastAsia="de-AT"/>
        </w:rPr>
        <w:t>-</w:t>
      </w:r>
      <w:r w:rsidR="000E701B" w:rsidRPr="000E701B">
        <w:rPr>
          <w:rFonts w:ascii="Times New Roman" w:eastAsia="Times New Roman" w:hAnsi="Times New Roman" w:cs="Times New Roman"/>
          <w:sz w:val="24"/>
          <w:szCs w:val="24"/>
          <w:lang w:val="en-GB" w:eastAsia="de-AT"/>
        </w:rPr>
        <w:t>client relationships (</w:t>
      </w:r>
      <w:proofErr w:type="spellStart"/>
      <w:r w:rsidR="000E701B" w:rsidRPr="000E701B">
        <w:rPr>
          <w:rFonts w:ascii="Times New Roman" w:eastAsia="Times New Roman" w:hAnsi="Times New Roman" w:cs="Times New Roman"/>
          <w:sz w:val="24"/>
          <w:szCs w:val="24"/>
          <w:lang w:val="en-GB" w:eastAsia="de-AT"/>
        </w:rPr>
        <w:t>Kerler</w:t>
      </w:r>
      <w:proofErr w:type="spellEnd"/>
      <w:r w:rsidR="000E701B" w:rsidRPr="000E701B">
        <w:rPr>
          <w:rFonts w:ascii="Times New Roman" w:eastAsia="Times New Roman" w:hAnsi="Times New Roman" w:cs="Times New Roman"/>
          <w:sz w:val="24"/>
          <w:szCs w:val="24"/>
          <w:lang w:val="en-GB" w:eastAsia="de-AT"/>
        </w:rPr>
        <w:t xml:space="preserve"> and Killough 2009; Rennie et al. 2010). </w:t>
      </w:r>
    </w:p>
    <w:p w14:paraId="5A45EE19" w14:textId="0597C0B5" w:rsidR="000E701B" w:rsidRPr="000E701B" w:rsidRDefault="000E701B">
      <w:pPr>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To investigate the relationship between </w:t>
      </w:r>
      <w:r w:rsidR="00527D9C">
        <w:rPr>
          <w:rFonts w:ascii="Times New Roman" w:eastAsia="Times New Roman" w:hAnsi="Times New Roman" w:cs="Times New Roman"/>
          <w:sz w:val="24"/>
          <w:szCs w:val="24"/>
          <w:lang w:val="en-GB" w:eastAsia="de-AT"/>
        </w:rPr>
        <w:t xml:space="preserve">identification-based </w:t>
      </w:r>
      <w:r w:rsidRPr="000E701B">
        <w:rPr>
          <w:rFonts w:ascii="Times New Roman" w:eastAsia="Times New Roman" w:hAnsi="Times New Roman" w:cs="Times New Roman"/>
          <w:sz w:val="24"/>
          <w:szCs w:val="24"/>
          <w:lang w:val="en-GB" w:eastAsia="de-AT"/>
        </w:rPr>
        <w:t xml:space="preserve">trust and auditor-client negotiation outcomes, we conducted two experiments, one with auditors and one with chief financial officers (CFOs). </w:t>
      </w:r>
      <w:r w:rsidR="008B638B">
        <w:rPr>
          <w:rFonts w:ascii="Times New Roman" w:eastAsia="Times New Roman" w:hAnsi="Times New Roman" w:cs="Times New Roman"/>
          <w:sz w:val="24"/>
          <w:szCs w:val="24"/>
          <w:lang w:val="en-GB" w:eastAsia="de-AT"/>
        </w:rPr>
        <w:t xml:space="preserve">Similar to the case used by Bamber and </w:t>
      </w:r>
      <w:proofErr w:type="spellStart"/>
      <w:r w:rsidR="008B638B">
        <w:rPr>
          <w:rFonts w:ascii="Times New Roman" w:eastAsia="Times New Roman" w:hAnsi="Times New Roman" w:cs="Times New Roman"/>
          <w:sz w:val="24"/>
          <w:szCs w:val="24"/>
          <w:lang w:val="en-GB" w:eastAsia="de-AT"/>
        </w:rPr>
        <w:t>Iyer</w:t>
      </w:r>
      <w:proofErr w:type="spellEnd"/>
      <w:r w:rsidR="008B638B">
        <w:rPr>
          <w:rFonts w:ascii="Times New Roman" w:eastAsia="Times New Roman" w:hAnsi="Times New Roman" w:cs="Times New Roman"/>
          <w:sz w:val="24"/>
          <w:szCs w:val="24"/>
          <w:lang w:val="en-GB" w:eastAsia="de-AT"/>
        </w:rPr>
        <w:t xml:space="preserve"> (2007) t</w:t>
      </w:r>
      <w:r w:rsidRPr="000E701B">
        <w:rPr>
          <w:rFonts w:ascii="Times New Roman" w:eastAsia="Times New Roman" w:hAnsi="Times New Roman" w:cs="Times New Roman"/>
          <w:sz w:val="24"/>
          <w:szCs w:val="24"/>
          <w:lang w:val="en-GB" w:eastAsia="de-AT"/>
        </w:rPr>
        <w:t xml:space="preserve">he overall task in the </w:t>
      </w:r>
      <w:r w:rsidR="00433061">
        <w:rPr>
          <w:rFonts w:ascii="Times New Roman" w:eastAsia="Times New Roman" w:hAnsi="Times New Roman" w:cs="Times New Roman"/>
          <w:sz w:val="24"/>
          <w:szCs w:val="24"/>
          <w:lang w:val="en-GB" w:eastAsia="de-AT"/>
        </w:rPr>
        <w:t xml:space="preserve">two </w:t>
      </w:r>
      <w:r w:rsidRPr="000E701B">
        <w:rPr>
          <w:rFonts w:ascii="Times New Roman" w:eastAsia="Times New Roman" w:hAnsi="Times New Roman" w:cs="Times New Roman"/>
          <w:sz w:val="24"/>
          <w:szCs w:val="24"/>
          <w:lang w:val="en-GB" w:eastAsia="de-AT"/>
        </w:rPr>
        <w:t>experiment</w:t>
      </w:r>
      <w:r w:rsidR="008B638B">
        <w:rPr>
          <w:rFonts w:ascii="Times New Roman" w:eastAsia="Times New Roman" w:hAnsi="Times New Roman" w:cs="Times New Roman"/>
          <w:sz w:val="24"/>
          <w:szCs w:val="24"/>
          <w:lang w:val="en-GB" w:eastAsia="de-AT"/>
        </w:rPr>
        <w:t>s</w:t>
      </w:r>
      <w:r w:rsidRPr="000E701B">
        <w:rPr>
          <w:rFonts w:ascii="Times New Roman" w:eastAsia="Times New Roman" w:hAnsi="Times New Roman" w:cs="Times New Roman"/>
          <w:sz w:val="24"/>
          <w:szCs w:val="24"/>
          <w:lang w:val="en-GB" w:eastAsia="de-AT"/>
        </w:rPr>
        <w:t xml:space="preserve"> was to indicate the likelihood that the auditor or CFO </w:t>
      </w:r>
      <w:r w:rsidR="000B630C">
        <w:rPr>
          <w:rFonts w:ascii="Times New Roman" w:eastAsia="Times New Roman" w:hAnsi="Times New Roman" w:cs="Times New Roman"/>
          <w:sz w:val="24"/>
          <w:szCs w:val="24"/>
          <w:lang w:val="en-GB" w:eastAsia="de-AT"/>
        </w:rPr>
        <w:t>stands up to</w:t>
      </w:r>
      <w:r w:rsidRPr="000E701B">
        <w:rPr>
          <w:rFonts w:ascii="Times New Roman" w:eastAsia="Times New Roman" w:hAnsi="Times New Roman" w:cs="Times New Roman"/>
          <w:sz w:val="24"/>
          <w:szCs w:val="24"/>
          <w:lang w:val="en-GB" w:eastAsia="de-AT"/>
        </w:rPr>
        <w:t xml:space="preserve"> the </w:t>
      </w:r>
      <w:r w:rsidR="009C7FE7">
        <w:rPr>
          <w:rFonts w:ascii="Times New Roman" w:eastAsia="Times New Roman" w:hAnsi="Times New Roman" w:cs="Times New Roman"/>
          <w:sz w:val="24"/>
          <w:szCs w:val="24"/>
          <w:lang w:val="en-GB" w:eastAsia="de-AT"/>
        </w:rPr>
        <w:t>interaction partner</w:t>
      </w:r>
      <w:r w:rsidRPr="000E701B">
        <w:rPr>
          <w:rFonts w:ascii="Times New Roman" w:eastAsia="Times New Roman" w:hAnsi="Times New Roman" w:cs="Times New Roman"/>
          <w:sz w:val="24"/>
          <w:szCs w:val="24"/>
          <w:lang w:val="en-GB" w:eastAsia="de-AT"/>
        </w:rPr>
        <w:t xml:space="preserve">’s preferred position in a disagreement on the materiality of unrecorded liabilities. Auditors received one of four experimental cases, which were created by manipulations of the auditor’s competence trust (high or low) and goodwill trust (high or low) in the client. Similarly, CFOs received one of four experimental cases, which included manipulations of the CFO’s competence trust (high or low) and goodwill trust (high or low) in the auditor. </w:t>
      </w:r>
    </w:p>
    <w:p w14:paraId="47CC1178" w14:textId="795E0D57" w:rsidR="000E701B" w:rsidRPr="000E701B" w:rsidRDefault="000E701B" w:rsidP="000E701B">
      <w:pPr>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The results from hierarchical OLS regression based on data collected from 149 auditors and 116 CFOs indicate that high competence trust makes both auditors and CFOs less likely to </w:t>
      </w:r>
      <w:r w:rsidR="001645F4">
        <w:rPr>
          <w:rFonts w:ascii="Times New Roman" w:eastAsia="Times New Roman" w:hAnsi="Times New Roman" w:cs="Times New Roman"/>
          <w:sz w:val="24"/>
          <w:szCs w:val="24"/>
          <w:lang w:val="en-GB" w:eastAsia="de-AT"/>
        </w:rPr>
        <w:t xml:space="preserve">stand up to </w:t>
      </w:r>
      <w:r w:rsidRPr="000E701B">
        <w:rPr>
          <w:rFonts w:ascii="Times New Roman" w:eastAsia="Times New Roman" w:hAnsi="Times New Roman" w:cs="Times New Roman"/>
          <w:sz w:val="24"/>
          <w:szCs w:val="24"/>
          <w:lang w:val="en-GB" w:eastAsia="de-AT"/>
        </w:rPr>
        <w:t xml:space="preserve">the </w:t>
      </w:r>
      <w:r w:rsidR="009C7FE7">
        <w:rPr>
          <w:rFonts w:ascii="Times New Roman" w:eastAsia="Times New Roman" w:hAnsi="Times New Roman" w:cs="Times New Roman"/>
          <w:sz w:val="24"/>
          <w:szCs w:val="24"/>
          <w:lang w:val="en-GB" w:eastAsia="de-AT"/>
        </w:rPr>
        <w:t>interaction partner</w:t>
      </w:r>
      <w:r w:rsidRPr="000E701B">
        <w:rPr>
          <w:rFonts w:ascii="Times New Roman" w:eastAsia="Times New Roman" w:hAnsi="Times New Roman" w:cs="Times New Roman"/>
          <w:sz w:val="24"/>
          <w:szCs w:val="24"/>
          <w:lang w:val="en-GB" w:eastAsia="de-AT"/>
        </w:rPr>
        <w:t>’s preferred position in auditor-client negotiations, whereas goodwill trust does not show a systematic impact. Thus, auditors who trust their client’s ability</w:t>
      </w:r>
      <w:r w:rsidR="00527D9C">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 xml:space="preserve">to draw up the financial statements and to provide them with information relevant for the audit </w:t>
      </w:r>
      <w:r w:rsidR="00527D9C">
        <w:rPr>
          <w:rFonts w:ascii="Times New Roman" w:eastAsia="Times New Roman" w:hAnsi="Times New Roman" w:cs="Times New Roman"/>
          <w:sz w:val="24"/>
          <w:szCs w:val="24"/>
          <w:lang w:val="en-GB" w:eastAsia="de-AT"/>
        </w:rPr>
        <w:t>(competence trust)</w:t>
      </w:r>
      <w:r w:rsidR="00527D9C" w:rsidRPr="000E701B">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 xml:space="preserve">are </w:t>
      </w:r>
      <w:r w:rsidR="005F5A79">
        <w:rPr>
          <w:rFonts w:ascii="Times New Roman" w:eastAsia="Times New Roman" w:hAnsi="Times New Roman" w:cs="Times New Roman"/>
          <w:sz w:val="24"/>
          <w:szCs w:val="24"/>
          <w:lang w:val="en-GB" w:eastAsia="de-AT"/>
        </w:rPr>
        <w:t xml:space="preserve">less </w:t>
      </w:r>
      <w:r w:rsidRPr="000E701B">
        <w:rPr>
          <w:rFonts w:ascii="Times New Roman" w:eastAsia="Times New Roman" w:hAnsi="Times New Roman" w:cs="Times New Roman"/>
          <w:sz w:val="24"/>
          <w:szCs w:val="24"/>
          <w:lang w:val="en-GB" w:eastAsia="de-AT"/>
        </w:rPr>
        <w:t xml:space="preserve">likely to </w:t>
      </w:r>
      <w:r w:rsidR="001645F4">
        <w:rPr>
          <w:rFonts w:ascii="Times New Roman" w:eastAsia="Times New Roman" w:hAnsi="Times New Roman" w:cs="Times New Roman"/>
          <w:sz w:val="24"/>
          <w:szCs w:val="24"/>
          <w:lang w:val="en-GB" w:eastAsia="de-AT"/>
        </w:rPr>
        <w:t xml:space="preserve">stand up to </w:t>
      </w:r>
      <w:r w:rsidRPr="000E701B">
        <w:rPr>
          <w:rFonts w:ascii="Times New Roman" w:eastAsia="Times New Roman" w:hAnsi="Times New Roman" w:cs="Times New Roman"/>
          <w:sz w:val="24"/>
          <w:szCs w:val="24"/>
          <w:lang w:val="en-GB" w:eastAsia="de-AT"/>
        </w:rPr>
        <w:t>the client’s preferred position. In contrast, trust in their clients’ willingness to do so</w:t>
      </w:r>
      <w:r w:rsidR="00527D9C">
        <w:rPr>
          <w:rFonts w:ascii="Times New Roman" w:eastAsia="Times New Roman" w:hAnsi="Times New Roman" w:cs="Times New Roman"/>
          <w:sz w:val="24"/>
          <w:szCs w:val="24"/>
          <w:lang w:val="en-GB" w:eastAsia="de-AT"/>
        </w:rPr>
        <w:t xml:space="preserve"> (goodwill trust)</w:t>
      </w:r>
      <w:r w:rsidRPr="000E701B">
        <w:rPr>
          <w:rFonts w:ascii="Times New Roman" w:eastAsia="Times New Roman" w:hAnsi="Times New Roman" w:cs="Times New Roman"/>
          <w:sz w:val="24"/>
          <w:szCs w:val="24"/>
          <w:lang w:val="en-GB" w:eastAsia="de-AT"/>
        </w:rPr>
        <w:t xml:space="preserve"> does not impact on auditors’ </w:t>
      </w:r>
      <w:r w:rsidR="0089484C">
        <w:rPr>
          <w:rFonts w:ascii="Times New Roman" w:eastAsia="Times New Roman" w:hAnsi="Times New Roman" w:cs="Times New Roman"/>
          <w:sz w:val="24"/>
          <w:szCs w:val="24"/>
          <w:lang w:val="en-GB" w:eastAsia="de-AT"/>
        </w:rPr>
        <w:t xml:space="preserve">likelihood to stand up to </w:t>
      </w:r>
      <w:r w:rsidR="00DE7E68">
        <w:rPr>
          <w:rFonts w:ascii="Times New Roman" w:eastAsia="Times New Roman" w:hAnsi="Times New Roman" w:cs="Times New Roman"/>
          <w:sz w:val="24"/>
          <w:szCs w:val="24"/>
          <w:lang w:val="en-GB" w:eastAsia="de-AT"/>
        </w:rPr>
        <w:t>the client’s preferred position</w:t>
      </w:r>
      <w:r w:rsidRPr="000E701B">
        <w:rPr>
          <w:rFonts w:ascii="Times New Roman" w:eastAsia="Times New Roman" w:hAnsi="Times New Roman" w:cs="Times New Roman"/>
          <w:sz w:val="24"/>
          <w:szCs w:val="24"/>
          <w:lang w:val="en-GB" w:eastAsia="de-AT"/>
        </w:rPr>
        <w:t xml:space="preserve">. Equally, clients who trust their auditor’s ability to </w:t>
      </w:r>
      <w:r w:rsidRPr="000E701B">
        <w:rPr>
          <w:rFonts w:ascii="Times New Roman" w:eastAsia="Times New Roman" w:hAnsi="Times New Roman" w:cs="Times New Roman"/>
          <w:sz w:val="24"/>
          <w:szCs w:val="24"/>
          <w:lang w:val="en-US" w:eastAsia="de-AT"/>
        </w:rPr>
        <w:t xml:space="preserve">carry out the audit in an objective and constructive way are less likely to </w:t>
      </w:r>
      <w:r w:rsidR="001645F4">
        <w:rPr>
          <w:rFonts w:ascii="Times New Roman" w:eastAsia="Times New Roman" w:hAnsi="Times New Roman" w:cs="Times New Roman"/>
          <w:sz w:val="24"/>
          <w:szCs w:val="24"/>
          <w:lang w:val="en-US" w:eastAsia="de-AT"/>
        </w:rPr>
        <w:t xml:space="preserve">stand up to </w:t>
      </w:r>
      <w:r w:rsidRPr="000E701B">
        <w:rPr>
          <w:rFonts w:ascii="Times New Roman" w:eastAsia="Times New Roman" w:hAnsi="Times New Roman" w:cs="Times New Roman"/>
          <w:sz w:val="24"/>
          <w:szCs w:val="24"/>
          <w:lang w:val="en-US" w:eastAsia="de-AT"/>
        </w:rPr>
        <w:t xml:space="preserve">the auditor’s preferred position and are more likely to alter the financial statements as required. Clients’ trust in the auditor’s goodwill does, however, not </w:t>
      </w:r>
      <w:r w:rsidR="005F5A79">
        <w:rPr>
          <w:rFonts w:ascii="Times New Roman" w:eastAsia="Times New Roman" w:hAnsi="Times New Roman" w:cs="Times New Roman"/>
          <w:sz w:val="24"/>
          <w:szCs w:val="24"/>
          <w:lang w:val="en-US" w:eastAsia="de-AT"/>
        </w:rPr>
        <w:t xml:space="preserve">affect </w:t>
      </w:r>
      <w:r w:rsidRPr="000E701B">
        <w:rPr>
          <w:rFonts w:ascii="Times New Roman" w:eastAsia="Times New Roman" w:hAnsi="Times New Roman" w:cs="Times New Roman"/>
          <w:sz w:val="24"/>
          <w:szCs w:val="24"/>
          <w:lang w:val="en-US" w:eastAsia="de-AT"/>
        </w:rPr>
        <w:t xml:space="preserve">the likelihood to </w:t>
      </w:r>
      <w:r w:rsidR="001645F4">
        <w:rPr>
          <w:rFonts w:ascii="Times New Roman" w:eastAsia="Times New Roman" w:hAnsi="Times New Roman" w:cs="Times New Roman"/>
          <w:sz w:val="24"/>
          <w:szCs w:val="24"/>
          <w:lang w:val="en-US" w:eastAsia="de-AT"/>
        </w:rPr>
        <w:t xml:space="preserve">stand up to </w:t>
      </w:r>
      <w:r w:rsidRPr="000E701B">
        <w:rPr>
          <w:rFonts w:ascii="Times New Roman" w:eastAsia="Times New Roman" w:hAnsi="Times New Roman" w:cs="Times New Roman"/>
          <w:sz w:val="24"/>
          <w:szCs w:val="24"/>
          <w:lang w:val="en-US" w:eastAsia="de-AT"/>
        </w:rPr>
        <w:t>the auditor’s preferred position.</w:t>
      </w:r>
    </w:p>
    <w:p w14:paraId="7AC70102" w14:textId="3FB2E226" w:rsidR="000E701B" w:rsidRPr="000E701B" w:rsidRDefault="000E701B" w:rsidP="000E701B">
      <w:pPr>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With these </w:t>
      </w:r>
      <w:r w:rsidR="00D95F7B" w:rsidRPr="000E701B">
        <w:rPr>
          <w:rFonts w:ascii="Times New Roman" w:eastAsia="Times New Roman" w:hAnsi="Times New Roman" w:cs="Times New Roman"/>
          <w:sz w:val="24"/>
          <w:szCs w:val="24"/>
          <w:lang w:val="en-GB" w:eastAsia="de-AT"/>
        </w:rPr>
        <w:t>findings,</w:t>
      </w:r>
      <w:r w:rsidRPr="000E701B">
        <w:rPr>
          <w:rFonts w:ascii="Times New Roman" w:eastAsia="Times New Roman" w:hAnsi="Times New Roman" w:cs="Times New Roman"/>
          <w:sz w:val="24"/>
          <w:szCs w:val="24"/>
          <w:lang w:val="en-GB" w:eastAsia="de-AT"/>
        </w:rPr>
        <w:t xml:space="preserve"> we contribute to research and practice in several ways. We add to the literature on auditor-client negotiations by exploring the role of two distinct forms of trust on the outcome of these negotiations. Previous literature highlighted the importance of the context in auditor-client negotiations, with one contextual feature being the social relationship between the auditor and the client. While earlier studies proxied the quality of the relationship by the length of the relationship or the pressure applied by the client (</w:t>
      </w:r>
      <w:r w:rsidRPr="000E701B">
        <w:rPr>
          <w:rFonts w:ascii="Times New Roman" w:eastAsia="Arial Unicode MS" w:hAnsi="Times New Roman" w:cs="Times New Roman"/>
          <w:color w:val="000000"/>
          <w:sz w:val="24"/>
          <w:szCs w:val="24"/>
          <w:u w:color="000000"/>
          <w:lang w:val="en-US" w:eastAsia="de-AT"/>
        </w:rPr>
        <w:t xml:space="preserve">Bamber and </w:t>
      </w:r>
      <w:proofErr w:type="spellStart"/>
      <w:r w:rsidRPr="000E701B">
        <w:rPr>
          <w:rFonts w:ascii="Times New Roman" w:eastAsia="Arial Unicode MS" w:hAnsi="Times New Roman" w:cs="Times New Roman"/>
          <w:color w:val="000000"/>
          <w:sz w:val="24"/>
          <w:szCs w:val="24"/>
          <w:u w:color="000000"/>
          <w:lang w:val="en-US" w:eastAsia="de-AT"/>
        </w:rPr>
        <w:t>Iyer</w:t>
      </w:r>
      <w:proofErr w:type="spellEnd"/>
      <w:r w:rsidRPr="000E701B">
        <w:rPr>
          <w:rFonts w:ascii="Times New Roman" w:eastAsia="Arial Unicode MS" w:hAnsi="Times New Roman" w:cs="Times New Roman"/>
          <w:color w:val="000000"/>
          <w:sz w:val="24"/>
          <w:szCs w:val="24"/>
          <w:u w:color="000000"/>
          <w:lang w:val="en-US" w:eastAsia="de-AT"/>
        </w:rPr>
        <w:t xml:space="preserve"> 2007; Hatfield et al. 2011), we introduce competence trust and goodwill trust as key to </w:t>
      </w:r>
      <w:r w:rsidR="00FF11B8">
        <w:rPr>
          <w:rFonts w:ascii="Times New Roman" w:eastAsia="Arial Unicode MS" w:hAnsi="Times New Roman" w:cs="Times New Roman"/>
          <w:color w:val="000000"/>
          <w:sz w:val="24"/>
          <w:szCs w:val="24"/>
          <w:u w:color="000000"/>
          <w:lang w:val="en-US" w:eastAsia="de-AT"/>
        </w:rPr>
        <w:t>overcoming</w:t>
      </w:r>
      <w:r w:rsidR="00FF11B8" w:rsidRPr="000E701B">
        <w:rPr>
          <w:rFonts w:ascii="Times New Roman" w:eastAsia="Arial Unicode MS" w:hAnsi="Times New Roman" w:cs="Times New Roman"/>
          <w:color w:val="000000"/>
          <w:sz w:val="24"/>
          <w:szCs w:val="24"/>
          <w:u w:color="000000"/>
          <w:lang w:val="en-US" w:eastAsia="de-AT"/>
        </w:rPr>
        <w:t xml:space="preserve"> </w:t>
      </w:r>
      <w:r w:rsidRPr="000E701B">
        <w:rPr>
          <w:rFonts w:ascii="Times New Roman" w:eastAsia="Arial Unicode MS" w:hAnsi="Times New Roman" w:cs="Times New Roman"/>
          <w:color w:val="000000"/>
          <w:sz w:val="24"/>
          <w:szCs w:val="24"/>
          <w:u w:color="000000"/>
          <w:lang w:val="en-US" w:eastAsia="de-AT"/>
        </w:rPr>
        <w:t>the negotiation dilemma.</w:t>
      </w:r>
      <w:r w:rsidR="002711E3">
        <w:rPr>
          <w:rFonts w:ascii="Times New Roman" w:eastAsia="Arial Unicode MS" w:hAnsi="Times New Roman" w:cs="Times New Roman"/>
          <w:color w:val="000000"/>
          <w:sz w:val="24"/>
          <w:szCs w:val="24"/>
          <w:u w:color="000000"/>
          <w:lang w:val="en-US" w:eastAsia="de-AT"/>
        </w:rPr>
        <w:t xml:space="preserve"> </w:t>
      </w:r>
      <w:r w:rsidRPr="000E701B">
        <w:rPr>
          <w:rFonts w:ascii="Times New Roman" w:eastAsia="Arial Unicode MS" w:hAnsi="Times New Roman" w:cs="Times New Roman"/>
          <w:color w:val="000000"/>
          <w:sz w:val="24"/>
          <w:szCs w:val="24"/>
          <w:u w:color="000000"/>
          <w:lang w:val="en-US" w:eastAsia="de-AT"/>
        </w:rPr>
        <w:t>Further, our</w:t>
      </w:r>
      <w:r w:rsidRPr="000E701B">
        <w:rPr>
          <w:rFonts w:ascii="Times New Roman" w:eastAsia="Times New Roman" w:hAnsi="Times New Roman" w:cs="Times New Roman"/>
          <w:sz w:val="24"/>
          <w:szCs w:val="24"/>
          <w:lang w:val="en-GB" w:eastAsia="de-AT"/>
        </w:rPr>
        <w:t xml:space="preserve"> finding that competence trust reduces both the auditor’s and the CFO’s probability to </w:t>
      </w:r>
      <w:r w:rsidR="001645F4">
        <w:rPr>
          <w:rFonts w:ascii="Times New Roman" w:eastAsia="Times New Roman" w:hAnsi="Times New Roman" w:cs="Times New Roman"/>
          <w:sz w:val="24"/>
          <w:szCs w:val="24"/>
          <w:lang w:val="en-GB" w:eastAsia="de-AT"/>
        </w:rPr>
        <w:t xml:space="preserve">stand up to </w:t>
      </w:r>
      <w:r w:rsidRPr="000E701B">
        <w:rPr>
          <w:rFonts w:ascii="Times New Roman" w:eastAsia="Times New Roman" w:hAnsi="Times New Roman" w:cs="Times New Roman"/>
          <w:sz w:val="24"/>
          <w:szCs w:val="24"/>
          <w:lang w:val="en-GB" w:eastAsia="de-AT"/>
        </w:rPr>
        <w:t xml:space="preserve">the </w:t>
      </w:r>
      <w:r w:rsidR="005F5A79">
        <w:rPr>
          <w:rFonts w:ascii="Times New Roman" w:eastAsia="Times New Roman" w:hAnsi="Times New Roman" w:cs="Times New Roman"/>
          <w:sz w:val="24"/>
          <w:szCs w:val="24"/>
          <w:lang w:val="en-GB" w:eastAsia="de-AT"/>
        </w:rPr>
        <w:t xml:space="preserve">interaction partner’s </w:t>
      </w:r>
      <w:r w:rsidRPr="000E701B">
        <w:rPr>
          <w:rFonts w:ascii="Times New Roman" w:eastAsia="Times New Roman" w:hAnsi="Times New Roman" w:cs="Times New Roman"/>
          <w:sz w:val="24"/>
          <w:szCs w:val="24"/>
          <w:lang w:val="en-GB" w:eastAsia="de-AT"/>
        </w:rPr>
        <w:t xml:space="preserve">position, highlights the importance of personal interaction between the auditor and the client in order to enable both to obtain a realistic picture of the interaction partner’s competences. In contrast, goodwill trust affects neither the auditor’s nor the CFO’s decision to </w:t>
      </w:r>
      <w:r w:rsidR="005F5A79">
        <w:rPr>
          <w:rFonts w:ascii="Times New Roman" w:eastAsia="Times New Roman" w:hAnsi="Times New Roman" w:cs="Times New Roman"/>
          <w:sz w:val="24"/>
          <w:szCs w:val="24"/>
          <w:lang w:val="en-GB" w:eastAsia="de-AT"/>
        </w:rPr>
        <w:t xml:space="preserve">stand up </w:t>
      </w:r>
      <w:r w:rsidRPr="000E701B">
        <w:rPr>
          <w:rFonts w:ascii="Times New Roman" w:eastAsia="Times New Roman" w:hAnsi="Times New Roman" w:cs="Times New Roman"/>
          <w:sz w:val="24"/>
          <w:szCs w:val="24"/>
          <w:lang w:val="en-GB" w:eastAsia="de-AT"/>
        </w:rPr>
        <w:t xml:space="preserve">to the </w:t>
      </w:r>
      <w:r w:rsidR="009C7FE7">
        <w:rPr>
          <w:rFonts w:ascii="Times New Roman" w:eastAsia="Times New Roman" w:hAnsi="Times New Roman" w:cs="Times New Roman"/>
          <w:sz w:val="24"/>
          <w:szCs w:val="24"/>
          <w:lang w:val="en-GB" w:eastAsia="de-AT"/>
        </w:rPr>
        <w:t>interaction partner</w:t>
      </w:r>
      <w:r w:rsidRPr="000E701B">
        <w:rPr>
          <w:rFonts w:ascii="Times New Roman" w:eastAsia="Times New Roman" w:hAnsi="Times New Roman" w:cs="Times New Roman"/>
          <w:sz w:val="24"/>
          <w:szCs w:val="24"/>
          <w:lang w:val="en-GB" w:eastAsia="de-AT"/>
        </w:rPr>
        <w:t>’s preferred position. Thus, the discussion on the threat for auditor’s objectivity arising from close social ties between auditor and client seems to have overrated the goodwill component and overlooked the aspect of perceived competence</w:t>
      </w:r>
      <w:r w:rsidR="000B630C">
        <w:rPr>
          <w:rFonts w:ascii="Times New Roman" w:eastAsia="Times New Roman" w:hAnsi="Times New Roman" w:cs="Times New Roman"/>
          <w:sz w:val="24"/>
          <w:szCs w:val="24"/>
          <w:lang w:val="en-GB" w:eastAsia="de-AT"/>
        </w:rPr>
        <w:t xml:space="preserve"> </w:t>
      </w:r>
      <w:r w:rsidR="000B630C" w:rsidRPr="000E701B">
        <w:rPr>
          <w:rFonts w:ascii="Times New Roman" w:eastAsia="Times New Roman" w:hAnsi="Times New Roman" w:cs="Times New Roman"/>
          <w:sz w:val="24"/>
          <w:szCs w:val="24"/>
          <w:lang w:val="en-GB" w:eastAsia="de-AT"/>
        </w:rPr>
        <w:t>(Aschauer et al. 2017)</w:t>
      </w:r>
      <w:r w:rsidRPr="000E701B">
        <w:rPr>
          <w:rFonts w:ascii="Times New Roman" w:eastAsia="Times New Roman" w:hAnsi="Times New Roman" w:cs="Times New Roman"/>
          <w:sz w:val="24"/>
          <w:szCs w:val="24"/>
          <w:lang w:val="en-GB" w:eastAsia="de-AT"/>
        </w:rPr>
        <w:t xml:space="preserve">. As </w:t>
      </w:r>
      <w:r w:rsidRPr="000E701B">
        <w:rPr>
          <w:rFonts w:ascii="Times New Roman" w:eastAsia="Arial Unicode MS" w:hAnsi="Times New Roman" w:cs="Times New Roman"/>
          <w:color w:val="000000"/>
          <w:sz w:val="24"/>
          <w:szCs w:val="24"/>
          <w:u w:color="000000"/>
          <w:lang w:val="en-US" w:eastAsia="de-AT"/>
        </w:rPr>
        <w:t>trust may entail both positive and negative effects (Kong et al. 2014)</w:t>
      </w:r>
      <w:r w:rsidRPr="000E701B">
        <w:rPr>
          <w:rFonts w:ascii="Times New Roman" w:eastAsia="Times New Roman" w:hAnsi="Times New Roman" w:cs="Times New Roman"/>
          <w:sz w:val="24"/>
          <w:szCs w:val="24"/>
          <w:lang w:val="en-GB" w:eastAsia="de-AT"/>
        </w:rPr>
        <w:t>, our findings are highly relevant for regulators, because they inform about the crucial importance of competence trust for the auditing negotiation outcome.</w:t>
      </w:r>
    </w:p>
    <w:p w14:paraId="3F7E9074" w14:textId="77777777" w:rsidR="000E701B" w:rsidRPr="000E701B" w:rsidRDefault="000E701B" w:rsidP="000E701B">
      <w:pPr>
        <w:spacing w:before="120" w:after="120" w:line="240" w:lineRule="auto"/>
        <w:jc w:val="both"/>
        <w:outlineLvl w:val="0"/>
        <w:rPr>
          <w:rFonts w:ascii="Times New Roman" w:eastAsia="Times New Roman" w:hAnsi="Times New Roman" w:cs="Times New Roman"/>
          <w:b/>
          <w:sz w:val="24"/>
          <w:szCs w:val="24"/>
          <w:lang w:val="en-GB" w:eastAsia="de-AT"/>
        </w:rPr>
      </w:pPr>
    </w:p>
    <w:p w14:paraId="75788D2D" w14:textId="77777777" w:rsidR="000E701B" w:rsidRPr="000E701B" w:rsidRDefault="000E701B" w:rsidP="00096096">
      <w:pPr>
        <w:keepNext/>
        <w:spacing w:before="120" w:after="120" w:line="240" w:lineRule="auto"/>
        <w:outlineLvl w:val="0"/>
        <w:rPr>
          <w:rFonts w:ascii="Times New Roman" w:eastAsia="Times New Roman" w:hAnsi="Times New Roman" w:cs="Times New Roman"/>
          <w:b/>
          <w:caps/>
          <w:sz w:val="24"/>
          <w:szCs w:val="24"/>
          <w:lang w:val="en-US" w:eastAsia="de-AT"/>
        </w:rPr>
      </w:pPr>
      <w:r w:rsidRPr="000E701B">
        <w:rPr>
          <w:rFonts w:ascii="Times New Roman" w:eastAsia="Times New Roman" w:hAnsi="Times New Roman" w:cs="Times New Roman"/>
          <w:b/>
          <w:caps/>
          <w:sz w:val="24"/>
          <w:szCs w:val="24"/>
          <w:lang w:val="en-US" w:eastAsia="de-AT"/>
        </w:rPr>
        <w:t>Theoretical background and development of hypotheses</w:t>
      </w:r>
    </w:p>
    <w:p w14:paraId="2CCCEBCA" w14:textId="77777777" w:rsidR="000E701B" w:rsidRPr="000E701B" w:rsidRDefault="000E701B" w:rsidP="00096096">
      <w:pPr>
        <w:keepNext/>
        <w:spacing w:before="120" w:after="120" w:line="240" w:lineRule="auto"/>
        <w:jc w:val="both"/>
        <w:outlineLvl w:val="0"/>
        <w:rPr>
          <w:rFonts w:ascii="Times New Roman" w:eastAsia="Arial Unicode MS" w:hAnsi="Times New Roman" w:cs="Times New Roman"/>
          <w:b/>
          <w:color w:val="000000"/>
          <w:sz w:val="24"/>
          <w:szCs w:val="24"/>
          <w:u w:color="000000"/>
          <w:lang w:val="en-US" w:eastAsia="de-AT"/>
        </w:rPr>
      </w:pPr>
    </w:p>
    <w:p w14:paraId="4C7E6259" w14:textId="77777777" w:rsidR="000E701B" w:rsidRPr="000E701B" w:rsidRDefault="000E701B" w:rsidP="00096096">
      <w:pPr>
        <w:keepNext/>
        <w:spacing w:before="120" w:after="120" w:line="240" w:lineRule="auto"/>
        <w:jc w:val="both"/>
        <w:outlineLvl w:val="0"/>
        <w:rPr>
          <w:rFonts w:ascii="Times New Roman" w:eastAsia="Arial Unicode MS" w:hAnsi="Times New Roman" w:cs="Times New Roman"/>
          <w:b/>
          <w:color w:val="000000"/>
          <w:sz w:val="24"/>
          <w:szCs w:val="24"/>
          <w:u w:color="000000"/>
          <w:lang w:val="en-US" w:eastAsia="de-AT"/>
        </w:rPr>
      </w:pPr>
      <w:r w:rsidRPr="000E701B">
        <w:rPr>
          <w:rFonts w:ascii="Times New Roman" w:eastAsia="Arial Unicode MS" w:hAnsi="Times New Roman" w:cs="Times New Roman"/>
          <w:b/>
          <w:color w:val="000000"/>
          <w:sz w:val="24"/>
          <w:szCs w:val="24"/>
          <w:u w:color="000000"/>
          <w:lang w:val="en-US" w:eastAsia="de-AT"/>
        </w:rPr>
        <w:t>Auditing as negotiation – a dilemma</w:t>
      </w:r>
    </w:p>
    <w:p w14:paraId="278FD27D" w14:textId="68354EE9" w:rsidR="000E701B" w:rsidRPr="000E701B" w:rsidRDefault="000E701B" w:rsidP="00096096">
      <w:pPr>
        <w:keepNext/>
        <w:spacing w:before="120" w:after="120" w:line="240" w:lineRule="auto"/>
        <w:ind w:firstLine="709"/>
        <w:jc w:val="both"/>
        <w:outlineLvl w:val="0"/>
        <w:rPr>
          <w:rFonts w:ascii="Times New Roman" w:eastAsia="Arial Unicode MS" w:hAnsi="Times New Roman" w:cs="Times New Roman"/>
          <w:color w:val="000000"/>
          <w:sz w:val="24"/>
          <w:szCs w:val="24"/>
          <w:u w:color="000000"/>
          <w:lang w:val="en-US" w:eastAsia="de-AT"/>
        </w:rPr>
      </w:pPr>
      <w:r w:rsidRPr="000E701B">
        <w:rPr>
          <w:rFonts w:ascii="Times New Roman" w:eastAsia="Arial Unicode MS" w:hAnsi="Times New Roman" w:cs="Times New Roman"/>
          <w:color w:val="000000"/>
          <w:sz w:val="24"/>
          <w:szCs w:val="24"/>
          <w:u w:color="000000"/>
          <w:lang w:val="en-US" w:eastAsia="de-AT"/>
        </w:rPr>
        <w:t>Financial statements are widely viewed as</w:t>
      </w:r>
      <w:r w:rsidR="00FF11B8">
        <w:rPr>
          <w:rFonts w:ascii="Times New Roman" w:eastAsia="Arial Unicode MS" w:hAnsi="Times New Roman" w:cs="Times New Roman"/>
          <w:color w:val="000000"/>
          <w:sz w:val="24"/>
          <w:szCs w:val="24"/>
          <w:u w:color="000000"/>
          <w:lang w:val="en-US" w:eastAsia="de-AT"/>
        </w:rPr>
        <w:t xml:space="preserve"> the</w:t>
      </w:r>
      <w:r w:rsidRPr="000E701B">
        <w:rPr>
          <w:rFonts w:ascii="Times New Roman" w:eastAsia="Arial Unicode MS" w:hAnsi="Times New Roman" w:cs="Times New Roman"/>
          <w:color w:val="000000"/>
          <w:sz w:val="24"/>
          <w:szCs w:val="24"/>
          <w:u w:color="000000"/>
          <w:lang w:val="en-US" w:eastAsia="de-AT"/>
        </w:rPr>
        <w:t xml:space="preserve"> outcome of negotiations between auditors and their clients (e.g., </w:t>
      </w:r>
      <w:proofErr w:type="spellStart"/>
      <w:r w:rsidRPr="000E701B">
        <w:rPr>
          <w:rFonts w:ascii="Times New Roman" w:eastAsia="Arial Unicode MS" w:hAnsi="Times New Roman" w:cs="Times New Roman"/>
          <w:color w:val="000000"/>
          <w:sz w:val="24"/>
          <w:szCs w:val="24"/>
          <w:u w:color="000000"/>
          <w:lang w:val="en-US" w:eastAsia="de-AT"/>
        </w:rPr>
        <w:t>Antle</w:t>
      </w:r>
      <w:proofErr w:type="spellEnd"/>
      <w:r w:rsidRPr="000E701B">
        <w:rPr>
          <w:rFonts w:ascii="Times New Roman" w:eastAsia="Arial Unicode MS" w:hAnsi="Times New Roman" w:cs="Times New Roman"/>
          <w:color w:val="000000"/>
          <w:sz w:val="24"/>
          <w:szCs w:val="24"/>
          <w:u w:color="000000"/>
          <w:lang w:val="en-US" w:eastAsia="de-AT"/>
        </w:rPr>
        <w:t xml:space="preserve"> and Nalebuff 1991; </w:t>
      </w:r>
      <w:r w:rsidR="003F3E15">
        <w:rPr>
          <w:rFonts w:ascii="Times New Roman" w:eastAsia="Arial Unicode MS" w:hAnsi="Times New Roman" w:cs="Times New Roman"/>
          <w:color w:val="000000"/>
          <w:sz w:val="24"/>
          <w:szCs w:val="24"/>
          <w:u w:color="000000"/>
          <w:lang w:val="en-US" w:eastAsia="de-AT"/>
        </w:rPr>
        <w:t xml:space="preserve">Cipriano et al. </w:t>
      </w:r>
      <w:r w:rsidR="000B3B67">
        <w:rPr>
          <w:rFonts w:ascii="Times New Roman" w:eastAsia="Arial Unicode MS" w:hAnsi="Times New Roman" w:cs="Times New Roman"/>
          <w:color w:val="000000"/>
          <w:sz w:val="24"/>
          <w:szCs w:val="24"/>
          <w:u w:color="000000"/>
          <w:lang w:val="en-US" w:eastAsia="de-AT"/>
        </w:rPr>
        <w:t xml:space="preserve">2017; </w:t>
      </w:r>
      <w:r w:rsidRPr="000E701B">
        <w:rPr>
          <w:rFonts w:ascii="Times New Roman" w:eastAsia="Arial Unicode MS" w:hAnsi="Times New Roman" w:cs="Times New Roman"/>
          <w:color w:val="000000"/>
          <w:sz w:val="24"/>
          <w:szCs w:val="24"/>
          <w:u w:color="000000"/>
          <w:lang w:val="en-US" w:eastAsia="de-AT"/>
        </w:rPr>
        <w:t xml:space="preserve">Trotman et al. 2005). In </w:t>
      </w:r>
      <w:r w:rsidRPr="000E701B">
        <w:rPr>
          <w:rFonts w:ascii="Times New Roman" w:eastAsia="Arial Unicode MS" w:hAnsi="Times New Roman" w:cs="Times New Roman"/>
          <w:color w:val="000000"/>
          <w:sz w:val="24"/>
          <w:szCs w:val="24"/>
          <w:u w:color="000000"/>
          <w:lang w:val="en-US" w:eastAsia="de-AT"/>
        </w:rPr>
        <w:lastRenderedPageBreak/>
        <w:t>general, negotiations describe social processes in which two or more parties with non-identical preferences jointly make decisions that affect the welfare of the parties involved (</w:t>
      </w:r>
      <w:proofErr w:type="spellStart"/>
      <w:r w:rsidRPr="000E701B">
        <w:rPr>
          <w:rFonts w:ascii="Times New Roman" w:eastAsia="Arial Unicode MS" w:hAnsi="Times New Roman" w:cs="Times New Roman"/>
          <w:color w:val="000000"/>
          <w:sz w:val="24"/>
          <w:szCs w:val="24"/>
          <w:u w:color="000000"/>
          <w:lang w:val="en-US" w:eastAsia="de-AT"/>
        </w:rPr>
        <w:t>Murnighan</w:t>
      </w:r>
      <w:proofErr w:type="spellEnd"/>
      <w:r w:rsidRPr="000E701B">
        <w:rPr>
          <w:rFonts w:ascii="Times New Roman" w:eastAsia="Arial Unicode MS" w:hAnsi="Times New Roman" w:cs="Times New Roman"/>
          <w:color w:val="000000"/>
          <w:sz w:val="24"/>
          <w:szCs w:val="24"/>
          <w:u w:color="000000"/>
          <w:lang w:val="en-US" w:eastAsia="de-AT"/>
        </w:rPr>
        <w:t xml:space="preserve"> and Bazerman 1990). At least at the beginning of a negotiation, information is not equally distributed between the parties. As a consequence, negotiators often face a dilemma, as </w:t>
      </w:r>
      <w:r w:rsidR="00727BEF">
        <w:rPr>
          <w:rFonts w:ascii="Times New Roman" w:eastAsia="Arial Unicode MS" w:hAnsi="Times New Roman" w:cs="Times New Roman"/>
          <w:color w:val="000000"/>
          <w:sz w:val="24"/>
          <w:szCs w:val="24"/>
          <w:u w:color="000000"/>
          <w:lang w:val="en-US" w:eastAsia="de-AT"/>
        </w:rPr>
        <w:t>these information asymmetries can only be reduced by sharing information</w:t>
      </w:r>
      <w:r w:rsidR="007D1E28">
        <w:rPr>
          <w:rFonts w:ascii="Times New Roman" w:eastAsia="Arial Unicode MS" w:hAnsi="Times New Roman" w:cs="Times New Roman"/>
          <w:color w:val="000000"/>
          <w:sz w:val="24"/>
          <w:szCs w:val="24"/>
          <w:u w:color="000000"/>
          <w:lang w:val="en-US" w:eastAsia="de-AT"/>
        </w:rPr>
        <w:t xml:space="preserve"> (</w:t>
      </w:r>
      <w:r w:rsidR="006C07E9">
        <w:rPr>
          <w:rFonts w:ascii="Times New Roman" w:eastAsia="Arial Unicode MS" w:hAnsi="Times New Roman" w:cs="Times New Roman"/>
          <w:color w:val="000000"/>
          <w:sz w:val="24"/>
          <w:szCs w:val="24"/>
          <w:u w:color="000000"/>
          <w:lang w:val="en-US" w:eastAsia="de-AT"/>
        </w:rPr>
        <w:t>e.g. Thompson 1991)</w:t>
      </w:r>
      <w:r w:rsidR="007D1E28">
        <w:rPr>
          <w:rFonts w:ascii="Times New Roman" w:eastAsia="Arial Unicode MS" w:hAnsi="Times New Roman" w:cs="Times New Roman"/>
          <w:color w:val="000000"/>
          <w:sz w:val="24"/>
          <w:szCs w:val="24"/>
          <w:u w:color="000000"/>
          <w:lang w:val="en-US" w:eastAsia="de-AT"/>
        </w:rPr>
        <w:t xml:space="preserve">. However, </w:t>
      </w:r>
      <w:r w:rsidRPr="000E701B">
        <w:rPr>
          <w:rFonts w:ascii="Times New Roman" w:eastAsia="Arial Unicode MS" w:hAnsi="Times New Roman" w:cs="Times New Roman"/>
          <w:color w:val="000000"/>
          <w:sz w:val="24"/>
          <w:szCs w:val="24"/>
          <w:u w:color="000000"/>
          <w:lang w:val="en-US" w:eastAsia="de-AT"/>
        </w:rPr>
        <w:t>cooperative</w:t>
      </w:r>
      <w:r w:rsidR="007D1E28">
        <w:rPr>
          <w:rFonts w:ascii="Times New Roman" w:eastAsia="Arial Unicode MS" w:hAnsi="Times New Roman" w:cs="Times New Roman"/>
          <w:color w:val="000000"/>
          <w:sz w:val="24"/>
          <w:szCs w:val="24"/>
          <w:u w:color="000000"/>
          <w:lang w:val="en-US" w:eastAsia="de-AT"/>
        </w:rPr>
        <w:t>, information</w:t>
      </w:r>
      <w:r w:rsidR="006C07E9">
        <w:rPr>
          <w:rFonts w:ascii="Times New Roman" w:eastAsia="Arial Unicode MS" w:hAnsi="Times New Roman" w:cs="Times New Roman"/>
          <w:color w:val="000000"/>
          <w:sz w:val="24"/>
          <w:szCs w:val="24"/>
          <w:u w:color="000000"/>
          <w:lang w:val="en-US" w:eastAsia="de-AT"/>
        </w:rPr>
        <w:t>-</w:t>
      </w:r>
      <w:r w:rsidR="007D1E28">
        <w:rPr>
          <w:rFonts w:ascii="Times New Roman" w:eastAsia="Arial Unicode MS" w:hAnsi="Times New Roman" w:cs="Times New Roman"/>
          <w:color w:val="000000"/>
          <w:sz w:val="24"/>
          <w:szCs w:val="24"/>
          <w:u w:color="000000"/>
          <w:lang w:val="en-US" w:eastAsia="de-AT"/>
        </w:rPr>
        <w:t xml:space="preserve">sharing </w:t>
      </w:r>
      <w:r w:rsidRPr="000E701B">
        <w:rPr>
          <w:rFonts w:ascii="Times New Roman" w:eastAsia="Arial Unicode MS" w:hAnsi="Times New Roman" w:cs="Times New Roman"/>
          <w:color w:val="000000"/>
          <w:sz w:val="24"/>
          <w:szCs w:val="24"/>
          <w:u w:color="000000"/>
          <w:lang w:val="en-US" w:eastAsia="de-AT"/>
        </w:rPr>
        <w:t xml:space="preserve">behaviors may on the one hand increase the negotiators’ welfare and possibly also the welfare of the </w:t>
      </w:r>
      <w:r w:rsidR="009C7FE7">
        <w:rPr>
          <w:rFonts w:ascii="Times New Roman" w:eastAsia="Times New Roman" w:hAnsi="Times New Roman" w:cs="Times New Roman"/>
          <w:sz w:val="24"/>
          <w:szCs w:val="24"/>
          <w:lang w:val="en-GB" w:eastAsia="de-AT"/>
        </w:rPr>
        <w:t>interaction partner</w:t>
      </w:r>
      <w:r w:rsidRPr="000E701B">
        <w:rPr>
          <w:rFonts w:ascii="Times New Roman" w:eastAsia="Arial Unicode MS" w:hAnsi="Times New Roman" w:cs="Times New Roman"/>
          <w:color w:val="000000"/>
          <w:sz w:val="24"/>
          <w:szCs w:val="24"/>
          <w:u w:color="000000"/>
          <w:lang w:val="en-US" w:eastAsia="de-AT"/>
        </w:rPr>
        <w:t xml:space="preserve"> but may on the other hand also increase the risk of being taken advantage of by the </w:t>
      </w:r>
      <w:r w:rsidR="009C7FE7">
        <w:rPr>
          <w:rFonts w:ascii="Times New Roman" w:eastAsia="Times New Roman" w:hAnsi="Times New Roman" w:cs="Times New Roman"/>
          <w:sz w:val="24"/>
          <w:szCs w:val="24"/>
          <w:lang w:val="en-GB" w:eastAsia="de-AT"/>
        </w:rPr>
        <w:t>interaction partner</w:t>
      </w:r>
      <w:r w:rsidRPr="000E701B">
        <w:rPr>
          <w:rFonts w:ascii="Times New Roman" w:eastAsia="Arial Unicode MS" w:hAnsi="Times New Roman" w:cs="Times New Roman"/>
          <w:color w:val="000000"/>
          <w:sz w:val="24"/>
          <w:szCs w:val="24"/>
          <w:u w:color="000000"/>
          <w:lang w:val="en-US" w:eastAsia="de-AT"/>
        </w:rPr>
        <w:t xml:space="preserve"> (</w:t>
      </w:r>
      <w:proofErr w:type="spellStart"/>
      <w:r w:rsidRPr="000E701B">
        <w:rPr>
          <w:rFonts w:ascii="Times New Roman" w:eastAsia="Arial Unicode MS" w:hAnsi="Times New Roman" w:cs="Times New Roman"/>
          <w:color w:val="000000"/>
          <w:sz w:val="24"/>
          <w:szCs w:val="24"/>
          <w:u w:color="000000"/>
          <w:lang w:val="en-US" w:eastAsia="de-AT"/>
        </w:rPr>
        <w:t>Murnighan</w:t>
      </w:r>
      <w:proofErr w:type="spellEnd"/>
      <w:r w:rsidRPr="000E701B">
        <w:rPr>
          <w:rFonts w:ascii="Times New Roman" w:eastAsia="Arial Unicode MS" w:hAnsi="Times New Roman" w:cs="Times New Roman"/>
          <w:color w:val="000000"/>
          <w:sz w:val="24"/>
          <w:szCs w:val="24"/>
          <w:u w:color="000000"/>
          <w:lang w:val="en-US" w:eastAsia="de-AT"/>
        </w:rPr>
        <w:t xml:space="preserve"> et al. 1999</w:t>
      </w:r>
      <w:r w:rsidRPr="000E701B">
        <w:rPr>
          <w:rFonts w:ascii="Times New Roman" w:eastAsia="Arial Unicode MS" w:hAnsi="Times New Roman" w:cs="Times New Roman"/>
          <w:color w:val="000000"/>
          <w:sz w:val="24"/>
          <w:szCs w:val="24"/>
          <w:u w:color="000000"/>
          <w:lang w:val="en-GB" w:eastAsia="de-AT"/>
        </w:rPr>
        <w:t xml:space="preserve">). Negotiation dilemmas are therefore characterised by two distinctive features: First, they involve both opportunities and risks for the negotiators, and second, the negotiation outcome is also contingent on the behaviour of the </w:t>
      </w:r>
      <w:r w:rsidR="009C7FE7">
        <w:rPr>
          <w:rFonts w:ascii="Times New Roman" w:eastAsia="Times New Roman" w:hAnsi="Times New Roman" w:cs="Times New Roman"/>
          <w:sz w:val="24"/>
          <w:szCs w:val="24"/>
          <w:lang w:val="en-GB" w:eastAsia="de-AT"/>
        </w:rPr>
        <w:t>interaction partner</w:t>
      </w:r>
      <w:r w:rsidR="009C7FE7" w:rsidRPr="000E701B">
        <w:rPr>
          <w:rFonts w:ascii="Times New Roman" w:eastAsia="Arial Unicode MS" w:hAnsi="Times New Roman" w:cs="Times New Roman"/>
          <w:color w:val="000000"/>
          <w:sz w:val="24"/>
          <w:szCs w:val="24"/>
          <w:u w:color="000000"/>
          <w:lang w:val="en-GB" w:eastAsia="de-AT"/>
        </w:rPr>
        <w:t xml:space="preserve"> </w:t>
      </w:r>
      <w:r w:rsidRPr="000E701B">
        <w:rPr>
          <w:rFonts w:ascii="Times New Roman" w:eastAsia="Arial Unicode MS" w:hAnsi="Times New Roman" w:cs="Times New Roman"/>
          <w:color w:val="000000"/>
          <w:sz w:val="24"/>
          <w:szCs w:val="24"/>
          <w:u w:color="000000"/>
          <w:lang w:val="en-GB" w:eastAsia="de-AT"/>
        </w:rPr>
        <w:t>(</w:t>
      </w:r>
      <w:r w:rsidRPr="000E701B">
        <w:rPr>
          <w:rFonts w:ascii="Times New Roman" w:eastAsia="Arial Unicode MS" w:hAnsi="Times New Roman" w:cs="Times New Roman"/>
          <w:color w:val="000000"/>
          <w:sz w:val="24"/>
          <w:szCs w:val="24"/>
          <w:u w:color="000000"/>
          <w:lang w:val="en-US" w:eastAsia="de-AT"/>
        </w:rPr>
        <w:t xml:space="preserve">Kong et al. 2014). </w:t>
      </w:r>
    </w:p>
    <w:p w14:paraId="6CBCC24D" w14:textId="0392C2A6" w:rsidR="00423F03" w:rsidRDefault="000E701B" w:rsidP="000E701B">
      <w:pPr>
        <w:spacing w:before="120" w:after="120" w:line="240" w:lineRule="auto"/>
        <w:ind w:firstLine="709"/>
        <w:jc w:val="both"/>
        <w:outlineLvl w:val="0"/>
        <w:rPr>
          <w:rFonts w:ascii="Times New Roman" w:eastAsia="Arial Unicode MS" w:hAnsi="Times New Roman" w:cs="Times New Roman"/>
          <w:color w:val="000000"/>
          <w:sz w:val="24"/>
          <w:szCs w:val="24"/>
          <w:u w:color="000000"/>
          <w:lang w:val="en-US" w:eastAsia="de-AT"/>
        </w:rPr>
      </w:pPr>
      <w:r w:rsidRPr="000E701B">
        <w:rPr>
          <w:rFonts w:ascii="Times New Roman" w:eastAsia="Arial Unicode MS" w:hAnsi="Times New Roman" w:cs="Times New Roman"/>
          <w:color w:val="000000"/>
          <w:sz w:val="24"/>
          <w:szCs w:val="24"/>
          <w:u w:color="000000"/>
          <w:lang w:val="en-US" w:eastAsia="de-AT"/>
        </w:rPr>
        <w:t>In the auditing context, the common negotiation goal of both auditor and client is to prevent a qualified audit opinion (Brown and Wright 2008; Gibbins et al. 2001), because a qualified audit opinion would increase the auditor’s risk not to be reappointed and not to obtain contracts for non-audit services from the client, and reduce the client’s ability to use financial statements to attract additional capital or other resources</w:t>
      </w:r>
      <w:r w:rsidR="00B71A39">
        <w:rPr>
          <w:rFonts w:ascii="Times New Roman" w:eastAsia="Arial Unicode MS" w:hAnsi="Times New Roman" w:cs="Times New Roman"/>
          <w:color w:val="000000"/>
          <w:sz w:val="24"/>
          <w:szCs w:val="24"/>
          <w:u w:color="000000"/>
          <w:lang w:val="en-US" w:eastAsia="de-AT"/>
        </w:rPr>
        <w:t xml:space="preserve"> (Carrington 2010)</w:t>
      </w:r>
      <w:r w:rsidRPr="000E701B">
        <w:rPr>
          <w:rFonts w:ascii="Times New Roman" w:eastAsia="Arial Unicode MS" w:hAnsi="Times New Roman" w:cs="Times New Roman"/>
          <w:color w:val="000000"/>
          <w:sz w:val="24"/>
          <w:szCs w:val="24"/>
          <w:u w:color="000000"/>
          <w:lang w:val="en-US" w:eastAsia="de-AT"/>
        </w:rPr>
        <w:t xml:space="preserve">. In spite of this common goal, the auditor’s and the client’s individual goals may differ severely with the auditor playing safe to minimize his risk and the client trying to stretch accounting standards to pursue personal as well as company interests. Due to these differing individual goals, the client will not simply alter financial statements to reflect all proposed audit adjustments (Wright and Wright 1997), just as the auditor will not simply waive all detected misstatements, irrespective of their materiality. Rather, they will enter into negotiations. </w:t>
      </w:r>
    </w:p>
    <w:p w14:paraId="538ADD4D" w14:textId="5943C24B" w:rsidR="000E701B" w:rsidRPr="000E701B" w:rsidRDefault="000E701B" w:rsidP="000E701B">
      <w:pPr>
        <w:spacing w:before="120" w:after="120" w:line="240" w:lineRule="auto"/>
        <w:ind w:firstLine="709"/>
        <w:jc w:val="both"/>
        <w:outlineLvl w:val="0"/>
        <w:rPr>
          <w:rFonts w:ascii="Times New Roman" w:eastAsia="Arial Unicode MS" w:hAnsi="Times New Roman" w:cs="Times New Roman"/>
          <w:color w:val="000000"/>
          <w:sz w:val="24"/>
          <w:szCs w:val="24"/>
          <w:u w:color="000000"/>
          <w:lang w:val="en-US" w:eastAsia="de-AT"/>
        </w:rPr>
      </w:pPr>
      <w:r w:rsidRPr="000E701B">
        <w:rPr>
          <w:rFonts w:ascii="Times New Roman" w:eastAsia="Arial Unicode MS" w:hAnsi="Times New Roman" w:cs="Times New Roman"/>
          <w:color w:val="000000"/>
          <w:sz w:val="24"/>
          <w:szCs w:val="24"/>
          <w:u w:color="000000"/>
          <w:lang w:val="en-US" w:eastAsia="de-AT"/>
        </w:rPr>
        <w:t xml:space="preserve">For these negotiations, both the auditor and the client require timely, accurate, complete and relevant information from their counterpart </w:t>
      </w:r>
      <w:r w:rsidRPr="000E701B">
        <w:rPr>
          <w:rFonts w:ascii="Times New Roman" w:eastAsia="Arial Unicode MS" w:hAnsi="Times New Roman" w:cs="Times New Roman"/>
          <w:color w:val="000000"/>
          <w:sz w:val="24"/>
          <w:szCs w:val="24"/>
          <w:u w:color="000000"/>
          <w:lang w:val="en-US" w:eastAsia="de-AT"/>
        </w:rPr>
        <w:sym w:font="Symbol" w:char="F02D"/>
      </w:r>
      <w:r w:rsidRPr="000E701B">
        <w:rPr>
          <w:rFonts w:ascii="Times New Roman" w:eastAsia="Arial Unicode MS" w:hAnsi="Times New Roman" w:cs="Times New Roman"/>
          <w:color w:val="000000"/>
          <w:sz w:val="24"/>
          <w:szCs w:val="24"/>
          <w:u w:color="000000"/>
          <w:lang w:val="en-US" w:eastAsia="de-AT"/>
        </w:rPr>
        <w:t xml:space="preserve"> the auditor to gain an accurate picture of the firm’s situation and the client to solve any issues raised by the auditor that would prevent an unqualified audit opinion. However, due to the uncertainty about how the interaction partner would use the information provided both sides tend to hold back </w:t>
      </w:r>
      <w:r w:rsidR="003C44F8">
        <w:rPr>
          <w:rFonts w:ascii="Times New Roman" w:eastAsia="Arial Unicode MS" w:hAnsi="Times New Roman" w:cs="Times New Roman"/>
          <w:color w:val="000000"/>
          <w:sz w:val="24"/>
          <w:szCs w:val="24"/>
          <w:u w:color="000000"/>
          <w:lang w:val="en-US" w:eastAsia="de-AT"/>
        </w:rPr>
        <w:t xml:space="preserve">private </w:t>
      </w:r>
      <w:r w:rsidRPr="000E701B">
        <w:rPr>
          <w:rFonts w:ascii="Times New Roman" w:eastAsia="Arial Unicode MS" w:hAnsi="Times New Roman" w:cs="Times New Roman"/>
          <w:color w:val="000000"/>
          <w:sz w:val="24"/>
          <w:szCs w:val="24"/>
          <w:u w:color="000000"/>
          <w:lang w:val="en-US" w:eastAsia="de-AT"/>
        </w:rPr>
        <w:t>information.</w:t>
      </w:r>
      <w:r w:rsidR="00711704">
        <w:rPr>
          <w:rFonts w:ascii="Times New Roman" w:eastAsia="Arial Unicode MS" w:hAnsi="Times New Roman" w:cs="Times New Roman"/>
          <w:color w:val="000000"/>
          <w:sz w:val="24"/>
          <w:szCs w:val="24"/>
          <w:u w:color="000000"/>
          <w:lang w:val="en-US" w:eastAsia="de-AT"/>
        </w:rPr>
        <w:t xml:space="preserve"> The client will thus be reluctant to disclose sensitive data on the firm’s operations and the risks it is exposed to</w:t>
      </w:r>
      <w:r w:rsidR="00CD656C">
        <w:rPr>
          <w:rFonts w:ascii="Times New Roman" w:eastAsia="Arial Unicode MS" w:hAnsi="Times New Roman" w:cs="Times New Roman"/>
          <w:color w:val="000000"/>
          <w:sz w:val="24"/>
          <w:szCs w:val="24"/>
          <w:u w:color="000000"/>
          <w:lang w:val="en-US" w:eastAsia="de-AT"/>
        </w:rPr>
        <w:t xml:space="preserve">, as they </w:t>
      </w:r>
      <w:r w:rsidR="006D1299">
        <w:rPr>
          <w:rFonts w:ascii="Times New Roman" w:eastAsia="Arial Unicode MS" w:hAnsi="Times New Roman" w:cs="Times New Roman"/>
          <w:color w:val="000000"/>
          <w:sz w:val="24"/>
          <w:szCs w:val="24"/>
          <w:u w:color="000000"/>
          <w:lang w:val="en-US" w:eastAsia="de-AT"/>
        </w:rPr>
        <w:t xml:space="preserve">fear that this data is misused </w:t>
      </w:r>
      <w:r w:rsidR="00E1636C">
        <w:rPr>
          <w:rFonts w:ascii="Times New Roman" w:eastAsia="Arial Unicode MS" w:hAnsi="Times New Roman" w:cs="Times New Roman"/>
          <w:color w:val="000000"/>
          <w:sz w:val="24"/>
          <w:szCs w:val="24"/>
          <w:u w:color="000000"/>
          <w:lang w:val="en-US" w:eastAsia="de-AT"/>
        </w:rPr>
        <w:t>in the audit negotiations by the auditor</w:t>
      </w:r>
      <w:r w:rsidR="005D1385">
        <w:rPr>
          <w:rFonts w:ascii="Times New Roman" w:eastAsia="Arial Unicode MS" w:hAnsi="Times New Roman" w:cs="Times New Roman"/>
          <w:color w:val="000000"/>
          <w:sz w:val="24"/>
          <w:szCs w:val="24"/>
          <w:u w:color="000000"/>
          <w:lang w:val="en-US" w:eastAsia="de-AT"/>
        </w:rPr>
        <w:t>. This effect was observed in earlier studies in the auditing setting</w:t>
      </w:r>
      <w:r w:rsidR="00BE1AC0">
        <w:rPr>
          <w:rFonts w:ascii="Times New Roman" w:eastAsia="Arial Unicode MS" w:hAnsi="Times New Roman" w:cs="Times New Roman"/>
          <w:color w:val="000000"/>
          <w:sz w:val="24"/>
          <w:szCs w:val="24"/>
          <w:u w:color="000000"/>
          <w:lang w:val="en-US" w:eastAsia="de-AT"/>
        </w:rPr>
        <w:t xml:space="preserve"> </w:t>
      </w:r>
      <w:r w:rsidR="00BD3D2B">
        <w:rPr>
          <w:rFonts w:ascii="Times New Roman" w:eastAsia="Arial Unicode MS" w:hAnsi="Times New Roman" w:cs="Times New Roman"/>
          <w:color w:val="000000"/>
          <w:sz w:val="24"/>
          <w:szCs w:val="24"/>
          <w:u w:color="000000"/>
          <w:lang w:val="en-US" w:eastAsia="de-AT"/>
        </w:rPr>
        <w:t>(</w:t>
      </w:r>
      <w:r w:rsidR="00E1636C">
        <w:rPr>
          <w:rFonts w:ascii="Times New Roman" w:eastAsia="Times New Roman" w:hAnsi="Times New Roman" w:cs="Times New Roman"/>
          <w:sz w:val="24"/>
          <w:szCs w:val="24"/>
          <w:lang w:val="en-GB" w:eastAsia="de-AT"/>
        </w:rPr>
        <w:t>Rennie et al. 2010; Gibbins et al. 2010</w:t>
      </w:r>
      <w:r w:rsidR="00BD3D2B">
        <w:rPr>
          <w:rFonts w:ascii="Times New Roman" w:eastAsia="Arial Unicode MS" w:hAnsi="Times New Roman" w:cs="Times New Roman"/>
          <w:color w:val="000000"/>
          <w:sz w:val="24"/>
          <w:szCs w:val="24"/>
          <w:u w:color="000000"/>
          <w:lang w:val="en-US" w:eastAsia="de-AT"/>
        </w:rPr>
        <w:t xml:space="preserve">). </w:t>
      </w:r>
      <w:r w:rsidR="00BD3D2B" w:rsidRPr="00BE1AC0">
        <w:rPr>
          <w:rFonts w:ascii="Times New Roman" w:eastAsia="Arial Unicode MS" w:hAnsi="Times New Roman" w:cs="Times New Roman"/>
          <w:color w:val="000000"/>
          <w:sz w:val="24"/>
          <w:szCs w:val="24"/>
          <w:u w:color="000000"/>
          <w:lang w:val="en-US" w:eastAsia="de-AT"/>
        </w:rPr>
        <w:t>Likewise</w:t>
      </w:r>
      <w:r w:rsidR="00BD3D2B">
        <w:rPr>
          <w:rFonts w:ascii="Times New Roman" w:eastAsia="Arial Unicode MS" w:hAnsi="Times New Roman" w:cs="Times New Roman"/>
          <w:color w:val="000000"/>
          <w:sz w:val="24"/>
          <w:szCs w:val="24"/>
          <w:u w:color="000000"/>
          <w:lang w:val="en-US" w:eastAsia="de-AT"/>
        </w:rPr>
        <w:t xml:space="preserve">, the auditor will </w:t>
      </w:r>
      <w:r w:rsidR="00FB14B5">
        <w:rPr>
          <w:rFonts w:ascii="Times New Roman" w:eastAsia="Arial Unicode MS" w:hAnsi="Times New Roman" w:cs="Times New Roman"/>
          <w:color w:val="000000"/>
          <w:sz w:val="24"/>
          <w:szCs w:val="24"/>
          <w:u w:color="000000"/>
          <w:lang w:val="en-US" w:eastAsia="de-AT"/>
        </w:rPr>
        <w:t xml:space="preserve">be reluctant to </w:t>
      </w:r>
      <w:r w:rsidR="00BD3D2B">
        <w:rPr>
          <w:rFonts w:ascii="Times New Roman" w:eastAsia="Arial Unicode MS" w:hAnsi="Times New Roman" w:cs="Times New Roman"/>
          <w:color w:val="000000"/>
          <w:sz w:val="24"/>
          <w:szCs w:val="24"/>
          <w:u w:color="000000"/>
          <w:lang w:val="en-US" w:eastAsia="de-AT"/>
        </w:rPr>
        <w:t>provide advice and feedback</w:t>
      </w:r>
      <w:r w:rsidR="00BE1AC0">
        <w:rPr>
          <w:rFonts w:ascii="Times New Roman" w:eastAsia="Arial Unicode MS" w:hAnsi="Times New Roman" w:cs="Times New Roman"/>
          <w:color w:val="000000"/>
          <w:sz w:val="24"/>
          <w:szCs w:val="24"/>
          <w:u w:color="000000"/>
          <w:lang w:val="en-US" w:eastAsia="de-AT"/>
        </w:rPr>
        <w:t xml:space="preserve">, </w:t>
      </w:r>
      <w:r w:rsidR="004E5B03">
        <w:rPr>
          <w:rFonts w:ascii="Times New Roman" w:eastAsia="Arial Unicode MS" w:hAnsi="Times New Roman" w:cs="Times New Roman"/>
          <w:color w:val="000000"/>
          <w:sz w:val="24"/>
          <w:szCs w:val="24"/>
          <w:u w:color="000000"/>
          <w:lang w:val="en-US" w:eastAsia="de-AT"/>
        </w:rPr>
        <w:t xml:space="preserve">as </w:t>
      </w:r>
      <w:r w:rsidR="00BE1AC0">
        <w:rPr>
          <w:rFonts w:ascii="Times New Roman" w:eastAsia="Arial Unicode MS" w:hAnsi="Times New Roman" w:cs="Times New Roman"/>
          <w:color w:val="000000"/>
          <w:sz w:val="24"/>
          <w:szCs w:val="24"/>
          <w:u w:color="000000"/>
          <w:lang w:val="en-US" w:eastAsia="de-AT"/>
        </w:rPr>
        <w:t xml:space="preserve">they do not want to put great effort in performing advisory tasks if they </w:t>
      </w:r>
      <w:r w:rsidR="00630BDA">
        <w:rPr>
          <w:rFonts w:ascii="Times New Roman" w:eastAsia="Arial Unicode MS" w:hAnsi="Times New Roman" w:cs="Times New Roman"/>
          <w:color w:val="000000"/>
          <w:sz w:val="24"/>
          <w:szCs w:val="24"/>
          <w:u w:color="000000"/>
          <w:lang w:val="en-US" w:eastAsia="de-AT"/>
        </w:rPr>
        <w:t xml:space="preserve">fear that the </w:t>
      </w:r>
      <w:r w:rsidR="004E5B03">
        <w:rPr>
          <w:rFonts w:ascii="Times New Roman" w:eastAsia="Arial Unicode MS" w:hAnsi="Times New Roman" w:cs="Times New Roman"/>
          <w:color w:val="000000"/>
          <w:sz w:val="24"/>
          <w:szCs w:val="24"/>
          <w:u w:color="000000"/>
          <w:lang w:val="en-US" w:eastAsia="de-AT"/>
        </w:rPr>
        <w:t>client use</w:t>
      </w:r>
      <w:r w:rsidR="008F498B">
        <w:rPr>
          <w:rFonts w:ascii="Times New Roman" w:eastAsia="Arial Unicode MS" w:hAnsi="Times New Roman" w:cs="Times New Roman"/>
          <w:color w:val="000000"/>
          <w:sz w:val="24"/>
          <w:szCs w:val="24"/>
          <w:u w:color="000000"/>
          <w:lang w:val="en-US" w:eastAsia="de-AT"/>
        </w:rPr>
        <w:t>s</w:t>
      </w:r>
      <w:r w:rsidR="004E5B03">
        <w:rPr>
          <w:rFonts w:ascii="Times New Roman" w:eastAsia="Arial Unicode MS" w:hAnsi="Times New Roman" w:cs="Times New Roman"/>
          <w:color w:val="000000"/>
          <w:sz w:val="24"/>
          <w:szCs w:val="24"/>
          <w:u w:color="000000"/>
          <w:lang w:val="en-US" w:eastAsia="de-AT"/>
        </w:rPr>
        <w:t xml:space="preserve"> the offered advice </w:t>
      </w:r>
      <w:r w:rsidR="00630BDA">
        <w:rPr>
          <w:rFonts w:ascii="Times New Roman" w:eastAsia="Arial Unicode MS" w:hAnsi="Times New Roman" w:cs="Times New Roman"/>
          <w:color w:val="000000"/>
          <w:sz w:val="24"/>
          <w:szCs w:val="24"/>
          <w:u w:color="000000"/>
          <w:lang w:val="en-US" w:eastAsia="de-AT"/>
        </w:rPr>
        <w:t xml:space="preserve">for </w:t>
      </w:r>
      <w:r w:rsidR="008F498B">
        <w:rPr>
          <w:rFonts w:ascii="Times New Roman" w:eastAsia="Arial Unicode MS" w:hAnsi="Times New Roman" w:cs="Times New Roman"/>
          <w:color w:val="000000"/>
          <w:sz w:val="24"/>
          <w:szCs w:val="24"/>
          <w:u w:color="000000"/>
          <w:lang w:val="en-US" w:eastAsia="de-AT"/>
        </w:rPr>
        <w:t>self-serving</w:t>
      </w:r>
      <w:r w:rsidR="00630BDA">
        <w:rPr>
          <w:rFonts w:ascii="Times New Roman" w:eastAsia="Arial Unicode MS" w:hAnsi="Times New Roman" w:cs="Times New Roman"/>
          <w:color w:val="000000"/>
          <w:sz w:val="24"/>
          <w:szCs w:val="24"/>
          <w:u w:color="000000"/>
          <w:lang w:val="en-US" w:eastAsia="de-AT"/>
        </w:rPr>
        <w:t xml:space="preserve"> </w:t>
      </w:r>
      <w:r w:rsidR="00F65145">
        <w:rPr>
          <w:rFonts w:ascii="Times New Roman" w:eastAsia="Arial Unicode MS" w:hAnsi="Times New Roman" w:cs="Times New Roman"/>
          <w:color w:val="000000"/>
          <w:sz w:val="24"/>
          <w:szCs w:val="24"/>
          <w:u w:color="000000"/>
          <w:lang w:val="en-US" w:eastAsia="de-AT"/>
        </w:rPr>
        <w:t xml:space="preserve">instead of cooperative </w:t>
      </w:r>
      <w:r w:rsidR="00630BDA">
        <w:rPr>
          <w:rFonts w:ascii="Times New Roman" w:eastAsia="Arial Unicode MS" w:hAnsi="Times New Roman" w:cs="Times New Roman"/>
          <w:color w:val="000000"/>
          <w:sz w:val="24"/>
          <w:szCs w:val="24"/>
          <w:u w:color="000000"/>
          <w:lang w:val="en-US" w:eastAsia="de-AT"/>
        </w:rPr>
        <w:t>purposes</w:t>
      </w:r>
      <w:r w:rsidR="00E12517">
        <w:rPr>
          <w:rFonts w:ascii="Times New Roman" w:eastAsia="Arial Unicode MS" w:hAnsi="Times New Roman" w:cs="Times New Roman"/>
          <w:color w:val="000000"/>
          <w:sz w:val="24"/>
          <w:szCs w:val="24"/>
          <w:u w:color="000000"/>
          <w:lang w:val="en-US" w:eastAsia="de-AT"/>
        </w:rPr>
        <w:t xml:space="preserve">. </w:t>
      </w:r>
      <w:r w:rsidR="00772A9F">
        <w:rPr>
          <w:rFonts w:ascii="Times New Roman" w:eastAsia="Arial Unicode MS" w:hAnsi="Times New Roman" w:cs="Times New Roman"/>
          <w:color w:val="000000"/>
          <w:sz w:val="24"/>
          <w:szCs w:val="24"/>
          <w:u w:color="000000"/>
          <w:lang w:val="en-US" w:eastAsia="de-AT"/>
        </w:rPr>
        <w:t xml:space="preserve">This </w:t>
      </w:r>
      <w:r w:rsidR="00E12517">
        <w:rPr>
          <w:rFonts w:ascii="Times New Roman" w:eastAsia="Arial Unicode MS" w:hAnsi="Times New Roman" w:cs="Times New Roman"/>
          <w:color w:val="000000"/>
          <w:sz w:val="24"/>
          <w:szCs w:val="24"/>
          <w:u w:color="000000"/>
          <w:lang w:val="en-US" w:eastAsia="de-AT"/>
        </w:rPr>
        <w:t>effect was observed in conte</w:t>
      </w:r>
      <w:r w:rsidR="00843FFD">
        <w:rPr>
          <w:rFonts w:ascii="Times New Roman" w:eastAsia="Arial Unicode MS" w:hAnsi="Times New Roman" w:cs="Times New Roman"/>
          <w:color w:val="000000"/>
          <w:sz w:val="24"/>
          <w:szCs w:val="24"/>
          <w:u w:color="000000"/>
          <w:lang w:val="en-US" w:eastAsia="de-AT"/>
        </w:rPr>
        <w:t>x</w:t>
      </w:r>
      <w:r w:rsidR="00E12517">
        <w:rPr>
          <w:rFonts w:ascii="Times New Roman" w:eastAsia="Arial Unicode MS" w:hAnsi="Times New Roman" w:cs="Times New Roman"/>
          <w:color w:val="000000"/>
          <w:sz w:val="24"/>
          <w:szCs w:val="24"/>
          <w:u w:color="000000"/>
          <w:lang w:val="en-US" w:eastAsia="de-AT"/>
        </w:rPr>
        <w:t>ts</w:t>
      </w:r>
      <w:r w:rsidR="00C62AC2">
        <w:rPr>
          <w:rFonts w:ascii="Times New Roman" w:eastAsia="Arial Unicode MS" w:hAnsi="Times New Roman" w:cs="Times New Roman"/>
          <w:color w:val="000000"/>
          <w:sz w:val="24"/>
          <w:szCs w:val="24"/>
          <w:u w:color="000000"/>
          <w:lang w:val="en-US" w:eastAsia="de-AT"/>
        </w:rPr>
        <w:t xml:space="preserve"> that are </w:t>
      </w:r>
      <w:r w:rsidR="00E43B71">
        <w:rPr>
          <w:rFonts w:ascii="Times New Roman" w:eastAsia="Arial Unicode MS" w:hAnsi="Times New Roman" w:cs="Times New Roman"/>
          <w:color w:val="000000"/>
          <w:sz w:val="24"/>
          <w:szCs w:val="24"/>
          <w:u w:color="000000"/>
          <w:lang w:val="en-US" w:eastAsia="de-AT"/>
        </w:rPr>
        <w:t xml:space="preserve">– </w:t>
      </w:r>
      <w:r w:rsidR="00C713B3">
        <w:rPr>
          <w:rFonts w:ascii="Times New Roman" w:eastAsia="Arial Unicode MS" w:hAnsi="Times New Roman" w:cs="Times New Roman"/>
          <w:color w:val="000000"/>
          <w:sz w:val="24"/>
          <w:szCs w:val="24"/>
          <w:u w:color="000000"/>
          <w:lang w:val="en-US" w:eastAsia="de-AT"/>
        </w:rPr>
        <w:t xml:space="preserve">similar to the </w:t>
      </w:r>
      <w:r w:rsidR="00E43B71">
        <w:rPr>
          <w:rFonts w:ascii="Times New Roman" w:eastAsia="Arial Unicode MS" w:hAnsi="Times New Roman" w:cs="Times New Roman"/>
          <w:color w:val="000000"/>
          <w:sz w:val="24"/>
          <w:szCs w:val="24"/>
          <w:u w:color="000000"/>
          <w:lang w:val="en-US" w:eastAsia="de-AT"/>
        </w:rPr>
        <w:t>auditor-client relationship –</w:t>
      </w:r>
      <w:r w:rsidR="00C713B3">
        <w:rPr>
          <w:rFonts w:ascii="Times New Roman" w:eastAsia="Arial Unicode MS" w:hAnsi="Times New Roman" w:cs="Times New Roman"/>
          <w:color w:val="000000"/>
          <w:sz w:val="24"/>
          <w:szCs w:val="24"/>
          <w:u w:color="000000"/>
          <w:lang w:val="en-US" w:eastAsia="de-AT"/>
        </w:rPr>
        <w:t xml:space="preserve"> </w:t>
      </w:r>
      <w:r w:rsidR="00C62AC2">
        <w:rPr>
          <w:rFonts w:ascii="Times New Roman" w:eastAsia="Arial Unicode MS" w:hAnsi="Times New Roman" w:cs="Times New Roman"/>
          <w:color w:val="000000"/>
          <w:sz w:val="24"/>
          <w:szCs w:val="24"/>
          <w:u w:color="000000"/>
          <w:lang w:val="en-US" w:eastAsia="de-AT"/>
        </w:rPr>
        <w:t>characterized by</w:t>
      </w:r>
      <w:r w:rsidR="00772A9F">
        <w:rPr>
          <w:rFonts w:ascii="Times New Roman" w:eastAsia="Arial Unicode MS" w:hAnsi="Times New Roman" w:cs="Times New Roman"/>
          <w:color w:val="000000"/>
          <w:sz w:val="24"/>
          <w:szCs w:val="24"/>
          <w:u w:color="000000"/>
          <w:lang w:val="en-US" w:eastAsia="de-AT"/>
        </w:rPr>
        <w:t xml:space="preserve"> one interaction partner </w:t>
      </w:r>
      <w:r w:rsidR="00BB6C9F">
        <w:rPr>
          <w:rFonts w:ascii="Times New Roman" w:eastAsia="Arial Unicode MS" w:hAnsi="Times New Roman" w:cs="Times New Roman"/>
          <w:color w:val="000000"/>
          <w:sz w:val="24"/>
          <w:szCs w:val="24"/>
          <w:u w:color="000000"/>
          <w:lang w:val="en-US" w:eastAsia="de-AT"/>
        </w:rPr>
        <w:t>having</w:t>
      </w:r>
      <w:r w:rsidR="00C62AC2">
        <w:rPr>
          <w:rFonts w:ascii="Times New Roman" w:eastAsia="Arial Unicode MS" w:hAnsi="Times New Roman" w:cs="Times New Roman"/>
          <w:color w:val="000000"/>
          <w:sz w:val="24"/>
          <w:szCs w:val="24"/>
          <w:u w:color="000000"/>
          <w:lang w:val="en-US" w:eastAsia="de-AT"/>
        </w:rPr>
        <w:t xml:space="preserve"> a </w:t>
      </w:r>
      <w:r w:rsidR="00BB6C9F">
        <w:rPr>
          <w:rFonts w:ascii="Times New Roman" w:eastAsia="Arial Unicode MS" w:hAnsi="Times New Roman" w:cs="Times New Roman"/>
          <w:color w:val="000000"/>
          <w:sz w:val="24"/>
          <w:szCs w:val="24"/>
          <w:u w:color="000000"/>
          <w:lang w:val="en-US" w:eastAsia="de-AT"/>
        </w:rPr>
        <w:t xml:space="preserve">dual </w:t>
      </w:r>
      <w:r w:rsidR="00C62AC2">
        <w:rPr>
          <w:rFonts w:ascii="Times New Roman" w:eastAsia="Arial Unicode MS" w:hAnsi="Times New Roman" w:cs="Times New Roman"/>
          <w:color w:val="000000"/>
          <w:sz w:val="24"/>
          <w:szCs w:val="24"/>
          <w:u w:color="000000"/>
          <w:lang w:val="en-US" w:eastAsia="de-AT"/>
        </w:rPr>
        <w:t xml:space="preserve">role of </w:t>
      </w:r>
      <w:r w:rsidR="00E77F0F">
        <w:rPr>
          <w:rFonts w:ascii="Times New Roman" w:eastAsia="Arial Unicode MS" w:hAnsi="Times New Roman" w:cs="Times New Roman"/>
          <w:color w:val="000000"/>
          <w:sz w:val="24"/>
          <w:szCs w:val="24"/>
          <w:u w:color="000000"/>
          <w:lang w:val="en-US" w:eastAsia="de-AT"/>
        </w:rPr>
        <w:t xml:space="preserve">exerting </w:t>
      </w:r>
      <w:r w:rsidR="00C62AC2">
        <w:rPr>
          <w:rFonts w:ascii="Times New Roman" w:eastAsia="Arial Unicode MS" w:hAnsi="Times New Roman" w:cs="Times New Roman"/>
          <w:color w:val="000000"/>
          <w:sz w:val="24"/>
          <w:szCs w:val="24"/>
          <w:u w:color="000000"/>
          <w:lang w:val="en-US" w:eastAsia="de-AT"/>
        </w:rPr>
        <w:t xml:space="preserve">control and </w:t>
      </w:r>
      <w:r w:rsidR="00E77F0F">
        <w:rPr>
          <w:rFonts w:ascii="Times New Roman" w:eastAsia="Arial Unicode MS" w:hAnsi="Times New Roman" w:cs="Times New Roman"/>
          <w:color w:val="000000"/>
          <w:sz w:val="24"/>
          <w:szCs w:val="24"/>
          <w:u w:color="000000"/>
          <w:lang w:val="en-US" w:eastAsia="de-AT"/>
        </w:rPr>
        <w:t xml:space="preserve">providing </w:t>
      </w:r>
      <w:r w:rsidR="00C62AC2">
        <w:rPr>
          <w:rFonts w:ascii="Times New Roman" w:eastAsia="Arial Unicode MS" w:hAnsi="Times New Roman" w:cs="Times New Roman"/>
          <w:color w:val="000000"/>
          <w:sz w:val="24"/>
          <w:szCs w:val="24"/>
          <w:u w:color="000000"/>
          <w:lang w:val="en-US" w:eastAsia="de-AT"/>
        </w:rPr>
        <w:t>advice</w:t>
      </w:r>
      <w:r w:rsidR="00E77F0F">
        <w:rPr>
          <w:rFonts w:ascii="Times New Roman" w:eastAsia="Arial Unicode MS" w:hAnsi="Times New Roman" w:cs="Times New Roman"/>
          <w:color w:val="000000"/>
          <w:sz w:val="24"/>
          <w:szCs w:val="24"/>
          <w:u w:color="000000"/>
          <w:lang w:val="en-US" w:eastAsia="de-AT"/>
        </w:rPr>
        <w:t>, such as the relationship between</w:t>
      </w:r>
      <w:r w:rsidR="00E12517">
        <w:rPr>
          <w:rFonts w:ascii="Times New Roman" w:eastAsia="Arial Unicode MS" w:hAnsi="Times New Roman" w:cs="Times New Roman"/>
          <w:color w:val="000000"/>
          <w:sz w:val="24"/>
          <w:szCs w:val="24"/>
          <w:u w:color="000000"/>
          <w:lang w:val="en-US" w:eastAsia="de-AT"/>
        </w:rPr>
        <w:t xml:space="preserve"> bank loan managers and</w:t>
      </w:r>
      <w:r w:rsidR="00E43B71">
        <w:rPr>
          <w:rFonts w:ascii="Times New Roman" w:eastAsia="Arial Unicode MS" w:hAnsi="Times New Roman" w:cs="Times New Roman"/>
          <w:color w:val="000000"/>
          <w:sz w:val="24"/>
          <w:szCs w:val="24"/>
          <w:u w:color="000000"/>
          <w:lang w:val="en-US" w:eastAsia="de-AT"/>
        </w:rPr>
        <w:t xml:space="preserve"> their</w:t>
      </w:r>
      <w:r w:rsidR="00E12517">
        <w:rPr>
          <w:rFonts w:ascii="Times New Roman" w:eastAsia="Arial Unicode MS" w:hAnsi="Times New Roman" w:cs="Times New Roman"/>
          <w:color w:val="000000"/>
          <w:sz w:val="24"/>
          <w:szCs w:val="24"/>
          <w:u w:color="000000"/>
          <w:lang w:val="en-US" w:eastAsia="de-AT"/>
        </w:rPr>
        <w:t xml:space="preserve"> clients (</w:t>
      </w:r>
      <w:r w:rsidR="008C0939">
        <w:rPr>
          <w:rFonts w:ascii="Times New Roman" w:eastAsia="Arial Unicode MS" w:hAnsi="Times New Roman" w:cs="Times New Roman"/>
          <w:color w:val="000000"/>
          <w:sz w:val="24"/>
          <w:szCs w:val="24"/>
          <w:u w:color="000000"/>
          <w:lang w:val="en-US" w:eastAsia="de-AT"/>
        </w:rPr>
        <w:t>Moro et al. 201</w:t>
      </w:r>
      <w:r w:rsidR="00B82CFD">
        <w:rPr>
          <w:rFonts w:ascii="Times New Roman" w:eastAsia="Arial Unicode MS" w:hAnsi="Times New Roman" w:cs="Times New Roman"/>
          <w:color w:val="000000"/>
          <w:sz w:val="24"/>
          <w:szCs w:val="24"/>
          <w:u w:color="000000"/>
          <w:lang w:val="en-US" w:eastAsia="de-AT"/>
        </w:rPr>
        <w:t>8</w:t>
      </w:r>
      <w:r w:rsidR="00E12517">
        <w:rPr>
          <w:rFonts w:ascii="Times New Roman" w:eastAsia="Arial Unicode MS" w:hAnsi="Times New Roman" w:cs="Times New Roman"/>
          <w:color w:val="000000"/>
          <w:sz w:val="24"/>
          <w:szCs w:val="24"/>
          <w:u w:color="000000"/>
          <w:lang w:val="en-US" w:eastAsia="de-AT"/>
        </w:rPr>
        <w:t>)</w:t>
      </w:r>
      <w:r w:rsidR="00C62AC2">
        <w:rPr>
          <w:rFonts w:ascii="Times New Roman" w:eastAsia="Arial Unicode MS" w:hAnsi="Times New Roman" w:cs="Times New Roman"/>
          <w:color w:val="000000"/>
          <w:sz w:val="24"/>
          <w:szCs w:val="24"/>
          <w:u w:color="000000"/>
          <w:lang w:val="en-US" w:eastAsia="de-AT"/>
        </w:rPr>
        <w:t xml:space="preserve">, </w:t>
      </w:r>
      <w:r w:rsidR="00E77F0F">
        <w:rPr>
          <w:rFonts w:ascii="Times New Roman" w:eastAsia="Arial Unicode MS" w:hAnsi="Times New Roman" w:cs="Times New Roman"/>
          <w:color w:val="000000"/>
          <w:sz w:val="24"/>
          <w:szCs w:val="24"/>
          <w:u w:color="000000"/>
          <w:lang w:val="en-US" w:eastAsia="de-AT"/>
        </w:rPr>
        <w:t xml:space="preserve">business angels and </w:t>
      </w:r>
      <w:r w:rsidR="00C62AC2">
        <w:rPr>
          <w:rFonts w:ascii="Times New Roman" w:eastAsia="Arial Unicode MS" w:hAnsi="Times New Roman" w:cs="Times New Roman"/>
          <w:color w:val="000000"/>
          <w:sz w:val="24"/>
          <w:szCs w:val="24"/>
          <w:u w:color="000000"/>
          <w:lang w:val="en-US" w:eastAsia="de-AT"/>
        </w:rPr>
        <w:t xml:space="preserve">start-up entrepreneurs </w:t>
      </w:r>
      <w:r w:rsidR="00E77F0F">
        <w:rPr>
          <w:rFonts w:ascii="Times New Roman" w:eastAsia="Arial Unicode MS" w:hAnsi="Times New Roman" w:cs="Times New Roman"/>
          <w:color w:val="000000"/>
          <w:sz w:val="24"/>
          <w:szCs w:val="24"/>
          <w:u w:color="000000"/>
          <w:lang w:val="en-US" w:eastAsia="de-AT"/>
        </w:rPr>
        <w:t>(</w:t>
      </w:r>
      <w:proofErr w:type="spellStart"/>
      <w:r w:rsidR="004E5B03">
        <w:rPr>
          <w:rFonts w:ascii="Times New Roman" w:eastAsia="Arial Unicode MS" w:hAnsi="Times New Roman" w:cs="Times New Roman"/>
          <w:color w:val="000000"/>
          <w:sz w:val="24"/>
          <w:szCs w:val="24"/>
          <w:u w:color="000000"/>
          <w:lang w:val="en-US" w:eastAsia="de-AT"/>
        </w:rPr>
        <w:t>Bammens</w:t>
      </w:r>
      <w:proofErr w:type="spellEnd"/>
      <w:r w:rsidR="004E5B03">
        <w:rPr>
          <w:rFonts w:ascii="Times New Roman" w:eastAsia="Arial Unicode MS" w:hAnsi="Times New Roman" w:cs="Times New Roman"/>
          <w:color w:val="000000"/>
          <w:sz w:val="24"/>
          <w:szCs w:val="24"/>
          <w:u w:color="000000"/>
          <w:lang w:val="en-US" w:eastAsia="de-AT"/>
        </w:rPr>
        <w:t xml:space="preserve"> and </w:t>
      </w:r>
      <w:proofErr w:type="spellStart"/>
      <w:r w:rsidR="004E5B03">
        <w:rPr>
          <w:rFonts w:ascii="Times New Roman" w:eastAsia="Arial Unicode MS" w:hAnsi="Times New Roman" w:cs="Times New Roman"/>
          <w:color w:val="000000"/>
          <w:sz w:val="24"/>
          <w:szCs w:val="24"/>
          <w:u w:color="000000"/>
          <w:lang w:val="en-US" w:eastAsia="de-AT"/>
        </w:rPr>
        <w:t>Collewaert</w:t>
      </w:r>
      <w:proofErr w:type="spellEnd"/>
      <w:r w:rsidR="00F11144">
        <w:rPr>
          <w:rFonts w:ascii="Times New Roman" w:eastAsia="Arial Unicode MS" w:hAnsi="Times New Roman" w:cs="Times New Roman"/>
          <w:color w:val="000000"/>
          <w:sz w:val="24"/>
          <w:szCs w:val="24"/>
          <w:u w:color="000000"/>
          <w:lang w:val="en-US" w:eastAsia="de-AT"/>
        </w:rPr>
        <w:t xml:space="preserve"> 2014</w:t>
      </w:r>
      <w:r w:rsidR="00E43B71">
        <w:rPr>
          <w:rFonts w:ascii="Times New Roman" w:eastAsia="Arial Unicode MS" w:hAnsi="Times New Roman" w:cs="Times New Roman"/>
          <w:color w:val="000000"/>
          <w:sz w:val="24"/>
          <w:szCs w:val="24"/>
          <w:u w:color="000000"/>
          <w:lang w:val="en-US" w:eastAsia="de-AT"/>
        </w:rPr>
        <w:t xml:space="preserve">), and </w:t>
      </w:r>
      <w:r w:rsidR="00E43B71" w:rsidRPr="00F93712">
        <w:rPr>
          <w:rFonts w:ascii="Times New Roman" w:eastAsia="Times New Roman" w:hAnsi="Times New Roman" w:cs="Times New Roman"/>
          <w:sz w:val="24"/>
          <w:szCs w:val="24"/>
          <w:lang w:val="en-US" w:eastAsia="ar-SA"/>
        </w:rPr>
        <w:t>CEO</w:t>
      </w:r>
      <w:r w:rsidR="00E43B71">
        <w:rPr>
          <w:rFonts w:ascii="Times New Roman" w:eastAsia="Times New Roman" w:hAnsi="Times New Roman" w:cs="Times New Roman"/>
          <w:sz w:val="24"/>
          <w:szCs w:val="24"/>
          <w:lang w:val="en-US" w:eastAsia="ar-SA"/>
        </w:rPr>
        <w:t>s</w:t>
      </w:r>
      <w:r w:rsidR="00E43B71" w:rsidRPr="00F93712">
        <w:rPr>
          <w:rFonts w:ascii="Times New Roman" w:eastAsia="Times New Roman" w:hAnsi="Times New Roman" w:cs="Times New Roman"/>
          <w:sz w:val="24"/>
          <w:szCs w:val="24"/>
          <w:lang w:val="en-US" w:eastAsia="ar-SA"/>
        </w:rPr>
        <w:t xml:space="preserve"> and top management teams</w:t>
      </w:r>
      <w:r w:rsidR="00E43B71">
        <w:rPr>
          <w:rFonts w:ascii="Times New Roman" w:eastAsia="Arial Unicode MS" w:hAnsi="Times New Roman" w:cs="Times New Roman"/>
          <w:color w:val="000000"/>
          <w:sz w:val="24"/>
          <w:szCs w:val="24"/>
          <w:u w:color="000000"/>
          <w:lang w:val="en-US" w:eastAsia="de-AT"/>
        </w:rPr>
        <w:t xml:space="preserve"> (</w:t>
      </w:r>
      <w:proofErr w:type="spellStart"/>
      <w:r w:rsidR="00630BDA">
        <w:rPr>
          <w:rFonts w:ascii="Times New Roman" w:eastAsia="Arial Unicode MS" w:hAnsi="Times New Roman" w:cs="Times New Roman"/>
          <w:color w:val="000000"/>
          <w:sz w:val="24"/>
          <w:szCs w:val="24"/>
          <w:u w:color="000000"/>
          <w:lang w:val="en-US" w:eastAsia="de-AT"/>
        </w:rPr>
        <w:t>Carmeli</w:t>
      </w:r>
      <w:proofErr w:type="spellEnd"/>
      <w:r w:rsidR="00630BDA">
        <w:rPr>
          <w:rFonts w:ascii="Times New Roman" w:eastAsia="Arial Unicode MS" w:hAnsi="Times New Roman" w:cs="Times New Roman"/>
          <w:color w:val="000000"/>
          <w:sz w:val="24"/>
          <w:szCs w:val="24"/>
          <w:u w:color="000000"/>
          <w:lang w:val="en-US" w:eastAsia="de-AT"/>
        </w:rPr>
        <w:t xml:space="preserve"> et al. 2011</w:t>
      </w:r>
      <w:r w:rsidR="00E43B71">
        <w:rPr>
          <w:rFonts w:ascii="Times New Roman" w:eastAsia="Arial Unicode MS" w:hAnsi="Times New Roman" w:cs="Times New Roman"/>
          <w:color w:val="000000"/>
          <w:sz w:val="24"/>
          <w:szCs w:val="24"/>
          <w:u w:color="000000"/>
          <w:lang w:val="en-US" w:eastAsia="de-AT"/>
        </w:rPr>
        <w:t>)</w:t>
      </w:r>
      <w:r w:rsidR="006B582B">
        <w:rPr>
          <w:rFonts w:ascii="Times New Roman" w:eastAsia="Arial Unicode MS" w:hAnsi="Times New Roman" w:cs="Times New Roman"/>
          <w:color w:val="000000"/>
          <w:sz w:val="24"/>
          <w:szCs w:val="24"/>
          <w:u w:color="000000"/>
          <w:lang w:val="en-US" w:eastAsia="de-AT"/>
        </w:rPr>
        <w:t xml:space="preserve">. </w:t>
      </w:r>
      <w:r w:rsidR="00BB6C9F">
        <w:rPr>
          <w:rFonts w:ascii="Times New Roman" w:eastAsia="Arial Unicode MS" w:hAnsi="Times New Roman" w:cs="Times New Roman"/>
          <w:color w:val="000000"/>
          <w:sz w:val="24"/>
          <w:szCs w:val="24"/>
          <w:u w:color="000000"/>
          <w:lang w:val="en-US" w:eastAsia="de-AT"/>
        </w:rPr>
        <w:t>Just like auditing relationships, l</w:t>
      </w:r>
      <w:r w:rsidR="00E77F0F">
        <w:rPr>
          <w:rFonts w:ascii="Times New Roman" w:eastAsia="Arial Unicode MS" w:hAnsi="Times New Roman" w:cs="Times New Roman"/>
          <w:color w:val="000000"/>
          <w:sz w:val="24"/>
          <w:szCs w:val="24"/>
          <w:u w:color="000000"/>
          <w:lang w:val="en-US" w:eastAsia="de-AT"/>
        </w:rPr>
        <w:t>ending</w:t>
      </w:r>
      <w:r w:rsidR="004B6A72">
        <w:rPr>
          <w:rFonts w:ascii="Times New Roman" w:eastAsia="Arial Unicode MS" w:hAnsi="Times New Roman" w:cs="Times New Roman"/>
          <w:color w:val="000000"/>
          <w:sz w:val="24"/>
          <w:szCs w:val="24"/>
          <w:u w:color="000000"/>
          <w:lang w:val="en-US" w:eastAsia="de-AT"/>
        </w:rPr>
        <w:t xml:space="preserve"> </w:t>
      </w:r>
      <w:r w:rsidR="00327AB5">
        <w:rPr>
          <w:rFonts w:ascii="Times New Roman" w:eastAsia="Arial Unicode MS" w:hAnsi="Times New Roman" w:cs="Times New Roman"/>
          <w:color w:val="000000"/>
          <w:sz w:val="24"/>
          <w:szCs w:val="24"/>
          <w:u w:color="000000"/>
          <w:lang w:val="en-US" w:eastAsia="de-AT"/>
        </w:rPr>
        <w:t xml:space="preserve">relationships are </w:t>
      </w:r>
      <w:r w:rsidR="004B6A72">
        <w:rPr>
          <w:rFonts w:ascii="Times New Roman" w:eastAsia="Arial Unicode MS" w:hAnsi="Times New Roman" w:cs="Times New Roman"/>
          <w:color w:val="000000"/>
          <w:sz w:val="24"/>
          <w:szCs w:val="24"/>
          <w:u w:color="000000"/>
          <w:lang w:val="en-US" w:eastAsia="de-AT"/>
        </w:rPr>
        <w:t>regulated</w:t>
      </w:r>
      <w:r w:rsidR="0041153D">
        <w:rPr>
          <w:rFonts w:ascii="Times New Roman" w:eastAsia="Arial Unicode MS" w:hAnsi="Times New Roman" w:cs="Times New Roman"/>
          <w:color w:val="000000"/>
          <w:sz w:val="24"/>
          <w:szCs w:val="24"/>
          <w:u w:color="000000"/>
          <w:lang w:val="en-US" w:eastAsia="de-AT"/>
        </w:rPr>
        <w:t xml:space="preserve"> by specific law</w:t>
      </w:r>
      <w:r w:rsidR="00327AB5">
        <w:rPr>
          <w:rFonts w:ascii="Times New Roman" w:eastAsia="Arial Unicode MS" w:hAnsi="Times New Roman" w:cs="Times New Roman"/>
          <w:color w:val="000000"/>
          <w:sz w:val="24"/>
          <w:szCs w:val="24"/>
          <w:u w:color="000000"/>
          <w:lang w:val="en-US" w:eastAsia="de-AT"/>
        </w:rPr>
        <w:t>s</w:t>
      </w:r>
      <w:r w:rsidR="00BB6C9F">
        <w:rPr>
          <w:rFonts w:ascii="Times New Roman" w:eastAsia="Arial Unicode MS" w:hAnsi="Times New Roman" w:cs="Times New Roman"/>
          <w:color w:val="000000"/>
          <w:sz w:val="24"/>
          <w:szCs w:val="24"/>
          <w:u w:color="000000"/>
          <w:lang w:val="en-US" w:eastAsia="de-AT"/>
        </w:rPr>
        <w:t>, whereas</w:t>
      </w:r>
      <w:r w:rsidR="0041153D">
        <w:rPr>
          <w:rFonts w:ascii="Times New Roman" w:eastAsia="Arial Unicode MS" w:hAnsi="Times New Roman" w:cs="Times New Roman"/>
          <w:color w:val="000000"/>
          <w:sz w:val="24"/>
          <w:szCs w:val="24"/>
          <w:u w:color="000000"/>
          <w:lang w:val="en-US" w:eastAsia="de-AT"/>
        </w:rPr>
        <w:t xml:space="preserve"> </w:t>
      </w:r>
      <w:r w:rsidR="00BB6C9F">
        <w:rPr>
          <w:rFonts w:ascii="Times New Roman" w:eastAsia="Arial Unicode MS" w:hAnsi="Times New Roman" w:cs="Times New Roman"/>
          <w:color w:val="000000"/>
          <w:sz w:val="24"/>
          <w:szCs w:val="24"/>
          <w:u w:color="000000"/>
          <w:lang w:val="en-US" w:eastAsia="de-AT"/>
        </w:rPr>
        <w:t>b</w:t>
      </w:r>
      <w:r w:rsidR="004B6A72">
        <w:rPr>
          <w:rFonts w:ascii="Times New Roman" w:eastAsia="Arial Unicode MS" w:hAnsi="Times New Roman" w:cs="Times New Roman"/>
          <w:color w:val="000000"/>
          <w:sz w:val="24"/>
          <w:szCs w:val="24"/>
          <w:u w:color="000000"/>
          <w:lang w:val="en-US" w:eastAsia="de-AT"/>
        </w:rPr>
        <w:t xml:space="preserve">usiness angel </w:t>
      </w:r>
      <w:r w:rsidR="00327AB5">
        <w:rPr>
          <w:rFonts w:ascii="Times New Roman" w:eastAsia="Arial Unicode MS" w:hAnsi="Times New Roman" w:cs="Times New Roman"/>
          <w:color w:val="000000"/>
          <w:sz w:val="24"/>
          <w:szCs w:val="24"/>
          <w:u w:color="000000"/>
          <w:lang w:val="en-US" w:eastAsia="de-AT"/>
        </w:rPr>
        <w:t xml:space="preserve">relationships are </w:t>
      </w:r>
      <w:r w:rsidR="0041153D">
        <w:rPr>
          <w:rFonts w:ascii="Times New Roman" w:eastAsia="Arial Unicode MS" w:hAnsi="Times New Roman" w:cs="Times New Roman"/>
          <w:color w:val="000000"/>
          <w:sz w:val="24"/>
          <w:szCs w:val="24"/>
          <w:u w:color="000000"/>
          <w:lang w:val="en-US" w:eastAsia="de-AT"/>
        </w:rPr>
        <w:t xml:space="preserve">regulated </w:t>
      </w:r>
      <w:r w:rsidR="00BB6C9F">
        <w:rPr>
          <w:rFonts w:ascii="Times New Roman" w:eastAsia="Arial Unicode MS" w:hAnsi="Times New Roman" w:cs="Times New Roman"/>
          <w:color w:val="000000"/>
          <w:sz w:val="24"/>
          <w:szCs w:val="24"/>
          <w:u w:color="000000"/>
          <w:lang w:val="en-US" w:eastAsia="de-AT"/>
        </w:rPr>
        <w:t xml:space="preserve">only </w:t>
      </w:r>
      <w:r w:rsidR="0041153D">
        <w:rPr>
          <w:rFonts w:ascii="Times New Roman" w:eastAsia="Arial Unicode MS" w:hAnsi="Times New Roman" w:cs="Times New Roman"/>
          <w:color w:val="000000"/>
          <w:sz w:val="24"/>
          <w:szCs w:val="24"/>
          <w:u w:color="000000"/>
          <w:lang w:val="en-US" w:eastAsia="de-AT"/>
        </w:rPr>
        <w:t>by a private contract. The</w:t>
      </w:r>
      <w:r w:rsidR="004B6A72">
        <w:rPr>
          <w:rFonts w:ascii="Times New Roman" w:eastAsia="Arial Unicode MS" w:hAnsi="Times New Roman" w:cs="Times New Roman"/>
          <w:color w:val="000000"/>
          <w:sz w:val="24"/>
          <w:szCs w:val="24"/>
          <w:u w:color="000000"/>
          <w:lang w:val="en-US" w:eastAsia="de-AT"/>
        </w:rPr>
        <w:t xml:space="preserve"> le</w:t>
      </w:r>
      <w:r w:rsidR="0041153D">
        <w:rPr>
          <w:rFonts w:ascii="Times New Roman" w:eastAsia="Arial Unicode MS" w:hAnsi="Times New Roman" w:cs="Times New Roman"/>
          <w:color w:val="000000"/>
          <w:sz w:val="24"/>
          <w:szCs w:val="24"/>
          <w:u w:color="000000"/>
          <w:lang w:val="en-US" w:eastAsia="de-AT"/>
        </w:rPr>
        <w:t>ast</w:t>
      </w:r>
      <w:r w:rsidR="004B6A72">
        <w:rPr>
          <w:rFonts w:ascii="Times New Roman" w:eastAsia="Arial Unicode MS" w:hAnsi="Times New Roman" w:cs="Times New Roman"/>
          <w:color w:val="000000"/>
          <w:sz w:val="24"/>
          <w:szCs w:val="24"/>
          <w:u w:color="000000"/>
          <w:lang w:val="en-US" w:eastAsia="de-AT"/>
        </w:rPr>
        <w:t xml:space="preserve"> regulated setting</w:t>
      </w:r>
      <w:r w:rsidR="00327AB5">
        <w:rPr>
          <w:rFonts w:ascii="Times New Roman" w:eastAsia="Arial Unicode MS" w:hAnsi="Times New Roman" w:cs="Times New Roman"/>
          <w:color w:val="000000"/>
          <w:sz w:val="24"/>
          <w:szCs w:val="24"/>
          <w:u w:color="000000"/>
          <w:lang w:val="en-US" w:eastAsia="de-AT"/>
        </w:rPr>
        <w:t>s</w:t>
      </w:r>
      <w:r w:rsidR="004B6A72">
        <w:rPr>
          <w:rFonts w:ascii="Times New Roman" w:eastAsia="Arial Unicode MS" w:hAnsi="Times New Roman" w:cs="Times New Roman"/>
          <w:color w:val="000000"/>
          <w:sz w:val="24"/>
          <w:szCs w:val="24"/>
          <w:u w:color="000000"/>
          <w:lang w:val="en-US" w:eastAsia="de-AT"/>
        </w:rPr>
        <w:t xml:space="preserve"> </w:t>
      </w:r>
      <w:r w:rsidR="0041153D">
        <w:rPr>
          <w:rFonts w:ascii="Times New Roman" w:eastAsia="Arial Unicode MS" w:hAnsi="Times New Roman" w:cs="Times New Roman"/>
          <w:color w:val="000000"/>
          <w:sz w:val="24"/>
          <w:szCs w:val="24"/>
          <w:u w:color="000000"/>
          <w:lang w:val="en-US" w:eastAsia="de-AT"/>
        </w:rPr>
        <w:t xml:space="preserve">are </w:t>
      </w:r>
      <w:r w:rsidR="004B6A72">
        <w:rPr>
          <w:rFonts w:ascii="Times New Roman" w:eastAsia="Arial Unicode MS" w:hAnsi="Times New Roman" w:cs="Times New Roman"/>
          <w:color w:val="000000"/>
          <w:sz w:val="24"/>
          <w:szCs w:val="24"/>
          <w:u w:color="000000"/>
          <w:lang w:val="en-US" w:eastAsia="de-AT"/>
        </w:rPr>
        <w:t>int</w:t>
      </w:r>
      <w:r w:rsidR="00327AB5">
        <w:rPr>
          <w:rFonts w:ascii="Times New Roman" w:eastAsia="Arial Unicode MS" w:hAnsi="Times New Roman" w:cs="Times New Roman"/>
          <w:color w:val="000000"/>
          <w:sz w:val="24"/>
          <w:szCs w:val="24"/>
          <w:u w:color="000000"/>
          <w:lang w:val="en-US" w:eastAsia="de-AT"/>
        </w:rPr>
        <w:t>ra</w:t>
      </w:r>
      <w:r w:rsidR="004B6A72">
        <w:rPr>
          <w:rFonts w:ascii="Times New Roman" w:eastAsia="Arial Unicode MS" w:hAnsi="Times New Roman" w:cs="Times New Roman"/>
          <w:color w:val="000000"/>
          <w:sz w:val="24"/>
          <w:szCs w:val="24"/>
          <w:u w:color="000000"/>
          <w:lang w:val="en-US" w:eastAsia="de-AT"/>
        </w:rPr>
        <w:t>firm relationships</w:t>
      </w:r>
      <w:r w:rsidR="0041153D">
        <w:rPr>
          <w:rFonts w:ascii="Times New Roman" w:eastAsia="Arial Unicode MS" w:hAnsi="Times New Roman" w:cs="Times New Roman"/>
          <w:color w:val="000000"/>
          <w:sz w:val="24"/>
          <w:szCs w:val="24"/>
          <w:u w:color="000000"/>
          <w:lang w:val="en-US" w:eastAsia="de-AT"/>
        </w:rPr>
        <w:t xml:space="preserve">. </w:t>
      </w:r>
      <w:r w:rsidR="00DA497A">
        <w:rPr>
          <w:rFonts w:ascii="Times New Roman" w:eastAsia="Arial Unicode MS" w:hAnsi="Times New Roman" w:cs="Times New Roman"/>
          <w:color w:val="000000"/>
          <w:sz w:val="24"/>
          <w:szCs w:val="24"/>
          <w:u w:color="000000"/>
          <w:lang w:val="en-US" w:eastAsia="de-AT"/>
        </w:rPr>
        <w:t>Nevertheless</w:t>
      </w:r>
      <w:r w:rsidR="0041153D">
        <w:rPr>
          <w:rFonts w:ascii="Times New Roman" w:eastAsia="Arial Unicode MS" w:hAnsi="Times New Roman" w:cs="Times New Roman"/>
          <w:color w:val="000000"/>
          <w:sz w:val="24"/>
          <w:szCs w:val="24"/>
          <w:u w:color="000000"/>
          <w:lang w:val="en-US" w:eastAsia="de-AT"/>
        </w:rPr>
        <w:t>,</w:t>
      </w:r>
      <w:r w:rsidR="004B6A72">
        <w:rPr>
          <w:rFonts w:ascii="Times New Roman" w:eastAsia="Arial Unicode MS" w:hAnsi="Times New Roman" w:cs="Times New Roman"/>
          <w:color w:val="000000"/>
          <w:sz w:val="24"/>
          <w:szCs w:val="24"/>
          <w:u w:color="000000"/>
          <w:lang w:val="en-US" w:eastAsia="de-AT"/>
        </w:rPr>
        <w:t xml:space="preserve"> the effect has been robust across </w:t>
      </w:r>
      <w:r w:rsidR="00C948A0">
        <w:rPr>
          <w:rFonts w:ascii="Times New Roman" w:eastAsia="Arial Unicode MS" w:hAnsi="Times New Roman" w:cs="Times New Roman"/>
          <w:color w:val="000000"/>
          <w:sz w:val="24"/>
          <w:szCs w:val="24"/>
          <w:u w:color="000000"/>
          <w:lang w:val="en-US" w:eastAsia="de-AT"/>
        </w:rPr>
        <w:t xml:space="preserve">all </w:t>
      </w:r>
      <w:r w:rsidR="004B6A72">
        <w:rPr>
          <w:rFonts w:ascii="Times New Roman" w:eastAsia="Arial Unicode MS" w:hAnsi="Times New Roman" w:cs="Times New Roman"/>
          <w:color w:val="000000"/>
          <w:sz w:val="24"/>
          <w:szCs w:val="24"/>
          <w:u w:color="000000"/>
          <w:lang w:val="en-US" w:eastAsia="de-AT"/>
        </w:rPr>
        <w:t xml:space="preserve">settings. Thus, it seems to be the </w:t>
      </w:r>
      <w:r w:rsidR="00DA497A">
        <w:rPr>
          <w:rFonts w:ascii="Times New Roman" w:eastAsia="Arial Unicode MS" w:hAnsi="Times New Roman" w:cs="Times New Roman"/>
          <w:color w:val="000000"/>
          <w:sz w:val="24"/>
          <w:szCs w:val="24"/>
          <w:u w:color="000000"/>
          <w:lang w:val="en-US" w:eastAsia="de-AT"/>
        </w:rPr>
        <w:t xml:space="preserve">interaction partner’s </w:t>
      </w:r>
      <w:r w:rsidR="00BB6C9F">
        <w:rPr>
          <w:rFonts w:ascii="Times New Roman" w:eastAsia="Arial Unicode MS" w:hAnsi="Times New Roman" w:cs="Times New Roman"/>
          <w:color w:val="000000"/>
          <w:sz w:val="24"/>
          <w:szCs w:val="24"/>
          <w:u w:color="000000"/>
          <w:lang w:val="en-US" w:eastAsia="de-AT"/>
        </w:rPr>
        <w:t xml:space="preserve">dual </w:t>
      </w:r>
      <w:r w:rsidR="004B6A72">
        <w:rPr>
          <w:rFonts w:ascii="Times New Roman" w:eastAsia="Arial Unicode MS" w:hAnsi="Times New Roman" w:cs="Times New Roman"/>
          <w:color w:val="000000"/>
          <w:sz w:val="24"/>
          <w:szCs w:val="24"/>
          <w:u w:color="000000"/>
          <w:lang w:val="en-US" w:eastAsia="de-AT"/>
        </w:rPr>
        <w:t xml:space="preserve">role of </w:t>
      </w:r>
      <w:r w:rsidR="00BB6C9F">
        <w:rPr>
          <w:rFonts w:ascii="Times New Roman" w:eastAsia="Arial Unicode MS" w:hAnsi="Times New Roman" w:cs="Times New Roman"/>
          <w:color w:val="000000"/>
          <w:sz w:val="24"/>
          <w:szCs w:val="24"/>
          <w:u w:color="000000"/>
          <w:lang w:val="en-US" w:eastAsia="de-AT"/>
        </w:rPr>
        <w:t xml:space="preserve">providing </w:t>
      </w:r>
      <w:r w:rsidR="004B6A72">
        <w:rPr>
          <w:rFonts w:ascii="Times New Roman" w:eastAsia="Arial Unicode MS" w:hAnsi="Times New Roman" w:cs="Times New Roman"/>
          <w:color w:val="000000"/>
          <w:sz w:val="24"/>
          <w:szCs w:val="24"/>
          <w:u w:color="000000"/>
          <w:lang w:val="en-US" w:eastAsia="de-AT"/>
        </w:rPr>
        <w:t xml:space="preserve">advice and </w:t>
      </w:r>
      <w:r w:rsidR="00BB6C9F">
        <w:rPr>
          <w:rFonts w:ascii="Times New Roman" w:eastAsia="Arial Unicode MS" w:hAnsi="Times New Roman" w:cs="Times New Roman"/>
          <w:color w:val="000000"/>
          <w:sz w:val="24"/>
          <w:szCs w:val="24"/>
          <w:u w:color="000000"/>
          <w:lang w:val="en-US" w:eastAsia="de-AT"/>
        </w:rPr>
        <w:t xml:space="preserve">exerting </w:t>
      </w:r>
      <w:r w:rsidR="004B6A72">
        <w:rPr>
          <w:rFonts w:ascii="Times New Roman" w:eastAsia="Arial Unicode MS" w:hAnsi="Times New Roman" w:cs="Times New Roman"/>
          <w:color w:val="000000"/>
          <w:sz w:val="24"/>
          <w:szCs w:val="24"/>
          <w:u w:color="000000"/>
          <w:lang w:val="en-US" w:eastAsia="de-AT"/>
        </w:rPr>
        <w:t>control</w:t>
      </w:r>
      <w:r w:rsidR="002076DA">
        <w:rPr>
          <w:rFonts w:ascii="Times New Roman" w:eastAsia="Arial Unicode MS" w:hAnsi="Times New Roman" w:cs="Times New Roman"/>
          <w:color w:val="000000"/>
          <w:sz w:val="24"/>
          <w:szCs w:val="24"/>
          <w:u w:color="000000"/>
          <w:lang w:val="en-US" w:eastAsia="de-AT"/>
        </w:rPr>
        <w:t xml:space="preserve"> highlighted by </w:t>
      </w:r>
      <w:r w:rsidR="00BB6C9F">
        <w:rPr>
          <w:rFonts w:ascii="Times New Roman" w:eastAsia="Arial Unicode MS" w:hAnsi="Times New Roman" w:cs="Times New Roman"/>
          <w:color w:val="000000"/>
          <w:sz w:val="24"/>
          <w:szCs w:val="24"/>
          <w:u w:color="000000"/>
          <w:lang w:val="en-US" w:eastAsia="de-AT"/>
        </w:rPr>
        <w:t>McCracken et al.</w:t>
      </w:r>
      <w:r w:rsidR="0041153D">
        <w:rPr>
          <w:rFonts w:ascii="Times New Roman" w:eastAsia="Arial Unicode MS" w:hAnsi="Times New Roman" w:cs="Times New Roman"/>
          <w:color w:val="000000"/>
          <w:sz w:val="24"/>
          <w:szCs w:val="24"/>
          <w:u w:color="000000"/>
          <w:lang w:val="en-US" w:eastAsia="de-AT"/>
        </w:rPr>
        <w:t xml:space="preserve"> </w:t>
      </w:r>
      <w:r w:rsidR="00BB6C9F">
        <w:rPr>
          <w:rFonts w:ascii="Times New Roman" w:eastAsia="Arial Unicode MS" w:hAnsi="Times New Roman" w:cs="Times New Roman"/>
          <w:color w:val="000000"/>
          <w:sz w:val="24"/>
          <w:szCs w:val="24"/>
          <w:u w:color="000000"/>
          <w:lang w:val="en-US" w:eastAsia="de-AT"/>
        </w:rPr>
        <w:t>(</w:t>
      </w:r>
      <w:r w:rsidR="00DA497A">
        <w:rPr>
          <w:rFonts w:ascii="Times New Roman" w:eastAsia="Arial Unicode MS" w:hAnsi="Times New Roman" w:cs="Times New Roman"/>
          <w:color w:val="000000"/>
          <w:sz w:val="24"/>
          <w:szCs w:val="24"/>
          <w:u w:color="000000"/>
          <w:lang w:val="en-US" w:eastAsia="de-AT"/>
        </w:rPr>
        <w:t>2008</w:t>
      </w:r>
      <w:r w:rsidR="0041153D">
        <w:rPr>
          <w:rFonts w:ascii="Times New Roman" w:eastAsia="Arial Unicode MS" w:hAnsi="Times New Roman" w:cs="Times New Roman"/>
          <w:color w:val="000000"/>
          <w:sz w:val="24"/>
          <w:szCs w:val="24"/>
          <w:u w:color="000000"/>
          <w:lang w:val="en-US" w:eastAsia="de-AT"/>
        </w:rPr>
        <w:t>)</w:t>
      </w:r>
      <w:r w:rsidR="004B6A72">
        <w:rPr>
          <w:rFonts w:ascii="Times New Roman" w:eastAsia="Arial Unicode MS" w:hAnsi="Times New Roman" w:cs="Times New Roman"/>
          <w:color w:val="000000"/>
          <w:sz w:val="24"/>
          <w:szCs w:val="24"/>
          <w:u w:color="000000"/>
          <w:lang w:val="en-US" w:eastAsia="de-AT"/>
        </w:rPr>
        <w:t xml:space="preserve"> that drives the observed effect. </w:t>
      </w:r>
      <w:r w:rsidR="00530EBC">
        <w:rPr>
          <w:rFonts w:ascii="Times New Roman" w:eastAsia="Arial Unicode MS" w:hAnsi="Times New Roman" w:cs="Times New Roman"/>
          <w:color w:val="000000"/>
          <w:sz w:val="24"/>
          <w:szCs w:val="24"/>
          <w:u w:color="000000"/>
          <w:lang w:val="en-US" w:eastAsia="de-AT"/>
        </w:rPr>
        <w:t xml:space="preserve">As a result, </w:t>
      </w:r>
      <w:r w:rsidR="002041FC">
        <w:rPr>
          <w:rFonts w:ascii="Times New Roman" w:eastAsia="Arial Unicode MS" w:hAnsi="Times New Roman" w:cs="Times New Roman"/>
          <w:color w:val="000000"/>
          <w:sz w:val="24"/>
          <w:szCs w:val="24"/>
          <w:u w:color="000000"/>
          <w:lang w:val="en-US" w:eastAsia="de-AT"/>
        </w:rPr>
        <w:t xml:space="preserve">both client and auditor </w:t>
      </w:r>
      <w:r w:rsidR="00DF2257">
        <w:rPr>
          <w:rFonts w:ascii="Times New Roman" w:eastAsia="Arial Unicode MS" w:hAnsi="Times New Roman" w:cs="Times New Roman"/>
          <w:color w:val="000000"/>
          <w:sz w:val="24"/>
          <w:szCs w:val="24"/>
          <w:u w:color="000000"/>
          <w:lang w:val="en-US" w:eastAsia="de-AT"/>
        </w:rPr>
        <w:t xml:space="preserve">do not keep their </w:t>
      </w:r>
      <w:r w:rsidR="002041FC">
        <w:rPr>
          <w:rFonts w:ascii="Times New Roman" w:eastAsia="Arial Unicode MS" w:hAnsi="Times New Roman" w:cs="Times New Roman"/>
          <w:color w:val="000000"/>
          <w:sz w:val="24"/>
          <w:szCs w:val="24"/>
          <w:u w:color="000000"/>
          <w:lang w:val="en-US" w:eastAsia="de-AT"/>
        </w:rPr>
        <w:t xml:space="preserve">interaction partner </w:t>
      </w:r>
      <w:r w:rsidR="00DF2257">
        <w:rPr>
          <w:rFonts w:ascii="Times New Roman" w:eastAsia="Arial Unicode MS" w:hAnsi="Times New Roman" w:cs="Times New Roman"/>
          <w:color w:val="000000"/>
          <w:sz w:val="24"/>
          <w:szCs w:val="24"/>
          <w:u w:color="000000"/>
          <w:lang w:val="en-US" w:eastAsia="de-AT"/>
        </w:rPr>
        <w:t xml:space="preserve">properly informed regarding their positions, arguments and strategies </w:t>
      </w:r>
      <w:r w:rsidR="002041FC">
        <w:rPr>
          <w:rFonts w:ascii="Times New Roman" w:eastAsia="Arial Unicode MS" w:hAnsi="Times New Roman" w:cs="Times New Roman"/>
          <w:color w:val="000000"/>
          <w:sz w:val="24"/>
          <w:szCs w:val="24"/>
          <w:u w:color="000000"/>
          <w:lang w:val="en-US" w:eastAsia="de-AT"/>
        </w:rPr>
        <w:t xml:space="preserve">during the audit </w:t>
      </w:r>
      <w:r w:rsidR="00DF2257">
        <w:rPr>
          <w:rFonts w:ascii="Times New Roman" w:eastAsia="Arial Unicode MS" w:hAnsi="Times New Roman" w:cs="Times New Roman"/>
          <w:color w:val="000000"/>
          <w:sz w:val="24"/>
          <w:szCs w:val="24"/>
          <w:u w:color="000000"/>
          <w:lang w:val="en-US" w:eastAsia="de-AT"/>
        </w:rPr>
        <w:t>(Gibbins et al. 2005)</w:t>
      </w:r>
      <w:r w:rsidR="00DA497A">
        <w:rPr>
          <w:rFonts w:ascii="Times New Roman" w:eastAsia="Arial Unicode MS" w:hAnsi="Times New Roman" w:cs="Times New Roman"/>
          <w:color w:val="000000"/>
          <w:sz w:val="24"/>
          <w:szCs w:val="24"/>
          <w:u w:color="000000"/>
          <w:lang w:val="en-US" w:eastAsia="de-AT"/>
        </w:rPr>
        <w:t>.</w:t>
      </w:r>
      <w:r w:rsidR="00DF2257">
        <w:rPr>
          <w:rFonts w:ascii="Times New Roman" w:eastAsia="Arial Unicode MS" w:hAnsi="Times New Roman" w:cs="Times New Roman"/>
          <w:color w:val="000000"/>
          <w:sz w:val="24"/>
          <w:szCs w:val="24"/>
          <w:u w:color="000000"/>
          <w:lang w:val="en-US" w:eastAsia="de-AT"/>
        </w:rPr>
        <w:t xml:space="preserve"> </w:t>
      </w:r>
      <w:r w:rsidRPr="000E701B">
        <w:rPr>
          <w:rFonts w:ascii="Times New Roman" w:eastAsia="Arial Unicode MS" w:hAnsi="Times New Roman" w:cs="Times New Roman"/>
          <w:color w:val="000000"/>
          <w:sz w:val="24"/>
          <w:szCs w:val="24"/>
          <w:u w:color="000000"/>
          <w:lang w:val="en-US" w:eastAsia="de-AT"/>
        </w:rPr>
        <w:t xml:space="preserve">The mutual perception of lacking information reinforces the auditor’s and the client’s uncertainty and further enhances the tendency to pursue a restrictive information policy. As a consequence, both auditor and client are trapped in a </w:t>
      </w:r>
      <w:r w:rsidR="002048B6">
        <w:rPr>
          <w:rFonts w:ascii="Times New Roman" w:eastAsia="Arial Unicode MS" w:hAnsi="Times New Roman" w:cs="Times New Roman"/>
          <w:color w:val="000000"/>
          <w:sz w:val="24"/>
          <w:szCs w:val="24"/>
          <w:u w:color="000000"/>
          <w:lang w:val="en-US" w:eastAsia="de-AT"/>
        </w:rPr>
        <w:t xml:space="preserve">negotiation </w:t>
      </w:r>
      <w:r w:rsidRPr="000E701B">
        <w:rPr>
          <w:rFonts w:ascii="Times New Roman" w:eastAsia="Arial Unicode MS" w:hAnsi="Times New Roman" w:cs="Times New Roman"/>
          <w:color w:val="000000"/>
          <w:sz w:val="24"/>
          <w:szCs w:val="24"/>
          <w:u w:color="000000"/>
          <w:lang w:val="en-US" w:eastAsia="de-AT"/>
        </w:rPr>
        <w:t xml:space="preserve">dilemma because they will be </w:t>
      </w:r>
      <w:r w:rsidR="007A5E22">
        <w:rPr>
          <w:rFonts w:ascii="Times New Roman" w:eastAsia="Arial Unicode MS" w:hAnsi="Times New Roman" w:cs="Times New Roman"/>
          <w:color w:val="000000"/>
          <w:sz w:val="24"/>
          <w:szCs w:val="24"/>
          <w:u w:color="000000"/>
          <w:lang w:val="en-US" w:eastAsia="de-AT"/>
        </w:rPr>
        <w:t xml:space="preserve">more likely to stand up to the interaction partner’s </w:t>
      </w:r>
      <w:r w:rsidRPr="000E701B">
        <w:rPr>
          <w:rFonts w:ascii="Times New Roman" w:eastAsia="Arial Unicode MS" w:hAnsi="Times New Roman" w:cs="Times New Roman"/>
          <w:color w:val="000000"/>
          <w:sz w:val="24"/>
          <w:szCs w:val="24"/>
          <w:u w:color="000000"/>
          <w:lang w:val="en-US" w:eastAsia="de-AT"/>
        </w:rPr>
        <w:t xml:space="preserve">preferred position </w:t>
      </w:r>
      <w:r w:rsidRPr="000E701B">
        <w:rPr>
          <w:rFonts w:ascii="Times New Roman" w:eastAsia="Times New Roman" w:hAnsi="Times New Roman" w:cs="Times New Roman"/>
          <w:sz w:val="24"/>
          <w:szCs w:val="24"/>
          <w:lang w:val="en-GB" w:eastAsia="de-AT"/>
        </w:rPr>
        <w:t>in situations of disagreement in the auditing relationship</w:t>
      </w:r>
      <w:r w:rsidRPr="000E701B">
        <w:rPr>
          <w:rFonts w:ascii="Times New Roman" w:eastAsia="Arial Unicode MS" w:hAnsi="Times New Roman" w:cs="Times New Roman"/>
          <w:color w:val="000000"/>
          <w:sz w:val="24"/>
          <w:szCs w:val="24"/>
          <w:u w:color="000000"/>
          <w:lang w:val="en-US" w:eastAsia="de-AT"/>
        </w:rPr>
        <w:t xml:space="preserve">. However, </w:t>
      </w:r>
      <w:r w:rsidR="002048B6">
        <w:rPr>
          <w:rFonts w:ascii="Times New Roman" w:eastAsia="Arial Unicode MS" w:hAnsi="Times New Roman" w:cs="Times New Roman"/>
          <w:color w:val="000000"/>
          <w:sz w:val="24"/>
          <w:szCs w:val="24"/>
          <w:u w:color="000000"/>
          <w:lang w:val="en-US" w:eastAsia="de-AT"/>
        </w:rPr>
        <w:t xml:space="preserve">an </w:t>
      </w:r>
      <w:r w:rsidRPr="000E701B">
        <w:rPr>
          <w:rFonts w:ascii="Times New Roman" w:eastAsia="Arial Unicode MS" w:hAnsi="Times New Roman" w:cs="Times New Roman"/>
          <w:color w:val="000000"/>
          <w:sz w:val="24"/>
          <w:szCs w:val="24"/>
          <w:u w:color="000000"/>
          <w:lang w:val="en-US" w:eastAsia="de-AT"/>
        </w:rPr>
        <w:t>agreement is needed in order to prevent a qualified audit statement.</w:t>
      </w:r>
    </w:p>
    <w:p w14:paraId="1158AF4A" w14:textId="14DAF326" w:rsidR="000E701B" w:rsidRPr="000E701B" w:rsidRDefault="000E701B" w:rsidP="000E701B">
      <w:pPr>
        <w:spacing w:before="120" w:after="120" w:line="240" w:lineRule="auto"/>
        <w:ind w:firstLine="709"/>
        <w:jc w:val="both"/>
        <w:outlineLvl w:val="0"/>
        <w:rPr>
          <w:rFonts w:ascii="Times New Roman" w:eastAsia="Arial Unicode MS" w:hAnsi="Times New Roman" w:cs="Times New Roman"/>
          <w:color w:val="000000"/>
          <w:sz w:val="24"/>
          <w:szCs w:val="24"/>
          <w:u w:color="000000"/>
          <w:lang w:val="en-US" w:eastAsia="de-AT"/>
        </w:rPr>
      </w:pPr>
      <w:r w:rsidRPr="000E701B">
        <w:rPr>
          <w:rFonts w:ascii="Times New Roman" w:eastAsia="Arial Unicode MS" w:hAnsi="Times New Roman" w:cs="Times New Roman"/>
          <w:color w:val="000000"/>
          <w:sz w:val="24"/>
          <w:szCs w:val="24"/>
          <w:u w:color="000000"/>
          <w:lang w:val="en-US" w:eastAsia="de-AT"/>
        </w:rPr>
        <w:t xml:space="preserve">Previous research suggests that the auditor’s behavior in auditor-client negotiations depends on the context in which the audit is embedded. Gibbins et al. (2001) list the relevant </w:t>
      </w:r>
      <w:r w:rsidRPr="000E701B">
        <w:rPr>
          <w:rFonts w:ascii="Times New Roman" w:eastAsia="Arial Unicode MS" w:hAnsi="Times New Roman" w:cs="Times New Roman"/>
          <w:color w:val="000000"/>
          <w:sz w:val="24"/>
          <w:szCs w:val="24"/>
          <w:u w:color="000000"/>
          <w:lang w:val="en-US" w:eastAsia="de-AT"/>
        </w:rPr>
        <w:lastRenderedPageBreak/>
        <w:t xml:space="preserve">levels of this context: external conditions and constraints, such as GAAP and GAAS (Ng and Tan 2003), the interpersonal context, such as the auditor-client relationship (Bamber and </w:t>
      </w:r>
      <w:proofErr w:type="spellStart"/>
      <w:r w:rsidRPr="000E701B">
        <w:rPr>
          <w:rFonts w:ascii="Times New Roman" w:eastAsia="Arial Unicode MS" w:hAnsi="Times New Roman" w:cs="Times New Roman"/>
          <w:color w:val="000000"/>
          <w:sz w:val="24"/>
          <w:szCs w:val="24"/>
          <w:u w:color="000000"/>
          <w:lang w:val="en-US" w:eastAsia="de-AT"/>
        </w:rPr>
        <w:t>Iyer</w:t>
      </w:r>
      <w:proofErr w:type="spellEnd"/>
      <w:r w:rsidRPr="000E701B">
        <w:rPr>
          <w:rFonts w:ascii="Times New Roman" w:eastAsia="Arial Unicode MS" w:hAnsi="Times New Roman" w:cs="Times New Roman"/>
          <w:color w:val="000000"/>
          <w:sz w:val="24"/>
          <w:szCs w:val="24"/>
          <w:u w:color="000000"/>
          <w:lang w:val="en-US" w:eastAsia="de-AT"/>
        </w:rPr>
        <w:t xml:space="preserve"> 2007; Braun 2001; Hatfield et al. 2001; McCracken et al. 2008) or the involvement of audit committees (Brennan and Kirwan 2015; Salleh and Stewart 2012), and the auditor’s and client’s capabilities, such as their accounting and negotiation expertise. By focusing on </w:t>
      </w:r>
      <w:r w:rsidR="002B5A3E">
        <w:rPr>
          <w:rFonts w:ascii="Times New Roman" w:eastAsia="Arial Unicode MS" w:hAnsi="Times New Roman" w:cs="Times New Roman"/>
          <w:color w:val="000000"/>
          <w:sz w:val="24"/>
          <w:szCs w:val="24"/>
          <w:u w:color="000000"/>
          <w:lang w:val="en-US" w:eastAsia="de-AT"/>
        </w:rPr>
        <w:t xml:space="preserve">identification-based </w:t>
      </w:r>
      <w:r w:rsidRPr="000E701B">
        <w:rPr>
          <w:rFonts w:ascii="Times New Roman" w:eastAsia="Arial Unicode MS" w:hAnsi="Times New Roman" w:cs="Times New Roman"/>
          <w:color w:val="000000"/>
          <w:sz w:val="24"/>
          <w:szCs w:val="24"/>
          <w:u w:color="000000"/>
          <w:lang w:val="en-US" w:eastAsia="de-AT"/>
        </w:rPr>
        <w:t>trust, we explicitly address the interpersonal level (goodwill trust) and the level of perceived capabilities (competence trust).</w:t>
      </w:r>
    </w:p>
    <w:p w14:paraId="124954F8" w14:textId="77777777" w:rsidR="000E701B" w:rsidRPr="000E701B" w:rsidRDefault="000E701B" w:rsidP="000E701B">
      <w:pPr>
        <w:spacing w:before="120" w:after="120" w:line="240" w:lineRule="auto"/>
        <w:ind w:firstLine="709"/>
        <w:jc w:val="both"/>
        <w:outlineLvl w:val="0"/>
        <w:rPr>
          <w:rFonts w:ascii="Times New Roman" w:eastAsia="Arial Unicode MS" w:hAnsi="Times New Roman" w:cs="Times New Roman"/>
          <w:color w:val="000000"/>
          <w:sz w:val="24"/>
          <w:szCs w:val="24"/>
          <w:u w:color="000000"/>
          <w:lang w:val="en-US" w:eastAsia="de-AT"/>
        </w:rPr>
      </w:pPr>
    </w:p>
    <w:p w14:paraId="224D7295" w14:textId="012676CF" w:rsidR="000E701B" w:rsidRPr="000E701B" w:rsidRDefault="00145448" w:rsidP="000E701B">
      <w:pPr>
        <w:keepNext/>
        <w:keepLines/>
        <w:spacing w:before="120" w:after="120" w:line="240" w:lineRule="auto"/>
        <w:jc w:val="both"/>
        <w:rPr>
          <w:rFonts w:ascii="Times New Roman" w:eastAsia="Arial Unicode MS" w:hAnsi="Times New Roman" w:cs="Times New Roman"/>
          <w:b/>
          <w:color w:val="000000"/>
          <w:sz w:val="24"/>
          <w:szCs w:val="24"/>
          <w:u w:color="000000"/>
          <w:lang w:val="en-US" w:eastAsia="de-AT"/>
        </w:rPr>
      </w:pPr>
      <w:r>
        <w:rPr>
          <w:rFonts w:ascii="Times New Roman" w:eastAsia="Arial Unicode MS" w:hAnsi="Times New Roman" w:cs="Times New Roman"/>
          <w:b/>
          <w:color w:val="000000"/>
          <w:sz w:val="24"/>
          <w:szCs w:val="24"/>
          <w:u w:color="000000"/>
          <w:lang w:val="en-US" w:eastAsia="de-AT"/>
        </w:rPr>
        <w:t>Identification-based t</w:t>
      </w:r>
      <w:r w:rsidR="000E701B" w:rsidRPr="000E701B">
        <w:rPr>
          <w:rFonts w:ascii="Times New Roman" w:eastAsia="Arial Unicode MS" w:hAnsi="Times New Roman" w:cs="Times New Roman"/>
          <w:b/>
          <w:color w:val="000000"/>
          <w:sz w:val="24"/>
          <w:szCs w:val="24"/>
          <w:u w:color="000000"/>
          <w:lang w:val="en-US" w:eastAsia="de-AT"/>
        </w:rPr>
        <w:t xml:space="preserve">rust </w:t>
      </w:r>
      <w:r w:rsidR="001B2FD7">
        <w:rPr>
          <w:rFonts w:ascii="Times New Roman" w:eastAsia="Arial Unicode MS" w:hAnsi="Times New Roman" w:cs="Times New Roman"/>
          <w:b/>
          <w:color w:val="000000"/>
          <w:sz w:val="24"/>
          <w:szCs w:val="24"/>
          <w:u w:color="000000"/>
          <w:lang w:val="en-US" w:eastAsia="de-AT"/>
        </w:rPr>
        <w:t xml:space="preserve">as </w:t>
      </w:r>
      <w:r w:rsidR="000E701B" w:rsidRPr="000E701B">
        <w:rPr>
          <w:rFonts w:ascii="Times New Roman" w:eastAsia="Arial Unicode MS" w:hAnsi="Times New Roman" w:cs="Times New Roman"/>
          <w:b/>
          <w:color w:val="000000"/>
          <w:sz w:val="24"/>
          <w:szCs w:val="24"/>
          <w:u w:color="000000"/>
          <w:lang w:val="en-US" w:eastAsia="de-AT"/>
        </w:rPr>
        <w:t>key to the negotiation dilemma</w:t>
      </w:r>
    </w:p>
    <w:p w14:paraId="1031725B" w14:textId="2A4A0D9B" w:rsidR="000E701B" w:rsidRPr="000E701B" w:rsidRDefault="000E701B" w:rsidP="00B33FC6">
      <w:pPr>
        <w:spacing w:before="120" w:after="120" w:line="240" w:lineRule="auto"/>
        <w:ind w:firstLine="720"/>
        <w:jc w:val="both"/>
        <w:outlineLvl w:val="0"/>
        <w:rPr>
          <w:rFonts w:ascii="Times New Roman" w:eastAsia="Arial Unicode MS" w:hAnsi="Times New Roman" w:cs="Times New Roman"/>
          <w:color w:val="000000"/>
          <w:sz w:val="24"/>
          <w:szCs w:val="24"/>
          <w:u w:color="000000"/>
          <w:lang w:val="en-US" w:eastAsia="de-AT"/>
        </w:rPr>
      </w:pPr>
      <w:r w:rsidRPr="000E701B">
        <w:rPr>
          <w:rFonts w:ascii="Times New Roman" w:eastAsia="Arial Unicode MS" w:hAnsi="Times New Roman" w:cs="Times New Roman"/>
          <w:color w:val="000000"/>
          <w:sz w:val="24"/>
          <w:szCs w:val="24"/>
          <w:u w:color="000000"/>
          <w:lang w:val="en-US" w:eastAsia="de-AT"/>
        </w:rPr>
        <w:t>One possible way to overcome the negotiation dilemma</w:t>
      </w:r>
      <w:r w:rsidR="002048B6">
        <w:rPr>
          <w:rFonts w:ascii="Times New Roman" w:eastAsia="Arial Unicode MS" w:hAnsi="Times New Roman" w:cs="Times New Roman"/>
          <w:color w:val="000000"/>
          <w:sz w:val="24"/>
          <w:szCs w:val="24"/>
          <w:u w:color="000000"/>
          <w:lang w:val="en-US" w:eastAsia="de-AT"/>
        </w:rPr>
        <w:t xml:space="preserve"> described above, </w:t>
      </w:r>
      <w:r w:rsidR="00145448">
        <w:rPr>
          <w:rFonts w:ascii="Times New Roman" w:eastAsia="Arial Unicode MS" w:hAnsi="Times New Roman" w:cs="Times New Roman"/>
          <w:color w:val="000000"/>
          <w:sz w:val="24"/>
          <w:szCs w:val="24"/>
          <w:u w:color="000000"/>
          <w:lang w:val="en-US" w:eastAsia="de-AT"/>
        </w:rPr>
        <w:t>in which</w:t>
      </w:r>
      <w:r w:rsidR="002048B6">
        <w:rPr>
          <w:rFonts w:ascii="Times New Roman" w:eastAsia="Arial Unicode MS" w:hAnsi="Times New Roman" w:cs="Times New Roman"/>
          <w:color w:val="000000"/>
          <w:sz w:val="24"/>
          <w:szCs w:val="24"/>
          <w:u w:color="000000"/>
          <w:lang w:val="en-US" w:eastAsia="de-AT"/>
        </w:rPr>
        <w:t xml:space="preserve"> both parties have a high level of uncertainty and are therefore </w:t>
      </w:r>
      <w:r w:rsidR="007A5E22">
        <w:rPr>
          <w:rFonts w:ascii="Times New Roman" w:eastAsia="Arial Unicode MS" w:hAnsi="Times New Roman" w:cs="Times New Roman"/>
          <w:color w:val="000000"/>
          <w:sz w:val="24"/>
          <w:szCs w:val="24"/>
          <w:u w:color="000000"/>
          <w:lang w:val="en-US" w:eastAsia="de-AT"/>
        </w:rPr>
        <w:t xml:space="preserve">likely to stand up </w:t>
      </w:r>
      <w:r w:rsidR="002048B6">
        <w:rPr>
          <w:rFonts w:ascii="Times New Roman" w:eastAsia="Arial Unicode MS" w:hAnsi="Times New Roman" w:cs="Times New Roman"/>
          <w:color w:val="000000"/>
          <w:sz w:val="24"/>
          <w:szCs w:val="24"/>
          <w:u w:color="000000"/>
          <w:lang w:val="en-US" w:eastAsia="de-AT"/>
        </w:rPr>
        <w:t xml:space="preserve">to the </w:t>
      </w:r>
      <w:r w:rsidR="007A5E22">
        <w:rPr>
          <w:rFonts w:ascii="Times New Roman" w:eastAsia="Arial Unicode MS" w:hAnsi="Times New Roman" w:cs="Times New Roman"/>
          <w:color w:val="000000"/>
          <w:sz w:val="24"/>
          <w:szCs w:val="24"/>
          <w:u w:color="000000"/>
          <w:lang w:val="en-US" w:eastAsia="de-AT"/>
        </w:rPr>
        <w:t>interaction partner</w:t>
      </w:r>
      <w:r w:rsidR="002048B6">
        <w:rPr>
          <w:rFonts w:ascii="Times New Roman" w:eastAsia="Arial Unicode MS" w:hAnsi="Times New Roman" w:cs="Times New Roman"/>
          <w:color w:val="000000"/>
          <w:sz w:val="24"/>
          <w:szCs w:val="24"/>
          <w:u w:color="000000"/>
          <w:lang w:val="en-US" w:eastAsia="de-AT"/>
        </w:rPr>
        <w:t>’s preferred position,</w:t>
      </w:r>
      <w:r w:rsidRPr="000E701B">
        <w:rPr>
          <w:rFonts w:ascii="Times New Roman" w:eastAsia="Arial Unicode MS" w:hAnsi="Times New Roman" w:cs="Times New Roman"/>
          <w:color w:val="000000"/>
          <w:sz w:val="24"/>
          <w:szCs w:val="24"/>
          <w:u w:color="000000"/>
          <w:lang w:val="en-US" w:eastAsia="de-AT"/>
        </w:rPr>
        <w:t xml:space="preserve"> is</w:t>
      </w:r>
      <w:r w:rsidR="002B5A3E">
        <w:rPr>
          <w:rFonts w:ascii="Times New Roman" w:eastAsia="Arial Unicode MS" w:hAnsi="Times New Roman" w:cs="Times New Roman"/>
          <w:color w:val="000000"/>
          <w:sz w:val="24"/>
          <w:szCs w:val="24"/>
          <w:u w:color="000000"/>
          <w:lang w:val="en-US" w:eastAsia="de-AT"/>
        </w:rPr>
        <w:t xml:space="preserve"> interpersonal</w:t>
      </w:r>
      <w:r w:rsidRPr="000E701B">
        <w:rPr>
          <w:rFonts w:ascii="Times New Roman" w:eastAsia="Arial Unicode MS" w:hAnsi="Times New Roman" w:cs="Times New Roman"/>
          <w:color w:val="000000"/>
          <w:sz w:val="24"/>
          <w:szCs w:val="24"/>
          <w:u w:color="000000"/>
          <w:lang w:val="en-US" w:eastAsia="de-AT"/>
        </w:rPr>
        <w:t xml:space="preserve"> trust (Adler 2001). </w:t>
      </w:r>
      <w:r w:rsidR="00A83F5F">
        <w:rPr>
          <w:rFonts w:ascii="Times New Roman" w:eastAsia="Arial Unicode MS" w:hAnsi="Times New Roman" w:cs="Times New Roman"/>
          <w:color w:val="000000"/>
          <w:sz w:val="24"/>
          <w:szCs w:val="24"/>
          <w:u w:color="000000"/>
          <w:lang w:val="en-US" w:eastAsia="de-AT"/>
        </w:rPr>
        <w:t>Interpersonal trust can</w:t>
      </w:r>
      <w:r w:rsidR="004D4C72">
        <w:rPr>
          <w:rFonts w:ascii="Times New Roman" w:eastAsia="Arial Unicode MS" w:hAnsi="Times New Roman" w:cs="Times New Roman"/>
          <w:color w:val="000000"/>
          <w:sz w:val="24"/>
          <w:szCs w:val="24"/>
          <w:u w:color="000000"/>
          <w:lang w:val="en-US" w:eastAsia="de-AT"/>
        </w:rPr>
        <w:t xml:space="preserve">, however, </w:t>
      </w:r>
      <w:r w:rsidR="00A83F5F">
        <w:rPr>
          <w:rFonts w:ascii="Times New Roman" w:eastAsia="Arial Unicode MS" w:hAnsi="Times New Roman" w:cs="Times New Roman"/>
          <w:color w:val="000000"/>
          <w:sz w:val="24"/>
          <w:szCs w:val="24"/>
          <w:u w:color="000000"/>
          <w:lang w:val="en-US" w:eastAsia="de-AT"/>
        </w:rPr>
        <w:t xml:space="preserve">take </w:t>
      </w:r>
      <w:r w:rsidR="007B1506">
        <w:rPr>
          <w:rFonts w:ascii="Times New Roman" w:eastAsia="Arial Unicode MS" w:hAnsi="Times New Roman" w:cs="Times New Roman"/>
          <w:color w:val="000000"/>
          <w:sz w:val="24"/>
          <w:szCs w:val="24"/>
          <w:u w:color="000000"/>
          <w:lang w:val="en-US" w:eastAsia="de-AT"/>
        </w:rPr>
        <w:t>different forms, ranging from pure economic exchange based on contractual bonds that can be enforced to pure social exchange based on social bonds and voluntary adherence to the principle of reciprocity</w:t>
      </w:r>
      <w:r w:rsidR="00A83F5F">
        <w:rPr>
          <w:rFonts w:ascii="Times New Roman" w:eastAsia="Arial Unicode MS" w:hAnsi="Times New Roman" w:cs="Times New Roman"/>
          <w:color w:val="000000"/>
          <w:sz w:val="24"/>
          <w:szCs w:val="24"/>
          <w:u w:color="000000"/>
          <w:lang w:val="en-US" w:eastAsia="de-AT"/>
        </w:rPr>
        <w:t xml:space="preserve"> </w:t>
      </w:r>
      <w:r w:rsidR="007B1506">
        <w:rPr>
          <w:rFonts w:ascii="Times New Roman" w:eastAsia="Arial Unicode MS" w:hAnsi="Times New Roman" w:cs="Times New Roman"/>
          <w:color w:val="000000"/>
          <w:sz w:val="24"/>
          <w:szCs w:val="24"/>
          <w:u w:color="000000"/>
          <w:lang w:val="en-US" w:eastAsia="de-AT"/>
        </w:rPr>
        <w:t xml:space="preserve">(Adler 2001; Fink and Kessler 2010). </w:t>
      </w:r>
      <w:r w:rsidR="00BE1995">
        <w:rPr>
          <w:rFonts w:ascii="Times New Roman" w:eastAsia="Arial Unicode MS" w:hAnsi="Times New Roman" w:cs="Times New Roman"/>
          <w:color w:val="000000"/>
          <w:sz w:val="24"/>
          <w:szCs w:val="24"/>
          <w:u w:color="000000"/>
          <w:lang w:val="en-US" w:eastAsia="de-AT"/>
        </w:rPr>
        <w:t>The weakest form of interpersonal trust, c</w:t>
      </w:r>
      <w:r w:rsidRPr="000E701B">
        <w:rPr>
          <w:rFonts w:ascii="Times New Roman" w:eastAsia="Arial Unicode MS" w:hAnsi="Times New Roman" w:cs="Times New Roman"/>
          <w:color w:val="000000"/>
          <w:sz w:val="24"/>
          <w:szCs w:val="24"/>
          <w:u w:color="000000"/>
          <w:lang w:val="en-US" w:eastAsia="de-AT"/>
        </w:rPr>
        <w:t>alculus trust</w:t>
      </w:r>
      <w:r w:rsidR="00BE1995">
        <w:rPr>
          <w:rFonts w:ascii="Times New Roman" w:eastAsia="Arial Unicode MS" w:hAnsi="Times New Roman" w:cs="Times New Roman"/>
          <w:color w:val="000000"/>
          <w:sz w:val="24"/>
          <w:szCs w:val="24"/>
          <w:u w:color="000000"/>
          <w:lang w:val="en-US" w:eastAsia="de-AT"/>
        </w:rPr>
        <w:t>,</w:t>
      </w:r>
      <w:r w:rsidRPr="000E701B">
        <w:rPr>
          <w:rFonts w:ascii="Times New Roman" w:eastAsia="Arial Unicode MS" w:hAnsi="Times New Roman" w:cs="Times New Roman"/>
          <w:color w:val="000000"/>
          <w:sz w:val="24"/>
          <w:szCs w:val="24"/>
          <w:u w:color="000000"/>
          <w:lang w:val="en-US" w:eastAsia="de-AT"/>
        </w:rPr>
        <w:t xml:space="preserve"> is based on an on-going economic calculation of costs versus benefits (Lewicki and Bunker 1996</w:t>
      </w:r>
      <w:r w:rsidR="008E1A0E">
        <w:rPr>
          <w:rFonts w:ascii="Times New Roman" w:eastAsia="Arial Unicode MS" w:hAnsi="Times New Roman" w:cs="Times New Roman"/>
          <w:color w:val="000000"/>
          <w:sz w:val="24"/>
          <w:szCs w:val="24"/>
          <w:u w:color="000000"/>
          <w:lang w:val="en-US" w:eastAsia="de-AT"/>
        </w:rPr>
        <w:t>;</w:t>
      </w:r>
      <w:r w:rsidRPr="000E701B">
        <w:rPr>
          <w:rFonts w:ascii="Times New Roman" w:eastAsia="Arial Unicode MS" w:hAnsi="Times New Roman" w:cs="Times New Roman"/>
          <w:color w:val="000000"/>
          <w:sz w:val="24"/>
          <w:szCs w:val="24"/>
          <w:u w:color="000000"/>
          <w:lang w:val="en-US" w:eastAsia="de-AT"/>
        </w:rPr>
        <w:t xml:space="preserve"> Williamson 1993)</w:t>
      </w:r>
      <w:r w:rsidR="001F04B5">
        <w:rPr>
          <w:rFonts w:ascii="Times New Roman" w:eastAsia="Arial Unicode MS" w:hAnsi="Times New Roman" w:cs="Times New Roman"/>
          <w:color w:val="000000"/>
          <w:sz w:val="24"/>
          <w:szCs w:val="24"/>
          <w:u w:color="000000"/>
          <w:lang w:val="en-US" w:eastAsia="de-AT"/>
        </w:rPr>
        <w:t>.</w:t>
      </w:r>
      <w:r w:rsidRPr="000E701B">
        <w:rPr>
          <w:rFonts w:ascii="Times New Roman" w:eastAsia="Arial Unicode MS" w:hAnsi="Times New Roman" w:cs="Times New Roman"/>
          <w:color w:val="000000"/>
          <w:sz w:val="24"/>
          <w:szCs w:val="24"/>
          <w:u w:color="000000"/>
          <w:lang w:val="en-US" w:eastAsia="de-AT"/>
        </w:rPr>
        <w:t xml:space="preserve"> </w:t>
      </w:r>
      <w:r w:rsidR="001F04B5">
        <w:rPr>
          <w:rFonts w:ascii="Times New Roman" w:eastAsia="Arial Unicode MS" w:hAnsi="Times New Roman" w:cs="Times New Roman"/>
          <w:color w:val="000000"/>
          <w:sz w:val="24"/>
          <w:szCs w:val="24"/>
          <w:u w:color="000000"/>
          <w:lang w:val="en-US" w:eastAsia="de-AT"/>
        </w:rPr>
        <w:t xml:space="preserve">This form of interpersonal trust </w:t>
      </w:r>
      <w:r w:rsidRPr="000E701B">
        <w:rPr>
          <w:rFonts w:ascii="Times New Roman" w:eastAsia="Arial Unicode MS" w:hAnsi="Times New Roman" w:cs="Times New Roman"/>
          <w:color w:val="000000"/>
          <w:sz w:val="24"/>
          <w:szCs w:val="24"/>
          <w:u w:color="000000"/>
          <w:lang w:val="en-US" w:eastAsia="de-AT"/>
        </w:rPr>
        <w:t>will</w:t>
      </w:r>
      <w:r w:rsidR="00BE1995">
        <w:rPr>
          <w:rFonts w:ascii="Times New Roman" w:eastAsia="Arial Unicode MS" w:hAnsi="Times New Roman" w:cs="Times New Roman"/>
          <w:color w:val="000000"/>
          <w:sz w:val="24"/>
          <w:szCs w:val="24"/>
          <w:u w:color="000000"/>
          <w:lang w:val="en-US" w:eastAsia="de-AT"/>
        </w:rPr>
        <w:t>, however,</w:t>
      </w:r>
      <w:r w:rsidRPr="000E701B">
        <w:rPr>
          <w:rFonts w:ascii="Times New Roman" w:eastAsia="Arial Unicode MS" w:hAnsi="Times New Roman" w:cs="Times New Roman"/>
          <w:color w:val="000000"/>
          <w:sz w:val="24"/>
          <w:szCs w:val="24"/>
          <w:u w:color="000000"/>
          <w:lang w:val="en-US" w:eastAsia="de-AT"/>
        </w:rPr>
        <w:t xml:space="preserve"> not justify the necessary </w:t>
      </w:r>
      <w:r w:rsidR="00BE1995">
        <w:rPr>
          <w:rFonts w:ascii="Times New Roman" w:eastAsia="Arial Unicode MS" w:hAnsi="Times New Roman" w:cs="Times New Roman"/>
          <w:color w:val="000000"/>
          <w:sz w:val="24"/>
          <w:szCs w:val="24"/>
          <w:u w:color="000000"/>
          <w:lang w:val="en-US" w:eastAsia="de-AT"/>
        </w:rPr>
        <w:t>step into a state of vulnerability to the contingent behavior of the other, which Möllering (2002) called “</w:t>
      </w:r>
      <w:r w:rsidRPr="000E701B">
        <w:rPr>
          <w:rFonts w:ascii="Times New Roman" w:eastAsia="Arial Unicode MS" w:hAnsi="Times New Roman" w:cs="Times New Roman"/>
          <w:color w:val="000000"/>
          <w:sz w:val="24"/>
          <w:szCs w:val="24"/>
          <w:u w:color="000000"/>
          <w:lang w:val="en-US" w:eastAsia="de-AT"/>
        </w:rPr>
        <w:t>leap of faith</w:t>
      </w:r>
      <w:r w:rsidR="00BE1995">
        <w:rPr>
          <w:rFonts w:ascii="Times New Roman" w:eastAsia="Arial Unicode MS" w:hAnsi="Times New Roman" w:cs="Times New Roman"/>
          <w:color w:val="000000"/>
          <w:sz w:val="24"/>
          <w:szCs w:val="24"/>
          <w:u w:color="000000"/>
          <w:lang w:val="en-US" w:eastAsia="de-AT"/>
        </w:rPr>
        <w:t>”,</w:t>
      </w:r>
      <w:r w:rsidRPr="000E701B">
        <w:rPr>
          <w:rFonts w:ascii="Times New Roman" w:eastAsia="Arial Unicode MS" w:hAnsi="Times New Roman" w:cs="Times New Roman"/>
          <w:color w:val="000000"/>
          <w:sz w:val="24"/>
          <w:szCs w:val="24"/>
          <w:u w:color="000000"/>
          <w:lang w:val="en-US" w:eastAsia="de-AT"/>
        </w:rPr>
        <w:t xml:space="preserve"> that </w:t>
      </w:r>
      <w:r w:rsidR="00BE1995">
        <w:rPr>
          <w:rFonts w:ascii="Times New Roman" w:eastAsia="Arial Unicode MS" w:hAnsi="Times New Roman" w:cs="Times New Roman"/>
          <w:color w:val="000000"/>
          <w:sz w:val="24"/>
          <w:szCs w:val="24"/>
          <w:u w:color="000000"/>
          <w:lang w:val="en-US" w:eastAsia="de-AT"/>
        </w:rPr>
        <w:t>is necessary to solve the</w:t>
      </w:r>
      <w:r w:rsidRPr="000E701B">
        <w:rPr>
          <w:rFonts w:ascii="Times New Roman" w:eastAsia="Arial Unicode MS" w:hAnsi="Times New Roman" w:cs="Times New Roman"/>
          <w:color w:val="000000"/>
          <w:sz w:val="24"/>
          <w:szCs w:val="24"/>
          <w:u w:color="000000"/>
          <w:lang w:val="en-US" w:eastAsia="de-AT"/>
        </w:rPr>
        <w:t xml:space="preserve"> negotiation dilemma.</w:t>
      </w:r>
      <w:r w:rsidR="009006DE">
        <w:rPr>
          <w:rFonts w:ascii="Times New Roman" w:eastAsia="Arial Unicode MS" w:hAnsi="Times New Roman" w:cs="Times New Roman"/>
          <w:color w:val="000000"/>
          <w:sz w:val="24"/>
          <w:szCs w:val="24"/>
          <w:u w:color="000000"/>
          <w:lang w:val="en-US" w:eastAsia="de-AT"/>
        </w:rPr>
        <w:t xml:space="preserve"> </w:t>
      </w:r>
      <w:r w:rsidRPr="000E701B">
        <w:rPr>
          <w:rFonts w:ascii="Times New Roman" w:eastAsia="Arial Unicode MS" w:hAnsi="Times New Roman" w:cs="Times New Roman"/>
          <w:color w:val="000000"/>
          <w:sz w:val="24"/>
          <w:szCs w:val="24"/>
          <w:u w:color="000000"/>
          <w:lang w:val="en-US" w:eastAsia="de-AT"/>
        </w:rPr>
        <w:t xml:space="preserve">Rather, the strongest form of </w:t>
      </w:r>
      <w:r w:rsidR="002B5A3E">
        <w:rPr>
          <w:rFonts w:ascii="Times New Roman" w:eastAsia="Arial Unicode MS" w:hAnsi="Times New Roman" w:cs="Times New Roman"/>
          <w:color w:val="000000"/>
          <w:sz w:val="24"/>
          <w:szCs w:val="24"/>
          <w:u w:color="000000"/>
          <w:lang w:val="en-US" w:eastAsia="de-AT"/>
        </w:rPr>
        <w:t xml:space="preserve">interpersonal </w:t>
      </w:r>
      <w:r w:rsidRPr="000E701B">
        <w:rPr>
          <w:rFonts w:ascii="Times New Roman" w:eastAsia="Arial Unicode MS" w:hAnsi="Times New Roman" w:cs="Times New Roman"/>
          <w:color w:val="000000"/>
          <w:sz w:val="24"/>
          <w:szCs w:val="24"/>
          <w:u w:color="000000"/>
          <w:lang w:val="en-US" w:eastAsia="de-AT"/>
        </w:rPr>
        <w:t xml:space="preserve">trust, identification-based trust, is needed to solve </w:t>
      </w:r>
      <w:r w:rsidR="007F372B" w:rsidRPr="000E701B">
        <w:rPr>
          <w:rFonts w:ascii="Times New Roman" w:eastAsia="Arial Unicode MS" w:hAnsi="Times New Roman" w:cs="Times New Roman"/>
          <w:color w:val="000000"/>
          <w:sz w:val="24"/>
          <w:szCs w:val="24"/>
          <w:u w:color="000000"/>
          <w:lang w:val="en-US" w:eastAsia="de-AT"/>
        </w:rPr>
        <w:t>th</w:t>
      </w:r>
      <w:r w:rsidR="007F372B">
        <w:rPr>
          <w:rFonts w:ascii="Times New Roman" w:eastAsia="Arial Unicode MS" w:hAnsi="Times New Roman" w:cs="Times New Roman"/>
          <w:color w:val="000000"/>
          <w:sz w:val="24"/>
          <w:szCs w:val="24"/>
          <w:u w:color="000000"/>
          <w:lang w:val="en-US" w:eastAsia="de-AT"/>
        </w:rPr>
        <w:t>is</w:t>
      </w:r>
      <w:r w:rsidR="007F372B" w:rsidRPr="000E701B">
        <w:rPr>
          <w:rFonts w:ascii="Times New Roman" w:eastAsia="Arial Unicode MS" w:hAnsi="Times New Roman" w:cs="Times New Roman"/>
          <w:color w:val="000000"/>
          <w:sz w:val="24"/>
          <w:szCs w:val="24"/>
          <w:u w:color="000000"/>
          <w:lang w:val="en-US" w:eastAsia="de-AT"/>
        </w:rPr>
        <w:t xml:space="preserve"> </w:t>
      </w:r>
      <w:r w:rsidRPr="000E701B">
        <w:rPr>
          <w:rFonts w:ascii="Times New Roman" w:eastAsia="Arial Unicode MS" w:hAnsi="Times New Roman" w:cs="Times New Roman"/>
          <w:color w:val="000000"/>
          <w:sz w:val="24"/>
          <w:szCs w:val="24"/>
          <w:u w:color="000000"/>
          <w:lang w:val="en-US" w:eastAsia="de-AT"/>
        </w:rPr>
        <w:t xml:space="preserve">dilemma. This form of </w:t>
      </w:r>
      <w:r w:rsidR="002B5A3E">
        <w:rPr>
          <w:rFonts w:ascii="Times New Roman" w:eastAsia="Arial Unicode MS" w:hAnsi="Times New Roman" w:cs="Times New Roman"/>
          <w:color w:val="000000"/>
          <w:sz w:val="24"/>
          <w:szCs w:val="24"/>
          <w:u w:color="000000"/>
          <w:lang w:val="en-US" w:eastAsia="de-AT"/>
        </w:rPr>
        <w:t xml:space="preserve">interpersonal </w:t>
      </w:r>
      <w:r w:rsidRPr="000E701B">
        <w:rPr>
          <w:rFonts w:ascii="Times New Roman" w:eastAsia="Arial Unicode MS" w:hAnsi="Times New Roman" w:cs="Times New Roman"/>
          <w:color w:val="000000"/>
          <w:sz w:val="24"/>
          <w:szCs w:val="24"/>
          <w:u w:color="000000"/>
          <w:lang w:val="en-US" w:eastAsia="de-AT"/>
        </w:rPr>
        <w:t xml:space="preserve">trust suggests identification with others’ ideas, desires and intentions as well as a strong reciprocal understanding in terms of values and standards of behavior (McAllister 1995; Lewicki and Bunker 1996). </w:t>
      </w:r>
      <w:r w:rsidR="0089796E">
        <w:rPr>
          <w:rFonts w:ascii="Times New Roman" w:eastAsia="Arial Unicode MS" w:hAnsi="Times New Roman" w:cs="Times New Roman"/>
          <w:color w:val="000000"/>
          <w:sz w:val="24"/>
          <w:szCs w:val="24"/>
          <w:u w:color="000000"/>
          <w:lang w:val="en-US" w:eastAsia="de-AT"/>
        </w:rPr>
        <w:t>Regarding</w:t>
      </w:r>
      <w:r w:rsidR="002A49B6">
        <w:rPr>
          <w:rFonts w:ascii="Times New Roman" w:eastAsia="Arial Unicode MS" w:hAnsi="Times New Roman" w:cs="Times New Roman"/>
          <w:color w:val="000000"/>
          <w:sz w:val="24"/>
          <w:szCs w:val="24"/>
          <w:u w:color="000000"/>
          <w:lang w:val="en-US" w:eastAsia="de-AT"/>
        </w:rPr>
        <w:t xml:space="preserve"> the auditor-client relationship identification </w:t>
      </w:r>
      <w:r w:rsidR="002A49B6" w:rsidRPr="000E701B">
        <w:rPr>
          <w:rFonts w:ascii="Times New Roman" w:eastAsia="Arial Unicode MS" w:hAnsi="Times New Roman" w:cs="Times New Roman"/>
          <w:color w:val="000000"/>
          <w:sz w:val="24"/>
          <w:szCs w:val="24"/>
          <w:u w:color="000000"/>
          <w:lang w:val="en-US" w:eastAsia="de-AT"/>
        </w:rPr>
        <w:t>with others’ ideas, desires and intentions</w:t>
      </w:r>
      <w:r w:rsidR="002A49B6">
        <w:rPr>
          <w:rFonts w:ascii="Times New Roman" w:eastAsia="Arial Unicode MS" w:hAnsi="Times New Roman" w:cs="Times New Roman"/>
          <w:color w:val="000000"/>
          <w:sz w:val="24"/>
          <w:szCs w:val="24"/>
          <w:u w:color="000000"/>
          <w:lang w:val="en-US" w:eastAsia="de-AT"/>
        </w:rPr>
        <w:t xml:space="preserve"> </w:t>
      </w:r>
      <w:r w:rsidR="00703EF6">
        <w:rPr>
          <w:rFonts w:ascii="Times New Roman" w:eastAsia="Arial Unicode MS" w:hAnsi="Times New Roman" w:cs="Times New Roman"/>
          <w:color w:val="000000"/>
          <w:sz w:val="24"/>
          <w:szCs w:val="24"/>
          <w:u w:color="000000"/>
          <w:lang w:val="en-US" w:eastAsia="de-AT"/>
        </w:rPr>
        <w:t xml:space="preserve">thus </w:t>
      </w:r>
      <w:r w:rsidR="002A49B6">
        <w:rPr>
          <w:rFonts w:ascii="Times New Roman" w:eastAsia="Arial Unicode MS" w:hAnsi="Times New Roman" w:cs="Times New Roman"/>
          <w:color w:val="000000"/>
          <w:sz w:val="24"/>
          <w:szCs w:val="24"/>
          <w:u w:color="000000"/>
          <w:lang w:val="en-US" w:eastAsia="de-AT"/>
        </w:rPr>
        <w:t xml:space="preserve">implies that both </w:t>
      </w:r>
      <w:r w:rsidR="002B6198">
        <w:rPr>
          <w:rFonts w:ascii="Times New Roman" w:eastAsia="Arial Unicode MS" w:hAnsi="Times New Roman" w:cs="Times New Roman"/>
          <w:color w:val="000000"/>
          <w:sz w:val="24"/>
          <w:szCs w:val="24"/>
          <w:u w:color="000000"/>
          <w:lang w:val="en-US" w:eastAsia="de-AT"/>
        </w:rPr>
        <w:t xml:space="preserve">parties </w:t>
      </w:r>
      <w:r w:rsidR="002A49B6">
        <w:rPr>
          <w:rFonts w:ascii="Times New Roman" w:eastAsia="Arial Unicode MS" w:hAnsi="Times New Roman" w:cs="Times New Roman"/>
          <w:color w:val="000000"/>
          <w:sz w:val="24"/>
          <w:szCs w:val="24"/>
          <w:u w:color="000000"/>
          <w:lang w:val="en-US" w:eastAsia="de-AT"/>
        </w:rPr>
        <w:t xml:space="preserve">respect the other’s ideas on how to do business and their desires regarding the outcome of the auditing process. Understanding in terms of values and standards of behavior refers to auditor and client having a similar understanding of the importance of accounting rules as well as </w:t>
      </w:r>
      <w:r w:rsidR="002B6198">
        <w:rPr>
          <w:rFonts w:ascii="Times New Roman" w:eastAsia="Arial Unicode MS" w:hAnsi="Times New Roman" w:cs="Times New Roman"/>
          <w:color w:val="000000"/>
          <w:sz w:val="24"/>
          <w:szCs w:val="24"/>
          <w:u w:color="000000"/>
          <w:lang w:val="en-US" w:eastAsia="de-AT"/>
        </w:rPr>
        <w:t>similar values regarding behavior in business life and in particular auditing.</w:t>
      </w:r>
      <w:r w:rsidR="007A39EC">
        <w:rPr>
          <w:rFonts w:ascii="Times New Roman" w:eastAsia="Arial Unicode MS" w:hAnsi="Times New Roman" w:cs="Times New Roman"/>
          <w:color w:val="000000"/>
          <w:sz w:val="24"/>
          <w:szCs w:val="24"/>
          <w:u w:color="000000"/>
          <w:lang w:val="en-US" w:eastAsia="de-AT"/>
        </w:rPr>
        <w:t xml:space="preserve"> </w:t>
      </w:r>
      <w:r w:rsidRPr="000E701B">
        <w:rPr>
          <w:rFonts w:ascii="Times New Roman" w:eastAsia="Arial Unicode MS" w:hAnsi="Times New Roman" w:cs="Times New Roman"/>
          <w:color w:val="000000"/>
          <w:sz w:val="24"/>
          <w:szCs w:val="24"/>
          <w:u w:color="000000"/>
          <w:lang w:val="en-US" w:eastAsia="de-AT"/>
        </w:rPr>
        <w:t>With identification-based trust, actors make themselves dependent on their interaction partner’s future behavior. Mayer et al. (1995, 712) define identification-based trust as “the willingness of a party to be vulnerable to the actions of another party based on the expectation that the other party will perform a particular action important to the trustor, irrespective of the ability to monitor and control that other party”.</w:t>
      </w:r>
    </w:p>
    <w:p w14:paraId="53FCD7B0" w14:textId="1BC36C79" w:rsidR="000E701B" w:rsidRPr="000E701B" w:rsidRDefault="000E701B" w:rsidP="000E701B">
      <w:pPr>
        <w:spacing w:before="120" w:after="120" w:line="240" w:lineRule="auto"/>
        <w:ind w:firstLine="720"/>
        <w:jc w:val="both"/>
        <w:outlineLvl w:val="0"/>
        <w:rPr>
          <w:rFonts w:ascii="Times New Roman" w:eastAsia="Arial Unicode MS" w:hAnsi="Times New Roman" w:cs="Times New Roman"/>
          <w:color w:val="000000"/>
          <w:sz w:val="24"/>
          <w:szCs w:val="24"/>
          <w:u w:color="000000"/>
          <w:lang w:val="en-US" w:eastAsia="de-AT"/>
        </w:rPr>
      </w:pPr>
      <w:r w:rsidRPr="000E701B">
        <w:rPr>
          <w:rFonts w:ascii="Times New Roman" w:eastAsia="Arial Unicode MS" w:hAnsi="Times New Roman" w:cs="Times New Roman"/>
          <w:color w:val="000000"/>
          <w:sz w:val="24"/>
          <w:szCs w:val="24"/>
          <w:u w:color="000000"/>
          <w:lang w:val="en-US" w:eastAsia="de-AT"/>
        </w:rPr>
        <w:t>Identification-based trust is an effective measure to reduce perceived behavioral uncertainty and enhance exchange relations by curbing information asymmetry between the interaction partners. The underlying rationale is that actors who perceive their interaction partners as trustworthy expect them to act as promised and therefore perceive the interaction partners’ future behavior as less uncertain. With lower behavioral uncertainty</w:t>
      </w:r>
      <w:r w:rsidR="0072096D">
        <w:rPr>
          <w:rFonts w:ascii="Times New Roman" w:eastAsia="Arial Unicode MS" w:hAnsi="Times New Roman" w:cs="Times New Roman"/>
          <w:color w:val="000000"/>
          <w:sz w:val="24"/>
          <w:szCs w:val="24"/>
          <w:u w:color="000000"/>
          <w:lang w:val="en-US" w:eastAsia="de-AT"/>
        </w:rPr>
        <w:t>,</w:t>
      </w:r>
      <w:r w:rsidRPr="000E701B">
        <w:rPr>
          <w:rFonts w:ascii="Times New Roman" w:eastAsia="Arial Unicode MS" w:hAnsi="Times New Roman" w:cs="Times New Roman"/>
          <w:color w:val="000000"/>
          <w:sz w:val="24"/>
          <w:szCs w:val="24"/>
          <w:u w:color="000000"/>
          <w:lang w:val="en-US" w:eastAsia="de-AT"/>
        </w:rPr>
        <w:t xml:space="preserve"> more information is communicated to the interaction partners, which in turn reduces information asymmetry perceived by the interaction partners and, as a consequence, behavioral uncertainty, motivating the interaction partners to also share more information</w:t>
      </w:r>
      <w:r w:rsidR="002B275D">
        <w:rPr>
          <w:rFonts w:ascii="Times New Roman" w:eastAsia="Arial Unicode MS" w:hAnsi="Times New Roman" w:cs="Times New Roman"/>
          <w:color w:val="000000"/>
          <w:sz w:val="24"/>
          <w:szCs w:val="24"/>
          <w:u w:color="000000"/>
          <w:lang w:val="en-US" w:eastAsia="de-AT"/>
        </w:rPr>
        <w:t xml:space="preserve"> (Colquitt et al. 2007; Dirks and </w:t>
      </w:r>
      <w:proofErr w:type="spellStart"/>
      <w:r w:rsidR="002B275D">
        <w:rPr>
          <w:rFonts w:ascii="Times New Roman" w:eastAsia="Arial Unicode MS" w:hAnsi="Times New Roman" w:cs="Times New Roman"/>
          <w:color w:val="000000"/>
          <w:sz w:val="24"/>
          <w:szCs w:val="24"/>
          <w:u w:color="000000"/>
          <w:lang w:val="en-US" w:eastAsia="de-AT"/>
        </w:rPr>
        <w:t>Ferrin</w:t>
      </w:r>
      <w:proofErr w:type="spellEnd"/>
      <w:r w:rsidR="002B275D">
        <w:rPr>
          <w:rFonts w:ascii="Times New Roman" w:eastAsia="Arial Unicode MS" w:hAnsi="Times New Roman" w:cs="Times New Roman"/>
          <w:color w:val="000000"/>
          <w:sz w:val="24"/>
          <w:szCs w:val="24"/>
          <w:u w:color="000000"/>
          <w:lang w:val="en-US" w:eastAsia="de-AT"/>
        </w:rPr>
        <w:t xml:space="preserve"> 2001)</w:t>
      </w:r>
      <w:r w:rsidRPr="000E701B">
        <w:rPr>
          <w:rFonts w:ascii="Times New Roman" w:eastAsia="Arial Unicode MS" w:hAnsi="Times New Roman" w:cs="Times New Roman"/>
          <w:color w:val="000000"/>
          <w:sz w:val="24"/>
          <w:szCs w:val="24"/>
          <w:u w:color="000000"/>
          <w:lang w:val="en-US" w:eastAsia="de-AT"/>
        </w:rPr>
        <w:t xml:space="preserve">. Thus, </w:t>
      </w:r>
      <w:r w:rsidR="00940D64">
        <w:rPr>
          <w:rFonts w:ascii="Times New Roman" w:eastAsia="Arial Unicode MS" w:hAnsi="Times New Roman" w:cs="Times New Roman"/>
          <w:color w:val="000000"/>
          <w:sz w:val="24"/>
          <w:szCs w:val="24"/>
          <w:u w:color="000000"/>
          <w:lang w:val="en-US" w:eastAsia="de-AT"/>
        </w:rPr>
        <w:t xml:space="preserve">identification-based </w:t>
      </w:r>
      <w:r w:rsidRPr="000E701B">
        <w:rPr>
          <w:rFonts w:ascii="Times New Roman" w:eastAsia="Arial Unicode MS" w:hAnsi="Times New Roman" w:cs="Times New Roman"/>
          <w:color w:val="000000"/>
          <w:sz w:val="24"/>
          <w:szCs w:val="24"/>
          <w:u w:color="000000"/>
          <w:lang w:val="en-US" w:eastAsia="de-AT"/>
        </w:rPr>
        <w:t xml:space="preserve">trust can help to overcome negotiation dilemmas because it compensates for behavioral uncertainty perceived by the trustor. Accordingly, previous research suggests that in negotiation processes </w:t>
      </w:r>
      <w:r w:rsidR="00940D64">
        <w:rPr>
          <w:rFonts w:ascii="Times New Roman" w:eastAsia="Arial Unicode MS" w:hAnsi="Times New Roman" w:cs="Times New Roman"/>
          <w:color w:val="000000"/>
          <w:sz w:val="24"/>
          <w:szCs w:val="24"/>
          <w:u w:color="000000"/>
          <w:lang w:val="en-US" w:eastAsia="de-AT"/>
        </w:rPr>
        <w:t xml:space="preserve">identification-based </w:t>
      </w:r>
      <w:r w:rsidRPr="000E701B">
        <w:rPr>
          <w:rFonts w:ascii="Times New Roman" w:eastAsia="Arial Unicode MS" w:hAnsi="Times New Roman" w:cs="Times New Roman"/>
          <w:color w:val="000000"/>
          <w:sz w:val="24"/>
          <w:szCs w:val="24"/>
          <w:u w:color="000000"/>
          <w:lang w:val="en-US" w:eastAsia="de-AT"/>
        </w:rPr>
        <w:t xml:space="preserve">trust is positively associated with the parties’ joint outcome and outcome satisfaction (Kong et al. 2014). </w:t>
      </w:r>
    </w:p>
    <w:p w14:paraId="25EB517B" w14:textId="2932DE61" w:rsidR="000E701B" w:rsidRPr="000E701B" w:rsidRDefault="005D1385" w:rsidP="000E701B">
      <w:pPr>
        <w:spacing w:before="120" w:after="120" w:line="240" w:lineRule="auto"/>
        <w:ind w:firstLine="708"/>
        <w:jc w:val="both"/>
        <w:rPr>
          <w:rFonts w:ascii="Times New Roman" w:eastAsia="Arial Unicode MS" w:hAnsi="Times New Roman" w:cs="Times New Roman"/>
          <w:color w:val="000000"/>
          <w:sz w:val="24"/>
          <w:szCs w:val="24"/>
          <w:u w:color="000000"/>
          <w:lang w:val="en-US" w:eastAsia="de-AT"/>
        </w:rPr>
      </w:pPr>
      <w:r>
        <w:rPr>
          <w:rFonts w:ascii="Times New Roman" w:eastAsia="Arial Unicode MS" w:hAnsi="Times New Roman" w:cs="Times New Roman"/>
          <w:color w:val="000000"/>
          <w:sz w:val="24"/>
          <w:szCs w:val="24"/>
          <w:u w:color="000000"/>
          <w:lang w:val="en-US" w:eastAsia="de-AT"/>
        </w:rPr>
        <w:t>I</w:t>
      </w:r>
      <w:r w:rsidR="000E701B" w:rsidRPr="000E701B">
        <w:rPr>
          <w:rFonts w:ascii="Times New Roman" w:eastAsia="Arial Unicode MS" w:hAnsi="Times New Roman" w:cs="Times New Roman"/>
          <w:color w:val="000000"/>
          <w:sz w:val="24"/>
          <w:szCs w:val="24"/>
          <w:u w:color="000000"/>
          <w:lang w:val="en-US" w:eastAsia="de-AT"/>
        </w:rPr>
        <w:t xml:space="preserve">n the auditor-client setting, </w:t>
      </w:r>
      <w:r w:rsidR="00940D64">
        <w:rPr>
          <w:rFonts w:ascii="Times New Roman" w:eastAsia="Arial Unicode MS" w:hAnsi="Times New Roman" w:cs="Times New Roman"/>
          <w:color w:val="000000"/>
          <w:sz w:val="24"/>
          <w:szCs w:val="24"/>
          <w:u w:color="000000"/>
          <w:lang w:val="en-US" w:eastAsia="de-AT"/>
        </w:rPr>
        <w:t xml:space="preserve">identification-based </w:t>
      </w:r>
      <w:r w:rsidR="000E701B" w:rsidRPr="000E701B">
        <w:rPr>
          <w:rFonts w:ascii="Times New Roman" w:eastAsia="Arial Unicode MS" w:hAnsi="Times New Roman" w:cs="Times New Roman"/>
          <w:color w:val="000000"/>
          <w:sz w:val="24"/>
          <w:szCs w:val="24"/>
          <w:u w:color="000000"/>
          <w:lang w:val="en-US" w:eastAsia="de-AT"/>
        </w:rPr>
        <w:t>trust can provide a powerful key to the negotiation dilemma</w:t>
      </w:r>
      <w:r w:rsidR="002041FC" w:rsidRPr="002041FC">
        <w:rPr>
          <w:rFonts w:ascii="Times New Roman" w:eastAsia="Arial Unicode MS" w:hAnsi="Times New Roman" w:cs="Times New Roman"/>
          <w:color w:val="000000"/>
          <w:sz w:val="24"/>
          <w:szCs w:val="24"/>
          <w:u w:color="000000"/>
          <w:lang w:val="en-US" w:eastAsia="de-AT"/>
        </w:rPr>
        <w:t xml:space="preserve"> </w:t>
      </w:r>
      <w:r w:rsidR="002041FC">
        <w:rPr>
          <w:rFonts w:ascii="Times New Roman" w:eastAsia="Arial Unicode MS" w:hAnsi="Times New Roman" w:cs="Times New Roman"/>
          <w:color w:val="000000"/>
          <w:sz w:val="24"/>
          <w:szCs w:val="24"/>
          <w:u w:color="000000"/>
          <w:lang w:val="en-US" w:eastAsia="de-AT"/>
        </w:rPr>
        <w:t>as well</w:t>
      </w:r>
      <w:r w:rsidR="00C62C26">
        <w:rPr>
          <w:rFonts w:ascii="Times New Roman" w:eastAsia="Arial Unicode MS" w:hAnsi="Times New Roman" w:cs="Times New Roman"/>
          <w:color w:val="000000"/>
          <w:sz w:val="24"/>
          <w:szCs w:val="24"/>
          <w:u w:color="000000"/>
          <w:lang w:val="en-US" w:eastAsia="de-AT"/>
        </w:rPr>
        <w:t>.</w:t>
      </w:r>
      <w:r w:rsidR="00E43B71">
        <w:rPr>
          <w:rFonts w:ascii="Times New Roman" w:eastAsia="Arial Unicode MS" w:hAnsi="Times New Roman" w:cs="Times New Roman"/>
          <w:color w:val="000000"/>
          <w:sz w:val="24"/>
          <w:szCs w:val="24"/>
          <w:u w:color="000000"/>
          <w:lang w:val="en-US" w:eastAsia="de-AT"/>
        </w:rPr>
        <w:t xml:space="preserve"> Information is rather shared with trusted interaction partners (De Jong and </w:t>
      </w:r>
      <w:proofErr w:type="spellStart"/>
      <w:r w:rsidR="00E43B71">
        <w:rPr>
          <w:rFonts w:ascii="Times New Roman" w:eastAsia="Arial Unicode MS" w:hAnsi="Times New Roman" w:cs="Times New Roman"/>
          <w:color w:val="000000"/>
          <w:sz w:val="24"/>
          <w:szCs w:val="24"/>
          <w:u w:color="000000"/>
          <w:lang w:val="en-US" w:eastAsia="de-AT"/>
        </w:rPr>
        <w:t>Elfring</w:t>
      </w:r>
      <w:proofErr w:type="spellEnd"/>
      <w:r w:rsidR="00E43B71">
        <w:rPr>
          <w:rFonts w:ascii="Times New Roman" w:eastAsia="Arial Unicode MS" w:hAnsi="Times New Roman" w:cs="Times New Roman"/>
          <w:color w:val="000000"/>
          <w:sz w:val="24"/>
          <w:szCs w:val="24"/>
          <w:u w:color="000000"/>
          <w:lang w:val="en-US" w:eastAsia="de-AT"/>
        </w:rPr>
        <w:t xml:space="preserve"> 2010). </w:t>
      </w:r>
      <w:r w:rsidR="009B02B9">
        <w:rPr>
          <w:rFonts w:ascii="Times New Roman" w:eastAsia="Arial Unicode MS" w:hAnsi="Times New Roman" w:cs="Times New Roman"/>
          <w:color w:val="000000"/>
          <w:sz w:val="24"/>
          <w:szCs w:val="24"/>
          <w:u w:color="000000"/>
          <w:lang w:val="en-US" w:eastAsia="de-AT"/>
        </w:rPr>
        <w:t>C</w:t>
      </w:r>
      <w:r w:rsidR="000E701B" w:rsidRPr="000E701B">
        <w:rPr>
          <w:rFonts w:ascii="Times New Roman" w:eastAsia="Arial Unicode MS" w:hAnsi="Times New Roman" w:cs="Times New Roman"/>
          <w:color w:val="000000"/>
          <w:sz w:val="24"/>
          <w:szCs w:val="24"/>
          <w:u w:color="000000"/>
          <w:lang w:val="en-US" w:eastAsia="de-AT"/>
        </w:rPr>
        <w:t xml:space="preserve">lients who perceive their auditor as more trustworthy would be less uncertain about how the auditor uses the information provided. Thus, they would help their auditors to gain an accurate picture of the firm by providing them with more timely, accurate, complete and relevant information. </w:t>
      </w:r>
      <w:r w:rsidR="000E701B" w:rsidRPr="00E60EDE">
        <w:rPr>
          <w:rFonts w:ascii="Times New Roman" w:eastAsia="Arial Unicode MS" w:hAnsi="Times New Roman" w:cs="Times New Roman"/>
          <w:color w:val="000000"/>
          <w:sz w:val="24"/>
          <w:szCs w:val="24"/>
          <w:u w:color="000000"/>
          <w:lang w:val="en-US" w:eastAsia="de-AT"/>
        </w:rPr>
        <w:t>Also</w:t>
      </w:r>
      <w:r w:rsidR="00E60EDE" w:rsidRPr="00E60EDE">
        <w:rPr>
          <w:rFonts w:ascii="Times New Roman" w:eastAsia="Arial Unicode MS" w:hAnsi="Times New Roman" w:cs="Times New Roman"/>
          <w:color w:val="000000"/>
          <w:sz w:val="24"/>
          <w:szCs w:val="24"/>
          <w:u w:color="000000"/>
          <w:lang w:val="en-US" w:eastAsia="de-AT"/>
        </w:rPr>
        <w:t>,</w:t>
      </w:r>
      <w:r w:rsidR="000E701B" w:rsidRPr="00E60EDE">
        <w:rPr>
          <w:rFonts w:ascii="Times New Roman" w:eastAsia="Arial Unicode MS" w:hAnsi="Times New Roman" w:cs="Times New Roman"/>
          <w:color w:val="000000"/>
          <w:sz w:val="24"/>
          <w:szCs w:val="24"/>
          <w:u w:color="000000"/>
          <w:lang w:val="en-US" w:eastAsia="de-AT"/>
        </w:rPr>
        <w:t xml:space="preserve"> auditors who perceive their clients as more </w:t>
      </w:r>
      <w:r w:rsidR="000E701B" w:rsidRPr="00E60EDE">
        <w:rPr>
          <w:rFonts w:ascii="Times New Roman" w:eastAsia="Arial Unicode MS" w:hAnsi="Times New Roman" w:cs="Times New Roman"/>
          <w:color w:val="000000"/>
          <w:sz w:val="24"/>
          <w:szCs w:val="24"/>
          <w:u w:color="000000"/>
          <w:lang w:val="en-US" w:eastAsia="de-AT"/>
        </w:rPr>
        <w:lastRenderedPageBreak/>
        <w:t xml:space="preserve">trustworthy </w:t>
      </w:r>
      <w:r w:rsidR="001A357E">
        <w:rPr>
          <w:rFonts w:ascii="Times New Roman" w:eastAsia="Arial Unicode MS" w:hAnsi="Times New Roman" w:cs="Times New Roman"/>
          <w:color w:val="000000"/>
          <w:sz w:val="24"/>
          <w:szCs w:val="24"/>
          <w:u w:color="000000"/>
          <w:lang w:val="en-US" w:eastAsia="de-AT"/>
        </w:rPr>
        <w:t xml:space="preserve">can be expected to be more motivated to offer advice on how to prepare high quality financial statements instead of ensuring that </w:t>
      </w:r>
      <w:r w:rsidR="0072096D">
        <w:rPr>
          <w:rFonts w:ascii="Times New Roman" w:eastAsia="Arial Unicode MS" w:hAnsi="Times New Roman" w:cs="Times New Roman"/>
          <w:color w:val="000000"/>
          <w:sz w:val="24"/>
          <w:szCs w:val="24"/>
          <w:u w:color="000000"/>
          <w:lang w:val="en-US" w:eastAsia="de-AT"/>
        </w:rPr>
        <w:t xml:space="preserve">the financial statements </w:t>
      </w:r>
      <w:r w:rsidR="007F372B">
        <w:rPr>
          <w:rFonts w:ascii="Times New Roman" w:eastAsia="Arial Unicode MS" w:hAnsi="Times New Roman" w:cs="Times New Roman"/>
          <w:color w:val="000000"/>
          <w:sz w:val="24"/>
          <w:szCs w:val="24"/>
          <w:u w:color="000000"/>
          <w:lang w:val="en-US" w:eastAsia="de-AT"/>
        </w:rPr>
        <w:t xml:space="preserve">merely </w:t>
      </w:r>
      <w:r w:rsidR="0072096D">
        <w:rPr>
          <w:rFonts w:ascii="Times New Roman" w:eastAsia="Arial Unicode MS" w:hAnsi="Times New Roman" w:cs="Times New Roman"/>
          <w:color w:val="000000"/>
          <w:sz w:val="24"/>
          <w:szCs w:val="24"/>
          <w:u w:color="000000"/>
          <w:lang w:val="en-US" w:eastAsia="de-AT"/>
        </w:rPr>
        <w:t>comply with accounting standards (McCracken et al. 2008).</w:t>
      </w:r>
      <w:r w:rsidR="001A357E">
        <w:rPr>
          <w:rFonts w:ascii="Times New Roman" w:eastAsia="Arial Unicode MS" w:hAnsi="Times New Roman" w:cs="Times New Roman"/>
          <w:color w:val="000000"/>
          <w:sz w:val="24"/>
          <w:szCs w:val="24"/>
          <w:u w:color="000000"/>
          <w:lang w:val="en-US" w:eastAsia="de-AT"/>
        </w:rPr>
        <w:t xml:space="preserve"> </w:t>
      </w:r>
      <w:r w:rsidR="0072096D">
        <w:rPr>
          <w:rFonts w:ascii="Times New Roman" w:eastAsia="Arial Unicode MS" w:hAnsi="Times New Roman" w:cs="Times New Roman"/>
          <w:color w:val="000000"/>
          <w:sz w:val="24"/>
          <w:szCs w:val="24"/>
          <w:u w:color="000000"/>
          <w:lang w:val="en-US" w:eastAsia="de-AT"/>
        </w:rPr>
        <w:t xml:space="preserve">This is because </w:t>
      </w:r>
      <w:r w:rsidR="004F00B6">
        <w:rPr>
          <w:rFonts w:ascii="Times New Roman" w:eastAsia="Arial Unicode MS" w:hAnsi="Times New Roman" w:cs="Times New Roman"/>
          <w:color w:val="000000"/>
          <w:sz w:val="24"/>
          <w:szCs w:val="24"/>
          <w:u w:color="000000"/>
          <w:lang w:val="en-US" w:eastAsia="de-AT"/>
        </w:rPr>
        <w:t xml:space="preserve">they expect clients to </w:t>
      </w:r>
      <w:r w:rsidR="00E3072F">
        <w:rPr>
          <w:rFonts w:ascii="Times New Roman" w:eastAsia="Arial Unicode MS" w:hAnsi="Times New Roman" w:cs="Times New Roman"/>
          <w:color w:val="000000"/>
          <w:sz w:val="24"/>
          <w:szCs w:val="24"/>
          <w:u w:color="000000"/>
          <w:lang w:val="en-US" w:eastAsia="de-AT"/>
        </w:rPr>
        <w:t>use the information provided for cooperative rather than self-serving purposes (</w:t>
      </w:r>
      <w:proofErr w:type="spellStart"/>
      <w:r w:rsidR="00E3072F">
        <w:rPr>
          <w:rFonts w:ascii="Times New Roman" w:eastAsia="Arial Unicode MS" w:hAnsi="Times New Roman" w:cs="Times New Roman"/>
          <w:color w:val="000000"/>
          <w:sz w:val="24"/>
          <w:szCs w:val="24"/>
          <w:u w:color="000000"/>
          <w:lang w:val="en-US" w:eastAsia="de-AT"/>
        </w:rPr>
        <w:t>Bammens</w:t>
      </w:r>
      <w:proofErr w:type="spellEnd"/>
      <w:r w:rsidR="00E3072F">
        <w:rPr>
          <w:rFonts w:ascii="Times New Roman" w:eastAsia="Arial Unicode MS" w:hAnsi="Times New Roman" w:cs="Times New Roman"/>
          <w:color w:val="000000"/>
          <w:sz w:val="24"/>
          <w:szCs w:val="24"/>
          <w:u w:color="000000"/>
          <w:lang w:val="en-US" w:eastAsia="de-AT"/>
        </w:rPr>
        <w:t xml:space="preserve"> and </w:t>
      </w:r>
      <w:proofErr w:type="spellStart"/>
      <w:r w:rsidR="00E3072F">
        <w:rPr>
          <w:rFonts w:ascii="Times New Roman" w:eastAsia="Arial Unicode MS" w:hAnsi="Times New Roman" w:cs="Times New Roman"/>
          <w:color w:val="000000"/>
          <w:sz w:val="24"/>
          <w:szCs w:val="24"/>
          <w:u w:color="000000"/>
          <w:lang w:val="en-US" w:eastAsia="de-AT"/>
        </w:rPr>
        <w:t>Collewaert</w:t>
      </w:r>
      <w:proofErr w:type="spellEnd"/>
      <w:r w:rsidR="00E3072F">
        <w:rPr>
          <w:rFonts w:ascii="Times New Roman" w:eastAsia="Arial Unicode MS" w:hAnsi="Times New Roman" w:cs="Times New Roman"/>
          <w:color w:val="000000"/>
          <w:sz w:val="24"/>
          <w:szCs w:val="24"/>
          <w:u w:color="000000"/>
          <w:lang w:val="en-US" w:eastAsia="de-AT"/>
        </w:rPr>
        <w:t xml:space="preserve"> 2014; </w:t>
      </w:r>
      <w:r w:rsidR="00743579">
        <w:rPr>
          <w:rFonts w:ascii="Times New Roman" w:eastAsia="Arial Unicode MS" w:hAnsi="Times New Roman" w:cs="Times New Roman"/>
          <w:color w:val="000000"/>
          <w:sz w:val="24"/>
          <w:szCs w:val="24"/>
          <w:u w:color="000000"/>
          <w:lang w:val="en-US" w:eastAsia="de-AT"/>
        </w:rPr>
        <w:t>Zheng 2012)</w:t>
      </w:r>
      <w:r w:rsidR="00E3072F">
        <w:rPr>
          <w:rFonts w:ascii="Times New Roman" w:eastAsia="Arial Unicode MS" w:hAnsi="Times New Roman" w:cs="Times New Roman"/>
          <w:color w:val="000000"/>
          <w:sz w:val="24"/>
          <w:szCs w:val="24"/>
          <w:u w:color="000000"/>
          <w:lang w:val="en-US" w:eastAsia="de-AT"/>
        </w:rPr>
        <w:t xml:space="preserve"> </w:t>
      </w:r>
      <w:r w:rsidR="00743579">
        <w:rPr>
          <w:rFonts w:ascii="Times New Roman" w:eastAsia="Arial Unicode MS" w:hAnsi="Times New Roman" w:cs="Times New Roman"/>
          <w:color w:val="000000"/>
          <w:sz w:val="24"/>
          <w:szCs w:val="24"/>
          <w:u w:color="000000"/>
          <w:lang w:val="en-US" w:eastAsia="de-AT"/>
        </w:rPr>
        <w:t xml:space="preserve">and are therefore </w:t>
      </w:r>
      <w:r w:rsidR="000E701B" w:rsidRPr="00E60EDE">
        <w:rPr>
          <w:rFonts w:ascii="Times New Roman" w:eastAsia="Arial Unicode MS" w:hAnsi="Times New Roman" w:cs="Times New Roman"/>
          <w:color w:val="000000"/>
          <w:sz w:val="24"/>
          <w:szCs w:val="24"/>
          <w:u w:color="000000"/>
          <w:lang w:val="en-US" w:eastAsia="de-AT"/>
        </w:rPr>
        <w:t>less uncertain about how their clients use the information provided.</w:t>
      </w:r>
      <w:r w:rsidR="000E701B" w:rsidRPr="000E701B">
        <w:rPr>
          <w:rFonts w:ascii="Times New Roman" w:eastAsia="Arial Unicode MS" w:hAnsi="Times New Roman" w:cs="Times New Roman"/>
          <w:color w:val="000000"/>
          <w:sz w:val="24"/>
          <w:szCs w:val="24"/>
          <w:u w:color="000000"/>
          <w:lang w:val="en-US" w:eastAsia="de-AT"/>
        </w:rPr>
        <w:t xml:space="preserve"> </w:t>
      </w:r>
    </w:p>
    <w:p w14:paraId="5BF6158C" w14:textId="49E95E5F" w:rsidR="00B17275" w:rsidRDefault="000E701B" w:rsidP="007B6461">
      <w:pPr>
        <w:spacing w:before="120" w:after="120" w:line="240" w:lineRule="auto"/>
        <w:ind w:firstLine="708"/>
        <w:jc w:val="both"/>
        <w:rPr>
          <w:rFonts w:ascii="Times New Roman" w:eastAsia="Arial Unicode MS" w:hAnsi="Times New Roman" w:cs="Times New Roman"/>
          <w:color w:val="000000"/>
          <w:sz w:val="24"/>
          <w:szCs w:val="24"/>
          <w:u w:color="000000"/>
          <w:lang w:val="en-US" w:eastAsia="de-AT"/>
        </w:rPr>
      </w:pPr>
      <w:r w:rsidRPr="000E701B">
        <w:rPr>
          <w:rFonts w:ascii="Times New Roman" w:eastAsia="Arial Unicode MS" w:hAnsi="Times New Roman" w:cs="Times New Roman"/>
          <w:color w:val="000000"/>
          <w:sz w:val="24"/>
          <w:szCs w:val="24"/>
          <w:u w:color="000000"/>
          <w:lang w:val="en-US" w:eastAsia="de-AT"/>
        </w:rPr>
        <w:t xml:space="preserve">However, earlier studies also find a “dark side” of </w:t>
      </w:r>
      <w:r w:rsidR="00616E7F">
        <w:rPr>
          <w:rFonts w:ascii="Times New Roman" w:eastAsia="Arial Unicode MS" w:hAnsi="Times New Roman" w:cs="Times New Roman"/>
          <w:color w:val="000000"/>
          <w:sz w:val="24"/>
          <w:szCs w:val="24"/>
          <w:u w:color="000000"/>
          <w:lang w:val="en-US" w:eastAsia="de-AT"/>
        </w:rPr>
        <w:t xml:space="preserve">identification-based </w:t>
      </w:r>
      <w:r w:rsidRPr="000E701B">
        <w:rPr>
          <w:rFonts w:ascii="Times New Roman" w:eastAsia="Arial Unicode MS" w:hAnsi="Times New Roman" w:cs="Times New Roman"/>
          <w:color w:val="000000"/>
          <w:sz w:val="24"/>
          <w:szCs w:val="24"/>
          <w:u w:color="000000"/>
          <w:lang w:val="en-US" w:eastAsia="de-AT"/>
        </w:rPr>
        <w:t xml:space="preserve">trust, as </w:t>
      </w:r>
      <w:r w:rsidR="00CA509A">
        <w:rPr>
          <w:rFonts w:ascii="Times New Roman" w:eastAsia="Arial Unicode MS" w:hAnsi="Times New Roman" w:cs="Times New Roman"/>
          <w:color w:val="000000"/>
          <w:sz w:val="24"/>
          <w:szCs w:val="24"/>
          <w:u w:color="000000"/>
          <w:lang w:val="en-US" w:eastAsia="de-AT"/>
        </w:rPr>
        <w:t xml:space="preserve">it </w:t>
      </w:r>
      <w:r w:rsidRPr="000E701B">
        <w:rPr>
          <w:rFonts w:ascii="Times New Roman" w:eastAsia="Arial Unicode MS" w:hAnsi="Times New Roman" w:cs="Times New Roman"/>
          <w:color w:val="000000"/>
          <w:sz w:val="24"/>
          <w:szCs w:val="24"/>
          <w:u w:color="000000"/>
          <w:lang w:val="en-US" w:eastAsia="de-AT"/>
        </w:rPr>
        <w:t>increases the risk of being manipulated (</w:t>
      </w:r>
      <w:proofErr w:type="spellStart"/>
      <w:r w:rsidRPr="000E701B">
        <w:rPr>
          <w:rFonts w:ascii="Times New Roman" w:eastAsia="Arial Unicode MS" w:hAnsi="Times New Roman" w:cs="Times New Roman"/>
          <w:color w:val="000000"/>
          <w:sz w:val="24"/>
          <w:szCs w:val="24"/>
          <w:u w:color="000000"/>
          <w:lang w:val="en-US" w:eastAsia="de-AT"/>
        </w:rPr>
        <w:t>McEvily</w:t>
      </w:r>
      <w:proofErr w:type="spellEnd"/>
      <w:r w:rsidRPr="000E701B">
        <w:rPr>
          <w:rFonts w:ascii="Times New Roman" w:eastAsia="Arial Unicode MS" w:hAnsi="Times New Roman" w:cs="Times New Roman"/>
          <w:color w:val="000000"/>
          <w:sz w:val="24"/>
          <w:szCs w:val="24"/>
          <w:u w:color="000000"/>
          <w:lang w:val="en-US" w:eastAsia="de-AT"/>
        </w:rPr>
        <w:t xml:space="preserve"> and </w:t>
      </w:r>
      <w:proofErr w:type="spellStart"/>
      <w:r w:rsidRPr="000E701B">
        <w:rPr>
          <w:rFonts w:ascii="Times New Roman" w:eastAsia="Arial Unicode MS" w:hAnsi="Times New Roman" w:cs="Times New Roman"/>
          <w:color w:val="000000"/>
          <w:sz w:val="24"/>
          <w:szCs w:val="24"/>
          <w:u w:color="000000"/>
          <w:lang w:val="en-US" w:eastAsia="de-AT"/>
        </w:rPr>
        <w:t>Tortoriello</w:t>
      </w:r>
      <w:proofErr w:type="spellEnd"/>
      <w:r w:rsidRPr="000E701B">
        <w:rPr>
          <w:rFonts w:ascii="Times New Roman" w:eastAsia="Arial Unicode MS" w:hAnsi="Times New Roman" w:cs="Times New Roman"/>
          <w:color w:val="000000"/>
          <w:sz w:val="24"/>
          <w:szCs w:val="24"/>
          <w:u w:color="000000"/>
          <w:lang w:val="en-US" w:eastAsia="de-AT"/>
        </w:rPr>
        <w:t xml:space="preserve"> 2003), exploited (</w:t>
      </w:r>
      <w:proofErr w:type="spellStart"/>
      <w:r w:rsidRPr="000E701B">
        <w:rPr>
          <w:rFonts w:ascii="Times New Roman" w:eastAsia="Arial Unicode MS" w:hAnsi="Times New Roman" w:cs="Times New Roman"/>
          <w:color w:val="000000"/>
          <w:sz w:val="24"/>
          <w:szCs w:val="24"/>
          <w:u w:color="000000"/>
          <w:lang w:val="en-US" w:eastAsia="de-AT"/>
        </w:rPr>
        <w:t>Langfred</w:t>
      </w:r>
      <w:proofErr w:type="spellEnd"/>
      <w:r w:rsidRPr="000E701B">
        <w:rPr>
          <w:rFonts w:ascii="Times New Roman" w:eastAsia="Arial Unicode MS" w:hAnsi="Times New Roman" w:cs="Times New Roman"/>
          <w:color w:val="000000"/>
          <w:sz w:val="24"/>
          <w:szCs w:val="24"/>
          <w:u w:color="000000"/>
          <w:lang w:val="en-US" w:eastAsia="de-AT"/>
        </w:rPr>
        <w:t xml:space="preserve"> 2004) or cheated (Shapiro 1987). Thus, </w:t>
      </w:r>
      <w:r w:rsidR="00CA509A">
        <w:rPr>
          <w:rFonts w:ascii="Times New Roman" w:eastAsia="Arial Unicode MS" w:hAnsi="Times New Roman" w:cs="Times New Roman"/>
          <w:color w:val="000000"/>
          <w:sz w:val="24"/>
          <w:szCs w:val="24"/>
          <w:u w:color="000000"/>
          <w:lang w:val="en-US" w:eastAsia="de-AT"/>
        </w:rPr>
        <w:t>identifica</w:t>
      </w:r>
      <w:r w:rsidR="00B62CF3">
        <w:rPr>
          <w:rFonts w:ascii="Times New Roman" w:eastAsia="Arial Unicode MS" w:hAnsi="Times New Roman" w:cs="Times New Roman"/>
          <w:color w:val="000000"/>
          <w:sz w:val="24"/>
          <w:szCs w:val="24"/>
          <w:u w:color="000000"/>
          <w:lang w:val="en-US" w:eastAsia="de-AT"/>
        </w:rPr>
        <w:t>tion-based trust has to be well-</w:t>
      </w:r>
      <w:r w:rsidR="00CA509A">
        <w:rPr>
          <w:rFonts w:ascii="Times New Roman" w:eastAsia="Arial Unicode MS" w:hAnsi="Times New Roman" w:cs="Times New Roman"/>
          <w:color w:val="000000"/>
          <w:sz w:val="24"/>
          <w:szCs w:val="24"/>
          <w:u w:color="000000"/>
          <w:lang w:val="en-US" w:eastAsia="de-AT"/>
        </w:rPr>
        <w:t>founded</w:t>
      </w:r>
      <w:r w:rsidR="00254A5A">
        <w:rPr>
          <w:rFonts w:ascii="Times New Roman" w:eastAsia="Arial Unicode MS" w:hAnsi="Times New Roman" w:cs="Times New Roman"/>
          <w:color w:val="000000"/>
          <w:sz w:val="24"/>
          <w:szCs w:val="24"/>
          <w:u w:color="000000"/>
          <w:lang w:val="en-US" w:eastAsia="de-AT"/>
        </w:rPr>
        <w:t xml:space="preserve"> in order not to be </w:t>
      </w:r>
      <w:r w:rsidR="00254A5A" w:rsidRPr="000E701B">
        <w:rPr>
          <w:rFonts w:ascii="Times New Roman" w:eastAsia="Arial Unicode MS" w:hAnsi="Times New Roman" w:cs="Times New Roman"/>
          <w:color w:val="000000"/>
          <w:sz w:val="24"/>
          <w:szCs w:val="24"/>
          <w:u w:color="000000"/>
          <w:lang w:val="en-US" w:eastAsia="de-AT"/>
        </w:rPr>
        <w:t xml:space="preserve">naïve </w:t>
      </w:r>
      <w:r w:rsidRPr="000E701B">
        <w:rPr>
          <w:rFonts w:ascii="Times New Roman" w:eastAsia="Arial Unicode MS" w:hAnsi="Times New Roman" w:cs="Times New Roman"/>
          <w:color w:val="000000"/>
          <w:sz w:val="24"/>
          <w:szCs w:val="24"/>
          <w:u w:color="000000"/>
          <w:lang w:val="en-US" w:eastAsia="de-AT"/>
        </w:rPr>
        <w:t>(</w:t>
      </w:r>
      <w:proofErr w:type="spellStart"/>
      <w:r w:rsidRPr="000E701B">
        <w:rPr>
          <w:rFonts w:ascii="Times New Roman" w:eastAsia="Arial Unicode MS" w:hAnsi="Times New Roman" w:cs="Times New Roman"/>
          <w:color w:val="000000"/>
          <w:sz w:val="24"/>
          <w:szCs w:val="24"/>
          <w:u w:color="000000"/>
          <w:lang w:val="en-US" w:eastAsia="de-AT"/>
        </w:rPr>
        <w:t>Langfred</w:t>
      </w:r>
      <w:proofErr w:type="spellEnd"/>
      <w:r w:rsidRPr="000E701B">
        <w:rPr>
          <w:rFonts w:ascii="Times New Roman" w:eastAsia="Arial Unicode MS" w:hAnsi="Times New Roman" w:cs="Times New Roman"/>
          <w:color w:val="000000"/>
          <w:sz w:val="24"/>
          <w:szCs w:val="24"/>
          <w:u w:color="000000"/>
          <w:lang w:val="en-US" w:eastAsia="de-AT"/>
        </w:rPr>
        <w:t xml:space="preserve"> 2004). According to Mayer et al. (1995) </w:t>
      </w:r>
      <w:r w:rsidR="007C300E">
        <w:rPr>
          <w:rFonts w:ascii="Times New Roman" w:eastAsia="Arial Unicode MS" w:hAnsi="Times New Roman" w:cs="Times New Roman"/>
          <w:color w:val="000000"/>
          <w:sz w:val="24"/>
          <w:szCs w:val="24"/>
          <w:u w:color="000000"/>
          <w:lang w:val="en-US" w:eastAsia="de-AT"/>
        </w:rPr>
        <w:t>identification-based</w:t>
      </w:r>
      <w:r w:rsidRPr="000E701B">
        <w:rPr>
          <w:rFonts w:ascii="Times New Roman" w:eastAsia="Arial Unicode MS" w:hAnsi="Times New Roman" w:cs="Times New Roman"/>
          <w:color w:val="000000"/>
          <w:sz w:val="24"/>
          <w:szCs w:val="24"/>
          <w:u w:color="000000"/>
          <w:lang w:val="en-US" w:eastAsia="de-AT"/>
        </w:rPr>
        <w:t xml:space="preserve"> trust is based on three factors, namely ability, benevolence and integrity, and the level of trust depends on the strength of these three factors.</w:t>
      </w:r>
      <w:r w:rsidR="00EE3B0E">
        <w:rPr>
          <w:rFonts w:ascii="Times New Roman" w:eastAsia="Arial Unicode MS" w:hAnsi="Times New Roman" w:cs="Times New Roman"/>
          <w:color w:val="000000"/>
          <w:sz w:val="24"/>
          <w:szCs w:val="24"/>
          <w:u w:color="000000"/>
          <w:lang w:val="en-US" w:eastAsia="de-AT"/>
        </w:rPr>
        <w:t xml:space="preserve"> </w:t>
      </w:r>
      <w:r w:rsidR="007C300E">
        <w:rPr>
          <w:rFonts w:ascii="Times New Roman" w:eastAsia="Arial Unicode MS" w:hAnsi="Times New Roman" w:cs="Times New Roman"/>
          <w:color w:val="000000"/>
          <w:sz w:val="24"/>
          <w:szCs w:val="24"/>
          <w:u w:color="000000"/>
          <w:lang w:val="en-US" w:eastAsia="de-AT"/>
        </w:rPr>
        <w:t>A</w:t>
      </w:r>
      <w:r w:rsidRPr="000E701B">
        <w:rPr>
          <w:rFonts w:ascii="Times New Roman" w:eastAsia="Arial Unicode MS" w:hAnsi="Times New Roman" w:cs="Times New Roman"/>
          <w:color w:val="000000"/>
          <w:sz w:val="24"/>
          <w:szCs w:val="24"/>
          <w:u w:color="000000"/>
          <w:lang w:val="en-US" w:eastAsia="de-AT"/>
        </w:rPr>
        <w:t>bility refers to the perception that the trustee has certain skills and competences relevant to performance</w:t>
      </w:r>
      <w:r w:rsidR="00CA509A">
        <w:rPr>
          <w:rFonts w:ascii="Times New Roman" w:eastAsia="Arial Unicode MS" w:hAnsi="Times New Roman" w:cs="Times New Roman"/>
          <w:color w:val="000000"/>
          <w:sz w:val="24"/>
          <w:szCs w:val="24"/>
          <w:u w:color="000000"/>
          <w:lang w:val="en-US" w:eastAsia="de-AT"/>
        </w:rPr>
        <w:t>.</w:t>
      </w:r>
      <w:r w:rsidR="00A661F5">
        <w:rPr>
          <w:rFonts w:ascii="Times New Roman" w:eastAsia="Arial Unicode MS" w:hAnsi="Times New Roman" w:cs="Times New Roman"/>
          <w:color w:val="000000"/>
          <w:sz w:val="24"/>
          <w:szCs w:val="24"/>
          <w:u w:color="000000"/>
          <w:lang w:val="en-US" w:eastAsia="de-AT"/>
        </w:rPr>
        <w:t xml:space="preserve"> It is </w:t>
      </w:r>
      <w:r w:rsidR="003F2CDE">
        <w:rPr>
          <w:rFonts w:ascii="Times New Roman" w:eastAsia="Arial Unicode MS" w:hAnsi="Times New Roman" w:cs="Times New Roman"/>
          <w:color w:val="000000"/>
          <w:sz w:val="24"/>
          <w:szCs w:val="24"/>
          <w:u w:color="000000"/>
          <w:lang w:val="en-US" w:eastAsia="de-AT"/>
        </w:rPr>
        <w:t xml:space="preserve">both task- and situation-specific. </w:t>
      </w:r>
      <w:r w:rsidR="00B62CF3">
        <w:rPr>
          <w:rFonts w:ascii="Times New Roman" w:eastAsia="Arial Unicode MS" w:hAnsi="Times New Roman" w:cs="Times New Roman"/>
          <w:color w:val="000000"/>
          <w:sz w:val="24"/>
          <w:szCs w:val="24"/>
          <w:u w:color="000000"/>
          <w:lang w:val="en-US" w:eastAsia="de-AT"/>
        </w:rPr>
        <w:t xml:space="preserve">With regard to the auditor-client relationship ability describes the auditor’s perception that the client has the skills and competences required to manage the firm and draw up the financial statements, and the client’s perception that the auditor </w:t>
      </w:r>
      <w:r w:rsidR="00CC6CD3">
        <w:rPr>
          <w:rFonts w:ascii="Times New Roman" w:eastAsia="Arial Unicode MS" w:hAnsi="Times New Roman" w:cs="Times New Roman"/>
          <w:color w:val="000000"/>
          <w:sz w:val="24"/>
          <w:szCs w:val="24"/>
          <w:u w:color="000000"/>
          <w:lang w:val="en-US" w:eastAsia="de-AT"/>
        </w:rPr>
        <w:t xml:space="preserve">understands the nature of the client’s firm and </w:t>
      </w:r>
      <w:r w:rsidR="00B62CF3">
        <w:rPr>
          <w:rFonts w:ascii="Times New Roman" w:eastAsia="Arial Unicode MS" w:hAnsi="Times New Roman" w:cs="Times New Roman"/>
          <w:color w:val="000000"/>
          <w:sz w:val="24"/>
          <w:szCs w:val="24"/>
          <w:u w:color="000000"/>
          <w:lang w:val="en-US" w:eastAsia="de-AT"/>
        </w:rPr>
        <w:t xml:space="preserve">is qualified to audit the firm. </w:t>
      </w:r>
      <w:r w:rsidR="00CA509A">
        <w:rPr>
          <w:rFonts w:ascii="Times New Roman" w:eastAsia="Arial Unicode MS" w:hAnsi="Times New Roman" w:cs="Times New Roman"/>
          <w:color w:val="000000"/>
          <w:sz w:val="24"/>
          <w:szCs w:val="24"/>
          <w:u w:color="000000"/>
          <w:lang w:val="en-US" w:eastAsia="de-AT"/>
        </w:rPr>
        <w:t>B</w:t>
      </w:r>
      <w:r w:rsidRPr="000E701B">
        <w:rPr>
          <w:rFonts w:ascii="Times New Roman" w:eastAsia="Arial Unicode MS" w:hAnsi="Times New Roman" w:cs="Times New Roman"/>
          <w:color w:val="000000"/>
          <w:sz w:val="24"/>
          <w:szCs w:val="24"/>
          <w:u w:color="000000"/>
          <w:lang w:val="en-US" w:eastAsia="de-AT"/>
        </w:rPr>
        <w:t>enevolence refers to the extent to which a trustee is believed to voluntarily do good to the trusting party</w:t>
      </w:r>
      <w:r w:rsidR="003F2CDE">
        <w:rPr>
          <w:rFonts w:ascii="Times New Roman" w:eastAsia="Arial Unicode MS" w:hAnsi="Times New Roman" w:cs="Times New Roman"/>
          <w:color w:val="000000"/>
          <w:sz w:val="24"/>
          <w:szCs w:val="24"/>
          <w:u w:color="000000"/>
          <w:lang w:val="en-US" w:eastAsia="de-AT"/>
        </w:rPr>
        <w:t>, and is relationship specific</w:t>
      </w:r>
      <w:r w:rsidRPr="000E701B">
        <w:rPr>
          <w:rFonts w:ascii="Times New Roman" w:eastAsia="Arial Unicode MS" w:hAnsi="Times New Roman" w:cs="Times New Roman"/>
          <w:color w:val="000000"/>
          <w:sz w:val="24"/>
          <w:szCs w:val="24"/>
          <w:u w:color="000000"/>
          <w:lang w:val="en-US" w:eastAsia="de-AT"/>
        </w:rPr>
        <w:t xml:space="preserve">. </w:t>
      </w:r>
      <w:r w:rsidR="00B62CF3">
        <w:rPr>
          <w:rFonts w:ascii="Times New Roman" w:eastAsia="Arial Unicode MS" w:hAnsi="Times New Roman" w:cs="Times New Roman"/>
          <w:color w:val="000000"/>
          <w:sz w:val="24"/>
          <w:szCs w:val="24"/>
          <w:u w:color="000000"/>
          <w:lang w:val="en-US" w:eastAsia="de-AT"/>
        </w:rPr>
        <w:t xml:space="preserve">In terms of the auditor-client relationship benevolence implies that neither auditor nor client expect the respective </w:t>
      </w:r>
      <w:r w:rsidR="00BA7C7C">
        <w:rPr>
          <w:rFonts w:ascii="Times New Roman" w:eastAsia="Arial Unicode MS" w:hAnsi="Times New Roman" w:cs="Times New Roman"/>
          <w:color w:val="000000"/>
          <w:sz w:val="24"/>
          <w:szCs w:val="24"/>
          <w:u w:color="000000"/>
          <w:lang w:val="en-US" w:eastAsia="de-AT"/>
        </w:rPr>
        <w:t>interaction partner</w:t>
      </w:r>
      <w:r w:rsidR="00B62CF3">
        <w:rPr>
          <w:rFonts w:ascii="Times New Roman" w:eastAsia="Arial Unicode MS" w:hAnsi="Times New Roman" w:cs="Times New Roman"/>
          <w:color w:val="000000"/>
          <w:sz w:val="24"/>
          <w:szCs w:val="24"/>
          <w:u w:color="000000"/>
          <w:lang w:val="en-US" w:eastAsia="de-AT"/>
        </w:rPr>
        <w:t xml:space="preserve"> to knowingly act against their interests </w:t>
      </w:r>
      <w:r w:rsidR="00492D06">
        <w:rPr>
          <w:rFonts w:ascii="Times New Roman" w:eastAsia="Arial Unicode MS" w:hAnsi="Times New Roman" w:cs="Times New Roman"/>
          <w:color w:val="000000"/>
          <w:sz w:val="24"/>
          <w:szCs w:val="24"/>
          <w:u w:color="000000"/>
          <w:lang w:val="en-US" w:eastAsia="de-AT"/>
        </w:rPr>
        <w:t>or to pursue their own interests at all costs.</w:t>
      </w:r>
      <w:r w:rsidR="00B62CF3">
        <w:rPr>
          <w:rFonts w:ascii="Times New Roman" w:eastAsia="Arial Unicode MS" w:hAnsi="Times New Roman" w:cs="Times New Roman"/>
          <w:color w:val="000000"/>
          <w:sz w:val="24"/>
          <w:szCs w:val="24"/>
          <w:u w:color="000000"/>
          <w:lang w:val="en-US" w:eastAsia="de-AT"/>
        </w:rPr>
        <w:t xml:space="preserve"> </w:t>
      </w:r>
      <w:r w:rsidRPr="000E701B">
        <w:rPr>
          <w:rFonts w:ascii="Times New Roman" w:eastAsia="Arial Unicode MS" w:hAnsi="Times New Roman" w:cs="Times New Roman"/>
          <w:color w:val="000000"/>
          <w:sz w:val="24"/>
          <w:szCs w:val="24"/>
          <w:u w:color="000000"/>
          <w:lang w:val="en-US" w:eastAsia="de-AT"/>
        </w:rPr>
        <w:t xml:space="preserve">Integrity is the trustor’s perception that the trustee adheres to a set of principles considered acceptable to the trustor. </w:t>
      </w:r>
      <w:r w:rsidR="00492D06">
        <w:rPr>
          <w:rFonts w:ascii="Times New Roman" w:eastAsia="Arial Unicode MS" w:hAnsi="Times New Roman" w:cs="Times New Roman"/>
          <w:color w:val="000000"/>
          <w:sz w:val="24"/>
          <w:szCs w:val="24"/>
          <w:u w:color="000000"/>
          <w:lang w:val="en-US" w:eastAsia="de-AT"/>
        </w:rPr>
        <w:t xml:space="preserve">In an auditor-client relationship integrity thus implies that the auditor as well as the client believe that the </w:t>
      </w:r>
      <w:r w:rsidR="00BA7C7C">
        <w:rPr>
          <w:rFonts w:ascii="Times New Roman" w:eastAsia="Arial Unicode MS" w:hAnsi="Times New Roman" w:cs="Times New Roman"/>
          <w:color w:val="000000"/>
          <w:sz w:val="24"/>
          <w:szCs w:val="24"/>
          <w:u w:color="000000"/>
          <w:lang w:val="en-US" w:eastAsia="de-AT"/>
        </w:rPr>
        <w:t>interaction partner</w:t>
      </w:r>
      <w:r w:rsidR="00492D06">
        <w:rPr>
          <w:rFonts w:ascii="Times New Roman" w:eastAsia="Arial Unicode MS" w:hAnsi="Times New Roman" w:cs="Times New Roman"/>
          <w:color w:val="000000"/>
          <w:sz w:val="24"/>
          <w:szCs w:val="24"/>
          <w:u w:color="000000"/>
          <w:lang w:val="en-US" w:eastAsia="de-AT"/>
        </w:rPr>
        <w:t xml:space="preserve"> </w:t>
      </w:r>
      <w:r w:rsidR="00B42DC4">
        <w:rPr>
          <w:rFonts w:ascii="Times New Roman" w:eastAsia="Arial Unicode MS" w:hAnsi="Times New Roman" w:cs="Times New Roman"/>
          <w:color w:val="000000"/>
          <w:sz w:val="24"/>
          <w:szCs w:val="24"/>
          <w:u w:color="000000"/>
          <w:lang w:val="en-US" w:eastAsia="de-AT"/>
        </w:rPr>
        <w:t xml:space="preserve">communicates openly and is even-handed in dealing with them. </w:t>
      </w:r>
    </w:p>
    <w:p w14:paraId="088FD4EF" w14:textId="63F60A70" w:rsidR="000E701B" w:rsidRPr="000E701B" w:rsidRDefault="00EE3B0E" w:rsidP="000E701B">
      <w:pPr>
        <w:spacing w:before="120" w:after="120" w:line="240" w:lineRule="auto"/>
        <w:ind w:firstLine="708"/>
        <w:jc w:val="both"/>
        <w:rPr>
          <w:rFonts w:ascii="Times New Roman" w:eastAsia="Arial Unicode MS" w:hAnsi="Times New Roman" w:cs="Times New Roman"/>
          <w:color w:val="000000"/>
          <w:sz w:val="24"/>
          <w:szCs w:val="24"/>
          <w:u w:color="000000"/>
          <w:lang w:val="en-US" w:eastAsia="de-AT"/>
        </w:rPr>
      </w:pPr>
      <w:r>
        <w:rPr>
          <w:rFonts w:ascii="Times New Roman" w:eastAsia="Arial Unicode MS" w:hAnsi="Times New Roman" w:cs="Times New Roman"/>
          <w:color w:val="000000"/>
          <w:sz w:val="24"/>
          <w:szCs w:val="24"/>
          <w:u w:color="000000"/>
          <w:lang w:val="en-US" w:eastAsia="de-AT"/>
        </w:rPr>
        <w:t xml:space="preserve">While each of these three factors offers a unique perspective from which the trustor assesses the trustworthiness of the trustee, all three factors together </w:t>
      </w:r>
      <w:r w:rsidR="00254A5A">
        <w:rPr>
          <w:rFonts w:ascii="Times New Roman" w:eastAsia="Arial Unicode MS" w:hAnsi="Times New Roman" w:cs="Times New Roman"/>
          <w:color w:val="000000"/>
          <w:sz w:val="24"/>
          <w:szCs w:val="24"/>
          <w:u w:color="000000"/>
          <w:lang w:val="en-US" w:eastAsia="de-AT"/>
        </w:rPr>
        <w:t xml:space="preserve">provide the foundation for studying identification-based trust for another party (Mayer et al. 1995). </w:t>
      </w:r>
      <w:r w:rsidR="000B630C">
        <w:rPr>
          <w:rFonts w:ascii="Times New Roman" w:eastAsia="Arial Unicode MS" w:hAnsi="Times New Roman" w:cs="Times New Roman"/>
          <w:color w:val="000000"/>
          <w:sz w:val="24"/>
          <w:szCs w:val="24"/>
          <w:u w:color="000000"/>
          <w:lang w:val="en-US" w:eastAsia="de-AT"/>
        </w:rPr>
        <w:t xml:space="preserve">All three factors develop in </w:t>
      </w:r>
      <w:r w:rsidR="008A1295">
        <w:rPr>
          <w:rFonts w:ascii="Times New Roman" w:eastAsia="Arial Unicode MS" w:hAnsi="Times New Roman" w:cs="Times New Roman"/>
          <w:color w:val="000000"/>
          <w:sz w:val="24"/>
          <w:szCs w:val="24"/>
          <w:u w:color="000000"/>
          <w:lang w:val="en-US" w:eastAsia="de-AT"/>
        </w:rPr>
        <w:t xml:space="preserve">repeated </w:t>
      </w:r>
      <w:r w:rsidR="000B630C">
        <w:rPr>
          <w:rFonts w:ascii="Times New Roman" w:eastAsia="Arial Unicode MS" w:hAnsi="Times New Roman" w:cs="Times New Roman"/>
          <w:color w:val="000000"/>
          <w:sz w:val="24"/>
          <w:szCs w:val="24"/>
          <w:u w:color="000000"/>
          <w:lang w:val="en-US" w:eastAsia="de-AT"/>
        </w:rPr>
        <w:t>interaction over time (</w:t>
      </w:r>
      <w:proofErr w:type="spellStart"/>
      <w:r w:rsidR="000B630C">
        <w:rPr>
          <w:rFonts w:ascii="Times New Roman" w:eastAsia="Arial Unicode MS" w:hAnsi="Times New Roman" w:cs="Times New Roman"/>
          <w:color w:val="000000"/>
          <w:sz w:val="24"/>
          <w:szCs w:val="24"/>
          <w:u w:color="000000"/>
          <w:lang w:val="en-US" w:eastAsia="de-AT"/>
        </w:rPr>
        <w:t>Ferrin</w:t>
      </w:r>
      <w:proofErr w:type="spellEnd"/>
      <w:r w:rsidR="000B630C">
        <w:rPr>
          <w:rFonts w:ascii="Times New Roman" w:eastAsia="Arial Unicode MS" w:hAnsi="Times New Roman" w:cs="Times New Roman"/>
          <w:color w:val="000000"/>
          <w:sz w:val="24"/>
          <w:szCs w:val="24"/>
          <w:u w:color="000000"/>
          <w:lang w:val="en-US" w:eastAsia="de-AT"/>
        </w:rPr>
        <w:t xml:space="preserve"> et al., 2008). </w:t>
      </w:r>
      <w:r w:rsidR="00254A5A">
        <w:rPr>
          <w:rFonts w:ascii="Times New Roman" w:eastAsia="Arial Unicode MS" w:hAnsi="Times New Roman" w:cs="Times New Roman"/>
          <w:color w:val="000000"/>
          <w:sz w:val="24"/>
          <w:szCs w:val="24"/>
          <w:u w:color="000000"/>
          <w:lang w:val="en-US" w:eastAsia="de-AT"/>
        </w:rPr>
        <w:t>However, a</w:t>
      </w:r>
      <w:r w:rsidR="000E701B" w:rsidRPr="000E701B">
        <w:rPr>
          <w:rFonts w:ascii="Times New Roman" w:eastAsia="Arial Unicode MS" w:hAnsi="Times New Roman" w:cs="Times New Roman"/>
          <w:color w:val="000000"/>
          <w:sz w:val="24"/>
          <w:szCs w:val="24"/>
          <w:u w:color="000000"/>
          <w:lang w:val="en-US" w:eastAsia="de-AT"/>
        </w:rPr>
        <w:t>s earlier research argues that it is difficult to distinguish empirically between benevolence and integrity (</w:t>
      </w:r>
      <w:proofErr w:type="spellStart"/>
      <w:r w:rsidR="000E701B" w:rsidRPr="000E701B">
        <w:rPr>
          <w:rFonts w:ascii="Times New Roman" w:eastAsia="Arial Unicode MS" w:hAnsi="Times New Roman" w:cs="Times New Roman"/>
          <w:color w:val="000000"/>
          <w:sz w:val="24"/>
          <w:szCs w:val="24"/>
          <w:u w:color="000000"/>
          <w:lang w:val="en-US" w:eastAsia="de-AT"/>
        </w:rPr>
        <w:t>Nooteboom</w:t>
      </w:r>
      <w:proofErr w:type="spellEnd"/>
      <w:r w:rsidR="000E701B" w:rsidRPr="000E701B">
        <w:rPr>
          <w:rFonts w:ascii="Times New Roman" w:eastAsia="Arial Unicode MS" w:hAnsi="Times New Roman" w:cs="Times New Roman"/>
          <w:color w:val="000000"/>
          <w:sz w:val="24"/>
          <w:szCs w:val="24"/>
          <w:u w:color="000000"/>
          <w:lang w:val="en-US" w:eastAsia="de-AT"/>
        </w:rPr>
        <w:t xml:space="preserve"> et al. 1997), we differentiate between competence trust (i.e. trust in the interaction partner’s ability to perform as promised) and goodwill trust (i.e. trust in the interaction partner’s willingness to perform as promised).</w:t>
      </w:r>
      <w:r w:rsidR="002B275D">
        <w:rPr>
          <w:rFonts w:ascii="Times New Roman" w:eastAsia="Arial Unicode MS" w:hAnsi="Times New Roman" w:cs="Times New Roman"/>
          <w:color w:val="000000"/>
          <w:sz w:val="24"/>
          <w:szCs w:val="24"/>
          <w:u w:color="000000"/>
          <w:lang w:val="en-US" w:eastAsia="de-AT"/>
        </w:rPr>
        <w:t xml:space="preserve"> </w:t>
      </w:r>
      <w:r w:rsidR="00273B22">
        <w:rPr>
          <w:rFonts w:ascii="Times New Roman" w:eastAsia="Arial Unicode MS" w:hAnsi="Times New Roman" w:cs="Times New Roman"/>
          <w:color w:val="000000"/>
          <w:sz w:val="24"/>
          <w:szCs w:val="24"/>
          <w:u w:color="000000"/>
          <w:lang w:val="en-US" w:eastAsia="de-AT"/>
        </w:rPr>
        <w:t xml:space="preserve">In the auditor-client relationship competence trust gives the auditor and the client confidence that the interaction partner is able to accomplish the given task (Das and Teng 2001). </w:t>
      </w:r>
      <w:r w:rsidR="00273B22" w:rsidRPr="00273B22">
        <w:rPr>
          <w:rFonts w:ascii="Times New Roman" w:eastAsia="Arial Unicode MS" w:hAnsi="Times New Roman" w:cs="Times New Roman"/>
          <w:color w:val="000000"/>
          <w:sz w:val="24"/>
          <w:szCs w:val="24"/>
          <w:u w:color="000000"/>
          <w:lang w:val="en-US" w:eastAsia="de-AT"/>
        </w:rPr>
        <w:t xml:space="preserve">However, </w:t>
      </w:r>
      <w:r w:rsidR="00273B22">
        <w:rPr>
          <w:rFonts w:ascii="Times New Roman" w:eastAsia="Arial Unicode MS" w:hAnsi="Times New Roman" w:cs="Times New Roman"/>
          <w:color w:val="000000"/>
          <w:sz w:val="24"/>
          <w:szCs w:val="24"/>
          <w:u w:color="000000"/>
          <w:lang w:val="en-US" w:eastAsia="de-AT"/>
        </w:rPr>
        <w:t xml:space="preserve">even </w:t>
      </w:r>
      <w:r w:rsidR="00273B22" w:rsidRPr="00273B22">
        <w:rPr>
          <w:rFonts w:ascii="Times New Roman" w:eastAsia="Arial Unicode MS" w:hAnsi="Times New Roman" w:cs="Times New Roman"/>
          <w:color w:val="000000"/>
          <w:sz w:val="24"/>
          <w:szCs w:val="24"/>
          <w:u w:color="000000"/>
          <w:lang w:val="en-US" w:eastAsia="de-AT"/>
        </w:rPr>
        <w:t xml:space="preserve">a very competent auditor or client </w:t>
      </w:r>
      <w:r w:rsidR="00273B22">
        <w:rPr>
          <w:rFonts w:ascii="Times New Roman" w:eastAsia="Arial Unicode MS" w:hAnsi="Times New Roman" w:cs="Times New Roman"/>
          <w:color w:val="000000"/>
          <w:sz w:val="24"/>
          <w:szCs w:val="24"/>
          <w:u w:color="000000"/>
          <w:lang w:val="en-US" w:eastAsia="de-AT"/>
        </w:rPr>
        <w:t xml:space="preserve">may decide to act opportunistically </w:t>
      </w:r>
      <w:r w:rsidR="00E64221">
        <w:rPr>
          <w:rFonts w:ascii="Times New Roman" w:eastAsia="Arial Unicode MS" w:hAnsi="Times New Roman" w:cs="Times New Roman"/>
          <w:color w:val="000000"/>
          <w:sz w:val="24"/>
          <w:szCs w:val="24"/>
          <w:u w:color="000000"/>
          <w:lang w:val="en-US" w:eastAsia="de-AT"/>
        </w:rPr>
        <w:t>and thereby threaten the auditor-client relationship. At the same time, goodwill trust suggests that the auditor and the client have good intentions to make the relationship work</w:t>
      </w:r>
      <w:r w:rsidR="00DB1BCB">
        <w:rPr>
          <w:rFonts w:ascii="Times New Roman" w:eastAsia="Arial Unicode MS" w:hAnsi="Times New Roman" w:cs="Times New Roman"/>
          <w:color w:val="000000"/>
          <w:sz w:val="24"/>
          <w:szCs w:val="24"/>
          <w:u w:color="000000"/>
          <w:lang w:val="en-US" w:eastAsia="de-AT"/>
        </w:rPr>
        <w:t xml:space="preserve"> (Das and Teng 2001)</w:t>
      </w:r>
      <w:r w:rsidR="00E64221">
        <w:rPr>
          <w:rFonts w:ascii="Times New Roman" w:eastAsia="Arial Unicode MS" w:hAnsi="Times New Roman" w:cs="Times New Roman"/>
          <w:color w:val="000000"/>
          <w:sz w:val="24"/>
          <w:szCs w:val="24"/>
          <w:u w:color="000000"/>
          <w:lang w:val="en-US" w:eastAsia="de-AT"/>
        </w:rPr>
        <w:t xml:space="preserve">. Still, it does not suggest that they also have the abilities to accomplish that. </w:t>
      </w:r>
      <w:r w:rsidR="00DB1BCB">
        <w:rPr>
          <w:rFonts w:ascii="Times New Roman" w:eastAsia="Arial Unicode MS" w:hAnsi="Times New Roman" w:cs="Times New Roman"/>
          <w:color w:val="000000"/>
          <w:sz w:val="24"/>
          <w:szCs w:val="24"/>
          <w:u w:color="000000"/>
          <w:lang w:val="en-US" w:eastAsia="de-AT"/>
        </w:rPr>
        <w:t>Thus</w:t>
      </w:r>
      <w:r w:rsidR="00E64221">
        <w:rPr>
          <w:rFonts w:ascii="Times New Roman" w:eastAsia="Arial Unicode MS" w:hAnsi="Times New Roman" w:cs="Times New Roman"/>
          <w:color w:val="000000"/>
          <w:sz w:val="24"/>
          <w:szCs w:val="24"/>
          <w:u w:color="000000"/>
          <w:lang w:val="en-US" w:eastAsia="de-AT"/>
        </w:rPr>
        <w:t xml:space="preserve">, it is necessary to </w:t>
      </w:r>
      <w:r w:rsidR="00DB1BCB">
        <w:rPr>
          <w:rFonts w:ascii="Times New Roman" w:eastAsia="Arial Unicode MS" w:hAnsi="Times New Roman" w:cs="Times New Roman"/>
          <w:color w:val="000000"/>
          <w:sz w:val="24"/>
          <w:szCs w:val="24"/>
          <w:u w:color="000000"/>
          <w:lang w:val="en-US" w:eastAsia="de-AT"/>
        </w:rPr>
        <w:t xml:space="preserve">consider </w:t>
      </w:r>
      <w:r w:rsidR="00E64221">
        <w:rPr>
          <w:rFonts w:ascii="Times New Roman" w:eastAsia="Arial Unicode MS" w:hAnsi="Times New Roman" w:cs="Times New Roman"/>
          <w:color w:val="000000"/>
          <w:sz w:val="24"/>
          <w:szCs w:val="24"/>
          <w:u w:color="000000"/>
          <w:lang w:val="en-US" w:eastAsia="de-AT"/>
        </w:rPr>
        <w:t xml:space="preserve">both competence trust </w:t>
      </w:r>
      <w:r w:rsidR="00E64221" w:rsidRPr="009634A6">
        <w:rPr>
          <w:rFonts w:ascii="Times New Roman" w:eastAsia="Arial Unicode MS" w:hAnsi="Times New Roman" w:cs="Times New Roman"/>
          <w:i/>
          <w:color w:val="000000"/>
          <w:sz w:val="24"/>
          <w:szCs w:val="24"/>
          <w:u w:color="000000"/>
          <w:lang w:val="en-US" w:eastAsia="de-AT"/>
        </w:rPr>
        <w:t>and</w:t>
      </w:r>
      <w:r w:rsidR="00E64221">
        <w:rPr>
          <w:rFonts w:ascii="Times New Roman" w:eastAsia="Arial Unicode MS" w:hAnsi="Times New Roman" w:cs="Times New Roman"/>
          <w:color w:val="000000"/>
          <w:sz w:val="24"/>
          <w:szCs w:val="24"/>
          <w:u w:color="000000"/>
          <w:lang w:val="en-US" w:eastAsia="de-AT"/>
        </w:rPr>
        <w:t xml:space="preserve"> goodwill trust </w:t>
      </w:r>
      <w:r w:rsidR="00DB1BCB">
        <w:rPr>
          <w:rFonts w:ascii="Times New Roman" w:eastAsia="Arial Unicode MS" w:hAnsi="Times New Roman" w:cs="Times New Roman"/>
          <w:color w:val="000000"/>
          <w:sz w:val="24"/>
          <w:szCs w:val="24"/>
          <w:u w:color="000000"/>
          <w:lang w:val="en-US" w:eastAsia="de-AT"/>
        </w:rPr>
        <w:t xml:space="preserve">when investigating the role of </w:t>
      </w:r>
      <w:r w:rsidR="00703EF6">
        <w:rPr>
          <w:rFonts w:ascii="Times New Roman" w:eastAsia="Arial Unicode MS" w:hAnsi="Times New Roman" w:cs="Times New Roman"/>
          <w:color w:val="000000"/>
          <w:sz w:val="24"/>
          <w:szCs w:val="24"/>
          <w:u w:color="000000"/>
          <w:lang w:val="en-US" w:eastAsia="de-AT"/>
        </w:rPr>
        <w:t xml:space="preserve">identification-based </w:t>
      </w:r>
      <w:r w:rsidR="00DB1BCB">
        <w:rPr>
          <w:rFonts w:ascii="Times New Roman" w:eastAsia="Arial Unicode MS" w:hAnsi="Times New Roman" w:cs="Times New Roman"/>
          <w:color w:val="000000"/>
          <w:sz w:val="24"/>
          <w:szCs w:val="24"/>
          <w:u w:color="000000"/>
          <w:lang w:val="en-US" w:eastAsia="de-AT"/>
        </w:rPr>
        <w:t>trust in auditor-client negotiations. Below, we will elaborate on how these two elements of identification-based trust impact the outcome of auditor-client negotiations.</w:t>
      </w:r>
    </w:p>
    <w:p w14:paraId="10E89291" w14:textId="77777777" w:rsidR="000E701B" w:rsidRPr="000E701B" w:rsidRDefault="000E701B" w:rsidP="000E701B">
      <w:pPr>
        <w:spacing w:before="120" w:after="120" w:line="240" w:lineRule="auto"/>
        <w:jc w:val="both"/>
        <w:rPr>
          <w:rFonts w:ascii="Times New Roman" w:eastAsia="Arial Unicode MS" w:hAnsi="Times New Roman" w:cs="Times New Roman"/>
          <w:b/>
          <w:color w:val="000000"/>
          <w:sz w:val="24"/>
          <w:szCs w:val="24"/>
          <w:u w:color="000000"/>
          <w:lang w:val="en-US" w:eastAsia="de-AT"/>
        </w:rPr>
      </w:pPr>
      <w:r w:rsidRPr="000E701B">
        <w:rPr>
          <w:rFonts w:ascii="Times New Roman" w:eastAsia="Arial Unicode MS" w:hAnsi="Times New Roman" w:cs="Times New Roman"/>
          <w:b/>
          <w:color w:val="000000"/>
          <w:sz w:val="24"/>
          <w:szCs w:val="24"/>
          <w:u w:color="000000"/>
          <w:lang w:val="en-US" w:eastAsia="de-AT"/>
        </w:rPr>
        <w:t>Competence trust</w:t>
      </w:r>
    </w:p>
    <w:p w14:paraId="5CAA27FE" w14:textId="77777777" w:rsidR="00A74602" w:rsidRDefault="000E701B" w:rsidP="00EB7BD4">
      <w:pPr>
        <w:spacing w:before="120" w:after="120" w:line="240" w:lineRule="auto"/>
        <w:ind w:firstLine="708"/>
        <w:jc w:val="both"/>
        <w:rPr>
          <w:rFonts w:ascii="Times New Roman" w:eastAsia="Arial Unicode MS" w:hAnsi="Times New Roman" w:cs="Times New Roman"/>
          <w:color w:val="000000"/>
          <w:sz w:val="24"/>
          <w:szCs w:val="24"/>
          <w:u w:color="000000"/>
          <w:lang w:val="en-US" w:eastAsia="de-AT"/>
        </w:rPr>
      </w:pPr>
      <w:r w:rsidRPr="000E701B">
        <w:rPr>
          <w:rFonts w:ascii="Times New Roman" w:eastAsia="Arial Unicode MS" w:hAnsi="Times New Roman" w:cs="Times New Roman"/>
          <w:color w:val="000000"/>
          <w:sz w:val="24"/>
          <w:szCs w:val="24"/>
          <w:u w:color="000000"/>
          <w:lang w:val="en-US" w:eastAsia="de-AT"/>
        </w:rPr>
        <w:t xml:space="preserve">In auditor-client relationships the assessment of the interaction partner’s competence is a critical part of the audit process. Previous research </w:t>
      </w:r>
      <w:r w:rsidR="00A74602" w:rsidRPr="000E701B">
        <w:rPr>
          <w:rFonts w:ascii="Times New Roman" w:eastAsia="Arial Unicode MS" w:hAnsi="Times New Roman" w:cs="Times New Roman"/>
          <w:color w:val="000000"/>
          <w:sz w:val="24"/>
          <w:szCs w:val="24"/>
          <w:u w:color="000000"/>
          <w:lang w:val="en-US" w:eastAsia="de-AT"/>
        </w:rPr>
        <w:t xml:space="preserve">finds that auditors assess their clients’ competence in order to determine the level of audit risk (McKinley et al. 1996) and to decide whom to ask for explanations about unexpected audit findings (Hirst and Koonce 1996). </w:t>
      </w:r>
    </w:p>
    <w:p w14:paraId="5B0CEA0F" w14:textId="44713789" w:rsidR="00374BBE" w:rsidRDefault="00B96F41" w:rsidP="00663E04">
      <w:pPr>
        <w:spacing w:before="120" w:after="120" w:line="240" w:lineRule="auto"/>
        <w:ind w:firstLine="708"/>
        <w:jc w:val="both"/>
        <w:rPr>
          <w:rFonts w:ascii="Times New Roman" w:eastAsia="Arial Unicode MS" w:hAnsi="Times New Roman" w:cs="Times New Roman"/>
          <w:color w:val="000000"/>
          <w:sz w:val="24"/>
          <w:szCs w:val="24"/>
          <w:u w:color="000000"/>
          <w:lang w:val="en-US" w:eastAsia="de-AT"/>
        </w:rPr>
      </w:pPr>
      <w:r>
        <w:rPr>
          <w:rFonts w:ascii="Times New Roman" w:eastAsia="Arial Unicode MS" w:hAnsi="Times New Roman" w:cs="Times New Roman"/>
          <w:color w:val="000000"/>
          <w:sz w:val="24"/>
          <w:szCs w:val="24"/>
          <w:u w:color="000000"/>
          <w:lang w:val="en-US" w:eastAsia="de-AT"/>
        </w:rPr>
        <w:t xml:space="preserve">When determining the interaction partner’s competence </w:t>
      </w:r>
      <w:r w:rsidR="00184A70">
        <w:rPr>
          <w:rFonts w:ascii="Times New Roman" w:eastAsia="Arial Unicode MS" w:hAnsi="Times New Roman" w:cs="Times New Roman"/>
          <w:color w:val="000000"/>
          <w:sz w:val="24"/>
          <w:szCs w:val="24"/>
          <w:u w:color="000000"/>
          <w:lang w:val="en-US" w:eastAsia="de-AT"/>
        </w:rPr>
        <w:t xml:space="preserve">both </w:t>
      </w:r>
      <w:r w:rsidR="00AB45B9">
        <w:rPr>
          <w:rFonts w:ascii="Times New Roman" w:eastAsia="Arial Unicode MS" w:hAnsi="Times New Roman" w:cs="Times New Roman"/>
          <w:color w:val="000000"/>
          <w:sz w:val="24"/>
          <w:szCs w:val="24"/>
          <w:u w:color="000000"/>
          <w:lang w:val="en-US" w:eastAsia="de-AT"/>
        </w:rPr>
        <w:t xml:space="preserve">auditor and client need to consider the </w:t>
      </w:r>
      <w:r w:rsidR="00A7736E">
        <w:rPr>
          <w:rFonts w:ascii="Times New Roman" w:eastAsia="Arial Unicode MS" w:hAnsi="Times New Roman" w:cs="Times New Roman"/>
          <w:color w:val="000000"/>
          <w:sz w:val="24"/>
          <w:szCs w:val="24"/>
          <w:u w:color="000000"/>
          <w:lang w:val="en-US" w:eastAsia="de-AT"/>
        </w:rPr>
        <w:t xml:space="preserve">respective other’s </w:t>
      </w:r>
      <w:r w:rsidR="00184A70">
        <w:rPr>
          <w:rFonts w:ascii="Times New Roman" w:eastAsia="Arial Unicode MS" w:hAnsi="Times New Roman" w:cs="Times New Roman"/>
          <w:color w:val="000000"/>
          <w:sz w:val="24"/>
          <w:szCs w:val="24"/>
          <w:u w:color="000000"/>
          <w:lang w:val="en-US" w:eastAsia="de-AT"/>
        </w:rPr>
        <w:t xml:space="preserve">knowledge of the client’s business and industry as well as </w:t>
      </w:r>
      <w:r w:rsidR="00A7736E">
        <w:rPr>
          <w:rFonts w:ascii="Times New Roman" w:eastAsia="Arial Unicode MS" w:hAnsi="Times New Roman" w:cs="Times New Roman"/>
          <w:color w:val="000000"/>
          <w:sz w:val="24"/>
          <w:szCs w:val="24"/>
          <w:u w:color="000000"/>
          <w:lang w:val="en-US" w:eastAsia="de-AT"/>
        </w:rPr>
        <w:t xml:space="preserve">the </w:t>
      </w:r>
      <w:r w:rsidR="00184A70">
        <w:rPr>
          <w:rFonts w:ascii="Times New Roman" w:eastAsia="Arial Unicode MS" w:hAnsi="Times New Roman" w:cs="Times New Roman"/>
          <w:color w:val="000000"/>
          <w:sz w:val="24"/>
          <w:szCs w:val="24"/>
          <w:u w:color="000000"/>
          <w:lang w:val="en-US" w:eastAsia="de-AT"/>
        </w:rPr>
        <w:t>general knowledge of accounting and auditing standards (Gibbins et al. 2001).</w:t>
      </w:r>
      <w:r w:rsidR="00D94521">
        <w:rPr>
          <w:rFonts w:ascii="Times New Roman" w:eastAsia="Arial Unicode MS" w:hAnsi="Times New Roman" w:cs="Times New Roman"/>
          <w:color w:val="000000"/>
          <w:sz w:val="24"/>
          <w:szCs w:val="24"/>
          <w:u w:color="000000"/>
          <w:lang w:val="en-US" w:eastAsia="de-AT"/>
        </w:rPr>
        <w:t xml:space="preserve"> </w:t>
      </w:r>
      <w:r w:rsidR="00CE59A5">
        <w:rPr>
          <w:rFonts w:ascii="Times New Roman" w:eastAsia="Arial Unicode MS" w:hAnsi="Times New Roman" w:cs="Times New Roman"/>
          <w:color w:val="000000"/>
          <w:sz w:val="24"/>
          <w:szCs w:val="24"/>
          <w:u w:color="000000"/>
          <w:lang w:val="en-US" w:eastAsia="de-AT"/>
        </w:rPr>
        <w:t xml:space="preserve">As far as the client’s business and industry is </w:t>
      </w:r>
      <w:r w:rsidR="00CE59A5" w:rsidRPr="00CE59A5">
        <w:rPr>
          <w:rFonts w:ascii="Times New Roman" w:eastAsia="Arial Unicode MS" w:hAnsi="Times New Roman" w:cs="Times New Roman"/>
          <w:color w:val="000000"/>
          <w:sz w:val="24"/>
          <w:szCs w:val="24"/>
          <w:u w:color="000000"/>
          <w:lang w:val="en-US" w:eastAsia="de-AT"/>
        </w:rPr>
        <w:t>concerned i</w:t>
      </w:r>
      <w:r w:rsidR="007D6E2D" w:rsidRPr="00CE59A5">
        <w:rPr>
          <w:rFonts w:ascii="Times New Roman" w:eastAsia="Arial Unicode MS" w:hAnsi="Times New Roman" w:cs="Times New Roman"/>
          <w:color w:val="000000"/>
          <w:sz w:val="24"/>
          <w:szCs w:val="24"/>
          <w:u w:color="000000"/>
          <w:lang w:val="en-US" w:eastAsia="de-AT"/>
        </w:rPr>
        <w:t>nformation asymmetries between the auditor and the client typically favor the client</w:t>
      </w:r>
      <w:r w:rsidR="00D36FC8">
        <w:rPr>
          <w:rFonts w:ascii="Times New Roman" w:eastAsia="Arial Unicode MS" w:hAnsi="Times New Roman" w:cs="Times New Roman"/>
          <w:color w:val="000000"/>
          <w:sz w:val="24"/>
          <w:szCs w:val="24"/>
          <w:u w:color="000000"/>
          <w:lang w:val="en-US" w:eastAsia="de-AT"/>
        </w:rPr>
        <w:t xml:space="preserve">, because the client likely knows more about its own firm and </w:t>
      </w:r>
      <w:r w:rsidR="00D36FC8">
        <w:rPr>
          <w:rFonts w:ascii="Times New Roman" w:eastAsia="Arial Unicode MS" w:hAnsi="Times New Roman" w:cs="Times New Roman"/>
          <w:color w:val="000000"/>
          <w:sz w:val="24"/>
          <w:szCs w:val="24"/>
          <w:u w:color="000000"/>
          <w:lang w:val="en-US" w:eastAsia="de-AT"/>
        </w:rPr>
        <w:lastRenderedPageBreak/>
        <w:t>the environment it operates in than the auditor</w:t>
      </w:r>
      <w:r w:rsidR="00230B5B">
        <w:rPr>
          <w:rFonts w:ascii="Times New Roman" w:eastAsia="Arial Unicode MS" w:hAnsi="Times New Roman" w:cs="Times New Roman"/>
          <w:color w:val="000000"/>
          <w:sz w:val="24"/>
          <w:szCs w:val="24"/>
          <w:u w:color="000000"/>
          <w:lang w:val="en-US" w:eastAsia="de-AT"/>
        </w:rPr>
        <w:t xml:space="preserve"> (</w:t>
      </w:r>
      <w:proofErr w:type="spellStart"/>
      <w:r w:rsidR="00230B5B">
        <w:rPr>
          <w:rFonts w:ascii="Times New Roman" w:eastAsia="Arial Unicode MS" w:hAnsi="Times New Roman" w:cs="Times New Roman"/>
          <w:color w:val="000000"/>
          <w:sz w:val="24"/>
          <w:szCs w:val="24"/>
          <w:u w:color="000000"/>
          <w:lang w:val="en-US" w:eastAsia="de-AT"/>
        </w:rPr>
        <w:t>Zimbelman</w:t>
      </w:r>
      <w:proofErr w:type="spellEnd"/>
      <w:r w:rsidR="00230B5B">
        <w:rPr>
          <w:rFonts w:ascii="Times New Roman" w:eastAsia="Arial Unicode MS" w:hAnsi="Times New Roman" w:cs="Times New Roman"/>
          <w:color w:val="000000"/>
          <w:sz w:val="24"/>
          <w:szCs w:val="24"/>
          <w:u w:color="000000"/>
          <w:lang w:val="en-US" w:eastAsia="de-AT"/>
        </w:rPr>
        <w:t xml:space="preserve"> and Waller 1999)</w:t>
      </w:r>
      <w:r w:rsidR="00CE59A5">
        <w:rPr>
          <w:rFonts w:ascii="Times New Roman" w:eastAsia="Arial Unicode MS" w:hAnsi="Times New Roman" w:cs="Times New Roman"/>
          <w:color w:val="000000"/>
          <w:sz w:val="24"/>
          <w:szCs w:val="24"/>
          <w:u w:color="000000"/>
          <w:lang w:val="en-US" w:eastAsia="de-AT"/>
        </w:rPr>
        <w:t>.</w:t>
      </w:r>
      <w:r w:rsidR="009F6696">
        <w:rPr>
          <w:rFonts w:ascii="Times New Roman" w:eastAsia="Arial Unicode MS" w:hAnsi="Times New Roman" w:cs="Times New Roman"/>
          <w:color w:val="000000"/>
          <w:sz w:val="24"/>
          <w:szCs w:val="24"/>
          <w:u w:color="000000"/>
          <w:lang w:val="en-US" w:eastAsia="de-AT"/>
        </w:rPr>
        <w:t xml:space="preserve"> </w:t>
      </w:r>
      <w:r w:rsidR="00D36FC8">
        <w:rPr>
          <w:rFonts w:ascii="Times New Roman" w:eastAsia="Arial Unicode MS" w:hAnsi="Times New Roman" w:cs="Times New Roman"/>
          <w:color w:val="000000"/>
          <w:sz w:val="24"/>
          <w:szCs w:val="24"/>
          <w:u w:color="000000"/>
          <w:lang w:val="en-US" w:eastAsia="de-AT"/>
        </w:rPr>
        <w:t>At the same time,</w:t>
      </w:r>
      <w:r w:rsidR="008F498B">
        <w:rPr>
          <w:rFonts w:ascii="Times New Roman" w:eastAsia="Arial Unicode MS" w:hAnsi="Times New Roman" w:cs="Times New Roman"/>
          <w:color w:val="000000"/>
          <w:sz w:val="24"/>
          <w:szCs w:val="24"/>
          <w:u w:color="000000"/>
          <w:lang w:val="en-US" w:eastAsia="de-AT"/>
        </w:rPr>
        <w:t xml:space="preserve"> however,</w:t>
      </w:r>
      <w:r w:rsidR="00D36FC8">
        <w:rPr>
          <w:rFonts w:ascii="Times New Roman" w:eastAsia="Arial Unicode MS" w:hAnsi="Times New Roman" w:cs="Times New Roman"/>
          <w:color w:val="000000"/>
          <w:sz w:val="24"/>
          <w:szCs w:val="24"/>
          <w:u w:color="000000"/>
          <w:lang w:val="en-US" w:eastAsia="de-AT"/>
        </w:rPr>
        <w:t xml:space="preserve"> the auditor can usually rely on an extensive knowledge of accounting </w:t>
      </w:r>
      <w:r w:rsidR="005C4382">
        <w:rPr>
          <w:rFonts w:ascii="Times New Roman" w:eastAsia="Arial Unicode MS" w:hAnsi="Times New Roman" w:cs="Times New Roman"/>
          <w:color w:val="000000"/>
          <w:sz w:val="24"/>
          <w:szCs w:val="24"/>
          <w:u w:color="000000"/>
          <w:lang w:val="en-US" w:eastAsia="de-AT"/>
        </w:rPr>
        <w:t xml:space="preserve">and auditing </w:t>
      </w:r>
      <w:r w:rsidR="00CA38F4">
        <w:rPr>
          <w:rFonts w:ascii="Times New Roman" w:eastAsia="Arial Unicode MS" w:hAnsi="Times New Roman" w:cs="Times New Roman"/>
          <w:color w:val="000000"/>
          <w:sz w:val="24"/>
          <w:szCs w:val="24"/>
          <w:u w:color="000000"/>
          <w:lang w:val="en-US" w:eastAsia="de-AT"/>
        </w:rPr>
        <w:t xml:space="preserve">standards </w:t>
      </w:r>
      <w:r w:rsidR="008E6DF8">
        <w:rPr>
          <w:rFonts w:ascii="Times New Roman" w:eastAsia="Arial Unicode MS" w:hAnsi="Times New Roman" w:cs="Times New Roman"/>
          <w:color w:val="000000"/>
          <w:sz w:val="24"/>
          <w:szCs w:val="24"/>
          <w:u w:color="000000"/>
          <w:lang w:val="en-US" w:eastAsia="de-AT"/>
        </w:rPr>
        <w:t>and compare the practices of various clients</w:t>
      </w:r>
      <w:r w:rsidR="008F498B">
        <w:rPr>
          <w:rFonts w:ascii="Times New Roman" w:eastAsia="Arial Unicode MS" w:hAnsi="Times New Roman" w:cs="Times New Roman"/>
          <w:color w:val="000000"/>
          <w:sz w:val="24"/>
          <w:szCs w:val="24"/>
          <w:u w:color="000000"/>
          <w:lang w:val="en-US" w:eastAsia="de-AT"/>
        </w:rPr>
        <w:t xml:space="preserve"> (</w:t>
      </w:r>
      <w:proofErr w:type="spellStart"/>
      <w:r w:rsidR="007A1AB2">
        <w:rPr>
          <w:rFonts w:ascii="Times New Roman" w:eastAsia="Arial Unicode MS" w:hAnsi="Times New Roman" w:cs="Times New Roman"/>
          <w:color w:val="000000"/>
          <w:sz w:val="24"/>
          <w:szCs w:val="24"/>
          <w:u w:color="000000"/>
          <w:lang w:val="en-US" w:eastAsia="de-AT"/>
        </w:rPr>
        <w:t>Salterio</w:t>
      </w:r>
      <w:proofErr w:type="spellEnd"/>
      <w:r w:rsidR="007A1AB2">
        <w:rPr>
          <w:rFonts w:ascii="Times New Roman" w:eastAsia="Arial Unicode MS" w:hAnsi="Times New Roman" w:cs="Times New Roman"/>
          <w:color w:val="000000"/>
          <w:sz w:val="24"/>
          <w:szCs w:val="24"/>
          <w:u w:color="000000"/>
          <w:lang w:val="en-US" w:eastAsia="de-AT"/>
        </w:rPr>
        <w:t xml:space="preserve"> 1996)</w:t>
      </w:r>
      <w:r w:rsidR="008E6DF8">
        <w:rPr>
          <w:rFonts w:ascii="Times New Roman" w:eastAsia="Arial Unicode MS" w:hAnsi="Times New Roman" w:cs="Times New Roman"/>
          <w:color w:val="000000"/>
          <w:sz w:val="24"/>
          <w:szCs w:val="24"/>
          <w:u w:color="000000"/>
          <w:lang w:val="en-US" w:eastAsia="de-AT"/>
        </w:rPr>
        <w:t xml:space="preserve">. </w:t>
      </w:r>
      <w:r w:rsidR="00235BC4">
        <w:rPr>
          <w:rFonts w:ascii="Times New Roman" w:eastAsia="Arial Unicode MS" w:hAnsi="Times New Roman" w:cs="Times New Roman"/>
          <w:color w:val="000000"/>
          <w:sz w:val="24"/>
          <w:szCs w:val="24"/>
          <w:u w:color="000000"/>
          <w:lang w:val="en-US" w:eastAsia="de-AT"/>
        </w:rPr>
        <w:t xml:space="preserve">Compared to the client, the auditor </w:t>
      </w:r>
      <w:r w:rsidR="004D6A65">
        <w:rPr>
          <w:rFonts w:ascii="Times New Roman" w:eastAsia="Arial Unicode MS" w:hAnsi="Times New Roman" w:cs="Times New Roman"/>
          <w:color w:val="000000"/>
          <w:sz w:val="24"/>
          <w:szCs w:val="24"/>
          <w:u w:color="000000"/>
          <w:lang w:val="en-US" w:eastAsia="de-AT"/>
        </w:rPr>
        <w:t xml:space="preserve">therefore </w:t>
      </w:r>
      <w:r w:rsidR="00235BC4">
        <w:rPr>
          <w:rFonts w:ascii="Times New Roman" w:eastAsia="Arial Unicode MS" w:hAnsi="Times New Roman" w:cs="Times New Roman"/>
          <w:color w:val="000000"/>
          <w:sz w:val="24"/>
          <w:szCs w:val="24"/>
          <w:u w:color="000000"/>
          <w:lang w:val="en-US" w:eastAsia="de-AT"/>
        </w:rPr>
        <w:t>generally has superior knowledge regarding accounting and auditing standards</w:t>
      </w:r>
      <w:r w:rsidR="00096096">
        <w:rPr>
          <w:rFonts w:ascii="Times New Roman" w:eastAsia="Arial Unicode MS" w:hAnsi="Times New Roman" w:cs="Times New Roman"/>
          <w:color w:val="000000"/>
          <w:sz w:val="24"/>
          <w:szCs w:val="24"/>
          <w:u w:color="000000"/>
          <w:lang w:val="en-US" w:eastAsia="de-AT"/>
        </w:rPr>
        <w:t xml:space="preserve"> (Gibbins et al. 2001)</w:t>
      </w:r>
      <w:r w:rsidR="00235BC4">
        <w:rPr>
          <w:rFonts w:ascii="Times New Roman" w:eastAsia="Arial Unicode MS" w:hAnsi="Times New Roman" w:cs="Times New Roman"/>
          <w:color w:val="000000"/>
          <w:sz w:val="24"/>
          <w:szCs w:val="24"/>
          <w:u w:color="000000"/>
          <w:lang w:val="en-US" w:eastAsia="de-AT"/>
        </w:rPr>
        <w:t xml:space="preserve">. </w:t>
      </w:r>
    </w:p>
    <w:p w14:paraId="7D928B5D" w14:textId="0C15550A" w:rsidR="009D5739" w:rsidRDefault="00374BBE" w:rsidP="002972CD">
      <w:pPr>
        <w:spacing w:before="120" w:after="120" w:line="240" w:lineRule="auto"/>
        <w:ind w:firstLine="708"/>
        <w:jc w:val="both"/>
        <w:rPr>
          <w:rFonts w:ascii="Times New Roman" w:eastAsia="Arial Unicode MS" w:hAnsi="Times New Roman" w:cs="Times New Roman"/>
          <w:color w:val="000000"/>
          <w:sz w:val="24"/>
          <w:szCs w:val="24"/>
          <w:u w:color="000000"/>
          <w:lang w:val="en-US" w:eastAsia="de-AT"/>
        </w:rPr>
      </w:pPr>
      <w:r>
        <w:rPr>
          <w:rFonts w:ascii="Times New Roman" w:eastAsia="Arial Unicode MS" w:hAnsi="Times New Roman" w:cs="Times New Roman"/>
          <w:color w:val="000000"/>
          <w:sz w:val="24"/>
          <w:szCs w:val="24"/>
          <w:u w:color="000000"/>
          <w:lang w:val="en-US" w:eastAsia="de-AT"/>
        </w:rPr>
        <w:t>I</w:t>
      </w:r>
      <w:r w:rsidR="00235BC4">
        <w:rPr>
          <w:rFonts w:ascii="Times New Roman" w:eastAsia="Arial Unicode MS" w:hAnsi="Times New Roman" w:cs="Times New Roman"/>
          <w:color w:val="000000"/>
          <w:sz w:val="24"/>
          <w:szCs w:val="24"/>
          <w:u w:color="000000"/>
          <w:lang w:val="en-US" w:eastAsia="de-AT"/>
        </w:rPr>
        <w:t xml:space="preserve">n auditor-client negotiations </w:t>
      </w:r>
      <w:r w:rsidR="004D6A65">
        <w:rPr>
          <w:rFonts w:ascii="Times New Roman" w:eastAsia="Arial Unicode MS" w:hAnsi="Times New Roman" w:cs="Times New Roman"/>
          <w:color w:val="000000"/>
          <w:sz w:val="24"/>
          <w:szCs w:val="24"/>
          <w:u w:color="000000"/>
          <w:lang w:val="en-US" w:eastAsia="de-AT"/>
        </w:rPr>
        <w:t xml:space="preserve">the auditor as well as the client have to </w:t>
      </w:r>
      <w:r w:rsidR="00A33A96">
        <w:rPr>
          <w:rFonts w:ascii="Times New Roman" w:eastAsia="Arial Unicode MS" w:hAnsi="Times New Roman" w:cs="Times New Roman"/>
          <w:color w:val="000000"/>
          <w:sz w:val="24"/>
          <w:szCs w:val="24"/>
          <w:u w:color="000000"/>
          <w:lang w:val="en-US" w:eastAsia="de-AT"/>
        </w:rPr>
        <w:t>believe that</w:t>
      </w:r>
      <w:r w:rsidR="004D6A65">
        <w:rPr>
          <w:rFonts w:ascii="Times New Roman" w:eastAsia="Arial Unicode MS" w:hAnsi="Times New Roman" w:cs="Times New Roman"/>
          <w:color w:val="000000"/>
          <w:sz w:val="24"/>
          <w:szCs w:val="24"/>
          <w:u w:color="000000"/>
          <w:lang w:val="en-US" w:eastAsia="de-AT"/>
        </w:rPr>
        <w:t xml:space="preserve"> the </w:t>
      </w:r>
      <w:r w:rsidR="00A33A96">
        <w:rPr>
          <w:rFonts w:ascii="Times New Roman" w:eastAsia="Arial Unicode MS" w:hAnsi="Times New Roman" w:cs="Times New Roman"/>
          <w:color w:val="000000"/>
          <w:sz w:val="24"/>
          <w:szCs w:val="24"/>
          <w:u w:color="000000"/>
          <w:lang w:val="en-US" w:eastAsia="de-AT"/>
        </w:rPr>
        <w:t xml:space="preserve">interaction partner has a high level of </w:t>
      </w:r>
      <w:r w:rsidR="00235BC4">
        <w:rPr>
          <w:rFonts w:ascii="Times New Roman" w:eastAsia="Arial Unicode MS" w:hAnsi="Times New Roman" w:cs="Times New Roman"/>
          <w:color w:val="000000"/>
          <w:sz w:val="24"/>
          <w:szCs w:val="24"/>
          <w:u w:color="000000"/>
          <w:lang w:val="en-US" w:eastAsia="de-AT"/>
        </w:rPr>
        <w:t xml:space="preserve">knowledge of the client’s business and industry </w:t>
      </w:r>
      <w:r w:rsidR="00235BC4" w:rsidRPr="00141859">
        <w:rPr>
          <w:rFonts w:ascii="Times New Roman" w:eastAsia="Arial Unicode MS" w:hAnsi="Times New Roman" w:cs="Times New Roman"/>
          <w:i/>
          <w:color w:val="000000"/>
          <w:sz w:val="24"/>
          <w:szCs w:val="24"/>
          <w:u w:color="000000"/>
          <w:lang w:val="en-US" w:eastAsia="de-AT"/>
        </w:rPr>
        <w:t>and</w:t>
      </w:r>
      <w:r w:rsidR="00235BC4">
        <w:rPr>
          <w:rFonts w:ascii="Times New Roman" w:eastAsia="Arial Unicode MS" w:hAnsi="Times New Roman" w:cs="Times New Roman"/>
          <w:color w:val="000000"/>
          <w:sz w:val="24"/>
          <w:szCs w:val="24"/>
          <w:u w:color="000000"/>
          <w:lang w:val="en-US" w:eastAsia="de-AT"/>
        </w:rPr>
        <w:t xml:space="preserve"> of accounting and auditing standards </w:t>
      </w:r>
      <w:r w:rsidR="00A33A96">
        <w:rPr>
          <w:rFonts w:ascii="Times New Roman" w:eastAsia="Arial Unicode MS" w:hAnsi="Times New Roman" w:cs="Times New Roman"/>
          <w:color w:val="000000"/>
          <w:sz w:val="24"/>
          <w:szCs w:val="24"/>
          <w:u w:color="000000"/>
          <w:lang w:val="en-US" w:eastAsia="de-AT"/>
        </w:rPr>
        <w:t>in order to place competence trust in them</w:t>
      </w:r>
      <w:r>
        <w:rPr>
          <w:rFonts w:ascii="Times New Roman" w:eastAsia="Arial Unicode MS" w:hAnsi="Times New Roman" w:cs="Times New Roman"/>
          <w:color w:val="000000"/>
          <w:sz w:val="24"/>
          <w:szCs w:val="24"/>
          <w:u w:color="000000"/>
          <w:lang w:val="en-US" w:eastAsia="de-AT"/>
        </w:rPr>
        <w:t xml:space="preserve">. This is because the auditor is </w:t>
      </w:r>
      <w:r w:rsidR="007A5E22">
        <w:rPr>
          <w:rFonts w:ascii="Times New Roman" w:eastAsia="Arial Unicode MS" w:hAnsi="Times New Roman" w:cs="Times New Roman"/>
          <w:color w:val="000000"/>
          <w:sz w:val="24"/>
          <w:szCs w:val="24"/>
          <w:u w:color="000000"/>
          <w:lang w:val="en-US" w:eastAsia="de-AT"/>
        </w:rPr>
        <w:t>less likely to stand up</w:t>
      </w:r>
      <w:r w:rsidR="008D7152" w:rsidRPr="006E2711">
        <w:rPr>
          <w:rFonts w:ascii="Times New Roman" w:eastAsia="Arial Unicode MS" w:hAnsi="Times New Roman" w:cs="Times New Roman"/>
          <w:color w:val="000000"/>
          <w:sz w:val="24"/>
          <w:szCs w:val="24"/>
          <w:u w:color="000000"/>
          <w:lang w:val="en-US" w:eastAsia="de-AT"/>
        </w:rPr>
        <w:t xml:space="preserve"> to the </w:t>
      </w:r>
      <w:r>
        <w:rPr>
          <w:rFonts w:ascii="Times New Roman" w:eastAsia="Arial Unicode MS" w:hAnsi="Times New Roman" w:cs="Times New Roman"/>
          <w:color w:val="000000"/>
          <w:sz w:val="24"/>
          <w:szCs w:val="24"/>
          <w:u w:color="000000"/>
          <w:lang w:val="en-US" w:eastAsia="de-AT"/>
        </w:rPr>
        <w:t>client</w:t>
      </w:r>
      <w:r w:rsidR="008D7152" w:rsidRPr="006E2711">
        <w:rPr>
          <w:rFonts w:ascii="Times New Roman" w:eastAsia="Arial Unicode MS" w:hAnsi="Times New Roman" w:cs="Times New Roman"/>
          <w:color w:val="000000"/>
          <w:sz w:val="24"/>
          <w:szCs w:val="24"/>
          <w:u w:color="000000"/>
          <w:lang w:val="en-US" w:eastAsia="de-AT"/>
        </w:rPr>
        <w:t>’s preferred position</w:t>
      </w:r>
      <w:r>
        <w:rPr>
          <w:rFonts w:ascii="Times New Roman" w:eastAsia="Arial Unicode MS" w:hAnsi="Times New Roman" w:cs="Times New Roman"/>
          <w:color w:val="000000"/>
          <w:sz w:val="24"/>
          <w:szCs w:val="24"/>
          <w:u w:color="000000"/>
          <w:lang w:val="en-US" w:eastAsia="de-AT"/>
        </w:rPr>
        <w:t xml:space="preserve"> if they believe that the client is not only able to successfully run the firm, but also </w:t>
      </w:r>
      <w:r w:rsidRPr="000E701B">
        <w:rPr>
          <w:rFonts w:ascii="Times New Roman" w:eastAsia="Arial Unicode MS" w:hAnsi="Times New Roman" w:cs="Times New Roman"/>
          <w:color w:val="000000"/>
          <w:sz w:val="24"/>
          <w:szCs w:val="24"/>
          <w:u w:color="000000"/>
          <w:lang w:val="en-US" w:eastAsia="de-AT"/>
        </w:rPr>
        <w:t xml:space="preserve">to </w:t>
      </w:r>
      <w:r>
        <w:rPr>
          <w:rFonts w:ascii="Times New Roman" w:eastAsia="Arial Unicode MS" w:hAnsi="Times New Roman" w:cs="Times New Roman"/>
          <w:color w:val="000000"/>
          <w:sz w:val="24"/>
          <w:szCs w:val="24"/>
          <w:u w:color="000000"/>
          <w:lang w:val="en-US" w:eastAsia="de-AT"/>
        </w:rPr>
        <w:t xml:space="preserve">prepare the financial statements in line with the </w:t>
      </w:r>
      <w:r w:rsidR="00876E5A">
        <w:rPr>
          <w:rFonts w:ascii="Times New Roman" w:eastAsia="Arial Unicode MS" w:hAnsi="Times New Roman" w:cs="Times New Roman"/>
          <w:color w:val="000000"/>
          <w:sz w:val="24"/>
          <w:szCs w:val="24"/>
          <w:u w:color="000000"/>
          <w:lang w:val="en-US" w:eastAsia="de-AT"/>
        </w:rPr>
        <w:t>relevant accounting standards</w:t>
      </w:r>
      <w:r w:rsidRPr="000E701B">
        <w:rPr>
          <w:rFonts w:ascii="Times New Roman" w:eastAsia="Arial Unicode MS" w:hAnsi="Times New Roman" w:cs="Times New Roman"/>
          <w:color w:val="000000"/>
          <w:sz w:val="24"/>
          <w:szCs w:val="24"/>
          <w:u w:color="000000"/>
          <w:lang w:val="en-US" w:eastAsia="de-AT"/>
        </w:rPr>
        <w:t xml:space="preserve"> and to deliver any information necessary for the audit</w:t>
      </w:r>
      <w:r w:rsidR="00A33A96">
        <w:rPr>
          <w:rFonts w:ascii="Times New Roman" w:eastAsia="Arial Unicode MS" w:hAnsi="Times New Roman" w:cs="Times New Roman"/>
          <w:color w:val="000000"/>
          <w:sz w:val="24"/>
          <w:szCs w:val="24"/>
          <w:u w:color="000000"/>
          <w:lang w:val="en-US" w:eastAsia="de-AT"/>
        </w:rPr>
        <w:t>.</w:t>
      </w:r>
      <w:r w:rsidR="008B3EC3">
        <w:rPr>
          <w:rFonts w:ascii="Times New Roman" w:eastAsia="Arial Unicode MS" w:hAnsi="Times New Roman" w:cs="Times New Roman"/>
          <w:color w:val="000000"/>
          <w:sz w:val="24"/>
          <w:szCs w:val="24"/>
          <w:u w:color="000000"/>
          <w:lang w:val="en-US" w:eastAsia="de-AT"/>
        </w:rPr>
        <w:t xml:space="preserve"> </w:t>
      </w:r>
      <w:r w:rsidR="00CE443C">
        <w:rPr>
          <w:rFonts w:ascii="Times New Roman" w:eastAsia="Arial Unicode MS" w:hAnsi="Times New Roman" w:cs="Times New Roman"/>
          <w:color w:val="000000"/>
          <w:sz w:val="24"/>
          <w:szCs w:val="24"/>
          <w:u w:color="000000"/>
          <w:lang w:val="en-US" w:eastAsia="de-AT"/>
        </w:rPr>
        <w:t xml:space="preserve">The likelihood that the auditor </w:t>
      </w:r>
      <w:r w:rsidR="007A29A9">
        <w:rPr>
          <w:rFonts w:ascii="Times New Roman" w:eastAsia="Arial Unicode MS" w:hAnsi="Times New Roman" w:cs="Times New Roman"/>
          <w:color w:val="000000"/>
          <w:sz w:val="24"/>
          <w:szCs w:val="24"/>
          <w:u w:color="000000"/>
          <w:lang w:val="en-US" w:eastAsia="de-AT"/>
        </w:rPr>
        <w:t>stands up to</w:t>
      </w:r>
      <w:r w:rsidR="00CE443C">
        <w:rPr>
          <w:rFonts w:ascii="Times New Roman" w:eastAsia="Arial Unicode MS" w:hAnsi="Times New Roman" w:cs="Times New Roman"/>
          <w:color w:val="000000"/>
          <w:sz w:val="24"/>
          <w:szCs w:val="24"/>
          <w:u w:color="000000"/>
          <w:lang w:val="en-US" w:eastAsia="de-AT"/>
        </w:rPr>
        <w:t xml:space="preserve"> the client’s preferred treatment thus increases when the auditor holds lower levels of </w:t>
      </w:r>
      <w:r w:rsidR="005F3485">
        <w:rPr>
          <w:rFonts w:ascii="Times New Roman" w:eastAsia="Arial Unicode MS" w:hAnsi="Times New Roman" w:cs="Times New Roman"/>
          <w:color w:val="000000"/>
          <w:sz w:val="24"/>
          <w:szCs w:val="24"/>
          <w:u w:color="000000"/>
          <w:lang w:val="en-US" w:eastAsia="de-AT"/>
        </w:rPr>
        <w:t>competence</w:t>
      </w:r>
      <w:r w:rsidR="00CE443C">
        <w:rPr>
          <w:rFonts w:ascii="Times New Roman" w:eastAsia="Arial Unicode MS" w:hAnsi="Times New Roman" w:cs="Times New Roman"/>
          <w:color w:val="000000"/>
          <w:sz w:val="24"/>
          <w:szCs w:val="24"/>
          <w:u w:color="000000"/>
          <w:lang w:val="en-US" w:eastAsia="de-AT"/>
        </w:rPr>
        <w:t xml:space="preserve"> trust in the client. </w:t>
      </w:r>
      <w:r w:rsidR="008B3EC3">
        <w:rPr>
          <w:rFonts w:ascii="Times New Roman" w:eastAsia="Arial Unicode MS" w:hAnsi="Times New Roman" w:cs="Times New Roman"/>
          <w:color w:val="000000"/>
          <w:sz w:val="24"/>
          <w:szCs w:val="24"/>
          <w:u w:color="000000"/>
          <w:lang w:val="en-US" w:eastAsia="de-AT"/>
        </w:rPr>
        <w:t xml:space="preserve">At the same time, the client is also </w:t>
      </w:r>
      <w:r w:rsidR="007A5E22">
        <w:rPr>
          <w:rFonts w:ascii="Times New Roman" w:eastAsia="Arial Unicode MS" w:hAnsi="Times New Roman" w:cs="Times New Roman"/>
          <w:color w:val="000000"/>
          <w:sz w:val="24"/>
          <w:szCs w:val="24"/>
          <w:u w:color="000000"/>
          <w:lang w:val="en-US" w:eastAsia="de-AT"/>
        </w:rPr>
        <w:t xml:space="preserve">less likely to stand up </w:t>
      </w:r>
      <w:r w:rsidR="008B3EC3">
        <w:rPr>
          <w:rFonts w:ascii="Times New Roman" w:eastAsia="Arial Unicode MS" w:hAnsi="Times New Roman" w:cs="Times New Roman"/>
          <w:color w:val="000000"/>
          <w:sz w:val="24"/>
          <w:szCs w:val="24"/>
          <w:u w:color="000000"/>
          <w:lang w:val="en-US" w:eastAsia="de-AT"/>
        </w:rPr>
        <w:t>to the auditor’s preferred position</w:t>
      </w:r>
      <w:r w:rsidR="00433B2F">
        <w:rPr>
          <w:rFonts w:ascii="Times New Roman" w:eastAsia="Arial Unicode MS" w:hAnsi="Times New Roman" w:cs="Times New Roman"/>
          <w:color w:val="000000"/>
          <w:sz w:val="24"/>
          <w:szCs w:val="24"/>
          <w:u w:color="000000"/>
          <w:lang w:val="en-US" w:eastAsia="de-AT"/>
        </w:rPr>
        <w:t xml:space="preserve"> and, thus, </w:t>
      </w:r>
      <w:r w:rsidR="00623916">
        <w:rPr>
          <w:rFonts w:ascii="Times New Roman" w:eastAsia="Arial Unicode MS" w:hAnsi="Times New Roman" w:cs="Times New Roman"/>
          <w:color w:val="000000"/>
          <w:sz w:val="24"/>
          <w:szCs w:val="24"/>
          <w:u w:color="000000"/>
          <w:lang w:val="en-US" w:eastAsia="de-AT"/>
        </w:rPr>
        <w:t xml:space="preserve">to </w:t>
      </w:r>
      <w:r w:rsidR="00433B2F">
        <w:rPr>
          <w:rFonts w:ascii="Times New Roman" w:eastAsia="Arial Unicode MS" w:hAnsi="Times New Roman" w:cs="Times New Roman"/>
          <w:color w:val="000000"/>
          <w:sz w:val="24"/>
          <w:szCs w:val="24"/>
          <w:u w:color="000000"/>
          <w:lang w:val="en-US" w:eastAsia="de-AT"/>
        </w:rPr>
        <w:t>not stand up to the client’s preferred treatment,</w:t>
      </w:r>
      <w:r w:rsidR="008B3EC3">
        <w:rPr>
          <w:rFonts w:ascii="Times New Roman" w:eastAsia="Arial Unicode MS" w:hAnsi="Times New Roman" w:cs="Times New Roman"/>
          <w:color w:val="000000"/>
          <w:sz w:val="24"/>
          <w:szCs w:val="24"/>
          <w:u w:color="000000"/>
          <w:lang w:val="en-US" w:eastAsia="de-AT"/>
        </w:rPr>
        <w:t xml:space="preserve"> if they believe that the auditor does not only have a good knowledge of </w:t>
      </w:r>
      <w:r w:rsidR="008B3EC3" w:rsidRPr="008B3EC3">
        <w:rPr>
          <w:rFonts w:ascii="Times New Roman" w:eastAsia="Arial Unicode MS" w:hAnsi="Times New Roman" w:cs="Times New Roman"/>
          <w:color w:val="000000"/>
          <w:sz w:val="24"/>
          <w:szCs w:val="24"/>
          <w:u w:color="000000"/>
          <w:lang w:val="en-US" w:eastAsia="de-AT"/>
        </w:rPr>
        <w:t>the relevant accounting and auditing standards, but also understands the firm</w:t>
      </w:r>
      <w:r w:rsidR="008B3EC3">
        <w:rPr>
          <w:rFonts w:ascii="Times New Roman" w:eastAsia="Arial Unicode MS" w:hAnsi="Times New Roman" w:cs="Times New Roman"/>
          <w:color w:val="000000"/>
          <w:sz w:val="24"/>
          <w:szCs w:val="24"/>
          <w:u w:color="000000"/>
          <w:lang w:val="en-US" w:eastAsia="de-AT"/>
        </w:rPr>
        <w:t>’s business and the industry it operates in.</w:t>
      </w:r>
      <w:r w:rsidR="00F2687B">
        <w:rPr>
          <w:rFonts w:ascii="Times New Roman" w:eastAsia="Arial Unicode MS" w:hAnsi="Times New Roman" w:cs="Times New Roman"/>
          <w:color w:val="000000"/>
          <w:sz w:val="24"/>
          <w:szCs w:val="24"/>
          <w:u w:color="000000"/>
          <w:lang w:val="en-US" w:eastAsia="de-AT"/>
        </w:rPr>
        <w:t xml:space="preserve"> The likelihood that the client </w:t>
      </w:r>
      <w:r w:rsidR="007A29A9">
        <w:rPr>
          <w:rFonts w:ascii="Times New Roman" w:eastAsia="Arial Unicode MS" w:hAnsi="Times New Roman" w:cs="Times New Roman"/>
          <w:color w:val="000000"/>
          <w:sz w:val="24"/>
          <w:szCs w:val="24"/>
          <w:u w:color="000000"/>
          <w:lang w:val="en-US" w:eastAsia="de-AT"/>
        </w:rPr>
        <w:t xml:space="preserve">stands up to </w:t>
      </w:r>
      <w:r w:rsidR="00F2687B">
        <w:rPr>
          <w:rFonts w:ascii="Times New Roman" w:eastAsia="Arial Unicode MS" w:hAnsi="Times New Roman" w:cs="Times New Roman"/>
          <w:color w:val="000000"/>
          <w:sz w:val="24"/>
          <w:szCs w:val="24"/>
          <w:u w:color="000000"/>
          <w:lang w:val="en-US" w:eastAsia="de-AT"/>
        </w:rPr>
        <w:t xml:space="preserve">the auditor’s preferred treatment, i.e. that the client </w:t>
      </w:r>
      <w:r w:rsidR="007A5E22">
        <w:rPr>
          <w:rFonts w:ascii="Times New Roman" w:eastAsia="Arial Unicode MS" w:hAnsi="Times New Roman" w:cs="Times New Roman"/>
          <w:color w:val="000000"/>
          <w:sz w:val="24"/>
          <w:szCs w:val="24"/>
          <w:u w:color="000000"/>
          <w:lang w:val="en-US" w:eastAsia="de-AT"/>
        </w:rPr>
        <w:t xml:space="preserve">tries to </w:t>
      </w:r>
      <w:r w:rsidR="00F2687B">
        <w:rPr>
          <w:rFonts w:ascii="Times New Roman" w:eastAsia="Arial Unicode MS" w:hAnsi="Times New Roman" w:cs="Times New Roman"/>
          <w:color w:val="000000"/>
          <w:sz w:val="24"/>
          <w:szCs w:val="24"/>
          <w:u w:color="000000"/>
          <w:lang w:val="en-US" w:eastAsia="de-AT"/>
        </w:rPr>
        <w:t xml:space="preserve">convince the auditor of his/her position </w:t>
      </w:r>
      <w:r w:rsidR="007A5E22">
        <w:rPr>
          <w:rFonts w:ascii="Times New Roman" w:eastAsia="Arial Unicode MS" w:hAnsi="Times New Roman" w:cs="Times New Roman"/>
          <w:color w:val="000000"/>
          <w:sz w:val="24"/>
          <w:szCs w:val="24"/>
          <w:u w:color="000000"/>
          <w:lang w:val="en-US" w:eastAsia="de-AT"/>
        </w:rPr>
        <w:t xml:space="preserve">so that </w:t>
      </w:r>
      <w:r w:rsidR="00F2687B">
        <w:rPr>
          <w:rFonts w:ascii="Times New Roman" w:eastAsia="Arial Unicode MS" w:hAnsi="Times New Roman" w:cs="Times New Roman"/>
          <w:color w:val="000000"/>
          <w:sz w:val="24"/>
          <w:szCs w:val="24"/>
          <w:u w:color="000000"/>
          <w:lang w:val="en-US" w:eastAsia="de-AT"/>
        </w:rPr>
        <w:t xml:space="preserve">the auditor waives the detected misstatement, therefore increases when the client holds lower levels of </w:t>
      </w:r>
      <w:r w:rsidR="005F3485">
        <w:rPr>
          <w:rFonts w:ascii="Times New Roman" w:eastAsia="Arial Unicode MS" w:hAnsi="Times New Roman" w:cs="Times New Roman"/>
          <w:color w:val="000000"/>
          <w:sz w:val="24"/>
          <w:szCs w:val="24"/>
          <w:u w:color="000000"/>
          <w:lang w:val="en-US" w:eastAsia="de-AT"/>
        </w:rPr>
        <w:t>competence</w:t>
      </w:r>
      <w:r w:rsidR="00F2687B">
        <w:rPr>
          <w:rFonts w:ascii="Times New Roman" w:eastAsia="Arial Unicode MS" w:hAnsi="Times New Roman" w:cs="Times New Roman"/>
          <w:color w:val="000000"/>
          <w:sz w:val="24"/>
          <w:szCs w:val="24"/>
          <w:u w:color="000000"/>
          <w:lang w:val="en-US" w:eastAsia="de-AT"/>
        </w:rPr>
        <w:t xml:space="preserve"> trust in the auditor.</w:t>
      </w:r>
    </w:p>
    <w:p w14:paraId="2A1F80A9" w14:textId="27C7FA08" w:rsidR="00A7736E" w:rsidRPr="00141859" w:rsidRDefault="002972CD" w:rsidP="002972CD">
      <w:pPr>
        <w:spacing w:before="120" w:after="120" w:line="240" w:lineRule="auto"/>
        <w:ind w:firstLine="708"/>
        <w:jc w:val="both"/>
        <w:rPr>
          <w:rFonts w:ascii="Times New Roman" w:eastAsia="Arial Unicode MS" w:hAnsi="Times New Roman" w:cs="Times New Roman"/>
          <w:color w:val="000000"/>
          <w:sz w:val="24"/>
          <w:szCs w:val="24"/>
          <w:u w:color="000000"/>
          <w:lang w:val="en-US" w:eastAsia="de-AT"/>
        </w:rPr>
      </w:pPr>
      <w:r>
        <w:rPr>
          <w:rFonts w:ascii="Times New Roman" w:eastAsia="Arial Unicode MS" w:hAnsi="Times New Roman" w:cs="Times New Roman"/>
          <w:color w:val="000000"/>
          <w:sz w:val="24"/>
          <w:szCs w:val="24"/>
          <w:u w:color="000000"/>
          <w:lang w:val="en-US" w:eastAsia="de-AT"/>
        </w:rPr>
        <w:t>Based on these arguments, we propose the following h</w:t>
      </w:r>
      <w:r w:rsidRPr="00141859">
        <w:rPr>
          <w:rFonts w:ascii="Times New Roman" w:eastAsia="Arial Unicode MS" w:hAnsi="Times New Roman" w:cs="Times New Roman"/>
          <w:color w:val="000000"/>
          <w:sz w:val="24"/>
          <w:szCs w:val="24"/>
          <w:u w:color="000000"/>
          <w:lang w:val="en-US" w:eastAsia="de-AT"/>
        </w:rPr>
        <w:t>ypotheses:</w:t>
      </w:r>
    </w:p>
    <w:p w14:paraId="0C81F8E3" w14:textId="4C43D13B" w:rsidR="000E701B" w:rsidRPr="000E701B" w:rsidRDefault="000E701B" w:rsidP="000E701B">
      <w:pPr>
        <w:spacing w:before="120" w:after="120" w:line="240" w:lineRule="auto"/>
        <w:ind w:left="1247" w:hanging="567"/>
        <w:jc w:val="both"/>
        <w:rPr>
          <w:rFonts w:ascii="Times New Roman" w:eastAsia="Times New Roman" w:hAnsi="Times New Roman" w:cs="Times New Roman"/>
          <w:i/>
          <w:sz w:val="24"/>
          <w:szCs w:val="24"/>
          <w:lang w:val="en-US" w:eastAsia="de-AT"/>
        </w:rPr>
      </w:pPr>
      <w:r w:rsidRPr="000E701B">
        <w:rPr>
          <w:rFonts w:ascii="Times New Roman" w:eastAsia="Times New Roman" w:hAnsi="Times New Roman" w:cs="Times New Roman"/>
          <w:i/>
          <w:sz w:val="24"/>
          <w:szCs w:val="24"/>
          <w:lang w:val="en-US" w:eastAsia="de-AT"/>
        </w:rPr>
        <w:t xml:space="preserve">H1a: </w:t>
      </w:r>
      <w:r w:rsidRPr="000E701B">
        <w:rPr>
          <w:rFonts w:ascii="Times New Roman" w:eastAsia="Times New Roman" w:hAnsi="Times New Roman" w:cs="Times New Roman"/>
          <w:i/>
          <w:sz w:val="24"/>
          <w:szCs w:val="24"/>
          <w:lang w:val="en-US" w:eastAsia="de-AT"/>
        </w:rPr>
        <w:tab/>
      </w:r>
      <w:r w:rsidR="00490173">
        <w:rPr>
          <w:rFonts w:ascii="Times New Roman" w:eastAsia="Times New Roman" w:hAnsi="Times New Roman" w:cs="Times New Roman"/>
          <w:i/>
          <w:sz w:val="24"/>
          <w:szCs w:val="24"/>
          <w:lang w:val="en-US" w:eastAsia="de-AT"/>
        </w:rPr>
        <w:t xml:space="preserve">The probability that the auditor </w:t>
      </w:r>
      <w:r w:rsidR="0015191C">
        <w:rPr>
          <w:rFonts w:ascii="Times New Roman" w:eastAsia="Times New Roman" w:hAnsi="Times New Roman" w:cs="Times New Roman"/>
          <w:i/>
          <w:sz w:val="24"/>
          <w:szCs w:val="24"/>
          <w:lang w:val="en-US" w:eastAsia="de-AT"/>
        </w:rPr>
        <w:t>stands up to</w:t>
      </w:r>
      <w:r w:rsidR="00490173">
        <w:rPr>
          <w:rFonts w:ascii="Times New Roman" w:eastAsia="Times New Roman" w:hAnsi="Times New Roman" w:cs="Times New Roman"/>
          <w:i/>
          <w:sz w:val="24"/>
          <w:szCs w:val="24"/>
          <w:lang w:val="en-US" w:eastAsia="de-AT"/>
        </w:rPr>
        <w:t xml:space="preserve"> the client’s preferred treatment increases when the auditor holds lower level</w:t>
      </w:r>
      <w:r w:rsidR="0017142A">
        <w:rPr>
          <w:rFonts w:ascii="Times New Roman" w:eastAsia="Times New Roman" w:hAnsi="Times New Roman" w:cs="Times New Roman"/>
          <w:i/>
          <w:sz w:val="24"/>
          <w:szCs w:val="24"/>
          <w:lang w:val="en-US" w:eastAsia="de-AT"/>
        </w:rPr>
        <w:t>s</w:t>
      </w:r>
      <w:r w:rsidR="00490173">
        <w:rPr>
          <w:rFonts w:ascii="Times New Roman" w:eastAsia="Times New Roman" w:hAnsi="Times New Roman" w:cs="Times New Roman"/>
          <w:i/>
          <w:sz w:val="24"/>
          <w:szCs w:val="24"/>
          <w:lang w:val="en-US" w:eastAsia="de-AT"/>
        </w:rPr>
        <w:t xml:space="preserve"> of competence trust in the client. </w:t>
      </w:r>
    </w:p>
    <w:p w14:paraId="2942F964" w14:textId="4952CA80" w:rsidR="000E701B" w:rsidRPr="000E701B" w:rsidRDefault="000E701B" w:rsidP="000E701B">
      <w:pPr>
        <w:spacing w:before="120" w:after="120" w:line="240" w:lineRule="auto"/>
        <w:ind w:left="1247" w:hanging="567"/>
        <w:jc w:val="both"/>
        <w:rPr>
          <w:rFonts w:ascii="Times New Roman" w:eastAsia="Times New Roman" w:hAnsi="Times New Roman" w:cs="Times New Roman"/>
          <w:i/>
          <w:sz w:val="24"/>
          <w:szCs w:val="24"/>
          <w:lang w:val="en-US" w:eastAsia="de-AT"/>
        </w:rPr>
      </w:pPr>
      <w:r w:rsidRPr="000E701B">
        <w:rPr>
          <w:rFonts w:ascii="Times New Roman" w:eastAsia="Times New Roman" w:hAnsi="Times New Roman" w:cs="Times New Roman"/>
          <w:i/>
          <w:sz w:val="24"/>
          <w:szCs w:val="24"/>
          <w:lang w:val="en-US" w:eastAsia="de-AT"/>
        </w:rPr>
        <w:t xml:space="preserve">H1b: </w:t>
      </w:r>
      <w:r w:rsidRPr="000E701B">
        <w:rPr>
          <w:rFonts w:ascii="Times New Roman" w:eastAsia="Times New Roman" w:hAnsi="Times New Roman" w:cs="Times New Roman"/>
          <w:i/>
          <w:sz w:val="24"/>
          <w:szCs w:val="24"/>
          <w:lang w:val="en-US" w:eastAsia="de-AT"/>
        </w:rPr>
        <w:tab/>
      </w:r>
      <w:r w:rsidR="00876187">
        <w:rPr>
          <w:rFonts w:ascii="Times New Roman" w:eastAsia="Times New Roman" w:hAnsi="Times New Roman" w:cs="Times New Roman"/>
          <w:i/>
          <w:sz w:val="24"/>
          <w:szCs w:val="24"/>
          <w:lang w:val="en-US" w:eastAsia="de-AT"/>
        </w:rPr>
        <w:t xml:space="preserve">The probability that the client </w:t>
      </w:r>
      <w:r w:rsidR="0015191C">
        <w:rPr>
          <w:rFonts w:ascii="Times New Roman" w:eastAsia="Times New Roman" w:hAnsi="Times New Roman" w:cs="Times New Roman"/>
          <w:i/>
          <w:sz w:val="24"/>
          <w:szCs w:val="24"/>
          <w:lang w:val="en-US" w:eastAsia="de-AT"/>
        </w:rPr>
        <w:t>stands up to</w:t>
      </w:r>
      <w:r w:rsidR="00876187">
        <w:rPr>
          <w:rFonts w:ascii="Times New Roman" w:eastAsia="Times New Roman" w:hAnsi="Times New Roman" w:cs="Times New Roman"/>
          <w:i/>
          <w:sz w:val="24"/>
          <w:szCs w:val="24"/>
          <w:lang w:val="en-US" w:eastAsia="de-AT"/>
        </w:rPr>
        <w:t xml:space="preserve"> the auditor’s preferred treatment increases when the client holds </w:t>
      </w:r>
      <w:r w:rsidR="006B57CB">
        <w:rPr>
          <w:rFonts w:ascii="Times New Roman" w:eastAsia="Times New Roman" w:hAnsi="Times New Roman" w:cs="Times New Roman"/>
          <w:i/>
          <w:sz w:val="24"/>
          <w:szCs w:val="24"/>
          <w:lang w:val="en-US" w:eastAsia="de-AT"/>
        </w:rPr>
        <w:t>lower level</w:t>
      </w:r>
      <w:r w:rsidR="0017142A">
        <w:rPr>
          <w:rFonts w:ascii="Times New Roman" w:eastAsia="Times New Roman" w:hAnsi="Times New Roman" w:cs="Times New Roman"/>
          <w:i/>
          <w:sz w:val="24"/>
          <w:szCs w:val="24"/>
          <w:lang w:val="en-US" w:eastAsia="de-AT"/>
        </w:rPr>
        <w:t>s</w:t>
      </w:r>
      <w:r w:rsidR="006B57CB">
        <w:rPr>
          <w:rFonts w:ascii="Times New Roman" w:eastAsia="Times New Roman" w:hAnsi="Times New Roman" w:cs="Times New Roman"/>
          <w:i/>
          <w:sz w:val="24"/>
          <w:szCs w:val="24"/>
          <w:lang w:val="en-US" w:eastAsia="de-AT"/>
        </w:rPr>
        <w:t xml:space="preserve"> of competence trust in the auditor.</w:t>
      </w:r>
    </w:p>
    <w:p w14:paraId="09664686" w14:textId="77777777" w:rsidR="000E701B" w:rsidRPr="000E701B" w:rsidRDefault="000E701B" w:rsidP="000E701B">
      <w:pPr>
        <w:spacing w:before="120" w:after="120" w:line="240" w:lineRule="auto"/>
        <w:ind w:left="1247" w:hanging="567"/>
        <w:jc w:val="both"/>
        <w:rPr>
          <w:rFonts w:ascii="Times New Roman" w:eastAsia="Times New Roman" w:hAnsi="Times New Roman" w:cs="Times New Roman"/>
          <w:sz w:val="24"/>
          <w:szCs w:val="24"/>
          <w:lang w:val="en-US" w:eastAsia="de-AT"/>
        </w:rPr>
      </w:pPr>
    </w:p>
    <w:p w14:paraId="33AC4A50" w14:textId="77777777" w:rsidR="000E701B" w:rsidRPr="000E701B" w:rsidRDefault="000E701B" w:rsidP="000E701B">
      <w:pPr>
        <w:spacing w:before="120" w:after="120" w:line="240" w:lineRule="auto"/>
        <w:jc w:val="both"/>
        <w:rPr>
          <w:rFonts w:ascii="Times New Roman" w:eastAsia="Times New Roman" w:hAnsi="Times New Roman" w:cs="Times New Roman"/>
          <w:b/>
          <w:sz w:val="24"/>
          <w:szCs w:val="24"/>
          <w:lang w:val="en-US" w:eastAsia="de-AT"/>
        </w:rPr>
      </w:pPr>
      <w:r w:rsidRPr="000E701B">
        <w:rPr>
          <w:rFonts w:ascii="Times New Roman" w:eastAsia="Times New Roman" w:hAnsi="Times New Roman" w:cs="Times New Roman"/>
          <w:b/>
          <w:sz w:val="24"/>
          <w:szCs w:val="24"/>
          <w:lang w:val="en-US" w:eastAsia="de-AT"/>
        </w:rPr>
        <w:t>Goodwill trust</w:t>
      </w:r>
    </w:p>
    <w:p w14:paraId="73ABAB69" w14:textId="3880F485" w:rsidR="000E701B" w:rsidRPr="000E701B" w:rsidRDefault="000E701B" w:rsidP="000E701B">
      <w:pPr>
        <w:spacing w:before="120" w:after="120" w:line="240" w:lineRule="auto"/>
        <w:ind w:firstLine="680"/>
        <w:jc w:val="both"/>
        <w:rPr>
          <w:rFonts w:ascii="Times New Roman" w:eastAsia="Times New Roman" w:hAnsi="Times New Roman" w:cs="Times New Roman"/>
          <w:sz w:val="24"/>
          <w:szCs w:val="24"/>
          <w:lang w:val="en-US" w:eastAsia="de-AT"/>
        </w:rPr>
      </w:pPr>
      <w:r w:rsidRPr="000E701B">
        <w:rPr>
          <w:rFonts w:ascii="Times New Roman" w:eastAsia="Times New Roman" w:hAnsi="Times New Roman" w:cs="Times New Roman"/>
          <w:sz w:val="24"/>
          <w:szCs w:val="24"/>
          <w:lang w:val="en-US" w:eastAsia="de-AT"/>
        </w:rPr>
        <w:t xml:space="preserve">In addition to one interaction partner’s trust in the ability of the other interaction partner to perform (competence trust), trust in the interaction partner’s willingness to perform (goodwill trust) might also influence </w:t>
      </w:r>
      <w:r w:rsidR="00935107">
        <w:rPr>
          <w:rFonts w:ascii="Times New Roman" w:eastAsia="Times New Roman" w:hAnsi="Times New Roman" w:cs="Times New Roman"/>
          <w:sz w:val="24"/>
          <w:szCs w:val="24"/>
          <w:lang w:val="en-US" w:eastAsia="de-AT"/>
        </w:rPr>
        <w:t xml:space="preserve">negotiation </w:t>
      </w:r>
      <w:r w:rsidRPr="000E701B">
        <w:rPr>
          <w:rFonts w:ascii="Times New Roman" w:eastAsia="Times New Roman" w:hAnsi="Times New Roman" w:cs="Times New Roman"/>
          <w:sz w:val="24"/>
          <w:szCs w:val="24"/>
          <w:lang w:val="en-US" w:eastAsia="de-AT"/>
        </w:rPr>
        <w:t>outcome</w:t>
      </w:r>
      <w:r w:rsidR="00FF70D4">
        <w:rPr>
          <w:rFonts w:ascii="Times New Roman" w:eastAsia="Times New Roman" w:hAnsi="Times New Roman" w:cs="Times New Roman"/>
          <w:sz w:val="24"/>
          <w:szCs w:val="24"/>
          <w:lang w:val="en-US" w:eastAsia="de-AT"/>
        </w:rPr>
        <w:t>s</w:t>
      </w:r>
      <w:r w:rsidRPr="000E701B">
        <w:rPr>
          <w:rFonts w:ascii="Times New Roman" w:eastAsia="Times New Roman" w:hAnsi="Times New Roman" w:cs="Times New Roman"/>
          <w:sz w:val="24"/>
          <w:szCs w:val="24"/>
          <w:lang w:val="en-US" w:eastAsia="de-AT"/>
        </w:rPr>
        <w:t xml:space="preserve">. </w:t>
      </w:r>
      <w:r w:rsidR="001D031C">
        <w:rPr>
          <w:rFonts w:ascii="Times New Roman" w:eastAsia="Times New Roman" w:hAnsi="Times New Roman" w:cs="Times New Roman"/>
          <w:sz w:val="24"/>
          <w:szCs w:val="24"/>
          <w:lang w:val="en-US" w:eastAsia="de-AT"/>
        </w:rPr>
        <w:t xml:space="preserve">Earlier research found that </w:t>
      </w:r>
      <w:r w:rsidR="00DD457D">
        <w:rPr>
          <w:rFonts w:ascii="Times New Roman" w:eastAsia="Times New Roman" w:hAnsi="Times New Roman" w:cs="Times New Roman"/>
          <w:sz w:val="24"/>
          <w:szCs w:val="24"/>
          <w:lang w:val="en-US" w:eastAsia="de-AT"/>
        </w:rPr>
        <w:t xml:space="preserve">a high level of </w:t>
      </w:r>
      <w:r w:rsidR="001D031C">
        <w:rPr>
          <w:rFonts w:ascii="Times New Roman" w:eastAsia="Times New Roman" w:hAnsi="Times New Roman" w:cs="Times New Roman"/>
          <w:sz w:val="24"/>
          <w:szCs w:val="24"/>
          <w:lang w:val="en-US" w:eastAsia="de-AT"/>
        </w:rPr>
        <w:t xml:space="preserve">goodwill trust </w:t>
      </w:r>
      <w:r w:rsidR="00AC4CB3">
        <w:rPr>
          <w:rFonts w:ascii="Times New Roman" w:eastAsia="Times New Roman" w:hAnsi="Times New Roman" w:cs="Times New Roman"/>
          <w:sz w:val="24"/>
          <w:szCs w:val="24"/>
          <w:lang w:val="en-US" w:eastAsia="de-AT"/>
        </w:rPr>
        <w:t xml:space="preserve">has a positive impact on information exchange, leading to more cooperative negotiation outcomes (Kimmel et al. 1980). </w:t>
      </w:r>
      <w:r w:rsidR="00727B53">
        <w:rPr>
          <w:rFonts w:ascii="Times New Roman" w:eastAsia="Times New Roman" w:hAnsi="Times New Roman" w:cs="Times New Roman"/>
          <w:sz w:val="24"/>
          <w:szCs w:val="24"/>
          <w:lang w:val="en-US" w:eastAsia="de-AT"/>
        </w:rPr>
        <w:t>In view of auditor-client relationship</w:t>
      </w:r>
      <w:r w:rsidR="00935107">
        <w:rPr>
          <w:rFonts w:ascii="Times New Roman" w:eastAsia="Times New Roman" w:hAnsi="Times New Roman" w:cs="Times New Roman"/>
          <w:sz w:val="24"/>
          <w:szCs w:val="24"/>
          <w:lang w:val="en-US" w:eastAsia="de-AT"/>
        </w:rPr>
        <w:t>s</w:t>
      </w:r>
      <w:r w:rsidR="00727B53">
        <w:rPr>
          <w:rFonts w:ascii="Times New Roman" w:eastAsia="Times New Roman" w:hAnsi="Times New Roman" w:cs="Times New Roman"/>
          <w:sz w:val="24"/>
          <w:szCs w:val="24"/>
          <w:lang w:val="en-US" w:eastAsia="de-AT"/>
        </w:rPr>
        <w:t xml:space="preserve">, </w:t>
      </w:r>
      <w:r w:rsidR="00FF70D4">
        <w:rPr>
          <w:rFonts w:ascii="Times New Roman" w:eastAsia="Times New Roman" w:hAnsi="Times New Roman" w:cs="Times New Roman"/>
          <w:sz w:val="24"/>
          <w:szCs w:val="24"/>
          <w:lang w:val="en-US" w:eastAsia="de-AT"/>
        </w:rPr>
        <w:t xml:space="preserve">however, </w:t>
      </w:r>
      <w:r w:rsidR="00727B53">
        <w:rPr>
          <w:rFonts w:ascii="Times New Roman" w:eastAsia="Times New Roman" w:hAnsi="Times New Roman" w:cs="Times New Roman"/>
          <w:sz w:val="24"/>
          <w:szCs w:val="24"/>
          <w:lang w:val="en-US" w:eastAsia="de-AT"/>
        </w:rPr>
        <w:t xml:space="preserve">the auditor’s </w:t>
      </w:r>
      <w:r w:rsidR="00880B89">
        <w:rPr>
          <w:rFonts w:ascii="Times New Roman" w:eastAsia="Times New Roman" w:hAnsi="Times New Roman" w:cs="Times New Roman"/>
          <w:sz w:val="24"/>
          <w:szCs w:val="24"/>
          <w:lang w:val="en-US" w:eastAsia="de-AT"/>
        </w:rPr>
        <w:t xml:space="preserve">goodwill trust in the client </w:t>
      </w:r>
      <w:r w:rsidRPr="000E701B">
        <w:rPr>
          <w:rFonts w:ascii="Times New Roman" w:eastAsia="Times New Roman" w:hAnsi="Times New Roman" w:cs="Times New Roman"/>
          <w:sz w:val="24"/>
          <w:szCs w:val="24"/>
          <w:lang w:val="en-US" w:eastAsia="de-AT"/>
        </w:rPr>
        <w:t xml:space="preserve">is </w:t>
      </w:r>
      <w:r w:rsidR="000551AA">
        <w:rPr>
          <w:rFonts w:ascii="Times New Roman" w:eastAsia="Times New Roman" w:hAnsi="Times New Roman" w:cs="Times New Roman"/>
          <w:sz w:val="24"/>
          <w:szCs w:val="24"/>
          <w:lang w:val="en-US" w:eastAsia="de-AT"/>
        </w:rPr>
        <w:t xml:space="preserve">often </w:t>
      </w:r>
      <w:r w:rsidRPr="000E701B">
        <w:rPr>
          <w:rFonts w:ascii="Times New Roman" w:eastAsia="Times New Roman" w:hAnsi="Times New Roman" w:cs="Times New Roman"/>
          <w:sz w:val="24"/>
          <w:szCs w:val="24"/>
          <w:lang w:val="en-US" w:eastAsia="de-AT"/>
        </w:rPr>
        <w:t>regarded as potential threat (</w:t>
      </w:r>
      <w:proofErr w:type="spellStart"/>
      <w:r w:rsidRPr="000E701B">
        <w:rPr>
          <w:rFonts w:ascii="Times New Roman" w:eastAsia="Times New Roman" w:hAnsi="Times New Roman" w:cs="Times New Roman"/>
          <w:sz w:val="24"/>
          <w:szCs w:val="24"/>
          <w:lang w:val="en-US" w:eastAsia="de-AT"/>
        </w:rPr>
        <w:t>Fearnley</w:t>
      </w:r>
      <w:proofErr w:type="spellEnd"/>
      <w:r w:rsidRPr="000E701B">
        <w:rPr>
          <w:rFonts w:ascii="Times New Roman" w:eastAsia="Times New Roman" w:hAnsi="Times New Roman" w:cs="Times New Roman"/>
          <w:sz w:val="24"/>
          <w:szCs w:val="24"/>
          <w:lang w:val="en-US" w:eastAsia="de-AT"/>
        </w:rPr>
        <w:t xml:space="preserve"> et al. 2005</w:t>
      </w:r>
      <w:r w:rsidR="00935107">
        <w:rPr>
          <w:rFonts w:ascii="Times New Roman" w:eastAsia="Times New Roman" w:hAnsi="Times New Roman" w:cs="Times New Roman"/>
          <w:sz w:val="24"/>
          <w:szCs w:val="24"/>
          <w:lang w:val="en-US" w:eastAsia="de-AT"/>
        </w:rPr>
        <w:t xml:space="preserve">; </w:t>
      </w:r>
      <w:proofErr w:type="spellStart"/>
      <w:r w:rsidR="00935107">
        <w:rPr>
          <w:rFonts w:ascii="Times New Roman" w:eastAsia="Times New Roman" w:hAnsi="Times New Roman" w:cs="Times New Roman"/>
          <w:sz w:val="24"/>
          <w:szCs w:val="24"/>
          <w:lang w:val="en-US" w:eastAsia="de-AT"/>
        </w:rPr>
        <w:t>Kerler</w:t>
      </w:r>
      <w:proofErr w:type="spellEnd"/>
      <w:r w:rsidR="00935107">
        <w:rPr>
          <w:rFonts w:ascii="Times New Roman" w:eastAsia="Times New Roman" w:hAnsi="Times New Roman" w:cs="Times New Roman"/>
          <w:sz w:val="24"/>
          <w:szCs w:val="24"/>
          <w:lang w:val="en-US" w:eastAsia="de-AT"/>
        </w:rPr>
        <w:t xml:space="preserve"> and Killough 2009</w:t>
      </w:r>
      <w:r w:rsidRPr="000E701B">
        <w:rPr>
          <w:rFonts w:ascii="Times New Roman" w:eastAsia="Times New Roman" w:hAnsi="Times New Roman" w:cs="Times New Roman"/>
          <w:sz w:val="24"/>
          <w:szCs w:val="24"/>
          <w:lang w:val="en-US" w:eastAsia="de-AT"/>
        </w:rPr>
        <w:t>)</w:t>
      </w:r>
      <w:r w:rsidR="00727B53">
        <w:rPr>
          <w:rFonts w:ascii="Times New Roman" w:eastAsia="Times New Roman" w:hAnsi="Times New Roman" w:cs="Times New Roman"/>
          <w:sz w:val="24"/>
          <w:szCs w:val="24"/>
          <w:lang w:val="en-US" w:eastAsia="de-AT"/>
        </w:rPr>
        <w:t>.</w:t>
      </w:r>
      <w:r w:rsidRPr="000E701B">
        <w:rPr>
          <w:rFonts w:ascii="Times New Roman" w:eastAsia="Times New Roman" w:hAnsi="Times New Roman" w:cs="Times New Roman"/>
          <w:sz w:val="24"/>
          <w:szCs w:val="24"/>
          <w:lang w:val="en-US" w:eastAsia="de-AT"/>
        </w:rPr>
        <w:t xml:space="preserve"> </w:t>
      </w:r>
      <w:r w:rsidR="00727B53">
        <w:rPr>
          <w:rFonts w:ascii="Times New Roman" w:eastAsia="Times New Roman" w:hAnsi="Times New Roman" w:cs="Times New Roman"/>
          <w:sz w:val="24"/>
          <w:szCs w:val="24"/>
          <w:lang w:val="en-US" w:eastAsia="de-AT"/>
        </w:rPr>
        <w:t>The argument is that goodwill trust</w:t>
      </w:r>
      <w:r w:rsidR="00FF70D4">
        <w:rPr>
          <w:rFonts w:ascii="Times New Roman" w:eastAsia="Times New Roman" w:hAnsi="Times New Roman" w:cs="Times New Roman"/>
          <w:sz w:val="24"/>
          <w:szCs w:val="24"/>
          <w:lang w:val="en-US" w:eastAsia="de-AT"/>
        </w:rPr>
        <w:t xml:space="preserve"> </w:t>
      </w:r>
      <w:r w:rsidR="00727B53">
        <w:rPr>
          <w:rFonts w:ascii="Times New Roman" w:eastAsia="Times New Roman" w:hAnsi="Times New Roman" w:cs="Times New Roman"/>
          <w:sz w:val="24"/>
          <w:szCs w:val="24"/>
          <w:lang w:val="en-US" w:eastAsia="de-AT"/>
        </w:rPr>
        <w:t>impair</w:t>
      </w:r>
      <w:r w:rsidR="00FF70D4">
        <w:rPr>
          <w:rFonts w:ascii="Times New Roman" w:eastAsia="Times New Roman" w:hAnsi="Times New Roman" w:cs="Times New Roman"/>
          <w:sz w:val="24"/>
          <w:szCs w:val="24"/>
          <w:lang w:val="en-US" w:eastAsia="de-AT"/>
        </w:rPr>
        <w:t>s</w:t>
      </w:r>
      <w:r w:rsidR="00727B53">
        <w:rPr>
          <w:rFonts w:ascii="Times New Roman" w:eastAsia="Times New Roman" w:hAnsi="Times New Roman" w:cs="Times New Roman"/>
          <w:sz w:val="24"/>
          <w:szCs w:val="24"/>
          <w:lang w:val="en-US" w:eastAsia="de-AT"/>
        </w:rPr>
        <w:t xml:space="preserve"> </w:t>
      </w:r>
      <w:r w:rsidRPr="000E701B">
        <w:rPr>
          <w:rFonts w:ascii="Times New Roman" w:eastAsia="Times New Roman" w:hAnsi="Times New Roman" w:cs="Times New Roman"/>
          <w:sz w:val="24"/>
          <w:szCs w:val="24"/>
          <w:lang w:val="en-US" w:eastAsia="de-AT"/>
        </w:rPr>
        <w:t xml:space="preserve">the auditors’ judgment and </w:t>
      </w:r>
      <w:r w:rsidR="00D902CA">
        <w:rPr>
          <w:rFonts w:ascii="Times New Roman" w:eastAsia="Times New Roman" w:hAnsi="Times New Roman" w:cs="Times New Roman"/>
          <w:sz w:val="24"/>
          <w:szCs w:val="24"/>
          <w:lang w:val="en-US" w:eastAsia="de-AT"/>
        </w:rPr>
        <w:t xml:space="preserve">therefore </w:t>
      </w:r>
      <w:r w:rsidRPr="000E701B">
        <w:rPr>
          <w:rFonts w:ascii="Times New Roman" w:eastAsia="Times New Roman" w:hAnsi="Times New Roman" w:cs="Times New Roman"/>
          <w:sz w:val="24"/>
          <w:szCs w:val="24"/>
          <w:lang w:val="en-US" w:eastAsia="de-AT"/>
        </w:rPr>
        <w:t>prevent</w:t>
      </w:r>
      <w:r w:rsidR="00FF70D4">
        <w:rPr>
          <w:rFonts w:ascii="Times New Roman" w:eastAsia="Times New Roman" w:hAnsi="Times New Roman" w:cs="Times New Roman"/>
          <w:sz w:val="24"/>
          <w:szCs w:val="24"/>
          <w:lang w:val="en-US" w:eastAsia="de-AT"/>
        </w:rPr>
        <w:t>s</w:t>
      </w:r>
      <w:r w:rsidRPr="000E701B">
        <w:rPr>
          <w:rFonts w:ascii="Times New Roman" w:eastAsia="Times New Roman" w:hAnsi="Times New Roman" w:cs="Times New Roman"/>
          <w:sz w:val="24"/>
          <w:szCs w:val="24"/>
          <w:lang w:val="en-US" w:eastAsia="de-AT"/>
        </w:rPr>
        <w:t xml:space="preserve"> an objective review of the client’s financial statements.</w:t>
      </w:r>
      <w:r w:rsidR="00657A30">
        <w:rPr>
          <w:rFonts w:ascii="Times New Roman" w:eastAsia="Times New Roman" w:hAnsi="Times New Roman" w:cs="Times New Roman"/>
          <w:sz w:val="24"/>
          <w:szCs w:val="24"/>
          <w:lang w:val="en-US" w:eastAsia="de-AT"/>
        </w:rPr>
        <w:t xml:space="preserve"> </w:t>
      </w:r>
      <w:r w:rsidR="00B164AC">
        <w:rPr>
          <w:rFonts w:ascii="Times New Roman" w:eastAsia="Times New Roman" w:hAnsi="Times New Roman" w:cs="Times New Roman"/>
          <w:sz w:val="24"/>
          <w:szCs w:val="24"/>
          <w:lang w:val="en-US" w:eastAsia="de-AT"/>
        </w:rPr>
        <w:t>T</w:t>
      </w:r>
      <w:r w:rsidR="00935107">
        <w:rPr>
          <w:rFonts w:ascii="Times New Roman" w:eastAsia="Times New Roman" w:hAnsi="Times New Roman" w:cs="Times New Roman"/>
          <w:sz w:val="24"/>
          <w:szCs w:val="24"/>
          <w:lang w:val="en-US" w:eastAsia="de-AT"/>
        </w:rPr>
        <w:t xml:space="preserve">he </w:t>
      </w:r>
      <w:r w:rsidR="00727B53">
        <w:rPr>
          <w:rFonts w:ascii="Times New Roman" w:eastAsia="Times New Roman" w:hAnsi="Times New Roman" w:cs="Times New Roman"/>
          <w:sz w:val="24"/>
          <w:szCs w:val="24"/>
          <w:lang w:val="en-US" w:eastAsia="de-AT"/>
        </w:rPr>
        <w:t xml:space="preserve">auditor’s goodwill trust in the client </w:t>
      </w:r>
      <w:r w:rsidR="00935107">
        <w:rPr>
          <w:rFonts w:ascii="Times New Roman" w:eastAsia="Times New Roman" w:hAnsi="Times New Roman" w:cs="Times New Roman"/>
          <w:sz w:val="24"/>
          <w:szCs w:val="24"/>
          <w:lang w:val="en-US" w:eastAsia="de-AT"/>
        </w:rPr>
        <w:t xml:space="preserve">may </w:t>
      </w:r>
      <w:r w:rsidR="006868EA">
        <w:rPr>
          <w:rFonts w:ascii="Times New Roman" w:eastAsia="Times New Roman" w:hAnsi="Times New Roman" w:cs="Times New Roman"/>
          <w:sz w:val="24"/>
          <w:szCs w:val="24"/>
          <w:lang w:val="en-US" w:eastAsia="de-AT"/>
        </w:rPr>
        <w:t xml:space="preserve">thus </w:t>
      </w:r>
      <w:r w:rsidR="00880B89">
        <w:rPr>
          <w:rFonts w:ascii="Times New Roman" w:eastAsia="Times New Roman" w:hAnsi="Times New Roman" w:cs="Times New Roman"/>
          <w:sz w:val="24"/>
          <w:szCs w:val="24"/>
          <w:lang w:val="en-US" w:eastAsia="de-AT"/>
        </w:rPr>
        <w:t xml:space="preserve">also </w:t>
      </w:r>
      <w:r w:rsidR="00935107">
        <w:rPr>
          <w:rFonts w:ascii="Times New Roman" w:eastAsia="Times New Roman" w:hAnsi="Times New Roman" w:cs="Times New Roman"/>
          <w:sz w:val="24"/>
          <w:szCs w:val="24"/>
          <w:lang w:val="en-US" w:eastAsia="de-AT"/>
        </w:rPr>
        <w:t>affect auditor-client negotiation</w:t>
      </w:r>
      <w:r w:rsidR="00657A30">
        <w:rPr>
          <w:rFonts w:ascii="Times New Roman" w:eastAsia="Times New Roman" w:hAnsi="Times New Roman" w:cs="Times New Roman"/>
          <w:sz w:val="24"/>
          <w:szCs w:val="24"/>
          <w:lang w:val="en-US" w:eastAsia="de-AT"/>
        </w:rPr>
        <w:t xml:space="preserve">s by making the auditor </w:t>
      </w:r>
      <w:r w:rsidR="002B3256">
        <w:rPr>
          <w:rFonts w:ascii="Times New Roman" w:eastAsia="Times New Roman" w:hAnsi="Times New Roman" w:cs="Times New Roman"/>
          <w:sz w:val="24"/>
          <w:szCs w:val="24"/>
          <w:lang w:val="en-US" w:eastAsia="de-AT"/>
        </w:rPr>
        <w:t xml:space="preserve">less likely to </w:t>
      </w:r>
      <w:r w:rsidR="00433B2F">
        <w:rPr>
          <w:rFonts w:ascii="Times New Roman" w:eastAsia="Times New Roman" w:hAnsi="Times New Roman" w:cs="Times New Roman"/>
          <w:sz w:val="24"/>
          <w:szCs w:val="24"/>
          <w:lang w:val="en-US" w:eastAsia="de-AT"/>
        </w:rPr>
        <w:t>stand up</w:t>
      </w:r>
      <w:r w:rsidR="00F2045B">
        <w:rPr>
          <w:rFonts w:ascii="Times New Roman" w:eastAsia="Times New Roman" w:hAnsi="Times New Roman" w:cs="Times New Roman"/>
          <w:sz w:val="24"/>
          <w:szCs w:val="24"/>
          <w:lang w:val="en-US" w:eastAsia="de-AT"/>
        </w:rPr>
        <w:t xml:space="preserve"> to the client-preferred position</w:t>
      </w:r>
      <w:r w:rsidR="00B164AC">
        <w:rPr>
          <w:rFonts w:ascii="Times New Roman" w:eastAsia="Times New Roman" w:hAnsi="Times New Roman" w:cs="Times New Roman"/>
          <w:sz w:val="24"/>
          <w:szCs w:val="24"/>
          <w:lang w:val="en-US" w:eastAsia="de-AT"/>
        </w:rPr>
        <w:t xml:space="preserve">. </w:t>
      </w:r>
      <w:r w:rsidRPr="000E701B">
        <w:rPr>
          <w:rFonts w:ascii="Times New Roman" w:eastAsia="Times New Roman" w:hAnsi="Times New Roman" w:cs="Times New Roman"/>
          <w:sz w:val="24"/>
          <w:szCs w:val="24"/>
          <w:lang w:val="en-US" w:eastAsia="de-AT"/>
        </w:rPr>
        <w:t xml:space="preserve">However, only few studies explore the effects of goodwill trust on the auditors’ decisions. </w:t>
      </w:r>
      <w:r w:rsidR="00F2045B">
        <w:rPr>
          <w:rFonts w:ascii="Times New Roman" w:eastAsia="Times New Roman" w:hAnsi="Times New Roman" w:cs="Times New Roman"/>
          <w:sz w:val="24"/>
          <w:szCs w:val="24"/>
          <w:lang w:val="en-US" w:eastAsia="de-AT"/>
        </w:rPr>
        <w:t xml:space="preserve"> </w:t>
      </w:r>
    </w:p>
    <w:p w14:paraId="1BDBDEDF" w14:textId="1FC80E21" w:rsidR="000E701B" w:rsidRPr="000E701B" w:rsidRDefault="000E701B">
      <w:pPr>
        <w:spacing w:before="120" w:after="120" w:line="240" w:lineRule="auto"/>
        <w:ind w:firstLine="680"/>
        <w:jc w:val="both"/>
        <w:rPr>
          <w:rFonts w:ascii="Times New Roman" w:eastAsia="Times New Roman" w:hAnsi="Times New Roman" w:cs="Times New Roman"/>
          <w:sz w:val="24"/>
          <w:szCs w:val="24"/>
          <w:lang w:val="en-US" w:eastAsia="de-AT"/>
        </w:rPr>
      </w:pPr>
      <w:r w:rsidRPr="000E701B">
        <w:rPr>
          <w:rFonts w:ascii="Times New Roman" w:eastAsia="Times New Roman" w:hAnsi="Times New Roman" w:cs="Times New Roman"/>
          <w:sz w:val="24"/>
          <w:szCs w:val="24"/>
          <w:lang w:val="en-US" w:eastAsia="de-AT"/>
        </w:rPr>
        <w:t xml:space="preserve">In an experimental study, </w:t>
      </w:r>
      <w:proofErr w:type="spellStart"/>
      <w:r w:rsidRPr="000E701B">
        <w:rPr>
          <w:rFonts w:ascii="Times New Roman" w:eastAsia="Times New Roman" w:hAnsi="Times New Roman" w:cs="Times New Roman"/>
          <w:sz w:val="24"/>
          <w:szCs w:val="24"/>
          <w:lang w:val="en-US" w:eastAsia="de-AT"/>
        </w:rPr>
        <w:t>Kerler</w:t>
      </w:r>
      <w:proofErr w:type="spellEnd"/>
      <w:r w:rsidRPr="000E701B">
        <w:rPr>
          <w:rFonts w:ascii="Times New Roman" w:eastAsia="Times New Roman" w:hAnsi="Times New Roman" w:cs="Times New Roman"/>
          <w:sz w:val="24"/>
          <w:szCs w:val="24"/>
          <w:lang w:val="en-US" w:eastAsia="de-AT"/>
        </w:rPr>
        <w:t xml:space="preserve"> and Killough (2009) find a negative relationship between the auditors’ perceived risk of fraud and their </w:t>
      </w:r>
      <w:r w:rsidR="00745AE7">
        <w:rPr>
          <w:rFonts w:ascii="Times New Roman" w:eastAsia="Times New Roman" w:hAnsi="Times New Roman" w:cs="Times New Roman"/>
          <w:sz w:val="24"/>
          <w:szCs w:val="24"/>
          <w:lang w:val="en-US" w:eastAsia="de-AT"/>
        </w:rPr>
        <w:t xml:space="preserve">goodwill </w:t>
      </w:r>
      <w:r w:rsidRPr="000E701B">
        <w:rPr>
          <w:rFonts w:ascii="Times New Roman" w:eastAsia="Times New Roman" w:hAnsi="Times New Roman" w:cs="Times New Roman"/>
          <w:sz w:val="24"/>
          <w:szCs w:val="24"/>
          <w:lang w:val="en-US" w:eastAsia="de-AT"/>
        </w:rPr>
        <w:t xml:space="preserve">trust in the client after an unsatisfying experience with the client, whereas they find no such relationship after a satisfying experience. </w:t>
      </w:r>
      <w:r w:rsidR="00425B6B">
        <w:rPr>
          <w:rFonts w:ascii="Times New Roman" w:eastAsia="Times New Roman" w:hAnsi="Times New Roman" w:cs="Times New Roman"/>
          <w:sz w:val="24"/>
          <w:szCs w:val="24"/>
          <w:lang w:val="en-US" w:eastAsia="de-AT"/>
        </w:rPr>
        <w:t xml:space="preserve">Their results suggest that </w:t>
      </w:r>
      <w:r w:rsidR="001B1EE8">
        <w:rPr>
          <w:rFonts w:ascii="Times New Roman" w:eastAsia="Times New Roman" w:hAnsi="Times New Roman" w:cs="Times New Roman"/>
          <w:sz w:val="24"/>
          <w:szCs w:val="24"/>
          <w:lang w:val="en-US" w:eastAsia="de-AT"/>
        </w:rPr>
        <w:t xml:space="preserve">the level of </w:t>
      </w:r>
      <w:r w:rsidR="00425B6B">
        <w:rPr>
          <w:rFonts w:ascii="Times New Roman" w:eastAsia="Times New Roman" w:hAnsi="Times New Roman" w:cs="Times New Roman"/>
          <w:sz w:val="24"/>
          <w:szCs w:val="24"/>
          <w:lang w:val="en-US" w:eastAsia="de-AT"/>
        </w:rPr>
        <w:t xml:space="preserve">auditors’ goodwill trust impacts their decisions, as </w:t>
      </w:r>
      <w:r w:rsidRPr="000E701B">
        <w:rPr>
          <w:rFonts w:ascii="Times New Roman" w:eastAsia="Times New Roman" w:hAnsi="Times New Roman" w:cs="Times New Roman"/>
          <w:sz w:val="24"/>
          <w:szCs w:val="24"/>
          <w:lang w:val="en-US" w:eastAsia="de-AT"/>
        </w:rPr>
        <w:t xml:space="preserve">auditors seem to become more skeptical of a client after the client shows untrustworthy behaviors, but seem to be unaffected as long as the client shows trustworthy behavior. Further, </w:t>
      </w:r>
      <w:proofErr w:type="spellStart"/>
      <w:r w:rsidRPr="000E701B">
        <w:rPr>
          <w:rFonts w:ascii="Times New Roman" w:eastAsia="Times New Roman" w:hAnsi="Times New Roman" w:cs="Times New Roman"/>
          <w:sz w:val="24"/>
          <w:szCs w:val="24"/>
          <w:lang w:val="en-US" w:eastAsia="de-AT"/>
        </w:rPr>
        <w:t>Kerler</w:t>
      </w:r>
      <w:proofErr w:type="spellEnd"/>
      <w:r w:rsidRPr="000E701B">
        <w:rPr>
          <w:rFonts w:ascii="Times New Roman" w:eastAsia="Times New Roman" w:hAnsi="Times New Roman" w:cs="Times New Roman"/>
          <w:sz w:val="24"/>
          <w:szCs w:val="24"/>
          <w:lang w:val="en-US" w:eastAsia="de-AT"/>
        </w:rPr>
        <w:t xml:space="preserve"> and Brandon (2010) investigate </w:t>
      </w:r>
      <w:r w:rsidR="005A14DC">
        <w:rPr>
          <w:rFonts w:ascii="Times New Roman" w:eastAsia="Times New Roman" w:hAnsi="Times New Roman" w:cs="Times New Roman"/>
          <w:sz w:val="24"/>
          <w:szCs w:val="24"/>
          <w:lang w:val="en-US" w:eastAsia="de-AT"/>
        </w:rPr>
        <w:t xml:space="preserve">the relationship between </w:t>
      </w:r>
      <w:r w:rsidR="00425B6B">
        <w:rPr>
          <w:rFonts w:ascii="Times New Roman" w:eastAsia="Times New Roman" w:hAnsi="Times New Roman" w:cs="Times New Roman"/>
          <w:sz w:val="24"/>
          <w:szCs w:val="24"/>
          <w:lang w:val="en-US" w:eastAsia="de-AT"/>
        </w:rPr>
        <w:t xml:space="preserve">an </w:t>
      </w:r>
      <w:r w:rsidRPr="000E701B">
        <w:rPr>
          <w:rFonts w:ascii="Times New Roman" w:eastAsia="Times New Roman" w:hAnsi="Times New Roman" w:cs="Times New Roman"/>
          <w:sz w:val="24"/>
          <w:szCs w:val="24"/>
          <w:lang w:val="en-US" w:eastAsia="de-AT"/>
        </w:rPr>
        <w:t>auditor</w:t>
      </w:r>
      <w:r w:rsidR="005A14DC">
        <w:rPr>
          <w:rFonts w:ascii="Times New Roman" w:eastAsia="Times New Roman" w:hAnsi="Times New Roman" w:cs="Times New Roman"/>
          <w:sz w:val="24"/>
          <w:szCs w:val="24"/>
          <w:lang w:val="en-US" w:eastAsia="de-AT"/>
        </w:rPr>
        <w:t>’</w:t>
      </w:r>
      <w:r w:rsidRPr="000E701B">
        <w:rPr>
          <w:rFonts w:ascii="Times New Roman" w:eastAsia="Times New Roman" w:hAnsi="Times New Roman" w:cs="Times New Roman"/>
          <w:sz w:val="24"/>
          <w:szCs w:val="24"/>
          <w:lang w:val="en-US" w:eastAsia="de-AT"/>
        </w:rPr>
        <w:t xml:space="preserve">s </w:t>
      </w:r>
      <w:r w:rsidR="005A14DC">
        <w:rPr>
          <w:rFonts w:ascii="Times New Roman" w:eastAsia="Times New Roman" w:hAnsi="Times New Roman" w:cs="Times New Roman"/>
          <w:sz w:val="24"/>
          <w:szCs w:val="24"/>
          <w:lang w:val="en-US" w:eastAsia="de-AT"/>
        </w:rPr>
        <w:t xml:space="preserve">goodwill </w:t>
      </w:r>
      <w:r w:rsidRPr="000E701B">
        <w:rPr>
          <w:rFonts w:ascii="Times New Roman" w:eastAsia="Times New Roman" w:hAnsi="Times New Roman" w:cs="Times New Roman"/>
          <w:sz w:val="24"/>
          <w:szCs w:val="24"/>
          <w:lang w:val="en-US" w:eastAsia="de-AT"/>
        </w:rPr>
        <w:t xml:space="preserve">trust in the client </w:t>
      </w:r>
      <w:r w:rsidR="005A14DC">
        <w:rPr>
          <w:rFonts w:ascii="Times New Roman" w:eastAsia="Times New Roman" w:hAnsi="Times New Roman" w:cs="Times New Roman"/>
          <w:sz w:val="24"/>
          <w:szCs w:val="24"/>
          <w:lang w:val="en-US" w:eastAsia="de-AT"/>
        </w:rPr>
        <w:t xml:space="preserve">and </w:t>
      </w:r>
      <w:r w:rsidR="00425B6B">
        <w:rPr>
          <w:rFonts w:ascii="Times New Roman" w:eastAsia="Times New Roman" w:hAnsi="Times New Roman" w:cs="Times New Roman"/>
          <w:sz w:val="24"/>
          <w:szCs w:val="24"/>
          <w:lang w:val="en-US" w:eastAsia="de-AT"/>
        </w:rPr>
        <w:t xml:space="preserve">his </w:t>
      </w:r>
      <w:r w:rsidR="005A14DC">
        <w:rPr>
          <w:rFonts w:ascii="Times New Roman" w:eastAsia="Times New Roman" w:hAnsi="Times New Roman" w:cs="Times New Roman"/>
          <w:sz w:val="24"/>
          <w:szCs w:val="24"/>
          <w:lang w:val="en-US" w:eastAsia="de-AT"/>
        </w:rPr>
        <w:t xml:space="preserve">goal commitment, and how the auditor’s goal commitment impacts </w:t>
      </w:r>
      <w:r w:rsidR="00745AE7">
        <w:rPr>
          <w:rFonts w:ascii="Times New Roman" w:eastAsia="Times New Roman" w:hAnsi="Times New Roman" w:cs="Times New Roman"/>
          <w:sz w:val="24"/>
          <w:szCs w:val="24"/>
          <w:lang w:val="en-US" w:eastAsia="de-AT"/>
        </w:rPr>
        <w:t xml:space="preserve">his </w:t>
      </w:r>
      <w:r w:rsidRPr="000E701B">
        <w:rPr>
          <w:rFonts w:ascii="Times New Roman" w:eastAsia="Times New Roman" w:hAnsi="Times New Roman" w:cs="Times New Roman"/>
          <w:sz w:val="24"/>
          <w:szCs w:val="24"/>
          <w:lang w:val="en-US" w:eastAsia="de-AT"/>
        </w:rPr>
        <w:t xml:space="preserve">acceptance of client-preferred methods. Their results suggest that auditors’ </w:t>
      </w:r>
      <w:r w:rsidR="00745AE7">
        <w:rPr>
          <w:rFonts w:ascii="Times New Roman" w:eastAsia="Times New Roman" w:hAnsi="Times New Roman" w:cs="Times New Roman"/>
          <w:sz w:val="24"/>
          <w:szCs w:val="24"/>
          <w:lang w:val="en-US" w:eastAsia="de-AT"/>
        </w:rPr>
        <w:t xml:space="preserve">goodwill </w:t>
      </w:r>
      <w:r w:rsidRPr="000E701B">
        <w:rPr>
          <w:rFonts w:ascii="Times New Roman" w:eastAsia="Times New Roman" w:hAnsi="Times New Roman" w:cs="Times New Roman"/>
          <w:sz w:val="24"/>
          <w:szCs w:val="24"/>
          <w:lang w:val="en-US" w:eastAsia="de-AT"/>
        </w:rPr>
        <w:t xml:space="preserve">trust is positively associated with the commitment to the goal of supporting the client-preferred method, which is in turn positively associated with the auditors’ </w:t>
      </w:r>
      <w:r w:rsidR="002B3256">
        <w:rPr>
          <w:rFonts w:ascii="Times New Roman" w:eastAsia="Times New Roman" w:hAnsi="Times New Roman" w:cs="Times New Roman"/>
          <w:sz w:val="24"/>
          <w:szCs w:val="24"/>
          <w:lang w:val="en-US" w:eastAsia="de-AT"/>
        </w:rPr>
        <w:t xml:space="preserve">acceptance of </w:t>
      </w:r>
      <w:r w:rsidRPr="000E701B">
        <w:rPr>
          <w:rFonts w:ascii="Times New Roman" w:eastAsia="Times New Roman" w:hAnsi="Times New Roman" w:cs="Times New Roman"/>
          <w:sz w:val="24"/>
          <w:szCs w:val="24"/>
          <w:lang w:val="en-US" w:eastAsia="de-AT"/>
        </w:rPr>
        <w:t xml:space="preserve">the accounting treatment favored by the client. Thus, even though auditors’ trust in the client’s </w:t>
      </w:r>
      <w:r w:rsidRPr="000E701B">
        <w:rPr>
          <w:rFonts w:ascii="Times New Roman" w:eastAsia="Times New Roman" w:hAnsi="Times New Roman" w:cs="Times New Roman"/>
          <w:sz w:val="24"/>
          <w:szCs w:val="24"/>
          <w:lang w:val="en-US" w:eastAsia="de-AT"/>
        </w:rPr>
        <w:lastRenderedPageBreak/>
        <w:t>goodwill does not affect the perceived risk of fraud unless auditors have had an unsatisfying experience with the client before, it does</w:t>
      </w:r>
      <w:r w:rsidR="001B1EE8">
        <w:rPr>
          <w:rFonts w:ascii="Times New Roman" w:eastAsia="Times New Roman" w:hAnsi="Times New Roman" w:cs="Times New Roman"/>
          <w:sz w:val="24"/>
          <w:szCs w:val="24"/>
          <w:lang w:val="en-US" w:eastAsia="de-AT"/>
        </w:rPr>
        <w:t>, albeit indirectly,</w:t>
      </w:r>
      <w:r w:rsidRPr="000E701B">
        <w:rPr>
          <w:rFonts w:ascii="Times New Roman" w:eastAsia="Times New Roman" w:hAnsi="Times New Roman" w:cs="Times New Roman"/>
          <w:sz w:val="24"/>
          <w:szCs w:val="24"/>
          <w:lang w:val="en-US" w:eastAsia="de-AT"/>
        </w:rPr>
        <w:t xml:space="preserve"> affect the probability that auditors</w:t>
      </w:r>
      <w:r w:rsidR="00433B2F">
        <w:rPr>
          <w:rFonts w:ascii="Times New Roman" w:eastAsia="Times New Roman" w:hAnsi="Times New Roman" w:cs="Times New Roman"/>
          <w:sz w:val="24"/>
          <w:szCs w:val="24"/>
          <w:lang w:val="en-US" w:eastAsia="de-AT"/>
        </w:rPr>
        <w:t xml:space="preserve"> stand up to the clients’ preferred treatment</w:t>
      </w:r>
      <w:r w:rsidRPr="000E701B">
        <w:rPr>
          <w:rFonts w:ascii="Times New Roman" w:eastAsia="Times New Roman" w:hAnsi="Times New Roman" w:cs="Times New Roman"/>
          <w:sz w:val="24"/>
          <w:szCs w:val="24"/>
          <w:lang w:val="en-US" w:eastAsia="de-AT"/>
        </w:rPr>
        <w:t xml:space="preserve">. </w:t>
      </w:r>
      <w:r w:rsidR="00E515E1">
        <w:rPr>
          <w:rFonts w:ascii="Times New Roman" w:eastAsia="Times New Roman" w:hAnsi="Times New Roman" w:cs="Times New Roman"/>
          <w:sz w:val="24"/>
          <w:szCs w:val="24"/>
          <w:lang w:val="en-US" w:eastAsia="de-AT"/>
        </w:rPr>
        <w:t>We push this stream of research further and directly tackle this effect. Thus, b</w:t>
      </w:r>
      <w:r w:rsidR="00E10496">
        <w:rPr>
          <w:rFonts w:ascii="Times New Roman" w:eastAsia="Times New Roman" w:hAnsi="Times New Roman" w:cs="Times New Roman"/>
          <w:sz w:val="24"/>
          <w:szCs w:val="24"/>
          <w:lang w:val="en-US" w:eastAsia="de-AT"/>
        </w:rPr>
        <w:t xml:space="preserve">ased on these findings </w:t>
      </w:r>
      <w:r w:rsidR="00E515E1">
        <w:rPr>
          <w:rFonts w:ascii="Times New Roman" w:eastAsia="Times New Roman" w:hAnsi="Times New Roman" w:cs="Times New Roman"/>
          <w:sz w:val="24"/>
          <w:szCs w:val="24"/>
          <w:lang w:val="en-US" w:eastAsia="de-AT"/>
        </w:rPr>
        <w:t xml:space="preserve">we </w:t>
      </w:r>
      <w:r w:rsidR="00E10496">
        <w:rPr>
          <w:rFonts w:ascii="Times New Roman" w:eastAsia="Times New Roman" w:hAnsi="Times New Roman" w:cs="Times New Roman"/>
          <w:sz w:val="24"/>
          <w:szCs w:val="24"/>
          <w:lang w:val="en-US" w:eastAsia="de-AT"/>
        </w:rPr>
        <w:t xml:space="preserve">hypothesize that the auditor’s goodwill trust in the client is negatively associated with the likelihood that the auditor </w:t>
      </w:r>
      <w:r w:rsidR="007A29A9">
        <w:rPr>
          <w:rFonts w:ascii="Times New Roman" w:eastAsia="Times New Roman" w:hAnsi="Times New Roman" w:cs="Times New Roman"/>
          <w:sz w:val="24"/>
          <w:szCs w:val="24"/>
          <w:lang w:val="en-US" w:eastAsia="de-AT"/>
        </w:rPr>
        <w:t xml:space="preserve">stands up to </w:t>
      </w:r>
      <w:r w:rsidR="00933885">
        <w:rPr>
          <w:rFonts w:ascii="Times New Roman" w:eastAsia="Times New Roman" w:hAnsi="Times New Roman" w:cs="Times New Roman"/>
          <w:sz w:val="24"/>
          <w:szCs w:val="24"/>
          <w:lang w:val="en-US" w:eastAsia="de-AT"/>
        </w:rPr>
        <w:t>the client’s preferred treatment</w:t>
      </w:r>
      <w:r w:rsidR="00E10496">
        <w:rPr>
          <w:rFonts w:ascii="Times New Roman" w:eastAsia="Times New Roman" w:hAnsi="Times New Roman" w:cs="Times New Roman"/>
          <w:sz w:val="24"/>
          <w:szCs w:val="24"/>
          <w:lang w:val="en-US" w:eastAsia="de-AT"/>
        </w:rPr>
        <w:t xml:space="preserve">, i.e. </w:t>
      </w:r>
      <w:r w:rsidR="002B3256">
        <w:rPr>
          <w:rFonts w:ascii="Times New Roman" w:eastAsia="Arial Unicode MS" w:hAnsi="Times New Roman" w:cs="Times New Roman"/>
          <w:color w:val="000000"/>
          <w:sz w:val="24"/>
          <w:szCs w:val="24"/>
          <w:u w:color="000000"/>
          <w:lang w:val="en-US" w:eastAsia="de-AT"/>
        </w:rPr>
        <w:t>tries</w:t>
      </w:r>
      <w:r w:rsidR="00933885">
        <w:rPr>
          <w:rFonts w:ascii="Times New Roman" w:eastAsia="Arial Unicode MS" w:hAnsi="Times New Roman" w:cs="Times New Roman"/>
          <w:color w:val="000000"/>
          <w:sz w:val="24"/>
          <w:szCs w:val="24"/>
          <w:u w:color="000000"/>
          <w:lang w:val="en-US" w:eastAsia="de-AT"/>
        </w:rPr>
        <w:t xml:space="preserve"> </w:t>
      </w:r>
      <w:r w:rsidR="00933885" w:rsidRPr="00FB2659">
        <w:rPr>
          <w:rFonts w:ascii="Times New Roman" w:eastAsia="Arial Unicode MS" w:hAnsi="Times New Roman" w:cs="Times New Roman"/>
          <w:i/>
          <w:color w:val="000000"/>
          <w:sz w:val="24"/>
          <w:szCs w:val="24"/>
          <w:u w:color="000000"/>
          <w:lang w:val="en-US" w:eastAsia="de-AT"/>
        </w:rPr>
        <w:t>not</w:t>
      </w:r>
      <w:r w:rsidR="00933885">
        <w:rPr>
          <w:rFonts w:ascii="Times New Roman" w:eastAsia="Arial Unicode MS" w:hAnsi="Times New Roman" w:cs="Times New Roman"/>
          <w:color w:val="000000"/>
          <w:sz w:val="24"/>
          <w:szCs w:val="24"/>
          <w:u w:color="000000"/>
          <w:lang w:val="en-US" w:eastAsia="de-AT"/>
        </w:rPr>
        <w:t xml:space="preserve"> </w:t>
      </w:r>
      <w:r w:rsidR="002B3256">
        <w:rPr>
          <w:rFonts w:ascii="Times New Roman" w:eastAsia="Arial Unicode MS" w:hAnsi="Times New Roman" w:cs="Times New Roman"/>
          <w:color w:val="000000"/>
          <w:sz w:val="24"/>
          <w:szCs w:val="24"/>
          <w:u w:color="000000"/>
          <w:lang w:val="en-US" w:eastAsia="de-AT"/>
        </w:rPr>
        <w:t xml:space="preserve">to </w:t>
      </w:r>
      <w:r w:rsidR="00933885">
        <w:rPr>
          <w:rFonts w:ascii="Times New Roman" w:eastAsia="Arial Unicode MS" w:hAnsi="Times New Roman" w:cs="Times New Roman"/>
          <w:color w:val="000000"/>
          <w:sz w:val="24"/>
          <w:szCs w:val="24"/>
          <w:u w:color="000000"/>
          <w:lang w:val="en-US" w:eastAsia="de-AT"/>
        </w:rPr>
        <w:t xml:space="preserve">acquiesce to the client’s preferred treatment and </w:t>
      </w:r>
      <w:r w:rsidR="00933885" w:rsidRPr="00FB2659">
        <w:rPr>
          <w:rFonts w:ascii="Times New Roman" w:eastAsia="Arial Unicode MS" w:hAnsi="Times New Roman" w:cs="Times New Roman"/>
          <w:i/>
          <w:color w:val="000000"/>
          <w:sz w:val="24"/>
          <w:szCs w:val="24"/>
          <w:u w:color="000000"/>
          <w:lang w:val="en-US" w:eastAsia="de-AT"/>
        </w:rPr>
        <w:t>not</w:t>
      </w:r>
      <w:r w:rsidR="00933885">
        <w:rPr>
          <w:rFonts w:ascii="Times New Roman" w:eastAsia="Arial Unicode MS" w:hAnsi="Times New Roman" w:cs="Times New Roman"/>
          <w:color w:val="000000"/>
          <w:sz w:val="24"/>
          <w:szCs w:val="24"/>
          <w:u w:color="000000"/>
          <w:lang w:val="en-US" w:eastAsia="de-AT"/>
        </w:rPr>
        <w:t xml:space="preserve"> </w:t>
      </w:r>
      <w:r w:rsidR="00466289">
        <w:rPr>
          <w:rFonts w:ascii="Times New Roman" w:eastAsia="Arial Unicode MS" w:hAnsi="Times New Roman" w:cs="Times New Roman"/>
          <w:color w:val="000000"/>
          <w:sz w:val="24"/>
          <w:szCs w:val="24"/>
          <w:u w:color="000000"/>
          <w:lang w:val="en-US" w:eastAsia="de-AT"/>
        </w:rPr>
        <w:t xml:space="preserve">to </w:t>
      </w:r>
      <w:r w:rsidR="00933885">
        <w:rPr>
          <w:rFonts w:ascii="Times New Roman" w:eastAsia="Arial Unicode MS" w:hAnsi="Times New Roman" w:cs="Times New Roman"/>
          <w:color w:val="000000"/>
          <w:sz w:val="24"/>
          <w:szCs w:val="24"/>
          <w:u w:color="000000"/>
          <w:lang w:val="en-US" w:eastAsia="de-AT"/>
        </w:rPr>
        <w:t>waive detected misstatements</w:t>
      </w:r>
      <w:r w:rsidR="00E10496">
        <w:rPr>
          <w:rFonts w:ascii="Times New Roman" w:eastAsia="Times New Roman" w:hAnsi="Times New Roman" w:cs="Times New Roman"/>
          <w:sz w:val="24"/>
          <w:szCs w:val="24"/>
          <w:lang w:val="en-US" w:eastAsia="de-AT"/>
        </w:rPr>
        <w:t xml:space="preserve">. </w:t>
      </w:r>
    </w:p>
    <w:p w14:paraId="5D01D113" w14:textId="77777777" w:rsidR="000E701B" w:rsidRPr="000E701B" w:rsidRDefault="000E701B" w:rsidP="000E701B">
      <w:pPr>
        <w:spacing w:before="120" w:after="120" w:line="240" w:lineRule="auto"/>
        <w:ind w:firstLine="680"/>
        <w:jc w:val="both"/>
        <w:rPr>
          <w:rFonts w:ascii="Times New Roman" w:eastAsia="Times New Roman" w:hAnsi="Times New Roman" w:cs="Times New Roman"/>
          <w:sz w:val="24"/>
          <w:szCs w:val="24"/>
          <w:lang w:val="en-US" w:eastAsia="de-AT"/>
        </w:rPr>
      </w:pPr>
    </w:p>
    <w:p w14:paraId="29BEAB5B" w14:textId="6843F23B" w:rsidR="000E701B" w:rsidRPr="000E701B" w:rsidRDefault="000E701B" w:rsidP="000E701B">
      <w:pPr>
        <w:spacing w:before="120" w:after="120" w:line="240" w:lineRule="auto"/>
        <w:ind w:left="1276" w:hanging="567"/>
        <w:jc w:val="both"/>
        <w:rPr>
          <w:rFonts w:ascii="Times New Roman" w:eastAsia="Times New Roman" w:hAnsi="Times New Roman" w:cs="Times New Roman"/>
          <w:i/>
          <w:sz w:val="24"/>
          <w:szCs w:val="24"/>
          <w:lang w:val="en-US" w:eastAsia="de-AT"/>
        </w:rPr>
      </w:pPr>
      <w:r w:rsidRPr="000E701B">
        <w:rPr>
          <w:rFonts w:ascii="Times New Roman" w:eastAsia="Times New Roman" w:hAnsi="Times New Roman" w:cs="Times New Roman"/>
          <w:i/>
          <w:sz w:val="24"/>
          <w:szCs w:val="24"/>
          <w:lang w:val="en-US" w:eastAsia="de-AT"/>
        </w:rPr>
        <w:t xml:space="preserve">H2a: </w:t>
      </w:r>
      <w:r w:rsidRPr="000E701B">
        <w:rPr>
          <w:rFonts w:ascii="Times New Roman" w:eastAsia="Times New Roman" w:hAnsi="Times New Roman" w:cs="Times New Roman"/>
          <w:i/>
          <w:sz w:val="24"/>
          <w:szCs w:val="24"/>
          <w:lang w:val="en-US" w:eastAsia="de-AT"/>
        </w:rPr>
        <w:tab/>
      </w:r>
      <w:r w:rsidR="00586161">
        <w:rPr>
          <w:rFonts w:ascii="Times New Roman" w:eastAsia="Times New Roman" w:hAnsi="Times New Roman" w:cs="Times New Roman"/>
          <w:i/>
          <w:sz w:val="24"/>
          <w:szCs w:val="24"/>
          <w:lang w:val="en-US" w:eastAsia="de-AT"/>
        </w:rPr>
        <w:t xml:space="preserve">The </w:t>
      </w:r>
      <w:bookmarkStart w:id="0" w:name="_Hlk980001"/>
      <w:r w:rsidR="00586161">
        <w:rPr>
          <w:rFonts w:ascii="Times New Roman" w:eastAsia="Times New Roman" w:hAnsi="Times New Roman" w:cs="Times New Roman"/>
          <w:i/>
          <w:sz w:val="24"/>
          <w:szCs w:val="24"/>
          <w:lang w:val="en-US" w:eastAsia="de-AT"/>
        </w:rPr>
        <w:t xml:space="preserve">probability that the auditor </w:t>
      </w:r>
      <w:r w:rsidR="0015191C">
        <w:rPr>
          <w:rFonts w:ascii="Times New Roman" w:eastAsia="Times New Roman" w:hAnsi="Times New Roman" w:cs="Times New Roman"/>
          <w:i/>
          <w:sz w:val="24"/>
          <w:szCs w:val="24"/>
          <w:lang w:val="en-US" w:eastAsia="de-AT"/>
        </w:rPr>
        <w:t>stands up to</w:t>
      </w:r>
      <w:r w:rsidR="00586161">
        <w:rPr>
          <w:rFonts w:ascii="Times New Roman" w:eastAsia="Times New Roman" w:hAnsi="Times New Roman" w:cs="Times New Roman"/>
          <w:i/>
          <w:sz w:val="24"/>
          <w:szCs w:val="24"/>
          <w:lang w:val="en-US" w:eastAsia="de-AT"/>
        </w:rPr>
        <w:t xml:space="preserve"> the client’s preferred treatment</w:t>
      </w:r>
      <w:bookmarkEnd w:id="0"/>
      <w:r w:rsidR="00586161">
        <w:rPr>
          <w:rFonts w:ascii="Times New Roman" w:eastAsia="Times New Roman" w:hAnsi="Times New Roman" w:cs="Times New Roman"/>
          <w:i/>
          <w:sz w:val="24"/>
          <w:szCs w:val="24"/>
          <w:lang w:val="en-US" w:eastAsia="de-AT"/>
        </w:rPr>
        <w:t xml:space="preserve"> </w:t>
      </w:r>
      <w:r w:rsidR="0017142A">
        <w:rPr>
          <w:rFonts w:ascii="Times New Roman" w:eastAsia="Times New Roman" w:hAnsi="Times New Roman" w:cs="Times New Roman"/>
          <w:i/>
          <w:sz w:val="24"/>
          <w:szCs w:val="24"/>
          <w:lang w:val="en-US" w:eastAsia="de-AT"/>
        </w:rPr>
        <w:t>increases when the auditor holds lower levels of goodwill trust in the client.</w:t>
      </w:r>
    </w:p>
    <w:p w14:paraId="12C099A7" w14:textId="77777777" w:rsidR="000E701B" w:rsidRPr="000E701B" w:rsidRDefault="000E701B" w:rsidP="000E701B">
      <w:pPr>
        <w:spacing w:before="120" w:after="120" w:line="240" w:lineRule="auto"/>
        <w:ind w:left="1276" w:hanging="567"/>
        <w:jc w:val="both"/>
        <w:rPr>
          <w:rFonts w:ascii="Times New Roman" w:eastAsia="Times New Roman" w:hAnsi="Times New Roman" w:cs="Times New Roman"/>
          <w:sz w:val="24"/>
          <w:szCs w:val="24"/>
          <w:lang w:val="en-US" w:eastAsia="de-AT"/>
        </w:rPr>
      </w:pPr>
    </w:p>
    <w:p w14:paraId="6849C2EF" w14:textId="1D7D0015" w:rsidR="005D316D" w:rsidRDefault="00226819" w:rsidP="000E701B">
      <w:pPr>
        <w:spacing w:before="120" w:after="120" w:line="240" w:lineRule="auto"/>
        <w:ind w:firstLine="680"/>
        <w:jc w:val="both"/>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T</w:t>
      </w:r>
      <w:r w:rsidR="000E701B" w:rsidRPr="000E701B">
        <w:rPr>
          <w:rFonts w:ascii="Times New Roman" w:eastAsia="Times New Roman" w:hAnsi="Times New Roman" w:cs="Times New Roman"/>
          <w:sz w:val="24"/>
          <w:szCs w:val="24"/>
          <w:lang w:val="en-US" w:eastAsia="de-AT"/>
        </w:rPr>
        <w:t xml:space="preserve">he outcome of auditor-client negotiations </w:t>
      </w:r>
      <w:r>
        <w:rPr>
          <w:rFonts w:ascii="Times New Roman" w:eastAsia="Times New Roman" w:hAnsi="Times New Roman" w:cs="Times New Roman"/>
          <w:sz w:val="24"/>
          <w:szCs w:val="24"/>
          <w:lang w:val="en-US" w:eastAsia="de-AT"/>
        </w:rPr>
        <w:t xml:space="preserve">may, however, </w:t>
      </w:r>
      <w:r w:rsidR="000E701B" w:rsidRPr="000E701B">
        <w:rPr>
          <w:rFonts w:ascii="Times New Roman" w:eastAsia="Times New Roman" w:hAnsi="Times New Roman" w:cs="Times New Roman"/>
          <w:sz w:val="24"/>
          <w:szCs w:val="24"/>
          <w:lang w:val="en-US" w:eastAsia="de-AT"/>
        </w:rPr>
        <w:t xml:space="preserve">not only be influenced by the auditor’s trust in the client’s willingness to perform, but also by the client’s trust in the auditor’s willingness to perform. </w:t>
      </w:r>
      <w:r w:rsidR="009A3905">
        <w:rPr>
          <w:rFonts w:ascii="Times New Roman" w:eastAsia="Times New Roman" w:hAnsi="Times New Roman" w:cs="Times New Roman"/>
          <w:sz w:val="24"/>
          <w:szCs w:val="24"/>
          <w:lang w:val="en-US" w:eastAsia="de-AT"/>
        </w:rPr>
        <w:t>Gibbins et al. (2007) investigate the client’</w:t>
      </w:r>
      <w:r w:rsidR="00933885">
        <w:rPr>
          <w:rFonts w:ascii="Times New Roman" w:eastAsia="Times New Roman" w:hAnsi="Times New Roman" w:cs="Times New Roman"/>
          <w:sz w:val="24"/>
          <w:szCs w:val="24"/>
          <w:lang w:val="en-US" w:eastAsia="de-AT"/>
        </w:rPr>
        <w:t>s</w:t>
      </w:r>
      <w:r w:rsidR="009A3905">
        <w:rPr>
          <w:rFonts w:ascii="Times New Roman" w:eastAsia="Times New Roman" w:hAnsi="Times New Roman" w:cs="Times New Roman"/>
          <w:sz w:val="24"/>
          <w:szCs w:val="24"/>
          <w:lang w:val="en-US" w:eastAsia="de-AT"/>
        </w:rPr>
        <w:t xml:space="preserve"> perspective on auditor-client negotiations and find that the relationship with the auditor is the most important element of the interpersonal context. Moreover, </w:t>
      </w:r>
      <w:r w:rsidR="00CC4EC1">
        <w:rPr>
          <w:rFonts w:ascii="Times New Roman" w:eastAsia="Times New Roman" w:hAnsi="Times New Roman" w:cs="Times New Roman"/>
          <w:sz w:val="24"/>
          <w:szCs w:val="24"/>
          <w:lang w:val="en-US" w:eastAsia="de-AT"/>
        </w:rPr>
        <w:t xml:space="preserve">Aschauer et al. (2017) find that </w:t>
      </w:r>
      <w:r w:rsidR="00713B66">
        <w:rPr>
          <w:rFonts w:ascii="Times New Roman" w:eastAsia="Times New Roman" w:hAnsi="Times New Roman" w:cs="Times New Roman"/>
          <w:sz w:val="24"/>
          <w:szCs w:val="24"/>
          <w:lang w:val="en-US" w:eastAsia="de-AT"/>
        </w:rPr>
        <w:t xml:space="preserve">also for </w:t>
      </w:r>
      <w:r w:rsidR="00933885">
        <w:rPr>
          <w:rFonts w:ascii="Times New Roman" w:eastAsia="Times New Roman" w:hAnsi="Times New Roman" w:cs="Times New Roman"/>
          <w:sz w:val="24"/>
          <w:szCs w:val="24"/>
          <w:lang w:val="en-US" w:eastAsia="de-AT"/>
        </w:rPr>
        <w:t>the client</w:t>
      </w:r>
      <w:r w:rsidR="00713B66">
        <w:rPr>
          <w:rFonts w:ascii="Times New Roman" w:eastAsia="Times New Roman" w:hAnsi="Times New Roman" w:cs="Times New Roman"/>
          <w:sz w:val="24"/>
          <w:szCs w:val="24"/>
          <w:lang w:val="en-US" w:eastAsia="de-AT"/>
        </w:rPr>
        <w:t xml:space="preserve">, </w:t>
      </w:r>
      <w:r w:rsidR="00A82C12">
        <w:rPr>
          <w:rFonts w:ascii="Times New Roman" w:eastAsia="Times New Roman" w:hAnsi="Times New Roman" w:cs="Times New Roman"/>
          <w:sz w:val="24"/>
          <w:szCs w:val="24"/>
          <w:lang w:val="en-US" w:eastAsia="de-AT"/>
        </w:rPr>
        <w:t>goodwill trust is an importan</w:t>
      </w:r>
      <w:r w:rsidR="00713B66">
        <w:rPr>
          <w:rFonts w:ascii="Times New Roman" w:eastAsia="Times New Roman" w:hAnsi="Times New Roman" w:cs="Times New Roman"/>
          <w:sz w:val="24"/>
          <w:szCs w:val="24"/>
          <w:lang w:val="en-US" w:eastAsia="de-AT"/>
        </w:rPr>
        <w:t>t element of the</w:t>
      </w:r>
      <w:r w:rsidR="007C32DF">
        <w:rPr>
          <w:rFonts w:ascii="Times New Roman" w:eastAsia="Times New Roman" w:hAnsi="Times New Roman" w:cs="Times New Roman"/>
          <w:sz w:val="24"/>
          <w:szCs w:val="24"/>
          <w:lang w:val="en-US" w:eastAsia="de-AT"/>
        </w:rPr>
        <w:t>ir</w:t>
      </w:r>
      <w:r w:rsidR="00713B66">
        <w:rPr>
          <w:rFonts w:ascii="Times New Roman" w:eastAsia="Times New Roman" w:hAnsi="Times New Roman" w:cs="Times New Roman"/>
          <w:sz w:val="24"/>
          <w:szCs w:val="24"/>
          <w:lang w:val="en-US" w:eastAsia="de-AT"/>
        </w:rPr>
        <w:t xml:space="preserve"> </w:t>
      </w:r>
      <w:r w:rsidR="00A82C12">
        <w:rPr>
          <w:rFonts w:ascii="Times New Roman" w:eastAsia="Times New Roman" w:hAnsi="Times New Roman" w:cs="Times New Roman"/>
          <w:sz w:val="24"/>
          <w:szCs w:val="24"/>
          <w:lang w:val="en-US" w:eastAsia="de-AT"/>
        </w:rPr>
        <w:t>relationship</w:t>
      </w:r>
      <w:r w:rsidR="00713B66">
        <w:rPr>
          <w:rFonts w:ascii="Times New Roman" w:eastAsia="Times New Roman" w:hAnsi="Times New Roman" w:cs="Times New Roman"/>
          <w:sz w:val="24"/>
          <w:szCs w:val="24"/>
          <w:lang w:val="en-US" w:eastAsia="de-AT"/>
        </w:rPr>
        <w:t xml:space="preserve"> </w:t>
      </w:r>
      <w:r w:rsidR="007C32DF">
        <w:rPr>
          <w:rFonts w:ascii="Times New Roman" w:eastAsia="Times New Roman" w:hAnsi="Times New Roman" w:cs="Times New Roman"/>
          <w:sz w:val="24"/>
          <w:szCs w:val="24"/>
          <w:lang w:val="en-US" w:eastAsia="de-AT"/>
        </w:rPr>
        <w:t>with the</w:t>
      </w:r>
      <w:r w:rsidR="00713B66">
        <w:rPr>
          <w:rFonts w:ascii="Times New Roman" w:eastAsia="Times New Roman" w:hAnsi="Times New Roman" w:cs="Times New Roman"/>
          <w:sz w:val="24"/>
          <w:szCs w:val="24"/>
          <w:lang w:val="en-US" w:eastAsia="de-AT"/>
        </w:rPr>
        <w:t xml:space="preserve"> auditor. </w:t>
      </w:r>
    </w:p>
    <w:p w14:paraId="01D35C1C" w14:textId="2B1DD89B" w:rsidR="000E701B" w:rsidRPr="000E701B" w:rsidRDefault="00BD0691" w:rsidP="000E701B">
      <w:pPr>
        <w:spacing w:before="120" w:after="120" w:line="240" w:lineRule="auto"/>
        <w:ind w:firstLine="680"/>
        <w:jc w:val="both"/>
        <w:rPr>
          <w:rFonts w:ascii="Times New Roman" w:eastAsia="Times New Roman" w:hAnsi="Times New Roman" w:cs="Times New Roman"/>
          <w:sz w:val="24"/>
          <w:szCs w:val="24"/>
          <w:lang w:val="en-US" w:eastAsia="de-AT"/>
        </w:rPr>
      </w:pPr>
      <w:r>
        <w:rPr>
          <w:rFonts w:ascii="Times New Roman" w:eastAsia="Times New Roman" w:hAnsi="Times New Roman" w:cs="Times New Roman"/>
          <w:sz w:val="24"/>
          <w:szCs w:val="24"/>
          <w:lang w:val="en-US" w:eastAsia="de-AT"/>
        </w:rPr>
        <w:t xml:space="preserve">The importance of </w:t>
      </w:r>
      <w:r w:rsidR="00C86EFA">
        <w:rPr>
          <w:rFonts w:ascii="Times New Roman" w:eastAsia="Times New Roman" w:hAnsi="Times New Roman" w:cs="Times New Roman"/>
          <w:sz w:val="24"/>
          <w:szCs w:val="24"/>
          <w:lang w:val="en-US" w:eastAsia="de-AT"/>
        </w:rPr>
        <w:t xml:space="preserve">the </w:t>
      </w:r>
      <w:r w:rsidR="007E3B27">
        <w:rPr>
          <w:rFonts w:ascii="Times New Roman" w:eastAsia="Times New Roman" w:hAnsi="Times New Roman" w:cs="Times New Roman"/>
          <w:sz w:val="24"/>
          <w:szCs w:val="24"/>
          <w:lang w:val="en-US" w:eastAsia="de-AT"/>
        </w:rPr>
        <w:t xml:space="preserve">interpersonal context and </w:t>
      </w:r>
      <w:r>
        <w:rPr>
          <w:rFonts w:ascii="Times New Roman" w:eastAsia="Times New Roman" w:hAnsi="Times New Roman" w:cs="Times New Roman"/>
          <w:sz w:val="24"/>
          <w:szCs w:val="24"/>
          <w:lang w:val="en-US" w:eastAsia="de-AT"/>
        </w:rPr>
        <w:t xml:space="preserve">goodwill trust </w:t>
      </w:r>
      <w:r w:rsidR="00933885">
        <w:rPr>
          <w:rFonts w:ascii="Times New Roman" w:eastAsia="Times New Roman" w:hAnsi="Times New Roman" w:cs="Times New Roman"/>
          <w:sz w:val="24"/>
          <w:szCs w:val="24"/>
          <w:lang w:val="en-US" w:eastAsia="de-AT"/>
        </w:rPr>
        <w:t xml:space="preserve">in the auditor-client relationship </w:t>
      </w:r>
      <w:r>
        <w:rPr>
          <w:rFonts w:ascii="Times New Roman" w:eastAsia="Times New Roman" w:hAnsi="Times New Roman" w:cs="Times New Roman"/>
          <w:sz w:val="24"/>
          <w:szCs w:val="24"/>
          <w:lang w:val="en-US" w:eastAsia="de-AT"/>
        </w:rPr>
        <w:t>suggest</w:t>
      </w:r>
      <w:r w:rsidR="00812BF0">
        <w:rPr>
          <w:rFonts w:ascii="Times New Roman" w:eastAsia="Times New Roman" w:hAnsi="Times New Roman" w:cs="Times New Roman"/>
          <w:sz w:val="24"/>
          <w:szCs w:val="24"/>
          <w:lang w:val="en-US" w:eastAsia="de-AT"/>
        </w:rPr>
        <w:t>s</w:t>
      </w:r>
      <w:r>
        <w:rPr>
          <w:rFonts w:ascii="Times New Roman" w:eastAsia="Times New Roman" w:hAnsi="Times New Roman" w:cs="Times New Roman"/>
          <w:sz w:val="24"/>
          <w:szCs w:val="24"/>
          <w:lang w:val="en-US" w:eastAsia="de-AT"/>
        </w:rPr>
        <w:t xml:space="preserve"> that </w:t>
      </w:r>
      <w:r w:rsidR="00C86EFA">
        <w:rPr>
          <w:rFonts w:ascii="Times New Roman" w:eastAsia="Times New Roman" w:hAnsi="Times New Roman" w:cs="Times New Roman"/>
          <w:sz w:val="24"/>
          <w:szCs w:val="24"/>
          <w:lang w:val="en-US" w:eastAsia="de-AT"/>
        </w:rPr>
        <w:t xml:space="preserve">also the outcome of auditor-client negotiations may be affected by </w:t>
      </w:r>
      <w:r w:rsidR="00FF59DE">
        <w:rPr>
          <w:rFonts w:ascii="Times New Roman" w:eastAsia="Times New Roman" w:hAnsi="Times New Roman" w:cs="Times New Roman"/>
          <w:sz w:val="24"/>
          <w:szCs w:val="24"/>
          <w:lang w:val="en-US" w:eastAsia="de-AT"/>
        </w:rPr>
        <w:t xml:space="preserve">the level of goodwill trust the client places in the auditor. This is because </w:t>
      </w:r>
      <w:r w:rsidR="004C7C3B">
        <w:rPr>
          <w:rFonts w:ascii="Times New Roman" w:eastAsia="Times New Roman" w:hAnsi="Times New Roman" w:cs="Times New Roman"/>
          <w:sz w:val="24"/>
          <w:szCs w:val="24"/>
          <w:lang w:val="en-US" w:eastAsia="de-AT"/>
        </w:rPr>
        <w:t>i</w:t>
      </w:r>
      <w:r w:rsidR="000E701B" w:rsidRPr="000E701B">
        <w:rPr>
          <w:rFonts w:ascii="Times New Roman" w:eastAsia="Times New Roman" w:hAnsi="Times New Roman" w:cs="Times New Roman"/>
          <w:sz w:val="24"/>
          <w:szCs w:val="24"/>
          <w:lang w:val="en-US" w:eastAsia="de-AT"/>
        </w:rPr>
        <w:t xml:space="preserve">f the client does not believe that the auditor </w:t>
      </w:r>
      <w:r w:rsidR="00910592">
        <w:rPr>
          <w:rFonts w:ascii="Times New Roman" w:eastAsia="Times New Roman" w:hAnsi="Times New Roman" w:cs="Times New Roman"/>
          <w:sz w:val="24"/>
          <w:szCs w:val="24"/>
          <w:lang w:val="en-US" w:eastAsia="de-AT"/>
        </w:rPr>
        <w:t xml:space="preserve">has good intentions to accomplish his task, i.e. </w:t>
      </w:r>
      <w:r w:rsidR="000E701B" w:rsidRPr="000E701B">
        <w:rPr>
          <w:rFonts w:ascii="Times New Roman" w:eastAsia="Times New Roman" w:hAnsi="Times New Roman" w:cs="Times New Roman"/>
          <w:sz w:val="24"/>
          <w:szCs w:val="24"/>
          <w:lang w:val="en-US" w:eastAsia="de-AT"/>
        </w:rPr>
        <w:t xml:space="preserve">conduct a fair and constructive review of the client’s financial statements, </w:t>
      </w:r>
      <w:r w:rsidR="00910592">
        <w:rPr>
          <w:rFonts w:ascii="Times New Roman" w:eastAsia="Times New Roman" w:hAnsi="Times New Roman" w:cs="Times New Roman"/>
          <w:sz w:val="24"/>
          <w:szCs w:val="24"/>
          <w:lang w:val="en-US" w:eastAsia="de-AT"/>
        </w:rPr>
        <w:t xml:space="preserve">the client </w:t>
      </w:r>
      <w:r w:rsidR="000E701B" w:rsidRPr="000E701B">
        <w:rPr>
          <w:rFonts w:ascii="Times New Roman" w:eastAsia="Times New Roman" w:hAnsi="Times New Roman" w:cs="Times New Roman"/>
          <w:sz w:val="24"/>
          <w:szCs w:val="24"/>
          <w:lang w:val="en-US" w:eastAsia="de-AT"/>
        </w:rPr>
        <w:t xml:space="preserve">will be </w:t>
      </w:r>
      <w:r w:rsidR="00910592">
        <w:rPr>
          <w:rFonts w:ascii="Times New Roman" w:eastAsia="Times New Roman" w:hAnsi="Times New Roman" w:cs="Times New Roman"/>
          <w:sz w:val="24"/>
          <w:szCs w:val="24"/>
          <w:lang w:val="en-US" w:eastAsia="de-AT"/>
        </w:rPr>
        <w:t xml:space="preserve">reluctant </w:t>
      </w:r>
      <w:r w:rsidR="000E701B" w:rsidRPr="000E701B">
        <w:rPr>
          <w:rFonts w:ascii="Times New Roman" w:eastAsia="Times New Roman" w:hAnsi="Times New Roman" w:cs="Times New Roman"/>
          <w:sz w:val="24"/>
          <w:szCs w:val="24"/>
          <w:lang w:val="en-US" w:eastAsia="de-AT"/>
        </w:rPr>
        <w:t>to alter the financial statements as suggested by the auditor</w:t>
      </w:r>
      <w:r w:rsidR="00910592">
        <w:rPr>
          <w:rFonts w:ascii="Times New Roman" w:eastAsia="Times New Roman" w:hAnsi="Times New Roman" w:cs="Times New Roman"/>
          <w:sz w:val="24"/>
          <w:szCs w:val="24"/>
          <w:lang w:val="en-US" w:eastAsia="de-AT"/>
        </w:rPr>
        <w:t>.</w:t>
      </w:r>
      <w:r w:rsidR="000E701B" w:rsidRPr="000E701B">
        <w:rPr>
          <w:rFonts w:ascii="Times New Roman" w:eastAsia="Times New Roman" w:hAnsi="Times New Roman" w:cs="Times New Roman"/>
          <w:sz w:val="24"/>
          <w:szCs w:val="24"/>
          <w:lang w:val="en-US" w:eastAsia="de-AT"/>
        </w:rPr>
        <w:t xml:space="preserve"> </w:t>
      </w:r>
      <w:r w:rsidR="005D316D">
        <w:rPr>
          <w:rFonts w:ascii="Times New Roman" w:eastAsia="Times New Roman" w:hAnsi="Times New Roman" w:cs="Times New Roman"/>
          <w:sz w:val="24"/>
          <w:szCs w:val="24"/>
          <w:lang w:val="en-US" w:eastAsia="de-AT"/>
        </w:rPr>
        <w:t>Thus</w:t>
      </w:r>
      <w:r w:rsidR="00910592">
        <w:rPr>
          <w:rFonts w:ascii="Times New Roman" w:eastAsia="Times New Roman" w:hAnsi="Times New Roman" w:cs="Times New Roman"/>
          <w:sz w:val="24"/>
          <w:szCs w:val="24"/>
          <w:lang w:val="en-US" w:eastAsia="de-AT"/>
        </w:rPr>
        <w:t xml:space="preserve">, </w:t>
      </w:r>
      <w:r w:rsidR="005D316D">
        <w:rPr>
          <w:rFonts w:ascii="Times New Roman" w:eastAsia="Times New Roman" w:hAnsi="Times New Roman" w:cs="Times New Roman"/>
          <w:sz w:val="24"/>
          <w:szCs w:val="24"/>
          <w:lang w:val="en-US" w:eastAsia="de-AT"/>
        </w:rPr>
        <w:t xml:space="preserve">the client </w:t>
      </w:r>
      <w:r w:rsidR="000E701B" w:rsidRPr="000E701B">
        <w:rPr>
          <w:rFonts w:ascii="Times New Roman" w:eastAsia="Times New Roman" w:hAnsi="Times New Roman" w:cs="Times New Roman"/>
          <w:sz w:val="24"/>
          <w:szCs w:val="24"/>
          <w:lang w:val="en-US" w:eastAsia="de-AT"/>
        </w:rPr>
        <w:t>will</w:t>
      </w:r>
      <w:r w:rsidR="005D316D">
        <w:rPr>
          <w:rFonts w:ascii="Times New Roman" w:eastAsia="Times New Roman" w:hAnsi="Times New Roman" w:cs="Times New Roman"/>
          <w:sz w:val="24"/>
          <w:szCs w:val="24"/>
          <w:lang w:val="en-US" w:eastAsia="de-AT"/>
        </w:rPr>
        <w:t xml:space="preserve"> try harder to </w:t>
      </w:r>
      <w:r w:rsidR="001645F4">
        <w:rPr>
          <w:rFonts w:ascii="Times New Roman" w:eastAsia="Times New Roman" w:hAnsi="Times New Roman" w:cs="Times New Roman"/>
          <w:sz w:val="24"/>
          <w:szCs w:val="24"/>
          <w:lang w:val="en-US" w:eastAsia="de-AT"/>
        </w:rPr>
        <w:t xml:space="preserve">stand up to </w:t>
      </w:r>
      <w:r w:rsidR="000E701B" w:rsidRPr="000E701B">
        <w:rPr>
          <w:rFonts w:ascii="Times New Roman" w:eastAsia="Times New Roman" w:hAnsi="Times New Roman" w:cs="Times New Roman"/>
          <w:sz w:val="24"/>
          <w:szCs w:val="24"/>
          <w:lang w:val="en-US" w:eastAsia="de-AT"/>
        </w:rPr>
        <w:t>the auditor’s preferred treatment</w:t>
      </w:r>
      <w:r w:rsidR="005D316D">
        <w:rPr>
          <w:rFonts w:ascii="Times New Roman" w:eastAsia="Times New Roman" w:hAnsi="Times New Roman" w:cs="Times New Roman"/>
          <w:sz w:val="24"/>
          <w:szCs w:val="24"/>
          <w:lang w:val="en-US" w:eastAsia="de-AT"/>
        </w:rPr>
        <w:t xml:space="preserve">, i.e. </w:t>
      </w:r>
      <w:r w:rsidR="00933885">
        <w:rPr>
          <w:rFonts w:ascii="Times New Roman" w:eastAsia="Times New Roman" w:hAnsi="Times New Roman" w:cs="Times New Roman"/>
          <w:sz w:val="24"/>
          <w:szCs w:val="24"/>
          <w:lang w:val="en-US" w:eastAsia="de-AT"/>
        </w:rPr>
        <w:t xml:space="preserve">to </w:t>
      </w:r>
      <w:r w:rsidR="00933885">
        <w:rPr>
          <w:rFonts w:ascii="Times New Roman" w:eastAsia="Arial Unicode MS" w:hAnsi="Times New Roman" w:cs="Times New Roman"/>
          <w:color w:val="000000"/>
          <w:sz w:val="24"/>
          <w:szCs w:val="24"/>
          <w:u w:color="000000"/>
          <w:lang w:val="en-US" w:eastAsia="de-AT"/>
        </w:rPr>
        <w:t>convince the auditor of their position so that the auditor waives the detected misstatement</w:t>
      </w:r>
      <w:r w:rsidR="000E701B" w:rsidRPr="000E701B">
        <w:rPr>
          <w:rFonts w:ascii="Times New Roman" w:eastAsia="Times New Roman" w:hAnsi="Times New Roman" w:cs="Times New Roman"/>
          <w:sz w:val="24"/>
          <w:szCs w:val="24"/>
          <w:lang w:val="en-US" w:eastAsia="de-AT"/>
        </w:rPr>
        <w:t>. Accordingly, we propose the following hypothesis:</w:t>
      </w:r>
    </w:p>
    <w:p w14:paraId="248159BE" w14:textId="77777777" w:rsidR="000E701B" w:rsidRPr="000E701B" w:rsidRDefault="000E701B" w:rsidP="000E701B">
      <w:pPr>
        <w:spacing w:before="120" w:after="120" w:line="240" w:lineRule="auto"/>
        <w:ind w:firstLine="680"/>
        <w:jc w:val="both"/>
        <w:rPr>
          <w:rFonts w:ascii="Times New Roman" w:eastAsia="Times New Roman" w:hAnsi="Times New Roman" w:cs="Times New Roman"/>
          <w:sz w:val="24"/>
          <w:szCs w:val="24"/>
          <w:lang w:val="en-US" w:eastAsia="de-AT"/>
        </w:rPr>
      </w:pPr>
    </w:p>
    <w:p w14:paraId="115C9104" w14:textId="7CE0D6DA" w:rsidR="000E701B" w:rsidRPr="000E701B" w:rsidRDefault="000E701B" w:rsidP="000E701B">
      <w:pPr>
        <w:spacing w:before="120" w:after="120" w:line="240" w:lineRule="auto"/>
        <w:ind w:left="1276" w:hanging="567"/>
        <w:jc w:val="both"/>
        <w:rPr>
          <w:rFonts w:ascii="Times New Roman" w:eastAsia="Times New Roman" w:hAnsi="Times New Roman" w:cs="Times New Roman"/>
          <w:sz w:val="24"/>
          <w:szCs w:val="24"/>
          <w:lang w:val="en-US" w:eastAsia="de-AT"/>
        </w:rPr>
      </w:pPr>
      <w:r w:rsidRPr="000E701B">
        <w:rPr>
          <w:rFonts w:ascii="Times New Roman" w:eastAsia="Times New Roman" w:hAnsi="Times New Roman" w:cs="Times New Roman"/>
          <w:i/>
          <w:sz w:val="24"/>
          <w:szCs w:val="24"/>
          <w:lang w:val="en-US" w:eastAsia="de-AT"/>
        </w:rPr>
        <w:t xml:space="preserve">H2b: </w:t>
      </w:r>
      <w:r w:rsidRPr="000E701B">
        <w:rPr>
          <w:rFonts w:ascii="Times New Roman" w:eastAsia="Times New Roman" w:hAnsi="Times New Roman" w:cs="Times New Roman"/>
          <w:i/>
          <w:sz w:val="24"/>
          <w:szCs w:val="24"/>
          <w:lang w:val="en-US" w:eastAsia="de-AT"/>
        </w:rPr>
        <w:tab/>
      </w:r>
      <w:r w:rsidR="0017142A">
        <w:rPr>
          <w:rFonts w:ascii="Times New Roman" w:eastAsia="Times New Roman" w:hAnsi="Times New Roman" w:cs="Times New Roman"/>
          <w:i/>
          <w:sz w:val="24"/>
          <w:szCs w:val="24"/>
          <w:lang w:val="en-US" w:eastAsia="de-AT"/>
        </w:rPr>
        <w:t xml:space="preserve">The probability that the client </w:t>
      </w:r>
      <w:r w:rsidR="0015191C">
        <w:rPr>
          <w:rFonts w:ascii="Times New Roman" w:eastAsia="Times New Roman" w:hAnsi="Times New Roman" w:cs="Times New Roman"/>
          <w:i/>
          <w:sz w:val="24"/>
          <w:szCs w:val="24"/>
          <w:lang w:val="en-US" w:eastAsia="de-AT"/>
        </w:rPr>
        <w:t>stands up to</w:t>
      </w:r>
      <w:r w:rsidR="0017142A">
        <w:rPr>
          <w:rFonts w:ascii="Times New Roman" w:eastAsia="Times New Roman" w:hAnsi="Times New Roman" w:cs="Times New Roman"/>
          <w:i/>
          <w:sz w:val="24"/>
          <w:szCs w:val="24"/>
          <w:lang w:val="en-US" w:eastAsia="de-AT"/>
        </w:rPr>
        <w:t xml:space="preserve"> the auditor’s preferred treatment increases when the client holds lower levels of goodwill trust in the auditor.</w:t>
      </w:r>
    </w:p>
    <w:p w14:paraId="2733F968" w14:textId="77777777" w:rsidR="000E701B" w:rsidRPr="000E701B" w:rsidRDefault="000E701B" w:rsidP="000E701B">
      <w:pPr>
        <w:spacing w:before="120" w:after="120" w:line="240" w:lineRule="auto"/>
        <w:ind w:firstLine="680"/>
        <w:jc w:val="both"/>
        <w:rPr>
          <w:rFonts w:ascii="Times New Roman" w:eastAsia="Times New Roman" w:hAnsi="Times New Roman" w:cs="Times New Roman"/>
          <w:sz w:val="24"/>
          <w:szCs w:val="24"/>
          <w:lang w:val="en-US" w:eastAsia="de-AT"/>
        </w:rPr>
      </w:pPr>
    </w:p>
    <w:p w14:paraId="0FF3D20B" w14:textId="77777777" w:rsidR="000E701B" w:rsidRPr="000E701B" w:rsidRDefault="000E701B" w:rsidP="000E701B">
      <w:pPr>
        <w:spacing w:before="120" w:after="120" w:line="240" w:lineRule="auto"/>
        <w:rPr>
          <w:rFonts w:ascii="Times New Roman" w:eastAsia="Times New Roman" w:hAnsi="Times New Roman" w:cs="Times New Roman"/>
          <w:b/>
          <w:caps/>
          <w:sz w:val="24"/>
          <w:szCs w:val="24"/>
          <w:lang w:val="en-GB" w:eastAsia="de-AT"/>
        </w:rPr>
      </w:pPr>
      <w:r w:rsidRPr="000E701B">
        <w:rPr>
          <w:rFonts w:ascii="Times New Roman" w:eastAsia="Times New Roman" w:hAnsi="Times New Roman" w:cs="Times New Roman"/>
          <w:b/>
          <w:caps/>
          <w:sz w:val="24"/>
          <w:szCs w:val="24"/>
          <w:lang w:val="en-GB" w:eastAsia="de-AT"/>
        </w:rPr>
        <w:t>Data and methodology</w:t>
      </w:r>
    </w:p>
    <w:p w14:paraId="17CD9982" w14:textId="77777777" w:rsidR="000E701B" w:rsidRPr="000E701B" w:rsidRDefault="000E701B" w:rsidP="000E701B">
      <w:pPr>
        <w:spacing w:before="120" w:after="120" w:line="240" w:lineRule="auto"/>
        <w:rPr>
          <w:rFonts w:ascii="Times New Roman" w:eastAsia="Times New Roman" w:hAnsi="Times New Roman" w:cs="Times New Roman"/>
          <w:b/>
          <w:sz w:val="24"/>
          <w:szCs w:val="24"/>
          <w:lang w:val="en-GB" w:eastAsia="de-AT"/>
        </w:rPr>
      </w:pPr>
    </w:p>
    <w:p w14:paraId="4586DBD4" w14:textId="77777777" w:rsidR="000E701B" w:rsidRPr="000E701B" w:rsidRDefault="000E701B" w:rsidP="000E701B">
      <w:pPr>
        <w:spacing w:before="120" w:after="120" w:line="240" w:lineRule="auto"/>
        <w:rPr>
          <w:rFonts w:ascii="Times New Roman" w:eastAsia="Times New Roman" w:hAnsi="Times New Roman" w:cs="Times New Roman"/>
          <w:b/>
          <w:sz w:val="24"/>
          <w:szCs w:val="24"/>
          <w:lang w:val="en-GB" w:eastAsia="de-AT"/>
        </w:rPr>
      </w:pPr>
      <w:r w:rsidRPr="000E701B">
        <w:rPr>
          <w:rFonts w:ascii="Times New Roman" w:eastAsia="Times New Roman" w:hAnsi="Times New Roman" w:cs="Times New Roman"/>
          <w:b/>
          <w:sz w:val="24"/>
          <w:szCs w:val="24"/>
          <w:lang w:val="en-GB" w:eastAsia="de-AT"/>
        </w:rPr>
        <w:t>Data collection and participants</w:t>
      </w:r>
    </w:p>
    <w:p w14:paraId="61AC386B" w14:textId="77777777" w:rsidR="000E701B" w:rsidRPr="000E701B" w:rsidRDefault="000E701B" w:rsidP="000E701B">
      <w:pPr>
        <w:spacing w:before="120" w:after="120" w:line="240" w:lineRule="auto"/>
        <w:ind w:firstLine="709"/>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This study is based on data collected from 149 auditors and 116 CFOs. Data on the auditors was collected following two approaches that were pursued in parallel. First, experimental cases were distributed to the attendees of a symposium organized by the Austrian Institute of Certified Public Accountants (</w:t>
      </w:r>
      <w:proofErr w:type="spellStart"/>
      <w:r w:rsidRPr="000E701B">
        <w:rPr>
          <w:rFonts w:ascii="Times New Roman" w:eastAsia="Times New Roman" w:hAnsi="Times New Roman" w:cs="Times New Roman"/>
          <w:sz w:val="24"/>
          <w:szCs w:val="24"/>
          <w:lang w:val="en-GB" w:eastAsia="de-AT"/>
        </w:rPr>
        <w:t>Institut</w:t>
      </w:r>
      <w:proofErr w:type="spellEnd"/>
      <w:r w:rsidRPr="000E701B">
        <w:rPr>
          <w:rFonts w:ascii="Times New Roman" w:eastAsia="Times New Roman" w:hAnsi="Times New Roman" w:cs="Times New Roman"/>
          <w:sz w:val="24"/>
          <w:szCs w:val="24"/>
          <w:lang w:val="en-GB" w:eastAsia="de-AT"/>
        </w:rPr>
        <w:t xml:space="preserve"> </w:t>
      </w:r>
      <w:proofErr w:type="spellStart"/>
      <w:r w:rsidRPr="000E701B">
        <w:rPr>
          <w:rFonts w:ascii="Times New Roman" w:eastAsia="Times New Roman" w:hAnsi="Times New Roman" w:cs="Times New Roman"/>
          <w:sz w:val="24"/>
          <w:szCs w:val="24"/>
          <w:lang w:val="en-GB" w:eastAsia="de-AT"/>
        </w:rPr>
        <w:t>Österreichischer</w:t>
      </w:r>
      <w:proofErr w:type="spellEnd"/>
      <w:r w:rsidRPr="000E701B">
        <w:rPr>
          <w:rFonts w:ascii="Times New Roman" w:eastAsia="Times New Roman" w:hAnsi="Times New Roman" w:cs="Times New Roman"/>
          <w:sz w:val="24"/>
          <w:szCs w:val="24"/>
          <w:lang w:val="en-GB" w:eastAsia="de-AT"/>
        </w:rPr>
        <w:t xml:space="preserve"> </w:t>
      </w:r>
      <w:proofErr w:type="spellStart"/>
      <w:r w:rsidRPr="000E701B">
        <w:rPr>
          <w:rFonts w:ascii="Times New Roman" w:eastAsia="Times New Roman" w:hAnsi="Times New Roman" w:cs="Times New Roman"/>
          <w:sz w:val="24"/>
          <w:szCs w:val="24"/>
          <w:lang w:val="en-GB" w:eastAsia="de-AT"/>
        </w:rPr>
        <w:t>Wirtschaftsprüfer</w:t>
      </w:r>
      <w:proofErr w:type="spellEnd"/>
      <w:r w:rsidRPr="000E701B">
        <w:rPr>
          <w:rFonts w:ascii="Times New Roman" w:eastAsia="Times New Roman" w:hAnsi="Times New Roman" w:cs="Times New Roman"/>
          <w:sz w:val="24"/>
          <w:szCs w:val="24"/>
          <w:lang w:val="en-GB" w:eastAsia="de-AT"/>
        </w:rPr>
        <w:t xml:space="preserve"> – IWP). The symposium enables Certified Public Accountants to receive an update on current developments in their field and to fulfil their continuing education requirements. 66 experimental cases were completed and returned during this event. Second, 100 experimental cases were sent to contact partners of three audit firms, one of them non-Big 4 and two Big 4 audit firms. The contact partners distributed the instruments internally and motivated their colleagues to participate in the experiment. This approach yielded 83 completed cases. The two groups combined result in a total of 149 complete cases. All responses received were complete and could thus be used in the analysis.</w:t>
      </w:r>
    </w:p>
    <w:p w14:paraId="26FD49FF" w14:textId="27833AB4" w:rsidR="000E701B" w:rsidRPr="000E701B" w:rsidRDefault="000E701B" w:rsidP="000E701B">
      <w:pPr>
        <w:spacing w:before="120" w:after="120" w:line="240" w:lineRule="auto"/>
        <w:ind w:firstLine="709"/>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CFOs were selected for the experiment in a multi-step sampling process. First, we extracted a list of all public and private limited companies with more than 50 employees and registered offices in Austria from the electronic database Aurelia Neo. Based on this list of approximately 5,700 companies, the CFOs of 350 companies were randomly selected and </w:t>
      </w:r>
      <w:r w:rsidRPr="000E701B">
        <w:rPr>
          <w:rFonts w:ascii="Times New Roman" w:eastAsia="Times New Roman" w:hAnsi="Times New Roman" w:cs="Times New Roman"/>
          <w:sz w:val="24"/>
          <w:szCs w:val="24"/>
          <w:lang w:val="en-GB" w:eastAsia="de-AT"/>
        </w:rPr>
        <w:lastRenderedPageBreak/>
        <w:t xml:space="preserve">contacted by telephone, informed about the project and asked if they were willing to participate in the experiment. 301 CFOs agreed to participate and were sent the link to the electronic version of the experimental case. </w:t>
      </w:r>
      <w:r w:rsidR="00EE4B49">
        <w:rPr>
          <w:rFonts w:ascii="Times New Roman" w:eastAsia="Times New Roman" w:hAnsi="Times New Roman" w:cs="Times New Roman"/>
          <w:sz w:val="24"/>
          <w:szCs w:val="24"/>
          <w:lang w:val="en-GB" w:eastAsia="de-AT"/>
        </w:rPr>
        <w:t xml:space="preserve">This approach yielded 116 responses. </w:t>
      </w:r>
      <w:r w:rsidRPr="000E701B">
        <w:rPr>
          <w:rFonts w:ascii="Times New Roman" w:eastAsia="Times New Roman" w:hAnsi="Times New Roman" w:cs="Times New Roman"/>
          <w:sz w:val="24"/>
          <w:szCs w:val="24"/>
          <w:lang w:val="en-GB" w:eastAsia="de-AT"/>
        </w:rPr>
        <w:t>All responses were complete and could thus be used in the analysis.</w:t>
      </w:r>
    </w:p>
    <w:p w14:paraId="5E0C8F68" w14:textId="77777777" w:rsidR="000E701B" w:rsidRPr="000E701B" w:rsidRDefault="000E701B" w:rsidP="000E701B">
      <w:pPr>
        <w:spacing w:before="120" w:after="120" w:line="240" w:lineRule="auto"/>
        <w:ind w:firstLine="709"/>
        <w:jc w:val="both"/>
        <w:rPr>
          <w:rFonts w:ascii="Times New Roman" w:eastAsia="Times New Roman" w:hAnsi="Times New Roman" w:cs="Times New Roman"/>
          <w:sz w:val="24"/>
          <w:szCs w:val="24"/>
          <w:lang w:val="en-GB" w:eastAsia="de-AT"/>
        </w:rPr>
      </w:pPr>
    </w:p>
    <w:p w14:paraId="22E66578" w14:textId="77777777" w:rsidR="000E701B" w:rsidRPr="000E701B" w:rsidRDefault="000E701B" w:rsidP="000E701B">
      <w:pPr>
        <w:spacing w:before="120" w:after="120" w:line="240" w:lineRule="auto"/>
        <w:jc w:val="both"/>
        <w:rPr>
          <w:rFonts w:ascii="Times New Roman" w:eastAsia="Times New Roman" w:hAnsi="Times New Roman" w:cs="Times New Roman"/>
          <w:b/>
          <w:sz w:val="24"/>
          <w:szCs w:val="24"/>
          <w:lang w:val="en-GB" w:eastAsia="de-AT"/>
        </w:rPr>
      </w:pPr>
      <w:r w:rsidRPr="000E701B">
        <w:rPr>
          <w:rFonts w:ascii="Times New Roman" w:eastAsia="Times New Roman" w:hAnsi="Times New Roman" w:cs="Times New Roman"/>
          <w:b/>
          <w:sz w:val="24"/>
          <w:szCs w:val="24"/>
          <w:lang w:val="en-GB" w:eastAsia="de-AT"/>
        </w:rPr>
        <w:t>Experimental case and operationalization</w:t>
      </w:r>
    </w:p>
    <w:p w14:paraId="0B46872B" w14:textId="5FE42614" w:rsidR="00DF2DB4" w:rsidRDefault="000E701B" w:rsidP="000E701B">
      <w:pPr>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We utilize a 2x2 between </w:t>
      </w:r>
      <w:proofErr w:type="gramStart"/>
      <w:r w:rsidRPr="000E701B">
        <w:rPr>
          <w:rFonts w:ascii="Times New Roman" w:eastAsia="Times New Roman" w:hAnsi="Times New Roman" w:cs="Times New Roman"/>
          <w:sz w:val="24"/>
          <w:szCs w:val="24"/>
          <w:lang w:val="en-GB" w:eastAsia="de-AT"/>
        </w:rPr>
        <w:t>subjects</w:t>
      </w:r>
      <w:proofErr w:type="gramEnd"/>
      <w:r w:rsidRPr="000E701B">
        <w:rPr>
          <w:rFonts w:ascii="Times New Roman" w:eastAsia="Times New Roman" w:hAnsi="Times New Roman" w:cs="Times New Roman"/>
          <w:sz w:val="24"/>
          <w:szCs w:val="24"/>
          <w:lang w:val="en-GB" w:eastAsia="de-AT"/>
        </w:rPr>
        <w:t xml:space="preserve"> experimental design to test our hypotheses</w:t>
      </w:r>
      <w:r w:rsidR="00B616AC">
        <w:rPr>
          <w:rFonts w:ascii="Times New Roman" w:eastAsia="Times New Roman" w:hAnsi="Times New Roman" w:cs="Times New Roman"/>
          <w:sz w:val="24"/>
          <w:szCs w:val="24"/>
          <w:lang w:val="en-GB" w:eastAsia="de-AT"/>
        </w:rPr>
        <w:t xml:space="preserve"> (see Appendix)</w:t>
      </w:r>
      <w:r w:rsidRPr="000E701B">
        <w:rPr>
          <w:rFonts w:ascii="Times New Roman" w:eastAsia="Times New Roman" w:hAnsi="Times New Roman" w:cs="Times New Roman"/>
          <w:sz w:val="24"/>
          <w:szCs w:val="24"/>
          <w:lang w:val="en-GB" w:eastAsia="de-AT"/>
        </w:rPr>
        <w:t xml:space="preserve">. In order to test both the auditors’ and the CFOs’ </w:t>
      </w:r>
      <w:r w:rsidR="00466289">
        <w:rPr>
          <w:rFonts w:ascii="Times New Roman" w:eastAsia="Times New Roman" w:hAnsi="Times New Roman" w:cs="Times New Roman"/>
          <w:sz w:val="24"/>
          <w:szCs w:val="24"/>
          <w:lang w:val="en-GB" w:eastAsia="de-AT"/>
        </w:rPr>
        <w:t xml:space="preserve">likelihood to stand up to </w:t>
      </w:r>
      <w:r w:rsidRPr="000E701B">
        <w:rPr>
          <w:rFonts w:ascii="Times New Roman" w:eastAsia="Times New Roman" w:hAnsi="Times New Roman" w:cs="Times New Roman"/>
          <w:sz w:val="24"/>
          <w:szCs w:val="24"/>
          <w:lang w:val="en-GB" w:eastAsia="de-AT"/>
        </w:rPr>
        <w:t xml:space="preserve">the </w:t>
      </w:r>
      <w:r w:rsidR="00466289">
        <w:rPr>
          <w:rFonts w:ascii="Times New Roman" w:eastAsia="Times New Roman" w:hAnsi="Times New Roman" w:cs="Times New Roman"/>
          <w:sz w:val="24"/>
          <w:szCs w:val="24"/>
          <w:lang w:val="en-GB" w:eastAsia="de-AT"/>
        </w:rPr>
        <w:t xml:space="preserve">interaction partner’s </w:t>
      </w:r>
      <w:r w:rsidRPr="000E701B">
        <w:rPr>
          <w:rFonts w:ascii="Times New Roman" w:eastAsia="Times New Roman" w:hAnsi="Times New Roman" w:cs="Times New Roman"/>
          <w:sz w:val="24"/>
          <w:szCs w:val="24"/>
          <w:lang w:val="en-GB" w:eastAsia="de-AT"/>
        </w:rPr>
        <w:t>preferred treatment we develop two experimental cases that describe the same auditor-client disagreement in an auditing negotiation but diff</w:t>
      </w:r>
      <w:r w:rsidR="00C37E16">
        <w:rPr>
          <w:rFonts w:ascii="Times New Roman" w:eastAsia="Times New Roman" w:hAnsi="Times New Roman" w:cs="Times New Roman"/>
          <w:sz w:val="24"/>
          <w:szCs w:val="24"/>
          <w:lang w:val="en-GB" w:eastAsia="de-AT"/>
        </w:rPr>
        <w:t xml:space="preserve">er with regard to the level of </w:t>
      </w:r>
      <w:r w:rsidRPr="000E701B">
        <w:rPr>
          <w:rFonts w:ascii="Times New Roman" w:eastAsia="Times New Roman" w:hAnsi="Times New Roman" w:cs="Times New Roman"/>
          <w:sz w:val="24"/>
          <w:szCs w:val="24"/>
          <w:lang w:val="en-GB" w:eastAsia="de-AT"/>
        </w:rPr>
        <w:t xml:space="preserve">goodwill trust and competence trust put in the interaction partner. The experimental cases, which build on the vignette approach (Fink et al. 2012), </w:t>
      </w:r>
      <w:r w:rsidR="00466289">
        <w:rPr>
          <w:rFonts w:ascii="Times New Roman" w:eastAsia="Times New Roman" w:hAnsi="Times New Roman" w:cs="Times New Roman"/>
          <w:sz w:val="24"/>
          <w:szCs w:val="24"/>
          <w:lang w:val="en-GB" w:eastAsia="de-AT"/>
        </w:rPr>
        <w:t xml:space="preserve">are </w:t>
      </w:r>
      <w:r w:rsidRPr="000E701B">
        <w:rPr>
          <w:rFonts w:ascii="Times New Roman" w:eastAsia="Times New Roman" w:hAnsi="Times New Roman" w:cs="Times New Roman"/>
          <w:sz w:val="24"/>
          <w:szCs w:val="24"/>
          <w:lang w:val="en-GB" w:eastAsia="de-AT"/>
        </w:rPr>
        <w:t xml:space="preserve">adapted from Bamber and </w:t>
      </w:r>
      <w:proofErr w:type="spellStart"/>
      <w:r w:rsidRPr="000E701B">
        <w:rPr>
          <w:rFonts w:ascii="Times New Roman" w:eastAsia="Times New Roman" w:hAnsi="Times New Roman" w:cs="Times New Roman"/>
          <w:sz w:val="24"/>
          <w:szCs w:val="24"/>
          <w:lang w:val="en-GB" w:eastAsia="de-AT"/>
        </w:rPr>
        <w:t>Iyer</w:t>
      </w:r>
      <w:proofErr w:type="spellEnd"/>
      <w:r w:rsidRPr="000E701B">
        <w:rPr>
          <w:rFonts w:ascii="Times New Roman" w:eastAsia="Times New Roman" w:hAnsi="Times New Roman" w:cs="Times New Roman"/>
          <w:sz w:val="24"/>
          <w:szCs w:val="24"/>
          <w:lang w:val="en-GB" w:eastAsia="de-AT"/>
        </w:rPr>
        <w:t xml:space="preserve"> (2007) and can be completed in approximately 10 minutes. </w:t>
      </w:r>
      <w:r w:rsidR="00DF2DB4">
        <w:rPr>
          <w:rFonts w:ascii="Times New Roman" w:eastAsia="Times New Roman" w:hAnsi="Times New Roman" w:cs="Times New Roman"/>
          <w:sz w:val="24"/>
          <w:szCs w:val="24"/>
          <w:lang w:val="en-GB" w:eastAsia="de-AT"/>
        </w:rPr>
        <w:t xml:space="preserve">We </w:t>
      </w:r>
      <w:r w:rsidR="00DF2DB4" w:rsidRPr="00DF2DB4">
        <w:rPr>
          <w:rFonts w:ascii="Times New Roman" w:eastAsia="Times New Roman" w:hAnsi="Times New Roman" w:cs="Times New Roman"/>
          <w:sz w:val="24"/>
          <w:szCs w:val="24"/>
          <w:lang w:val="en-GB" w:eastAsia="de-AT"/>
        </w:rPr>
        <w:t xml:space="preserve">had to make minor amendments, as Bamber and </w:t>
      </w:r>
      <w:proofErr w:type="spellStart"/>
      <w:r w:rsidR="00DF2DB4" w:rsidRPr="00DF2DB4">
        <w:rPr>
          <w:rFonts w:ascii="Times New Roman" w:eastAsia="Times New Roman" w:hAnsi="Times New Roman" w:cs="Times New Roman"/>
          <w:sz w:val="24"/>
          <w:szCs w:val="24"/>
          <w:lang w:val="en-GB" w:eastAsia="de-AT"/>
        </w:rPr>
        <w:t>Iyer</w:t>
      </w:r>
      <w:proofErr w:type="spellEnd"/>
      <w:r w:rsidR="00DF2DB4" w:rsidRPr="00DF2DB4">
        <w:rPr>
          <w:rFonts w:ascii="Times New Roman" w:eastAsia="Times New Roman" w:hAnsi="Times New Roman" w:cs="Times New Roman"/>
          <w:sz w:val="24"/>
          <w:szCs w:val="24"/>
          <w:lang w:val="en-GB" w:eastAsia="de-AT"/>
        </w:rPr>
        <w:t xml:space="preserve"> (</w:t>
      </w:r>
      <w:r w:rsidR="00466289">
        <w:rPr>
          <w:rFonts w:ascii="Times New Roman" w:eastAsia="Times New Roman" w:hAnsi="Times New Roman" w:cs="Times New Roman"/>
          <w:sz w:val="24"/>
          <w:szCs w:val="24"/>
          <w:lang w:val="en-GB" w:eastAsia="de-AT"/>
        </w:rPr>
        <w:t>2007)</w:t>
      </w:r>
      <w:r w:rsidR="00DF2DB4">
        <w:rPr>
          <w:rFonts w:ascii="Times New Roman" w:eastAsia="Times New Roman" w:hAnsi="Times New Roman" w:cs="Times New Roman"/>
          <w:sz w:val="24"/>
          <w:szCs w:val="24"/>
          <w:lang w:val="en-GB" w:eastAsia="de-AT"/>
        </w:rPr>
        <w:t xml:space="preserve"> used the vignette </w:t>
      </w:r>
      <w:r w:rsidR="00DF2DB4" w:rsidRPr="00DF2DB4">
        <w:rPr>
          <w:rFonts w:ascii="Times New Roman" w:eastAsia="Times New Roman" w:hAnsi="Times New Roman" w:cs="Times New Roman"/>
          <w:sz w:val="24"/>
          <w:szCs w:val="24"/>
          <w:lang w:val="en-GB" w:eastAsia="de-AT"/>
        </w:rPr>
        <w:t>in a</w:t>
      </w:r>
      <w:r w:rsidR="00DF2DB4">
        <w:rPr>
          <w:rFonts w:ascii="Times New Roman" w:eastAsia="Times New Roman" w:hAnsi="Times New Roman" w:cs="Times New Roman"/>
          <w:sz w:val="24"/>
          <w:szCs w:val="24"/>
          <w:lang w:val="en-GB" w:eastAsia="de-AT"/>
        </w:rPr>
        <w:t>n</w:t>
      </w:r>
      <w:r w:rsidR="00DF2DB4" w:rsidRPr="00DF2DB4">
        <w:rPr>
          <w:rFonts w:ascii="Times New Roman" w:eastAsia="Times New Roman" w:hAnsi="Times New Roman" w:cs="Times New Roman"/>
          <w:sz w:val="24"/>
          <w:szCs w:val="24"/>
          <w:lang w:val="en-GB" w:eastAsia="de-AT"/>
        </w:rPr>
        <w:t xml:space="preserve"> English-language questionnaire sent out to auditors only </w:t>
      </w:r>
      <w:r w:rsidR="00DF2DB4" w:rsidRPr="00DB78D9">
        <w:rPr>
          <w:rFonts w:ascii="Times New Roman" w:eastAsia="Times New Roman" w:hAnsi="Times New Roman" w:cs="Times New Roman"/>
          <w:sz w:val="24"/>
          <w:szCs w:val="24"/>
          <w:lang w:val="en-GB" w:eastAsia="de-AT"/>
        </w:rPr>
        <w:t xml:space="preserve">to collect data for a </w:t>
      </w:r>
      <w:r w:rsidR="00DB78D9">
        <w:rPr>
          <w:rFonts w:ascii="Times New Roman" w:eastAsia="Times New Roman" w:hAnsi="Times New Roman" w:cs="Times New Roman"/>
          <w:sz w:val="24"/>
          <w:szCs w:val="24"/>
          <w:lang w:val="en-GB" w:eastAsia="de-AT"/>
        </w:rPr>
        <w:t>survey</w:t>
      </w:r>
      <w:r w:rsidR="00DF2DB4" w:rsidRPr="00DF2DB4">
        <w:rPr>
          <w:rFonts w:ascii="Times New Roman" w:eastAsia="Times New Roman" w:hAnsi="Times New Roman" w:cs="Times New Roman"/>
          <w:sz w:val="24"/>
          <w:szCs w:val="24"/>
          <w:lang w:val="en-GB" w:eastAsia="de-AT"/>
        </w:rPr>
        <w:t xml:space="preserve"> and not a German-language experimental study with auditors and clients in a</w:t>
      </w:r>
      <w:r w:rsidR="00DF2DB4">
        <w:rPr>
          <w:rFonts w:ascii="Times New Roman" w:eastAsia="Times New Roman" w:hAnsi="Times New Roman" w:cs="Times New Roman"/>
          <w:sz w:val="24"/>
          <w:szCs w:val="24"/>
          <w:lang w:val="en-GB" w:eastAsia="de-AT"/>
        </w:rPr>
        <w:t>n</w:t>
      </w:r>
      <w:r w:rsidR="00DF2DB4" w:rsidRPr="00DF2DB4">
        <w:rPr>
          <w:rFonts w:ascii="Times New Roman" w:eastAsia="Times New Roman" w:hAnsi="Times New Roman" w:cs="Times New Roman"/>
          <w:sz w:val="24"/>
          <w:szCs w:val="24"/>
          <w:lang w:val="en-GB" w:eastAsia="de-AT"/>
        </w:rPr>
        <w:t xml:space="preserve"> experiment with randomized test groups. However, we kept the vignette underlying the case very close to the original. We translated (and back-translated) the case into German to reduce the barrier for the sampled practitioners to participate in the study as </w:t>
      </w:r>
      <w:r w:rsidR="00C37E16">
        <w:rPr>
          <w:rFonts w:ascii="Times New Roman" w:eastAsia="Times New Roman" w:hAnsi="Times New Roman" w:cs="Times New Roman"/>
          <w:sz w:val="24"/>
          <w:szCs w:val="24"/>
          <w:lang w:val="en-GB" w:eastAsia="de-AT"/>
        </w:rPr>
        <w:t xml:space="preserve">much </w:t>
      </w:r>
      <w:r w:rsidR="00DF2DB4" w:rsidRPr="00DF2DB4">
        <w:rPr>
          <w:rFonts w:ascii="Times New Roman" w:eastAsia="Times New Roman" w:hAnsi="Times New Roman" w:cs="Times New Roman"/>
          <w:sz w:val="24"/>
          <w:szCs w:val="24"/>
          <w:lang w:val="en-GB" w:eastAsia="de-AT"/>
        </w:rPr>
        <w:t>as possible.</w:t>
      </w:r>
    </w:p>
    <w:p w14:paraId="4CE9EDF2" w14:textId="5EC56224" w:rsidR="00DF2DB4" w:rsidRDefault="00DF2DB4" w:rsidP="00DF2DB4">
      <w:pPr>
        <w:spacing w:before="120" w:after="120" w:line="240" w:lineRule="auto"/>
        <w:ind w:firstLine="708"/>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In the vignette</w:t>
      </w:r>
      <w:r w:rsidR="00C37E16">
        <w:rPr>
          <w:rFonts w:ascii="Times New Roman" w:eastAsia="Times New Roman" w:hAnsi="Times New Roman" w:cs="Times New Roman"/>
          <w:sz w:val="24"/>
          <w:szCs w:val="24"/>
          <w:lang w:val="en-GB" w:eastAsia="de-AT"/>
        </w:rPr>
        <w:t>,</w:t>
      </w:r>
      <w:r>
        <w:rPr>
          <w:rFonts w:ascii="Times New Roman" w:eastAsia="Times New Roman" w:hAnsi="Times New Roman" w:cs="Times New Roman"/>
          <w:sz w:val="24"/>
          <w:szCs w:val="24"/>
          <w:lang w:val="en-GB" w:eastAsia="de-AT"/>
        </w:rPr>
        <w:t xml:space="preserve"> a</w:t>
      </w:r>
      <w:r w:rsidR="000E701B" w:rsidRPr="000E701B">
        <w:rPr>
          <w:rFonts w:ascii="Times New Roman" w:eastAsia="Times New Roman" w:hAnsi="Times New Roman" w:cs="Times New Roman"/>
          <w:sz w:val="24"/>
          <w:szCs w:val="24"/>
          <w:lang w:val="en-GB" w:eastAsia="de-AT"/>
        </w:rPr>
        <w:t>ll participants received the same information regarding a dispute between a fictive auditor and a fictive CFO on the materiality of unrecorded liabilities. In the fictive situation</w:t>
      </w:r>
      <w:r w:rsidR="00C37E16">
        <w:rPr>
          <w:rFonts w:ascii="Times New Roman" w:eastAsia="Times New Roman" w:hAnsi="Times New Roman" w:cs="Times New Roman"/>
          <w:sz w:val="24"/>
          <w:szCs w:val="24"/>
          <w:lang w:val="en-GB" w:eastAsia="de-AT"/>
        </w:rPr>
        <w:t>,</w:t>
      </w:r>
      <w:r w:rsidR="000E701B" w:rsidRPr="000E701B">
        <w:rPr>
          <w:rFonts w:ascii="Times New Roman" w:eastAsia="Times New Roman" w:hAnsi="Times New Roman" w:cs="Times New Roman"/>
          <w:sz w:val="24"/>
          <w:szCs w:val="24"/>
          <w:lang w:val="en-GB" w:eastAsia="de-AT"/>
        </w:rPr>
        <w:t xml:space="preserve"> the CFO strongly disagrees with the auditor’s conclusion that the amount is material and therefore has to be recorded in the financial statements. In the case setting, neither GAAS nor the auditor’s internal audit guidelines offer a clear solution. </w:t>
      </w:r>
      <w:r w:rsidR="00B616AC">
        <w:rPr>
          <w:rFonts w:ascii="Times New Roman" w:eastAsia="Times New Roman" w:hAnsi="Times New Roman" w:cs="Times New Roman"/>
          <w:sz w:val="24"/>
          <w:szCs w:val="24"/>
          <w:lang w:val="en-GB" w:eastAsia="de-AT"/>
        </w:rPr>
        <w:t xml:space="preserve">Compared to the vignette used by </w:t>
      </w:r>
      <w:r w:rsidR="00B616AC" w:rsidRPr="000E701B">
        <w:rPr>
          <w:rFonts w:ascii="Times New Roman" w:eastAsia="Times New Roman" w:hAnsi="Times New Roman" w:cs="Times New Roman"/>
          <w:sz w:val="24"/>
          <w:szCs w:val="24"/>
          <w:lang w:val="en-GB" w:eastAsia="de-AT"/>
        </w:rPr>
        <w:t xml:space="preserve">Bamber and </w:t>
      </w:r>
      <w:proofErr w:type="spellStart"/>
      <w:r w:rsidR="00B616AC" w:rsidRPr="000E701B">
        <w:rPr>
          <w:rFonts w:ascii="Times New Roman" w:eastAsia="Times New Roman" w:hAnsi="Times New Roman" w:cs="Times New Roman"/>
          <w:sz w:val="24"/>
          <w:szCs w:val="24"/>
          <w:lang w:val="en-GB" w:eastAsia="de-AT"/>
        </w:rPr>
        <w:t>Iyer</w:t>
      </w:r>
      <w:proofErr w:type="spellEnd"/>
      <w:r w:rsidR="00B616AC" w:rsidRPr="000E701B">
        <w:rPr>
          <w:rFonts w:ascii="Times New Roman" w:eastAsia="Times New Roman" w:hAnsi="Times New Roman" w:cs="Times New Roman"/>
          <w:sz w:val="24"/>
          <w:szCs w:val="24"/>
          <w:lang w:val="en-GB" w:eastAsia="de-AT"/>
        </w:rPr>
        <w:t xml:space="preserve"> (2007)</w:t>
      </w:r>
      <w:r w:rsidR="00B616AC">
        <w:rPr>
          <w:rFonts w:ascii="Times New Roman" w:eastAsia="Times New Roman" w:hAnsi="Times New Roman" w:cs="Times New Roman"/>
          <w:sz w:val="24"/>
          <w:szCs w:val="24"/>
          <w:lang w:val="en-GB" w:eastAsia="de-AT"/>
        </w:rPr>
        <w:t xml:space="preserve"> w</w:t>
      </w:r>
      <w:r w:rsidRPr="00DF2DB4">
        <w:rPr>
          <w:rFonts w:ascii="Times New Roman" w:eastAsia="Times New Roman" w:hAnsi="Times New Roman" w:cs="Times New Roman"/>
          <w:sz w:val="24"/>
          <w:szCs w:val="24"/>
          <w:lang w:val="en-GB" w:eastAsia="de-AT"/>
        </w:rPr>
        <w:t xml:space="preserve">e provide some more </w:t>
      </w:r>
      <w:r w:rsidR="00056702">
        <w:rPr>
          <w:rFonts w:ascii="Times New Roman" w:eastAsia="Times New Roman" w:hAnsi="Times New Roman" w:cs="Times New Roman"/>
          <w:sz w:val="24"/>
          <w:szCs w:val="24"/>
          <w:lang w:val="en-GB" w:eastAsia="de-AT"/>
        </w:rPr>
        <w:t xml:space="preserve">details </w:t>
      </w:r>
      <w:r w:rsidRPr="00DF2DB4">
        <w:rPr>
          <w:rFonts w:ascii="Times New Roman" w:eastAsia="Times New Roman" w:hAnsi="Times New Roman" w:cs="Times New Roman"/>
          <w:sz w:val="24"/>
          <w:szCs w:val="24"/>
          <w:lang w:val="en-GB" w:eastAsia="de-AT"/>
        </w:rPr>
        <w:t xml:space="preserve">regarding the setting in which the case situation is embedded in order to better isolate </w:t>
      </w:r>
      <w:r w:rsidR="00B616AC">
        <w:rPr>
          <w:rFonts w:ascii="Times New Roman" w:eastAsia="Times New Roman" w:hAnsi="Times New Roman" w:cs="Times New Roman"/>
          <w:sz w:val="24"/>
          <w:szCs w:val="24"/>
          <w:lang w:val="en-GB" w:eastAsia="de-AT"/>
        </w:rPr>
        <w:t>the effect of the manipulation</w:t>
      </w:r>
      <w:r w:rsidR="00056702" w:rsidRPr="00056702">
        <w:rPr>
          <w:rFonts w:ascii="Times New Roman" w:eastAsia="Times New Roman" w:hAnsi="Times New Roman" w:cs="Times New Roman"/>
          <w:sz w:val="24"/>
          <w:szCs w:val="24"/>
          <w:lang w:val="en-GB" w:eastAsia="de-AT"/>
        </w:rPr>
        <w:t xml:space="preserve"> </w:t>
      </w:r>
      <w:r w:rsidR="00056702" w:rsidRPr="00DF2DB4">
        <w:rPr>
          <w:rFonts w:ascii="Times New Roman" w:eastAsia="Times New Roman" w:hAnsi="Times New Roman" w:cs="Times New Roman"/>
          <w:sz w:val="24"/>
          <w:szCs w:val="24"/>
          <w:lang w:val="en-GB" w:eastAsia="de-AT"/>
        </w:rPr>
        <w:t>in the experiment</w:t>
      </w:r>
      <w:r w:rsidR="00B616AC">
        <w:rPr>
          <w:rFonts w:ascii="Times New Roman" w:eastAsia="Times New Roman" w:hAnsi="Times New Roman" w:cs="Times New Roman"/>
          <w:sz w:val="24"/>
          <w:szCs w:val="24"/>
          <w:lang w:val="en-GB" w:eastAsia="de-AT"/>
        </w:rPr>
        <w:t>. The</w:t>
      </w:r>
      <w:r w:rsidRPr="00DF2DB4">
        <w:rPr>
          <w:rFonts w:ascii="Times New Roman" w:eastAsia="Times New Roman" w:hAnsi="Times New Roman" w:cs="Times New Roman"/>
          <w:sz w:val="24"/>
          <w:szCs w:val="24"/>
          <w:lang w:val="en-GB" w:eastAsia="de-AT"/>
        </w:rPr>
        <w:t xml:space="preserve"> auditors were asked to think of their relationship with not only their biggest, but their biggest and most important client</w:t>
      </w:r>
      <w:r w:rsidR="00B616AC">
        <w:rPr>
          <w:rFonts w:ascii="Times New Roman" w:eastAsia="Times New Roman" w:hAnsi="Times New Roman" w:cs="Times New Roman"/>
          <w:sz w:val="24"/>
          <w:szCs w:val="24"/>
          <w:lang w:val="en-GB" w:eastAsia="de-AT"/>
        </w:rPr>
        <w:t xml:space="preserve"> to reduce the risk of misinterpretation. </w:t>
      </w:r>
      <w:r w:rsidR="00B616AC" w:rsidRPr="000E701B">
        <w:rPr>
          <w:rFonts w:ascii="Times New Roman" w:eastAsia="Times New Roman" w:hAnsi="Times New Roman" w:cs="Times New Roman"/>
          <w:sz w:val="24"/>
          <w:szCs w:val="24"/>
          <w:lang w:val="en-GB" w:eastAsia="de-AT"/>
        </w:rPr>
        <w:t>Further, participants are informed that in the case setting the CFO has strong incentives to report high operating profits, since the company has suffered losses in previous years and the CFO’s compensation is performance-related.</w:t>
      </w:r>
      <w:r w:rsidR="00B616AC">
        <w:rPr>
          <w:rFonts w:ascii="Times New Roman" w:eastAsia="Times New Roman" w:hAnsi="Times New Roman" w:cs="Times New Roman"/>
          <w:sz w:val="24"/>
          <w:szCs w:val="24"/>
          <w:lang w:val="en-GB" w:eastAsia="de-AT"/>
        </w:rPr>
        <w:t xml:space="preserve"> This additional piece o</w:t>
      </w:r>
      <w:r w:rsidR="00056702">
        <w:rPr>
          <w:rFonts w:ascii="Times New Roman" w:eastAsia="Times New Roman" w:hAnsi="Times New Roman" w:cs="Times New Roman"/>
          <w:sz w:val="24"/>
          <w:szCs w:val="24"/>
          <w:lang w:val="en-GB" w:eastAsia="de-AT"/>
        </w:rPr>
        <w:t>f information</w:t>
      </w:r>
      <w:r w:rsidR="00A904A9">
        <w:rPr>
          <w:rFonts w:ascii="Times New Roman" w:eastAsia="Times New Roman" w:hAnsi="Times New Roman" w:cs="Times New Roman"/>
          <w:sz w:val="24"/>
          <w:szCs w:val="24"/>
          <w:lang w:val="en-GB" w:eastAsia="de-AT"/>
        </w:rPr>
        <w:t xml:space="preserve"> on the motivation of the CFO</w:t>
      </w:r>
      <w:r w:rsidR="003A6D31">
        <w:rPr>
          <w:rFonts w:ascii="Times New Roman" w:eastAsia="Times New Roman" w:hAnsi="Times New Roman" w:cs="Times New Roman"/>
          <w:sz w:val="24"/>
          <w:szCs w:val="24"/>
          <w:lang w:val="en-GB" w:eastAsia="de-AT"/>
        </w:rPr>
        <w:t xml:space="preserve"> </w:t>
      </w:r>
      <w:r w:rsidR="00056702">
        <w:rPr>
          <w:rFonts w:ascii="Times New Roman" w:eastAsia="Times New Roman" w:hAnsi="Times New Roman" w:cs="Times New Roman"/>
          <w:sz w:val="24"/>
          <w:szCs w:val="24"/>
          <w:lang w:val="en-GB" w:eastAsia="de-AT"/>
        </w:rPr>
        <w:t>better establishes</w:t>
      </w:r>
      <w:r w:rsidR="00B616AC">
        <w:rPr>
          <w:rFonts w:ascii="Times New Roman" w:eastAsia="Times New Roman" w:hAnsi="Times New Roman" w:cs="Times New Roman"/>
          <w:sz w:val="24"/>
          <w:szCs w:val="24"/>
          <w:lang w:val="en-GB" w:eastAsia="de-AT"/>
        </w:rPr>
        <w:t xml:space="preserve"> the level of risk inherent in the </w:t>
      </w:r>
      <w:r w:rsidR="00056702">
        <w:rPr>
          <w:rFonts w:ascii="Times New Roman" w:eastAsia="Times New Roman" w:hAnsi="Times New Roman" w:cs="Times New Roman"/>
          <w:sz w:val="24"/>
          <w:szCs w:val="24"/>
          <w:lang w:val="en-GB" w:eastAsia="de-AT"/>
        </w:rPr>
        <w:t xml:space="preserve">case </w:t>
      </w:r>
      <w:r w:rsidR="00B616AC">
        <w:rPr>
          <w:rFonts w:ascii="Times New Roman" w:eastAsia="Times New Roman" w:hAnsi="Times New Roman" w:cs="Times New Roman"/>
          <w:sz w:val="24"/>
          <w:szCs w:val="24"/>
          <w:lang w:val="en-GB" w:eastAsia="de-AT"/>
        </w:rPr>
        <w:t>setting</w:t>
      </w:r>
      <w:r w:rsidR="000101A9">
        <w:rPr>
          <w:rFonts w:ascii="Times New Roman" w:eastAsia="Times New Roman" w:hAnsi="Times New Roman" w:cs="Times New Roman"/>
          <w:sz w:val="24"/>
          <w:szCs w:val="24"/>
          <w:lang w:val="en-GB" w:eastAsia="de-AT"/>
        </w:rPr>
        <w:t xml:space="preserve"> according to the audit risk model (American Institute of Certified Public Accountants, 1983)</w:t>
      </w:r>
      <w:r w:rsidR="00B616AC">
        <w:rPr>
          <w:rFonts w:ascii="Times New Roman" w:eastAsia="Times New Roman" w:hAnsi="Times New Roman" w:cs="Times New Roman"/>
          <w:sz w:val="24"/>
          <w:szCs w:val="24"/>
          <w:lang w:val="en-GB" w:eastAsia="de-AT"/>
        </w:rPr>
        <w:t>. The additional information that</w:t>
      </w:r>
      <w:r w:rsidR="00B616AC" w:rsidRPr="000E701B">
        <w:rPr>
          <w:rFonts w:ascii="Times New Roman" w:eastAsia="Times New Roman" w:hAnsi="Times New Roman" w:cs="Times New Roman"/>
          <w:sz w:val="24"/>
          <w:szCs w:val="24"/>
          <w:lang w:val="en-GB" w:eastAsia="de-AT"/>
        </w:rPr>
        <w:t xml:space="preserve"> the auditor has audited the firm for the last four years and ha</w:t>
      </w:r>
      <w:r w:rsidR="00056702">
        <w:rPr>
          <w:rFonts w:ascii="Times New Roman" w:eastAsia="Times New Roman" w:hAnsi="Times New Roman" w:cs="Times New Roman"/>
          <w:sz w:val="24"/>
          <w:szCs w:val="24"/>
          <w:lang w:val="en-GB" w:eastAsia="de-AT"/>
        </w:rPr>
        <w:t>s never rendered any non-audit</w:t>
      </w:r>
      <w:r w:rsidR="00B616AC" w:rsidRPr="000E701B">
        <w:rPr>
          <w:rFonts w:ascii="Times New Roman" w:eastAsia="Times New Roman" w:hAnsi="Times New Roman" w:cs="Times New Roman"/>
          <w:sz w:val="24"/>
          <w:szCs w:val="24"/>
          <w:lang w:val="en-GB" w:eastAsia="de-AT"/>
        </w:rPr>
        <w:t xml:space="preserve"> services</w:t>
      </w:r>
      <w:r w:rsidR="00B616AC">
        <w:rPr>
          <w:rFonts w:ascii="Times New Roman" w:eastAsia="Times New Roman" w:hAnsi="Times New Roman" w:cs="Times New Roman"/>
          <w:sz w:val="24"/>
          <w:szCs w:val="24"/>
          <w:lang w:val="en-GB" w:eastAsia="de-AT"/>
        </w:rPr>
        <w:t xml:space="preserve"> specifies the level of dependence between the two parties in the audit. Finally, w</w:t>
      </w:r>
      <w:r w:rsidRPr="00DF2DB4">
        <w:rPr>
          <w:rFonts w:ascii="Times New Roman" w:eastAsia="Times New Roman" w:hAnsi="Times New Roman" w:cs="Times New Roman"/>
          <w:sz w:val="24"/>
          <w:szCs w:val="24"/>
          <w:lang w:val="en-GB" w:eastAsia="de-AT"/>
        </w:rPr>
        <w:t>e turned the question capturing the dependent variable into a positive tune in order to reduce the threat of social desirability bias.</w:t>
      </w:r>
    </w:p>
    <w:p w14:paraId="3561BD76" w14:textId="1E81B66E" w:rsidR="00DB1E80" w:rsidRDefault="000E701B" w:rsidP="000E701B">
      <w:pPr>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In the following section, we introduce the two stimuli into the case setting: First, the variation between high/low goodwill trust in the interaction partner. Second, the variation between high/low competence trust in the interaction partner. The participants of the experiment were randomly assigned to one of the four treatment groups resulting from the possible combinations of the two stimuli. </w:t>
      </w:r>
      <w:r w:rsidR="00DB1E80">
        <w:rPr>
          <w:rFonts w:ascii="Times New Roman" w:eastAsia="Times New Roman" w:hAnsi="Times New Roman" w:cs="Times New Roman"/>
          <w:sz w:val="24"/>
          <w:szCs w:val="24"/>
          <w:lang w:val="en-GB" w:eastAsia="de-AT"/>
        </w:rPr>
        <w:t xml:space="preserve">In line with Mayer et al. (1995) we conceptualize </w:t>
      </w:r>
      <w:r w:rsidR="00331B4F">
        <w:rPr>
          <w:rFonts w:ascii="Times New Roman" w:eastAsia="Times New Roman" w:hAnsi="Times New Roman" w:cs="Times New Roman"/>
          <w:sz w:val="24"/>
          <w:szCs w:val="24"/>
          <w:lang w:val="en-GB" w:eastAsia="de-AT"/>
        </w:rPr>
        <w:t xml:space="preserve">identification-based </w:t>
      </w:r>
      <w:r w:rsidR="00DB1E80">
        <w:rPr>
          <w:rFonts w:ascii="Times New Roman" w:eastAsia="Times New Roman" w:hAnsi="Times New Roman" w:cs="Times New Roman"/>
          <w:sz w:val="24"/>
          <w:szCs w:val="24"/>
          <w:lang w:val="en-GB" w:eastAsia="de-AT"/>
        </w:rPr>
        <w:t xml:space="preserve">trust as a multi-dimensional phenomenon. </w:t>
      </w:r>
      <w:proofErr w:type="spellStart"/>
      <w:r w:rsidR="00DB1E80">
        <w:rPr>
          <w:rFonts w:ascii="Times New Roman" w:eastAsia="Times New Roman" w:hAnsi="Times New Roman" w:cs="Times New Roman"/>
          <w:sz w:val="24"/>
          <w:szCs w:val="24"/>
          <w:lang w:val="en-GB" w:eastAsia="de-AT"/>
        </w:rPr>
        <w:t>Nooteboom</w:t>
      </w:r>
      <w:proofErr w:type="spellEnd"/>
      <w:r w:rsidR="00DB1E80">
        <w:rPr>
          <w:rFonts w:ascii="Times New Roman" w:eastAsia="Times New Roman" w:hAnsi="Times New Roman" w:cs="Times New Roman"/>
          <w:sz w:val="24"/>
          <w:szCs w:val="24"/>
          <w:lang w:val="en-GB" w:eastAsia="de-AT"/>
        </w:rPr>
        <w:t xml:space="preserve"> summarizes the vivid discussion on the v</w:t>
      </w:r>
      <w:r w:rsidR="00056702">
        <w:rPr>
          <w:rFonts w:ascii="Times New Roman" w:eastAsia="Times New Roman" w:hAnsi="Times New Roman" w:cs="Times New Roman"/>
          <w:sz w:val="24"/>
          <w:szCs w:val="24"/>
          <w:lang w:val="en-GB" w:eastAsia="de-AT"/>
        </w:rPr>
        <w:t xml:space="preserve">arious forms of trust (e.g. </w:t>
      </w:r>
      <w:r w:rsidR="00DB1E80">
        <w:rPr>
          <w:rFonts w:ascii="Times New Roman" w:eastAsia="Times New Roman" w:hAnsi="Times New Roman" w:cs="Times New Roman"/>
          <w:sz w:val="24"/>
          <w:szCs w:val="24"/>
          <w:lang w:val="en-GB" w:eastAsia="de-AT"/>
        </w:rPr>
        <w:t xml:space="preserve">Tinsley, 1996) into two broad, but clearly distinguished dimensions: “Trust may concern a partner’s </w:t>
      </w:r>
      <w:r w:rsidR="00DB1E80" w:rsidRPr="009634A6">
        <w:rPr>
          <w:rFonts w:ascii="Times New Roman" w:eastAsia="Times New Roman" w:hAnsi="Times New Roman" w:cs="Times New Roman"/>
          <w:i/>
          <w:sz w:val="24"/>
          <w:szCs w:val="24"/>
          <w:lang w:val="en-GB" w:eastAsia="de-AT"/>
        </w:rPr>
        <w:t>ability</w:t>
      </w:r>
      <w:r w:rsidR="00DB1E80">
        <w:rPr>
          <w:rFonts w:ascii="Times New Roman" w:eastAsia="Times New Roman" w:hAnsi="Times New Roman" w:cs="Times New Roman"/>
          <w:sz w:val="24"/>
          <w:szCs w:val="24"/>
          <w:lang w:val="en-GB" w:eastAsia="de-AT"/>
        </w:rPr>
        <w:t xml:space="preserve"> to perform according to agreements (competence trust), or his </w:t>
      </w:r>
      <w:r w:rsidR="00DB1E80" w:rsidRPr="009634A6">
        <w:rPr>
          <w:rFonts w:ascii="Times New Roman" w:eastAsia="Times New Roman" w:hAnsi="Times New Roman" w:cs="Times New Roman"/>
          <w:i/>
          <w:sz w:val="24"/>
          <w:szCs w:val="24"/>
          <w:lang w:val="en-GB" w:eastAsia="de-AT"/>
        </w:rPr>
        <w:t>intention</w:t>
      </w:r>
      <w:r w:rsidR="00DB1E80">
        <w:rPr>
          <w:rFonts w:ascii="Times New Roman" w:eastAsia="Times New Roman" w:hAnsi="Times New Roman" w:cs="Times New Roman"/>
          <w:sz w:val="24"/>
          <w:szCs w:val="24"/>
          <w:lang w:val="en-GB" w:eastAsia="de-AT"/>
        </w:rPr>
        <w:t xml:space="preserve"> to do so (good</w:t>
      </w:r>
      <w:r w:rsidR="003B7AE3">
        <w:rPr>
          <w:rFonts w:ascii="Times New Roman" w:eastAsia="Times New Roman" w:hAnsi="Times New Roman" w:cs="Times New Roman"/>
          <w:sz w:val="24"/>
          <w:szCs w:val="24"/>
          <w:lang w:val="en-GB" w:eastAsia="de-AT"/>
        </w:rPr>
        <w:t>will trust)” (1996: 990, emphase</w:t>
      </w:r>
      <w:r w:rsidR="00DB1E80">
        <w:rPr>
          <w:rFonts w:ascii="Times New Roman" w:eastAsia="Times New Roman" w:hAnsi="Times New Roman" w:cs="Times New Roman"/>
          <w:sz w:val="24"/>
          <w:szCs w:val="24"/>
          <w:lang w:val="en-GB" w:eastAsia="de-AT"/>
        </w:rPr>
        <w:t>s in the original source).</w:t>
      </w:r>
      <w:r w:rsidR="007131AB">
        <w:rPr>
          <w:rFonts w:ascii="Times New Roman" w:eastAsia="Times New Roman" w:hAnsi="Times New Roman" w:cs="Times New Roman"/>
          <w:sz w:val="24"/>
          <w:szCs w:val="24"/>
          <w:lang w:val="en-GB" w:eastAsia="de-AT"/>
        </w:rPr>
        <w:t xml:space="preserve"> While both are dimensions of identification-based trust, there is a crucial difference between the ability (competence) and the willingness (goodwill) to perform as promised that </w:t>
      </w:r>
      <w:r w:rsidR="00056702">
        <w:rPr>
          <w:rFonts w:ascii="Times New Roman" w:eastAsia="Times New Roman" w:hAnsi="Times New Roman" w:cs="Times New Roman"/>
          <w:sz w:val="24"/>
          <w:szCs w:val="24"/>
          <w:lang w:val="en-GB" w:eastAsia="de-AT"/>
        </w:rPr>
        <w:t xml:space="preserve">has </w:t>
      </w:r>
      <w:r w:rsidR="007131AB">
        <w:rPr>
          <w:rFonts w:ascii="Times New Roman" w:eastAsia="Times New Roman" w:hAnsi="Times New Roman" w:cs="Times New Roman"/>
          <w:sz w:val="24"/>
          <w:szCs w:val="24"/>
          <w:lang w:val="en-GB" w:eastAsia="de-AT"/>
        </w:rPr>
        <w:t xml:space="preserve">also </w:t>
      </w:r>
      <w:r w:rsidR="00056702">
        <w:rPr>
          <w:rFonts w:ascii="Times New Roman" w:eastAsia="Times New Roman" w:hAnsi="Times New Roman" w:cs="Times New Roman"/>
          <w:sz w:val="24"/>
          <w:szCs w:val="24"/>
          <w:lang w:val="en-GB" w:eastAsia="de-AT"/>
        </w:rPr>
        <w:t xml:space="preserve">been </w:t>
      </w:r>
      <w:r w:rsidR="007131AB">
        <w:rPr>
          <w:rFonts w:ascii="Times New Roman" w:eastAsia="Times New Roman" w:hAnsi="Times New Roman" w:cs="Times New Roman"/>
          <w:sz w:val="24"/>
          <w:szCs w:val="24"/>
          <w:lang w:val="en-GB" w:eastAsia="de-AT"/>
        </w:rPr>
        <w:t>identified in previous empirical studies (</w:t>
      </w:r>
      <w:r w:rsidR="00DB1E80">
        <w:rPr>
          <w:rFonts w:ascii="Times New Roman" w:eastAsia="Times New Roman" w:hAnsi="Times New Roman" w:cs="Times New Roman"/>
          <w:sz w:val="24"/>
          <w:szCs w:val="24"/>
          <w:lang w:val="en-GB" w:eastAsia="de-AT"/>
        </w:rPr>
        <w:t xml:space="preserve">e.g. </w:t>
      </w:r>
      <w:r w:rsidR="007131AB">
        <w:rPr>
          <w:rFonts w:ascii="Times New Roman" w:eastAsia="Times New Roman" w:hAnsi="Times New Roman" w:cs="Times New Roman"/>
          <w:sz w:val="24"/>
          <w:szCs w:val="24"/>
          <w:lang w:val="en-GB" w:eastAsia="de-AT"/>
        </w:rPr>
        <w:t>Moro and Fink, 2013)</w:t>
      </w:r>
      <w:r w:rsidR="00E82269">
        <w:rPr>
          <w:rFonts w:ascii="Times New Roman" w:eastAsia="Times New Roman" w:hAnsi="Times New Roman" w:cs="Times New Roman"/>
          <w:sz w:val="24"/>
          <w:szCs w:val="24"/>
          <w:lang w:val="en-GB" w:eastAsia="de-AT"/>
        </w:rPr>
        <w:t>.</w:t>
      </w:r>
      <w:r w:rsidR="007131AB">
        <w:rPr>
          <w:rFonts w:ascii="Times New Roman" w:eastAsia="Times New Roman" w:hAnsi="Times New Roman" w:cs="Times New Roman"/>
          <w:sz w:val="24"/>
          <w:szCs w:val="24"/>
          <w:lang w:val="en-GB" w:eastAsia="de-AT"/>
        </w:rPr>
        <w:t xml:space="preserve"> </w:t>
      </w:r>
    </w:p>
    <w:p w14:paraId="619C168F" w14:textId="7D57173A" w:rsidR="000E701B" w:rsidRPr="000E701B" w:rsidRDefault="000E701B" w:rsidP="000E701B">
      <w:pPr>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The high competence trust manipulation was formulated as “The CFO is very competent and successful in his job. He has a detailed knowledge of accounting </w:t>
      </w:r>
      <w:proofErr w:type="gramStart"/>
      <w:r w:rsidRPr="000E701B">
        <w:rPr>
          <w:rFonts w:ascii="Times New Roman" w:eastAsia="Times New Roman" w:hAnsi="Times New Roman" w:cs="Times New Roman"/>
          <w:sz w:val="24"/>
          <w:szCs w:val="24"/>
          <w:lang w:val="en-GB" w:eastAsia="de-AT"/>
        </w:rPr>
        <w:t>standards”</w:t>
      </w:r>
      <w:proofErr w:type="gramEnd"/>
      <w:r w:rsidRPr="000E701B">
        <w:rPr>
          <w:rFonts w:ascii="Times New Roman" w:eastAsia="Times New Roman" w:hAnsi="Times New Roman" w:cs="Times New Roman"/>
          <w:sz w:val="24"/>
          <w:szCs w:val="24"/>
          <w:lang w:val="en-GB" w:eastAsia="de-AT"/>
        </w:rPr>
        <w:t xml:space="preserve"> for the auditor </w:t>
      </w:r>
      <w:r w:rsidRPr="000E701B">
        <w:rPr>
          <w:rFonts w:ascii="Times New Roman" w:eastAsia="Times New Roman" w:hAnsi="Times New Roman" w:cs="Times New Roman"/>
          <w:sz w:val="24"/>
          <w:szCs w:val="24"/>
          <w:lang w:val="en-GB" w:eastAsia="de-AT"/>
        </w:rPr>
        <w:lastRenderedPageBreak/>
        <w:t xml:space="preserve">perspective and “The auditor is very competent. He has a detailed knowledge of the industry and the firm’s business.” for the CFO perspective. The low competence trust manipulation was formulated as “The CFO is not very competent and moderately successful in his job. He does not have a detailed knowledge of accounting standards.” for the auditor perspective and “The auditor is not very competent. He does not have a detailed knowledge of the industry and the firm’s business.” for the CFO perspective. Analogously, the high goodwill trust manipulation was formulated as “The CFO has a strong sense of justice. He keeps his promises and always tries to be fair.” for the auditor perspective and “The auditor has a strong sense of justice. He keeps his promises and always tries to be fair” for the CFO perspective. The low goodwill trust manipulation was formulated as “The CFO does not have a strong sense of justice. He does not always keep his promises and does not always try to be fair” for the auditor perspective and “The auditor does not have a strong sense of justice. He does not always keep his promises and does not always try to be fair” for the CFO perspective. </w:t>
      </w:r>
      <w:r w:rsidR="000C0623">
        <w:rPr>
          <w:rFonts w:ascii="Times New Roman" w:eastAsia="Times New Roman" w:hAnsi="Times New Roman" w:cs="Times New Roman"/>
          <w:sz w:val="24"/>
          <w:szCs w:val="24"/>
          <w:lang w:val="en-GB" w:eastAsia="de-AT"/>
        </w:rPr>
        <w:t xml:space="preserve">It is important to note that these manipulations are not intended to capture facts about the interaction partners, but perceptions. </w:t>
      </w:r>
      <w:r w:rsidR="003F4013">
        <w:rPr>
          <w:rFonts w:ascii="Times New Roman" w:eastAsia="Times New Roman" w:hAnsi="Times New Roman" w:cs="Times New Roman"/>
          <w:sz w:val="24"/>
          <w:szCs w:val="24"/>
          <w:lang w:val="en-GB" w:eastAsia="de-AT"/>
        </w:rPr>
        <w:t xml:space="preserve">Thus, our operationalization does not </w:t>
      </w:r>
      <w:r w:rsidR="000A727A">
        <w:rPr>
          <w:rFonts w:ascii="Times New Roman" w:eastAsia="Times New Roman" w:hAnsi="Times New Roman" w:cs="Times New Roman"/>
          <w:sz w:val="24"/>
          <w:szCs w:val="24"/>
          <w:lang w:val="en-GB" w:eastAsia="de-AT"/>
        </w:rPr>
        <w:t xml:space="preserve">ask too much of </w:t>
      </w:r>
      <w:r w:rsidR="003F4013">
        <w:rPr>
          <w:rFonts w:ascii="Times New Roman" w:eastAsia="Times New Roman" w:hAnsi="Times New Roman" w:cs="Times New Roman"/>
          <w:sz w:val="24"/>
          <w:szCs w:val="24"/>
          <w:lang w:val="en-GB" w:eastAsia="de-AT"/>
        </w:rPr>
        <w:t xml:space="preserve">the interviewees regarding the required knowledge </w:t>
      </w:r>
      <w:r w:rsidR="000A727A">
        <w:rPr>
          <w:rFonts w:ascii="Times New Roman" w:eastAsia="Times New Roman" w:hAnsi="Times New Roman" w:cs="Times New Roman"/>
          <w:sz w:val="24"/>
          <w:szCs w:val="24"/>
          <w:lang w:val="en-GB" w:eastAsia="de-AT"/>
        </w:rPr>
        <w:t xml:space="preserve">of </w:t>
      </w:r>
      <w:r w:rsidR="003F4013">
        <w:rPr>
          <w:rFonts w:ascii="Times New Roman" w:eastAsia="Times New Roman" w:hAnsi="Times New Roman" w:cs="Times New Roman"/>
          <w:sz w:val="24"/>
          <w:szCs w:val="24"/>
          <w:lang w:val="en-GB" w:eastAsia="de-AT"/>
        </w:rPr>
        <w:t xml:space="preserve">their interaction partner. </w:t>
      </w:r>
      <w:r w:rsidRPr="000E701B">
        <w:rPr>
          <w:rFonts w:ascii="Times New Roman" w:eastAsia="Times New Roman" w:hAnsi="Times New Roman" w:cs="Times New Roman"/>
          <w:sz w:val="24"/>
          <w:szCs w:val="24"/>
          <w:lang w:val="en-GB" w:eastAsia="de-AT"/>
        </w:rPr>
        <w:t>Competence trust and goodwill trust were both operationalized as dummy variables with the value 1 assigned to the high trust manipulations (reference group). The distribution across cells indicates that the preconditions for operationalizing the independent variable as dummy variables are met in both samples (Table 1).</w:t>
      </w:r>
    </w:p>
    <w:p w14:paraId="3C1A487C" w14:textId="77777777" w:rsidR="000E701B" w:rsidRPr="000E701B" w:rsidRDefault="000E701B" w:rsidP="000E701B">
      <w:pPr>
        <w:spacing w:before="120" w:after="120" w:line="240" w:lineRule="auto"/>
        <w:ind w:firstLine="708"/>
        <w:jc w:val="both"/>
        <w:rPr>
          <w:rFonts w:ascii="Times New Roman" w:eastAsia="Times New Roman" w:hAnsi="Times New Roman" w:cs="Times New Roman"/>
          <w:sz w:val="24"/>
          <w:szCs w:val="24"/>
          <w:lang w:val="en-GB" w:eastAsia="de-AT"/>
        </w:rPr>
      </w:pPr>
    </w:p>
    <w:p w14:paraId="575BA366" w14:textId="77777777" w:rsidR="000E701B" w:rsidRPr="000E701B" w:rsidRDefault="000E701B" w:rsidP="000E701B">
      <w:pPr>
        <w:spacing w:before="120" w:after="120" w:line="240" w:lineRule="auto"/>
        <w:ind w:firstLine="709"/>
        <w:jc w:val="cente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w:t>
      </w:r>
    </w:p>
    <w:p w14:paraId="71985E89" w14:textId="77777777" w:rsidR="000E701B" w:rsidRPr="000E701B" w:rsidRDefault="000E701B" w:rsidP="000E701B">
      <w:pPr>
        <w:spacing w:before="120" w:after="120" w:line="240" w:lineRule="auto"/>
        <w:ind w:firstLine="709"/>
        <w:jc w:val="cente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Insert table 1 about here</w:t>
      </w:r>
    </w:p>
    <w:p w14:paraId="7D6FAFD7" w14:textId="77777777" w:rsidR="000E701B" w:rsidRPr="000E701B" w:rsidRDefault="000E701B" w:rsidP="000E701B">
      <w:pPr>
        <w:spacing w:before="120" w:after="120" w:line="240" w:lineRule="auto"/>
        <w:ind w:firstLine="709"/>
        <w:jc w:val="cente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w:t>
      </w:r>
    </w:p>
    <w:p w14:paraId="40B9D7E5" w14:textId="77777777" w:rsidR="000E701B" w:rsidRPr="000E701B" w:rsidRDefault="000E701B" w:rsidP="000E701B">
      <w:pPr>
        <w:spacing w:before="120" w:after="120" w:line="240" w:lineRule="auto"/>
        <w:ind w:firstLine="709"/>
        <w:jc w:val="center"/>
        <w:rPr>
          <w:rFonts w:ascii="Times New Roman" w:eastAsia="Times New Roman" w:hAnsi="Times New Roman" w:cs="Times New Roman"/>
          <w:sz w:val="24"/>
          <w:szCs w:val="24"/>
          <w:lang w:val="en-GB" w:eastAsia="de-AT"/>
        </w:rPr>
      </w:pPr>
    </w:p>
    <w:p w14:paraId="349C51B8" w14:textId="4B5A0BC1" w:rsidR="000E701B" w:rsidRPr="000E701B" w:rsidRDefault="000E701B" w:rsidP="000E701B">
      <w:pPr>
        <w:keepNext/>
        <w:spacing w:before="120" w:after="120" w:line="240" w:lineRule="auto"/>
        <w:ind w:firstLine="709"/>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After carefully reading the case vignette the participating auditors indicated the likelihood that they would </w:t>
      </w:r>
      <w:r w:rsidR="001645F4">
        <w:rPr>
          <w:rFonts w:ascii="Times New Roman" w:eastAsia="Times New Roman" w:hAnsi="Times New Roman" w:cs="Times New Roman"/>
          <w:sz w:val="24"/>
          <w:szCs w:val="24"/>
          <w:lang w:val="en-GB" w:eastAsia="de-AT"/>
        </w:rPr>
        <w:t>stand up to</w:t>
      </w:r>
      <w:r w:rsidRPr="000E701B">
        <w:rPr>
          <w:rFonts w:ascii="Times New Roman" w:eastAsia="Times New Roman" w:hAnsi="Times New Roman" w:cs="Times New Roman"/>
          <w:sz w:val="24"/>
          <w:szCs w:val="24"/>
          <w:lang w:val="en-GB" w:eastAsia="de-AT"/>
        </w:rPr>
        <w:t xml:space="preserve"> the client-preferred treatment and require the liabilities to be recorded on a scale from 0 </w:t>
      </w:r>
      <w:r w:rsidR="005F3485">
        <w:rPr>
          <w:rFonts w:ascii="Times New Roman" w:eastAsia="Times New Roman" w:hAnsi="Times New Roman" w:cs="Times New Roman"/>
          <w:sz w:val="24"/>
          <w:szCs w:val="24"/>
          <w:lang w:val="en-GB" w:eastAsia="de-AT"/>
        </w:rPr>
        <w:t xml:space="preserve">(very low likelihood) </w:t>
      </w:r>
      <w:r w:rsidRPr="000E701B">
        <w:rPr>
          <w:rFonts w:ascii="Times New Roman" w:eastAsia="Times New Roman" w:hAnsi="Times New Roman" w:cs="Times New Roman"/>
          <w:sz w:val="24"/>
          <w:szCs w:val="24"/>
          <w:lang w:val="en-GB" w:eastAsia="de-AT"/>
        </w:rPr>
        <w:t xml:space="preserve">to 100 </w:t>
      </w:r>
      <w:r w:rsidR="005F3485">
        <w:rPr>
          <w:rFonts w:ascii="Times New Roman" w:eastAsia="Times New Roman" w:hAnsi="Times New Roman" w:cs="Times New Roman"/>
          <w:sz w:val="24"/>
          <w:szCs w:val="24"/>
          <w:lang w:val="en-GB" w:eastAsia="de-AT"/>
        </w:rPr>
        <w:t>(very high likelihood)</w:t>
      </w:r>
      <w:r w:rsidRPr="000E701B">
        <w:rPr>
          <w:rFonts w:ascii="Times New Roman" w:eastAsia="Times New Roman" w:hAnsi="Times New Roman" w:cs="Times New Roman"/>
          <w:sz w:val="24"/>
          <w:szCs w:val="24"/>
          <w:lang w:val="en-GB" w:eastAsia="de-AT"/>
        </w:rPr>
        <w:t xml:space="preserve">. </w:t>
      </w:r>
      <w:r w:rsidR="00061030">
        <w:rPr>
          <w:rFonts w:ascii="Times New Roman" w:eastAsia="Times New Roman" w:hAnsi="Times New Roman" w:cs="Times New Roman"/>
          <w:sz w:val="24"/>
          <w:szCs w:val="24"/>
          <w:lang w:val="en-GB" w:eastAsia="de-AT"/>
        </w:rPr>
        <w:t xml:space="preserve">This scale is in line with the scale used by Bamber and </w:t>
      </w:r>
      <w:proofErr w:type="spellStart"/>
      <w:r w:rsidR="00061030">
        <w:rPr>
          <w:rFonts w:ascii="Times New Roman" w:eastAsia="Times New Roman" w:hAnsi="Times New Roman" w:cs="Times New Roman"/>
          <w:sz w:val="24"/>
          <w:szCs w:val="24"/>
          <w:lang w:val="en-GB" w:eastAsia="de-AT"/>
        </w:rPr>
        <w:t>Iyer</w:t>
      </w:r>
      <w:proofErr w:type="spellEnd"/>
      <w:r w:rsidR="00061030">
        <w:rPr>
          <w:rFonts w:ascii="Times New Roman" w:eastAsia="Times New Roman" w:hAnsi="Times New Roman" w:cs="Times New Roman"/>
          <w:sz w:val="24"/>
          <w:szCs w:val="24"/>
          <w:lang w:val="en-GB" w:eastAsia="de-AT"/>
        </w:rPr>
        <w:t xml:space="preserve"> (2007). </w:t>
      </w:r>
      <w:r w:rsidRPr="000E701B">
        <w:rPr>
          <w:rFonts w:ascii="Times New Roman" w:eastAsia="Times New Roman" w:hAnsi="Times New Roman" w:cs="Times New Roman"/>
          <w:sz w:val="24"/>
          <w:szCs w:val="24"/>
          <w:lang w:val="en-GB" w:eastAsia="de-AT"/>
        </w:rPr>
        <w:t xml:space="preserve">The participating CFOs indicate the probability that they would </w:t>
      </w:r>
      <w:r w:rsidR="001645F4">
        <w:rPr>
          <w:rFonts w:ascii="Times New Roman" w:eastAsia="Times New Roman" w:hAnsi="Times New Roman" w:cs="Times New Roman"/>
          <w:sz w:val="24"/>
          <w:szCs w:val="24"/>
          <w:lang w:val="en-GB" w:eastAsia="de-AT"/>
        </w:rPr>
        <w:t>stand up to</w:t>
      </w:r>
      <w:r w:rsidR="005F3485">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 xml:space="preserve">the auditor-preferred treatment and not record the liabilities also on a scale from 0 </w:t>
      </w:r>
      <w:r w:rsidR="005F3485">
        <w:rPr>
          <w:rFonts w:ascii="Times New Roman" w:eastAsia="Times New Roman" w:hAnsi="Times New Roman" w:cs="Times New Roman"/>
          <w:sz w:val="24"/>
          <w:szCs w:val="24"/>
          <w:lang w:val="en-GB" w:eastAsia="de-AT"/>
        </w:rPr>
        <w:t xml:space="preserve">(very low likelihood) </w:t>
      </w:r>
      <w:r w:rsidRPr="000E701B">
        <w:rPr>
          <w:rFonts w:ascii="Times New Roman" w:eastAsia="Times New Roman" w:hAnsi="Times New Roman" w:cs="Times New Roman"/>
          <w:sz w:val="24"/>
          <w:szCs w:val="24"/>
          <w:lang w:val="en-GB" w:eastAsia="de-AT"/>
        </w:rPr>
        <w:t xml:space="preserve">to 100 </w:t>
      </w:r>
      <w:r w:rsidR="005F3485">
        <w:rPr>
          <w:rFonts w:ascii="Times New Roman" w:eastAsia="Times New Roman" w:hAnsi="Times New Roman" w:cs="Times New Roman"/>
          <w:sz w:val="24"/>
          <w:szCs w:val="24"/>
          <w:lang w:val="en-GB" w:eastAsia="de-AT"/>
        </w:rPr>
        <w:t>(very high likelihood)</w:t>
      </w:r>
      <w:r w:rsidRPr="000E701B">
        <w:rPr>
          <w:rFonts w:ascii="Times New Roman" w:eastAsia="Times New Roman" w:hAnsi="Times New Roman" w:cs="Times New Roman"/>
          <w:sz w:val="24"/>
          <w:szCs w:val="24"/>
          <w:lang w:val="en-GB" w:eastAsia="de-AT"/>
        </w:rPr>
        <w:t xml:space="preserve">. The mark thus reflects the probability that the participating auditor or CFO </w:t>
      </w:r>
      <w:r w:rsidR="007A29A9">
        <w:rPr>
          <w:rFonts w:ascii="Times New Roman" w:eastAsia="Times New Roman" w:hAnsi="Times New Roman" w:cs="Times New Roman"/>
          <w:sz w:val="24"/>
          <w:szCs w:val="24"/>
          <w:lang w:val="en-GB" w:eastAsia="de-AT"/>
        </w:rPr>
        <w:t xml:space="preserve">stands up to </w:t>
      </w:r>
      <w:r w:rsidRPr="000E701B">
        <w:rPr>
          <w:rFonts w:ascii="Times New Roman" w:eastAsia="Times New Roman" w:hAnsi="Times New Roman" w:cs="Times New Roman"/>
          <w:sz w:val="24"/>
          <w:szCs w:val="24"/>
          <w:lang w:val="en-GB" w:eastAsia="de-AT"/>
        </w:rPr>
        <w:t xml:space="preserve">the </w:t>
      </w:r>
      <w:r w:rsidR="00BA7C7C">
        <w:rPr>
          <w:rFonts w:ascii="Times New Roman" w:eastAsia="Times New Roman" w:hAnsi="Times New Roman" w:cs="Times New Roman"/>
          <w:sz w:val="24"/>
          <w:szCs w:val="24"/>
          <w:lang w:val="en-GB" w:eastAsia="de-AT"/>
        </w:rPr>
        <w:t>interaction partner</w:t>
      </w:r>
      <w:r w:rsidRPr="000E701B">
        <w:rPr>
          <w:rFonts w:ascii="Times New Roman" w:eastAsia="Times New Roman" w:hAnsi="Times New Roman" w:cs="Times New Roman"/>
          <w:sz w:val="24"/>
          <w:szCs w:val="24"/>
          <w:lang w:val="en-GB" w:eastAsia="de-AT"/>
        </w:rPr>
        <w:t xml:space="preserve">’s preferred treatment. </w:t>
      </w:r>
    </w:p>
    <w:p w14:paraId="6BF7DE67" w14:textId="0C0ABA33" w:rsidR="000E701B" w:rsidRPr="000E701B" w:rsidRDefault="000E701B" w:rsidP="000E701B">
      <w:pPr>
        <w:spacing w:before="120" w:after="120" w:line="240" w:lineRule="auto"/>
        <w:ind w:firstLine="709"/>
        <w:jc w:val="both"/>
        <w:rPr>
          <w:rFonts w:ascii="Times New Roman" w:eastAsia="Times New Roman" w:hAnsi="Times New Roman" w:cs="Times New Roman"/>
          <w:sz w:val="24"/>
          <w:szCs w:val="24"/>
          <w:lang w:val="en-GB" w:eastAsia="de-AT"/>
        </w:rPr>
      </w:pPr>
      <w:r w:rsidRPr="008C2746">
        <w:rPr>
          <w:rFonts w:ascii="Times New Roman" w:eastAsia="Times New Roman" w:hAnsi="Times New Roman" w:cs="Times New Roman"/>
          <w:sz w:val="24"/>
          <w:szCs w:val="24"/>
          <w:lang w:val="en-GB" w:eastAsia="de-AT"/>
        </w:rPr>
        <w:t>In order to control for potential confounds we also collected demographic data</w:t>
      </w:r>
      <w:r w:rsidRPr="000E701B">
        <w:rPr>
          <w:rFonts w:ascii="Times New Roman" w:eastAsia="Times New Roman" w:hAnsi="Times New Roman" w:cs="Times New Roman"/>
          <w:sz w:val="24"/>
          <w:szCs w:val="24"/>
          <w:lang w:val="en-GB" w:eastAsia="de-AT"/>
        </w:rPr>
        <w:t>.</w:t>
      </w:r>
      <w:r w:rsidR="006F1C97">
        <w:rPr>
          <w:rFonts w:ascii="Times New Roman" w:eastAsia="Times New Roman" w:hAnsi="Times New Roman" w:cs="Times New Roman"/>
          <w:sz w:val="24"/>
          <w:szCs w:val="24"/>
          <w:lang w:val="en-GB" w:eastAsia="de-AT"/>
        </w:rPr>
        <w:t xml:space="preserve"> </w:t>
      </w:r>
      <w:r w:rsidR="006F1C97" w:rsidRPr="00CA3E87">
        <w:rPr>
          <w:rFonts w:ascii="Times New Roman" w:hAnsi="Times New Roman" w:cs="Times New Roman"/>
          <w:bCs/>
          <w:iCs/>
          <w:sz w:val="24"/>
          <w:szCs w:val="24"/>
          <w:lang w:val="en-US"/>
        </w:rPr>
        <w:t xml:space="preserve">We include </w:t>
      </w:r>
      <w:r w:rsidR="002D62A6">
        <w:rPr>
          <w:rFonts w:ascii="Times New Roman" w:hAnsi="Times New Roman" w:cs="Times New Roman"/>
          <w:bCs/>
          <w:iCs/>
          <w:sz w:val="24"/>
          <w:szCs w:val="24"/>
          <w:lang w:val="en-US"/>
        </w:rPr>
        <w:t xml:space="preserve">the </w:t>
      </w:r>
      <w:r w:rsidR="006F1C97" w:rsidRPr="00CA3E87">
        <w:rPr>
          <w:rFonts w:ascii="Times New Roman" w:hAnsi="Times New Roman" w:cs="Times New Roman"/>
          <w:bCs/>
          <w:iCs/>
          <w:sz w:val="24"/>
          <w:szCs w:val="24"/>
          <w:lang w:val="en-US"/>
        </w:rPr>
        <w:t>auditor</w:t>
      </w:r>
      <w:r w:rsidR="002D62A6">
        <w:rPr>
          <w:rFonts w:ascii="Times New Roman" w:hAnsi="Times New Roman" w:cs="Times New Roman"/>
          <w:bCs/>
          <w:iCs/>
          <w:sz w:val="24"/>
          <w:szCs w:val="24"/>
          <w:lang w:val="en-US"/>
        </w:rPr>
        <w:t>’s</w:t>
      </w:r>
      <w:r w:rsidR="006F1C97" w:rsidRPr="00CA3E87">
        <w:rPr>
          <w:rFonts w:ascii="Times New Roman" w:hAnsi="Times New Roman" w:cs="Times New Roman"/>
          <w:bCs/>
          <w:iCs/>
          <w:sz w:val="24"/>
          <w:szCs w:val="24"/>
          <w:lang w:val="en-US"/>
        </w:rPr>
        <w:t xml:space="preserve"> </w:t>
      </w:r>
      <w:r w:rsidR="00177D94">
        <w:rPr>
          <w:rFonts w:ascii="Times New Roman" w:hAnsi="Times New Roman" w:cs="Times New Roman"/>
          <w:bCs/>
          <w:iCs/>
          <w:sz w:val="24"/>
          <w:szCs w:val="24"/>
          <w:lang w:val="en-US"/>
        </w:rPr>
        <w:t xml:space="preserve">and the client’s </w:t>
      </w:r>
      <w:r w:rsidR="006F1C97" w:rsidRPr="00CA3E87">
        <w:rPr>
          <w:rFonts w:ascii="Times New Roman" w:hAnsi="Times New Roman" w:cs="Times New Roman"/>
          <w:bCs/>
          <w:iCs/>
          <w:sz w:val="24"/>
          <w:szCs w:val="24"/>
          <w:lang w:val="en-US"/>
        </w:rPr>
        <w:t>gender as control variable</w:t>
      </w:r>
      <w:r w:rsidR="002D62A6">
        <w:rPr>
          <w:rFonts w:ascii="Times New Roman" w:hAnsi="Times New Roman" w:cs="Times New Roman"/>
          <w:bCs/>
          <w:iCs/>
          <w:sz w:val="24"/>
          <w:szCs w:val="24"/>
          <w:lang w:val="en-US"/>
        </w:rPr>
        <w:t xml:space="preserve">, </w:t>
      </w:r>
      <w:r w:rsidR="006F1C97" w:rsidRPr="00CA3E87">
        <w:rPr>
          <w:rFonts w:ascii="Times New Roman" w:hAnsi="Times New Roman" w:cs="Times New Roman"/>
          <w:bCs/>
          <w:iCs/>
          <w:sz w:val="24"/>
          <w:szCs w:val="24"/>
          <w:lang w:val="en-US"/>
        </w:rPr>
        <w:t xml:space="preserve">since </w:t>
      </w:r>
      <w:r w:rsidR="00752F2B">
        <w:rPr>
          <w:rFonts w:ascii="Times New Roman" w:hAnsi="Times New Roman" w:cs="Times New Roman"/>
          <w:bCs/>
          <w:iCs/>
          <w:sz w:val="24"/>
          <w:szCs w:val="24"/>
          <w:lang w:val="en-US"/>
        </w:rPr>
        <w:t xml:space="preserve">earlier research suggests that gender affects </w:t>
      </w:r>
      <w:r w:rsidR="009E4537">
        <w:rPr>
          <w:rFonts w:ascii="Times New Roman" w:hAnsi="Times New Roman" w:cs="Times New Roman"/>
          <w:bCs/>
          <w:iCs/>
          <w:sz w:val="24"/>
          <w:szCs w:val="24"/>
          <w:lang w:val="en-US"/>
        </w:rPr>
        <w:t>negotiation outcome</w:t>
      </w:r>
      <w:r w:rsidR="00770514">
        <w:rPr>
          <w:rFonts w:ascii="Times New Roman" w:hAnsi="Times New Roman" w:cs="Times New Roman"/>
          <w:bCs/>
          <w:iCs/>
          <w:sz w:val="24"/>
          <w:szCs w:val="24"/>
          <w:lang w:val="en-US"/>
        </w:rPr>
        <w:t>s</w:t>
      </w:r>
      <w:r w:rsidR="00752F2B">
        <w:rPr>
          <w:rFonts w:ascii="Times New Roman" w:hAnsi="Times New Roman" w:cs="Times New Roman"/>
          <w:bCs/>
          <w:iCs/>
          <w:sz w:val="24"/>
          <w:szCs w:val="24"/>
          <w:lang w:val="en-US"/>
        </w:rPr>
        <w:t xml:space="preserve"> (</w:t>
      </w:r>
      <w:proofErr w:type="spellStart"/>
      <w:r w:rsidR="00752F2B">
        <w:rPr>
          <w:rFonts w:ascii="Times New Roman" w:hAnsi="Times New Roman" w:cs="Times New Roman"/>
          <w:bCs/>
          <w:iCs/>
          <w:sz w:val="24"/>
          <w:szCs w:val="24"/>
          <w:lang w:val="en-US"/>
        </w:rPr>
        <w:t>Mazei</w:t>
      </w:r>
      <w:proofErr w:type="spellEnd"/>
      <w:r w:rsidR="00752F2B">
        <w:rPr>
          <w:rFonts w:ascii="Times New Roman" w:hAnsi="Times New Roman" w:cs="Times New Roman"/>
          <w:bCs/>
          <w:iCs/>
          <w:sz w:val="24"/>
          <w:szCs w:val="24"/>
          <w:lang w:val="en-US"/>
        </w:rPr>
        <w:t xml:space="preserve"> et al. 2014). </w:t>
      </w:r>
      <w:r w:rsidR="009E4537">
        <w:rPr>
          <w:rFonts w:ascii="Times New Roman" w:eastAsia="Times New Roman" w:hAnsi="Times New Roman" w:cs="Times New Roman"/>
          <w:sz w:val="24"/>
          <w:szCs w:val="24"/>
          <w:lang w:val="en-GB" w:eastAsia="de-AT"/>
        </w:rPr>
        <w:t xml:space="preserve">In addition, </w:t>
      </w:r>
      <w:r w:rsidR="002855DA">
        <w:rPr>
          <w:rFonts w:ascii="Times New Roman" w:eastAsia="Times New Roman" w:hAnsi="Times New Roman" w:cs="Times New Roman"/>
          <w:sz w:val="24"/>
          <w:szCs w:val="24"/>
          <w:lang w:val="en-GB" w:eastAsia="de-AT"/>
        </w:rPr>
        <w:t xml:space="preserve">previous studies find that </w:t>
      </w:r>
      <w:r w:rsidR="00770514">
        <w:rPr>
          <w:rFonts w:ascii="Times New Roman" w:eastAsia="Times New Roman" w:hAnsi="Times New Roman" w:cs="Times New Roman"/>
          <w:sz w:val="24"/>
          <w:szCs w:val="24"/>
          <w:lang w:val="en-GB" w:eastAsia="de-AT"/>
        </w:rPr>
        <w:t>negotiation outcomes are affected by the power of the negotiators (e.g. Kim et al. 2005). As size of the audit firm and size of the client are common proxies for power (Gibbins et al. 2001)</w:t>
      </w:r>
      <w:r w:rsidR="002855DA">
        <w:rPr>
          <w:rFonts w:ascii="Times New Roman" w:eastAsia="Times New Roman" w:hAnsi="Times New Roman" w:cs="Times New Roman"/>
          <w:sz w:val="24"/>
          <w:szCs w:val="24"/>
          <w:lang w:val="en-GB" w:eastAsia="de-AT"/>
        </w:rPr>
        <w:t xml:space="preserve">, we include a dummy variable whether the audit firm is a Big 4 (yes=1, no=0) as well as a variable for the number of employees (in full-time equivalents) working for the client. </w:t>
      </w:r>
      <w:r w:rsidR="00AB2EA4">
        <w:rPr>
          <w:rFonts w:ascii="Times New Roman" w:eastAsia="Arial Unicode MS" w:hAnsi="Times New Roman" w:cs="Times New Roman"/>
          <w:sz w:val="24"/>
          <w:szCs w:val="24"/>
          <w:u w:color="000000"/>
          <w:lang w:val="en-US"/>
        </w:rPr>
        <w:t xml:space="preserve">Finally, </w:t>
      </w:r>
      <w:r w:rsidR="001A3A4F">
        <w:rPr>
          <w:rFonts w:ascii="Times New Roman" w:eastAsia="Arial Unicode MS" w:hAnsi="Times New Roman" w:cs="Times New Roman"/>
          <w:sz w:val="24"/>
          <w:szCs w:val="24"/>
          <w:u w:color="000000"/>
          <w:lang w:val="en-US"/>
        </w:rPr>
        <w:t>negotiation outcomes are also influenced by the negotiation experience of the parties involved (</w:t>
      </w:r>
      <w:r w:rsidR="006A7464">
        <w:rPr>
          <w:rFonts w:ascii="Times New Roman" w:eastAsia="Arial Unicode MS" w:hAnsi="Times New Roman" w:cs="Times New Roman"/>
          <w:sz w:val="24"/>
          <w:szCs w:val="24"/>
          <w:u w:color="000000"/>
          <w:lang w:val="en-US"/>
        </w:rPr>
        <w:t xml:space="preserve">e.g. </w:t>
      </w:r>
      <w:r w:rsidR="00636D05">
        <w:rPr>
          <w:rFonts w:ascii="Times New Roman" w:eastAsia="Arial Unicode MS" w:hAnsi="Times New Roman" w:cs="Times New Roman"/>
          <w:sz w:val="24"/>
          <w:szCs w:val="24"/>
          <w:u w:color="000000"/>
          <w:lang w:val="en-US"/>
        </w:rPr>
        <w:t xml:space="preserve">Montgomery and Benedict 1989; Neale and </w:t>
      </w:r>
      <w:proofErr w:type="spellStart"/>
      <w:r w:rsidR="00636D05">
        <w:rPr>
          <w:rFonts w:ascii="Times New Roman" w:eastAsia="Arial Unicode MS" w:hAnsi="Times New Roman" w:cs="Times New Roman"/>
          <w:sz w:val="24"/>
          <w:szCs w:val="24"/>
          <w:u w:color="000000"/>
          <w:lang w:val="en-US"/>
        </w:rPr>
        <w:t>Northcraft</w:t>
      </w:r>
      <w:proofErr w:type="spellEnd"/>
      <w:r w:rsidR="00056702">
        <w:rPr>
          <w:rFonts w:ascii="Times New Roman" w:eastAsia="Arial Unicode MS" w:hAnsi="Times New Roman" w:cs="Times New Roman"/>
          <w:sz w:val="24"/>
          <w:szCs w:val="24"/>
          <w:u w:color="000000"/>
          <w:lang w:val="en-US"/>
        </w:rPr>
        <w:t xml:space="preserve"> 1986</w:t>
      </w:r>
      <w:r w:rsidR="00636D05">
        <w:rPr>
          <w:rFonts w:ascii="Times New Roman" w:eastAsia="Arial Unicode MS" w:hAnsi="Times New Roman" w:cs="Times New Roman"/>
          <w:sz w:val="24"/>
          <w:szCs w:val="24"/>
          <w:u w:color="000000"/>
          <w:lang w:val="en-US"/>
        </w:rPr>
        <w:t>; Thompson 1990</w:t>
      </w:r>
      <w:r w:rsidR="006A7464">
        <w:rPr>
          <w:rFonts w:ascii="Times New Roman" w:eastAsia="Arial Unicode MS" w:hAnsi="Times New Roman" w:cs="Times New Roman"/>
          <w:sz w:val="24"/>
          <w:szCs w:val="24"/>
          <w:u w:color="000000"/>
          <w:lang w:val="en-US"/>
        </w:rPr>
        <w:t>)</w:t>
      </w:r>
      <w:r w:rsidR="001A3A4F">
        <w:rPr>
          <w:rFonts w:ascii="Times New Roman" w:eastAsia="Arial Unicode MS" w:hAnsi="Times New Roman" w:cs="Times New Roman"/>
          <w:sz w:val="24"/>
          <w:szCs w:val="24"/>
          <w:u w:color="000000"/>
          <w:lang w:val="en-US"/>
        </w:rPr>
        <w:t xml:space="preserve">. </w:t>
      </w:r>
      <w:r w:rsidR="002464F0">
        <w:rPr>
          <w:rFonts w:ascii="Times New Roman" w:eastAsia="Arial Unicode MS" w:hAnsi="Times New Roman" w:cs="Times New Roman"/>
          <w:sz w:val="24"/>
          <w:szCs w:val="24"/>
          <w:u w:color="000000"/>
          <w:lang w:val="en-US"/>
        </w:rPr>
        <w:t>Regarding</w:t>
      </w:r>
      <w:r w:rsidR="00636D05">
        <w:rPr>
          <w:rFonts w:ascii="Times New Roman" w:eastAsia="Arial Unicode MS" w:hAnsi="Times New Roman" w:cs="Times New Roman"/>
          <w:sz w:val="24"/>
          <w:szCs w:val="24"/>
          <w:u w:color="000000"/>
          <w:lang w:val="en-US"/>
        </w:rPr>
        <w:t xml:space="preserve"> auditor-client negotiations, </w:t>
      </w:r>
      <w:r w:rsidR="00B648E5">
        <w:rPr>
          <w:rFonts w:ascii="Times New Roman" w:eastAsia="Arial Unicode MS" w:hAnsi="Times New Roman" w:cs="Times New Roman"/>
          <w:sz w:val="24"/>
          <w:szCs w:val="24"/>
          <w:u w:color="000000"/>
          <w:lang w:val="en-US"/>
        </w:rPr>
        <w:t xml:space="preserve">the </w:t>
      </w:r>
      <w:r w:rsidR="00CF0D13">
        <w:rPr>
          <w:rFonts w:ascii="Times New Roman" w:eastAsia="Arial Unicode MS" w:hAnsi="Times New Roman" w:cs="Times New Roman"/>
          <w:sz w:val="24"/>
          <w:szCs w:val="24"/>
          <w:u w:color="000000"/>
          <w:lang w:val="en-US"/>
        </w:rPr>
        <w:t>audit</w:t>
      </w:r>
      <w:r w:rsidR="00027A4F">
        <w:rPr>
          <w:rFonts w:ascii="Times New Roman" w:eastAsia="Arial Unicode MS" w:hAnsi="Times New Roman" w:cs="Times New Roman"/>
          <w:sz w:val="24"/>
          <w:szCs w:val="24"/>
          <w:u w:color="000000"/>
          <w:lang w:val="en-US"/>
        </w:rPr>
        <w:t>or</w:t>
      </w:r>
      <w:r w:rsidR="00B648E5">
        <w:rPr>
          <w:rFonts w:ascii="Times New Roman" w:eastAsia="Arial Unicode MS" w:hAnsi="Times New Roman" w:cs="Times New Roman"/>
          <w:sz w:val="24"/>
          <w:szCs w:val="24"/>
          <w:u w:color="000000"/>
          <w:lang w:val="en-US"/>
        </w:rPr>
        <w:t>’s</w:t>
      </w:r>
      <w:r w:rsidR="00CF0D13">
        <w:rPr>
          <w:rFonts w:ascii="Times New Roman" w:eastAsia="Arial Unicode MS" w:hAnsi="Times New Roman" w:cs="Times New Roman"/>
          <w:sz w:val="24"/>
          <w:szCs w:val="24"/>
          <w:u w:color="000000"/>
          <w:lang w:val="en-US"/>
        </w:rPr>
        <w:t xml:space="preserve"> experience</w:t>
      </w:r>
      <w:r w:rsidR="0012799F">
        <w:rPr>
          <w:rFonts w:ascii="Times New Roman" w:eastAsia="Arial Unicode MS" w:hAnsi="Times New Roman" w:cs="Times New Roman"/>
          <w:sz w:val="24"/>
          <w:szCs w:val="24"/>
          <w:u w:color="000000"/>
          <w:lang w:val="en-US"/>
        </w:rPr>
        <w:t xml:space="preserve"> </w:t>
      </w:r>
      <w:r w:rsidR="00CF0D13">
        <w:rPr>
          <w:rFonts w:ascii="Times New Roman" w:eastAsia="Arial Unicode MS" w:hAnsi="Times New Roman" w:cs="Times New Roman"/>
          <w:sz w:val="24"/>
          <w:szCs w:val="24"/>
          <w:u w:color="000000"/>
          <w:lang w:val="en-US"/>
        </w:rPr>
        <w:t xml:space="preserve">was </w:t>
      </w:r>
      <w:r w:rsidR="0012799F">
        <w:rPr>
          <w:rFonts w:ascii="Times New Roman" w:eastAsia="Arial Unicode MS" w:hAnsi="Times New Roman" w:cs="Times New Roman"/>
          <w:sz w:val="24"/>
          <w:szCs w:val="24"/>
          <w:u w:color="000000"/>
          <w:lang w:val="en-US"/>
        </w:rPr>
        <w:t>found to</w:t>
      </w:r>
      <w:r w:rsidR="00CF0D13">
        <w:rPr>
          <w:rFonts w:ascii="Times New Roman" w:eastAsia="Arial Unicode MS" w:hAnsi="Times New Roman" w:cs="Times New Roman"/>
          <w:sz w:val="24"/>
          <w:szCs w:val="24"/>
          <w:u w:color="000000"/>
          <w:lang w:val="en-US"/>
        </w:rPr>
        <w:t xml:space="preserve"> impact negotiation planning judgements (Trotman et al. 2009) as well as the negotiated outcome (Brown and Johnstone 2009).</w:t>
      </w:r>
      <w:r w:rsidR="0012799F">
        <w:rPr>
          <w:rFonts w:ascii="Times New Roman" w:eastAsia="Arial Unicode MS" w:hAnsi="Times New Roman" w:cs="Times New Roman"/>
          <w:sz w:val="24"/>
          <w:szCs w:val="24"/>
          <w:u w:color="000000"/>
          <w:lang w:val="en-US"/>
        </w:rPr>
        <w:t xml:space="preserve"> </w:t>
      </w:r>
      <w:r w:rsidR="00B6267E">
        <w:rPr>
          <w:rFonts w:ascii="Times New Roman" w:eastAsia="Arial Unicode MS" w:hAnsi="Times New Roman" w:cs="Times New Roman"/>
          <w:sz w:val="24"/>
          <w:szCs w:val="24"/>
          <w:u w:color="000000"/>
          <w:lang w:val="en-US"/>
        </w:rPr>
        <w:t xml:space="preserve">We therefore </w:t>
      </w:r>
      <w:r w:rsidR="002464F0">
        <w:rPr>
          <w:rFonts w:ascii="Times New Roman" w:eastAsia="Arial Unicode MS" w:hAnsi="Times New Roman" w:cs="Times New Roman"/>
          <w:sz w:val="24"/>
          <w:szCs w:val="24"/>
          <w:u w:color="000000"/>
          <w:lang w:val="en-US"/>
        </w:rPr>
        <w:t xml:space="preserve">also </w:t>
      </w:r>
      <w:r w:rsidR="00B6267E">
        <w:rPr>
          <w:rFonts w:ascii="Times New Roman" w:eastAsia="Arial Unicode MS" w:hAnsi="Times New Roman" w:cs="Times New Roman"/>
          <w:sz w:val="24"/>
          <w:szCs w:val="24"/>
          <w:u w:color="000000"/>
          <w:lang w:val="en-US"/>
        </w:rPr>
        <w:t xml:space="preserve">include the auditor’s tenure (in years) as control variable. </w:t>
      </w:r>
      <w:r w:rsidR="002464F0">
        <w:rPr>
          <w:rFonts w:ascii="Times New Roman" w:eastAsia="Arial Unicode MS" w:hAnsi="Times New Roman" w:cs="Times New Roman"/>
          <w:sz w:val="24"/>
          <w:szCs w:val="24"/>
          <w:u w:color="000000"/>
          <w:lang w:val="en-US"/>
        </w:rPr>
        <w:t>However, a</w:t>
      </w:r>
      <w:r w:rsidR="00B6267E">
        <w:rPr>
          <w:rFonts w:ascii="Times New Roman" w:eastAsia="Arial Unicode MS" w:hAnsi="Times New Roman" w:cs="Times New Roman"/>
          <w:sz w:val="24"/>
          <w:szCs w:val="24"/>
          <w:u w:color="000000"/>
          <w:lang w:val="en-US"/>
        </w:rPr>
        <w:t xml:space="preserve">s the outcome of auditor-client negotiations is not only affected by the auditor’s experience, but also by the client’s experience, we also include the client’s age </w:t>
      </w:r>
      <w:r w:rsidR="002464F0">
        <w:rPr>
          <w:rFonts w:ascii="Times New Roman" w:eastAsia="Arial Unicode MS" w:hAnsi="Times New Roman" w:cs="Times New Roman"/>
          <w:sz w:val="24"/>
          <w:szCs w:val="24"/>
          <w:u w:color="000000"/>
          <w:lang w:val="en-US"/>
        </w:rPr>
        <w:t xml:space="preserve">(in years) </w:t>
      </w:r>
      <w:r w:rsidR="00B6267E">
        <w:rPr>
          <w:rFonts w:ascii="Times New Roman" w:eastAsia="Arial Unicode MS" w:hAnsi="Times New Roman" w:cs="Times New Roman"/>
          <w:sz w:val="24"/>
          <w:szCs w:val="24"/>
          <w:u w:color="000000"/>
          <w:lang w:val="en-US"/>
        </w:rPr>
        <w:t>as proxy for their experience.</w:t>
      </w:r>
    </w:p>
    <w:p w14:paraId="1F1BF81A" w14:textId="46368245" w:rsidR="000E701B" w:rsidRPr="000E701B" w:rsidRDefault="003A3262" w:rsidP="000E701B">
      <w:pPr>
        <w:keepNext/>
        <w:spacing w:before="120" w:after="120" w:line="240" w:lineRule="auto"/>
        <w:ind w:firstLine="709"/>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In order to ensure that participants pay attention when reading and filling out the survey instrument we carefully designed it with a clear focus to keep it as short as possible</w:t>
      </w:r>
      <w:r w:rsidR="004F0852">
        <w:rPr>
          <w:rFonts w:ascii="Times New Roman" w:eastAsia="Times New Roman" w:hAnsi="Times New Roman" w:cs="Times New Roman"/>
          <w:sz w:val="24"/>
          <w:szCs w:val="24"/>
          <w:lang w:val="en-GB" w:eastAsia="de-AT"/>
        </w:rPr>
        <w:t xml:space="preserve"> (Krosnick </w:t>
      </w:r>
      <w:r w:rsidR="004F0852">
        <w:rPr>
          <w:rFonts w:ascii="Times New Roman" w:eastAsia="Times New Roman" w:hAnsi="Times New Roman" w:cs="Times New Roman"/>
          <w:sz w:val="24"/>
          <w:szCs w:val="24"/>
          <w:lang w:val="en-GB" w:eastAsia="de-AT"/>
        </w:rPr>
        <w:lastRenderedPageBreak/>
        <w:t xml:space="preserve">1999; </w:t>
      </w:r>
      <w:proofErr w:type="spellStart"/>
      <w:r w:rsidR="004F0852">
        <w:rPr>
          <w:rFonts w:ascii="Times New Roman" w:eastAsia="Times New Roman" w:hAnsi="Times New Roman" w:cs="Times New Roman"/>
          <w:sz w:val="24"/>
          <w:szCs w:val="24"/>
          <w:lang w:val="en-GB" w:eastAsia="de-AT"/>
        </w:rPr>
        <w:t>Galesic</w:t>
      </w:r>
      <w:proofErr w:type="spellEnd"/>
      <w:r w:rsidR="004F0852">
        <w:rPr>
          <w:rFonts w:ascii="Times New Roman" w:eastAsia="Times New Roman" w:hAnsi="Times New Roman" w:cs="Times New Roman"/>
          <w:sz w:val="24"/>
          <w:szCs w:val="24"/>
          <w:lang w:val="en-GB" w:eastAsia="de-AT"/>
        </w:rPr>
        <w:t xml:space="preserve"> and </w:t>
      </w:r>
      <w:proofErr w:type="spellStart"/>
      <w:r w:rsidR="004F0852">
        <w:rPr>
          <w:rFonts w:ascii="Times New Roman" w:eastAsia="Times New Roman" w:hAnsi="Times New Roman" w:cs="Times New Roman"/>
          <w:sz w:val="24"/>
          <w:szCs w:val="24"/>
          <w:lang w:val="en-GB" w:eastAsia="de-AT"/>
        </w:rPr>
        <w:t>Bosnjak</w:t>
      </w:r>
      <w:proofErr w:type="spellEnd"/>
      <w:r w:rsidR="004F0852">
        <w:rPr>
          <w:rFonts w:ascii="Times New Roman" w:eastAsia="Times New Roman" w:hAnsi="Times New Roman" w:cs="Times New Roman"/>
          <w:sz w:val="24"/>
          <w:szCs w:val="24"/>
          <w:lang w:val="en-GB" w:eastAsia="de-AT"/>
        </w:rPr>
        <w:t xml:space="preserve"> 2009)</w:t>
      </w:r>
      <w:r>
        <w:rPr>
          <w:rFonts w:ascii="Times New Roman" w:eastAsia="Times New Roman" w:hAnsi="Times New Roman" w:cs="Times New Roman"/>
          <w:sz w:val="24"/>
          <w:szCs w:val="24"/>
          <w:lang w:val="en-GB" w:eastAsia="de-AT"/>
        </w:rPr>
        <w:t>. To</w:t>
      </w:r>
      <w:r w:rsidR="000E76D3">
        <w:rPr>
          <w:rFonts w:ascii="Times New Roman" w:eastAsia="Times New Roman" w:hAnsi="Times New Roman" w:cs="Times New Roman"/>
          <w:sz w:val="24"/>
          <w:szCs w:val="24"/>
          <w:lang w:val="en-GB" w:eastAsia="de-AT"/>
        </w:rPr>
        <w:t xml:space="preserve"> test the validity of the manipulation, we ran </w:t>
      </w:r>
      <w:r>
        <w:rPr>
          <w:rFonts w:ascii="Times New Roman" w:eastAsia="Times New Roman" w:hAnsi="Times New Roman" w:cs="Times New Roman"/>
          <w:sz w:val="24"/>
          <w:szCs w:val="24"/>
          <w:lang w:val="en-GB" w:eastAsia="de-AT"/>
        </w:rPr>
        <w:t>an intensive p</w:t>
      </w:r>
      <w:r w:rsidR="000E701B" w:rsidRPr="000E701B">
        <w:rPr>
          <w:rFonts w:ascii="Times New Roman" w:eastAsia="Times New Roman" w:hAnsi="Times New Roman" w:cs="Times New Roman"/>
          <w:sz w:val="24"/>
          <w:szCs w:val="24"/>
          <w:lang w:val="en-GB" w:eastAsia="de-AT"/>
        </w:rPr>
        <w:t xml:space="preserve">re-test </w:t>
      </w:r>
      <w:r w:rsidR="004F0852">
        <w:rPr>
          <w:rFonts w:ascii="Times New Roman" w:eastAsia="Times New Roman" w:hAnsi="Times New Roman" w:cs="Times New Roman"/>
          <w:sz w:val="24"/>
          <w:szCs w:val="24"/>
          <w:lang w:val="en-GB" w:eastAsia="de-AT"/>
        </w:rPr>
        <w:t xml:space="preserve">(Hauser et al. 2018) </w:t>
      </w:r>
      <w:r w:rsidR="000E76D3">
        <w:rPr>
          <w:rFonts w:ascii="Times New Roman" w:eastAsia="Times New Roman" w:hAnsi="Times New Roman" w:cs="Times New Roman"/>
          <w:sz w:val="24"/>
          <w:szCs w:val="24"/>
          <w:lang w:val="en-GB" w:eastAsia="de-AT"/>
        </w:rPr>
        <w:t>where we first had members of the sample (potential participants of the study) fill in the survey instrument and then had them report their thoughts when reading the case vignette, scales and instructions as well as their considerations when taking their decision. Their thoughts and considerations were in line with the intended reaction to the manipulation and thus no major changes were necessary.</w:t>
      </w:r>
    </w:p>
    <w:p w14:paraId="0F09B977" w14:textId="77777777" w:rsidR="000E701B" w:rsidRPr="000E701B" w:rsidRDefault="000E701B" w:rsidP="000E701B">
      <w:pPr>
        <w:spacing w:before="120" w:after="120" w:line="240" w:lineRule="auto"/>
        <w:jc w:val="both"/>
        <w:rPr>
          <w:rFonts w:ascii="Times New Roman" w:eastAsia="Times New Roman" w:hAnsi="Times New Roman" w:cs="Times New Roman"/>
          <w:b/>
          <w:sz w:val="24"/>
          <w:szCs w:val="24"/>
          <w:lang w:val="en-GB" w:eastAsia="de-AT"/>
        </w:rPr>
      </w:pPr>
    </w:p>
    <w:p w14:paraId="031CD0AB" w14:textId="77777777" w:rsidR="000E701B" w:rsidRPr="000E701B" w:rsidRDefault="000E701B" w:rsidP="000E701B">
      <w:pPr>
        <w:keepNext/>
        <w:spacing w:before="120" w:after="120" w:line="240" w:lineRule="auto"/>
        <w:rPr>
          <w:rFonts w:ascii="Times New Roman" w:eastAsia="Times New Roman" w:hAnsi="Times New Roman" w:cs="Times New Roman"/>
          <w:b/>
          <w:caps/>
          <w:sz w:val="24"/>
          <w:szCs w:val="24"/>
          <w:lang w:val="en-GB" w:eastAsia="de-AT"/>
        </w:rPr>
      </w:pPr>
      <w:r w:rsidRPr="000E701B">
        <w:rPr>
          <w:rFonts w:ascii="Times New Roman" w:eastAsia="Times New Roman" w:hAnsi="Times New Roman" w:cs="Times New Roman"/>
          <w:b/>
          <w:caps/>
          <w:sz w:val="24"/>
          <w:szCs w:val="24"/>
          <w:lang w:val="en-GB" w:eastAsia="de-AT"/>
        </w:rPr>
        <w:t>Results and test of hypotheses</w:t>
      </w:r>
    </w:p>
    <w:p w14:paraId="037DD9B6" w14:textId="77777777" w:rsidR="000E701B" w:rsidRPr="000E701B" w:rsidRDefault="000E701B" w:rsidP="000E701B">
      <w:pPr>
        <w:keepNext/>
        <w:spacing w:before="120" w:after="120" w:line="240" w:lineRule="auto"/>
        <w:ind w:firstLine="709"/>
        <w:jc w:val="both"/>
        <w:rPr>
          <w:rFonts w:ascii="Times New Roman" w:eastAsia="Times New Roman" w:hAnsi="Times New Roman" w:cs="Times New Roman"/>
          <w:sz w:val="24"/>
          <w:szCs w:val="24"/>
          <w:lang w:val="en-GB" w:eastAsia="de-AT"/>
        </w:rPr>
      </w:pPr>
    </w:p>
    <w:p w14:paraId="0E15C755" w14:textId="77777777" w:rsidR="000E701B" w:rsidRPr="000E701B" w:rsidRDefault="000E701B" w:rsidP="000E701B">
      <w:pPr>
        <w:keepNext/>
        <w:spacing w:before="120" w:after="120" w:line="240" w:lineRule="auto"/>
        <w:ind w:firstLine="709"/>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The descriptive statistics are reported in Tables 2 and 3. </w:t>
      </w:r>
    </w:p>
    <w:p w14:paraId="748CB26D" w14:textId="77777777" w:rsidR="000E701B" w:rsidRPr="000E701B" w:rsidRDefault="000E701B" w:rsidP="000E701B">
      <w:pPr>
        <w:keepNext/>
        <w:spacing w:before="120" w:after="120" w:line="240" w:lineRule="auto"/>
        <w:ind w:firstLine="709"/>
        <w:jc w:val="both"/>
        <w:rPr>
          <w:rFonts w:ascii="Times New Roman" w:eastAsia="Times New Roman" w:hAnsi="Times New Roman" w:cs="Times New Roman"/>
          <w:sz w:val="24"/>
          <w:szCs w:val="24"/>
          <w:lang w:val="en-GB" w:eastAsia="de-AT"/>
        </w:rPr>
      </w:pPr>
    </w:p>
    <w:p w14:paraId="54A5F725" w14:textId="77777777" w:rsidR="000E701B" w:rsidRPr="000E701B" w:rsidRDefault="000E701B" w:rsidP="000E701B">
      <w:pPr>
        <w:spacing w:before="120" w:after="120" w:line="240" w:lineRule="auto"/>
        <w:ind w:firstLine="709"/>
        <w:jc w:val="cente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w:t>
      </w:r>
    </w:p>
    <w:p w14:paraId="7E072C1E" w14:textId="77777777" w:rsidR="000E701B" w:rsidRPr="000E701B" w:rsidRDefault="000E701B" w:rsidP="000E701B">
      <w:pPr>
        <w:spacing w:before="120" w:after="120" w:line="240" w:lineRule="auto"/>
        <w:ind w:firstLine="709"/>
        <w:jc w:val="cente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Insert tables 2 and 3 about here</w:t>
      </w:r>
    </w:p>
    <w:p w14:paraId="74346764" w14:textId="77777777" w:rsidR="000E701B" w:rsidRPr="000E701B" w:rsidRDefault="000E701B" w:rsidP="000E701B">
      <w:pPr>
        <w:spacing w:before="120" w:after="120" w:line="240" w:lineRule="auto"/>
        <w:ind w:firstLine="709"/>
        <w:jc w:val="cente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w:t>
      </w:r>
    </w:p>
    <w:p w14:paraId="196F6822" w14:textId="77777777" w:rsidR="000E701B" w:rsidRPr="000E701B" w:rsidRDefault="000E701B" w:rsidP="000E701B">
      <w:pPr>
        <w:keepNext/>
        <w:spacing w:before="120" w:after="120" w:line="240" w:lineRule="auto"/>
        <w:ind w:firstLine="709"/>
        <w:jc w:val="both"/>
        <w:rPr>
          <w:rFonts w:ascii="Times New Roman" w:eastAsia="Times New Roman" w:hAnsi="Times New Roman" w:cs="Times New Roman"/>
          <w:sz w:val="24"/>
          <w:szCs w:val="24"/>
          <w:lang w:val="en-GB" w:eastAsia="de-AT"/>
        </w:rPr>
      </w:pPr>
    </w:p>
    <w:p w14:paraId="61FA9D1E" w14:textId="15F89FEF" w:rsidR="000E701B" w:rsidRPr="000E701B" w:rsidRDefault="000E701B" w:rsidP="000E701B">
      <w:pPr>
        <w:keepNext/>
        <w:spacing w:before="120" w:after="120" w:line="240" w:lineRule="auto"/>
        <w:ind w:firstLine="709"/>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The correlations between the independent variables show the expected signs and are low in both </w:t>
      </w:r>
      <w:r w:rsidRPr="00570C16">
        <w:rPr>
          <w:rFonts w:ascii="Times New Roman" w:eastAsia="Times New Roman" w:hAnsi="Times New Roman" w:cs="Times New Roman"/>
          <w:sz w:val="24"/>
          <w:szCs w:val="24"/>
          <w:lang w:val="en-GB" w:eastAsia="de-AT"/>
        </w:rPr>
        <w:t xml:space="preserve">samples, </w:t>
      </w:r>
      <w:r w:rsidR="00570C16" w:rsidRPr="00570C16">
        <w:rPr>
          <w:rFonts w:ascii="Times New Roman" w:eastAsia="Times New Roman" w:hAnsi="Times New Roman" w:cs="Times New Roman"/>
          <w:sz w:val="24"/>
          <w:szCs w:val="24"/>
          <w:lang w:val="en-GB" w:eastAsia="de-AT"/>
        </w:rPr>
        <w:t>with the highest being .294 in the auditor sample and .340</w:t>
      </w:r>
      <w:r w:rsidRPr="00570C16">
        <w:rPr>
          <w:rFonts w:ascii="Times New Roman" w:eastAsia="Times New Roman" w:hAnsi="Times New Roman" w:cs="Times New Roman"/>
          <w:sz w:val="24"/>
          <w:szCs w:val="24"/>
          <w:lang w:val="en-GB" w:eastAsia="de-AT"/>
        </w:rPr>
        <w:t xml:space="preserve"> in the client sample.</w:t>
      </w:r>
    </w:p>
    <w:p w14:paraId="666A6DA6" w14:textId="2732AD9F" w:rsidR="000E701B" w:rsidRPr="000E701B" w:rsidRDefault="000E701B" w:rsidP="000E701B">
      <w:pPr>
        <w:spacing w:before="120" w:after="120" w:line="240" w:lineRule="auto"/>
        <w:ind w:firstLine="709"/>
        <w:jc w:val="both"/>
        <w:rPr>
          <w:rFonts w:ascii="Times New Roman" w:eastAsia="Times New Roman" w:hAnsi="Times New Roman" w:cs="Times New Roman"/>
          <w:sz w:val="24"/>
          <w:szCs w:val="24"/>
          <w:lang w:val="en-US" w:eastAsia="de-AT"/>
        </w:rPr>
      </w:pPr>
      <w:r w:rsidRPr="000E701B">
        <w:rPr>
          <w:rFonts w:ascii="Times New Roman" w:eastAsia="Times New Roman" w:hAnsi="Times New Roman" w:cs="Times New Roman"/>
          <w:sz w:val="24"/>
          <w:szCs w:val="24"/>
          <w:lang w:val="en-US" w:eastAsia="de-AT"/>
        </w:rPr>
        <w:t>We performed hierarchical linear OLS regression analyses to test our four hypotheses. Table 4 summarizes the findings of the test of hypotheses. As the auditors and clients are not matched dyads, we run separate regressions for the auditor perspective (A) and the client perspective (C). In each regression</w:t>
      </w:r>
      <w:r w:rsidR="00C7211A">
        <w:rPr>
          <w:rFonts w:ascii="Times New Roman" w:eastAsia="Times New Roman" w:hAnsi="Times New Roman" w:cs="Times New Roman"/>
          <w:sz w:val="24"/>
          <w:szCs w:val="24"/>
          <w:lang w:val="en-US" w:eastAsia="de-AT"/>
        </w:rPr>
        <w:t>,</w:t>
      </w:r>
      <w:r w:rsidRPr="000E701B">
        <w:rPr>
          <w:rFonts w:ascii="Times New Roman" w:eastAsia="Times New Roman" w:hAnsi="Times New Roman" w:cs="Times New Roman"/>
          <w:sz w:val="24"/>
          <w:szCs w:val="24"/>
          <w:lang w:val="en-US" w:eastAsia="de-AT"/>
        </w:rPr>
        <w:t xml:space="preserve"> the likelihood to </w:t>
      </w:r>
      <w:r w:rsidR="001645F4">
        <w:rPr>
          <w:rFonts w:ascii="Times New Roman" w:eastAsia="Times New Roman" w:hAnsi="Times New Roman" w:cs="Times New Roman"/>
          <w:sz w:val="24"/>
          <w:szCs w:val="24"/>
          <w:lang w:val="en-US" w:eastAsia="de-AT"/>
        </w:rPr>
        <w:t xml:space="preserve">stand up to </w:t>
      </w:r>
      <w:r w:rsidRPr="000E701B">
        <w:rPr>
          <w:rFonts w:ascii="Times New Roman" w:eastAsia="Times New Roman" w:hAnsi="Times New Roman" w:cs="Times New Roman"/>
          <w:sz w:val="24"/>
          <w:szCs w:val="24"/>
          <w:lang w:val="en-US" w:eastAsia="de-AT"/>
        </w:rPr>
        <w:t xml:space="preserve">the interaction partner’s position is the dependent variable. We first enter the control variables in the equation (A1 and C1), add the independent variables competence trust and goodwill trust in a second step (A2 and C2) and finally add the interaction term of competence trust and goodwill trust in the third step. However, the third step is not significant in either of the models and, thus, is not reported in detail. </w:t>
      </w:r>
    </w:p>
    <w:p w14:paraId="1BFD6CC6" w14:textId="77777777" w:rsidR="000E701B" w:rsidRPr="000E701B" w:rsidRDefault="000E701B" w:rsidP="000E701B">
      <w:pPr>
        <w:keepNext/>
        <w:spacing w:before="120" w:after="120" w:line="240" w:lineRule="auto"/>
        <w:ind w:firstLine="709"/>
        <w:jc w:val="cente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w:t>
      </w:r>
    </w:p>
    <w:p w14:paraId="644297E2" w14:textId="77777777" w:rsidR="000E701B" w:rsidRPr="000E701B" w:rsidRDefault="000E701B" w:rsidP="000E701B">
      <w:pPr>
        <w:keepNext/>
        <w:spacing w:before="120" w:after="120" w:line="240" w:lineRule="auto"/>
        <w:ind w:firstLine="709"/>
        <w:jc w:val="cente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Insert table 4 about here</w:t>
      </w:r>
    </w:p>
    <w:p w14:paraId="69C99C87" w14:textId="77777777" w:rsidR="000E701B" w:rsidRPr="000E701B" w:rsidRDefault="000E701B" w:rsidP="000E701B">
      <w:pPr>
        <w:keepNext/>
        <w:spacing w:before="120" w:after="120" w:line="240" w:lineRule="auto"/>
        <w:ind w:firstLine="709"/>
        <w:jc w:val="cente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w:t>
      </w:r>
    </w:p>
    <w:p w14:paraId="7686E8AA" w14:textId="77777777" w:rsidR="000E701B" w:rsidRPr="000E701B" w:rsidRDefault="000E701B" w:rsidP="000E701B">
      <w:pPr>
        <w:spacing w:before="120" w:after="120" w:line="240" w:lineRule="auto"/>
        <w:ind w:firstLine="709"/>
        <w:jc w:val="both"/>
        <w:rPr>
          <w:rFonts w:ascii="Times New Roman" w:eastAsia="Times New Roman" w:hAnsi="Times New Roman" w:cs="Times New Roman"/>
          <w:sz w:val="24"/>
          <w:szCs w:val="24"/>
          <w:lang w:val="en-US" w:eastAsia="de-AT"/>
        </w:rPr>
      </w:pPr>
    </w:p>
    <w:p w14:paraId="3098CB1A" w14:textId="7E5C2907" w:rsidR="000E701B" w:rsidRPr="000E701B" w:rsidRDefault="000E701B" w:rsidP="000E701B">
      <w:pPr>
        <w:spacing w:before="120" w:after="120" w:line="240" w:lineRule="auto"/>
        <w:ind w:firstLine="709"/>
        <w:jc w:val="both"/>
        <w:rPr>
          <w:rFonts w:ascii="Times New Roman" w:eastAsia="Times New Roman" w:hAnsi="Times New Roman" w:cs="Times New Roman"/>
          <w:sz w:val="24"/>
          <w:szCs w:val="24"/>
          <w:lang w:val="en-US" w:eastAsia="de-AT"/>
        </w:rPr>
      </w:pPr>
      <w:r w:rsidRPr="000E701B">
        <w:rPr>
          <w:rFonts w:ascii="Times New Roman" w:eastAsia="Times New Roman" w:hAnsi="Times New Roman" w:cs="Times New Roman"/>
          <w:sz w:val="24"/>
          <w:szCs w:val="24"/>
          <w:lang w:val="en-US" w:eastAsia="de-AT"/>
        </w:rPr>
        <w:t xml:space="preserve">In the first step, we regressed the control variables against the likelihood to </w:t>
      </w:r>
      <w:r w:rsidR="001645F4">
        <w:rPr>
          <w:rFonts w:ascii="Times New Roman" w:eastAsia="Times New Roman" w:hAnsi="Times New Roman" w:cs="Times New Roman"/>
          <w:sz w:val="24"/>
          <w:szCs w:val="24"/>
          <w:lang w:val="en-US" w:eastAsia="de-AT"/>
        </w:rPr>
        <w:t xml:space="preserve">stand up to </w:t>
      </w:r>
      <w:r w:rsidRPr="000E701B">
        <w:rPr>
          <w:rFonts w:ascii="Times New Roman" w:eastAsia="Times New Roman" w:hAnsi="Times New Roman" w:cs="Times New Roman"/>
          <w:sz w:val="24"/>
          <w:szCs w:val="24"/>
          <w:lang w:val="en-US" w:eastAsia="de-AT"/>
        </w:rPr>
        <w:t xml:space="preserve">the interaction partner’s position. </w:t>
      </w:r>
      <w:r w:rsidR="005B3B9A">
        <w:rPr>
          <w:rFonts w:ascii="Times New Roman" w:eastAsia="Times New Roman" w:hAnsi="Times New Roman" w:cs="Times New Roman"/>
          <w:sz w:val="24"/>
          <w:szCs w:val="24"/>
          <w:lang w:val="en-US" w:eastAsia="de-AT"/>
        </w:rPr>
        <w:t>I</w:t>
      </w:r>
      <w:r w:rsidRPr="000E701B">
        <w:rPr>
          <w:rFonts w:ascii="Times New Roman" w:eastAsia="Times New Roman" w:hAnsi="Times New Roman" w:cs="Times New Roman"/>
          <w:sz w:val="24"/>
          <w:szCs w:val="24"/>
          <w:lang w:val="en-US" w:eastAsia="de-AT"/>
        </w:rPr>
        <w:t>n the auditor sample</w:t>
      </w:r>
      <w:r w:rsidR="005B3B9A">
        <w:rPr>
          <w:rFonts w:ascii="Times New Roman" w:eastAsia="Times New Roman" w:hAnsi="Times New Roman" w:cs="Times New Roman"/>
          <w:sz w:val="24"/>
          <w:szCs w:val="24"/>
          <w:lang w:val="en-US" w:eastAsia="de-AT"/>
        </w:rPr>
        <w:t>,</w:t>
      </w:r>
      <w:r w:rsidRPr="000E701B">
        <w:rPr>
          <w:rFonts w:ascii="Times New Roman" w:eastAsia="Times New Roman" w:hAnsi="Times New Roman" w:cs="Times New Roman"/>
          <w:sz w:val="24"/>
          <w:szCs w:val="24"/>
          <w:lang w:val="en-US" w:eastAsia="de-AT"/>
        </w:rPr>
        <w:t xml:space="preserve"> the model is significant at the five-percent level (p=.000) and explains nearly 19 percent of the variance in the dependent variable (</w:t>
      </w:r>
      <w:proofErr w:type="gramStart"/>
      <w:r w:rsidRPr="000E701B">
        <w:rPr>
          <w:rFonts w:ascii="Times New Roman" w:eastAsia="Times New Roman" w:hAnsi="Times New Roman" w:cs="Times New Roman"/>
          <w:sz w:val="24"/>
          <w:szCs w:val="24"/>
          <w:lang w:val="en-US" w:eastAsia="de-AT"/>
        </w:rPr>
        <w:t>adj.R</w:t>
      </w:r>
      <w:proofErr w:type="gramEnd"/>
      <w:r w:rsidRPr="000E701B">
        <w:rPr>
          <w:rFonts w:ascii="Times New Roman" w:eastAsia="Times New Roman" w:hAnsi="Times New Roman" w:cs="Times New Roman"/>
          <w:sz w:val="24"/>
          <w:szCs w:val="24"/>
          <w:lang w:val="en-US" w:eastAsia="de-AT"/>
        </w:rPr>
        <w:t>²=.187)</w:t>
      </w:r>
      <w:r w:rsidR="005B3B9A">
        <w:rPr>
          <w:rFonts w:ascii="Times New Roman" w:eastAsia="Times New Roman" w:hAnsi="Times New Roman" w:cs="Times New Roman"/>
          <w:sz w:val="24"/>
          <w:szCs w:val="24"/>
          <w:lang w:val="en-US" w:eastAsia="de-AT"/>
        </w:rPr>
        <w:t xml:space="preserve"> in this step</w:t>
      </w:r>
      <w:r w:rsidRPr="000E701B">
        <w:rPr>
          <w:rFonts w:ascii="Times New Roman" w:eastAsia="Times New Roman" w:hAnsi="Times New Roman" w:cs="Times New Roman"/>
          <w:sz w:val="24"/>
          <w:szCs w:val="24"/>
          <w:lang w:val="en-US" w:eastAsia="de-AT"/>
        </w:rPr>
        <w:t>. The only significant predictor is auditor tenure (p=.000), which shows a positive relationship with the auditor’</w:t>
      </w:r>
      <w:r w:rsidR="005B3B9A" w:rsidRPr="000E701B">
        <w:rPr>
          <w:rFonts w:ascii="Times New Roman" w:eastAsia="Times New Roman" w:hAnsi="Times New Roman" w:cs="Times New Roman"/>
          <w:sz w:val="24"/>
          <w:szCs w:val="24"/>
          <w:lang w:val="en-US" w:eastAsia="de-AT"/>
        </w:rPr>
        <w:t>s</w:t>
      </w:r>
      <w:r w:rsidRPr="000E701B">
        <w:rPr>
          <w:rFonts w:ascii="Times New Roman" w:eastAsia="Times New Roman" w:hAnsi="Times New Roman" w:cs="Times New Roman"/>
          <w:sz w:val="24"/>
          <w:szCs w:val="24"/>
          <w:lang w:val="en-US" w:eastAsia="de-AT"/>
        </w:rPr>
        <w:t xml:space="preserve"> likelihood to </w:t>
      </w:r>
      <w:r w:rsidR="001645F4">
        <w:rPr>
          <w:rFonts w:ascii="Times New Roman" w:eastAsia="Times New Roman" w:hAnsi="Times New Roman" w:cs="Times New Roman"/>
          <w:sz w:val="24"/>
          <w:szCs w:val="24"/>
          <w:lang w:val="en-US" w:eastAsia="de-AT"/>
        </w:rPr>
        <w:t xml:space="preserve">stand up to </w:t>
      </w:r>
      <w:r w:rsidRPr="000E701B">
        <w:rPr>
          <w:rFonts w:ascii="Times New Roman" w:eastAsia="Times New Roman" w:hAnsi="Times New Roman" w:cs="Times New Roman"/>
          <w:sz w:val="24"/>
          <w:szCs w:val="24"/>
          <w:lang w:val="en-US" w:eastAsia="de-AT"/>
        </w:rPr>
        <w:t>the clien</w:t>
      </w:r>
      <w:r w:rsidR="00575881">
        <w:rPr>
          <w:rFonts w:ascii="Times New Roman" w:eastAsia="Times New Roman" w:hAnsi="Times New Roman" w:cs="Times New Roman"/>
          <w:sz w:val="24"/>
          <w:szCs w:val="24"/>
          <w:lang w:val="en-US" w:eastAsia="de-AT"/>
        </w:rPr>
        <w:t>t’s negotiation position (ß=.459</w:t>
      </w:r>
      <w:r w:rsidRPr="000E701B">
        <w:rPr>
          <w:rFonts w:ascii="Times New Roman" w:eastAsia="Times New Roman" w:hAnsi="Times New Roman" w:cs="Times New Roman"/>
          <w:sz w:val="24"/>
          <w:szCs w:val="24"/>
          <w:lang w:val="en-US" w:eastAsia="de-AT"/>
        </w:rPr>
        <w:t xml:space="preserve">). In the client sample, the first step of the model is not significant at the ten-percent level. </w:t>
      </w:r>
    </w:p>
    <w:p w14:paraId="70B47C55" w14:textId="598D9085" w:rsidR="000E701B" w:rsidRPr="000E701B" w:rsidRDefault="000E701B" w:rsidP="000E701B">
      <w:pPr>
        <w:spacing w:before="120" w:after="120" w:line="240" w:lineRule="auto"/>
        <w:ind w:firstLine="709"/>
        <w:jc w:val="both"/>
        <w:rPr>
          <w:rFonts w:ascii="Times New Roman" w:eastAsia="Times New Roman" w:hAnsi="Times New Roman" w:cs="Times New Roman"/>
          <w:sz w:val="24"/>
          <w:szCs w:val="24"/>
          <w:lang w:val="en-US" w:eastAsia="de-AT"/>
        </w:rPr>
      </w:pPr>
      <w:r w:rsidRPr="003B7AE3">
        <w:rPr>
          <w:rFonts w:ascii="Times New Roman" w:eastAsia="Times New Roman" w:hAnsi="Times New Roman" w:cs="Times New Roman"/>
          <w:sz w:val="24"/>
          <w:szCs w:val="24"/>
          <w:lang w:val="en-US" w:eastAsia="de-AT"/>
        </w:rPr>
        <w:t>In the second step,</w:t>
      </w:r>
      <w:r w:rsidRPr="000E701B">
        <w:rPr>
          <w:rFonts w:ascii="Times New Roman" w:eastAsia="Times New Roman" w:hAnsi="Times New Roman" w:cs="Times New Roman"/>
          <w:sz w:val="24"/>
          <w:szCs w:val="24"/>
          <w:lang w:val="en-US" w:eastAsia="de-AT"/>
        </w:rPr>
        <w:t xml:space="preserve"> we test the direct effects formulated in hypotheses H1a/b and H2a/b. For that we insert the independent variables into the equation. In the auditor sample, the model is still significant (p=.000) and explains over 21 percent of the variance in the dependent variable (</w:t>
      </w:r>
      <w:proofErr w:type="gramStart"/>
      <w:r w:rsidRPr="000E701B">
        <w:rPr>
          <w:rFonts w:ascii="Times New Roman" w:eastAsia="Times New Roman" w:hAnsi="Times New Roman" w:cs="Times New Roman"/>
          <w:sz w:val="24"/>
          <w:szCs w:val="24"/>
          <w:lang w:val="en-US" w:eastAsia="de-AT"/>
        </w:rPr>
        <w:t>adj.R</w:t>
      </w:r>
      <w:proofErr w:type="gramEnd"/>
      <w:r w:rsidRPr="000E701B">
        <w:rPr>
          <w:rFonts w:ascii="Times New Roman" w:eastAsia="Times New Roman" w:hAnsi="Times New Roman" w:cs="Times New Roman"/>
          <w:sz w:val="24"/>
          <w:szCs w:val="24"/>
          <w:lang w:val="en-US" w:eastAsia="de-AT"/>
        </w:rPr>
        <w:t>²=.213). The explained variance increases significantly (∆R²=.026). Auditor tenure as a control variable still shows a significant relationship</w:t>
      </w:r>
      <w:r w:rsidR="00575881">
        <w:rPr>
          <w:rFonts w:ascii="Times New Roman" w:eastAsia="Times New Roman" w:hAnsi="Times New Roman" w:cs="Times New Roman"/>
          <w:sz w:val="24"/>
          <w:szCs w:val="24"/>
          <w:lang w:val="en-US" w:eastAsia="de-AT"/>
        </w:rPr>
        <w:t xml:space="preserve"> (ß=</w:t>
      </w:r>
      <w:r w:rsidRPr="000E701B">
        <w:rPr>
          <w:rFonts w:ascii="Times New Roman" w:eastAsia="Times New Roman" w:hAnsi="Times New Roman" w:cs="Times New Roman"/>
          <w:sz w:val="24"/>
          <w:szCs w:val="24"/>
          <w:lang w:val="en-US" w:eastAsia="de-AT"/>
        </w:rPr>
        <w:t>.</w:t>
      </w:r>
      <w:r w:rsidR="00575881">
        <w:rPr>
          <w:rFonts w:ascii="Times New Roman" w:eastAsia="Times New Roman" w:hAnsi="Times New Roman" w:cs="Times New Roman"/>
          <w:sz w:val="24"/>
          <w:szCs w:val="24"/>
          <w:lang w:val="en-US" w:eastAsia="de-AT"/>
        </w:rPr>
        <w:t>466</w:t>
      </w:r>
      <w:r w:rsidRPr="000E701B">
        <w:rPr>
          <w:rFonts w:ascii="Times New Roman" w:eastAsia="Times New Roman" w:hAnsi="Times New Roman" w:cs="Times New Roman"/>
          <w:sz w:val="24"/>
          <w:szCs w:val="24"/>
          <w:lang w:val="en-US" w:eastAsia="de-AT"/>
        </w:rPr>
        <w:t xml:space="preserve">, p=.000). We expected that auditors are less likely to </w:t>
      </w:r>
      <w:r w:rsidR="001645F4">
        <w:rPr>
          <w:rFonts w:ascii="Times New Roman" w:eastAsia="Times New Roman" w:hAnsi="Times New Roman" w:cs="Times New Roman"/>
          <w:sz w:val="24"/>
          <w:szCs w:val="24"/>
          <w:lang w:val="en-GB" w:eastAsia="de-AT"/>
        </w:rPr>
        <w:t xml:space="preserve">stand up to </w:t>
      </w:r>
      <w:r w:rsidRPr="000E701B">
        <w:rPr>
          <w:rFonts w:ascii="Times New Roman" w:eastAsia="Times New Roman" w:hAnsi="Times New Roman" w:cs="Times New Roman"/>
          <w:sz w:val="24"/>
          <w:szCs w:val="24"/>
          <w:lang w:val="en-US" w:eastAsia="de-AT"/>
        </w:rPr>
        <w:t xml:space="preserve">the client’s preferred treatment </w:t>
      </w:r>
      <w:r w:rsidR="007C0D0A">
        <w:rPr>
          <w:rFonts w:ascii="Times New Roman" w:eastAsia="Times New Roman" w:hAnsi="Times New Roman" w:cs="Times New Roman"/>
          <w:sz w:val="24"/>
          <w:szCs w:val="24"/>
          <w:lang w:val="en-US" w:eastAsia="de-AT"/>
        </w:rPr>
        <w:t xml:space="preserve">during the audit </w:t>
      </w:r>
      <w:r w:rsidRPr="000E701B">
        <w:rPr>
          <w:rFonts w:ascii="Times New Roman" w:eastAsia="Times New Roman" w:hAnsi="Times New Roman" w:cs="Times New Roman"/>
          <w:sz w:val="24"/>
          <w:szCs w:val="24"/>
          <w:lang w:val="en-US" w:eastAsia="de-AT"/>
        </w:rPr>
        <w:t xml:space="preserve">the more competence trust they </w:t>
      </w:r>
      <w:r w:rsidR="005B3B9A">
        <w:rPr>
          <w:rFonts w:ascii="Times New Roman" w:eastAsia="Times New Roman" w:hAnsi="Times New Roman" w:cs="Times New Roman"/>
          <w:sz w:val="24"/>
          <w:szCs w:val="24"/>
          <w:lang w:val="en-US" w:eastAsia="de-AT"/>
        </w:rPr>
        <w:t>have</w:t>
      </w:r>
      <w:r w:rsidR="005B3B9A" w:rsidRPr="000E701B">
        <w:rPr>
          <w:rFonts w:ascii="Times New Roman" w:eastAsia="Times New Roman" w:hAnsi="Times New Roman" w:cs="Times New Roman"/>
          <w:sz w:val="24"/>
          <w:szCs w:val="24"/>
          <w:lang w:val="en-US" w:eastAsia="de-AT"/>
        </w:rPr>
        <w:t xml:space="preserve"> </w:t>
      </w:r>
      <w:r w:rsidRPr="000E701B">
        <w:rPr>
          <w:rFonts w:ascii="Times New Roman" w:eastAsia="Times New Roman" w:hAnsi="Times New Roman" w:cs="Times New Roman"/>
          <w:sz w:val="24"/>
          <w:szCs w:val="24"/>
          <w:lang w:val="en-US" w:eastAsia="de-AT"/>
        </w:rPr>
        <w:t xml:space="preserve">in their clients (H1a). Competence trust is a significant predictor and negatively related to the likelihood that the auditor </w:t>
      </w:r>
      <w:r w:rsidR="005A1E8B">
        <w:rPr>
          <w:rFonts w:ascii="Times New Roman" w:eastAsia="Times New Roman" w:hAnsi="Times New Roman" w:cs="Times New Roman"/>
          <w:sz w:val="24"/>
          <w:szCs w:val="24"/>
          <w:lang w:val="en-GB" w:eastAsia="de-AT"/>
        </w:rPr>
        <w:t xml:space="preserve">stands up to </w:t>
      </w:r>
      <w:r w:rsidRPr="000E701B">
        <w:rPr>
          <w:rFonts w:ascii="Times New Roman" w:eastAsia="Times New Roman" w:hAnsi="Times New Roman" w:cs="Times New Roman"/>
          <w:sz w:val="24"/>
          <w:szCs w:val="24"/>
          <w:lang w:val="en-GB" w:eastAsia="de-AT"/>
        </w:rPr>
        <w:t>the client-preferred treatment</w:t>
      </w:r>
      <w:r w:rsidR="00575881">
        <w:rPr>
          <w:rFonts w:ascii="Times New Roman" w:eastAsia="Times New Roman" w:hAnsi="Times New Roman" w:cs="Times New Roman"/>
          <w:sz w:val="24"/>
          <w:szCs w:val="24"/>
          <w:lang w:val="en-US" w:eastAsia="de-AT"/>
        </w:rPr>
        <w:t xml:space="preserve"> (ß=-.155, p=.034</w:t>
      </w:r>
      <w:r w:rsidRPr="000E701B">
        <w:rPr>
          <w:rFonts w:ascii="Times New Roman" w:eastAsia="Times New Roman" w:hAnsi="Times New Roman" w:cs="Times New Roman"/>
          <w:sz w:val="24"/>
          <w:szCs w:val="24"/>
          <w:lang w:val="en-US" w:eastAsia="de-AT"/>
        </w:rPr>
        <w:t xml:space="preserve">). This finding hence supports hypothesis H1a. We further </w:t>
      </w:r>
      <w:r w:rsidRPr="000E701B">
        <w:rPr>
          <w:rFonts w:ascii="Times New Roman" w:eastAsia="Times New Roman" w:hAnsi="Times New Roman" w:cs="Times New Roman"/>
          <w:sz w:val="24"/>
          <w:szCs w:val="24"/>
          <w:lang w:val="en-US" w:eastAsia="de-AT"/>
        </w:rPr>
        <w:lastRenderedPageBreak/>
        <w:t xml:space="preserve">expected that auditors are less likely to </w:t>
      </w:r>
      <w:r w:rsidR="001645F4">
        <w:rPr>
          <w:rFonts w:ascii="Times New Roman" w:eastAsia="Times New Roman" w:hAnsi="Times New Roman" w:cs="Times New Roman"/>
          <w:sz w:val="24"/>
          <w:szCs w:val="24"/>
          <w:lang w:val="en-GB" w:eastAsia="de-AT"/>
        </w:rPr>
        <w:t xml:space="preserve">stand up to </w:t>
      </w:r>
      <w:r w:rsidRPr="000E701B">
        <w:rPr>
          <w:rFonts w:ascii="Times New Roman" w:eastAsia="Times New Roman" w:hAnsi="Times New Roman" w:cs="Times New Roman"/>
          <w:sz w:val="24"/>
          <w:szCs w:val="24"/>
          <w:lang w:val="en-US" w:eastAsia="de-AT"/>
        </w:rPr>
        <w:t xml:space="preserve">their client’s preferred treatment the more goodwill trust they </w:t>
      </w:r>
      <w:r w:rsidR="005B3B9A">
        <w:rPr>
          <w:rFonts w:ascii="Times New Roman" w:eastAsia="Times New Roman" w:hAnsi="Times New Roman" w:cs="Times New Roman"/>
          <w:sz w:val="24"/>
          <w:szCs w:val="24"/>
          <w:lang w:val="en-US" w:eastAsia="de-AT"/>
        </w:rPr>
        <w:t>have</w:t>
      </w:r>
      <w:r w:rsidR="005B3B9A" w:rsidRPr="000E701B">
        <w:rPr>
          <w:rFonts w:ascii="Times New Roman" w:eastAsia="Times New Roman" w:hAnsi="Times New Roman" w:cs="Times New Roman"/>
          <w:sz w:val="24"/>
          <w:szCs w:val="24"/>
          <w:lang w:val="en-US" w:eastAsia="de-AT"/>
        </w:rPr>
        <w:t xml:space="preserve"> </w:t>
      </w:r>
      <w:r w:rsidRPr="000E701B">
        <w:rPr>
          <w:rFonts w:ascii="Times New Roman" w:eastAsia="Times New Roman" w:hAnsi="Times New Roman" w:cs="Times New Roman"/>
          <w:sz w:val="24"/>
          <w:szCs w:val="24"/>
          <w:lang w:val="en-US" w:eastAsia="de-AT"/>
        </w:rPr>
        <w:t xml:space="preserve">in their clients (H2a). However, goodwill trust is not a significant predictor at the ten-percent level. This finding does not support hypothesis H2a. </w:t>
      </w:r>
    </w:p>
    <w:p w14:paraId="5712CB8E" w14:textId="55D16228" w:rsidR="000E701B" w:rsidRDefault="000E701B" w:rsidP="000E701B">
      <w:pPr>
        <w:spacing w:before="120" w:after="120" w:line="240" w:lineRule="auto"/>
        <w:ind w:firstLine="709"/>
        <w:jc w:val="both"/>
        <w:rPr>
          <w:rFonts w:ascii="Times New Roman" w:eastAsia="Times New Roman" w:hAnsi="Times New Roman" w:cs="Times New Roman"/>
          <w:sz w:val="24"/>
          <w:szCs w:val="24"/>
          <w:lang w:val="en-US" w:eastAsia="de-AT"/>
        </w:rPr>
      </w:pPr>
      <w:r w:rsidRPr="000E701B">
        <w:rPr>
          <w:rFonts w:ascii="Times New Roman" w:eastAsia="Times New Roman" w:hAnsi="Times New Roman" w:cs="Times New Roman"/>
          <w:sz w:val="24"/>
          <w:szCs w:val="24"/>
          <w:lang w:val="en-US" w:eastAsia="de-AT"/>
        </w:rPr>
        <w:t>In the client sample, the model is significant at the ten-percent level (p=.061) in the s</w:t>
      </w:r>
      <w:r w:rsidR="00575881">
        <w:rPr>
          <w:rFonts w:ascii="Times New Roman" w:eastAsia="Times New Roman" w:hAnsi="Times New Roman" w:cs="Times New Roman"/>
          <w:sz w:val="24"/>
          <w:szCs w:val="24"/>
          <w:lang w:val="en-US" w:eastAsia="de-AT"/>
        </w:rPr>
        <w:t>econd step and explains around five-</w:t>
      </w:r>
      <w:r w:rsidRPr="000E701B">
        <w:rPr>
          <w:rFonts w:ascii="Times New Roman" w:eastAsia="Times New Roman" w:hAnsi="Times New Roman" w:cs="Times New Roman"/>
          <w:sz w:val="24"/>
          <w:szCs w:val="24"/>
          <w:lang w:val="en-US" w:eastAsia="de-AT"/>
        </w:rPr>
        <w:t>percent of the variance in the dependent variable (</w:t>
      </w:r>
      <w:proofErr w:type="gramStart"/>
      <w:r w:rsidRPr="000E701B">
        <w:rPr>
          <w:rFonts w:ascii="Times New Roman" w:eastAsia="Times New Roman" w:hAnsi="Times New Roman" w:cs="Times New Roman"/>
          <w:sz w:val="24"/>
          <w:szCs w:val="24"/>
          <w:lang w:val="en-US" w:eastAsia="de-AT"/>
        </w:rPr>
        <w:t>adj.R</w:t>
      </w:r>
      <w:proofErr w:type="gramEnd"/>
      <w:r w:rsidRPr="000E701B">
        <w:rPr>
          <w:rFonts w:ascii="Times New Roman" w:eastAsia="Times New Roman" w:hAnsi="Times New Roman" w:cs="Times New Roman"/>
          <w:sz w:val="24"/>
          <w:szCs w:val="24"/>
          <w:lang w:val="en-US" w:eastAsia="de-AT"/>
        </w:rPr>
        <w:t xml:space="preserve">²=.049). The explained variance increases significantly (∆R²=.049). Still, no control variable shows a significant relationship at the ten-percent level. We expected that clients are less likely to </w:t>
      </w:r>
      <w:r w:rsidR="001645F4">
        <w:rPr>
          <w:rFonts w:ascii="Times New Roman" w:eastAsia="Times New Roman" w:hAnsi="Times New Roman" w:cs="Times New Roman"/>
          <w:sz w:val="24"/>
          <w:szCs w:val="24"/>
          <w:lang w:val="en-GB" w:eastAsia="de-AT"/>
        </w:rPr>
        <w:t xml:space="preserve">stand up to </w:t>
      </w:r>
      <w:r w:rsidRPr="000E701B">
        <w:rPr>
          <w:rFonts w:ascii="Times New Roman" w:eastAsia="Times New Roman" w:hAnsi="Times New Roman" w:cs="Times New Roman"/>
          <w:sz w:val="24"/>
          <w:szCs w:val="24"/>
          <w:lang w:val="en-US" w:eastAsia="de-AT"/>
        </w:rPr>
        <w:t xml:space="preserve">their auditors’ preferred treatment in the auditing process the more competence trust they </w:t>
      </w:r>
      <w:r w:rsidR="005B3B9A">
        <w:rPr>
          <w:rFonts w:ascii="Times New Roman" w:eastAsia="Times New Roman" w:hAnsi="Times New Roman" w:cs="Times New Roman"/>
          <w:sz w:val="24"/>
          <w:szCs w:val="24"/>
          <w:lang w:val="en-US" w:eastAsia="de-AT"/>
        </w:rPr>
        <w:t>have</w:t>
      </w:r>
      <w:r w:rsidR="005B3B9A" w:rsidRPr="000E701B">
        <w:rPr>
          <w:rFonts w:ascii="Times New Roman" w:eastAsia="Times New Roman" w:hAnsi="Times New Roman" w:cs="Times New Roman"/>
          <w:sz w:val="24"/>
          <w:szCs w:val="24"/>
          <w:lang w:val="en-US" w:eastAsia="de-AT"/>
        </w:rPr>
        <w:t xml:space="preserve"> </w:t>
      </w:r>
      <w:r w:rsidRPr="000E701B">
        <w:rPr>
          <w:rFonts w:ascii="Times New Roman" w:eastAsia="Times New Roman" w:hAnsi="Times New Roman" w:cs="Times New Roman"/>
          <w:sz w:val="24"/>
          <w:szCs w:val="24"/>
          <w:lang w:val="en-US" w:eastAsia="de-AT"/>
        </w:rPr>
        <w:t xml:space="preserve">in their auditor (H1b). Competence trust is a significant predictor at the five-percent level and is negatively related to the likelihood that the client </w:t>
      </w:r>
      <w:r w:rsidR="005A1E8B">
        <w:rPr>
          <w:rFonts w:ascii="Times New Roman" w:eastAsia="Times New Roman" w:hAnsi="Times New Roman" w:cs="Times New Roman"/>
          <w:sz w:val="24"/>
          <w:szCs w:val="24"/>
          <w:lang w:val="en-GB" w:eastAsia="de-AT"/>
        </w:rPr>
        <w:t xml:space="preserve">stands up to </w:t>
      </w:r>
      <w:r w:rsidRPr="000E701B">
        <w:rPr>
          <w:rFonts w:ascii="Times New Roman" w:eastAsia="Times New Roman" w:hAnsi="Times New Roman" w:cs="Times New Roman"/>
          <w:sz w:val="24"/>
          <w:szCs w:val="24"/>
          <w:lang w:val="en-GB" w:eastAsia="de-AT"/>
        </w:rPr>
        <w:t>the auditor-preferred treatment</w:t>
      </w:r>
      <w:r w:rsidRPr="000E701B">
        <w:rPr>
          <w:rFonts w:ascii="Times New Roman" w:eastAsia="Times New Roman" w:hAnsi="Times New Roman" w:cs="Times New Roman"/>
          <w:sz w:val="24"/>
          <w:szCs w:val="24"/>
          <w:lang w:val="en-US" w:eastAsia="de-AT"/>
        </w:rPr>
        <w:t xml:space="preserve"> (ß=-.279, p=.003). This finding supports hypothesis H1b. We further expected that clients are less likely to </w:t>
      </w:r>
      <w:r w:rsidR="001645F4">
        <w:rPr>
          <w:rFonts w:ascii="Times New Roman" w:eastAsia="Times New Roman" w:hAnsi="Times New Roman" w:cs="Times New Roman"/>
          <w:sz w:val="24"/>
          <w:szCs w:val="24"/>
          <w:lang w:val="en-GB" w:eastAsia="de-AT"/>
        </w:rPr>
        <w:t xml:space="preserve">stand up to </w:t>
      </w:r>
      <w:r w:rsidRPr="000E701B">
        <w:rPr>
          <w:rFonts w:ascii="Times New Roman" w:eastAsia="Times New Roman" w:hAnsi="Times New Roman" w:cs="Times New Roman"/>
          <w:sz w:val="24"/>
          <w:szCs w:val="24"/>
          <w:lang w:val="en-US" w:eastAsia="de-AT"/>
        </w:rPr>
        <w:t xml:space="preserve">their auditors’ preferred treatment in the auditing process the more goodwill trust they </w:t>
      </w:r>
      <w:r w:rsidR="005B3B9A">
        <w:rPr>
          <w:rFonts w:ascii="Times New Roman" w:eastAsia="Times New Roman" w:hAnsi="Times New Roman" w:cs="Times New Roman"/>
          <w:sz w:val="24"/>
          <w:szCs w:val="24"/>
          <w:lang w:val="en-US" w:eastAsia="de-AT"/>
        </w:rPr>
        <w:t>have</w:t>
      </w:r>
      <w:r w:rsidR="005B3B9A" w:rsidRPr="000E701B">
        <w:rPr>
          <w:rFonts w:ascii="Times New Roman" w:eastAsia="Times New Roman" w:hAnsi="Times New Roman" w:cs="Times New Roman"/>
          <w:sz w:val="24"/>
          <w:szCs w:val="24"/>
          <w:lang w:val="en-US" w:eastAsia="de-AT"/>
        </w:rPr>
        <w:t xml:space="preserve"> </w:t>
      </w:r>
      <w:r w:rsidRPr="000E701B">
        <w:rPr>
          <w:rFonts w:ascii="Times New Roman" w:eastAsia="Times New Roman" w:hAnsi="Times New Roman" w:cs="Times New Roman"/>
          <w:sz w:val="24"/>
          <w:szCs w:val="24"/>
          <w:lang w:val="en-US" w:eastAsia="de-AT"/>
        </w:rPr>
        <w:t>in their auditors (H2b). However, goodwill trust is not a significant predictor at the ten-percent level. This finding does not support hypothesis H2b.</w:t>
      </w:r>
    </w:p>
    <w:p w14:paraId="5CAF8A92" w14:textId="2E70CBD8" w:rsidR="001F1B08" w:rsidRPr="000E701B" w:rsidRDefault="001F1B08" w:rsidP="000E701B">
      <w:pPr>
        <w:spacing w:before="120" w:after="120" w:line="240" w:lineRule="auto"/>
        <w:ind w:firstLine="709"/>
        <w:jc w:val="both"/>
        <w:rPr>
          <w:rFonts w:ascii="Times New Roman" w:eastAsia="Times New Roman" w:hAnsi="Times New Roman" w:cs="Times New Roman"/>
          <w:sz w:val="24"/>
          <w:szCs w:val="24"/>
          <w:lang w:val="en-US" w:eastAsia="de-AT"/>
        </w:rPr>
      </w:pPr>
      <w:bookmarkStart w:id="1" w:name="_Hlk19638307"/>
      <w:r>
        <w:rPr>
          <w:rFonts w:ascii="Times New Roman" w:eastAsia="Times New Roman" w:hAnsi="Times New Roman" w:cs="Times New Roman"/>
          <w:sz w:val="24"/>
          <w:szCs w:val="24"/>
          <w:lang w:val="en-US" w:eastAsia="de-AT"/>
        </w:rPr>
        <w:t>We also tested for possible interaction between the independent variables, but the interaction terms were no significant predictor neither from the auditor perspective nor from the client perspective.</w:t>
      </w:r>
      <w:bookmarkEnd w:id="1"/>
      <w:r>
        <w:rPr>
          <w:rFonts w:ascii="Times New Roman" w:eastAsia="Times New Roman" w:hAnsi="Times New Roman" w:cs="Times New Roman"/>
          <w:sz w:val="24"/>
          <w:szCs w:val="24"/>
          <w:lang w:val="en-US" w:eastAsia="de-AT"/>
        </w:rPr>
        <w:t xml:space="preserve"> </w:t>
      </w:r>
    </w:p>
    <w:p w14:paraId="0717D809" w14:textId="77777777" w:rsidR="000E701B" w:rsidRPr="000E701B" w:rsidRDefault="000E701B" w:rsidP="000E701B">
      <w:pPr>
        <w:keepNext/>
        <w:spacing w:before="120" w:after="120" w:line="240" w:lineRule="auto"/>
        <w:jc w:val="center"/>
        <w:rPr>
          <w:rFonts w:ascii="Times New Roman" w:eastAsia="Times New Roman" w:hAnsi="Times New Roman" w:cs="Times New Roman"/>
          <w:b/>
          <w:caps/>
          <w:sz w:val="24"/>
          <w:szCs w:val="24"/>
          <w:lang w:val="en-GB" w:eastAsia="de-AT"/>
        </w:rPr>
      </w:pPr>
    </w:p>
    <w:p w14:paraId="38C795C1" w14:textId="77777777" w:rsidR="000E701B" w:rsidRPr="000E701B" w:rsidRDefault="000E701B" w:rsidP="000E701B">
      <w:pPr>
        <w:keepNext/>
        <w:spacing w:before="120" w:after="120" w:line="240" w:lineRule="auto"/>
        <w:rPr>
          <w:rFonts w:ascii="Times New Roman" w:eastAsia="Times New Roman" w:hAnsi="Times New Roman" w:cs="Times New Roman"/>
          <w:b/>
          <w:caps/>
          <w:sz w:val="24"/>
          <w:szCs w:val="24"/>
          <w:lang w:val="en-GB" w:eastAsia="de-AT"/>
        </w:rPr>
      </w:pPr>
      <w:r w:rsidRPr="000E701B">
        <w:rPr>
          <w:rFonts w:ascii="Times New Roman" w:eastAsia="Times New Roman" w:hAnsi="Times New Roman" w:cs="Times New Roman"/>
          <w:b/>
          <w:caps/>
          <w:sz w:val="24"/>
          <w:szCs w:val="24"/>
          <w:lang w:val="en-GB" w:eastAsia="de-AT"/>
        </w:rPr>
        <w:t>Discussion and conclusion</w:t>
      </w:r>
    </w:p>
    <w:p w14:paraId="5BC8E7B3" w14:textId="77777777" w:rsidR="000E701B" w:rsidRPr="000E701B" w:rsidRDefault="000E701B" w:rsidP="000E701B">
      <w:pPr>
        <w:keepNext/>
        <w:spacing w:before="120" w:after="120" w:line="240" w:lineRule="auto"/>
        <w:ind w:firstLine="708"/>
        <w:jc w:val="both"/>
        <w:rPr>
          <w:rFonts w:ascii="Times New Roman" w:eastAsia="Times New Roman" w:hAnsi="Times New Roman" w:cs="Times New Roman"/>
          <w:sz w:val="24"/>
          <w:szCs w:val="24"/>
          <w:lang w:val="en-GB" w:eastAsia="de-AT"/>
        </w:rPr>
      </w:pPr>
    </w:p>
    <w:p w14:paraId="3647430C" w14:textId="04D25D4D" w:rsidR="00BB031A" w:rsidRDefault="000E701B" w:rsidP="000E701B">
      <w:pPr>
        <w:keepNext/>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In this experimental study, we investigate </w:t>
      </w:r>
      <w:r w:rsidR="005B3B9A">
        <w:rPr>
          <w:rFonts w:ascii="Times New Roman" w:eastAsia="Times New Roman" w:hAnsi="Times New Roman" w:cs="Times New Roman"/>
          <w:sz w:val="24"/>
          <w:szCs w:val="24"/>
          <w:lang w:val="en-GB" w:eastAsia="de-AT"/>
        </w:rPr>
        <w:t xml:space="preserve">the role of identification-based trust in the outcome of auditor-client negotiations. In particular, we look at </w:t>
      </w:r>
      <w:r w:rsidRPr="000E701B">
        <w:rPr>
          <w:rFonts w:ascii="Times New Roman" w:eastAsia="Times New Roman" w:hAnsi="Times New Roman" w:cs="Times New Roman"/>
          <w:sz w:val="24"/>
          <w:szCs w:val="24"/>
          <w:lang w:val="en-GB" w:eastAsia="de-AT"/>
        </w:rPr>
        <w:t xml:space="preserve">the impact of </w:t>
      </w:r>
      <w:r w:rsidR="005B3B9A">
        <w:rPr>
          <w:rFonts w:ascii="Times New Roman" w:eastAsia="Times New Roman" w:hAnsi="Times New Roman" w:cs="Times New Roman"/>
          <w:sz w:val="24"/>
          <w:szCs w:val="24"/>
          <w:lang w:val="en-GB" w:eastAsia="de-AT"/>
        </w:rPr>
        <w:t xml:space="preserve">the two elements of identification-based trust, </w:t>
      </w:r>
      <w:r w:rsidRPr="000E701B">
        <w:rPr>
          <w:rFonts w:ascii="Times New Roman" w:eastAsia="Times New Roman" w:hAnsi="Times New Roman" w:cs="Times New Roman"/>
          <w:sz w:val="24"/>
          <w:szCs w:val="24"/>
          <w:lang w:val="en-GB" w:eastAsia="de-AT"/>
        </w:rPr>
        <w:t>competence trust and goodwill trust</w:t>
      </w:r>
      <w:r w:rsidR="005B3B9A">
        <w:rPr>
          <w:rFonts w:ascii="Times New Roman" w:eastAsia="Times New Roman" w:hAnsi="Times New Roman" w:cs="Times New Roman"/>
          <w:sz w:val="24"/>
          <w:szCs w:val="24"/>
          <w:lang w:val="en-GB" w:eastAsia="de-AT"/>
        </w:rPr>
        <w:t>,</w:t>
      </w:r>
      <w:r w:rsidRPr="000E701B">
        <w:rPr>
          <w:rFonts w:ascii="Times New Roman" w:eastAsia="Times New Roman" w:hAnsi="Times New Roman" w:cs="Times New Roman"/>
          <w:sz w:val="24"/>
          <w:szCs w:val="24"/>
          <w:lang w:val="en-GB" w:eastAsia="de-AT"/>
        </w:rPr>
        <w:t xml:space="preserve"> on the probability that an auditor or client </w:t>
      </w:r>
      <w:r w:rsidR="005A1E8B">
        <w:rPr>
          <w:rFonts w:ascii="Times New Roman" w:eastAsia="Times New Roman" w:hAnsi="Times New Roman" w:cs="Times New Roman"/>
          <w:sz w:val="24"/>
          <w:szCs w:val="24"/>
          <w:lang w:val="en-GB" w:eastAsia="de-AT"/>
        </w:rPr>
        <w:t xml:space="preserve">stands up to </w:t>
      </w:r>
      <w:r w:rsidRPr="000E701B">
        <w:rPr>
          <w:rFonts w:ascii="Times New Roman" w:eastAsia="Times New Roman" w:hAnsi="Times New Roman" w:cs="Times New Roman"/>
          <w:sz w:val="24"/>
          <w:szCs w:val="24"/>
          <w:lang w:val="en-GB" w:eastAsia="de-AT"/>
        </w:rPr>
        <w:t xml:space="preserve">the </w:t>
      </w:r>
      <w:r w:rsidR="00BA7C7C">
        <w:rPr>
          <w:rFonts w:ascii="Times New Roman" w:eastAsia="Times New Roman" w:hAnsi="Times New Roman" w:cs="Times New Roman"/>
          <w:sz w:val="24"/>
          <w:szCs w:val="24"/>
          <w:lang w:val="en-GB" w:eastAsia="de-AT"/>
        </w:rPr>
        <w:t>interaction partner</w:t>
      </w:r>
      <w:r w:rsidRPr="000E701B">
        <w:rPr>
          <w:rFonts w:ascii="Times New Roman" w:eastAsia="Times New Roman" w:hAnsi="Times New Roman" w:cs="Times New Roman"/>
          <w:sz w:val="24"/>
          <w:szCs w:val="24"/>
          <w:lang w:val="en-GB" w:eastAsia="de-AT"/>
        </w:rPr>
        <w:t xml:space="preserve">’s preferred treatment in auditor-client negotiations. </w:t>
      </w:r>
    </w:p>
    <w:p w14:paraId="456DAF05" w14:textId="3F47D321" w:rsidR="000E701B" w:rsidRPr="000E701B" w:rsidRDefault="000E701B">
      <w:pPr>
        <w:keepNext/>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Our findings indicate that the </w:t>
      </w:r>
      <w:r w:rsidR="00F502A2">
        <w:rPr>
          <w:rFonts w:ascii="Times New Roman" w:eastAsia="Times New Roman" w:hAnsi="Times New Roman" w:cs="Times New Roman"/>
          <w:sz w:val="24"/>
          <w:szCs w:val="24"/>
          <w:lang w:val="en-GB" w:eastAsia="de-AT"/>
        </w:rPr>
        <w:t xml:space="preserve">auditor or </w:t>
      </w:r>
      <w:r w:rsidR="00AD7854">
        <w:rPr>
          <w:rFonts w:ascii="Times New Roman" w:eastAsia="Times New Roman" w:hAnsi="Times New Roman" w:cs="Times New Roman"/>
          <w:sz w:val="24"/>
          <w:szCs w:val="24"/>
          <w:lang w:val="en-GB" w:eastAsia="de-AT"/>
        </w:rPr>
        <w:t xml:space="preserve">the </w:t>
      </w:r>
      <w:r w:rsidR="005C3E2D">
        <w:rPr>
          <w:rFonts w:ascii="Times New Roman" w:eastAsia="Times New Roman" w:hAnsi="Times New Roman" w:cs="Times New Roman"/>
          <w:sz w:val="24"/>
          <w:szCs w:val="24"/>
          <w:lang w:val="en-GB" w:eastAsia="de-AT"/>
        </w:rPr>
        <w:t xml:space="preserve">client are more likely to </w:t>
      </w:r>
      <w:r w:rsidR="001645F4">
        <w:rPr>
          <w:rFonts w:ascii="Times New Roman" w:eastAsia="Times New Roman" w:hAnsi="Times New Roman" w:cs="Times New Roman"/>
          <w:sz w:val="24"/>
          <w:szCs w:val="24"/>
          <w:lang w:val="en-GB" w:eastAsia="de-AT"/>
        </w:rPr>
        <w:t xml:space="preserve">stand up to </w:t>
      </w:r>
      <w:r w:rsidR="005C3E2D">
        <w:rPr>
          <w:rFonts w:ascii="Times New Roman" w:eastAsia="Times New Roman" w:hAnsi="Times New Roman" w:cs="Times New Roman"/>
          <w:sz w:val="24"/>
          <w:szCs w:val="24"/>
          <w:lang w:val="en-GB" w:eastAsia="de-AT"/>
        </w:rPr>
        <w:t xml:space="preserve">their </w:t>
      </w:r>
      <w:r w:rsidR="00997425">
        <w:rPr>
          <w:rFonts w:ascii="Times New Roman" w:eastAsia="Times New Roman" w:hAnsi="Times New Roman" w:cs="Times New Roman"/>
          <w:sz w:val="24"/>
          <w:szCs w:val="24"/>
          <w:lang w:val="en-GB" w:eastAsia="de-AT"/>
        </w:rPr>
        <w:t xml:space="preserve">interaction </w:t>
      </w:r>
      <w:r w:rsidR="005C3E2D">
        <w:rPr>
          <w:rFonts w:ascii="Times New Roman" w:eastAsia="Times New Roman" w:hAnsi="Times New Roman" w:cs="Times New Roman"/>
          <w:sz w:val="24"/>
          <w:szCs w:val="24"/>
          <w:lang w:val="en-GB" w:eastAsia="de-AT"/>
        </w:rPr>
        <w:t xml:space="preserve">partner’s preferred treatment when they have lower levels of competence trust in their </w:t>
      </w:r>
      <w:r w:rsidR="00997425">
        <w:rPr>
          <w:rFonts w:ascii="Times New Roman" w:eastAsia="Times New Roman" w:hAnsi="Times New Roman" w:cs="Times New Roman"/>
          <w:sz w:val="24"/>
          <w:szCs w:val="24"/>
          <w:lang w:val="en-GB" w:eastAsia="de-AT"/>
        </w:rPr>
        <w:t xml:space="preserve">interaction </w:t>
      </w:r>
      <w:r w:rsidR="005C3E2D">
        <w:rPr>
          <w:rFonts w:ascii="Times New Roman" w:eastAsia="Times New Roman" w:hAnsi="Times New Roman" w:cs="Times New Roman"/>
          <w:sz w:val="24"/>
          <w:szCs w:val="24"/>
          <w:lang w:val="en-GB" w:eastAsia="de-AT"/>
        </w:rPr>
        <w:t xml:space="preserve">partner. In other words, if the auditor is confident that the </w:t>
      </w:r>
      <w:r w:rsidR="00945398">
        <w:rPr>
          <w:rFonts w:ascii="Times New Roman" w:eastAsia="Times New Roman" w:hAnsi="Times New Roman" w:cs="Times New Roman"/>
          <w:sz w:val="24"/>
          <w:szCs w:val="24"/>
          <w:lang w:val="en-GB" w:eastAsia="de-AT"/>
        </w:rPr>
        <w:t xml:space="preserve">client has the ability to </w:t>
      </w:r>
      <w:r w:rsidR="0079587B">
        <w:rPr>
          <w:rFonts w:ascii="Times New Roman" w:eastAsia="Times New Roman" w:hAnsi="Times New Roman" w:cs="Times New Roman"/>
          <w:sz w:val="24"/>
          <w:szCs w:val="24"/>
          <w:lang w:val="en-GB" w:eastAsia="de-AT"/>
        </w:rPr>
        <w:t xml:space="preserve">manage the firm, </w:t>
      </w:r>
      <w:r w:rsidR="00B155E0">
        <w:rPr>
          <w:rFonts w:ascii="Times New Roman" w:eastAsia="Times New Roman" w:hAnsi="Times New Roman" w:cs="Times New Roman"/>
          <w:sz w:val="24"/>
          <w:szCs w:val="24"/>
          <w:lang w:val="en-GB" w:eastAsia="de-AT"/>
        </w:rPr>
        <w:t>draw up the financial statements</w:t>
      </w:r>
      <w:r w:rsidR="0079587B">
        <w:rPr>
          <w:rFonts w:ascii="Times New Roman" w:eastAsia="Times New Roman" w:hAnsi="Times New Roman" w:cs="Times New Roman"/>
          <w:sz w:val="24"/>
          <w:szCs w:val="24"/>
          <w:lang w:val="en-GB" w:eastAsia="de-AT"/>
        </w:rPr>
        <w:t xml:space="preserve"> and deliver any information necessary for the audit</w:t>
      </w:r>
      <w:r w:rsidR="00AD7854">
        <w:rPr>
          <w:rFonts w:ascii="Times New Roman" w:eastAsia="Times New Roman" w:hAnsi="Times New Roman" w:cs="Times New Roman"/>
          <w:sz w:val="24"/>
          <w:szCs w:val="24"/>
          <w:lang w:val="en-GB" w:eastAsia="de-AT"/>
        </w:rPr>
        <w:t xml:space="preserve">, they are </w:t>
      </w:r>
      <w:r w:rsidR="00997425">
        <w:rPr>
          <w:rFonts w:ascii="Times New Roman" w:eastAsia="Times New Roman" w:hAnsi="Times New Roman" w:cs="Times New Roman"/>
          <w:sz w:val="24"/>
          <w:szCs w:val="24"/>
          <w:lang w:val="en-GB" w:eastAsia="de-AT"/>
        </w:rPr>
        <w:t xml:space="preserve">less </w:t>
      </w:r>
      <w:r w:rsidR="00AD7854">
        <w:rPr>
          <w:rFonts w:ascii="Times New Roman" w:eastAsia="Times New Roman" w:hAnsi="Times New Roman" w:cs="Times New Roman"/>
          <w:sz w:val="24"/>
          <w:szCs w:val="24"/>
          <w:lang w:val="en-GB" w:eastAsia="de-AT"/>
        </w:rPr>
        <w:t xml:space="preserve">likely to </w:t>
      </w:r>
      <w:r w:rsidR="00997425">
        <w:rPr>
          <w:rFonts w:ascii="Times New Roman" w:eastAsia="Times New Roman" w:hAnsi="Times New Roman" w:cs="Times New Roman"/>
          <w:sz w:val="24"/>
          <w:szCs w:val="24"/>
          <w:lang w:val="en-GB" w:eastAsia="de-AT"/>
        </w:rPr>
        <w:t xml:space="preserve">stand up </w:t>
      </w:r>
      <w:r w:rsidR="00AD7854">
        <w:rPr>
          <w:rFonts w:ascii="Times New Roman" w:eastAsia="Times New Roman" w:hAnsi="Times New Roman" w:cs="Times New Roman"/>
          <w:sz w:val="24"/>
          <w:szCs w:val="24"/>
          <w:lang w:val="en-GB" w:eastAsia="de-AT"/>
        </w:rPr>
        <w:t xml:space="preserve">to the client’s preferred treatment. </w:t>
      </w:r>
      <w:r w:rsidR="0079587B">
        <w:rPr>
          <w:rFonts w:ascii="Times New Roman" w:eastAsia="Times New Roman" w:hAnsi="Times New Roman" w:cs="Times New Roman"/>
          <w:sz w:val="24"/>
          <w:szCs w:val="24"/>
          <w:lang w:val="en-GB" w:eastAsia="de-AT"/>
        </w:rPr>
        <w:t xml:space="preserve">In turn, if the client is confident that the auditor has the ability to understand the firm’s business as well as the industry it operates in and knows the relevant accounting and auditing standards, they are </w:t>
      </w:r>
      <w:r w:rsidR="00997425">
        <w:rPr>
          <w:rFonts w:ascii="Times New Roman" w:eastAsia="Times New Roman" w:hAnsi="Times New Roman" w:cs="Times New Roman"/>
          <w:sz w:val="24"/>
          <w:szCs w:val="24"/>
          <w:lang w:val="en-GB" w:eastAsia="de-AT"/>
        </w:rPr>
        <w:t xml:space="preserve">less </w:t>
      </w:r>
      <w:r w:rsidR="0079587B">
        <w:rPr>
          <w:rFonts w:ascii="Times New Roman" w:eastAsia="Times New Roman" w:hAnsi="Times New Roman" w:cs="Times New Roman"/>
          <w:sz w:val="24"/>
          <w:szCs w:val="24"/>
          <w:lang w:val="en-GB" w:eastAsia="de-AT"/>
        </w:rPr>
        <w:t xml:space="preserve">likely to </w:t>
      </w:r>
      <w:r w:rsidR="00997425">
        <w:rPr>
          <w:rFonts w:ascii="Times New Roman" w:eastAsia="Times New Roman" w:hAnsi="Times New Roman" w:cs="Times New Roman"/>
          <w:sz w:val="24"/>
          <w:szCs w:val="24"/>
          <w:lang w:val="en-GB" w:eastAsia="de-AT"/>
        </w:rPr>
        <w:t xml:space="preserve">stand up to </w:t>
      </w:r>
      <w:r w:rsidR="0079587B">
        <w:rPr>
          <w:rFonts w:ascii="Times New Roman" w:eastAsia="Times New Roman" w:hAnsi="Times New Roman" w:cs="Times New Roman"/>
          <w:sz w:val="24"/>
          <w:szCs w:val="24"/>
          <w:lang w:val="en-GB" w:eastAsia="de-AT"/>
        </w:rPr>
        <w:t xml:space="preserve">the auditor’s preferred treatment. </w:t>
      </w:r>
      <w:r w:rsidRPr="000E701B">
        <w:rPr>
          <w:rFonts w:ascii="Times New Roman" w:eastAsia="Times New Roman" w:hAnsi="Times New Roman" w:cs="Times New Roman"/>
          <w:sz w:val="24"/>
          <w:szCs w:val="24"/>
          <w:lang w:val="en-GB" w:eastAsia="de-AT"/>
        </w:rPr>
        <w:t xml:space="preserve">Thus, perceived competence of the </w:t>
      </w:r>
      <w:r w:rsidR="00997425">
        <w:rPr>
          <w:rFonts w:ascii="Times New Roman" w:eastAsia="Times New Roman" w:hAnsi="Times New Roman" w:cs="Times New Roman"/>
          <w:sz w:val="24"/>
          <w:szCs w:val="24"/>
          <w:lang w:val="en-GB" w:eastAsia="de-AT"/>
        </w:rPr>
        <w:t>interaction</w:t>
      </w:r>
      <w:r w:rsidR="00997425" w:rsidRPr="000E701B">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 xml:space="preserve">partner seems to </w:t>
      </w:r>
      <w:r w:rsidR="0079587B">
        <w:rPr>
          <w:rFonts w:ascii="Times New Roman" w:eastAsia="Times New Roman" w:hAnsi="Times New Roman" w:cs="Times New Roman"/>
          <w:sz w:val="24"/>
          <w:szCs w:val="24"/>
          <w:lang w:val="en-GB" w:eastAsia="de-AT"/>
        </w:rPr>
        <w:t>make</w:t>
      </w:r>
      <w:r w:rsidR="0079587B" w:rsidRPr="000E701B">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 xml:space="preserve">both </w:t>
      </w:r>
      <w:r w:rsidR="00571169">
        <w:rPr>
          <w:rFonts w:ascii="Times New Roman" w:eastAsia="Times New Roman" w:hAnsi="Times New Roman" w:cs="Times New Roman"/>
          <w:sz w:val="24"/>
          <w:szCs w:val="24"/>
          <w:lang w:val="en-GB" w:eastAsia="de-AT"/>
        </w:rPr>
        <w:t xml:space="preserve">the </w:t>
      </w:r>
      <w:r w:rsidRPr="000E701B">
        <w:rPr>
          <w:rFonts w:ascii="Times New Roman" w:eastAsia="Times New Roman" w:hAnsi="Times New Roman" w:cs="Times New Roman"/>
          <w:sz w:val="24"/>
          <w:szCs w:val="24"/>
          <w:lang w:val="en-GB" w:eastAsia="de-AT"/>
        </w:rPr>
        <w:t xml:space="preserve">auditor and </w:t>
      </w:r>
      <w:r w:rsidR="00571169">
        <w:rPr>
          <w:rFonts w:ascii="Times New Roman" w:eastAsia="Times New Roman" w:hAnsi="Times New Roman" w:cs="Times New Roman"/>
          <w:sz w:val="24"/>
          <w:szCs w:val="24"/>
          <w:lang w:val="en-GB" w:eastAsia="de-AT"/>
        </w:rPr>
        <w:t xml:space="preserve">the </w:t>
      </w:r>
      <w:r w:rsidRPr="000E701B">
        <w:rPr>
          <w:rFonts w:ascii="Times New Roman" w:eastAsia="Times New Roman" w:hAnsi="Times New Roman" w:cs="Times New Roman"/>
          <w:sz w:val="24"/>
          <w:szCs w:val="24"/>
          <w:lang w:val="en-GB" w:eastAsia="de-AT"/>
        </w:rPr>
        <w:t>client</w:t>
      </w:r>
      <w:r w:rsidR="0079587B">
        <w:rPr>
          <w:rFonts w:ascii="Times New Roman" w:eastAsia="Times New Roman" w:hAnsi="Times New Roman" w:cs="Times New Roman"/>
          <w:sz w:val="24"/>
          <w:szCs w:val="24"/>
          <w:lang w:val="en-GB" w:eastAsia="de-AT"/>
        </w:rPr>
        <w:t xml:space="preserve"> </w:t>
      </w:r>
      <w:r w:rsidR="00206949">
        <w:rPr>
          <w:rFonts w:ascii="Times New Roman" w:eastAsia="Times New Roman" w:hAnsi="Times New Roman" w:cs="Times New Roman"/>
          <w:sz w:val="24"/>
          <w:szCs w:val="24"/>
          <w:lang w:val="en-GB" w:eastAsia="de-AT"/>
        </w:rPr>
        <w:t xml:space="preserve">less </w:t>
      </w:r>
      <w:r w:rsidR="0079587B">
        <w:rPr>
          <w:rFonts w:ascii="Times New Roman" w:eastAsia="Times New Roman" w:hAnsi="Times New Roman" w:cs="Times New Roman"/>
          <w:sz w:val="24"/>
          <w:szCs w:val="24"/>
          <w:lang w:val="en-GB" w:eastAsia="de-AT"/>
        </w:rPr>
        <w:t xml:space="preserve">willing to </w:t>
      </w:r>
      <w:r w:rsidR="00206949">
        <w:rPr>
          <w:rFonts w:ascii="Times New Roman" w:eastAsia="Times New Roman" w:hAnsi="Times New Roman" w:cs="Times New Roman"/>
          <w:sz w:val="24"/>
          <w:szCs w:val="24"/>
          <w:lang w:val="en-GB" w:eastAsia="de-AT"/>
        </w:rPr>
        <w:t xml:space="preserve">stand up to </w:t>
      </w:r>
      <w:r w:rsidR="0079587B">
        <w:rPr>
          <w:rFonts w:ascii="Times New Roman" w:eastAsia="Times New Roman" w:hAnsi="Times New Roman" w:cs="Times New Roman"/>
          <w:sz w:val="24"/>
          <w:szCs w:val="24"/>
          <w:lang w:val="en-GB" w:eastAsia="de-AT"/>
        </w:rPr>
        <w:t xml:space="preserve">the </w:t>
      </w:r>
      <w:r w:rsidR="00466289">
        <w:rPr>
          <w:rFonts w:ascii="Times New Roman" w:eastAsia="Times New Roman" w:hAnsi="Times New Roman" w:cs="Times New Roman"/>
          <w:sz w:val="24"/>
          <w:szCs w:val="24"/>
          <w:lang w:val="en-GB" w:eastAsia="de-AT"/>
        </w:rPr>
        <w:t>interaction partner</w:t>
      </w:r>
      <w:r w:rsidR="0079587B">
        <w:rPr>
          <w:rFonts w:ascii="Times New Roman" w:eastAsia="Times New Roman" w:hAnsi="Times New Roman" w:cs="Times New Roman"/>
          <w:sz w:val="24"/>
          <w:szCs w:val="24"/>
          <w:lang w:val="en-GB" w:eastAsia="de-AT"/>
        </w:rPr>
        <w:t>’s position</w:t>
      </w:r>
      <w:r w:rsidR="00571169">
        <w:rPr>
          <w:rFonts w:ascii="Times New Roman" w:eastAsia="Times New Roman" w:hAnsi="Times New Roman" w:cs="Times New Roman"/>
          <w:sz w:val="24"/>
          <w:szCs w:val="24"/>
          <w:lang w:val="en-GB" w:eastAsia="de-AT"/>
        </w:rPr>
        <w:t>. This does not imply, however, that they would completely refrain from entering negotiations</w:t>
      </w:r>
      <w:r w:rsidR="00EF0D46" w:rsidRPr="00EF0D46">
        <w:rPr>
          <w:rFonts w:ascii="Times New Roman" w:eastAsia="Times New Roman" w:hAnsi="Times New Roman" w:cs="Times New Roman"/>
          <w:sz w:val="24"/>
          <w:szCs w:val="24"/>
          <w:lang w:val="en-GB" w:eastAsia="de-AT"/>
        </w:rPr>
        <w:t xml:space="preserve"> </w:t>
      </w:r>
      <w:r w:rsidR="00EF0D46" w:rsidRPr="000E701B">
        <w:rPr>
          <w:rFonts w:ascii="Times New Roman" w:eastAsia="Times New Roman" w:hAnsi="Times New Roman" w:cs="Times New Roman"/>
          <w:sz w:val="24"/>
          <w:szCs w:val="24"/>
          <w:lang w:val="en-GB" w:eastAsia="de-AT"/>
        </w:rPr>
        <w:t>over accounting issues</w:t>
      </w:r>
      <w:r w:rsidR="00571169">
        <w:rPr>
          <w:rFonts w:ascii="Times New Roman" w:eastAsia="Times New Roman" w:hAnsi="Times New Roman" w:cs="Times New Roman"/>
          <w:sz w:val="24"/>
          <w:szCs w:val="24"/>
          <w:lang w:val="en-GB" w:eastAsia="de-AT"/>
        </w:rPr>
        <w:t xml:space="preserve">. Rather, the auditor and the client </w:t>
      </w:r>
      <w:r w:rsidR="00EF0D46">
        <w:rPr>
          <w:rFonts w:ascii="Times New Roman" w:eastAsia="Times New Roman" w:hAnsi="Times New Roman" w:cs="Times New Roman"/>
          <w:sz w:val="24"/>
          <w:szCs w:val="24"/>
          <w:lang w:val="en-GB" w:eastAsia="de-AT"/>
        </w:rPr>
        <w:t>are more prepared to give up their position when they</w:t>
      </w:r>
      <w:r w:rsidR="00D61906">
        <w:rPr>
          <w:rFonts w:ascii="Times New Roman" w:eastAsia="Times New Roman" w:hAnsi="Times New Roman" w:cs="Times New Roman"/>
          <w:sz w:val="24"/>
          <w:szCs w:val="24"/>
          <w:lang w:val="en-GB" w:eastAsia="de-AT"/>
        </w:rPr>
        <w:t xml:space="preserve"> </w:t>
      </w:r>
      <w:r w:rsidR="00571169">
        <w:rPr>
          <w:rFonts w:ascii="Times New Roman" w:eastAsia="Times New Roman" w:hAnsi="Times New Roman" w:cs="Times New Roman"/>
          <w:sz w:val="24"/>
          <w:szCs w:val="24"/>
          <w:lang w:val="en-GB" w:eastAsia="de-AT"/>
        </w:rPr>
        <w:t xml:space="preserve">discuss the detected misstatement, </w:t>
      </w:r>
      <w:r w:rsidR="00D61906">
        <w:rPr>
          <w:rFonts w:ascii="Times New Roman" w:eastAsia="Times New Roman" w:hAnsi="Times New Roman" w:cs="Times New Roman"/>
          <w:sz w:val="24"/>
          <w:szCs w:val="24"/>
          <w:lang w:val="en-GB" w:eastAsia="de-AT"/>
        </w:rPr>
        <w:t xml:space="preserve">because they believe that the </w:t>
      </w:r>
      <w:r w:rsidR="00466289">
        <w:rPr>
          <w:rFonts w:ascii="Times New Roman" w:eastAsia="Times New Roman" w:hAnsi="Times New Roman" w:cs="Times New Roman"/>
          <w:sz w:val="24"/>
          <w:szCs w:val="24"/>
          <w:lang w:val="en-GB" w:eastAsia="de-AT"/>
        </w:rPr>
        <w:t xml:space="preserve">interaction partner </w:t>
      </w:r>
      <w:r w:rsidR="00D61906">
        <w:rPr>
          <w:rFonts w:ascii="Times New Roman" w:eastAsia="Times New Roman" w:hAnsi="Times New Roman" w:cs="Times New Roman"/>
          <w:sz w:val="24"/>
          <w:szCs w:val="24"/>
          <w:lang w:val="en-GB" w:eastAsia="de-AT"/>
        </w:rPr>
        <w:t xml:space="preserve">knows what they are talking about. </w:t>
      </w:r>
      <w:r w:rsidR="00D467CB">
        <w:rPr>
          <w:rFonts w:ascii="Times New Roman" w:eastAsia="Times New Roman" w:hAnsi="Times New Roman" w:cs="Times New Roman"/>
          <w:sz w:val="24"/>
          <w:szCs w:val="24"/>
          <w:lang w:val="en-GB" w:eastAsia="de-AT"/>
        </w:rPr>
        <w:t>Because of this belief</w:t>
      </w:r>
      <w:r w:rsidR="00D61906">
        <w:rPr>
          <w:rFonts w:ascii="Times New Roman" w:eastAsia="Times New Roman" w:hAnsi="Times New Roman" w:cs="Times New Roman"/>
          <w:sz w:val="24"/>
          <w:szCs w:val="24"/>
          <w:lang w:val="en-GB" w:eastAsia="de-AT"/>
        </w:rPr>
        <w:t>, the</w:t>
      </w:r>
      <w:r w:rsidR="00C52375">
        <w:rPr>
          <w:rFonts w:ascii="Times New Roman" w:eastAsia="Times New Roman" w:hAnsi="Times New Roman" w:cs="Times New Roman"/>
          <w:sz w:val="24"/>
          <w:szCs w:val="24"/>
          <w:lang w:val="en-GB" w:eastAsia="de-AT"/>
        </w:rPr>
        <w:t>y</w:t>
      </w:r>
      <w:r w:rsidR="00D61906">
        <w:rPr>
          <w:rFonts w:ascii="Times New Roman" w:eastAsia="Times New Roman" w:hAnsi="Times New Roman" w:cs="Times New Roman"/>
          <w:sz w:val="24"/>
          <w:szCs w:val="24"/>
          <w:lang w:val="en-GB" w:eastAsia="de-AT"/>
        </w:rPr>
        <w:t xml:space="preserve"> might also </w:t>
      </w:r>
      <w:r w:rsidRPr="000E701B">
        <w:rPr>
          <w:rFonts w:ascii="Times New Roman" w:eastAsia="Times New Roman" w:hAnsi="Times New Roman" w:cs="Times New Roman"/>
          <w:sz w:val="24"/>
          <w:szCs w:val="24"/>
          <w:lang w:val="en-GB" w:eastAsia="de-AT"/>
        </w:rPr>
        <w:t xml:space="preserve">expect </w:t>
      </w:r>
      <w:r w:rsidR="00EF0D46">
        <w:rPr>
          <w:rFonts w:ascii="Times New Roman" w:eastAsia="Times New Roman" w:hAnsi="Times New Roman" w:cs="Times New Roman"/>
          <w:sz w:val="24"/>
          <w:szCs w:val="24"/>
          <w:lang w:val="en-GB" w:eastAsia="de-AT"/>
        </w:rPr>
        <w:t xml:space="preserve">these </w:t>
      </w:r>
      <w:r w:rsidRPr="000E701B">
        <w:rPr>
          <w:rFonts w:ascii="Times New Roman" w:eastAsia="Times New Roman" w:hAnsi="Times New Roman" w:cs="Times New Roman"/>
          <w:sz w:val="24"/>
          <w:szCs w:val="24"/>
          <w:lang w:val="en-GB" w:eastAsia="de-AT"/>
        </w:rPr>
        <w:t>negotiations to be more difficult and the chances to succeed to be low</w:t>
      </w:r>
      <w:r w:rsidR="00D467CB">
        <w:rPr>
          <w:rFonts w:ascii="Times New Roman" w:eastAsia="Times New Roman" w:hAnsi="Times New Roman" w:cs="Times New Roman"/>
          <w:sz w:val="24"/>
          <w:szCs w:val="24"/>
          <w:lang w:val="en-GB" w:eastAsia="de-AT"/>
        </w:rPr>
        <w:t xml:space="preserve">, which might further increase their willingness to </w:t>
      </w:r>
      <w:r w:rsidR="00C52375">
        <w:rPr>
          <w:rFonts w:ascii="Times New Roman" w:eastAsia="Times New Roman" w:hAnsi="Times New Roman" w:cs="Times New Roman"/>
          <w:sz w:val="24"/>
          <w:szCs w:val="24"/>
          <w:lang w:val="en-GB" w:eastAsia="de-AT"/>
        </w:rPr>
        <w:t xml:space="preserve">readily </w:t>
      </w:r>
      <w:r w:rsidR="00D467CB">
        <w:rPr>
          <w:rFonts w:ascii="Times New Roman" w:eastAsia="Times New Roman" w:hAnsi="Times New Roman" w:cs="Times New Roman"/>
          <w:sz w:val="24"/>
          <w:szCs w:val="24"/>
          <w:lang w:val="en-GB" w:eastAsia="de-AT"/>
        </w:rPr>
        <w:t xml:space="preserve">give in to the </w:t>
      </w:r>
      <w:r w:rsidR="00997425">
        <w:rPr>
          <w:rFonts w:ascii="Times New Roman" w:eastAsia="Times New Roman" w:hAnsi="Times New Roman" w:cs="Times New Roman"/>
          <w:sz w:val="24"/>
          <w:szCs w:val="24"/>
          <w:lang w:val="en-GB" w:eastAsia="de-AT"/>
        </w:rPr>
        <w:t xml:space="preserve">interaction </w:t>
      </w:r>
      <w:r w:rsidR="00D467CB">
        <w:rPr>
          <w:rFonts w:ascii="Times New Roman" w:eastAsia="Times New Roman" w:hAnsi="Times New Roman" w:cs="Times New Roman"/>
          <w:sz w:val="24"/>
          <w:szCs w:val="24"/>
          <w:lang w:val="en-GB" w:eastAsia="de-AT"/>
        </w:rPr>
        <w:t>partner’s position</w:t>
      </w:r>
      <w:r w:rsidRPr="000E701B">
        <w:rPr>
          <w:rFonts w:ascii="Times New Roman" w:eastAsia="Times New Roman" w:hAnsi="Times New Roman" w:cs="Times New Roman"/>
          <w:sz w:val="24"/>
          <w:szCs w:val="24"/>
          <w:lang w:val="en-GB" w:eastAsia="de-AT"/>
        </w:rPr>
        <w:t>.</w:t>
      </w:r>
      <w:r w:rsidR="00A61C8F">
        <w:rPr>
          <w:rFonts w:ascii="Times New Roman" w:eastAsia="Times New Roman" w:hAnsi="Times New Roman" w:cs="Times New Roman"/>
          <w:sz w:val="24"/>
          <w:szCs w:val="24"/>
          <w:lang w:val="en-GB" w:eastAsia="de-AT"/>
        </w:rPr>
        <w:t xml:space="preserve"> </w:t>
      </w:r>
    </w:p>
    <w:p w14:paraId="388184FF" w14:textId="73CB4302" w:rsidR="00DE4D7A" w:rsidRDefault="000E701B" w:rsidP="000E701B">
      <w:pPr>
        <w:keepNext/>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In contrast, we do not find a significant relationship between the goodwill trust that auditors or clients put in their </w:t>
      </w:r>
      <w:r w:rsidR="00997425">
        <w:rPr>
          <w:rFonts w:ascii="Times New Roman" w:eastAsia="Times New Roman" w:hAnsi="Times New Roman" w:cs="Times New Roman"/>
          <w:sz w:val="24"/>
          <w:szCs w:val="24"/>
          <w:lang w:val="en-GB" w:eastAsia="de-AT"/>
        </w:rPr>
        <w:t>interaction</w:t>
      </w:r>
      <w:r w:rsidR="00997425" w:rsidRPr="000E701B">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 xml:space="preserve">partner and their </w:t>
      </w:r>
      <w:r w:rsidR="00466289">
        <w:rPr>
          <w:rFonts w:ascii="Times New Roman" w:eastAsia="Times New Roman" w:hAnsi="Times New Roman" w:cs="Times New Roman"/>
          <w:sz w:val="24"/>
          <w:szCs w:val="24"/>
          <w:lang w:val="en-GB" w:eastAsia="de-AT"/>
        </w:rPr>
        <w:t xml:space="preserve">likelihood to stand up to </w:t>
      </w:r>
      <w:r w:rsidRPr="000E701B">
        <w:rPr>
          <w:rFonts w:ascii="Times New Roman" w:eastAsia="Times New Roman" w:hAnsi="Times New Roman" w:cs="Times New Roman"/>
          <w:sz w:val="24"/>
          <w:szCs w:val="24"/>
          <w:lang w:val="en-GB" w:eastAsia="de-AT"/>
        </w:rPr>
        <w:t xml:space="preserve">their </w:t>
      </w:r>
      <w:r w:rsidR="00997425">
        <w:rPr>
          <w:rFonts w:ascii="Times New Roman" w:eastAsia="Times New Roman" w:hAnsi="Times New Roman" w:cs="Times New Roman"/>
          <w:sz w:val="24"/>
          <w:szCs w:val="24"/>
          <w:lang w:val="en-GB" w:eastAsia="de-AT"/>
        </w:rPr>
        <w:t>interaction</w:t>
      </w:r>
      <w:r w:rsidR="00997425" w:rsidRPr="000E701B">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partner’s preferred treatment.</w:t>
      </w:r>
      <w:r w:rsidR="00523D4D">
        <w:rPr>
          <w:rFonts w:ascii="Times New Roman" w:eastAsia="Times New Roman" w:hAnsi="Times New Roman" w:cs="Times New Roman"/>
          <w:sz w:val="24"/>
          <w:szCs w:val="24"/>
          <w:lang w:val="en-GB" w:eastAsia="de-AT"/>
        </w:rPr>
        <w:t xml:space="preserve"> T</w:t>
      </w:r>
      <w:r w:rsidR="00FB0E32">
        <w:rPr>
          <w:rFonts w:ascii="Times New Roman" w:eastAsia="Times New Roman" w:hAnsi="Times New Roman" w:cs="Times New Roman"/>
          <w:sz w:val="24"/>
          <w:szCs w:val="24"/>
          <w:lang w:val="en-GB" w:eastAsia="de-AT"/>
        </w:rPr>
        <w:t xml:space="preserve">hus, even if the auditor believes that the client has good intentions to perform as promised, i.e. to manage the firm, prepare the financial statements and deliver any information required by the auditor, they </w:t>
      </w:r>
      <w:r w:rsidR="001C5838">
        <w:rPr>
          <w:rFonts w:ascii="Times New Roman" w:eastAsia="Times New Roman" w:hAnsi="Times New Roman" w:cs="Times New Roman"/>
          <w:sz w:val="24"/>
          <w:szCs w:val="24"/>
          <w:lang w:val="en-GB" w:eastAsia="de-AT"/>
        </w:rPr>
        <w:t xml:space="preserve">are not </w:t>
      </w:r>
      <w:r w:rsidR="00206949">
        <w:rPr>
          <w:rFonts w:ascii="Times New Roman" w:eastAsia="Times New Roman" w:hAnsi="Times New Roman" w:cs="Times New Roman"/>
          <w:sz w:val="24"/>
          <w:szCs w:val="24"/>
          <w:lang w:val="en-GB" w:eastAsia="de-AT"/>
        </w:rPr>
        <w:t xml:space="preserve">less </w:t>
      </w:r>
      <w:r w:rsidR="001C5838">
        <w:rPr>
          <w:rFonts w:ascii="Times New Roman" w:eastAsia="Times New Roman" w:hAnsi="Times New Roman" w:cs="Times New Roman"/>
          <w:sz w:val="24"/>
          <w:szCs w:val="24"/>
          <w:lang w:val="en-GB" w:eastAsia="de-AT"/>
        </w:rPr>
        <w:t xml:space="preserve">likely to </w:t>
      </w:r>
      <w:r w:rsidR="00206949">
        <w:rPr>
          <w:rFonts w:ascii="Times New Roman" w:eastAsia="Times New Roman" w:hAnsi="Times New Roman" w:cs="Times New Roman"/>
          <w:sz w:val="24"/>
          <w:szCs w:val="24"/>
          <w:lang w:val="en-GB" w:eastAsia="de-AT"/>
        </w:rPr>
        <w:t xml:space="preserve">stand up to </w:t>
      </w:r>
      <w:r w:rsidR="001C5838">
        <w:rPr>
          <w:rFonts w:ascii="Times New Roman" w:eastAsia="Times New Roman" w:hAnsi="Times New Roman" w:cs="Times New Roman"/>
          <w:sz w:val="24"/>
          <w:szCs w:val="24"/>
          <w:lang w:val="en-GB" w:eastAsia="de-AT"/>
        </w:rPr>
        <w:t>the client’s preferred treatment.</w:t>
      </w:r>
      <w:r w:rsidR="00004533">
        <w:rPr>
          <w:rFonts w:ascii="Times New Roman" w:eastAsia="Times New Roman" w:hAnsi="Times New Roman" w:cs="Times New Roman"/>
          <w:sz w:val="24"/>
          <w:szCs w:val="24"/>
          <w:lang w:val="en-GB" w:eastAsia="de-AT"/>
        </w:rPr>
        <w:t xml:space="preserve"> </w:t>
      </w:r>
      <w:r w:rsidR="000A6C45">
        <w:rPr>
          <w:rFonts w:ascii="Times New Roman" w:eastAsia="Times New Roman" w:hAnsi="Times New Roman" w:cs="Times New Roman"/>
          <w:sz w:val="24"/>
          <w:szCs w:val="24"/>
          <w:lang w:val="en-GB" w:eastAsia="de-AT"/>
        </w:rPr>
        <w:t>Surprisingly, t</w:t>
      </w:r>
      <w:r w:rsidR="003543A3">
        <w:rPr>
          <w:rFonts w:ascii="Times New Roman" w:eastAsia="Times New Roman" w:hAnsi="Times New Roman" w:cs="Times New Roman"/>
          <w:sz w:val="24"/>
          <w:szCs w:val="24"/>
          <w:lang w:val="en-GB" w:eastAsia="de-AT"/>
        </w:rPr>
        <w:t xml:space="preserve">his finding is not in line with the findings of </w:t>
      </w:r>
      <w:proofErr w:type="spellStart"/>
      <w:r w:rsidR="003543A3">
        <w:rPr>
          <w:rFonts w:ascii="Times New Roman" w:eastAsia="Times New Roman" w:hAnsi="Times New Roman" w:cs="Times New Roman"/>
          <w:sz w:val="24"/>
          <w:szCs w:val="24"/>
          <w:lang w:val="en-GB" w:eastAsia="de-AT"/>
        </w:rPr>
        <w:t>Kerler</w:t>
      </w:r>
      <w:proofErr w:type="spellEnd"/>
      <w:r w:rsidR="003543A3">
        <w:rPr>
          <w:rFonts w:ascii="Times New Roman" w:eastAsia="Times New Roman" w:hAnsi="Times New Roman" w:cs="Times New Roman"/>
          <w:sz w:val="24"/>
          <w:szCs w:val="24"/>
          <w:lang w:val="en-GB" w:eastAsia="de-AT"/>
        </w:rPr>
        <w:t xml:space="preserve"> and Brandon (</w:t>
      </w:r>
      <w:r w:rsidR="000A6C45">
        <w:rPr>
          <w:rFonts w:ascii="Times New Roman" w:eastAsia="Times New Roman" w:hAnsi="Times New Roman" w:cs="Times New Roman"/>
          <w:sz w:val="24"/>
          <w:szCs w:val="24"/>
          <w:lang w:val="en-GB" w:eastAsia="de-AT"/>
        </w:rPr>
        <w:t xml:space="preserve">2010), who suggest a positive influence of goodwill trust on the auditor’s goal commitment, which, in turn, positively affects the acceptability of the client’s preferred method. </w:t>
      </w:r>
      <w:r w:rsidR="00FB0E32">
        <w:rPr>
          <w:rFonts w:ascii="Times New Roman" w:eastAsia="Times New Roman" w:hAnsi="Times New Roman" w:cs="Times New Roman"/>
          <w:sz w:val="24"/>
          <w:szCs w:val="24"/>
          <w:lang w:val="en-GB" w:eastAsia="de-AT"/>
        </w:rPr>
        <w:lastRenderedPageBreak/>
        <w:t>Similarly, even if the client believes that the auditor has good intentions to conduct a fair and constructive review of the financial statements, they are still reluctant to accept the misstatements detected by the auditor and alter the financial statements accordingly.</w:t>
      </w:r>
      <w:r w:rsidR="00004533">
        <w:rPr>
          <w:rFonts w:ascii="Times New Roman" w:eastAsia="Times New Roman" w:hAnsi="Times New Roman" w:cs="Times New Roman"/>
          <w:sz w:val="24"/>
          <w:szCs w:val="24"/>
          <w:lang w:val="en-GB" w:eastAsia="de-AT"/>
        </w:rPr>
        <w:t xml:space="preserve"> </w:t>
      </w:r>
      <w:r w:rsidR="00165048">
        <w:rPr>
          <w:rFonts w:ascii="Times New Roman" w:eastAsia="Times New Roman" w:hAnsi="Times New Roman" w:cs="Times New Roman"/>
          <w:sz w:val="24"/>
          <w:szCs w:val="24"/>
          <w:lang w:val="en-GB" w:eastAsia="de-AT"/>
        </w:rPr>
        <w:t>These findings suggest that goodwill trust is not used as means of reducing uncertainty in the auditor-client relationship in the best way possible. Even though goodwill trust has been shown to increase information exchange (Kimmel et al. 1980)</w:t>
      </w:r>
      <w:r w:rsidR="00432FB0">
        <w:rPr>
          <w:rFonts w:ascii="Times New Roman" w:eastAsia="Times New Roman" w:hAnsi="Times New Roman" w:cs="Times New Roman"/>
          <w:sz w:val="24"/>
          <w:szCs w:val="24"/>
          <w:lang w:val="en-GB" w:eastAsia="de-AT"/>
        </w:rPr>
        <w:t xml:space="preserve"> and reduce opportunism (De</w:t>
      </w:r>
      <w:r w:rsidR="009928D1">
        <w:rPr>
          <w:rFonts w:ascii="Times New Roman" w:eastAsia="Times New Roman" w:hAnsi="Times New Roman" w:cs="Times New Roman"/>
          <w:sz w:val="24"/>
          <w:szCs w:val="24"/>
          <w:lang w:val="en-GB" w:eastAsia="de-AT"/>
        </w:rPr>
        <w:t xml:space="preserve"> </w:t>
      </w:r>
      <w:r w:rsidR="00432FB0">
        <w:rPr>
          <w:rFonts w:ascii="Times New Roman" w:eastAsia="Times New Roman" w:hAnsi="Times New Roman" w:cs="Times New Roman"/>
          <w:sz w:val="24"/>
          <w:szCs w:val="24"/>
          <w:lang w:val="en-GB" w:eastAsia="de-AT"/>
        </w:rPr>
        <w:t xml:space="preserve">Ruyter and </w:t>
      </w:r>
      <w:proofErr w:type="spellStart"/>
      <w:r w:rsidR="00432FB0">
        <w:rPr>
          <w:rFonts w:ascii="Times New Roman" w:eastAsia="Times New Roman" w:hAnsi="Times New Roman" w:cs="Times New Roman"/>
          <w:sz w:val="24"/>
          <w:szCs w:val="24"/>
          <w:lang w:val="en-GB" w:eastAsia="de-AT"/>
        </w:rPr>
        <w:t>Wetzels</w:t>
      </w:r>
      <w:proofErr w:type="spellEnd"/>
      <w:r w:rsidR="00432FB0">
        <w:rPr>
          <w:rFonts w:ascii="Times New Roman" w:eastAsia="Times New Roman" w:hAnsi="Times New Roman" w:cs="Times New Roman"/>
          <w:sz w:val="24"/>
          <w:szCs w:val="24"/>
          <w:lang w:val="en-GB" w:eastAsia="de-AT"/>
        </w:rPr>
        <w:t xml:space="preserve"> 1999)</w:t>
      </w:r>
      <w:r w:rsidR="00165048">
        <w:rPr>
          <w:rFonts w:ascii="Times New Roman" w:eastAsia="Times New Roman" w:hAnsi="Times New Roman" w:cs="Times New Roman"/>
          <w:sz w:val="24"/>
          <w:szCs w:val="24"/>
          <w:lang w:val="en-GB" w:eastAsia="de-AT"/>
        </w:rPr>
        <w:t xml:space="preserve">, </w:t>
      </w:r>
      <w:r w:rsidR="00FB2FFA">
        <w:rPr>
          <w:rFonts w:ascii="Times New Roman" w:eastAsia="Times New Roman" w:hAnsi="Times New Roman" w:cs="Times New Roman"/>
          <w:sz w:val="24"/>
          <w:szCs w:val="24"/>
          <w:lang w:val="en-GB" w:eastAsia="de-AT"/>
        </w:rPr>
        <w:t>neither auditor</w:t>
      </w:r>
      <w:r w:rsidR="00AF05A2">
        <w:rPr>
          <w:rFonts w:ascii="Times New Roman" w:eastAsia="Times New Roman" w:hAnsi="Times New Roman" w:cs="Times New Roman"/>
          <w:sz w:val="24"/>
          <w:szCs w:val="24"/>
          <w:lang w:val="en-GB" w:eastAsia="de-AT"/>
        </w:rPr>
        <w:t xml:space="preserve"> </w:t>
      </w:r>
      <w:r w:rsidR="008755CC">
        <w:rPr>
          <w:rFonts w:ascii="Times New Roman" w:eastAsia="Times New Roman" w:hAnsi="Times New Roman" w:cs="Times New Roman"/>
          <w:sz w:val="24"/>
          <w:szCs w:val="24"/>
          <w:lang w:val="en-GB" w:eastAsia="de-AT"/>
        </w:rPr>
        <w:t>nor</w:t>
      </w:r>
      <w:r w:rsidR="00FB2FFA">
        <w:rPr>
          <w:rFonts w:ascii="Times New Roman" w:eastAsia="Times New Roman" w:hAnsi="Times New Roman" w:cs="Times New Roman"/>
          <w:sz w:val="24"/>
          <w:szCs w:val="24"/>
          <w:lang w:val="en-GB" w:eastAsia="de-AT"/>
        </w:rPr>
        <w:t xml:space="preserve"> client </w:t>
      </w:r>
      <w:r w:rsidR="008755CC">
        <w:rPr>
          <w:rFonts w:ascii="Times New Roman" w:eastAsia="Times New Roman" w:hAnsi="Times New Roman" w:cs="Times New Roman"/>
          <w:sz w:val="24"/>
          <w:szCs w:val="24"/>
          <w:lang w:val="en-GB" w:eastAsia="de-AT"/>
        </w:rPr>
        <w:t>seem</w:t>
      </w:r>
      <w:r w:rsidR="00FB2FFA">
        <w:rPr>
          <w:rFonts w:ascii="Times New Roman" w:eastAsia="Times New Roman" w:hAnsi="Times New Roman" w:cs="Times New Roman"/>
          <w:sz w:val="24"/>
          <w:szCs w:val="24"/>
          <w:lang w:val="en-GB" w:eastAsia="de-AT"/>
        </w:rPr>
        <w:t xml:space="preserve"> to </w:t>
      </w:r>
      <w:r w:rsidR="008755CC">
        <w:rPr>
          <w:rFonts w:ascii="Times New Roman" w:eastAsia="Times New Roman" w:hAnsi="Times New Roman" w:cs="Times New Roman"/>
          <w:sz w:val="24"/>
          <w:szCs w:val="24"/>
          <w:lang w:val="en-GB" w:eastAsia="de-AT"/>
        </w:rPr>
        <w:t xml:space="preserve">translate the additional information gained regarding the interaction partner’s willingness to perform as promised </w:t>
      </w:r>
      <w:r w:rsidR="00B67CCB">
        <w:rPr>
          <w:rFonts w:ascii="Times New Roman" w:eastAsia="Times New Roman" w:hAnsi="Times New Roman" w:cs="Times New Roman"/>
          <w:sz w:val="24"/>
          <w:szCs w:val="24"/>
          <w:lang w:val="en-GB" w:eastAsia="de-AT"/>
        </w:rPr>
        <w:t xml:space="preserve">or their </w:t>
      </w:r>
      <w:r w:rsidR="00EA6740">
        <w:rPr>
          <w:rFonts w:ascii="Times New Roman" w:eastAsia="Times New Roman" w:hAnsi="Times New Roman" w:cs="Times New Roman"/>
          <w:sz w:val="24"/>
          <w:szCs w:val="24"/>
          <w:lang w:val="en-GB" w:eastAsia="de-AT"/>
        </w:rPr>
        <w:t xml:space="preserve">decreased opportunistic behaviour </w:t>
      </w:r>
      <w:r w:rsidR="008755CC">
        <w:rPr>
          <w:rFonts w:ascii="Times New Roman" w:eastAsia="Times New Roman" w:hAnsi="Times New Roman" w:cs="Times New Roman"/>
          <w:sz w:val="24"/>
          <w:szCs w:val="24"/>
          <w:lang w:val="en-GB" w:eastAsia="de-AT"/>
        </w:rPr>
        <w:t xml:space="preserve">into </w:t>
      </w:r>
      <w:r w:rsidR="009C7FE7">
        <w:rPr>
          <w:rFonts w:ascii="Times New Roman" w:eastAsia="Times New Roman" w:hAnsi="Times New Roman" w:cs="Times New Roman"/>
          <w:sz w:val="24"/>
          <w:szCs w:val="24"/>
          <w:lang w:val="en-GB" w:eastAsia="de-AT"/>
        </w:rPr>
        <w:t xml:space="preserve">a lower level of questioning </w:t>
      </w:r>
      <w:r w:rsidR="00DE4D7A">
        <w:rPr>
          <w:rFonts w:ascii="Times New Roman" w:eastAsia="Times New Roman" w:hAnsi="Times New Roman" w:cs="Times New Roman"/>
          <w:sz w:val="24"/>
          <w:szCs w:val="24"/>
          <w:lang w:val="en-GB" w:eastAsia="de-AT"/>
        </w:rPr>
        <w:t xml:space="preserve">the </w:t>
      </w:r>
      <w:r w:rsidR="00466289">
        <w:rPr>
          <w:rFonts w:ascii="Times New Roman" w:eastAsia="Times New Roman" w:hAnsi="Times New Roman" w:cs="Times New Roman"/>
          <w:sz w:val="24"/>
          <w:szCs w:val="24"/>
          <w:lang w:val="en-GB" w:eastAsia="de-AT"/>
        </w:rPr>
        <w:t>interaction partner</w:t>
      </w:r>
      <w:r w:rsidR="00DE4D7A">
        <w:rPr>
          <w:rFonts w:ascii="Times New Roman" w:eastAsia="Times New Roman" w:hAnsi="Times New Roman" w:cs="Times New Roman"/>
          <w:sz w:val="24"/>
          <w:szCs w:val="24"/>
          <w:lang w:val="en-GB" w:eastAsia="de-AT"/>
        </w:rPr>
        <w:t xml:space="preserve">’s preferred treatment. </w:t>
      </w:r>
    </w:p>
    <w:p w14:paraId="1622AB28" w14:textId="169F3BE5" w:rsidR="00ED56E2" w:rsidRDefault="00B67CCB" w:rsidP="000E701B">
      <w:pPr>
        <w:keepNext/>
        <w:spacing w:before="120" w:after="120" w:line="240" w:lineRule="auto"/>
        <w:ind w:firstLine="708"/>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As far as auditors are concerned, o</w:t>
      </w:r>
      <w:r w:rsidR="00DE4D7A">
        <w:rPr>
          <w:rFonts w:ascii="Times New Roman" w:eastAsia="Times New Roman" w:hAnsi="Times New Roman" w:cs="Times New Roman"/>
          <w:sz w:val="24"/>
          <w:szCs w:val="24"/>
          <w:lang w:val="en-GB" w:eastAsia="de-AT"/>
        </w:rPr>
        <w:t xml:space="preserve">ne possible explanation for this unexpected finding might be that </w:t>
      </w:r>
      <w:r w:rsidR="000E701B" w:rsidRPr="000E701B">
        <w:rPr>
          <w:rFonts w:ascii="Times New Roman" w:eastAsia="Times New Roman" w:hAnsi="Times New Roman" w:cs="Times New Roman"/>
          <w:sz w:val="24"/>
          <w:szCs w:val="24"/>
          <w:lang w:val="en-GB" w:eastAsia="de-AT"/>
        </w:rPr>
        <w:t>professional</w:t>
      </w:r>
      <w:r w:rsidR="001F776E">
        <w:rPr>
          <w:rFonts w:ascii="Times New Roman" w:eastAsia="Times New Roman" w:hAnsi="Times New Roman" w:cs="Times New Roman"/>
          <w:sz w:val="24"/>
          <w:szCs w:val="24"/>
          <w:lang w:val="en-GB" w:eastAsia="de-AT"/>
        </w:rPr>
        <w:t xml:space="preserve"> </w:t>
      </w:r>
      <w:r w:rsidR="000E701B" w:rsidRPr="000E701B">
        <w:rPr>
          <w:rFonts w:ascii="Times New Roman" w:eastAsia="Times New Roman" w:hAnsi="Times New Roman" w:cs="Times New Roman"/>
          <w:sz w:val="24"/>
          <w:szCs w:val="24"/>
          <w:lang w:val="en-GB" w:eastAsia="de-AT"/>
        </w:rPr>
        <w:t>scepticism prevent</w:t>
      </w:r>
      <w:r w:rsidR="001F776E">
        <w:rPr>
          <w:rFonts w:ascii="Times New Roman" w:eastAsia="Times New Roman" w:hAnsi="Times New Roman" w:cs="Times New Roman"/>
          <w:sz w:val="24"/>
          <w:szCs w:val="24"/>
          <w:lang w:val="en-GB" w:eastAsia="de-AT"/>
        </w:rPr>
        <w:t>s</w:t>
      </w:r>
      <w:r w:rsidR="000E701B" w:rsidRPr="000E701B">
        <w:rPr>
          <w:rFonts w:ascii="Times New Roman" w:eastAsia="Times New Roman" w:hAnsi="Times New Roman" w:cs="Times New Roman"/>
          <w:sz w:val="24"/>
          <w:szCs w:val="24"/>
          <w:lang w:val="en-GB" w:eastAsia="de-AT"/>
        </w:rPr>
        <w:t xml:space="preserve"> that trust in the client’s mere willingness to perform impacts their audit decisions.</w:t>
      </w:r>
      <w:r w:rsidR="001F776E">
        <w:rPr>
          <w:rFonts w:ascii="Times New Roman" w:eastAsia="Times New Roman" w:hAnsi="Times New Roman" w:cs="Times New Roman"/>
          <w:sz w:val="24"/>
          <w:szCs w:val="24"/>
          <w:lang w:val="en-GB" w:eastAsia="de-AT"/>
        </w:rPr>
        <w:t xml:space="preserve"> </w:t>
      </w:r>
      <w:r w:rsidR="00AF6245">
        <w:rPr>
          <w:rFonts w:ascii="Times New Roman" w:eastAsia="Times New Roman" w:hAnsi="Times New Roman" w:cs="Times New Roman"/>
          <w:sz w:val="24"/>
          <w:szCs w:val="24"/>
          <w:lang w:val="en-GB" w:eastAsia="de-AT"/>
        </w:rPr>
        <w:t xml:space="preserve">It is likely that </w:t>
      </w:r>
      <w:r w:rsidR="00870CBE">
        <w:rPr>
          <w:rFonts w:ascii="Times New Roman" w:eastAsia="Times New Roman" w:hAnsi="Times New Roman" w:cs="Times New Roman"/>
          <w:sz w:val="24"/>
          <w:szCs w:val="24"/>
          <w:lang w:val="en-GB" w:eastAsia="de-AT"/>
        </w:rPr>
        <w:t xml:space="preserve">the imbalance </w:t>
      </w:r>
      <w:r w:rsidR="00D14D08">
        <w:rPr>
          <w:rFonts w:ascii="Times New Roman" w:eastAsia="Times New Roman" w:hAnsi="Times New Roman" w:cs="Times New Roman"/>
          <w:sz w:val="24"/>
          <w:szCs w:val="24"/>
          <w:lang w:val="en-GB" w:eastAsia="de-AT"/>
        </w:rPr>
        <w:t>an auditor</w:t>
      </w:r>
      <w:r w:rsidR="00870CBE">
        <w:rPr>
          <w:rFonts w:ascii="Times New Roman" w:eastAsia="Times New Roman" w:hAnsi="Times New Roman" w:cs="Times New Roman"/>
          <w:sz w:val="24"/>
          <w:szCs w:val="24"/>
          <w:lang w:val="en-GB" w:eastAsia="de-AT"/>
        </w:rPr>
        <w:t xml:space="preserve"> feel</w:t>
      </w:r>
      <w:r w:rsidR="00D14D08">
        <w:rPr>
          <w:rFonts w:ascii="Times New Roman" w:eastAsia="Times New Roman" w:hAnsi="Times New Roman" w:cs="Times New Roman"/>
          <w:sz w:val="24"/>
          <w:szCs w:val="24"/>
          <w:lang w:val="en-GB" w:eastAsia="de-AT"/>
        </w:rPr>
        <w:t>s</w:t>
      </w:r>
      <w:r w:rsidR="00870CBE">
        <w:rPr>
          <w:rFonts w:ascii="Times New Roman" w:eastAsia="Times New Roman" w:hAnsi="Times New Roman" w:cs="Times New Roman"/>
          <w:sz w:val="24"/>
          <w:szCs w:val="24"/>
          <w:lang w:val="en-GB" w:eastAsia="de-AT"/>
        </w:rPr>
        <w:t xml:space="preserve"> between the formal requirement to be sceptical of the information provided by the client and the goodwill trust they </w:t>
      </w:r>
      <w:r w:rsidR="00ED56E2">
        <w:rPr>
          <w:rFonts w:ascii="Times New Roman" w:eastAsia="Times New Roman" w:hAnsi="Times New Roman" w:cs="Times New Roman"/>
          <w:sz w:val="24"/>
          <w:szCs w:val="24"/>
          <w:lang w:val="en-GB" w:eastAsia="de-AT"/>
        </w:rPr>
        <w:t>have</w:t>
      </w:r>
      <w:r w:rsidR="00870CBE">
        <w:rPr>
          <w:rFonts w:ascii="Times New Roman" w:eastAsia="Times New Roman" w:hAnsi="Times New Roman" w:cs="Times New Roman"/>
          <w:sz w:val="24"/>
          <w:szCs w:val="24"/>
          <w:lang w:val="en-GB" w:eastAsia="de-AT"/>
        </w:rPr>
        <w:t xml:space="preserve"> in the client is compensated by being even more sceptical (Aschauer et al. 2017; </w:t>
      </w:r>
      <w:proofErr w:type="spellStart"/>
      <w:r w:rsidR="00870CBE">
        <w:rPr>
          <w:rFonts w:ascii="Times New Roman" w:eastAsia="Times New Roman" w:hAnsi="Times New Roman" w:cs="Times New Roman"/>
          <w:sz w:val="24"/>
          <w:szCs w:val="24"/>
          <w:lang w:val="en-GB" w:eastAsia="de-AT"/>
        </w:rPr>
        <w:t>Quadackers</w:t>
      </w:r>
      <w:proofErr w:type="spellEnd"/>
      <w:r w:rsidR="00870CBE">
        <w:rPr>
          <w:rFonts w:ascii="Times New Roman" w:eastAsia="Times New Roman" w:hAnsi="Times New Roman" w:cs="Times New Roman"/>
          <w:sz w:val="24"/>
          <w:szCs w:val="24"/>
          <w:lang w:val="en-GB" w:eastAsia="de-AT"/>
        </w:rPr>
        <w:t xml:space="preserve"> 2009). </w:t>
      </w:r>
      <w:r w:rsidR="00EA6740">
        <w:rPr>
          <w:rFonts w:ascii="Times New Roman" w:eastAsia="Times New Roman" w:hAnsi="Times New Roman" w:cs="Times New Roman"/>
          <w:sz w:val="24"/>
          <w:szCs w:val="24"/>
          <w:lang w:val="en-GB" w:eastAsia="de-AT"/>
        </w:rPr>
        <w:t xml:space="preserve">Rennie et al. (2010), for example, </w:t>
      </w:r>
      <w:r w:rsidR="00345162">
        <w:rPr>
          <w:rFonts w:ascii="Times New Roman" w:eastAsia="Times New Roman" w:hAnsi="Times New Roman" w:cs="Times New Roman"/>
          <w:sz w:val="24"/>
          <w:szCs w:val="24"/>
          <w:lang w:val="en-GB" w:eastAsia="de-AT"/>
        </w:rPr>
        <w:t>find that auditors employ several strategies to compensate for the auditor’s interpersonal trust placed in the client and ensure the auditor’s professional scepticism, in particular through audit procedures</w:t>
      </w:r>
      <w:r w:rsidR="00C31696">
        <w:rPr>
          <w:rFonts w:ascii="Times New Roman" w:eastAsia="Times New Roman" w:hAnsi="Times New Roman" w:cs="Times New Roman"/>
          <w:sz w:val="24"/>
          <w:szCs w:val="24"/>
          <w:lang w:val="en-GB" w:eastAsia="de-AT"/>
        </w:rPr>
        <w:t xml:space="preserve"> and the auditor’s attitude</w:t>
      </w:r>
      <w:r w:rsidR="00E71B26">
        <w:rPr>
          <w:rFonts w:ascii="Times New Roman" w:eastAsia="Times New Roman" w:hAnsi="Times New Roman" w:cs="Times New Roman"/>
          <w:sz w:val="24"/>
          <w:szCs w:val="24"/>
          <w:lang w:val="en-GB" w:eastAsia="de-AT"/>
        </w:rPr>
        <w:t xml:space="preserve"> and mindset</w:t>
      </w:r>
      <w:r w:rsidR="00345162">
        <w:rPr>
          <w:rFonts w:ascii="Times New Roman" w:eastAsia="Times New Roman" w:hAnsi="Times New Roman" w:cs="Times New Roman"/>
          <w:sz w:val="24"/>
          <w:szCs w:val="24"/>
          <w:lang w:val="en-GB" w:eastAsia="de-AT"/>
        </w:rPr>
        <w:t xml:space="preserve">. </w:t>
      </w:r>
      <w:r w:rsidR="00703F5D">
        <w:rPr>
          <w:rFonts w:ascii="Times New Roman" w:eastAsia="Times New Roman" w:hAnsi="Times New Roman" w:cs="Times New Roman"/>
          <w:sz w:val="24"/>
          <w:szCs w:val="24"/>
          <w:lang w:val="en-GB" w:eastAsia="de-AT"/>
        </w:rPr>
        <w:t xml:space="preserve">In an auditor-client negotiation, </w:t>
      </w:r>
      <w:r w:rsidR="003C2FFA">
        <w:rPr>
          <w:rFonts w:ascii="Times New Roman" w:eastAsia="Times New Roman" w:hAnsi="Times New Roman" w:cs="Times New Roman"/>
          <w:sz w:val="24"/>
          <w:szCs w:val="24"/>
          <w:lang w:val="en-GB" w:eastAsia="de-AT"/>
        </w:rPr>
        <w:t>such</w:t>
      </w:r>
      <w:r w:rsidR="00703F5D">
        <w:rPr>
          <w:rFonts w:ascii="Times New Roman" w:eastAsia="Times New Roman" w:hAnsi="Times New Roman" w:cs="Times New Roman"/>
          <w:sz w:val="24"/>
          <w:szCs w:val="24"/>
          <w:lang w:val="en-GB" w:eastAsia="de-AT"/>
        </w:rPr>
        <w:t xml:space="preserve"> compensation behaviour might lead to a situation in which the auditor</w:t>
      </w:r>
      <w:r w:rsidR="00D14D08">
        <w:rPr>
          <w:rFonts w:ascii="Times New Roman" w:eastAsia="Times New Roman" w:hAnsi="Times New Roman" w:cs="Times New Roman"/>
          <w:sz w:val="24"/>
          <w:szCs w:val="24"/>
          <w:lang w:val="en-GB" w:eastAsia="de-AT"/>
        </w:rPr>
        <w:t xml:space="preserve">’s increased scepticism </w:t>
      </w:r>
      <w:r w:rsidR="009C7FE7">
        <w:rPr>
          <w:rFonts w:ascii="Times New Roman" w:eastAsia="Times New Roman" w:hAnsi="Times New Roman" w:cs="Times New Roman"/>
          <w:sz w:val="24"/>
          <w:szCs w:val="24"/>
          <w:lang w:val="en-GB" w:eastAsia="de-AT"/>
        </w:rPr>
        <w:t xml:space="preserve">still makes them stand up to </w:t>
      </w:r>
      <w:r w:rsidR="00703F5D">
        <w:rPr>
          <w:rFonts w:ascii="Times New Roman" w:eastAsia="Times New Roman" w:hAnsi="Times New Roman" w:cs="Times New Roman"/>
          <w:sz w:val="24"/>
          <w:szCs w:val="24"/>
          <w:lang w:val="en-GB" w:eastAsia="de-AT"/>
        </w:rPr>
        <w:t xml:space="preserve">the client’s preferred treatment even if </w:t>
      </w:r>
      <w:r w:rsidR="00C13ECE">
        <w:rPr>
          <w:rFonts w:ascii="Times New Roman" w:eastAsia="Times New Roman" w:hAnsi="Times New Roman" w:cs="Times New Roman"/>
          <w:sz w:val="24"/>
          <w:szCs w:val="24"/>
          <w:lang w:val="en-GB" w:eastAsia="de-AT"/>
        </w:rPr>
        <w:t>the auditor</w:t>
      </w:r>
      <w:r w:rsidR="00703F5D">
        <w:rPr>
          <w:rFonts w:ascii="Times New Roman" w:eastAsia="Times New Roman" w:hAnsi="Times New Roman" w:cs="Times New Roman"/>
          <w:sz w:val="24"/>
          <w:szCs w:val="24"/>
          <w:lang w:val="en-GB" w:eastAsia="de-AT"/>
        </w:rPr>
        <w:t xml:space="preserve"> believe</w:t>
      </w:r>
      <w:r w:rsidR="00C13ECE">
        <w:rPr>
          <w:rFonts w:ascii="Times New Roman" w:eastAsia="Times New Roman" w:hAnsi="Times New Roman" w:cs="Times New Roman"/>
          <w:sz w:val="24"/>
          <w:szCs w:val="24"/>
          <w:lang w:val="en-GB" w:eastAsia="de-AT"/>
        </w:rPr>
        <w:t>s</w:t>
      </w:r>
      <w:r w:rsidR="00703F5D">
        <w:rPr>
          <w:rFonts w:ascii="Times New Roman" w:eastAsia="Times New Roman" w:hAnsi="Times New Roman" w:cs="Times New Roman"/>
          <w:sz w:val="24"/>
          <w:szCs w:val="24"/>
          <w:lang w:val="en-GB" w:eastAsia="de-AT"/>
        </w:rPr>
        <w:t xml:space="preserve"> that they can rely on the client’s benevolence and integrity.</w:t>
      </w:r>
      <w:r w:rsidR="00D14D08">
        <w:rPr>
          <w:rFonts w:ascii="Times New Roman" w:eastAsia="Times New Roman" w:hAnsi="Times New Roman" w:cs="Times New Roman"/>
          <w:sz w:val="24"/>
          <w:szCs w:val="24"/>
          <w:lang w:val="en-GB" w:eastAsia="de-AT"/>
        </w:rPr>
        <w:t xml:space="preserve"> </w:t>
      </w:r>
    </w:p>
    <w:p w14:paraId="1BE0295C" w14:textId="6FEB99E7" w:rsidR="000E701B" w:rsidRPr="000E701B" w:rsidRDefault="000E701B" w:rsidP="003C2FFA">
      <w:pPr>
        <w:keepNext/>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Similarly, our findings suggest that </w:t>
      </w:r>
      <w:r w:rsidR="00900EBA" w:rsidRPr="000E701B">
        <w:rPr>
          <w:rFonts w:ascii="Times New Roman" w:eastAsia="Times New Roman" w:hAnsi="Times New Roman" w:cs="Times New Roman"/>
          <w:sz w:val="24"/>
          <w:szCs w:val="24"/>
          <w:lang w:val="en-GB" w:eastAsia="de-AT"/>
        </w:rPr>
        <w:t xml:space="preserve">the auditor’s perceived willingness to audit financial statements in a fair and constructive way </w:t>
      </w:r>
      <w:r w:rsidR="00900EBA">
        <w:rPr>
          <w:rFonts w:ascii="Times New Roman" w:eastAsia="Times New Roman" w:hAnsi="Times New Roman" w:cs="Times New Roman"/>
          <w:sz w:val="24"/>
          <w:szCs w:val="24"/>
          <w:lang w:val="en-GB" w:eastAsia="de-AT"/>
        </w:rPr>
        <w:t xml:space="preserve">does not </w:t>
      </w:r>
      <w:r w:rsidR="00A7362E">
        <w:rPr>
          <w:rFonts w:ascii="Times New Roman" w:eastAsia="Times New Roman" w:hAnsi="Times New Roman" w:cs="Times New Roman"/>
          <w:sz w:val="24"/>
          <w:szCs w:val="24"/>
          <w:lang w:val="en-GB" w:eastAsia="de-AT"/>
        </w:rPr>
        <w:t xml:space="preserve">influence the </w:t>
      </w:r>
      <w:r w:rsidRPr="000E701B">
        <w:rPr>
          <w:rFonts w:ascii="Times New Roman" w:eastAsia="Times New Roman" w:hAnsi="Times New Roman" w:cs="Times New Roman"/>
          <w:sz w:val="24"/>
          <w:szCs w:val="24"/>
          <w:lang w:val="en-GB" w:eastAsia="de-AT"/>
        </w:rPr>
        <w:t>client</w:t>
      </w:r>
      <w:r w:rsidR="00A7362E">
        <w:rPr>
          <w:rFonts w:ascii="Times New Roman" w:eastAsia="Times New Roman" w:hAnsi="Times New Roman" w:cs="Times New Roman"/>
          <w:sz w:val="24"/>
          <w:szCs w:val="24"/>
          <w:lang w:val="en-GB" w:eastAsia="de-AT"/>
        </w:rPr>
        <w:t>’</w:t>
      </w:r>
      <w:r w:rsidRPr="000E701B">
        <w:rPr>
          <w:rFonts w:ascii="Times New Roman" w:eastAsia="Times New Roman" w:hAnsi="Times New Roman" w:cs="Times New Roman"/>
          <w:sz w:val="24"/>
          <w:szCs w:val="24"/>
          <w:lang w:val="en-GB" w:eastAsia="de-AT"/>
        </w:rPr>
        <w:t>s</w:t>
      </w:r>
      <w:r w:rsidR="00A7362E">
        <w:rPr>
          <w:rFonts w:ascii="Times New Roman" w:eastAsia="Times New Roman" w:hAnsi="Times New Roman" w:cs="Times New Roman"/>
          <w:sz w:val="24"/>
          <w:szCs w:val="24"/>
          <w:lang w:val="en-GB" w:eastAsia="de-AT"/>
        </w:rPr>
        <w:t xml:space="preserve"> likelihood to stand up to the auditor’s preferred treatment</w:t>
      </w:r>
      <w:r w:rsidRPr="000E701B">
        <w:rPr>
          <w:rFonts w:ascii="Times New Roman" w:eastAsia="Times New Roman" w:hAnsi="Times New Roman" w:cs="Times New Roman"/>
          <w:sz w:val="24"/>
          <w:szCs w:val="24"/>
          <w:lang w:val="en-GB" w:eastAsia="de-AT"/>
        </w:rPr>
        <w:t xml:space="preserve">. A likely explanation for this finding might be that </w:t>
      </w:r>
      <w:r w:rsidR="00C12848">
        <w:rPr>
          <w:rFonts w:ascii="Times New Roman" w:eastAsia="Times New Roman" w:hAnsi="Times New Roman" w:cs="Times New Roman"/>
          <w:sz w:val="24"/>
          <w:szCs w:val="24"/>
          <w:lang w:val="en-GB" w:eastAsia="de-AT"/>
        </w:rPr>
        <w:t>clients</w:t>
      </w:r>
      <w:r w:rsidR="00DE255E">
        <w:rPr>
          <w:rFonts w:ascii="Times New Roman" w:eastAsia="Times New Roman" w:hAnsi="Times New Roman" w:cs="Times New Roman"/>
          <w:sz w:val="24"/>
          <w:szCs w:val="24"/>
          <w:lang w:val="en-GB" w:eastAsia="de-AT"/>
        </w:rPr>
        <w:t xml:space="preserve"> – just like auditors –</w:t>
      </w:r>
      <w:r w:rsidR="00C12848">
        <w:rPr>
          <w:rFonts w:ascii="Times New Roman" w:eastAsia="Times New Roman" w:hAnsi="Times New Roman" w:cs="Times New Roman"/>
          <w:sz w:val="24"/>
          <w:szCs w:val="24"/>
          <w:lang w:val="en-GB" w:eastAsia="de-AT"/>
        </w:rPr>
        <w:t xml:space="preserve"> compensate</w:t>
      </w:r>
      <w:r w:rsidR="00DE255E">
        <w:rPr>
          <w:rFonts w:ascii="Times New Roman" w:eastAsia="Times New Roman" w:hAnsi="Times New Roman" w:cs="Times New Roman"/>
          <w:sz w:val="24"/>
          <w:szCs w:val="24"/>
          <w:lang w:val="en-GB" w:eastAsia="de-AT"/>
        </w:rPr>
        <w:t xml:space="preserve"> </w:t>
      </w:r>
      <w:r w:rsidR="00C12848">
        <w:rPr>
          <w:rFonts w:ascii="Times New Roman" w:eastAsia="Times New Roman" w:hAnsi="Times New Roman" w:cs="Times New Roman"/>
          <w:sz w:val="24"/>
          <w:szCs w:val="24"/>
          <w:lang w:val="en-GB" w:eastAsia="de-AT"/>
        </w:rPr>
        <w:t>the goodwill trust they have in the auditor by being even more sceptical of the information t</w:t>
      </w:r>
      <w:r w:rsidR="00645197">
        <w:rPr>
          <w:rFonts w:ascii="Times New Roman" w:eastAsia="Times New Roman" w:hAnsi="Times New Roman" w:cs="Times New Roman"/>
          <w:sz w:val="24"/>
          <w:szCs w:val="24"/>
          <w:lang w:val="en-GB" w:eastAsia="de-AT"/>
        </w:rPr>
        <w:t xml:space="preserve">he auditor </w:t>
      </w:r>
      <w:r w:rsidR="00C12848">
        <w:rPr>
          <w:rFonts w:ascii="Times New Roman" w:eastAsia="Times New Roman" w:hAnsi="Times New Roman" w:cs="Times New Roman"/>
          <w:sz w:val="24"/>
          <w:szCs w:val="24"/>
          <w:lang w:val="en-GB" w:eastAsia="de-AT"/>
        </w:rPr>
        <w:t>provide</w:t>
      </w:r>
      <w:r w:rsidR="00645197">
        <w:rPr>
          <w:rFonts w:ascii="Times New Roman" w:eastAsia="Times New Roman" w:hAnsi="Times New Roman" w:cs="Times New Roman"/>
          <w:sz w:val="24"/>
          <w:szCs w:val="24"/>
          <w:lang w:val="en-GB" w:eastAsia="de-AT"/>
        </w:rPr>
        <w:t>s</w:t>
      </w:r>
      <w:r w:rsidR="00C12848">
        <w:rPr>
          <w:rFonts w:ascii="Times New Roman" w:eastAsia="Times New Roman" w:hAnsi="Times New Roman" w:cs="Times New Roman"/>
          <w:sz w:val="24"/>
          <w:szCs w:val="24"/>
          <w:lang w:val="en-GB" w:eastAsia="de-AT"/>
        </w:rPr>
        <w:t xml:space="preserve">. </w:t>
      </w:r>
      <w:r w:rsidR="00E61ED2">
        <w:rPr>
          <w:rFonts w:ascii="Times New Roman" w:eastAsia="Times New Roman" w:hAnsi="Times New Roman" w:cs="Times New Roman"/>
          <w:sz w:val="24"/>
          <w:szCs w:val="24"/>
          <w:lang w:val="en-GB" w:eastAsia="de-AT"/>
        </w:rPr>
        <w:t xml:space="preserve">Even though </w:t>
      </w:r>
      <w:r w:rsidRPr="000E701B">
        <w:rPr>
          <w:rFonts w:ascii="Times New Roman" w:eastAsia="Times New Roman" w:hAnsi="Times New Roman" w:cs="Times New Roman"/>
          <w:sz w:val="24"/>
          <w:szCs w:val="24"/>
          <w:lang w:val="en-GB" w:eastAsia="de-AT"/>
        </w:rPr>
        <w:t>clients</w:t>
      </w:r>
      <w:r w:rsidR="00E61ED2">
        <w:rPr>
          <w:rFonts w:ascii="Times New Roman" w:eastAsia="Times New Roman" w:hAnsi="Times New Roman" w:cs="Times New Roman"/>
          <w:sz w:val="24"/>
          <w:szCs w:val="24"/>
          <w:lang w:val="en-GB" w:eastAsia="de-AT"/>
        </w:rPr>
        <w:t xml:space="preserve"> are not required to </w:t>
      </w:r>
      <w:r w:rsidR="00DF5CA4">
        <w:rPr>
          <w:rFonts w:ascii="Times New Roman" w:eastAsia="Times New Roman" w:hAnsi="Times New Roman" w:cs="Times New Roman"/>
          <w:sz w:val="24"/>
          <w:szCs w:val="24"/>
          <w:lang w:val="en-GB" w:eastAsia="de-AT"/>
        </w:rPr>
        <w:t xml:space="preserve">maintain </w:t>
      </w:r>
      <w:r w:rsidR="00E61ED2">
        <w:rPr>
          <w:rFonts w:ascii="Times New Roman" w:eastAsia="Times New Roman" w:hAnsi="Times New Roman" w:cs="Times New Roman"/>
          <w:sz w:val="24"/>
          <w:szCs w:val="24"/>
          <w:lang w:val="en-GB" w:eastAsia="de-AT"/>
        </w:rPr>
        <w:t>professional scepticism</w:t>
      </w:r>
      <w:r w:rsidRPr="000E701B">
        <w:rPr>
          <w:rFonts w:ascii="Times New Roman" w:eastAsia="Times New Roman" w:hAnsi="Times New Roman" w:cs="Times New Roman"/>
          <w:sz w:val="24"/>
          <w:szCs w:val="24"/>
          <w:lang w:val="en-GB" w:eastAsia="de-AT"/>
        </w:rPr>
        <w:t>,</w:t>
      </w:r>
      <w:r w:rsidR="00E61ED2">
        <w:rPr>
          <w:rFonts w:ascii="Times New Roman" w:eastAsia="Times New Roman" w:hAnsi="Times New Roman" w:cs="Times New Roman"/>
          <w:sz w:val="24"/>
          <w:szCs w:val="24"/>
          <w:lang w:val="en-GB" w:eastAsia="de-AT"/>
        </w:rPr>
        <w:t xml:space="preserve"> they still face </w:t>
      </w:r>
      <w:r w:rsidRPr="000E701B">
        <w:rPr>
          <w:rFonts w:ascii="Times New Roman" w:eastAsia="Times New Roman" w:hAnsi="Times New Roman" w:cs="Times New Roman"/>
          <w:sz w:val="24"/>
          <w:szCs w:val="24"/>
          <w:lang w:val="en-GB" w:eastAsia="de-AT"/>
        </w:rPr>
        <w:t xml:space="preserve">liability issues as well as </w:t>
      </w:r>
      <w:r w:rsidR="003C793B">
        <w:rPr>
          <w:rFonts w:ascii="Times New Roman" w:eastAsia="Times New Roman" w:hAnsi="Times New Roman" w:cs="Times New Roman"/>
          <w:sz w:val="24"/>
          <w:szCs w:val="24"/>
          <w:lang w:val="en-GB" w:eastAsia="de-AT"/>
        </w:rPr>
        <w:t>a</w:t>
      </w:r>
      <w:r w:rsidR="003C793B" w:rsidRPr="000E701B">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 xml:space="preserve">possible reputational damage that excessive levels of </w:t>
      </w:r>
      <w:r w:rsidR="003C793B">
        <w:rPr>
          <w:rFonts w:ascii="Times New Roman" w:eastAsia="Times New Roman" w:hAnsi="Times New Roman" w:cs="Times New Roman"/>
          <w:sz w:val="24"/>
          <w:szCs w:val="24"/>
          <w:lang w:val="en-GB" w:eastAsia="de-AT"/>
        </w:rPr>
        <w:t>goodwill</w:t>
      </w:r>
      <w:r w:rsidR="00BD7D10">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 xml:space="preserve">trust vis-à-vis auditors might entail. Thus, as long as </w:t>
      </w:r>
      <w:r w:rsidR="002B1A7E">
        <w:rPr>
          <w:rFonts w:ascii="Times New Roman" w:eastAsia="Times New Roman" w:hAnsi="Times New Roman" w:cs="Times New Roman"/>
          <w:sz w:val="24"/>
          <w:szCs w:val="24"/>
          <w:lang w:val="en-GB" w:eastAsia="de-AT"/>
        </w:rPr>
        <w:t>clients</w:t>
      </w:r>
      <w:r w:rsidR="002B1A7E" w:rsidRPr="000E701B">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 xml:space="preserve">do not have substantial evidence that the </w:t>
      </w:r>
      <w:r w:rsidR="00997425">
        <w:rPr>
          <w:rFonts w:ascii="Times New Roman" w:eastAsia="Times New Roman" w:hAnsi="Times New Roman" w:cs="Times New Roman"/>
          <w:sz w:val="24"/>
          <w:szCs w:val="24"/>
          <w:lang w:val="en-GB" w:eastAsia="de-AT"/>
        </w:rPr>
        <w:t>interaction</w:t>
      </w:r>
      <w:r w:rsidR="00997425" w:rsidRPr="000E701B">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partner</w:t>
      </w:r>
      <w:r w:rsidR="00E71B26">
        <w:rPr>
          <w:rFonts w:ascii="Times New Roman" w:eastAsia="Times New Roman" w:hAnsi="Times New Roman" w:cs="Times New Roman"/>
          <w:sz w:val="24"/>
          <w:szCs w:val="24"/>
          <w:lang w:val="en-GB" w:eastAsia="de-AT"/>
        </w:rPr>
        <w:t>’s position</w:t>
      </w:r>
      <w:r w:rsidRPr="000E701B">
        <w:rPr>
          <w:rFonts w:ascii="Times New Roman" w:eastAsia="Times New Roman" w:hAnsi="Times New Roman" w:cs="Times New Roman"/>
          <w:sz w:val="24"/>
          <w:szCs w:val="24"/>
          <w:lang w:val="en-GB" w:eastAsia="de-AT"/>
        </w:rPr>
        <w:t xml:space="preserve"> is more viable than their own, they will stick to their opinion. </w:t>
      </w:r>
      <w:r w:rsidR="002B1A7E">
        <w:rPr>
          <w:rFonts w:ascii="Times New Roman" w:eastAsia="Times New Roman" w:hAnsi="Times New Roman" w:cs="Times New Roman"/>
          <w:sz w:val="24"/>
          <w:szCs w:val="24"/>
          <w:lang w:val="en-GB" w:eastAsia="de-AT"/>
        </w:rPr>
        <w:t>A</w:t>
      </w:r>
      <w:r w:rsidR="002B1A7E" w:rsidRPr="000E701B">
        <w:rPr>
          <w:rFonts w:ascii="Times New Roman" w:eastAsia="Times New Roman" w:hAnsi="Times New Roman" w:cs="Times New Roman"/>
          <w:sz w:val="24"/>
          <w:szCs w:val="24"/>
          <w:lang w:val="en-GB" w:eastAsia="de-AT"/>
        </w:rPr>
        <w:t>ccording to our findings</w:t>
      </w:r>
      <w:r w:rsidR="002B1A7E">
        <w:rPr>
          <w:rFonts w:ascii="Times New Roman" w:eastAsia="Times New Roman" w:hAnsi="Times New Roman" w:cs="Times New Roman"/>
          <w:sz w:val="24"/>
          <w:szCs w:val="24"/>
          <w:lang w:val="en-GB" w:eastAsia="de-AT"/>
        </w:rPr>
        <w:t>, however,</w:t>
      </w:r>
      <w:r w:rsidR="002B1A7E" w:rsidRPr="000E701B">
        <w:rPr>
          <w:rFonts w:ascii="Times New Roman" w:eastAsia="Times New Roman" w:hAnsi="Times New Roman" w:cs="Times New Roman"/>
          <w:sz w:val="24"/>
          <w:szCs w:val="24"/>
          <w:lang w:val="en-GB" w:eastAsia="de-AT"/>
        </w:rPr>
        <w:t xml:space="preserve"> </w:t>
      </w:r>
      <w:r w:rsidR="002B1A7E">
        <w:rPr>
          <w:rFonts w:ascii="Times New Roman" w:eastAsia="Times New Roman" w:hAnsi="Times New Roman" w:cs="Times New Roman"/>
          <w:sz w:val="24"/>
          <w:szCs w:val="24"/>
          <w:lang w:val="en-GB" w:eastAsia="de-AT"/>
        </w:rPr>
        <w:t>p</w:t>
      </w:r>
      <w:r w:rsidRPr="000E701B">
        <w:rPr>
          <w:rFonts w:ascii="Times New Roman" w:eastAsia="Times New Roman" w:hAnsi="Times New Roman" w:cs="Times New Roman"/>
          <w:sz w:val="24"/>
          <w:szCs w:val="24"/>
          <w:lang w:val="en-GB" w:eastAsia="de-AT"/>
        </w:rPr>
        <w:t>erceiving the interaction partner as benevolent and of integrity does not provide such a substantial evidence base.</w:t>
      </w:r>
      <w:r w:rsidR="00974044">
        <w:rPr>
          <w:rFonts w:ascii="Times New Roman" w:eastAsia="Times New Roman" w:hAnsi="Times New Roman" w:cs="Times New Roman"/>
          <w:sz w:val="24"/>
          <w:szCs w:val="24"/>
          <w:lang w:val="en-GB" w:eastAsia="de-AT"/>
        </w:rPr>
        <w:t xml:space="preserve"> </w:t>
      </w:r>
    </w:p>
    <w:p w14:paraId="019F8066" w14:textId="7CA99A17" w:rsidR="000E701B" w:rsidRDefault="000E701B" w:rsidP="000E701B">
      <w:pPr>
        <w:keepNext/>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While the findings apply to clients irrespective of their age, gender and the size of firm they represent, auditors – independent from the level of</w:t>
      </w:r>
      <w:r w:rsidR="00BD7D10">
        <w:rPr>
          <w:rFonts w:ascii="Times New Roman" w:eastAsia="Times New Roman" w:hAnsi="Times New Roman" w:cs="Times New Roman"/>
          <w:sz w:val="24"/>
          <w:szCs w:val="24"/>
          <w:lang w:val="en-GB" w:eastAsia="de-AT"/>
        </w:rPr>
        <w:t xml:space="preserve"> </w:t>
      </w:r>
      <w:r w:rsidR="002B1A7E">
        <w:rPr>
          <w:rFonts w:ascii="Times New Roman" w:eastAsia="Times New Roman" w:hAnsi="Times New Roman" w:cs="Times New Roman"/>
          <w:sz w:val="24"/>
          <w:szCs w:val="24"/>
          <w:lang w:val="en-GB" w:eastAsia="de-AT"/>
        </w:rPr>
        <w:t>competence</w:t>
      </w:r>
      <w:r w:rsidRPr="000E701B">
        <w:rPr>
          <w:rFonts w:ascii="Times New Roman" w:eastAsia="Times New Roman" w:hAnsi="Times New Roman" w:cs="Times New Roman"/>
          <w:sz w:val="24"/>
          <w:szCs w:val="24"/>
          <w:lang w:val="en-GB" w:eastAsia="de-AT"/>
        </w:rPr>
        <w:t xml:space="preserve"> trust </w:t>
      </w:r>
      <w:r w:rsidR="002B1A7E">
        <w:rPr>
          <w:rFonts w:ascii="Times New Roman" w:eastAsia="Times New Roman" w:hAnsi="Times New Roman" w:cs="Times New Roman"/>
          <w:sz w:val="24"/>
          <w:szCs w:val="24"/>
          <w:lang w:val="en-GB" w:eastAsia="de-AT"/>
        </w:rPr>
        <w:t xml:space="preserve">and goodwill trust </w:t>
      </w:r>
      <w:r w:rsidRPr="000E701B">
        <w:rPr>
          <w:rFonts w:ascii="Times New Roman" w:eastAsia="Times New Roman" w:hAnsi="Times New Roman" w:cs="Times New Roman"/>
          <w:sz w:val="24"/>
          <w:szCs w:val="24"/>
          <w:lang w:val="en-GB" w:eastAsia="de-AT"/>
        </w:rPr>
        <w:t xml:space="preserve">they have in their clients – are more likely to </w:t>
      </w:r>
      <w:r w:rsidR="001645F4">
        <w:rPr>
          <w:rFonts w:ascii="Times New Roman" w:eastAsia="Times New Roman" w:hAnsi="Times New Roman" w:cs="Times New Roman"/>
          <w:sz w:val="24"/>
          <w:szCs w:val="24"/>
          <w:lang w:val="en-GB" w:eastAsia="de-AT"/>
        </w:rPr>
        <w:t xml:space="preserve">stand up to </w:t>
      </w:r>
      <w:r w:rsidRPr="000E701B">
        <w:rPr>
          <w:rFonts w:ascii="Times New Roman" w:eastAsia="Times New Roman" w:hAnsi="Times New Roman" w:cs="Times New Roman"/>
          <w:sz w:val="24"/>
          <w:szCs w:val="24"/>
          <w:lang w:val="en-GB" w:eastAsia="de-AT"/>
        </w:rPr>
        <w:t xml:space="preserve">their </w:t>
      </w:r>
      <w:r w:rsidR="00997425">
        <w:rPr>
          <w:rFonts w:ascii="Times New Roman" w:eastAsia="Times New Roman" w:hAnsi="Times New Roman" w:cs="Times New Roman"/>
          <w:sz w:val="24"/>
          <w:szCs w:val="24"/>
          <w:lang w:val="en-GB" w:eastAsia="de-AT"/>
        </w:rPr>
        <w:t>interaction</w:t>
      </w:r>
      <w:r w:rsidR="00997425" w:rsidRPr="000E701B">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 xml:space="preserve">partners’ preferred treatment the more experienced they are in their job. </w:t>
      </w:r>
      <w:r w:rsidR="008147A4">
        <w:rPr>
          <w:rFonts w:ascii="Times New Roman" w:eastAsia="Times New Roman" w:hAnsi="Times New Roman" w:cs="Times New Roman"/>
          <w:sz w:val="24"/>
          <w:szCs w:val="24"/>
          <w:lang w:val="en-GB" w:eastAsia="de-AT"/>
        </w:rPr>
        <w:t xml:space="preserve">This finding supports earlier studies on the relationship between auditor experience and </w:t>
      </w:r>
      <w:r w:rsidR="00431D51">
        <w:rPr>
          <w:rFonts w:ascii="Times New Roman" w:eastAsia="Times New Roman" w:hAnsi="Times New Roman" w:cs="Times New Roman"/>
          <w:sz w:val="24"/>
          <w:szCs w:val="24"/>
          <w:lang w:val="en-GB" w:eastAsia="de-AT"/>
        </w:rPr>
        <w:t xml:space="preserve">audit decisions. Kaplan et al. (2008), for example, suggest that </w:t>
      </w:r>
      <w:r w:rsidR="00357444">
        <w:rPr>
          <w:rFonts w:ascii="Times New Roman" w:eastAsia="Times New Roman" w:hAnsi="Times New Roman" w:cs="Times New Roman"/>
          <w:sz w:val="24"/>
          <w:szCs w:val="24"/>
          <w:lang w:val="en-GB" w:eastAsia="de-AT"/>
        </w:rPr>
        <w:t xml:space="preserve">more experienced </w:t>
      </w:r>
      <w:r w:rsidR="00431D51">
        <w:rPr>
          <w:rFonts w:ascii="Times New Roman" w:eastAsia="Times New Roman" w:hAnsi="Times New Roman" w:cs="Times New Roman"/>
          <w:sz w:val="24"/>
          <w:szCs w:val="24"/>
          <w:lang w:val="en-GB" w:eastAsia="de-AT"/>
        </w:rPr>
        <w:t>a</w:t>
      </w:r>
      <w:r w:rsidR="00357444">
        <w:rPr>
          <w:rFonts w:ascii="Times New Roman" w:eastAsia="Times New Roman" w:hAnsi="Times New Roman" w:cs="Times New Roman"/>
          <w:sz w:val="24"/>
          <w:szCs w:val="24"/>
          <w:lang w:val="en-GB" w:eastAsia="de-AT"/>
        </w:rPr>
        <w:t xml:space="preserve">uditors are better able to identify and deflect persuasion attempts of the client. </w:t>
      </w:r>
      <w:r w:rsidR="00374CA8">
        <w:rPr>
          <w:rFonts w:ascii="Times New Roman" w:eastAsia="Times New Roman" w:hAnsi="Times New Roman" w:cs="Times New Roman"/>
          <w:sz w:val="24"/>
          <w:szCs w:val="24"/>
          <w:lang w:val="en-GB" w:eastAsia="de-AT"/>
        </w:rPr>
        <w:t>Interestingly, our findings indicate that t</w:t>
      </w:r>
      <w:r w:rsidRPr="000E701B">
        <w:rPr>
          <w:rFonts w:ascii="Times New Roman" w:eastAsia="Times New Roman" w:hAnsi="Times New Roman" w:cs="Times New Roman"/>
          <w:sz w:val="24"/>
          <w:szCs w:val="24"/>
          <w:lang w:val="en-GB" w:eastAsia="de-AT"/>
        </w:rPr>
        <w:t xml:space="preserve">he size of the audit firm and the gender of the auditor are irrelevant for the negotiation outcome. </w:t>
      </w:r>
    </w:p>
    <w:p w14:paraId="455C4BE2" w14:textId="3EB58466" w:rsidR="007B4897" w:rsidRDefault="007B4897" w:rsidP="000E701B">
      <w:pPr>
        <w:keepNext/>
        <w:spacing w:before="120" w:after="120" w:line="240" w:lineRule="auto"/>
        <w:ind w:firstLine="708"/>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 xml:space="preserve">Overall, our findings </w:t>
      </w:r>
      <w:r w:rsidR="009377FB">
        <w:rPr>
          <w:rFonts w:ascii="Times New Roman" w:eastAsia="Times New Roman" w:hAnsi="Times New Roman" w:cs="Times New Roman"/>
          <w:sz w:val="24"/>
          <w:szCs w:val="24"/>
          <w:lang w:val="en-GB" w:eastAsia="de-AT"/>
        </w:rPr>
        <w:t>suggest</w:t>
      </w:r>
      <w:r>
        <w:rPr>
          <w:rFonts w:ascii="Times New Roman" w:eastAsia="Times New Roman" w:hAnsi="Times New Roman" w:cs="Times New Roman"/>
          <w:sz w:val="24"/>
          <w:szCs w:val="24"/>
          <w:lang w:val="en-GB" w:eastAsia="de-AT"/>
        </w:rPr>
        <w:t xml:space="preserve"> that identification-based trust is not </w:t>
      </w:r>
      <w:r w:rsidR="00454FDD">
        <w:rPr>
          <w:rFonts w:ascii="Times New Roman" w:eastAsia="Times New Roman" w:hAnsi="Times New Roman" w:cs="Times New Roman"/>
          <w:sz w:val="24"/>
          <w:szCs w:val="24"/>
          <w:lang w:val="en-GB" w:eastAsia="de-AT"/>
        </w:rPr>
        <w:t xml:space="preserve">fully </w:t>
      </w:r>
      <w:r w:rsidR="002C63DD">
        <w:rPr>
          <w:rFonts w:ascii="Times New Roman" w:eastAsia="Times New Roman" w:hAnsi="Times New Roman" w:cs="Times New Roman"/>
          <w:sz w:val="24"/>
          <w:szCs w:val="24"/>
          <w:lang w:val="en-GB" w:eastAsia="de-AT"/>
        </w:rPr>
        <w:t xml:space="preserve">leveraged </w:t>
      </w:r>
      <w:r w:rsidR="00454FDD">
        <w:rPr>
          <w:rFonts w:ascii="Times New Roman" w:eastAsia="Times New Roman" w:hAnsi="Times New Roman" w:cs="Times New Roman"/>
          <w:sz w:val="24"/>
          <w:szCs w:val="24"/>
          <w:lang w:val="en-GB" w:eastAsia="de-AT"/>
        </w:rPr>
        <w:t xml:space="preserve">to decrease behavioural uncertainties in auditor-client negotiations. Even </w:t>
      </w:r>
      <w:r w:rsidR="00E15147">
        <w:rPr>
          <w:rFonts w:ascii="Times New Roman" w:eastAsia="Times New Roman" w:hAnsi="Times New Roman" w:cs="Times New Roman"/>
          <w:sz w:val="24"/>
          <w:szCs w:val="24"/>
          <w:lang w:val="en-GB" w:eastAsia="de-AT"/>
        </w:rPr>
        <w:t>though</w:t>
      </w:r>
      <w:r w:rsidR="00454FDD">
        <w:rPr>
          <w:rFonts w:ascii="Times New Roman" w:eastAsia="Times New Roman" w:hAnsi="Times New Roman" w:cs="Times New Roman"/>
          <w:sz w:val="24"/>
          <w:szCs w:val="24"/>
          <w:lang w:val="en-GB" w:eastAsia="de-AT"/>
        </w:rPr>
        <w:t xml:space="preserve"> auditors and clients who believe that their interaction partner has the abilities to accomplish the given task </w:t>
      </w:r>
      <w:r w:rsidR="00C114A1">
        <w:rPr>
          <w:rFonts w:ascii="Times New Roman" w:eastAsia="Times New Roman" w:hAnsi="Times New Roman" w:cs="Times New Roman"/>
          <w:sz w:val="24"/>
          <w:szCs w:val="24"/>
          <w:lang w:val="en-GB" w:eastAsia="de-AT"/>
        </w:rPr>
        <w:t xml:space="preserve">are less likely to insist on their preferred treatment in case of detected misstatements, the interaction partner’s perceived willingness to perform as promised does not affect </w:t>
      </w:r>
      <w:r w:rsidR="00E15147">
        <w:rPr>
          <w:rFonts w:ascii="Times New Roman" w:eastAsia="Times New Roman" w:hAnsi="Times New Roman" w:cs="Times New Roman"/>
          <w:sz w:val="24"/>
          <w:szCs w:val="24"/>
          <w:lang w:val="en-GB" w:eastAsia="de-AT"/>
        </w:rPr>
        <w:t>how auditors and clients behave in case of disagreements over accounting issues</w:t>
      </w:r>
      <w:r w:rsidR="000F298F">
        <w:rPr>
          <w:rFonts w:ascii="Times New Roman" w:eastAsia="Times New Roman" w:hAnsi="Times New Roman" w:cs="Times New Roman"/>
          <w:sz w:val="24"/>
          <w:szCs w:val="24"/>
          <w:lang w:val="en-GB" w:eastAsia="de-AT"/>
        </w:rPr>
        <w:t>, possibly because of liability concerns</w:t>
      </w:r>
      <w:r w:rsidR="00C114A1">
        <w:rPr>
          <w:rFonts w:ascii="Times New Roman" w:eastAsia="Times New Roman" w:hAnsi="Times New Roman" w:cs="Times New Roman"/>
          <w:sz w:val="24"/>
          <w:szCs w:val="24"/>
          <w:lang w:val="en-GB" w:eastAsia="de-AT"/>
        </w:rPr>
        <w:t xml:space="preserve">. </w:t>
      </w:r>
      <w:r w:rsidR="000F298F">
        <w:rPr>
          <w:rFonts w:ascii="Times New Roman" w:eastAsia="Times New Roman" w:hAnsi="Times New Roman" w:cs="Times New Roman"/>
          <w:sz w:val="24"/>
          <w:szCs w:val="24"/>
          <w:lang w:val="en-GB" w:eastAsia="de-AT"/>
        </w:rPr>
        <w:t xml:space="preserve">As a consequence, neither auditor nor client can reap the </w:t>
      </w:r>
      <w:r w:rsidR="001B0D0B">
        <w:rPr>
          <w:rFonts w:ascii="Times New Roman" w:eastAsia="Times New Roman" w:hAnsi="Times New Roman" w:cs="Times New Roman"/>
          <w:sz w:val="24"/>
          <w:szCs w:val="24"/>
          <w:lang w:val="en-GB" w:eastAsia="de-AT"/>
        </w:rPr>
        <w:t xml:space="preserve">full </w:t>
      </w:r>
      <w:r w:rsidR="000F298F">
        <w:rPr>
          <w:rFonts w:ascii="Times New Roman" w:eastAsia="Times New Roman" w:hAnsi="Times New Roman" w:cs="Times New Roman"/>
          <w:sz w:val="24"/>
          <w:szCs w:val="24"/>
          <w:lang w:val="en-GB" w:eastAsia="de-AT"/>
        </w:rPr>
        <w:t>benefits of the identification-based trust relationship.</w:t>
      </w:r>
      <w:r w:rsidR="005B5F26">
        <w:rPr>
          <w:rFonts w:ascii="Times New Roman" w:eastAsia="Times New Roman" w:hAnsi="Times New Roman" w:cs="Times New Roman"/>
          <w:sz w:val="24"/>
          <w:szCs w:val="24"/>
          <w:lang w:val="en-GB" w:eastAsia="de-AT"/>
        </w:rPr>
        <w:t xml:space="preserve"> </w:t>
      </w:r>
      <w:r w:rsidR="00A95680">
        <w:rPr>
          <w:rFonts w:ascii="Times New Roman" w:eastAsia="Times New Roman" w:hAnsi="Times New Roman" w:cs="Times New Roman"/>
          <w:sz w:val="24"/>
          <w:szCs w:val="24"/>
          <w:lang w:val="en-GB" w:eastAsia="de-AT"/>
        </w:rPr>
        <w:t>T</w:t>
      </w:r>
      <w:r w:rsidR="005B5F26">
        <w:rPr>
          <w:rFonts w:ascii="Times New Roman" w:eastAsia="Times New Roman" w:hAnsi="Times New Roman" w:cs="Times New Roman"/>
          <w:sz w:val="24"/>
          <w:szCs w:val="24"/>
          <w:lang w:val="en-GB" w:eastAsia="de-AT"/>
        </w:rPr>
        <w:t xml:space="preserve">he fear to appear unprofessional </w:t>
      </w:r>
      <w:r w:rsidR="00A95680">
        <w:rPr>
          <w:rFonts w:ascii="Times New Roman" w:eastAsia="Times New Roman" w:hAnsi="Times New Roman" w:cs="Times New Roman"/>
          <w:sz w:val="24"/>
          <w:szCs w:val="24"/>
          <w:lang w:val="en-GB" w:eastAsia="de-AT"/>
        </w:rPr>
        <w:t xml:space="preserve">might prevent </w:t>
      </w:r>
      <w:r w:rsidR="005B5F26">
        <w:rPr>
          <w:rFonts w:ascii="Times New Roman" w:eastAsia="Times New Roman" w:hAnsi="Times New Roman" w:cs="Times New Roman"/>
          <w:sz w:val="24"/>
          <w:szCs w:val="24"/>
          <w:lang w:val="en-GB" w:eastAsia="de-AT"/>
        </w:rPr>
        <w:t xml:space="preserve">auditors and clients </w:t>
      </w:r>
      <w:r w:rsidR="00A95680">
        <w:rPr>
          <w:rFonts w:ascii="Times New Roman" w:eastAsia="Times New Roman" w:hAnsi="Times New Roman" w:cs="Times New Roman"/>
          <w:sz w:val="24"/>
          <w:szCs w:val="24"/>
          <w:lang w:val="en-GB" w:eastAsia="de-AT"/>
        </w:rPr>
        <w:t xml:space="preserve">from </w:t>
      </w:r>
      <w:r w:rsidR="005B5F26">
        <w:rPr>
          <w:rFonts w:ascii="Times New Roman" w:eastAsia="Times New Roman" w:hAnsi="Times New Roman" w:cs="Times New Roman"/>
          <w:sz w:val="24"/>
          <w:szCs w:val="24"/>
          <w:lang w:val="en-GB" w:eastAsia="de-AT"/>
        </w:rPr>
        <w:t>leverag</w:t>
      </w:r>
      <w:r w:rsidR="00A95680">
        <w:rPr>
          <w:rFonts w:ascii="Times New Roman" w:eastAsia="Times New Roman" w:hAnsi="Times New Roman" w:cs="Times New Roman"/>
          <w:sz w:val="24"/>
          <w:szCs w:val="24"/>
          <w:lang w:val="en-GB" w:eastAsia="de-AT"/>
        </w:rPr>
        <w:t>ing</w:t>
      </w:r>
      <w:r w:rsidR="005B5F26">
        <w:rPr>
          <w:rFonts w:ascii="Times New Roman" w:eastAsia="Times New Roman" w:hAnsi="Times New Roman" w:cs="Times New Roman"/>
          <w:sz w:val="24"/>
          <w:szCs w:val="24"/>
          <w:lang w:val="en-GB" w:eastAsia="de-AT"/>
        </w:rPr>
        <w:t xml:space="preserve"> goodwill trust </w:t>
      </w:r>
      <w:r w:rsidR="00A95680">
        <w:rPr>
          <w:rFonts w:ascii="Times New Roman" w:eastAsia="Times New Roman" w:hAnsi="Times New Roman" w:cs="Times New Roman"/>
          <w:sz w:val="24"/>
          <w:szCs w:val="24"/>
          <w:lang w:val="en-GB" w:eastAsia="de-AT"/>
        </w:rPr>
        <w:t xml:space="preserve">to </w:t>
      </w:r>
      <w:r w:rsidR="005B5F26">
        <w:rPr>
          <w:rFonts w:ascii="Times New Roman" w:eastAsia="Times New Roman" w:hAnsi="Times New Roman" w:cs="Times New Roman"/>
          <w:sz w:val="24"/>
          <w:szCs w:val="24"/>
          <w:lang w:val="en-GB" w:eastAsia="de-AT"/>
        </w:rPr>
        <w:t>overcom</w:t>
      </w:r>
      <w:r w:rsidR="00A95680">
        <w:rPr>
          <w:rFonts w:ascii="Times New Roman" w:eastAsia="Times New Roman" w:hAnsi="Times New Roman" w:cs="Times New Roman"/>
          <w:sz w:val="24"/>
          <w:szCs w:val="24"/>
          <w:lang w:val="en-GB" w:eastAsia="de-AT"/>
        </w:rPr>
        <w:t>e</w:t>
      </w:r>
      <w:r w:rsidR="005B5F26">
        <w:rPr>
          <w:rFonts w:ascii="Times New Roman" w:eastAsia="Times New Roman" w:hAnsi="Times New Roman" w:cs="Times New Roman"/>
          <w:sz w:val="24"/>
          <w:szCs w:val="24"/>
          <w:lang w:val="en-GB" w:eastAsia="de-AT"/>
        </w:rPr>
        <w:t xml:space="preserve"> information asymmetr</w:t>
      </w:r>
      <w:r w:rsidR="00A95680">
        <w:rPr>
          <w:rFonts w:ascii="Times New Roman" w:eastAsia="Times New Roman" w:hAnsi="Times New Roman" w:cs="Times New Roman"/>
          <w:sz w:val="24"/>
          <w:szCs w:val="24"/>
          <w:lang w:val="en-GB" w:eastAsia="de-AT"/>
        </w:rPr>
        <w:t>ies</w:t>
      </w:r>
      <w:r w:rsidR="005B5F26">
        <w:rPr>
          <w:rFonts w:ascii="Times New Roman" w:eastAsia="Times New Roman" w:hAnsi="Times New Roman" w:cs="Times New Roman"/>
          <w:sz w:val="24"/>
          <w:szCs w:val="24"/>
          <w:lang w:val="en-GB" w:eastAsia="de-AT"/>
        </w:rPr>
        <w:t xml:space="preserve"> in auditor-client relationships. </w:t>
      </w:r>
      <w:r w:rsidR="00DD7F80">
        <w:rPr>
          <w:rFonts w:ascii="Times New Roman" w:eastAsia="Times New Roman" w:hAnsi="Times New Roman" w:cs="Times New Roman"/>
          <w:sz w:val="24"/>
          <w:szCs w:val="24"/>
          <w:lang w:val="en-GB" w:eastAsia="de-AT"/>
        </w:rPr>
        <w:t>This is somewhat surprising since economic actors in similar settings such as bank lending (</w:t>
      </w:r>
      <w:proofErr w:type="spellStart"/>
      <w:r w:rsidR="00192D4F">
        <w:rPr>
          <w:rFonts w:ascii="Times New Roman" w:eastAsia="Times New Roman" w:hAnsi="Times New Roman" w:cs="Times New Roman"/>
          <w:sz w:val="24"/>
          <w:szCs w:val="24"/>
          <w:lang w:val="en-GB" w:eastAsia="de-AT"/>
        </w:rPr>
        <w:t>Howorth</w:t>
      </w:r>
      <w:proofErr w:type="spellEnd"/>
      <w:r w:rsidR="00192D4F">
        <w:rPr>
          <w:rFonts w:ascii="Times New Roman" w:eastAsia="Times New Roman" w:hAnsi="Times New Roman" w:cs="Times New Roman"/>
          <w:sz w:val="24"/>
          <w:szCs w:val="24"/>
          <w:lang w:val="en-GB" w:eastAsia="de-AT"/>
        </w:rPr>
        <w:t xml:space="preserve"> and Moro 2006; </w:t>
      </w:r>
      <w:r w:rsidR="00DD7F80">
        <w:rPr>
          <w:rFonts w:ascii="Times New Roman" w:eastAsia="Times New Roman" w:hAnsi="Times New Roman" w:cs="Times New Roman"/>
          <w:sz w:val="24"/>
          <w:szCs w:val="24"/>
          <w:lang w:val="en-GB" w:eastAsia="de-AT"/>
        </w:rPr>
        <w:t xml:space="preserve">Moro and Fink 2013) and </w:t>
      </w:r>
      <w:r w:rsidR="009D1A72">
        <w:rPr>
          <w:rFonts w:ascii="Times New Roman" w:eastAsia="Times New Roman" w:hAnsi="Times New Roman" w:cs="Times New Roman"/>
          <w:sz w:val="24"/>
          <w:szCs w:val="24"/>
          <w:lang w:val="en-GB" w:eastAsia="de-AT"/>
        </w:rPr>
        <w:t xml:space="preserve">complex </w:t>
      </w:r>
      <w:r w:rsidR="00DD7F80">
        <w:rPr>
          <w:rFonts w:ascii="Times New Roman" w:eastAsia="Times New Roman" w:hAnsi="Times New Roman" w:cs="Times New Roman"/>
          <w:sz w:val="24"/>
          <w:szCs w:val="24"/>
          <w:lang w:val="en-GB" w:eastAsia="de-AT"/>
        </w:rPr>
        <w:t>alliances (</w:t>
      </w:r>
      <w:r w:rsidR="00FF529A">
        <w:rPr>
          <w:rFonts w:ascii="Times New Roman" w:eastAsia="Times New Roman" w:hAnsi="Times New Roman" w:cs="Times New Roman"/>
          <w:sz w:val="24"/>
          <w:szCs w:val="24"/>
          <w:lang w:val="en-GB" w:eastAsia="de-AT"/>
        </w:rPr>
        <w:t xml:space="preserve">Das </w:t>
      </w:r>
      <w:r w:rsidR="00FF529A">
        <w:rPr>
          <w:rFonts w:ascii="Times New Roman" w:eastAsia="Times New Roman" w:hAnsi="Times New Roman" w:cs="Times New Roman"/>
          <w:sz w:val="24"/>
          <w:szCs w:val="24"/>
          <w:lang w:val="en-GB" w:eastAsia="de-AT"/>
        </w:rPr>
        <w:lastRenderedPageBreak/>
        <w:t xml:space="preserve">and Teng 1998; </w:t>
      </w:r>
      <w:r w:rsidR="00DD7F80">
        <w:rPr>
          <w:rFonts w:ascii="Times New Roman" w:eastAsia="Times New Roman" w:hAnsi="Times New Roman" w:cs="Times New Roman"/>
          <w:sz w:val="24"/>
          <w:szCs w:val="24"/>
          <w:lang w:val="en-GB" w:eastAsia="de-AT"/>
        </w:rPr>
        <w:t>Krishnan et al. 2006) heavily draw on goodwill trust to jointly reduce behavioural uncertainty routed in information asymmetry and, thus, enhance the outcome of negotiations</w:t>
      </w:r>
      <w:r w:rsidR="009D1A72">
        <w:rPr>
          <w:rFonts w:ascii="Times New Roman" w:eastAsia="Times New Roman" w:hAnsi="Times New Roman" w:cs="Times New Roman"/>
          <w:sz w:val="24"/>
          <w:szCs w:val="24"/>
          <w:lang w:val="en-GB" w:eastAsia="de-AT"/>
        </w:rPr>
        <w:t>.</w:t>
      </w:r>
      <w:r w:rsidR="00DD7F80">
        <w:rPr>
          <w:rFonts w:ascii="Times New Roman" w:eastAsia="Times New Roman" w:hAnsi="Times New Roman" w:cs="Times New Roman"/>
          <w:sz w:val="24"/>
          <w:szCs w:val="24"/>
          <w:lang w:val="en-GB" w:eastAsia="de-AT"/>
        </w:rPr>
        <w:t xml:space="preserve"> </w:t>
      </w:r>
      <w:r w:rsidR="005B5F26">
        <w:rPr>
          <w:rFonts w:ascii="Times New Roman" w:eastAsia="Times New Roman" w:hAnsi="Times New Roman" w:cs="Times New Roman"/>
          <w:sz w:val="24"/>
          <w:szCs w:val="24"/>
          <w:lang w:val="en-GB" w:eastAsia="de-AT"/>
        </w:rPr>
        <w:t xml:space="preserve"> </w:t>
      </w:r>
    </w:p>
    <w:p w14:paraId="5F0D7197" w14:textId="1AC34978" w:rsidR="000E701B" w:rsidRPr="000E701B" w:rsidRDefault="000E701B" w:rsidP="000E701B">
      <w:pPr>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With this </w:t>
      </w:r>
      <w:r w:rsidR="00884126" w:rsidRPr="000E701B">
        <w:rPr>
          <w:rFonts w:ascii="Times New Roman" w:eastAsia="Times New Roman" w:hAnsi="Times New Roman" w:cs="Times New Roman"/>
          <w:sz w:val="24"/>
          <w:szCs w:val="24"/>
          <w:lang w:val="en-GB" w:eastAsia="de-AT"/>
        </w:rPr>
        <w:t>research,</w:t>
      </w:r>
      <w:r w:rsidRPr="000E701B">
        <w:rPr>
          <w:rFonts w:ascii="Times New Roman" w:eastAsia="Times New Roman" w:hAnsi="Times New Roman" w:cs="Times New Roman"/>
          <w:sz w:val="24"/>
          <w:szCs w:val="24"/>
          <w:lang w:val="en-GB" w:eastAsia="de-AT"/>
        </w:rPr>
        <w:t xml:space="preserve"> we contribute to research and practice in several ways. First, we add to the literature on auditor-client negotiations by investigating the role of </w:t>
      </w:r>
      <w:r w:rsidR="00BD7D10">
        <w:rPr>
          <w:rFonts w:ascii="Times New Roman" w:eastAsia="Times New Roman" w:hAnsi="Times New Roman" w:cs="Times New Roman"/>
          <w:sz w:val="24"/>
          <w:szCs w:val="24"/>
          <w:lang w:val="en-GB" w:eastAsia="de-AT"/>
        </w:rPr>
        <w:t xml:space="preserve">identification-based </w:t>
      </w:r>
      <w:r w:rsidRPr="000E701B">
        <w:rPr>
          <w:rFonts w:ascii="Times New Roman" w:eastAsia="Times New Roman" w:hAnsi="Times New Roman" w:cs="Times New Roman"/>
          <w:sz w:val="24"/>
          <w:szCs w:val="24"/>
          <w:lang w:val="en-GB" w:eastAsia="de-AT"/>
        </w:rPr>
        <w:t>trust</w:t>
      </w:r>
      <w:r w:rsidR="001B0D0B">
        <w:rPr>
          <w:rFonts w:ascii="Times New Roman" w:eastAsia="Times New Roman" w:hAnsi="Times New Roman" w:cs="Times New Roman"/>
          <w:sz w:val="24"/>
          <w:szCs w:val="24"/>
          <w:lang w:val="en-GB" w:eastAsia="de-AT"/>
        </w:rPr>
        <w:t xml:space="preserve"> in auditor-client negotiations both from the auditor’s and the client’s perspective. </w:t>
      </w:r>
      <w:r w:rsidR="000C1A24">
        <w:rPr>
          <w:rFonts w:ascii="Times New Roman" w:eastAsia="Times New Roman" w:hAnsi="Times New Roman" w:cs="Times New Roman"/>
          <w:sz w:val="24"/>
          <w:szCs w:val="24"/>
          <w:lang w:val="en-GB" w:eastAsia="de-AT"/>
        </w:rPr>
        <w:t xml:space="preserve">Our study thus enhances the understanding of the impact of contextual factors in auditor-client negotiations, as called for by Gibbins et al. (2001), as well as the role of </w:t>
      </w:r>
      <w:r w:rsidR="00417845">
        <w:rPr>
          <w:rFonts w:ascii="Times New Roman" w:eastAsia="Times New Roman" w:hAnsi="Times New Roman" w:cs="Times New Roman"/>
          <w:sz w:val="24"/>
          <w:szCs w:val="24"/>
          <w:lang w:val="en-GB" w:eastAsia="de-AT"/>
        </w:rPr>
        <w:t xml:space="preserve">identification-based </w:t>
      </w:r>
      <w:r w:rsidR="000C1A24">
        <w:rPr>
          <w:rFonts w:ascii="Times New Roman" w:eastAsia="Times New Roman" w:hAnsi="Times New Roman" w:cs="Times New Roman"/>
          <w:sz w:val="24"/>
          <w:szCs w:val="24"/>
          <w:lang w:val="en-GB" w:eastAsia="de-AT"/>
        </w:rPr>
        <w:t>trust in auditor-client relationships</w:t>
      </w:r>
      <w:r w:rsidR="00417845">
        <w:rPr>
          <w:rFonts w:ascii="Times New Roman" w:eastAsia="Times New Roman" w:hAnsi="Times New Roman" w:cs="Times New Roman"/>
          <w:sz w:val="24"/>
          <w:szCs w:val="24"/>
          <w:lang w:val="en-GB" w:eastAsia="de-AT"/>
        </w:rPr>
        <w:t xml:space="preserve"> more general</w:t>
      </w:r>
      <w:r w:rsidR="000C1A24">
        <w:rPr>
          <w:rFonts w:ascii="Times New Roman" w:eastAsia="Times New Roman" w:hAnsi="Times New Roman" w:cs="Times New Roman"/>
          <w:sz w:val="24"/>
          <w:szCs w:val="24"/>
          <w:lang w:val="en-GB" w:eastAsia="de-AT"/>
        </w:rPr>
        <w:t xml:space="preserve">, as called for by </w:t>
      </w:r>
      <w:proofErr w:type="spellStart"/>
      <w:r w:rsidR="000C1A24">
        <w:rPr>
          <w:rFonts w:ascii="Times New Roman" w:eastAsia="Times New Roman" w:hAnsi="Times New Roman" w:cs="Times New Roman"/>
          <w:sz w:val="24"/>
          <w:szCs w:val="24"/>
          <w:lang w:val="en-GB" w:eastAsia="de-AT"/>
        </w:rPr>
        <w:t>Kerler</w:t>
      </w:r>
      <w:proofErr w:type="spellEnd"/>
      <w:r w:rsidR="000C1A24">
        <w:rPr>
          <w:rFonts w:ascii="Times New Roman" w:eastAsia="Times New Roman" w:hAnsi="Times New Roman" w:cs="Times New Roman"/>
          <w:sz w:val="24"/>
          <w:szCs w:val="24"/>
          <w:lang w:val="en-GB" w:eastAsia="de-AT"/>
        </w:rPr>
        <w:t xml:space="preserve"> and Killough (2009) and Rennie et al. (2010).</w:t>
      </w:r>
      <w:r w:rsidR="00417845">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 xml:space="preserve">Second, our findings put the so-called “trust-threat” into perspective by differentiating between competence trust and goodwill trust. While a trust relationship between auditor and client in general is often assumed to jeopardize the auditor’s objectivity (e.g., </w:t>
      </w:r>
      <w:proofErr w:type="spellStart"/>
      <w:r w:rsidRPr="000E701B">
        <w:rPr>
          <w:rFonts w:ascii="Times New Roman" w:eastAsia="Times New Roman" w:hAnsi="Times New Roman" w:cs="Times New Roman"/>
          <w:sz w:val="24"/>
          <w:szCs w:val="24"/>
          <w:lang w:val="en-GB" w:eastAsia="de-AT"/>
        </w:rPr>
        <w:t>Fearnley</w:t>
      </w:r>
      <w:proofErr w:type="spellEnd"/>
      <w:r w:rsidRPr="000E701B">
        <w:rPr>
          <w:rFonts w:ascii="Times New Roman" w:eastAsia="Times New Roman" w:hAnsi="Times New Roman" w:cs="Times New Roman"/>
          <w:sz w:val="24"/>
          <w:szCs w:val="24"/>
          <w:lang w:val="en-GB" w:eastAsia="de-AT"/>
        </w:rPr>
        <w:t xml:space="preserve"> et al. 2005), the results of our experimental study suggest that competence trust </w:t>
      </w:r>
      <w:r w:rsidR="00663BB1">
        <w:rPr>
          <w:rFonts w:ascii="Times New Roman" w:eastAsia="Times New Roman" w:hAnsi="Times New Roman" w:cs="Times New Roman"/>
          <w:sz w:val="24"/>
          <w:szCs w:val="24"/>
          <w:lang w:val="en-GB" w:eastAsia="de-AT"/>
        </w:rPr>
        <w:t xml:space="preserve">rather than goodwill trust </w:t>
      </w:r>
      <w:r w:rsidRPr="000E701B">
        <w:rPr>
          <w:rFonts w:ascii="Times New Roman" w:eastAsia="Times New Roman" w:hAnsi="Times New Roman" w:cs="Times New Roman"/>
          <w:sz w:val="24"/>
          <w:szCs w:val="24"/>
          <w:lang w:val="en-GB" w:eastAsia="de-AT"/>
        </w:rPr>
        <w:t xml:space="preserve">affects the auditor’s decision to </w:t>
      </w:r>
      <w:r w:rsidR="001645F4">
        <w:rPr>
          <w:rFonts w:ascii="Times New Roman" w:eastAsia="Times New Roman" w:hAnsi="Times New Roman" w:cs="Times New Roman"/>
          <w:sz w:val="24"/>
          <w:szCs w:val="24"/>
          <w:lang w:val="en-GB" w:eastAsia="de-AT"/>
        </w:rPr>
        <w:t xml:space="preserve">stand up to </w:t>
      </w:r>
      <w:r w:rsidRPr="000E701B">
        <w:rPr>
          <w:rFonts w:ascii="Times New Roman" w:eastAsia="Times New Roman" w:hAnsi="Times New Roman" w:cs="Times New Roman"/>
          <w:sz w:val="24"/>
          <w:szCs w:val="24"/>
          <w:lang w:val="en-GB" w:eastAsia="de-AT"/>
        </w:rPr>
        <w:t>the clients’ preferred treatment. The find</w:t>
      </w:r>
      <w:r w:rsidR="00663BB1">
        <w:rPr>
          <w:rFonts w:ascii="Times New Roman" w:eastAsia="Times New Roman" w:hAnsi="Times New Roman" w:cs="Times New Roman"/>
          <w:sz w:val="24"/>
          <w:szCs w:val="24"/>
          <w:lang w:val="en-GB" w:eastAsia="de-AT"/>
        </w:rPr>
        <w:t>ing</w:t>
      </w:r>
      <w:r w:rsidRPr="000E701B">
        <w:rPr>
          <w:rFonts w:ascii="Times New Roman" w:eastAsia="Times New Roman" w:hAnsi="Times New Roman" w:cs="Times New Roman"/>
          <w:sz w:val="24"/>
          <w:szCs w:val="24"/>
          <w:lang w:val="en-GB" w:eastAsia="de-AT"/>
        </w:rPr>
        <w:t xml:space="preserve"> that </w:t>
      </w:r>
      <w:r w:rsidR="00462C8A">
        <w:rPr>
          <w:rFonts w:ascii="Times New Roman" w:eastAsia="Times New Roman" w:hAnsi="Times New Roman" w:cs="Times New Roman"/>
          <w:sz w:val="24"/>
          <w:szCs w:val="24"/>
          <w:lang w:val="en-GB" w:eastAsia="de-AT"/>
        </w:rPr>
        <w:t>goodwill trust does</w:t>
      </w:r>
      <w:r w:rsidRPr="000E701B">
        <w:rPr>
          <w:rFonts w:ascii="Times New Roman" w:eastAsia="Times New Roman" w:hAnsi="Times New Roman" w:cs="Times New Roman"/>
          <w:sz w:val="24"/>
          <w:szCs w:val="24"/>
          <w:lang w:val="en-GB" w:eastAsia="de-AT"/>
        </w:rPr>
        <w:t xml:space="preserve"> not compromise </w:t>
      </w:r>
      <w:r w:rsidR="009377FB">
        <w:rPr>
          <w:rFonts w:ascii="Times New Roman" w:eastAsia="Times New Roman" w:hAnsi="Times New Roman" w:cs="Times New Roman"/>
          <w:sz w:val="24"/>
          <w:szCs w:val="24"/>
          <w:lang w:val="en-GB" w:eastAsia="de-AT"/>
        </w:rPr>
        <w:t xml:space="preserve">the </w:t>
      </w:r>
      <w:r w:rsidRPr="000E701B">
        <w:rPr>
          <w:rFonts w:ascii="Times New Roman" w:eastAsia="Times New Roman" w:hAnsi="Times New Roman" w:cs="Times New Roman"/>
          <w:sz w:val="24"/>
          <w:szCs w:val="24"/>
          <w:lang w:val="en-GB" w:eastAsia="de-AT"/>
        </w:rPr>
        <w:t>auditor’</w:t>
      </w:r>
      <w:r w:rsidR="009377FB">
        <w:rPr>
          <w:rFonts w:ascii="Times New Roman" w:eastAsia="Times New Roman" w:hAnsi="Times New Roman" w:cs="Times New Roman"/>
          <w:sz w:val="24"/>
          <w:szCs w:val="24"/>
          <w:lang w:val="en-GB" w:eastAsia="de-AT"/>
        </w:rPr>
        <w:t>s</w:t>
      </w:r>
      <w:r w:rsidRPr="000E701B">
        <w:rPr>
          <w:rFonts w:ascii="Times New Roman" w:eastAsia="Times New Roman" w:hAnsi="Times New Roman" w:cs="Times New Roman"/>
          <w:sz w:val="24"/>
          <w:szCs w:val="24"/>
          <w:lang w:val="en-GB" w:eastAsia="de-AT"/>
        </w:rPr>
        <w:t xml:space="preserve"> critical mind is in line with recent findings by Aschauer et al. (2017). Interestingly, our findings suggest that the same is true for clients.</w:t>
      </w:r>
    </w:p>
    <w:p w14:paraId="21CB91F7" w14:textId="04F23E06" w:rsidR="000E701B" w:rsidRPr="000E701B" w:rsidRDefault="000E701B" w:rsidP="000E701B">
      <w:pPr>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For auditing practice, by showing that competence trust </w:t>
      </w:r>
      <w:r w:rsidR="009C7FE7">
        <w:rPr>
          <w:rFonts w:ascii="Times New Roman" w:eastAsia="Times New Roman" w:hAnsi="Times New Roman" w:cs="Times New Roman"/>
          <w:sz w:val="24"/>
          <w:szCs w:val="24"/>
          <w:lang w:val="en-GB" w:eastAsia="de-AT"/>
        </w:rPr>
        <w:t>de</w:t>
      </w:r>
      <w:r w:rsidRPr="000E701B">
        <w:rPr>
          <w:rFonts w:ascii="Times New Roman" w:eastAsia="Times New Roman" w:hAnsi="Times New Roman" w:cs="Times New Roman"/>
          <w:sz w:val="24"/>
          <w:szCs w:val="24"/>
          <w:lang w:val="en-GB" w:eastAsia="de-AT"/>
        </w:rPr>
        <w:t xml:space="preserve">creases the probability that auditors and clients </w:t>
      </w:r>
      <w:r w:rsidR="009C7FE7">
        <w:rPr>
          <w:rFonts w:ascii="Times New Roman" w:eastAsia="Times New Roman" w:hAnsi="Times New Roman" w:cs="Times New Roman"/>
          <w:sz w:val="24"/>
          <w:szCs w:val="24"/>
          <w:lang w:val="en-GB" w:eastAsia="de-AT"/>
        </w:rPr>
        <w:t xml:space="preserve">stand up </w:t>
      </w:r>
      <w:r w:rsidRPr="000E701B">
        <w:rPr>
          <w:rFonts w:ascii="Times New Roman" w:eastAsia="Times New Roman" w:hAnsi="Times New Roman" w:cs="Times New Roman"/>
          <w:sz w:val="24"/>
          <w:szCs w:val="24"/>
          <w:lang w:val="en-GB" w:eastAsia="de-AT"/>
        </w:rPr>
        <w:t xml:space="preserve">to the interaction partner’s position, we highlight the importance for auditors and clients to engage in intensive expert discussions about the preparation of the financial statements and the audit, because the other’s competence can only be assessed through personal interactions. Signals of formal competence, such as academic titles, are, however, not enough in order to build competence trust. Rather, it is necessary for both auditors and clients to not only signal competence, but also to use it. Over repeated interactions, auditors and clients obtain a more realistic picture of the interaction partner’s competences. This knowledge will, however, be lost in case of mandatory auditor rotation, increasing the threat that unjustified competence trust biases the decisions taken in audits. </w:t>
      </w:r>
    </w:p>
    <w:p w14:paraId="19AB6316" w14:textId="4CD56423" w:rsidR="000E701B" w:rsidRPr="000E701B" w:rsidRDefault="000E701B" w:rsidP="000E701B">
      <w:pPr>
        <w:spacing w:before="120" w:after="120" w:line="240" w:lineRule="auto"/>
        <w:ind w:firstLine="708"/>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Moreover, our findings emphasize the need for lifelong learning. On the one hand, continuous training requirements for both auditors and clients ensure that their competences are always up to date. On the other hand, by attending training programmes auditors and clients are better able to self-assess their competences, as they can compare them to those of their peers. As a consequence, they will also find it easier to evaluate the competences of their counterpart during an audit. </w:t>
      </w:r>
      <w:r w:rsidR="00802B6F">
        <w:rPr>
          <w:rFonts w:ascii="Times New Roman" w:eastAsia="Times New Roman" w:hAnsi="Times New Roman" w:cs="Times New Roman"/>
          <w:sz w:val="24"/>
          <w:szCs w:val="24"/>
          <w:lang w:val="en-GB" w:eastAsia="de-AT"/>
        </w:rPr>
        <w:t>While continuous learning is compulsory for auditors</w:t>
      </w:r>
      <w:r w:rsidR="00322223">
        <w:rPr>
          <w:rFonts w:ascii="Times New Roman" w:eastAsia="Times New Roman" w:hAnsi="Times New Roman" w:cs="Times New Roman"/>
          <w:sz w:val="24"/>
          <w:szCs w:val="24"/>
          <w:lang w:val="en-GB" w:eastAsia="de-AT"/>
        </w:rPr>
        <w:t xml:space="preserve"> (e.g. International Standard on Quality Controls 1 - ISQC 1, 2009)</w:t>
      </w:r>
      <w:r w:rsidR="00802B6F">
        <w:rPr>
          <w:rFonts w:ascii="Times New Roman" w:eastAsia="Times New Roman" w:hAnsi="Times New Roman" w:cs="Times New Roman"/>
          <w:sz w:val="24"/>
          <w:szCs w:val="24"/>
          <w:lang w:val="en-GB" w:eastAsia="de-AT"/>
        </w:rPr>
        <w:t>, CFOs might need extra incentives for engaging in such efforts.</w:t>
      </w:r>
    </w:p>
    <w:p w14:paraId="5F04F8DD" w14:textId="35258B98" w:rsidR="000E701B" w:rsidRPr="000E701B" w:rsidRDefault="000E701B" w:rsidP="000E701B">
      <w:pPr>
        <w:spacing w:before="120" w:after="120" w:line="240" w:lineRule="auto"/>
        <w:ind w:firstLine="709"/>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This study provides several potential avenues for future research. </w:t>
      </w:r>
      <w:r w:rsidR="00DF4394">
        <w:rPr>
          <w:rFonts w:ascii="Times New Roman" w:eastAsia="Times New Roman" w:hAnsi="Times New Roman" w:cs="Times New Roman"/>
          <w:sz w:val="24"/>
          <w:szCs w:val="24"/>
          <w:lang w:val="en-GB" w:eastAsia="de-AT"/>
        </w:rPr>
        <w:t>The limitations of this study provide some o</w:t>
      </w:r>
      <w:r w:rsidR="00C66E95">
        <w:rPr>
          <w:rFonts w:ascii="Times New Roman" w:eastAsia="Times New Roman" w:hAnsi="Times New Roman" w:cs="Times New Roman"/>
          <w:sz w:val="24"/>
          <w:szCs w:val="24"/>
          <w:lang w:val="en-GB" w:eastAsia="de-AT"/>
        </w:rPr>
        <w:t xml:space="preserve">bvious </w:t>
      </w:r>
      <w:r w:rsidR="00DF4394">
        <w:rPr>
          <w:rFonts w:ascii="Times New Roman" w:eastAsia="Times New Roman" w:hAnsi="Times New Roman" w:cs="Times New Roman"/>
          <w:sz w:val="24"/>
          <w:szCs w:val="24"/>
          <w:lang w:val="en-GB" w:eastAsia="de-AT"/>
        </w:rPr>
        <w:t xml:space="preserve">starting points </w:t>
      </w:r>
      <w:r w:rsidR="009C7FE7">
        <w:rPr>
          <w:rFonts w:ascii="Times New Roman" w:eastAsia="Times New Roman" w:hAnsi="Times New Roman" w:cs="Times New Roman"/>
          <w:sz w:val="24"/>
          <w:szCs w:val="24"/>
          <w:lang w:val="en-GB" w:eastAsia="de-AT"/>
        </w:rPr>
        <w:t>in this regard</w:t>
      </w:r>
      <w:r w:rsidR="00DF4394">
        <w:rPr>
          <w:rFonts w:ascii="Times New Roman" w:eastAsia="Times New Roman" w:hAnsi="Times New Roman" w:cs="Times New Roman"/>
          <w:sz w:val="24"/>
          <w:szCs w:val="24"/>
          <w:lang w:val="en-GB" w:eastAsia="de-AT"/>
        </w:rPr>
        <w:t xml:space="preserve">. For example, follow-up experiments implementing alternative manipulations for competence trust and goodwill trust would help to assess the robustness of our findings against method bias and alternative concepts of trust. Future studies could focus </w:t>
      </w:r>
      <w:r w:rsidR="000A727A">
        <w:rPr>
          <w:rFonts w:ascii="Times New Roman" w:eastAsia="Times New Roman" w:hAnsi="Times New Roman" w:cs="Times New Roman"/>
          <w:sz w:val="24"/>
          <w:szCs w:val="24"/>
          <w:lang w:val="en-GB" w:eastAsia="de-AT"/>
        </w:rPr>
        <w:t xml:space="preserve">on </w:t>
      </w:r>
      <w:r w:rsidR="00DF4394">
        <w:rPr>
          <w:rFonts w:ascii="Times New Roman" w:eastAsia="Times New Roman" w:hAnsi="Times New Roman" w:cs="Times New Roman"/>
          <w:sz w:val="24"/>
          <w:szCs w:val="24"/>
          <w:lang w:val="en-GB" w:eastAsia="de-AT"/>
        </w:rPr>
        <w:t xml:space="preserve">alternative accounting issues that are more specific than materiality. This might help to assess the reach of our findings regarding different dimensions of auditing negotiations. There are good reasons to expect different effects </w:t>
      </w:r>
      <w:r w:rsidR="006E478A">
        <w:rPr>
          <w:rFonts w:ascii="Times New Roman" w:eastAsia="Times New Roman" w:hAnsi="Times New Roman" w:cs="Times New Roman"/>
          <w:sz w:val="24"/>
          <w:szCs w:val="24"/>
          <w:lang w:val="en-GB" w:eastAsia="de-AT"/>
        </w:rPr>
        <w:t xml:space="preserve">of </w:t>
      </w:r>
      <w:r w:rsidR="00DF4394">
        <w:rPr>
          <w:rFonts w:ascii="Times New Roman" w:eastAsia="Times New Roman" w:hAnsi="Times New Roman" w:cs="Times New Roman"/>
          <w:sz w:val="24"/>
          <w:szCs w:val="24"/>
          <w:lang w:val="en-GB" w:eastAsia="de-AT"/>
        </w:rPr>
        <w:t xml:space="preserve">accounting issues that do versus do not </w:t>
      </w:r>
      <w:r w:rsidR="006E478A">
        <w:rPr>
          <w:rFonts w:ascii="Times New Roman" w:eastAsia="Times New Roman" w:hAnsi="Times New Roman" w:cs="Times New Roman"/>
          <w:sz w:val="24"/>
          <w:szCs w:val="24"/>
          <w:lang w:val="en-GB" w:eastAsia="de-AT"/>
        </w:rPr>
        <w:t xml:space="preserve">push </w:t>
      </w:r>
      <w:r w:rsidR="00DF4394">
        <w:rPr>
          <w:rFonts w:ascii="Times New Roman" w:eastAsia="Times New Roman" w:hAnsi="Times New Roman" w:cs="Times New Roman"/>
          <w:sz w:val="24"/>
          <w:szCs w:val="24"/>
          <w:lang w:val="en-GB" w:eastAsia="de-AT"/>
        </w:rPr>
        <w:t xml:space="preserve">those involved towards legal liabilities. </w:t>
      </w:r>
      <w:r w:rsidR="0050445A">
        <w:rPr>
          <w:rFonts w:ascii="Times New Roman" w:eastAsia="Times New Roman" w:hAnsi="Times New Roman" w:cs="Times New Roman"/>
          <w:sz w:val="24"/>
          <w:szCs w:val="24"/>
          <w:lang w:val="en-GB" w:eastAsia="de-AT"/>
        </w:rPr>
        <w:t xml:space="preserve">Valid questions might arise regarding the symmetry </w:t>
      </w:r>
      <w:r w:rsidR="006E478A">
        <w:rPr>
          <w:rFonts w:ascii="Times New Roman" w:eastAsia="Times New Roman" w:hAnsi="Times New Roman" w:cs="Times New Roman"/>
          <w:sz w:val="24"/>
          <w:szCs w:val="24"/>
          <w:lang w:val="en-GB" w:eastAsia="de-AT"/>
        </w:rPr>
        <w:t xml:space="preserve">of </w:t>
      </w:r>
      <w:r w:rsidR="0050445A">
        <w:rPr>
          <w:rFonts w:ascii="Times New Roman" w:eastAsia="Times New Roman" w:hAnsi="Times New Roman" w:cs="Times New Roman"/>
          <w:sz w:val="24"/>
          <w:szCs w:val="24"/>
          <w:lang w:val="en-GB" w:eastAsia="de-AT"/>
        </w:rPr>
        <w:t xml:space="preserve">auditors’ and clients’ motivations in </w:t>
      </w:r>
      <w:r w:rsidR="00C454CF">
        <w:rPr>
          <w:rFonts w:ascii="Times New Roman" w:eastAsia="Times New Roman" w:hAnsi="Times New Roman" w:cs="Times New Roman"/>
          <w:sz w:val="24"/>
          <w:szCs w:val="24"/>
          <w:lang w:val="en-GB" w:eastAsia="de-AT"/>
        </w:rPr>
        <w:t>our</w:t>
      </w:r>
      <w:r w:rsidR="0050445A">
        <w:rPr>
          <w:rFonts w:ascii="Times New Roman" w:eastAsia="Times New Roman" w:hAnsi="Times New Roman" w:cs="Times New Roman"/>
          <w:sz w:val="24"/>
          <w:szCs w:val="24"/>
          <w:lang w:val="en-GB" w:eastAsia="de-AT"/>
        </w:rPr>
        <w:t xml:space="preserve"> experimental setting</w:t>
      </w:r>
      <w:r w:rsidR="00C454CF">
        <w:rPr>
          <w:rFonts w:ascii="Times New Roman" w:eastAsia="Times New Roman" w:hAnsi="Times New Roman" w:cs="Times New Roman"/>
          <w:sz w:val="24"/>
          <w:szCs w:val="24"/>
          <w:lang w:val="en-GB" w:eastAsia="de-AT"/>
        </w:rPr>
        <w:t xml:space="preserve"> where bonuses </w:t>
      </w:r>
      <w:r w:rsidR="006E478A">
        <w:rPr>
          <w:rFonts w:ascii="Times New Roman" w:eastAsia="Times New Roman" w:hAnsi="Times New Roman" w:cs="Times New Roman"/>
          <w:sz w:val="24"/>
          <w:szCs w:val="24"/>
          <w:lang w:val="en-GB" w:eastAsia="de-AT"/>
        </w:rPr>
        <w:t xml:space="preserve">might </w:t>
      </w:r>
      <w:r w:rsidR="00C454CF">
        <w:rPr>
          <w:rFonts w:ascii="Times New Roman" w:eastAsia="Times New Roman" w:hAnsi="Times New Roman" w:cs="Times New Roman"/>
          <w:sz w:val="24"/>
          <w:szCs w:val="24"/>
          <w:lang w:val="en-GB" w:eastAsia="de-AT"/>
        </w:rPr>
        <w:t xml:space="preserve">motivate </w:t>
      </w:r>
      <w:r w:rsidR="006E478A">
        <w:rPr>
          <w:rFonts w:ascii="Times New Roman" w:eastAsia="Times New Roman" w:hAnsi="Times New Roman" w:cs="Times New Roman"/>
          <w:sz w:val="24"/>
          <w:szCs w:val="24"/>
          <w:lang w:val="en-GB" w:eastAsia="de-AT"/>
        </w:rPr>
        <w:t xml:space="preserve">clients </w:t>
      </w:r>
      <w:r w:rsidR="00C454CF">
        <w:rPr>
          <w:rFonts w:ascii="Times New Roman" w:eastAsia="Times New Roman" w:hAnsi="Times New Roman" w:cs="Times New Roman"/>
          <w:sz w:val="24"/>
          <w:szCs w:val="24"/>
          <w:lang w:val="en-GB" w:eastAsia="de-AT"/>
        </w:rPr>
        <w:t>to engage in earnings management</w:t>
      </w:r>
      <w:r w:rsidR="0050445A">
        <w:rPr>
          <w:rFonts w:ascii="Times New Roman" w:eastAsia="Times New Roman" w:hAnsi="Times New Roman" w:cs="Times New Roman"/>
          <w:sz w:val="24"/>
          <w:szCs w:val="24"/>
          <w:lang w:val="en-GB" w:eastAsia="de-AT"/>
        </w:rPr>
        <w:t>. Future studies should test scenarios without motivation</w:t>
      </w:r>
      <w:r w:rsidR="006E478A">
        <w:rPr>
          <w:rFonts w:ascii="Times New Roman" w:eastAsia="Times New Roman" w:hAnsi="Times New Roman" w:cs="Times New Roman"/>
          <w:sz w:val="24"/>
          <w:szCs w:val="24"/>
          <w:lang w:val="en-GB" w:eastAsia="de-AT"/>
        </w:rPr>
        <w:t>s</w:t>
      </w:r>
      <w:r w:rsidR="0050445A">
        <w:rPr>
          <w:rFonts w:ascii="Times New Roman" w:eastAsia="Times New Roman" w:hAnsi="Times New Roman" w:cs="Times New Roman"/>
          <w:sz w:val="24"/>
          <w:szCs w:val="24"/>
          <w:lang w:val="en-GB" w:eastAsia="de-AT"/>
        </w:rPr>
        <w:t xml:space="preserve"> that </w:t>
      </w:r>
      <w:r w:rsidR="006E478A">
        <w:rPr>
          <w:rFonts w:ascii="Times New Roman" w:eastAsia="Times New Roman" w:hAnsi="Times New Roman" w:cs="Times New Roman"/>
          <w:sz w:val="24"/>
          <w:szCs w:val="24"/>
          <w:lang w:val="en-GB" w:eastAsia="de-AT"/>
        </w:rPr>
        <w:t xml:space="preserve">are outside </w:t>
      </w:r>
      <w:r w:rsidR="0050445A">
        <w:rPr>
          <w:rFonts w:ascii="Times New Roman" w:eastAsia="Times New Roman" w:hAnsi="Times New Roman" w:cs="Times New Roman"/>
          <w:sz w:val="24"/>
          <w:szCs w:val="24"/>
          <w:lang w:val="en-GB" w:eastAsia="de-AT"/>
        </w:rPr>
        <w:t xml:space="preserve">the auditor-client relationship. </w:t>
      </w:r>
      <w:r w:rsidRPr="000E701B">
        <w:rPr>
          <w:rFonts w:ascii="Times New Roman" w:eastAsia="Times New Roman" w:hAnsi="Times New Roman" w:cs="Times New Roman"/>
          <w:sz w:val="24"/>
          <w:szCs w:val="24"/>
          <w:lang w:val="en-GB" w:eastAsia="de-AT"/>
        </w:rPr>
        <w:t>For example, it would be interesting to investigate which signals auditors and clients have to convey to be regarded as competent</w:t>
      </w:r>
      <w:r w:rsidR="006E478A">
        <w:rPr>
          <w:rFonts w:ascii="Times New Roman" w:eastAsia="Times New Roman" w:hAnsi="Times New Roman" w:cs="Times New Roman"/>
          <w:sz w:val="24"/>
          <w:szCs w:val="24"/>
          <w:lang w:val="en-GB" w:eastAsia="de-AT"/>
        </w:rPr>
        <w:t>,</w:t>
      </w:r>
      <w:r w:rsidRPr="000E701B">
        <w:rPr>
          <w:rFonts w:ascii="Times New Roman" w:eastAsia="Times New Roman" w:hAnsi="Times New Roman" w:cs="Times New Roman"/>
          <w:sz w:val="24"/>
          <w:szCs w:val="24"/>
          <w:lang w:val="en-GB" w:eastAsia="de-AT"/>
        </w:rPr>
        <w:t xml:space="preserve"> and how these signals can be assessed. Such research would need to take a qualitative approach, ideally in the form of participant observation. In addition, it would be interesting to compare the directly measured competence of the auditor and </w:t>
      </w:r>
      <w:r w:rsidR="00E4159C">
        <w:rPr>
          <w:rFonts w:ascii="Times New Roman" w:eastAsia="Times New Roman" w:hAnsi="Times New Roman" w:cs="Times New Roman"/>
          <w:sz w:val="24"/>
          <w:szCs w:val="24"/>
          <w:lang w:val="en-GB" w:eastAsia="de-AT"/>
        </w:rPr>
        <w:t xml:space="preserve">the </w:t>
      </w:r>
      <w:r w:rsidRPr="000E701B">
        <w:rPr>
          <w:rFonts w:ascii="Times New Roman" w:eastAsia="Times New Roman" w:hAnsi="Times New Roman" w:cs="Times New Roman"/>
          <w:sz w:val="24"/>
          <w:szCs w:val="24"/>
          <w:lang w:val="en-GB" w:eastAsia="de-AT"/>
        </w:rPr>
        <w:t>client, the auditor</w:t>
      </w:r>
      <w:r w:rsidR="00E4159C">
        <w:rPr>
          <w:rFonts w:ascii="Times New Roman" w:eastAsia="Times New Roman" w:hAnsi="Times New Roman" w:cs="Times New Roman"/>
          <w:sz w:val="24"/>
          <w:szCs w:val="24"/>
          <w:lang w:val="en-GB" w:eastAsia="de-AT"/>
        </w:rPr>
        <w:t>’</w:t>
      </w:r>
      <w:r w:rsidRPr="000E701B">
        <w:rPr>
          <w:rFonts w:ascii="Times New Roman" w:eastAsia="Times New Roman" w:hAnsi="Times New Roman" w:cs="Times New Roman"/>
          <w:sz w:val="24"/>
          <w:szCs w:val="24"/>
          <w:lang w:val="en-GB" w:eastAsia="de-AT"/>
        </w:rPr>
        <w:t xml:space="preserve">s and </w:t>
      </w:r>
      <w:r w:rsidR="00E4159C">
        <w:rPr>
          <w:rFonts w:ascii="Times New Roman" w:eastAsia="Times New Roman" w:hAnsi="Times New Roman" w:cs="Times New Roman"/>
          <w:sz w:val="24"/>
          <w:szCs w:val="24"/>
          <w:lang w:val="en-GB" w:eastAsia="de-AT"/>
        </w:rPr>
        <w:t xml:space="preserve">the </w:t>
      </w:r>
      <w:r w:rsidRPr="000E701B">
        <w:rPr>
          <w:rFonts w:ascii="Times New Roman" w:eastAsia="Times New Roman" w:hAnsi="Times New Roman" w:cs="Times New Roman"/>
          <w:sz w:val="24"/>
          <w:szCs w:val="24"/>
          <w:lang w:val="en-GB" w:eastAsia="de-AT"/>
        </w:rPr>
        <w:t>client</w:t>
      </w:r>
      <w:r w:rsidR="00E4159C">
        <w:rPr>
          <w:rFonts w:ascii="Times New Roman" w:eastAsia="Times New Roman" w:hAnsi="Times New Roman" w:cs="Times New Roman"/>
          <w:sz w:val="24"/>
          <w:szCs w:val="24"/>
          <w:lang w:val="en-GB" w:eastAsia="de-AT"/>
        </w:rPr>
        <w:t>’</w:t>
      </w:r>
      <w:r w:rsidRPr="000E701B">
        <w:rPr>
          <w:rFonts w:ascii="Times New Roman" w:eastAsia="Times New Roman" w:hAnsi="Times New Roman" w:cs="Times New Roman"/>
          <w:sz w:val="24"/>
          <w:szCs w:val="24"/>
          <w:lang w:val="en-GB" w:eastAsia="de-AT"/>
        </w:rPr>
        <w:t xml:space="preserve">s self-assessment </w:t>
      </w:r>
      <w:r w:rsidR="00E4159C">
        <w:rPr>
          <w:rFonts w:ascii="Times New Roman" w:eastAsia="Times New Roman" w:hAnsi="Times New Roman" w:cs="Times New Roman"/>
          <w:sz w:val="24"/>
          <w:szCs w:val="24"/>
          <w:lang w:val="en-GB" w:eastAsia="de-AT"/>
        </w:rPr>
        <w:t xml:space="preserve">his or her </w:t>
      </w:r>
      <w:r w:rsidRPr="000E701B">
        <w:rPr>
          <w:rFonts w:ascii="Times New Roman" w:eastAsia="Times New Roman" w:hAnsi="Times New Roman" w:cs="Times New Roman"/>
          <w:sz w:val="24"/>
          <w:szCs w:val="24"/>
          <w:lang w:val="en-GB" w:eastAsia="de-AT"/>
        </w:rPr>
        <w:t xml:space="preserve">competences, their perception of the interaction partner’s competence and their idea of how competent their interaction partner rates </w:t>
      </w:r>
      <w:r w:rsidRPr="000E701B">
        <w:rPr>
          <w:rFonts w:ascii="Times New Roman" w:eastAsia="Times New Roman" w:hAnsi="Times New Roman" w:cs="Times New Roman"/>
          <w:sz w:val="24"/>
          <w:szCs w:val="24"/>
          <w:lang w:val="en-GB" w:eastAsia="de-AT"/>
        </w:rPr>
        <w:lastRenderedPageBreak/>
        <w:t xml:space="preserve">them. Such research would reveal reasons for and consequences of differences between </w:t>
      </w:r>
      <w:r w:rsidR="00E4159C">
        <w:rPr>
          <w:rFonts w:ascii="Times New Roman" w:eastAsia="Times New Roman" w:hAnsi="Times New Roman" w:cs="Times New Roman"/>
          <w:sz w:val="24"/>
          <w:szCs w:val="24"/>
          <w:lang w:val="en-GB" w:eastAsia="de-AT"/>
        </w:rPr>
        <w:t xml:space="preserve">the interaction partners’ </w:t>
      </w:r>
      <w:r w:rsidRPr="000E701B">
        <w:rPr>
          <w:rFonts w:ascii="Times New Roman" w:eastAsia="Times New Roman" w:hAnsi="Times New Roman" w:cs="Times New Roman"/>
          <w:sz w:val="24"/>
          <w:szCs w:val="24"/>
          <w:lang w:val="en-GB" w:eastAsia="de-AT"/>
        </w:rPr>
        <w:t xml:space="preserve">perceptions as well as between </w:t>
      </w:r>
      <w:r w:rsidR="00E4159C">
        <w:rPr>
          <w:rFonts w:ascii="Times New Roman" w:eastAsia="Times New Roman" w:hAnsi="Times New Roman" w:cs="Times New Roman"/>
          <w:sz w:val="24"/>
          <w:szCs w:val="24"/>
          <w:lang w:val="en-GB" w:eastAsia="de-AT"/>
        </w:rPr>
        <w:t xml:space="preserve">these </w:t>
      </w:r>
      <w:r w:rsidRPr="000E701B">
        <w:rPr>
          <w:rFonts w:ascii="Times New Roman" w:eastAsia="Times New Roman" w:hAnsi="Times New Roman" w:cs="Times New Roman"/>
          <w:sz w:val="24"/>
          <w:szCs w:val="24"/>
          <w:lang w:val="en-GB" w:eastAsia="de-AT"/>
        </w:rPr>
        <w:t xml:space="preserve">perceptions and actual competences. </w:t>
      </w:r>
      <w:r w:rsidR="00125E27">
        <w:rPr>
          <w:rFonts w:ascii="Times New Roman" w:eastAsia="Times New Roman" w:hAnsi="Times New Roman" w:cs="Times New Roman"/>
          <w:sz w:val="24"/>
          <w:szCs w:val="24"/>
          <w:lang w:val="en-GB" w:eastAsia="de-AT"/>
        </w:rPr>
        <w:t>It</w:t>
      </w:r>
      <w:r w:rsidRPr="000E701B">
        <w:rPr>
          <w:rFonts w:ascii="Times New Roman" w:eastAsia="Times New Roman" w:hAnsi="Times New Roman" w:cs="Times New Roman"/>
          <w:sz w:val="24"/>
          <w:szCs w:val="24"/>
          <w:lang w:val="en-GB" w:eastAsia="de-AT"/>
        </w:rPr>
        <w:t xml:space="preserve"> would need to investigate into actual auditor-client dyads. A feasible sampling strategy can be found in Aschauer et al. (2017). </w:t>
      </w:r>
      <w:r w:rsidR="008913DA">
        <w:rPr>
          <w:rFonts w:ascii="Times New Roman" w:eastAsia="Times New Roman" w:hAnsi="Times New Roman" w:cs="Times New Roman"/>
          <w:sz w:val="24"/>
          <w:szCs w:val="24"/>
          <w:lang w:val="en-GB" w:eastAsia="de-AT"/>
        </w:rPr>
        <w:t xml:space="preserve">Auditor tenure has been identified as a relevant factor. This highlights the need for further investigation into the role of auditor </w:t>
      </w:r>
      <w:r w:rsidR="00E4159C">
        <w:rPr>
          <w:rFonts w:ascii="Times New Roman" w:eastAsia="Times New Roman" w:hAnsi="Times New Roman" w:cs="Times New Roman"/>
          <w:sz w:val="24"/>
          <w:szCs w:val="24"/>
          <w:lang w:val="en-GB" w:eastAsia="de-AT"/>
        </w:rPr>
        <w:t xml:space="preserve">tenure </w:t>
      </w:r>
      <w:r w:rsidR="008913DA">
        <w:rPr>
          <w:rFonts w:ascii="Times New Roman" w:eastAsia="Times New Roman" w:hAnsi="Times New Roman" w:cs="Times New Roman"/>
          <w:sz w:val="24"/>
          <w:szCs w:val="24"/>
          <w:lang w:val="en-GB" w:eastAsia="de-AT"/>
        </w:rPr>
        <w:t xml:space="preserve">in auditing negotiations. </w:t>
      </w:r>
      <w:r w:rsidR="000C3721">
        <w:rPr>
          <w:rFonts w:ascii="Times New Roman" w:eastAsia="Times New Roman" w:hAnsi="Times New Roman" w:cs="Times New Roman"/>
          <w:sz w:val="24"/>
          <w:szCs w:val="24"/>
          <w:lang w:val="en-GB" w:eastAsia="de-AT"/>
        </w:rPr>
        <w:t xml:space="preserve">Even if neither auditor firm size nor client firm size </w:t>
      </w:r>
      <w:r w:rsidR="00B564BD">
        <w:rPr>
          <w:rFonts w:ascii="Times New Roman" w:eastAsia="Times New Roman" w:hAnsi="Times New Roman" w:cs="Times New Roman"/>
          <w:sz w:val="24"/>
          <w:szCs w:val="24"/>
          <w:lang w:val="en-GB" w:eastAsia="de-AT"/>
        </w:rPr>
        <w:t xml:space="preserve">as a </w:t>
      </w:r>
      <w:proofErr w:type="gramStart"/>
      <w:r w:rsidR="00B564BD">
        <w:rPr>
          <w:rFonts w:ascii="Times New Roman" w:eastAsia="Times New Roman" w:hAnsi="Times New Roman" w:cs="Times New Roman"/>
          <w:sz w:val="24"/>
          <w:szCs w:val="24"/>
          <w:lang w:val="en-GB" w:eastAsia="de-AT"/>
        </w:rPr>
        <w:t>proxies</w:t>
      </w:r>
      <w:proofErr w:type="gramEnd"/>
      <w:r w:rsidR="00B564BD">
        <w:rPr>
          <w:rFonts w:ascii="Times New Roman" w:eastAsia="Times New Roman" w:hAnsi="Times New Roman" w:cs="Times New Roman"/>
          <w:sz w:val="24"/>
          <w:szCs w:val="24"/>
          <w:lang w:val="en-GB" w:eastAsia="de-AT"/>
        </w:rPr>
        <w:t xml:space="preserve"> for power were significant predictors in this study, future studies should use a direct measure for power in negotiations. </w:t>
      </w:r>
      <w:r w:rsidR="00433B2F">
        <w:rPr>
          <w:rFonts w:ascii="Times New Roman" w:eastAsia="Times New Roman" w:hAnsi="Times New Roman" w:cs="Times New Roman"/>
          <w:sz w:val="24"/>
          <w:szCs w:val="24"/>
          <w:lang w:val="en-GB" w:eastAsia="de-AT"/>
        </w:rPr>
        <w:t xml:space="preserve">This study captures the likelihood </w:t>
      </w:r>
      <w:r w:rsidR="00FE1229">
        <w:rPr>
          <w:rFonts w:ascii="Times New Roman" w:eastAsia="Times New Roman" w:hAnsi="Times New Roman" w:cs="Times New Roman"/>
          <w:sz w:val="24"/>
          <w:szCs w:val="24"/>
          <w:lang w:val="en-GB" w:eastAsia="de-AT"/>
        </w:rPr>
        <w:t xml:space="preserve">and thus the intention </w:t>
      </w:r>
      <w:r w:rsidR="00433B2F">
        <w:rPr>
          <w:rFonts w:ascii="Times New Roman" w:eastAsia="Times New Roman" w:hAnsi="Times New Roman" w:cs="Times New Roman"/>
          <w:sz w:val="24"/>
          <w:szCs w:val="24"/>
          <w:lang w:val="en-GB" w:eastAsia="de-AT"/>
        </w:rPr>
        <w:t>of auditors and clients to stand up to the interaction partner</w:t>
      </w:r>
      <w:r w:rsidR="00E4159C">
        <w:rPr>
          <w:rFonts w:ascii="Times New Roman" w:eastAsia="Times New Roman" w:hAnsi="Times New Roman" w:cs="Times New Roman"/>
          <w:sz w:val="24"/>
          <w:szCs w:val="24"/>
          <w:lang w:val="en-GB" w:eastAsia="de-AT"/>
        </w:rPr>
        <w:t>’</w:t>
      </w:r>
      <w:r w:rsidR="00433B2F">
        <w:rPr>
          <w:rFonts w:ascii="Times New Roman" w:eastAsia="Times New Roman" w:hAnsi="Times New Roman" w:cs="Times New Roman"/>
          <w:sz w:val="24"/>
          <w:szCs w:val="24"/>
          <w:lang w:val="en-GB" w:eastAsia="de-AT"/>
        </w:rPr>
        <w:t xml:space="preserve">s preferred treatment. We call for empirical studies that not only address the intention level, but also the action level. </w:t>
      </w:r>
      <w:r w:rsidRPr="000E701B">
        <w:rPr>
          <w:rFonts w:ascii="Times New Roman" w:eastAsia="Times New Roman" w:hAnsi="Times New Roman" w:cs="Times New Roman"/>
          <w:sz w:val="24"/>
          <w:szCs w:val="24"/>
          <w:lang w:val="en-GB" w:eastAsia="de-AT"/>
        </w:rPr>
        <w:t>Finally, future research should also examine the dynamics and interdependencies of mutual competence trust</w:t>
      </w:r>
      <w:r w:rsidR="00125E27">
        <w:rPr>
          <w:rFonts w:ascii="Times New Roman" w:eastAsia="Times New Roman" w:hAnsi="Times New Roman" w:cs="Times New Roman"/>
          <w:sz w:val="24"/>
          <w:szCs w:val="24"/>
          <w:lang w:val="en-GB" w:eastAsia="de-AT"/>
        </w:rPr>
        <w:t xml:space="preserve"> and mutual goodwill trust</w:t>
      </w:r>
      <w:r w:rsidRPr="000E701B">
        <w:rPr>
          <w:rFonts w:ascii="Times New Roman" w:eastAsia="Times New Roman" w:hAnsi="Times New Roman" w:cs="Times New Roman"/>
          <w:sz w:val="24"/>
          <w:szCs w:val="24"/>
          <w:lang w:val="en-GB" w:eastAsia="de-AT"/>
        </w:rPr>
        <w:t xml:space="preserve"> in auditor-client dyads to understand the evolution </w:t>
      </w:r>
      <w:r w:rsidR="00125E27">
        <w:rPr>
          <w:rFonts w:ascii="Times New Roman" w:eastAsia="Times New Roman" w:hAnsi="Times New Roman" w:cs="Times New Roman"/>
          <w:sz w:val="24"/>
          <w:szCs w:val="24"/>
          <w:lang w:val="en-GB" w:eastAsia="de-AT"/>
        </w:rPr>
        <w:t xml:space="preserve">of and the interplay between </w:t>
      </w:r>
      <w:r w:rsidRPr="000E701B">
        <w:rPr>
          <w:rFonts w:ascii="Times New Roman" w:eastAsia="Times New Roman" w:hAnsi="Times New Roman" w:cs="Times New Roman"/>
          <w:sz w:val="24"/>
          <w:szCs w:val="24"/>
          <w:lang w:val="en-GB" w:eastAsia="de-AT"/>
        </w:rPr>
        <w:t>the</w:t>
      </w:r>
      <w:r w:rsidR="00125E27">
        <w:rPr>
          <w:rFonts w:ascii="Times New Roman" w:eastAsia="Times New Roman" w:hAnsi="Times New Roman" w:cs="Times New Roman"/>
          <w:sz w:val="24"/>
          <w:szCs w:val="24"/>
          <w:lang w:val="en-GB" w:eastAsia="de-AT"/>
        </w:rPr>
        <w:t xml:space="preserve"> two dimensions of the</w:t>
      </w:r>
      <w:r w:rsidRPr="000E701B">
        <w:rPr>
          <w:rFonts w:ascii="Times New Roman" w:eastAsia="Times New Roman" w:hAnsi="Times New Roman" w:cs="Times New Roman"/>
          <w:sz w:val="24"/>
          <w:szCs w:val="24"/>
          <w:lang w:val="en-GB" w:eastAsia="de-AT"/>
        </w:rPr>
        <w:t xml:space="preserve"> </w:t>
      </w:r>
      <w:r w:rsidR="00BD7D10">
        <w:rPr>
          <w:rFonts w:ascii="Times New Roman" w:eastAsia="Times New Roman" w:hAnsi="Times New Roman" w:cs="Times New Roman"/>
          <w:sz w:val="24"/>
          <w:szCs w:val="24"/>
          <w:lang w:val="en-GB" w:eastAsia="de-AT"/>
        </w:rPr>
        <w:t xml:space="preserve">identification-based </w:t>
      </w:r>
      <w:r w:rsidRPr="000E701B">
        <w:rPr>
          <w:rFonts w:ascii="Times New Roman" w:eastAsia="Times New Roman" w:hAnsi="Times New Roman" w:cs="Times New Roman"/>
          <w:sz w:val="24"/>
          <w:szCs w:val="24"/>
          <w:lang w:val="en-GB" w:eastAsia="de-AT"/>
        </w:rPr>
        <w:t xml:space="preserve">trust relationship. </w:t>
      </w:r>
    </w:p>
    <w:p w14:paraId="5CCC2720" w14:textId="77777777" w:rsidR="000E701B" w:rsidRPr="000E701B" w:rsidRDefault="000E701B" w:rsidP="000E701B">
      <w:pPr>
        <w:spacing w:before="120" w:after="120" w:line="240" w:lineRule="auto"/>
        <w:ind w:firstLine="709"/>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In interpreting the results presented in this paper, the limitations linked to the imposed topical and geographical focus of the study, the underlying data, and the method applied have to be kept in mind. Without replicating this study in other geographical contexts and with other methodological designs, we cannot claim generalizability to other areas. While the empirical approach employed allows for the identification of relevant predictors for the outcomes of auditing negotiations, its potential to explain the phenomenon observed is limited – a limitation that calls for qualitative follow-up research. Notwithstanding these limitations, our findings advance the understanding of the role of </w:t>
      </w:r>
      <w:r w:rsidR="00BD7D10">
        <w:rPr>
          <w:rFonts w:ascii="Times New Roman" w:eastAsia="Times New Roman" w:hAnsi="Times New Roman" w:cs="Times New Roman"/>
          <w:sz w:val="24"/>
          <w:szCs w:val="24"/>
          <w:lang w:val="en-GB" w:eastAsia="de-AT"/>
        </w:rPr>
        <w:t xml:space="preserve">identification-based </w:t>
      </w:r>
      <w:r w:rsidRPr="000E701B">
        <w:rPr>
          <w:rFonts w:ascii="Times New Roman" w:eastAsia="Times New Roman" w:hAnsi="Times New Roman" w:cs="Times New Roman"/>
          <w:sz w:val="24"/>
          <w:szCs w:val="24"/>
          <w:lang w:val="en-GB" w:eastAsia="de-AT"/>
        </w:rPr>
        <w:t>trust in auditor-client negotiations and provide rich insights for research, business practice and legislators.</w:t>
      </w:r>
    </w:p>
    <w:p w14:paraId="1F05E599" w14:textId="77777777" w:rsidR="000E701B" w:rsidRPr="000E701B" w:rsidRDefault="000E701B" w:rsidP="000E701B">
      <w:pPr>
        <w:spacing w:after="200" w:line="480" w:lineRule="auto"/>
        <w:rPr>
          <w:rFonts w:ascii="Times New Roman" w:eastAsia="Times New Roman" w:hAnsi="Times New Roman" w:cs="Times New Roman"/>
          <w:iCs/>
          <w:sz w:val="24"/>
          <w:szCs w:val="24"/>
          <w:lang w:val="en-GB" w:eastAsia="de-AT"/>
        </w:rPr>
      </w:pPr>
      <w:r w:rsidRPr="000E701B">
        <w:rPr>
          <w:rFonts w:ascii="Times New Roman" w:eastAsia="Times New Roman" w:hAnsi="Times New Roman" w:cs="Times New Roman"/>
          <w:iCs/>
          <w:sz w:val="24"/>
          <w:szCs w:val="24"/>
          <w:lang w:val="en-GB" w:eastAsia="de-AT"/>
        </w:rPr>
        <w:br w:type="page"/>
      </w:r>
    </w:p>
    <w:p w14:paraId="17CADBCF" w14:textId="417F85A4" w:rsidR="00904F71" w:rsidRDefault="00904F71" w:rsidP="000E701B">
      <w:pPr>
        <w:spacing w:line="480" w:lineRule="auto"/>
        <w:ind w:left="360" w:hanging="360"/>
        <w:jc w:val="both"/>
        <w:rPr>
          <w:rFonts w:ascii="Times New Roman" w:eastAsia="Times New Roman" w:hAnsi="Times New Roman" w:cs="Times New Roman"/>
          <w:b/>
          <w:sz w:val="24"/>
          <w:szCs w:val="24"/>
          <w:lang w:val="en-US" w:eastAsia="de-AT"/>
        </w:rPr>
      </w:pPr>
      <w:r>
        <w:rPr>
          <w:rFonts w:ascii="Times New Roman" w:eastAsia="Times New Roman" w:hAnsi="Times New Roman" w:cs="Times New Roman"/>
          <w:b/>
          <w:sz w:val="24"/>
          <w:szCs w:val="24"/>
          <w:lang w:val="en-US" w:eastAsia="de-AT"/>
        </w:rPr>
        <w:lastRenderedPageBreak/>
        <w:t>Appendix</w:t>
      </w:r>
      <w:r w:rsidR="00BF6287">
        <w:rPr>
          <w:rFonts w:ascii="Times New Roman" w:eastAsia="Times New Roman" w:hAnsi="Times New Roman" w:cs="Times New Roman"/>
          <w:b/>
          <w:sz w:val="24"/>
          <w:szCs w:val="24"/>
          <w:lang w:val="en-US" w:eastAsia="de-AT"/>
        </w:rPr>
        <w:t xml:space="preserve"> – Experimental case </w:t>
      </w:r>
    </w:p>
    <w:p w14:paraId="4446F234" w14:textId="03FAFD8F" w:rsidR="00BF6287" w:rsidRPr="00BF6287" w:rsidRDefault="00BF6287" w:rsidP="00BF6287">
      <w:pPr>
        <w:jc w:val="both"/>
        <w:rPr>
          <w:rFonts w:ascii="Times New Roman" w:eastAsia="Times New Roman" w:hAnsi="Times New Roman" w:cs="Times New Roman"/>
          <w:i/>
          <w:sz w:val="24"/>
          <w:szCs w:val="24"/>
          <w:lang w:val="en-GB" w:eastAsia="de-AT"/>
        </w:rPr>
      </w:pPr>
      <w:r w:rsidRPr="00BF6287">
        <w:rPr>
          <w:rFonts w:ascii="Times New Roman" w:eastAsia="Times New Roman" w:hAnsi="Times New Roman" w:cs="Times New Roman"/>
          <w:i/>
          <w:sz w:val="24"/>
          <w:szCs w:val="24"/>
          <w:lang w:val="en-GB" w:eastAsia="de-AT"/>
        </w:rPr>
        <w:t>Auditor perspective</w:t>
      </w:r>
    </w:p>
    <w:p w14:paraId="37EA1C9E" w14:textId="77777777" w:rsidR="00BF6287" w:rsidRDefault="00BF6287" w:rsidP="00BF6287">
      <w:pPr>
        <w:jc w:val="both"/>
        <w:rPr>
          <w:rFonts w:ascii="Times New Roman" w:eastAsia="Times New Roman" w:hAnsi="Times New Roman" w:cs="Times New Roman"/>
          <w:sz w:val="24"/>
          <w:szCs w:val="24"/>
          <w:lang w:val="en-GB" w:eastAsia="de-AT"/>
        </w:rPr>
      </w:pPr>
    </w:p>
    <w:p w14:paraId="4F17B228" w14:textId="1D5DF0C3" w:rsidR="00BF6287" w:rsidRDefault="00BF6287" w:rsidP="00BF6287">
      <w:pPr>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 xml:space="preserve">Please read the following short audit case and respond to the question at the end. </w:t>
      </w:r>
    </w:p>
    <w:p w14:paraId="5B1A95ED" w14:textId="77777777" w:rsidR="00BF6287" w:rsidRPr="00ED5BED" w:rsidRDefault="00BF6287" w:rsidP="00BF6287">
      <w:pPr>
        <w:jc w:val="both"/>
        <w:rPr>
          <w:rFonts w:ascii="Times New Roman" w:eastAsia="Times New Roman" w:hAnsi="Times New Roman" w:cs="Times New Roman"/>
          <w:sz w:val="24"/>
          <w:szCs w:val="24"/>
          <w:lang w:val="en-GB" w:eastAsia="de-AT"/>
        </w:rPr>
      </w:pPr>
      <w:r w:rsidRPr="00ED5BED">
        <w:rPr>
          <w:rFonts w:ascii="Times New Roman" w:eastAsia="Times New Roman" w:hAnsi="Times New Roman" w:cs="Times New Roman"/>
          <w:sz w:val="24"/>
          <w:szCs w:val="24"/>
          <w:lang w:val="en-GB" w:eastAsia="de-AT"/>
        </w:rPr>
        <w:t xml:space="preserve">In the current year’s audit, a dispute has arisen between you and the management of one of your largest and most important clients over the materiality of certain unrecorded liabilities discovered by you during the audit. In your opinion, the amount is material. However, the client management strongly disagrees. The client’s CFO argues that the total amount of unrecorded liabilities is immaterial and, therefore, it is unnecessary to make adjusting entries in the financial statements. Professional and firm guidelines do not provide a definitive answer on the materiality of the amount involved. </w:t>
      </w:r>
    </w:p>
    <w:p w14:paraId="25F6866E" w14:textId="77777777" w:rsidR="00BF6287" w:rsidRPr="00ED5BED" w:rsidRDefault="00BF6287" w:rsidP="00BF6287">
      <w:pPr>
        <w:jc w:val="both"/>
        <w:rPr>
          <w:rFonts w:ascii="Times New Roman" w:eastAsia="Times New Roman" w:hAnsi="Times New Roman" w:cs="Times New Roman"/>
          <w:sz w:val="24"/>
          <w:szCs w:val="24"/>
          <w:lang w:val="en-GB" w:eastAsia="de-AT"/>
        </w:rPr>
      </w:pPr>
      <w:r w:rsidRPr="00ED5BED">
        <w:rPr>
          <w:rFonts w:ascii="Times New Roman" w:eastAsia="Times New Roman" w:hAnsi="Times New Roman" w:cs="Times New Roman"/>
          <w:sz w:val="24"/>
          <w:szCs w:val="24"/>
          <w:lang w:val="en-GB" w:eastAsia="de-AT"/>
        </w:rPr>
        <w:t xml:space="preserve">The client would like to report a high operating profit, as it is under pressure due to last year’s losses. In addition, the client’s CFO is interested in reporting a high operating profit as well, because his/her remuneration is profit-related. </w:t>
      </w:r>
    </w:p>
    <w:p w14:paraId="7D9001EC" w14:textId="77777777" w:rsidR="00BF6287" w:rsidRPr="00ED5BED" w:rsidRDefault="00BF6287" w:rsidP="00BF6287">
      <w:pPr>
        <w:jc w:val="both"/>
        <w:rPr>
          <w:rFonts w:ascii="Times New Roman" w:eastAsia="Times New Roman" w:hAnsi="Times New Roman" w:cs="Times New Roman"/>
          <w:sz w:val="24"/>
          <w:szCs w:val="24"/>
          <w:lang w:val="en-GB" w:eastAsia="de-AT"/>
        </w:rPr>
      </w:pPr>
      <w:r w:rsidRPr="00ED5BED">
        <w:rPr>
          <w:rFonts w:ascii="Times New Roman" w:eastAsia="Times New Roman" w:hAnsi="Times New Roman" w:cs="Times New Roman"/>
          <w:sz w:val="24"/>
          <w:szCs w:val="24"/>
          <w:lang w:val="en-GB" w:eastAsia="de-AT"/>
        </w:rPr>
        <w:t xml:space="preserve">You and the audit firm have audited the client for four years. Within this period neither you nor the audit firm </w:t>
      </w:r>
      <w:r>
        <w:rPr>
          <w:rFonts w:ascii="Times New Roman" w:eastAsia="Times New Roman" w:hAnsi="Times New Roman" w:cs="Times New Roman"/>
          <w:sz w:val="24"/>
          <w:szCs w:val="24"/>
          <w:lang w:val="en-GB" w:eastAsia="de-AT"/>
        </w:rPr>
        <w:t xml:space="preserve">have </w:t>
      </w:r>
      <w:r w:rsidRPr="00ED5BED">
        <w:rPr>
          <w:rFonts w:ascii="Times New Roman" w:eastAsia="Times New Roman" w:hAnsi="Times New Roman" w:cs="Times New Roman"/>
          <w:sz w:val="24"/>
          <w:szCs w:val="24"/>
          <w:lang w:val="en-GB" w:eastAsia="de-AT"/>
        </w:rPr>
        <w:t>provided any non-audit services.</w:t>
      </w:r>
    </w:p>
    <w:p w14:paraId="50AEC660" w14:textId="77777777" w:rsidR="00BF6287" w:rsidRDefault="00BF6287" w:rsidP="00BF6287">
      <w:pPr>
        <w:jc w:val="both"/>
        <w:rPr>
          <w:rFonts w:ascii="Times New Roman" w:eastAsia="Times New Roman" w:hAnsi="Times New Roman" w:cs="Times New Roman"/>
          <w:sz w:val="24"/>
          <w:szCs w:val="24"/>
          <w:lang w:val="en-GB" w:eastAsia="de-AT"/>
        </w:rPr>
      </w:pPr>
    </w:p>
    <w:p w14:paraId="18A6C461" w14:textId="40BA9339" w:rsidR="00BF6287" w:rsidRDefault="00BF6287" w:rsidP="00BF6287">
      <w:pPr>
        <w:jc w:val="both"/>
        <w:rPr>
          <w:rFonts w:ascii="Times New Roman" w:eastAsia="Times New Roman" w:hAnsi="Times New Roman" w:cs="Times New Roman"/>
          <w:sz w:val="24"/>
          <w:szCs w:val="24"/>
          <w:lang w:val="en-GB" w:eastAsia="de-AT"/>
        </w:rPr>
      </w:pPr>
      <w:r w:rsidRPr="009F029D">
        <w:rPr>
          <w:rFonts w:ascii="Times New Roman" w:eastAsia="Times New Roman" w:hAnsi="Times New Roman" w:cs="Times New Roman"/>
          <w:sz w:val="24"/>
          <w:szCs w:val="24"/>
          <w:lang w:val="en-GB" w:eastAsia="de-AT"/>
        </w:rPr>
        <w:t xml:space="preserve">Regarding the client’s CFO, you have the following information and experience: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3562"/>
        <w:gridCol w:w="3582"/>
      </w:tblGrid>
      <w:tr w:rsidR="00BF6287" w:rsidRPr="00322223" w14:paraId="721FCD54" w14:textId="77777777" w:rsidTr="005F3485">
        <w:trPr>
          <w:trHeight w:val="363"/>
        </w:trPr>
        <w:tc>
          <w:tcPr>
            <w:tcW w:w="1928" w:type="dxa"/>
            <w:tcBorders>
              <w:top w:val="single" w:sz="4" w:space="0" w:color="auto"/>
              <w:bottom w:val="single" w:sz="4" w:space="0" w:color="auto"/>
            </w:tcBorders>
          </w:tcPr>
          <w:p w14:paraId="50C88AA3" w14:textId="77777777" w:rsidR="00BF6287" w:rsidRPr="00322223" w:rsidRDefault="00BF6287" w:rsidP="00004533">
            <w:pPr>
              <w:jc w:val="both"/>
              <w:rPr>
                <w:rFonts w:ascii="Times New Roman" w:eastAsia="Times New Roman" w:hAnsi="Times New Roman" w:cs="Times New Roman"/>
                <w:b/>
                <w:i/>
                <w:sz w:val="24"/>
                <w:szCs w:val="24"/>
                <w:lang w:val="en-GB" w:eastAsia="de-AT"/>
              </w:rPr>
            </w:pPr>
          </w:p>
        </w:tc>
        <w:tc>
          <w:tcPr>
            <w:tcW w:w="3562" w:type="dxa"/>
            <w:tcBorders>
              <w:top w:val="single" w:sz="4" w:space="0" w:color="auto"/>
              <w:bottom w:val="single" w:sz="4" w:space="0" w:color="auto"/>
            </w:tcBorders>
          </w:tcPr>
          <w:p w14:paraId="387B8168" w14:textId="77777777" w:rsidR="00BF6287" w:rsidRPr="00322223" w:rsidRDefault="00BF6287" w:rsidP="005F3485">
            <w:pPr>
              <w:rPr>
                <w:rFonts w:ascii="Times New Roman" w:eastAsia="Times New Roman" w:hAnsi="Times New Roman" w:cs="Times New Roman"/>
                <w:b/>
                <w:i/>
                <w:sz w:val="24"/>
                <w:szCs w:val="24"/>
                <w:lang w:val="en-GB" w:eastAsia="de-AT"/>
              </w:rPr>
            </w:pPr>
            <w:r w:rsidRPr="00322223">
              <w:rPr>
                <w:rFonts w:ascii="Times New Roman" w:eastAsia="Times New Roman" w:hAnsi="Times New Roman" w:cs="Times New Roman"/>
                <w:b/>
                <w:i/>
                <w:sz w:val="24"/>
                <w:szCs w:val="24"/>
                <w:lang w:val="en-GB" w:eastAsia="de-AT"/>
              </w:rPr>
              <w:t>High goodwill trust manipulation</w:t>
            </w:r>
          </w:p>
        </w:tc>
        <w:tc>
          <w:tcPr>
            <w:tcW w:w="3582" w:type="dxa"/>
            <w:tcBorders>
              <w:top w:val="single" w:sz="4" w:space="0" w:color="auto"/>
              <w:bottom w:val="single" w:sz="4" w:space="0" w:color="auto"/>
            </w:tcBorders>
          </w:tcPr>
          <w:p w14:paraId="752045B9" w14:textId="77777777" w:rsidR="00BF6287" w:rsidRPr="00322223" w:rsidRDefault="00BF6287" w:rsidP="00004533">
            <w:pPr>
              <w:jc w:val="both"/>
              <w:rPr>
                <w:rFonts w:ascii="Times New Roman" w:eastAsia="Times New Roman" w:hAnsi="Times New Roman" w:cs="Times New Roman"/>
                <w:b/>
                <w:i/>
                <w:sz w:val="24"/>
                <w:szCs w:val="24"/>
                <w:lang w:val="en-GB" w:eastAsia="de-AT"/>
              </w:rPr>
            </w:pPr>
            <w:r w:rsidRPr="00322223">
              <w:rPr>
                <w:rFonts w:ascii="Times New Roman" w:eastAsia="Times New Roman" w:hAnsi="Times New Roman" w:cs="Times New Roman"/>
                <w:b/>
                <w:i/>
                <w:sz w:val="24"/>
                <w:szCs w:val="24"/>
                <w:lang w:val="en-GB" w:eastAsia="de-AT"/>
              </w:rPr>
              <w:t>Low goodwill trust manipulation</w:t>
            </w:r>
          </w:p>
        </w:tc>
      </w:tr>
      <w:tr w:rsidR="00BF6287" w:rsidRPr="003F3E15" w14:paraId="31EFA481" w14:textId="77777777" w:rsidTr="005F3485">
        <w:tc>
          <w:tcPr>
            <w:tcW w:w="1928" w:type="dxa"/>
            <w:tcBorders>
              <w:top w:val="single" w:sz="4" w:space="0" w:color="auto"/>
            </w:tcBorders>
          </w:tcPr>
          <w:p w14:paraId="49150AEC" w14:textId="77777777" w:rsidR="00BF6287" w:rsidRPr="00322223" w:rsidRDefault="00BF6287" w:rsidP="00004533">
            <w:pPr>
              <w:jc w:val="both"/>
              <w:rPr>
                <w:rFonts w:ascii="Times New Roman" w:eastAsia="Times New Roman" w:hAnsi="Times New Roman" w:cs="Times New Roman"/>
                <w:b/>
                <w:i/>
                <w:sz w:val="24"/>
                <w:szCs w:val="24"/>
                <w:lang w:val="en-GB" w:eastAsia="de-AT"/>
              </w:rPr>
            </w:pPr>
            <w:r w:rsidRPr="00322223">
              <w:rPr>
                <w:rFonts w:ascii="Times New Roman" w:eastAsia="Times New Roman" w:hAnsi="Times New Roman" w:cs="Times New Roman"/>
                <w:b/>
                <w:i/>
                <w:sz w:val="24"/>
                <w:szCs w:val="24"/>
                <w:lang w:val="en-GB" w:eastAsia="de-AT"/>
              </w:rPr>
              <w:t>High competence trust manipulation</w:t>
            </w:r>
          </w:p>
        </w:tc>
        <w:tc>
          <w:tcPr>
            <w:tcW w:w="3562" w:type="dxa"/>
            <w:tcBorders>
              <w:top w:val="single" w:sz="4" w:space="0" w:color="auto"/>
            </w:tcBorders>
          </w:tcPr>
          <w:p w14:paraId="41578609" w14:textId="59251622" w:rsidR="001636CF" w:rsidRPr="009634A6" w:rsidRDefault="001636CF" w:rsidP="005F3485">
            <w:pPr>
              <w:rPr>
                <w:rFonts w:ascii="Times New Roman" w:eastAsia="Times New Roman" w:hAnsi="Times New Roman" w:cs="Times New Roman"/>
                <w:i/>
                <w:sz w:val="24"/>
                <w:szCs w:val="24"/>
                <w:lang w:val="en-GB" w:eastAsia="de-AT"/>
              </w:rPr>
            </w:pPr>
            <w:r w:rsidRPr="009634A6">
              <w:rPr>
                <w:rFonts w:ascii="Times New Roman" w:eastAsia="Times New Roman" w:hAnsi="Times New Roman" w:cs="Times New Roman"/>
                <w:i/>
                <w:sz w:val="24"/>
                <w:szCs w:val="24"/>
                <w:lang w:val="en-GB" w:eastAsia="de-AT"/>
              </w:rPr>
              <w:t>Scenario 1:</w:t>
            </w:r>
          </w:p>
          <w:p w14:paraId="04A92337" w14:textId="3A95720E" w:rsidR="00BF6287" w:rsidRDefault="00BF6287" w:rsidP="005F3485">
            <w:pPr>
              <w:rPr>
                <w:rFonts w:ascii="Times New Roman" w:eastAsia="Times New Roman" w:hAnsi="Times New Roman" w:cs="Times New Roman"/>
                <w:sz w:val="24"/>
                <w:szCs w:val="24"/>
                <w:lang w:val="en-GB" w:eastAsia="de-AT"/>
              </w:rPr>
            </w:pPr>
            <w:r w:rsidRPr="009F029D">
              <w:rPr>
                <w:rFonts w:ascii="Times New Roman" w:eastAsia="Times New Roman" w:hAnsi="Times New Roman" w:cs="Times New Roman"/>
                <w:sz w:val="24"/>
                <w:szCs w:val="24"/>
                <w:lang w:val="en-GB" w:eastAsia="de-AT"/>
              </w:rPr>
              <w:t xml:space="preserve">The CFO </w:t>
            </w:r>
            <w:r w:rsidRPr="000E701B">
              <w:rPr>
                <w:rFonts w:ascii="Times New Roman" w:eastAsia="Times New Roman" w:hAnsi="Times New Roman" w:cs="Times New Roman"/>
                <w:sz w:val="24"/>
                <w:szCs w:val="24"/>
                <w:lang w:val="en-GB" w:eastAsia="de-AT"/>
              </w:rPr>
              <w:t>is very competent and successful in his job. He has a detailed knowledge of accounting standards</w:t>
            </w:r>
            <w:r>
              <w:rPr>
                <w:rFonts w:ascii="Times New Roman" w:eastAsia="Times New Roman" w:hAnsi="Times New Roman" w:cs="Times New Roman"/>
                <w:sz w:val="24"/>
                <w:szCs w:val="24"/>
                <w:lang w:val="en-GB" w:eastAsia="de-AT"/>
              </w:rPr>
              <w:t>. Moreover, t</w:t>
            </w:r>
            <w:r w:rsidRPr="000E701B">
              <w:rPr>
                <w:rFonts w:ascii="Times New Roman" w:eastAsia="Times New Roman" w:hAnsi="Times New Roman" w:cs="Times New Roman"/>
                <w:sz w:val="24"/>
                <w:szCs w:val="24"/>
                <w:lang w:val="en-GB" w:eastAsia="de-AT"/>
              </w:rPr>
              <w:t>he CFO has a strong sense of justice. He keeps his promises and always tries to be fair.</w:t>
            </w:r>
          </w:p>
        </w:tc>
        <w:tc>
          <w:tcPr>
            <w:tcW w:w="3582" w:type="dxa"/>
            <w:tcBorders>
              <w:top w:val="single" w:sz="4" w:space="0" w:color="auto"/>
            </w:tcBorders>
          </w:tcPr>
          <w:p w14:paraId="2537C4C3" w14:textId="1403795A" w:rsidR="001636CF" w:rsidRPr="009634A6" w:rsidRDefault="001636CF" w:rsidP="005F3485">
            <w:pPr>
              <w:rPr>
                <w:rFonts w:ascii="Times New Roman" w:eastAsia="Times New Roman" w:hAnsi="Times New Roman" w:cs="Times New Roman"/>
                <w:i/>
                <w:sz w:val="24"/>
                <w:szCs w:val="24"/>
                <w:lang w:val="en-GB" w:eastAsia="de-AT"/>
              </w:rPr>
            </w:pPr>
            <w:r w:rsidRPr="009634A6">
              <w:rPr>
                <w:rFonts w:ascii="Times New Roman" w:eastAsia="Times New Roman" w:hAnsi="Times New Roman" w:cs="Times New Roman"/>
                <w:i/>
                <w:sz w:val="24"/>
                <w:szCs w:val="24"/>
                <w:lang w:val="en-GB" w:eastAsia="de-AT"/>
              </w:rPr>
              <w:t>Scenario 2:</w:t>
            </w:r>
          </w:p>
          <w:p w14:paraId="67B8A71B" w14:textId="77777777" w:rsidR="00BF6287" w:rsidRDefault="00BF6287" w:rsidP="005F3485">
            <w:pPr>
              <w:rPr>
                <w:rFonts w:ascii="Times New Roman" w:eastAsia="Times New Roman" w:hAnsi="Times New Roman" w:cs="Times New Roman"/>
                <w:sz w:val="24"/>
                <w:szCs w:val="24"/>
                <w:lang w:val="en-GB" w:eastAsia="de-AT"/>
              </w:rPr>
            </w:pPr>
            <w:r w:rsidRPr="009F029D">
              <w:rPr>
                <w:rFonts w:ascii="Times New Roman" w:eastAsia="Times New Roman" w:hAnsi="Times New Roman" w:cs="Times New Roman"/>
                <w:sz w:val="24"/>
                <w:szCs w:val="24"/>
                <w:lang w:val="en-GB" w:eastAsia="de-AT"/>
              </w:rPr>
              <w:t xml:space="preserve">The CFO </w:t>
            </w:r>
            <w:r w:rsidRPr="000E701B">
              <w:rPr>
                <w:rFonts w:ascii="Times New Roman" w:eastAsia="Times New Roman" w:hAnsi="Times New Roman" w:cs="Times New Roman"/>
                <w:sz w:val="24"/>
                <w:szCs w:val="24"/>
                <w:lang w:val="en-GB" w:eastAsia="de-AT"/>
              </w:rPr>
              <w:t>is very competent and successful in his job.</w:t>
            </w:r>
            <w:r>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He has a detailed knowledge of accounting standards</w:t>
            </w:r>
            <w:r>
              <w:rPr>
                <w:rFonts w:ascii="Times New Roman" w:eastAsia="Times New Roman" w:hAnsi="Times New Roman" w:cs="Times New Roman"/>
                <w:sz w:val="24"/>
                <w:szCs w:val="24"/>
                <w:lang w:val="en-GB" w:eastAsia="de-AT"/>
              </w:rPr>
              <w:t>. Moreover, t</w:t>
            </w:r>
            <w:r w:rsidRPr="000E701B">
              <w:rPr>
                <w:rFonts w:ascii="Times New Roman" w:eastAsia="Times New Roman" w:hAnsi="Times New Roman" w:cs="Times New Roman"/>
                <w:sz w:val="24"/>
                <w:szCs w:val="24"/>
                <w:lang w:val="en-GB" w:eastAsia="de-AT"/>
              </w:rPr>
              <w:t>he CFO does not have a strong sense of justice. He does not always keep his promises and does not always try to be fair</w:t>
            </w:r>
          </w:p>
        </w:tc>
      </w:tr>
      <w:tr w:rsidR="00BF6287" w:rsidRPr="003F3E15" w14:paraId="1C5B2102" w14:textId="77777777" w:rsidTr="005F3485">
        <w:tc>
          <w:tcPr>
            <w:tcW w:w="1928" w:type="dxa"/>
            <w:tcBorders>
              <w:bottom w:val="single" w:sz="4" w:space="0" w:color="auto"/>
            </w:tcBorders>
          </w:tcPr>
          <w:p w14:paraId="5186BFB4" w14:textId="55BDDA10" w:rsidR="00BF6287" w:rsidRPr="00322223" w:rsidRDefault="00BF6287" w:rsidP="00004533">
            <w:pPr>
              <w:jc w:val="both"/>
              <w:rPr>
                <w:rFonts w:ascii="Times New Roman" w:eastAsia="Times New Roman" w:hAnsi="Times New Roman" w:cs="Times New Roman"/>
                <w:b/>
                <w:i/>
                <w:sz w:val="24"/>
                <w:szCs w:val="24"/>
                <w:lang w:val="en-GB" w:eastAsia="de-AT"/>
              </w:rPr>
            </w:pPr>
            <w:r w:rsidRPr="00322223">
              <w:rPr>
                <w:rFonts w:ascii="Times New Roman" w:eastAsia="Times New Roman" w:hAnsi="Times New Roman" w:cs="Times New Roman"/>
                <w:b/>
                <w:i/>
                <w:sz w:val="24"/>
                <w:szCs w:val="24"/>
                <w:lang w:val="en-GB" w:eastAsia="de-AT"/>
              </w:rPr>
              <w:t>Low competence trust manipulation</w:t>
            </w:r>
          </w:p>
        </w:tc>
        <w:tc>
          <w:tcPr>
            <w:tcW w:w="3562" w:type="dxa"/>
            <w:tcBorders>
              <w:bottom w:val="single" w:sz="4" w:space="0" w:color="auto"/>
            </w:tcBorders>
          </w:tcPr>
          <w:p w14:paraId="67D3B77A" w14:textId="628F2FFC" w:rsidR="001636CF" w:rsidRPr="009634A6" w:rsidRDefault="001636CF" w:rsidP="005F3485">
            <w:pPr>
              <w:rPr>
                <w:rFonts w:ascii="Times New Roman" w:eastAsia="Times New Roman" w:hAnsi="Times New Roman" w:cs="Times New Roman"/>
                <w:i/>
                <w:sz w:val="24"/>
                <w:szCs w:val="24"/>
                <w:lang w:val="en-GB" w:eastAsia="de-AT"/>
              </w:rPr>
            </w:pPr>
            <w:r w:rsidRPr="009634A6">
              <w:rPr>
                <w:rFonts w:ascii="Times New Roman" w:eastAsia="Times New Roman" w:hAnsi="Times New Roman" w:cs="Times New Roman"/>
                <w:i/>
                <w:sz w:val="24"/>
                <w:szCs w:val="24"/>
                <w:lang w:val="en-GB" w:eastAsia="de-AT"/>
              </w:rPr>
              <w:t>Scenario 3:</w:t>
            </w:r>
          </w:p>
          <w:p w14:paraId="39754A3C" w14:textId="77777777" w:rsidR="00BF6287" w:rsidRDefault="00BF6287" w:rsidP="005F3485">
            <w:pP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The CFO is not very competent and moderately successful in his job. He does not have a detailed knowledge of accounting standards.</w:t>
            </w:r>
            <w:r>
              <w:rPr>
                <w:rFonts w:ascii="Times New Roman" w:eastAsia="Times New Roman" w:hAnsi="Times New Roman" w:cs="Times New Roman"/>
                <w:sz w:val="24"/>
                <w:szCs w:val="24"/>
                <w:lang w:val="en-GB" w:eastAsia="de-AT"/>
              </w:rPr>
              <w:t xml:space="preserve"> Moreover, t</w:t>
            </w:r>
            <w:r w:rsidRPr="000E701B">
              <w:rPr>
                <w:rFonts w:ascii="Times New Roman" w:eastAsia="Times New Roman" w:hAnsi="Times New Roman" w:cs="Times New Roman"/>
                <w:sz w:val="24"/>
                <w:szCs w:val="24"/>
                <w:lang w:val="en-GB" w:eastAsia="de-AT"/>
              </w:rPr>
              <w:t>he CFO has a strong sense of justice. He keeps his promises and always tries to be fair.</w:t>
            </w:r>
          </w:p>
        </w:tc>
        <w:tc>
          <w:tcPr>
            <w:tcW w:w="3582" w:type="dxa"/>
            <w:tcBorders>
              <w:bottom w:val="single" w:sz="4" w:space="0" w:color="auto"/>
            </w:tcBorders>
          </w:tcPr>
          <w:p w14:paraId="2C10736D" w14:textId="6ED7B3D7" w:rsidR="001636CF" w:rsidRPr="009634A6" w:rsidRDefault="001636CF" w:rsidP="005F3485">
            <w:pPr>
              <w:rPr>
                <w:rFonts w:ascii="Times New Roman" w:eastAsia="Times New Roman" w:hAnsi="Times New Roman" w:cs="Times New Roman"/>
                <w:i/>
                <w:sz w:val="24"/>
                <w:szCs w:val="24"/>
                <w:lang w:val="en-GB" w:eastAsia="de-AT"/>
              </w:rPr>
            </w:pPr>
            <w:r w:rsidRPr="009634A6">
              <w:rPr>
                <w:rFonts w:ascii="Times New Roman" w:eastAsia="Times New Roman" w:hAnsi="Times New Roman" w:cs="Times New Roman"/>
                <w:i/>
                <w:sz w:val="24"/>
                <w:szCs w:val="24"/>
                <w:lang w:val="en-GB" w:eastAsia="de-AT"/>
              </w:rPr>
              <w:t>Scenario 4:</w:t>
            </w:r>
          </w:p>
          <w:p w14:paraId="63ADC493" w14:textId="77777777" w:rsidR="00BF6287" w:rsidRDefault="00BF6287" w:rsidP="005F3485">
            <w:pP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The CFO is not very competent and moderately successful in his job. He does not have a detailed knowledge of accounting standards.</w:t>
            </w:r>
            <w:r>
              <w:rPr>
                <w:rFonts w:ascii="Times New Roman" w:eastAsia="Times New Roman" w:hAnsi="Times New Roman" w:cs="Times New Roman"/>
                <w:sz w:val="24"/>
                <w:szCs w:val="24"/>
                <w:lang w:val="en-GB" w:eastAsia="de-AT"/>
              </w:rPr>
              <w:t xml:space="preserve"> Moreover, t</w:t>
            </w:r>
            <w:r w:rsidRPr="000E701B">
              <w:rPr>
                <w:rFonts w:ascii="Times New Roman" w:eastAsia="Times New Roman" w:hAnsi="Times New Roman" w:cs="Times New Roman"/>
                <w:sz w:val="24"/>
                <w:szCs w:val="24"/>
                <w:lang w:val="en-GB" w:eastAsia="de-AT"/>
              </w:rPr>
              <w:t>he CFO does not have a strong sense of justice. He does not always keep his promises and does not always try to be fair</w:t>
            </w:r>
          </w:p>
        </w:tc>
      </w:tr>
    </w:tbl>
    <w:p w14:paraId="6F0E08E3" w14:textId="77777777" w:rsidR="00BF6287" w:rsidRDefault="00BF6287" w:rsidP="00BF6287">
      <w:pPr>
        <w:jc w:val="both"/>
        <w:rPr>
          <w:rFonts w:ascii="Times New Roman" w:eastAsia="Times New Roman" w:hAnsi="Times New Roman" w:cs="Times New Roman"/>
          <w:sz w:val="24"/>
          <w:szCs w:val="24"/>
          <w:lang w:val="en-GB" w:eastAsia="de-AT"/>
        </w:rPr>
      </w:pPr>
    </w:p>
    <w:p w14:paraId="0877F164" w14:textId="0188D53C" w:rsidR="00BF6287" w:rsidRDefault="00BF6287" w:rsidP="00BF6287">
      <w:pPr>
        <w:jc w:val="both"/>
        <w:rPr>
          <w:rFonts w:ascii="Times New Roman" w:eastAsia="Times New Roman" w:hAnsi="Times New Roman" w:cs="Times New Roman"/>
          <w:sz w:val="24"/>
          <w:szCs w:val="24"/>
          <w:lang w:val="en-GB" w:eastAsia="de-AT"/>
        </w:rPr>
      </w:pPr>
      <w:r w:rsidRPr="007C3523">
        <w:rPr>
          <w:rFonts w:ascii="Times New Roman" w:eastAsia="Times New Roman" w:hAnsi="Times New Roman" w:cs="Times New Roman"/>
          <w:sz w:val="24"/>
          <w:szCs w:val="24"/>
          <w:lang w:val="en-GB" w:eastAsia="de-AT"/>
        </w:rPr>
        <w:t xml:space="preserve">As the auditor, how likely is it that you will </w:t>
      </w:r>
      <w:r w:rsidR="005F3485">
        <w:rPr>
          <w:rFonts w:ascii="Times New Roman" w:eastAsia="Times New Roman" w:hAnsi="Times New Roman" w:cs="Times New Roman"/>
          <w:sz w:val="24"/>
          <w:szCs w:val="24"/>
          <w:lang w:val="en-GB" w:eastAsia="de-AT"/>
        </w:rPr>
        <w:t>stand</w:t>
      </w:r>
      <w:r w:rsidR="005066E0" w:rsidRPr="005066E0">
        <w:rPr>
          <w:rFonts w:ascii="Times New Roman" w:eastAsia="Times New Roman" w:hAnsi="Times New Roman" w:cs="Times New Roman"/>
          <w:sz w:val="24"/>
          <w:szCs w:val="24"/>
          <w:lang w:val="en-GB" w:eastAsia="de-AT"/>
        </w:rPr>
        <w:t xml:space="preserve"> up to</w:t>
      </w:r>
      <w:r w:rsidRPr="007C3523">
        <w:rPr>
          <w:rFonts w:ascii="Times New Roman" w:eastAsia="Times New Roman" w:hAnsi="Times New Roman" w:cs="Times New Roman"/>
          <w:sz w:val="24"/>
          <w:szCs w:val="24"/>
          <w:lang w:val="en-GB" w:eastAsia="de-AT"/>
        </w:rPr>
        <w:t xml:space="preserve"> the client’s CFO and require these liabilities to be recorded? Please indicate your response by marking with an X on a specific point on the following scale:</w:t>
      </w:r>
    </w:p>
    <w:p w14:paraId="7C7445CB" w14:textId="77777777" w:rsidR="00BF6287" w:rsidRDefault="00BF6287" w:rsidP="00BF6287">
      <w:pPr>
        <w:pStyle w:val="Absatz1"/>
        <w:keepLines/>
        <w:widowControl w:val="0"/>
        <w:spacing w:before="240" w:after="240" w:line="240" w:lineRule="auto"/>
        <w:jc w:val="center"/>
        <w:rPr>
          <w:sz w:val="20"/>
          <w:lang w:val="de-AT"/>
        </w:rPr>
      </w:pPr>
      <w:r w:rsidRPr="00251E2F">
        <w:rPr>
          <w:b/>
          <w:noProof/>
          <w:sz w:val="22"/>
          <w:szCs w:val="22"/>
          <w:lang w:val="da-DK" w:eastAsia="da-DK"/>
        </w:rPr>
        <w:drawing>
          <wp:inline distT="0" distB="0" distL="0" distR="0" wp14:anchorId="2B404B71" wp14:editId="5C9AE69F">
            <wp:extent cx="4265121" cy="475013"/>
            <wp:effectExtent l="19050" t="0" r="2079"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083" t="33241" r="57370" b="62736"/>
                    <a:stretch>
                      <a:fillRect/>
                    </a:stretch>
                  </pic:blipFill>
                  <pic:spPr bwMode="auto">
                    <a:xfrm>
                      <a:off x="0" y="0"/>
                      <a:ext cx="4265121" cy="475013"/>
                    </a:xfrm>
                    <a:prstGeom prst="rect">
                      <a:avLst/>
                    </a:prstGeom>
                    <a:noFill/>
                    <a:ln w="9525">
                      <a:noFill/>
                      <a:miter lim="800000"/>
                      <a:headEnd/>
                      <a:tailEnd/>
                    </a:ln>
                  </pic:spPr>
                </pic:pic>
              </a:graphicData>
            </a:graphic>
          </wp:inline>
        </w:drawing>
      </w:r>
    </w:p>
    <w:p w14:paraId="13A66CFE" w14:textId="77777777" w:rsidR="00BF6287" w:rsidRDefault="00BF6287" w:rsidP="00BF6287">
      <w:pPr>
        <w:ind w:left="1304"/>
        <w:jc w:val="both"/>
        <w:rPr>
          <w:rFonts w:ascii="Times New Roman" w:hAnsi="Times New Roman" w:cs="Times New Roman"/>
          <w:sz w:val="20"/>
          <w:lang w:val="en-US"/>
        </w:rPr>
      </w:pPr>
      <w:r w:rsidRPr="009F029D">
        <w:rPr>
          <w:rFonts w:ascii="Times New Roman" w:hAnsi="Times New Roman" w:cs="Times New Roman"/>
          <w:sz w:val="20"/>
          <w:lang w:val="en-US"/>
        </w:rPr>
        <w:t xml:space="preserve">Very low likelihood                                                                                         Very high likelihood     </w:t>
      </w:r>
    </w:p>
    <w:p w14:paraId="72B003A5" w14:textId="77777777" w:rsidR="00BF6287" w:rsidRDefault="00BF6287" w:rsidP="00BF6287">
      <w:pPr>
        <w:ind w:left="1304"/>
        <w:jc w:val="both"/>
        <w:rPr>
          <w:rFonts w:ascii="Times New Roman" w:hAnsi="Times New Roman" w:cs="Times New Roman"/>
          <w:sz w:val="20"/>
          <w:lang w:val="en-US"/>
        </w:rPr>
      </w:pPr>
    </w:p>
    <w:p w14:paraId="6588B3B2" w14:textId="6BB73A2B" w:rsidR="00BF6287" w:rsidRDefault="00BF6287" w:rsidP="00BF6287">
      <w:pPr>
        <w:rPr>
          <w:rFonts w:ascii="Times New Roman" w:eastAsia="Times New Roman" w:hAnsi="Times New Roman" w:cs="Times New Roman"/>
          <w:sz w:val="24"/>
          <w:szCs w:val="24"/>
          <w:lang w:val="en-GB" w:eastAsia="de-AT"/>
        </w:rPr>
      </w:pPr>
    </w:p>
    <w:p w14:paraId="38479A7E" w14:textId="56BD63B8" w:rsidR="00BF6287" w:rsidRPr="00BF6287" w:rsidRDefault="00BF6287" w:rsidP="00BF6287">
      <w:pPr>
        <w:jc w:val="both"/>
        <w:rPr>
          <w:rFonts w:ascii="Times New Roman" w:eastAsia="Times New Roman" w:hAnsi="Times New Roman" w:cs="Times New Roman"/>
          <w:i/>
          <w:sz w:val="24"/>
          <w:szCs w:val="24"/>
          <w:lang w:val="en-GB" w:eastAsia="de-AT"/>
        </w:rPr>
      </w:pPr>
      <w:r w:rsidRPr="00BF6287">
        <w:rPr>
          <w:rFonts w:ascii="Times New Roman" w:eastAsia="Times New Roman" w:hAnsi="Times New Roman" w:cs="Times New Roman"/>
          <w:i/>
          <w:sz w:val="24"/>
          <w:szCs w:val="24"/>
          <w:lang w:val="en-GB" w:eastAsia="de-AT"/>
        </w:rPr>
        <w:t>Client perspective</w:t>
      </w:r>
    </w:p>
    <w:p w14:paraId="1A060B7B" w14:textId="77777777" w:rsidR="005F3485" w:rsidRDefault="005F3485" w:rsidP="00BF6287">
      <w:pPr>
        <w:jc w:val="both"/>
        <w:rPr>
          <w:rFonts w:ascii="Times New Roman" w:eastAsia="Times New Roman" w:hAnsi="Times New Roman" w:cs="Times New Roman"/>
          <w:sz w:val="24"/>
          <w:szCs w:val="24"/>
          <w:lang w:val="en-GB" w:eastAsia="de-AT"/>
        </w:rPr>
      </w:pPr>
    </w:p>
    <w:p w14:paraId="48629D17" w14:textId="5C6B4369" w:rsidR="00BF6287" w:rsidRDefault="00BF6287" w:rsidP="00BF6287">
      <w:pPr>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 xml:space="preserve">Please read the following short audit case and respond to the question at the end. </w:t>
      </w:r>
    </w:p>
    <w:p w14:paraId="0A3144A4" w14:textId="77777777" w:rsidR="00BF6287" w:rsidRPr="007C3523" w:rsidRDefault="00BF6287" w:rsidP="00BF6287">
      <w:pPr>
        <w:jc w:val="both"/>
        <w:rPr>
          <w:rFonts w:ascii="Times New Roman" w:eastAsia="Times New Roman" w:hAnsi="Times New Roman" w:cs="Times New Roman"/>
          <w:sz w:val="24"/>
          <w:szCs w:val="24"/>
          <w:lang w:val="en-GB" w:eastAsia="de-AT"/>
        </w:rPr>
      </w:pPr>
      <w:r w:rsidRPr="007C3523">
        <w:rPr>
          <w:rFonts w:ascii="Times New Roman" w:eastAsia="Times New Roman" w:hAnsi="Times New Roman" w:cs="Times New Roman"/>
          <w:sz w:val="24"/>
          <w:szCs w:val="24"/>
          <w:lang w:val="en-GB" w:eastAsia="de-AT"/>
        </w:rPr>
        <w:t>In the current year’s audit, a dispute has arisen between you</w:t>
      </w:r>
      <w:r>
        <w:rPr>
          <w:rFonts w:ascii="Times New Roman" w:eastAsia="Times New Roman" w:hAnsi="Times New Roman" w:cs="Times New Roman"/>
          <w:sz w:val="24"/>
          <w:szCs w:val="24"/>
          <w:lang w:val="en-GB" w:eastAsia="de-AT"/>
        </w:rPr>
        <w:t xml:space="preserve"> </w:t>
      </w:r>
      <w:r w:rsidRPr="007C3523">
        <w:rPr>
          <w:rFonts w:ascii="Times New Roman" w:eastAsia="Times New Roman" w:hAnsi="Times New Roman" w:cs="Times New Roman"/>
          <w:sz w:val="24"/>
          <w:szCs w:val="24"/>
          <w:lang w:val="en-GB" w:eastAsia="de-AT"/>
        </w:rPr>
        <w:t xml:space="preserve">and </w:t>
      </w:r>
      <w:r>
        <w:rPr>
          <w:rFonts w:ascii="Times New Roman" w:eastAsia="Times New Roman" w:hAnsi="Times New Roman" w:cs="Times New Roman"/>
          <w:sz w:val="24"/>
          <w:szCs w:val="24"/>
          <w:lang w:val="en-GB" w:eastAsia="de-AT"/>
        </w:rPr>
        <w:t>the auditor</w:t>
      </w:r>
      <w:r w:rsidRPr="007C3523">
        <w:rPr>
          <w:rFonts w:ascii="Times New Roman" w:eastAsia="Times New Roman" w:hAnsi="Times New Roman" w:cs="Times New Roman"/>
          <w:sz w:val="24"/>
          <w:szCs w:val="24"/>
          <w:lang w:val="en-GB" w:eastAsia="de-AT"/>
        </w:rPr>
        <w:t xml:space="preserve"> over the materiality of certain unrecorded liabilities discovered during the audit. In </w:t>
      </w:r>
      <w:r>
        <w:rPr>
          <w:rFonts w:ascii="Times New Roman" w:eastAsia="Times New Roman" w:hAnsi="Times New Roman" w:cs="Times New Roman"/>
          <w:sz w:val="24"/>
          <w:szCs w:val="24"/>
          <w:lang w:val="en-GB" w:eastAsia="de-AT"/>
        </w:rPr>
        <w:t>the auditor’s</w:t>
      </w:r>
      <w:r w:rsidRPr="007C3523">
        <w:rPr>
          <w:rFonts w:ascii="Times New Roman" w:eastAsia="Times New Roman" w:hAnsi="Times New Roman" w:cs="Times New Roman"/>
          <w:sz w:val="24"/>
          <w:szCs w:val="24"/>
          <w:lang w:val="en-GB" w:eastAsia="de-AT"/>
        </w:rPr>
        <w:t xml:space="preserve"> opinion, the amount is material. However, </w:t>
      </w:r>
      <w:r>
        <w:rPr>
          <w:rFonts w:ascii="Times New Roman" w:eastAsia="Times New Roman" w:hAnsi="Times New Roman" w:cs="Times New Roman"/>
          <w:sz w:val="24"/>
          <w:szCs w:val="24"/>
          <w:lang w:val="en-GB" w:eastAsia="de-AT"/>
        </w:rPr>
        <w:t>you strongly disagree</w:t>
      </w:r>
      <w:r w:rsidRPr="007C3523">
        <w:rPr>
          <w:rFonts w:ascii="Times New Roman" w:eastAsia="Times New Roman" w:hAnsi="Times New Roman" w:cs="Times New Roman"/>
          <w:sz w:val="24"/>
          <w:szCs w:val="24"/>
          <w:lang w:val="en-GB" w:eastAsia="de-AT"/>
        </w:rPr>
        <w:t xml:space="preserve">. </w:t>
      </w:r>
      <w:r>
        <w:rPr>
          <w:rFonts w:ascii="Times New Roman" w:eastAsia="Times New Roman" w:hAnsi="Times New Roman" w:cs="Times New Roman"/>
          <w:sz w:val="24"/>
          <w:szCs w:val="24"/>
          <w:lang w:val="en-GB" w:eastAsia="de-AT"/>
        </w:rPr>
        <w:t xml:space="preserve">In your opinion, </w:t>
      </w:r>
      <w:r w:rsidRPr="007C3523">
        <w:rPr>
          <w:rFonts w:ascii="Times New Roman" w:eastAsia="Times New Roman" w:hAnsi="Times New Roman" w:cs="Times New Roman"/>
          <w:sz w:val="24"/>
          <w:szCs w:val="24"/>
          <w:lang w:val="en-GB" w:eastAsia="de-AT"/>
        </w:rPr>
        <w:t xml:space="preserve">the total amount of unrecorded liabilities is immaterial and, therefore, it is unnecessary to make adjusting entries in the financial statements. Professional and firm guidelines do not provide a definitive answer on the materiality of the amount involved. </w:t>
      </w:r>
    </w:p>
    <w:p w14:paraId="1F22ED6B" w14:textId="77777777" w:rsidR="00BF6287" w:rsidRPr="007C3523" w:rsidRDefault="00BF6287" w:rsidP="00BF6287">
      <w:pPr>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Your firm</w:t>
      </w:r>
      <w:r w:rsidRPr="007C3523">
        <w:rPr>
          <w:rFonts w:ascii="Times New Roman" w:eastAsia="Times New Roman" w:hAnsi="Times New Roman" w:cs="Times New Roman"/>
          <w:sz w:val="24"/>
          <w:szCs w:val="24"/>
          <w:lang w:val="en-GB" w:eastAsia="de-AT"/>
        </w:rPr>
        <w:t xml:space="preserve"> would like to report a high operating profit, as it is under pressure due to last year’s losses. In addition, </w:t>
      </w:r>
      <w:r>
        <w:rPr>
          <w:rFonts w:ascii="Times New Roman" w:eastAsia="Times New Roman" w:hAnsi="Times New Roman" w:cs="Times New Roman"/>
          <w:sz w:val="24"/>
          <w:szCs w:val="24"/>
          <w:lang w:val="en-GB" w:eastAsia="de-AT"/>
        </w:rPr>
        <w:t>you yourself are</w:t>
      </w:r>
      <w:r w:rsidRPr="007C3523">
        <w:rPr>
          <w:rFonts w:ascii="Times New Roman" w:eastAsia="Times New Roman" w:hAnsi="Times New Roman" w:cs="Times New Roman"/>
          <w:sz w:val="24"/>
          <w:szCs w:val="24"/>
          <w:lang w:val="en-GB" w:eastAsia="de-AT"/>
        </w:rPr>
        <w:t xml:space="preserve"> interested in reporting a high operating profit as well, because </w:t>
      </w:r>
      <w:r>
        <w:rPr>
          <w:rFonts w:ascii="Times New Roman" w:eastAsia="Times New Roman" w:hAnsi="Times New Roman" w:cs="Times New Roman"/>
          <w:sz w:val="24"/>
          <w:szCs w:val="24"/>
          <w:lang w:val="en-GB" w:eastAsia="de-AT"/>
        </w:rPr>
        <w:t>your</w:t>
      </w:r>
      <w:r w:rsidRPr="007C3523">
        <w:rPr>
          <w:rFonts w:ascii="Times New Roman" w:eastAsia="Times New Roman" w:hAnsi="Times New Roman" w:cs="Times New Roman"/>
          <w:sz w:val="24"/>
          <w:szCs w:val="24"/>
          <w:lang w:val="en-GB" w:eastAsia="de-AT"/>
        </w:rPr>
        <w:t xml:space="preserve"> remuneration is profit-related. </w:t>
      </w:r>
    </w:p>
    <w:p w14:paraId="19FAF14C" w14:textId="77777777" w:rsidR="00BF6287" w:rsidRDefault="00BF6287" w:rsidP="00BF6287">
      <w:pPr>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 xml:space="preserve">The auditor </w:t>
      </w:r>
      <w:r w:rsidRPr="007C3523">
        <w:rPr>
          <w:rFonts w:ascii="Times New Roman" w:eastAsia="Times New Roman" w:hAnsi="Times New Roman" w:cs="Times New Roman"/>
          <w:sz w:val="24"/>
          <w:szCs w:val="24"/>
          <w:lang w:val="en-GB" w:eastAsia="de-AT"/>
        </w:rPr>
        <w:t xml:space="preserve">and the audit firm have audited the client for four years. Within this period neither </w:t>
      </w:r>
      <w:r>
        <w:rPr>
          <w:rFonts w:ascii="Times New Roman" w:eastAsia="Times New Roman" w:hAnsi="Times New Roman" w:cs="Times New Roman"/>
          <w:sz w:val="24"/>
          <w:szCs w:val="24"/>
          <w:lang w:val="en-GB" w:eastAsia="de-AT"/>
        </w:rPr>
        <w:t>the auditor</w:t>
      </w:r>
      <w:r w:rsidRPr="007C3523">
        <w:rPr>
          <w:rFonts w:ascii="Times New Roman" w:eastAsia="Times New Roman" w:hAnsi="Times New Roman" w:cs="Times New Roman"/>
          <w:sz w:val="24"/>
          <w:szCs w:val="24"/>
          <w:lang w:val="en-GB" w:eastAsia="de-AT"/>
        </w:rPr>
        <w:t xml:space="preserve"> nor the audit firm </w:t>
      </w:r>
      <w:r>
        <w:rPr>
          <w:rFonts w:ascii="Times New Roman" w:eastAsia="Times New Roman" w:hAnsi="Times New Roman" w:cs="Times New Roman"/>
          <w:sz w:val="24"/>
          <w:szCs w:val="24"/>
          <w:lang w:val="en-GB" w:eastAsia="de-AT"/>
        </w:rPr>
        <w:t xml:space="preserve">have </w:t>
      </w:r>
      <w:r w:rsidRPr="007C3523">
        <w:rPr>
          <w:rFonts w:ascii="Times New Roman" w:eastAsia="Times New Roman" w:hAnsi="Times New Roman" w:cs="Times New Roman"/>
          <w:sz w:val="24"/>
          <w:szCs w:val="24"/>
          <w:lang w:val="en-GB" w:eastAsia="de-AT"/>
        </w:rPr>
        <w:t>provided any non-audit services.</w:t>
      </w:r>
    </w:p>
    <w:p w14:paraId="69B33CD9" w14:textId="77777777" w:rsidR="00BF6287" w:rsidRDefault="00BF6287" w:rsidP="00BF6287">
      <w:pPr>
        <w:jc w:val="both"/>
        <w:rPr>
          <w:rFonts w:ascii="Times New Roman" w:eastAsia="Times New Roman" w:hAnsi="Times New Roman" w:cs="Times New Roman"/>
          <w:sz w:val="24"/>
          <w:szCs w:val="24"/>
          <w:lang w:val="en-GB" w:eastAsia="de-AT"/>
        </w:rPr>
      </w:pPr>
    </w:p>
    <w:p w14:paraId="4B07B8C4" w14:textId="08F99419" w:rsidR="00BF6287" w:rsidRDefault="00BF6287" w:rsidP="00BF6287">
      <w:pPr>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Regarding the auditor, you have the following information</w:t>
      </w:r>
      <w:r w:rsidRPr="007C3523">
        <w:rPr>
          <w:rFonts w:ascii="Times New Roman" w:eastAsia="Times New Roman" w:hAnsi="Times New Roman" w:cs="Times New Roman"/>
          <w:sz w:val="24"/>
          <w:szCs w:val="24"/>
          <w:lang w:val="en-GB" w:eastAsia="de-AT"/>
        </w:rPr>
        <w:t xml:space="preserve"> </w:t>
      </w:r>
      <w:r>
        <w:rPr>
          <w:rFonts w:ascii="Times New Roman" w:eastAsia="Times New Roman" w:hAnsi="Times New Roman" w:cs="Times New Roman"/>
          <w:sz w:val="24"/>
          <w:szCs w:val="24"/>
          <w:lang w:val="en-GB" w:eastAsia="de-AT"/>
        </w:rPr>
        <w:t>and experience: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3579"/>
        <w:gridCol w:w="3580"/>
      </w:tblGrid>
      <w:tr w:rsidR="00BF6287" w:rsidRPr="00322223" w14:paraId="37BE6781" w14:textId="77777777" w:rsidTr="005F3485">
        <w:trPr>
          <w:trHeight w:val="327"/>
        </w:trPr>
        <w:tc>
          <w:tcPr>
            <w:tcW w:w="1921" w:type="dxa"/>
            <w:tcBorders>
              <w:top w:val="single" w:sz="4" w:space="0" w:color="auto"/>
              <w:bottom w:val="single" w:sz="4" w:space="0" w:color="auto"/>
            </w:tcBorders>
          </w:tcPr>
          <w:p w14:paraId="02480DF9" w14:textId="77777777" w:rsidR="00BF6287" w:rsidRPr="00322223" w:rsidRDefault="00BF6287" w:rsidP="00004533">
            <w:pPr>
              <w:jc w:val="both"/>
              <w:rPr>
                <w:rFonts w:ascii="Times New Roman" w:eastAsia="Times New Roman" w:hAnsi="Times New Roman" w:cs="Times New Roman"/>
                <w:b/>
                <w:i/>
                <w:sz w:val="24"/>
                <w:szCs w:val="24"/>
                <w:lang w:val="en-GB" w:eastAsia="de-AT"/>
              </w:rPr>
            </w:pPr>
          </w:p>
        </w:tc>
        <w:tc>
          <w:tcPr>
            <w:tcW w:w="3629" w:type="dxa"/>
            <w:tcBorders>
              <w:top w:val="single" w:sz="4" w:space="0" w:color="auto"/>
              <w:bottom w:val="single" w:sz="4" w:space="0" w:color="auto"/>
            </w:tcBorders>
          </w:tcPr>
          <w:p w14:paraId="214CC9F9" w14:textId="77777777" w:rsidR="00BF6287" w:rsidRPr="00322223" w:rsidRDefault="00BF6287" w:rsidP="00004533">
            <w:pPr>
              <w:jc w:val="both"/>
              <w:rPr>
                <w:rFonts w:ascii="Times New Roman" w:eastAsia="Times New Roman" w:hAnsi="Times New Roman" w:cs="Times New Roman"/>
                <w:b/>
                <w:i/>
                <w:sz w:val="24"/>
                <w:szCs w:val="24"/>
                <w:lang w:val="en-GB" w:eastAsia="de-AT"/>
              </w:rPr>
            </w:pPr>
            <w:r w:rsidRPr="00322223">
              <w:rPr>
                <w:rFonts w:ascii="Times New Roman" w:eastAsia="Times New Roman" w:hAnsi="Times New Roman" w:cs="Times New Roman"/>
                <w:b/>
                <w:i/>
                <w:sz w:val="24"/>
                <w:szCs w:val="24"/>
                <w:lang w:val="en-GB" w:eastAsia="de-AT"/>
              </w:rPr>
              <w:t>High goodwill trust manipulation</w:t>
            </w:r>
          </w:p>
        </w:tc>
        <w:tc>
          <w:tcPr>
            <w:tcW w:w="3630" w:type="dxa"/>
            <w:tcBorders>
              <w:top w:val="single" w:sz="4" w:space="0" w:color="auto"/>
              <w:bottom w:val="single" w:sz="4" w:space="0" w:color="auto"/>
            </w:tcBorders>
          </w:tcPr>
          <w:p w14:paraId="19ED1800" w14:textId="77777777" w:rsidR="00BF6287" w:rsidRPr="00322223" w:rsidRDefault="00BF6287" w:rsidP="00004533">
            <w:pPr>
              <w:jc w:val="both"/>
              <w:rPr>
                <w:rFonts w:ascii="Times New Roman" w:eastAsia="Times New Roman" w:hAnsi="Times New Roman" w:cs="Times New Roman"/>
                <w:b/>
                <w:i/>
                <w:sz w:val="24"/>
                <w:szCs w:val="24"/>
                <w:lang w:val="en-GB" w:eastAsia="de-AT"/>
              </w:rPr>
            </w:pPr>
            <w:r w:rsidRPr="00322223">
              <w:rPr>
                <w:rFonts w:ascii="Times New Roman" w:eastAsia="Times New Roman" w:hAnsi="Times New Roman" w:cs="Times New Roman"/>
                <w:b/>
                <w:i/>
                <w:sz w:val="24"/>
                <w:szCs w:val="24"/>
                <w:lang w:val="en-GB" w:eastAsia="de-AT"/>
              </w:rPr>
              <w:t>Low goodwill trust manipulation</w:t>
            </w:r>
          </w:p>
        </w:tc>
      </w:tr>
      <w:tr w:rsidR="00BF6287" w:rsidRPr="003F3E15" w14:paraId="7CFB8CD0" w14:textId="77777777" w:rsidTr="00322223">
        <w:tc>
          <w:tcPr>
            <w:tcW w:w="1921" w:type="dxa"/>
            <w:tcBorders>
              <w:top w:val="single" w:sz="4" w:space="0" w:color="auto"/>
            </w:tcBorders>
          </w:tcPr>
          <w:p w14:paraId="1E959FD9" w14:textId="77777777" w:rsidR="00BF6287" w:rsidRPr="00322223" w:rsidRDefault="00BF6287" w:rsidP="00004533">
            <w:pPr>
              <w:jc w:val="both"/>
              <w:rPr>
                <w:rFonts w:ascii="Times New Roman" w:eastAsia="Times New Roman" w:hAnsi="Times New Roman" w:cs="Times New Roman"/>
                <w:b/>
                <w:i/>
                <w:sz w:val="24"/>
                <w:szCs w:val="24"/>
                <w:lang w:val="en-GB" w:eastAsia="de-AT"/>
              </w:rPr>
            </w:pPr>
            <w:r w:rsidRPr="00322223">
              <w:rPr>
                <w:rFonts w:ascii="Times New Roman" w:eastAsia="Times New Roman" w:hAnsi="Times New Roman" w:cs="Times New Roman"/>
                <w:b/>
                <w:i/>
                <w:sz w:val="24"/>
                <w:szCs w:val="24"/>
                <w:lang w:val="en-GB" w:eastAsia="de-AT"/>
              </w:rPr>
              <w:t>High competence trust manipulation</w:t>
            </w:r>
          </w:p>
        </w:tc>
        <w:tc>
          <w:tcPr>
            <w:tcW w:w="3629" w:type="dxa"/>
            <w:tcBorders>
              <w:top w:val="single" w:sz="4" w:space="0" w:color="auto"/>
            </w:tcBorders>
          </w:tcPr>
          <w:p w14:paraId="2B9A0469" w14:textId="77777777" w:rsidR="001636CF" w:rsidRPr="009634A6" w:rsidRDefault="001636CF" w:rsidP="005F3485">
            <w:pPr>
              <w:rPr>
                <w:rFonts w:ascii="Times New Roman" w:eastAsia="Times New Roman" w:hAnsi="Times New Roman" w:cs="Times New Roman"/>
                <w:i/>
                <w:sz w:val="24"/>
                <w:szCs w:val="24"/>
                <w:lang w:val="en-GB" w:eastAsia="de-AT"/>
              </w:rPr>
            </w:pPr>
            <w:r w:rsidRPr="009634A6">
              <w:rPr>
                <w:rFonts w:ascii="Times New Roman" w:eastAsia="Times New Roman" w:hAnsi="Times New Roman" w:cs="Times New Roman"/>
                <w:i/>
                <w:sz w:val="24"/>
                <w:szCs w:val="24"/>
                <w:lang w:val="en-GB" w:eastAsia="de-AT"/>
              </w:rPr>
              <w:t>Scenario 1:</w:t>
            </w:r>
          </w:p>
          <w:p w14:paraId="6D221575" w14:textId="77777777" w:rsidR="00BF6287" w:rsidRDefault="00BF6287" w:rsidP="005F3485">
            <w:pP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The auditor is very competent. He has a detailed knowledge of the industry and the firm’s business.</w:t>
            </w:r>
            <w:r>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The auditor has a strong sense of justice. He keeps his promises and always tries to be fair</w:t>
            </w:r>
            <w:r>
              <w:rPr>
                <w:rFonts w:ascii="Times New Roman" w:eastAsia="Times New Roman" w:hAnsi="Times New Roman" w:cs="Times New Roman"/>
                <w:sz w:val="24"/>
                <w:szCs w:val="24"/>
                <w:lang w:val="en-GB" w:eastAsia="de-AT"/>
              </w:rPr>
              <w:t>.</w:t>
            </w:r>
          </w:p>
        </w:tc>
        <w:tc>
          <w:tcPr>
            <w:tcW w:w="3630" w:type="dxa"/>
            <w:tcBorders>
              <w:top w:val="single" w:sz="4" w:space="0" w:color="auto"/>
            </w:tcBorders>
          </w:tcPr>
          <w:p w14:paraId="2E614CF0" w14:textId="07CAFC5A" w:rsidR="001636CF" w:rsidRPr="00754707" w:rsidRDefault="001636CF" w:rsidP="005F3485">
            <w:pPr>
              <w:rPr>
                <w:rFonts w:ascii="Times New Roman" w:eastAsia="Times New Roman" w:hAnsi="Times New Roman" w:cs="Times New Roman"/>
                <w:i/>
                <w:sz w:val="24"/>
                <w:szCs w:val="24"/>
                <w:lang w:val="en-GB" w:eastAsia="de-AT"/>
              </w:rPr>
            </w:pPr>
            <w:r w:rsidRPr="00754707">
              <w:rPr>
                <w:rFonts w:ascii="Times New Roman" w:eastAsia="Times New Roman" w:hAnsi="Times New Roman" w:cs="Times New Roman"/>
                <w:i/>
                <w:sz w:val="24"/>
                <w:szCs w:val="24"/>
                <w:lang w:val="en-GB" w:eastAsia="de-AT"/>
              </w:rPr>
              <w:t xml:space="preserve">Scenario </w:t>
            </w:r>
            <w:r>
              <w:rPr>
                <w:rFonts w:ascii="Times New Roman" w:eastAsia="Times New Roman" w:hAnsi="Times New Roman" w:cs="Times New Roman"/>
                <w:i/>
                <w:sz w:val="24"/>
                <w:szCs w:val="24"/>
                <w:lang w:val="en-GB" w:eastAsia="de-AT"/>
              </w:rPr>
              <w:t>2</w:t>
            </w:r>
            <w:r w:rsidRPr="00754707">
              <w:rPr>
                <w:rFonts w:ascii="Times New Roman" w:eastAsia="Times New Roman" w:hAnsi="Times New Roman" w:cs="Times New Roman"/>
                <w:i/>
                <w:sz w:val="24"/>
                <w:szCs w:val="24"/>
                <w:lang w:val="en-GB" w:eastAsia="de-AT"/>
              </w:rPr>
              <w:t>:</w:t>
            </w:r>
          </w:p>
          <w:p w14:paraId="4F9E0A3C" w14:textId="77777777" w:rsidR="00BF6287" w:rsidRDefault="00BF6287" w:rsidP="005F3485">
            <w:pP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The auditor is very competent. He has a detailed knowledge of the industry and the firm’s business.</w:t>
            </w:r>
            <w:r>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The auditor does not have a strong sense of justice. He does not always keep his promises and does not always try to be fair</w:t>
            </w:r>
            <w:r>
              <w:rPr>
                <w:rFonts w:ascii="Times New Roman" w:eastAsia="Times New Roman" w:hAnsi="Times New Roman" w:cs="Times New Roman"/>
                <w:sz w:val="24"/>
                <w:szCs w:val="24"/>
                <w:lang w:val="en-GB" w:eastAsia="de-AT"/>
              </w:rPr>
              <w:t>.</w:t>
            </w:r>
          </w:p>
        </w:tc>
      </w:tr>
      <w:tr w:rsidR="00BF6287" w:rsidRPr="003F3E15" w14:paraId="22D76405" w14:textId="77777777" w:rsidTr="00322223">
        <w:tc>
          <w:tcPr>
            <w:tcW w:w="1921" w:type="dxa"/>
            <w:tcBorders>
              <w:bottom w:val="single" w:sz="4" w:space="0" w:color="auto"/>
            </w:tcBorders>
          </w:tcPr>
          <w:p w14:paraId="595612C7" w14:textId="77777777" w:rsidR="00BF6287" w:rsidRPr="00322223" w:rsidRDefault="00BF6287" w:rsidP="00004533">
            <w:pPr>
              <w:jc w:val="both"/>
              <w:rPr>
                <w:rFonts w:ascii="Times New Roman" w:eastAsia="Times New Roman" w:hAnsi="Times New Roman" w:cs="Times New Roman"/>
                <w:b/>
                <w:i/>
                <w:sz w:val="24"/>
                <w:szCs w:val="24"/>
                <w:lang w:val="en-GB" w:eastAsia="de-AT"/>
              </w:rPr>
            </w:pPr>
            <w:r w:rsidRPr="00322223">
              <w:rPr>
                <w:rFonts w:ascii="Times New Roman" w:eastAsia="Times New Roman" w:hAnsi="Times New Roman" w:cs="Times New Roman"/>
                <w:b/>
                <w:i/>
                <w:sz w:val="24"/>
                <w:szCs w:val="24"/>
                <w:lang w:val="en-GB" w:eastAsia="de-AT"/>
              </w:rPr>
              <w:t>Low competence trust manipulation</w:t>
            </w:r>
          </w:p>
        </w:tc>
        <w:tc>
          <w:tcPr>
            <w:tcW w:w="3629" w:type="dxa"/>
            <w:tcBorders>
              <w:bottom w:val="single" w:sz="4" w:space="0" w:color="auto"/>
            </w:tcBorders>
          </w:tcPr>
          <w:p w14:paraId="2A4E4563" w14:textId="5775BAE2" w:rsidR="001636CF" w:rsidRPr="00754707" w:rsidRDefault="001636CF" w:rsidP="005F3485">
            <w:pPr>
              <w:rPr>
                <w:rFonts w:ascii="Times New Roman" w:eastAsia="Times New Roman" w:hAnsi="Times New Roman" w:cs="Times New Roman"/>
                <w:i/>
                <w:sz w:val="24"/>
                <w:szCs w:val="24"/>
                <w:lang w:val="en-GB" w:eastAsia="de-AT"/>
              </w:rPr>
            </w:pPr>
            <w:r w:rsidRPr="00754707">
              <w:rPr>
                <w:rFonts w:ascii="Times New Roman" w:eastAsia="Times New Roman" w:hAnsi="Times New Roman" w:cs="Times New Roman"/>
                <w:i/>
                <w:sz w:val="24"/>
                <w:szCs w:val="24"/>
                <w:lang w:val="en-GB" w:eastAsia="de-AT"/>
              </w:rPr>
              <w:t xml:space="preserve">Scenario </w:t>
            </w:r>
            <w:r>
              <w:rPr>
                <w:rFonts w:ascii="Times New Roman" w:eastAsia="Times New Roman" w:hAnsi="Times New Roman" w:cs="Times New Roman"/>
                <w:i/>
                <w:sz w:val="24"/>
                <w:szCs w:val="24"/>
                <w:lang w:val="en-GB" w:eastAsia="de-AT"/>
              </w:rPr>
              <w:t>3</w:t>
            </w:r>
            <w:r w:rsidRPr="00754707">
              <w:rPr>
                <w:rFonts w:ascii="Times New Roman" w:eastAsia="Times New Roman" w:hAnsi="Times New Roman" w:cs="Times New Roman"/>
                <w:i/>
                <w:sz w:val="24"/>
                <w:szCs w:val="24"/>
                <w:lang w:val="en-GB" w:eastAsia="de-AT"/>
              </w:rPr>
              <w:t>:</w:t>
            </w:r>
          </w:p>
          <w:p w14:paraId="561B4903" w14:textId="77777777" w:rsidR="00BF6287" w:rsidRDefault="00BF6287" w:rsidP="005F3485">
            <w:pP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The auditor is not very competent. He does not have a detailed knowledge of the industry and the firm’s business.</w:t>
            </w:r>
            <w:r>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The auditor has a strong sense of justice. He keeps his promises and always tries to be fair</w:t>
            </w:r>
            <w:r>
              <w:rPr>
                <w:rFonts w:ascii="Times New Roman" w:eastAsia="Times New Roman" w:hAnsi="Times New Roman" w:cs="Times New Roman"/>
                <w:sz w:val="24"/>
                <w:szCs w:val="24"/>
                <w:lang w:val="en-GB" w:eastAsia="de-AT"/>
              </w:rPr>
              <w:t>.</w:t>
            </w:r>
          </w:p>
        </w:tc>
        <w:tc>
          <w:tcPr>
            <w:tcW w:w="3630" w:type="dxa"/>
            <w:tcBorders>
              <w:bottom w:val="single" w:sz="4" w:space="0" w:color="auto"/>
            </w:tcBorders>
          </w:tcPr>
          <w:p w14:paraId="65D15246" w14:textId="4A67226F" w:rsidR="001636CF" w:rsidRPr="00754707" w:rsidRDefault="001636CF" w:rsidP="005F3485">
            <w:pPr>
              <w:rPr>
                <w:rFonts w:ascii="Times New Roman" w:eastAsia="Times New Roman" w:hAnsi="Times New Roman" w:cs="Times New Roman"/>
                <w:i/>
                <w:sz w:val="24"/>
                <w:szCs w:val="24"/>
                <w:lang w:val="en-GB" w:eastAsia="de-AT"/>
              </w:rPr>
            </w:pPr>
            <w:r w:rsidRPr="00754707">
              <w:rPr>
                <w:rFonts w:ascii="Times New Roman" w:eastAsia="Times New Roman" w:hAnsi="Times New Roman" w:cs="Times New Roman"/>
                <w:i/>
                <w:sz w:val="24"/>
                <w:szCs w:val="24"/>
                <w:lang w:val="en-GB" w:eastAsia="de-AT"/>
              </w:rPr>
              <w:t xml:space="preserve">Scenario </w:t>
            </w:r>
            <w:r>
              <w:rPr>
                <w:rFonts w:ascii="Times New Roman" w:eastAsia="Times New Roman" w:hAnsi="Times New Roman" w:cs="Times New Roman"/>
                <w:i/>
                <w:sz w:val="24"/>
                <w:szCs w:val="24"/>
                <w:lang w:val="en-GB" w:eastAsia="de-AT"/>
              </w:rPr>
              <w:t>4</w:t>
            </w:r>
            <w:r w:rsidRPr="00754707">
              <w:rPr>
                <w:rFonts w:ascii="Times New Roman" w:eastAsia="Times New Roman" w:hAnsi="Times New Roman" w:cs="Times New Roman"/>
                <w:i/>
                <w:sz w:val="24"/>
                <w:szCs w:val="24"/>
                <w:lang w:val="en-GB" w:eastAsia="de-AT"/>
              </w:rPr>
              <w:t>:</w:t>
            </w:r>
          </w:p>
          <w:p w14:paraId="6FCCE76E" w14:textId="77777777" w:rsidR="00BF6287" w:rsidRDefault="00BF6287" w:rsidP="005F3485">
            <w:pPr>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The auditor is not very competent. He does not have a detailed knowledge of the industry and the firm’s business.</w:t>
            </w:r>
            <w:r>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sz w:val="24"/>
                <w:szCs w:val="24"/>
                <w:lang w:val="en-GB" w:eastAsia="de-AT"/>
              </w:rPr>
              <w:t>The auditor does not have a strong sense of justice. He does not always keep his promises and does not always try to be fair</w:t>
            </w:r>
            <w:r>
              <w:rPr>
                <w:rFonts w:ascii="Times New Roman" w:eastAsia="Times New Roman" w:hAnsi="Times New Roman" w:cs="Times New Roman"/>
                <w:sz w:val="24"/>
                <w:szCs w:val="24"/>
                <w:lang w:val="en-GB" w:eastAsia="de-AT"/>
              </w:rPr>
              <w:t>.</w:t>
            </w:r>
          </w:p>
        </w:tc>
      </w:tr>
    </w:tbl>
    <w:p w14:paraId="3C24CD70" w14:textId="77777777" w:rsidR="00BF6287" w:rsidRDefault="00BF6287" w:rsidP="00BF6287">
      <w:pPr>
        <w:jc w:val="both"/>
        <w:rPr>
          <w:rFonts w:ascii="Times New Roman" w:eastAsia="Times New Roman" w:hAnsi="Times New Roman" w:cs="Times New Roman"/>
          <w:sz w:val="24"/>
          <w:szCs w:val="24"/>
          <w:lang w:val="en-GB" w:eastAsia="de-AT"/>
        </w:rPr>
      </w:pPr>
    </w:p>
    <w:p w14:paraId="6AEA0F50" w14:textId="17A95B84" w:rsidR="00BF6287" w:rsidRDefault="00BF6287" w:rsidP="00BF6287">
      <w:pPr>
        <w:jc w:val="both"/>
        <w:rPr>
          <w:rFonts w:ascii="Times New Roman" w:eastAsia="Times New Roman" w:hAnsi="Times New Roman" w:cs="Times New Roman"/>
          <w:sz w:val="24"/>
          <w:szCs w:val="24"/>
          <w:lang w:val="en-GB" w:eastAsia="de-AT"/>
        </w:rPr>
      </w:pPr>
      <w:r w:rsidRPr="007C3523">
        <w:rPr>
          <w:rFonts w:ascii="Times New Roman" w:eastAsia="Times New Roman" w:hAnsi="Times New Roman" w:cs="Times New Roman"/>
          <w:sz w:val="24"/>
          <w:szCs w:val="24"/>
          <w:lang w:val="en-GB" w:eastAsia="de-AT"/>
        </w:rPr>
        <w:t xml:space="preserve">As the </w:t>
      </w:r>
      <w:r>
        <w:rPr>
          <w:rFonts w:ascii="Times New Roman" w:eastAsia="Times New Roman" w:hAnsi="Times New Roman" w:cs="Times New Roman"/>
          <w:sz w:val="24"/>
          <w:szCs w:val="24"/>
          <w:lang w:val="en-GB" w:eastAsia="de-AT"/>
        </w:rPr>
        <w:t>client’s CFO</w:t>
      </w:r>
      <w:r w:rsidRPr="007C3523">
        <w:rPr>
          <w:rFonts w:ascii="Times New Roman" w:eastAsia="Times New Roman" w:hAnsi="Times New Roman" w:cs="Times New Roman"/>
          <w:sz w:val="24"/>
          <w:szCs w:val="24"/>
          <w:lang w:val="en-GB" w:eastAsia="de-AT"/>
        </w:rPr>
        <w:t xml:space="preserve">, how likely is it that you will </w:t>
      </w:r>
      <w:r w:rsidR="005F3485">
        <w:rPr>
          <w:rFonts w:ascii="Times New Roman" w:eastAsia="Times New Roman" w:hAnsi="Times New Roman" w:cs="Times New Roman"/>
          <w:sz w:val="24"/>
          <w:szCs w:val="24"/>
          <w:lang w:val="en-GB" w:eastAsia="de-AT"/>
        </w:rPr>
        <w:t>stand</w:t>
      </w:r>
      <w:r w:rsidR="005066E0" w:rsidRPr="005066E0">
        <w:rPr>
          <w:rFonts w:ascii="Times New Roman" w:eastAsia="Times New Roman" w:hAnsi="Times New Roman" w:cs="Times New Roman"/>
          <w:sz w:val="24"/>
          <w:szCs w:val="24"/>
          <w:lang w:val="en-GB" w:eastAsia="de-AT"/>
        </w:rPr>
        <w:t xml:space="preserve"> up to</w:t>
      </w:r>
      <w:r w:rsidRPr="007C3523">
        <w:rPr>
          <w:rFonts w:ascii="Times New Roman" w:eastAsia="Times New Roman" w:hAnsi="Times New Roman" w:cs="Times New Roman"/>
          <w:sz w:val="24"/>
          <w:szCs w:val="24"/>
          <w:lang w:val="en-GB" w:eastAsia="de-AT"/>
        </w:rPr>
        <w:t xml:space="preserve"> the </w:t>
      </w:r>
      <w:r>
        <w:rPr>
          <w:rFonts w:ascii="Times New Roman" w:eastAsia="Times New Roman" w:hAnsi="Times New Roman" w:cs="Times New Roman"/>
          <w:sz w:val="24"/>
          <w:szCs w:val="24"/>
          <w:lang w:val="en-GB" w:eastAsia="de-AT"/>
        </w:rPr>
        <w:t>auditor</w:t>
      </w:r>
      <w:r w:rsidRPr="007C3523">
        <w:rPr>
          <w:rFonts w:ascii="Times New Roman" w:eastAsia="Times New Roman" w:hAnsi="Times New Roman" w:cs="Times New Roman"/>
          <w:sz w:val="24"/>
          <w:szCs w:val="24"/>
          <w:lang w:val="en-GB" w:eastAsia="de-AT"/>
        </w:rPr>
        <w:t xml:space="preserve"> and </w:t>
      </w:r>
      <w:r>
        <w:rPr>
          <w:rFonts w:ascii="Times New Roman" w:eastAsia="Times New Roman" w:hAnsi="Times New Roman" w:cs="Times New Roman"/>
          <w:sz w:val="24"/>
          <w:szCs w:val="24"/>
          <w:lang w:val="en-GB" w:eastAsia="de-AT"/>
        </w:rPr>
        <w:t>not record</w:t>
      </w:r>
      <w:r w:rsidRPr="007C3523">
        <w:rPr>
          <w:rFonts w:ascii="Times New Roman" w:eastAsia="Times New Roman" w:hAnsi="Times New Roman" w:cs="Times New Roman"/>
          <w:sz w:val="24"/>
          <w:szCs w:val="24"/>
          <w:lang w:val="en-GB" w:eastAsia="de-AT"/>
        </w:rPr>
        <w:t xml:space="preserve"> these liabilities? Please indicate your response by marking with an X on a specific point on the following scale:</w:t>
      </w:r>
    </w:p>
    <w:p w14:paraId="305A50CC" w14:textId="77777777" w:rsidR="00BF6287" w:rsidRDefault="00BF6287" w:rsidP="00BF6287">
      <w:pPr>
        <w:pStyle w:val="Absatz1"/>
        <w:keepLines/>
        <w:widowControl w:val="0"/>
        <w:spacing w:before="240" w:after="240" w:line="240" w:lineRule="auto"/>
        <w:jc w:val="center"/>
        <w:rPr>
          <w:sz w:val="20"/>
          <w:lang w:val="de-AT"/>
        </w:rPr>
      </w:pPr>
      <w:r w:rsidRPr="00251E2F">
        <w:rPr>
          <w:b/>
          <w:noProof/>
          <w:sz w:val="22"/>
          <w:szCs w:val="22"/>
          <w:lang w:val="da-DK" w:eastAsia="da-DK"/>
        </w:rPr>
        <w:drawing>
          <wp:inline distT="0" distB="0" distL="0" distR="0" wp14:anchorId="3D8E40EC" wp14:editId="155D6B70">
            <wp:extent cx="4265121" cy="475013"/>
            <wp:effectExtent l="19050" t="0" r="2079"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083" t="33241" r="57370" b="62736"/>
                    <a:stretch>
                      <a:fillRect/>
                    </a:stretch>
                  </pic:blipFill>
                  <pic:spPr bwMode="auto">
                    <a:xfrm>
                      <a:off x="0" y="0"/>
                      <a:ext cx="4265121" cy="475013"/>
                    </a:xfrm>
                    <a:prstGeom prst="rect">
                      <a:avLst/>
                    </a:prstGeom>
                    <a:noFill/>
                    <a:ln w="9525">
                      <a:noFill/>
                      <a:miter lim="800000"/>
                      <a:headEnd/>
                      <a:tailEnd/>
                    </a:ln>
                  </pic:spPr>
                </pic:pic>
              </a:graphicData>
            </a:graphic>
          </wp:inline>
        </w:drawing>
      </w:r>
    </w:p>
    <w:p w14:paraId="13DA68C5" w14:textId="77777777" w:rsidR="00BF6287" w:rsidRDefault="00BF6287" w:rsidP="00BF6287">
      <w:pPr>
        <w:ind w:left="1304"/>
        <w:jc w:val="both"/>
        <w:rPr>
          <w:rFonts w:ascii="Times New Roman" w:hAnsi="Times New Roman" w:cs="Times New Roman"/>
          <w:sz w:val="20"/>
          <w:lang w:val="en-US"/>
        </w:rPr>
      </w:pPr>
      <w:r w:rsidRPr="009F029D">
        <w:rPr>
          <w:rFonts w:ascii="Times New Roman" w:hAnsi="Times New Roman" w:cs="Times New Roman"/>
          <w:sz w:val="20"/>
          <w:lang w:val="en-US"/>
        </w:rPr>
        <w:t xml:space="preserve">Very low likelihood                                                                                         Very high likelihood     </w:t>
      </w:r>
    </w:p>
    <w:p w14:paraId="3CF20C0F" w14:textId="77777777" w:rsidR="00BF6287" w:rsidRDefault="00BF6287" w:rsidP="00BF6287">
      <w:pPr>
        <w:ind w:left="1304"/>
        <w:jc w:val="both"/>
        <w:rPr>
          <w:rFonts w:ascii="Times New Roman" w:hAnsi="Times New Roman" w:cs="Times New Roman"/>
          <w:sz w:val="20"/>
          <w:lang w:val="en-US"/>
        </w:rPr>
      </w:pPr>
    </w:p>
    <w:p w14:paraId="2CC561A9" w14:textId="77777777" w:rsidR="00BF6287" w:rsidRPr="007C3523" w:rsidRDefault="00BF6287" w:rsidP="00BF6287">
      <w:pPr>
        <w:jc w:val="both"/>
        <w:rPr>
          <w:rFonts w:ascii="Times New Roman" w:eastAsia="Times New Roman" w:hAnsi="Times New Roman" w:cs="Times New Roman"/>
          <w:sz w:val="24"/>
          <w:szCs w:val="24"/>
          <w:lang w:val="en-US" w:eastAsia="de-AT"/>
        </w:rPr>
      </w:pPr>
    </w:p>
    <w:p w14:paraId="2B67097A" w14:textId="77777777" w:rsidR="00904F71" w:rsidRDefault="00904F71">
      <w:pPr>
        <w:spacing w:after="160" w:line="259" w:lineRule="auto"/>
        <w:rPr>
          <w:rFonts w:ascii="Times New Roman" w:eastAsia="Times New Roman" w:hAnsi="Times New Roman" w:cs="Times New Roman"/>
          <w:b/>
          <w:sz w:val="24"/>
          <w:szCs w:val="24"/>
          <w:lang w:val="en-US" w:eastAsia="de-AT"/>
        </w:rPr>
      </w:pPr>
      <w:r>
        <w:rPr>
          <w:rFonts w:ascii="Times New Roman" w:eastAsia="Times New Roman" w:hAnsi="Times New Roman" w:cs="Times New Roman"/>
          <w:b/>
          <w:sz w:val="24"/>
          <w:szCs w:val="24"/>
          <w:lang w:val="en-US" w:eastAsia="de-AT"/>
        </w:rPr>
        <w:br w:type="page"/>
      </w:r>
    </w:p>
    <w:p w14:paraId="4045D26F" w14:textId="4C95D707" w:rsidR="000E701B" w:rsidRPr="000E701B" w:rsidRDefault="000E701B" w:rsidP="000E701B">
      <w:pPr>
        <w:spacing w:line="480" w:lineRule="auto"/>
        <w:ind w:left="360" w:hanging="360"/>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b/>
          <w:sz w:val="24"/>
          <w:szCs w:val="24"/>
          <w:lang w:val="en-US" w:eastAsia="de-AT"/>
        </w:rPr>
        <w:lastRenderedPageBreak/>
        <w:t>References</w:t>
      </w:r>
      <w:r w:rsidRPr="000E701B">
        <w:rPr>
          <w:rFonts w:ascii="Times New Roman" w:eastAsia="Times New Roman" w:hAnsi="Times New Roman" w:cs="Times New Roman"/>
          <w:sz w:val="24"/>
          <w:szCs w:val="24"/>
          <w:lang w:val="en-GB" w:eastAsia="de-AT"/>
        </w:rPr>
        <w:t xml:space="preserve"> </w:t>
      </w:r>
    </w:p>
    <w:p w14:paraId="53FB5B55"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US" w:eastAsia="de-AT"/>
        </w:rPr>
      </w:pPr>
      <w:r w:rsidRPr="000E701B">
        <w:rPr>
          <w:rFonts w:ascii="Times New Roman" w:eastAsia="Times New Roman" w:hAnsi="Times New Roman" w:cs="Times New Roman"/>
          <w:sz w:val="24"/>
          <w:szCs w:val="24"/>
          <w:lang w:val="en-US" w:eastAsia="de-AT"/>
        </w:rPr>
        <w:t xml:space="preserve">Adler, P. (2001) Market, </w:t>
      </w:r>
      <w:r>
        <w:rPr>
          <w:rFonts w:ascii="Times New Roman" w:eastAsia="Times New Roman" w:hAnsi="Times New Roman" w:cs="Times New Roman"/>
          <w:sz w:val="24"/>
          <w:szCs w:val="24"/>
          <w:lang w:val="en-US" w:eastAsia="de-AT"/>
        </w:rPr>
        <w:t>H</w:t>
      </w:r>
      <w:r w:rsidRPr="000E701B">
        <w:rPr>
          <w:rFonts w:ascii="Times New Roman" w:eastAsia="Times New Roman" w:hAnsi="Times New Roman" w:cs="Times New Roman"/>
          <w:sz w:val="24"/>
          <w:szCs w:val="24"/>
          <w:lang w:val="en-US" w:eastAsia="de-AT"/>
        </w:rPr>
        <w:t xml:space="preserve">ierarchy, and </w:t>
      </w:r>
      <w:r>
        <w:rPr>
          <w:rFonts w:ascii="Times New Roman" w:eastAsia="Times New Roman" w:hAnsi="Times New Roman" w:cs="Times New Roman"/>
          <w:sz w:val="24"/>
          <w:szCs w:val="24"/>
          <w:lang w:val="en-US" w:eastAsia="de-AT"/>
        </w:rPr>
        <w:t>T</w:t>
      </w:r>
      <w:r w:rsidRPr="000E701B">
        <w:rPr>
          <w:rFonts w:ascii="Times New Roman" w:eastAsia="Times New Roman" w:hAnsi="Times New Roman" w:cs="Times New Roman"/>
          <w:sz w:val="24"/>
          <w:szCs w:val="24"/>
          <w:lang w:val="en-US" w:eastAsia="de-AT"/>
        </w:rPr>
        <w:t xml:space="preserve">rust: The </w:t>
      </w:r>
      <w:r>
        <w:rPr>
          <w:rFonts w:ascii="Times New Roman" w:eastAsia="Times New Roman" w:hAnsi="Times New Roman" w:cs="Times New Roman"/>
          <w:sz w:val="24"/>
          <w:szCs w:val="24"/>
          <w:lang w:val="en-US" w:eastAsia="de-AT"/>
        </w:rPr>
        <w:t>K</w:t>
      </w:r>
      <w:r w:rsidRPr="000E701B">
        <w:rPr>
          <w:rFonts w:ascii="Times New Roman" w:eastAsia="Times New Roman" w:hAnsi="Times New Roman" w:cs="Times New Roman"/>
          <w:sz w:val="24"/>
          <w:szCs w:val="24"/>
          <w:lang w:val="en-US" w:eastAsia="de-AT"/>
        </w:rPr>
        <w:t xml:space="preserve">nowledge </w:t>
      </w:r>
      <w:r>
        <w:rPr>
          <w:rFonts w:ascii="Times New Roman" w:eastAsia="Times New Roman" w:hAnsi="Times New Roman" w:cs="Times New Roman"/>
          <w:sz w:val="24"/>
          <w:szCs w:val="24"/>
          <w:lang w:val="en-US" w:eastAsia="de-AT"/>
        </w:rPr>
        <w:t>E</w:t>
      </w:r>
      <w:r w:rsidRPr="000E701B">
        <w:rPr>
          <w:rFonts w:ascii="Times New Roman" w:eastAsia="Times New Roman" w:hAnsi="Times New Roman" w:cs="Times New Roman"/>
          <w:sz w:val="24"/>
          <w:szCs w:val="24"/>
          <w:lang w:val="en-US" w:eastAsia="de-AT"/>
        </w:rPr>
        <w:t xml:space="preserve">conomy and the </w:t>
      </w:r>
      <w:r>
        <w:rPr>
          <w:rFonts w:ascii="Times New Roman" w:eastAsia="Times New Roman" w:hAnsi="Times New Roman" w:cs="Times New Roman"/>
          <w:sz w:val="24"/>
          <w:szCs w:val="24"/>
          <w:lang w:val="en-US" w:eastAsia="de-AT"/>
        </w:rPr>
        <w:t>F</w:t>
      </w:r>
      <w:r w:rsidRPr="000E701B">
        <w:rPr>
          <w:rFonts w:ascii="Times New Roman" w:eastAsia="Times New Roman" w:hAnsi="Times New Roman" w:cs="Times New Roman"/>
          <w:sz w:val="24"/>
          <w:szCs w:val="24"/>
          <w:lang w:val="en-US" w:eastAsia="de-AT"/>
        </w:rPr>
        <w:t xml:space="preserve">uture of </w:t>
      </w:r>
      <w:r>
        <w:rPr>
          <w:rFonts w:ascii="Times New Roman" w:eastAsia="Times New Roman" w:hAnsi="Times New Roman" w:cs="Times New Roman"/>
          <w:sz w:val="24"/>
          <w:szCs w:val="24"/>
          <w:lang w:val="en-US" w:eastAsia="de-AT"/>
        </w:rPr>
        <w:t>C</w:t>
      </w:r>
      <w:r w:rsidRPr="000E701B">
        <w:rPr>
          <w:rFonts w:ascii="Times New Roman" w:eastAsia="Times New Roman" w:hAnsi="Times New Roman" w:cs="Times New Roman"/>
          <w:sz w:val="24"/>
          <w:szCs w:val="24"/>
          <w:lang w:val="en-US" w:eastAsia="de-AT"/>
        </w:rPr>
        <w:t xml:space="preserve">apitalism. </w:t>
      </w:r>
      <w:r w:rsidRPr="000E701B">
        <w:rPr>
          <w:rFonts w:ascii="Times New Roman" w:eastAsia="Times New Roman" w:hAnsi="Times New Roman" w:cs="Times New Roman"/>
          <w:i/>
          <w:sz w:val="24"/>
          <w:szCs w:val="24"/>
          <w:lang w:val="en-US" w:eastAsia="de-AT"/>
        </w:rPr>
        <w:t>Organization Science</w:t>
      </w:r>
      <w:r w:rsidRPr="000E701B">
        <w:rPr>
          <w:rFonts w:ascii="Times New Roman" w:eastAsia="Times New Roman" w:hAnsi="Times New Roman" w:cs="Times New Roman"/>
          <w:sz w:val="24"/>
          <w:szCs w:val="24"/>
          <w:lang w:val="en-US" w:eastAsia="de-AT"/>
        </w:rPr>
        <w:t xml:space="preserve"> 12(2): 215</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US" w:eastAsia="de-AT"/>
        </w:rPr>
        <w:t>234.</w:t>
      </w:r>
    </w:p>
    <w:p w14:paraId="6CEBB2D4"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101A9">
        <w:rPr>
          <w:rFonts w:ascii="Times New Roman" w:eastAsia="Times New Roman" w:hAnsi="Times New Roman" w:cs="Times New Roman"/>
          <w:sz w:val="24"/>
          <w:szCs w:val="24"/>
          <w:lang w:val="en-GB" w:eastAsia="de-AT"/>
        </w:rPr>
        <w:t xml:space="preserve">American Institute of Certified Public Accountants </w:t>
      </w:r>
      <w:r>
        <w:rPr>
          <w:rFonts w:ascii="Times New Roman" w:eastAsia="Times New Roman" w:hAnsi="Times New Roman" w:cs="Times New Roman"/>
          <w:sz w:val="24"/>
          <w:szCs w:val="24"/>
          <w:lang w:val="en-GB" w:eastAsia="de-AT"/>
        </w:rPr>
        <w:t>(</w:t>
      </w:r>
      <w:r w:rsidRPr="000101A9">
        <w:rPr>
          <w:rFonts w:ascii="Times New Roman" w:eastAsia="Times New Roman" w:hAnsi="Times New Roman" w:cs="Times New Roman"/>
          <w:sz w:val="24"/>
          <w:szCs w:val="24"/>
          <w:lang w:val="en-GB" w:eastAsia="de-AT"/>
        </w:rPr>
        <w:t>1983</w:t>
      </w:r>
      <w:r>
        <w:rPr>
          <w:rFonts w:ascii="Times New Roman" w:eastAsia="Times New Roman" w:hAnsi="Times New Roman" w:cs="Times New Roman"/>
          <w:sz w:val="24"/>
          <w:szCs w:val="24"/>
          <w:lang w:val="en-GB" w:eastAsia="de-AT"/>
        </w:rPr>
        <w:t>)</w:t>
      </w:r>
      <w:r w:rsidRPr="000101A9">
        <w:rPr>
          <w:rFonts w:ascii="Times New Roman" w:eastAsia="Times New Roman" w:hAnsi="Times New Roman" w:cs="Times New Roman"/>
          <w:sz w:val="24"/>
          <w:szCs w:val="24"/>
          <w:lang w:val="en-GB" w:eastAsia="de-AT"/>
        </w:rPr>
        <w:t xml:space="preserve"> </w:t>
      </w:r>
      <w:r w:rsidRPr="006C07E9">
        <w:rPr>
          <w:rFonts w:ascii="Times New Roman" w:eastAsia="Times New Roman" w:hAnsi="Times New Roman" w:cs="Times New Roman"/>
          <w:sz w:val="24"/>
          <w:szCs w:val="24"/>
          <w:lang w:val="en-GB" w:eastAsia="de-AT"/>
        </w:rPr>
        <w:t>Statement on Auditing Standards No</w:t>
      </w:r>
      <w:r w:rsidRPr="000101A9">
        <w:rPr>
          <w:rFonts w:ascii="Times New Roman" w:eastAsia="Times New Roman" w:hAnsi="Times New Roman" w:cs="Times New Roman"/>
          <w:sz w:val="24"/>
          <w:szCs w:val="24"/>
          <w:lang w:val="en-GB" w:eastAsia="de-AT"/>
        </w:rPr>
        <w:t>. 47: Audit risk and materiality in conducting an audit. New York: AICPA.</w:t>
      </w:r>
    </w:p>
    <w:p w14:paraId="29385EE3"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proofErr w:type="spellStart"/>
      <w:r w:rsidRPr="000E701B">
        <w:rPr>
          <w:rFonts w:ascii="Times New Roman" w:eastAsia="Times New Roman" w:hAnsi="Times New Roman" w:cs="Times New Roman"/>
          <w:sz w:val="24"/>
          <w:szCs w:val="24"/>
          <w:lang w:val="en-GB" w:eastAsia="de-AT"/>
        </w:rPr>
        <w:t>Antle</w:t>
      </w:r>
      <w:proofErr w:type="spellEnd"/>
      <w:r w:rsidRPr="000E701B">
        <w:rPr>
          <w:rFonts w:ascii="Times New Roman" w:eastAsia="Times New Roman" w:hAnsi="Times New Roman" w:cs="Times New Roman"/>
          <w:sz w:val="24"/>
          <w:szCs w:val="24"/>
          <w:lang w:val="en-GB" w:eastAsia="de-AT"/>
        </w:rPr>
        <w:t xml:space="preserve">, R., and Nalebuff, B. (1991) Conservatism and Auditor-Client Negotiations. </w:t>
      </w:r>
      <w:r w:rsidRPr="000E701B">
        <w:rPr>
          <w:rFonts w:ascii="Times New Roman" w:eastAsia="Times New Roman" w:hAnsi="Times New Roman" w:cs="Times New Roman"/>
          <w:i/>
          <w:sz w:val="24"/>
          <w:szCs w:val="24"/>
          <w:lang w:val="en-GB" w:eastAsia="de-AT"/>
        </w:rPr>
        <w:t>Journal of Accounting Research</w:t>
      </w:r>
      <w:r w:rsidRPr="000E701B">
        <w:rPr>
          <w:rFonts w:ascii="Times New Roman" w:eastAsia="Times New Roman" w:hAnsi="Times New Roman" w:cs="Times New Roman"/>
          <w:sz w:val="24"/>
          <w:szCs w:val="24"/>
          <w:lang w:val="en-GB" w:eastAsia="de-AT"/>
        </w:rPr>
        <w:t xml:space="preserve"> 29: 31</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54.</w:t>
      </w:r>
    </w:p>
    <w:p w14:paraId="729CE548"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proofErr w:type="spellStart"/>
      <w:r w:rsidRPr="000E701B">
        <w:rPr>
          <w:rFonts w:ascii="Times New Roman" w:eastAsia="Times New Roman" w:hAnsi="Times New Roman" w:cs="Times New Roman"/>
          <w:sz w:val="24"/>
          <w:szCs w:val="24"/>
          <w:lang w:val="en-GB" w:eastAsia="de-AT"/>
        </w:rPr>
        <w:t>Aschauer</w:t>
      </w:r>
      <w:proofErr w:type="spellEnd"/>
      <w:r w:rsidRPr="000E701B">
        <w:rPr>
          <w:rFonts w:ascii="Times New Roman" w:eastAsia="Times New Roman" w:hAnsi="Times New Roman" w:cs="Times New Roman"/>
          <w:sz w:val="24"/>
          <w:szCs w:val="24"/>
          <w:lang w:val="en-GB" w:eastAsia="de-AT"/>
        </w:rPr>
        <w:t xml:space="preserve">, E., Fink, M., Moro, A., Van </w:t>
      </w:r>
      <w:proofErr w:type="spellStart"/>
      <w:r w:rsidRPr="000E701B">
        <w:rPr>
          <w:rFonts w:ascii="Times New Roman" w:eastAsia="Times New Roman" w:hAnsi="Times New Roman" w:cs="Times New Roman"/>
          <w:sz w:val="24"/>
          <w:szCs w:val="24"/>
          <w:lang w:val="en-GB" w:eastAsia="de-AT"/>
        </w:rPr>
        <w:t>Bakel</w:t>
      </w:r>
      <w:proofErr w:type="spellEnd"/>
      <w:r w:rsidRPr="000E701B">
        <w:rPr>
          <w:rFonts w:ascii="Times New Roman" w:eastAsia="Times New Roman" w:hAnsi="Times New Roman" w:cs="Times New Roman"/>
          <w:sz w:val="24"/>
          <w:szCs w:val="24"/>
          <w:lang w:val="en-GB" w:eastAsia="de-AT"/>
        </w:rPr>
        <w:t xml:space="preserve">-Auer, K., and Warming-Rasmussen, B. (2017) Interpersonal Trust and Professional </w:t>
      </w:r>
      <w:proofErr w:type="spellStart"/>
      <w:r w:rsidRPr="000E701B">
        <w:rPr>
          <w:rFonts w:ascii="Times New Roman" w:eastAsia="Times New Roman" w:hAnsi="Times New Roman" w:cs="Times New Roman"/>
          <w:sz w:val="24"/>
          <w:szCs w:val="24"/>
          <w:lang w:val="en-GB" w:eastAsia="de-AT"/>
        </w:rPr>
        <w:t>Skepticism</w:t>
      </w:r>
      <w:proofErr w:type="spellEnd"/>
      <w:r w:rsidRPr="000E701B">
        <w:rPr>
          <w:rFonts w:ascii="Times New Roman" w:eastAsia="Times New Roman" w:hAnsi="Times New Roman" w:cs="Times New Roman"/>
          <w:sz w:val="24"/>
          <w:szCs w:val="24"/>
          <w:lang w:val="en-GB" w:eastAsia="de-AT"/>
        </w:rPr>
        <w:t xml:space="preserve"> in the Relationship between Auditors and Clients – Overcoming the Dichotomy Myth. </w:t>
      </w:r>
      <w:r w:rsidRPr="000E701B">
        <w:rPr>
          <w:rFonts w:ascii="Times New Roman" w:eastAsia="Times New Roman" w:hAnsi="Times New Roman" w:cs="Times New Roman"/>
          <w:i/>
          <w:sz w:val="24"/>
          <w:szCs w:val="24"/>
          <w:lang w:val="en-GB" w:eastAsia="de-AT"/>
        </w:rPr>
        <w:t>Behavioural Research in Accounting</w:t>
      </w:r>
      <w:r w:rsidRPr="000E701B">
        <w:rPr>
          <w:rFonts w:ascii="Times New Roman" w:eastAsia="Times New Roman" w:hAnsi="Times New Roman" w:cs="Times New Roman"/>
          <w:sz w:val="24"/>
          <w:szCs w:val="24"/>
          <w:lang w:val="en-GB" w:eastAsia="de-AT"/>
        </w:rPr>
        <w:t xml:space="preserve"> 29(1), online first.</w:t>
      </w:r>
    </w:p>
    <w:p w14:paraId="0814EB8D"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Bamber, E.M., and </w:t>
      </w:r>
      <w:proofErr w:type="spellStart"/>
      <w:r w:rsidRPr="000E701B">
        <w:rPr>
          <w:rFonts w:ascii="Times New Roman" w:eastAsia="Times New Roman" w:hAnsi="Times New Roman" w:cs="Times New Roman"/>
          <w:sz w:val="24"/>
          <w:szCs w:val="24"/>
          <w:lang w:val="en-GB" w:eastAsia="de-AT"/>
        </w:rPr>
        <w:t>Iyer</w:t>
      </w:r>
      <w:proofErr w:type="spellEnd"/>
      <w:r w:rsidRPr="000E701B">
        <w:rPr>
          <w:rFonts w:ascii="Times New Roman" w:eastAsia="Times New Roman" w:hAnsi="Times New Roman" w:cs="Times New Roman"/>
          <w:sz w:val="24"/>
          <w:szCs w:val="24"/>
          <w:lang w:val="en-GB" w:eastAsia="de-AT"/>
        </w:rPr>
        <w:t xml:space="preserve">, V.M. (2007) Auditors’ Identification with Their Clients and Its Effect on Auditors’ Objectivity. </w:t>
      </w:r>
      <w:r w:rsidRPr="000E701B">
        <w:rPr>
          <w:rFonts w:ascii="Times New Roman" w:eastAsia="Times New Roman" w:hAnsi="Times New Roman" w:cs="Times New Roman"/>
          <w:i/>
          <w:sz w:val="24"/>
          <w:szCs w:val="24"/>
          <w:lang w:val="en-GB" w:eastAsia="de-AT"/>
        </w:rPr>
        <w:t>Auditing: A Journal of Practice and Theory</w:t>
      </w:r>
      <w:r w:rsidRPr="000E701B">
        <w:rPr>
          <w:rFonts w:ascii="Times New Roman" w:eastAsia="Times New Roman" w:hAnsi="Times New Roman" w:cs="Times New Roman"/>
          <w:sz w:val="24"/>
          <w:szCs w:val="24"/>
          <w:lang w:val="en-GB" w:eastAsia="de-AT"/>
        </w:rPr>
        <w:t xml:space="preserve"> 26(2): 1-24.</w:t>
      </w:r>
    </w:p>
    <w:p w14:paraId="259D4562" w14:textId="77777777" w:rsidR="008C06CF" w:rsidRPr="008E026B" w:rsidRDefault="008C06CF" w:rsidP="009634A6">
      <w:pPr>
        <w:spacing w:line="240" w:lineRule="auto"/>
        <w:ind w:left="567" w:hanging="567"/>
        <w:rPr>
          <w:rFonts w:ascii="Times New Roman" w:hAnsi="Times New Roman" w:cs="Times New Roman"/>
          <w:sz w:val="24"/>
          <w:szCs w:val="24"/>
          <w:lang w:val="en-US"/>
        </w:rPr>
      </w:pPr>
      <w:proofErr w:type="spellStart"/>
      <w:r w:rsidRPr="008E026B">
        <w:rPr>
          <w:rFonts w:ascii="Times New Roman" w:hAnsi="Times New Roman" w:cs="Times New Roman"/>
          <w:sz w:val="24"/>
          <w:szCs w:val="24"/>
          <w:lang w:val="en-US"/>
        </w:rPr>
        <w:t>Bammens</w:t>
      </w:r>
      <w:proofErr w:type="spellEnd"/>
      <w:r w:rsidRPr="008E026B">
        <w:rPr>
          <w:rFonts w:ascii="Times New Roman" w:hAnsi="Times New Roman" w:cs="Times New Roman"/>
          <w:sz w:val="24"/>
          <w:szCs w:val="24"/>
          <w:lang w:val="en-US"/>
        </w:rPr>
        <w:t xml:space="preserve">, Y., and </w:t>
      </w:r>
      <w:proofErr w:type="spellStart"/>
      <w:r w:rsidRPr="008E026B">
        <w:rPr>
          <w:rFonts w:ascii="Times New Roman" w:hAnsi="Times New Roman" w:cs="Times New Roman"/>
          <w:sz w:val="24"/>
          <w:szCs w:val="24"/>
          <w:lang w:val="en-US"/>
        </w:rPr>
        <w:t>Collewaert</w:t>
      </w:r>
      <w:proofErr w:type="spellEnd"/>
      <w:r w:rsidRPr="008E026B">
        <w:rPr>
          <w:rFonts w:ascii="Times New Roman" w:hAnsi="Times New Roman" w:cs="Times New Roman"/>
          <w:sz w:val="24"/>
          <w:szCs w:val="24"/>
          <w:lang w:val="en-US"/>
        </w:rPr>
        <w:t xml:space="preserve">, V. (2014) Trust Between Entrepreneurs and Angel Investors: Exploring Positive and Negative Implications for Venture Performance Assessment. </w:t>
      </w:r>
      <w:r w:rsidRPr="008E026B">
        <w:rPr>
          <w:rFonts w:ascii="Times New Roman" w:hAnsi="Times New Roman" w:cs="Times New Roman"/>
          <w:i/>
          <w:sz w:val="24"/>
          <w:szCs w:val="24"/>
          <w:lang w:val="en-US"/>
        </w:rPr>
        <w:t xml:space="preserve">Journal of Management </w:t>
      </w:r>
      <w:r w:rsidRPr="008E026B">
        <w:rPr>
          <w:rFonts w:ascii="Times New Roman" w:hAnsi="Times New Roman" w:cs="Times New Roman"/>
          <w:sz w:val="24"/>
          <w:szCs w:val="24"/>
          <w:lang w:val="en-US"/>
        </w:rPr>
        <w:t>40(7): 1980-2008.</w:t>
      </w:r>
    </w:p>
    <w:p w14:paraId="1D7B8D2E"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Braun, K.W. (2001) The Disposition of Audit-Detected Misstatements: An Examination of Risk and Reward Factors and Aggregation Effects. </w:t>
      </w:r>
      <w:r w:rsidRPr="000E701B">
        <w:rPr>
          <w:rFonts w:ascii="Times New Roman" w:eastAsia="Times New Roman" w:hAnsi="Times New Roman" w:cs="Times New Roman"/>
          <w:i/>
          <w:sz w:val="24"/>
          <w:szCs w:val="24"/>
          <w:lang w:val="en-GB" w:eastAsia="de-AT"/>
        </w:rPr>
        <w:t>Contemporary Accounting Review</w:t>
      </w:r>
      <w:r w:rsidRPr="000E701B">
        <w:rPr>
          <w:rFonts w:ascii="Times New Roman" w:eastAsia="Times New Roman" w:hAnsi="Times New Roman" w:cs="Times New Roman"/>
          <w:sz w:val="24"/>
          <w:szCs w:val="24"/>
          <w:lang w:val="en-GB" w:eastAsia="de-AT"/>
        </w:rPr>
        <w:t xml:space="preserve"> 18(1): 71</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99.</w:t>
      </w:r>
    </w:p>
    <w:p w14:paraId="27E3E99D"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Brennan, N.M., and Kirwan, C.E. (2015) Audit Committees: Practices, Practitioners, and Practice of Governance. </w:t>
      </w:r>
      <w:r w:rsidRPr="000E701B">
        <w:rPr>
          <w:rFonts w:ascii="Times New Roman" w:eastAsia="Times New Roman" w:hAnsi="Times New Roman" w:cs="Times New Roman"/>
          <w:i/>
          <w:sz w:val="24"/>
          <w:szCs w:val="24"/>
          <w:lang w:val="en-GB" w:eastAsia="de-AT"/>
        </w:rPr>
        <w:t>Accounting, Auditing &amp; Accountability Journal</w:t>
      </w:r>
      <w:r w:rsidRPr="000E701B">
        <w:rPr>
          <w:rFonts w:ascii="Times New Roman" w:eastAsia="Times New Roman" w:hAnsi="Times New Roman" w:cs="Times New Roman"/>
          <w:sz w:val="24"/>
          <w:szCs w:val="24"/>
          <w:lang w:val="en-GB" w:eastAsia="de-AT"/>
        </w:rPr>
        <w:t xml:space="preserve"> 28(4): 466</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US" w:eastAsia="de-AT"/>
        </w:rPr>
        <w:t>493.</w:t>
      </w:r>
    </w:p>
    <w:p w14:paraId="6D8605F2" w14:textId="77777777" w:rsidR="008C06CF" w:rsidRPr="008E026B" w:rsidRDefault="008C06CF" w:rsidP="009634A6">
      <w:pPr>
        <w:spacing w:line="240" w:lineRule="auto"/>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Brown, H.L., and Johnstone, K.M. (2009) Resolving Disputed Financial Reporting Issues: Effects of Auditor Negotiation Experience and Engagement Risk on Negotiation Process and Outcome. </w:t>
      </w:r>
      <w:r w:rsidRPr="009634A6">
        <w:rPr>
          <w:rFonts w:ascii="Times New Roman" w:hAnsi="Times New Roman" w:cs="Times New Roman"/>
          <w:i/>
          <w:sz w:val="24"/>
          <w:szCs w:val="24"/>
          <w:lang w:val="en-US"/>
        </w:rPr>
        <w:t>Auditing: A Journal of Practice &amp; Theory</w:t>
      </w:r>
      <w:r w:rsidRPr="008E026B">
        <w:rPr>
          <w:rFonts w:ascii="Times New Roman" w:hAnsi="Times New Roman" w:cs="Times New Roman"/>
          <w:sz w:val="24"/>
          <w:szCs w:val="24"/>
          <w:lang w:val="en-US"/>
        </w:rPr>
        <w:t xml:space="preserve"> 28(2)</w:t>
      </w:r>
      <w:r>
        <w:rPr>
          <w:rFonts w:ascii="Times New Roman" w:hAnsi="Times New Roman" w:cs="Times New Roman"/>
          <w:sz w:val="24"/>
          <w:szCs w:val="24"/>
          <w:lang w:val="en-US"/>
        </w:rPr>
        <w:t>:</w:t>
      </w:r>
      <w:r w:rsidRPr="008E026B">
        <w:rPr>
          <w:rFonts w:ascii="Times New Roman" w:hAnsi="Times New Roman" w:cs="Times New Roman"/>
          <w:sz w:val="24"/>
          <w:szCs w:val="24"/>
          <w:lang w:val="en-US"/>
        </w:rPr>
        <w:t xml:space="preserve"> 65-92.</w:t>
      </w:r>
    </w:p>
    <w:p w14:paraId="499F13EB"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Brown, H.L., and Wright, A.M. (2008) Negotiation Research in Accounting. </w:t>
      </w:r>
      <w:r w:rsidRPr="000E701B">
        <w:rPr>
          <w:rFonts w:ascii="Times New Roman" w:eastAsia="Times New Roman" w:hAnsi="Times New Roman" w:cs="Times New Roman"/>
          <w:i/>
          <w:sz w:val="24"/>
          <w:szCs w:val="24"/>
          <w:lang w:val="en-GB" w:eastAsia="de-AT"/>
        </w:rPr>
        <w:t>Accounting Horizons</w:t>
      </w:r>
      <w:r w:rsidRPr="000E701B">
        <w:rPr>
          <w:rFonts w:ascii="Times New Roman" w:eastAsia="Times New Roman" w:hAnsi="Times New Roman" w:cs="Times New Roman"/>
          <w:sz w:val="24"/>
          <w:szCs w:val="24"/>
          <w:lang w:val="en-GB" w:eastAsia="de-AT"/>
        </w:rPr>
        <w:t xml:space="preserve"> 22(1): 91</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109.</w:t>
      </w:r>
    </w:p>
    <w:p w14:paraId="76CBF3B6"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 xml:space="preserve">Butler, J.K. (1999) Trust expectations, information sharing, climate of trust, and negotiation effectiveness and efficiency. </w:t>
      </w:r>
      <w:r w:rsidRPr="006C07E9">
        <w:rPr>
          <w:rFonts w:ascii="Times New Roman" w:eastAsia="Times New Roman" w:hAnsi="Times New Roman" w:cs="Times New Roman"/>
          <w:i/>
          <w:sz w:val="24"/>
          <w:szCs w:val="24"/>
          <w:lang w:val="en-GB" w:eastAsia="de-AT"/>
        </w:rPr>
        <w:t>Group and Organization Management</w:t>
      </w:r>
      <w:r>
        <w:rPr>
          <w:rFonts w:ascii="Times New Roman" w:eastAsia="Times New Roman" w:hAnsi="Times New Roman" w:cs="Times New Roman"/>
          <w:sz w:val="24"/>
          <w:szCs w:val="24"/>
          <w:lang w:val="en-GB" w:eastAsia="de-AT"/>
        </w:rPr>
        <w:t xml:space="preserve"> 24(2): 217-238.</w:t>
      </w:r>
    </w:p>
    <w:p w14:paraId="0951890D" w14:textId="77777777" w:rsidR="008C06CF" w:rsidRDefault="008C06CF" w:rsidP="009634A6">
      <w:pPr>
        <w:spacing w:line="240" w:lineRule="auto"/>
        <w:ind w:left="567" w:hanging="567"/>
        <w:rPr>
          <w:rFonts w:ascii="Times New Roman" w:hAnsi="Times New Roman" w:cs="Times New Roman"/>
          <w:sz w:val="24"/>
          <w:szCs w:val="24"/>
          <w:lang w:val="en-US"/>
        </w:rPr>
      </w:pPr>
      <w:proofErr w:type="spellStart"/>
      <w:r w:rsidRPr="008E026B">
        <w:rPr>
          <w:rFonts w:ascii="Times New Roman" w:hAnsi="Times New Roman" w:cs="Times New Roman"/>
          <w:sz w:val="24"/>
          <w:szCs w:val="24"/>
          <w:lang w:val="en-US"/>
        </w:rPr>
        <w:t>Carmeli</w:t>
      </w:r>
      <w:proofErr w:type="spellEnd"/>
      <w:r w:rsidRPr="008E026B">
        <w:rPr>
          <w:rFonts w:ascii="Times New Roman" w:hAnsi="Times New Roman" w:cs="Times New Roman"/>
          <w:sz w:val="24"/>
          <w:szCs w:val="24"/>
          <w:lang w:val="en-US"/>
        </w:rPr>
        <w:t xml:space="preserve">, A., </w:t>
      </w:r>
      <w:proofErr w:type="spellStart"/>
      <w:r w:rsidRPr="008E026B">
        <w:rPr>
          <w:rFonts w:ascii="Times New Roman" w:hAnsi="Times New Roman" w:cs="Times New Roman"/>
          <w:sz w:val="24"/>
          <w:szCs w:val="24"/>
          <w:lang w:val="en-US"/>
        </w:rPr>
        <w:t>Tishler</w:t>
      </w:r>
      <w:proofErr w:type="spellEnd"/>
      <w:r w:rsidRPr="008E026B">
        <w:rPr>
          <w:rFonts w:ascii="Times New Roman" w:hAnsi="Times New Roman" w:cs="Times New Roman"/>
          <w:sz w:val="24"/>
          <w:szCs w:val="24"/>
          <w:lang w:val="en-US"/>
        </w:rPr>
        <w:t xml:space="preserve">, A., and Edmondson, A. (2011) CEO </w:t>
      </w:r>
      <w:r>
        <w:rPr>
          <w:rFonts w:ascii="Times New Roman" w:hAnsi="Times New Roman" w:cs="Times New Roman"/>
          <w:sz w:val="24"/>
          <w:szCs w:val="24"/>
          <w:lang w:val="en-US"/>
        </w:rPr>
        <w:t>R</w:t>
      </w:r>
      <w:r w:rsidRPr="008E026B">
        <w:rPr>
          <w:rFonts w:ascii="Times New Roman" w:hAnsi="Times New Roman" w:cs="Times New Roman"/>
          <w:sz w:val="24"/>
          <w:szCs w:val="24"/>
          <w:lang w:val="en-US"/>
        </w:rPr>
        <w:t xml:space="preserve">elational </w:t>
      </w:r>
      <w:r>
        <w:rPr>
          <w:rFonts w:ascii="Times New Roman" w:hAnsi="Times New Roman" w:cs="Times New Roman"/>
          <w:sz w:val="24"/>
          <w:szCs w:val="24"/>
          <w:lang w:val="en-US"/>
        </w:rPr>
        <w:t>L</w:t>
      </w:r>
      <w:r w:rsidRPr="008E026B">
        <w:rPr>
          <w:rFonts w:ascii="Times New Roman" w:hAnsi="Times New Roman" w:cs="Times New Roman"/>
          <w:sz w:val="24"/>
          <w:szCs w:val="24"/>
          <w:lang w:val="en-US"/>
        </w:rPr>
        <w:t xml:space="preserve">eadership and </w:t>
      </w:r>
      <w:r>
        <w:rPr>
          <w:rFonts w:ascii="Times New Roman" w:hAnsi="Times New Roman" w:cs="Times New Roman"/>
          <w:sz w:val="24"/>
          <w:szCs w:val="24"/>
          <w:lang w:val="en-US"/>
        </w:rPr>
        <w:t>S</w:t>
      </w:r>
      <w:r w:rsidRPr="008E026B">
        <w:rPr>
          <w:rFonts w:ascii="Times New Roman" w:hAnsi="Times New Roman" w:cs="Times New Roman"/>
          <w:sz w:val="24"/>
          <w:szCs w:val="24"/>
          <w:lang w:val="en-US"/>
        </w:rPr>
        <w:t xml:space="preserve">trategic </w:t>
      </w:r>
      <w:r>
        <w:rPr>
          <w:rFonts w:ascii="Times New Roman" w:hAnsi="Times New Roman" w:cs="Times New Roman"/>
          <w:sz w:val="24"/>
          <w:szCs w:val="24"/>
          <w:lang w:val="en-US"/>
        </w:rPr>
        <w:t>D</w:t>
      </w:r>
      <w:r w:rsidRPr="008E026B">
        <w:rPr>
          <w:rFonts w:ascii="Times New Roman" w:hAnsi="Times New Roman" w:cs="Times New Roman"/>
          <w:sz w:val="24"/>
          <w:szCs w:val="24"/>
          <w:lang w:val="en-US"/>
        </w:rPr>
        <w:t xml:space="preserve">ecision </w:t>
      </w:r>
      <w:r>
        <w:rPr>
          <w:rFonts w:ascii="Times New Roman" w:hAnsi="Times New Roman" w:cs="Times New Roman"/>
          <w:sz w:val="24"/>
          <w:szCs w:val="24"/>
          <w:lang w:val="en-US"/>
        </w:rPr>
        <w:t>Q</w:t>
      </w:r>
      <w:r w:rsidRPr="008E026B">
        <w:rPr>
          <w:rFonts w:ascii="Times New Roman" w:hAnsi="Times New Roman" w:cs="Times New Roman"/>
          <w:sz w:val="24"/>
          <w:szCs w:val="24"/>
          <w:lang w:val="en-US"/>
        </w:rPr>
        <w:t xml:space="preserve">uality in </w:t>
      </w:r>
      <w:r>
        <w:rPr>
          <w:rFonts w:ascii="Times New Roman" w:hAnsi="Times New Roman" w:cs="Times New Roman"/>
          <w:sz w:val="24"/>
          <w:szCs w:val="24"/>
          <w:lang w:val="en-US"/>
        </w:rPr>
        <w:t>T</w:t>
      </w:r>
      <w:r w:rsidRPr="008E026B">
        <w:rPr>
          <w:rFonts w:ascii="Times New Roman" w:hAnsi="Times New Roman" w:cs="Times New Roman"/>
          <w:sz w:val="24"/>
          <w:szCs w:val="24"/>
          <w:lang w:val="en-US"/>
        </w:rPr>
        <w:t xml:space="preserve">op </w:t>
      </w:r>
      <w:r>
        <w:rPr>
          <w:rFonts w:ascii="Times New Roman" w:hAnsi="Times New Roman" w:cs="Times New Roman"/>
          <w:sz w:val="24"/>
          <w:szCs w:val="24"/>
          <w:lang w:val="en-US"/>
        </w:rPr>
        <w:t>M</w:t>
      </w:r>
      <w:r w:rsidRPr="008E026B">
        <w:rPr>
          <w:rFonts w:ascii="Times New Roman" w:hAnsi="Times New Roman" w:cs="Times New Roman"/>
          <w:sz w:val="24"/>
          <w:szCs w:val="24"/>
          <w:lang w:val="en-US"/>
        </w:rPr>
        <w:t xml:space="preserve">anagement </w:t>
      </w:r>
      <w:r>
        <w:rPr>
          <w:rFonts w:ascii="Times New Roman" w:hAnsi="Times New Roman" w:cs="Times New Roman"/>
          <w:sz w:val="24"/>
          <w:szCs w:val="24"/>
          <w:lang w:val="en-US"/>
        </w:rPr>
        <w:t>T</w:t>
      </w:r>
      <w:r w:rsidRPr="008E026B">
        <w:rPr>
          <w:rFonts w:ascii="Times New Roman" w:hAnsi="Times New Roman" w:cs="Times New Roman"/>
          <w:sz w:val="24"/>
          <w:szCs w:val="24"/>
          <w:lang w:val="en-US"/>
        </w:rPr>
        <w:t xml:space="preserve">eams: The Role of Team Trust and Learning from Failure. </w:t>
      </w:r>
      <w:r w:rsidRPr="008E026B">
        <w:rPr>
          <w:rFonts w:ascii="Times New Roman" w:hAnsi="Times New Roman" w:cs="Times New Roman"/>
          <w:i/>
          <w:sz w:val="24"/>
          <w:szCs w:val="24"/>
          <w:lang w:val="en-US"/>
        </w:rPr>
        <w:t>Strategic Organization</w:t>
      </w:r>
      <w:r w:rsidRPr="008E026B">
        <w:rPr>
          <w:rFonts w:ascii="Times New Roman" w:hAnsi="Times New Roman" w:cs="Times New Roman"/>
          <w:sz w:val="24"/>
          <w:szCs w:val="24"/>
          <w:lang w:val="en-US"/>
        </w:rPr>
        <w:t xml:space="preserve"> 10(1): 31-54.</w:t>
      </w:r>
    </w:p>
    <w:p w14:paraId="18037BFC" w14:textId="77777777" w:rsidR="008C06CF" w:rsidRPr="00F974B6" w:rsidRDefault="008C06CF" w:rsidP="009634A6">
      <w:pPr>
        <w:spacing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Carrington, T. (2010) An Analysis of the Demands of a Sufficient Audit: Professional Appearance is What Counts! </w:t>
      </w:r>
      <w:r w:rsidRPr="000B3B67">
        <w:rPr>
          <w:rFonts w:ascii="Times New Roman" w:hAnsi="Times New Roman" w:cs="Times New Roman"/>
          <w:i/>
          <w:sz w:val="24"/>
          <w:szCs w:val="24"/>
          <w:lang w:val="en-US"/>
        </w:rPr>
        <w:t>Critical Perspectives on Accounting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21(8): 669-682.</w:t>
      </w:r>
    </w:p>
    <w:p w14:paraId="58B8383B" w14:textId="77777777" w:rsidR="008C06CF" w:rsidRPr="008E026B" w:rsidRDefault="008C06CF" w:rsidP="009634A6">
      <w:pPr>
        <w:spacing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Cipriano, M., Hamilton, E.L., Vandervelde, S.D. (2017) Has the lack of use of qualified audit opinion turned into the “Rotten Kid” Threat? </w:t>
      </w:r>
      <w:r w:rsidRPr="000B3B67">
        <w:rPr>
          <w:rFonts w:ascii="Times New Roman" w:hAnsi="Times New Roman" w:cs="Times New Roman"/>
          <w:i/>
          <w:sz w:val="24"/>
          <w:szCs w:val="24"/>
          <w:lang w:val="en-US"/>
        </w:rPr>
        <w:t>Critical Perspectives on Accounting</w:t>
      </w:r>
      <w:r>
        <w:rPr>
          <w:rFonts w:ascii="Times New Roman" w:hAnsi="Times New Roman" w:cs="Times New Roman"/>
          <w:sz w:val="24"/>
          <w:szCs w:val="24"/>
          <w:lang w:val="en-US"/>
        </w:rPr>
        <w:t xml:space="preserve"> 47:26-38.</w:t>
      </w:r>
    </w:p>
    <w:p w14:paraId="2E52066D" w14:textId="77777777" w:rsidR="008C06CF" w:rsidRPr="008E026B" w:rsidRDefault="008C06CF" w:rsidP="009634A6">
      <w:pPr>
        <w:spacing w:line="240" w:lineRule="auto"/>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Colquitt, J.A., Scott, B.A., and </w:t>
      </w:r>
      <w:proofErr w:type="spellStart"/>
      <w:r w:rsidRPr="008E026B">
        <w:rPr>
          <w:rFonts w:ascii="Times New Roman" w:hAnsi="Times New Roman" w:cs="Times New Roman"/>
          <w:sz w:val="24"/>
          <w:szCs w:val="24"/>
          <w:lang w:val="en-US"/>
        </w:rPr>
        <w:t>LePine</w:t>
      </w:r>
      <w:proofErr w:type="spellEnd"/>
      <w:r w:rsidRPr="008E026B">
        <w:rPr>
          <w:rFonts w:ascii="Times New Roman" w:hAnsi="Times New Roman" w:cs="Times New Roman"/>
          <w:sz w:val="24"/>
          <w:szCs w:val="24"/>
          <w:lang w:val="en-US"/>
        </w:rPr>
        <w:t xml:space="preserve">, J.A. (2007) Trust, Trustworthiness, and Trust Propensity: A Meta-Analytic Test of Their Unique Relationships </w:t>
      </w:r>
      <w:proofErr w:type="gramStart"/>
      <w:r w:rsidRPr="008E026B">
        <w:rPr>
          <w:rFonts w:ascii="Times New Roman" w:hAnsi="Times New Roman" w:cs="Times New Roman"/>
          <w:sz w:val="24"/>
          <w:szCs w:val="24"/>
          <w:lang w:val="en-US"/>
        </w:rPr>
        <w:t>With</w:t>
      </w:r>
      <w:proofErr w:type="gramEnd"/>
      <w:r w:rsidRPr="008E026B">
        <w:rPr>
          <w:rFonts w:ascii="Times New Roman" w:hAnsi="Times New Roman" w:cs="Times New Roman"/>
          <w:sz w:val="24"/>
          <w:szCs w:val="24"/>
          <w:lang w:val="en-US"/>
        </w:rPr>
        <w:t xml:space="preserve"> Risk Taking and Job Performance. </w:t>
      </w:r>
      <w:r w:rsidRPr="008E026B">
        <w:rPr>
          <w:rFonts w:ascii="Times New Roman" w:hAnsi="Times New Roman" w:cs="Times New Roman"/>
          <w:i/>
          <w:sz w:val="24"/>
          <w:szCs w:val="24"/>
          <w:lang w:val="en-US"/>
        </w:rPr>
        <w:t>Journal of Applied Psychology</w:t>
      </w:r>
      <w:r w:rsidRPr="008E026B">
        <w:rPr>
          <w:rFonts w:ascii="Times New Roman" w:hAnsi="Times New Roman" w:cs="Times New Roman"/>
          <w:sz w:val="24"/>
          <w:szCs w:val="24"/>
          <w:lang w:val="en-US"/>
        </w:rPr>
        <w:t xml:space="preserve"> 92(4): 909-927.</w:t>
      </w:r>
    </w:p>
    <w:p w14:paraId="1BCD5905"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9634A6">
        <w:rPr>
          <w:rFonts w:ascii="Times New Roman" w:eastAsia="Times New Roman" w:hAnsi="Times New Roman" w:cs="Times New Roman"/>
          <w:sz w:val="24"/>
          <w:szCs w:val="24"/>
          <w:lang w:val="en-US" w:eastAsia="de-AT"/>
        </w:rPr>
        <w:t xml:space="preserve">Das, T. K., and Teng, B. S. (2001) </w:t>
      </w:r>
      <w:r w:rsidRPr="00DB1E80">
        <w:rPr>
          <w:rFonts w:ascii="Times New Roman" w:eastAsia="Times New Roman" w:hAnsi="Times New Roman" w:cs="Times New Roman"/>
          <w:sz w:val="24"/>
          <w:szCs w:val="24"/>
          <w:lang w:val="en-GB" w:eastAsia="de-AT"/>
        </w:rPr>
        <w:t xml:space="preserve">Trust, control, and risk in strategic alliances: An integrated framework. </w:t>
      </w:r>
      <w:r w:rsidRPr="009634A6">
        <w:rPr>
          <w:rFonts w:ascii="Times New Roman" w:eastAsia="Times New Roman" w:hAnsi="Times New Roman" w:cs="Times New Roman"/>
          <w:i/>
          <w:sz w:val="24"/>
          <w:szCs w:val="24"/>
          <w:lang w:val="en-GB" w:eastAsia="de-AT"/>
        </w:rPr>
        <w:t xml:space="preserve">Organization </w:t>
      </w:r>
      <w:r>
        <w:rPr>
          <w:rFonts w:ascii="Times New Roman" w:eastAsia="Times New Roman" w:hAnsi="Times New Roman" w:cs="Times New Roman"/>
          <w:i/>
          <w:sz w:val="24"/>
          <w:szCs w:val="24"/>
          <w:lang w:val="en-GB" w:eastAsia="de-AT"/>
        </w:rPr>
        <w:t>S</w:t>
      </w:r>
      <w:r w:rsidRPr="009634A6">
        <w:rPr>
          <w:rFonts w:ascii="Times New Roman" w:eastAsia="Times New Roman" w:hAnsi="Times New Roman" w:cs="Times New Roman"/>
          <w:i/>
          <w:sz w:val="24"/>
          <w:szCs w:val="24"/>
          <w:lang w:val="en-GB" w:eastAsia="de-AT"/>
        </w:rPr>
        <w:t>tudies</w:t>
      </w:r>
      <w:r w:rsidRPr="00DB1E80">
        <w:rPr>
          <w:rFonts w:ascii="Times New Roman" w:eastAsia="Times New Roman" w:hAnsi="Times New Roman" w:cs="Times New Roman"/>
          <w:sz w:val="24"/>
          <w:szCs w:val="24"/>
          <w:lang w:val="en-GB" w:eastAsia="de-AT"/>
        </w:rPr>
        <w:t xml:space="preserve"> 22(2)</w:t>
      </w:r>
      <w:r>
        <w:rPr>
          <w:rFonts w:ascii="Times New Roman" w:eastAsia="Times New Roman" w:hAnsi="Times New Roman" w:cs="Times New Roman"/>
          <w:sz w:val="24"/>
          <w:szCs w:val="24"/>
          <w:lang w:val="en-GB" w:eastAsia="de-AT"/>
        </w:rPr>
        <w:t>:</w:t>
      </w:r>
      <w:r w:rsidRPr="00DB1E80">
        <w:rPr>
          <w:rFonts w:ascii="Times New Roman" w:eastAsia="Times New Roman" w:hAnsi="Times New Roman" w:cs="Times New Roman"/>
          <w:sz w:val="24"/>
          <w:szCs w:val="24"/>
          <w:lang w:val="en-GB" w:eastAsia="de-AT"/>
        </w:rPr>
        <w:t xml:space="preserve"> 251-283.</w:t>
      </w:r>
    </w:p>
    <w:p w14:paraId="2FDCCAFE" w14:textId="77777777" w:rsidR="008C06CF" w:rsidRPr="008E026B" w:rsidRDefault="008C06CF" w:rsidP="009634A6">
      <w:pPr>
        <w:spacing w:line="240" w:lineRule="auto"/>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De Jong, B.A., and </w:t>
      </w:r>
      <w:proofErr w:type="spellStart"/>
      <w:r w:rsidRPr="008E026B">
        <w:rPr>
          <w:rFonts w:ascii="Times New Roman" w:hAnsi="Times New Roman" w:cs="Times New Roman"/>
          <w:sz w:val="24"/>
          <w:szCs w:val="24"/>
          <w:lang w:val="en-US"/>
        </w:rPr>
        <w:t>Elfring</w:t>
      </w:r>
      <w:proofErr w:type="spellEnd"/>
      <w:r w:rsidRPr="008E026B">
        <w:rPr>
          <w:rFonts w:ascii="Times New Roman" w:hAnsi="Times New Roman" w:cs="Times New Roman"/>
          <w:sz w:val="24"/>
          <w:szCs w:val="24"/>
          <w:lang w:val="en-US"/>
        </w:rPr>
        <w:t xml:space="preserve">, T. (2010) How Does Trust Affect the Performance of Ongoing Teams? The Mediating Role of Reflexivity, Monitoring, and Effort. </w:t>
      </w:r>
      <w:r w:rsidRPr="008E026B">
        <w:rPr>
          <w:rFonts w:ascii="Times New Roman" w:hAnsi="Times New Roman" w:cs="Times New Roman"/>
          <w:i/>
          <w:sz w:val="24"/>
          <w:szCs w:val="24"/>
          <w:lang w:val="en-US"/>
        </w:rPr>
        <w:t>Academy of Management Journal</w:t>
      </w:r>
      <w:r w:rsidRPr="008E026B">
        <w:rPr>
          <w:rFonts w:ascii="Times New Roman" w:hAnsi="Times New Roman" w:cs="Times New Roman"/>
          <w:sz w:val="24"/>
          <w:szCs w:val="24"/>
          <w:lang w:val="en-US"/>
        </w:rPr>
        <w:t xml:space="preserve"> 53(3): 535-549.</w:t>
      </w:r>
    </w:p>
    <w:p w14:paraId="44643243" w14:textId="77777777" w:rsidR="008C06CF" w:rsidRPr="008E026B" w:rsidRDefault="008C06CF" w:rsidP="009634A6">
      <w:pPr>
        <w:spacing w:line="240" w:lineRule="auto"/>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De Ruyter, K., and </w:t>
      </w:r>
      <w:proofErr w:type="spellStart"/>
      <w:r w:rsidRPr="008E026B">
        <w:rPr>
          <w:rFonts w:ascii="Times New Roman" w:hAnsi="Times New Roman" w:cs="Times New Roman"/>
          <w:sz w:val="24"/>
          <w:szCs w:val="24"/>
          <w:lang w:val="en-US"/>
        </w:rPr>
        <w:t>Wetzels</w:t>
      </w:r>
      <w:proofErr w:type="spellEnd"/>
      <w:r w:rsidRPr="008E026B">
        <w:rPr>
          <w:rFonts w:ascii="Times New Roman" w:hAnsi="Times New Roman" w:cs="Times New Roman"/>
          <w:sz w:val="24"/>
          <w:szCs w:val="24"/>
          <w:lang w:val="en-US"/>
        </w:rPr>
        <w:t xml:space="preserve">, M. (1999) Commitment in auditor-client relationships: antecedents and consequences. </w:t>
      </w:r>
      <w:r w:rsidRPr="00A96659">
        <w:rPr>
          <w:rFonts w:ascii="Times New Roman" w:hAnsi="Times New Roman" w:cs="Times New Roman"/>
          <w:i/>
          <w:iCs/>
          <w:sz w:val="24"/>
          <w:szCs w:val="24"/>
          <w:lang w:val="en-US"/>
        </w:rPr>
        <w:t>Accounting, Organizations and Society</w:t>
      </w:r>
      <w:r w:rsidRPr="008E026B">
        <w:rPr>
          <w:rFonts w:ascii="Times New Roman" w:hAnsi="Times New Roman" w:cs="Times New Roman"/>
          <w:sz w:val="24"/>
          <w:szCs w:val="24"/>
          <w:lang w:val="en-US"/>
        </w:rPr>
        <w:t xml:space="preserve"> 24, 57-75.</w:t>
      </w:r>
    </w:p>
    <w:p w14:paraId="52E912D3" w14:textId="77777777" w:rsidR="008C06CF" w:rsidRPr="008E026B" w:rsidRDefault="008C06CF" w:rsidP="009634A6">
      <w:pPr>
        <w:spacing w:line="240" w:lineRule="auto"/>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Dirks, K.T., and </w:t>
      </w:r>
      <w:proofErr w:type="spellStart"/>
      <w:r w:rsidRPr="008E026B">
        <w:rPr>
          <w:rFonts w:ascii="Times New Roman" w:hAnsi="Times New Roman" w:cs="Times New Roman"/>
          <w:sz w:val="24"/>
          <w:szCs w:val="24"/>
          <w:lang w:val="en-US"/>
        </w:rPr>
        <w:t>Ferrin</w:t>
      </w:r>
      <w:proofErr w:type="spellEnd"/>
      <w:r w:rsidRPr="008E026B">
        <w:rPr>
          <w:rFonts w:ascii="Times New Roman" w:hAnsi="Times New Roman" w:cs="Times New Roman"/>
          <w:sz w:val="24"/>
          <w:szCs w:val="24"/>
          <w:lang w:val="en-US"/>
        </w:rPr>
        <w:t xml:space="preserve">, D.L. (2001) The Role of Trust in Organizational Settings. </w:t>
      </w:r>
      <w:r w:rsidRPr="008E026B">
        <w:rPr>
          <w:rFonts w:ascii="Times New Roman" w:hAnsi="Times New Roman" w:cs="Times New Roman"/>
          <w:i/>
          <w:sz w:val="24"/>
          <w:szCs w:val="24"/>
          <w:lang w:val="en-US"/>
        </w:rPr>
        <w:t>Organization Science</w:t>
      </w:r>
      <w:r w:rsidRPr="008E026B">
        <w:rPr>
          <w:rFonts w:ascii="Times New Roman" w:hAnsi="Times New Roman" w:cs="Times New Roman"/>
          <w:sz w:val="24"/>
          <w:szCs w:val="24"/>
          <w:lang w:val="en-US"/>
        </w:rPr>
        <w:t xml:space="preserve"> 12(4): 450-467.</w:t>
      </w:r>
    </w:p>
    <w:p w14:paraId="5284045D"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proofErr w:type="spellStart"/>
      <w:r w:rsidRPr="000E701B">
        <w:rPr>
          <w:rFonts w:ascii="Times New Roman" w:eastAsia="Times New Roman" w:hAnsi="Times New Roman" w:cs="Times New Roman"/>
          <w:sz w:val="24"/>
          <w:szCs w:val="24"/>
          <w:lang w:val="en-GB" w:eastAsia="de-AT"/>
        </w:rPr>
        <w:t>Fearnley</w:t>
      </w:r>
      <w:proofErr w:type="spellEnd"/>
      <w:r w:rsidRPr="000E701B">
        <w:rPr>
          <w:rFonts w:ascii="Times New Roman" w:eastAsia="Times New Roman" w:hAnsi="Times New Roman" w:cs="Times New Roman"/>
          <w:sz w:val="24"/>
          <w:szCs w:val="24"/>
          <w:lang w:val="en-GB" w:eastAsia="de-AT"/>
        </w:rPr>
        <w:t xml:space="preserve">, S., Beattie, V.A., and Brandt, R. (2005) Auditor Independence and Audit Risk: A Reconceptualization. </w:t>
      </w:r>
      <w:r w:rsidRPr="000E701B">
        <w:rPr>
          <w:rFonts w:ascii="Times New Roman" w:eastAsia="Times New Roman" w:hAnsi="Times New Roman" w:cs="Times New Roman"/>
          <w:i/>
          <w:sz w:val="24"/>
          <w:szCs w:val="24"/>
          <w:lang w:val="en-GB" w:eastAsia="de-AT"/>
        </w:rPr>
        <w:t>Journal of International Accounting Research</w:t>
      </w:r>
      <w:r w:rsidRPr="000E701B">
        <w:rPr>
          <w:rFonts w:ascii="Times New Roman" w:eastAsia="Times New Roman" w:hAnsi="Times New Roman" w:cs="Times New Roman"/>
          <w:sz w:val="24"/>
          <w:szCs w:val="24"/>
          <w:lang w:val="en-GB" w:eastAsia="de-AT"/>
        </w:rPr>
        <w:t xml:space="preserve"> 4(1): 39</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71.</w:t>
      </w:r>
    </w:p>
    <w:p w14:paraId="2DA84A37"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GB" w:eastAsia="de-AT"/>
        </w:rPr>
      </w:pPr>
      <w:proofErr w:type="spellStart"/>
      <w:r w:rsidRPr="009634A6">
        <w:rPr>
          <w:rFonts w:ascii="Times New Roman" w:eastAsia="Times New Roman" w:hAnsi="Times New Roman" w:cs="Times New Roman"/>
          <w:sz w:val="24"/>
          <w:szCs w:val="24"/>
          <w:lang w:val="en-US" w:eastAsia="de-AT"/>
        </w:rPr>
        <w:t>Ferrin</w:t>
      </w:r>
      <w:proofErr w:type="spellEnd"/>
      <w:r w:rsidRPr="009634A6">
        <w:rPr>
          <w:rFonts w:ascii="Times New Roman" w:eastAsia="Times New Roman" w:hAnsi="Times New Roman" w:cs="Times New Roman"/>
          <w:sz w:val="24"/>
          <w:szCs w:val="24"/>
          <w:lang w:val="en-US" w:eastAsia="de-AT"/>
        </w:rPr>
        <w:t xml:space="preserve">, D.L., Bligh, M.C., and </w:t>
      </w:r>
      <w:proofErr w:type="spellStart"/>
      <w:r w:rsidRPr="009634A6">
        <w:rPr>
          <w:rFonts w:ascii="Times New Roman" w:eastAsia="Times New Roman" w:hAnsi="Times New Roman" w:cs="Times New Roman"/>
          <w:sz w:val="24"/>
          <w:szCs w:val="24"/>
          <w:lang w:val="en-US" w:eastAsia="de-AT"/>
        </w:rPr>
        <w:t>Kohles</w:t>
      </w:r>
      <w:proofErr w:type="spellEnd"/>
      <w:r w:rsidRPr="009634A6">
        <w:rPr>
          <w:rFonts w:ascii="Times New Roman" w:eastAsia="Times New Roman" w:hAnsi="Times New Roman" w:cs="Times New Roman"/>
          <w:sz w:val="24"/>
          <w:szCs w:val="24"/>
          <w:lang w:val="en-US" w:eastAsia="de-AT"/>
        </w:rPr>
        <w:t xml:space="preserve">, J.C. (2008). </w:t>
      </w:r>
      <w:r w:rsidRPr="008A1295">
        <w:rPr>
          <w:rFonts w:ascii="Times New Roman" w:eastAsia="Times New Roman" w:hAnsi="Times New Roman" w:cs="Times New Roman"/>
          <w:sz w:val="24"/>
          <w:szCs w:val="24"/>
          <w:lang w:val="en-GB" w:eastAsia="de-AT"/>
        </w:rPr>
        <w:t xml:space="preserve">It </w:t>
      </w:r>
      <w:r>
        <w:rPr>
          <w:rFonts w:ascii="Times New Roman" w:eastAsia="Times New Roman" w:hAnsi="Times New Roman" w:cs="Times New Roman"/>
          <w:sz w:val="24"/>
          <w:szCs w:val="24"/>
          <w:lang w:val="en-GB" w:eastAsia="de-AT"/>
        </w:rPr>
        <w:t>T</w:t>
      </w:r>
      <w:r w:rsidRPr="008A1295">
        <w:rPr>
          <w:rFonts w:ascii="Times New Roman" w:eastAsia="Times New Roman" w:hAnsi="Times New Roman" w:cs="Times New Roman"/>
          <w:sz w:val="24"/>
          <w:szCs w:val="24"/>
          <w:lang w:val="en-GB" w:eastAsia="de-AT"/>
        </w:rPr>
        <w:t xml:space="preserve">akes </w:t>
      </w:r>
      <w:r>
        <w:rPr>
          <w:rFonts w:ascii="Times New Roman" w:eastAsia="Times New Roman" w:hAnsi="Times New Roman" w:cs="Times New Roman"/>
          <w:sz w:val="24"/>
          <w:szCs w:val="24"/>
          <w:lang w:val="en-GB" w:eastAsia="de-AT"/>
        </w:rPr>
        <w:t>T</w:t>
      </w:r>
      <w:r w:rsidRPr="008A1295">
        <w:rPr>
          <w:rFonts w:ascii="Times New Roman" w:eastAsia="Times New Roman" w:hAnsi="Times New Roman" w:cs="Times New Roman"/>
          <w:sz w:val="24"/>
          <w:szCs w:val="24"/>
          <w:lang w:val="en-GB" w:eastAsia="de-AT"/>
        </w:rPr>
        <w:t xml:space="preserve">wo to </w:t>
      </w:r>
      <w:r>
        <w:rPr>
          <w:rFonts w:ascii="Times New Roman" w:eastAsia="Times New Roman" w:hAnsi="Times New Roman" w:cs="Times New Roman"/>
          <w:sz w:val="24"/>
          <w:szCs w:val="24"/>
          <w:lang w:val="en-GB" w:eastAsia="de-AT"/>
        </w:rPr>
        <w:t>T</w:t>
      </w:r>
      <w:r w:rsidRPr="008A1295">
        <w:rPr>
          <w:rFonts w:ascii="Times New Roman" w:eastAsia="Times New Roman" w:hAnsi="Times New Roman" w:cs="Times New Roman"/>
          <w:sz w:val="24"/>
          <w:szCs w:val="24"/>
          <w:lang w:val="en-GB" w:eastAsia="de-AT"/>
        </w:rPr>
        <w:t xml:space="preserve">ango: An </w:t>
      </w:r>
      <w:r>
        <w:rPr>
          <w:rFonts w:ascii="Times New Roman" w:eastAsia="Times New Roman" w:hAnsi="Times New Roman" w:cs="Times New Roman"/>
          <w:sz w:val="24"/>
          <w:szCs w:val="24"/>
          <w:lang w:val="en-GB" w:eastAsia="de-AT"/>
        </w:rPr>
        <w:t>I</w:t>
      </w:r>
      <w:r w:rsidRPr="008A1295">
        <w:rPr>
          <w:rFonts w:ascii="Times New Roman" w:eastAsia="Times New Roman" w:hAnsi="Times New Roman" w:cs="Times New Roman"/>
          <w:sz w:val="24"/>
          <w:szCs w:val="24"/>
          <w:lang w:val="en-GB" w:eastAsia="de-AT"/>
        </w:rPr>
        <w:t xml:space="preserve">nterdependence </w:t>
      </w:r>
      <w:r>
        <w:rPr>
          <w:rFonts w:ascii="Times New Roman" w:eastAsia="Times New Roman" w:hAnsi="Times New Roman" w:cs="Times New Roman"/>
          <w:sz w:val="24"/>
          <w:szCs w:val="24"/>
          <w:lang w:val="en-GB" w:eastAsia="de-AT"/>
        </w:rPr>
        <w:t>A</w:t>
      </w:r>
      <w:r w:rsidRPr="008A1295">
        <w:rPr>
          <w:rFonts w:ascii="Times New Roman" w:eastAsia="Times New Roman" w:hAnsi="Times New Roman" w:cs="Times New Roman"/>
          <w:sz w:val="24"/>
          <w:szCs w:val="24"/>
          <w:lang w:val="en-GB" w:eastAsia="de-AT"/>
        </w:rPr>
        <w:t xml:space="preserve">nalysis of the </w:t>
      </w:r>
      <w:proofErr w:type="spellStart"/>
      <w:r>
        <w:rPr>
          <w:rFonts w:ascii="Times New Roman" w:eastAsia="Times New Roman" w:hAnsi="Times New Roman" w:cs="Times New Roman"/>
          <w:sz w:val="24"/>
          <w:szCs w:val="24"/>
          <w:lang w:val="en-GB" w:eastAsia="de-AT"/>
        </w:rPr>
        <w:t>S</w:t>
      </w:r>
      <w:r w:rsidRPr="008A1295">
        <w:rPr>
          <w:rFonts w:ascii="Times New Roman" w:eastAsia="Times New Roman" w:hAnsi="Times New Roman" w:cs="Times New Roman"/>
          <w:sz w:val="24"/>
          <w:szCs w:val="24"/>
          <w:lang w:val="en-GB" w:eastAsia="de-AT"/>
        </w:rPr>
        <w:t>piraling</w:t>
      </w:r>
      <w:proofErr w:type="spellEnd"/>
      <w:r w:rsidRPr="008A1295">
        <w:rPr>
          <w:rFonts w:ascii="Times New Roman" w:eastAsia="Times New Roman" w:hAnsi="Times New Roman" w:cs="Times New Roman"/>
          <w:sz w:val="24"/>
          <w:szCs w:val="24"/>
          <w:lang w:val="en-GB" w:eastAsia="de-AT"/>
        </w:rPr>
        <w:t xml:space="preserve"> of </w:t>
      </w:r>
      <w:r>
        <w:rPr>
          <w:rFonts w:ascii="Times New Roman" w:eastAsia="Times New Roman" w:hAnsi="Times New Roman" w:cs="Times New Roman"/>
          <w:sz w:val="24"/>
          <w:szCs w:val="24"/>
          <w:lang w:val="en-GB" w:eastAsia="de-AT"/>
        </w:rPr>
        <w:t>P</w:t>
      </w:r>
      <w:r w:rsidRPr="008A1295">
        <w:rPr>
          <w:rFonts w:ascii="Times New Roman" w:eastAsia="Times New Roman" w:hAnsi="Times New Roman" w:cs="Times New Roman"/>
          <w:sz w:val="24"/>
          <w:szCs w:val="24"/>
          <w:lang w:val="en-GB" w:eastAsia="de-AT"/>
        </w:rPr>
        <w:t xml:space="preserve">erceived </w:t>
      </w:r>
      <w:r>
        <w:rPr>
          <w:rFonts w:ascii="Times New Roman" w:eastAsia="Times New Roman" w:hAnsi="Times New Roman" w:cs="Times New Roman"/>
          <w:sz w:val="24"/>
          <w:szCs w:val="24"/>
          <w:lang w:val="en-GB" w:eastAsia="de-AT"/>
        </w:rPr>
        <w:t>T</w:t>
      </w:r>
      <w:r w:rsidRPr="008A1295">
        <w:rPr>
          <w:rFonts w:ascii="Times New Roman" w:eastAsia="Times New Roman" w:hAnsi="Times New Roman" w:cs="Times New Roman"/>
          <w:sz w:val="24"/>
          <w:szCs w:val="24"/>
          <w:lang w:val="en-GB" w:eastAsia="de-AT"/>
        </w:rPr>
        <w:t xml:space="preserve">rustworthiness and </w:t>
      </w:r>
      <w:r>
        <w:rPr>
          <w:rFonts w:ascii="Times New Roman" w:eastAsia="Times New Roman" w:hAnsi="Times New Roman" w:cs="Times New Roman"/>
          <w:sz w:val="24"/>
          <w:szCs w:val="24"/>
          <w:lang w:val="en-GB" w:eastAsia="de-AT"/>
        </w:rPr>
        <w:t>C</w:t>
      </w:r>
      <w:r w:rsidRPr="008A1295">
        <w:rPr>
          <w:rFonts w:ascii="Times New Roman" w:eastAsia="Times New Roman" w:hAnsi="Times New Roman" w:cs="Times New Roman"/>
          <w:sz w:val="24"/>
          <w:szCs w:val="24"/>
          <w:lang w:val="en-GB" w:eastAsia="de-AT"/>
        </w:rPr>
        <w:t xml:space="preserve">ooperation in </w:t>
      </w:r>
      <w:r>
        <w:rPr>
          <w:rFonts w:ascii="Times New Roman" w:eastAsia="Times New Roman" w:hAnsi="Times New Roman" w:cs="Times New Roman"/>
          <w:sz w:val="24"/>
          <w:szCs w:val="24"/>
          <w:lang w:val="en-GB" w:eastAsia="de-AT"/>
        </w:rPr>
        <w:t>I</w:t>
      </w:r>
      <w:r w:rsidRPr="008A1295">
        <w:rPr>
          <w:rFonts w:ascii="Times New Roman" w:eastAsia="Times New Roman" w:hAnsi="Times New Roman" w:cs="Times New Roman"/>
          <w:sz w:val="24"/>
          <w:szCs w:val="24"/>
          <w:lang w:val="en-GB" w:eastAsia="de-AT"/>
        </w:rPr>
        <w:t xml:space="preserve">nterpersonal </w:t>
      </w:r>
      <w:r w:rsidRPr="008A1295">
        <w:rPr>
          <w:rFonts w:ascii="Times New Roman" w:eastAsia="Times New Roman" w:hAnsi="Times New Roman" w:cs="Times New Roman"/>
          <w:sz w:val="24"/>
          <w:szCs w:val="24"/>
          <w:lang w:val="en-GB" w:eastAsia="de-AT"/>
        </w:rPr>
        <w:lastRenderedPageBreak/>
        <w:t xml:space="preserve">and </w:t>
      </w:r>
      <w:r>
        <w:rPr>
          <w:rFonts w:ascii="Times New Roman" w:eastAsia="Times New Roman" w:hAnsi="Times New Roman" w:cs="Times New Roman"/>
          <w:sz w:val="24"/>
          <w:szCs w:val="24"/>
          <w:lang w:val="en-GB" w:eastAsia="de-AT"/>
        </w:rPr>
        <w:t>I</w:t>
      </w:r>
      <w:r w:rsidRPr="008A1295">
        <w:rPr>
          <w:rFonts w:ascii="Times New Roman" w:eastAsia="Times New Roman" w:hAnsi="Times New Roman" w:cs="Times New Roman"/>
          <w:sz w:val="24"/>
          <w:szCs w:val="24"/>
          <w:lang w:val="en-GB" w:eastAsia="de-AT"/>
        </w:rPr>
        <w:t xml:space="preserve">ntergroup </w:t>
      </w:r>
      <w:r>
        <w:rPr>
          <w:rFonts w:ascii="Times New Roman" w:eastAsia="Times New Roman" w:hAnsi="Times New Roman" w:cs="Times New Roman"/>
          <w:sz w:val="24"/>
          <w:szCs w:val="24"/>
          <w:lang w:val="en-GB" w:eastAsia="de-AT"/>
        </w:rPr>
        <w:t>R</w:t>
      </w:r>
      <w:r w:rsidRPr="008A1295">
        <w:rPr>
          <w:rFonts w:ascii="Times New Roman" w:eastAsia="Times New Roman" w:hAnsi="Times New Roman" w:cs="Times New Roman"/>
          <w:sz w:val="24"/>
          <w:szCs w:val="24"/>
          <w:lang w:val="en-GB" w:eastAsia="de-AT"/>
        </w:rPr>
        <w:t xml:space="preserve">elationships. </w:t>
      </w:r>
      <w:r w:rsidRPr="009634A6">
        <w:rPr>
          <w:rFonts w:ascii="Times New Roman" w:eastAsia="Times New Roman" w:hAnsi="Times New Roman" w:cs="Times New Roman"/>
          <w:i/>
          <w:sz w:val="24"/>
          <w:szCs w:val="24"/>
          <w:lang w:val="en-GB" w:eastAsia="de-AT"/>
        </w:rPr>
        <w:t xml:space="preserve">Organizational </w:t>
      </w:r>
      <w:proofErr w:type="spellStart"/>
      <w:r w:rsidRPr="009634A6">
        <w:rPr>
          <w:rFonts w:ascii="Times New Roman" w:eastAsia="Times New Roman" w:hAnsi="Times New Roman" w:cs="Times New Roman"/>
          <w:i/>
          <w:sz w:val="24"/>
          <w:szCs w:val="24"/>
          <w:lang w:val="en-GB" w:eastAsia="de-AT"/>
        </w:rPr>
        <w:t>Behavior</w:t>
      </w:r>
      <w:proofErr w:type="spellEnd"/>
      <w:r w:rsidRPr="009634A6">
        <w:rPr>
          <w:rFonts w:ascii="Times New Roman" w:eastAsia="Times New Roman" w:hAnsi="Times New Roman" w:cs="Times New Roman"/>
          <w:i/>
          <w:sz w:val="24"/>
          <w:szCs w:val="24"/>
          <w:lang w:val="en-GB" w:eastAsia="de-AT"/>
        </w:rPr>
        <w:t xml:space="preserve"> and Human Decision Processes</w:t>
      </w:r>
      <w:r w:rsidRPr="008A1295">
        <w:rPr>
          <w:rFonts w:ascii="Times New Roman" w:eastAsia="Times New Roman" w:hAnsi="Times New Roman" w:cs="Times New Roman"/>
          <w:sz w:val="24"/>
          <w:szCs w:val="24"/>
          <w:lang w:val="en-GB" w:eastAsia="de-AT"/>
        </w:rPr>
        <w:t xml:space="preserve"> 107(2)</w:t>
      </w:r>
      <w:r>
        <w:rPr>
          <w:rFonts w:ascii="Times New Roman" w:eastAsia="Times New Roman" w:hAnsi="Times New Roman" w:cs="Times New Roman"/>
          <w:sz w:val="24"/>
          <w:szCs w:val="24"/>
          <w:lang w:val="en-GB" w:eastAsia="de-AT"/>
        </w:rPr>
        <w:t>:</w:t>
      </w:r>
      <w:r w:rsidRPr="008A1295">
        <w:rPr>
          <w:rFonts w:ascii="Times New Roman" w:eastAsia="Times New Roman" w:hAnsi="Times New Roman" w:cs="Times New Roman"/>
          <w:sz w:val="24"/>
          <w:szCs w:val="24"/>
          <w:lang w:val="en-GB" w:eastAsia="de-AT"/>
        </w:rPr>
        <w:t xml:space="preserve"> 161-178.</w:t>
      </w:r>
    </w:p>
    <w:p w14:paraId="2C33DF12" w14:textId="77777777" w:rsidR="008C06CF" w:rsidRPr="008E026B" w:rsidRDefault="008C06CF" w:rsidP="009634A6">
      <w:pPr>
        <w:spacing w:line="240" w:lineRule="auto"/>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Fink, M., and Kessler, A. (2010) Cooperation, Trust and Performance: Empirical Results from Three Countries. </w:t>
      </w:r>
      <w:r w:rsidRPr="009634A6">
        <w:rPr>
          <w:rFonts w:ascii="Times New Roman" w:hAnsi="Times New Roman" w:cs="Times New Roman"/>
          <w:i/>
          <w:sz w:val="24"/>
          <w:szCs w:val="24"/>
          <w:lang w:val="en-US"/>
        </w:rPr>
        <w:t>British Journal of Management</w:t>
      </w:r>
      <w:r w:rsidRPr="009634A6">
        <w:rPr>
          <w:rFonts w:ascii="Times New Roman" w:hAnsi="Times New Roman" w:cs="Times New Roman"/>
          <w:sz w:val="24"/>
          <w:szCs w:val="24"/>
          <w:lang w:val="en-US"/>
        </w:rPr>
        <w:t xml:space="preserve"> 21(2): 469-483.</w:t>
      </w:r>
    </w:p>
    <w:p w14:paraId="5D018D21" w14:textId="77777777" w:rsidR="008C06CF" w:rsidRPr="000E701B" w:rsidRDefault="008C06CF" w:rsidP="008C0939">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Fink, M., Harms, R., and </w:t>
      </w:r>
      <w:proofErr w:type="spellStart"/>
      <w:r w:rsidRPr="000E701B">
        <w:rPr>
          <w:rFonts w:ascii="Times New Roman" w:eastAsia="Times New Roman" w:hAnsi="Times New Roman" w:cs="Times New Roman"/>
          <w:sz w:val="24"/>
          <w:szCs w:val="24"/>
          <w:lang w:val="en-GB" w:eastAsia="de-AT"/>
        </w:rPr>
        <w:t>Hatak</w:t>
      </w:r>
      <w:proofErr w:type="spellEnd"/>
      <w:r w:rsidRPr="000E701B">
        <w:rPr>
          <w:rFonts w:ascii="Times New Roman" w:eastAsia="Times New Roman" w:hAnsi="Times New Roman" w:cs="Times New Roman"/>
          <w:sz w:val="24"/>
          <w:szCs w:val="24"/>
          <w:lang w:val="en-GB" w:eastAsia="de-AT"/>
        </w:rPr>
        <w:t xml:space="preserve">, I. (2012) </w:t>
      </w:r>
      <w:hyperlink r:id="rId9" w:history="1">
        <w:r w:rsidRPr="000E701B">
          <w:rPr>
            <w:rFonts w:ascii="Times New Roman" w:eastAsia="Times New Roman" w:hAnsi="Times New Roman" w:cs="Times New Roman"/>
            <w:sz w:val="24"/>
            <w:szCs w:val="24"/>
            <w:lang w:val="en-GB" w:eastAsia="de-AT"/>
          </w:rPr>
          <w:t xml:space="preserve">Nanotechnology and Ethics: The Role of Regulation versus Self-Commitment in Shaping Researchers’ </w:t>
        </w:r>
        <w:proofErr w:type="spellStart"/>
        <w:r w:rsidRPr="000E701B">
          <w:rPr>
            <w:rFonts w:ascii="Times New Roman" w:eastAsia="Times New Roman" w:hAnsi="Times New Roman" w:cs="Times New Roman"/>
            <w:sz w:val="24"/>
            <w:szCs w:val="24"/>
            <w:lang w:val="en-GB" w:eastAsia="de-AT"/>
          </w:rPr>
          <w:t>Behavior</w:t>
        </w:r>
        <w:proofErr w:type="spellEnd"/>
      </w:hyperlink>
      <w:r w:rsidRPr="000E701B">
        <w:rPr>
          <w:rFonts w:ascii="Times New Roman" w:eastAsia="Times New Roman" w:hAnsi="Times New Roman" w:cs="Times New Roman"/>
          <w:sz w:val="24"/>
          <w:szCs w:val="24"/>
          <w:lang w:val="en-GB" w:eastAsia="de-AT"/>
        </w:rPr>
        <w:t xml:space="preserve">. </w:t>
      </w:r>
      <w:r w:rsidRPr="000E701B">
        <w:rPr>
          <w:rFonts w:ascii="Times New Roman" w:eastAsia="Times New Roman" w:hAnsi="Times New Roman" w:cs="Times New Roman"/>
          <w:i/>
          <w:sz w:val="24"/>
          <w:szCs w:val="24"/>
          <w:lang w:val="en-GB" w:eastAsia="de-AT"/>
        </w:rPr>
        <w:t>Journal of Business Ethics</w:t>
      </w:r>
      <w:r w:rsidRPr="000E701B">
        <w:rPr>
          <w:rFonts w:ascii="Times New Roman" w:eastAsia="Times New Roman" w:hAnsi="Times New Roman" w:cs="Times New Roman"/>
          <w:sz w:val="24"/>
          <w:szCs w:val="24"/>
          <w:lang w:val="en-GB" w:eastAsia="de-AT"/>
        </w:rPr>
        <w:t xml:space="preserve"> 109(4): 569</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581.</w:t>
      </w:r>
    </w:p>
    <w:p w14:paraId="1F9011CB" w14:textId="77777777" w:rsidR="008C06CF" w:rsidRDefault="008C06CF" w:rsidP="008C06CF">
      <w:pPr>
        <w:spacing w:line="240" w:lineRule="auto"/>
        <w:ind w:left="567" w:hanging="567"/>
        <w:jc w:val="both"/>
        <w:rPr>
          <w:rFonts w:ascii="Times New Roman" w:eastAsia="Times New Roman" w:hAnsi="Times New Roman" w:cs="Times New Roman"/>
          <w:sz w:val="24"/>
          <w:szCs w:val="24"/>
          <w:lang w:val="en-US" w:eastAsia="de-AT"/>
        </w:rPr>
      </w:pPr>
      <w:proofErr w:type="spellStart"/>
      <w:r w:rsidRPr="008C06CF">
        <w:rPr>
          <w:rFonts w:ascii="Times New Roman" w:eastAsia="Times New Roman" w:hAnsi="Times New Roman" w:cs="Times New Roman"/>
          <w:sz w:val="24"/>
          <w:szCs w:val="24"/>
          <w:lang w:val="en-US" w:eastAsia="de-AT"/>
        </w:rPr>
        <w:t>Galesic</w:t>
      </w:r>
      <w:proofErr w:type="spellEnd"/>
      <w:r w:rsidRPr="008C06CF">
        <w:rPr>
          <w:rFonts w:ascii="Times New Roman" w:eastAsia="Times New Roman" w:hAnsi="Times New Roman" w:cs="Times New Roman"/>
          <w:sz w:val="24"/>
          <w:szCs w:val="24"/>
          <w:lang w:val="en-US" w:eastAsia="de-AT"/>
        </w:rPr>
        <w:t xml:space="preserve">, M., &amp; </w:t>
      </w:r>
      <w:proofErr w:type="spellStart"/>
      <w:r w:rsidRPr="008C06CF">
        <w:rPr>
          <w:rFonts w:ascii="Times New Roman" w:eastAsia="Times New Roman" w:hAnsi="Times New Roman" w:cs="Times New Roman"/>
          <w:sz w:val="24"/>
          <w:szCs w:val="24"/>
          <w:lang w:val="en-US" w:eastAsia="de-AT"/>
        </w:rPr>
        <w:t>Bosnjak</w:t>
      </w:r>
      <w:proofErr w:type="spellEnd"/>
      <w:r w:rsidRPr="008C06CF">
        <w:rPr>
          <w:rFonts w:ascii="Times New Roman" w:eastAsia="Times New Roman" w:hAnsi="Times New Roman" w:cs="Times New Roman"/>
          <w:sz w:val="24"/>
          <w:szCs w:val="24"/>
          <w:lang w:val="en-US" w:eastAsia="de-AT"/>
        </w:rPr>
        <w:t xml:space="preserve">, M. (2009) Effects of questionnaire length on participation and indicators of response quality in a web survey. </w:t>
      </w:r>
      <w:r w:rsidRPr="008C06CF">
        <w:rPr>
          <w:rFonts w:ascii="Times New Roman" w:eastAsia="Times New Roman" w:hAnsi="Times New Roman" w:cs="Times New Roman"/>
          <w:i/>
          <w:iCs/>
          <w:sz w:val="24"/>
          <w:szCs w:val="24"/>
          <w:lang w:val="en-US" w:eastAsia="de-AT"/>
        </w:rPr>
        <w:t>Public Opinion Quarterly</w:t>
      </w:r>
      <w:r w:rsidRPr="008C06CF">
        <w:rPr>
          <w:rFonts w:ascii="Times New Roman" w:eastAsia="Times New Roman" w:hAnsi="Times New Roman" w:cs="Times New Roman"/>
          <w:sz w:val="24"/>
          <w:szCs w:val="24"/>
          <w:lang w:val="en-US" w:eastAsia="de-AT"/>
        </w:rPr>
        <w:t>, 73(2), 349-360.</w:t>
      </w:r>
    </w:p>
    <w:p w14:paraId="75075450"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F83307">
        <w:rPr>
          <w:rFonts w:ascii="Times New Roman" w:eastAsia="Times New Roman" w:hAnsi="Times New Roman" w:cs="Times New Roman"/>
          <w:sz w:val="24"/>
          <w:szCs w:val="24"/>
          <w:lang w:val="en-GB" w:eastAsia="de-AT"/>
        </w:rPr>
        <w:t>Gibbins, M</w:t>
      </w:r>
      <w:r>
        <w:rPr>
          <w:rFonts w:ascii="Times New Roman" w:eastAsia="Times New Roman" w:hAnsi="Times New Roman" w:cs="Times New Roman"/>
          <w:sz w:val="24"/>
          <w:szCs w:val="24"/>
          <w:lang w:val="en-GB" w:eastAsia="de-AT"/>
        </w:rPr>
        <w:t>.</w:t>
      </w:r>
      <w:r w:rsidRPr="00F83307">
        <w:rPr>
          <w:rFonts w:ascii="Times New Roman" w:eastAsia="Times New Roman" w:hAnsi="Times New Roman" w:cs="Times New Roman"/>
          <w:sz w:val="24"/>
          <w:szCs w:val="24"/>
          <w:lang w:val="en-GB" w:eastAsia="de-AT"/>
        </w:rPr>
        <w:t xml:space="preserve">, McCracken, S. </w:t>
      </w:r>
      <w:r>
        <w:rPr>
          <w:rFonts w:ascii="Times New Roman" w:eastAsia="Times New Roman" w:hAnsi="Times New Roman" w:cs="Times New Roman"/>
          <w:sz w:val="24"/>
          <w:szCs w:val="24"/>
          <w:lang w:val="en-GB" w:eastAsia="de-AT"/>
        </w:rPr>
        <w:t xml:space="preserve">and </w:t>
      </w:r>
      <w:proofErr w:type="spellStart"/>
      <w:r>
        <w:rPr>
          <w:rFonts w:ascii="Times New Roman" w:eastAsia="Times New Roman" w:hAnsi="Times New Roman" w:cs="Times New Roman"/>
          <w:sz w:val="24"/>
          <w:szCs w:val="24"/>
          <w:lang w:val="en-GB" w:eastAsia="de-AT"/>
        </w:rPr>
        <w:t>Salterio</w:t>
      </w:r>
      <w:proofErr w:type="spellEnd"/>
      <w:r>
        <w:rPr>
          <w:rFonts w:ascii="Times New Roman" w:eastAsia="Times New Roman" w:hAnsi="Times New Roman" w:cs="Times New Roman"/>
          <w:sz w:val="24"/>
          <w:szCs w:val="24"/>
          <w:lang w:val="en-GB" w:eastAsia="de-AT"/>
        </w:rPr>
        <w:t>, S.E. (2007</w:t>
      </w:r>
      <w:r w:rsidRPr="00F83307">
        <w:rPr>
          <w:rFonts w:ascii="Times New Roman" w:eastAsia="Times New Roman" w:hAnsi="Times New Roman" w:cs="Times New Roman"/>
          <w:sz w:val="24"/>
          <w:szCs w:val="24"/>
          <w:lang w:val="en-GB" w:eastAsia="de-AT"/>
        </w:rPr>
        <w:t>)</w:t>
      </w:r>
      <w:r>
        <w:rPr>
          <w:rFonts w:ascii="Times New Roman" w:eastAsia="Times New Roman" w:hAnsi="Times New Roman" w:cs="Times New Roman"/>
          <w:sz w:val="24"/>
          <w:szCs w:val="24"/>
          <w:lang w:val="en-GB" w:eastAsia="de-AT"/>
        </w:rPr>
        <w:t xml:space="preserve"> The Chief Financial Officer’s Perspective on Auditor-Client Negotiations. </w:t>
      </w:r>
      <w:r w:rsidRPr="000471C8">
        <w:rPr>
          <w:rFonts w:ascii="Times New Roman" w:eastAsia="Times New Roman" w:hAnsi="Times New Roman" w:cs="Times New Roman"/>
          <w:i/>
          <w:sz w:val="24"/>
          <w:szCs w:val="24"/>
          <w:lang w:val="en-GB" w:eastAsia="de-AT"/>
        </w:rPr>
        <w:t>Contemporary Accounting Research</w:t>
      </w:r>
      <w:r>
        <w:rPr>
          <w:rFonts w:ascii="Times New Roman" w:eastAsia="Times New Roman" w:hAnsi="Times New Roman" w:cs="Times New Roman"/>
          <w:sz w:val="24"/>
          <w:szCs w:val="24"/>
          <w:lang w:val="en-GB" w:eastAsia="de-AT"/>
        </w:rPr>
        <w:t xml:space="preserve"> 24(2): 387</w:t>
      </w:r>
      <w:r w:rsidRPr="000E701B">
        <w:rPr>
          <w:rFonts w:ascii="Times New Roman" w:eastAsia="Times New Roman" w:hAnsi="Times New Roman" w:cs="Times New Roman"/>
          <w:sz w:val="24"/>
          <w:szCs w:val="24"/>
          <w:lang w:val="en-US" w:eastAsia="de-AT"/>
        </w:rPr>
        <w:sym w:font="Symbol" w:char="F02D"/>
      </w:r>
      <w:r>
        <w:rPr>
          <w:rFonts w:ascii="Times New Roman" w:eastAsia="Times New Roman" w:hAnsi="Times New Roman" w:cs="Times New Roman"/>
          <w:sz w:val="24"/>
          <w:szCs w:val="24"/>
          <w:lang w:val="en-GB" w:eastAsia="de-AT"/>
        </w:rPr>
        <w:t>422.</w:t>
      </w:r>
    </w:p>
    <w:p w14:paraId="353A6A6A"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F83307">
        <w:rPr>
          <w:rFonts w:ascii="Times New Roman" w:eastAsia="Times New Roman" w:hAnsi="Times New Roman" w:cs="Times New Roman"/>
          <w:sz w:val="24"/>
          <w:szCs w:val="24"/>
          <w:lang w:val="en-GB" w:eastAsia="de-AT"/>
        </w:rPr>
        <w:t>Gibbins, M</w:t>
      </w:r>
      <w:r>
        <w:rPr>
          <w:rFonts w:ascii="Times New Roman" w:eastAsia="Times New Roman" w:hAnsi="Times New Roman" w:cs="Times New Roman"/>
          <w:sz w:val="24"/>
          <w:szCs w:val="24"/>
          <w:lang w:val="en-GB" w:eastAsia="de-AT"/>
        </w:rPr>
        <w:t>.</w:t>
      </w:r>
      <w:r w:rsidRPr="00F83307">
        <w:rPr>
          <w:rFonts w:ascii="Times New Roman" w:eastAsia="Times New Roman" w:hAnsi="Times New Roman" w:cs="Times New Roman"/>
          <w:sz w:val="24"/>
          <w:szCs w:val="24"/>
          <w:lang w:val="en-GB" w:eastAsia="de-AT"/>
        </w:rPr>
        <w:t xml:space="preserve">, McCracken, S. </w:t>
      </w:r>
      <w:r>
        <w:rPr>
          <w:rFonts w:ascii="Times New Roman" w:eastAsia="Times New Roman" w:hAnsi="Times New Roman" w:cs="Times New Roman"/>
          <w:sz w:val="24"/>
          <w:szCs w:val="24"/>
          <w:lang w:val="en-GB" w:eastAsia="de-AT"/>
        </w:rPr>
        <w:t>and</w:t>
      </w:r>
      <w:r w:rsidRPr="00F83307">
        <w:rPr>
          <w:rFonts w:ascii="Times New Roman" w:eastAsia="Times New Roman" w:hAnsi="Times New Roman" w:cs="Times New Roman"/>
          <w:sz w:val="24"/>
          <w:szCs w:val="24"/>
          <w:lang w:val="en-GB" w:eastAsia="de-AT"/>
        </w:rPr>
        <w:t xml:space="preserve"> </w:t>
      </w:r>
      <w:proofErr w:type="spellStart"/>
      <w:r w:rsidRPr="00F83307">
        <w:rPr>
          <w:rFonts w:ascii="Times New Roman" w:eastAsia="Times New Roman" w:hAnsi="Times New Roman" w:cs="Times New Roman"/>
          <w:sz w:val="24"/>
          <w:szCs w:val="24"/>
          <w:lang w:val="en-GB" w:eastAsia="de-AT"/>
        </w:rPr>
        <w:t>Salterio</w:t>
      </w:r>
      <w:proofErr w:type="spellEnd"/>
      <w:r w:rsidRPr="00F83307">
        <w:rPr>
          <w:rFonts w:ascii="Times New Roman" w:eastAsia="Times New Roman" w:hAnsi="Times New Roman" w:cs="Times New Roman"/>
          <w:sz w:val="24"/>
          <w:szCs w:val="24"/>
          <w:lang w:val="en-GB" w:eastAsia="de-AT"/>
        </w:rPr>
        <w:t xml:space="preserve">, S.E. (2010) The </w:t>
      </w:r>
      <w:r>
        <w:rPr>
          <w:rFonts w:ascii="Times New Roman" w:eastAsia="Times New Roman" w:hAnsi="Times New Roman" w:cs="Times New Roman"/>
          <w:sz w:val="24"/>
          <w:szCs w:val="24"/>
          <w:lang w:val="en-GB" w:eastAsia="de-AT"/>
        </w:rPr>
        <w:t>A</w:t>
      </w:r>
      <w:r w:rsidRPr="00F83307">
        <w:rPr>
          <w:rFonts w:ascii="Times New Roman" w:eastAsia="Times New Roman" w:hAnsi="Times New Roman" w:cs="Times New Roman"/>
          <w:sz w:val="24"/>
          <w:szCs w:val="24"/>
          <w:lang w:val="en-GB" w:eastAsia="de-AT"/>
        </w:rPr>
        <w:t xml:space="preserve">uditor’s </w:t>
      </w:r>
      <w:r>
        <w:rPr>
          <w:rFonts w:ascii="Times New Roman" w:eastAsia="Times New Roman" w:hAnsi="Times New Roman" w:cs="Times New Roman"/>
          <w:sz w:val="24"/>
          <w:szCs w:val="24"/>
          <w:lang w:val="en-GB" w:eastAsia="de-AT"/>
        </w:rPr>
        <w:t>S</w:t>
      </w:r>
      <w:r w:rsidRPr="00F83307">
        <w:rPr>
          <w:rFonts w:ascii="Times New Roman" w:eastAsia="Times New Roman" w:hAnsi="Times New Roman" w:cs="Times New Roman"/>
          <w:sz w:val="24"/>
          <w:szCs w:val="24"/>
          <w:lang w:val="en-GB" w:eastAsia="de-AT"/>
        </w:rPr>
        <w:t xml:space="preserve">trategy </w:t>
      </w:r>
      <w:r>
        <w:rPr>
          <w:rFonts w:ascii="Times New Roman" w:eastAsia="Times New Roman" w:hAnsi="Times New Roman" w:cs="Times New Roman"/>
          <w:sz w:val="24"/>
          <w:szCs w:val="24"/>
          <w:lang w:val="en-GB" w:eastAsia="de-AT"/>
        </w:rPr>
        <w:t>S</w:t>
      </w:r>
      <w:r w:rsidRPr="00F83307">
        <w:rPr>
          <w:rFonts w:ascii="Times New Roman" w:eastAsia="Times New Roman" w:hAnsi="Times New Roman" w:cs="Times New Roman"/>
          <w:sz w:val="24"/>
          <w:szCs w:val="24"/>
          <w:lang w:val="en-GB" w:eastAsia="de-AT"/>
        </w:rPr>
        <w:t xml:space="preserve">election for </w:t>
      </w:r>
      <w:r>
        <w:rPr>
          <w:rFonts w:ascii="Times New Roman" w:eastAsia="Times New Roman" w:hAnsi="Times New Roman" w:cs="Times New Roman"/>
          <w:sz w:val="24"/>
          <w:szCs w:val="24"/>
          <w:lang w:val="en-GB" w:eastAsia="de-AT"/>
        </w:rPr>
        <w:t>N</w:t>
      </w:r>
      <w:r w:rsidRPr="00F83307">
        <w:rPr>
          <w:rFonts w:ascii="Times New Roman" w:eastAsia="Times New Roman" w:hAnsi="Times New Roman" w:cs="Times New Roman"/>
          <w:sz w:val="24"/>
          <w:szCs w:val="24"/>
          <w:lang w:val="en-GB" w:eastAsia="de-AT"/>
        </w:rPr>
        <w:t xml:space="preserve">egotiation with </w:t>
      </w:r>
      <w:r>
        <w:rPr>
          <w:rFonts w:ascii="Times New Roman" w:eastAsia="Times New Roman" w:hAnsi="Times New Roman" w:cs="Times New Roman"/>
          <w:sz w:val="24"/>
          <w:szCs w:val="24"/>
          <w:lang w:val="en-GB" w:eastAsia="de-AT"/>
        </w:rPr>
        <w:t>M</w:t>
      </w:r>
      <w:r w:rsidRPr="00F83307">
        <w:rPr>
          <w:rFonts w:ascii="Times New Roman" w:eastAsia="Times New Roman" w:hAnsi="Times New Roman" w:cs="Times New Roman"/>
          <w:sz w:val="24"/>
          <w:szCs w:val="24"/>
          <w:lang w:val="en-GB" w:eastAsia="de-AT"/>
        </w:rPr>
        <w:t xml:space="preserve">anagement: Flexibility of </w:t>
      </w:r>
      <w:r>
        <w:rPr>
          <w:rFonts w:ascii="Times New Roman" w:eastAsia="Times New Roman" w:hAnsi="Times New Roman" w:cs="Times New Roman"/>
          <w:sz w:val="24"/>
          <w:szCs w:val="24"/>
          <w:lang w:val="en-GB" w:eastAsia="de-AT"/>
        </w:rPr>
        <w:t>I</w:t>
      </w:r>
      <w:r w:rsidRPr="00F83307">
        <w:rPr>
          <w:rFonts w:ascii="Times New Roman" w:eastAsia="Times New Roman" w:hAnsi="Times New Roman" w:cs="Times New Roman"/>
          <w:sz w:val="24"/>
          <w:szCs w:val="24"/>
          <w:lang w:val="en-GB" w:eastAsia="de-AT"/>
        </w:rPr>
        <w:t xml:space="preserve">nitial </w:t>
      </w:r>
      <w:r>
        <w:rPr>
          <w:rFonts w:ascii="Times New Roman" w:eastAsia="Times New Roman" w:hAnsi="Times New Roman" w:cs="Times New Roman"/>
          <w:sz w:val="24"/>
          <w:szCs w:val="24"/>
          <w:lang w:val="en-GB" w:eastAsia="de-AT"/>
        </w:rPr>
        <w:t>A</w:t>
      </w:r>
      <w:r w:rsidRPr="00F83307">
        <w:rPr>
          <w:rFonts w:ascii="Times New Roman" w:eastAsia="Times New Roman" w:hAnsi="Times New Roman" w:cs="Times New Roman"/>
          <w:sz w:val="24"/>
          <w:szCs w:val="24"/>
          <w:lang w:val="en-GB" w:eastAsia="de-AT"/>
        </w:rPr>
        <w:t xml:space="preserve">ccounting </w:t>
      </w:r>
      <w:r>
        <w:rPr>
          <w:rFonts w:ascii="Times New Roman" w:eastAsia="Times New Roman" w:hAnsi="Times New Roman" w:cs="Times New Roman"/>
          <w:sz w:val="24"/>
          <w:szCs w:val="24"/>
          <w:lang w:val="en-GB" w:eastAsia="de-AT"/>
        </w:rPr>
        <w:t>P</w:t>
      </w:r>
      <w:r w:rsidRPr="00F83307">
        <w:rPr>
          <w:rFonts w:ascii="Times New Roman" w:eastAsia="Times New Roman" w:hAnsi="Times New Roman" w:cs="Times New Roman"/>
          <w:sz w:val="24"/>
          <w:szCs w:val="24"/>
          <w:lang w:val="en-GB" w:eastAsia="de-AT"/>
        </w:rPr>
        <w:t xml:space="preserve">osition and </w:t>
      </w:r>
      <w:r>
        <w:rPr>
          <w:rFonts w:ascii="Times New Roman" w:eastAsia="Times New Roman" w:hAnsi="Times New Roman" w:cs="Times New Roman"/>
          <w:sz w:val="24"/>
          <w:szCs w:val="24"/>
          <w:lang w:val="en-GB" w:eastAsia="de-AT"/>
        </w:rPr>
        <w:t>N</w:t>
      </w:r>
      <w:r w:rsidRPr="00F83307">
        <w:rPr>
          <w:rFonts w:ascii="Times New Roman" w:eastAsia="Times New Roman" w:hAnsi="Times New Roman" w:cs="Times New Roman"/>
          <w:sz w:val="24"/>
          <w:szCs w:val="24"/>
          <w:lang w:val="en-GB" w:eastAsia="de-AT"/>
        </w:rPr>
        <w:t xml:space="preserve">ature of the </w:t>
      </w:r>
      <w:r>
        <w:rPr>
          <w:rFonts w:ascii="Times New Roman" w:eastAsia="Times New Roman" w:hAnsi="Times New Roman" w:cs="Times New Roman"/>
          <w:sz w:val="24"/>
          <w:szCs w:val="24"/>
          <w:lang w:val="en-GB" w:eastAsia="de-AT"/>
        </w:rPr>
        <w:t>R</w:t>
      </w:r>
      <w:r w:rsidRPr="00F83307">
        <w:rPr>
          <w:rFonts w:ascii="Times New Roman" w:eastAsia="Times New Roman" w:hAnsi="Times New Roman" w:cs="Times New Roman"/>
          <w:sz w:val="24"/>
          <w:szCs w:val="24"/>
          <w:lang w:val="en-GB" w:eastAsia="de-AT"/>
        </w:rPr>
        <w:t xml:space="preserve">elationship. </w:t>
      </w:r>
      <w:r w:rsidRPr="00F65989">
        <w:rPr>
          <w:rFonts w:ascii="Times New Roman" w:eastAsia="Times New Roman" w:hAnsi="Times New Roman" w:cs="Times New Roman"/>
          <w:i/>
          <w:sz w:val="24"/>
          <w:szCs w:val="24"/>
          <w:lang w:val="en-GB" w:eastAsia="de-AT"/>
        </w:rPr>
        <w:t>Accounting, Organizations and Society</w:t>
      </w:r>
      <w:r w:rsidRPr="00F83307">
        <w:rPr>
          <w:rFonts w:ascii="Times New Roman" w:eastAsia="Times New Roman" w:hAnsi="Times New Roman" w:cs="Times New Roman"/>
          <w:sz w:val="24"/>
          <w:szCs w:val="24"/>
          <w:lang w:val="en-GB" w:eastAsia="de-AT"/>
        </w:rPr>
        <w:t xml:space="preserve"> 35(6)</w:t>
      </w:r>
      <w:r>
        <w:rPr>
          <w:rFonts w:ascii="Times New Roman" w:eastAsia="Times New Roman" w:hAnsi="Times New Roman" w:cs="Times New Roman"/>
          <w:sz w:val="24"/>
          <w:szCs w:val="24"/>
          <w:lang w:val="en-GB" w:eastAsia="de-AT"/>
        </w:rPr>
        <w:t>:</w:t>
      </w:r>
      <w:r w:rsidRPr="00F83307">
        <w:rPr>
          <w:rFonts w:ascii="Times New Roman" w:eastAsia="Times New Roman" w:hAnsi="Times New Roman" w:cs="Times New Roman"/>
          <w:sz w:val="24"/>
          <w:szCs w:val="24"/>
          <w:lang w:val="en-GB" w:eastAsia="de-AT"/>
        </w:rPr>
        <w:t xml:space="preserve"> 579</w:t>
      </w:r>
      <w:r w:rsidRPr="000E701B">
        <w:rPr>
          <w:rFonts w:ascii="Times New Roman" w:eastAsia="Times New Roman" w:hAnsi="Times New Roman" w:cs="Times New Roman"/>
          <w:sz w:val="24"/>
          <w:szCs w:val="24"/>
          <w:lang w:val="en-US" w:eastAsia="de-AT"/>
        </w:rPr>
        <w:sym w:font="Symbol" w:char="F02D"/>
      </w:r>
      <w:r w:rsidRPr="00F83307">
        <w:rPr>
          <w:rFonts w:ascii="Times New Roman" w:eastAsia="Times New Roman" w:hAnsi="Times New Roman" w:cs="Times New Roman"/>
          <w:sz w:val="24"/>
          <w:szCs w:val="24"/>
          <w:lang w:val="en-GB" w:eastAsia="de-AT"/>
        </w:rPr>
        <w:t>595.</w:t>
      </w:r>
    </w:p>
    <w:p w14:paraId="1D1126F9"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 xml:space="preserve">Gibbins, M., McCracken, S., and </w:t>
      </w:r>
      <w:proofErr w:type="spellStart"/>
      <w:r>
        <w:rPr>
          <w:rFonts w:ascii="Times New Roman" w:eastAsia="Times New Roman" w:hAnsi="Times New Roman" w:cs="Times New Roman"/>
          <w:sz w:val="24"/>
          <w:szCs w:val="24"/>
          <w:lang w:val="en-GB" w:eastAsia="de-AT"/>
        </w:rPr>
        <w:t>Salterio</w:t>
      </w:r>
      <w:proofErr w:type="spellEnd"/>
      <w:r>
        <w:rPr>
          <w:rFonts w:ascii="Times New Roman" w:eastAsia="Times New Roman" w:hAnsi="Times New Roman" w:cs="Times New Roman"/>
          <w:sz w:val="24"/>
          <w:szCs w:val="24"/>
          <w:lang w:val="en-GB" w:eastAsia="de-AT"/>
        </w:rPr>
        <w:t xml:space="preserve">, S.E. (2005) Negotiations Over Accounting Issues: The Congruency of Audit Partner and Chief Financial Officer Recalls. </w:t>
      </w:r>
      <w:r w:rsidRPr="006C07E9">
        <w:rPr>
          <w:rFonts w:ascii="Times New Roman" w:eastAsia="Times New Roman" w:hAnsi="Times New Roman" w:cs="Times New Roman"/>
          <w:i/>
          <w:sz w:val="24"/>
          <w:szCs w:val="24"/>
          <w:lang w:val="en-GB" w:eastAsia="de-AT"/>
        </w:rPr>
        <w:t>Auditing: A Journal of Practice and Theory</w:t>
      </w:r>
      <w:r>
        <w:rPr>
          <w:rFonts w:ascii="Times New Roman" w:eastAsia="Times New Roman" w:hAnsi="Times New Roman" w:cs="Times New Roman"/>
          <w:sz w:val="24"/>
          <w:szCs w:val="24"/>
          <w:lang w:val="en-GB" w:eastAsia="de-AT"/>
        </w:rPr>
        <w:t xml:space="preserve"> 24(supplement): 171-193.</w:t>
      </w:r>
    </w:p>
    <w:p w14:paraId="3610D65B"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Gibbins, M</w:t>
      </w:r>
      <w:r>
        <w:rPr>
          <w:rFonts w:ascii="Times New Roman" w:eastAsia="Times New Roman" w:hAnsi="Times New Roman" w:cs="Times New Roman"/>
          <w:sz w:val="24"/>
          <w:szCs w:val="24"/>
          <w:lang w:val="en-GB" w:eastAsia="de-AT"/>
        </w:rPr>
        <w:t>.</w:t>
      </w:r>
      <w:r w:rsidRPr="000E701B">
        <w:rPr>
          <w:rFonts w:ascii="Times New Roman" w:eastAsia="Times New Roman" w:hAnsi="Times New Roman" w:cs="Times New Roman"/>
          <w:sz w:val="24"/>
          <w:szCs w:val="24"/>
          <w:lang w:val="en-GB" w:eastAsia="de-AT"/>
        </w:rPr>
        <w:t xml:space="preserve">, </w:t>
      </w:r>
      <w:proofErr w:type="spellStart"/>
      <w:r w:rsidRPr="000E701B">
        <w:rPr>
          <w:rFonts w:ascii="Times New Roman" w:eastAsia="Times New Roman" w:hAnsi="Times New Roman" w:cs="Times New Roman"/>
          <w:sz w:val="24"/>
          <w:szCs w:val="24"/>
          <w:lang w:val="en-GB" w:eastAsia="de-AT"/>
        </w:rPr>
        <w:t>Salterio</w:t>
      </w:r>
      <w:proofErr w:type="spellEnd"/>
      <w:r w:rsidRPr="000E701B">
        <w:rPr>
          <w:rFonts w:ascii="Times New Roman" w:eastAsia="Times New Roman" w:hAnsi="Times New Roman" w:cs="Times New Roman"/>
          <w:sz w:val="24"/>
          <w:szCs w:val="24"/>
          <w:lang w:val="en-GB" w:eastAsia="de-AT"/>
        </w:rPr>
        <w:t xml:space="preserve">, S. and Webb, A. (2001) Evidence about Auditor-Client Management Negotiations Concerning Client’s Financial Reporting. </w:t>
      </w:r>
      <w:r w:rsidRPr="000E701B">
        <w:rPr>
          <w:rFonts w:ascii="Times New Roman" w:eastAsia="Times New Roman" w:hAnsi="Times New Roman" w:cs="Times New Roman"/>
          <w:i/>
          <w:sz w:val="24"/>
          <w:szCs w:val="24"/>
          <w:lang w:val="en-GB" w:eastAsia="de-AT"/>
        </w:rPr>
        <w:t>Journal of Accounting Research</w:t>
      </w:r>
      <w:r w:rsidRPr="000E701B">
        <w:rPr>
          <w:rFonts w:ascii="Times New Roman" w:eastAsia="Times New Roman" w:hAnsi="Times New Roman" w:cs="Times New Roman"/>
          <w:sz w:val="24"/>
          <w:szCs w:val="24"/>
          <w:lang w:val="en-GB" w:eastAsia="de-AT"/>
        </w:rPr>
        <w:t xml:space="preserve"> 39(3): 535</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563.</w:t>
      </w:r>
    </w:p>
    <w:p w14:paraId="3EFC27DE"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 xml:space="preserve">Gilovich, T., </w:t>
      </w:r>
      <w:proofErr w:type="spellStart"/>
      <w:r>
        <w:rPr>
          <w:rFonts w:ascii="Times New Roman" w:eastAsia="Times New Roman" w:hAnsi="Times New Roman" w:cs="Times New Roman"/>
          <w:sz w:val="24"/>
          <w:szCs w:val="24"/>
          <w:lang w:val="en-GB" w:eastAsia="de-AT"/>
        </w:rPr>
        <w:t>Savitsky</w:t>
      </w:r>
      <w:proofErr w:type="spellEnd"/>
      <w:r>
        <w:rPr>
          <w:rFonts w:ascii="Times New Roman" w:eastAsia="Times New Roman" w:hAnsi="Times New Roman" w:cs="Times New Roman"/>
          <w:sz w:val="24"/>
          <w:szCs w:val="24"/>
          <w:lang w:val="en-GB" w:eastAsia="de-AT"/>
        </w:rPr>
        <w:t xml:space="preserve">, K., and </w:t>
      </w:r>
      <w:proofErr w:type="spellStart"/>
      <w:r>
        <w:rPr>
          <w:rFonts w:ascii="Times New Roman" w:eastAsia="Times New Roman" w:hAnsi="Times New Roman" w:cs="Times New Roman"/>
          <w:sz w:val="24"/>
          <w:szCs w:val="24"/>
          <w:lang w:val="en-GB" w:eastAsia="de-AT"/>
        </w:rPr>
        <w:t>Medvec</w:t>
      </w:r>
      <w:proofErr w:type="spellEnd"/>
      <w:r>
        <w:rPr>
          <w:rFonts w:ascii="Times New Roman" w:eastAsia="Times New Roman" w:hAnsi="Times New Roman" w:cs="Times New Roman"/>
          <w:sz w:val="24"/>
          <w:szCs w:val="24"/>
          <w:lang w:val="en-GB" w:eastAsia="de-AT"/>
        </w:rPr>
        <w:t xml:space="preserve">, V. (1998) The Illusion of Transparency: Biased Assessments of Others’ Ability to Read One’s Emotional States. </w:t>
      </w:r>
      <w:r w:rsidRPr="006C07E9">
        <w:rPr>
          <w:rFonts w:ascii="Times New Roman" w:eastAsia="Times New Roman" w:hAnsi="Times New Roman" w:cs="Times New Roman"/>
          <w:i/>
          <w:sz w:val="24"/>
          <w:szCs w:val="24"/>
          <w:lang w:val="en-GB" w:eastAsia="de-AT"/>
        </w:rPr>
        <w:t>Journal of Personality and Social Psychology</w:t>
      </w:r>
      <w:r>
        <w:rPr>
          <w:rFonts w:ascii="Times New Roman" w:eastAsia="Times New Roman" w:hAnsi="Times New Roman" w:cs="Times New Roman"/>
          <w:sz w:val="24"/>
          <w:szCs w:val="24"/>
          <w:lang w:val="en-GB" w:eastAsia="de-AT"/>
        </w:rPr>
        <w:t xml:space="preserve"> 35(2): 332-346.</w:t>
      </w:r>
    </w:p>
    <w:p w14:paraId="6A923C13"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Hatfield, R.C., Jackson, S.B., and Vandervelde, S.D. (2011) The Effect of Prior Auditor Involvement and Client Pressure on Proposed Audit Adjustments. </w:t>
      </w:r>
      <w:proofErr w:type="spellStart"/>
      <w:r w:rsidRPr="000E701B">
        <w:rPr>
          <w:rFonts w:ascii="Times New Roman" w:eastAsia="Times New Roman" w:hAnsi="Times New Roman" w:cs="Times New Roman"/>
          <w:i/>
          <w:sz w:val="24"/>
          <w:szCs w:val="24"/>
          <w:lang w:val="en-GB" w:eastAsia="de-AT"/>
        </w:rPr>
        <w:t>Behavioral</w:t>
      </w:r>
      <w:proofErr w:type="spellEnd"/>
      <w:r w:rsidRPr="000E701B">
        <w:rPr>
          <w:rFonts w:ascii="Times New Roman" w:eastAsia="Times New Roman" w:hAnsi="Times New Roman" w:cs="Times New Roman"/>
          <w:i/>
          <w:sz w:val="24"/>
          <w:szCs w:val="24"/>
          <w:lang w:val="en-GB" w:eastAsia="de-AT"/>
        </w:rPr>
        <w:t xml:space="preserve"> Research in Accounting</w:t>
      </w:r>
      <w:r w:rsidRPr="000E701B">
        <w:rPr>
          <w:rFonts w:ascii="Times New Roman" w:eastAsia="Times New Roman" w:hAnsi="Times New Roman" w:cs="Times New Roman"/>
          <w:sz w:val="24"/>
          <w:szCs w:val="24"/>
          <w:lang w:val="en-GB" w:eastAsia="de-AT"/>
        </w:rPr>
        <w:t xml:space="preserve"> 23(2): 117</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130.</w:t>
      </w:r>
    </w:p>
    <w:p w14:paraId="0717893C"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US" w:eastAsia="de-AT"/>
        </w:rPr>
      </w:pPr>
      <w:r w:rsidRPr="008C06CF">
        <w:rPr>
          <w:rFonts w:ascii="Times New Roman" w:eastAsia="Times New Roman" w:hAnsi="Times New Roman" w:cs="Times New Roman"/>
          <w:sz w:val="24"/>
          <w:szCs w:val="24"/>
          <w:lang w:val="en-US" w:eastAsia="de-AT"/>
        </w:rPr>
        <w:t xml:space="preserve">Hauser, D. J., Ellsworth, P. C., &amp; Gonzalez, R. (2018) Are manipulation checks </w:t>
      </w:r>
      <w:proofErr w:type="gramStart"/>
      <w:r w:rsidRPr="008C06CF">
        <w:rPr>
          <w:rFonts w:ascii="Times New Roman" w:eastAsia="Times New Roman" w:hAnsi="Times New Roman" w:cs="Times New Roman"/>
          <w:sz w:val="24"/>
          <w:szCs w:val="24"/>
          <w:lang w:val="en-US" w:eastAsia="de-AT"/>
        </w:rPr>
        <w:t>necessary?.</w:t>
      </w:r>
      <w:proofErr w:type="gramEnd"/>
      <w:r w:rsidRPr="008C06CF">
        <w:rPr>
          <w:rFonts w:ascii="Times New Roman" w:eastAsia="Times New Roman" w:hAnsi="Times New Roman" w:cs="Times New Roman"/>
          <w:sz w:val="24"/>
          <w:szCs w:val="24"/>
          <w:lang w:val="en-US" w:eastAsia="de-AT"/>
        </w:rPr>
        <w:t xml:space="preserve"> </w:t>
      </w:r>
      <w:r w:rsidRPr="008C06CF">
        <w:rPr>
          <w:rFonts w:ascii="Times New Roman" w:eastAsia="Times New Roman" w:hAnsi="Times New Roman" w:cs="Times New Roman"/>
          <w:i/>
          <w:iCs/>
          <w:sz w:val="24"/>
          <w:szCs w:val="24"/>
          <w:lang w:val="en-US" w:eastAsia="de-AT"/>
        </w:rPr>
        <w:t>Frontiers in Psychology</w:t>
      </w:r>
      <w:r w:rsidRPr="008C06CF">
        <w:rPr>
          <w:rFonts w:ascii="Times New Roman" w:eastAsia="Times New Roman" w:hAnsi="Times New Roman" w:cs="Times New Roman"/>
          <w:sz w:val="24"/>
          <w:szCs w:val="24"/>
          <w:lang w:val="en-US" w:eastAsia="de-AT"/>
        </w:rPr>
        <w:t>, 9.</w:t>
      </w:r>
    </w:p>
    <w:p w14:paraId="2CF87E97"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Hirst, D.E., and Koonce, L. (1996) Audit Analytical Procedures: A Field Investigation. </w:t>
      </w:r>
      <w:r w:rsidRPr="000E701B">
        <w:rPr>
          <w:rFonts w:ascii="Times New Roman" w:eastAsia="Times New Roman" w:hAnsi="Times New Roman" w:cs="Times New Roman"/>
          <w:i/>
          <w:sz w:val="24"/>
          <w:szCs w:val="24"/>
          <w:lang w:val="en-GB" w:eastAsia="de-AT"/>
        </w:rPr>
        <w:t>Contemporary Accounting Research</w:t>
      </w:r>
      <w:r w:rsidRPr="000E701B">
        <w:rPr>
          <w:rFonts w:ascii="Times New Roman" w:eastAsia="Times New Roman" w:hAnsi="Times New Roman" w:cs="Times New Roman"/>
          <w:sz w:val="24"/>
          <w:szCs w:val="24"/>
          <w:lang w:val="en-GB" w:eastAsia="de-AT"/>
        </w:rPr>
        <w:t xml:space="preserve"> 13(2): 457</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486.</w:t>
      </w:r>
    </w:p>
    <w:p w14:paraId="541D3EBF" w14:textId="77777777" w:rsidR="008C06CF" w:rsidRPr="000E701B" w:rsidRDefault="008C06CF" w:rsidP="000D1FAE">
      <w:pPr>
        <w:spacing w:line="240" w:lineRule="auto"/>
        <w:ind w:left="567" w:hanging="567"/>
        <w:jc w:val="both"/>
        <w:rPr>
          <w:rFonts w:ascii="Times New Roman" w:eastAsia="Times New Roman" w:hAnsi="Times New Roman" w:cs="Times New Roman"/>
          <w:sz w:val="24"/>
          <w:szCs w:val="24"/>
          <w:lang w:val="en-GB" w:eastAsia="de-AT"/>
        </w:rPr>
      </w:pPr>
      <w:proofErr w:type="spellStart"/>
      <w:r>
        <w:rPr>
          <w:rFonts w:ascii="Times New Roman" w:eastAsia="Times New Roman" w:hAnsi="Times New Roman" w:cs="Times New Roman"/>
          <w:sz w:val="24"/>
          <w:szCs w:val="24"/>
          <w:lang w:val="en-GB" w:eastAsia="de-AT"/>
        </w:rPr>
        <w:t>Howorth</w:t>
      </w:r>
      <w:proofErr w:type="spellEnd"/>
      <w:r>
        <w:rPr>
          <w:rFonts w:ascii="Times New Roman" w:eastAsia="Times New Roman" w:hAnsi="Times New Roman" w:cs="Times New Roman"/>
          <w:sz w:val="24"/>
          <w:szCs w:val="24"/>
          <w:lang w:val="en-GB" w:eastAsia="de-AT"/>
        </w:rPr>
        <w:t xml:space="preserve">, C., and Moro, A. (2006) Trust within Entrepreneur Bank Relationships – Insights from Italy. </w:t>
      </w:r>
      <w:r w:rsidRPr="00192D4F">
        <w:rPr>
          <w:rFonts w:ascii="Times New Roman" w:eastAsia="Times New Roman" w:hAnsi="Times New Roman" w:cs="Times New Roman"/>
          <w:i/>
          <w:sz w:val="24"/>
          <w:szCs w:val="24"/>
          <w:lang w:val="en-GB" w:eastAsia="de-AT"/>
        </w:rPr>
        <w:t>Entrepreneurship Theory and Practice</w:t>
      </w:r>
      <w:r>
        <w:rPr>
          <w:rFonts w:ascii="Times New Roman" w:eastAsia="Times New Roman" w:hAnsi="Times New Roman" w:cs="Times New Roman"/>
          <w:sz w:val="24"/>
          <w:szCs w:val="24"/>
          <w:lang w:val="en-GB" w:eastAsia="de-AT"/>
        </w:rPr>
        <w:t xml:space="preserve"> 30(4): 495</w:t>
      </w:r>
      <w:r w:rsidRPr="000E701B">
        <w:rPr>
          <w:rFonts w:ascii="Times New Roman" w:eastAsia="Times New Roman" w:hAnsi="Times New Roman" w:cs="Times New Roman"/>
          <w:sz w:val="24"/>
          <w:szCs w:val="24"/>
          <w:lang w:val="en-US" w:eastAsia="de-AT"/>
        </w:rPr>
        <w:sym w:font="Symbol" w:char="F02D"/>
      </w:r>
      <w:r>
        <w:rPr>
          <w:rFonts w:ascii="Times New Roman" w:eastAsia="Times New Roman" w:hAnsi="Times New Roman" w:cs="Times New Roman"/>
          <w:sz w:val="24"/>
          <w:szCs w:val="24"/>
          <w:lang w:val="en-GB" w:eastAsia="de-AT"/>
        </w:rPr>
        <w:t>517.</w:t>
      </w:r>
    </w:p>
    <w:p w14:paraId="00FD01B4" w14:textId="77777777" w:rsidR="008C06CF" w:rsidRDefault="008C06CF" w:rsidP="000D1FAE">
      <w:pPr>
        <w:spacing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International Standard on Quality Control - ISQC 1 (2009) Quality control for firms that perform audits and reviews of financial statements, and other assurance and related services engagements, </w:t>
      </w:r>
      <w:r w:rsidRPr="00A92515">
        <w:rPr>
          <w:rFonts w:ascii="Times New Roman" w:hAnsi="Times New Roman" w:cs="Times New Roman"/>
          <w:i/>
          <w:sz w:val="24"/>
          <w:szCs w:val="24"/>
          <w:lang w:val="en-US"/>
        </w:rPr>
        <w:t>IFAC Handbook of International Auditing, Assurance, and Ethics Pronouncements</w:t>
      </w:r>
      <w:r>
        <w:rPr>
          <w:rFonts w:ascii="Times New Roman" w:hAnsi="Times New Roman" w:cs="Times New Roman"/>
          <w:sz w:val="24"/>
          <w:szCs w:val="24"/>
          <w:lang w:val="en-US"/>
        </w:rPr>
        <w:t>, 2009 ed., International Standard on Quality Control (ISQC) 1, Georgia, 36</w:t>
      </w:r>
      <w:r w:rsidRPr="000E701B">
        <w:rPr>
          <w:rFonts w:ascii="Times New Roman" w:eastAsia="Times New Roman" w:hAnsi="Times New Roman" w:cs="Times New Roman"/>
          <w:sz w:val="24"/>
          <w:szCs w:val="24"/>
          <w:lang w:val="en-US" w:eastAsia="de-AT"/>
        </w:rPr>
        <w:sym w:font="Symbol" w:char="F02D"/>
      </w:r>
      <w:r>
        <w:rPr>
          <w:rFonts w:ascii="Times New Roman" w:hAnsi="Times New Roman" w:cs="Times New Roman"/>
          <w:sz w:val="24"/>
          <w:szCs w:val="24"/>
          <w:lang w:val="en-US"/>
        </w:rPr>
        <w:t>70.</w:t>
      </w:r>
    </w:p>
    <w:p w14:paraId="0537017A" w14:textId="77777777" w:rsidR="008C06CF" w:rsidRPr="009634A6" w:rsidRDefault="008C06CF" w:rsidP="000D1FAE">
      <w:pPr>
        <w:spacing w:line="240" w:lineRule="auto"/>
        <w:ind w:left="567" w:hanging="567"/>
        <w:jc w:val="both"/>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Kaplan, S.E., O’Donnell, E.F., and </w:t>
      </w:r>
      <w:proofErr w:type="spellStart"/>
      <w:r w:rsidRPr="008E026B">
        <w:rPr>
          <w:rFonts w:ascii="Times New Roman" w:hAnsi="Times New Roman" w:cs="Times New Roman"/>
          <w:sz w:val="24"/>
          <w:szCs w:val="24"/>
          <w:lang w:val="en-US"/>
        </w:rPr>
        <w:t>Arel</w:t>
      </w:r>
      <w:proofErr w:type="spellEnd"/>
      <w:r w:rsidRPr="008E026B">
        <w:rPr>
          <w:rFonts w:ascii="Times New Roman" w:hAnsi="Times New Roman" w:cs="Times New Roman"/>
          <w:sz w:val="24"/>
          <w:szCs w:val="24"/>
          <w:lang w:val="en-US"/>
        </w:rPr>
        <w:t xml:space="preserve">, B.M. (2008) The Influence of Auditor Experience on the Persuasiveness of Information Provided by Management. </w:t>
      </w:r>
      <w:r w:rsidRPr="009634A6">
        <w:rPr>
          <w:rFonts w:ascii="Times New Roman" w:hAnsi="Times New Roman" w:cs="Times New Roman"/>
          <w:i/>
          <w:sz w:val="24"/>
          <w:szCs w:val="24"/>
          <w:lang w:val="en-US"/>
        </w:rPr>
        <w:t>Auditing: A Journal of Practice and Theory</w:t>
      </w:r>
      <w:r w:rsidRPr="008E026B">
        <w:rPr>
          <w:rFonts w:ascii="Times New Roman" w:hAnsi="Times New Roman" w:cs="Times New Roman"/>
          <w:sz w:val="24"/>
          <w:szCs w:val="24"/>
          <w:lang w:val="en-US"/>
        </w:rPr>
        <w:t xml:space="preserve"> 27(1)</w:t>
      </w:r>
      <w:r>
        <w:rPr>
          <w:rFonts w:ascii="Times New Roman" w:hAnsi="Times New Roman" w:cs="Times New Roman"/>
          <w:sz w:val="24"/>
          <w:szCs w:val="24"/>
          <w:lang w:val="en-US"/>
        </w:rPr>
        <w:t>:</w:t>
      </w:r>
      <w:r w:rsidRPr="008E026B">
        <w:rPr>
          <w:rFonts w:ascii="Times New Roman" w:hAnsi="Times New Roman" w:cs="Times New Roman"/>
          <w:sz w:val="24"/>
          <w:szCs w:val="24"/>
          <w:lang w:val="en-US"/>
        </w:rPr>
        <w:t xml:space="preserve"> 67</w:t>
      </w:r>
      <w:r w:rsidRPr="000E701B">
        <w:rPr>
          <w:rFonts w:ascii="Times New Roman" w:eastAsia="Times New Roman" w:hAnsi="Times New Roman" w:cs="Times New Roman"/>
          <w:sz w:val="24"/>
          <w:szCs w:val="24"/>
          <w:lang w:val="en-US" w:eastAsia="de-AT"/>
        </w:rPr>
        <w:sym w:font="Symbol" w:char="F02D"/>
      </w:r>
      <w:r w:rsidRPr="008E026B">
        <w:rPr>
          <w:rFonts w:ascii="Times New Roman" w:hAnsi="Times New Roman" w:cs="Times New Roman"/>
          <w:sz w:val="24"/>
          <w:szCs w:val="24"/>
          <w:lang w:val="en-US"/>
        </w:rPr>
        <w:t>83.</w:t>
      </w:r>
    </w:p>
    <w:p w14:paraId="2A4069CF" w14:textId="77777777" w:rsidR="008C06CF" w:rsidRPr="000E701B" w:rsidRDefault="008C06CF" w:rsidP="000D1FAE">
      <w:pPr>
        <w:spacing w:line="240" w:lineRule="auto"/>
        <w:ind w:left="567" w:hanging="567"/>
        <w:jc w:val="both"/>
        <w:rPr>
          <w:rFonts w:ascii="Times New Roman" w:eastAsia="Times New Roman" w:hAnsi="Times New Roman" w:cs="Times New Roman"/>
          <w:sz w:val="24"/>
          <w:szCs w:val="24"/>
          <w:lang w:val="en-GB" w:eastAsia="de-AT"/>
        </w:rPr>
      </w:pPr>
      <w:proofErr w:type="spellStart"/>
      <w:r w:rsidRPr="000E701B">
        <w:rPr>
          <w:rFonts w:ascii="Times New Roman" w:eastAsia="Times New Roman" w:hAnsi="Times New Roman" w:cs="Times New Roman"/>
          <w:sz w:val="24"/>
          <w:szCs w:val="24"/>
          <w:lang w:val="en-GB" w:eastAsia="de-AT"/>
        </w:rPr>
        <w:t>Kerler</w:t>
      </w:r>
      <w:proofErr w:type="spellEnd"/>
      <w:r w:rsidRPr="000E701B">
        <w:rPr>
          <w:rFonts w:ascii="Times New Roman" w:eastAsia="Times New Roman" w:hAnsi="Times New Roman" w:cs="Times New Roman"/>
          <w:sz w:val="24"/>
          <w:szCs w:val="24"/>
          <w:lang w:val="en-GB" w:eastAsia="de-AT"/>
        </w:rPr>
        <w:t xml:space="preserve">, W.A.III, and Brandon, D.M. (2010) The Effects of Trust, Client Importance, and Goal Commitment on </w:t>
      </w:r>
      <w:proofErr w:type="gramStart"/>
      <w:r w:rsidRPr="000E701B">
        <w:rPr>
          <w:rFonts w:ascii="Times New Roman" w:eastAsia="Times New Roman" w:hAnsi="Times New Roman" w:cs="Times New Roman"/>
          <w:sz w:val="24"/>
          <w:szCs w:val="24"/>
          <w:lang w:val="en-GB" w:eastAsia="de-AT"/>
        </w:rPr>
        <w:t>Auditors‘ Acceptance</w:t>
      </w:r>
      <w:proofErr w:type="gramEnd"/>
      <w:r w:rsidRPr="000E701B">
        <w:rPr>
          <w:rFonts w:ascii="Times New Roman" w:eastAsia="Times New Roman" w:hAnsi="Times New Roman" w:cs="Times New Roman"/>
          <w:sz w:val="24"/>
          <w:szCs w:val="24"/>
          <w:lang w:val="en-GB" w:eastAsia="de-AT"/>
        </w:rPr>
        <w:t xml:space="preserve"> of Client-Preferred Methods. </w:t>
      </w:r>
      <w:r w:rsidRPr="000E701B">
        <w:rPr>
          <w:rFonts w:ascii="Times New Roman" w:eastAsia="Times New Roman" w:hAnsi="Times New Roman" w:cs="Times New Roman"/>
          <w:i/>
          <w:sz w:val="24"/>
          <w:szCs w:val="24"/>
          <w:lang w:val="en-GB" w:eastAsia="de-AT"/>
        </w:rPr>
        <w:t>Advances in Accounting, incorporating Advances in International Accounting</w:t>
      </w:r>
      <w:r w:rsidRPr="000E701B">
        <w:rPr>
          <w:rFonts w:ascii="Times New Roman" w:eastAsia="Times New Roman" w:hAnsi="Times New Roman" w:cs="Times New Roman"/>
          <w:sz w:val="24"/>
          <w:szCs w:val="24"/>
          <w:lang w:val="en-GB" w:eastAsia="de-AT"/>
        </w:rPr>
        <w:t xml:space="preserve"> 26(2): 246</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258.</w:t>
      </w:r>
    </w:p>
    <w:p w14:paraId="0427E9ED"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proofErr w:type="spellStart"/>
      <w:r w:rsidRPr="000E701B">
        <w:rPr>
          <w:rFonts w:ascii="Times New Roman" w:eastAsia="Times New Roman" w:hAnsi="Times New Roman" w:cs="Times New Roman"/>
          <w:sz w:val="24"/>
          <w:szCs w:val="24"/>
          <w:lang w:val="en-GB" w:eastAsia="de-AT"/>
        </w:rPr>
        <w:t>Kerler</w:t>
      </w:r>
      <w:proofErr w:type="spellEnd"/>
      <w:r w:rsidRPr="000E701B">
        <w:rPr>
          <w:rFonts w:ascii="Times New Roman" w:eastAsia="Times New Roman" w:hAnsi="Times New Roman" w:cs="Times New Roman"/>
          <w:sz w:val="24"/>
          <w:szCs w:val="24"/>
          <w:lang w:val="en-GB" w:eastAsia="de-AT"/>
        </w:rPr>
        <w:t xml:space="preserve">, W.A.III, and Killough, L.N. (2009) The Effects of Satisfaction with a Client’s Management During a Prior Audit Engagement, Trust, and Moral Reasoning on Auditor’s Perceived Risk of Management Fraud. </w:t>
      </w:r>
      <w:r w:rsidRPr="000E701B">
        <w:rPr>
          <w:rFonts w:ascii="Times New Roman" w:eastAsia="Times New Roman" w:hAnsi="Times New Roman" w:cs="Times New Roman"/>
          <w:i/>
          <w:sz w:val="24"/>
          <w:szCs w:val="24"/>
          <w:lang w:val="en-GB" w:eastAsia="de-AT"/>
        </w:rPr>
        <w:t>Journal of Business Ethics</w:t>
      </w:r>
      <w:r w:rsidRPr="000E701B">
        <w:rPr>
          <w:rFonts w:ascii="Times New Roman" w:eastAsia="Times New Roman" w:hAnsi="Times New Roman" w:cs="Times New Roman"/>
          <w:sz w:val="24"/>
          <w:szCs w:val="24"/>
          <w:lang w:val="en-GB" w:eastAsia="de-AT"/>
        </w:rPr>
        <w:t xml:space="preserve"> 85(2): 109</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136.</w:t>
      </w:r>
    </w:p>
    <w:p w14:paraId="0A45D45F" w14:textId="77777777" w:rsidR="008C06CF" w:rsidRDefault="008C06CF" w:rsidP="009634A6">
      <w:pPr>
        <w:spacing w:line="240" w:lineRule="auto"/>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Kim, P.H., </w:t>
      </w:r>
      <w:proofErr w:type="spellStart"/>
      <w:r w:rsidRPr="008E026B">
        <w:rPr>
          <w:rFonts w:ascii="Times New Roman" w:hAnsi="Times New Roman" w:cs="Times New Roman"/>
          <w:sz w:val="24"/>
          <w:szCs w:val="24"/>
          <w:lang w:val="en-US"/>
        </w:rPr>
        <w:t>Pinkley</w:t>
      </w:r>
      <w:proofErr w:type="spellEnd"/>
      <w:r w:rsidRPr="008E026B">
        <w:rPr>
          <w:rFonts w:ascii="Times New Roman" w:hAnsi="Times New Roman" w:cs="Times New Roman"/>
          <w:sz w:val="24"/>
          <w:szCs w:val="24"/>
          <w:lang w:val="en-US"/>
        </w:rPr>
        <w:t xml:space="preserve">, R.L., Fragale, A.R. (2005) Power Dynamics in Negotiation. </w:t>
      </w:r>
      <w:r w:rsidRPr="009634A6">
        <w:rPr>
          <w:rFonts w:ascii="Times New Roman" w:hAnsi="Times New Roman" w:cs="Times New Roman"/>
          <w:i/>
          <w:sz w:val="24"/>
          <w:szCs w:val="24"/>
          <w:lang w:val="en-US"/>
        </w:rPr>
        <w:t>Academy of Management Review</w:t>
      </w:r>
      <w:r w:rsidRPr="008E026B">
        <w:rPr>
          <w:rFonts w:ascii="Times New Roman" w:hAnsi="Times New Roman" w:cs="Times New Roman"/>
          <w:sz w:val="24"/>
          <w:szCs w:val="24"/>
          <w:lang w:val="en-US"/>
        </w:rPr>
        <w:t xml:space="preserve"> 30(4), 799</w:t>
      </w:r>
      <w:r w:rsidRPr="000E701B">
        <w:rPr>
          <w:rFonts w:ascii="Times New Roman" w:eastAsia="Times New Roman" w:hAnsi="Times New Roman" w:cs="Times New Roman"/>
          <w:sz w:val="24"/>
          <w:szCs w:val="24"/>
          <w:lang w:val="en-US" w:eastAsia="de-AT"/>
        </w:rPr>
        <w:sym w:font="Symbol" w:char="F02D"/>
      </w:r>
      <w:r w:rsidRPr="008E026B">
        <w:rPr>
          <w:rFonts w:ascii="Times New Roman" w:hAnsi="Times New Roman" w:cs="Times New Roman"/>
          <w:sz w:val="24"/>
          <w:szCs w:val="24"/>
          <w:lang w:val="en-US"/>
        </w:rPr>
        <w:t>822.</w:t>
      </w:r>
    </w:p>
    <w:p w14:paraId="33F1033D" w14:textId="77777777" w:rsidR="008C06CF" w:rsidRPr="000471C8" w:rsidRDefault="008C06CF" w:rsidP="009634A6">
      <w:pPr>
        <w:spacing w:line="240" w:lineRule="auto"/>
        <w:ind w:left="567" w:hanging="567"/>
        <w:rPr>
          <w:rFonts w:ascii="Times New Roman" w:hAnsi="Times New Roman" w:cs="Times New Roman"/>
          <w:sz w:val="24"/>
          <w:szCs w:val="24"/>
          <w:lang w:val="en-US"/>
        </w:rPr>
      </w:pPr>
      <w:r w:rsidRPr="000471C8">
        <w:rPr>
          <w:rFonts w:ascii="Times New Roman" w:hAnsi="Times New Roman" w:cs="Times New Roman"/>
          <w:sz w:val="24"/>
          <w:szCs w:val="24"/>
          <w:lang w:val="en-US"/>
        </w:rPr>
        <w:t xml:space="preserve">Kimmel, M.J., Pruitt, D.G., </w:t>
      </w:r>
      <w:proofErr w:type="spellStart"/>
      <w:r w:rsidRPr="000471C8">
        <w:rPr>
          <w:rFonts w:ascii="Times New Roman" w:hAnsi="Times New Roman" w:cs="Times New Roman"/>
          <w:sz w:val="24"/>
          <w:szCs w:val="24"/>
          <w:lang w:val="en-US"/>
        </w:rPr>
        <w:t>Magenau</w:t>
      </w:r>
      <w:proofErr w:type="spellEnd"/>
      <w:r w:rsidRPr="000471C8">
        <w:rPr>
          <w:rFonts w:ascii="Times New Roman" w:hAnsi="Times New Roman" w:cs="Times New Roman"/>
          <w:sz w:val="24"/>
          <w:szCs w:val="24"/>
          <w:lang w:val="en-US"/>
        </w:rPr>
        <w:t xml:space="preserve">, J.M., </w:t>
      </w:r>
      <w:proofErr w:type="spellStart"/>
      <w:r w:rsidRPr="000471C8">
        <w:rPr>
          <w:rFonts w:ascii="Times New Roman" w:hAnsi="Times New Roman" w:cs="Times New Roman"/>
          <w:sz w:val="24"/>
          <w:szCs w:val="24"/>
          <w:lang w:val="en-US"/>
        </w:rPr>
        <w:t>Konar-Goldband</w:t>
      </w:r>
      <w:proofErr w:type="spellEnd"/>
      <w:r w:rsidRPr="000471C8">
        <w:rPr>
          <w:rFonts w:ascii="Times New Roman" w:hAnsi="Times New Roman" w:cs="Times New Roman"/>
          <w:sz w:val="24"/>
          <w:szCs w:val="24"/>
          <w:lang w:val="en-US"/>
        </w:rPr>
        <w:t xml:space="preserve">, E., and Carnevale, P.J.D. (1980) The effects of </w:t>
      </w:r>
      <w:r>
        <w:rPr>
          <w:rFonts w:ascii="Times New Roman" w:hAnsi="Times New Roman" w:cs="Times New Roman"/>
          <w:sz w:val="24"/>
          <w:szCs w:val="24"/>
          <w:lang w:val="en-US"/>
        </w:rPr>
        <w:t>Trust, Aspiration, and Gender on Negotiation Tactics. Journal of Personality and Social Psychology 38(1): 9</w:t>
      </w:r>
      <w:r w:rsidRPr="000E701B">
        <w:rPr>
          <w:rFonts w:ascii="Times New Roman" w:eastAsia="Times New Roman" w:hAnsi="Times New Roman" w:cs="Times New Roman"/>
          <w:sz w:val="24"/>
          <w:szCs w:val="24"/>
          <w:lang w:val="en-US" w:eastAsia="de-AT"/>
        </w:rPr>
        <w:sym w:font="Symbol" w:char="F02D"/>
      </w:r>
      <w:r>
        <w:rPr>
          <w:rFonts w:ascii="Times New Roman" w:hAnsi="Times New Roman" w:cs="Times New Roman"/>
          <w:sz w:val="24"/>
          <w:szCs w:val="24"/>
          <w:lang w:val="en-US"/>
        </w:rPr>
        <w:t>22.</w:t>
      </w:r>
    </w:p>
    <w:p w14:paraId="4015F844"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lastRenderedPageBreak/>
        <w:t xml:space="preserve">Kong, D.T., Dirks, K.T., and </w:t>
      </w:r>
      <w:proofErr w:type="spellStart"/>
      <w:r w:rsidRPr="000E701B">
        <w:rPr>
          <w:rFonts w:ascii="Times New Roman" w:eastAsia="Times New Roman" w:hAnsi="Times New Roman" w:cs="Times New Roman"/>
          <w:sz w:val="24"/>
          <w:szCs w:val="24"/>
          <w:lang w:val="en-GB" w:eastAsia="de-AT"/>
        </w:rPr>
        <w:t>Ferrin</w:t>
      </w:r>
      <w:proofErr w:type="spellEnd"/>
      <w:r w:rsidRPr="000E701B">
        <w:rPr>
          <w:rFonts w:ascii="Times New Roman" w:eastAsia="Times New Roman" w:hAnsi="Times New Roman" w:cs="Times New Roman"/>
          <w:sz w:val="24"/>
          <w:szCs w:val="24"/>
          <w:lang w:val="en-GB" w:eastAsia="de-AT"/>
        </w:rPr>
        <w:t xml:space="preserve">, D.L. (2014) Interpersonal Trust within Negotiations: Meta-analytical Evidence, Critical Contingencies, and Directions for Future Research. </w:t>
      </w:r>
      <w:r w:rsidRPr="000E701B">
        <w:rPr>
          <w:rFonts w:ascii="Times New Roman" w:eastAsia="Times New Roman" w:hAnsi="Times New Roman" w:cs="Times New Roman"/>
          <w:i/>
          <w:sz w:val="24"/>
          <w:szCs w:val="24"/>
          <w:lang w:val="en-GB" w:eastAsia="de-AT"/>
        </w:rPr>
        <w:t>Academy of Management Journal</w:t>
      </w:r>
      <w:r w:rsidRPr="000E701B">
        <w:rPr>
          <w:rFonts w:ascii="Times New Roman" w:eastAsia="Times New Roman" w:hAnsi="Times New Roman" w:cs="Times New Roman"/>
          <w:sz w:val="24"/>
          <w:szCs w:val="24"/>
          <w:lang w:val="en-GB" w:eastAsia="de-AT"/>
        </w:rPr>
        <w:t xml:space="preserve"> 57(5): 1235</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1255.</w:t>
      </w:r>
    </w:p>
    <w:p w14:paraId="25E21445" w14:textId="77777777" w:rsidR="008C06CF" w:rsidRDefault="008C06CF" w:rsidP="009634A6">
      <w:pPr>
        <w:autoSpaceDE w:val="0"/>
        <w:autoSpaceDN w:val="0"/>
        <w:adjustRightInd w:val="0"/>
        <w:spacing w:line="240" w:lineRule="auto"/>
        <w:ind w:left="567" w:hanging="567"/>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Krishnan, R., Martin, X., and</w:t>
      </w:r>
      <w:r w:rsidRPr="00DD7F80">
        <w:rPr>
          <w:rFonts w:ascii="Times New Roman" w:eastAsia="Times New Roman" w:hAnsi="Times New Roman" w:cs="Times New Roman"/>
          <w:sz w:val="24"/>
          <w:szCs w:val="24"/>
          <w:lang w:val="en-GB" w:eastAsia="de-AT"/>
        </w:rPr>
        <w:t xml:space="preserve"> </w:t>
      </w:r>
      <w:proofErr w:type="spellStart"/>
      <w:r w:rsidRPr="00DD7F80">
        <w:rPr>
          <w:rFonts w:ascii="Times New Roman" w:eastAsia="Times New Roman" w:hAnsi="Times New Roman" w:cs="Times New Roman"/>
          <w:sz w:val="24"/>
          <w:szCs w:val="24"/>
          <w:lang w:val="en-GB" w:eastAsia="de-AT"/>
        </w:rPr>
        <w:t>Noorderhaven</w:t>
      </w:r>
      <w:proofErr w:type="spellEnd"/>
      <w:r w:rsidRPr="00DD7F80">
        <w:rPr>
          <w:rFonts w:ascii="Times New Roman" w:eastAsia="Times New Roman" w:hAnsi="Times New Roman" w:cs="Times New Roman"/>
          <w:sz w:val="24"/>
          <w:szCs w:val="24"/>
          <w:lang w:val="en-GB" w:eastAsia="de-AT"/>
        </w:rPr>
        <w:t xml:space="preserve">, N. G. (2006). When does trust </w:t>
      </w:r>
      <w:r>
        <w:rPr>
          <w:rFonts w:ascii="Times New Roman" w:eastAsia="Times New Roman" w:hAnsi="Times New Roman" w:cs="Times New Roman"/>
          <w:sz w:val="24"/>
          <w:szCs w:val="24"/>
          <w:lang w:val="en-GB" w:eastAsia="de-AT"/>
        </w:rPr>
        <w:t>matter to alliance performance?</w:t>
      </w:r>
      <w:r w:rsidRPr="00DD7F80">
        <w:rPr>
          <w:rFonts w:ascii="Times New Roman" w:eastAsia="Times New Roman" w:hAnsi="Times New Roman" w:cs="Times New Roman"/>
          <w:sz w:val="24"/>
          <w:szCs w:val="24"/>
          <w:lang w:val="en-GB" w:eastAsia="de-AT"/>
        </w:rPr>
        <w:t xml:space="preserve"> </w:t>
      </w:r>
      <w:r w:rsidRPr="00DD7F80">
        <w:rPr>
          <w:rFonts w:ascii="Times New Roman" w:eastAsia="Times New Roman" w:hAnsi="Times New Roman" w:cs="Times New Roman"/>
          <w:i/>
          <w:sz w:val="24"/>
          <w:szCs w:val="24"/>
          <w:lang w:val="en-GB" w:eastAsia="de-AT"/>
        </w:rPr>
        <w:t xml:space="preserve">Academy of Management </w:t>
      </w:r>
      <w:r>
        <w:rPr>
          <w:rFonts w:ascii="Times New Roman" w:eastAsia="Times New Roman" w:hAnsi="Times New Roman" w:cs="Times New Roman"/>
          <w:i/>
          <w:sz w:val="24"/>
          <w:szCs w:val="24"/>
          <w:lang w:val="en-GB" w:eastAsia="de-AT"/>
        </w:rPr>
        <w:t>J</w:t>
      </w:r>
      <w:r w:rsidRPr="009634A6">
        <w:rPr>
          <w:rFonts w:ascii="Times New Roman" w:eastAsia="Times New Roman" w:hAnsi="Times New Roman" w:cs="Times New Roman"/>
          <w:i/>
          <w:sz w:val="24"/>
          <w:szCs w:val="24"/>
          <w:lang w:val="en-GB" w:eastAsia="de-AT"/>
        </w:rPr>
        <w:t>ournal</w:t>
      </w:r>
      <w:r>
        <w:rPr>
          <w:rFonts w:ascii="Times New Roman" w:eastAsia="Times New Roman" w:hAnsi="Times New Roman" w:cs="Times New Roman"/>
          <w:sz w:val="24"/>
          <w:szCs w:val="24"/>
          <w:lang w:val="en-GB" w:eastAsia="de-AT"/>
        </w:rPr>
        <w:t xml:space="preserve"> 49(5):</w:t>
      </w:r>
      <w:r w:rsidRPr="00DD7F80">
        <w:rPr>
          <w:rFonts w:ascii="Times New Roman" w:eastAsia="Times New Roman" w:hAnsi="Times New Roman" w:cs="Times New Roman"/>
          <w:sz w:val="24"/>
          <w:szCs w:val="24"/>
          <w:lang w:val="en-GB" w:eastAsia="de-AT"/>
        </w:rPr>
        <w:t xml:space="preserve"> 894</w:t>
      </w:r>
      <w:r w:rsidRPr="000E701B">
        <w:rPr>
          <w:rFonts w:ascii="Times New Roman" w:eastAsia="Times New Roman" w:hAnsi="Times New Roman" w:cs="Times New Roman"/>
          <w:sz w:val="24"/>
          <w:szCs w:val="24"/>
          <w:lang w:val="en-US" w:eastAsia="de-AT"/>
        </w:rPr>
        <w:sym w:font="Symbol" w:char="F02D"/>
      </w:r>
      <w:r w:rsidRPr="00DD7F80">
        <w:rPr>
          <w:rFonts w:ascii="Times New Roman" w:eastAsia="Times New Roman" w:hAnsi="Times New Roman" w:cs="Times New Roman"/>
          <w:sz w:val="24"/>
          <w:szCs w:val="24"/>
          <w:lang w:val="en-GB" w:eastAsia="de-AT"/>
        </w:rPr>
        <w:t>917.</w:t>
      </w:r>
    </w:p>
    <w:p w14:paraId="6D3068D7" w14:textId="77777777" w:rsidR="008C06CF" w:rsidRPr="008C06CF" w:rsidRDefault="008C06CF" w:rsidP="008C06CF">
      <w:pPr>
        <w:spacing w:line="240" w:lineRule="auto"/>
        <w:ind w:left="567" w:hanging="567"/>
        <w:jc w:val="both"/>
        <w:rPr>
          <w:rFonts w:ascii="Times New Roman" w:eastAsia="Times New Roman" w:hAnsi="Times New Roman" w:cs="Times New Roman"/>
          <w:sz w:val="24"/>
          <w:szCs w:val="24"/>
          <w:lang w:val="en-US" w:eastAsia="de-AT"/>
        </w:rPr>
      </w:pPr>
      <w:r w:rsidRPr="008C06CF">
        <w:rPr>
          <w:rFonts w:ascii="Times New Roman" w:eastAsia="Times New Roman" w:hAnsi="Times New Roman" w:cs="Times New Roman"/>
          <w:sz w:val="24"/>
          <w:szCs w:val="24"/>
          <w:lang w:val="en-US" w:eastAsia="de-AT"/>
        </w:rPr>
        <w:t xml:space="preserve">Krosnick, J. A. (1999) Survey research. </w:t>
      </w:r>
      <w:r w:rsidRPr="008C06CF">
        <w:rPr>
          <w:rFonts w:ascii="Times New Roman" w:eastAsia="Times New Roman" w:hAnsi="Times New Roman" w:cs="Times New Roman"/>
          <w:i/>
          <w:iCs/>
          <w:sz w:val="24"/>
          <w:szCs w:val="24"/>
          <w:lang w:val="en-US" w:eastAsia="de-AT"/>
        </w:rPr>
        <w:t xml:space="preserve">Annual </w:t>
      </w:r>
      <w:r>
        <w:rPr>
          <w:rFonts w:ascii="Times New Roman" w:eastAsia="Times New Roman" w:hAnsi="Times New Roman" w:cs="Times New Roman"/>
          <w:i/>
          <w:iCs/>
          <w:sz w:val="24"/>
          <w:szCs w:val="24"/>
          <w:lang w:val="en-US" w:eastAsia="de-AT"/>
        </w:rPr>
        <w:t>R</w:t>
      </w:r>
      <w:r w:rsidRPr="008C06CF">
        <w:rPr>
          <w:rFonts w:ascii="Times New Roman" w:eastAsia="Times New Roman" w:hAnsi="Times New Roman" w:cs="Times New Roman"/>
          <w:i/>
          <w:iCs/>
          <w:sz w:val="24"/>
          <w:szCs w:val="24"/>
          <w:lang w:val="en-US" w:eastAsia="de-AT"/>
        </w:rPr>
        <w:t xml:space="preserve">eview of </w:t>
      </w:r>
      <w:r>
        <w:rPr>
          <w:rFonts w:ascii="Times New Roman" w:eastAsia="Times New Roman" w:hAnsi="Times New Roman" w:cs="Times New Roman"/>
          <w:i/>
          <w:iCs/>
          <w:sz w:val="24"/>
          <w:szCs w:val="24"/>
          <w:lang w:val="en-US" w:eastAsia="de-AT"/>
        </w:rPr>
        <w:t>P</w:t>
      </w:r>
      <w:r w:rsidRPr="008C06CF">
        <w:rPr>
          <w:rFonts w:ascii="Times New Roman" w:eastAsia="Times New Roman" w:hAnsi="Times New Roman" w:cs="Times New Roman"/>
          <w:i/>
          <w:iCs/>
          <w:sz w:val="24"/>
          <w:szCs w:val="24"/>
          <w:lang w:val="en-US" w:eastAsia="de-AT"/>
        </w:rPr>
        <w:t>sychology</w:t>
      </w:r>
      <w:r w:rsidRPr="008C06CF">
        <w:rPr>
          <w:rFonts w:ascii="Times New Roman" w:eastAsia="Times New Roman" w:hAnsi="Times New Roman" w:cs="Times New Roman"/>
          <w:sz w:val="24"/>
          <w:szCs w:val="24"/>
          <w:lang w:val="en-US" w:eastAsia="de-AT"/>
        </w:rPr>
        <w:t>, 50(1), 537-567.</w:t>
      </w:r>
    </w:p>
    <w:p w14:paraId="7532EEC6" w14:textId="77777777" w:rsidR="008C06CF" w:rsidRPr="000E701B" w:rsidRDefault="008C06CF" w:rsidP="009634A6">
      <w:pPr>
        <w:autoSpaceDE w:val="0"/>
        <w:autoSpaceDN w:val="0"/>
        <w:adjustRightInd w:val="0"/>
        <w:spacing w:line="240" w:lineRule="auto"/>
        <w:ind w:left="567" w:hanging="567"/>
        <w:jc w:val="both"/>
        <w:rPr>
          <w:rFonts w:ascii="Times New Roman" w:eastAsia="Times New Roman" w:hAnsi="Times New Roman" w:cs="Times New Roman"/>
          <w:sz w:val="24"/>
          <w:szCs w:val="24"/>
          <w:lang w:val="en-GB" w:eastAsia="de-AT"/>
        </w:rPr>
      </w:pPr>
      <w:proofErr w:type="spellStart"/>
      <w:r w:rsidRPr="000E701B">
        <w:rPr>
          <w:rFonts w:ascii="Times New Roman" w:eastAsia="Times New Roman" w:hAnsi="Times New Roman" w:cs="Times New Roman"/>
          <w:sz w:val="24"/>
          <w:szCs w:val="24"/>
          <w:lang w:val="en-GB" w:eastAsia="de-AT"/>
        </w:rPr>
        <w:t>Langfred</w:t>
      </w:r>
      <w:proofErr w:type="spellEnd"/>
      <w:r w:rsidRPr="000E701B">
        <w:rPr>
          <w:rFonts w:ascii="Times New Roman" w:eastAsia="Times New Roman" w:hAnsi="Times New Roman" w:cs="Times New Roman"/>
          <w:sz w:val="24"/>
          <w:szCs w:val="24"/>
          <w:lang w:val="en-GB" w:eastAsia="de-AT"/>
        </w:rPr>
        <w:t xml:space="preserve">, C.W. (2004) Too Much of a Good Thing? Negative Effects of High Trust and Individual Autonomy in Self-Managing Teams. </w:t>
      </w:r>
      <w:r w:rsidRPr="000E701B">
        <w:rPr>
          <w:rFonts w:ascii="Times New Roman" w:eastAsia="Times New Roman" w:hAnsi="Times New Roman" w:cs="Times New Roman"/>
          <w:i/>
          <w:sz w:val="24"/>
          <w:szCs w:val="24"/>
          <w:lang w:val="en-GB" w:eastAsia="de-AT"/>
        </w:rPr>
        <w:t>Academy of Management Journal</w:t>
      </w:r>
      <w:r w:rsidRPr="000E701B">
        <w:rPr>
          <w:rFonts w:ascii="Times New Roman" w:eastAsia="Times New Roman" w:hAnsi="Times New Roman" w:cs="Times New Roman"/>
          <w:sz w:val="24"/>
          <w:szCs w:val="24"/>
          <w:lang w:val="en-GB" w:eastAsia="de-AT"/>
        </w:rPr>
        <w:t xml:space="preserve"> 47(3): 385</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399.</w:t>
      </w:r>
    </w:p>
    <w:p w14:paraId="3DFF06B5" w14:textId="77777777" w:rsidR="008C06CF" w:rsidRPr="000E701B" w:rsidRDefault="008C06CF" w:rsidP="009634A6">
      <w:pPr>
        <w:autoSpaceDE w:val="0"/>
        <w:autoSpaceDN w:val="0"/>
        <w:adjustRightInd w:val="0"/>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Lewicki, R.J., and Bunker, B.B. (1996) Developing and Maintaining Trust in Work Relationships, in: Kramer, R.R., Tyler, T.R. (eds.), </w:t>
      </w:r>
      <w:r w:rsidRPr="000E701B">
        <w:rPr>
          <w:rFonts w:ascii="Times New Roman" w:eastAsia="Times New Roman" w:hAnsi="Times New Roman" w:cs="Times New Roman"/>
          <w:i/>
          <w:sz w:val="24"/>
          <w:szCs w:val="24"/>
          <w:lang w:val="en-GB" w:eastAsia="de-AT"/>
        </w:rPr>
        <w:t>Trust in Organisations: Frontiers of Theory and Research</w:t>
      </w:r>
      <w:r w:rsidRPr="000E701B">
        <w:rPr>
          <w:rFonts w:ascii="Times New Roman" w:eastAsia="Times New Roman" w:hAnsi="Times New Roman" w:cs="Times New Roman"/>
          <w:sz w:val="24"/>
          <w:szCs w:val="24"/>
          <w:lang w:val="en-GB" w:eastAsia="de-AT"/>
        </w:rPr>
        <w:t>. SAGE Publications Inc, Thousand Oaks, CA: 114</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139.</w:t>
      </w:r>
    </w:p>
    <w:p w14:paraId="7BB1336E" w14:textId="77777777" w:rsidR="008C06CF" w:rsidRPr="002E789F" w:rsidRDefault="008C06CF" w:rsidP="009634A6">
      <w:pPr>
        <w:spacing w:line="240" w:lineRule="auto"/>
        <w:ind w:left="567" w:hanging="567"/>
        <w:jc w:val="both"/>
        <w:rPr>
          <w:rFonts w:ascii="Times New Roman" w:eastAsia="Times New Roman" w:hAnsi="Times New Roman" w:cs="Times New Roman"/>
          <w:sz w:val="24"/>
          <w:szCs w:val="24"/>
          <w:lang w:val="en-US" w:eastAsia="de-AT"/>
        </w:rPr>
      </w:pPr>
      <w:r w:rsidRPr="000E701B">
        <w:rPr>
          <w:rFonts w:ascii="Times New Roman" w:eastAsia="Times New Roman" w:hAnsi="Times New Roman" w:cs="Times New Roman"/>
          <w:sz w:val="24"/>
          <w:szCs w:val="24"/>
          <w:lang w:val="en-GB" w:eastAsia="de-AT"/>
        </w:rPr>
        <w:t xml:space="preserve">Lewicki, R.J., and Stevenson, M.A. (1997) Trust Development in Negotiation: Proposed Actions and a Research Agenda. </w:t>
      </w:r>
      <w:r w:rsidRPr="002E789F">
        <w:rPr>
          <w:rFonts w:ascii="Times New Roman" w:eastAsia="Times New Roman" w:hAnsi="Times New Roman" w:cs="Times New Roman"/>
          <w:i/>
          <w:sz w:val="24"/>
          <w:szCs w:val="24"/>
          <w:lang w:val="en-US" w:eastAsia="de-AT"/>
        </w:rPr>
        <w:t>Business and Professional Ethics Journal</w:t>
      </w:r>
      <w:r w:rsidRPr="002E789F">
        <w:rPr>
          <w:rFonts w:ascii="Times New Roman" w:eastAsia="Times New Roman" w:hAnsi="Times New Roman" w:cs="Times New Roman"/>
          <w:sz w:val="24"/>
          <w:szCs w:val="24"/>
          <w:lang w:val="en-US" w:eastAsia="de-AT"/>
        </w:rPr>
        <w:t xml:space="preserve"> 6(1/3): 99</w:t>
      </w:r>
      <w:r w:rsidRPr="000E701B">
        <w:rPr>
          <w:rFonts w:ascii="Times New Roman" w:eastAsia="Times New Roman" w:hAnsi="Times New Roman" w:cs="Times New Roman"/>
          <w:sz w:val="24"/>
          <w:szCs w:val="24"/>
          <w:lang w:val="en-US" w:eastAsia="de-AT"/>
        </w:rPr>
        <w:sym w:font="Symbol" w:char="F02D"/>
      </w:r>
      <w:r w:rsidRPr="002E789F">
        <w:rPr>
          <w:rFonts w:ascii="Times New Roman" w:eastAsia="Times New Roman" w:hAnsi="Times New Roman" w:cs="Times New Roman"/>
          <w:sz w:val="24"/>
          <w:szCs w:val="24"/>
          <w:lang w:val="en-US" w:eastAsia="de-AT"/>
        </w:rPr>
        <w:t>132.</w:t>
      </w:r>
    </w:p>
    <w:p w14:paraId="580EEF75"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Mayer, R.C., Davis, J.H., and </w:t>
      </w:r>
      <w:proofErr w:type="spellStart"/>
      <w:r w:rsidRPr="000E701B">
        <w:rPr>
          <w:rFonts w:ascii="Times New Roman" w:eastAsia="Times New Roman" w:hAnsi="Times New Roman" w:cs="Times New Roman"/>
          <w:sz w:val="24"/>
          <w:szCs w:val="24"/>
          <w:lang w:val="en-GB" w:eastAsia="de-AT"/>
        </w:rPr>
        <w:t>Schoorman</w:t>
      </w:r>
      <w:proofErr w:type="spellEnd"/>
      <w:r w:rsidRPr="000E701B">
        <w:rPr>
          <w:rFonts w:ascii="Times New Roman" w:eastAsia="Times New Roman" w:hAnsi="Times New Roman" w:cs="Times New Roman"/>
          <w:sz w:val="24"/>
          <w:szCs w:val="24"/>
          <w:lang w:val="en-GB" w:eastAsia="de-AT"/>
        </w:rPr>
        <w:t xml:space="preserve">, F.D. (1995) An Integrative Model of Organizational Trust. </w:t>
      </w:r>
      <w:r w:rsidRPr="000E701B">
        <w:rPr>
          <w:rFonts w:ascii="Times New Roman" w:eastAsia="Times New Roman" w:hAnsi="Times New Roman" w:cs="Times New Roman"/>
          <w:i/>
          <w:sz w:val="24"/>
          <w:szCs w:val="24"/>
          <w:lang w:val="en-GB" w:eastAsia="de-AT"/>
        </w:rPr>
        <w:t>The Academy of Management Review</w:t>
      </w:r>
      <w:r w:rsidRPr="000E701B">
        <w:rPr>
          <w:rFonts w:ascii="Times New Roman" w:eastAsia="Times New Roman" w:hAnsi="Times New Roman" w:cs="Times New Roman"/>
          <w:sz w:val="24"/>
          <w:szCs w:val="24"/>
          <w:lang w:val="en-GB" w:eastAsia="de-AT"/>
        </w:rPr>
        <w:t xml:space="preserve"> 20(3): 709</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734.</w:t>
      </w:r>
    </w:p>
    <w:p w14:paraId="500535F1" w14:textId="77777777" w:rsidR="008C06CF" w:rsidRPr="008E026B" w:rsidRDefault="008C06CF" w:rsidP="009634A6">
      <w:pPr>
        <w:spacing w:line="240" w:lineRule="auto"/>
        <w:ind w:left="567" w:hanging="567"/>
        <w:rPr>
          <w:rFonts w:ascii="Times New Roman" w:hAnsi="Times New Roman" w:cs="Times New Roman"/>
          <w:sz w:val="24"/>
          <w:szCs w:val="24"/>
          <w:lang w:val="en-US"/>
        </w:rPr>
      </w:pPr>
      <w:proofErr w:type="spellStart"/>
      <w:r w:rsidRPr="008E026B">
        <w:rPr>
          <w:rFonts w:ascii="Times New Roman" w:hAnsi="Times New Roman" w:cs="Times New Roman"/>
          <w:sz w:val="24"/>
          <w:szCs w:val="24"/>
          <w:lang w:val="en-US"/>
        </w:rPr>
        <w:t>Mazei</w:t>
      </w:r>
      <w:proofErr w:type="spellEnd"/>
      <w:r w:rsidRPr="008E026B">
        <w:rPr>
          <w:rFonts w:ascii="Times New Roman" w:hAnsi="Times New Roman" w:cs="Times New Roman"/>
          <w:sz w:val="24"/>
          <w:szCs w:val="24"/>
          <w:lang w:val="en-US"/>
        </w:rPr>
        <w:t xml:space="preserve">, J., </w:t>
      </w:r>
      <w:proofErr w:type="spellStart"/>
      <w:r w:rsidRPr="008E026B">
        <w:rPr>
          <w:rFonts w:ascii="Times New Roman" w:hAnsi="Times New Roman" w:cs="Times New Roman"/>
          <w:sz w:val="24"/>
          <w:szCs w:val="24"/>
          <w:lang w:val="en-US"/>
        </w:rPr>
        <w:t>Hüffmeier</w:t>
      </w:r>
      <w:proofErr w:type="spellEnd"/>
      <w:r w:rsidRPr="008E026B">
        <w:rPr>
          <w:rFonts w:ascii="Times New Roman" w:hAnsi="Times New Roman" w:cs="Times New Roman"/>
          <w:sz w:val="24"/>
          <w:szCs w:val="24"/>
          <w:lang w:val="en-US"/>
        </w:rPr>
        <w:t xml:space="preserve">, J., Freund, P.A., </w:t>
      </w:r>
      <w:proofErr w:type="spellStart"/>
      <w:r w:rsidRPr="008E026B">
        <w:rPr>
          <w:rFonts w:ascii="Times New Roman" w:hAnsi="Times New Roman" w:cs="Times New Roman"/>
          <w:sz w:val="24"/>
          <w:szCs w:val="24"/>
          <w:lang w:val="en-US"/>
        </w:rPr>
        <w:t>Stuhlmacher</w:t>
      </w:r>
      <w:proofErr w:type="spellEnd"/>
      <w:r w:rsidRPr="008E026B">
        <w:rPr>
          <w:rFonts w:ascii="Times New Roman" w:hAnsi="Times New Roman" w:cs="Times New Roman"/>
          <w:sz w:val="24"/>
          <w:szCs w:val="24"/>
          <w:lang w:val="en-US"/>
        </w:rPr>
        <w:t xml:space="preserve">, A.F., </w:t>
      </w:r>
      <w:proofErr w:type="spellStart"/>
      <w:r w:rsidRPr="008E026B">
        <w:rPr>
          <w:rFonts w:ascii="Times New Roman" w:hAnsi="Times New Roman" w:cs="Times New Roman"/>
          <w:sz w:val="24"/>
          <w:szCs w:val="24"/>
          <w:lang w:val="en-US"/>
        </w:rPr>
        <w:t>Bilke</w:t>
      </w:r>
      <w:proofErr w:type="spellEnd"/>
      <w:r w:rsidRPr="008E026B">
        <w:rPr>
          <w:rFonts w:ascii="Times New Roman" w:hAnsi="Times New Roman" w:cs="Times New Roman"/>
          <w:sz w:val="24"/>
          <w:szCs w:val="24"/>
          <w:lang w:val="en-US"/>
        </w:rPr>
        <w:t>, L., and Hertel, G. (2014) A Meta-Analysis on Gender Differences in Negotiation Outcomes and Their Moderators. Psychological Bulletin. DOI: http://dx.doi.org/10.1037/a0038184</w:t>
      </w:r>
    </w:p>
    <w:p w14:paraId="72F3419A"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McAllister, D.J., (1995) Affect- and Cognition-Based Trust as a Foundation for Interorganisational Cooperation in Organisations. </w:t>
      </w:r>
      <w:r w:rsidRPr="000E701B">
        <w:rPr>
          <w:rFonts w:ascii="Times New Roman" w:eastAsia="Times New Roman" w:hAnsi="Times New Roman" w:cs="Times New Roman"/>
          <w:i/>
          <w:sz w:val="24"/>
          <w:szCs w:val="24"/>
          <w:lang w:val="en-GB" w:eastAsia="de-AT"/>
        </w:rPr>
        <w:t>Academy of Management Journal</w:t>
      </w:r>
      <w:r w:rsidRPr="000E701B">
        <w:rPr>
          <w:rFonts w:ascii="Times New Roman" w:eastAsia="Times New Roman" w:hAnsi="Times New Roman" w:cs="Times New Roman"/>
          <w:sz w:val="24"/>
          <w:szCs w:val="24"/>
          <w:lang w:val="en-GB" w:eastAsia="de-AT"/>
        </w:rPr>
        <w:t xml:space="preserve"> 38(1): 24</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59.</w:t>
      </w:r>
    </w:p>
    <w:p w14:paraId="7928B617"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McCracken, S., </w:t>
      </w:r>
      <w:proofErr w:type="spellStart"/>
      <w:r w:rsidRPr="000E701B">
        <w:rPr>
          <w:rFonts w:ascii="Times New Roman" w:eastAsia="Times New Roman" w:hAnsi="Times New Roman" w:cs="Times New Roman"/>
          <w:sz w:val="24"/>
          <w:szCs w:val="24"/>
          <w:lang w:val="en-GB" w:eastAsia="de-AT"/>
        </w:rPr>
        <w:t>Salterio</w:t>
      </w:r>
      <w:proofErr w:type="spellEnd"/>
      <w:r w:rsidRPr="000E701B">
        <w:rPr>
          <w:rFonts w:ascii="Times New Roman" w:eastAsia="Times New Roman" w:hAnsi="Times New Roman" w:cs="Times New Roman"/>
          <w:sz w:val="24"/>
          <w:szCs w:val="24"/>
          <w:lang w:val="en-GB" w:eastAsia="de-AT"/>
        </w:rPr>
        <w:t xml:space="preserve">, S.E., and Gibbins, M. (2008) Auditor-Client Management Relationship and Roles in Negotiating Financial Reporting. </w:t>
      </w:r>
      <w:r w:rsidRPr="000E701B">
        <w:rPr>
          <w:rFonts w:ascii="Times New Roman" w:eastAsia="Times New Roman" w:hAnsi="Times New Roman" w:cs="Times New Roman"/>
          <w:i/>
          <w:sz w:val="24"/>
          <w:szCs w:val="24"/>
          <w:lang w:val="en-GB" w:eastAsia="de-AT"/>
        </w:rPr>
        <w:t>Accounting, Organizations and Society</w:t>
      </w:r>
      <w:r w:rsidRPr="000E701B">
        <w:rPr>
          <w:rFonts w:ascii="Times New Roman" w:eastAsia="Times New Roman" w:hAnsi="Times New Roman" w:cs="Times New Roman"/>
          <w:sz w:val="24"/>
          <w:szCs w:val="24"/>
          <w:lang w:val="en-GB" w:eastAsia="de-AT"/>
        </w:rPr>
        <w:t xml:space="preserve"> 33(4-5): 362</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383.</w:t>
      </w:r>
    </w:p>
    <w:p w14:paraId="29DE8805"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US" w:eastAsia="de-AT"/>
        </w:rPr>
      </w:pPr>
      <w:proofErr w:type="spellStart"/>
      <w:r w:rsidRPr="000E701B">
        <w:rPr>
          <w:rFonts w:ascii="Times New Roman" w:eastAsia="Times New Roman" w:hAnsi="Times New Roman" w:cs="Times New Roman"/>
          <w:sz w:val="24"/>
          <w:szCs w:val="24"/>
          <w:lang w:val="en-US" w:eastAsia="de-AT"/>
        </w:rPr>
        <w:t>McEvily</w:t>
      </w:r>
      <w:proofErr w:type="spellEnd"/>
      <w:r w:rsidRPr="000E701B">
        <w:rPr>
          <w:rFonts w:ascii="Times New Roman" w:eastAsia="Times New Roman" w:hAnsi="Times New Roman" w:cs="Times New Roman"/>
          <w:sz w:val="24"/>
          <w:szCs w:val="24"/>
          <w:lang w:val="en-US" w:eastAsia="de-AT"/>
        </w:rPr>
        <w:t xml:space="preserve">, B., and </w:t>
      </w:r>
      <w:proofErr w:type="spellStart"/>
      <w:r w:rsidRPr="000E701B">
        <w:rPr>
          <w:rFonts w:ascii="Times New Roman" w:eastAsia="Times New Roman" w:hAnsi="Times New Roman" w:cs="Times New Roman"/>
          <w:sz w:val="24"/>
          <w:szCs w:val="24"/>
          <w:lang w:val="en-US" w:eastAsia="de-AT"/>
        </w:rPr>
        <w:t>Tortoriello</w:t>
      </w:r>
      <w:proofErr w:type="spellEnd"/>
      <w:r w:rsidRPr="000E701B">
        <w:rPr>
          <w:rFonts w:ascii="Times New Roman" w:eastAsia="Times New Roman" w:hAnsi="Times New Roman" w:cs="Times New Roman"/>
          <w:sz w:val="24"/>
          <w:szCs w:val="24"/>
          <w:lang w:val="en-US" w:eastAsia="de-AT"/>
        </w:rPr>
        <w:t xml:space="preserve">, M. (2011) Measuring Trust in Organizational Research: Review and Recommendations. </w:t>
      </w:r>
      <w:r w:rsidRPr="000E701B">
        <w:rPr>
          <w:rFonts w:ascii="Times New Roman" w:eastAsia="Times New Roman" w:hAnsi="Times New Roman" w:cs="Times New Roman"/>
          <w:i/>
          <w:sz w:val="24"/>
          <w:szCs w:val="24"/>
          <w:lang w:val="en-US" w:eastAsia="de-AT"/>
        </w:rPr>
        <w:t>Journal of Trust Research</w:t>
      </w:r>
      <w:r w:rsidRPr="000E701B">
        <w:rPr>
          <w:rFonts w:ascii="Times New Roman" w:eastAsia="Times New Roman" w:hAnsi="Times New Roman" w:cs="Times New Roman"/>
          <w:sz w:val="24"/>
          <w:szCs w:val="24"/>
          <w:lang w:val="en-US" w:eastAsia="de-AT"/>
        </w:rPr>
        <w:t xml:space="preserve"> 1(1): 23</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US" w:eastAsia="de-AT"/>
        </w:rPr>
        <w:t>63.</w:t>
      </w:r>
    </w:p>
    <w:p w14:paraId="5914DE70"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US" w:eastAsia="de-AT"/>
        </w:rPr>
      </w:pPr>
      <w:r w:rsidRPr="000E701B">
        <w:rPr>
          <w:rFonts w:ascii="Times New Roman" w:eastAsia="Times New Roman" w:hAnsi="Times New Roman" w:cs="Times New Roman"/>
          <w:sz w:val="24"/>
          <w:szCs w:val="24"/>
          <w:lang w:val="en-US" w:eastAsia="de-AT"/>
        </w:rPr>
        <w:t xml:space="preserve">McKinley, W., </w:t>
      </w:r>
      <w:proofErr w:type="spellStart"/>
      <w:r w:rsidRPr="000E701B">
        <w:rPr>
          <w:rFonts w:ascii="Times New Roman" w:eastAsia="Times New Roman" w:hAnsi="Times New Roman" w:cs="Times New Roman"/>
          <w:sz w:val="24"/>
          <w:szCs w:val="24"/>
          <w:lang w:val="en-US" w:eastAsia="de-AT"/>
        </w:rPr>
        <w:t>Ponemon</w:t>
      </w:r>
      <w:proofErr w:type="spellEnd"/>
      <w:r w:rsidRPr="000E701B">
        <w:rPr>
          <w:rFonts w:ascii="Times New Roman" w:eastAsia="Times New Roman" w:hAnsi="Times New Roman" w:cs="Times New Roman"/>
          <w:sz w:val="24"/>
          <w:szCs w:val="24"/>
          <w:lang w:val="en-US" w:eastAsia="de-AT"/>
        </w:rPr>
        <w:t xml:space="preserve">, L.A., and Schick, A.G. (1996) Auditors’ Perceptions of Client Firms: The Stigma of Decline and the Stigma of Growth. </w:t>
      </w:r>
      <w:r w:rsidRPr="000E701B">
        <w:rPr>
          <w:rFonts w:ascii="Times New Roman" w:eastAsia="Times New Roman" w:hAnsi="Times New Roman" w:cs="Times New Roman"/>
          <w:i/>
          <w:sz w:val="24"/>
          <w:szCs w:val="24"/>
          <w:lang w:val="en-US" w:eastAsia="de-AT"/>
        </w:rPr>
        <w:t>Accounting, Organizations and Society</w:t>
      </w:r>
      <w:r w:rsidRPr="000E701B">
        <w:rPr>
          <w:rFonts w:ascii="Times New Roman" w:eastAsia="Times New Roman" w:hAnsi="Times New Roman" w:cs="Times New Roman"/>
          <w:sz w:val="24"/>
          <w:szCs w:val="24"/>
          <w:lang w:val="en-US" w:eastAsia="de-AT"/>
        </w:rPr>
        <w:t xml:space="preserve"> 21(2/3): 193</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US" w:eastAsia="de-AT"/>
        </w:rPr>
        <w:t>213.</w:t>
      </w:r>
    </w:p>
    <w:p w14:paraId="10A6587D" w14:textId="77777777" w:rsidR="008C06CF" w:rsidRPr="000E701B" w:rsidRDefault="008C06CF" w:rsidP="009634A6">
      <w:pPr>
        <w:autoSpaceDE w:val="0"/>
        <w:autoSpaceDN w:val="0"/>
        <w:adjustRightInd w:val="0"/>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Möllering, G., 2002. Perceived Trustworthiness and Inter-Firm Governance: Empirical Evidence from the UK Printing Industry. </w:t>
      </w:r>
      <w:r w:rsidRPr="000E701B">
        <w:rPr>
          <w:rFonts w:ascii="Times New Roman" w:eastAsia="Times New Roman" w:hAnsi="Times New Roman" w:cs="Times New Roman"/>
          <w:i/>
          <w:sz w:val="24"/>
          <w:szCs w:val="24"/>
          <w:lang w:val="en-GB" w:eastAsia="de-AT"/>
        </w:rPr>
        <w:t>Cambridge Journal of Economics</w:t>
      </w:r>
      <w:r w:rsidRPr="000E701B">
        <w:rPr>
          <w:rFonts w:ascii="Times New Roman" w:eastAsia="Times New Roman" w:hAnsi="Times New Roman" w:cs="Times New Roman"/>
          <w:sz w:val="24"/>
          <w:szCs w:val="24"/>
          <w:lang w:val="en-GB" w:eastAsia="de-AT"/>
        </w:rPr>
        <w:t xml:space="preserve"> 26(2): 139</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160.</w:t>
      </w:r>
    </w:p>
    <w:p w14:paraId="589D792B" w14:textId="77777777" w:rsidR="008C06CF" w:rsidRPr="008E026B" w:rsidRDefault="008C06CF" w:rsidP="009634A6">
      <w:pPr>
        <w:spacing w:line="240" w:lineRule="auto"/>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Montgomery, E., and Benedict, M.E. (1989) The Impact of Bargainer Experience on Teacher Strikes. </w:t>
      </w:r>
      <w:r w:rsidRPr="009634A6">
        <w:rPr>
          <w:rFonts w:ascii="Times New Roman" w:hAnsi="Times New Roman" w:cs="Times New Roman"/>
          <w:i/>
          <w:sz w:val="24"/>
          <w:szCs w:val="24"/>
          <w:lang w:val="en-US"/>
        </w:rPr>
        <w:t>Industrial and Labor Relations Review</w:t>
      </w:r>
      <w:r w:rsidRPr="008E026B">
        <w:rPr>
          <w:rFonts w:ascii="Times New Roman" w:hAnsi="Times New Roman" w:cs="Times New Roman"/>
          <w:sz w:val="24"/>
          <w:szCs w:val="24"/>
          <w:lang w:val="en-US"/>
        </w:rPr>
        <w:t xml:space="preserve"> 42(3)</w:t>
      </w:r>
      <w:r>
        <w:rPr>
          <w:rFonts w:ascii="Times New Roman" w:hAnsi="Times New Roman" w:cs="Times New Roman"/>
          <w:sz w:val="24"/>
          <w:szCs w:val="24"/>
          <w:lang w:val="en-US"/>
        </w:rPr>
        <w:t>:</w:t>
      </w:r>
      <w:r w:rsidRPr="008E026B">
        <w:rPr>
          <w:rFonts w:ascii="Times New Roman" w:hAnsi="Times New Roman" w:cs="Times New Roman"/>
          <w:sz w:val="24"/>
          <w:szCs w:val="24"/>
          <w:lang w:val="en-US"/>
        </w:rPr>
        <w:t xml:space="preserve"> 380-392.</w:t>
      </w:r>
    </w:p>
    <w:p w14:paraId="2C3E4495"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7131AB">
        <w:rPr>
          <w:rFonts w:ascii="Times New Roman" w:eastAsia="Times New Roman" w:hAnsi="Times New Roman" w:cs="Times New Roman"/>
          <w:sz w:val="24"/>
          <w:szCs w:val="24"/>
          <w:lang w:val="en-GB" w:eastAsia="de-AT"/>
        </w:rPr>
        <w:t xml:space="preserve">Moro, A., </w:t>
      </w:r>
      <w:r>
        <w:rPr>
          <w:rFonts w:ascii="Times New Roman" w:eastAsia="Times New Roman" w:hAnsi="Times New Roman" w:cs="Times New Roman"/>
          <w:sz w:val="24"/>
          <w:szCs w:val="24"/>
          <w:lang w:val="en-GB" w:eastAsia="de-AT"/>
        </w:rPr>
        <w:t>and</w:t>
      </w:r>
      <w:r w:rsidRPr="007131AB">
        <w:rPr>
          <w:rFonts w:ascii="Times New Roman" w:eastAsia="Times New Roman" w:hAnsi="Times New Roman" w:cs="Times New Roman"/>
          <w:sz w:val="24"/>
          <w:szCs w:val="24"/>
          <w:lang w:val="en-GB" w:eastAsia="de-AT"/>
        </w:rPr>
        <w:t xml:space="preserve"> Fink, M. (2013). Loan managers’ trust and credit access for SMEs. </w:t>
      </w:r>
      <w:r w:rsidRPr="009634A6">
        <w:rPr>
          <w:rFonts w:ascii="Times New Roman" w:eastAsia="Times New Roman" w:hAnsi="Times New Roman" w:cs="Times New Roman"/>
          <w:i/>
          <w:sz w:val="24"/>
          <w:szCs w:val="24"/>
          <w:lang w:val="en-GB" w:eastAsia="de-AT"/>
        </w:rPr>
        <w:t>Journal of Banking &amp; Finance</w:t>
      </w:r>
      <w:r>
        <w:rPr>
          <w:rFonts w:ascii="Times New Roman" w:eastAsia="Times New Roman" w:hAnsi="Times New Roman" w:cs="Times New Roman"/>
          <w:sz w:val="24"/>
          <w:szCs w:val="24"/>
          <w:lang w:val="en-GB" w:eastAsia="de-AT"/>
        </w:rPr>
        <w:t xml:space="preserve"> 37(3):</w:t>
      </w:r>
      <w:r w:rsidRPr="007131AB">
        <w:rPr>
          <w:rFonts w:ascii="Times New Roman" w:eastAsia="Times New Roman" w:hAnsi="Times New Roman" w:cs="Times New Roman"/>
          <w:sz w:val="24"/>
          <w:szCs w:val="24"/>
          <w:lang w:val="en-GB" w:eastAsia="de-AT"/>
        </w:rPr>
        <w:t xml:space="preserve"> 927-936.</w:t>
      </w:r>
    </w:p>
    <w:p w14:paraId="6BD9D96C"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 xml:space="preserve">Moro, A., Fink, M., Maresch, D., and Fredriksson, A. (2018) Loan Managers’ Decisions and Trust in Entrepreneurs in Different Institutional Contexts. </w:t>
      </w:r>
      <w:r w:rsidRPr="00B82CFD">
        <w:rPr>
          <w:rFonts w:ascii="Times New Roman" w:eastAsia="Times New Roman" w:hAnsi="Times New Roman" w:cs="Times New Roman"/>
          <w:i/>
          <w:sz w:val="24"/>
          <w:szCs w:val="24"/>
          <w:lang w:val="en-GB" w:eastAsia="de-AT"/>
        </w:rPr>
        <w:t>Entrepreneurship and Regional Development</w:t>
      </w:r>
      <w:r>
        <w:rPr>
          <w:rFonts w:ascii="Times New Roman" w:eastAsia="Times New Roman" w:hAnsi="Times New Roman" w:cs="Times New Roman"/>
          <w:sz w:val="24"/>
          <w:szCs w:val="24"/>
          <w:lang w:val="en-GB" w:eastAsia="de-AT"/>
        </w:rPr>
        <w:t xml:space="preserve"> 30(1-2): 146-172.</w:t>
      </w:r>
    </w:p>
    <w:p w14:paraId="1F770783"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proofErr w:type="spellStart"/>
      <w:r w:rsidRPr="000E701B">
        <w:rPr>
          <w:rFonts w:ascii="Times New Roman" w:eastAsia="Times New Roman" w:hAnsi="Times New Roman" w:cs="Times New Roman"/>
          <w:sz w:val="24"/>
          <w:szCs w:val="24"/>
          <w:lang w:val="en-GB" w:eastAsia="de-AT"/>
        </w:rPr>
        <w:t>Murnighan</w:t>
      </w:r>
      <w:proofErr w:type="spellEnd"/>
      <w:r w:rsidRPr="000E701B">
        <w:rPr>
          <w:rFonts w:ascii="Times New Roman" w:eastAsia="Times New Roman" w:hAnsi="Times New Roman" w:cs="Times New Roman"/>
          <w:sz w:val="24"/>
          <w:szCs w:val="24"/>
          <w:lang w:val="en-GB" w:eastAsia="de-AT"/>
        </w:rPr>
        <w:t xml:space="preserve">, J.K, Babcock, L., Thompson, L., and </w:t>
      </w:r>
      <w:proofErr w:type="spellStart"/>
      <w:r w:rsidRPr="000E701B">
        <w:rPr>
          <w:rFonts w:ascii="Times New Roman" w:eastAsia="Times New Roman" w:hAnsi="Times New Roman" w:cs="Times New Roman"/>
          <w:sz w:val="24"/>
          <w:szCs w:val="24"/>
          <w:lang w:val="en-GB" w:eastAsia="de-AT"/>
        </w:rPr>
        <w:t>Pillutla</w:t>
      </w:r>
      <w:proofErr w:type="spellEnd"/>
      <w:r w:rsidRPr="000E701B">
        <w:rPr>
          <w:rFonts w:ascii="Times New Roman" w:eastAsia="Times New Roman" w:hAnsi="Times New Roman" w:cs="Times New Roman"/>
          <w:sz w:val="24"/>
          <w:szCs w:val="24"/>
          <w:lang w:val="en-GB" w:eastAsia="de-AT"/>
        </w:rPr>
        <w:t xml:space="preserve">, M. (1999) The Information Dilemma in Negotiations: Effects of Experience, Incentives, and Integrative Potential. </w:t>
      </w:r>
      <w:r w:rsidRPr="000E701B">
        <w:rPr>
          <w:rFonts w:ascii="Times New Roman" w:eastAsia="Times New Roman" w:hAnsi="Times New Roman" w:cs="Times New Roman"/>
          <w:i/>
          <w:sz w:val="24"/>
          <w:szCs w:val="24"/>
          <w:lang w:val="en-GB" w:eastAsia="de-AT"/>
        </w:rPr>
        <w:t>International Journal of Conflict Management</w:t>
      </w:r>
      <w:r w:rsidRPr="000E701B">
        <w:rPr>
          <w:rFonts w:ascii="Times New Roman" w:eastAsia="Times New Roman" w:hAnsi="Times New Roman" w:cs="Times New Roman"/>
          <w:sz w:val="24"/>
          <w:szCs w:val="24"/>
          <w:lang w:val="en-GB" w:eastAsia="de-AT"/>
        </w:rPr>
        <w:t xml:space="preserve"> 10(4): 313</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339.</w:t>
      </w:r>
    </w:p>
    <w:p w14:paraId="3467E90F"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proofErr w:type="spellStart"/>
      <w:r w:rsidRPr="000E701B">
        <w:rPr>
          <w:rFonts w:ascii="Times New Roman" w:eastAsia="Times New Roman" w:hAnsi="Times New Roman" w:cs="Times New Roman"/>
          <w:sz w:val="24"/>
          <w:szCs w:val="24"/>
          <w:lang w:val="en-GB" w:eastAsia="de-AT"/>
        </w:rPr>
        <w:t>Murnighan</w:t>
      </w:r>
      <w:proofErr w:type="spellEnd"/>
      <w:r w:rsidRPr="000E701B">
        <w:rPr>
          <w:rFonts w:ascii="Times New Roman" w:eastAsia="Times New Roman" w:hAnsi="Times New Roman" w:cs="Times New Roman"/>
          <w:sz w:val="24"/>
          <w:szCs w:val="24"/>
          <w:lang w:val="en-GB" w:eastAsia="de-AT"/>
        </w:rPr>
        <w:t xml:space="preserve">, J.K., and Bazerman, M.H. (1990) A Perspective on Negotiation Research in Accounting and Auditing. </w:t>
      </w:r>
      <w:r w:rsidRPr="000E701B">
        <w:rPr>
          <w:rFonts w:ascii="Times New Roman" w:eastAsia="Times New Roman" w:hAnsi="Times New Roman" w:cs="Times New Roman"/>
          <w:i/>
          <w:sz w:val="24"/>
          <w:szCs w:val="24"/>
          <w:lang w:val="en-GB" w:eastAsia="de-AT"/>
        </w:rPr>
        <w:t>The Accounting Review</w:t>
      </w:r>
      <w:r w:rsidRPr="000E701B">
        <w:rPr>
          <w:rFonts w:ascii="Times New Roman" w:eastAsia="Times New Roman" w:hAnsi="Times New Roman" w:cs="Times New Roman"/>
          <w:sz w:val="24"/>
          <w:szCs w:val="24"/>
          <w:lang w:val="en-GB" w:eastAsia="de-AT"/>
        </w:rPr>
        <w:t xml:space="preserve"> 65(3): 642</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657.</w:t>
      </w:r>
    </w:p>
    <w:p w14:paraId="1164AE55" w14:textId="77777777" w:rsidR="008C06CF" w:rsidRPr="008E026B" w:rsidRDefault="008C06CF" w:rsidP="009634A6">
      <w:pPr>
        <w:spacing w:line="240" w:lineRule="auto"/>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Neale, M.A., and </w:t>
      </w:r>
      <w:proofErr w:type="spellStart"/>
      <w:r w:rsidRPr="008E026B">
        <w:rPr>
          <w:rFonts w:ascii="Times New Roman" w:hAnsi="Times New Roman" w:cs="Times New Roman"/>
          <w:sz w:val="24"/>
          <w:szCs w:val="24"/>
          <w:lang w:val="en-US"/>
        </w:rPr>
        <w:t>Northcraft</w:t>
      </w:r>
      <w:proofErr w:type="spellEnd"/>
      <w:r w:rsidRPr="008E026B">
        <w:rPr>
          <w:rFonts w:ascii="Times New Roman" w:hAnsi="Times New Roman" w:cs="Times New Roman"/>
          <w:sz w:val="24"/>
          <w:szCs w:val="24"/>
          <w:lang w:val="en-US"/>
        </w:rPr>
        <w:t xml:space="preserve">, G.B. (1986) Experts, Amateurs and Refrigerators: Comparing Expert and Amateur Negotiators in a Novel Task. </w:t>
      </w:r>
      <w:r w:rsidRPr="009634A6">
        <w:rPr>
          <w:rFonts w:ascii="Times New Roman" w:hAnsi="Times New Roman" w:cs="Times New Roman"/>
          <w:i/>
          <w:sz w:val="24"/>
          <w:szCs w:val="24"/>
          <w:lang w:val="en-US"/>
        </w:rPr>
        <w:t>Organizational Behavior and Human Decision Processes</w:t>
      </w:r>
      <w:r w:rsidRPr="008E026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E026B">
        <w:rPr>
          <w:rFonts w:ascii="Times New Roman" w:hAnsi="Times New Roman" w:cs="Times New Roman"/>
          <w:sz w:val="24"/>
          <w:szCs w:val="24"/>
          <w:lang w:val="en-US"/>
        </w:rPr>
        <w:t>38</w:t>
      </w:r>
      <w:r>
        <w:rPr>
          <w:rFonts w:ascii="Times New Roman" w:hAnsi="Times New Roman" w:cs="Times New Roman"/>
          <w:sz w:val="24"/>
          <w:szCs w:val="24"/>
          <w:lang w:val="en-US"/>
        </w:rPr>
        <w:t>):</w:t>
      </w:r>
      <w:r w:rsidRPr="008E026B">
        <w:rPr>
          <w:rFonts w:ascii="Times New Roman" w:hAnsi="Times New Roman" w:cs="Times New Roman"/>
          <w:sz w:val="24"/>
          <w:szCs w:val="24"/>
          <w:lang w:val="en-US"/>
        </w:rPr>
        <w:t xml:space="preserve"> 305-317.</w:t>
      </w:r>
    </w:p>
    <w:p w14:paraId="5E80AA19"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Ng, T.B.P., and Tan, H.T. (2003) Effects of </w:t>
      </w:r>
      <w:proofErr w:type="spellStart"/>
      <w:r w:rsidRPr="000E701B">
        <w:rPr>
          <w:rFonts w:ascii="Times New Roman" w:eastAsia="Times New Roman" w:hAnsi="Times New Roman" w:cs="Times New Roman"/>
          <w:sz w:val="24"/>
          <w:szCs w:val="24"/>
          <w:lang w:val="en-GB" w:eastAsia="de-AT"/>
        </w:rPr>
        <w:t>Authorative</w:t>
      </w:r>
      <w:proofErr w:type="spellEnd"/>
      <w:r w:rsidRPr="000E701B">
        <w:rPr>
          <w:rFonts w:ascii="Times New Roman" w:eastAsia="Times New Roman" w:hAnsi="Times New Roman" w:cs="Times New Roman"/>
          <w:sz w:val="24"/>
          <w:szCs w:val="24"/>
          <w:lang w:val="en-GB" w:eastAsia="de-AT"/>
        </w:rPr>
        <w:t xml:space="preserve"> Guidance Availability and Audit Committee Effectiveness on Auditors’ Judgements in an Auditor-Client Negotiation Context. </w:t>
      </w:r>
      <w:r w:rsidRPr="000E701B">
        <w:rPr>
          <w:rFonts w:ascii="Times New Roman" w:eastAsia="Times New Roman" w:hAnsi="Times New Roman" w:cs="Times New Roman"/>
          <w:i/>
          <w:sz w:val="24"/>
          <w:szCs w:val="24"/>
          <w:lang w:val="en-GB" w:eastAsia="de-AT"/>
        </w:rPr>
        <w:t>Accounting Review</w:t>
      </w:r>
      <w:r w:rsidRPr="000E701B">
        <w:rPr>
          <w:rFonts w:ascii="Times New Roman" w:eastAsia="Times New Roman" w:hAnsi="Times New Roman" w:cs="Times New Roman"/>
          <w:sz w:val="24"/>
          <w:szCs w:val="24"/>
          <w:lang w:val="en-GB" w:eastAsia="de-AT"/>
        </w:rPr>
        <w:t xml:space="preserve"> 78(3): 801</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818.</w:t>
      </w:r>
    </w:p>
    <w:p w14:paraId="090A7C45" w14:textId="77777777" w:rsidR="008C06CF" w:rsidRDefault="008C06CF" w:rsidP="009634A6">
      <w:pPr>
        <w:spacing w:line="240" w:lineRule="auto"/>
        <w:ind w:left="567" w:hanging="567"/>
        <w:rPr>
          <w:rFonts w:ascii="Times New Roman" w:eastAsia="Times New Roman" w:hAnsi="Times New Roman" w:cs="Times New Roman"/>
          <w:sz w:val="24"/>
          <w:szCs w:val="24"/>
          <w:lang w:val="en-GB" w:eastAsia="de-AT"/>
        </w:rPr>
      </w:pPr>
      <w:proofErr w:type="spellStart"/>
      <w:r>
        <w:rPr>
          <w:rFonts w:ascii="Times New Roman" w:eastAsia="Times New Roman" w:hAnsi="Times New Roman" w:cs="Times New Roman"/>
          <w:sz w:val="24"/>
          <w:szCs w:val="24"/>
          <w:lang w:val="en-GB" w:eastAsia="de-AT"/>
        </w:rPr>
        <w:lastRenderedPageBreak/>
        <w:t>Nooteboom</w:t>
      </w:r>
      <w:proofErr w:type="spellEnd"/>
      <w:r>
        <w:rPr>
          <w:rFonts w:ascii="Times New Roman" w:eastAsia="Times New Roman" w:hAnsi="Times New Roman" w:cs="Times New Roman"/>
          <w:sz w:val="24"/>
          <w:szCs w:val="24"/>
          <w:lang w:val="en-GB" w:eastAsia="de-AT"/>
        </w:rPr>
        <w:t xml:space="preserve">, B. (1996) </w:t>
      </w:r>
      <w:r w:rsidRPr="002711E3">
        <w:rPr>
          <w:rFonts w:ascii="Times New Roman" w:eastAsia="Times New Roman" w:hAnsi="Times New Roman" w:cs="Times New Roman"/>
          <w:sz w:val="24"/>
          <w:szCs w:val="24"/>
          <w:lang w:val="en-GB" w:eastAsia="de-AT"/>
        </w:rPr>
        <w:t xml:space="preserve">Trust, opportunism and governance: A process and control model. </w:t>
      </w:r>
      <w:r w:rsidRPr="009634A6">
        <w:rPr>
          <w:rFonts w:ascii="Times New Roman" w:eastAsia="Times New Roman" w:hAnsi="Times New Roman" w:cs="Times New Roman"/>
          <w:i/>
          <w:sz w:val="24"/>
          <w:szCs w:val="24"/>
          <w:lang w:val="en-GB" w:eastAsia="de-AT"/>
        </w:rPr>
        <w:t>Organization studies</w:t>
      </w:r>
      <w:r w:rsidRPr="002711E3">
        <w:rPr>
          <w:rFonts w:ascii="Times New Roman" w:eastAsia="Times New Roman" w:hAnsi="Times New Roman" w:cs="Times New Roman"/>
          <w:sz w:val="24"/>
          <w:szCs w:val="24"/>
          <w:lang w:val="en-GB" w:eastAsia="de-AT"/>
        </w:rPr>
        <w:t xml:space="preserve"> 17(6)</w:t>
      </w:r>
      <w:r>
        <w:rPr>
          <w:rFonts w:ascii="Times New Roman" w:eastAsia="Times New Roman" w:hAnsi="Times New Roman" w:cs="Times New Roman"/>
          <w:sz w:val="24"/>
          <w:szCs w:val="24"/>
          <w:lang w:val="en-GB" w:eastAsia="de-AT"/>
        </w:rPr>
        <w:t>:</w:t>
      </w:r>
      <w:r w:rsidRPr="002711E3">
        <w:rPr>
          <w:rFonts w:ascii="Times New Roman" w:eastAsia="Times New Roman" w:hAnsi="Times New Roman" w:cs="Times New Roman"/>
          <w:sz w:val="24"/>
          <w:szCs w:val="24"/>
          <w:lang w:val="en-GB" w:eastAsia="de-AT"/>
        </w:rPr>
        <w:t xml:space="preserve"> 985-1010.</w:t>
      </w:r>
    </w:p>
    <w:p w14:paraId="724E07DA" w14:textId="77777777" w:rsidR="008C06CF" w:rsidRPr="000E701B" w:rsidRDefault="008C06CF" w:rsidP="009634A6">
      <w:pPr>
        <w:spacing w:line="240" w:lineRule="auto"/>
        <w:ind w:left="567" w:hanging="567"/>
        <w:rPr>
          <w:rFonts w:ascii="Times New Roman" w:eastAsia="Times New Roman" w:hAnsi="Times New Roman" w:cs="Times New Roman"/>
          <w:sz w:val="24"/>
          <w:szCs w:val="24"/>
          <w:lang w:val="en-GB" w:eastAsia="de-AT"/>
        </w:rPr>
      </w:pPr>
      <w:proofErr w:type="spellStart"/>
      <w:r w:rsidRPr="000E701B">
        <w:rPr>
          <w:rFonts w:ascii="Times New Roman" w:eastAsia="Times New Roman" w:hAnsi="Times New Roman" w:cs="Times New Roman"/>
          <w:sz w:val="24"/>
          <w:szCs w:val="24"/>
          <w:lang w:val="en-GB" w:eastAsia="de-AT"/>
        </w:rPr>
        <w:t>Nooteboom</w:t>
      </w:r>
      <w:proofErr w:type="spellEnd"/>
      <w:r w:rsidRPr="000E701B">
        <w:rPr>
          <w:rFonts w:ascii="Times New Roman" w:eastAsia="Times New Roman" w:hAnsi="Times New Roman" w:cs="Times New Roman"/>
          <w:sz w:val="24"/>
          <w:szCs w:val="24"/>
          <w:lang w:val="en-GB" w:eastAsia="de-AT"/>
        </w:rPr>
        <w:t xml:space="preserve">, B., Berger, H., and </w:t>
      </w:r>
      <w:proofErr w:type="spellStart"/>
      <w:r w:rsidRPr="000E701B">
        <w:rPr>
          <w:rFonts w:ascii="Times New Roman" w:eastAsia="Times New Roman" w:hAnsi="Times New Roman" w:cs="Times New Roman"/>
          <w:sz w:val="24"/>
          <w:szCs w:val="24"/>
          <w:lang w:val="en-GB" w:eastAsia="de-AT"/>
        </w:rPr>
        <w:t>Noorderhaven</w:t>
      </w:r>
      <w:proofErr w:type="spellEnd"/>
      <w:r w:rsidRPr="000E701B">
        <w:rPr>
          <w:rFonts w:ascii="Times New Roman" w:eastAsia="Times New Roman" w:hAnsi="Times New Roman" w:cs="Times New Roman"/>
          <w:sz w:val="24"/>
          <w:szCs w:val="24"/>
          <w:lang w:val="en-GB" w:eastAsia="de-AT"/>
        </w:rPr>
        <w:t xml:space="preserve">, N.G. (1997) Effects of Trust and Governance on Relational Risk. </w:t>
      </w:r>
      <w:r w:rsidRPr="000E701B">
        <w:rPr>
          <w:rFonts w:ascii="Times New Roman" w:eastAsia="Times New Roman" w:hAnsi="Times New Roman" w:cs="Times New Roman"/>
          <w:i/>
          <w:sz w:val="24"/>
          <w:szCs w:val="24"/>
          <w:lang w:val="en-GB" w:eastAsia="de-AT"/>
        </w:rPr>
        <w:t>Academy of Management Journal</w:t>
      </w:r>
      <w:r w:rsidRPr="000E701B">
        <w:rPr>
          <w:rFonts w:ascii="Times New Roman" w:eastAsia="Times New Roman" w:hAnsi="Times New Roman" w:cs="Times New Roman"/>
          <w:sz w:val="24"/>
          <w:szCs w:val="24"/>
          <w:lang w:val="en-GB" w:eastAsia="de-AT"/>
        </w:rPr>
        <w:t xml:space="preserve"> 40(2): 308</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338.</w:t>
      </w:r>
    </w:p>
    <w:p w14:paraId="36903D84" w14:textId="77777777" w:rsidR="008C06CF" w:rsidRPr="008E026B" w:rsidRDefault="008C06CF" w:rsidP="009634A6">
      <w:pPr>
        <w:spacing w:line="240" w:lineRule="auto"/>
        <w:ind w:left="567" w:hanging="567"/>
        <w:rPr>
          <w:rFonts w:ascii="Times New Roman" w:hAnsi="Times New Roman" w:cs="Times New Roman"/>
          <w:sz w:val="24"/>
          <w:szCs w:val="24"/>
          <w:lang w:val="en-US"/>
        </w:rPr>
      </w:pPr>
      <w:proofErr w:type="spellStart"/>
      <w:r w:rsidRPr="008E026B">
        <w:rPr>
          <w:rFonts w:ascii="Times New Roman" w:hAnsi="Times New Roman" w:cs="Times New Roman"/>
          <w:sz w:val="24"/>
          <w:szCs w:val="24"/>
          <w:lang w:val="en-US"/>
        </w:rPr>
        <w:t>Quadackers</w:t>
      </w:r>
      <w:proofErr w:type="spellEnd"/>
      <w:r w:rsidRPr="008E026B">
        <w:rPr>
          <w:rFonts w:ascii="Times New Roman" w:hAnsi="Times New Roman" w:cs="Times New Roman"/>
          <w:sz w:val="24"/>
          <w:szCs w:val="24"/>
          <w:lang w:val="en-US"/>
        </w:rPr>
        <w:t>, L. (2009) A Study of Auditors’ Skeptical Characteristics and Their Relationship to Skeptical Judgements and Decisions. Doctoral Dissertation, VU University Amsterdam.</w:t>
      </w:r>
    </w:p>
    <w:p w14:paraId="5694CC97"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US" w:eastAsia="de-AT"/>
        </w:rPr>
      </w:pPr>
      <w:r w:rsidRPr="000E701B">
        <w:rPr>
          <w:rFonts w:ascii="Times New Roman" w:eastAsia="Times New Roman" w:hAnsi="Times New Roman" w:cs="Times New Roman"/>
          <w:sz w:val="24"/>
          <w:szCs w:val="24"/>
          <w:lang w:val="en-GB" w:eastAsia="de-AT"/>
        </w:rPr>
        <w:t xml:space="preserve">Rennie, M.D., Kopp, L.S., and Lemon, W.M. (2010) </w:t>
      </w:r>
      <w:r w:rsidRPr="000E701B">
        <w:rPr>
          <w:rFonts w:ascii="Times New Roman" w:eastAsia="Times New Roman" w:hAnsi="Times New Roman" w:cs="Times New Roman"/>
          <w:sz w:val="24"/>
          <w:szCs w:val="24"/>
          <w:lang w:val="en-US" w:eastAsia="de-AT"/>
        </w:rPr>
        <w:t xml:space="preserve">Exploring Trust and the Auditor-Client Relationship: Factors Influencing the Auditor's Trust of a Client Representative. </w:t>
      </w:r>
      <w:r w:rsidRPr="000E701B">
        <w:rPr>
          <w:rFonts w:ascii="Times New Roman" w:eastAsia="Times New Roman" w:hAnsi="Times New Roman" w:cs="Times New Roman"/>
          <w:i/>
          <w:sz w:val="24"/>
          <w:szCs w:val="24"/>
          <w:lang w:val="en-US" w:eastAsia="de-AT"/>
        </w:rPr>
        <w:t>Auditing: A Journal of Practice &amp; Theory</w:t>
      </w:r>
      <w:r w:rsidRPr="000E701B">
        <w:rPr>
          <w:rFonts w:ascii="Times New Roman" w:eastAsia="Times New Roman" w:hAnsi="Times New Roman" w:cs="Times New Roman"/>
          <w:sz w:val="24"/>
          <w:szCs w:val="24"/>
          <w:lang w:val="en-US" w:eastAsia="de-AT"/>
        </w:rPr>
        <w:t xml:space="preserve"> 29(1): 279</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US" w:eastAsia="de-AT"/>
        </w:rPr>
        <w:t>293.</w:t>
      </w:r>
    </w:p>
    <w:p w14:paraId="25799C51" w14:textId="77777777" w:rsidR="008C06CF" w:rsidRPr="008E026B" w:rsidRDefault="008C06CF" w:rsidP="009634A6">
      <w:pPr>
        <w:pStyle w:val="Kommentartext"/>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Richard, C. (2006) Why an Auditor can’t be Competent and Independent: A French Case Study. </w:t>
      </w:r>
      <w:r w:rsidRPr="009634A6">
        <w:rPr>
          <w:rFonts w:ascii="Times New Roman" w:hAnsi="Times New Roman" w:cs="Times New Roman"/>
          <w:i/>
          <w:sz w:val="24"/>
          <w:szCs w:val="24"/>
          <w:lang w:val="en-US"/>
        </w:rPr>
        <w:t>European Accounting Review</w:t>
      </w:r>
      <w:r w:rsidRPr="008E026B">
        <w:rPr>
          <w:rFonts w:ascii="Times New Roman" w:hAnsi="Times New Roman" w:cs="Times New Roman"/>
          <w:sz w:val="24"/>
          <w:szCs w:val="24"/>
          <w:lang w:val="en-US"/>
        </w:rPr>
        <w:t xml:space="preserve"> 15(2): 153-179.</w:t>
      </w:r>
    </w:p>
    <w:p w14:paraId="456E92A3" w14:textId="77777777" w:rsidR="008C06CF" w:rsidRPr="008E026B" w:rsidRDefault="008C06CF" w:rsidP="009634A6">
      <w:pPr>
        <w:spacing w:line="240" w:lineRule="auto"/>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Ring, P.S., and Van De Ven, A. (1992) Structuring Cooperative Relationships between Organizations. </w:t>
      </w:r>
      <w:r w:rsidRPr="009634A6">
        <w:rPr>
          <w:rFonts w:ascii="Times New Roman" w:hAnsi="Times New Roman" w:cs="Times New Roman"/>
          <w:i/>
          <w:sz w:val="24"/>
          <w:szCs w:val="24"/>
          <w:lang w:val="en-US"/>
        </w:rPr>
        <w:t>Strategic Management Journal</w:t>
      </w:r>
      <w:r w:rsidRPr="008E026B">
        <w:rPr>
          <w:rFonts w:ascii="Times New Roman" w:hAnsi="Times New Roman" w:cs="Times New Roman"/>
          <w:sz w:val="24"/>
          <w:szCs w:val="24"/>
          <w:lang w:val="en-US"/>
        </w:rPr>
        <w:t xml:space="preserve"> 13(7)</w:t>
      </w:r>
      <w:r>
        <w:rPr>
          <w:rFonts w:ascii="Times New Roman" w:hAnsi="Times New Roman" w:cs="Times New Roman"/>
          <w:sz w:val="24"/>
          <w:szCs w:val="24"/>
          <w:lang w:val="en-US"/>
        </w:rPr>
        <w:t>:</w:t>
      </w:r>
      <w:r w:rsidRPr="008E026B">
        <w:rPr>
          <w:rFonts w:ascii="Times New Roman" w:hAnsi="Times New Roman" w:cs="Times New Roman"/>
          <w:sz w:val="24"/>
          <w:szCs w:val="24"/>
          <w:lang w:val="en-US"/>
        </w:rPr>
        <w:t xml:space="preserve"> 483-498. </w:t>
      </w:r>
    </w:p>
    <w:p w14:paraId="3DFC4E6F"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US" w:eastAsia="de-AT"/>
        </w:rPr>
      </w:pPr>
      <w:r w:rsidRPr="000E701B">
        <w:rPr>
          <w:rFonts w:ascii="Times New Roman" w:eastAsia="Times New Roman" w:hAnsi="Times New Roman" w:cs="Times New Roman"/>
          <w:sz w:val="24"/>
          <w:szCs w:val="24"/>
          <w:lang w:val="en-US" w:eastAsia="de-AT"/>
        </w:rPr>
        <w:t xml:space="preserve">Salleh, Z., and Stewart, J. (2012) The Role of the Audit Committee in Resolving Auditor-Client Disagreements: a Malaysian Study. </w:t>
      </w:r>
      <w:bookmarkStart w:id="2" w:name="_GoBack"/>
      <w:r w:rsidRPr="000E701B">
        <w:rPr>
          <w:rFonts w:ascii="Times New Roman" w:eastAsia="Times New Roman" w:hAnsi="Times New Roman" w:cs="Times New Roman"/>
          <w:i/>
          <w:sz w:val="24"/>
          <w:szCs w:val="24"/>
          <w:lang w:val="en-US" w:eastAsia="de-AT"/>
        </w:rPr>
        <w:t>Accounting, Auditin</w:t>
      </w:r>
      <w:bookmarkEnd w:id="2"/>
      <w:r w:rsidRPr="000E701B">
        <w:rPr>
          <w:rFonts w:ascii="Times New Roman" w:eastAsia="Times New Roman" w:hAnsi="Times New Roman" w:cs="Times New Roman"/>
          <w:i/>
          <w:sz w:val="24"/>
          <w:szCs w:val="24"/>
          <w:lang w:val="en-US" w:eastAsia="de-AT"/>
        </w:rPr>
        <w:t>g &amp; Accountability Journal</w:t>
      </w:r>
      <w:r w:rsidRPr="000E701B">
        <w:rPr>
          <w:rFonts w:ascii="Times New Roman" w:eastAsia="Times New Roman" w:hAnsi="Times New Roman" w:cs="Times New Roman"/>
          <w:sz w:val="24"/>
          <w:szCs w:val="24"/>
          <w:lang w:val="en-US" w:eastAsia="de-AT"/>
        </w:rPr>
        <w:t xml:space="preserve"> 25(8): 1340</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US" w:eastAsia="de-AT"/>
        </w:rPr>
        <w:t>1372.</w:t>
      </w:r>
    </w:p>
    <w:p w14:paraId="1359BC4A" w14:textId="77777777" w:rsidR="008C06CF" w:rsidRPr="008E026B" w:rsidRDefault="008C06CF" w:rsidP="009634A6">
      <w:pPr>
        <w:spacing w:line="240" w:lineRule="auto"/>
        <w:ind w:left="567" w:hanging="567"/>
        <w:rPr>
          <w:rFonts w:ascii="Times New Roman" w:hAnsi="Times New Roman" w:cs="Times New Roman"/>
          <w:sz w:val="24"/>
          <w:szCs w:val="24"/>
          <w:lang w:val="en-US"/>
        </w:rPr>
      </w:pPr>
      <w:proofErr w:type="spellStart"/>
      <w:r w:rsidRPr="008E026B">
        <w:rPr>
          <w:rFonts w:ascii="Times New Roman" w:hAnsi="Times New Roman" w:cs="Times New Roman"/>
          <w:sz w:val="24"/>
          <w:szCs w:val="24"/>
          <w:lang w:val="en-US"/>
        </w:rPr>
        <w:t>Salterio</w:t>
      </w:r>
      <w:proofErr w:type="spellEnd"/>
      <w:r w:rsidRPr="008E026B">
        <w:rPr>
          <w:rFonts w:ascii="Times New Roman" w:hAnsi="Times New Roman" w:cs="Times New Roman"/>
          <w:sz w:val="24"/>
          <w:szCs w:val="24"/>
          <w:lang w:val="en-US"/>
        </w:rPr>
        <w:t xml:space="preserve">, S. (1996) The Effects of Precedents and Client Position on Auditors’ Financial Accounting Policy Judgement. </w:t>
      </w:r>
      <w:r w:rsidRPr="009634A6">
        <w:rPr>
          <w:rFonts w:ascii="Times New Roman" w:hAnsi="Times New Roman" w:cs="Times New Roman"/>
          <w:i/>
          <w:sz w:val="24"/>
          <w:szCs w:val="24"/>
          <w:lang w:val="en-US"/>
        </w:rPr>
        <w:t>Accounting, Organization and Society</w:t>
      </w:r>
      <w:r w:rsidRPr="009634A6">
        <w:rPr>
          <w:rFonts w:ascii="Times New Roman" w:hAnsi="Times New Roman" w:cs="Times New Roman"/>
          <w:sz w:val="24"/>
          <w:szCs w:val="24"/>
          <w:lang w:val="en-US"/>
        </w:rPr>
        <w:t xml:space="preserve"> 21(5): 467-486.</w:t>
      </w:r>
    </w:p>
    <w:p w14:paraId="74990CB1"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Shapiro, S.P. (1987) The Social Control of Impersonal Trust. </w:t>
      </w:r>
      <w:r w:rsidRPr="000E701B">
        <w:rPr>
          <w:rFonts w:ascii="Times New Roman" w:eastAsia="Times New Roman" w:hAnsi="Times New Roman" w:cs="Times New Roman"/>
          <w:i/>
          <w:sz w:val="24"/>
          <w:szCs w:val="24"/>
          <w:lang w:val="en-GB" w:eastAsia="de-AT"/>
        </w:rPr>
        <w:t>American Journal of Sociology</w:t>
      </w:r>
      <w:r w:rsidRPr="000E701B">
        <w:rPr>
          <w:rFonts w:ascii="Times New Roman" w:eastAsia="Times New Roman" w:hAnsi="Times New Roman" w:cs="Times New Roman"/>
          <w:sz w:val="24"/>
          <w:szCs w:val="24"/>
          <w:lang w:val="en-GB" w:eastAsia="de-AT"/>
        </w:rPr>
        <w:t xml:space="preserve"> 93(3): 623</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658.</w:t>
      </w:r>
    </w:p>
    <w:p w14:paraId="2E88C9C7" w14:textId="77777777" w:rsidR="008C06CF" w:rsidRDefault="008C06CF" w:rsidP="009634A6">
      <w:pPr>
        <w:spacing w:line="240" w:lineRule="auto"/>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Thompson, L. (1990) The Influence of Experience on Negotiation Performance. </w:t>
      </w:r>
      <w:r w:rsidRPr="009634A6">
        <w:rPr>
          <w:rFonts w:ascii="Times New Roman" w:hAnsi="Times New Roman" w:cs="Times New Roman"/>
          <w:i/>
          <w:sz w:val="24"/>
          <w:szCs w:val="24"/>
          <w:lang w:val="en-US"/>
        </w:rPr>
        <w:t>Journal of Experimental Social Psychology</w:t>
      </w:r>
      <w:r w:rsidRPr="008E026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E026B">
        <w:rPr>
          <w:rFonts w:ascii="Times New Roman" w:hAnsi="Times New Roman" w:cs="Times New Roman"/>
          <w:sz w:val="24"/>
          <w:szCs w:val="24"/>
          <w:lang w:val="en-US"/>
        </w:rPr>
        <w:t>26</w:t>
      </w:r>
      <w:r>
        <w:rPr>
          <w:rFonts w:ascii="Times New Roman" w:hAnsi="Times New Roman" w:cs="Times New Roman"/>
          <w:sz w:val="24"/>
          <w:szCs w:val="24"/>
          <w:lang w:val="en-US"/>
        </w:rPr>
        <w:t>):</w:t>
      </w:r>
      <w:r w:rsidRPr="008E026B">
        <w:rPr>
          <w:rFonts w:ascii="Times New Roman" w:hAnsi="Times New Roman" w:cs="Times New Roman"/>
          <w:sz w:val="24"/>
          <w:szCs w:val="24"/>
          <w:lang w:val="en-US"/>
        </w:rPr>
        <w:t xml:space="preserve"> 528-544.</w:t>
      </w:r>
    </w:p>
    <w:p w14:paraId="50B1AB49" w14:textId="77777777" w:rsidR="008C06CF" w:rsidRPr="008E026B" w:rsidRDefault="008C06CF" w:rsidP="009634A6">
      <w:pPr>
        <w:spacing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Thompson, L. (1991) Information Exchange in Negotiation. </w:t>
      </w:r>
      <w:r w:rsidRPr="006C07E9">
        <w:rPr>
          <w:rFonts w:ascii="Times New Roman" w:hAnsi="Times New Roman" w:cs="Times New Roman"/>
          <w:i/>
          <w:sz w:val="24"/>
          <w:szCs w:val="24"/>
          <w:lang w:val="en-US"/>
        </w:rPr>
        <w:t>Journal of Experimental Social Psychology</w:t>
      </w:r>
      <w:r>
        <w:rPr>
          <w:rFonts w:ascii="Times New Roman" w:hAnsi="Times New Roman" w:cs="Times New Roman"/>
          <w:sz w:val="24"/>
          <w:szCs w:val="24"/>
          <w:lang w:val="en-US"/>
        </w:rPr>
        <w:t xml:space="preserve"> 27: 161-179.</w:t>
      </w:r>
    </w:p>
    <w:p w14:paraId="4B05011C"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Tinsley, D.B. (1996) Trust Plus Capabilities. </w:t>
      </w:r>
      <w:r w:rsidRPr="000E701B">
        <w:rPr>
          <w:rFonts w:ascii="Times New Roman" w:eastAsia="Times New Roman" w:hAnsi="Times New Roman" w:cs="Times New Roman"/>
          <w:i/>
          <w:sz w:val="24"/>
          <w:szCs w:val="24"/>
          <w:lang w:val="en-GB" w:eastAsia="de-AT"/>
        </w:rPr>
        <w:t>Academy of Management Review</w:t>
      </w:r>
      <w:r w:rsidRPr="000E701B">
        <w:rPr>
          <w:rFonts w:ascii="Times New Roman" w:eastAsia="Times New Roman" w:hAnsi="Times New Roman" w:cs="Times New Roman"/>
          <w:sz w:val="24"/>
          <w:szCs w:val="24"/>
          <w:lang w:val="en-GB" w:eastAsia="de-AT"/>
        </w:rPr>
        <w:t xml:space="preserve"> 21(2): 335</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337.</w:t>
      </w:r>
    </w:p>
    <w:p w14:paraId="1A08771A"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Tomlinson, E.C., Dineen, B.R., and Lewicki, R.J. (2009) Trust Congruence Among Integrative Negotiators as a Predictor of Joint-</w:t>
      </w:r>
      <w:proofErr w:type="spellStart"/>
      <w:r w:rsidRPr="000E701B">
        <w:rPr>
          <w:rFonts w:ascii="Times New Roman" w:eastAsia="Times New Roman" w:hAnsi="Times New Roman" w:cs="Times New Roman"/>
          <w:sz w:val="24"/>
          <w:szCs w:val="24"/>
          <w:lang w:val="en-GB" w:eastAsia="de-AT"/>
        </w:rPr>
        <w:t>Behavioral</w:t>
      </w:r>
      <w:proofErr w:type="spellEnd"/>
      <w:r w:rsidRPr="000E701B">
        <w:rPr>
          <w:rFonts w:ascii="Times New Roman" w:eastAsia="Times New Roman" w:hAnsi="Times New Roman" w:cs="Times New Roman"/>
          <w:sz w:val="24"/>
          <w:szCs w:val="24"/>
          <w:lang w:val="en-GB" w:eastAsia="de-AT"/>
        </w:rPr>
        <w:t xml:space="preserve"> Outcomes. </w:t>
      </w:r>
      <w:r w:rsidRPr="000E701B">
        <w:rPr>
          <w:rFonts w:ascii="Times New Roman" w:eastAsia="Times New Roman" w:hAnsi="Times New Roman" w:cs="Times New Roman"/>
          <w:i/>
          <w:sz w:val="24"/>
          <w:szCs w:val="24"/>
          <w:lang w:val="en-GB" w:eastAsia="de-AT"/>
        </w:rPr>
        <w:t>International Journal of Conflict Management</w:t>
      </w:r>
      <w:r w:rsidRPr="000E701B">
        <w:rPr>
          <w:rFonts w:ascii="Times New Roman" w:eastAsia="Times New Roman" w:hAnsi="Times New Roman" w:cs="Times New Roman"/>
          <w:sz w:val="24"/>
          <w:szCs w:val="24"/>
          <w:lang w:val="en-GB" w:eastAsia="de-AT"/>
        </w:rPr>
        <w:t xml:space="preserve"> 20(2): 173</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187.</w:t>
      </w:r>
    </w:p>
    <w:p w14:paraId="51CDD173"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Trotman, K.T., Wright, A.M., and Wright, S. (2005) Auditor Negotiations: An Examination of the Efficacy of Intervention Methods. </w:t>
      </w:r>
      <w:r w:rsidRPr="000E701B">
        <w:rPr>
          <w:rFonts w:ascii="Times New Roman" w:eastAsia="Times New Roman" w:hAnsi="Times New Roman" w:cs="Times New Roman"/>
          <w:i/>
          <w:sz w:val="24"/>
          <w:szCs w:val="24"/>
          <w:lang w:val="en-GB" w:eastAsia="de-AT"/>
        </w:rPr>
        <w:t>Accounting Review</w:t>
      </w:r>
      <w:r w:rsidRPr="000E701B">
        <w:rPr>
          <w:rFonts w:ascii="Times New Roman" w:eastAsia="Times New Roman" w:hAnsi="Times New Roman" w:cs="Times New Roman"/>
          <w:sz w:val="24"/>
          <w:szCs w:val="24"/>
          <w:lang w:val="en-GB" w:eastAsia="de-AT"/>
        </w:rPr>
        <w:t xml:space="preserve"> 80(1): 349</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367.</w:t>
      </w:r>
    </w:p>
    <w:p w14:paraId="5FE8FAAC" w14:textId="77777777" w:rsidR="008C06CF" w:rsidRPr="000E701B"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Williamson, O.E. (1993) </w:t>
      </w:r>
      <w:proofErr w:type="spellStart"/>
      <w:r w:rsidRPr="000E701B">
        <w:rPr>
          <w:rFonts w:ascii="Times New Roman" w:eastAsia="Times New Roman" w:hAnsi="Times New Roman" w:cs="Times New Roman"/>
          <w:sz w:val="24"/>
          <w:szCs w:val="24"/>
          <w:lang w:val="en-GB" w:eastAsia="de-AT"/>
        </w:rPr>
        <w:t>Calculativeness</w:t>
      </w:r>
      <w:proofErr w:type="spellEnd"/>
      <w:r w:rsidRPr="000E701B">
        <w:rPr>
          <w:rFonts w:ascii="Times New Roman" w:eastAsia="Times New Roman" w:hAnsi="Times New Roman" w:cs="Times New Roman"/>
          <w:sz w:val="24"/>
          <w:szCs w:val="24"/>
          <w:lang w:val="en-GB" w:eastAsia="de-AT"/>
        </w:rPr>
        <w:t xml:space="preserve">, Trust and Economic Organisation. </w:t>
      </w:r>
      <w:r w:rsidRPr="000E701B">
        <w:rPr>
          <w:rFonts w:ascii="Times New Roman" w:eastAsia="Times New Roman" w:hAnsi="Times New Roman" w:cs="Times New Roman"/>
          <w:i/>
          <w:sz w:val="24"/>
          <w:szCs w:val="24"/>
          <w:lang w:val="en-GB" w:eastAsia="de-AT"/>
        </w:rPr>
        <w:t>Journal of Law and Economics</w:t>
      </w:r>
      <w:r w:rsidRPr="000E701B">
        <w:rPr>
          <w:rFonts w:ascii="Times New Roman" w:eastAsia="Times New Roman" w:hAnsi="Times New Roman" w:cs="Times New Roman"/>
          <w:sz w:val="24"/>
          <w:szCs w:val="24"/>
          <w:lang w:val="en-GB" w:eastAsia="de-AT"/>
        </w:rPr>
        <w:t xml:space="preserve"> 36(1): 453</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486.</w:t>
      </w:r>
    </w:p>
    <w:p w14:paraId="07E586C8" w14:textId="77777777" w:rsidR="008C06CF" w:rsidRDefault="008C06CF" w:rsidP="009634A6">
      <w:pPr>
        <w:spacing w:line="240" w:lineRule="auto"/>
        <w:ind w:left="567" w:hanging="567"/>
        <w:jc w:val="both"/>
        <w:rPr>
          <w:rFonts w:ascii="Times New Roman" w:eastAsia="Times New Roman" w:hAnsi="Times New Roman" w:cs="Times New Roman"/>
          <w:sz w:val="24"/>
          <w:szCs w:val="24"/>
          <w:lang w:val="en-GB" w:eastAsia="de-AT"/>
        </w:rPr>
      </w:pPr>
      <w:r w:rsidRPr="000E701B">
        <w:rPr>
          <w:rFonts w:ascii="Times New Roman" w:eastAsia="Times New Roman" w:hAnsi="Times New Roman" w:cs="Times New Roman"/>
          <w:sz w:val="24"/>
          <w:szCs w:val="24"/>
          <w:lang w:val="en-GB" w:eastAsia="de-AT"/>
        </w:rPr>
        <w:t xml:space="preserve">Wright, A., and Wright, S. (1997) An Examination of Factors Affecting the Decision to Waive Audit Adjustments. </w:t>
      </w:r>
      <w:r w:rsidRPr="000E701B">
        <w:rPr>
          <w:rFonts w:ascii="Times New Roman" w:eastAsia="Times New Roman" w:hAnsi="Times New Roman" w:cs="Times New Roman"/>
          <w:i/>
          <w:sz w:val="24"/>
          <w:szCs w:val="24"/>
          <w:lang w:val="en-GB" w:eastAsia="de-AT"/>
        </w:rPr>
        <w:t>Journal of Accounting, Auditing and Finance</w:t>
      </w:r>
      <w:r w:rsidRPr="000E701B">
        <w:rPr>
          <w:rFonts w:ascii="Times New Roman" w:eastAsia="Times New Roman" w:hAnsi="Times New Roman" w:cs="Times New Roman"/>
          <w:sz w:val="24"/>
          <w:szCs w:val="24"/>
          <w:lang w:val="en-GB" w:eastAsia="de-AT"/>
        </w:rPr>
        <w:t xml:space="preserve"> 12(1): 15</w:t>
      </w:r>
      <w:r w:rsidRPr="000E701B">
        <w:rPr>
          <w:rFonts w:ascii="Times New Roman" w:eastAsia="Times New Roman" w:hAnsi="Times New Roman" w:cs="Times New Roman"/>
          <w:sz w:val="24"/>
          <w:szCs w:val="24"/>
          <w:lang w:val="en-US" w:eastAsia="de-AT"/>
        </w:rPr>
        <w:sym w:font="Symbol" w:char="F02D"/>
      </w:r>
      <w:r w:rsidRPr="000E701B">
        <w:rPr>
          <w:rFonts w:ascii="Times New Roman" w:eastAsia="Times New Roman" w:hAnsi="Times New Roman" w:cs="Times New Roman"/>
          <w:sz w:val="24"/>
          <w:szCs w:val="24"/>
          <w:lang w:val="en-GB" w:eastAsia="de-AT"/>
        </w:rPr>
        <w:t>36.</w:t>
      </w:r>
    </w:p>
    <w:p w14:paraId="0B706886" w14:textId="77777777" w:rsidR="008C06CF" w:rsidRPr="008E026B" w:rsidRDefault="008C06CF" w:rsidP="009634A6">
      <w:pPr>
        <w:spacing w:line="240" w:lineRule="auto"/>
        <w:ind w:left="567" w:hanging="567"/>
        <w:rPr>
          <w:rFonts w:ascii="Times New Roman" w:hAnsi="Times New Roman" w:cs="Times New Roman"/>
          <w:sz w:val="24"/>
          <w:szCs w:val="24"/>
          <w:lang w:val="en-US"/>
        </w:rPr>
      </w:pPr>
      <w:r w:rsidRPr="008E026B">
        <w:rPr>
          <w:rFonts w:ascii="Times New Roman" w:hAnsi="Times New Roman" w:cs="Times New Roman"/>
          <w:sz w:val="24"/>
          <w:szCs w:val="24"/>
          <w:lang w:val="en-US"/>
        </w:rPr>
        <w:t xml:space="preserve">Zheng, Y. (2012) Unlocking Founding Team Prior Shared Experience: A Transactive Memory System Perspective. </w:t>
      </w:r>
      <w:r w:rsidRPr="009634A6">
        <w:rPr>
          <w:rFonts w:ascii="Times New Roman" w:hAnsi="Times New Roman" w:cs="Times New Roman"/>
          <w:i/>
          <w:sz w:val="24"/>
          <w:szCs w:val="24"/>
          <w:lang w:val="en-US"/>
        </w:rPr>
        <w:t>Journal of Business Venturing</w:t>
      </w:r>
      <w:r w:rsidRPr="008E026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E026B">
        <w:rPr>
          <w:rFonts w:ascii="Times New Roman" w:hAnsi="Times New Roman" w:cs="Times New Roman"/>
          <w:sz w:val="24"/>
          <w:szCs w:val="24"/>
          <w:lang w:val="en-US"/>
        </w:rPr>
        <w:t>27</w:t>
      </w:r>
      <w:r>
        <w:rPr>
          <w:rFonts w:ascii="Times New Roman" w:hAnsi="Times New Roman" w:cs="Times New Roman"/>
          <w:sz w:val="24"/>
          <w:szCs w:val="24"/>
          <w:lang w:val="en-US"/>
        </w:rPr>
        <w:t>)</w:t>
      </w:r>
      <w:r w:rsidRPr="008E026B">
        <w:rPr>
          <w:rFonts w:ascii="Times New Roman" w:hAnsi="Times New Roman" w:cs="Times New Roman"/>
          <w:sz w:val="24"/>
          <w:szCs w:val="24"/>
          <w:lang w:val="en-US"/>
        </w:rPr>
        <w:t xml:space="preserve">: 577-591. </w:t>
      </w:r>
    </w:p>
    <w:p w14:paraId="72668331" w14:textId="77777777" w:rsidR="008C06CF" w:rsidRPr="008E026B" w:rsidRDefault="008C06CF" w:rsidP="009634A6">
      <w:pPr>
        <w:spacing w:line="240" w:lineRule="auto"/>
        <w:ind w:left="567" w:hanging="567"/>
        <w:rPr>
          <w:rFonts w:ascii="Times New Roman" w:hAnsi="Times New Roman" w:cs="Times New Roman"/>
          <w:sz w:val="24"/>
          <w:szCs w:val="24"/>
          <w:lang w:val="en-US"/>
        </w:rPr>
      </w:pPr>
      <w:proofErr w:type="spellStart"/>
      <w:r w:rsidRPr="008E026B">
        <w:rPr>
          <w:rFonts w:ascii="Times New Roman" w:hAnsi="Times New Roman" w:cs="Times New Roman"/>
          <w:sz w:val="24"/>
          <w:szCs w:val="24"/>
          <w:lang w:val="en-US"/>
        </w:rPr>
        <w:t>Zimbelman</w:t>
      </w:r>
      <w:proofErr w:type="spellEnd"/>
      <w:r w:rsidRPr="008E026B">
        <w:rPr>
          <w:rFonts w:ascii="Times New Roman" w:hAnsi="Times New Roman" w:cs="Times New Roman"/>
          <w:sz w:val="24"/>
          <w:szCs w:val="24"/>
          <w:lang w:val="en-US"/>
        </w:rPr>
        <w:t xml:space="preserve">, M.F., and Waller, W.S. (1999) An Experimental Investigation of Auditor-Auditee Interaction Under Ambiguity. </w:t>
      </w:r>
      <w:r w:rsidRPr="008E026B">
        <w:rPr>
          <w:rFonts w:ascii="Times New Roman" w:hAnsi="Times New Roman" w:cs="Times New Roman"/>
          <w:i/>
          <w:sz w:val="24"/>
          <w:szCs w:val="24"/>
          <w:lang w:val="en-US"/>
        </w:rPr>
        <w:t>Journal of Accounting Research</w:t>
      </w:r>
      <w:r w:rsidRPr="008E026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E026B">
        <w:rPr>
          <w:rFonts w:ascii="Times New Roman" w:hAnsi="Times New Roman" w:cs="Times New Roman"/>
          <w:sz w:val="24"/>
          <w:szCs w:val="24"/>
          <w:lang w:val="en-US"/>
        </w:rPr>
        <w:t>37</w:t>
      </w:r>
      <w:r>
        <w:rPr>
          <w:rFonts w:ascii="Times New Roman" w:hAnsi="Times New Roman" w:cs="Times New Roman"/>
          <w:sz w:val="24"/>
          <w:szCs w:val="24"/>
          <w:lang w:val="en-US"/>
        </w:rPr>
        <w:t>)</w:t>
      </w:r>
      <w:r w:rsidRPr="008E026B">
        <w:rPr>
          <w:rFonts w:ascii="Times New Roman" w:hAnsi="Times New Roman" w:cs="Times New Roman"/>
          <w:sz w:val="24"/>
          <w:szCs w:val="24"/>
          <w:lang w:val="en-US"/>
        </w:rPr>
        <w:t>: 135-155.</w:t>
      </w:r>
    </w:p>
    <w:p w14:paraId="43359BAE" w14:textId="4512FBEC" w:rsidR="00E213B2" w:rsidRPr="000E701B" w:rsidRDefault="00E213B2" w:rsidP="000E701B">
      <w:pPr>
        <w:spacing w:after="120" w:line="240" w:lineRule="auto"/>
        <w:ind w:left="567" w:hanging="567"/>
        <w:jc w:val="both"/>
        <w:rPr>
          <w:rFonts w:ascii="Times New Roman" w:eastAsia="Times New Roman" w:hAnsi="Times New Roman" w:cs="Times New Roman"/>
          <w:sz w:val="24"/>
          <w:szCs w:val="24"/>
          <w:lang w:val="en-GB" w:eastAsia="de-AT"/>
        </w:rPr>
      </w:pPr>
    </w:p>
    <w:p w14:paraId="4CD71052" w14:textId="77777777" w:rsidR="000E701B" w:rsidRPr="000E701B" w:rsidRDefault="000E701B" w:rsidP="000E701B">
      <w:pPr>
        <w:spacing w:after="200" w:line="276" w:lineRule="auto"/>
        <w:rPr>
          <w:rFonts w:ascii="Times New Roman" w:eastAsia="Times New Roman" w:hAnsi="Times New Roman" w:cs="Times New Roman"/>
          <w:lang w:val="en-US" w:eastAsia="de-AT"/>
        </w:rPr>
      </w:pPr>
      <w:r w:rsidRPr="000E701B">
        <w:rPr>
          <w:rFonts w:ascii="Times New Roman" w:eastAsia="Times New Roman" w:hAnsi="Times New Roman" w:cs="Times New Roman"/>
          <w:lang w:val="en-US" w:eastAsia="de-AT"/>
        </w:rPr>
        <w:br w:type="page"/>
      </w:r>
    </w:p>
    <w:p w14:paraId="1B429385" w14:textId="31191B03" w:rsidR="00B6695C" w:rsidRPr="00C55ED1" w:rsidRDefault="000E701B" w:rsidP="00C55ED1">
      <w:pPr>
        <w:spacing w:line="480" w:lineRule="auto"/>
        <w:rPr>
          <w:rFonts w:ascii="Times New Roman" w:eastAsia="Times New Roman" w:hAnsi="Times New Roman" w:cs="Times New Roman"/>
          <w:lang w:val="en-US" w:eastAsia="de-AT"/>
        </w:rPr>
      </w:pPr>
      <w:r w:rsidRPr="000E701B">
        <w:rPr>
          <w:rFonts w:ascii="Times New Roman" w:eastAsia="Times New Roman" w:hAnsi="Times New Roman" w:cs="Times New Roman"/>
          <w:lang w:val="en-US" w:eastAsia="de-AT"/>
        </w:rPr>
        <w:lastRenderedPageBreak/>
        <w:t>Table 1 Distribution of variations</w:t>
      </w:r>
      <w:r w:rsidR="00537A90">
        <w:rPr>
          <w:rFonts w:ascii="Times New Roman" w:eastAsia="Times New Roman" w:hAnsi="Times New Roman" w:cs="Times New Roman"/>
          <w:lang w:val="en-US" w:eastAsia="de-AT"/>
        </w:rPr>
        <w:t xml:space="preserve"> and ANOVA</w:t>
      </w:r>
      <w:r w:rsidR="00B6695C" w:rsidRPr="00B6695C">
        <w:rPr>
          <w:lang w:val="en-US" w:eastAsia="de-AT"/>
        </w:rPr>
        <w:fldChar w:fldCharType="begin"/>
      </w:r>
      <w:r w:rsidR="00B6695C" w:rsidRPr="00B6695C">
        <w:rPr>
          <w:lang w:val="en-US" w:eastAsia="de-AT"/>
        </w:rPr>
        <w:instrText xml:space="preserve"> LINK Excel.Sheet.12 "D:\\AAAJ\\Table1.xlsx" "Tabelle1!Z12S1:Z22S8" \a \f 4 \h  \* MERGEFORMAT </w:instrText>
      </w:r>
      <w:r w:rsidR="00B6695C" w:rsidRPr="00B6695C">
        <w:rPr>
          <w:lang w:val="en-US" w:eastAsia="de-AT"/>
        </w:rPr>
        <w:fldChar w:fldCharType="separate"/>
      </w:r>
    </w:p>
    <w:tbl>
      <w:tblPr>
        <w:tblW w:w="8505" w:type="dxa"/>
        <w:tblInd w:w="108" w:type="dxa"/>
        <w:tblLayout w:type="fixed"/>
        <w:tblLook w:val="04A0" w:firstRow="1" w:lastRow="0" w:firstColumn="1" w:lastColumn="0" w:noHBand="0" w:noVBand="1"/>
      </w:tblPr>
      <w:tblGrid>
        <w:gridCol w:w="1843"/>
        <w:gridCol w:w="2126"/>
        <w:gridCol w:w="516"/>
        <w:gridCol w:w="902"/>
        <w:gridCol w:w="847"/>
        <w:gridCol w:w="570"/>
        <w:gridCol w:w="766"/>
        <w:gridCol w:w="935"/>
      </w:tblGrid>
      <w:tr w:rsidR="00B6695C" w:rsidRPr="00B6695C" w14:paraId="5754FF49" w14:textId="77777777" w:rsidTr="00C55ED1">
        <w:trPr>
          <w:trHeight w:val="315"/>
        </w:trPr>
        <w:tc>
          <w:tcPr>
            <w:tcW w:w="3969" w:type="dxa"/>
            <w:gridSpan w:val="2"/>
            <w:tcBorders>
              <w:top w:val="single" w:sz="4" w:space="0" w:color="auto"/>
              <w:bottom w:val="single" w:sz="4" w:space="0" w:color="auto"/>
            </w:tcBorders>
            <w:shd w:val="clear" w:color="auto" w:fill="auto"/>
            <w:vAlign w:val="center"/>
            <w:hideMark/>
          </w:tcPr>
          <w:p w14:paraId="62B23939"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b/>
                <w:bCs/>
                <w:color w:val="000000"/>
                <w:sz w:val="20"/>
                <w:szCs w:val="20"/>
                <w:lang w:val="en-US"/>
              </w:rPr>
            </w:pPr>
            <w:r w:rsidRPr="00B6695C">
              <w:rPr>
                <w:rFonts w:ascii="Times New Roman" w:eastAsia="Times New Roman" w:hAnsi="Times New Roman" w:cs="Times New Roman"/>
                <w:b/>
                <w:bCs/>
                <w:color w:val="000000"/>
                <w:sz w:val="20"/>
                <w:szCs w:val="20"/>
                <w:lang w:val="en-US"/>
              </w:rPr>
              <w:t>Variations</w:t>
            </w:r>
          </w:p>
        </w:tc>
        <w:tc>
          <w:tcPr>
            <w:tcW w:w="2265" w:type="dxa"/>
            <w:gridSpan w:val="3"/>
            <w:tcBorders>
              <w:top w:val="single" w:sz="4" w:space="0" w:color="auto"/>
              <w:bottom w:val="single" w:sz="4" w:space="0" w:color="auto"/>
            </w:tcBorders>
            <w:shd w:val="clear" w:color="auto" w:fill="auto"/>
            <w:vAlign w:val="center"/>
            <w:hideMark/>
          </w:tcPr>
          <w:p w14:paraId="6A4A2E9A"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b/>
                <w:bCs/>
                <w:i/>
                <w:iCs/>
                <w:color w:val="000000"/>
                <w:sz w:val="20"/>
                <w:szCs w:val="20"/>
                <w:lang w:val="en-US"/>
              </w:rPr>
            </w:pPr>
            <w:r w:rsidRPr="00B6695C">
              <w:rPr>
                <w:rFonts w:ascii="Times New Roman" w:eastAsia="Times New Roman" w:hAnsi="Times New Roman" w:cs="Times New Roman"/>
                <w:b/>
                <w:bCs/>
                <w:i/>
                <w:iCs/>
                <w:color w:val="000000"/>
                <w:sz w:val="20"/>
                <w:szCs w:val="20"/>
                <w:lang w:val="en-US"/>
              </w:rPr>
              <w:t>Auditor perspective</w:t>
            </w:r>
          </w:p>
        </w:tc>
        <w:tc>
          <w:tcPr>
            <w:tcW w:w="2271" w:type="dxa"/>
            <w:gridSpan w:val="3"/>
            <w:tcBorders>
              <w:top w:val="single" w:sz="4" w:space="0" w:color="auto"/>
              <w:bottom w:val="single" w:sz="4" w:space="0" w:color="auto"/>
            </w:tcBorders>
            <w:shd w:val="clear" w:color="auto" w:fill="auto"/>
            <w:vAlign w:val="center"/>
            <w:hideMark/>
          </w:tcPr>
          <w:p w14:paraId="3AEAA8A8"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b/>
                <w:bCs/>
                <w:i/>
                <w:iCs/>
                <w:color w:val="000000"/>
                <w:sz w:val="20"/>
                <w:szCs w:val="20"/>
                <w:lang w:val="en-US"/>
              </w:rPr>
            </w:pPr>
            <w:r w:rsidRPr="00B6695C">
              <w:rPr>
                <w:rFonts w:ascii="Times New Roman" w:eastAsia="Times New Roman" w:hAnsi="Times New Roman" w:cs="Times New Roman"/>
                <w:b/>
                <w:bCs/>
                <w:i/>
                <w:iCs/>
                <w:color w:val="000000"/>
                <w:sz w:val="20"/>
                <w:szCs w:val="20"/>
                <w:lang w:val="en-US"/>
              </w:rPr>
              <w:t>CFO perspective</w:t>
            </w:r>
          </w:p>
        </w:tc>
      </w:tr>
      <w:tr w:rsidR="00B6695C" w:rsidRPr="00B6695C" w14:paraId="36CE3D85" w14:textId="77777777" w:rsidTr="00C55ED1">
        <w:trPr>
          <w:trHeight w:val="315"/>
        </w:trPr>
        <w:tc>
          <w:tcPr>
            <w:tcW w:w="3969" w:type="dxa"/>
            <w:gridSpan w:val="2"/>
            <w:tcBorders>
              <w:top w:val="single" w:sz="4" w:space="0" w:color="auto"/>
            </w:tcBorders>
            <w:shd w:val="clear" w:color="auto" w:fill="auto"/>
            <w:vAlign w:val="center"/>
            <w:hideMark/>
          </w:tcPr>
          <w:p w14:paraId="72D26D95"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 </w:t>
            </w:r>
          </w:p>
        </w:tc>
        <w:tc>
          <w:tcPr>
            <w:tcW w:w="516" w:type="dxa"/>
            <w:tcBorders>
              <w:top w:val="single" w:sz="4" w:space="0" w:color="auto"/>
              <w:bottom w:val="single" w:sz="4" w:space="0" w:color="auto"/>
            </w:tcBorders>
            <w:shd w:val="clear" w:color="auto" w:fill="auto"/>
            <w:vAlign w:val="center"/>
            <w:hideMark/>
          </w:tcPr>
          <w:p w14:paraId="0DC2D3B6" w14:textId="77777777" w:rsidR="00B6695C" w:rsidRPr="00B6695C" w:rsidRDefault="00B6695C" w:rsidP="00C55ED1">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N</w:t>
            </w:r>
          </w:p>
        </w:tc>
        <w:tc>
          <w:tcPr>
            <w:tcW w:w="902" w:type="dxa"/>
            <w:tcBorders>
              <w:top w:val="single" w:sz="4" w:space="0" w:color="auto"/>
              <w:bottom w:val="single" w:sz="4" w:space="0" w:color="auto"/>
            </w:tcBorders>
            <w:shd w:val="clear" w:color="auto" w:fill="auto"/>
            <w:vAlign w:val="center"/>
            <w:hideMark/>
          </w:tcPr>
          <w:p w14:paraId="064093DC" w14:textId="77777777" w:rsidR="00B6695C" w:rsidRPr="00B6695C" w:rsidRDefault="00B6695C" w:rsidP="00C55ED1">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Mean</w:t>
            </w:r>
          </w:p>
        </w:tc>
        <w:tc>
          <w:tcPr>
            <w:tcW w:w="847" w:type="dxa"/>
            <w:tcBorders>
              <w:top w:val="single" w:sz="4" w:space="0" w:color="auto"/>
              <w:bottom w:val="single" w:sz="4" w:space="0" w:color="auto"/>
            </w:tcBorders>
            <w:shd w:val="clear" w:color="auto" w:fill="auto"/>
            <w:noWrap/>
            <w:vAlign w:val="center"/>
            <w:hideMark/>
          </w:tcPr>
          <w:p w14:paraId="76750EDF" w14:textId="7172D2E5" w:rsidR="00B6695C" w:rsidRPr="00B6695C" w:rsidRDefault="00B6695C" w:rsidP="00C55ED1">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SD</w:t>
            </w:r>
          </w:p>
        </w:tc>
        <w:tc>
          <w:tcPr>
            <w:tcW w:w="570" w:type="dxa"/>
            <w:tcBorders>
              <w:top w:val="single" w:sz="4" w:space="0" w:color="auto"/>
              <w:bottom w:val="single" w:sz="4" w:space="0" w:color="auto"/>
            </w:tcBorders>
            <w:shd w:val="clear" w:color="auto" w:fill="auto"/>
            <w:vAlign w:val="center"/>
            <w:hideMark/>
          </w:tcPr>
          <w:p w14:paraId="03C88ACF" w14:textId="77777777" w:rsidR="00B6695C" w:rsidRPr="00B6695C" w:rsidRDefault="00B6695C" w:rsidP="00C55ED1">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N</w:t>
            </w:r>
          </w:p>
        </w:tc>
        <w:tc>
          <w:tcPr>
            <w:tcW w:w="766" w:type="dxa"/>
            <w:tcBorders>
              <w:top w:val="single" w:sz="4" w:space="0" w:color="auto"/>
              <w:bottom w:val="single" w:sz="4" w:space="0" w:color="auto"/>
            </w:tcBorders>
            <w:shd w:val="clear" w:color="auto" w:fill="auto"/>
            <w:vAlign w:val="center"/>
            <w:hideMark/>
          </w:tcPr>
          <w:p w14:paraId="3F81DC2D" w14:textId="77777777" w:rsidR="00B6695C" w:rsidRPr="00B6695C" w:rsidRDefault="00B6695C" w:rsidP="00C55ED1">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Mean</w:t>
            </w:r>
          </w:p>
        </w:tc>
        <w:tc>
          <w:tcPr>
            <w:tcW w:w="935" w:type="dxa"/>
            <w:tcBorders>
              <w:top w:val="single" w:sz="4" w:space="0" w:color="auto"/>
              <w:bottom w:val="single" w:sz="4" w:space="0" w:color="auto"/>
            </w:tcBorders>
            <w:shd w:val="clear" w:color="auto" w:fill="auto"/>
            <w:noWrap/>
            <w:vAlign w:val="center"/>
            <w:hideMark/>
          </w:tcPr>
          <w:p w14:paraId="73E86DEE" w14:textId="20CB9A56" w:rsidR="00B6695C" w:rsidRPr="00B6695C" w:rsidRDefault="00B6695C" w:rsidP="00C55ED1">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SD</w:t>
            </w:r>
          </w:p>
        </w:tc>
      </w:tr>
      <w:tr w:rsidR="00B6695C" w:rsidRPr="00B6695C" w14:paraId="0A1205C7" w14:textId="77777777" w:rsidTr="00C55ED1">
        <w:trPr>
          <w:trHeight w:val="315"/>
        </w:trPr>
        <w:tc>
          <w:tcPr>
            <w:tcW w:w="1843" w:type="dxa"/>
            <w:vMerge w:val="restart"/>
            <w:shd w:val="clear" w:color="auto" w:fill="auto"/>
            <w:noWrap/>
            <w:vAlign w:val="center"/>
            <w:hideMark/>
          </w:tcPr>
          <w:p w14:paraId="211AED1D"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Low goodwill trust</w:t>
            </w:r>
          </w:p>
        </w:tc>
        <w:tc>
          <w:tcPr>
            <w:tcW w:w="2126" w:type="dxa"/>
            <w:shd w:val="clear" w:color="auto" w:fill="auto"/>
            <w:noWrap/>
            <w:vAlign w:val="center"/>
            <w:hideMark/>
          </w:tcPr>
          <w:p w14:paraId="21072430"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Low competence trust</w:t>
            </w:r>
          </w:p>
        </w:tc>
        <w:tc>
          <w:tcPr>
            <w:tcW w:w="516" w:type="dxa"/>
            <w:tcBorders>
              <w:top w:val="single" w:sz="4" w:space="0" w:color="auto"/>
            </w:tcBorders>
            <w:shd w:val="clear" w:color="auto" w:fill="auto"/>
            <w:noWrap/>
            <w:vAlign w:val="center"/>
            <w:hideMark/>
          </w:tcPr>
          <w:p w14:paraId="2A041730"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34</w:t>
            </w:r>
          </w:p>
        </w:tc>
        <w:tc>
          <w:tcPr>
            <w:tcW w:w="902" w:type="dxa"/>
            <w:tcBorders>
              <w:top w:val="single" w:sz="4" w:space="0" w:color="auto"/>
            </w:tcBorders>
            <w:shd w:val="clear" w:color="auto" w:fill="auto"/>
            <w:noWrap/>
            <w:vAlign w:val="center"/>
            <w:hideMark/>
          </w:tcPr>
          <w:p w14:paraId="79FA466E"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71.662</w:t>
            </w:r>
          </w:p>
        </w:tc>
        <w:tc>
          <w:tcPr>
            <w:tcW w:w="847" w:type="dxa"/>
            <w:tcBorders>
              <w:top w:val="single" w:sz="4" w:space="0" w:color="auto"/>
            </w:tcBorders>
            <w:shd w:val="clear" w:color="auto" w:fill="auto"/>
            <w:noWrap/>
            <w:vAlign w:val="center"/>
            <w:hideMark/>
          </w:tcPr>
          <w:p w14:paraId="116CDA6E"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21.806</w:t>
            </w:r>
          </w:p>
        </w:tc>
        <w:tc>
          <w:tcPr>
            <w:tcW w:w="570" w:type="dxa"/>
            <w:tcBorders>
              <w:top w:val="single" w:sz="4" w:space="0" w:color="auto"/>
            </w:tcBorders>
            <w:shd w:val="clear" w:color="auto" w:fill="auto"/>
            <w:vAlign w:val="center"/>
            <w:hideMark/>
          </w:tcPr>
          <w:p w14:paraId="18047A2A"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21</w:t>
            </w:r>
          </w:p>
        </w:tc>
        <w:tc>
          <w:tcPr>
            <w:tcW w:w="766" w:type="dxa"/>
            <w:tcBorders>
              <w:top w:val="single" w:sz="4" w:space="0" w:color="auto"/>
            </w:tcBorders>
            <w:shd w:val="clear" w:color="auto" w:fill="auto"/>
            <w:vAlign w:val="center"/>
            <w:hideMark/>
          </w:tcPr>
          <w:p w14:paraId="7ECF6CAE"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73.333</w:t>
            </w:r>
          </w:p>
        </w:tc>
        <w:tc>
          <w:tcPr>
            <w:tcW w:w="935" w:type="dxa"/>
            <w:tcBorders>
              <w:top w:val="single" w:sz="4" w:space="0" w:color="auto"/>
            </w:tcBorders>
            <w:shd w:val="clear" w:color="auto" w:fill="auto"/>
            <w:vAlign w:val="center"/>
            <w:hideMark/>
          </w:tcPr>
          <w:p w14:paraId="76893DBA"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23.944</w:t>
            </w:r>
          </w:p>
        </w:tc>
      </w:tr>
      <w:tr w:rsidR="00B6695C" w:rsidRPr="00B6695C" w14:paraId="4D52A072" w14:textId="77777777" w:rsidTr="00C55ED1">
        <w:trPr>
          <w:trHeight w:val="315"/>
        </w:trPr>
        <w:tc>
          <w:tcPr>
            <w:tcW w:w="1843" w:type="dxa"/>
            <w:vMerge/>
            <w:shd w:val="clear" w:color="auto" w:fill="auto"/>
            <w:vAlign w:val="center"/>
            <w:hideMark/>
          </w:tcPr>
          <w:p w14:paraId="70746AD9"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p>
        </w:tc>
        <w:tc>
          <w:tcPr>
            <w:tcW w:w="2126" w:type="dxa"/>
            <w:shd w:val="clear" w:color="auto" w:fill="auto"/>
            <w:noWrap/>
            <w:vAlign w:val="center"/>
            <w:hideMark/>
          </w:tcPr>
          <w:p w14:paraId="3D33F294"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High competence trust</w:t>
            </w:r>
          </w:p>
        </w:tc>
        <w:tc>
          <w:tcPr>
            <w:tcW w:w="516" w:type="dxa"/>
            <w:shd w:val="clear" w:color="auto" w:fill="auto"/>
            <w:noWrap/>
            <w:vAlign w:val="center"/>
            <w:hideMark/>
          </w:tcPr>
          <w:p w14:paraId="0CEDF967"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41</w:t>
            </w:r>
          </w:p>
        </w:tc>
        <w:tc>
          <w:tcPr>
            <w:tcW w:w="902" w:type="dxa"/>
            <w:shd w:val="clear" w:color="auto" w:fill="auto"/>
            <w:noWrap/>
            <w:vAlign w:val="center"/>
            <w:hideMark/>
          </w:tcPr>
          <w:p w14:paraId="20858B88"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65.220</w:t>
            </w:r>
          </w:p>
        </w:tc>
        <w:tc>
          <w:tcPr>
            <w:tcW w:w="847" w:type="dxa"/>
            <w:shd w:val="clear" w:color="auto" w:fill="auto"/>
            <w:noWrap/>
            <w:vAlign w:val="center"/>
            <w:hideMark/>
          </w:tcPr>
          <w:p w14:paraId="3E46B334"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25.313</w:t>
            </w:r>
          </w:p>
        </w:tc>
        <w:tc>
          <w:tcPr>
            <w:tcW w:w="570" w:type="dxa"/>
            <w:shd w:val="clear" w:color="auto" w:fill="auto"/>
            <w:vAlign w:val="center"/>
            <w:hideMark/>
          </w:tcPr>
          <w:p w14:paraId="3955A0B7"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31</w:t>
            </w:r>
          </w:p>
        </w:tc>
        <w:tc>
          <w:tcPr>
            <w:tcW w:w="766" w:type="dxa"/>
            <w:shd w:val="clear" w:color="auto" w:fill="auto"/>
            <w:vAlign w:val="center"/>
            <w:hideMark/>
          </w:tcPr>
          <w:p w14:paraId="2503699E"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60.968</w:t>
            </w:r>
          </w:p>
        </w:tc>
        <w:tc>
          <w:tcPr>
            <w:tcW w:w="935" w:type="dxa"/>
            <w:shd w:val="clear" w:color="auto" w:fill="auto"/>
            <w:vAlign w:val="center"/>
            <w:hideMark/>
          </w:tcPr>
          <w:p w14:paraId="0EF7A3C6"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19.554</w:t>
            </w:r>
          </w:p>
        </w:tc>
      </w:tr>
      <w:tr w:rsidR="00B6695C" w:rsidRPr="00B6695C" w14:paraId="74606797" w14:textId="77777777" w:rsidTr="00C55ED1">
        <w:trPr>
          <w:trHeight w:val="315"/>
        </w:trPr>
        <w:tc>
          <w:tcPr>
            <w:tcW w:w="1843" w:type="dxa"/>
            <w:vMerge/>
            <w:shd w:val="clear" w:color="auto" w:fill="auto"/>
            <w:vAlign w:val="center"/>
            <w:hideMark/>
          </w:tcPr>
          <w:p w14:paraId="75E2141F"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p>
        </w:tc>
        <w:tc>
          <w:tcPr>
            <w:tcW w:w="2126" w:type="dxa"/>
            <w:shd w:val="clear" w:color="auto" w:fill="auto"/>
            <w:vAlign w:val="center"/>
            <w:hideMark/>
          </w:tcPr>
          <w:p w14:paraId="7D2AD9E0"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total</w:t>
            </w:r>
          </w:p>
        </w:tc>
        <w:tc>
          <w:tcPr>
            <w:tcW w:w="516" w:type="dxa"/>
            <w:shd w:val="clear" w:color="auto" w:fill="auto"/>
            <w:noWrap/>
            <w:vAlign w:val="center"/>
            <w:hideMark/>
          </w:tcPr>
          <w:p w14:paraId="6FF566E0"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75</w:t>
            </w:r>
          </w:p>
        </w:tc>
        <w:tc>
          <w:tcPr>
            <w:tcW w:w="902" w:type="dxa"/>
            <w:shd w:val="clear" w:color="auto" w:fill="auto"/>
            <w:noWrap/>
            <w:vAlign w:val="center"/>
            <w:hideMark/>
          </w:tcPr>
          <w:p w14:paraId="34788CFF"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68.140</w:t>
            </w:r>
          </w:p>
        </w:tc>
        <w:tc>
          <w:tcPr>
            <w:tcW w:w="847" w:type="dxa"/>
            <w:shd w:val="clear" w:color="auto" w:fill="auto"/>
            <w:noWrap/>
            <w:vAlign w:val="center"/>
            <w:hideMark/>
          </w:tcPr>
          <w:p w14:paraId="0FC5E297"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23.850</w:t>
            </w:r>
          </w:p>
        </w:tc>
        <w:tc>
          <w:tcPr>
            <w:tcW w:w="570" w:type="dxa"/>
            <w:shd w:val="clear" w:color="auto" w:fill="auto"/>
            <w:vAlign w:val="center"/>
            <w:hideMark/>
          </w:tcPr>
          <w:p w14:paraId="35926710"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52</w:t>
            </w:r>
          </w:p>
        </w:tc>
        <w:tc>
          <w:tcPr>
            <w:tcW w:w="766" w:type="dxa"/>
            <w:shd w:val="clear" w:color="auto" w:fill="auto"/>
            <w:vAlign w:val="center"/>
            <w:hideMark/>
          </w:tcPr>
          <w:p w14:paraId="4C88B118"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65.962</w:t>
            </w:r>
          </w:p>
        </w:tc>
        <w:tc>
          <w:tcPr>
            <w:tcW w:w="935" w:type="dxa"/>
            <w:shd w:val="clear" w:color="auto" w:fill="auto"/>
            <w:vAlign w:val="center"/>
            <w:hideMark/>
          </w:tcPr>
          <w:p w14:paraId="32FECF38"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22.075</w:t>
            </w:r>
          </w:p>
        </w:tc>
      </w:tr>
      <w:tr w:rsidR="00B6695C" w:rsidRPr="00B6695C" w14:paraId="23E79D9F" w14:textId="77777777" w:rsidTr="00C55ED1">
        <w:trPr>
          <w:trHeight w:val="300"/>
        </w:trPr>
        <w:tc>
          <w:tcPr>
            <w:tcW w:w="1843" w:type="dxa"/>
            <w:vMerge w:val="restart"/>
            <w:shd w:val="clear" w:color="auto" w:fill="auto"/>
            <w:noWrap/>
            <w:vAlign w:val="center"/>
            <w:hideMark/>
          </w:tcPr>
          <w:p w14:paraId="3172FA4D"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High goodwill trust</w:t>
            </w:r>
          </w:p>
        </w:tc>
        <w:tc>
          <w:tcPr>
            <w:tcW w:w="2126" w:type="dxa"/>
            <w:shd w:val="clear" w:color="auto" w:fill="auto"/>
            <w:noWrap/>
            <w:vAlign w:val="center"/>
            <w:hideMark/>
          </w:tcPr>
          <w:p w14:paraId="22F92BEC"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Low competence trust</w:t>
            </w:r>
          </w:p>
        </w:tc>
        <w:tc>
          <w:tcPr>
            <w:tcW w:w="516" w:type="dxa"/>
            <w:shd w:val="clear" w:color="auto" w:fill="auto"/>
            <w:noWrap/>
            <w:vAlign w:val="center"/>
            <w:hideMark/>
          </w:tcPr>
          <w:p w14:paraId="4C16CF4E"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37</w:t>
            </w:r>
          </w:p>
        </w:tc>
        <w:tc>
          <w:tcPr>
            <w:tcW w:w="902" w:type="dxa"/>
            <w:shd w:val="clear" w:color="auto" w:fill="auto"/>
            <w:noWrap/>
            <w:vAlign w:val="center"/>
            <w:hideMark/>
          </w:tcPr>
          <w:p w14:paraId="221BC39F"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69.811</w:t>
            </w:r>
          </w:p>
        </w:tc>
        <w:tc>
          <w:tcPr>
            <w:tcW w:w="847" w:type="dxa"/>
            <w:shd w:val="clear" w:color="auto" w:fill="auto"/>
            <w:noWrap/>
            <w:vAlign w:val="center"/>
            <w:hideMark/>
          </w:tcPr>
          <w:p w14:paraId="1E2C6DE6"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22.301</w:t>
            </w:r>
          </w:p>
        </w:tc>
        <w:tc>
          <w:tcPr>
            <w:tcW w:w="570" w:type="dxa"/>
            <w:shd w:val="clear" w:color="auto" w:fill="auto"/>
            <w:vAlign w:val="center"/>
            <w:hideMark/>
          </w:tcPr>
          <w:p w14:paraId="2980E0CE"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39</w:t>
            </w:r>
          </w:p>
        </w:tc>
        <w:tc>
          <w:tcPr>
            <w:tcW w:w="766" w:type="dxa"/>
            <w:shd w:val="clear" w:color="auto" w:fill="auto"/>
            <w:vAlign w:val="center"/>
            <w:hideMark/>
          </w:tcPr>
          <w:p w14:paraId="503D06EB"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67.692</w:t>
            </w:r>
          </w:p>
        </w:tc>
        <w:tc>
          <w:tcPr>
            <w:tcW w:w="935" w:type="dxa"/>
            <w:shd w:val="clear" w:color="auto" w:fill="auto"/>
            <w:vAlign w:val="center"/>
            <w:hideMark/>
          </w:tcPr>
          <w:p w14:paraId="503F352B"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21.940</w:t>
            </w:r>
          </w:p>
        </w:tc>
      </w:tr>
      <w:tr w:rsidR="00B6695C" w:rsidRPr="00B6695C" w14:paraId="6CC3E329" w14:textId="77777777" w:rsidTr="00C55ED1">
        <w:trPr>
          <w:trHeight w:val="315"/>
        </w:trPr>
        <w:tc>
          <w:tcPr>
            <w:tcW w:w="1843" w:type="dxa"/>
            <w:vMerge/>
            <w:shd w:val="clear" w:color="auto" w:fill="auto"/>
            <w:vAlign w:val="center"/>
            <w:hideMark/>
          </w:tcPr>
          <w:p w14:paraId="07969EED"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p>
        </w:tc>
        <w:tc>
          <w:tcPr>
            <w:tcW w:w="2126" w:type="dxa"/>
            <w:shd w:val="clear" w:color="auto" w:fill="auto"/>
            <w:noWrap/>
            <w:vAlign w:val="center"/>
            <w:hideMark/>
          </w:tcPr>
          <w:p w14:paraId="385BAC7C"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High competence trust</w:t>
            </w:r>
          </w:p>
        </w:tc>
        <w:tc>
          <w:tcPr>
            <w:tcW w:w="516" w:type="dxa"/>
            <w:shd w:val="clear" w:color="auto" w:fill="auto"/>
            <w:noWrap/>
            <w:vAlign w:val="center"/>
            <w:hideMark/>
          </w:tcPr>
          <w:p w14:paraId="2FF4E857"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37</w:t>
            </w:r>
          </w:p>
        </w:tc>
        <w:tc>
          <w:tcPr>
            <w:tcW w:w="902" w:type="dxa"/>
            <w:shd w:val="clear" w:color="auto" w:fill="auto"/>
            <w:noWrap/>
            <w:vAlign w:val="center"/>
            <w:hideMark/>
          </w:tcPr>
          <w:p w14:paraId="61821C88"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59.432</w:t>
            </w:r>
          </w:p>
        </w:tc>
        <w:tc>
          <w:tcPr>
            <w:tcW w:w="847" w:type="dxa"/>
            <w:shd w:val="clear" w:color="auto" w:fill="auto"/>
            <w:noWrap/>
            <w:vAlign w:val="center"/>
            <w:hideMark/>
          </w:tcPr>
          <w:p w14:paraId="578D7FD2"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26.290</w:t>
            </w:r>
          </w:p>
        </w:tc>
        <w:tc>
          <w:tcPr>
            <w:tcW w:w="570" w:type="dxa"/>
            <w:shd w:val="clear" w:color="auto" w:fill="auto"/>
            <w:vAlign w:val="center"/>
            <w:hideMark/>
          </w:tcPr>
          <w:p w14:paraId="6A6D8323"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25</w:t>
            </w:r>
          </w:p>
        </w:tc>
        <w:tc>
          <w:tcPr>
            <w:tcW w:w="766" w:type="dxa"/>
            <w:shd w:val="clear" w:color="auto" w:fill="auto"/>
            <w:vAlign w:val="center"/>
            <w:hideMark/>
          </w:tcPr>
          <w:p w14:paraId="064CCC7B"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55.600</w:t>
            </w:r>
          </w:p>
        </w:tc>
        <w:tc>
          <w:tcPr>
            <w:tcW w:w="935" w:type="dxa"/>
            <w:shd w:val="clear" w:color="auto" w:fill="auto"/>
            <w:vAlign w:val="center"/>
            <w:hideMark/>
          </w:tcPr>
          <w:p w14:paraId="4B4D3A56"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21.424</w:t>
            </w:r>
          </w:p>
        </w:tc>
      </w:tr>
      <w:tr w:rsidR="00B6695C" w:rsidRPr="00B6695C" w14:paraId="0F8F5330" w14:textId="77777777" w:rsidTr="00C55ED1">
        <w:trPr>
          <w:trHeight w:val="315"/>
        </w:trPr>
        <w:tc>
          <w:tcPr>
            <w:tcW w:w="1843" w:type="dxa"/>
            <w:vMerge/>
            <w:shd w:val="clear" w:color="auto" w:fill="auto"/>
            <w:vAlign w:val="center"/>
            <w:hideMark/>
          </w:tcPr>
          <w:p w14:paraId="31EE87A5"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p>
        </w:tc>
        <w:tc>
          <w:tcPr>
            <w:tcW w:w="2126" w:type="dxa"/>
            <w:shd w:val="clear" w:color="auto" w:fill="auto"/>
            <w:vAlign w:val="center"/>
            <w:hideMark/>
          </w:tcPr>
          <w:p w14:paraId="26D68036"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total</w:t>
            </w:r>
          </w:p>
        </w:tc>
        <w:tc>
          <w:tcPr>
            <w:tcW w:w="516" w:type="dxa"/>
            <w:shd w:val="clear" w:color="auto" w:fill="auto"/>
            <w:noWrap/>
            <w:vAlign w:val="center"/>
            <w:hideMark/>
          </w:tcPr>
          <w:p w14:paraId="0E016519"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74</w:t>
            </w:r>
          </w:p>
        </w:tc>
        <w:tc>
          <w:tcPr>
            <w:tcW w:w="902" w:type="dxa"/>
            <w:shd w:val="clear" w:color="auto" w:fill="auto"/>
            <w:noWrap/>
            <w:vAlign w:val="center"/>
            <w:hideMark/>
          </w:tcPr>
          <w:p w14:paraId="66901C83"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64.622</w:t>
            </w:r>
          </w:p>
        </w:tc>
        <w:tc>
          <w:tcPr>
            <w:tcW w:w="847" w:type="dxa"/>
            <w:shd w:val="clear" w:color="auto" w:fill="auto"/>
            <w:noWrap/>
            <w:vAlign w:val="center"/>
            <w:hideMark/>
          </w:tcPr>
          <w:p w14:paraId="41A2C2C7"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24.767</w:t>
            </w:r>
          </w:p>
        </w:tc>
        <w:tc>
          <w:tcPr>
            <w:tcW w:w="570" w:type="dxa"/>
            <w:shd w:val="clear" w:color="auto" w:fill="auto"/>
            <w:vAlign w:val="center"/>
            <w:hideMark/>
          </w:tcPr>
          <w:p w14:paraId="1C17296E"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64</w:t>
            </w:r>
          </w:p>
        </w:tc>
        <w:tc>
          <w:tcPr>
            <w:tcW w:w="766" w:type="dxa"/>
            <w:shd w:val="clear" w:color="auto" w:fill="auto"/>
            <w:vAlign w:val="center"/>
            <w:hideMark/>
          </w:tcPr>
          <w:p w14:paraId="3F9D3255"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62.969</w:t>
            </w:r>
          </w:p>
        </w:tc>
        <w:tc>
          <w:tcPr>
            <w:tcW w:w="935" w:type="dxa"/>
            <w:shd w:val="clear" w:color="auto" w:fill="auto"/>
            <w:vAlign w:val="center"/>
            <w:hideMark/>
          </w:tcPr>
          <w:p w14:paraId="0CA0CAC3"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22.373</w:t>
            </w:r>
          </w:p>
        </w:tc>
      </w:tr>
      <w:tr w:rsidR="00B6695C" w:rsidRPr="00B6695C" w14:paraId="1BA19521" w14:textId="77777777" w:rsidTr="00C55ED1">
        <w:trPr>
          <w:trHeight w:val="300"/>
        </w:trPr>
        <w:tc>
          <w:tcPr>
            <w:tcW w:w="1843" w:type="dxa"/>
            <w:vMerge w:val="restart"/>
            <w:shd w:val="clear" w:color="auto" w:fill="auto"/>
            <w:vAlign w:val="center"/>
            <w:hideMark/>
          </w:tcPr>
          <w:p w14:paraId="087722B2"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Total</w:t>
            </w:r>
          </w:p>
        </w:tc>
        <w:tc>
          <w:tcPr>
            <w:tcW w:w="2126" w:type="dxa"/>
            <w:shd w:val="clear" w:color="auto" w:fill="auto"/>
            <w:noWrap/>
            <w:vAlign w:val="center"/>
            <w:hideMark/>
          </w:tcPr>
          <w:p w14:paraId="5D7ABA5D"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Low competence trust</w:t>
            </w:r>
          </w:p>
        </w:tc>
        <w:tc>
          <w:tcPr>
            <w:tcW w:w="516" w:type="dxa"/>
            <w:shd w:val="clear" w:color="auto" w:fill="auto"/>
            <w:noWrap/>
            <w:vAlign w:val="center"/>
            <w:hideMark/>
          </w:tcPr>
          <w:p w14:paraId="484C685D"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71</w:t>
            </w:r>
          </w:p>
        </w:tc>
        <w:tc>
          <w:tcPr>
            <w:tcW w:w="902" w:type="dxa"/>
            <w:shd w:val="clear" w:color="auto" w:fill="auto"/>
            <w:noWrap/>
            <w:vAlign w:val="center"/>
            <w:hideMark/>
          </w:tcPr>
          <w:p w14:paraId="364C84D0"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70.697</w:t>
            </w:r>
          </w:p>
        </w:tc>
        <w:tc>
          <w:tcPr>
            <w:tcW w:w="847" w:type="dxa"/>
            <w:shd w:val="clear" w:color="auto" w:fill="auto"/>
            <w:noWrap/>
            <w:vAlign w:val="center"/>
            <w:hideMark/>
          </w:tcPr>
          <w:p w14:paraId="308FEEEA"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21.927</w:t>
            </w:r>
          </w:p>
        </w:tc>
        <w:tc>
          <w:tcPr>
            <w:tcW w:w="570" w:type="dxa"/>
            <w:shd w:val="clear" w:color="auto" w:fill="auto"/>
            <w:vAlign w:val="center"/>
            <w:hideMark/>
          </w:tcPr>
          <w:p w14:paraId="1CCD4833"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60</w:t>
            </w:r>
          </w:p>
        </w:tc>
        <w:tc>
          <w:tcPr>
            <w:tcW w:w="766" w:type="dxa"/>
            <w:shd w:val="clear" w:color="auto" w:fill="auto"/>
            <w:vAlign w:val="center"/>
            <w:hideMark/>
          </w:tcPr>
          <w:p w14:paraId="0A57810E"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69.667</w:t>
            </w:r>
          </w:p>
        </w:tc>
        <w:tc>
          <w:tcPr>
            <w:tcW w:w="935" w:type="dxa"/>
            <w:shd w:val="clear" w:color="auto" w:fill="auto"/>
            <w:vAlign w:val="center"/>
            <w:hideMark/>
          </w:tcPr>
          <w:p w14:paraId="59FEB639"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22.622</w:t>
            </w:r>
          </w:p>
        </w:tc>
      </w:tr>
      <w:tr w:rsidR="00B6695C" w:rsidRPr="00B6695C" w14:paraId="6DB6B2D3" w14:textId="77777777" w:rsidTr="00C55ED1">
        <w:trPr>
          <w:trHeight w:val="300"/>
        </w:trPr>
        <w:tc>
          <w:tcPr>
            <w:tcW w:w="1843" w:type="dxa"/>
            <w:vMerge/>
            <w:shd w:val="clear" w:color="auto" w:fill="auto"/>
            <w:vAlign w:val="center"/>
            <w:hideMark/>
          </w:tcPr>
          <w:p w14:paraId="20E2E676"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p>
        </w:tc>
        <w:tc>
          <w:tcPr>
            <w:tcW w:w="2126" w:type="dxa"/>
            <w:shd w:val="clear" w:color="auto" w:fill="auto"/>
            <w:noWrap/>
            <w:vAlign w:val="center"/>
            <w:hideMark/>
          </w:tcPr>
          <w:p w14:paraId="3BAFFDAE"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High competence trust</w:t>
            </w:r>
          </w:p>
        </w:tc>
        <w:tc>
          <w:tcPr>
            <w:tcW w:w="516" w:type="dxa"/>
            <w:shd w:val="clear" w:color="auto" w:fill="auto"/>
            <w:noWrap/>
            <w:vAlign w:val="center"/>
            <w:hideMark/>
          </w:tcPr>
          <w:p w14:paraId="69A3DA9E"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78</w:t>
            </w:r>
          </w:p>
        </w:tc>
        <w:tc>
          <w:tcPr>
            <w:tcW w:w="902" w:type="dxa"/>
            <w:shd w:val="clear" w:color="auto" w:fill="auto"/>
            <w:noWrap/>
            <w:vAlign w:val="center"/>
            <w:hideMark/>
          </w:tcPr>
          <w:p w14:paraId="4E06DA81"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62.474</w:t>
            </w:r>
          </w:p>
        </w:tc>
        <w:tc>
          <w:tcPr>
            <w:tcW w:w="847" w:type="dxa"/>
            <w:shd w:val="clear" w:color="auto" w:fill="auto"/>
            <w:noWrap/>
            <w:vAlign w:val="center"/>
            <w:hideMark/>
          </w:tcPr>
          <w:p w14:paraId="77F97169"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25.777</w:t>
            </w:r>
          </w:p>
        </w:tc>
        <w:tc>
          <w:tcPr>
            <w:tcW w:w="570" w:type="dxa"/>
            <w:shd w:val="clear" w:color="auto" w:fill="auto"/>
            <w:vAlign w:val="center"/>
            <w:hideMark/>
          </w:tcPr>
          <w:p w14:paraId="3780AE39"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56</w:t>
            </w:r>
          </w:p>
        </w:tc>
        <w:tc>
          <w:tcPr>
            <w:tcW w:w="766" w:type="dxa"/>
            <w:shd w:val="clear" w:color="auto" w:fill="auto"/>
            <w:vAlign w:val="center"/>
            <w:hideMark/>
          </w:tcPr>
          <w:p w14:paraId="5EA89BE5"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58.571</w:t>
            </w:r>
          </w:p>
        </w:tc>
        <w:tc>
          <w:tcPr>
            <w:tcW w:w="935" w:type="dxa"/>
            <w:shd w:val="clear" w:color="auto" w:fill="auto"/>
            <w:vAlign w:val="center"/>
            <w:hideMark/>
          </w:tcPr>
          <w:p w14:paraId="05717C35"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color w:val="000000"/>
                <w:sz w:val="20"/>
                <w:szCs w:val="20"/>
                <w:lang w:val="en-US"/>
              </w:rPr>
            </w:pPr>
            <w:r w:rsidRPr="00B6695C">
              <w:rPr>
                <w:rFonts w:ascii="Times New Roman" w:eastAsia="Times New Roman" w:hAnsi="Times New Roman" w:cs="Times New Roman"/>
                <w:color w:val="000000"/>
                <w:sz w:val="20"/>
                <w:szCs w:val="20"/>
                <w:lang w:val="en-US"/>
              </w:rPr>
              <w:t>20.399</w:t>
            </w:r>
          </w:p>
        </w:tc>
      </w:tr>
      <w:tr w:rsidR="00B6695C" w:rsidRPr="00B6695C" w14:paraId="1A21BC54" w14:textId="77777777" w:rsidTr="00C55ED1">
        <w:trPr>
          <w:trHeight w:val="315"/>
        </w:trPr>
        <w:tc>
          <w:tcPr>
            <w:tcW w:w="1843" w:type="dxa"/>
            <w:vMerge/>
            <w:tcBorders>
              <w:bottom w:val="single" w:sz="4" w:space="0" w:color="auto"/>
            </w:tcBorders>
            <w:shd w:val="clear" w:color="auto" w:fill="auto"/>
            <w:vAlign w:val="center"/>
            <w:hideMark/>
          </w:tcPr>
          <w:p w14:paraId="14F743FD"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color w:val="000000"/>
                <w:sz w:val="20"/>
                <w:szCs w:val="20"/>
                <w:lang w:val="en-US"/>
              </w:rPr>
            </w:pPr>
          </w:p>
        </w:tc>
        <w:tc>
          <w:tcPr>
            <w:tcW w:w="2126" w:type="dxa"/>
            <w:tcBorders>
              <w:bottom w:val="single" w:sz="4" w:space="0" w:color="auto"/>
            </w:tcBorders>
            <w:shd w:val="clear" w:color="auto" w:fill="auto"/>
            <w:vAlign w:val="center"/>
            <w:hideMark/>
          </w:tcPr>
          <w:p w14:paraId="6CF7F3C9" w14:textId="77777777" w:rsidR="00B6695C" w:rsidRPr="00B6695C" w:rsidRDefault="00B6695C" w:rsidP="00B6695C">
            <w:pPr>
              <w:shd w:val="clear" w:color="auto" w:fill="FFFFFF" w:themeFill="background1"/>
              <w:spacing w:line="240" w:lineRule="auto"/>
              <w:rPr>
                <w:rFonts w:ascii="Times New Roman" w:eastAsia="Times New Roman" w:hAnsi="Times New Roman" w:cs="Times New Roman"/>
                <w:i/>
                <w:iCs/>
                <w:color w:val="000000"/>
                <w:sz w:val="20"/>
                <w:szCs w:val="20"/>
                <w:lang w:val="en-US"/>
              </w:rPr>
            </w:pPr>
            <w:r w:rsidRPr="00B6695C">
              <w:rPr>
                <w:rFonts w:ascii="Times New Roman" w:eastAsia="Times New Roman" w:hAnsi="Times New Roman" w:cs="Times New Roman"/>
                <w:i/>
                <w:iCs/>
                <w:color w:val="000000"/>
                <w:sz w:val="20"/>
                <w:szCs w:val="20"/>
                <w:lang w:val="en-US"/>
              </w:rPr>
              <w:t>total</w:t>
            </w:r>
          </w:p>
        </w:tc>
        <w:tc>
          <w:tcPr>
            <w:tcW w:w="516" w:type="dxa"/>
            <w:tcBorders>
              <w:bottom w:val="single" w:sz="4" w:space="0" w:color="auto"/>
            </w:tcBorders>
            <w:shd w:val="clear" w:color="auto" w:fill="auto"/>
            <w:noWrap/>
            <w:vAlign w:val="center"/>
            <w:hideMark/>
          </w:tcPr>
          <w:p w14:paraId="7F504CAB"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i/>
                <w:iCs/>
                <w:color w:val="000000"/>
                <w:sz w:val="20"/>
                <w:szCs w:val="20"/>
                <w:lang w:val="en-US"/>
              </w:rPr>
            </w:pPr>
            <w:r w:rsidRPr="00B6695C">
              <w:rPr>
                <w:rFonts w:ascii="Times New Roman" w:eastAsia="Times New Roman" w:hAnsi="Times New Roman" w:cs="Times New Roman"/>
                <w:i/>
                <w:iCs/>
                <w:color w:val="000000"/>
                <w:sz w:val="20"/>
                <w:szCs w:val="20"/>
                <w:lang w:val="en-US"/>
              </w:rPr>
              <w:t>149</w:t>
            </w:r>
          </w:p>
        </w:tc>
        <w:tc>
          <w:tcPr>
            <w:tcW w:w="902" w:type="dxa"/>
            <w:tcBorders>
              <w:bottom w:val="single" w:sz="4" w:space="0" w:color="auto"/>
            </w:tcBorders>
            <w:shd w:val="clear" w:color="auto" w:fill="auto"/>
            <w:noWrap/>
            <w:vAlign w:val="center"/>
            <w:hideMark/>
          </w:tcPr>
          <w:p w14:paraId="469A36A1"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i/>
                <w:iCs/>
                <w:color w:val="000000"/>
                <w:sz w:val="20"/>
                <w:szCs w:val="20"/>
                <w:lang w:val="en-US"/>
              </w:rPr>
            </w:pPr>
            <w:r w:rsidRPr="00B6695C">
              <w:rPr>
                <w:rFonts w:ascii="Times New Roman" w:eastAsia="Times New Roman" w:hAnsi="Times New Roman" w:cs="Times New Roman"/>
                <w:i/>
                <w:iCs/>
                <w:color w:val="000000"/>
                <w:sz w:val="20"/>
                <w:szCs w:val="20"/>
                <w:lang w:val="en-US"/>
              </w:rPr>
              <w:t>66.393</w:t>
            </w:r>
          </w:p>
        </w:tc>
        <w:tc>
          <w:tcPr>
            <w:tcW w:w="847" w:type="dxa"/>
            <w:tcBorders>
              <w:bottom w:val="single" w:sz="4" w:space="0" w:color="auto"/>
            </w:tcBorders>
            <w:shd w:val="clear" w:color="auto" w:fill="auto"/>
            <w:noWrap/>
            <w:vAlign w:val="center"/>
            <w:hideMark/>
          </w:tcPr>
          <w:p w14:paraId="252E97BB"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i/>
                <w:iCs/>
                <w:color w:val="000000"/>
                <w:sz w:val="20"/>
                <w:szCs w:val="20"/>
                <w:lang w:val="en-US"/>
              </w:rPr>
            </w:pPr>
            <w:r w:rsidRPr="00B6695C">
              <w:rPr>
                <w:rFonts w:ascii="Times New Roman" w:eastAsia="Times New Roman" w:hAnsi="Times New Roman" w:cs="Times New Roman"/>
                <w:i/>
                <w:iCs/>
                <w:color w:val="000000"/>
                <w:sz w:val="20"/>
                <w:szCs w:val="20"/>
                <w:lang w:val="en-US"/>
              </w:rPr>
              <w:t>24.291</w:t>
            </w:r>
          </w:p>
        </w:tc>
        <w:tc>
          <w:tcPr>
            <w:tcW w:w="570" w:type="dxa"/>
            <w:tcBorders>
              <w:bottom w:val="single" w:sz="4" w:space="0" w:color="auto"/>
            </w:tcBorders>
            <w:shd w:val="clear" w:color="auto" w:fill="auto"/>
            <w:vAlign w:val="center"/>
            <w:hideMark/>
          </w:tcPr>
          <w:p w14:paraId="077FA13A"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i/>
                <w:iCs/>
                <w:color w:val="000000"/>
                <w:sz w:val="20"/>
                <w:szCs w:val="20"/>
                <w:lang w:val="en-US"/>
              </w:rPr>
            </w:pPr>
            <w:r w:rsidRPr="00B6695C">
              <w:rPr>
                <w:rFonts w:ascii="Times New Roman" w:eastAsia="Times New Roman" w:hAnsi="Times New Roman" w:cs="Times New Roman"/>
                <w:i/>
                <w:iCs/>
                <w:color w:val="000000"/>
                <w:sz w:val="20"/>
                <w:szCs w:val="20"/>
                <w:lang w:val="en-US"/>
              </w:rPr>
              <w:t>116</w:t>
            </w:r>
          </w:p>
        </w:tc>
        <w:tc>
          <w:tcPr>
            <w:tcW w:w="766" w:type="dxa"/>
            <w:tcBorders>
              <w:bottom w:val="single" w:sz="4" w:space="0" w:color="auto"/>
            </w:tcBorders>
            <w:shd w:val="clear" w:color="auto" w:fill="auto"/>
            <w:vAlign w:val="center"/>
            <w:hideMark/>
          </w:tcPr>
          <w:p w14:paraId="4658DBB4"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i/>
                <w:iCs/>
                <w:color w:val="000000"/>
                <w:sz w:val="20"/>
                <w:szCs w:val="20"/>
                <w:lang w:val="en-US"/>
              </w:rPr>
            </w:pPr>
            <w:r w:rsidRPr="00B6695C">
              <w:rPr>
                <w:rFonts w:ascii="Times New Roman" w:eastAsia="Times New Roman" w:hAnsi="Times New Roman" w:cs="Times New Roman"/>
                <w:i/>
                <w:iCs/>
                <w:color w:val="000000"/>
                <w:sz w:val="20"/>
                <w:szCs w:val="20"/>
                <w:lang w:val="en-US"/>
              </w:rPr>
              <w:t>64.310</w:t>
            </w:r>
          </w:p>
        </w:tc>
        <w:tc>
          <w:tcPr>
            <w:tcW w:w="935" w:type="dxa"/>
            <w:tcBorders>
              <w:bottom w:val="single" w:sz="4" w:space="0" w:color="auto"/>
            </w:tcBorders>
            <w:shd w:val="clear" w:color="auto" w:fill="auto"/>
            <w:vAlign w:val="center"/>
            <w:hideMark/>
          </w:tcPr>
          <w:p w14:paraId="59F1539E" w14:textId="77777777" w:rsidR="00B6695C" w:rsidRPr="00B6695C" w:rsidRDefault="00B6695C" w:rsidP="00B6695C">
            <w:pPr>
              <w:shd w:val="clear" w:color="auto" w:fill="FFFFFF" w:themeFill="background1"/>
              <w:spacing w:line="240" w:lineRule="auto"/>
              <w:jc w:val="center"/>
              <w:rPr>
                <w:rFonts w:ascii="Times New Roman" w:eastAsia="Times New Roman" w:hAnsi="Times New Roman" w:cs="Times New Roman"/>
                <w:i/>
                <w:iCs/>
                <w:color w:val="000000"/>
                <w:sz w:val="20"/>
                <w:szCs w:val="20"/>
                <w:lang w:val="en-US"/>
              </w:rPr>
            </w:pPr>
            <w:r w:rsidRPr="00B6695C">
              <w:rPr>
                <w:rFonts w:ascii="Times New Roman" w:eastAsia="Times New Roman" w:hAnsi="Times New Roman" w:cs="Times New Roman"/>
                <w:i/>
                <w:iCs/>
                <w:color w:val="000000"/>
                <w:sz w:val="20"/>
                <w:szCs w:val="20"/>
                <w:lang w:val="en-US"/>
              </w:rPr>
              <w:t>22.194</w:t>
            </w:r>
          </w:p>
        </w:tc>
      </w:tr>
    </w:tbl>
    <w:p w14:paraId="4CDF62B2" w14:textId="7BFA2B5C" w:rsidR="009634A6" w:rsidRDefault="00B6695C" w:rsidP="00C55ED1">
      <w:pPr>
        <w:shd w:val="clear" w:color="auto" w:fill="FFFFFF" w:themeFill="background1"/>
        <w:spacing w:line="480" w:lineRule="auto"/>
        <w:rPr>
          <w:rFonts w:ascii="Times New Roman" w:eastAsia="Times New Roman" w:hAnsi="Times New Roman" w:cs="Times New Roman"/>
          <w:lang w:val="en-US" w:eastAsia="de-AT"/>
        </w:rPr>
      </w:pPr>
      <w:r w:rsidRPr="00B6695C">
        <w:rPr>
          <w:rFonts w:ascii="Times New Roman" w:eastAsia="Times New Roman" w:hAnsi="Times New Roman" w:cs="Times New Roman"/>
          <w:lang w:val="en-US" w:eastAsia="de-AT"/>
        </w:rPr>
        <w:fldChar w:fldCharType="end"/>
      </w:r>
    </w:p>
    <w:p w14:paraId="475E5165" w14:textId="77777777" w:rsidR="00C55ED1" w:rsidRPr="00183BEF" w:rsidRDefault="00C55ED1" w:rsidP="00C55ED1">
      <w:pPr>
        <w:shd w:val="clear" w:color="auto" w:fill="FFFFFF" w:themeFill="background1"/>
        <w:spacing w:line="480" w:lineRule="auto"/>
        <w:rPr>
          <w:rFonts w:ascii="Times New Roman" w:eastAsia="Times New Roman" w:hAnsi="Times New Roman" w:cs="Times New Roman"/>
          <w:lang w:eastAsia="de-AT"/>
        </w:rPr>
      </w:pPr>
    </w:p>
    <w:p w14:paraId="21458AFA" w14:textId="77777777" w:rsidR="000E701B" w:rsidRPr="000E701B" w:rsidRDefault="000E701B" w:rsidP="000E701B">
      <w:pPr>
        <w:spacing w:after="200" w:line="276" w:lineRule="auto"/>
        <w:rPr>
          <w:rFonts w:ascii="Times New Roman" w:eastAsia="Times New Roman" w:hAnsi="Times New Roman" w:cs="Times New Roman"/>
          <w:sz w:val="20"/>
          <w:szCs w:val="20"/>
          <w:lang w:val="en-US" w:eastAsia="de-AT"/>
        </w:rPr>
      </w:pPr>
      <w:r w:rsidRPr="000E701B">
        <w:rPr>
          <w:rFonts w:ascii="Times New Roman" w:eastAsia="Times New Roman" w:hAnsi="Times New Roman" w:cs="Times New Roman"/>
          <w:lang w:val="en-US" w:eastAsia="de-AT"/>
        </w:rPr>
        <w:t>Table 2</w:t>
      </w:r>
      <w:r w:rsidRPr="000E701B">
        <w:rPr>
          <w:rFonts w:ascii="Times New Roman" w:eastAsia="Times New Roman" w:hAnsi="Times New Roman" w:cs="Times New Roman"/>
          <w:sz w:val="20"/>
          <w:szCs w:val="20"/>
          <w:lang w:val="en-US" w:eastAsia="de-AT"/>
        </w:rPr>
        <w:t xml:space="preserve"> </w:t>
      </w:r>
      <w:r w:rsidRPr="000E701B">
        <w:rPr>
          <w:rFonts w:ascii="Times New Roman" w:eastAsia="Times New Roman" w:hAnsi="Times New Roman" w:cs="Times New Roman"/>
          <w:lang w:val="en-US" w:eastAsia="de-AT"/>
        </w:rPr>
        <w:t>Descriptive statistics – auditor perspective</w:t>
      </w:r>
    </w:p>
    <w:tbl>
      <w:tblPr>
        <w:tblStyle w:val="Tabellenraster1"/>
        <w:tblW w:w="86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670"/>
        <w:gridCol w:w="709"/>
        <w:gridCol w:w="708"/>
        <w:gridCol w:w="567"/>
        <w:gridCol w:w="567"/>
        <w:gridCol w:w="567"/>
        <w:gridCol w:w="567"/>
        <w:gridCol w:w="567"/>
        <w:gridCol w:w="567"/>
        <w:gridCol w:w="567"/>
        <w:gridCol w:w="615"/>
      </w:tblGrid>
      <w:tr w:rsidR="0099246F" w:rsidRPr="009634A6" w14:paraId="20DF4E21" w14:textId="77777777" w:rsidTr="00616B11">
        <w:trPr>
          <w:trHeight w:hRule="exact" w:val="397"/>
        </w:trPr>
        <w:tc>
          <w:tcPr>
            <w:tcW w:w="2670" w:type="dxa"/>
            <w:tcBorders>
              <w:top w:val="single" w:sz="4" w:space="0" w:color="auto"/>
              <w:bottom w:val="single" w:sz="4" w:space="0" w:color="auto"/>
            </w:tcBorders>
            <w:vAlign w:val="center"/>
          </w:tcPr>
          <w:p w14:paraId="03F14B8D" w14:textId="77777777" w:rsidR="0099246F" w:rsidRPr="00A25CE6" w:rsidRDefault="0099246F" w:rsidP="000E701B">
            <w:pPr>
              <w:spacing w:line="240" w:lineRule="auto"/>
              <w:jc w:val="center"/>
              <w:rPr>
                <w:rFonts w:ascii="Times New Roman" w:hAnsi="Times New Roman" w:cs="Times New Roman"/>
                <w:b/>
                <w:color w:val="000000"/>
                <w:sz w:val="18"/>
                <w:szCs w:val="18"/>
                <w:lang w:val="en-US"/>
              </w:rPr>
            </w:pPr>
          </w:p>
        </w:tc>
        <w:tc>
          <w:tcPr>
            <w:tcW w:w="709" w:type="dxa"/>
            <w:tcBorders>
              <w:top w:val="single" w:sz="4" w:space="0" w:color="auto"/>
              <w:bottom w:val="single" w:sz="4" w:space="0" w:color="auto"/>
            </w:tcBorders>
            <w:vAlign w:val="center"/>
          </w:tcPr>
          <w:p w14:paraId="5AEC1293" w14:textId="77777777" w:rsidR="0099246F" w:rsidRPr="009634A6" w:rsidRDefault="0099246F" w:rsidP="000E701B">
            <w:pPr>
              <w:spacing w:line="240" w:lineRule="auto"/>
              <w:jc w:val="center"/>
              <w:rPr>
                <w:rFonts w:ascii="Times New Roman" w:hAnsi="Times New Roman" w:cs="Times New Roman"/>
                <w:b/>
                <w:color w:val="000000"/>
                <w:sz w:val="18"/>
                <w:szCs w:val="18"/>
                <w:lang w:val="en-US"/>
              </w:rPr>
            </w:pPr>
            <w:r w:rsidRPr="009634A6">
              <w:rPr>
                <w:rFonts w:ascii="Times New Roman" w:hAnsi="Times New Roman" w:cs="Times New Roman"/>
                <w:b/>
                <w:color w:val="000000"/>
                <w:sz w:val="18"/>
                <w:szCs w:val="18"/>
                <w:lang w:val="en-US"/>
              </w:rPr>
              <w:t>Mean</w:t>
            </w:r>
          </w:p>
        </w:tc>
        <w:tc>
          <w:tcPr>
            <w:tcW w:w="708" w:type="dxa"/>
            <w:tcBorders>
              <w:top w:val="single" w:sz="4" w:space="0" w:color="auto"/>
              <w:bottom w:val="single" w:sz="4" w:space="0" w:color="auto"/>
            </w:tcBorders>
            <w:vAlign w:val="center"/>
          </w:tcPr>
          <w:p w14:paraId="2D916DA4" w14:textId="77777777" w:rsidR="0099246F" w:rsidRPr="009634A6" w:rsidRDefault="0099246F" w:rsidP="000E701B">
            <w:pPr>
              <w:spacing w:line="240" w:lineRule="auto"/>
              <w:jc w:val="center"/>
              <w:rPr>
                <w:rFonts w:ascii="Times New Roman" w:hAnsi="Times New Roman" w:cs="Times New Roman"/>
                <w:b/>
                <w:color w:val="000000"/>
                <w:sz w:val="18"/>
                <w:szCs w:val="18"/>
                <w:lang w:val="en-US"/>
              </w:rPr>
            </w:pPr>
            <w:r w:rsidRPr="009634A6">
              <w:rPr>
                <w:rFonts w:ascii="Times New Roman" w:hAnsi="Times New Roman" w:cs="Times New Roman"/>
                <w:b/>
                <w:color w:val="000000"/>
                <w:sz w:val="18"/>
                <w:szCs w:val="18"/>
                <w:lang w:val="en-US"/>
              </w:rPr>
              <w:t>SD</w:t>
            </w:r>
          </w:p>
        </w:tc>
        <w:tc>
          <w:tcPr>
            <w:tcW w:w="567" w:type="dxa"/>
            <w:tcBorders>
              <w:top w:val="single" w:sz="4" w:space="0" w:color="auto"/>
              <w:bottom w:val="single" w:sz="4" w:space="0" w:color="auto"/>
            </w:tcBorders>
            <w:vAlign w:val="center"/>
          </w:tcPr>
          <w:p w14:paraId="218819DF" w14:textId="10570C76" w:rsidR="0099246F" w:rsidRPr="009634A6" w:rsidRDefault="0099246F" w:rsidP="0099246F">
            <w:pPr>
              <w:spacing w:line="240" w:lineRule="auto"/>
              <w:jc w:val="center"/>
              <w:rPr>
                <w:rFonts w:ascii="Times New Roman" w:hAnsi="Times New Roman" w:cs="Times New Roman"/>
                <w:b/>
                <w:color w:val="000000"/>
                <w:sz w:val="18"/>
                <w:szCs w:val="18"/>
                <w:lang w:val="en-US"/>
              </w:rPr>
            </w:pPr>
            <w:r w:rsidRPr="009634A6">
              <w:rPr>
                <w:rFonts w:ascii="Times New Roman" w:hAnsi="Times New Roman" w:cs="Times New Roman"/>
                <w:b/>
                <w:color w:val="000000"/>
                <w:sz w:val="18"/>
                <w:szCs w:val="18"/>
                <w:lang w:val="en-US"/>
              </w:rPr>
              <w:t>Min</w:t>
            </w:r>
          </w:p>
        </w:tc>
        <w:tc>
          <w:tcPr>
            <w:tcW w:w="567" w:type="dxa"/>
            <w:tcBorders>
              <w:top w:val="single" w:sz="4" w:space="0" w:color="auto"/>
              <w:bottom w:val="single" w:sz="4" w:space="0" w:color="auto"/>
            </w:tcBorders>
            <w:vAlign w:val="center"/>
          </w:tcPr>
          <w:p w14:paraId="19E29191" w14:textId="7685C72E" w:rsidR="0099246F" w:rsidRPr="009634A6" w:rsidRDefault="0099246F" w:rsidP="00274638">
            <w:pPr>
              <w:spacing w:line="240" w:lineRule="auto"/>
              <w:jc w:val="center"/>
              <w:rPr>
                <w:rFonts w:ascii="Times New Roman" w:hAnsi="Times New Roman" w:cs="Times New Roman"/>
                <w:b/>
                <w:color w:val="000000"/>
                <w:sz w:val="18"/>
                <w:szCs w:val="18"/>
                <w:lang w:val="en-US"/>
              </w:rPr>
            </w:pPr>
            <w:r w:rsidRPr="009634A6">
              <w:rPr>
                <w:rFonts w:ascii="Times New Roman" w:hAnsi="Times New Roman" w:cs="Times New Roman"/>
                <w:b/>
                <w:color w:val="000000"/>
                <w:sz w:val="18"/>
                <w:szCs w:val="18"/>
                <w:lang w:val="en-US"/>
              </w:rPr>
              <w:t>Max</w:t>
            </w:r>
          </w:p>
        </w:tc>
        <w:tc>
          <w:tcPr>
            <w:tcW w:w="567" w:type="dxa"/>
            <w:tcBorders>
              <w:top w:val="single" w:sz="4" w:space="0" w:color="auto"/>
              <w:bottom w:val="single" w:sz="4" w:space="0" w:color="auto"/>
            </w:tcBorders>
            <w:noWrap/>
            <w:vAlign w:val="center"/>
          </w:tcPr>
          <w:p w14:paraId="3F27F70F" w14:textId="7B12C37D" w:rsidR="0099246F" w:rsidRPr="009634A6" w:rsidRDefault="0099246F" w:rsidP="000E701B">
            <w:pPr>
              <w:spacing w:line="240" w:lineRule="auto"/>
              <w:jc w:val="center"/>
              <w:rPr>
                <w:rFonts w:ascii="Times New Roman" w:hAnsi="Times New Roman" w:cs="Times New Roman"/>
                <w:b/>
                <w:color w:val="000000"/>
                <w:sz w:val="18"/>
                <w:szCs w:val="18"/>
                <w:lang w:val="en-US"/>
              </w:rPr>
            </w:pPr>
            <w:r w:rsidRPr="009634A6">
              <w:rPr>
                <w:rFonts w:ascii="Times New Roman" w:hAnsi="Times New Roman" w:cs="Times New Roman"/>
                <w:b/>
                <w:color w:val="000000"/>
                <w:sz w:val="18"/>
                <w:szCs w:val="18"/>
                <w:lang w:val="en-US"/>
              </w:rPr>
              <w:t>(1)</w:t>
            </w:r>
          </w:p>
        </w:tc>
        <w:tc>
          <w:tcPr>
            <w:tcW w:w="567" w:type="dxa"/>
            <w:tcBorders>
              <w:top w:val="single" w:sz="4" w:space="0" w:color="auto"/>
              <w:bottom w:val="single" w:sz="4" w:space="0" w:color="auto"/>
            </w:tcBorders>
            <w:noWrap/>
            <w:vAlign w:val="center"/>
          </w:tcPr>
          <w:p w14:paraId="7B3DC30D" w14:textId="77777777" w:rsidR="0099246F" w:rsidRPr="009634A6" w:rsidRDefault="0099246F" w:rsidP="000E701B">
            <w:pPr>
              <w:spacing w:line="240" w:lineRule="auto"/>
              <w:jc w:val="center"/>
              <w:rPr>
                <w:rFonts w:ascii="Times New Roman" w:hAnsi="Times New Roman" w:cs="Times New Roman"/>
                <w:b/>
                <w:color w:val="000000"/>
                <w:sz w:val="18"/>
                <w:szCs w:val="18"/>
                <w:lang w:val="en-US"/>
              </w:rPr>
            </w:pPr>
            <w:r w:rsidRPr="009634A6">
              <w:rPr>
                <w:rFonts w:ascii="Times New Roman" w:hAnsi="Times New Roman" w:cs="Times New Roman"/>
                <w:b/>
                <w:color w:val="000000"/>
                <w:sz w:val="18"/>
                <w:szCs w:val="18"/>
                <w:lang w:val="en-US"/>
              </w:rPr>
              <w:t>(2)</w:t>
            </w:r>
          </w:p>
        </w:tc>
        <w:tc>
          <w:tcPr>
            <w:tcW w:w="567" w:type="dxa"/>
            <w:tcBorders>
              <w:top w:val="single" w:sz="4" w:space="0" w:color="auto"/>
              <w:bottom w:val="single" w:sz="4" w:space="0" w:color="auto"/>
            </w:tcBorders>
            <w:noWrap/>
            <w:vAlign w:val="center"/>
          </w:tcPr>
          <w:p w14:paraId="0B70CA4E" w14:textId="77777777" w:rsidR="0099246F" w:rsidRPr="009634A6" w:rsidRDefault="0099246F" w:rsidP="000E701B">
            <w:pPr>
              <w:spacing w:line="240" w:lineRule="auto"/>
              <w:jc w:val="center"/>
              <w:rPr>
                <w:rFonts w:ascii="Times New Roman" w:hAnsi="Times New Roman" w:cs="Times New Roman"/>
                <w:b/>
                <w:color w:val="000000"/>
                <w:sz w:val="18"/>
                <w:szCs w:val="18"/>
                <w:lang w:val="en-US"/>
              </w:rPr>
            </w:pPr>
            <w:r w:rsidRPr="009634A6">
              <w:rPr>
                <w:rFonts w:ascii="Times New Roman" w:hAnsi="Times New Roman" w:cs="Times New Roman"/>
                <w:b/>
                <w:color w:val="000000"/>
                <w:sz w:val="18"/>
                <w:szCs w:val="18"/>
                <w:lang w:val="en-US"/>
              </w:rPr>
              <w:t>(3)</w:t>
            </w:r>
          </w:p>
        </w:tc>
        <w:tc>
          <w:tcPr>
            <w:tcW w:w="567" w:type="dxa"/>
            <w:tcBorders>
              <w:top w:val="single" w:sz="4" w:space="0" w:color="auto"/>
              <w:bottom w:val="single" w:sz="4" w:space="0" w:color="auto"/>
            </w:tcBorders>
            <w:noWrap/>
            <w:vAlign w:val="center"/>
          </w:tcPr>
          <w:p w14:paraId="010DBA21" w14:textId="77777777" w:rsidR="0099246F" w:rsidRPr="009634A6" w:rsidRDefault="0099246F" w:rsidP="000E701B">
            <w:pPr>
              <w:spacing w:line="240" w:lineRule="auto"/>
              <w:jc w:val="center"/>
              <w:rPr>
                <w:rFonts w:ascii="Times New Roman" w:hAnsi="Times New Roman" w:cs="Times New Roman"/>
                <w:b/>
                <w:color w:val="000000"/>
                <w:sz w:val="18"/>
                <w:szCs w:val="18"/>
                <w:lang w:val="en-US"/>
              </w:rPr>
            </w:pPr>
            <w:r w:rsidRPr="009634A6">
              <w:rPr>
                <w:rFonts w:ascii="Times New Roman" w:hAnsi="Times New Roman" w:cs="Times New Roman"/>
                <w:b/>
                <w:color w:val="000000"/>
                <w:sz w:val="18"/>
                <w:szCs w:val="18"/>
                <w:lang w:val="en-US"/>
              </w:rPr>
              <w:t>(4)</w:t>
            </w:r>
          </w:p>
        </w:tc>
        <w:tc>
          <w:tcPr>
            <w:tcW w:w="567" w:type="dxa"/>
            <w:tcBorders>
              <w:top w:val="single" w:sz="4" w:space="0" w:color="auto"/>
              <w:bottom w:val="single" w:sz="4" w:space="0" w:color="auto"/>
            </w:tcBorders>
            <w:noWrap/>
            <w:vAlign w:val="center"/>
          </w:tcPr>
          <w:p w14:paraId="06AA226A" w14:textId="77777777" w:rsidR="0099246F" w:rsidRPr="009634A6" w:rsidRDefault="0099246F" w:rsidP="000E701B">
            <w:pPr>
              <w:spacing w:line="240" w:lineRule="auto"/>
              <w:jc w:val="center"/>
              <w:rPr>
                <w:rFonts w:ascii="Times New Roman" w:hAnsi="Times New Roman" w:cs="Times New Roman"/>
                <w:b/>
                <w:color w:val="000000"/>
                <w:sz w:val="18"/>
                <w:szCs w:val="18"/>
                <w:lang w:val="en-US"/>
              </w:rPr>
            </w:pPr>
            <w:r w:rsidRPr="009634A6">
              <w:rPr>
                <w:rFonts w:ascii="Times New Roman" w:hAnsi="Times New Roman" w:cs="Times New Roman"/>
                <w:b/>
                <w:color w:val="000000"/>
                <w:sz w:val="18"/>
                <w:szCs w:val="18"/>
                <w:lang w:val="en-US"/>
              </w:rPr>
              <w:t>(5)</w:t>
            </w:r>
          </w:p>
        </w:tc>
        <w:tc>
          <w:tcPr>
            <w:tcW w:w="615" w:type="dxa"/>
            <w:tcBorders>
              <w:top w:val="single" w:sz="4" w:space="0" w:color="auto"/>
              <w:bottom w:val="single" w:sz="4" w:space="0" w:color="auto"/>
            </w:tcBorders>
            <w:noWrap/>
            <w:vAlign w:val="center"/>
          </w:tcPr>
          <w:p w14:paraId="47F6E63E" w14:textId="77777777" w:rsidR="0099246F" w:rsidRPr="009634A6" w:rsidRDefault="0099246F" w:rsidP="000E701B">
            <w:pPr>
              <w:spacing w:line="240" w:lineRule="auto"/>
              <w:jc w:val="center"/>
              <w:rPr>
                <w:rFonts w:ascii="Times New Roman" w:hAnsi="Times New Roman" w:cs="Times New Roman"/>
                <w:b/>
                <w:color w:val="000000"/>
                <w:sz w:val="18"/>
                <w:szCs w:val="18"/>
                <w:lang w:val="en-US"/>
              </w:rPr>
            </w:pPr>
            <w:r w:rsidRPr="009634A6">
              <w:rPr>
                <w:rFonts w:ascii="Times New Roman" w:hAnsi="Times New Roman" w:cs="Times New Roman"/>
                <w:b/>
                <w:color w:val="000000"/>
                <w:sz w:val="18"/>
                <w:szCs w:val="18"/>
                <w:lang w:val="en-US"/>
              </w:rPr>
              <w:t>(6)</w:t>
            </w:r>
          </w:p>
        </w:tc>
      </w:tr>
      <w:tr w:rsidR="0099246F" w:rsidRPr="009634A6" w14:paraId="19CD66D6" w14:textId="77777777" w:rsidTr="00616B11">
        <w:trPr>
          <w:trHeight w:hRule="exact" w:val="397"/>
        </w:trPr>
        <w:tc>
          <w:tcPr>
            <w:tcW w:w="2670" w:type="dxa"/>
            <w:tcBorders>
              <w:top w:val="single" w:sz="4" w:space="0" w:color="auto"/>
            </w:tcBorders>
            <w:vAlign w:val="center"/>
            <w:hideMark/>
          </w:tcPr>
          <w:p w14:paraId="31C50EB9" w14:textId="1F9A9A7E" w:rsidR="0099246F" w:rsidRPr="009634A6" w:rsidRDefault="0099246F" w:rsidP="000E701B">
            <w:pPr>
              <w:spacing w:line="24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 xml:space="preserve">(1) Likelihood to </w:t>
            </w:r>
            <w:r w:rsidR="00616B11">
              <w:rPr>
                <w:rFonts w:ascii="Times New Roman" w:hAnsi="Times New Roman" w:cs="Times New Roman"/>
                <w:color w:val="000000"/>
                <w:sz w:val="18"/>
                <w:szCs w:val="18"/>
                <w:lang w:val="en-US"/>
              </w:rPr>
              <w:t xml:space="preserve">stand up </w:t>
            </w:r>
            <w:r w:rsidRPr="009634A6">
              <w:rPr>
                <w:rFonts w:ascii="Times New Roman" w:hAnsi="Times New Roman" w:cs="Times New Roman"/>
                <w:color w:val="000000"/>
                <w:sz w:val="18"/>
                <w:szCs w:val="18"/>
                <w:lang w:val="en-US"/>
              </w:rPr>
              <w:t>(percent)</w:t>
            </w:r>
          </w:p>
        </w:tc>
        <w:tc>
          <w:tcPr>
            <w:tcW w:w="709" w:type="dxa"/>
            <w:tcBorders>
              <w:top w:val="single" w:sz="4" w:space="0" w:color="auto"/>
            </w:tcBorders>
            <w:vAlign w:val="center"/>
          </w:tcPr>
          <w:p w14:paraId="6FD294AA" w14:textId="77777777" w:rsidR="0099246F" w:rsidRPr="009634A6" w:rsidRDefault="0099246F" w:rsidP="000E701B">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66.393</w:t>
            </w:r>
          </w:p>
        </w:tc>
        <w:tc>
          <w:tcPr>
            <w:tcW w:w="708" w:type="dxa"/>
            <w:tcBorders>
              <w:top w:val="single" w:sz="4" w:space="0" w:color="auto"/>
            </w:tcBorders>
            <w:vAlign w:val="center"/>
          </w:tcPr>
          <w:p w14:paraId="7C9E2634" w14:textId="77777777" w:rsidR="0099246F" w:rsidRPr="009634A6" w:rsidRDefault="0099246F" w:rsidP="000E701B">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24.2915</w:t>
            </w:r>
          </w:p>
        </w:tc>
        <w:tc>
          <w:tcPr>
            <w:tcW w:w="567" w:type="dxa"/>
            <w:tcBorders>
              <w:top w:val="single" w:sz="4" w:space="0" w:color="auto"/>
            </w:tcBorders>
            <w:vAlign w:val="center"/>
          </w:tcPr>
          <w:p w14:paraId="4C4E29EC" w14:textId="10F9FE03" w:rsidR="0099246F" w:rsidRPr="009634A6" w:rsidRDefault="00274638" w:rsidP="0099246F">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w:t>
            </w:r>
          </w:p>
        </w:tc>
        <w:tc>
          <w:tcPr>
            <w:tcW w:w="567" w:type="dxa"/>
            <w:tcBorders>
              <w:top w:val="single" w:sz="4" w:space="0" w:color="auto"/>
            </w:tcBorders>
            <w:vAlign w:val="center"/>
          </w:tcPr>
          <w:p w14:paraId="5B43A88B" w14:textId="547710A8" w:rsidR="0099246F" w:rsidRPr="009634A6" w:rsidRDefault="00274638" w:rsidP="00274638">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100</w:t>
            </w:r>
          </w:p>
        </w:tc>
        <w:tc>
          <w:tcPr>
            <w:tcW w:w="567" w:type="dxa"/>
            <w:tcBorders>
              <w:top w:val="single" w:sz="4" w:space="0" w:color="auto"/>
            </w:tcBorders>
            <w:noWrap/>
            <w:vAlign w:val="center"/>
            <w:hideMark/>
          </w:tcPr>
          <w:p w14:paraId="5A2CA12F" w14:textId="23F72498"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w:t>
            </w:r>
          </w:p>
        </w:tc>
        <w:tc>
          <w:tcPr>
            <w:tcW w:w="567" w:type="dxa"/>
            <w:tcBorders>
              <w:top w:val="single" w:sz="4" w:space="0" w:color="auto"/>
            </w:tcBorders>
            <w:noWrap/>
            <w:vAlign w:val="center"/>
          </w:tcPr>
          <w:p w14:paraId="7D30717F" w14:textId="41CB25C7" w:rsidR="0099246F" w:rsidRPr="009634A6" w:rsidRDefault="0099246F" w:rsidP="00A41B2A">
            <w:pPr>
              <w:spacing w:line="240" w:lineRule="auto"/>
              <w:jc w:val="center"/>
              <w:rPr>
                <w:rFonts w:ascii="Times New Roman" w:hAnsi="Times New Roman" w:cs="Times New Roman"/>
                <w:color w:val="000000"/>
                <w:sz w:val="18"/>
                <w:szCs w:val="18"/>
                <w:lang w:val="en-US"/>
              </w:rPr>
            </w:pPr>
          </w:p>
        </w:tc>
        <w:tc>
          <w:tcPr>
            <w:tcW w:w="567" w:type="dxa"/>
            <w:tcBorders>
              <w:top w:val="single" w:sz="4" w:space="0" w:color="auto"/>
            </w:tcBorders>
            <w:noWrap/>
            <w:vAlign w:val="center"/>
          </w:tcPr>
          <w:p w14:paraId="467F04C8" w14:textId="262DB024" w:rsidR="0099246F" w:rsidRPr="009634A6" w:rsidRDefault="0099246F" w:rsidP="00A41B2A">
            <w:pPr>
              <w:spacing w:line="240" w:lineRule="auto"/>
              <w:jc w:val="center"/>
              <w:rPr>
                <w:rFonts w:ascii="Times New Roman" w:hAnsi="Times New Roman" w:cs="Times New Roman"/>
                <w:color w:val="000000"/>
                <w:sz w:val="18"/>
                <w:szCs w:val="18"/>
                <w:lang w:val="en-US"/>
              </w:rPr>
            </w:pPr>
          </w:p>
        </w:tc>
        <w:tc>
          <w:tcPr>
            <w:tcW w:w="567" w:type="dxa"/>
            <w:tcBorders>
              <w:top w:val="single" w:sz="4" w:space="0" w:color="auto"/>
            </w:tcBorders>
            <w:noWrap/>
            <w:vAlign w:val="center"/>
          </w:tcPr>
          <w:p w14:paraId="11E73903" w14:textId="06F9548F" w:rsidR="0099246F" w:rsidRPr="009634A6" w:rsidRDefault="0099246F" w:rsidP="00A41B2A">
            <w:pPr>
              <w:spacing w:line="240" w:lineRule="auto"/>
              <w:jc w:val="center"/>
              <w:rPr>
                <w:rFonts w:ascii="Times New Roman" w:hAnsi="Times New Roman" w:cs="Times New Roman"/>
                <w:color w:val="000000"/>
                <w:sz w:val="18"/>
                <w:szCs w:val="18"/>
                <w:lang w:val="en-US"/>
              </w:rPr>
            </w:pPr>
          </w:p>
        </w:tc>
        <w:tc>
          <w:tcPr>
            <w:tcW w:w="567" w:type="dxa"/>
            <w:tcBorders>
              <w:top w:val="single" w:sz="4" w:space="0" w:color="auto"/>
            </w:tcBorders>
            <w:noWrap/>
            <w:vAlign w:val="center"/>
          </w:tcPr>
          <w:p w14:paraId="6E82DF16" w14:textId="3C619762" w:rsidR="0099246F" w:rsidRPr="009634A6" w:rsidRDefault="0099246F" w:rsidP="00A41B2A">
            <w:pPr>
              <w:spacing w:line="240" w:lineRule="auto"/>
              <w:jc w:val="center"/>
              <w:rPr>
                <w:rFonts w:ascii="Times New Roman" w:hAnsi="Times New Roman" w:cs="Times New Roman"/>
                <w:color w:val="000000"/>
                <w:sz w:val="18"/>
                <w:szCs w:val="18"/>
                <w:lang w:val="en-US"/>
              </w:rPr>
            </w:pPr>
          </w:p>
        </w:tc>
        <w:tc>
          <w:tcPr>
            <w:tcW w:w="615" w:type="dxa"/>
            <w:tcBorders>
              <w:top w:val="single" w:sz="4" w:space="0" w:color="auto"/>
            </w:tcBorders>
            <w:noWrap/>
            <w:vAlign w:val="center"/>
          </w:tcPr>
          <w:p w14:paraId="2DB53545" w14:textId="6CDB83F1" w:rsidR="0099246F" w:rsidRPr="009634A6" w:rsidRDefault="0099246F" w:rsidP="00A41B2A">
            <w:pPr>
              <w:spacing w:line="240" w:lineRule="auto"/>
              <w:jc w:val="center"/>
              <w:rPr>
                <w:rFonts w:ascii="Times New Roman" w:hAnsi="Times New Roman" w:cs="Times New Roman"/>
                <w:color w:val="000000"/>
                <w:sz w:val="18"/>
                <w:szCs w:val="18"/>
                <w:lang w:val="en-US"/>
              </w:rPr>
            </w:pPr>
          </w:p>
        </w:tc>
      </w:tr>
      <w:tr w:rsidR="0099246F" w:rsidRPr="009634A6" w14:paraId="6BB96D10" w14:textId="77777777" w:rsidTr="00616B11">
        <w:trPr>
          <w:trHeight w:hRule="exact" w:val="397"/>
        </w:trPr>
        <w:tc>
          <w:tcPr>
            <w:tcW w:w="2670" w:type="dxa"/>
            <w:vAlign w:val="center"/>
            <w:hideMark/>
          </w:tcPr>
          <w:p w14:paraId="77EEDB4F" w14:textId="77777777" w:rsidR="0099246F" w:rsidRPr="009634A6" w:rsidRDefault="0099246F" w:rsidP="000E701B">
            <w:pPr>
              <w:spacing w:line="24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(2) Big 4 (dummy)</w:t>
            </w:r>
          </w:p>
        </w:tc>
        <w:tc>
          <w:tcPr>
            <w:tcW w:w="709" w:type="dxa"/>
            <w:vAlign w:val="center"/>
          </w:tcPr>
          <w:p w14:paraId="21604F0D" w14:textId="77777777" w:rsidR="0099246F" w:rsidRPr="009634A6" w:rsidRDefault="0099246F" w:rsidP="000E701B">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.725</w:t>
            </w:r>
          </w:p>
        </w:tc>
        <w:tc>
          <w:tcPr>
            <w:tcW w:w="708" w:type="dxa"/>
            <w:vAlign w:val="center"/>
          </w:tcPr>
          <w:p w14:paraId="06C56830" w14:textId="77777777" w:rsidR="0099246F" w:rsidRPr="009634A6" w:rsidRDefault="0099246F" w:rsidP="000E701B">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.4913</w:t>
            </w:r>
          </w:p>
        </w:tc>
        <w:tc>
          <w:tcPr>
            <w:tcW w:w="567" w:type="dxa"/>
            <w:vAlign w:val="center"/>
          </w:tcPr>
          <w:p w14:paraId="58460724" w14:textId="0C54BD39" w:rsidR="0099246F" w:rsidRPr="009634A6" w:rsidRDefault="0099246F" w:rsidP="0099246F">
            <w:pPr>
              <w:spacing w:line="240" w:lineRule="auto"/>
              <w:jc w:val="center"/>
              <w:rPr>
                <w:rFonts w:ascii="Times New Roman" w:hAnsi="Times New Roman" w:cs="Times New Roman"/>
                <w:color w:val="000000"/>
                <w:sz w:val="18"/>
                <w:szCs w:val="18"/>
                <w:lang w:val="en-US"/>
              </w:rPr>
            </w:pPr>
          </w:p>
        </w:tc>
        <w:tc>
          <w:tcPr>
            <w:tcW w:w="567" w:type="dxa"/>
            <w:vAlign w:val="center"/>
          </w:tcPr>
          <w:p w14:paraId="6BEBB4E8" w14:textId="07DEE06F" w:rsidR="0099246F" w:rsidRPr="009634A6" w:rsidRDefault="0099246F" w:rsidP="00274638">
            <w:pPr>
              <w:spacing w:line="240" w:lineRule="auto"/>
              <w:jc w:val="center"/>
              <w:rPr>
                <w:rFonts w:ascii="Times New Roman" w:hAnsi="Times New Roman" w:cs="Times New Roman"/>
                <w:color w:val="000000"/>
                <w:sz w:val="18"/>
                <w:szCs w:val="18"/>
                <w:lang w:val="en-US"/>
              </w:rPr>
            </w:pPr>
          </w:p>
        </w:tc>
        <w:tc>
          <w:tcPr>
            <w:tcW w:w="567" w:type="dxa"/>
            <w:noWrap/>
            <w:vAlign w:val="center"/>
            <w:hideMark/>
          </w:tcPr>
          <w:p w14:paraId="5E3AB155" w14:textId="4DA5C7B8"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-.101</w:t>
            </w:r>
          </w:p>
        </w:tc>
        <w:tc>
          <w:tcPr>
            <w:tcW w:w="567" w:type="dxa"/>
            <w:noWrap/>
            <w:vAlign w:val="center"/>
            <w:hideMark/>
          </w:tcPr>
          <w:p w14:paraId="0CB1F70E" w14:textId="74CA85AD"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w:t>
            </w:r>
          </w:p>
        </w:tc>
        <w:tc>
          <w:tcPr>
            <w:tcW w:w="567" w:type="dxa"/>
            <w:noWrap/>
            <w:vAlign w:val="center"/>
          </w:tcPr>
          <w:p w14:paraId="225F7A27" w14:textId="494F8689" w:rsidR="0099246F" w:rsidRPr="009634A6" w:rsidRDefault="0099246F" w:rsidP="00A41B2A">
            <w:pPr>
              <w:spacing w:line="240" w:lineRule="auto"/>
              <w:jc w:val="center"/>
              <w:rPr>
                <w:rFonts w:ascii="Times New Roman" w:hAnsi="Times New Roman" w:cs="Times New Roman"/>
                <w:color w:val="000000"/>
                <w:sz w:val="18"/>
                <w:szCs w:val="18"/>
                <w:lang w:val="en-US"/>
              </w:rPr>
            </w:pPr>
          </w:p>
        </w:tc>
        <w:tc>
          <w:tcPr>
            <w:tcW w:w="567" w:type="dxa"/>
            <w:noWrap/>
            <w:vAlign w:val="center"/>
          </w:tcPr>
          <w:p w14:paraId="43DDE822" w14:textId="791F8573" w:rsidR="0099246F" w:rsidRPr="009634A6" w:rsidRDefault="0099246F" w:rsidP="00A41B2A">
            <w:pPr>
              <w:spacing w:line="240" w:lineRule="auto"/>
              <w:jc w:val="center"/>
              <w:rPr>
                <w:rFonts w:ascii="Times New Roman" w:hAnsi="Times New Roman" w:cs="Times New Roman"/>
                <w:color w:val="000000"/>
                <w:sz w:val="18"/>
                <w:szCs w:val="18"/>
                <w:lang w:val="en-US"/>
              </w:rPr>
            </w:pPr>
          </w:p>
        </w:tc>
        <w:tc>
          <w:tcPr>
            <w:tcW w:w="567" w:type="dxa"/>
            <w:noWrap/>
            <w:vAlign w:val="center"/>
          </w:tcPr>
          <w:p w14:paraId="331F4282" w14:textId="0AC66BBA" w:rsidR="0099246F" w:rsidRPr="009634A6" w:rsidRDefault="0099246F" w:rsidP="00A41B2A">
            <w:pPr>
              <w:spacing w:line="240" w:lineRule="auto"/>
              <w:jc w:val="center"/>
              <w:rPr>
                <w:rFonts w:ascii="Times New Roman" w:hAnsi="Times New Roman" w:cs="Times New Roman"/>
                <w:color w:val="000000"/>
                <w:sz w:val="18"/>
                <w:szCs w:val="18"/>
                <w:lang w:val="en-US"/>
              </w:rPr>
            </w:pPr>
          </w:p>
        </w:tc>
        <w:tc>
          <w:tcPr>
            <w:tcW w:w="615" w:type="dxa"/>
            <w:noWrap/>
            <w:vAlign w:val="center"/>
          </w:tcPr>
          <w:p w14:paraId="51474D1E" w14:textId="29750ED3" w:rsidR="0099246F" w:rsidRPr="009634A6" w:rsidRDefault="0099246F" w:rsidP="00A41B2A">
            <w:pPr>
              <w:spacing w:line="240" w:lineRule="auto"/>
              <w:jc w:val="center"/>
              <w:rPr>
                <w:rFonts w:ascii="Times New Roman" w:hAnsi="Times New Roman" w:cs="Times New Roman"/>
                <w:color w:val="000000"/>
                <w:sz w:val="18"/>
                <w:szCs w:val="18"/>
                <w:lang w:val="en-US"/>
              </w:rPr>
            </w:pPr>
          </w:p>
        </w:tc>
      </w:tr>
      <w:tr w:rsidR="0099246F" w:rsidRPr="009634A6" w14:paraId="47B0810B" w14:textId="77777777" w:rsidTr="00616B11">
        <w:trPr>
          <w:trHeight w:hRule="exact" w:val="397"/>
        </w:trPr>
        <w:tc>
          <w:tcPr>
            <w:tcW w:w="2670" w:type="dxa"/>
            <w:vAlign w:val="center"/>
            <w:hideMark/>
          </w:tcPr>
          <w:p w14:paraId="4399E9A9" w14:textId="77777777" w:rsidR="0099246F" w:rsidRPr="009634A6" w:rsidRDefault="0099246F" w:rsidP="000E701B">
            <w:pPr>
              <w:spacing w:line="24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(3) Male (dummy)</w:t>
            </w:r>
          </w:p>
        </w:tc>
        <w:tc>
          <w:tcPr>
            <w:tcW w:w="709" w:type="dxa"/>
            <w:vAlign w:val="center"/>
          </w:tcPr>
          <w:p w14:paraId="02A5D323" w14:textId="77777777" w:rsidR="0099246F" w:rsidRPr="009634A6" w:rsidRDefault="0099246F" w:rsidP="000E701B">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.624</w:t>
            </w:r>
          </w:p>
        </w:tc>
        <w:tc>
          <w:tcPr>
            <w:tcW w:w="708" w:type="dxa"/>
            <w:vAlign w:val="center"/>
          </w:tcPr>
          <w:p w14:paraId="2EA197EB" w14:textId="77777777" w:rsidR="0099246F" w:rsidRPr="009634A6" w:rsidRDefault="0099246F" w:rsidP="000E701B">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.486</w:t>
            </w:r>
          </w:p>
        </w:tc>
        <w:tc>
          <w:tcPr>
            <w:tcW w:w="567" w:type="dxa"/>
            <w:vAlign w:val="center"/>
          </w:tcPr>
          <w:p w14:paraId="65415EF7" w14:textId="58BD9701" w:rsidR="0099246F" w:rsidRPr="009634A6" w:rsidRDefault="0099246F" w:rsidP="0099246F">
            <w:pPr>
              <w:spacing w:line="240" w:lineRule="auto"/>
              <w:jc w:val="center"/>
              <w:rPr>
                <w:rFonts w:ascii="Times New Roman" w:hAnsi="Times New Roman" w:cs="Times New Roman"/>
                <w:color w:val="000000"/>
                <w:sz w:val="18"/>
                <w:szCs w:val="18"/>
                <w:lang w:val="en-US"/>
              </w:rPr>
            </w:pPr>
          </w:p>
        </w:tc>
        <w:tc>
          <w:tcPr>
            <w:tcW w:w="567" w:type="dxa"/>
            <w:vAlign w:val="center"/>
          </w:tcPr>
          <w:p w14:paraId="1EE7AA66" w14:textId="29EBDE58" w:rsidR="0099246F" w:rsidRPr="009634A6" w:rsidRDefault="0099246F" w:rsidP="00274638">
            <w:pPr>
              <w:spacing w:line="240" w:lineRule="auto"/>
              <w:jc w:val="center"/>
              <w:rPr>
                <w:rFonts w:ascii="Times New Roman" w:hAnsi="Times New Roman" w:cs="Times New Roman"/>
                <w:color w:val="000000"/>
                <w:sz w:val="18"/>
                <w:szCs w:val="18"/>
                <w:lang w:val="en-US"/>
              </w:rPr>
            </w:pPr>
          </w:p>
        </w:tc>
        <w:tc>
          <w:tcPr>
            <w:tcW w:w="567" w:type="dxa"/>
            <w:noWrap/>
            <w:vAlign w:val="center"/>
            <w:hideMark/>
          </w:tcPr>
          <w:p w14:paraId="084DE0AD" w14:textId="4C882B08"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.076</w:t>
            </w:r>
          </w:p>
        </w:tc>
        <w:tc>
          <w:tcPr>
            <w:tcW w:w="567" w:type="dxa"/>
            <w:noWrap/>
            <w:vAlign w:val="center"/>
            <w:hideMark/>
          </w:tcPr>
          <w:p w14:paraId="2EB11036" w14:textId="57681521"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-.181</w:t>
            </w:r>
          </w:p>
        </w:tc>
        <w:tc>
          <w:tcPr>
            <w:tcW w:w="567" w:type="dxa"/>
            <w:noWrap/>
            <w:vAlign w:val="center"/>
            <w:hideMark/>
          </w:tcPr>
          <w:p w14:paraId="59C7A668" w14:textId="092CD9BB"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w:t>
            </w:r>
          </w:p>
        </w:tc>
        <w:tc>
          <w:tcPr>
            <w:tcW w:w="567" w:type="dxa"/>
            <w:noWrap/>
            <w:vAlign w:val="center"/>
          </w:tcPr>
          <w:p w14:paraId="5B47C5DC" w14:textId="34638CF5" w:rsidR="0099246F" w:rsidRPr="009634A6" w:rsidRDefault="0099246F" w:rsidP="00A41B2A">
            <w:pPr>
              <w:spacing w:line="240" w:lineRule="auto"/>
              <w:jc w:val="center"/>
              <w:rPr>
                <w:rFonts w:ascii="Times New Roman" w:hAnsi="Times New Roman" w:cs="Times New Roman"/>
                <w:color w:val="000000"/>
                <w:sz w:val="18"/>
                <w:szCs w:val="18"/>
                <w:lang w:val="en-US"/>
              </w:rPr>
            </w:pPr>
          </w:p>
        </w:tc>
        <w:tc>
          <w:tcPr>
            <w:tcW w:w="567" w:type="dxa"/>
            <w:noWrap/>
            <w:vAlign w:val="center"/>
          </w:tcPr>
          <w:p w14:paraId="6B7E8035" w14:textId="2AFFDA39" w:rsidR="0099246F" w:rsidRPr="009634A6" w:rsidRDefault="0099246F" w:rsidP="00A41B2A">
            <w:pPr>
              <w:spacing w:line="240" w:lineRule="auto"/>
              <w:jc w:val="center"/>
              <w:rPr>
                <w:rFonts w:ascii="Times New Roman" w:hAnsi="Times New Roman" w:cs="Times New Roman"/>
                <w:color w:val="000000"/>
                <w:sz w:val="18"/>
                <w:szCs w:val="18"/>
                <w:lang w:val="en-US"/>
              </w:rPr>
            </w:pPr>
          </w:p>
        </w:tc>
        <w:tc>
          <w:tcPr>
            <w:tcW w:w="615" w:type="dxa"/>
            <w:noWrap/>
            <w:vAlign w:val="center"/>
          </w:tcPr>
          <w:p w14:paraId="6F0951AF" w14:textId="0AE9160E" w:rsidR="0099246F" w:rsidRPr="009634A6" w:rsidRDefault="0099246F" w:rsidP="00A41B2A">
            <w:pPr>
              <w:spacing w:line="240" w:lineRule="auto"/>
              <w:jc w:val="center"/>
              <w:rPr>
                <w:rFonts w:ascii="Times New Roman" w:hAnsi="Times New Roman" w:cs="Times New Roman"/>
                <w:color w:val="000000"/>
                <w:sz w:val="18"/>
                <w:szCs w:val="18"/>
                <w:lang w:val="en-US"/>
              </w:rPr>
            </w:pPr>
          </w:p>
        </w:tc>
      </w:tr>
      <w:tr w:rsidR="0099246F" w:rsidRPr="009634A6" w14:paraId="491ACA73" w14:textId="77777777" w:rsidTr="00616B11">
        <w:trPr>
          <w:trHeight w:hRule="exact" w:val="397"/>
        </w:trPr>
        <w:tc>
          <w:tcPr>
            <w:tcW w:w="2670" w:type="dxa"/>
            <w:vAlign w:val="center"/>
            <w:hideMark/>
          </w:tcPr>
          <w:p w14:paraId="59534EAC" w14:textId="77777777" w:rsidR="0099246F" w:rsidRPr="009634A6" w:rsidRDefault="0099246F" w:rsidP="000E701B">
            <w:pPr>
              <w:spacing w:line="24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(4) Tenure auditor (years)</w:t>
            </w:r>
          </w:p>
        </w:tc>
        <w:tc>
          <w:tcPr>
            <w:tcW w:w="709" w:type="dxa"/>
            <w:vAlign w:val="center"/>
          </w:tcPr>
          <w:p w14:paraId="6BFE07DB" w14:textId="1E90623C" w:rsidR="0099246F" w:rsidRPr="009634A6" w:rsidRDefault="0099246F" w:rsidP="000E701B">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12.420</w:t>
            </w:r>
          </w:p>
        </w:tc>
        <w:tc>
          <w:tcPr>
            <w:tcW w:w="708" w:type="dxa"/>
            <w:vAlign w:val="center"/>
          </w:tcPr>
          <w:p w14:paraId="0B804191" w14:textId="7EACBB7C"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12.023</w:t>
            </w:r>
          </w:p>
        </w:tc>
        <w:tc>
          <w:tcPr>
            <w:tcW w:w="567" w:type="dxa"/>
            <w:vAlign w:val="center"/>
          </w:tcPr>
          <w:p w14:paraId="4CDFCEFF" w14:textId="5393610F" w:rsidR="0099246F" w:rsidRPr="009634A6" w:rsidRDefault="00274638" w:rsidP="0099246F">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w:t>
            </w:r>
          </w:p>
        </w:tc>
        <w:tc>
          <w:tcPr>
            <w:tcW w:w="567" w:type="dxa"/>
            <w:vAlign w:val="center"/>
          </w:tcPr>
          <w:p w14:paraId="4113F6CF" w14:textId="7C56F4AD" w:rsidR="0099246F" w:rsidRPr="009634A6" w:rsidRDefault="00274638" w:rsidP="00274638">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56</w:t>
            </w:r>
          </w:p>
        </w:tc>
        <w:tc>
          <w:tcPr>
            <w:tcW w:w="567" w:type="dxa"/>
            <w:noWrap/>
            <w:vAlign w:val="center"/>
            <w:hideMark/>
          </w:tcPr>
          <w:p w14:paraId="52600575" w14:textId="3880D263"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.446</w:t>
            </w:r>
          </w:p>
        </w:tc>
        <w:tc>
          <w:tcPr>
            <w:tcW w:w="567" w:type="dxa"/>
            <w:noWrap/>
            <w:vAlign w:val="center"/>
            <w:hideMark/>
          </w:tcPr>
          <w:p w14:paraId="48BE32AB" w14:textId="0AAAAA90"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-.165</w:t>
            </w:r>
          </w:p>
        </w:tc>
        <w:tc>
          <w:tcPr>
            <w:tcW w:w="567" w:type="dxa"/>
            <w:noWrap/>
            <w:vAlign w:val="center"/>
            <w:hideMark/>
          </w:tcPr>
          <w:p w14:paraId="43AAA9CE" w14:textId="424000D7"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.294</w:t>
            </w:r>
          </w:p>
        </w:tc>
        <w:tc>
          <w:tcPr>
            <w:tcW w:w="567" w:type="dxa"/>
            <w:noWrap/>
            <w:vAlign w:val="center"/>
            <w:hideMark/>
          </w:tcPr>
          <w:p w14:paraId="05411BF5" w14:textId="4FFCDC1E"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w:t>
            </w:r>
          </w:p>
        </w:tc>
        <w:tc>
          <w:tcPr>
            <w:tcW w:w="567" w:type="dxa"/>
            <w:noWrap/>
            <w:vAlign w:val="center"/>
          </w:tcPr>
          <w:p w14:paraId="2DDA2A7F" w14:textId="696A2ACA" w:rsidR="0099246F" w:rsidRPr="009634A6" w:rsidRDefault="0099246F" w:rsidP="00A41B2A">
            <w:pPr>
              <w:spacing w:line="240" w:lineRule="auto"/>
              <w:jc w:val="center"/>
              <w:rPr>
                <w:rFonts w:ascii="Times New Roman" w:hAnsi="Times New Roman" w:cs="Times New Roman"/>
                <w:color w:val="000000"/>
                <w:sz w:val="18"/>
                <w:szCs w:val="18"/>
                <w:lang w:val="en-US"/>
              </w:rPr>
            </w:pPr>
          </w:p>
        </w:tc>
        <w:tc>
          <w:tcPr>
            <w:tcW w:w="615" w:type="dxa"/>
            <w:noWrap/>
            <w:vAlign w:val="center"/>
          </w:tcPr>
          <w:p w14:paraId="259D0F39" w14:textId="6A235B15" w:rsidR="0099246F" w:rsidRPr="009634A6" w:rsidRDefault="0099246F" w:rsidP="00A41B2A">
            <w:pPr>
              <w:spacing w:line="240" w:lineRule="auto"/>
              <w:jc w:val="center"/>
              <w:rPr>
                <w:rFonts w:ascii="Times New Roman" w:hAnsi="Times New Roman" w:cs="Times New Roman"/>
                <w:color w:val="000000"/>
                <w:sz w:val="18"/>
                <w:szCs w:val="18"/>
                <w:lang w:val="en-US"/>
              </w:rPr>
            </w:pPr>
          </w:p>
        </w:tc>
      </w:tr>
      <w:tr w:rsidR="0099246F" w:rsidRPr="009634A6" w14:paraId="0ABEF09F" w14:textId="77777777" w:rsidTr="00616B11">
        <w:trPr>
          <w:trHeight w:hRule="exact" w:val="397"/>
        </w:trPr>
        <w:tc>
          <w:tcPr>
            <w:tcW w:w="2670" w:type="dxa"/>
            <w:vAlign w:val="center"/>
            <w:hideMark/>
          </w:tcPr>
          <w:p w14:paraId="23D57752" w14:textId="77777777" w:rsidR="0099246F" w:rsidRPr="009634A6" w:rsidRDefault="0099246F" w:rsidP="000E701B">
            <w:pPr>
              <w:spacing w:line="24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(5) Competence trust (dummy)</w:t>
            </w:r>
          </w:p>
        </w:tc>
        <w:tc>
          <w:tcPr>
            <w:tcW w:w="709" w:type="dxa"/>
            <w:vAlign w:val="center"/>
          </w:tcPr>
          <w:p w14:paraId="4F4F3A96" w14:textId="77777777" w:rsidR="0099246F" w:rsidRPr="009634A6" w:rsidRDefault="0099246F" w:rsidP="000E701B">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.524</w:t>
            </w:r>
          </w:p>
        </w:tc>
        <w:tc>
          <w:tcPr>
            <w:tcW w:w="708" w:type="dxa"/>
            <w:vAlign w:val="center"/>
          </w:tcPr>
          <w:p w14:paraId="2D87765E" w14:textId="77777777" w:rsidR="0099246F" w:rsidRPr="009634A6" w:rsidRDefault="0099246F" w:rsidP="000E701B">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.5011</w:t>
            </w:r>
          </w:p>
        </w:tc>
        <w:tc>
          <w:tcPr>
            <w:tcW w:w="567" w:type="dxa"/>
            <w:vAlign w:val="center"/>
          </w:tcPr>
          <w:p w14:paraId="5B1C9982" w14:textId="2EF57F98" w:rsidR="0099246F" w:rsidRPr="009634A6" w:rsidRDefault="0099246F" w:rsidP="0099246F">
            <w:pPr>
              <w:spacing w:line="240" w:lineRule="auto"/>
              <w:jc w:val="center"/>
              <w:rPr>
                <w:rFonts w:ascii="Times New Roman" w:hAnsi="Times New Roman" w:cs="Times New Roman"/>
                <w:color w:val="000000"/>
                <w:sz w:val="18"/>
                <w:szCs w:val="18"/>
                <w:lang w:val="en-US"/>
              </w:rPr>
            </w:pPr>
          </w:p>
        </w:tc>
        <w:tc>
          <w:tcPr>
            <w:tcW w:w="567" w:type="dxa"/>
            <w:vAlign w:val="center"/>
          </w:tcPr>
          <w:p w14:paraId="59A239FD" w14:textId="77777777" w:rsidR="0099246F" w:rsidRPr="009634A6" w:rsidRDefault="0099246F" w:rsidP="00274638">
            <w:pPr>
              <w:spacing w:line="240" w:lineRule="auto"/>
              <w:jc w:val="center"/>
              <w:rPr>
                <w:rFonts w:ascii="Times New Roman" w:hAnsi="Times New Roman" w:cs="Times New Roman"/>
                <w:color w:val="000000"/>
                <w:sz w:val="18"/>
                <w:szCs w:val="18"/>
                <w:lang w:val="en-US"/>
              </w:rPr>
            </w:pPr>
          </w:p>
        </w:tc>
        <w:tc>
          <w:tcPr>
            <w:tcW w:w="567" w:type="dxa"/>
            <w:noWrap/>
            <w:vAlign w:val="center"/>
            <w:hideMark/>
          </w:tcPr>
          <w:p w14:paraId="40D4C0E0" w14:textId="35F02AAF"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-.170</w:t>
            </w:r>
          </w:p>
        </w:tc>
        <w:tc>
          <w:tcPr>
            <w:tcW w:w="567" w:type="dxa"/>
            <w:noWrap/>
            <w:vAlign w:val="center"/>
            <w:hideMark/>
          </w:tcPr>
          <w:p w14:paraId="3CF82B37" w14:textId="5D842D74"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.150</w:t>
            </w:r>
          </w:p>
        </w:tc>
        <w:tc>
          <w:tcPr>
            <w:tcW w:w="567" w:type="dxa"/>
            <w:noWrap/>
            <w:vAlign w:val="center"/>
            <w:hideMark/>
          </w:tcPr>
          <w:p w14:paraId="179EAEA8" w14:textId="0BC71B1F"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.092</w:t>
            </w:r>
          </w:p>
        </w:tc>
        <w:tc>
          <w:tcPr>
            <w:tcW w:w="567" w:type="dxa"/>
            <w:noWrap/>
            <w:vAlign w:val="center"/>
            <w:hideMark/>
          </w:tcPr>
          <w:p w14:paraId="3D9F160F" w14:textId="650043E5"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-.018</w:t>
            </w:r>
          </w:p>
        </w:tc>
        <w:tc>
          <w:tcPr>
            <w:tcW w:w="567" w:type="dxa"/>
            <w:noWrap/>
            <w:vAlign w:val="center"/>
            <w:hideMark/>
          </w:tcPr>
          <w:p w14:paraId="1B1E0BAD" w14:textId="4C874619"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w:t>
            </w:r>
          </w:p>
        </w:tc>
        <w:tc>
          <w:tcPr>
            <w:tcW w:w="615" w:type="dxa"/>
            <w:noWrap/>
            <w:vAlign w:val="center"/>
          </w:tcPr>
          <w:p w14:paraId="6AB2B799" w14:textId="28F87262" w:rsidR="0099246F" w:rsidRPr="009634A6" w:rsidRDefault="0099246F" w:rsidP="00A41B2A">
            <w:pPr>
              <w:spacing w:line="240" w:lineRule="auto"/>
              <w:jc w:val="center"/>
              <w:rPr>
                <w:rFonts w:ascii="Times New Roman" w:hAnsi="Times New Roman" w:cs="Times New Roman"/>
                <w:color w:val="000000"/>
                <w:sz w:val="18"/>
                <w:szCs w:val="18"/>
                <w:lang w:val="en-US"/>
              </w:rPr>
            </w:pPr>
          </w:p>
        </w:tc>
      </w:tr>
      <w:tr w:rsidR="0099246F" w:rsidRPr="009634A6" w14:paraId="5D60AA6B" w14:textId="77777777" w:rsidTr="00616B11">
        <w:trPr>
          <w:trHeight w:hRule="exact" w:val="397"/>
        </w:trPr>
        <w:tc>
          <w:tcPr>
            <w:tcW w:w="2670" w:type="dxa"/>
            <w:tcBorders>
              <w:bottom w:val="single" w:sz="4" w:space="0" w:color="auto"/>
            </w:tcBorders>
            <w:vAlign w:val="center"/>
            <w:hideMark/>
          </w:tcPr>
          <w:p w14:paraId="5A21B1EB" w14:textId="77777777" w:rsidR="0099246F" w:rsidRPr="009634A6" w:rsidRDefault="0099246F" w:rsidP="000E701B">
            <w:pPr>
              <w:spacing w:line="24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(6) Goodwill trust (dummy)</w:t>
            </w:r>
          </w:p>
        </w:tc>
        <w:tc>
          <w:tcPr>
            <w:tcW w:w="709" w:type="dxa"/>
            <w:tcBorders>
              <w:bottom w:val="single" w:sz="4" w:space="0" w:color="auto"/>
            </w:tcBorders>
            <w:vAlign w:val="center"/>
          </w:tcPr>
          <w:p w14:paraId="59B35A03" w14:textId="77777777" w:rsidR="0099246F" w:rsidRPr="009634A6" w:rsidRDefault="0099246F" w:rsidP="000E701B">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.497</w:t>
            </w:r>
          </w:p>
        </w:tc>
        <w:tc>
          <w:tcPr>
            <w:tcW w:w="708" w:type="dxa"/>
            <w:tcBorders>
              <w:bottom w:val="single" w:sz="4" w:space="0" w:color="auto"/>
            </w:tcBorders>
            <w:vAlign w:val="center"/>
          </w:tcPr>
          <w:p w14:paraId="50911688" w14:textId="77777777" w:rsidR="0099246F" w:rsidRPr="009634A6" w:rsidRDefault="0099246F" w:rsidP="000E701B">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.5017</w:t>
            </w:r>
          </w:p>
        </w:tc>
        <w:tc>
          <w:tcPr>
            <w:tcW w:w="567" w:type="dxa"/>
            <w:tcBorders>
              <w:bottom w:val="single" w:sz="4" w:space="0" w:color="auto"/>
            </w:tcBorders>
            <w:vAlign w:val="center"/>
          </w:tcPr>
          <w:p w14:paraId="0F9622B2" w14:textId="1B2CAFAE" w:rsidR="0099246F" w:rsidRPr="009634A6" w:rsidRDefault="0099246F" w:rsidP="0099246F">
            <w:pPr>
              <w:spacing w:line="240" w:lineRule="auto"/>
              <w:jc w:val="center"/>
              <w:rPr>
                <w:rFonts w:ascii="Times New Roman" w:hAnsi="Times New Roman" w:cs="Times New Roman"/>
                <w:color w:val="000000"/>
                <w:sz w:val="18"/>
                <w:szCs w:val="18"/>
                <w:lang w:val="en-US"/>
              </w:rPr>
            </w:pPr>
          </w:p>
        </w:tc>
        <w:tc>
          <w:tcPr>
            <w:tcW w:w="567" w:type="dxa"/>
            <w:tcBorders>
              <w:bottom w:val="single" w:sz="4" w:space="0" w:color="auto"/>
            </w:tcBorders>
            <w:vAlign w:val="center"/>
          </w:tcPr>
          <w:p w14:paraId="32C37B1E" w14:textId="77777777" w:rsidR="0099246F" w:rsidRPr="009634A6" w:rsidRDefault="0099246F" w:rsidP="00274638">
            <w:pPr>
              <w:spacing w:line="240" w:lineRule="auto"/>
              <w:jc w:val="center"/>
              <w:rPr>
                <w:rFonts w:ascii="Times New Roman" w:hAnsi="Times New Roman" w:cs="Times New Roman"/>
                <w:color w:val="000000"/>
                <w:sz w:val="18"/>
                <w:szCs w:val="18"/>
                <w:lang w:val="en-US"/>
              </w:rPr>
            </w:pPr>
          </w:p>
        </w:tc>
        <w:tc>
          <w:tcPr>
            <w:tcW w:w="567" w:type="dxa"/>
            <w:tcBorders>
              <w:bottom w:val="single" w:sz="4" w:space="0" w:color="auto"/>
            </w:tcBorders>
            <w:noWrap/>
            <w:vAlign w:val="center"/>
            <w:hideMark/>
          </w:tcPr>
          <w:p w14:paraId="691A3965" w14:textId="3F978483"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-.073</w:t>
            </w:r>
          </w:p>
        </w:tc>
        <w:tc>
          <w:tcPr>
            <w:tcW w:w="567" w:type="dxa"/>
            <w:tcBorders>
              <w:bottom w:val="single" w:sz="4" w:space="0" w:color="auto"/>
            </w:tcBorders>
            <w:noWrap/>
            <w:vAlign w:val="center"/>
            <w:hideMark/>
          </w:tcPr>
          <w:p w14:paraId="2E18B74D" w14:textId="117690CB"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-.017</w:t>
            </w:r>
          </w:p>
        </w:tc>
        <w:tc>
          <w:tcPr>
            <w:tcW w:w="567" w:type="dxa"/>
            <w:tcBorders>
              <w:bottom w:val="single" w:sz="4" w:space="0" w:color="auto"/>
            </w:tcBorders>
            <w:noWrap/>
            <w:vAlign w:val="center"/>
            <w:hideMark/>
          </w:tcPr>
          <w:p w14:paraId="053CD620" w14:textId="10309ED4"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-.144</w:t>
            </w:r>
          </w:p>
        </w:tc>
        <w:tc>
          <w:tcPr>
            <w:tcW w:w="567" w:type="dxa"/>
            <w:tcBorders>
              <w:bottom w:val="single" w:sz="4" w:space="0" w:color="auto"/>
            </w:tcBorders>
            <w:noWrap/>
            <w:vAlign w:val="center"/>
            <w:hideMark/>
          </w:tcPr>
          <w:p w14:paraId="09EF323D" w14:textId="124809AC"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.054</w:t>
            </w:r>
          </w:p>
        </w:tc>
        <w:tc>
          <w:tcPr>
            <w:tcW w:w="567" w:type="dxa"/>
            <w:tcBorders>
              <w:bottom w:val="single" w:sz="4" w:space="0" w:color="auto"/>
            </w:tcBorders>
            <w:noWrap/>
            <w:vAlign w:val="center"/>
            <w:hideMark/>
          </w:tcPr>
          <w:p w14:paraId="386712DF" w14:textId="6DA93CCC"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-.047</w:t>
            </w:r>
          </w:p>
        </w:tc>
        <w:tc>
          <w:tcPr>
            <w:tcW w:w="615" w:type="dxa"/>
            <w:tcBorders>
              <w:bottom w:val="single" w:sz="4" w:space="0" w:color="auto"/>
            </w:tcBorders>
            <w:noWrap/>
            <w:vAlign w:val="center"/>
            <w:hideMark/>
          </w:tcPr>
          <w:p w14:paraId="654BBE24" w14:textId="48C9C29E" w:rsidR="0099246F" w:rsidRPr="009634A6" w:rsidRDefault="0099246F" w:rsidP="00A41B2A">
            <w:pPr>
              <w:spacing w:line="24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w:t>
            </w:r>
          </w:p>
        </w:tc>
      </w:tr>
    </w:tbl>
    <w:p w14:paraId="53825888" w14:textId="77777777" w:rsidR="000E701B" w:rsidRPr="009634A6" w:rsidRDefault="000E701B" w:rsidP="000E701B">
      <w:pPr>
        <w:spacing w:after="200" w:line="276" w:lineRule="auto"/>
        <w:rPr>
          <w:rFonts w:ascii="Times New Roman" w:eastAsia="Times New Roman" w:hAnsi="Times New Roman" w:cs="Times New Roman"/>
          <w:lang w:val="en-US" w:eastAsia="de-AT"/>
        </w:rPr>
      </w:pPr>
    </w:p>
    <w:p w14:paraId="395D2C3E" w14:textId="77777777" w:rsidR="00A25CE6" w:rsidRPr="009634A6" w:rsidRDefault="00A25CE6" w:rsidP="000E701B">
      <w:pPr>
        <w:spacing w:after="200" w:line="276" w:lineRule="auto"/>
        <w:rPr>
          <w:rFonts w:ascii="Times New Roman" w:eastAsia="Times New Roman" w:hAnsi="Times New Roman" w:cs="Times New Roman"/>
          <w:lang w:val="en-US" w:eastAsia="de-AT"/>
        </w:rPr>
      </w:pPr>
    </w:p>
    <w:p w14:paraId="02D35C92" w14:textId="77777777" w:rsidR="000E701B" w:rsidRPr="009634A6" w:rsidRDefault="000E701B" w:rsidP="000E701B">
      <w:pPr>
        <w:spacing w:after="200" w:line="276" w:lineRule="auto"/>
        <w:rPr>
          <w:rFonts w:ascii="Times New Roman" w:eastAsia="Times New Roman" w:hAnsi="Times New Roman" w:cs="Times New Roman"/>
          <w:sz w:val="20"/>
          <w:szCs w:val="20"/>
          <w:lang w:val="en-US" w:eastAsia="de-AT"/>
        </w:rPr>
      </w:pPr>
      <w:r w:rsidRPr="009634A6">
        <w:rPr>
          <w:rFonts w:ascii="Times New Roman" w:eastAsia="Times New Roman" w:hAnsi="Times New Roman" w:cs="Times New Roman"/>
          <w:lang w:val="en-US" w:eastAsia="de-AT"/>
        </w:rPr>
        <w:t>Table 3</w:t>
      </w:r>
      <w:r w:rsidRPr="009634A6">
        <w:rPr>
          <w:rFonts w:ascii="Times New Roman" w:eastAsia="Times New Roman" w:hAnsi="Times New Roman" w:cs="Times New Roman"/>
          <w:sz w:val="20"/>
          <w:szCs w:val="20"/>
          <w:lang w:val="en-US" w:eastAsia="de-AT"/>
        </w:rPr>
        <w:t xml:space="preserve"> </w:t>
      </w:r>
      <w:r w:rsidRPr="009634A6">
        <w:rPr>
          <w:rFonts w:ascii="Times New Roman" w:eastAsia="Times New Roman" w:hAnsi="Times New Roman" w:cs="Times New Roman"/>
          <w:lang w:val="en-US" w:eastAsia="de-AT"/>
        </w:rPr>
        <w:t>Descriptive statistics – client perspective</w:t>
      </w:r>
    </w:p>
    <w:tbl>
      <w:tblPr>
        <w:tblStyle w:val="Tabellenraster1"/>
        <w:tblW w:w="8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672"/>
        <w:gridCol w:w="709"/>
        <w:gridCol w:w="708"/>
        <w:gridCol w:w="567"/>
        <w:gridCol w:w="567"/>
        <w:gridCol w:w="567"/>
        <w:gridCol w:w="567"/>
        <w:gridCol w:w="567"/>
        <w:gridCol w:w="567"/>
        <w:gridCol w:w="567"/>
        <w:gridCol w:w="567"/>
      </w:tblGrid>
      <w:tr w:rsidR="00D80DC9" w14:paraId="76027A65" w14:textId="77777777" w:rsidTr="00D80DC9">
        <w:trPr>
          <w:cantSplit/>
          <w:trHeight w:hRule="exact" w:val="397"/>
        </w:trPr>
        <w:tc>
          <w:tcPr>
            <w:tcW w:w="2670" w:type="dxa"/>
            <w:tcBorders>
              <w:top w:val="single" w:sz="4" w:space="0" w:color="auto"/>
              <w:left w:val="nil"/>
              <w:bottom w:val="single" w:sz="4" w:space="0" w:color="auto"/>
              <w:right w:val="nil"/>
            </w:tcBorders>
            <w:vAlign w:val="center"/>
          </w:tcPr>
          <w:p w14:paraId="220CE374" w14:textId="77777777" w:rsidR="00D80DC9" w:rsidRDefault="00D80DC9">
            <w:pPr>
              <w:spacing w:line="480" w:lineRule="auto"/>
              <w:rPr>
                <w:rFonts w:ascii="Times New Roman" w:hAnsi="Times New Roman" w:cs="Times New Roman"/>
                <w:b/>
                <w:color w:val="000000"/>
                <w:sz w:val="18"/>
                <w:szCs w:val="18"/>
                <w:lang w:val="en-US"/>
              </w:rPr>
            </w:pPr>
          </w:p>
        </w:tc>
        <w:tc>
          <w:tcPr>
            <w:tcW w:w="709" w:type="dxa"/>
            <w:tcBorders>
              <w:top w:val="single" w:sz="4" w:space="0" w:color="auto"/>
              <w:left w:val="nil"/>
              <w:bottom w:val="single" w:sz="4" w:space="0" w:color="auto"/>
              <w:right w:val="nil"/>
            </w:tcBorders>
            <w:vAlign w:val="center"/>
            <w:hideMark/>
          </w:tcPr>
          <w:p w14:paraId="637EA8A3" w14:textId="77777777" w:rsidR="00D80DC9" w:rsidRDefault="00D80DC9">
            <w:pPr>
              <w:spacing w:line="480" w:lineRule="auto"/>
              <w:jc w:val="center"/>
              <w:rPr>
                <w:rFonts w:ascii="Times New Roman" w:hAnsi="Times New Roman" w:cs="Times New Roman"/>
                <w:b/>
                <w:color w:val="000000"/>
                <w:sz w:val="18"/>
                <w:szCs w:val="18"/>
                <w:lang w:val="en-US"/>
              </w:rPr>
            </w:pPr>
            <w:r>
              <w:rPr>
                <w:rFonts w:ascii="Times New Roman" w:hAnsi="Times New Roman" w:cs="Times New Roman"/>
                <w:b/>
                <w:color w:val="000000"/>
                <w:sz w:val="18"/>
                <w:szCs w:val="18"/>
                <w:lang w:val="en-US"/>
              </w:rPr>
              <w:t>Mean</w:t>
            </w:r>
          </w:p>
        </w:tc>
        <w:tc>
          <w:tcPr>
            <w:tcW w:w="708" w:type="dxa"/>
            <w:tcBorders>
              <w:top w:val="single" w:sz="4" w:space="0" w:color="auto"/>
              <w:left w:val="nil"/>
              <w:bottom w:val="single" w:sz="4" w:space="0" w:color="auto"/>
              <w:right w:val="nil"/>
            </w:tcBorders>
            <w:vAlign w:val="center"/>
            <w:hideMark/>
          </w:tcPr>
          <w:p w14:paraId="0D186AB5" w14:textId="77777777" w:rsidR="00D80DC9" w:rsidRDefault="00D80DC9">
            <w:pPr>
              <w:spacing w:line="480" w:lineRule="auto"/>
              <w:jc w:val="center"/>
              <w:rPr>
                <w:rFonts w:ascii="Times New Roman" w:hAnsi="Times New Roman" w:cs="Times New Roman"/>
                <w:b/>
                <w:color w:val="000000"/>
                <w:sz w:val="18"/>
                <w:szCs w:val="18"/>
                <w:lang w:val="en-US"/>
              </w:rPr>
            </w:pPr>
            <w:r>
              <w:rPr>
                <w:rFonts w:ascii="Times New Roman" w:hAnsi="Times New Roman" w:cs="Times New Roman"/>
                <w:b/>
                <w:color w:val="000000"/>
                <w:sz w:val="18"/>
                <w:szCs w:val="18"/>
                <w:lang w:val="en-US"/>
              </w:rPr>
              <w:t>SD</w:t>
            </w:r>
          </w:p>
        </w:tc>
        <w:tc>
          <w:tcPr>
            <w:tcW w:w="567" w:type="dxa"/>
            <w:tcBorders>
              <w:top w:val="single" w:sz="4" w:space="0" w:color="auto"/>
              <w:left w:val="nil"/>
              <w:bottom w:val="single" w:sz="4" w:space="0" w:color="auto"/>
              <w:right w:val="nil"/>
            </w:tcBorders>
            <w:vAlign w:val="center"/>
            <w:hideMark/>
          </w:tcPr>
          <w:p w14:paraId="7CC24E08" w14:textId="77777777" w:rsidR="00D80DC9" w:rsidRDefault="00D80DC9">
            <w:pPr>
              <w:spacing w:line="480" w:lineRule="auto"/>
              <w:jc w:val="center"/>
              <w:rPr>
                <w:rFonts w:ascii="Times New Roman" w:hAnsi="Times New Roman" w:cs="Times New Roman"/>
                <w:b/>
                <w:color w:val="000000"/>
                <w:sz w:val="18"/>
                <w:szCs w:val="18"/>
                <w:lang w:val="en-US"/>
              </w:rPr>
            </w:pPr>
            <w:r>
              <w:rPr>
                <w:rFonts w:ascii="Times New Roman" w:hAnsi="Times New Roman" w:cs="Times New Roman"/>
                <w:b/>
                <w:color w:val="000000"/>
                <w:sz w:val="18"/>
                <w:szCs w:val="18"/>
                <w:lang w:val="en-US"/>
              </w:rPr>
              <w:t>Min</w:t>
            </w:r>
          </w:p>
        </w:tc>
        <w:tc>
          <w:tcPr>
            <w:tcW w:w="567" w:type="dxa"/>
            <w:tcBorders>
              <w:top w:val="single" w:sz="4" w:space="0" w:color="auto"/>
              <w:left w:val="nil"/>
              <w:bottom w:val="single" w:sz="4" w:space="0" w:color="auto"/>
              <w:right w:val="nil"/>
            </w:tcBorders>
            <w:vAlign w:val="center"/>
            <w:hideMark/>
          </w:tcPr>
          <w:p w14:paraId="45389685" w14:textId="77777777" w:rsidR="00D80DC9" w:rsidRDefault="00D80DC9">
            <w:pPr>
              <w:spacing w:line="480" w:lineRule="auto"/>
              <w:jc w:val="center"/>
              <w:rPr>
                <w:rFonts w:ascii="Times New Roman" w:hAnsi="Times New Roman" w:cs="Times New Roman"/>
                <w:b/>
                <w:color w:val="000000"/>
                <w:sz w:val="18"/>
                <w:szCs w:val="18"/>
                <w:lang w:val="en-US"/>
              </w:rPr>
            </w:pPr>
            <w:r>
              <w:rPr>
                <w:rFonts w:ascii="Times New Roman" w:hAnsi="Times New Roman" w:cs="Times New Roman"/>
                <w:b/>
                <w:color w:val="000000"/>
                <w:sz w:val="18"/>
                <w:szCs w:val="18"/>
                <w:lang w:val="en-US"/>
              </w:rPr>
              <w:t>Max</w:t>
            </w:r>
          </w:p>
        </w:tc>
        <w:tc>
          <w:tcPr>
            <w:tcW w:w="567" w:type="dxa"/>
            <w:tcBorders>
              <w:top w:val="single" w:sz="4" w:space="0" w:color="auto"/>
              <w:left w:val="nil"/>
              <w:bottom w:val="single" w:sz="4" w:space="0" w:color="auto"/>
              <w:right w:val="nil"/>
            </w:tcBorders>
            <w:noWrap/>
            <w:vAlign w:val="center"/>
            <w:hideMark/>
          </w:tcPr>
          <w:p w14:paraId="26F351D9" w14:textId="77777777" w:rsidR="00D80DC9" w:rsidRDefault="00D80DC9">
            <w:pPr>
              <w:spacing w:line="480" w:lineRule="auto"/>
              <w:jc w:val="center"/>
              <w:rPr>
                <w:rFonts w:ascii="Times New Roman" w:hAnsi="Times New Roman" w:cs="Times New Roman"/>
                <w:b/>
                <w:color w:val="000000"/>
                <w:sz w:val="18"/>
                <w:szCs w:val="18"/>
                <w:lang w:val="en-US"/>
              </w:rPr>
            </w:pPr>
            <w:r>
              <w:rPr>
                <w:rFonts w:ascii="Times New Roman" w:hAnsi="Times New Roman" w:cs="Times New Roman"/>
                <w:b/>
                <w:color w:val="000000"/>
                <w:sz w:val="18"/>
                <w:szCs w:val="18"/>
                <w:lang w:val="en-US"/>
              </w:rPr>
              <w:t>(1)</w:t>
            </w:r>
          </w:p>
        </w:tc>
        <w:tc>
          <w:tcPr>
            <w:tcW w:w="567" w:type="dxa"/>
            <w:tcBorders>
              <w:top w:val="single" w:sz="4" w:space="0" w:color="auto"/>
              <w:left w:val="nil"/>
              <w:bottom w:val="single" w:sz="4" w:space="0" w:color="auto"/>
              <w:right w:val="nil"/>
            </w:tcBorders>
            <w:noWrap/>
            <w:vAlign w:val="center"/>
            <w:hideMark/>
          </w:tcPr>
          <w:p w14:paraId="5F97AA07" w14:textId="77777777" w:rsidR="00D80DC9" w:rsidRDefault="00D80DC9">
            <w:pPr>
              <w:spacing w:line="480" w:lineRule="auto"/>
              <w:jc w:val="center"/>
              <w:rPr>
                <w:rFonts w:ascii="Times New Roman" w:hAnsi="Times New Roman" w:cs="Times New Roman"/>
                <w:b/>
                <w:color w:val="000000"/>
                <w:sz w:val="18"/>
                <w:szCs w:val="18"/>
                <w:lang w:val="en-US"/>
              </w:rPr>
            </w:pPr>
            <w:r>
              <w:rPr>
                <w:rFonts w:ascii="Times New Roman" w:hAnsi="Times New Roman" w:cs="Times New Roman"/>
                <w:b/>
                <w:color w:val="000000"/>
                <w:sz w:val="18"/>
                <w:szCs w:val="18"/>
                <w:lang w:val="en-US"/>
              </w:rPr>
              <w:t>(2)</w:t>
            </w:r>
          </w:p>
        </w:tc>
        <w:tc>
          <w:tcPr>
            <w:tcW w:w="567" w:type="dxa"/>
            <w:tcBorders>
              <w:top w:val="single" w:sz="4" w:space="0" w:color="auto"/>
              <w:left w:val="nil"/>
              <w:bottom w:val="single" w:sz="4" w:space="0" w:color="auto"/>
              <w:right w:val="nil"/>
            </w:tcBorders>
            <w:noWrap/>
            <w:vAlign w:val="center"/>
            <w:hideMark/>
          </w:tcPr>
          <w:p w14:paraId="5862B139" w14:textId="77777777" w:rsidR="00D80DC9" w:rsidRDefault="00D80DC9">
            <w:pPr>
              <w:spacing w:line="480" w:lineRule="auto"/>
              <w:jc w:val="center"/>
              <w:rPr>
                <w:rFonts w:ascii="Times New Roman" w:hAnsi="Times New Roman" w:cs="Times New Roman"/>
                <w:b/>
                <w:color w:val="000000"/>
                <w:sz w:val="18"/>
                <w:szCs w:val="18"/>
                <w:lang w:val="en-US"/>
              </w:rPr>
            </w:pPr>
            <w:r>
              <w:rPr>
                <w:rFonts w:ascii="Times New Roman" w:hAnsi="Times New Roman" w:cs="Times New Roman"/>
                <w:b/>
                <w:color w:val="000000"/>
                <w:sz w:val="18"/>
                <w:szCs w:val="18"/>
                <w:lang w:val="en-US"/>
              </w:rPr>
              <w:t>(3)</w:t>
            </w:r>
          </w:p>
        </w:tc>
        <w:tc>
          <w:tcPr>
            <w:tcW w:w="567" w:type="dxa"/>
            <w:tcBorders>
              <w:top w:val="single" w:sz="4" w:space="0" w:color="auto"/>
              <w:left w:val="nil"/>
              <w:bottom w:val="single" w:sz="4" w:space="0" w:color="auto"/>
              <w:right w:val="nil"/>
            </w:tcBorders>
            <w:noWrap/>
            <w:vAlign w:val="center"/>
            <w:hideMark/>
          </w:tcPr>
          <w:p w14:paraId="5D35BA03" w14:textId="77777777" w:rsidR="00D80DC9" w:rsidRDefault="00D80DC9">
            <w:pPr>
              <w:spacing w:line="480" w:lineRule="auto"/>
              <w:jc w:val="center"/>
              <w:rPr>
                <w:rFonts w:ascii="Times New Roman" w:hAnsi="Times New Roman" w:cs="Times New Roman"/>
                <w:b/>
                <w:color w:val="000000"/>
                <w:sz w:val="18"/>
                <w:szCs w:val="18"/>
                <w:lang w:val="en-US"/>
              </w:rPr>
            </w:pPr>
            <w:r>
              <w:rPr>
                <w:rFonts w:ascii="Times New Roman" w:hAnsi="Times New Roman" w:cs="Times New Roman"/>
                <w:b/>
                <w:color w:val="000000"/>
                <w:sz w:val="18"/>
                <w:szCs w:val="18"/>
                <w:lang w:val="en-US"/>
              </w:rPr>
              <w:t>(4)</w:t>
            </w:r>
          </w:p>
        </w:tc>
        <w:tc>
          <w:tcPr>
            <w:tcW w:w="567" w:type="dxa"/>
            <w:tcBorders>
              <w:top w:val="single" w:sz="4" w:space="0" w:color="auto"/>
              <w:left w:val="nil"/>
              <w:bottom w:val="single" w:sz="4" w:space="0" w:color="auto"/>
              <w:right w:val="nil"/>
            </w:tcBorders>
            <w:noWrap/>
            <w:vAlign w:val="center"/>
            <w:hideMark/>
          </w:tcPr>
          <w:p w14:paraId="712DEAEA" w14:textId="77777777" w:rsidR="00D80DC9" w:rsidRDefault="00D80DC9">
            <w:pPr>
              <w:spacing w:line="480" w:lineRule="auto"/>
              <w:jc w:val="center"/>
              <w:rPr>
                <w:rFonts w:ascii="Times New Roman" w:hAnsi="Times New Roman" w:cs="Times New Roman"/>
                <w:b/>
                <w:color w:val="000000"/>
                <w:sz w:val="18"/>
                <w:szCs w:val="18"/>
                <w:lang w:val="en-US"/>
              </w:rPr>
            </w:pPr>
            <w:r>
              <w:rPr>
                <w:rFonts w:ascii="Times New Roman" w:hAnsi="Times New Roman" w:cs="Times New Roman"/>
                <w:b/>
                <w:color w:val="000000"/>
                <w:sz w:val="18"/>
                <w:szCs w:val="18"/>
                <w:lang w:val="en-US"/>
              </w:rPr>
              <w:t>(5)</w:t>
            </w:r>
          </w:p>
        </w:tc>
        <w:tc>
          <w:tcPr>
            <w:tcW w:w="567" w:type="dxa"/>
            <w:tcBorders>
              <w:top w:val="single" w:sz="4" w:space="0" w:color="auto"/>
              <w:left w:val="nil"/>
              <w:bottom w:val="single" w:sz="4" w:space="0" w:color="auto"/>
              <w:right w:val="nil"/>
            </w:tcBorders>
            <w:noWrap/>
            <w:vAlign w:val="center"/>
            <w:hideMark/>
          </w:tcPr>
          <w:p w14:paraId="099A0D72" w14:textId="77777777" w:rsidR="00D80DC9" w:rsidRDefault="00D80DC9">
            <w:pPr>
              <w:spacing w:line="480" w:lineRule="auto"/>
              <w:jc w:val="center"/>
              <w:rPr>
                <w:rFonts w:ascii="Times New Roman" w:hAnsi="Times New Roman" w:cs="Times New Roman"/>
                <w:b/>
                <w:color w:val="000000"/>
                <w:sz w:val="18"/>
                <w:szCs w:val="18"/>
                <w:lang w:val="en-US"/>
              </w:rPr>
            </w:pPr>
            <w:r>
              <w:rPr>
                <w:rFonts w:ascii="Times New Roman" w:hAnsi="Times New Roman" w:cs="Times New Roman"/>
                <w:b/>
                <w:color w:val="000000"/>
                <w:sz w:val="18"/>
                <w:szCs w:val="18"/>
                <w:lang w:val="en-US"/>
              </w:rPr>
              <w:t>(6)</w:t>
            </w:r>
          </w:p>
        </w:tc>
      </w:tr>
      <w:tr w:rsidR="00D80DC9" w14:paraId="148DF18E" w14:textId="77777777" w:rsidTr="00D80DC9">
        <w:trPr>
          <w:cantSplit/>
          <w:trHeight w:hRule="exact" w:val="397"/>
        </w:trPr>
        <w:tc>
          <w:tcPr>
            <w:tcW w:w="2670" w:type="dxa"/>
            <w:tcBorders>
              <w:top w:val="single" w:sz="4" w:space="0" w:color="auto"/>
              <w:left w:val="nil"/>
              <w:bottom w:val="nil"/>
              <w:right w:val="nil"/>
            </w:tcBorders>
            <w:vAlign w:val="center"/>
            <w:hideMark/>
          </w:tcPr>
          <w:p w14:paraId="581E666E" w14:textId="77777777" w:rsidR="00D80DC9" w:rsidRDefault="00D80DC9">
            <w:pPr>
              <w:spacing w:line="48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 Likelihood to stand up (percent)</w:t>
            </w:r>
          </w:p>
        </w:tc>
        <w:tc>
          <w:tcPr>
            <w:tcW w:w="709" w:type="dxa"/>
            <w:tcBorders>
              <w:top w:val="single" w:sz="4" w:space="0" w:color="auto"/>
              <w:left w:val="nil"/>
              <w:bottom w:val="nil"/>
              <w:right w:val="nil"/>
            </w:tcBorders>
            <w:vAlign w:val="center"/>
            <w:hideMark/>
          </w:tcPr>
          <w:p w14:paraId="214C7FFA"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64.313</w:t>
            </w:r>
          </w:p>
        </w:tc>
        <w:tc>
          <w:tcPr>
            <w:tcW w:w="708" w:type="dxa"/>
            <w:tcBorders>
              <w:top w:val="single" w:sz="4" w:space="0" w:color="auto"/>
              <w:left w:val="nil"/>
              <w:bottom w:val="nil"/>
              <w:right w:val="nil"/>
            </w:tcBorders>
            <w:vAlign w:val="center"/>
            <w:hideMark/>
          </w:tcPr>
          <w:p w14:paraId="0ED65085"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22.1938</w:t>
            </w:r>
          </w:p>
        </w:tc>
        <w:tc>
          <w:tcPr>
            <w:tcW w:w="567" w:type="dxa"/>
            <w:tcBorders>
              <w:top w:val="single" w:sz="4" w:space="0" w:color="auto"/>
              <w:left w:val="nil"/>
              <w:bottom w:val="nil"/>
              <w:right w:val="nil"/>
            </w:tcBorders>
            <w:vAlign w:val="center"/>
            <w:hideMark/>
          </w:tcPr>
          <w:p w14:paraId="4EDBC8B8"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10</w:t>
            </w:r>
          </w:p>
        </w:tc>
        <w:tc>
          <w:tcPr>
            <w:tcW w:w="567" w:type="dxa"/>
            <w:tcBorders>
              <w:top w:val="single" w:sz="4" w:space="0" w:color="auto"/>
              <w:left w:val="nil"/>
              <w:bottom w:val="nil"/>
              <w:right w:val="nil"/>
            </w:tcBorders>
            <w:vAlign w:val="center"/>
            <w:hideMark/>
          </w:tcPr>
          <w:p w14:paraId="60B022D8"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100</w:t>
            </w:r>
          </w:p>
        </w:tc>
        <w:tc>
          <w:tcPr>
            <w:tcW w:w="567" w:type="dxa"/>
            <w:tcBorders>
              <w:top w:val="single" w:sz="4" w:space="0" w:color="auto"/>
              <w:left w:val="nil"/>
              <w:bottom w:val="nil"/>
              <w:right w:val="nil"/>
            </w:tcBorders>
            <w:noWrap/>
            <w:vAlign w:val="center"/>
            <w:hideMark/>
          </w:tcPr>
          <w:p w14:paraId="603596CD"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w:t>
            </w:r>
          </w:p>
        </w:tc>
        <w:tc>
          <w:tcPr>
            <w:tcW w:w="567" w:type="dxa"/>
            <w:tcBorders>
              <w:top w:val="single" w:sz="4" w:space="0" w:color="auto"/>
              <w:left w:val="nil"/>
              <w:bottom w:val="nil"/>
              <w:right w:val="nil"/>
            </w:tcBorders>
            <w:noWrap/>
            <w:vAlign w:val="center"/>
          </w:tcPr>
          <w:p w14:paraId="02E72A9E"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tcBorders>
              <w:top w:val="single" w:sz="4" w:space="0" w:color="auto"/>
              <w:left w:val="nil"/>
              <w:bottom w:val="nil"/>
              <w:right w:val="nil"/>
            </w:tcBorders>
            <w:noWrap/>
            <w:vAlign w:val="center"/>
          </w:tcPr>
          <w:p w14:paraId="795A9156"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tcBorders>
              <w:top w:val="single" w:sz="4" w:space="0" w:color="auto"/>
              <w:left w:val="nil"/>
              <w:bottom w:val="nil"/>
              <w:right w:val="nil"/>
            </w:tcBorders>
            <w:noWrap/>
            <w:vAlign w:val="center"/>
          </w:tcPr>
          <w:p w14:paraId="22869B50"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tcBorders>
              <w:top w:val="single" w:sz="4" w:space="0" w:color="auto"/>
              <w:left w:val="nil"/>
              <w:bottom w:val="nil"/>
              <w:right w:val="nil"/>
            </w:tcBorders>
            <w:noWrap/>
            <w:vAlign w:val="center"/>
          </w:tcPr>
          <w:p w14:paraId="21011B6A"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tcBorders>
              <w:top w:val="single" w:sz="4" w:space="0" w:color="auto"/>
              <w:left w:val="nil"/>
              <w:bottom w:val="nil"/>
              <w:right w:val="nil"/>
            </w:tcBorders>
            <w:noWrap/>
            <w:vAlign w:val="center"/>
          </w:tcPr>
          <w:p w14:paraId="428572B2" w14:textId="77777777" w:rsidR="00D80DC9" w:rsidRDefault="00D80DC9">
            <w:pPr>
              <w:spacing w:line="480" w:lineRule="auto"/>
              <w:jc w:val="center"/>
              <w:rPr>
                <w:rFonts w:ascii="Times New Roman" w:hAnsi="Times New Roman" w:cs="Times New Roman"/>
                <w:color w:val="000000"/>
                <w:sz w:val="18"/>
                <w:szCs w:val="18"/>
                <w:lang w:val="en-US"/>
              </w:rPr>
            </w:pPr>
          </w:p>
        </w:tc>
      </w:tr>
      <w:tr w:rsidR="00D80DC9" w14:paraId="05254B06" w14:textId="77777777" w:rsidTr="00D80DC9">
        <w:trPr>
          <w:cantSplit/>
          <w:trHeight w:hRule="exact" w:val="397"/>
        </w:trPr>
        <w:tc>
          <w:tcPr>
            <w:tcW w:w="2670" w:type="dxa"/>
            <w:vAlign w:val="center"/>
            <w:hideMark/>
          </w:tcPr>
          <w:p w14:paraId="247894BA" w14:textId="77777777" w:rsidR="00D80DC9" w:rsidRDefault="00D80DC9">
            <w:pPr>
              <w:spacing w:line="48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(2) Number of employees FTE</w:t>
            </w:r>
          </w:p>
        </w:tc>
        <w:tc>
          <w:tcPr>
            <w:tcW w:w="709" w:type="dxa"/>
            <w:vAlign w:val="center"/>
            <w:hideMark/>
          </w:tcPr>
          <w:p w14:paraId="40EE69A1" w14:textId="77777777" w:rsidR="00D80DC9" w:rsidRDefault="00D80DC9">
            <w:pPr>
              <w:spacing w:line="48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4,265.25</w:t>
            </w:r>
          </w:p>
        </w:tc>
        <w:tc>
          <w:tcPr>
            <w:tcW w:w="708" w:type="dxa"/>
            <w:vAlign w:val="center"/>
            <w:hideMark/>
          </w:tcPr>
          <w:p w14:paraId="155718F6"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10,039.7204</w:t>
            </w:r>
          </w:p>
        </w:tc>
        <w:tc>
          <w:tcPr>
            <w:tcW w:w="567" w:type="dxa"/>
            <w:vAlign w:val="center"/>
            <w:hideMark/>
          </w:tcPr>
          <w:p w14:paraId="4965562E"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50</w:t>
            </w:r>
          </w:p>
        </w:tc>
        <w:tc>
          <w:tcPr>
            <w:tcW w:w="567" w:type="dxa"/>
            <w:vAlign w:val="center"/>
            <w:hideMark/>
          </w:tcPr>
          <w:p w14:paraId="4FA8011F"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60,000</w:t>
            </w:r>
          </w:p>
        </w:tc>
        <w:tc>
          <w:tcPr>
            <w:tcW w:w="567" w:type="dxa"/>
            <w:noWrap/>
            <w:vAlign w:val="center"/>
            <w:hideMark/>
          </w:tcPr>
          <w:p w14:paraId="7B3FD701"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.088</w:t>
            </w:r>
          </w:p>
        </w:tc>
        <w:tc>
          <w:tcPr>
            <w:tcW w:w="567" w:type="dxa"/>
            <w:noWrap/>
            <w:vAlign w:val="center"/>
          </w:tcPr>
          <w:p w14:paraId="5B282BE9"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noWrap/>
            <w:vAlign w:val="center"/>
          </w:tcPr>
          <w:p w14:paraId="2F296EE0"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noWrap/>
            <w:vAlign w:val="center"/>
          </w:tcPr>
          <w:p w14:paraId="638F4A0F"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noWrap/>
            <w:vAlign w:val="center"/>
          </w:tcPr>
          <w:p w14:paraId="0B19149E"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noWrap/>
            <w:vAlign w:val="center"/>
          </w:tcPr>
          <w:p w14:paraId="5C38ABD7" w14:textId="77777777" w:rsidR="00D80DC9" w:rsidRDefault="00D80DC9">
            <w:pPr>
              <w:spacing w:line="480" w:lineRule="auto"/>
              <w:jc w:val="center"/>
              <w:rPr>
                <w:rFonts w:ascii="Times New Roman" w:hAnsi="Times New Roman" w:cs="Times New Roman"/>
                <w:color w:val="000000"/>
                <w:sz w:val="18"/>
                <w:szCs w:val="18"/>
                <w:lang w:val="en-US"/>
              </w:rPr>
            </w:pPr>
          </w:p>
        </w:tc>
      </w:tr>
      <w:tr w:rsidR="00D80DC9" w14:paraId="1174BE24" w14:textId="77777777" w:rsidTr="00D80DC9">
        <w:trPr>
          <w:cantSplit/>
          <w:trHeight w:hRule="exact" w:val="397"/>
        </w:trPr>
        <w:tc>
          <w:tcPr>
            <w:tcW w:w="2670" w:type="dxa"/>
            <w:vAlign w:val="center"/>
            <w:hideMark/>
          </w:tcPr>
          <w:p w14:paraId="02BBD896" w14:textId="77777777" w:rsidR="00D80DC9" w:rsidRDefault="00D80DC9">
            <w:pPr>
              <w:spacing w:line="48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(3) Male (dummy)</w:t>
            </w:r>
          </w:p>
        </w:tc>
        <w:tc>
          <w:tcPr>
            <w:tcW w:w="709" w:type="dxa"/>
            <w:vAlign w:val="center"/>
            <w:hideMark/>
          </w:tcPr>
          <w:p w14:paraId="7B7096D4"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.77</w:t>
            </w:r>
          </w:p>
        </w:tc>
        <w:tc>
          <w:tcPr>
            <w:tcW w:w="708" w:type="dxa"/>
            <w:vAlign w:val="center"/>
            <w:hideMark/>
          </w:tcPr>
          <w:p w14:paraId="295746E5"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.424</w:t>
            </w:r>
          </w:p>
        </w:tc>
        <w:tc>
          <w:tcPr>
            <w:tcW w:w="567" w:type="dxa"/>
            <w:vAlign w:val="center"/>
          </w:tcPr>
          <w:p w14:paraId="14477DC2"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vAlign w:val="center"/>
          </w:tcPr>
          <w:p w14:paraId="15B048A8"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noWrap/>
            <w:vAlign w:val="center"/>
            <w:hideMark/>
          </w:tcPr>
          <w:p w14:paraId="26E00BF5"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-.040</w:t>
            </w:r>
          </w:p>
        </w:tc>
        <w:tc>
          <w:tcPr>
            <w:tcW w:w="567" w:type="dxa"/>
            <w:noWrap/>
            <w:vAlign w:val="center"/>
            <w:hideMark/>
          </w:tcPr>
          <w:p w14:paraId="7C376EF2"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.148</w:t>
            </w:r>
          </w:p>
        </w:tc>
        <w:tc>
          <w:tcPr>
            <w:tcW w:w="567" w:type="dxa"/>
            <w:noWrap/>
            <w:vAlign w:val="center"/>
            <w:hideMark/>
          </w:tcPr>
          <w:p w14:paraId="75A83BE9"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w:t>
            </w:r>
          </w:p>
        </w:tc>
        <w:tc>
          <w:tcPr>
            <w:tcW w:w="567" w:type="dxa"/>
            <w:noWrap/>
            <w:vAlign w:val="center"/>
          </w:tcPr>
          <w:p w14:paraId="520F5F8A"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noWrap/>
            <w:vAlign w:val="center"/>
          </w:tcPr>
          <w:p w14:paraId="32D121C0"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noWrap/>
            <w:vAlign w:val="center"/>
          </w:tcPr>
          <w:p w14:paraId="1C089CD1" w14:textId="77777777" w:rsidR="00D80DC9" w:rsidRDefault="00D80DC9">
            <w:pPr>
              <w:spacing w:line="480" w:lineRule="auto"/>
              <w:jc w:val="center"/>
              <w:rPr>
                <w:rFonts w:ascii="Times New Roman" w:hAnsi="Times New Roman" w:cs="Times New Roman"/>
                <w:color w:val="000000"/>
                <w:sz w:val="18"/>
                <w:szCs w:val="18"/>
                <w:lang w:val="en-US"/>
              </w:rPr>
            </w:pPr>
          </w:p>
        </w:tc>
      </w:tr>
      <w:tr w:rsidR="00D80DC9" w14:paraId="4A047910" w14:textId="77777777" w:rsidTr="00D80DC9">
        <w:trPr>
          <w:cantSplit/>
          <w:trHeight w:hRule="exact" w:val="397"/>
        </w:trPr>
        <w:tc>
          <w:tcPr>
            <w:tcW w:w="2670" w:type="dxa"/>
            <w:vAlign w:val="center"/>
            <w:hideMark/>
          </w:tcPr>
          <w:p w14:paraId="46AF381B" w14:textId="77777777" w:rsidR="00D80DC9" w:rsidRDefault="00D80DC9">
            <w:pPr>
              <w:spacing w:line="48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(4) Age (years)</w:t>
            </w:r>
          </w:p>
        </w:tc>
        <w:tc>
          <w:tcPr>
            <w:tcW w:w="709" w:type="dxa"/>
            <w:vAlign w:val="center"/>
            <w:hideMark/>
          </w:tcPr>
          <w:p w14:paraId="4B083328"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44.095</w:t>
            </w:r>
          </w:p>
        </w:tc>
        <w:tc>
          <w:tcPr>
            <w:tcW w:w="708" w:type="dxa"/>
            <w:vAlign w:val="center"/>
            <w:hideMark/>
          </w:tcPr>
          <w:p w14:paraId="149F6D16"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10.0874</w:t>
            </w:r>
          </w:p>
        </w:tc>
        <w:tc>
          <w:tcPr>
            <w:tcW w:w="567" w:type="dxa"/>
            <w:vAlign w:val="center"/>
            <w:hideMark/>
          </w:tcPr>
          <w:p w14:paraId="43289984"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25</w:t>
            </w:r>
          </w:p>
        </w:tc>
        <w:tc>
          <w:tcPr>
            <w:tcW w:w="567" w:type="dxa"/>
            <w:vAlign w:val="center"/>
            <w:hideMark/>
          </w:tcPr>
          <w:p w14:paraId="07964375"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72</w:t>
            </w:r>
          </w:p>
        </w:tc>
        <w:tc>
          <w:tcPr>
            <w:tcW w:w="567" w:type="dxa"/>
            <w:noWrap/>
            <w:vAlign w:val="center"/>
            <w:hideMark/>
          </w:tcPr>
          <w:p w14:paraId="2AA6A590"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-.067</w:t>
            </w:r>
          </w:p>
        </w:tc>
        <w:tc>
          <w:tcPr>
            <w:tcW w:w="567" w:type="dxa"/>
            <w:noWrap/>
            <w:vAlign w:val="center"/>
            <w:hideMark/>
          </w:tcPr>
          <w:p w14:paraId="562A58C8"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.046</w:t>
            </w:r>
          </w:p>
        </w:tc>
        <w:tc>
          <w:tcPr>
            <w:tcW w:w="567" w:type="dxa"/>
            <w:noWrap/>
            <w:vAlign w:val="center"/>
            <w:hideMark/>
          </w:tcPr>
          <w:p w14:paraId="319CD7D5"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.340</w:t>
            </w:r>
          </w:p>
        </w:tc>
        <w:tc>
          <w:tcPr>
            <w:tcW w:w="567" w:type="dxa"/>
            <w:noWrap/>
            <w:vAlign w:val="center"/>
            <w:hideMark/>
          </w:tcPr>
          <w:p w14:paraId="6910E4C9"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w:t>
            </w:r>
          </w:p>
        </w:tc>
        <w:tc>
          <w:tcPr>
            <w:tcW w:w="567" w:type="dxa"/>
            <w:noWrap/>
            <w:vAlign w:val="center"/>
          </w:tcPr>
          <w:p w14:paraId="4825EE20"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noWrap/>
            <w:vAlign w:val="center"/>
          </w:tcPr>
          <w:p w14:paraId="722D2C2C" w14:textId="77777777" w:rsidR="00D80DC9" w:rsidRDefault="00D80DC9">
            <w:pPr>
              <w:spacing w:line="480" w:lineRule="auto"/>
              <w:jc w:val="center"/>
              <w:rPr>
                <w:rFonts w:ascii="Times New Roman" w:hAnsi="Times New Roman" w:cs="Times New Roman"/>
                <w:color w:val="000000"/>
                <w:sz w:val="18"/>
                <w:szCs w:val="18"/>
                <w:lang w:val="en-US"/>
              </w:rPr>
            </w:pPr>
          </w:p>
        </w:tc>
      </w:tr>
      <w:tr w:rsidR="00D80DC9" w14:paraId="03443C9C" w14:textId="77777777" w:rsidTr="00D80DC9">
        <w:trPr>
          <w:cantSplit/>
          <w:trHeight w:hRule="exact" w:val="397"/>
        </w:trPr>
        <w:tc>
          <w:tcPr>
            <w:tcW w:w="2670" w:type="dxa"/>
            <w:vAlign w:val="center"/>
            <w:hideMark/>
          </w:tcPr>
          <w:p w14:paraId="28A53601" w14:textId="77777777" w:rsidR="00D80DC9" w:rsidRDefault="00D80DC9">
            <w:pPr>
              <w:spacing w:line="48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(5) Competence trust (dummy)</w:t>
            </w:r>
          </w:p>
        </w:tc>
        <w:tc>
          <w:tcPr>
            <w:tcW w:w="709" w:type="dxa"/>
            <w:vAlign w:val="center"/>
            <w:hideMark/>
          </w:tcPr>
          <w:p w14:paraId="65157A03"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.483</w:t>
            </w:r>
          </w:p>
        </w:tc>
        <w:tc>
          <w:tcPr>
            <w:tcW w:w="708" w:type="dxa"/>
            <w:vAlign w:val="center"/>
            <w:hideMark/>
          </w:tcPr>
          <w:p w14:paraId="03F6A108"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.5019</w:t>
            </w:r>
          </w:p>
        </w:tc>
        <w:tc>
          <w:tcPr>
            <w:tcW w:w="567" w:type="dxa"/>
            <w:vAlign w:val="center"/>
          </w:tcPr>
          <w:p w14:paraId="278C5E83"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vAlign w:val="center"/>
          </w:tcPr>
          <w:p w14:paraId="4F12A0AE"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noWrap/>
            <w:vAlign w:val="center"/>
            <w:hideMark/>
          </w:tcPr>
          <w:p w14:paraId="18AB0BEE"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-.251</w:t>
            </w:r>
          </w:p>
        </w:tc>
        <w:tc>
          <w:tcPr>
            <w:tcW w:w="567" w:type="dxa"/>
            <w:noWrap/>
            <w:vAlign w:val="center"/>
            <w:hideMark/>
          </w:tcPr>
          <w:p w14:paraId="74F55F55"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-.028</w:t>
            </w:r>
          </w:p>
        </w:tc>
        <w:tc>
          <w:tcPr>
            <w:tcW w:w="567" w:type="dxa"/>
            <w:noWrap/>
            <w:vAlign w:val="center"/>
            <w:hideMark/>
          </w:tcPr>
          <w:p w14:paraId="045730BA"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.001</w:t>
            </w:r>
          </w:p>
        </w:tc>
        <w:tc>
          <w:tcPr>
            <w:tcW w:w="567" w:type="dxa"/>
            <w:noWrap/>
            <w:vAlign w:val="center"/>
            <w:hideMark/>
          </w:tcPr>
          <w:p w14:paraId="1FF4F1F7"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-.081</w:t>
            </w:r>
          </w:p>
        </w:tc>
        <w:tc>
          <w:tcPr>
            <w:tcW w:w="567" w:type="dxa"/>
            <w:noWrap/>
            <w:vAlign w:val="center"/>
            <w:hideMark/>
          </w:tcPr>
          <w:p w14:paraId="12F35285" w14:textId="77777777" w:rsidR="00D80DC9" w:rsidRDefault="00D80DC9">
            <w:pPr>
              <w:spacing w:line="480" w:lineRule="auto"/>
              <w:jc w:val="center"/>
              <w:rPr>
                <w:rFonts w:ascii="Calibri" w:hAnsi="Calibri" w:cs="Times New Roman"/>
                <w:sz w:val="18"/>
                <w:szCs w:val="18"/>
              </w:rPr>
            </w:pPr>
            <w:r>
              <w:rPr>
                <w:rFonts w:ascii="Times New Roman" w:hAnsi="Times New Roman" w:cs="Times New Roman"/>
                <w:color w:val="000000"/>
                <w:sz w:val="18"/>
                <w:szCs w:val="18"/>
                <w:lang w:val="en-US"/>
              </w:rPr>
              <w:t>1</w:t>
            </w:r>
          </w:p>
        </w:tc>
        <w:tc>
          <w:tcPr>
            <w:tcW w:w="567" w:type="dxa"/>
            <w:noWrap/>
            <w:vAlign w:val="center"/>
          </w:tcPr>
          <w:p w14:paraId="1BB17E3A" w14:textId="77777777" w:rsidR="00D80DC9" w:rsidRDefault="00D80DC9">
            <w:pPr>
              <w:spacing w:line="480" w:lineRule="auto"/>
              <w:jc w:val="center"/>
              <w:rPr>
                <w:rFonts w:ascii="Calibri" w:hAnsi="Calibri" w:cs="Times New Roman"/>
                <w:sz w:val="18"/>
                <w:szCs w:val="18"/>
              </w:rPr>
            </w:pPr>
          </w:p>
        </w:tc>
      </w:tr>
      <w:tr w:rsidR="00D80DC9" w14:paraId="78094604" w14:textId="77777777" w:rsidTr="00D80DC9">
        <w:trPr>
          <w:cantSplit/>
          <w:trHeight w:hRule="exact" w:val="397"/>
        </w:trPr>
        <w:tc>
          <w:tcPr>
            <w:tcW w:w="2670" w:type="dxa"/>
            <w:tcBorders>
              <w:top w:val="nil"/>
              <w:left w:val="nil"/>
              <w:bottom w:val="single" w:sz="4" w:space="0" w:color="auto"/>
              <w:right w:val="nil"/>
            </w:tcBorders>
            <w:vAlign w:val="center"/>
            <w:hideMark/>
          </w:tcPr>
          <w:p w14:paraId="6BD5CF5D" w14:textId="77777777" w:rsidR="00D80DC9" w:rsidRDefault="00D80DC9">
            <w:pPr>
              <w:spacing w:line="480" w:lineRule="auto"/>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(6) Goodwill trust (dummy)</w:t>
            </w:r>
          </w:p>
        </w:tc>
        <w:tc>
          <w:tcPr>
            <w:tcW w:w="709" w:type="dxa"/>
            <w:tcBorders>
              <w:top w:val="nil"/>
              <w:left w:val="nil"/>
              <w:bottom w:val="single" w:sz="4" w:space="0" w:color="auto"/>
              <w:right w:val="nil"/>
            </w:tcBorders>
            <w:vAlign w:val="center"/>
            <w:hideMark/>
          </w:tcPr>
          <w:p w14:paraId="04810074"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.552</w:t>
            </w:r>
          </w:p>
        </w:tc>
        <w:tc>
          <w:tcPr>
            <w:tcW w:w="708" w:type="dxa"/>
            <w:tcBorders>
              <w:top w:val="nil"/>
              <w:left w:val="nil"/>
              <w:bottom w:val="single" w:sz="4" w:space="0" w:color="auto"/>
              <w:right w:val="nil"/>
            </w:tcBorders>
            <w:vAlign w:val="center"/>
            <w:hideMark/>
          </w:tcPr>
          <w:p w14:paraId="63FB0847"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.4995</w:t>
            </w:r>
          </w:p>
        </w:tc>
        <w:tc>
          <w:tcPr>
            <w:tcW w:w="567" w:type="dxa"/>
            <w:tcBorders>
              <w:top w:val="nil"/>
              <w:left w:val="nil"/>
              <w:bottom w:val="single" w:sz="4" w:space="0" w:color="auto"/>
              <w:right w:val="nil"/>
            </w:tcBorders>
            <w:vAlign w:val="center"/>
          </w:tcPr>
          <w:p w14:paraId="30797717"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tcBorders>
              <w:top w:val="nil"/>
              <w:left w:val="nil"/>
              <w:bottom w:val="single" w:sz="4" w:space="0" w:color="auto"/>
              <w:right w:val="nil"/>
            </w:tcBorders>
            <w:vAlign w:val="center"/>
          </w:tcPr>
          <w:p w14:paraId="3EDA8B64" w14:textId="77777777" w:rsidR="00D80DC9" w:rsidRDefault="00D80DC9">
            <w:pPr>
              <w:spacing w:line="480" w:lineRule="auto"/>
              <w:jc w:val="center"/>
              <w:rPr>
                <w:rFonts w:ascii="Times New Roman" w:hAnsi="Times New Roman" w:cs="Times New Roman"/>
                <w:color w:val="000000"/>
                <w:sz w:val="18"/>
                <w:szCs w:val="18"/>
                <w:lang w:val="en-US"/>
              </w:rPr>
            </w:pPr>
          </w:p>
        </w:tc>
        <w:tc>
          <w:tcPr>
            <w:tcW w:w="567" w:type="dxa"/>
            <w:tcBorders>
              <w:top w:val="nil"/>
              <w:left w:val="nil"/>
              <w:bottom w:val="single" w:sz="4" w:space="0" w:color="auto"/>
              <w:right w:val="nil"/>
            </w:tcBorders>
            <w:noWrap/>
            <w:vAlign w:val="center"/>
            <w:hideMark/>
          </w:tcPr>
          <w:p w14:paraId="61225398"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-.067</w:t>
            </w:r>
          </w:p>
        </w:tc>
        <w:tc>
          <w:tcPr>
            <w:tcW w:w="567" w:type="dxa"/>
            <w:tcBorders>
              <w:top w:val="nil"/>
              <w:left w:val="nil"/>
              <w:bottom w:val="single" w:sz="4" w:space="0" w:color="auto"/>
              <w:right w:val="nil"/>
            </w:tcBorders>
            <w:noWrap/>
            <w:vAlign w:val="center"/>
            <w:hideMark/>
          </w:tcPr>
          <w:p w14:paraId="7CEDC701"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-.157</w:t>
            </w:r>
          </w:p>
        </w:tc>
        <w:tc>
          <w:tcPr>
            <w:tcW w:w="567" w:type="dxa"/>
            <w:tcBorders>
              <w:top w:val="nil"/>
              <w:left w:val="nil"/>
              <w:bottom w:val="single" w:sz="4" w:space="0" w:color="auto"/>
              <w:right w:val="nil"/>
            </w:tcBorders>
            <w:noWrap/>
            <w:vAlign w:val="center"/>
            <w:hideMark/>
          </w:tcPr>
          <w:p w14:paraId="48F87AEE"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-.004</w:t>
            </w:r>
          </w:p>
        </w:tc>
        <w:tc>
          <w:tcPr>
            <w:tcW w:w="567" w:type="dxa"/>
            <w:tcBorders>
              <w:top w:val="nil"/>
              <w:left w:val="nil"/>
              <w:bottom w:val="single" w:sz="4" w:space="0" w:color="auto"/>
              <w:right w:val="nil"/>
            </w:tcBorders>
            <w:noWrap/>
            <w:vAlign w:val="center"/>
            <w:hideMark/>
          </w:tcPr>
          <w:p w14:paraId="7F90E92E"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.007</w:t>
            </w:r>
          </w:p>
        </w:tc>
        <w:tc>
          <w:tcPr>
            <w:tcW w:w="567" w:type="dxa"/>
            <w:tcBorders>
              <w:top w:val="nil"/>
              <w:left w:val="nil"/>
              <w:bottom w:val="single" w:sz="4" w:space="0" w:color="auto"/>
              <w:right w:val="nil"/>
            </w:tcBorders>
            <w:noWrap/>
            <w:vAlign w:val="center"/>
            <w:hideMark/>
          </w:tcPr>
          <w:p w14:paraId="754E790D"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-.205</w:t>
            </w:r>
          </w:p>
        </w:tc>
        <w:tc>
          <w:tcPr>
            <w:tcW w:w="567" w:type="dxa"/>
            <w:tcBorders>
              <w:top w:val="nil"/>
              <w:left w:val="nil"/>
              <w:bottom w:val="single" w:sz="4" w:space="0" w:color="auto"/>
              <w:right w:val="nil"/>
            </w:tcBorders>
            <w:noWrap/>
            <w:vAlign w:val="center"/>
            <w:hideMark/>
          </w:tcPr>
          <w:p w14:paraId="5E86E4ED" w14:textId="77777777" w:rsidR="00D80DC9" w:rsidRDefault="00D80DC9">
            <w:pPr>
              <w:spacing w:line="480" w:lineRule="auto"/>
              <w:jc w:val="center"/>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w:t>
            </w:r>
          </w:p>
        </w:tc>
      </w:tr>
    </w:tbl>
    <w:p w14:paraId="2D80AD6B" w14:textId="77777777" w:rsidR="000E701B" w:rsidRPr="009634A6" w:rsidRDefault="000E701B" w:rsidP="000E701B">
      <w:pPr>
        <w:spacing w:after="200" w:line="276" w:lineRule="auto"/>
        <w:rPr>
          <w:rFonts w:ascii="Times New Roman" w:eastAsia="Times New Roman" w:hAnsi="Times New Roman" w:cs="Times New Roman"/>
          <w:lang w:val="en-US" w:eastAsia="de-AT"/>
        </w:rPr>
      </w:pPr>
    </w:p>
    <w:p w14:paraId="384B1CAF" w14:textId="77777777" w:rsidR="00A25CE6" w:rsidRPr="009634A6" w:rsidRDefault="00A25CE6" w:rsidP="000E701B">
      <w:pPr>
        <w:spacing w:after="200" w:line="276" w:lineRule="auto"/>
        <w:rPr>
          <w:rFonts w:ascii="Times New Roman" w:eastAsia="Times New Roman" w:hAnsi="Times New Roman" w:cs="Times New Roman"/>
          <w:lang w:val="en-US" w:eastAsia="de-AT"/>
        </w:rPr>
      </w:pPr>
    </w:p>
    <w:p w14:paraId="76FCB097" w14:textId="77777777" w:rsidR="00A25CE6" w:rsidRPr="009634A6" w:rsidRDefault="00A25CE6">
      <w:pPr>
        <w:spacing w:after="160" w:line="259" w:lineRule="auto"/>
        <w:rPr>
          <w:rFonts w:ascii="Times New Roman" w:eastAsia="Times New Roman" w:hAnsi="Times New Roman" w:cs="Times New Roman"/>
          <w:lang w:val="en-US" w:eastAsia="de-AT"/>
        </w:rPr>
      </w:pPr>
      <w:r w:rsidRPr="009634A6">
        <w:rPr>
          <w:rFonts w:ascii="Times New Roman" w:eastAsia="Times New Roman" w:hAnsi="Times New Roman" w:cs="Times New Roman"/>
          <w:lang w:val="en-US" w:eastAsia="de-AT"/>
        </w:rPr>
        <w:br w:type="page"/>
      </w:r>
    </w:p>
    <w:p w14:paraId="3C89B950" w14:textId="0E448DB2" w:rsidR="000E701B" w:rsidRPr="009634A6" w:rsidRDefault="000E701B" w:rsidP="000E701B">
      <w:pPr>
        <w:spacing w:after="200" w:line="276" w:lineRule="auto"/>
        <w:rPr>
          <w:rFonts w:ascii="Times New Roman" w:eastAsia="Times New Roman" w:hAnsi="Times New Roman" w:cs="Times New Roman"/>
          <w:sz w:val="20"/>
          <w:szCs w:val="20"/>
          <w:lang w:val="en-US" w:eastAsia="de-AT"/>
        </w:rPr>
      </w:pPr>
      <w:r w:rsidRPr="009634A6">
        <w:rPr>
          <w:rFonts w:ascii="Times New Roman" w:eastAsia="Times New Roman" w:hAnsi="Times New Roman" w:cs="Times New Roman"/>
          <w:lang w:val="en-US" w:eastAsia="de-AT"/>
        </w:rPr>
        <w:lastRenderedPageBreak/>
        <w:t>Table 4</w:t>
      </w:r>
      <w:r w:rsidRPr="009634A6">
        <w:rPr>
          <w:rFonts w:ascii="Times New Roman" w:eastAsia="Times New Roman" w:hAnsi="Times New Roman" w:cs="Times New Roman"/>
          <w:sz w:val="20"/>
          <w:szCs w:val="20"/>
          <w:lang w:val="en-US" w:eastAsia="de-AT"/>
        </w:rPr>
        <w:t xml:space="preserve"> </w:t>
      </w:r>
      <w:r w:rsidRPr="009634A6">
        <w:rPr>
          <w:rFonts w:ascii="Times New Roman" w:eastAsia="Times New Roman" w:hAnsi="Times New Roman" w:cs="Times New Roman"/>
          <w:lang w:val="en-US" w:eastAsia="de-AT"/>
        </w:rPr>
        <w:t>Test of Hypotheses</w:t>
      </w:r>
    </w:p>
    <w:tbl>
      <w:tblPr>
        <w:tblStyle w:val="Tabellenraster1"/>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476"/>
        <w:gridCol w:w="644"/>
        <w:gridCol w:w="490"/>
        <w:gridCol w:w="658"/>
        <w:gridCol w:w="2323"/>
        <w:gridCol w:w="567"/>
        <w:gridCol w:w="708"/>
        <w:gridCol w:w="671"/>
        <w:gridCol w:w="826"/>
      </w:tblGrid>
      <w:tr w:rsidR="00017DF8" w:rsidRPr="009634A6" w14:paraId="5F7A89AF" w14:textId="77777777" w:rsidTr="00A25CE6">
        <w:trPr>
          <w:trHeight w:hRule="exact" w:val="397"/>
        </w:trPr>
        <w:tc>
          <w:tcPr>
            <w:tcW w:w="2100" w:type="dxa"/>
            <w:tcBorders>
              <w:top w:val="single" w:sz="4" w:space="0" w:color="auto"/>
              <w:bottom w:val="single" w:sz="4" w:space="0" w:color="auto"/>
            </w:tcBorders>
            <w:tcMar>
              <w:left w:w="28" w:type="dxa"/>
              <w:right w:w="28" w:type="dxa"/>
            </w:tcMar>
            <w:vAlign w:val="center"/>
          </w:tcPr>
          <w:p w14:paraId="0A970AEE" w14:textId="77777777" w:rsidR="000E701B" w:rsidRPr="009634A6" w:rsidRDefault="000E701B" w:rsidP="00A25CE6">
            <w:pPr>
              <w:spacing w:line="48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Auditor perspective</w:t>
            </w:r>
          </w:p>
        </w:tc>
        <w:tc>
          <w:tcPr>
            <w:tcW w:w="1120" w:type="dxa"/>
            <w:gridSpan w:val="2"/>
            <w:tcBorders>
              <w:top w:val="single" w:sz="4" w:space="0" w:color="auto"/>
              <w:bottom w:val="single" w:sz="4" w:space="0" w:color="auto"/>
            </w:tcBorders>
            <w:tcMar>
              <w:left w:w="28" w:type="dxa"/>
              <w:right w:w="28" w:type="dxa"/>
            </w:tcMar>
            <w:vAlign w:val="center"/>
          </w:tcPr>
          <w:p w14:paraId="5F8B1045"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model A1</w:t>
            </w:r>
          </w:p>
        </w:tc>
        <w:tc>
          <w:tcPr>
            <w:tcW w:w="1148" w:type="dxa"/>
            <w:gridSpan w:val="2"/>
            <w:tcBorders>
              <w:top w:val="single" w:sz="4" w:space="0" w:color="auto"/>
              <w:bottom w:val="single" w:sz="4" w:space="0" w:color="auto"/>
            </w:tcBorders>
            <w:noWrap/>
            <w:tcMar>
              <w:left w:w="28" w:type="dxa"/>
              <w:right w:w="28" w:type="dxa"/>
            </w:tcMar>
            <w:vAlign w:val="center"/>
          </w:tcPr>
          <w:p w14:paraId="74FC0FAA"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model A2</w:t>
            </w:r>
          </w:p>
        </w:tc>
        <w:tc>
          <w:tcPr>
            <w:tcW w:w="2323" w:type="dxa"/>
            <w:tcBorders>
              <w:top w:val="single" w:sz="4" w:space="0" w:color="auto"/>
              <w:bottom w:val="single" w:sz="4" w:space="0" w:color="auto"/>
            </w:tcBorders>
            <w:noWrap/>
            <w:tcMar>
              <w:left w:w="28" w:type="dxa"/>
              <w:right w:w="28" w:type="dxa"/>
            </w:tcMar>
            <w:vAlign w:val="center"/>
          </w:tcPr>
          <w:p w14:paraId="04F1DC7B" w14:textId="77777777" w:rsidR="000E701B" w:rsidRPr="009634A6" w:rsidRDefault="000E701B" w:rsidP="00A25CE6">
            <w:pPr>
              <w:spacing w:line="480" w:lineRule="auto"/>
              <w:ind w:left="255"/>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Client perspective</w:t>
            </w:r>
          </w:p>
        </w:tc>
        <w:tc>
          <w:tcPr>
            <w:tcW w:w="1275" w:type="dxa"/>
            <w:gridSpan w:val="2"/>
            <w:tcBorders>
              <w:top w:val="single" w:sz="4" w:space="0" w:color="auto"/>
              <w:bottom w:val="single" w:sz="4" w:space="0" w:color="auto"/>
            </w:tcBorders>
            <w:noWrap/>
            <w:tcMar>
              <w:left w:w="28" w:type="dxa"/>
              <w:right w:w="28" w:type="dxa"/>
            </w:tcMar>
            <w:vAlign w:val="center"/>
          </w:tcPr>
          <w:p w14:paraId="4DA40791"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model C1</w:t>
            </w:r>
          </w:p>
        </w:tc>
        <w:tc>
          <w:tcPr>
            <w:tcW w:w="1497" w:type="dxa"/>
            <w:gridSpan w:val="2"/>
            <w:tcBorders>
              <w:top w:val="single" w:sz="4" w:space="0" w:color="auto"/>
              <w:bottom w:val="single" w:sz="4" w:space="0" w:color="auto"/>
            </w:tcBorders>
            <w:vAlign w:val="center"/>
          </w:tcPr>
          <w:p w14:paraId="28C317F3"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model C2</w:t>
            </w:r>
          </w:p>
        </w:tc>
      </w:tr>
      <w:tr w:rsidR="00A25CE6" w:rsidRPr="009634A6" w14:paraId="76D72668" w14:textId="77777777" w:rsidTr="00A25CE6">
        <w:trPr>
          <w:trHeight w:hRule="exact" w:val="397"/>
        </w:trPr>
        <w:tc>
          <w:tcPr>
            <w:tcW w:w="2100" w:type="dxa"/>
            <w:tcBorders>
              <w:top w:val="single" w:sz="4" w:space="0" w:color="auto"/>
            </w:tcBorders>
            <w:tcMar>
              <w:left w:w="28" w:type="dxa"/>
              <w:right w:w="28" w:type="dxa"/>
            </w:tcMar>
            <w:vAlign w:val="center"/>
          </w:tcPr>
          <w:p w14:paraId="7B00F88E" w14:textId="77777777" w:rsidR="000E701B" w:rsidRPr="009634A6" w:rsidRDefault="000E701B" w:rsidP="00A25CE6">
            <w:pPr>
              <w:spacing w:line="480" w:lineRule="auto"/>
              <w:rPr>
                <w:rFonts w:ascii="Times New Roman" w:hAnsi="Times New Roman" w:cs="Times New Roman"/>
                <w:color w:val="000000"/>
                <w:sz w:val="18"/>
                <w:szCs w:val="18"/>
                <w:lang w:val="en-US"/>
              </w:rPr>
            </w:pPr>
          </w:p>
        </w:tc>
        <w:tc>
          <w:tcPr>
            <w:tcW w:w="476" w:type="dxa"/>
            <w:tcBorders>
              <w:top w:val="single" w:sz="4" w:space="0" w:color="auto"/>
              <w:bottom w:val="single" w:sz="4" w:space="0" w:color="auto"/>
              <w:right w:val="single" w:sz="24" w:space="0" w:color="FFFFFF" w:themeColor="background1"/>
            </w:tcBorders>
            <w:tcMar>
              <w:left w:w="28" w:type="dxa"/>
              <w:right w:w="28" w:type="dxa"/>
            </w:tcMar>
            <w:vAlign w:val="center"/>
          </w:tcPr>
          <w:p w14:paraId="6F4C54B2"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ß</w:t>
            </w:r>
          </w:p>
        </w:tc>
        <w:tc>
          <w:tcPr>
            <w:tcW w:w="644" w:type="dxa"/>
            <w:tcBorders>
              <w:top w:val="single" w:sz="4" w:space="0" w:color="auto"/>
              <w:left w:val="single" w:sz="24" w:space="0" w:color="FFFFFF" w:themeColor="background1"/>
              <w:bottom w:val="single" w:sz="4" w:space="0" w:color="auto"/>
              <w:right w:val="single" w:sz="24" w:space="0" w:color="FFFFFF" w:themeColor="background1"/>
            </w:tcBorders>
            <w:tcMar>
              <w:left w:w="28" w:type="dxa"/>
              <w:right w:w="28" w:type="dxa"/>
            </w:tcMar>
            <w:vAlign w:val="center"/>
          </w:tcPr>
          <w:p w14:paraId="5E5A2D45"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p-value</w:t>
            </w:r>
          </w:p>
        </w:tc>
        <w:tc>
          <w:tcPr>
            <w:tcW w:w="490" w:type="dxa"/>
            <w:tcBorders>
              <w:top w:val="single" w:sz="4" w:space="0" w:color="auto"/>
              <w:left w:val="single" w:sz="24" w:space="0" w:color="FFFFFF" w:themeColor="background1"/>
              <w:bottom w:val="single" w:sz="4" w:space="0" w:color="auto"/>
              <w:right w:val="single" w:sz="24" w:space="0" w:color="FFFFFF" w:themeColor="background1"/>
            </w:tcBorders>
            <w:noWrap/>
            <w:tcMar>
              <w:left w:w="28" w:type="dxa"/>
              <w:right w:w="28" w:type="dxa"/>
            </w:tcMar>
            <w:vAlign w:val="center"/>
          </w:tcPr>
          <w:p w14:paraId="44878C9A" w14:textId="77777777" w:rsidR="000E701B" w:rsidRPr="009634A6" w:rsidRDefault="000E701B" w:rsidP="00A25CE6">
            <w:pPr>
              <w:spacing w:line="480" w:lineRule="auto"/>
              <w:ind w:left="-31" w:firstLine="31"/>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ß</w:t>
            </w:r>
          </w:p>
        </w:tc>
        <w:tc>
          <w:tcPr>
            <w:tcW w:w="658" w:type="dxa"/>
            <w:tcBorders>
              <w:top w:val="single" w:sz="4" w:space="0" w:color="auto"/>
              <w:left w:val="single" w:sz="24" w:space="0" w:color="FFFFFF" w:themeColor="background1"/>
              <w:bottom w:val="single" w:sz="4" w:space="0" w:color="auto"/>
            </w:tcBorders>
            <w:noWrap/>
            <w:tcMar>
              <w:left w:w="28" w:type="dxa"/>
              <w:right w:w="28" w:type="dxa"/>
            </w:tcMar>
            <w:vAlign w:val="center"/>
          </w:tcPr>
          <w:p w14:paraId="1F29D64D"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p-value</w:t>
            </w:r>
          </w:p>
        </w:tc>
        <w:tc>
          <w:tcPr>
            <w:tcW w:w="2323" w:type="dxa"/>
            <w:tcBorders>
              <w:top w:val="single" w:sz="4" w:space="0" w:color="auto"/>
            </w:tcBorders>
            <w:noWrap/>
            <w:tcMar>
              <w:left w:w="28" w:type="dxa"/>
              <w:right w:w="28" w:type="dxa"/>
            </w:tcMar>
            <w:vAlign w:val="center"/>
          </w:tcPr>
          <w:p w14:paraId="230F0019" w14:textId="77777777" w:rsidR="000E701B" w:rsidRPr="009634A6" w:rsidRDefault="000E701B" w:rsidP="00A25CE6">
            <w:pPr>
              <w:spacing w:line="480" w:lineRule="auto"/>
              <w:ind w:left="255"/>
              <w:rPr>
                <w:rFonts w:ascii="Times New Roman" w:hAnsi="Times New Roman" w:cs="Times New Roman"/>
                <w:color w:val="000000"/>
                <w:sz w:val="18"/>
                <w:szCs w:val="18"/>
                <w:lang w:val="en-US"/>
              </w:rPr>
            </w:pPr>
          </w:p>
        </w:tc>
        <w:tc>
          <w:tcPr>
            <w:tcW w:w="567" w:type="dxa"/>
            <w:tcBorders>
              <w:top w:val="single" w:sz="4" w:space="0" w:color="auto"/>
              <w:bottom w:val="single" w:sz="4" w:space="0" w:color="auto"/>
            </w:tcBorders>
            <w:noWrap/>
            <w:tcMar>
              <w:left w:w="28" w:type="dxa"/>
              <w:right w:w="28" w:type="dxa"/>
            </w:tcMar>
            <w:vAlign w:val="center"/>
          </w:tcPr>
          <w:p w14:paraId="1183746F"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ß</w:t>
            </w:r>
          </w:p>
        </w:tc>
        <w:tc>
          <w:tcPr>
            <w:tcW w:w="708" w:type="dxa"/>
            <w:tcBorders>
              <w:top w:val="single" w:sz="4" w:space="0" w:color="auto"/>
              <w:bottom w:val="single" w:sz="4" w:space="0" w:color="auto"/>
            </w:tcBorders>
            <w:noWrap/>
            <w:tcMar>
              <w:left w:w="28" w:type="dxa"/>
              <w:right w:w="28" w:type="dxa"/>
            </w:tcMar>
            <w:vAlign w:val="center"/>
          </w:tcPr>
          <w:p w14:paraId="7B168662"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p-value</w:t>
            </w:r>
          </w:p>
        </w:tc>
        <w:tc>
          <w:tcPr>
            <w:tcW w:w="671" w:type="dxa"/>
            <w:tcBorders>
              <w:top w:val="single" w:sz="4" w:space="0" w:color="auto"/>
              <w:bottom w:val="single" w:sz="4" w:space="0" w:color="auto"/>
            </w:tcBorders>
            <w:vAlign w:val="center"/>
          </w:tcPr>
          <w:p w14:paraId="2A2E696B"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ß</w:t>
            </w:r>
          </w:p>
        </w:tc>
        <w:tc>
          <w:tcPr>
            <w:tcW w:w="826" w:type="dxa"/>
            <w:tcBorders>
              <w:top w:val="single" w:sz="4" w:space="0" w:color="auto"/>
              <w:bottom w:val="single" w:sz="4" w:space="0" w:color="auto"/>
            </w:tcBorders>
            <w:vAlign w:val="center"/>
          </w:tcPr>
          <w:p w14:paraId="518F059D"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p-value</w:t>
            </w:r>
          </w:p>
        </w:tc>
      </w:tr>
      <w:tr w:rsidR="00A25CE6" w:rsidRPr="009634A6" w14:paraId="4D47C33B" w14:textId="77777777" w:rsidTr="00A25CE6">
        <w:trPr>
          <w:trHeight w:hRule="exact" w:val="397"/>
        </w:trPr>
        <w:tc>
          <w:tcPr>
            <w:tcW w:w="2100" w:type="dxa"/>
            <w:tcMar>
              <w:left w:w="28" w:type="dxa"/>
              <w:right w:w="28" w:type="dxa"/>
            </w:tcMar>
            <w:vAlign w:val="center"/>
            <w:hideMark/>
          </w:tcPr>
          <w:p w14:paraId="36E963D6" w14:textId="77777777" w:rsidR="000E701B" w:rsidRPr="009634A6" w:rsidRDefault="000E701B" w:rsidP="00A25CE6">
            <w:pPr>
              <w:spacing w:line="48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Big 4 (dummy)</w:t>
            </w:r>
          </w:p>
        </w:tc>
        <w:tc>
          <w:tcPr>
            <w:tcW w:w="476" w:type="dxa"/>
            <w:tcBorders>
              <w:top w:val="single" w:sz="4" w:space="0" w:color="auto"/>
            </w:tcBorders>
            <w:tcMar>
              <w:left w:w="28" w:type="dxa"/>
              <w:right w:w="28" w:type="dxa"/>
            </w:tcMar>
            <w:vAlign w:val="center"/>
          </w:tcPr>
          <w:p w14:paraId="32A7CC8E"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-.037</w:t>
            </w:r>
          </w:p>
        </w:tc>
        <w:tc>
          <w:tcPr>
            <w:tcW w:w="644" w:type="dxa"/>
            <w:tcBorders>
              <w:top w:val="single" w:sz="4" w:space="0" w:color="auto"/>
            </w:tcBorders>
            <w:tcMar>
              <w:left w:w="28" w:type="dxa"/>
              <w:right w:w="28" w:type="dxa"/>
            </w:tcMar>
            <w:vAlign w:val="center"/>
          </w:tcPr>
          <w:p w14:paraId="6A5F25D2" w14:textId="6AA8B264" w:rsidR="000E701B" w:rsidRPr="009634A6" w:rsidRDefault="0051577E"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.626</w:t>
            </w:r>
          </w:p>
        </w:tc>
        <w:tc>
          <w:tcPr>
            <w:tcW w:w="490" w:type="dxa"/>
            <w:tcBorders>
              <w:top w:val="single" w:sz="4" w:space="0" w:color="auto"/>
            </w:tcBorders>
            <w:noWrap/>
            <w:tcMar>
              <w:left w:w="28" w:type="dxa"/>
              <w:right w:w="28" w:type="dxa"/>
            </w:tcMar>
            <w:vAlign w:val="center"/>
          </w:tcPr>
          <w:p w14:paraId="5F3AD901" w14:textId="0136093A" w:rsidR="000E701B" w:rsidRPr="009634A6" w:rsidRDefault="0051577E"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-.014</w:t>
            </w:r>
          </w:p>
        </w:tc>
        <w:tc>
          <w:tcPr>
            <w:tcW w:w="658" w:type="dxa"/>
            <w:tcBorders>
              <w:top w:val="single" w:sz="4" w:space="0" w:color="auto"/>
            </w:tcBorders>
            <w:noWrap/>
            <w:tcMar>
              <w:left w:w="28" w:type="dxa"/>
              <w:right w:w="28" w:type="dxa"/>
            </w:tcMar>
            <w:vAlign w:val="center"/>
          </w:tcPr>
          <w:p w14:paraId="6FA3F4E5" w14:textId="0273B886" w:rsidR="000E701B" w:rsidRPr="009634A6" w:rsidRDefault="0051577E"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.853</w:t>
            </w:r>
          </w:p>
        </w:tc>
        <w:tc>
          <w:tcPr>
            <w:tcW w:w="2323" w:type="dxa"/>
            <w:noWrap/>
            <w:tcMar>
              <w:left w:w="28" w:type="dxa"/>
              <w:right w:w="28" w:type="dxa"/>
            </w:tcMar>
            <w:vAlign w:val="center"/>
          </w:tcPr>
          <w:p w14:paraId="7FF6E6DB" w14:textId="77777777" w:rsidR="000E701B" w:rsidRPr="009634A6" w:rsidRDefault="000E701B" w:rsidP="00A25CE6">
            <w:pPr>
              <w:spacing w:line="480" w:lineRule="auto"/>
              <w:ind w:left="255"/>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Number of employees FTE</w:t>
            </w:r>
          </w:p>
        </w:tc>
        <w:tc>
          <w:tcPr>
            <w:tcW w:w="567" w:type="dxa"/>
            <w:tcBorders>
              <w:top w:val="single" w:sz="4" w:space="0" w:color="auto"/>
            </w:tcBorders>
            <w:noWrap/>
            <w:tcMar>
              <w:left w:w="28" w:type="dxa"/>
              <w:right w:w="28" w:type="dxa"/>
            </w:tcMar>
            <w:vAlign w:val="center"/>
          </w:tcPr>
          <w:p w14:paraId="3E034E87"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.096</w:t>
            </w:r>
          </w:p>
        </w:tc>
        <w:tc>
          <w:tcPr>
            <w:tcW w:w="708" w:type="dxa"/>
            <w:tcBorders>
              <w:top w:val="single" w:sz="4" w:space="0" w:color="auto"/>
            </w:tcBorders>
            <w:noWrap/>
            <w:tcMar>
              <w:left w:w="28" w:type="dxa"/>
              <w:right w:w="28" w:type="dxa"/>
            </w:tcMar>
            <w:vAlign w:val="center"/>
          </w:tcPr>
          <w:p w14:paraId="1FE86B55"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.314</w:t>
            </w:r>
          </w:p>
        </w:tc>
        <w:tc>
          <w:tcPr>
            <w:tcW w:w="671" w:type="dxa"/>
            <w:tcBorders>
              <w:top w:val="single" w:sz="4" w:space="0" w:color="auto"/>
            </w:tcBorders>
            <w:vAlign w:val="center"/>
          </w:tcPr>
          <w:p w14:paraId="326A7100"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.070</w:t>
            </w:r>
          </w:p>
        </w:tc>
        <w:tc>
          <w:tcPr>
            <w:tcW w:w="826" w:type="dxa"/>
            <w:tcBorders>
              <w:top w:val="single" w:sz="4" w:space="0" w:color="auto"/>
            </w:tcBorders>
            <w:vAlign w:val="center"/>
          </w:tcPr>
          <w:p w14:paraId="387DCDAA"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.457</w:t>
            </w:r>
          </w:p>
        </w:tc>
      </w:tr>
      <w:tr w:rsidR="00A25CE6" w:rsidRPr="009634A6" w14:paraId="3F000F96" w14:textId="77777777" w:rsidTr="00A25CE6">
        <w:trPr>
          <w:trHeight w:hRule="exact" w:val="397"/>
        </w:trPr>
        <w:tc>
          <w:tcPr>
            <w:tcW w:w="2100" w:type="dxa"/>
            <w:tcMar>
              <w:left w:w="28" w:type="dxa"/>
              <w:right w:w="28" w:type="dxa"/>
            </w:tcMar>
            <w:vAlign w:val="center"/>
          </w:tcPr>
          <w:p w14:paraId="55198B6B" w14:textId="77777777" w:rsidR="000E701B" w:rsidRPr="009634A6" w:rsidRDefault="000E701B" w:rsidP="00A25CE6">
            <w:pPr>
              <w:spacing w:line="48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Male (dummy)</w:t>
            </w:r>
          </w:p>
        </w:tc>
        <w:tc>
          <w:tcPr>
            <w:tcW w:w="476" w:type="dxa"/>
            <w:tcMar>
              <w:left w:w="28" w:type="dxa"/>
              <w:right w:w="28" w:type="dxa"/>
            </w:tcMar>
            <w:vAlign w:val="center"/>
          </w:tcPr>
          <w:p w14:paraId="500671AB"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-.065</w:t>
            </w:r>
          </w:p>
        </w:tc>
        <w:tc>
          <w:tcPr>
            <w:tcW w:w="644" w:type="dxa"/>
            <w:tcMar>
              <w:left w:w="28" w:type="dxa"/>
              <w:right w:w="28" w:type="dxa"/>
            </w:tcMar>
            <w:vAlign w:val="center"/>
          </w:tcPr>
          <w:p w14:paraId="2243993F" w14:textId="743CD51A" w:rsidR="000E701B" w:rsidRPr="009634A6" w:rsidRDefault="0051577E"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.407</w:t>
            </w:r>
          </w:p>
        </w:tc>
        <w:tc>
          <w:tcPr>
            <w:tcW w:w="490" w:type="dxa"/>
            <w:noWrap/>
            <w:tcMar>
              <w:left w:w="28" w:type="dxa"/>
              <w:right w:w="28" w:type="dxa"/>
            </w:tcMar>
            <w:vAlign w:val="center"/>
          </w:tcPr>
          <w:p w14:paraId="165ABD7D" w14:textId="2FDE9594" w:rsidR="000E701B" w:rsidRPr="009634A6" w:rsidRDefault="0051577E" w:rsidP="0051577E">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w:t>
            </w:r>
            <w:r w:rsidR="000E701B" w:rsidRPr="009634A6">
              <w:rPr>
                <w:rFonts w:ascii="Times New Roman" w:hAnsi="Times New Roman" w:cs="Times New Roman"/>
                <w:color w:val="000000"/>
                <w:sz w:val="18"/>
                <w:szCs w:val="18"/>
                <w:lang w:val="en-US"/>
              </w:rPr>
              <w:t>.</w:t>
            </w:r>
            <w:r w:rsidRPr="009634A6">
              <w:rPr>
                <w:rFonts w:ascii="Times New Roman" w:hAnsi="Times New Roman" w:cs="Times New Roman"/>
                <w:color w:val="000000"/>
                <w:sz w:val="18"/>
                <w:szCs w:val="18"/>
                <w:lang w:val="en-US"/>
              </w:rPr>
              <w:t>065</w:t>
            </w:r>
          </w:p>
        </w:tc>
        <w:tc>
          <w:tcPr>
            <w:tcW w:w="658" w:type="dxa"/>
            <w:noWrap/>
            <w:tcMar>
              <w:left w:w="28" w:type="dxa"/>
              <w:right w:w="28" w:type="dxa"/>
            </w:tcMar>
            <w:vAlign w:val="center"/>
          </w:tcPr>
          <w:p w14:paraId="32240F58" w14:textId="3B391BAF" w:rsidR="000E701B" w:rsidRPr="009634A6" w:rsidRDefault="000E701B" w:rsidP="0051577E">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.41</w:t>
            </w:r>
            <w:r w:rsidR="0051577E" w:rsidRPr="009634A6">
              <w:rPr>
                <w:rFonts w:ascii="Times New Roman" w:hAnsi="Times New Roman" w:cs="Times New Roman"/>
                <w:color w:val="000000"/>
                <w:sz w:val="18"/>
                <w:szCs w:val="18"/>
                <w:lang w:val="en-US"/>
              </w:rPr>
              <w:t>1</w:t>
            </w:r>
          </w:p>
        </w:tc>
        <w:tc>
          <w:tcPr>
            <w:tcW w:w="2323" w:type="dxa"/>
            <w:noWrap/>
            <w:tcMar>
              <w:left w:w="28" w:type="dxa"/>
              <w:right w:w="28" w:type="dxa"/>
            </w:tcMar>
            <w:vAlign w:val="center"/>
          </w:tcPr>
          <w:p w14:paraId="2C6D7FE2" w14:textId="77777777" w:rsidR="000E701B" w:rsidRPr="009634A6" w:rsidRDefault="000E701B" w:rsidP="00A25CE6">
            <w:pPr>
              <w:spacing w:line="480" w:lineRule="auto"/>
              <w:ind w:left="255"/>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Male (dummy)</w:t>
            </w:r>
          </w:p>
        </w:tc>
        <w:tc>
          <w:tcPr>
            <w:tcW w:w="567" w:type="dxa"/>
            <w:noWrap/>
            <w:tcMar>
              <w:left w:w="28" w:type="dxa"/>
              <w:right w:w="28" w:type="dxa"/>
            </w:tcMar>
            <w:vAlign w:val="center"/>
          </w:tcPr>
          <w:p w14:paraId="7FCFBD91"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-.034</w:t>
            </w:r>
          </w:p>
        </w:tc>
        <w:tc>
          <w:tcPr>
            <w:tcW w:w="708" w:type="dxa"/>
            <w:noWrap/>
            <w:tcMar>
              <w:left w:w="28" w:type="dxa"/>
              <w:right w:w="28" w:type="dxa"/>
            </w:tcMar>
            <w:vAlign w:val="center"/>
          </w:tcPr>
          <w:p w14:paraId="5FA853EB"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.738</w:t>
            </w:r>
          </w:p>
        </w:tc>
        <w:tc>
          <w:tcPr>
            <w:tcW w:w="671" w:type="dxa"/>
            <w:vAlign w:val="center"/>
          </w:tcPr>
          <w:p w14:paraId="57A83C1B"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-.022</w:t>
            </w:r>
          </w:p>
        </w:tc>
        <w:tc>
          <w:tcPr>
            <w:tcW w:w="826" w:type="dxa"/>
            <w:vAlign w:val="center"/>
          </w:tcPr>
          <w:p w14:paraId="6C16BA90"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.825</w:t>
            </w:r>
          </w:p>
        </w:tc>
      </w:tr>
      <w:tr w:rsidR="00A25CE6" w:rsidRPr="009634A6" w14:paraId="2B4A4419" w14:textId="77777777" w:rsidTr="00A25CE6">
        <w:trPr>
          <w:trHeight w:hRule="exact" w:val="397"/>
        </w:trPr>
        <w:tc>
          <w:tcPr>
            <w:tcW w:w="2100" w:type="dxa"/>
            <w:tcMar>
              <w:left w:w="28" w:type="dxa"/>
              <w:right w:w="28" w:type="dxa"/>
            </w:tcMar>
            <w:vAlign w:val="center"/>
          </w:tcPr>
          <w:p w14:paraId="0062CF47" w14:textId="77777777" w:rsidR="000E701B" w:rsidRPr="009634A6" w:rsidRDefault="000E701B" w:rsidP="00A25CE6">
            <w:pPr>
              <w:spacing w:line="48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Tenure auditor (years)</w:t>
            </w:r>
          </w:p>
        </w:tc>
        <w:tc>
          <w:tcPr>
            <w:tcW w:w="476" w:type="dxa"/>
            <w:tcMar>
              <w:left w:w="28" w:type="dxa"/>
              <w:right w:w="28" w:type="dxa"/>
            </w:tcMar>
            <w:vAlign w:val="center"/>
          </w:tcPr>
          <w:p w14:paraId="69B68BD7" w14:textId="04D2E60C" w:rsidR="000E701B" w:rsidRPr="009634A6" w:rsidRDefault="0051577E"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.459</w:t>
            </w:r>
          </w:p>
        </w:tc>
        <w:tc>
          <w:tcPr>
            <w:tcW w:w="644" w:type="dxa"/>
            <w:tcMar>
              <w:left w:w="28" w:type="dxa"/>
              <w:right w:w="28" w:type="dxa"/>
            </w:tcMar>
            <w:vAlign w:val="center"/>
          </w:tcPr>
          <w:p w14:paraId="1B1FA807"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.000</w:t>
            </w:r>
          </w:p>
        </w:tc>
        <w:tc>
          <w:tcPr>
            <w:tcW w:w="490" w:type="dxa"/>
            <w:noWrap/>
            <w:tcMar>
              <w:left w:w="28" w:type="dxa"/>
              <w:right w:w="28" w:type="dxa"/>
            </w:tcMar>
            <w:vAlign w:val="center"/>
          </w:tcPr>
          <w:p w14:paraId="287DCC24" w14:textId="26C9FA69" w:rsidR="000E701B" w:rsidRPr="009634A6" w:rsidRDefault="0051577E"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.466</w:t>
            </w:r>
          </w:p>
        </w:tc>
        <w:tc>
          <w:tcPr>
            <w:tcW w:w="658" w:type="dxa"/>
            <w:noWrap/>
            <w:tcMar>
              <w:left w:w="28" w:type="dxa"/>
              <w:right w:w="28" w:type="dxa"/>
            </w:tcMar>
            <w:vAlign w:val="center"/>
          </w:tcPr>
          <w:p w14:paraId="7D0D525F"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.000</w:t>
            </w:r>
          </w:p>
        </w:tc>
        <w:tc>
          <w:tcPr>
            <w:tcW w:w="2323" w:type="dxa"/>
            <w:noWrap/>
            <w:tcMar>
              <w:left w:w="28" w:type="dxa"/>
              <w:right w:w="28" w:type="dxa"/>
            </w:tcMar>
            <w:vAlign w:val="center"/>
          </w:tcPr>
          <w:p w14:paraId="031E09CA" w14:textId="77777777" w:rsidR="000E701B" w:rsidRPr="009634A6" w:rsidRDefault="000E701B" w:rsidP="00A25CE6">
            <w:pPr>
              <w:spacing w:line="480" w:lineRule="auto"/>
              <w:ind w:left="255"/>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Age (years)</w:t>
            </w:r>
          </w:p>
        </w:tc>
        <w:tc>
          <w:tcPr>
            <w:tcW w:w="567" w:type="dxa"/>
            <w:noWrap/>
            <w:tcMar>
              <w:left w:w="28" w:type="dxa"/>
              <w:right w:w="28" w:type="dxa"/>
            </w:tcMar>
            <w:vAlign w:val="center"/>
          </w:tcPr>
          <w:p w14:paraId="326A46DA"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-.060</w:t>
            </w:r>
          </w:p>
        </w:tc>
        <w:tc>
          <w:tcPr>
            <w:tcW w:w="708" w:type="dxa"/>
            <w:noWrap/>
            <w:tcMar>
              <w:left w:w="28" w:type="dxa"/>
              <w:right w:w="28" w:type="dxa"/>
            </w:tcMar>
            <w:vAlign w:val="center"/>
          </w:tcPr>
          <w:p w14:paraId="322CE314"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.546</w:t>
            </w:r>
          </w:p>
        </w:tc>
        <w:tc>
          <w:tcPr>
            <w:tcW w:w="671" w:type="dxa"/>
            <w:vAlign w:val="center"/>
          </w:tcPr>
          <w:p w14:paraId="7F10447D"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-.085</w:t>
            </w:r>
          </w:p>
        </w:tc>
        <w:tc>
          <w:tcPr>
            <w:tcW w:w="826" w:type="dxa"/>
            <w:vAlign w:val="center"/>
          </w:tcPr>
          <w:p w14:paraId="2E206187"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.382</w:t>
            </w:r>
          </w:p>
        </w:tc>
      </w:tr>
      <w:tr w:rsidR="00A25CE6" w:rsidRPr="009634A6" w14:paraId="146BEA26" w14:textId="77777777" w:rsidTr="00A25CE6">
        <w:trPr>
          <w:trHeight w:hRule="exact" w:val="397"/>
        </w:trPr>
        <w:tc>
          <w:tcPr>
            <w:tcW w:w="2100" w:type="dxa"/>
            <w:tcMar>
              <w:left w:w="28" w:type="dxa"/>
              <w:right w:w="28" w:type="dxa"/>
            </w:tcMar>
            <w:vAlign w:val="center"/>
          </w:tcPr>
          <w:p w14:paraId="5B233491" w14:textId="77777777" w:rsidR="000E701B" w:rsidRPr="009634A6" w:rsidRDefault="000E701B" w:rsidP="00A25CE6">
            <w:pPr>
              <w:spacing w:line="48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Competence trust (dummy)</w:t>
            </w:r>
          </w:p>
        </w:tc>
        <w:tc>
          <w:tcPr>
            <w:tcW w:w="476" w:type="dxa"/>
            <w:tcMar>
              <w:left w:w="28" w:type="dxa"/>
              <w:right w:w="28" w:type="dxa"/>
            </w:tcMar>
            <w:vAlign w:val="center"/>
          </w:tcPr>
          <w:p w14:paraId="70A4956F"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p>
        </w:tc>
        <w:tc>
          <w:tcPr>
            <w:tcW w:w="644" w:type="dxa"/>
            <w:tcMar>
              <w:left w:w="28" w:type="dxa"/>
              <w:right w:w="28" w:type="dxa"/>
            </w:tcMar>
            <w:vAlign w:val="center"/>
          </w:tcPr>
          <w:p w14:paraId="7505BFB4"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p>
        </w:tc>
        <w:tc>
          <w:tcPr>
            <w:tcW w:w="490" w:type="dxa"/>
            <w:noWrap/>
            <w:tcMar>
              <w:left w:w="28" w:type="dxa"/>
              <w:right w:w="28" w:type="dxa"/>
            </w:tcMar>
            <w:vAlign w:val="center"/>
          </w:tcPr>
          <w:p w14:paraId="78984A4F" w14:textId="475469D3" w:rsidR="000E701B" w:rsidRPr="009634A6" w:rsidRDefault="0051577E"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-.159</w:t>
            </w:r>
          </w:p>
        </w:tc>
        <w:tc>
          <w:tcPr>
            <w:tcW w:w="658" w:type="dxa"/>
            <w:noWrap/>
            <w:tcMar>
              <w:left w:w="28" w:type="dxa"/>
              <w:right w:w="28" w:type="dxa"/>
            </w:tcMar>
            <w:vAlign w:val="center"/>
          </w:tcPr>
          <w:p w14:paraId="0567A486" w14:textId="3F4FCC05"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.03</w:t>
            </w:r>
            <w:r w:rsidR="0051577E" w:rsidRPr="009634A6">
              <w:rPr>
                <w:rFonts w:ascii="Times New Roman" w:hAnsi="Times New Roman" w:cs="Times New Roman"/>
                <w:color w:val="000000"/>
                <w:sz w:val="18"/>
                <w:szCs w:val="18"/>
                <w:lang w:val="en-US"/>
              </w:rPr>
              <w:t>5</w:t>
            </w:r>
          </w:p>
        </w:tc>
        <w:tc>
          <w:tcPr>
            <w:tcW w:w="2323" w:type="dxa"/>
            <w:noWrap/>
            <w:tcMar>
              <w:left w:w="28" w:type="dxa"/>
              <w:right w:w="28" w:type="dxa"/>
            </w:tcMar>
            <w:vAlign w:val="center"/>
          </w:tcPr>
          <w:p w14:paraId="741F6AD7" w14:textId="77777777" w:rsidR="000E701B" w:rsidRPr="009634A6" w:rsidRDefault="000E701B" w:rsidP="00A25CE6">
            <w:pPr>
              <w:spacing w:line="480" w:lineRule="auto"/>
              <w:ind w:left="255"/>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Competence trust (dummy)</w:t>
            </w:r>
          </w:p>
        </w:tc>
        <w:tc>
          <w:tcPr>
            <w:tcW w:w="567" w:type="dxa"/>
            <w:noWrap/>
            <w:tcMar>
              <w:left w:w="28" w:type="dxa"/>
              <w:right w:w="28" w:type="dxa"/>
            </w:tcMar>
            <w:vAlign w:val="center"/>
          </w:tcPr>
          <w:p w14:paraId="7452A2DA"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p>
        </w:tc>
        <w:tc>
          <w:tcPr>
            <w:tcW w:w="708" w:type="dxa"/>
            <w:noWrap/>
            <w:tcMar>
              <w:left w:w="28" w:type="dxa"/>
              <w:right w:w="28" w:type="dxa"/>
            </w:tcMar>
            <w:vAlign w:val="center"/>
          </w:tcPr>
          <w:p w14:paraId="213E8301"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p>
        </w:tc>
        <w:tc>
          <w:tcPr>
            <w:tcW w:w="671" w:type="dxa"/>
            <w:vAlign w:val="center"/>
          </w:tcPr>
          <w:p w14:paraId="76346FF0"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-.279</w:t>
            </w:r>
          </w:p>
        </w:tc>
        <w:tc>
          <w:tcPr>
            <w:tcW w:w="826" w:type="dxa"/>
            <w:vAlign w:val="center"/>
          </w:tcPr>
          <w:p w14:paraId="54B73B54"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.003</w:t>
            </w:r>
          </w:p>
        </w:tc>
      </w:tr>
      <w:tr w:rsidR="00A25CE6" w:rsidRPr="009634A6" w14:paraId="0297EA32" w14:textId="77777777" w:rsidTr="00A25CE6">
        <w:trPr>
          <w:trHeight w:hRule="exact" w:val="397"/>
        </w:trPr>
        <w:tc>
          <w:tcPr>
            <w:tcW w:w="2100" w:type="dxa"/>
            <w:tcMar>
              <w:left w:w="28" w:type="dxa"/>
              <w:right w:w="28" w:type="dxa"/>
            </w:tcMar>
            <w:vAlign w:val="center"/>
          </w:tcPr>
          <w:p w14:paraId="0B02651C" w14:textId="77777777" w:rsidR="000E701B" w:rsidRPr="009634A6" w:rsidRDefault="000E701B" w:rsidP="00A25CE6">
            <w:pPr>
              <w:spacing w:line="48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Goodwill trust (dummy)</w:t>
            </w:r>
          </w:p>
        </w:tc>
        <w:tc>
          <w:tcPr>
            <w:tcW w:w="476" w:type="dxa"/>
            <w:tcMar>
              <w:left w:w="28" w:type="dxa"/>
              <w:right w:w="28" w:type="dxa"/>
            </w:tcMar>
            <w:vAlign w:val="center"/>
          </w:tcPr>
          <w:p w14:paraId="75EDAA93"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p>
        </w:tc>
        <w:tc>
          <w:tcPr>
            <w:tcW w:w="644" w:type="dxa"/>
            <w:tcMar>
              <w:left w:w="28" w:type="dxa"/>
              <w:right w:w="28" w:type="dxa"/>
            </w:tcMar>
            <w:vAlign w:val="center"/>
          </w:tcPr>
          <w:p w14:paraId="39B5CD94"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p>
        </w:tc>
        <w:tc>
          <w:tcPr>
            <w:tcW w:w="490" w:type="dxa"/>
            <w:noWrap/>
            <w:tcMar>
              <w:left w:w="28" w:type="dxa"/>
              <w:right w:w="28" w:type="dxa"/>
            </w:tcMar>
            <w:vAlign w:val="center"/>
          </w:tcPr>
          <w:p w14:paraId="0E9C6A21" w14:textId="047A347A" w:rsidR="000E701B" w:rsidRPr="009634A6" w:rsidRDefault="0051577E"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-.155</w:t>
            </w:r>
          </w:p>
        </w:tc>
        <w:tc>
          <w:tcPr>
            <w:tcW w:w="658" w:type="dxa"/>
            <w:noWrap/>
            <w:tcMar>
              <w:left w:w="28" w:type="dxa"/>
              <w:right w:w="28" w:type="dxa"/>
            </w:tcMar>
            <w:vAlign w:val="center"/>
          </w:tcPr>
          <w:p w14:paraId="21A032C8" w14:textId="5B67CFD1" w:rsidR="000E701B" w:rsidRPr="009634A6" w:rsidRDefault="0051577E"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.124</w:t>
            </w:r>
          </w:p>
        </w:tc>
        <w:tc>
          <w:tcPr>
            <w:tcW w:w="2323" w:type="dxa"/>
            <w:noWrap/>
            <w:tcMar>
              <w:left w:w="28" w:type="dxa"/>
              <w:right w:w="28" w:type="dxa"/>
            </w:tcMar>
            <w:vAlign w:val="center"/>
          </w:tcPr>
          <w:p w14:paraId="19C8DE60" w14:textId="77777777" w:rsidR="000E701B" w:rsidRPr="009634A6" w:rsidRDefault="000E701B" w:rsidP="00A25CE6">
            <w:pPr>
              <w:spacing w:line="480" w:lineRule="auto"/>
              <w:ind w:left="255"/>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Goodwill trust (dummy)</w:t>
            </w:r>
          </w:p>
        </w:tc>
        <w:tc>
          <w:tcPr>
            <w:tcW w:w="567" w:type="dxa"/>
            <w:noWrap/>
            <w:tcMar>
              <w:left w:w="28" w:type="dxa"/>
              <w:right w:w="28" w:type="dxa"/>
            </w:tcMar>
            <w:vAlign w:val="center"/>
          </w:tcPr>
          <w:p w14:paraId="4A07D9CC"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p>
        </w:tc>
        <w:tc>
          <w:tcPr>
            <w:tcW w:w="708" w:type="dxa"/>
            <w:noWrap/>
            <w:tcMar>
              <w:left w:w="28" w:type="dxa"/>
              <w:right w:w="28" w:type="dxa"/>
            </w:tcMar>
            <w:vAlign w:val="center"/>
          </w:tcPr>
          <w:p w14:paraId="2A3B478B"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p>
        </w:tc>
        <w:tc>
          <w:tcPr>
            <w:tcW w:w="671" w:type="dxa"/>
            <w:vAlign w:val="center"/>
          </w:tcPr>
          <w:p w14:paraId="3F347092"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-.113</w:t>
            </w:r>
          </w:p>
        </w:tc>
        <w:tc>
          <w:tcPr>
            <w:tcW w:w="826" w:type="dxa"/>
            <w:vAlign w:val="center"/>
          </w:tcPr>
          <w:p w14:paraId="59CF590B"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.233</w:t>
            </w:r>
          </w:p>
        </w:tc>
      </w:tr>
      <w:tr w:rsidR="00017DF8" w:rsidRPr="009634A6" w14:paraId="1F687654" w14:textId="77777777" w:rsidTr="00A25CE6">
        <w:trPr>
          <w:trHeight w:hRule="exact" w:val="397"/>
        </w:trPr>
        <w:tc>
          <w:tcPr>
            <w:tcW w:w="2100" w:type="dxa"/>
            <w:tcMar>
              <w:left w:w="28" w:type="dxa"/>
              <w:right w:w="28" w:type="dxa"/>
            </w:tcMar>
            <w:vAlign w:val="center"/>
          </w:tcPr>
          <w:p w14:paraId="1900228F" w14:textId="77777777" w:rsidR="000E701B" w:rsidRPr="009634A6" w:rsidRDefault="000E701B" w:rsidP="00A25CE6">
            <w:pPr>
              <w:spacing w:line="48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adjusted R²</w:t>
            </w:r>
          </w:p>
        </w:tc>
        <w:tc>
          <w:tcPr>
            <w:tcW w:w="1120" w:type="dxa"/>
            <w:gridSpan w:val="2"/>
            <w:tcMar>
              <w:left w:w="28" w:type="dxa"/>
              <w:right w:w="28" w:type="dxa"/>
            </w:tcMar>
            <w:vAlign w:val="center"/>
          </w:tcPr>
          <w:p w14:paraId="353A89BD"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.187</w:t>
            </w:r>
          </w:p>
        </w:tc>
        <w:tc>
          <w:tcPr>
            <w:tcW w:w="1148" w:type="dxa"/>
            <w:gridSpan w:val="2"/>
            <w:noWrap/>
            <w:tcMar>
              <w:left w:w="28" w:type="dxa"/>
              <w:right w:w="28" w:type="dxa"/>
            </w:tcMar>
            <w:vAlign w:val="center"/>
          </w:tcPr>
          <w:p w14:paraId="21C2F493"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.213</w:t>
            </w:r>
          </w:p>
        </w:tc>
        <w:tc>
          <w:tcPr>
            <w:tcW w:w="2323" w:type="dxa"/>
            <w:noWrap/>
            <w:tcMar>
              <w:left w:w="28" w:type="dxa"/>
              <w:right w:w="28" w:type="dxa"/>
            </w:tcMar>
            <w:vAlign w:val="center"/>
          </w:tcPr>
          <w:p w14:paraId="4F2D67DE" w14:textId="77777777" w:rsidR="000E701B" w:rsidRPr="009634A6" w:rsidRDefault="000E701B" w:rsidP="00A25CE6">
            <w:pPr>
              <w:spacing w:line="480" w:lineRule="auto"/>
              <w:ind w:left="255"/>
              <w:rPr>
                <w:rFonts w:ascii="Times New Roman" w:hAnsi="Times New Roman" w:cs="Times New Roman"/>
                <w:color w:val="000000"/>
                <w:sz w:val="18"/>
                <w:szCs w:val="18"/>
                <w:lang w:val="en-US"/>
              </w:rPr>
            </w:pPr>
          </w:p>
        </w:tc>
        <w:tc>
          <w:tcPr>
            <w:tcW w:w="1275" w:type="dxa"/>
            <w:gridSpan w:val="2"/>
            <w:noWrap/>
            <w:tcMar>
              <w:left w:w="28" w:type="dxa"/>
              <w:right w:w="28" w:type="dxa"/>
            </w:tcMar>
            <w:vAlign w:val="center"/>
          </w:tcPr>
          <w:p w14:paraId="1BF69FE5"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.000</w:t>
            </w:r>
          </w:p>
        </w:tc>
        <w:tc>
          <w:tcPr>
            <w:tcW w:w="1497" w:type="dxa"/>
            <w:gridSpan w:val="2"/>
            <w:vAlign w:val="center"/>
          </w:tcPr>
          <w:p w14:paraId="5F60CB69"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.049</w:t>
            </w:r>
          </w:p>
        </w:tc>
      </w:tr>
      <w:tr w:rsidR="00017DF8" w:rsidRPr="009634A6" w14:paraId="73F897DC" w14:textId="77777777" w:rsidTr="00A25CE6">
        <w:trPr>
          <w:trHeight w:hRule="exact" w:val="397"/>
        </w:trPr>
        <w:tc>
          <w:tcPr>
            <w:tcW w:w="2100" w:type="dxa"/>
            <w:tcMar>
              <w:left w:w="28" w:type="dxa"/>
              <w:right w:w="28" w:type="dxa"/>
            </w:tcMar>
            <w:vAlign w:val="center"/>
          </w:tcPr>
          <w:p w14:paraId="05903FAC" w14:textId="77777777" w:rsidR="000E701B" w:rsidRPr="009634A6" w:rsidRDefault="000E701B" w:rsidP="00A25CE6">
            <w:pPr>
              <w:spacing w:line="48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ANOVA</w:t>
            </w:r>
          </w:p>
        </w:tc>
        <w:tc>
          <w:tcPr>
            <w:tcW w:w="1120" w:type="dxa"/>
            <w:gridSpan w:val="2"/>
            <w:tcMar>
              <w:left w:w="28" w:type="dxa"/>
              <w:right w:w="28" w:type="dxa"/>
            </w:tcMar>
            <w:vAlign w:val="center"/>
          </w:tcPr>
          <w:p w14:paraId="09E76415"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.000</w:t>
            </w:r>
          </w:p>
        </w:tc>
        <w:tc>
          <w:tcPr>
            <w:tcW w:w="1148" w:type="dxa"/>
            <w:gridSpan w:val="2"/>
            <w:noWrap/>
            <w:tcMar>
              <w:left w:w="28" w:type="dxa"/>
              <w:right w:w="28" w:type="dxa"/>
            </w:tcMar>
            <w:vAlign w:val="center"/>
          </w:tcPr>
          <w:p w14:paraId="0CF72EC2"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.000</w:t>
            </w:r>
          </w:p>
        </w:tc>
        <w:tc>
          <w:tcPr>
            <w:tcW w:w="2323" w:type="dxa"/>
            <w:noWrap/>
            <w:tcMar>
              <w:left w:w="28" w:type="dxa"/>
              <w:right w:w="28" w:type="dxa"/>
            </w:tcMar>
            <w:vAlign w:val="center"/>
          </w:tcPr>
          <w:p w14:paraId="01C973A4" w14:textId="77777777" w:rsidR="000E701B" w:rsidRPr="009634A6" w:rsidRDefault="000E701B" w:rsidP="00A25CE6">
            <w:pPr>
              <w:spacing w:line="480" w:lineRule="auto"/>
              <w:ind w:left="255"/>
              <w:rPr>
                <w:rFonts w:ascii="Times New Roman" w:hAnsi="Times New Roman" w:cs="Times New Roman"/>
                <w:color w:val="000000"/>
                <w:sz w:val="18"/>
                <w:szCs w:val="18"/>
                <w:lang w:val="en-US"/>
              </w:rPr>
            </w:pPr>
          </w:p>
        </w:tc>
        <w:tc>
          <w:tcPr>
            <w:tcW w:w="1275" w:type="dxa"/>
            <w:gridSpan w:val="2"/>
            <w:noWrap/>
            <w:tcMar>
              <w:left w:w="28" w:type="dxa"/>
              <w:right w:w="28" w:type="dxa"/>
            </w:tcMar>
            <w:vAlign w:val="center"/>
          </w:tcPr>
          <w:p w14:paraId="2865FFAB"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,665</w:t>
            </w:r>
          </w:p>
        </w:tc>
        <w:tc>
          <w:tcPr>
            <w:tcW w:w="1497" w:type="dxa"/>
            <w:gridSpan w:val="2"/>
            <w:vAlign w:val="center"/>
          </w:tcPr>
          <w:p w14:paraId="6C0E1997"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,061</w:t>
            </w:r>
          </w:p>
        </w:tc>
      </w:tr>
      <w:tr w:rsidR="00017DF8" w:rsidRPr="00017DF8" w14:paraId="1905326D" w14:textId="77777777" w:rsidTr="00A25CE6">
        <w:trPr>
          <w:trHeight w:hRule="exact" w:val="397"/>
        </w:trPr>
        <w:tc>
          <w:tcPr>
            <w:tcW w:w="2100" w:type="dxa"/>
            <w:tcBorders>
              <w:bottom w:val="single" w:sz="4" w:space="0" w:color="auto"/>
            </w:tcBorders>
            <w:tcMar>
              <w:left w:w="28" w:type="dxa"/>
              <w:right w:w="28" w:type="dxa"/>
            </w:tcMar>
            <w:vAlign w:val="center"/>
          </w:tcPr>
          <w:p w14:paraId="22E6C33E" w14:textId="77777777" w:rsidR="000E701B" w:rsidRPr="009634A6" w:rsidRDefault="000E701B" w:rsidP="00A25CE6">
            <w:pPr>
              <w:spacing w:line="480" w:lineRule="auto"/>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Sig. change in F</w:t>
            </w:r>
          </w:p>
        </w:tc>
        <w:tc>
          <w:tcPr>
            <w:tcW w:w="1120" w:type="dxa"/>
            <w:gridSpan w:val="2"/>
            <w:tcBorders>
              <w:bottom w:val="single" w:sz="4" w:space="0" w:color="auto"/>
            </w:tcBorders>
            <w:tcMar>
              <w:left w:w="28" w:type="dxa"/>
              <w:right w:w="28" w:type="dxa"/>
            </w:tcMar>
            <w:vAlign w:val="center"/>
          </w:tcPr>
          <w:p w14:paraId="09DCDFCB"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.000</w:t>
            </w:r>
          </w:p>
        </w:tc>
        <w:tc>
          <w:tcPr>
            <w:tcW w:w="1148" w:type="dxa"/>
            <w:gridSpan w:val="2"/>
            <w:tcBorders>
              <w:bottom w:val="single" w:sz="4" w:space="0" w:color="auto"/>
            </w:tcBorders>
            <w:noWrap/>
            <w:tcMar>
              <w:left w:w="28" w:type="dxa"/>
              <w:right w:w="28" w:type="dxa"/>
            </w:tcMar>
            <w:vAlign w:val="center"/>
          </w:tcPr>
          <w:p w14:paraId="7982200C"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.036</w:t>
            </w:r>
          </w:p>
        </w:tc>
        <w:tc>
          <w:tcPr>
            <w:tcW w:w="2323" w:type="dxa"/>
            <w:tcBorders>
              <w:bottom w:val="single" w:sz="4" w:space="0" w:color="auto"/>
            </w:tcBorders>
            <w:noWrap/>
            <w:tcMar>
              <w:left w:w="28" w:type="dxa"/>
              <w:right w:w="28" w:type="dxa"/>
            </w:tcMar>
            <w:vAlign w:val="center"/>
          </w:tcPr>
          <w:p w14:paraId="10145A22" w14:textId="77777777" w:rsidR="000E701B" w:rsidRPr="009634A6" w:rsidRDefault="000E701B" w:rsidP="00A25CE6">
            <w:pPr>
              <w:spacing w:line="480" w:lineRule="auto"/>
              <w:ind w:left="255"/>
              <w:rPr>
                <w:rFonts w:ascii="Times New Roman" w:hAnsi="Times New Roman" w:cs="Times New Roman"/>
                <w:color w:val="000000"/>
                <w:sz w:val="18"/>
                <w:szCs w:val="18"/>
                <w:lang w:val="en-US"/>
              </w:rPr>
            </w:pPr>
          </w:p>
        </w:tc>
        <w:tc>
          <w:tcPr>
            <w:tcW w:w="1275" w:type="dxa"/>
            <w:gridSpan w:val="2"/>
            <w:tcBorders>
              <w:bottom w:val="single" w:sz="4" w:space="0" w:color="auto"/>
            </w:tcBorders>
            <w:noWrap/>
            <w:tcMar>
              <w:left w:w="28" w:type="dxa"/>
              <w:right w:w="28" w:type="dxa"/>
            </w:tcMar>
            <w:vAlign w:val="center"/>
          </w:tcPr>
          <w:p w14:paraId="77D281DF" w14:textId="77777777" w:rsidR="000E701B" w:rsidRPr="009634A6"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.665</w:t>
            </w:r>
          </w:p>
        </w:tc>
        <w:tc>
          <w:tcPr>
            <w:tcW w:w="1497" w:type="dxa"/>
            <w:gridSpan w:val="2"/>
            <w:tcBorders>
              <w:bottom w:val="single" w:sz="4" w:space="0" w:color="auto"/>
            </w:tcBorders>
            <w:vAlign w:val="center"/>
          </w:tcPr>
          <w:p w14:paraId="61CD38B4" w14:textId="77777777" w:rsidR="000E701B" w:rsidRPr="00017DF8" w:rsidRDefault="000E701B" w:rsidP="00A25CE6">
            <w:pPr>
              <w:spacing w:line="480" w:lineRule="auto"/>
              <w:jc w:val="center"/>
              <w:rPr>
                <w:rFonts w:ascii="Times New Roman" w:hAnsi="Times New Roman" w:cs="Times New Roman"/>
                <w:color w:val="000000"/>
                <w:sz w:val="18"/>
                <w:szCs w:val="18"/>
                <w:lang w:val="en-US"/>
              </w:rPr>
            </w:pPr>
            <w:r w:rsidRPr="009634A6">
              <w:rPr>
                <w:rFonts w:ascii="Times New Roman" w:hAnsi="Times New Roman" w:cs="Times New Roman"/>
                <w:color w:val="000000"/>
                <w:sz w:val="18"/>
                <w:szCs w:val="18"/>
                <w:lang w:val="en-US"/>
              </w:rPr>
              <w:t>.012</w:t>
            </w:r>
          </w:p>
        </w:tc>
      </w:tr>
    </w:tbl>
    <w:p w14:paraId="776C3BB0" w14:textId="7FE179C1" w:rsidR="000E701B" w:rsidRDefault="000E701B" w:rsidP="000E701B">
      <w:pPr>
        <w:spacing w:before="120" w:after="200" w:line="276" w:lineRule="auto"/>
        <w:rPr>
          <w:rFonts w:ascii="Times New Roman" w:eastAsia="Times New Roman" w:hAnsi="Times New Roman" w:cs="Times New Roman"/>
          <w:i/>
          <w:sz w:val="20"/>
          <w:szCs w:val="20"/>
          <w:lang w:val="en-GB" w:eastAsia="de-AT"/>
        </w:rPr>
      </w:pPr>
      <w:r w:rsidRPr="000E701B">
        <w:rPr>
          <w:rFonts w:ascii="Times New Roman" w:eastAsia="Times New Roman" w:hAnsi="Times New Roman" w:cs="Times New Roman"/>
          <w:i/>
          <w:sz w:val="20"/>
          <w:szCs w:val="20"/>
          <w:lang w:val="en-US" w:eastAsia="de-AT"/>
        </w:rPr>
        <w:t xml:space="preserve">Dependent variable: Likelihood </w:t>
      </w:r>
      <w:r w:rsidRPr="000E701B">
        <w:rPr>
          <w:rFonts w:ascii="Times New Roman" w:eastAsia="Times New Roman" w:hAnsi="Times New Roman" w:cs="Times New Roman"/>
          <w:i/>
          <w:sz w:val="20"/>
          <w:szCs w:val="20"/>
          <w:lang w:val="en-GB" w:eastAsia="de-AT"/>
        </w:rPr>
        <w:t xml:space="preserve">to </w:t>
      </w:r>
      <w:r w:rsidR="001645F4">
        <w:rPr>
          <w:rFonts w:ascii="Times New Roman" w:eastAsia="Times New Roman" w:hAnsi="Times New Roman" w:cs="Times New Roman"/>
          <w:i/>
          <w:sz w:val="20"/>
          <w:szCs w:val="20"/>
          <w:lang w:val="en-GB" w:eastAsia="de-AT"/>
        </w:rPr>
        <w:t xml:space="preserve">stand up to </w:t>
      </w:r>
      <w:r w:rsidRPr="000E701B">
        <w:rPr>
          <w:rFonts w:ascii="Times New Roman" w:eastAsia="Times New Roman" w:hAnsi="Times New Roman" w:cs="Times New Roman"/>
          <w:i/>
          <w:sz w:val="20"/>
          <w:szCs w:val="20"/>
          <w:lang w:val="en-GB" w:eastAsia="de-AT"/>
        </w:rPr>
        <w:t xml:space="preserve">the </w:t>
      </w:r>
      <w:r w:rsidR="009C7FE7">
        <w:rPr>
          <w:rFonts w:ascii="Times New Roman" w:eastAsia="Times New Roman" w:hAnsi="Times New Roman" w:cs="Times New Roman"/>
          <w:i/>
          <w:sz w:val="20"/>
          <w:szCs w:val="20"/>
          <w:lang w:val="en-GB" w:eastAsia="de-AT"/>
        </w:rPr>
        <w:t>interaction partner</w:t>
      </w:r>
      <w:r w:rsidRPr="000E701B">
        <w:rPr>
          <w:rFonts w:ascii="Times New Roman" w:eastAsia="Times New Roman" w:hAnsi="Times New Roman" w:cs="Times New Roman"/>
          <w:i/>
          <w:sz w:val="20"/>
          <w:szCs w:val="20"/>
          <w:lang w:val="en-GB" w:eastAsia="de-AT"/>
        </w:rPr>
        <w:t>’s preferred treatmen</w:t>
      </w:r>
      <w:r>
        <w:rPr>
          <w:rFonts w:ascii="Times New Roman" w:eastAsia="Times New Roman" w:hAnsi="Times New Roman" w:cs="Times New Roman"/>
          <w:i/>
          <w:sz w:val="20"/>
          <w:szCs w:val="20"/>
          <w:lang w:val="en-GB" w:eastAsia="de-AT"/>
        </w:rPr>
        <w:t>t</w:t>
      </w:r>
    </w:p>
    <w:p w14:paraId="0E3AC2B5" w14:textId="77777777" w:rsidR="000E701B" w:rsidRPr="000E701B" w:rsidRDefault="000E701B" w:rsidP="00A25CE6">
      <w:pPr>
        <w:spacing w:before="120" w:after="200" w:line="276" w:lineRule="auto"/>
        <w:rPr>
          <w:rFonts w:ascii="Times New Roman" w:eastAsia="Times New Roman" w:hAnsi="Times New Roman" w:cs="Times New Roman"/>
          <w:b/>
          <w:lang w:val="en-US" w:eastAsia="de-AT"/>
        </w:rPr>
      </w:pPr>
    </w:p>
    <w:sectPr w:rsidR="000E701B" w:rsidRPr="000E701B" w:rsidSect="005C1DFC">
      <w:footerReference w:type="default" r:id="rId1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D46B" w14:textId="77777777" w:rsidR="00987CF0" w:rsidRDefault="00987CF0" w:rsidP="000A78E0">
      <w:pPr>
        <w:spacing w:line="240" w:lineRule="auto"/>
      </w:pPr>
      <w:r>
        <w:separator/>
      </w:r>
    </w:p>
  </w:endnote>
  <w:endnote w:type="continuationSeparator" w:id="0">
    <w:p w14:paraId="483F66C1" w14:textId="77777777" w:rsidR="00987CF0" w:rsidRDefault="00987CF0"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292947"/>
      <w:docPartObj>
        <w:docPartGallery w:val="Page Numbers (Bottom of Page)"/>
        <w:docPartUnique/>
      </w:docPartObj>
    </w:sdtPr>
    <w:sdtEndPr>
      <w:rPr>
        <w:rFonts w:ascii="Times New Roman" w:hAnsi="Times New Roman" w:cs="Times New Roman"/>
        <w:sz w:val="22"/>
      </w:rPr>
    </w:sdtEndPr>
    <w:sdtContent>
      <w:p w14:paraId="014CCA77" w14:textId="6790E28A" w:rsidR="000C3721" w:rsidRPr="00A25CE6" w:rsidRDefault="000C3721">
        <w:pPr>
          <w:pStyle w:val="Fuzeile"/>
          <w:jc w:val="right"/>
          <w:rPr>
            <w:rFonts w:ascii="Times New Roman" w:hAnsi="Times New Roman" w:cs="Times New Roman"/>
            <w:sz w:val="22"/>
          </w:rPr>
        </w:pPr>
        <w:r w:rsidRPr="00A25CE6">
          <w:rPr>
            <w:rFonts w:ascii="Times New Roman" w:hAnsi="Times New Roman" w:cs="Times New Roman"/>
            <w:sz w:val="22"/>
          </w:rPr>
          <w:fldChar w:fldCharType="begin"/>
        </w:r>
        <w:r w:rsidRPr="00A25CE6">
          <w:rPr>
            <w:rFonts w:ascii="Times New Roman" w:hAnsi="Times New Roman" w:cs="Times New Roman"/>
            <w:sz w:val="22"/>
          </w:rPr>
          <w:instrText>PAGE   \* MERGEFORMAT</w:instrText>
        </w:r>
        <w:r w:rsidRPr="00A25CE6">
          <w:rPr>
            <w:rFonts w:ascii="Times New Roman" w:hAnsi="Times New Roman" w:cs="Times New Roman"/>
            <w:sz w:val="22"/>
          </w:rPr>
          <w:fldChar w:fldCharType="separate"/>
        </w:r>
        <w:r w:rsidRPr="009C1E90">
          <w:rPr>
            <w:rFonts w:ascii="Times New Roman" w:hAnsi="Times New Roman" w:cs="Times New Roman"/>
            <w:noProof/>
            <w:sz w:val="22"/>
            <w:lang w:val="de-DE"/>
          </w:rPr>
          <w:t>1</w:t>
        </w:r>
        <w:r w:rsidRPr="00A25CE6">
          <w:rPr>
            <w:rFonts w:ascii="Times New Roman" w:hAnsi="Times New Roman" w:cs="Times New Roman"/>
            <w:sz w:val="22"/>
          </w:rPr>
          <w:fldChar w:fldCharType="end"/>
        </w:r>
      </w:p>
    </w:sdtContent>
  </w:sdt>
  <w:p w14:paraId="770C7369" w14:textId="77777777" w:rsidR="000C3721" w:rsidRDefault="000C37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AC71" w14:textId="77777777" w:rsidR="00987CF0" w:rsidRDefault="00987CF0" w:rsidP="000A78E0">
      <w:pPr>
        <w:spacing w:line="240" w:lineRule="auto"/>
      </w:pPr>
      <w:r>
        <w:separator/>
      </w:r>
    </w:p>
  </w:footnote>
  <w:footnote w:type="continuationSeparator" w:id="0">
    <w:p w14:paraId="1AF444AD" w14:textId="77777777" w:rsidR="00987CF0" w:rsidRDefault="00987CF0" w:rsidP="000A78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1EA"/>
    <w:multiLevelType w:val="hybridMultilevel"/>
    <w:tmpl w:val="77C8C558"/>
    <w:lvl w:ilvl="0" w:tplc="1F9E6C9E">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136AB5"/>
    <w:multiLevelType w:val="multilevel"/>
    <w:tmpl w:val="EA3A592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1E3EFB"/>
    <w:multiLevelType w:val="multilevel"/>
    <w:tmpl w:val="B6CA03C6"/>
    <w:numStyleLink w:val="berschriftenJKU"/>
  </w:abstractNum>
  <w:abstractNum w:abstractNumId="3" w15:restartNumberingAfterBreak="0">
    <w:nsid w:val="09CD2550"/>
    <w:multiLevelType w:val="hybridMultilevel"/>
    <w:tmpl w:val="A538C0F0"/>
    <w:lvl w:ilvl="0" w:tplc="2EE6B7C6">
      <w:start w:val="9"/>
      <w:numFmt w:val="bullet"/>
      <w:lvlText w:val=""/>
      <w:lvlJc w:val="left"/>
      <w:pPr>
        <w:ind w:left="1381" w:hanging="360"/>
      </w:pPr>
      <w:rPr>
        <w:rFonts w:ascii="Wingdings" w:eastAsia="Times New Roman" w:hAnsi="Wingdings" w:cs="Times New Roman" w:hint="default"/>
      </w:rPr>
    </w:lvl>
    <w:lvl w:ilvl="1" w:tplc="04090003" w:tentative="1">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4" w15:restartNumberingAfterBreak="0">
    <w:nsid w:val="0A0466AD"/>
    <w:multiLevelType w:val="multilevel"/>
    <w:tmpl w:val="0C07001D"/>
    <w:numStyleLink w:val="ListeJKU"/>
  </w:abstractNum>
  <w:abstractNum w:abstractNumId="5" w15:restartNumberingAfterBreak="0">
    <w:nsid w:val="0E371476"/>
    <w:multiLevelType w:val="hybridMultilevel"/>
    <w:tmpl w:val="A2763320"/>
    <w:lvl w:ilvl="0" w:tplc="EA460F70">
      <w:start w:val="15"/>
      <w:numFmt w:val="bullet"/>
      <w:lvlText w:val=""/>
      <w:lvlJc w:val="left"/>
      <w:pPr>
        <w:ind w:left="720" w:hanging="360"/>
      </w:pPr>
      <w:rPr>
        <w:rFonts w:ascii="Wingdings" w:eastAsiaTheme="minorEastAsia" w:hAnsi="Wingding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577256"/>
    <w:multiLevelType w:val="hybridMultilevel"/>
    <w:tmpl w:val="7220CE4A"/>
    <w:lvl w:ilvl="0" w:tplc="0C07000F">
      <w:start w:val="4"/>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16CF4529"/>
    <w:multiLevelType w:val="hybridMultilevel"/>
    <w:tmpl w:val="A17697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9660A71"/>
    <w:multiLevelType w:val="multilevel"/>
    <w:tmpl w:val="0C07001D"/>
    <w:numStyleLink w:val="ListeJKU"/>
  </w:abstractNum>
  <w:abstractNum w:abstractNumId="10" w15:restartNumberingAfterBreak="0">
    <w:nsid w:val="1FD96C74"/>
    <w:multiLevelType w:val="hybridMultilevel"/>
    <w:tmpl w:val="B52A799A"/>
    <w:lvl w:ilvl="0" w:tplc="64C8C5F6">
      <w:start w:val="1"/>
      <w:numFmt w:val="bullet"/>
      <w:pStyle w:val="DAMAufzhlung1"/>
      <w:lvlText w:val=""/>
      <w:lvlJc w:val="left"/>
      <w:pPr>
        <w:tabs>
          <w:tab w:val="num" w:pos="1440"/>
        </w:tabs>
        <w:ind w:left="144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D7EB0"/>
    <w:multiLevelType w:val="hybridMultilevel"/>
    <w:tmpl w:val="29DAE1E4"/>
    <w:lvl w:ilvl="0" w:tplc="0C07000F">
      <w:start w:val="3"/>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24E51AA"/>
    <w:multiLevelType w:val="hybridMultilevel"/>
    <w:tmpl w:val="5C6C1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BE54AE"/>
    <w:multiLevelType w:val="hybridMultilevel"/>
    <w:tmpl w:val="F738A93A"/>
    <w:lvl w:ilvl="0" w:tplc="989E643E">
      <w:start w:val="4"/>
      <w:numFmt w:val="bullet"/>
      <w:lvlText w:val=""/>
      <w:lvlJc w:val="left"/>
      <w:pPr>
        <w:ind w:left="720" w:hanging="360"/>
      </w:pPr>
      <w:rPr>
        <w:rFonts w:ascii="Wingdings" w:eastAsiaTheme="minorHAns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6A8301A"/>
    <w:multiLevelType w:val="multilevel"/>
    <w:tmpl w:val="0C07001D"/>
    <w:numStyleLink w:val="ListeJKU"/>
  </w:abstractNum>
  <w:abstractNum w:abstractNumId="15" w15:restartNumberingAfterBreak="0">
    <w:nsid w:val="2D97325B"/>
    <w:multiLevelType w:val="hybridMultilevel"/>
    <w:tmpl w:val="3418E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E843C07"/>
    <w:multiLevelType w:val="hybridMultilevel"/>
    <w:tmpl w:val="43A2EB9A"/>
    <w:lvl w:ilvl="0" w:tplc="A216BE9E">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F4361D8"/>
    <w:multiLevelType w:val="hybridMultilevel"/>
    <w:tmpl w:val="E68AD188"/>
    <w:lvl w:ilvl="0" w:tplc="F8A45DA2">
      <w:start w:val="1"/>
      <w:numFmt w:val="bullet"/>
      <w:lvlText w:val=""/>
      <w:lvlJc w:val="left"/>
      <w:pPr>
        <w:tabs>
          <w:tab w:val="num" w:pos="454"/>
        </w:tabs>
        <w:ind w:left="45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424BA5"/>
    <w:multiLevelType w:val="multilevel"/>
    <w:tmpl w:val="B6CA03C6"/>
    <w:numStyleLink w:val="berschriftenJKU"/>
  </w:abstractNum>
  <w:abstractNum w:abstractNumId="19"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686833"/>
    <w:multiLevelType w:val="hybridMultilevel"/>
    <w:tmpl w:val="729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F2BEE"/>
    <w:multiLevelType w:val="hybridMultilevel"/>
    <w:tmpl w:val="913ACFCE"/>
    <w:lvl w:ilvl="0" w:tplc="14F67818">
      <w:numFmt w:val="bullet"/>
      <w:lvlText w:val=""/>
      <w:lvlJc w:val="left"/>
      <w:pPr>
        <w:ind w:left="720" w:hanging="360"/>
      </w:pPr>
      <w:rPr>
        <w:rFonts w:ascii="Wingdings" w:eastAsia="Times New Roman" w:hAnsi="Wingdings" w:cs="Times New Roman" w:hint="default"/>
        <w:b/>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24765AC"/>
    <w:multiLevelType w:val="multilevel"/>
    <w:tmpl w:val="B6CA03C6"/>
    <w:styleLink w:val="berschriftenJKU"/>
    <w:lvl w:ilvl="0">
      <w:start w:val="1"/>
      <w:numFmt w:val="decimal"/>
      <w:lvlText w:val="%1. "/>
      <w:lvlJc w:val="left"/>
      <w:pPr>
        <w:ind w:left="425" w:hanging="425"/>
      </w:pPr>
      <w:rPr>
        <w:rFonts w:hint="default"/>
      </w:rPr>
    </w:lvl>
    <w:lvl w:ilvl="1">
      <w:start w:val="1"/>
      <w:numFmt w:val="decimal"/>
      <w:lvlText w:val="%1.%2. "/>
      <w:lvlJc w:val="left"/>
      <w:pPr>
        <w:ind w:left="595" w:hanging="170"/>
      </w:pPr>
      <w:rPr>
        <w:rFonts w:hint="default"/>
      </w:rPr>
    </w:lvl>
    <w:lvl w:ilvl="2">
      <w:start w:val="1"/>
      <w:numFmt w:val="decimal"/>
      <w:lvlText w:val="%1.%2.%3. "/>
      <w:lvlJc w:val="left"/>
      <w:pPr>
        <w:ind w:left="794" w:firstLine="227"/>
      </w:pPr>
      <w:rPr>
        <w:rFonts w:hint="default"/>
      </w:rPr>
    </w:lvl>
    <w:lvl w:ilvl="3">
      <w:start w:val="1"/>
      <w:numFmt w:val="decimal"/>
      <w:lvlText w:val="%1.%2.%3.%4. "/>
      <w:lvlJc w:val="left"/>
      <w:pPr>
        <w:tabs>
          <w:tab w:val="num" w:pos="2325"/>
        </w:tabs>
        <w:ind w:left="1021" w:firstLine="793"/>
      </w:pPr>
      <w:rPr>
        <w:rFonts w:hint="default"/>
      </w:rPr>
    </w:lvl>
    <w:lvl w:ilvl="4">
      <w:start w:val="1"/>
      <w:numFmt w:val="lowerLetter"/>
      <w:lvlText w:val="(%5)"/>
      <w:lvlJc w:val="left"/>
      <w:pPr>
        <w:tabs>
          <w:tab w:val="num" w:pos="2835"/>
        </w:tabs>
        <w:ind w:left="1191" w:firstLine="1644"/>
      </w:pPr>
      <w:rPr>
        <w:rFonts w:hint="default"/>
      </w:rPr>
    </w:lvl>
    <w:lvl w:ilvl="5">
      <w:start w:val="1"/>
      <w:numFmt w:val="lowerRoman"/>
      <w:pStyle w:val="berschrift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A70829"/>
    <w:multiLevelType w:val="multilevel"/>
    <w:tmpl w:val="B6CA03C6"/>
    <w:numStyleLink w:val="berschriftenJKU"/>
  </w:abstractNum>
  <w:abstractNum w:abstractNumId="24" w15:restartNumberingAfterBreak="0">
    <w:nsid w:val="4B89094C"/>
    <w:multiLevelType w:val="hybridMultilevel"/>
    <w:tmpl w:val="A154A90E"/>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27129"/>
    <w:multiLevelType w:val="hybridMultilevel"/>
    <w:tmpl w:val="79DEC032"/>
    <w:lvl w:ilvl="0" w:tplc="EF984F5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08B3AD6"/>
    <w:multiLevelType w:val="multilevel"/>
    <w:tmpl w:val="0C07001D"/>
    <w:numStyleLink w:val="ListeJKU"/>
  </w:abstractNum>
  <w:abstractNum w:abstractNumId="27" w15:restartNumberingAfterBreak="0">
    <w:nsid w:val="50E476B5"/>
    <w:multiLevelType w:val="hybridMultilevel"/>
    <w:tmpl w:val="5422FB86"/>
    <w:lvl w:ilvl="0" w:tplc="EEDAB3F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2D62C3C"/>
    <w:multiLevelType w:val="multilevel"/>
    <w:tmpl w:val="5F0E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D1E6E"/>
    <w:multiLevelType w:val="hybridMultilevel"/>
    <w:tmpl w:val="F5F45D7E"/>
    <w:lvl w:ilvl="0" w:tplc="C206D1A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54CEC"/>
    <w:multiLevelType w:val="hybridMultilevel"/>
    <w:tmpl w:val="E3827286"/>
    <w:lvl w:ilvl="0" w:tplc="08B0C3A4">
      <w:start w:val="13"/>
      <w:numFmt w:val="bullet"/>
      <w:lvlText w:val=""/>
      <w:lvlJc w:val="left"/>
      <w:pPr>
        <w:ind w:left="720" w:hanging="360"/>
      </w:pPr>
      <w:rPr>
        <w:rFonts w:ascii="Wingdings" w:eastAsiaTheme="minorEastAsia" w:hAnsi="Wingdings" w:cs="Times New Roman" w:hint="default"/>
        <w:b/>
        <w:sz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4C31605"/>
    <w:multiLevelType w:val="multilevel"/>
    <w:tmpl w:val="B6CA03C6"/>
    <w:numStyleLink w:val="berschriftenJKU"/>
  </w:abstractNum>
  <w:abstractNum w:abstractNumId="32" w15:restartNumberingAfterBreak="0">
    <w:nsid w:val="58335F0E"/>
    <w:multiLevelType w:val="multilevel"/>
    <w:tmpl w:val="D4903668"/>
    <w:lvl w:ilvl="0">
      <w:start w:val="1"/>
      <w:numFmt w:val="decimal"/>
      <w:lvlText w:val="%1."/>
      <w:lvlJc w:val="left"/>
      <w:pPr>
        <w:ind w:left="644"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8CC647B"/>
    <w:multiLevelType w:val="multilevel"/>
    <w:tmpl w:val="4948D9B4"/>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547271F"/>
    <w:multiLevelType w:val="hybridMultilevel"/>
    <w:tmpl w:val="27A0934C"/>
    <w:lvl w:ilvl="0" w:tplc="950C8D0E">
      <w:start w:val="1"/>
      <w:numFmt w:val="lowerLetter"/>
      <w:lvlText w:val="%1)"/>
      <w:lvlJc w:val="left"/>
      <w:pPr>
        <w:ind w:left="1287" w:hanging="360"/>
      </w:pPr>
    </w:lvl>
    <w:lvl w:ilvl="1" w:tplc="C5B2D79A" w:tentative="1">
      <w:start w:val="1"/>
      <w:numFmt w:val="lowerLetter"/>
      <w:lvlText w:val="%2."/>
      <w:lvlJc w:val="left"/>
      <w:pPr>
        <w:ind w:left="2007" w:hanging="360"/>
      </w:pPr>
    </w:lvl>
    <w:lvl w:ilvl="2" w:tplc="CD0E20B6" w:tentative="1">
      <w:start w:val="1"/>
      <w:numFmt w:val="lowerRoman"/>
      <w:lvlText w:val="%3."/>
      <w:lvlJc w:val="right"/>
      <w:pPr>
        <w:ind w:left="2727" w:hanging="180"/>
      </w:pPr>
    </w:lvl>
    <w:lvl w:ilvl="3" w:tplc="64CC5400" w:tentative="1">
      <w:start w:val="1"/>
      <w:numFmt w:val="decimal"/>
      <w:lvlText w:val="%4."/>
      <w:lvlJc w:val="left"/>
      <w:pPr>
        <w:ind w:left="3447" w:hanging="360"/>
      </w:pPr>
    </w:lvl>
    <w:lvl w:ilvl="4" w:tplc="DF682A42" w:tentative="1">
      <w:start w:val="1"/>
      <w:numFmt w:val="lowerLetter"/>
      <w:lvlText w:val="%5."/>
      <w:lvlJc w:val="left"/>
      <w:pPr>
        <w:ind w:left="4167" w:hanging="360"/>
      </w:pPr>
    </w:lvl>
    <w:lvl w:ilvl="5" w:tplc="737279CA" w:tentative="1">
      <w:start w:val="1"/>
      <w:numFmt w:val="lowerRoman"/>
      <w:lvlText w:val="%6."/>
      <w:lvlJc w:val="right"/>
      <w:pPr>
        <w:ind w:left="4887" w:hanging="180"/>
      </w:pPr>
    </w:lvl>
    <w:lvl w:ilvl="6" w:tplc="B0BEE11C" w:tentative="1">
      <w:start w:val="1"/>
      <w:numFmt w:val="decimal"/>
      <w:lvlText w:val="%7."/>
      <w:lvlJc w:val="left"/>
      <w:pPr>
        <w:ind w:left="5607" w:hanging="360"/>
      </w:pPr>
    </w:lvl>
    <w:lvl w:ilvl="7" w:tplc="9D7AFC96" w:tentative="1">
      <w:start w:val="1"/>
      <w:numFmt w:val="lowerLetter"/>
      <w:lvlText w:val="%8."/>
      <w:lvlJc w:val="left"/>
      <w:pPr>
        <w:ind w:left="6327" w:hanging="360"/>
      </w:pPr>
    </w:lvl>
    <w:lvl w:ilvl="8" w:tplc="A15AAA1C" w:tentative="1">
      <w:start w:val="1"/>
      <w:numFmt w:val="lowerRoman"/>
      <w:lvlText w:val="%9."/>
      <w:lvlJc w:val="right"/>
      <w:pPr>
        <w:ind w:left="7047" w:hanging="180"/>
      </w:pPr>
    </w:lvl>
  </w:abstractNum>
  <w:abstractNum w:abstractNumId="36" w15:restartNumberingAfterBreak="0">
    <w:nsid w:val="6710196F"/>
    <w:multiLevelType w:val="hybridMultilevel"/>
    <w:tmpl w:val="BD04D086"/>
    <w:lvl w:ilvl="0" w:tplc="FB0CB23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03C0AFB"/>
    <w:multiLevelType w:val="hybridMultilevel"/>
    <w:tmpl w:val="006813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1004AFF"/>
    <w:multiLevelType w:val="hybridMultilevel"/>
    <w:tmpl w:val="EBF0E556"/>
    <w:lvl w:ilvl="0" w:tplc="DE08554E">
      <w:numFmt w:val="bullet"/>
      <w:lvlText w:val="-"/>
      <w:lvlJc w:val="left"/>
      <w:pPr>
        <w:ind w:left="720" w:hanging="360"/>
      </w:pPr>
      <w:rPr>
        <w:rFonts w:ascii="Calibri" w:eastAsiaTheme="minorHAns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9" w15:restartNumberingAfterBreak="0">
    <w:nsid w:val="75290265"/>
    <w:multiLevelType w:val="hybridMultilevel"/>
    <w:tmpl w:val="1F1602B4"/>
    <w:lvl w:ilvl="0" w:tplc="1982E69A">
      <w:numFmt w:val="bullet"/>
      <w:lvlText w:val="-"/>
      <w:lvlJc w:val="left"/>
      <w:pPr>
        <w:ind w:left="1065" w:hanging="705"/>
      </w:pPr>
      <w:rPr>
        <w:rFonts w:ascii="Arial" w:eastAsiaTheme="minorHAns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7F664D6"/>
    <w:multiLevelType w:val="multilevel"/>
    <w:tmpl w:val="B6CA03C6"/>
    <w:numStyleLink w:val="berschriftenJKU"/>
  </w:abstractNum>
  <w:abstractNum w:abstractNumId="42" w15:restartNumberingAfterBreak="0">
    <w:nsid w:val="7C50553A"/>
    <w:multiLevelType w:val="hybridMultilevel"/>
    <w:tmpl w:val="FE0E2A62"/>
    <w:lvl w:ilvl="0" w:tplc="5AA00B2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F617B3"/>
    <w:multiLevelType w:val="multilevel"/>
    <w:tmpl w:val="8268787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1.1."/>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FD56993"/>
    <w:multiLevelType w:val="multilevel"/>
    <w:tmpl w:val="B6CA03C6"/>
    <w:numStyleLink w:val="berschriftenJKU"/>
  </w:abstractNum>
  <w:num w:numId="1">
    <w:abstractNumId w:val="8"/>
  </w:num>
  <w:num w:numId="2">
    <w:abstractNumId w:val="34"/>
  </w:num>
  <w:num w:numId="3">
    <w:abstractNumId w:val="40"/>
  </w:num>
  <w:num w:numId="4">
    <w:abstractNumId w:val="19"/>
  </w:num>
  <w:num w:numId="5">
    <w:abstractNumId w:val="4"/>
  </w:num>
  <w:num w:numId="6">
    <w:abstractNumId w:val="14"/>
  </w:num>
  <w:num w:numId="7">
    <w:abstractNumId w:val="9"/>
  </w:num>
  <w:num w:numId="8">
    <w:abstractNumId w:val="26"/>
  </w:num>
  <w:num w:numId="9">
    <w:abstractNumId w:val="22"/>
  </w:num>
  <w:num w:numId="10">
    <w:abstractNumId w:val="41"/>
  </w:num>
  <w:num w:numId="11">
    <w:abstractNumId w:val="2"/>
  </w:num>
  <w:num w:numId="12">
    <w:abstractNumId w:val="18"/>
  </w:num>
  <w:num w:numId="13">
    <w:abstractNumId w:val="33"/>
  </w:num>
  <w:num w:numId="14">
    <w:abstractNumId w:val="31"/>
  </w:num>
  <w:num w:numId="15">
    <w:abstractNumId w:val="23"/>
  </w:num>
  <w:num w:numId="16">
    <w:abstractNumId w:val="44"/>
  </w:num>
  <w:num w:numId="17">
    <w:abstractNumId w:val="20"/>
  </w:num>
  <w:num w:numId="18">
    <w:abstractNumId w:val="39"/>
  </w:num>
  <w:num w:numId="19">
    <w:abstractNumId w:val="43"/>
  </w:num>
  <w:num w:numId="20">
    <w:abstractNumId w:val="24"/>
  </w:num>
  <w:num w:numId="21">
    <w:abstractNumId w:val="33"/>
  </w:num>
  <w:num w:numId="22">
    <w:abstractNumId w:val="33"/>
  </w:num>
  <w:num w:numId="23">
    <w:abstractNumId w:val="33"/>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7"/>
  </w:num>
  <w:num w:numId="27">
    <w:abstractNumId w:val="1"/>
  </w:num>
  <w:num w:numId="28">
    <w:abstractNumId w:val="17"/>
  </w:num>
  <w:num w:numId="29">
    <w:abstractNumId w:val="32"/>
  </w:num>
  <w:num w:numId="30">
    <w:abstractNumId w:val="35"/>
  </w:num>
  <w:num w:numId="31">
    <w:abstractNumId w:val="15"/>
  </w:num>
  <w:num w:numId="32">
    <w:abstractNumId w:val="10"/>
  </w:num>
  <w:num w:numId="33">
    <w:abstractNumId w:val="11"/>
  </w:num>
  <w:num w:numId="34">
    <w:abstractNumId w:val="36"/>
  </w:num>
  <w:num w:numId="35">
    <w:abstractNumId w:val="13"/>
  </w:num>
  <w:num w:numId="36">
    <w:abstractNumId w:val="6"/>
  </w:num>
  <w:num w:numId="37">
    <w:abstractNumId w:val="7"/>
  </w:num>
  <w:num w:numId="38">
    <w:abstractNumId w:val="28"/>
  </w:num>
  <w:num w:numId="39">
    <w:abstractNumId w:val="5"/>
  </w:num>
  <w:num w:numId="40">
    <w:abstractNumId w:val="30"/>
  </w:num>
  <w:num w:numId="41">
    <w:abstractNumId w:val="25"/>
  </w:num>
  <w:num w:numId="42">
    <w:abstractNumId w:val="27"/>
  </w:num>
  <w:num w:numId="43">
    <w:abstractNumId w:val="16"/>
  </w:num>
  <w:num w:numId="44">
    <w:abstractNumId w:val="3"/>
  </w:num>
  <w:num w:numId="45">
    <w:abstractNumId w:val="42"/>
  </w:num>
  <w:num w:numId="46">
    <w:abstractNumId w:val="29"/>
  </w:num>
  <w:num w:numId="47">
    <w:abstractNumId w:val="2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stylePaneFormatFilter w:val="D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40"/>
    <w:rsid w:val="00004533"/>
    <w:rsid w:val="00006787"/>
    <w:rsid w:val="00007C3D"/>
    <w:rsid w:val="000101A9"/>
    <w:rsid w:val="00017DF8"/>
    <w:rsid w:val="0002668B"/>
    <w:rsid w:val="00027A4F"/>
    <w:rsid w:val="000308C9"/>
    <w:rsid w:val="00030E87"/>
    <w:rsid w:val="00032CB9"/>
    <w:rsid w:val="0003375A"/>
    <w:rsid w:val="0003638D"/>
    <w:rsid w:val="000376D0"/>
    <w:rsid w:val="00044044"/>
    <w:rsid w:val="00046535"/>
    <w:rsid w:val="000471C8"/>
    <w:rsid w:val="00051EB1"/>
    <w:rsid w:val="000551AA"/>
    <w:rsid w:val="00055D71"/>
    <w:rsid w:val="00056529"/>
    <w:rsid w:val="00056702"/>
    <w:rsid w:val="00057C75"/>
    <w:rsid w:val="00061030"/>
    <w:rsid w:val="000625A1"/>
    <w:rsid w:val="000654AB"/>
    <w:rsid w:val="00075B09"/>
    <w:rsid w:val="00083EFE"/>
    <w:rsid w:val="0008468B"/>
    <w:rsid w:val="00084694"/>
    <w:rsid w:val="000856A3"/>
    <w:rsid w:val="0008652A"/>
    <w:rsid w:val="0008698E"/>
    <w:rsid w:val="0009340E"/>
    <w:rsid w:val="00096096"/>
    <w:rsid w:val="000A3B05"/>
    <w:rsid w:val="000A61DB"/>
    <w:rsid w:val="000A6A2E"/>
    <w:rsid w:val="000A6C45"/>
    <w:rsid w:val="000A727A"/>
    <w:rsid w:val="000A78E0"/>
    <w:rsid w:val="000B21DE"/>
    <w:rsid w:val="000B236B"/>
    <w:rsid w:val="000B3B67"/>
    <w:rsid w:val="000B630C"/>
    <w:rsid w:val="000C0623"/>
    <w:rsid w:val="000C1A24"/>
    <w:rsid w:val="000C3721"/>
    <w:rsid w:val="000C3AAE"/>
    <w:rsid w:val="000C450D"/>
    <w:rsid w:val="000D157E"/>
    <w:rsid w:val="000D1E11"/>
    <w:rsid w:val="000D1FAE"/>
    <w:rsid w:val="000E701B"/>
    <w:rsid w:val="000E76D3"/>
    <w:rsid w:val="000F0A7A"/>
    <w:rsid w:val="000F298F"/>
    <w:rsid w:val="000F58B2"/>
    <w:rsid w:val="000F7470"/>
    <w:rsid w:val="0012478B"/>
    <w:rsid w:val="00125E27"/>
    <w:rsid w:val="0012799F"/>
    <w:rsid w:val="0013003E"/>
    <w:rsid w:val="0013212F"/>
    <w:rsid w:val="001322F8"/>
    <w:rsid w:val="00135498"/>
    <w:rsid w:val="00140720"/>
    <w:rsid w:val="00141859"/>
    <w:rsid w:val="00145448"/>
    <w:rsid w:val="00146861"/>
    <w:rsid w:val="00146D1F"/>
    <w:rsid w:val="00150293"/>
    <w:rsid w:val="0015191C"/>
    <w:rsid w:val="00154AD0"/>
    <w:rsid w:val="00154C6D"/>
    <w:rsid w:val="001604D1"/>
    <w:rsid w:val="001636CF"/>
    <w:rsid w:val="001645F4"/>
    <w:rsid w:val="00165048"/>
    <w:rsid w:val="00165F67"/>
    <w:rsid w:val="00166B2C"/>
    <w:rsid w:val="0017142A"/>
    <w:rsid w:val="00172CBC"/>
    <w:rsid w:val="00175884"/>
    <w:rsid w:val="001771C5"/>
    <w:rsid w:val="00177D94"/>
    <w:rsid w:val="001815CD"/>
    <w:rsid w:val="00183BEF"/>
    <w:rsid w:val="00184A70"/>
    <w:rsid w:val="00192D4F"/>
    <w:rsid w:val="00193A48"/>
    <w:rsid w:val="00194463"/>
    <w:rsid w:val="001A357E"/>
    <w:rsid w:val="001A3A4F"/>
    <w:rsid w:val="001A56AB"/>
    <w:rsid w:val="001A59C1"/>
    <w:rsid w:val="001A6D4E"/>
    <w:rsid w:val="001B0D0B"/>
    <w:rsid w:val="001B12DD"/>
    <w:rsid w:val="001B156D"/>
    <w:rsid w:val="001B1914"/>
    <w:rsid w:val="001B1EE8"/>
    <w:rsid w:val="001B2FD7"/>
    <w:rsid w:val="001B673F"/>
    <w:rsid w:val="001C5838"/>
    <w:rsid w:val="001C60BE"/>
    <w:rsid w:val="001C7C9A"/>
    <w:rsid w:val="001D031C"/>
    <w:rsid w:val="001E2C81"/>
    <w:rsid w:val="001E5A49"/>
    <w:rsid w:val="001F04B5"/>
    <w:rsid w:val="001F1B08"/>
    <w:rsid w:val="001F4809"/>
    <w:rsid w:val="001F49CA"/>
    <w:rsid w:val="001F776E"/>
    <w:rsid w:val="002003FF"/>
    <w:rsid w:val="002041FC"/>
    <w:rsid w:val="002048B6"/>
    <w:rsid w:val="00206949"/>
    <w:rsid w:val="002070DC"/>
    <w:rsid w:val="002076DA"/>
    <w:rsid w:val="0021010C"/>
    <w:rsid w:val="002123DB"/>
    <w:rsid w:val="00214F6C"/>
    <w:rsid w:val="00222662"/>
    <w:rsid w:val="00226819"/>
    <w:rsid w:val="00230B5B"/>
    <w:rsid w:val="00233CAF"/>
    <w:rsid w:val="00235BC4"/>
    <w:rsid w:val="00236EE4"/>
    <w:rsid w:val="0023779B"/>
    <w:rsid w:val="00237B77"/>
    <w:rsid w:val="002464F0"/>
    <w:rsid w:val="002532D0"/>
    <w:rsid w:val="00253902"/>
    <w:rsid w:val="00254A5A"/>
    <w:rsid w:val="0026052F"/>
    <w:rsid w:val="002649AD"/>
    <w:rsid w:val="00270AEB"/>
    <w:rsid w:val="00270D76"/>
    <w:rsid w:val="002711E3"/>
    <w:rsid w:val="00273B22"/>
    <w:rsid w:val="002744B3"/>
    <w:rsid w:val="00274638"/>
    <w:rsid w:val="00281EBA"/>
    <w:rsid w:val="00284615"/>
    <w:rsid w:val="002855DA"/>
    <w:rsid w:val="00285B03"/>
    <w:rsid w:val="002919F3"/>
    <w:rsid w:val="0029526A"/>
    <w:rsid w:val="002972CD"/>
    <w:rsid w:val="00297DCB"/>
    <w:rsid w:val="002A38CC"/>
    <w:rsid w:val="002A49B6"/>
    <w:rsid w:val="002A5882"/>
    <w:rsid w:val="002B02FD"/>
    <w:rsid w:val="002B1A7E"/>
    <w:rsid w:val="002B275D"/>
    <w:rsid w:val="002B3256"/>
    <w:rsid w:val="002B5A3E"/>
    <w:rsid w:val="002B6198"/>
    <w:rsid w:val="002C63DD"/>
    <w:rsid w:val="002D16F8"/>
    <w:rsid w:val="002D2C33"/>
    <w:rsid w:val="002D3BDD"/>
    <w:rsid w:val="002D62A6"/>
    <w:rsid w:val="002E35BE"/>
    <w:rsid w:val="002E789F"/>
    <w:rsid w:val="002F07BA"/>
    <w:rsid w:val="002F23BB"/>
    <w:rsid w:val="002F4D8C"/>
    <w:rsid w:val="002F7EB7"/>
    <w:rsid w:val="00301E70"/>
    <w:rsid w:val="0030264B"/>
    <w:rsid w:val="00312330"/>
    <w:rsid w:val="00322223"/>
    <w:rsid w:val="00327AB5"/>
    <w:rsid w:val="003313F8"/>
    <w:rsid w:val="00331B4F"/>
    <w:rsid w:val="00340B93"/>
    <w:rsid w:val="00343612"/>
    <w:rsid w:val="00345162"/>
    <w:rsid w:val="00345A12"/>
    <w:rsid w:val="00346CD7"/>
    <w:rsid w:val="00347077"/>
    <w:rsid w:val="003543A3"/>
    <w:rsid w:val="00357444"/>
    <w:rsid w:val="00374BBE"/>
    <w:rsid w:val="00374CA8"/>
    <w:rsid w:val="003753BC"/>
    <w:rsid w:val="00381FCC"/>
    <w:rsid w:val="00384CC5"/>
    <w:rsid w:val="00386956"/>
    <w:rsid w:val="00387469"/>
    <w:rsid w:val="00391B79"/>
    <w:rsid w:val="003A3262"/>
    <w:rsid w:val="003A6D31"/>
    <w:rsid w:val="003B7AE3"/>
    <w:rsid w:val="003C2FFA"/>
    <w:rsid w:val="003C44F8"/>
    <w:rsid w:val="003C793B"/>
    <w:rsid w:val="003D0A77"/>
    <w:rsid w:val="003D5A15"/>
    <w:rsid w:val="003E5065"/>
    <w:rsid w:val="003F0A18"/>
    <w:rsid w:val="003F23BA"/>
    <w:rsid w:val="003F2CDE"/>
    <w:rsid w:val="003F3E15"/>
    <w:rsid w:val="003F4013"/>
    <w:rsid w:val="00400327"/>
    <w:rsid w:val="0041153D"/>
    <w:rsid w:val="004173B8"/>
    <w:rsid w:val="00417845"/>
    <w:rsid w:val="0042042B"/>
    <w:rsid w:val="00422B5D"/>
    <w:rsid w:val="00423180"/>
    <w:rsid w:val="00423BE2"/>
    <w:rsid w:val="00423F03"/>
    <w:rsid w:val="00423F1C"/>
    <w:rsid w:val="00425B6B"/>
    <w:rsid w:val="00431D51"/>
    <w:rsid w:val="00432FB0"/>
    <w:rsid w:val="00433061"/>
    <w:rsid w:val="00433B2F"/>
    <w:rsid w:val="00435574"/>
    <w:rsid w:val="00435FC2"/>
    <w:rsid w:val="00437EEE"/>
    <w:rsid w:val="00452024"/>
    <w:rsid w:val="0045250B"/>
    <w:rsid w:val="00453804"/>
    <w:rsid w:val="0045461A"/>
    <w:rsid w:val="00454FDD"/>
    <w:rsid w:val="00456AF6"/>
    <w:rsid w:val="00461EF1"/>
    <w:rsid w:val="00462C8A"/>
    <w:rsid w:val="004651A2"/>
    <w:rsid w:val="00466289"/>
    <w:rsid w:val="00467E10"/>
    <w:rsid w:val="004740EA"/>
    <w:rsid w:val="00474A57"/>
    <w:rsid w:val="00476009"/>
    <w:rsid w:val="00476919"/>
    <w:rsid w:val="004807B3"/>
    <w:rsid w:val="00484AC1"/>
    <w:rsid w:val="00487DB1"/>
    <w:rsid w:val="00490173"/>
    <w:rsid w:val="00490D0F"/>
    <w:rsid w:val="00492C81"/>
    <w:rsid w:val="00492D06"/>
    <w:rsid w:val="00493458"/>
    <w:rsid w:val="00493D25"/>
    <w:rsid w:val="004A2BF2"/>
    <w:rsid w:val="004A5EB3"/>
    <w:rsid w:val="004A7515"/>
    <w:rsid w:val="004B268C"/>
    <w:rsid w:val="004B2888"/>
    <w:rsid w:val="004B3C07"/>
    <w:rsid w:val="004B6A72"/>
    <w:rsid w:val="004C39C8"/>
    <w:rsid w:val="004C408B"/>
    <w:rsid w:val="004C5A03"/>
    <w:rsid w:val="004C7C3B"/>
    <w:rsid w:val="004D3C1F"/>
    <w:rsid w:val="004D4C72"/>
    <w:rsid w:val="004D6A65"/>
    <w:rsid w:val="004E2D1F"/>
    <w:rsid w:val="004E4B93"/>
    <w:rsid w:val="004E5B03"/>
    <w:rsid w:val="004E66C5"/>
    <w:rsid w:val="004F00B6"/>
    <w:rsid w:val="004F0852"/>
    <w:rsid w:val="004F2344"/>
    <w:rsid w:val="004F5281"/>
    <w:rsid w:val="00503EE8"/>
    <w:rsid w:val="0050445A"/>
    <w:rsid w:val="00505110"/>
    <w:rsid w:val="0050522D"/>
    <w:rsid w:val="005066E0"/>
    <w:rsid w:val="0051259B"/>
    <w:rsid w:val="0051555C"/>
    <w:rsid w:val="0051577E"/>
    <w:rsid w:val="00516570"/>
    <w:rsid w:val="00523D4D"/>
    <w:rsid w:val="00524CA5"/>
    <w:rsid w:val="00527D9C"/>
    <w:rsid w:val="00530EBC"/>
    <w:rsid w:val="00531B4C"/>
    <w:rsid w:val="00536DB0"/>
    <w:rsid w:val="005376E6"/>
    <w:rsid w:val="00537A90"/>
    <w:rsid w:val="00540FF9"/>
    <w:rsid w:val="00546810"/>
    <w:rsid w:val="0054724E"/>
    <w:rsid w:val="00547D27"/>
    <w:rsid w:val="00554EA1"/>
    <w:rsid w:val="00570C16"/>
    <w:rsid w:val="00571169"/>
    <w:rsid w:val="00571231"/>
    <w:rsid w:val="0057264E"/>
    <w:rsid w:val="00574550"/>
    <w:rsid w:val="00575881"/>
    <w:rsid w:val="005774F3"/>
    <w:rsid w:val="00581128"/>
    <w:rsid w:val="00584FD4"/>
    <w:rsid w:val="00586161"/>
    <w:rsid w:val="0058763F"/>
    <w:rsid w:val="00593619"/>
    <w:rsid w:val="005939F7"/>
    <w:rsid w:val="0059448D"/>
    <w:rsid w:val="0059539D"/>
    <w:rsid w:val="00597E4E"/>
    <w:rsid w:val="005A0640"/>
    <w:rsid w:val="005A0C8E"/>
    <w:rsid w:val="005A14DC"/>
    <w:rsid w:val="005A15C0"/>
    <w:rsid w:val="005A1E8B"/>
    <w:rsid w:val="005A2770"/>
    <w:rsid w:val="005A2BFA"/>
    <w:rsid w:val="005B3B9A"/>
    <w:rsid w:val="005B5F26"/>
    <w:rsid w:val="005C1DFC"/>
    <w:rsid w:val="005C2B4D"/>
    <w:rsid w:val="005C3E2D"/>
    <w:rsid w:val="005C4382"/>
    <w:rsid w:val="005C581B"/>
    <w:rsid w:val="005C69FD"/>
    <w:rsid w:val="005D1385"/>
    <w:rsid w:val="005D316D"/>
    <w:rsid w:val="005E0859"/>
    <w:rsid w:val="005E16B2"/>
    <w:rsid w:val="005E37AA"/>
    <w:rsid w:val="005E4C2C"/>
    <w:rsid w:val="005E4C40"/>
    <w:rsid w:val="005E569D"/>
    <w:rsid w:val="005F3485"/>
    <w:rsid w:val="005F5A79"/>
    <w:rsid w:val="006070E5"/>
    <w:rsid w:val="00611AC5"/>
    <w:rsid w:val="00612570"/>
    <w:rsid w:val="0061571E"/>
    <w:rsid w:val="00616B11"/>
    <w:rsid w:val="00616E7F"/>
    <w:rsid w:val="00623916"/>
    <w:rsid w:val="00624BCE"/>
    <w:rsid w:val="00624DA3"/>
    <w:rsid w:val="00625BBF"/>
    <w:rsid w:val="00630BDA"/>
    <w:rsid w:val="00634DBB"/>
    <w:rsid w:val="00636D05"/>
    <w:rsid w:val="0063719E"/>
    <w:rsid w:val="00641A10"/>
    <w:rsid w:val="00645197"/>
    <w:rsid w:val="0065234E"/>
    <w:rsid w:val="00653DC4"/>
    <w:rsid w:val="00654B17"/>
    <w:rsid w:val="00656F08"/>
    <w:rsid w:val="00657A30"/>
    <w:rsid w:val="00663BB1"/>
    <w:rsid w:val="00663E04"/>
    <w:rsid w:val="00676746"/>
    <w:rsid w:val="0068604A"/>
    <w:rsid w:val="006868EA"/>
    <w:rsid w:val="00690432"/>
    <w:rsid w:val="0069490B"/>
    <w:rsid w:val="006A514D"/>
    <w:rsid w:val="006A7464"/>
    <w:rsid w:val="006B25B1"/>
    <w:rsid w:val="006B4212"/>
    <w:rsid w:val="006B57CB"/>
    <w:rsid w:val="006B582B"/>
    <w:rsid w:val="006C07E9"/>
    <w:rsid w:val="006C37BD"/>
    <w:rsid w:val="006C59B7"/>
    <w:rsid w:val="006C6A45"/>
    <w:rsid w:val="006C6AA7"/>
    <w:rsid w:val="006D1299"/>
    <w:rsid w:val="006D549D"/>
    <w:rsid w:val="006D7AE8"/>
    <w:rsid w:val="006E0666"/>
    <w:rsid w:val="006E08A5"/>
    <w:rsid w:val="006E18E0"/>
    <w:rsid w:val="006E305D"/>
    <w:rsid w:val="006E4345"/>
    <w:rsid w:val="006E478A"/>
    <w:rsid w:val="006E6618"/>
    <w:rsid w:val="006E70E3"/>
    <w:rsid w:val="006F1C97"/>
    <w:rsid w:val="006F7D69"/>
    <w:rsid w:val="00700B84"/>
    <w:rsid w:val="00703EF6"/>
    <w:rsid w:val="00703F5D"/>
    <w:rsid w:val="00710410"/>
    <w:rsid w:val="00711704"/>
    <w:rsid w:val="007131AB"/>
    <w:rsid w:val="00713B66"/>
    <w:rsid w:val="0072096D"/>
    <w:rsid w:val="00722F2E"/>
    <w:rsid w:val="007261A9"/>
    <w:rsid w:val="00727073"/>
    <w:rsid w:val="00727B53"/>
    <w:rsid w:val="00727BEF"/>
    <w:rsid w:val="00734F8D"/>
    <w:rsid w:val="00736F3E"/>
    <w:rsid w:val="00743579"/>
    <w:rsid w:val="00743AB2"/>
    <w:rsid w:val="00745AE7"/>
    <w:rsid w:val="007510FC"/>
    <w:rsid w:val="00752AC3"/>
    <w:rsid w:val="00752F2B"/>
    <w:rsid w:val="0075395A"/>
    <w:rsid w:val="00754247"/>
    <w:rsid w:val="007701AE"/>
    <w:rsid w:val="00770514"/>
    <w:rsid w:val="00772A9F"/>
    <w:rsid w:val="00773E8A"/>
    <w:rsid w:val="00775861"/>
    <w:rsid w:val="007762BF"/>
    <w:rsid w:val="00777AFD"/>
    <w:rsid w:val="00777B1F"/>
    <w:rsid w:val="0078482C"/>
    <w:rsid w:val="00785A48"/>
    <w:rsid w:val="0079587B"/>
    <w:rsid w:val="007A1AB2"/>
    <w:rsid w:val="007A29A9"/>
    <w:rsid w:val="007A39EC"/>
    <w:rsid w:val="007A5E22"/>
    <w:rsid w:val="007A70FB"/>
    <w:rsid w:val="007A740A"/>
    <w:rsid w:val="007B1506"/>
    <w:rsid w:val="007B1995"/>
    <w:rsid w:val="007B1CF5"/>
    <w:rsid w:val="007B333B"/>
    <w:rsid w:val="007B4897"/>
    <w:rsid w:val="007B6461"/>
    <w:rsid w:val="007C0D0A"/>
    <w:rsid w:val="007C123C"/>
    <w:rsid w:val="007C29A6"/>
    <w:rsid w:val="007C300E"/>
    <w:rsid w:val="007C32DF"/>
    <w:rsid w:val="007C7EAA"/>
    <w:rsid w:val="007D1E28"/>
    <w:rsid w:val="007D65DB"/>
    <w:rsid w:val="007D6E2D"/>
    <w:rsid w:val="007E1FC1"/>
    <w:rsid w:val="007E3B27"/>
    <w:rsid w:val="007E769E"/>
    <w:rsid w:val="007F20A0"/>
    <w:rsid w:val="007F372B"/>
    <w:rsid w:val="007F6BDF"/>
    <w:rsid w:val="00802B6F"/>
    <w:rsid w:val="008105C4"/>
    <w:rsid w:val="00812BF0"/>
    <w:rsid w:val="008139C7"/>
    <w:rsid w:val="008147A4"/>
    <w:rsid w:val="00843FFD"/>
    <w:rsid w:val="00844B82"/>
    <w:rsid w:val="00850AD7"/>
    <w:rsid w:val="008529DE"/>
    <w:rsid w:val="008551B8"/>
    <w:rsid w:val="008629D2"/>
    <w:rsid w:val="00870CBE"/>
    <w:rsid w:val="00873DA3"/>
    <w:rsid w:val="008755CC"/>
    <w:rsid w:val="00875E91"/>
    <w:rsid w:val="00876187"/>
    <w:rsid w:val="00876E5A"/>
    <w:rsid w:val="00880B89"/>
    <w:rsid w:val="00884126"/>
    <w:rsid w:val="00885E11"/>
    <w:rsid w:val="008913DA"/>
    <w:rsid w:val="00891708"/>
    <w:rsid w:val="00894286"/>
    <w:rsid w:val="0089484C"/>
    <w:rsid w:val="0089796E"/>
    <w:rsid w:val="008A1295"/>
    <w:rsid w:val="008B324D"/>
    <w:rsid w:val="008B3EC3"/>
    <w:rsid w:val="008B45D3"/>
    <w:rsid w:val="008B638B"/>
    <w:rsid w:val="008C06CF"/>
    <w:rsid w:val="008C0939"/>
    <w:rsid w:val="008C0F4C"/>
    <w:rsid w:val="008C2746"/>
    <w:rsid w:val="008C3DA0"/>
    <w:rsid w:val="008C4568"/>
    <w:rsid w:val="008C5876"/>
    <w:rsid w:val="008D7152"/>
    <w:rsid w:val="008E1A0E"/>
    <w:rsid w:val="008E4EF1"/>
    <w:rsid w:val="008E6DF8"/>
    <w:rsid w:val="008E7C52"/>
    <w:rsid w:val="008F281E"/>
    <w:rsid w:val="008F498B"/>
    <w:rsid w:val="008F658F"/>
    <w:rsid w:val="009006DE"/>
    <w:rsid w:val="00900EBA"/>
    <w:rsid w:val="00904F5A"/>
    <w:rsid w:val="00904F71"/>
    <w:rsid w:val="00907E6D"/>
    <w:rsid w:val="00910592"/>
    <w:rsid w:val="0091137E"/>
    <w:rsid w:val="00916340"/>
    <w:rsid w:val="00922896"/>
    <w:rsid w:val="0092621B"/>
    <w:rsid w:val="0093121A"/>
    <w:rsid w:val="009329CB"/>
    <w:rsid w:val="00933885"/>
    <w:rsid w:val="00935107"/>
    <w:rsid w:val="009377FB"/>
    <w:rsid w:val="00940D64"/>
    <w:rsid w:val="0094195D"/>
    <w:rsid w:val="00941C1F"/>
    <w:rsid w:val="00945398"/>
    <w:rsid w:val="00962CB9"/>
    <w:rsid w:val="009634A6"/>
    <w:rsid w:val="00966FA5"/>
    <w:rsid w:val="00972BB8"/>
    <w:rsid w:val="00974044"/>
    <w:rsid w:val="00976136"/>
    <w:rsid w:val="00983A2C"/>
    <w:rsid w:val="009843E1"/>
    <w:rsid w:val="00984E2D"/>
    <w:rsid w:val="00987CF0"/>
    <w:rsid w:val="00992451"/>
    <w:rsid w:val="0099246F"/>
    <w:rsid w:val="009928D1"/>
    <w:rsid w:val="00997425"/>
    <w:rsid w:val="009A03CD"/>
    <w:rsid w:val="009A3905"/>
    <w:rsid w:val="009B02B9"/>
    <w:rsid w:val="009B07E4"/>
    <w:rsid w:val="009B12CC"/>
    <w:rsid w:val="009B67EF"/>
    <w:rsid w:val="009C1E90"/>
    <w:rsid w:val="009C2418"/>
    <w:rsid w:val="009C7A70"/>
    <w:rsid w:val="009C7FE7"/>
    <w:rsid w:val="009D1A72"/>
    <w:rsid w:val="009D559E"/>
    <w:rsid w:val="009D5739"/>
    <w:rsid w:val="009D692A"/>
    <w:rsid w:val="009D7375"/>
    <w:rsid w:val="009E4537"/>
    <w:rsid w:val="009F6696"/>
    <w:rsid w:val="00A01255"/>
    <w:rsid w:val="00A012A5"/>
    <w:rsid w:val="00A01FB1"/>
    <w:rsid w:val="00A0365A"/>
    <w:rsid w:val="00A03793"/>
    <w:rsid w:val="00A067C4"/>
    <w:rsid w:val="00A06AC4"/>
    <w:rsid w:val="00A110A1"/>
    <w:rsid w:val="00A162D2"/>
    <w:rsid w:val="00A200DF"/>
    <w:rsid w:val="00A203A4"/>
    <w:rsid w:val="00A235FE"/>
    <w:rsid w:val="00A250CA"/>
    <w:rsid w:val="00A257D0"/>
    <w:rsid w:val="00A25CE6"/>
    <w:rsid w:val="00A26FCE"/>
    <w:rsid w:val="00A33A96"/>
    <w:rsid w:val="00A37374"/>
    <w:rsid w:val="00A4144A"/>
    <w:rsid w:val="00A41B2A"/>
    <w:rsid w:val="00A45041"/>
    <w:rsid w:val="00A45EE4"/>
    <w:rsid w:val="00A45FFB"/>
    <w:rsid w:val="00A53D21"/>
    <w:rsid w:val="00A61C8F"/>
    <w:rsid w:val="00A6291E"/>
    <w:rsid w:val="00A64E62"/>
    <w:rsid w:val="00A65023"/>
    <w:rsid w:val="00A65C5F"/>
    <w:rsid w:val="00A661F5"/>
    <w:rsid w:val="00A66CA3"/>
    <w:rsid w:val="00A70A28"/>
    <w:rsid w:val="00A7362E"/>
    <w:rsid w:val="00A74602"/>
    <w:rsid w:val="00A75921"/>
    <w:rsid w:val="00A771DD"/>
    <w:rsid w:val="00A7736E"/>
    <w:rsid w:val="00A8086E"/>
    <w:rsid w:val="00A8206E"/>
    <w:rsid w:val="00A82C12"/>
    <w:rsid w:val="00A83F5F"/>
    <w:rsid w:val="00A852B5"/>
    <w:rsid w:val="00A904A9"/>
    <w:rsid w:val="00A906E7"/>
    <w:rsid w:val="00A94104"/>
    <w:rsid w:val="00A95680"/>
    <w:rsid w:val="00A96659"/>
    <w:rsid w:val="00AA041E"/>
    <w:rsid w:val="00AA0715"/>
    <w:rsid w:val="00AA09F1"/>
    <w:rsid w:val="00AA4638"/>
    <w:rsid w:val="00AA7A31"/>
    <w:rsid w:val="00AB2EA4"/>
    <w:rsid w:val="00AB45B9"/>
    <w:rsid w:val="00AB6D6E"/>
    <w:rsid w:val="00AB786E"/>
    <w:rsid w:val="00AC2B92"/>
    <w:rsid w:val="00AC4CB3"/>
    <w:rsid w:val="00AD222C"/>
    <w:rsid w:val="00AD7854"/>
    <w:rsid w:val="00AE37AE"/>
    <w:rsid w:val="00AF05A2"/>
    <w:rsid w:val="00AF6245"/>
    <w:rsid w:val="00AF7F4A"/>
    <w:rsid w:val="00B023A0"/>
    <w:rsid w:val="00B069C9"/>
    <w:rsid w:val="00B06C0F"/>
    <w:rsid w:val="00B12318"/>
    <w:rsid w:val="00B155E0"/>
    <w:rsid w:val="00B164AC"/>
    <w:rsid w:val="00B17275"/>
    <w:rsid w:val="00B27FE5"/>
    <w:rsid w:val="00B31608"/>
    <w:rsid w:val="00B31EDC"/>
    <w:rsid w:val="00B33FC6"/>
    <w:rsid w:val="00B347A1"/>
    <w:rsid w:val="00B4042F"/>
    <w:rsid w:val="00B42DC4"/>
    <w:rsid w:val="00B44841"/>
    <w:rsid w:val="00B4787B"/>
    <w:rsid w:val="00B564BD"/>
    <w:rsid w:val="00B57A60"/>
    <w:rsid w:val="00B57F6E"/>
    <w:rsid w:val="00B616AC"/>
    <w:rsid w:val="00B6267E"/>
    <w:rsid w:val="00B62CF3"/>
    <w:rsid w:val="00B648E5"/>
    <w:rsid w:val="00B6695C"/>
    <w:rsid w:val="00B67C9F"/>
    <w:rsid w:val="00B67CCB"/>
    <w:rsid w:val="00B71A39"/>
    <w:rsid w:val="00B7412A"/>
    <w:rsid w:val="00B74B58"/>
    <w:rsid w:val="00B82CFD"/>
    <w:rsid w:val="00B8532C"/>
    <w:rsid w:val="00B95D22"/>
    <w:rsid w:val="00B96F41"/>
    <w:rsid w:val="00BA7C7C"/>
    <w:rsid w:val="00BB031A"/>
    <w:rsid w:val="00BB2BF8"/>
    <w:rsid w:val="00BB6C9F"/>
    <w:rsid w:val="00BC447E"/>
    <w:rsid w:val="00BC4C18"/>
    <w:rsid w:val="00BC568E"/>
    <w:rsid w:val="00BD00CA"/>
    <w:rsid w:val="00BD0691"/>
    <w:rsid w:val="00BD398D"/>
    <w:rsid w:val="00BD3D2B"/>
    <w:rsid w:val="00BD5833"/>
    <w:rsid w:val="00BD7D10"/>
    <w:rsid w:val="00BE1995"/>
    <w:rsid w:val="00BE1AC0"/>
    <w:rsid w:val="00BF6287"/>
    <w:rsid w:val="00BF701A"/>
    <w:rsid w:val="00BF75DB"/>
    <w:rsid w:val="00C02826"/>
    <w:rsid w:val="00C04139"/>
    <w:rsid w:val="00C0496B"/>
    <w:rsid w:val="00C10085"/>
    <w:rsid w:val="00C114A1"/>
    <w:rsid w:val="00C12848"/>
    <w:rsid w:val="00C13ECE"/>
    <w:rsid w:val="00C14C80"/>
    <w:rsid w:val="00C17CD5"/>
    <w:rsid w:val="00C206FE"/>
    <w:rsid w:val="00C247A6"/>
    <w:rsid w:val="00C261B1"/>
    <w:rsid w:val="00C31696"/>
    <w:rsid w:val="00C33033"/>
    <w:rsid w:val="00C37BF5"/>
    <w:rsid w:val="00C37E16"/>
    <w:rsid w:val="00C454CF"/>
    <w:rsid w:val="00C4579C"/>
    <w:rsid w:val="00C46F26"/>
    <w:rsid w:val="00C52375"/>
    <w:rsid w:val="00C55ED1"/>
    <w:rsid w:val="00C560DC"/>
    <w:rsid w:val="00C605EE"/>
    <w:rsid w:val="00C62AC2"/>
    <w:rsid w:val="00C62C26"/>
    <w:rsid w:val="00C66E95"/>
    <w:rsid w:val="00C70702"/>
    <w:rsid w:val="00C713B3"/>
    <w:rsid w:val="00C71E66"/>
    <w:rsid w:val="00C7211A"/>
    <w:rsid w:val="00C76875"/>
    <w:rsid w:val="00C806AE"/>
    <w:rsid w:val="00C815F3"/>
    <w:rsid w:val="00C830C1"/>
    <w:rsid w:val="00C849A2"/>
    <w:rsid w:val="00C86EFA"/>
    <w:rsid w:val="00C948A0"/>
    <w:rsid w:val="00CA38F4"/>
    <w:rsid w:val="00CA4B00"/>
    <w:rsid w:val="00CA509A"/>
    <w:rsid w:val="00CB5B68"/>
    <w:rsid w:val="00CB7E94"/>
    <w:rsid w:val="00CC4EC1"/>
    <w:rsid w:val="00CC5BE2"/>
    <w:rsid w:val="00CC624B"/>
    <w:rsid w:val="00CC6CD3"/>
    <w:rsid w:val="00CD656C"/>
    <w:rsid w:val="00CE443C"/>
    <w:rsid w:val="00CE59A5"/>
    <w:rsid w:val="00CF0D13"/>
    <w:rsid w:val="00CF14BB"/>
    <w:rsid w:val="00CF4620"/>
    <w:rsid w:val="00CF56BB"/>
    <w:rsid w:val="00CF6D3A"/>
    <w:rsid w:val="00D0253B"/>
    <w:rsid w:val="00D12B8B"/>
    <w:rsid w:val="00D14C33"/>
    <w:rsid w:val="00D14D08"/>
    <w:rsid w:val="00D206F4"/>
    <w:rsid w:val="00D20B22"/>
    <w:rsid w:val="00D2615E"/>
    <w:rsid w:val="00D32D04"/>
    <w:rsid w:val="00D36FC8"/>
    <w:rsid w:val="00D4302C"/>
    <w:rsid w:val="00D43F4C"/>
    <w:rsid w:val="00D467CB"/>
    <w:rsid w:val="00D46DCD"/>
    <w:rsid w:val="00D61906"/>
    <w:rsid w:val="00D61CE2"/>
    <w:rsid w:val="00D700C6"/>
    <w:rsid w:val="00D80DC9"/>
    <w:rsid w:val="00D902CA"/>
    <w:rsid w:val="00D93EBA"/>
    <w:rsid w:val="00D94521"/>
    <w:rsid w:val="00D95257"/>
    <w:rsid w:val="00D95F7B"/>
    <w:rsid w:val="00DA3520"/>
    <w:rsid w:val="00DA497A"/>
    <w:rsid w:val="00DA7A6A"/>
    <w:rsid w:val="00DB1BCB"/>
    <w:rsid w:val="00DB1E80"/>
    <w:rsid w:val="00DB3DF1"/>
    <w:rsid w:val="00DB5988"/>
    <w:rsid w:val="00DB78D9"/>
    <w:rsid w:val="00DC16D8"/>
    <w:rsid w:val="00DC2A20"/>
    <w:rsid w:val="00DC50F3"/>
    <w:rsid w:val="00DC7190"/>
    <w:rsid w:val="00DD457D"/>
    <w:rsid w:val="00DD7F80"/>
    <w:rsid w:val="00DD7F82"/>
    <w:rsid w:val="00DE255E"/>
    <w:rsid w:val="00DE30DE"/>
    <w:rsid w:val="00DE34E3"/>
    <w:rsid w:val="00DE4488"/>
    <w:rsid w:val="00DE4C8C"/>
    <w:rsid w:val="00DE4D7A"/>
    <w:rsid w:val="00DE7E68"/>
    <w:rsid w:val="00DF0774"/>
    <w:rsid w:val="00DF1D4C"/>
    <w:rsid w:val="00DF2257"/>
    <w:rsid w:val="00DF2DB4"/>
    <w:rsid w:val="00DF4394"/>
    <w:rsid w:val="00DF5CA4"/>
    <w:rsid w:val="00E05AD4"/>
    <w:rsid w:val="00E10496"/>
    <w:rsid w:val="00E124E9"/>
    <w:rsid w:val="00E12517"/>
    <w:rsid w:val="00E15147"/>
    <w:rsid w:val="00E15E80"/>
    <w:rsid w:val="00E1636C"/>
    <w:rsid w:val="00E213B2"/>
    <w:rsid w:val="00E2413F"/>
    <w:rsid w:val="00E3072F"/>
    <w:rsid w:val="00E334ED"/>
    <w:rsid w:val="00E4159C"/>
    <w:rsid w:val="00E41D61"/>
    <w:rsid w:val="00E43727"/>
    <w:rsid w:val="00E43B71"/>
    <w:rsid w:val="00E458FD"/>
    <w:rsid w:val="00E515E1"/>
    <w:rsid w:val="00E56B23"/>
    <w:rsid w:val="00E571F0"/>
    <w:rsid w:val="00E60EDE"/>
    <w:rsid w:val="00E61ED2"/>
    <w:rsid w:val="00E64221"/>
    <w:rsid w:val="00E6569B"/>
    <w:rsid w:val="00E71B26"/>
    <w:rsid w:val="00E742ED"/>
    <w:rsid w:val="00E76EFF"/>
    <w:rsid w:val="00E77252"/>
    <w:rsid w:val="00E77F0F"/>
    <w:rsid w:val="00E82269"/>
    <w:rsid w:val="00E8610D"/>
    <w:rsid w:val="00E93F0C"/>
    <w:rsid w:val="00EA3699"/>
    <w:rsid w:val="00EA6740"/>
    <w:rsid w:val="00EB1490"/>
    <w:rsid w:val="00EB66EC"/>
    <w:rsid w:val="00EB7BD4"/>
    <w:rsid w:val="00EC2097"/>
    <w:rsid w:val="00ED035D"/>
    <w:rsid w:val="00ED56E2"/>
    <w:rsid w:val="00ED5FAD"/>
    <w:rsid w:val="00ED7FAA"/>
    <w:rsid w:val="00EE0C81"/>
    <w:rsid w:val="00EE3B0E"/>
    <w:rsid w:val="00EE4B49"/>
    <w:rsid w:val="00EE6543"/>
    <w:rsid w:val="00EF0D46"/>
    <w:rsid w:val="00EF4F39"/>
    <w:rsid w:val="00EF76F4"/>
    <w:rsid w:val="00F11144"/>
    <w:rsid w:val="00F20316"/>
    <w:rsid w:val="00F2045B"/>
    <w:rsid w:val="00F20A75"/>
    <w:rsid w:val="00F21C1E"/>
    <w:rsid w:val="00F24FFE"/>
    <w:rsid w:val="00F2687B"/>
    <w:rsid w:val="00F2708E"/>
    <w:rsid w:val="00F3344C"/>
    <w:rsid w:val="00F502A2"/>
    <w:rsid w:val="00F51BF6"/>
    <w:rsid w:val="00F53832"/>
    <w:rsid w:val="00F53843"/>
    <w:rsid w:val="00F53B37"/>
    <w:rsid w:val="00F54EE6"/>
    <w:rsid w:val="00F56F14"/>
    <w:rsid w:val="00F5703B"/>
    <w:rsid w:val="00F619F5"/>
    <w:rsid w:val="00F6332B"/>
    <w:rsid w:val="00F65145"/>
    <w:rsid w:val="00F73EBC"/>
    <w:rsid w:val="00F77327"/>
    <w:rsid w:val="00F80617"/>
    <w:rsid w:val="00F80661"/>
    <w:rsid w:val="00F83444"/>
    <w:rsid w:val="00F853A8"/>
    <w:rsid w:val="00F93ECA"/>
    <w:rsid w:val="00F94822"/>
    <w:rsid w:val="00F974B6"/>
    <w:rsid w:val="00FA76B5"/>
    <w:rsid w:val="00FB0E32"/>
    <w:rsid w:val="00FB14B5"/>
    <w:rsid w:val="00FB2F97"/>
    <w:rsid w:val="00FB2FFA"/>
    <w:rsid w:val="00FB5108"/>
    <w:rsid w:val="00FB5D2E"/>
    <w:rsid w:val="00FB7AA7"/>
    <w:rsid w:val="00FC0040"/>
    <w:rsid w:val="00FC5B10"/>
    <w:rsid w:val="00FC5C38"/>
    <w:rsid w:val="00FD2AFD"/>
    <w:rsid w:val="00FD7589"/>
    <w:rsid w:val="00FE1229"/>
    <w:rsid w:val="00FE462B"/>
    <w:rsid w:val="00FF11B8"/>
    <w:rsid w:val="00FF529A"/>
    <w:rsid w:val="00FF59DE"/>
    <w:rsid w:val="00FF7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97E2F"/>
  <w15:docId w15:val="{D843655B-AF4B-47B1-88BC-43322C6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Standard JKU"/>
    <w:qFormat/>
    <w:rsid w:val="007C29A6"/>
    <w:pPr>
      <w:spacing w:after="0" w:line="300" w:lineRule="exact"/>
    </w:pPr>
    <w:rPr>
      <w:rFonts w:ascii="Arial" w:hAnsi="Arial"/>
    </w:rPr>
  </w:style>
  <w:style w:type="paragraph" w:styleId="berschrift1">
    <w:name w:val="heading 1"/>
    <w:aliases w:val="Überschrift 1 JKU"/>
    <w:basedOn w:val="Standard"/>
    <w:next w:val="Standard"/>
    <w:link w:val="berschrift1Zchn"/>
    <w:qFormat/>
    <w:rsid w:val="001815CD"/>
    <w:pPr>
      <w:keepNext/>
      <w:keepLines/>
      <w:numPr>
        <w:numId w:val="13"/>
      </w:numPr>
      <w:spacing w:before="240"/>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nhideWhenUsed/>
    <w:qFormat/>
    <w:rsid w:val="007C29A6"/>
    <w:pPr>
      <w:keepNext/>
      <w:keepLines/>
      <w:numPr>
        <w:ilvl w:val="1"/>
        <w:numId w:val="13"/>
      </w:numPr>
      <w:spacing w:before="40"/>
      <w:outlineLvl w:val="1"/>
    </w:pPr>
    <w:rPr>
      <w:rFonts w:eastAsiaTheme="majorEastAsia" w:cstheme="majorBidi"/>
      <w:sz w:val="26"/>
      <w:szCs w:val="26"/>
    </w:rPr>
  </w:style>
  <w:style w:type="paragraph" w:styleId="berschrift3">
    <w:name w:val="heading 3"/>
    <w:aliases w:val="Überschrift 3 JKU"/>
    <w:basedOn w:val="Standard"/>
    <w:next w:val="Standard"/>
    <w:link w:val="berschrift3Zchn"/>
    <w:uiPriority w:val="99"/>
    <w:unhideWhenUsed/>
    <w:qFormat/>
    <w:rsid w:val="007C29A6"/>
    <w:pPr>
      <w:keepNext/>
      <w:keepLines/>
      <w:numPr>
        <w:ilvl w:val="2"/>
        <w:numId w:val="13"/>
      </w:numPr>
      <w:spacing w:before="40"/>
      <w:ind w:left="1815" w:hanging="794"/>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9"/>
    <w:unhideWhenUsed/>
    <w:qFormat/>
    <w:rsid w:val="001815CD"/>
    <w:pPr>
      <w:keepNext/>
      <w:keepLines/>
      <w:numPr>
        <w:ilvl w:val="3"/>
        <w:numId w:val="13"/>
      </w:numPr>
      <w:spacing w:before="40"/>
      <w:outlineLvl w:val="3"/>
    </w:pPr>
    <w:rPr>
      <w:rFonts w:eastAsiaTheme="majorEastAsia" w:cstheme="majorBidi"/>
      <w:iCs/>
    </w:rPr>
  </w:style>
  <w:style w:type="paragraph" w:styleId="berschrift5">
    <w:name w:val="heading 5"/>
    <w:aliases w:val="Überschrift 5 JKU"/>
    <w:basedOn w:val="Standard"/>
    <w:next w:val="Standard"/>
    <w:link w:val="berschrift5Zchn"/>
    <w:uiPriority w:val="99"/>
    <w:unhideWhenUsed/>
    <w:qFormat/>
    <w:rsid w:val="007C29A6"/>
    <w:pPr>
      <w:keepNext/>
      <w:keepLines/>
      <w:numPr>
        <w:ilvl w:val="4"/>
        <w:numId w:val="13"/>
      </w:numPr>
      <w:spacing w:before="40"/>
      <w:outlineLvl w:val="4"/>
    </w:pPr>
    <w:rPr>
      <w:rFonts w:eastAsiaTheme="majorEastAsia" w:cstheme="majorBidi"/>
    </w:rPr>
  </w:style>
  <w:style w:type="paragraph" w:styleId="berschrift6">
    <w:name w:val="heading 6"/>
    <w:basedOn w:val="Standard"/>
    <w:next w:val="Standard"/>
    <w:link w:val="berschrift6Zchn"/>
    <w:uiPriority w:val="9"/>
    <w:semiHidden/>
    <w:qFormat/>
    <w:rsid w:val="001815CD"/>
    <w:pPr>
      <w:keepNext/>
      <w:keepLines/>
      <w:numPr>
        <w:ilvl w:val="5"/>
        <w:numId w:val="16"/>
      </w:numPr>
      <w:spacing w:before="40"/>
      <w:outlineLvl w:val="5"/>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nhideWhenUsed/>
    <w:rsid w:val="007C29A6"/>
    <w:pPr>
      <w:tabs>
        <w:tab w:val="center" w:pos="4536"/>
        <w:tab w:val="right" w:pos="9072"/>
      </w:tabs>
      <w:spacing w:line="240" w:lineRule="auto"/>
    </w:pPr>
    <w:rPr>
      <w:sz w:val="14"/>
    </w:rPr>
  </w:style>
  <w:style w:type="character" w:customStyle="1" w:styleId="KopfzeileZchn">
    <w:name w:val="Kopfzeile Zchn"/>
    <w:aliases w:val="Kopfzeile JKU Zchn"/>
    <w:basedOn w:val="Absatz-Standardschriftart"/>
    <w:link w:val="Kopfzeile"/>
    <w:uiPriority w:val="99"/>
    <w:rsid w:val="007C29A6"/>
    <w:rPr>
      <w:rFonts w:ascii="Arial" w:hAnsi="Arial"/>
      <w:sz w:val="14"/>
    </w:rPr>
  </w:style>
  <w:style w:type="paragraph" w:styleId="Fuzeile">
    <w:name w:val="footer"/>
    <w:aliases w:val="Fußzeile JKU"/>
    <w:basedOn w:val="Standard"/>
    <w:link w:val="FuzeileZchn"/>
    <w:uiPriority w:val="99"/>
    <w:unhideWhenUsed/>
    <w:rsid w:val="004E2D1F"/>
    <w:pPr>
      <w:tabs>
        <w:tab w:val="center" w:pos="4536"/>
        <w:tab w:val="right" w:pos="9072"/>
      </w:tabs>
      <w:spacing w:line="240" w:lineRule="auto"/>
    </w:pPr>
    <w:rPr>
      <w:sz w:val="14"/>
    </w:rPr>
  </w:style>
  <w:style w:type="character" w:customStyle="1" w:styleId="FuzeileZchn">
    <w:name w:val="Fußzeile Zchn"/>
    <w:aliases w:val="Fußzeile JKU Zchn"/>
    <w:basedOn w:val="Absatz-Standardschriftart"/>
    <w:link w:val="Fuzeile"/>
    <w:uiPriority w:val="99"/>
    <w:rsid w:val="004E2D1F"/>
    <w:rPr>
      <w:rFonts w:ascii="Arial" w:hAnsi="Arial"/>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unhideWhenUsed/>
    <w:rsid w:val="007C7EAA"/>
    <w:rPr>
      <w:sz w:val="16"/>
      <w:szCs w:val="16"/>
    </w:rPr>
  </w:style>
  <w:style w:type="paragraph" w:styleId="Kommentartext">
    <w:name w:val="annotation text"/>
    <w:basedOn w:val="Standard"/>
    <w:link w:val="KommentartextZchn"/>
    <w:uiPriority w:val="99"/>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4F5281"/>
    <w:pPr>
      <w:numPr>
        <w:numId w:val="4"/>
      </w:numPr>
    </w:pPr>
  </w:style>
  <w:style w:type="character" w:styleId="Fett">
    <w:name w:val="Strong"/>
    <w:basedOn w:val="Absatz-Standardschriftart"/>
    <w:uiPriority w:val="22"/>
    <w:rsid w:val="00743AB2"/>
    <w:rPr>
      <w:b/>
      <w:bCs/>
    </w:rPr>
  </w:style>
  <w:style w:type="paragraph" w:styleId="Titel">
    <w:name w:val="Title"/>
    <w:aliases w:val="Titel JKU"/>
    <w:basedOn w:val="Standard"/>
    <w:next w:val="Standard"/>
    <w:link w:val="TitelZchn"/>
    <w:uiPriority w:val="10"/>
    <w:qFormat/>
    <w:rsid w:val="007C29A6"/>
    <w:pPr>
      <w:spacing w:line="240" w:lineRule="auto"/>
    </w:pPr>
    <w:rPr>
      <w:rFonts w:ascii="Arial Black" w:hAnsi="Arial Black" w:cs="Arial"/>
      <w:caps/>
      <w:sz w:val="56"/>
    </w:rPr>
  </w:style>
  <w:style w:type="character" w:customStyle="1" w:styleId="TitelZchn">
    <w:name w:val="Titel Zchn"/>
    <w:aliases w:val="Titel JKU Zchn"/>
    <w:basedOn w:val="Absatz-Standardschriftart"/>
    <w:link w:val="Titel"/>
    <w:uiPriority w:val="10"/>
    <w:rsid w:val="007C29A6"/>
    <w:rPr>
      <w:rFonts w:ascii="Arial Black" w:hAnsi="Arial Black" w:cs="Arial"/>
      <w:caps/>
      <w:sz w:val="56"/>
    </w:rPr>
  </w:style>
  <w:style w:type="paragraph" w:styleId="Untertitel">
    <w:name w:val="Subtitle"/>
    <w:basedOn w:val="Standard"/>
    <w:next w:val="Standard"/>
    <w:link w:val="UntertitelZchn"/>
    <w:uiPriority w:val="11"/>
    <w:qFormat/>
    <w:rsid w:val="004E2D1F"/>
    <w:pPr>
      <w:numPr>
        <w:ilvl w:val="1"/>
      </w:numPr>
      <w:spacing w:after="160"/>
    </w:pPr>
    <w:rPr>
      <w:rFonts w:ascii="Arial Black" w:eastAsiaTheme="minorEastAsia" w:hAnsi="Arial Black"/>
      <w:spacing w:val="15"/>
    </w:rPr>
  </w:style>
  <w:style w:type="character" w:customStyle="1" w:styleId="UntertitelZchn">
    <w:name w:val="Untertitel Zchn"/>
    <w:basedOn w:val="Absatz-Standardschriftart"/>
    <w:link w:val="Untertitel"/>
    <w:uiPriority w:val="11"/>
    <w:rsid w:val="004E2D1F"/>
    <w:rPr>
      <w:rFonts w:ascii="Arial Black" w:eastAsiaTheme="minorEastAsia" w:hAnsi="Arial Black"/>
      <w:spacing w:val="15"/>
    </w:rPr>
  </w:style>
  <w:style w:type="character" w:styleId="IntensiverVerweis">
    <w:name w:val="Intense Reference"/>
    <w:basedOn w:val="Absatz-Standardschriftart"/>
    <w:uiPriority w:val="32"/>
    <w:qFormat/>
    <w:rsid w:val="004E2D1F"/>
    <w:rPr>
      <w:b/>
      <w:bCs/>
      <w:smallCaps/>
      <w:color w:val="auto"/>
      <w:spacing w:val="5"/>
    </w:rPr>
  </w:style>
  <w:style w:type="numbering" w:customStyle="1" w:styleId="berschriftenJKU">
    <w:name w:val="Überschriften JKU"/>
    <w:uiPriority w:val="99"/>
    <w:rsid w:val="007C29A6"/>
    <w:pPr>
      <w:numPr>
        <w:numId w:val="9"/>
      </w:numPr>
    </w:pPr>
  </w:style>
  <w:style w:type="character" w:customStyle="1" w:styleId="berschrift1Zchn">
    <w:name w:val="Überschrift 1 Zchn"/>
    <w:aliases w:val="Überschrift 1 JKU Zchn"/>
    <w:basedOn w:val="Absatz-Standardschriftart"/>
    <w:link w:val="berschrift1"/>
    <w:rsid w:val="001815CD"/>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rsid w:val="007C29A6"/>
    <w:rPr>
      <w:rFonts w:ascii="Arial" w:eastAsiaTheme="majorEastAsia" w:hAnsi="Arial" w:cstheme="majorBidi"/>
      <w:sz w:val="26"/>
      <w:szCs w:val="26"/>
    </w:rPr>
  </w:style>
  <w:style w:type="character" w:customStyle="1" w:styleId="berschrift3Zchn">
    <w:name w:val="Überschrift 3 Zchn"/>
    <w:aliases w:val="Überschrift 3 JKU Zchn"/>
    <w:basedOn w:val="Absatz-Standardschriftart"/>
    <w:link w:val="berschrift3"/>
    <w:uiPriority w:val="9"/>
    <w:rsid w:val="007C29A6"/>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1815CD"/>
    <w:rPr>
      <w:rFonts w:ascii="Arial" w:eastAsiaTheme="majorEastAsia" w:hAnsi="Arial" w:cstheme="majorBidi"/>
      <w:iCs/>
    </w:rPr>
  </w:style>
  <w:style w:type="character" w:customStyle="1" w:styleId="berschrift5Zchn">
    <w:name w:val="Überschrift 5 Zchn"/>
    <w:aliases w:val="Überschrift 5 JKU Zchn"/>
    <w:basedOn w:val="Absatz-Standardschriftart"/>
    <w:link w:val="berschrift5"/>
    <w:uiPriority w:val="9"/>
    <w:rsid w:val="007C29A6"/>
    <w:rPr>
      <w:rFonts w:ascii="Arial" w:eastAsiaTheme="majorEastAsia" w:hAnsi="Arial" w:cstheme="majorBidi"/>
    </w:rPr>
  </w:style>
  <w:style w:type="character" w:customStyle="1" w:styleId="berschrift6Zchn">
    <w:name w:val="Überschrift 6 Zchn"/>
    <w:basedOn w:val="Absatz-Standardschriftart"/>
    <w:link w:val="berschrift6"/>
    <w:uiPriority w:val="9"/>
    <w:semiHidden/>
    <w:rsid w:val="007C29A6"/>
    <w:rPr>
      <w:rFonts w:ascii="Arial" w:eastAsiaTheme="majorEastAsia" w:hAnsi="Arial" w:cstheme="majorBidi"/>
    </w:rPr>
  </w:style>
  <w:style w:type="character" w:styleId="Seitenzahl">
    <w:name w:val="page number"/>
    <w:basedOn w:val="Absatz-Standardschriftart"/>
    <w:rsid w:val="00A37374"/>
  </w:style>
  <w:style w:type="numbering" w:customStyle="1" w:styleId="KeineListe1">
    <w:name w:val="Keine Liste1"/>
    <w:next w:val="KeineListe"/>
    <w:uiPriority w:val="99"/>
    <w:semiHidden/>
    <w:unhideWhenUsed/>
    <w:rsid w:val="000E701B"/>
  </w:style>
  <w:style w:type="paragraph" w:styleId="Funotentext">
    <w:name w:val="footnote text"/>
    <w:basedOn w:val="Standard"/>
    <w:link w:val="FunotentextZchn"/>
    <w:semiHidden/>
    <w:rsid w:val="000E701B"/>
    <w:pPr>
      <w:spacing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0E701B"/>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0E701B"/>
    <w:rPr>
      <w:vertAlign w:val="superscript"/>
    </w:rPr>
  </w:style>
  <w:style w:type="paragraph" w:customStyle="1" w:styleId="ListParagraph1">
    <w:name w:val="List Paragraph1"/>
    <w:basedOn w:val="Standard"/>
    <w:rsid w:val="000E701B"/>
    <w:pPr>
      <w:spacing w:line="360" w:lineRule="auto"/>
      <w:ind w:left="720"/>
    </w:pPr>
    <w:rPr>
      <w:rFonts w:ascii="Times New Roman" w:eastAsia="SimSun" w:hAnsi="Times New Roman" w:cs="Times New Roman"/>
      <w:szCs w:val="24"/>
      <w:lang w:val="de-CH" w:eastAsia="zh-CN"/>
    </w:rPr>
  </w:style>
  <w:style w:type="paragraph" w:customStyle="1" w:styleId="BodyText21">
    <w:name w:val="Body Text 21"/>
    <w:basedOn w:val="Standard"/>
    <w:rsid w:val="000E701B"/>
    <w:pPr>
      <w:spacing w:line="360" w:lineRule="auto"/>
      <w:jc w:val="both"/>
    </w:pPr>
    <w:rPr>
      <w:rFonts w:ascii="Times New Roman" w:eastAsia="Times New Roman" w:hAnsi="Times New Roman" w:cs="Times New Roman"/>
      <w:sz w:val="24"/>
      <w:szCs w:val="20"/>
      <w:lang w:val="en-GB" w:eastAsia="de-DE"/>
    </w:rPr>
  </w:style>
  <w:style w:type="paragraph" w:customStyle="1" w:styleId="TableHead">
    <w:name w:val="TableHead"/>
    <w:basedOn w:val="Standard"/>
    <w:next w:val="Standard"/>
    <w:autoRedefine/>
    <w:rsid w:val="000E701B"/>
    <w:pPr>
      <w:spacing w:line="240" w:lineRule="auto"/>
      <w:jc w:val="center"/>
    </w:pPr>
    <w:rPr>
      <w:rFonts w:eastAsia="Times New Roman" w:cs="Arial"/>
      <w:sz w:val="16"/>
      <w:szCs w:val="16"/>
      <w:lang w:val="en-GB" w:eastAsia="de-AT"/>
    </w:rPr>
  </w:style>
  <w:style w:type="table" w:customStyle="1" w:styleId="Tabellenraster1">
    <w:name w:val="Tabellenraster1"/>
    <w:basedOn w:val="NormaleTabelle"/>
    <w:next w:val="Tabellenraster"/>
    <w:uiPriority w:val="59"/>
    <w:rsid w:val="000E701B"/>
    <w:pPr>
      <w:spacing w:after="0" w:line="240" w:lineRule="auto"/>
    </w:pPr>
    <w:rPr>
      <w:rFonts w:eastAsia="Times New Roman"/>
      <w:lang w:eastAsia="de-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MAbsatz1">
    <w:name w:val="DAM Absatz1"/>
    <w:basedOn w:val="Standard"/>
    <w:link w:val="DAMAbsatz1Char"/>
    <w:rsid w:val="000E701B"/>
    <w:pPr>
      <w:spacing w:before="60" w:line="260" w:lineRule="exact"/>
      <w:jc w:val="both"/>
    </w:pPr>
    <w:rPr>
      <w:rFonts w:ascii="Times New Roman" w:eastAsia="Times New Roman" w:hAnsi="Times New Roman" w:cs="Times New Roman"/>
      <w:lang w:eastAsia="de-AT"/>
    </w:rPr>
  </w:style>
  <w:style w:type="character" w:customStyle="1" w:styleId="DAMAbsatz1Fett">
    <w:name w:val="DAM Absatz1 Fett"/>
    <w:basedOn w:val="Absatz-Standardschriftart"/>
    <w:rsid w:val="000E701B"/>
    <w:rPr>
      <w:rFonts w:ascii="Times New Roman" w:hAnsi="Times New Roman"/>
      <w:b/>
      <w:sz w:val="22"/>
    </w:rPr>
  </w:style>
  <w:style w:type="character" w:customStyle="1" w:styleId="DAMAbsatz1Char">
    <w:name w:val="DAM Absatz1 Char"/>
    <w:basedOn w:val="Absatz-Standardschriftart"/>
    <w:link w:val="DAMAbsatz1"/>
    <w:rsid w:val="000E701B"/>
    <w:rPr>
      <w:rFonts w:ascii="Times New Roman" w:eastAsia="Times New Roman" w:hAnsi="Times New Roman" w:cs="Times New Roman"/>
      <w:lang w:eastAsia="de-AT"/>
    </w:rPr>
  </w:style>
  <w:style w:type="paragraph" w:customStyle="1" w:styleId="DAMAufzhlung1">
    <w:name w:val="DAM Aufzählung1"/>
    <w:basedOn w:val="DAMAbsatz1"/>
    <w:rsid w:val="000E701B"/>
    <w:pPr>
      <w:numPr>
        <w:numId w:val="32"/>
      </w:numPr>
      <w:tabs>
        <w:tab w:val="clear" w:pos="1440"/>
        <w:tab w:val="left" w:pos="284"/>
        <w:tab w:val="num" w:pos="360"/>
      </w:tabs>
      <w:ind w:left="284" w:hanging="284"/>
    </w:pPr>
  </w:style>
  <w:style w:type="paragraph" w:customStyle="1" w:styleId="FormatvorlageTextkrper10ptNichtKursivZeilenabstandDoppelt">
    <w:name w:val="Formatvorlage Textkörper + 10 pt Nicht Kursiv Zeilenabstand:  Doppelt"/>
    <w:basedOn w:val="Textkrper"/>
    <w:autoRedefine/>
    <w:rsid w:val="000E701B"/>
    <w:pPr>
      <w:spacing w:before="120" w:after="0" w:line="480" w:lineRule="auto"/>
      <w:ind w:left="703" w:hanging="703"/>
    </w:pPr>
    <w:rPr>
      <w:rFonts w:ascii="Arial" w:hAnsi="Arial" w:cs="Arial"/>
      <w:bCs/>
      <w:color w:val="000000"/>
      <w:szCs w:val="20"/>
      <w:lang w:val="en-US"/>
    </w:rPr>
  </w:style>
  <w:style w:type="paragraph" w:styleId="Textkrper">
    <w:name w:val="Body Text"/>
    <w:basedOn w:val="Standard"/>
    <w:link w:val="TextkrperZchn"/>
    <w:uiPriority w:val="99"/>
    <w:semiHidden/>
    <w:unhideWhenUsed/>
    <w:rsid w:val="000E701B"/>
    <w:pPr>
      <w:spacing w:after="120" w:line="276" w:lineRule="auto"/>
    </w:pPr>
    <w:rPr>
      <w:rFonts w:ascii="Calibri" w:eastAsia="Times New Roman" w:hAnsi="Calibri"/>
      <w:lang w:eastAsia="de-AT"/>
    </w:rPr>
  </w:style>
  <w:style w:type="character" w:customStyle="1" w:styleId="TextkrperZchn">
    <w:name w:val="Textkörper Zchn"/>
    <w:basedOn w:val="Absatz-Standardschriftart"/>
    <w:link w:val="Textkrper"/>
    <w:uiPriority w:val="99"/>
    <w:semiHidden/>
    <w:rsid w:val="000E701B"/>
    <w:rPr>
      <w:rFonts w:ascii="Calibri" w:eastAsia="Times New Roman" w:hAnsi="Calibri"/>
      <w:lang w:eastAsia="de-AT"/>
    </w:rPr>
  </w:style>
  <w:style w:type="paragraph" w:customStyle="1" w:styleId="a3520normalp4">
    <w:name w:val="a__35__20_normal_p4"/>
    <w:basedOn w:val="Standard"/>
    <w:rsid w:val="000E701B"/>
    <w:pPr>
      <w:spacing w:after="120" w:line="240" w:lineRule="auto"/>
      <w:jc w:val="both"/>
    </w:pPr>
    <w:rPr>
      <w:rFonts w:ascii="Times New Roman" w:eastAsia="Times New Roman" w:hAnsi="Times New Roman" w:cs="Times New Roman"/>
      <w:sz w:val="24"/>
      <w:szCs w:val="24"/>
      <w:lang w:eastAsia="de-DE"/>
    </w:rPr>
  </w:style>
  <w:style w:type="paragraph" w:styleId="Beschriftung">
    <w:name w:val="caption"/>
    <w:basedOn w:val="Standard"/>
    <w:next w:val="Standard"/>
    <w:qFormat/>
    <w:rsid w:val="000E701B"/>
    <w:pPr>
      <w:spacing w:before="120" w:after="120" w:line="384" w:lineRule="auto"/>
      <w:jc w:val="both"/>
    </w:pPr>
    <w:rPr>
      <w:rFonts w:ascii="Times New Roman" w:eastAsia="Times New Roman" w:hAnsi="Times New Roman" w:cs="Times New Roman"/>
      <w:b/>
      <w:bCs/>
      <w:snapToGrid w:val="0"/>
      <w:sz w:val="20"/>
      <w:szCs w:val="20"/>
      <w:lang w:val="en-US" w:eastAsia="de-DE"/>
    </w:rPr>
  </w:style>
  <w:style w:type="paragraph" w:customStyle="1" w:styleId="References">
    <w:name w:val="References"/>
    <w:rsid w:val="000E701B"/>
    <w:pPr>
      <w:spacing w:after="0" w:line="480" w:lineRule="auto"/>
      <w:ind w:left="284" w:hanging="284"/>
      <w:jc w:val="both"/>
    </w:pPr>
    <w:rPr>
      <w:rFonts w:ascii="Times New Roman" w:eastAsia="ヒラギノ角ゴ Pro W3" w:hAnsi="Times New Roman" w:cs="Times New Roman"/>
      <w:color w:val="000000"/>
      <w:sz w:val="24"/>
      <w:szCs w:val="24"/>
      <w:lang w:val="en-GB" w:eastAsia="en-GB" w:bidi="en-US"/>
    </w:rPr>
  </w:style>
  <w:style w:type="table" w:styleId="Tabellenraster">
    <w:name w:val="Table Grid"/>
    <w:basedOn w:val="NormaleTabelle"/>
    <w:uiPriority w:val="39"/>
    <w:locked/>
    <w:rsid w:val="000E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1">
    <w:name w:val="Absatz1"/>
    <w:basedOn w:val="Textkrper"/>
    <w:rsid w:val="00BF6287"/>
    <w:pPr>
      <w:spacing w:before="120" w:after="0" w:line="300" w:lineRule="exact"/>
      <w:jc w:val="both"/>
    </w:pPr>
    <w:rPr>
      <w:rFonts w:ascii="Times New Roman" w:hAnsi="Times New Roman" w:cs="Times New Roman"/>
      <w:sz w:val="24"/>
      <w:szCs w:val="20"/>
      <w:lang w:val="de-DE"/>
    </w:rPr>
  </w:style>
  <w:style w:type="character" w:customStyle="1" w:styleId="highlight">
    <w:name w:val="highlight"/>
    <w:basedOn w:val="Absatz-Standardschriftart"/>
    <w:rsid w:val="0001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6077">
      <w:bodyDiv w:val="1"/>
      <w:marLeft w:val="0"/>
      <w:marRight w:val="0"/>
      <w:marTop w:val="0"/>
      <w:marBottom w:val="0"/>
      <w:divBdr>
        <w:top w:val="none" w:sz="0" w:space="0" w:color="auto"/>
        <w:left w:val="none" w:sz="0" w:space="0" w:color="auto"/>
        <w:bottom w:val="none" w:sz="0" w:space="0" w:color="auto"/>
        <w:right w:val="none" w:sz="0" w:space="0" w:color="auto"/>
      </w:divBdr>
      <w:divsChild>
        <w:div w:id="1503203906">
          <w:marLeft w:val="0"/>
          <w:marRight w:val="0"/>
          <w:marTop w:val="0"/>
          <w:marBottom w:val="0"/>
          <w:divBdr>
            <w:top w:val="none" w:sz="0" w:space="0" w:color="auto"/>
            <w:left w:val="none" w:sz="0" w:space="0" w:color="auto"/>
            <w:bottom w:val="none" w:sz="0" w:space="0" w:color="auto"/>
            <w:right w:val="none" w:sz="0" w:space="0" w:color="auto"/>
          </w:divBdr>
          <w:divsChild>
            <w:div w:id="928805772">
              <w:marLeft w:val="0"/>
              <w:marRight w:val="0"/>
              <w:marTop w:val="0"/>
              <w:marBottom w:val="0"/>
              <w:divBdr>
                <w:top w:val="none" w:sz="0" w:space="0" w:color="auto"/>
                <w:left w:val="none" w:sz="0" w:space="0" w:color="auto"/>
                <w:bottom w:val="none" w:sz="0" w:space="0" w:color="auto"/>
                <w:right w:val="none" w:sz="0" w:space="0" w:color="auto"/>
              </w:divBdr>
              <w:divsChild>
                <w:div w:id="5418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95043">
      <w:bodyDiv w:val="1"/>
      <w:marLeft w:val="0"/>
      <w:marRight w:val="0"/>
      <w:marTop w:val="0"/>
      <w:marBottom w:val="0"/>
      <w:divBdr>
        <w:top w:val="none" w:sz="0" w:space="0" w:color="auto"/>
        <w:left w:val="none" w:sz="0" w:space="0" w:color="auto"/>
        <w:bottom w:val="none" w:sz="0" w:space="0" w:color="auto"/>
        <w:right w:val="none" w:sz="0" w:space="0" w:color="auto"/>
      </w:divBdr>
    </w:div>
    <w:div w:id="1448308427">
      <w:bodyDiv w:val="1"/>
      <w:marLeft w:val="0"/>
      <w:marRight w:val="0"/>
      <w:marTop w:val="0"/>
      <w:marBottom w:val="0"/>
      <w:divBdr>
        <w:top w:val="none" w:sz="0" w:space="0" w:color="auto"/>
        <w:left w:val="none" w:sz="0" w:space="0" w:color="auto"/>
        <w:bottom w:val="none" w:sz="0" w:space="0" w:color="auto"/>
        <w:right w:val="none" w:sz="0" w:space="0" w:color="auto"/>
      </w:divBdr>
      <w:divsChild>
        <w:div w:id="261232267">
          <w:marLeft w:val="0"/>
          <w:marRight w:val="0"/>
          <w:marTop w:val="0"/>
          <w:marBottom w:val="0"/>
          <w:divBdr>
            <w:top w:val="none" w:sz="0" w:space="0" w:color="auto"/>
            <w:left w:val="none" w:sz="0" w:space="0" w:color="auto"/>
            <w:bottom w:val="none" w:sz="0" w:space="0" w:color="auto"/>
            <w:right w:val="none" w:sz="0" w:space="0" w:color="auto"/>
          </w:divBdr>
          <w:divsChild>
            <w:div w:id="418060082">
              <w:marLeft w:val="0"/>
              <w:marRight w:val="0"/>
              <w:marTop w:val="0"/>
              <w:marBottom w:val="0"/>
              <w:divBdr>
                <w:top w:val="none" w:sz="0" w:space="0" w:color="auto"/>
                <w:left w:val="none" w:sz="0" w:space="0" w:color="auto"/>
                <w:bottom w:val="none" w:sz="0" w:space="0" w:color="auto"/>
                <w:right w:val="none" w:sz="0" w:space="0" w:color="auto"/>
              </w:divBdr>
            </w:div>
            <w:div w:id="1795517095">
              <w:marLeft w:val="0"/>
              <w:marRight w:val="0"/>
              <w:marTop w:val="0"/>
              <w:marBottom w:val="0"/>
              <w:divBdr>
                <w:top w:val="none" w:sz="0" w:space="0" w:color="auto"/>
                <w:left w:val="none" w:sz="0" w:space="0" w:color="auto"/>
                <w:bottom w:val="none" w:sz="0" w:space="0" w:color="auto"/>
                <w:right w:val="none" w:sz="0" w:space="0" w:color="auto"/>
              </w:divBdr>
            </w:div>
            <w:div w:id="7832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349">
      <w:bodyDiv w:val="1"/>
      <w:marLeft w:val="0"/>
      <w:marRight w:val="0"/>
      <w:marTop w:val="0"/>
      <w:marBottom w:val="0"/>
      <w:divBdr>
        <w:top w:val="none" w:sz="0" w:space="0" w:color="auto"/>
        <w:left w:val="none" w:sz="0" w:space="0" w:color="auto"/>
        <w:bottom w:val="none" w:sz="0" w:space="0" w:color="auto"/>
        <w:right w:val="none" w:sz="0" w:space="0" w:color="auto"/>
      </w:divBdr>
    </w:div>
    <w:div w:id="21359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k.springer.com/article/10.1007/s10551-012-143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5689\AppData\Local\Temp\Briefvorlage_JKU_Arial_DE_Selbstdruck.dotx" TargetMode="External"/></Relationships>
</file>

<file path=word/theme/theme1.xml><?xml version="1.0" encoding="utf-8"?>
<a:theme xmlns:a="http://schemas.openxmlformats.org/drawingml/2006/main" name="Larissa">
  <a:themeElements>
    <a:clrScheme name="JKU">
      <a:dk1>
        <a:srgbClr val="000000"/>
      </a:dk1>
      <a:lt1>
        <a:sysClr val="window" lastClr="FFFFFF"/>
      </a:lt1>
      <a:dk2>
        <a:srgbClr val="7D828C"/>
      </a:dk2>
      <a:lt2>
        <a:srgbClr val="0078AA"/>
      </a:lt2>
      <a:accent1>
        <a:srgbClr val="64B4BE"/>
      </a:accent1>
      <a:accent2>
        <a:srgbClr val="E6C323"/>
      </a:accent2>
      <a:accent3>
        <a:srgbClr val="C3D74B"/>
      </a:accent3>
      <a:accent4>
        <a:srgbClr val="73B455"/>
      </a:accent4>
      <a:accent5>
        <a:srgbClr val="914B82"/>
      </a:accent5>
      <a:accent6>
        <a:srgbClr val="CD5A50"/>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31A1-F61D-4295-B1DD-D2B1F179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Briefvorlage_JKU_Arial_DE_Selbstdruck</Template>
  <TotalTime>0</TotalTime>
  <Pages>22</Pages>
  <Words>10780</Words>
  <Characters>67917</Characters>
  <Application>Microsoft Office Word</Application>
  <DocSecurity>0</DocSecurity>
  <Lines>565</Lines>
  <Paragraphs>157</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
      <vt:lpstr>Theoretical background and development of hypotheses</vt:lpstr>
      <vt:lpstr/>
      <vt:lpstr>Auditing as negotiation – a dilemma</vt:lpstr>
      <vt:lpstr>Financial statements are widely viewed as the outcome of negotiations between au</vt:lpstr>
      <vt:lpstr>In the auditing context, the common negotiation goal of both auditor and client </vt:lpstr>
      <vt:lpstr>For these negotiations, both the auditor and the client require timely, accurate</vt:lpstr>
      <vt:lpstr>Previous research suggests that the auditor’s behavior in auditor-client negotia</vt:lpstr>
      <vt:lpstr/>
      <vt:lpstr>One possible way to overcome the negotiation dilemma described above, in which b</vt:lpstr>
      <vt:lpstr>Identification-based trust is an effective measure to reduce perceived behaviora</vt:lpstr>
    </vt:vector>
  </TitlesOfParts>
  <Company>JKU</Company>
  <LinksUpToDate>false</LinksUpToDate>
  <CharactersWithSpaces>78540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Fink</dc:creator>
  <cp:lastModifiedBy>Matthias Fink</cp:lastModifiedBy>
  <cp:revision>6</cp:revision>
  <cp:lastPrinted>2019-05-06T08:03:00Z</cp:lastPrinted>
  <dcterms:created xsi:type="dcterms:W3CDTF">2019-09-17T13:49:00Z</dcterms:created>
  <dcterms:modified xsi:type="dcterms:W3CDTF">2019-09-20T08:20:00Z</dcterms:modified>
</cp:coreProperties>
</file>