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1391" w14:textId="41C9561A" w:rsidR="006637C6" w:rsidRPr="005F1370" w:rsidRDefault="008E53B1" w:rsidP="00DF0D6E">
      <w:pPr>
        <w:spacing w:line="240" w:lineRule="auto"/>
        <w:rPr>
          <w:rFonts w:ascii="Calibri" w:hAnsi="Calibri" w:cs="Calibri"/>
          <w:b/>
          <w:sz w:val="32"/>
          <w:szCs w:val="32"/>
        </w:rPr>
      </w:pPr>
      <w:r w:rsidRPr="005F1370">
        <w:rPr>
          <w:rFonts w:ascii="Calibri" w:hAnsi="Calibri" w:cs="Calibri"/>
          <w:b/>
          <w:sz w:val="32"/>
          <w:szCs w:val="32"/>
        </w:rPr>
        <w:t>Closing t</w:t>
      </w:r>
      <w:r w:rsidR="000C794B" w:rsidRPr="005F1370">
        <w:rPr>
          <w:rFonts w:ascii="Calibri" w:hAnsi="Calibri" w:cs="Calibri"/>
          <w:b/>
          <w:sz w:val="32"/>
          <w:szCs w:val="32"/>
        </w:rPr>
        <w:t>he g</w:t>
      </w:r>
      <w:r w:rsidR="000456B3" w:rsidRPr="005F1370">
        <w:rPr>
          <w:rFonts w:ascii="Calibri" w:hAnsi="Calibri" w:cs="Calibri"/>
          <w:b/>
          <w:sz w:val="32"/>
          <w:szCs w:val="32"/>
        </w:rPr>
        <w:t>reen finance gap –</w:t>
      </w:r>
      <w:r w:rsidR="003D5AC7" w:rsidRPr="005F1370">
        <w:rPr>
          <w:rFonts w:ascii="Calibri" w:hAnsi="Calibri" w:cs="Calibri"/>
          <w:b/>
          <w:sz w:val="32"/>
          <w:szCs w:val="32"/>
        </w:rPr>
        <w:t xml:space="preserve"> </w:t>
      </w:r>
      <w:r w:rsidR="000456B3" w:rsidRPr="005F1370">
        <w:rPr>
          <w:rFonts w:ascii="Calibri" w:hAnsi="Calibri" w:cs="Calibri"/>
          <w:b/>
          <w:sz w:val="32"/>
          <w:szCs w:val="32"/>
        </w:rPr>
        <w:t>a systems perspective</w:t>
      </w:r>
    </w:p>
    <w:p w14:paraId="653FD19F" w14:textId="77777777" w:rsidR="003968DC" w:rsidRDefault="003968DC" w:rsidP="003968DC">
      <w:pPr>
        <w:rPr>
          <w:b/>
        </w:rPr>
      </w:pPr>
    </w:p>
    <w:p w14:paraId="5C59A2D7" w14:textId="77777777" w:rsidR="003968DC" w:rsidRPr="001B490E" w:rsidRDefault="003968DC" w:rsidP="003968DC">
      <w:pPr>
        <w:rPr>
          <w:rFonts w:ascii="Times New Roman" w:hAnsi="Times New Roman" w:cs="Times New Roman"/>
          <w:b/>
          <w:color w:val="000000" w:themeColor="text1"/>
          <w:lang w:val="en-US"/>
        </w:rPr>
      </w:pPr>
      <w:r w:rsidRPr="000D39EC">
        <w:rPr>
          <w:b/>
        </w:rPr>
        <w:t xml:space="preserve">Authors and Affiliation: </w:t>
      </w:r>
    </w:p>
    <w:p w14:paraId="75C90963" w14:textId="77777777" w:rsidR="003968DC" w:rsidRPr="000D39EC" w:rsidRDefault="003968DC" w:rsidP="003968DC">
      <w:pPr>
        <w:pStyle w:val="NormalWeb"/>
        <w:rPr>
          <w:lang w:val="en-GB"/>
        </w:rPr>
      </w:pPr>
      <w:r w:rsidRPr="000D39EC">
        <w:rPr>
          <w:lang w:val="en-GB"/>
        </w:rPr>
        <w:t>Sarah Hafner</w:t>
      </w:r>
      <w:r w:rsidRPr="000D39EC">
        <w:rPr>
          <w:vertAlign w:val="superscript"/>
          <w:lang w:val="en-GB"/>
        </w:rPr>
        <w:t>1*</w:t>
      </w:r>
      <w:r w:rsidRPr="000D39EC">
        <w:rPr>
          <w:lang w:val="en-GB"/>
        </w:rPr>
        <w:t xml:space="preserve">, </w:t>
      </w:r>
      <w:proofErr w:type="spellStart"/>
      <w:r w:rsidRPr="000D39EC">
        <w:rPr>
          <w:lang w:val="en-GB"/>
        </w:rPr>
        <w:t>Prof.</w:t>
      </w:r>
      <w:proofErr w:type="spellEnd"/>
      <w:r w:rsidRPr="000D39EC">
        <w:rPr>
          <w:lang w:val="en-GB"/>
        </w:rPr>
        <w:t xml:space="preserve"> Aled Jones</w:t>
      </w:r>
      <w:r w:rsidRPr="000D39EC">
        <w:rPr>
          <w:vertAlign w:val="superscript"/>
          <w:lang w:val="en-GB"/>
        </w:rPr>
        <w:t>1</w:t>
      </w:r>
      <w:r>
        <w:rPr>
          <w:lang w:val="en-GB"/>
        </w:rPr>
        <w:t xml:space="preserve">, </w:t>
      </w:r>
      <w:proofErr w:type="spellStart"/>
      <w:r>
        <w:rPr>
          <w:lang w:val="en-GB"/>
        </w:rPr>
        <w:t>D</w:t>
      </w:r>
      <w:r w:rsidRPr="000D39EC">
        <w:rPr>
          <w:lang w:val="en-GB"/>
        </w:rPr>
        <w:t>r.</w:t>
      </w:r>
      <w:proofErr w:type="spellEnd"/>
      <w:r w:rsidRPr="000D39EC">
        <w:rPr>
          <w:lang w:val="en-GB"/>
        </w:rPr>
        <w:t xml:space="preserve"> Annela Anger-Kraavi</w:t>
      </w:r>
      <w:r w:rsidRPr="000D39EC">
        <w:rPr>
          <w:vertAlign w:val="superscript"/>
          <w:lang w:val="en-GB"/>
        </w:rPr>
        <w:t>2</w:t>
      </w:r>
      <w:r w:rsidRPr="000D39EC">
        <w:rPr>
          <w:lang w:val="en-GB"/>
        </w:rPr>
        <w:t xml:space="preserve">, </w:t>
      </w:r>
      <w:r>
        <w:rPr>
          <w:lang w:val="en-GB"/>
        </w:rPr>
        <w:t>Jan Pohl</w:t>
      </w:r>
      <w:r w:rsidRPr="000D39EC">
        <w:rPr>
          <w:vertAlign w:val="superscript"/>
          <w:lang w:val="en-GB"/>
        </w:rPr>
        <w:t>1</w:t>
      </w:r>
      <w:r w:rsidRPr="000D39EC">
        <w:rPr>
          <w:lang w:val="en-GB"/>
        </w:rPr>
        <w:t xml:space="preserve">, </w:t>
      </w:r>
    </w:p>
    <w:p w14:paraId="3C7A21C3" w14:textId="77777777" w:rsidR="003968DC" w:rsidRPr="000D39EC" w:rsidRDefault="003968DC" w:rsidP="003968DC">
      <w:pPr>
        <w:pStyle w:val="NormalWeb"/>
        <w:rPr>
          <w:lang w:val="en-GB"/>
        </w:rPr>
      </w:pPr>
      <w:proofErr w:type="gramStart"/>
      <w:r w:rsidRPr="000D39EC">
        <w:rPr>
          <w:vertAlign w:val="superscript"/>
          <w:lang w:val="en-GB"/>
        </w:rPr>
        <w:t>1</w:t>
      </w:r>
      <w:proofErr w:type="gramEnd"/>
      <w:r w:rsidRPr="000D39EC">
        <w:rPr>
          <w:vertAlign w:val="superscript"/>
          <w:lang w:val="en-GB"/>
        </w:rPr>
        <w:t xml:space="preserve"> </w:t>
      </w:r>
      <w:r w:rsidRPr="000D39EC">
        <w:rPr>
          <w:lang w:val="en-GB"/>
        </w:rPr>
        <w:t>Global Sustainability Institute, Anglia Ruskin University, UK</w:t>
      </w:r>
    </w:p>
    <w:p w14:paraId="346E06FD" w14:textId="77777777" w:rsidR="003968DC" w:rsidRPr="000D39EC" w:rsidRDefault="003968DC" w:rsidP="003968DC">
      <w:pPr>
        <w:widowControl w:val="0"/>
        <w:autoSpaceDE w:val="0"/>
        <w:autoSpaceDN w:val="0"/>
        <w:adjustRightInd w:val="0"/>
        <w:spacing w:after="240" w:line="280" w:lineRule="atLeast"/>
        <w:rPr>
          <w:rFonts w:ascii="Times New Roman" w:hAnsi="Times New Roman" w:cs="Times New Roman"/>
        </w:rPr>
      </w:pPr>
      <w:proofErr w:type="gramStart"/>
      <w:r w:rsidRPr="000D39EC">
        <w:rPr>
          <w:rFonts w:ascii="Times New Roman" w:hAnsi="Times New Roman" w:cs="Times New Roman"/>
          <w:vertAlign w:val="superscript"/>
        </w:rPr>
        <w:t>2</w:t>
      </w:r>
      <w:proofErr w:type="gramEnd"/>
      <w:r w:rsidRPr="000D39EC">
        <w:rPr>
          <w:rFonts w:ascii="Times New Roman" w:hAnsi="Times New Roman" w:cs="Times New Roman"/>
        </w:rPr>
        <w:t xml:space="preserve"> EPRG, Judge Business School, University of Cambridge, UK</w:t>
      </w:r>
    </w:p>
    <w:p w14:paraId="7C0EE6E2" w14:textId="77777777" w:rsidR="003968DC" w:rsidRPr="000D39EC" w:rsidRDefault="003968DC" w:rsidP="003968DC">
      <w:pPr>
        <w:widowControl w:val="0"/>
        <w:autoSpaceDE w:val="0"/>
        <w:autoSpaceDN w:val="0"/>
        <w:adjustRightInd w:val="0"/>
        <w:spacing w:after="240" w:line="280" w:lineRule="atLeast"/>
        <w:rPr>
          <w:rFonts w:ascii="Times New Roman" w:hAnsi="Times New Roman" w:cs="Times New Roman"/>
        </w:rPr>
      </w:pPr>
      <w:r w:rsidRPr="000D39EC">
        <w:rPr>
          <w:rFonts w:ascii="Times New Roman" w:hAnsi="Times New Roman" w:cs="Times New Roman"/>
          <w:b/>
        </w:rPr>
        <w:t>*</w:t>
      </w:r>
      <w:r w:rsidRPr="000D39EC">
        <w:rPr>
          <w:rFonts w:ascii="Times New Roman" w:hAnsi="Times New Roman" w:cs="Times New Roman"/>
        </w:rPr>
        <w:t>Correspondence</w:t>
      </w:r>
      <w:r>
        <w:rPr>
          <w:rFonts w:ascii="Times New Roman" w:hAnsi="Times New Roman" w:cs="Times New Roman"/>
        </w:rPr>
        <w:t>: Sarah.Hafner@anglia.ac.uk</w:t>
      </w:r>
    </w:p>
    <w:p w14:paraId="62BC572C" w14:textId="77777777" w:rsidR="003968DC" w:rsidRPr="000D39EC" w:rsidRDefault="003968DC" w:rsidP="003968DC">
      <w:pPr>
        <w:widowControl w:val="0"/>
        <w:autoSpaceDE w:val="0"/>
        <w:autoSpaceDN w:val="0"/>
        <w:adjustRightInd w:val="0"/>
        <w:spacing w:after="240" w:line="180" w:lineRule="atLeast"/>
        <w:rPr>
          <w:rFonts w:ascii="Times New Roman" w:hAnsi="Times New Roman" w:cs="Times New Roman"/>
          <w:lang w:val="de-CH"/>
        </w:rPr>
      </w:pPr>
      <w:r w:rsidRPr="000D39EC">
        <w:rPr>
          <w:rFonts w:ascii="Times New Roman" w:hAnsi="Times New Roman" w:cs="Times New Roman"/>
          <w:b/>
          <w:lang w:val="de-CH"/>
        </w:rPr>
        <w:t>E-Mails:</w:t>
      </w:r>
      <w:r w:rsidRPr="000D39EC">
        <w:rPr>
          <w:rFonts w:ascii="Times New Roman" w:hAnsi="Times New Roman" w:cs="Times New Roman"/>
          <w:lang w:val="de-CH"/>
        </w:rPr>
        <w:t xml:space="preserve"> </w:t>
      </w:r>
      <w:hyperlink r:id="rId8" w:history="1">
        <w:r w:rsidRPr="000D39EC">
          <w:rPr>
            <w:rStyle w:val="Hyperlink"/>
            <w:rFonts w:ascii="Times New Roman" w:hAnsi="Times New Roman" w:cs="Times New Roman"/>
            <w:lang w:val="de-CH"/>
          </w:rPr>
          <w:t>Sarah.Hafner@anglia.ac.uk</w:t>
        </w:r>
      </w:hyperlink>
      <w:r w:rsidRPr="000D39EC">
        <w:rPr>
          <w:rFonts w:ascii="Times New Roman" w:hAnsi="Times New Roman" w:cs="Times New Roman"/>
          <w:lang w:val="de-CH"/>
        </w:rPr>
        <w:t>;</w:t>
      </w:r>
      <w:r w:rsidRPr="000D39EC">
        <w:rPr>
          <w:rFonts w:ascii="Times New Roman" w:eastAsia="Times New Roman" w:hAnsi="Times New Roman" w:cs="Times New Roman"/>
          <w:lang w:val="de-CH"/>
        </w:rPr>
        <w:t xml:space="preserve"> </w:t>
      </w:r>
      <w:hyperlink r:id="rId9" w:history="1">
        <w:r w:rsidRPr="000D39EC">
          <w:rPr>
            <w:rStyle w:val="Hyperlink"/>
            <w:rFonts w:ascii="Times New Roman" w:eastAsia="Times New Roman" w:hAnsi="Times New Roman" w:cs="Times New Roman"/>
            <w:shd w:val="clear" w:color="auto" w:fill="FFFFFF"/>
            <w:lang w:val="de-CH"/>
          </w:rPr>
          <w:t>aa451@cam.ac.uk</w:t>
        </w:r>
      </w:hyperlink>
      <w:r w:rsidRPr="000D39EC">
        <w:rPr>
          <w:rFonts w:ascii="Times New Roman" w:eastAsia="Times New Roman" w:hAnsi="Times New Roman" w:cs="Times New Roman"/>
          <w:lang w:val="de-CH"/>
        </w:rPr>
        <w:t xml:space="preserve">; </w:t>
      </w:r>
      <w:hyperlink r:id="rId10" w:history="1">
        <w:r w:rsidRPr="00C27FEF">
          <w:rPr>
            <w:rStyle w:val="Hyperlink"/>
            <w:rFonts w:ascii="Times New Roman" w:eastAsia="Times New Roman" w:hAnsi="Times New Roman" w:cs="Times New Roman"/>
            <w:lang w:val="de-CH"/>
          </w:rPr>
          <w:t>Aled.Jones@anglia.ac.uk</w:t>
        </w:r>
      </w:hyperlink>
      <w:r>
        <w:rPr>
          <w:rFonts w:ascii="Times New Roman" w:eastAsia="Times New Roman" w:hAnsi="Times New Roman" w:cs="Times New Roman"/>
          <w:lang w:val="de-CH"/>
        </w:rPr>
        <w:t>; Jan.Pohl@anglia.ac.uk</w:t>
      </w:r>
    </w:p>
    <w:p w14:paraId="372E965D" w14:textId="77777777" w:rsidR="003968DC" w:rsidRDefault="003968DC" w:rsidP="00D16068">
      <w:pPr>
        <w:spacing w:before="240" w:line="240" w:lineRule="auto"/>
        <w:rPr>
          <w:rFonts w:ascii="Calibri" w:hAnsi="Calibri" w:cs="Calibri"/>
          <w:b/>
          <w:sz w:val="21"/>
          <w:szCs w:val="21"/>
        </w:rPr>
      </w:pPr>
    </w:p>
    <w:p w14:paraId="15B19C6E" w14:textId="274FB063" w:rsidR="00004209" w:rsidRPr="008B2B15" w:rsidRDefault="00004209" w:rsidP="00D16068">
      <w:pPr>
        <w:spacing w:before="240" w:line="240" w:lineRule="auto"/>
        <w:rPr>
          <w:rFonts w:ascii="Calibri" w:hAnsi="Calibri" w:cs="Calibri"/>
          <w:b/>
          <w:sz w:val="21"/>
          <w:szCs w:val="21"/>
        </w:rPr>
      </w:pPr>
      <w:r w:rsidRPr="008B2B15">
        <w:rPr>
          <w:rFonts w:ascii="Calibri" w:hAnsi="Calibri" w:cs="Calibri"/>
          <w:b/>
          <w:sz w:val="21"/>
          <w:szCs w:val="21"/>
        </w:rPr>
        <w:t>Abstract</w:t>
      </w:r>
    </w:p>
    <w:p w14:paraId="7CBDE33C" w14:textId="2614C940" w:rsidR="00F554B0" w:rsidRDefault="00004209" w:rsidP="00F554B0">
      <w:pPr>
        <w:autoSpaceDE w:val="0"/>
        <w:autoSpaceDN w:val="0"/>
        <w:adjustRightInd w:val="0"/>
        <w:spacing w:after="0" w:line="240" w:lineRule="auto"/>
        <w:rPr>
          <w:rFonts w:ascii="Calibri" w:hAnsi="Calibri" w:cs="Calibri"/>
          <w:sz w:val="21"/>
          <w:szCs w:val="21"/>
        </w:rPr>
      </w:pPr>
      <w:r w:rsidRPr="008B2B15">
        <w:rPr>
          <w:rFonts w:ascii="Calibri" w:hAnsi="Calibri" w:cs="Calibri"/>
          <w:sz w:val="21"/>
          <w:szCs w:val="21"/>
        </w:rPr>
        <w:t xml:space="preserve">Meeting its climate policy objectives requires the UK </w:t>
      </w:r>
      <w:proofErr w:type="gramStart"/>
      <w:r w:rsidRPr="008B2B15">
        <w:rPr>
          <w:rFonts w:ascii="Calibri" w:hAnsi="Calibri" w:cs="Calibri"/>
          <w:sz w:val="21"/>
          <w:szCs w:val="21"/>
        </w:rPr>
        <w:t xml:space="preserve">to </w:t>
      </w:r>
      <w:r w:rsidR="009554EC">
        <w:rPr>
          <w:rFonts w:ascii="Calibri" w:hAnsi="Calibri" w:cs="Calibri"/>
          <w:sz w:val="21"/>
          <w:szCs w:val="21"/>
        </w:rPr>
        <w:t>rapid</w:t>
      </w:r>
      <w:r w:rsidR="005D0C08">
        <w:rPr>
          <w:rFonts w:ascii="Calibri" w:hAnsi="Calibri" w:cs="Calibri"/>
          <w:sz w:val="21"/>
          <w:szCs w:val="21"/>
        </w:rPr>
        <w:t>ly</w:t>
      </w:r>
      <w:r w:rsidR="009554EC">
        <w:rPr>
          <w:rFonts w:ascii="Calibri" w:hAnsi="Calibri" w:cs="Calibri"/>
          <w:sz w:val="21"/>
          <w:szCs w:val="21"/>
        </w:rPr>
        <w:t xml:space="preserve"> </w:t>
      </w:r>
      <w:r w:rsidR="005D0C08">
        <w:rPr>
          <w:rFonts w:ascii="Calibri" w:hAnsi="Calibri" w:cs="Calibri"/>
          <w:sz w:val="21"/>
          <w:szCs w:val="21"/>
        </w:rPr>
        <w:t>decarbonise</w:t>
      </w:r>
      <w:proofErr w:type="gramEnd"/>
      <w:r w:rsidR="009554EC">
        <w:rPr>
          <w:rFonts w:ascii="Calibri" w:hAnsi="Calibri" w:cs="Calibri"/>
          <w:sz w:val="21"/>
          <w:szCs w:val="21"/>
        </w:rPr>
        <w:t xml:space="preserve"> </w:t>
      </w:r>
      <w:r w:rsidR="00077985">
        <w:rPr>
          <w:rFonts w:ascii="Calibri" w:hAnsi="Calibri" w:cs="Calibri"/>
          <w:sz w:val="21"/>
          <w:szCs w:val="21"/>
        </w:rPr>
        <w:t xml:space="preserve">its </w:t>
      </w:r>
      <w:r w:rsidRPr="008B2B15">
        <w:rPr>
          <w:rFonts w:ascii="Calibri" w:hAnsi="Calibri" w:cs="Calibri"/>
          <w:sz w:val="21"/>
          <w:szCs w:val="21"/>
        </w:rPr>
        <w:t xml:space="preserve">energy sector. This demands high levels of investments into low carbon energy infrastructure, which </w:t>
      </w:r>
      <w:proofErr w:type="gramStart"/>
      <w:r w:rsidRPr="008B2B15">
        <w:rPr>
          <w:rFonts w:ascii="Calibri" w:hAnsi="Calibri" w:cs="Calibri"/>
          <w:sz w:val="21"/>
          <w:szCs w:val="21"/>
        </w:rPr>
        <w:t>are currently not undertaken</w:t>
      </w:r>
      <w:proofErr w:type="gramEnd"/>
      <w:r w:rsidRPr="008B2B15">
        <w:rPr>
          <w:rFonts w:ascii="Calibri" w:hAnsi="Calibri" w:cs="Calibri"/>
          <w:sz w:val="21"/>
          <w:szCs w:val="21"/>
        </w:rPr>
        <w:t xml:space="preserve"> at required scale, leading to a green finance</w:t>
      </w:r>
      <w:r w:rsidR="000456B3" w:rsidRPr="008B2B15">
        <w:rPr>
          <w:rFonts w:ascii="Calibri" w:hAnsi="Calibri" w:cs="Calibri"/>
          <w:sz w:val="21"/>
          <w:szCs w:val="21"/>
        </w:rPr>
        <w:t xml:space="preserve"> </w:t>
      </w:r>
      <w:r w:rsidRPr="008B2B15">
        <w:rPr>
          <w:rFonts w:ascii="Calibri" w:hAnsi="Calibri" w:cs="Calibri"/>
          <w:sz w:val="21"/>
          <w:szCs w:val="21"/>
        </w:rPr>
        <w:t xml:space="preserve">gap. </w:t>
      </w:r>
      <w:r w:rsidR="0097435A">
        <w:rPr>
          <w:rFonts w:ascii="Calibri" w:hAnsi="Calibri" w:cs="Calibri"/>
          <w:sz w:val="21"/>
          <w:szCs w:val="21"/>
        </w:rPr>
        <w:t>W</w:t>
      </w:r>
      <w:r w:rsidR="000456B3" w:rsidRPr="008B2B15">
        <w:rPr>
          <w:rFonts w:ascii="Calibri" w:hAnsi="Calibri" w:cs="Calibri"/>
          <w:sz w:val="21"/>
          <w:szCs w:val="21"/>
        </w:rPr>
        <w:t xml:space="preserve">e explore </w:t>
      </w:r>
      <w:r w:rsidRPr="008B2B15">
        <w:rPr>
          <w:rFonts w:ascii="Calibri" w:hAnsi="Calibri" w:cs="Calibri"/>
          <w:sz w:val="21"/>
          <w:szCs w:val="21"/>
        </w:rPr>
        <w:t xml:space="preserve">(1) </w:t>
      </w:r>
      <w:r w:rsidR="00E80951">
        <w:rPr>
          <w:rFonts w:ascii="Calibri" w:hAnsi="Calibri" w:cs="Calibri"/>
          <w:sz w:val="21"/>
          <w:szCs w:val="21"/>
        </w:rPr>
        <w:t>key</w:t>
      </w:r>
      <w:r w:rsidRPr="008B2B15">
        <w:rPr>
          <w:rFonts w:ascii="Calibri" w:hAnsi="Calibri" w:cs="Calibri"/>
          <w:sz w:val="21"/>
          <w:szCs w:val="21"/>
        </w:rPr>
        <w:t xml:space="preserve"> </w:t>
      </w:r>
      <w:r w:rsidR="000456B3" w:rsidRPr="008B2B15">
        <w:rPr>
          <w:rFonts w:ascii="Calibri" w:hAnsi="Calibri" w:cs="Calibri"/>
          <w:sz w:val="21"/>
          <w:szCs w:val="21"/>
        </w:rPr>
        <w:t xml:space="preserve">investment </w:t>
      </w:r>
      <w:r w:rsidRPr="008B2B15">
        <w:rPr>
          <w:rFonts w:ascii="Calibri" w:hAnsi="Calibri" w:cs="Calibri"/>
          <w:sz w:val="21"/>
          <w:szCs w:val="21"/>
        </w:rPr>
        <w:t>barriers</w:t>
      </w:r>
      <w:r w:rsidR="006671FC">
        <w:rPr>
          <w:rFonts w:ascii="Calibri" w:hAnsi="Calibri" w:cs="Calibri"/>
          <w:sz w:val="21"/>
          <w:szCs w:val="21"/>
        </w:rPr>
        <w:t>,</w:t>
      </w:r>
      <w:r w:rsidRPr="008B2B15">
        <w:rPr>
          <w:rFonts w:ascii="Calibri" w:hAnsi="Calibri" w:cs="Calibri"/>
          <w:sz w:val="21"/>
          <w:szCs w:val="21"/>
        </w:rPr>
        <w:t xml:space="preserve"> </w:t>
      </w:r>
      <w:r w:rsidR="000635C4">
        <w:rPr>
          <w:rFonts w:ascii="Calibri" w:hAnsi="Calibri" w:cs="Calibri"/>
          <w:sz w:val="21"/>
          <w:szCs w:val="21"/>
        </w:rPr>
        <w:t>(2) a theoretical framework for</w:t>
      </w:r>
      <w:r w:rsidR="008624A8">
        <w:rPr>
          <w:rFonts w:ascii="Calibri" w:hAnsi="Calibri" w:cs="Calibri"/>
          <w:sz w:val="21"/>
          <w:szCs w:val="21"/>
        </w:rPr>
        <w:t xml:space="preserve"> </w:t>
      </w:r>
      <w:r w:rsidR="000635C4">
        <w:rPr>
          <w:rFonts w:ascii="Calibri" w:hAnsi="Calibri" w:cs="Calibri"/>
          <w:sz w:val="21"/>
          <w:szCs w:val="21"/>
        </w:rPr>
        <w:t xml:space="preserve">investigation </w:t>
      </w:r>
      <w:r w:rsidRPr="008B2B15">
        <w:rPr>
          <w:rFonts w:ascii="Calibri" w:hAnsi="Calibri" w:cs="Calibri"/>
          <w:sz w:val="21"/>
          <w:szCs w:val="21"/>
        </w:rPr>
        <w:t>and (</w:t>
      </w:r>
      <w:r w:rsidR="000635C4">
        <w:rPr>
          <w:rFonts w:ascii="Calibri" w:hAnsi="Calibri" w:cs="Calibri"/>
          <w:sz w:val="21"/>
          <w:szCs w:val="21"/>
        </w:rPr>
        <w:t>3</w:t>
      </w:r>
      <w:r w:rsidRPr="008B2B15">
        <w:rPr>
          <w:rFonts w:ascii="Calibri" w:hAnsi="Calibri" w:cs="Calibri"/>
          <w:sz w:val="21"/>
          <w:szCs w:val="21"/>
        </w:rPr>
        <w:t>) possible solutions</w:t>
      </w:r>
      <w:r w:rsidR="000C794B" w:rsidRPr="008B2B15">
        <w:rPr>
          <w:rFonts w:ascii="Calibri" w:hAnsi="Calibri" w:cs="Calibri"/>
          <w:sz w:val="21"/>
          <w:szCs w:val="21"/>
        </w:rPr>
        <w:t>, d</w:t>
      </w:r>
      <w:r w:rsidRPr="008B2B15">
        <w:rPr>
          <w:rFonts w:ascii="Calibri" w:hAnsi="Calibri" w:cs="Calibri"/>
          <w:sz w:val="21"/>
          <w:szCs w:val="21"/>
        </w:rPr>
        <w:t>rawing on a review of academic literature</w:t>
      </w:r>
      <w:r w:rsidR="000456B3" w:rsidRPr="008B2B15">
        <w:rPr>
          <w:rFonts w:ascii="Calibri" w:hAnsi="Calibri" w:cs="Calibri"/>
          <w:sz w:val="21"/>
          <w:szCs w:val="21"/>
        </w:rPr>
        <w:t xml:space="preserve"> and</w:t>
      </w:r>
      <w:r w:rsidRPr="008B2B15">
        <w:rPr>
          <w:rFonts w:ascii="Calibri" w:hAnsi="Calibri" w:cs="Calibri"/>
          <w:sz w:val="21"/>
          <w:szCs w:val="21"/>
        </w:rPr>
        <w:t xml:space="preserve"> policy reports</w:t>
      </w:r>
      <w:r w:rsidR="000C794B" w:rsidRPr="008B2B15">
        <w:rPr>
          <w:rFonts w:ascii="Calibri" w:hAnsi="Calibri" w:cs="Calibri"/>
          <w:sz w:val="21"/>
          <w:szCs w:val="21"/>
        </w:rPr>
        <w:t>,</w:t>
      </w:r>
      <w:r w:rsidRPr="008B2B15">
        <w:rPr>
          <w:rFonts w:ascii="Calibri" w:hAnsi="Calibri" w:cs="Calibri"/>
          <w:sz w:val="21"/>
          <w:szCs w:val="21"/>
        </w:rPr>
        <w:t xml:space="preserve"> and interviews cond</w:t>
      </w:r>
      <w:r w:rsidR="00F51443" w:rsidRPr="008B2B15">
        <w:rPr>
          <w:rFonts w:ascii="Calibri" w:hAnsi="Calibri" w:cs="Calibri"/>
          <w:sz w:val="21"/>
          <w:szCs w:val="21"/>
        </w:rPr>
        <w:t>ucted with financial investors</w:t>
      </w:r>
      <w:r w:rsidR="001D0989" w:rsidRPr="008B2B15">
        <w:rPr>
          <w:rFonts w:ascii="Calibri" w:hAnsi="Calibri" w:cs="Calibri"/>
          <w:sz w:val="21"/>
          <w:szCs w:val="21"/>
        </w:rPr>
        <w:t xml:space="preserve"> </w:t>
      </w:r>
      <w:r w:rsidR="00EC2D50">
        <w:rPr>
          <w:rFonts w:ascii="Calibri" w:hAnsi="Calibri" w:cs="Calibri"/>
          <w:sz w:val="21"/>
          <w:szCs w:val="21"/>
        </w:rPr>
        <w:t>and</w:t>
      </w:r>
      <w:r w:rsidR="001D0989" w:rsidRPr="008B2B15">
        <w:rPr>
          <w:rFonts w:ascii="Calibri" w:hAnsi="Calibri" w:cs="Calibri"/>
          <w:sz w:val="21"/>
          <w:szCs w:val="21"/>
        </w:rPr>
        <w:t xml:space="preserve"> </w:t>
      </w:r>
      <w:r w:rsidR="00F51443" w:rsidRPr="008B2B15">
        <w:rPr>
          <w:rFonts w:ascii="Calibri" w:hAnsi="Calibri" w:cs="Calibri"/>
          <w:sz w:val="21"/>
          <w:szCs w:val="21"/>
        </w:rPr>
        <w:t>experts</w:t>
      </w:r>
      <w:r w:rsidRPr="008B2B15">
        <w:rPr>
          <w:rFonts w:ascii="Calibri" w:hAnsi="Calibri" w:cs="Calibri"/>
          <w:sz w:val="21"/>
          <w:szCs w:val="21"/>
        </w:rPr>
        <w:t xml:space="preserve">. </w:t>
      </w:r>
      <w:r w:rsidR="008624A8">
        <w:rPr>
          <w:rFonts w:ascii="Calibri" w:hAnsi="Calibri" w:cs="Calibri"/>
          <w:sz w:val="21"/>
          <w:szCs w:val="21"/>
        </w:rPr>
        <w:t>Our study</w:t>
      </w:r>
      <w:r w:rsidR="008231B7">
        <w:rPr>
          <w:rFonts w:ascii="Calibri" w:hAnsi="Calibri" w:cs="Calibri"/>
          <w:sz w:val="21"/>
          <w:szCs w:val="21"/>
        </w:rPr>
        <w:t xml:space="preserve"> confirm</w:t>
      </w:r>
      <w:r w:rsidR="008624A8">
        <w:rPr>
          <w:rFonts w:ascii="Calibri" w:hAnsi="Calibri" w:cs="Calibri"/>
          <w:sz w:val="21"/>
          <w:szCs w:val="21"/>
        </w:rPr>
        <w:t>s</w:t>
      </w:r>
      <w:r w:rsidR="008231B7">
        <w:rPr>
          <w:rFonts w:ascii="Calibri" w:hAnsi="Calibri" w:cs="Calibri"/>
          <w:sz w:val="21"/>
          <w:szCs w:val="21"/>
        </w:rPr>
        <w:t xml:space="preserve"> </w:t>
      </w:r>
      <w:r w:rsidR="008231B7" w:rsidRPr="008B2B15">
        <w:rPr>
          <w:rFonts w:ascii="Calibri" w:hAnsi="Calibri" w:cs="Calibri"/>
          <w:sz w:val="21"/>
          <w:szCs w:val="21"/>
        </w:rPr>
        <w:t xml:space="preserve">that policy uncertainty and short-termism in the financial system are the </w:t>
      </w:r>
      <w:r w:rsidR="008231B7">
        <w:rPr>
          <w:rFonts w:ascii="Calibri" w:hAnsi="Calibri" w:cs="Calibri"/>
          <w:sz w:val="21"/>
          <w:szCs w:val="21"/>
        </w:rPr>
        <w:t>two main investment</w:t>
      </w:r>
      <w:r w:rsidR="008231B7" w:rsidRPr="008B2B15">
        <w:rPr>
          <w:rFonts w:ascii="Calibri" w:hAnsi="Calibri" w:cs="Calibri"/>
          <w:sz w:val="21"/>
          <w:szCs w:val="21"/>
        </w:rPr>
        <w:t xml:space="preserve"> barriers. </w:t>
      </w:r>
      <w:r w:rsidR="00DF0D6E" w:rsidRPr="008B2B15">
        <w:rPr>
          <w:rFonts w:ascii="Calibri" w:hAnsi="Calibri" w:cs="Calibri"/>
          <w:sz w:val="21"/>
          <w:szCs w:val="21"/>
        </w:rPr>
        <w:t xml:space="preserve">Our results show that </w:t>
      </w:r>
      <w:r w:rsidR="00DF0D6E">
        <w:rPr>
          <w:rFonts w:ascii="Calibri" w:hAnsi="Calibri" w:cs="Calibri"/>
          <w:sz w:val="21"/>
          <w:szCs w:val="21"/>
        </w:rPr>
        <w:t xml:space="preserve">identified </w:t>
      </w:r>
      <w:r w:rsidR="00DF0D6E" w:rsidRPr="008B2B15">
        <w:rPr>
          <w:rFonts w:ascii="Calibri" w:hAnsi="Calibri" w:cs="Calibri"/>
          <w:sz w:val="21"/>
          <w:szCs w:val="21"/>
        </w:rPr>
        <w:t>barriers</w:t>
      </w:r>
      <w:r w:rsidR="00DF0D6E">
        <w:rPr>
          <w:rFonts w:ascii="Calibri" w:hAnsi="Calibri" w:cs="Calibri"/>
          <w:sz w:val="21"/>
          <w:szCs w:val="21"/>
        </w:rPr>
        <w:t xml:space="preserve"> </w:t>
      </w:r>
      <w:r w:rsidR="00DF0D6E" w:rsidRPr="008B2B15">
        <w:rPr>
          <w:rFonts w:ascii="Calibri" w:hAnsi="Calibri" w:cs="Calibri"/>
          <w:sz w:val="21"/>
          <w:szCs w:val="21"/>
        </w:rPr>
        <w:t>form a complex system</w:t>
      </w:r>
      <w:r w:rsidR="00D16068">
        <w:rPr>
          <w:rFonts w:ascii="Calibri" w:hAnsi="Calibri" w:cs="Calibri"/>
          <w:sz w:val="21"/>
          <w:szCs w:val="21"/>
        </w:rPr>
        <w:t xml:space="preserve"> </w:t>
      </w:r>
      <w:r w:rsidR="00DF0D6E">
        <w:rPr>
          <w:rFonts w:ascii="Calibri" w:hAnsi="Calibri" w:cs="Calibri"/>
          <w:sz w:val="21"/>
          <w:szCs w:val="21"/>
        </w:rPr>
        <w:t>characterised by path-dependency, lock-in and non-linearity</w:t>
      </w:r>
      <w:r w:rsidR="00D16068">
        <w:rPr>
          <w:rFonts w:ascii="Calibri" w:hAnsi="Calibri" w:cs="Calibri"/>
          <w:sz w:val="21"/>
          <w:szCs w:val="21"/>
        </w:rPr>
        <w:t xml:space="preserve">. </w:t>
      </w:r>
      <w:r w:rsidR="009445E0">
        <w:rPr>
          <w:rFonts w:ascii="Calibri" w:hAnsi="Calibri" w:cs="Calibri"/>
          <w:sz w:val="21"/>
          <w:szCs w:val="21"/>
        </w:rPr>
        <w:t>W</w:t>
      </w:r>
      <w:r w:rsidR="00D16068">
        <w:rPr>
          <w:rFonts w:ascii="Calibri" w:hAnsi="Calibri" w:cs="Calibri"/>
          <w:sz w:val="21"/>
          <w:szCs w:val="21"/>
        </w:rPr>
        <w:t>e</w:t>
      </w:r>
      <w:r w:rsidR="00DF0D6E">
        <w:rPr>
          <w:rFonts w:ascii="Calibri" w:hAnsi="Calibri" w:cs="Calibri"/>
          <w:sz w:val="21"/>
          <w:szCs w:val="21"/>
        </w:rPr>
        <w:t xml:space="preserve"> </w:t>
      </w:r>
      <w:r w:rsidR="00DF0D6E" w:rsidRPr="008B2B15">
        <w:rPr>
          <w:rFonts w:ascii="Calibri" w:hAnsi="Calibri" w:cs="Calibri"/>
          <w:sz w:val="21"/>
          <w:szCs w:val="21"/>
        </w:rPr>
        <w:t xml:space="preserve">recommend the adoption of systems </w:t>
      </w:r>
      <w:r w:rsidR="009445E0">
        <w:rPr>
          <w:rFonts w:ascii="Calibri" w:hAnsi="Calibri" w:cs="Calibri"/>
          <w:sz w:val="21"/>
          <w:szCs w:val="21"/>
        </w:rPr>
        <w:t>theory</w:t>
      </w:r>
      <w:r w:rsidR="00DF0D6E">
        <w:rPr>
          <w:rFonts w:ascii="Calibri" w:hAnsi="Calibri" w:cs="Calibri"/>
          <w:sz w:val="21"/>
          <w:szCs w:val="21"/>
        </w:rPr>
        <w:t xml:space="preserve"> as </w:t>
      </w:r>
      <w:r w:rsidR="009554EC">
        <w:rPr>
          <w:rFonts w:ascii="Calibri" w:hAnsi="Calibri" w:cs="Calibri"/>
          <w:sz w:val="21"/>
          <w:szCs w:val="21"/>
        </w:rPr>
        <w:t xml:space="preserve">an </w:t>
      </w:r>
      <w:r w:rsidR="000635C4">
        <w:rPr>
          <w:rFonts w:ascii="Calibri" w:hAnsi="Calibri" w:cs="Calibri"/>
          <w:sz w:val="21"/>
          <w:szCs w:val="21"/>
        </w:rPr>
        <w:t>analytical</w:t>
      </w:r>
      <w:r w:rsidR="00DF0D6E">
        <w:rPr>
          <w:rFonts w:ascii="Calibri" w:hAnsi="Calibri" w:cs="Calibri"/>
          <w:sz w:val="21"/>
          <w:szCs w:val="21"/>
        </w:rPr>
        <w:t xml:space="preserve"> framework</w:t>
      </w:r>
      <w:r w:rsidR="00DF0D6E" w:rsidRPr="008B2B15">
        <w:rPr>
          <w:rFonts w:ascii="Calibri" w:hAnsi="Calibri" w:cs="Calibri"/>
          <w:sz w:val="21"/>
          <w:szCs w:val="21"/>
        </w:rPr>
        <w:t xml:space="preserve"> to inform the </w:t>
      </w:r>
      <w:r w:rsidR="00D16068">
        <w:rPr>
          <w:rFonts w:ascii="Calibri" w:hAnsi="Calibri" w:cs="Calibri"/>
          <w:sz w:val="21"/>
          <w:szCs w:val="21"/>
        </w:rPr>
        <w:t xml:space="preserve">related </w:t>
      </w:r>
      <w:r w:rsidR="00DF0D6E" w:rsidRPr="008B2B15">
        <w:rPr>
          <w:rFonts w:ascii="Calibri" w:hAnsi="Calibri" w:cs="Calibri"/>
          <w:sz w:val="21"/>
          <w:szCs w:val="21"/>
        </w:rPr>
        <w:t xml:space="preserve">policy </w:t>
      </w:r>
      <w:r w:rsidR="00DF0D6E">
        <w:rPr>
          <w:rFonts w:ascii="Calibri" w:hAnsi="Calibri" w:cs="Calibri"/>
          <w:sz w:val="21"/>
          <w:szCs w:val="21"/>
        </w:rPr>
        <w:t>debat</w:t>
      </w:r>
      <w:r w:rsidR="00D16068">
        <w:rPr>
          <w:rFonts w:ascii="Calibri" w:hAnsi="Calibri" w:cs="Calibri"/>
          <w:sz w:val="21"/>
          <w:szCs w:val="21"/>
        </w:rPr>
        <w:t>e</w:t>
      </w:r>
      <w:r w:rsidR="008624A8">
        <w:rPr>
          <w:rFonts w:ascii="Calibri" w:hAnsi="Calibri" w:cs="Calibri"/>
          <w:sz w:val="21"/>
          <w:szCs w:val="21"/>
        </w:rPr>
        <w:t xml:space="preserve"> and </w:t>
      </w:r>
      <w:r w:rsidR="00F51443" w:rsidRPr="008B2B15">
        <w:rPr>
          <w:rFonts w:ascii="Calibri" w:hAnsi="Calibri" w:cs="Calibri"/>
          <w:sz w:val="21"/>
          <w:szCs w:val="21"/>
        </w:rPr>
        <w:t>propose</w:t>
      </w:r>
      <w:r w:rsidR="00617593" w:rsidRPr="008B2B15">
        <w:rPr>
          <w:rFonts w:ascii="Calibri" w:hAnsi="Calibri" w:cs="Calibri"/>
          <w:sz w:val="21"/>
          <w:szCs w:val="21"/>
        </w:rPr>
        <w:t xml:space="preserve"> </w:t>
      </w:r>
      <w:r w:rsidR="00B86EEC" w:rsidRPr="008B2B15">
        <w:rPr>
          <w:rFonts w:ascii="Calibri" w:hAnsi="Calibri" w:cs="Calibri"/>
          <w:sz w:val="21"/>
          <w:szCs w:val="21"/>
        </w:rPr>
        <w:t xml:space="preserve">the expansion or development of sustainable </w:t>
      </w:r>
      <w:r w:rsidR="005C654D" w:rsidRPr="008B2B15">
        <w:rPr>
          <w:rFonts w:ascii="Calibri" w:hAnsi="Calibri" w:cs="Calibri"/>
          <w:sz w:val="21"/>
          <w:szCs w:val="21"/>
        </w:rPr>
        <w:t>investment</w:t>
      </w:r>
      <w:r w:rsidR="00B86EEC" w:rsidRPr="008B2B15">
        <w:rPr>
          <w:rFonts w:ascii="Calibri" w:hAnsi="Calibri" w:cs="Calibri"/>
          <w:sz w:val="21"/>
          <w:szCs w:val="21"/>
        </w:rPr>
        <w:t xml:space="preserve"> vehicles </w:t>
      </w:r>
      <w:r w:rsidR="00617593" w:rsidRPr="008B2B15">
        <w:rPr>
          <w:rFonts w:ascii="Calibri" w:hAnsi="Calibri" w:cs="Calibri"/>
          <w:sz w:val="21"/>
          <w:szCs w:val="21"/>
        </w:rPr>
        <w:t>as a useful</w:t>
      </w:r>
      <w:r w:rsidR="003F6018" w:rsidRPr="008B2B15">
        <w:rPr>
          <w:rFonts w:ascii="Calibri" w:hAnsi="Calibri" w:cs="Calibri"/>
          <w:sz w:val="21"/>
          <w:szCs w:val="21"/>
        </w:rPr>
        <w:t xml:space="preserve"> near-term</w:t>
      </w:r>
      <w:r w:rsidR="00617593" w:rsidRPr="008B2B15">
        <w:rPr>
          <w:rFonts w:ascii="Calibri" w:hAnsi="Calibri" w:cs="Calibri"/>
          <w:sz w:val="21"/>
          <w:szCs w:val="21"/>
        </w:rPr>
        <w:t xml:space="preserve"> </w:t>
      </w:r>
      <w:r w:rsidR="00B86EEC" w:rsidRPr="008B2B15">
        <w:rPr>
          <w:rFonts w:ascii="Calibri" w:hAnsi="Calibri" w:cs="Calibri"/>
          <w:sz w:val="21"/>
          <w:szCs w:val="21"/>
        </w:rPr>
        <w:t>solution</w:t>
      </w:r>
      <w:r w:rsidR="00E200D0" w:rsidRPr="008B2B15">
        <w:rPr>
          <w:rFonts w:ascii="Calibri" w:hAnsi="Calibri" w:cs="Calibri"/>
          <w:sz w:val="21"/>
          <w:szCs w:val="21"/>
        </w:rPr>
        <w:t xml:space="preserve"> </w:t>
      </w:r>
      <w:r w:rsidR="00CF545E" w:rsidRPr="008B2B15">
        <w:rPr>
          <w:rFonts w:ascii="Calibri" w:hAnsi="Calibri" w:cs="Calibri"/>
          <w:sz w:val="21"/>
          <w:szCs w:val="21"/>
        </w:rPr>
        <w:t xml:space="preserve">while </w:t>
      </w:r>
      <w:r w:rsidR="002377DE" w:rsidRPr="008B2B15">
        <w:rPr>
          <w:rFonts w:ascii="Calibri" w:hAnsi="Calibri" w:cs="Calibri"/>
          <w:sz w:val="21"/>
          <w:szCs w:val="21"/>
        </w:rPr>
        <w:t>preparing</w:t>
      </w:r>
      <w:r w:rsidR="00E200D0" w:rsidRPr="008B2B15">
        <w:rPr>
          <w:rFonts w:ascii="Calibri" w:hAnsi="Calibri" w:cs="Calibri"/>
          <w:sz w:val="21"/>
          <w:szCs w:val="21"/>
        </w:rPr>
        <w:t xml:space="preserve"> </w:t>
      </w:r>
      <w:r w:rsidR="00CF545E" w:rsidRPr="008B2B15">
        <w:rPr>
          <w:rFonts w:ascii="Calibri" w:hAnsi="Calibri" w:cs="Calibri"/>
          <w:sz w:val="21"/>
          <w:szCs w:val="21"/>
        </w:rPr>
        <w:t xml:space="preserve">a </w:t>
      </w:r>
      <w:r w:rsidR="000F5D73" w:rsidRPr="008B2B15">
        <w:rPr>
          <w:rFonts w:ascii="Calibri" w:hAnsi="Calibri" w:cs="Calibri"/>
          <w:sz w:val="21"/>
          <w:szCs w:val="21"/>
        </w:rPr>
        <w:t xml:space="preserve">long-term </w:t>
      </w:r>
      <w:r w:rsidR="00CF545E" w:rsidRPr="008B2B15">
        <w:rPr>
          <w:rFonts w:ascii="Calibri" w:hAnsi="Calibri" w:cs="Calibri"/>
          <w:sz w:val="21"/>
          <w:szCs w:val="21"/>
        </w:rPr>
        <w:t xml:space="preserve">policy intervention </w:t>
      </w:r>
      <w:r w:rsidR="00050258" w:rsidRPr="008B2B15">
        <w:rPr>
          <w:rFonts w:ascii="Calibri" w:hAnsi="Calibri" w:cs="Calibri"/>
          <w:sz w:val="21"/>
          <w:szCs w:val="21"/>
        </w:rPr>
        <w:t>based on</w:t>
      </w:r>
      <w:r w:rsidR="00CF545E" w:rsidRPr="008B2B15">
        <w:rPr>
          <w:rFonts w:ascii="Calibri" w:hAnsi="Calibri" w:cs="Calibri"/>
          <w:sz w:val="21"/>
          <w:szCs w:val="21"/>
        </w:rPr>
        <w:t xml:space="preserve"> </w:t>
      </w:r>
      <w:r w:rsidR="00E200D0" w:rsidRPr="008B2B15">
        <w:rPr>
          <w:rFonts w:ascii="Calibri" w:hAnsi="Calibri" w:cs="Calibri"/>
          <w:sz w:val="21"/>
          <w:szCs w:val="21"/>
        </w:rPr>
        <w:t xml:space="preserve">a </w:t>
      </w:r>
      <w:r w:rsidR="00CF545E" w:rsidRPr="008B2B15">
        <w:rPr>
          <w:rFonts w:ascii="Calibri" w:hAnsi="Calibri" w:cs="Calibri"/>
          <w:sz w:val="21"/>
          <w:szCs w:val="21"/>
        </w:rPr>
        <w:t xml:space="preserve">systems perspective. </w:t>
      </w:r>
    </w:p>
    <w:p w14:paraId="179B9DC5" w14:textId="77777777" w:rsidR="00F554B0" w:rsidRDefault="00F554B0" w:rsidP="00F554B0">
      <w:pPr>
        <w:autoSpaceDE w:val="0"/>
        <w:autoSpaceDN w:val="0"/>
        <w:adjustRightInd w:val="0"/>
        <w:spacing w:after="0" w:line="240" w:lineRule="auto"/>
        <w:rPr>
          <w:rFonts w:ascii="Calibri" w:hAnsi="Calibri" w:cs="Calibri"/>
          <w:sz w:val="21"/>
          <w:szCs w:val="21"/>
        </w:rPr>
      </w:pPr>
    </w:p>
    <w:p w14:paraId="447247DF" w14:textId="77777777" w:rsidR="003968DC" w:rsidRDefault="00F554B0" w:rsidP="00F554B0">
      <w:pPr>
        <w:autoSpaceDE w:val="0"/>
        <w:autoSpaceDN w:val="0"/>
        <w:adjustRightInd w:val="0"/>
        <w:spacing w:after="0" w:line="240" w:lineRule="auto"/>
        <w:rPr>
          <w:rFonts w:ascii="Calibri" w:hAnsi="Calibri" w:cs="Calibri"/>
          <w:sz w:val="21"/>
          <w:szCs w:val="21"/>
        </w:rPr>
      </w:pPr>
      <w:r w:rsidRPr="008B2B15">
        <w:rPr>
          <w:rFonts w:ascii="Calibri" w:hAnsi="Calibri" w:cs="Calibri"/>
          <w:b/>
          <w:sz w:val="21"/>
          <w:szCs w:val="21"/>
        </w:rPr>
        <w:t>Keywords</w:t>
      </w:r>
      <w:r w:rsidRPr="008B2B15">
        <w:rPr>
          <w:rFonts w:ascii="Calibri" w:hAnsi="Calibri" w:cs="Calibri"/>
          <w:sz w:val="21"/>
          <w:szCs w:val="21"/>
        </w:rPr>
        <w:t xml:space="preserve">: Energy transition; green finance gap; low-carbon investments; green investment barriers review; systems thinking; </w:t>
      </w:r>
      <w:r w:rsidR="003E140E">
        <w:rPr>
          <w:rFonts w:ascii="Calibri" w:hAnsi="Calibri" w:cs="Calibri"/>
          <w:sz w:val="21"/>
          <w:szCs w:val="21"/>
        </w:rPr>
        <w:t>complexity</w:t>
      </w:r>
      <w:r w:rsidRPr="008B2B15">
        <w:rPr>
          <w:rFonts w:ascii="Calibri" w:hAnsi="Calibri" w:cs="Calibri"/>
          <w:sz w:val="21"/>
          <w:szCs w:val="21"/>
        </w:rPr>
        <w:t xml:space="preserve"> </w:t>
      </w:r>
    </w:p>
    <w:p w14:paraId="02FBB880" w14:textId="77777777" w:rsidR="003968DC" w:rsidRDefault="003968DC" w:rsidP="00F554B0">
      <w:pPr>
        <w:autoSpaceDE w:val="0"/>
        <w:autoSpaceDN w:val="0"/>
        <w:adjustRightInd w:val="0"/>
        <w:spacing w:after="0" w:line="240" w:lineRule="auto"/>
        <w:rPr>
          <w:rFonts w:ascii="Calibri" w:hAnsi="Calibri" w:cs="Calibri"/>
          <w:sz w:val="21"/>
          <w:szCs w:val="21"/>
        </w:rPr>
      </w:pPr>
    </w:p>
    <w:p w14:paraId="612BFBB5" w14:textId="77777777" w:rsidR="003968DC" w:rsidRDefault="003968DC" w:rsidP="003968DC">
      <w:pPr>
        <w:rPr>
          <w:rFonts w:eastAsia="Times New Roman" w:cstheme="minorHAnsi"/>
          <w:color w:val="2E2E2E"/>
          <w:sz w:val="21"/>
          <w:szCs w:val="21"/>
          <w:lang w:eastAsia="en-GB"/>
        </w:rPr>
      </w:pPr>
      <w:r w:rsidRPr="00BD7F5E">
        <w:rPr>
          <w:rFonts w:ascii="Calibri" w:hAnsi="Calibri" w:cs="Calibri"/>
          <w:b/>
          <w:sz w:val="21"/>
          <w:szCs w:val="21"/>
        </w:rPr>
        <w:t>Highlights:</w:t>
      </w:r>
    </w:p>
    <w:p w14:paraId="6F64381A" w14:textId="77777777" w:rsidR="003968DC" w:rsidRPr="00411170" w:rsidRDefault="003968DC" w:rsidP="00EC3985">
      <w:pPr>
        <w:pStyle w:val="ListParagraph"/>
        <w:numPr>
          <w:ilvl w:val="0"/>
          <w:numId w:val="9"/>
        </w:numPr>
        <w:rPr>
          <w:rFonts w:ascii="NexusSerif" w:eastAsia="Times New Roman" w:hAnsi="NexusSerif" w:cs="Times New Roman"/>
          <w:color w:val="2E2E2E"/>
          <w:sz w:val="27"/>
          <w:szCs w:val="27"/>
          <w:lang w:eastAsia="en-GB"/>
        </w:rPr>
      </w:pPr>
      <w:r>
        <w:rPr>
          <w:rFonts w:eastAsia="Times New Roman" w:cstheme="minorHAnsi"/>
          <w:color w:val="2E2E2E"/>
          <w:sz w:val="21"/>
          <w:szCs w:val="21"/>
          <w:lang w:eastAsia="en-GB"/>
        </w:rPr>
        <w:t xml:space="preserve">Systematic literature review </w:t>
      </w:r>
      <w:r w:rsidRPr="00411170">
        <w:rPr>
          <w:rFonts w:eastAsia="Times New Roman" w:cstheme="minorHAnsi"/>
          <w:color w:val="2E2E2E"/>
          <w:sz w:val="21"/>
          <w:szCs w:val="21"/>
          <w:lang w:eastAsia="en-GB"/>
        </w:rPr>
        <w:t xml:space="preserve">on </w:t>
      </w:r>
      <w:r>
        <w:rPr>
          <w:rFonts w:eastAsia="Times New Roman" w:cstheme="minorHAnsi"/>
          <w:color w:val="2E2E2E"/>
          <w:sz w:val="21"/>
          <w:szCs w:val="21"/>
          <w:lang w:eastAsia="en-GB"/>
        </w:rPr>
        <w:t xml:space="preserve">green energy investments </w:t>
      </w:r>
      <w:r w:rsidRPr="00411170">
        <w:rPr>
          <w:rFonts w:eastAsia="Times New Roman" w:cstheme="minorHAnsi"/>
          <w:color w:val="2E2E2E"/>
          <w:sz w:val="21"/>
          <w:szCs w:val="21"/>
          <w:lang w:eastAsia="en-GB"/>
        </w:rPr>
        <w:t>barriers</w:t>
      </w:r>
    </w:p>
    <w:p w14:paraId="72C9261E" w14:textId="77777777" w:rsidR="003968DC" w:rsidRPr="00C90731" w:rsidRDefault="003968DC" w:rsidP="00EC3985">
      <w:pPr>
        <w:pStyle w:val="ListParagraph"/>
        <w:numPr>
          <w:ilvl w:val="0"/>
          <w:numId w:val="9"/>
        </w:numPr>
        <w:spacing w:after="0" w:line="240" w:lineRule="auto"/>
        <w:ind w:right="30"/>
        <w:rPr>
          <w:rFonts w:ascii="NexusSerif" w:eastAsia="Times New Roman" w:hAnsi="NexusSerif" w:cs="Times New Roman"/>
          <w:color w:val="2E2E2E"/>
          <w:sz w:val="27"/>
          <w:szCs w:val="27"/>
          <w:lang w:eastAsia="en-GB"/>
        </w:rPr>
      </w:pPr>
      <w:r>
        <w:rPr>
          <w:rFonts w:eastAsia="Times New Roman" w:cstheme="minorHAnsi"/>
          <w:color w:val="2E2E2E"/>
          <w:sz w:val="21"/>
          <w:szCs w:val="21"/>
          <w:lang w:eastAsia="en-GB"/>
        </w:rPr>
        <w:t>Evaluation of 17 conducted interviews with financial investors, advisers or experts</w:t>
      </w:r>
    </w:p>
    <w:p w14:paraId="29C843A9" w14:textId="77777777" w:rsidR="003968DC" w:rsidRPr="008C3D91" w:rsidRDefault="003968DC" w:rsidP="00EC3985">
      <w:pPr>
        <w:pStyle w:val="ListParagraph"/>
        <w:numPr>
          <w:ilvl w:val="0"/>
          <w:numId w:val="9"/>
        </w:numPr>
        <w:spacing w:after="0" w:line="240" w:lineRule="auto"/>
        <w:ind w:right="30"/>
        <w:rPr>
          <w:rFonts w:ascii="NexusSerif" w:eastAsia="Times New Roman" w:hAnsi="NexusSerif" w:cs="Times New Roman"/>
          <w:color w:val="2E2E2E"/>
          <w:sz w:val="27"/>
          <w:szCs w:val="27"/>
          <w:lang w:eastAsia="en-GB"/>
        </w:rPr>
      </w:pPr>
      <w:r w:rsidRPr="008C3D91">
        <w:rPr>
          <w:rFonts w:eastAsia="Times New Roman" w:cstheme="minorHAnsi"/>
          <w:color w:val="2E2E2E"/>
          <w:sz w:val="21"/>
          <w:szCs w:val="21"/>
          <w:lang w:eastAsia="en-GB"/>
        </w:rPr>
        <w:t>Green investment barriers are found to be interrelated and to form a complex system</w:t>
      </w:r>
    </w:p>
    <w:p w14:paraId="02D8807E" w14:textId="77777777" w:rsidR="003968DC" w:rsidRPr="008C3D91" w:rsidRDefault="003968DC" w:rsidP="00EC3985">
      <w:pPr>
        <w:pStyle w:val="ListParagraph"/>
        <w:numPr>
          <w:ilvl w:val="0"/>
          <w:numId w:val="9"/>
        </w:numPr>
        <w:spacing w:after="0" w:line="240" w:lineRule="auto"/>
        <w:ind w:right="30"/>
        <w:rPr>
          <w:rFonts w:ascii="NexusSerif" w:eastAsia="Times New Roman" w:hAnsi="NexusSerif" w:cs="Times New Roman"/>
          <w:color w:val="2E2E2E"/>
          <w:sz w:val="27"/>
          <w:szCs w:val="27"/>
          <w:lang w:eastAsia="en-GB"/>
        </w:rPr>
      </w:pPr>
      <w:r>
        <w:rPr>
          <w:rFonts w:eastAsia="Times New Roman" w:cstheme="minorHAnsi"/>
          <w:color w:val="2E2E2E"/>
          <w:sz w:val="21"/>
          <w:szCs w:val="21"/>
          <w:lang w:eastAsia="en-GB"/>
        </w:rPr>
        <w:t xml:space="preserve">The application of a </w:t>
      </w:r>
      <w:r w:rsidRPr="008C3D91">
        <w:rPr>
          <w:rFonts w:eastAsia="Times New Roman" w:cstheme="minorHAnsi"/>
          <w:color w:val="2E2E2E"/>
          <w:sz w:val="21"/>
          <w:szCs w:val="21"/>
          <w:lang w:eastAsia="en-GB"/>
        </w:rPr>
        <w:t xml:space="preserve">systems </w:t>
      </w:r>
      <w:r>
        <w:rPr>
          <w:rFonts w:eastAsia="Times New Roman" w:cstheme="minorHAnsi"/>
          <w:color w:val="2E2E2E"/>
          <w:sz w:val="21"/>
          <w:szCs w:val="21"/>
          <w:lang w:eastAsia="en-GB"/>
        </w:rPr>
        <w:t>perspective</w:t>
      </w:r>
      <w:r w:rsidRPr="008C3D91">
        <w:rPr>
          <w:rFonts w:eastAsia="Times New Roman" w:cstheme="minorHAnsi"/>
          <w:color w:val="2E2E2E"/>
          <w:sz w:val="21"/>
          <w:szCs w:val="21"/>
          <w:lang w:eastAsia="en-GB"/>
        </w:rPr>
        <w:t xml:space="preserve"> </w:t>
      </w:r>
      <w:r>
        <w:rPr>
          <w:rFonts w:eastAsia="Times New Roman" w:cstheme="minorHAnsi"/>
          <w:color w:val="2E2E2E"/>
          <w:sz w:val="21"/>
          <w:szCs w:val="21"/>
          <w:lang w:eastAsia="en-GB"/>
        </w:rPr>
        <w:t xml:space="preserve">as theoretical framework for </w:t>
      </w:r>
      <w:r w:rsidRPr="008C3D91">
        <w:rPr>
          <w:rFonts w:eastAsia="Times New Roman" w:cstheme="minorHAnsi"/>
          <w:color w:val="2E2E2E"/>
          <w:sz w:val="21"/>
          <w:szCs w:val="21"/>
          <w:lang w:eastAsia="en-GB"/>
        </w:rPr>
        <w:t xml:space="preserve">successful </w:t>
      </w:r>
      <w:r>
        <w:rPr>
          <w:rFonts w:eastAsia="Times New Roman" w:cstheme="minorHAnsi"/>
          <w:color w:val="2E2E2E"/>
          <w:sz w:val="21"/>
          <w:szCs w:val="21"/>
          <w:lang w:eastAsia="en-GB"/>
        </w:rPr>
        <w:t xml:space="preserve">long-term </w:t>
      </w:r>
      <w:r w:rsidRPr="008C3D91">
        <w:rPr>
          <w:rFonts w:eastAsia="Times New Roman" w:cstheme="minorHAnsi"/>
          <w:color w:val="2E2E2E"/>
          <w:sz w:val="21"/>
          <w:szCs w:val="21"/>
          <w:lang w:eastAsia="en-GB"/>
        </w:rPr>
        <w:t xml:space="preserve">policy intervention </w:t>
      </w:r>
      <w:r>
        <w:rPr>
          <w:rFonts w:eastAsia="Times New Roman" w:cstheme="minorHAnsi"/>
          <w:color w:val="2E2E2E"/>
          <w:sz w:val="21"/>
          <w:szCs w:val="21"/>
          <w:lang w:eastAsia="en-GB"/>
        </w:rPr>
        <w:t>is recommended</w:t>
      </w:r>
    </w:p>
    <w:p w14:paraId="46C609EF" w14:textId="77777777" w:rsidR="003968DC" w:rsidRPr="001D405E" w:rsidRDefault="003968DC" w:rsidP="00EC3985">
      <w:pPr>
        <w:pStyle w:val="ListParagraph"/>
        <w:numPr>
          <w:ilvl w:val="0"/>
          <w:numId w:val="9"/>
        </w:numPr>
        <w:spacing w:after="0" w:line="240" w:lineRule="auto"/>
        <w:ind w:right="30"/>
        <w:rPr>
          <w:rFonts w:ascii="NexusSerif" w:eastAsia="Times New Roman" w:hAnsi="NexusSerif" w:cs="Times New Roman"/>
          <w:color w:val="2E2E2E"/>
          <w:sz w:val="27"/>
          <w:szCs w:val="27"/>
          <w:lang w:eastAsia="en-GB"/>
        </w:rPr>
      </w:pPr>
      <w:r w:rsidRPr="001D405E">
        <w:rPr>
          <w:rFonts w:eastAsia="Times New Roman" w:cstheme="minorHAnsi"/>
          <w:color w:val="2E2E2E"/>
          <w:sz w:val="21"/>
          <w:szCs w:val="21"/>
          <w:lang w:eastAsia="en-GB"/>
        </w:rPr>
        <w:t xml:space="preserve">A systems approach </w:t>
      </w:r>
      <w:r>
        <w:rPr>
          <w:rFonts w:eastAsia="Times New Roman" w:cstheme="minorHAnsi"/>
          <w:color w:val="2E2E2E"/>
          <w:sz w:val="21"/>
          <w:szCs w:val="21"/>
          <w:lang w:eastAsia="en-GB"/>
        </w:rPr>
        <w:t>supports</w:t>
      </w:r>
      <w:r w:rsidRPr="001D405E">
        <w:rPr>
          <w:rFonts w:eastAsia="Times New Roman" w:cstheme="minorHAnsi"/>
          <w:color w:val="2E2E2E"/>
          <w:sz w:val="21"/>
          <w:szCs w:val="21"/>
          <w:lang w:eastAsia="en-GB"/>
        </w:rPr>
        <w:t xml:space="preserve"> </w:t>
      </w:r>
      <w:r w:rsidRPr="001D405E">
        <w:rPr>
          <w:rFonts w:ascii="Calibri" w:hAnsi="Calibri" w:cs="Calibri"/>
          <w:sz w:val="21"/>
          <w:szCs w:val="21"/>
        </w:rPr>
        <w:t>t</w:t>
      </w:r>
      <w:r>
        <w:rPr>
          <w:rFonts w:ascii="Calibri" w:hAnsi="Calibri" w:cs="Calibri"/>
          <w:sz w:val="21"/>
          <w:szCs w:val="21"/>
        </w:rPr>
        <w:t>he</w:t>
      </w:r>
      <w:r w:rsidRPr="001D405E">
        <w:rPr>
          <w:rFonts w:ascii="Calibri" w:hAnsi="Calibri" w:cs="Calibri"/>
          <w:sz w:val="21"/>
          <w:szCs w:val="21"/>
        </w:rPr>
        <w:t xml:space="preserve"> exploit</w:t>
      </w:r>
      <w:r>
        <w:rPr>
          <w:rFonts w:ascii="Calibri" w:hAnsi="Calibri" w:cs="Calibri"/>
          <w:sz w:val="21"/>
          <w:szCs w:val="21"/>
        </w:rPr>
        <w:t>ation of</w:t>
      </w:r>
      <w:r w:rsidRPr="001D405E">
        <w:rPr>
          <w:rFonts w:ascii="Calibri" w:hAnsi="Calibri" w:cs="Calibri"/>
          <w:sz w:val="21"/>
          <w:szCs w:val="21"/>
        </w:rPr>
        <w:t xml:space="preserve"> synergies, </w:t>
      </w:r>
      <w:r>
        <w:rPr>
          <w:rFonts w:ascii="Calibri" w:hAnsi="Calibri" w:cs="Calibri"/>
          <w:sz w:val="21"/>
          <w:szCs w:val="21"/>
        </w:rPr>
        <w:t>whilst</w:t>
      </w:r>
      <w:r w:rsidRPr="001D405E">
        <w:rPr>
          <w:rFonts w:ascii="Calibri" w:hAnsi="Calibri" w:cs="Calibri"/>
          <w:sz w:val="21"/>
          <w:szCs w:val="21"/>
        </w:rPr>
        <w:t xml:space="preserve"> avoiding adverse side effects </w:t>
      </w:r>
    </w:p>
    <w:p w14:paraId="3677FD74" w14:textId="77777777" w:rsidR="003968DC" w:rsidRDefault="003968DC" w:rsidP="003968DC"/>
    <w:p w14:paraId="2B7708E7" w14:textId="698DE0F3" w:rsidR="00004209" w:rsidRPr="008B2B15" w:rsidRDefault="00004209" w:rsidP="00F554B0">
      <w:pPr>
        <w:autoSpaceDE w:val="0"/>
        <w:autoSpaceDN w:val="0"/>
        <w:adjustRightInd w:val="0"/>
        <w:spacing w:after="0" w:line="240" w:lineRule="auto"/>
        <w:rPr>
          <w:rFonts w:ascii="Calibri" w:hAnsi="Calibri" w:cs="Calibri"/>
          <w:sz w:val="21"/>
          <w:szCs w:val="21"/>
        </w:rPr>
      </w:pPr>
      <w:r w:rsidRPr="008B2B15">
        <w:rPr>
          <w:rFonts w:ascii="Calibri" w:hAnsi="Calibri" w:cs="Calibri"/>
          <w:sz w:val="21"/>
          <w:szCs w:val="21"/>
        </w:rPr>
        <w:br w:type="page"/>
      </w:r>
    </w:p>
    <w:p w14:paraId="109D51D3" w14:textId="3646D2F9" w:rsidR="00004209" w:rsidRPr="008B2B15" w:rsidRDefault="00004209" w:rsidP="0043498E">
      <w:pPr>
        <w:pStyle w:val="Heading2"/>
        <w:numPr>
          <w:ilvl w:val="0"/>
          <w:numId w:val="4"/>
        </w:numPr>
        <w:spacing w:before="0" w:after="240" w:line="240" w:lineRule="auto"/>
        <w:rPr>
          <w:rFonts w:ascii="Calibri" w:hAnsi="Calibri" w:cs="Calibri"/>
          <w:sz w:val="21"/>
          <w:szCs w:val="21"/>
        </w:rPr>
      </w:pPr>
      <w:r w:rsidRPr="008B2B15">
        <w:rPr>
          <w:rFonts w:ascii="Calibri" w:hAnsi="Calibri" w:cs="Calibri"/>
          <w:sz w:val="21"/>
          <w:szCs w:val="21"/>
        </w:rPr>
        <w:lastRenderedPageBreak/>
        <w:t>Introduction</w:t>
      </w:r>
      <w:r w:rsidR="00B20F6D" w:rsidRPr="008B2B15">
        <w:rPr>
          <w:rFonts w:ascii="Calibri" w:hAnsi="Calibri" w:cs="Calibri"/>
          <w:sz w:val="21"/>
          <w:szCs w:val="21"/>
        </w:rPr>
        <w:t xml:space="preserve"> </w:t>
      </w:r>
    </w:p>
    <w:p w14:paraId="1D0ADB04" w14:textId="74F2C770" w:rsidR="00A11BAC" w:rsidRPr="008B2B15" w:rsidRDefault="005820EF" w:rsidP="003003BF">
      <w:r w:rsidRPr="008B2B15">
        <w:rPr>
          <w:rFonts w:ascii="Calibri" w:hAnsi="Calibri" w:cs="Calibri"/>
          <w:sz w:val="21"/>
          <w:szCs w:val="21"/>
        </w:rPr>
        <w:t>Almost every country in the world</w:t>
      </w:r>
      <w:r w:rsidR="00004209" w:rsidRPr="008B2B15">
        <w:rPr>
          <w:rFonts w:ascii="Calibri" w:hAnsi="Calibri" w:cs="Calibri"/>
          <w:sz w:val="21"/>
          <w:szCs w:val="21"/>
        </w:rPr>
        <w:t xml:space="preserve"> committed in the Paris </w:t>
      </w:r>
      <w:r w:rsidRPr="008B2B15">
        <w:rPr>
          <w:rFonts w:ascii="Calibri" w:hAnsi="Calibri" w:cs="Calibri"/>
          <w:sz w:val="21"/>
          <w:szCs w:val="21"/>
        </w:rPr>
        <w:t xml:space="preserve">Agreement </w:t>
      </w:r>
      <w:r w:rsidR="00004209" w:rsidRPr="008B2B15">
        <w:rPr>
          <w:rFonts w:ascii="Calibri" w:hAnsi="Calibri" w:cs="Calibri"/>
          <w:sz w:val="21"/>
          <w:szCs w:val="21"/>
        </w:rPr>
        <w:t xml:space="preserve">to </w:t>
      </w:r>
      <w:r w:rsidR="00374E27" w:rsidRPr="008B2B15">
        <w:rPr>
          <w:rFonts w:ascii="Calibri" w:hAnsi="Calibri" w:cs="Calibri"/>
          <w:sz w:val="21"/>
          <w:szCs w:val="21"/>
        </w:rPr>
        <w:t xml:space="preserve">collectively </w:t>
      </w:r>
      <w:r w:rsidR="00E47CBA">
        <w:rPr>
          <w:rFonts w:ascii="Calibri" w:hAnsi="Calibri" w:cs="Calibri"/>
          <w:sz w:val="21"/>
          <w:szCs w:val="21"/>
        </w:rPr>
        <w:t xml:space="preserve">hold </w:t>
      </w:r>
      <w:r w:rsidR="00D7456D" w:rsidRPr="008B2B15">
        <w:rPr>
          <w:rFonts w:ascii="Calibri" w:hAnsi="Calibri" w:cs="Calibri"/>
          <w:sz w:val="21"/>
          <w:szCs w:val="21"/>
        </w:rPr>
        <w:t>“</w:t>
      </w:r>
      <w:r w:rsidR="00004209" w:rsidRPr="008B2B15">
        <w:rPr>
          <w:rFonts w:ascii="Calibri" w:hAnsi="Calibri" w:cs="Calibri"/>
          <w:sz w:val="21"/>
          <w:szCs w:val="21"/>
        </w:rPr>
        <w:t xml:space="preserve">the increase in the global average temperature to </w:t>
      </w:r>
      <w:r w:rsidR="00B3326F" w:rsidRPr="008B2B15">
        <w:rPr>
          <w:rFonts w:ascii="Calibri" w:hAnsi="Calibri" w:cs="Calibri"/>
          <w:sz w:val="21"/>
          <w:szCs w:val="21"/>
        </w:rPr>
        <w:t xml:space="preserve">well </w:t>
      </w:r>
      <w:r w:rsidR="00004209" w:rsidRPr="008B2B15">
        <w:rPr>
          <w:rFonts w:ascii="Calibri" w:hAnsi="Calibri" w:cs="Calibri"/>
          <w:sz w:val="21"/>
          <w:szCs w:val="21"/>
        </w:rPr>
        <w:t xml:space="preserve">below 2°C above pre-industrial levels and </w:t>
      </w:r>
      <w:r w:rsidR="00B3326F" w:rsidRPr="008B2B15">
        <w:rPr>
          <w:rFonts w:ascii="Calibri" w:hAnsi="Calibri" w:cs="Calibri"/>
          <w:sz w:val="21"/>
          <w:szCs w:val="21"/>
        </w:rPr>
        <w:t>pursuing</w:t>
      </w:r>
      <w:r w:rsidR="00004209" w:rsidRPr="008B2B15">
        <w:rPr>
          <w:rFonts w:ascii="Calibri" w:hAnsi="Calibri" w:cs="Calibri"/>
          <w:sz w:val="21"/>
          <w:szCs w:val="21"/>
        </w:rPr>
        <w:t xml:space="preserve"> efforts to limit the temperature increase to 1.5°C</w:t>
      </w:r>
      <w:r w:rsidR="00B3326F" w:rsidRPr="008B2B15">
        <w:rPr>
          <w:rFonts w:ascii="Calibri" w:hAnsi="Calibri" w:cs="Calibri"/>
          <w:sz w:val="21"/>
          <w:szCs w:val="21"/>
        </w:rPr>
        <w:t xml:space="preserve"> above pre-industrial levels</w:t>
      </w:r>
      <w:r w:rsidR="00D7456D" w:rsidRPr="008B2B15">
        <w:rPr>
          <w:rFonts w:ascii="Calibri" w:hAnsi="Calibri" w:cs="Calibri"/>
          <w:sz w:val="21"/>
          <w:szCs w:val="21"/>
        </w:rPr>
        <w:t>”</w:t>
      </w:r>
      <w:r w:rsidR="00004209" w:rsidRPr="008B2B15">
        <w:rPr>
          <w:rFonts w:ascii="Calibri" w:hAnsi="Calibri" w:cs="Calibri"/>
          <w:sz w:val="21"/>
          <w:szCs w:val="21"/>
        </w:rPr>
        <w:t xml:space="preserve"> (U</w:t>
      </w:r>
      <w:r w:rsidR="008E53B1" w:rsidRPr="008B2B15">
        <w:rPr>
          <w:rFonts w:ascii="Calibri" w:hAnsi="Calibri" w:cs="Calibri"/>
          <w:sz w:val="21"/>
          <w:szCs w:val="21"/>
        </w:rPr>
        <w:t>N</w:t>
      </w:r>
      <w:r w:rsidR="00374E27" w:rsidRPr="008B2B15">
        <w:rPr>
          <w:rFonts w:ascii="Calibri" w:hAnsi="Calibri" w:cs="Calibri"/>
          <w:sz w:val="21"/>
          <w:szCs w:val="21"/>
        </w:rPr>
        <w:t>FCCC</w:t>
      </w:r>
      <w:r w:rsidR="00004209" w:rsidRPr="008B2B15">
        <w:rPr>
          <w:rFonts w:ascii="Calibri" w:hAnsi="Calibri" w:cs="Calibri"/>
          <w:sz w:val="21"/>
          <w:szCs w:val="21"/>
        </w:rPr>
        <w:t>, 2015</w:t>
      </w:r>
      <w:r w:rsidR="00B3326F" w:rsidRPr="008B2B15">
        <w:rPr>
          <w:rFonts w:ascii="Calibri" w:hAnsi="Calibri" w:cs="Calibri"/>
          <w:sz w:val="21"/>
          <w:szCs w:val="21"/>
        </w:rPr>
        <w:t>, p.3</w:t>
      </w:r>
      <w:r w:rsidR="00004209" w:rsidRPr="008B2B15">
        <w:rPr>
          <w:rFonts w:ascii="Calibri" w:hAnsi="Calibri" w:cs="Calibri"/>
          <w:sz w:val="21"/>
          <w:szCs w:val="21"/>
        </w:rPr>
        <w:t xml:space="preserve">). On </w:t>
      </w:r>
      <w:r w:rsidRPr="008B2B15">
        <w:rPr>
          <w:rFonts w:ascii="Calibri" w:hAnsi="Calibri" w:cs="Calibri"/>
          <w:sz w:val="21"/>
          <w:szCs w:val="21"/>
        </w:rPr>
        <w:t xml:space="preserve">a </w:t>
      </w:r>
      <w:r w:rsidR="00004209" w:rsidRPr="008B2B15">
        <w:rPr>
          <w:rFonts w:ascii="Calibri" w:hAnsi="Calibri" w:cs="Calibri"/>
          <w:sz w:val="21"/>
          <w:szCs w:val="21"/>
        </w:rPr>
        <w:t xml:space="preserve">national level, the UK </w:t>
      </w:r>
      <w:r w:rsidRPr="008B2B15">
        <w:rPr>
          <w:rFonts w:ascii="Calibri" w:hAnsi="Calibri" w:cs="Calibri"/>
          <w:sz w:val="21"/>
          <w:szCs w:val="21"/>
        </w:rPr>
        <w:t xml:space="preserve">has </w:t>
      </w:r>
      <w:r w:rsidR="00004209" w:rsidRPr="008B2B15">
        <w:rPr>
          <w:rFonts w:ascii="Calibri" w:hAnsi="Calibri" w:cs="Calibri"/>
          <w:sz w:val="21"/>
          <w:szCs w:val="21"/>
        </w:rPr>
        <w:t>committed to a reduction of at least 80% of emissions by 2050 against 19</w:t>
      </w:r>
      <w:r w:rsidR="00D7456D" w:rsidRPr="008B2B15">
        <w:rPr>
          <w:rFonts w:ascii="Calibri" w:hAnsi="Calibri" w:cs="Calibri"/>
          <w:sz w:val="21"/>
          <w:szCs w:val="21"/>
        </w:rPr>
        <w:t xml:space="preserve">90 baseline within the </w:t>
      </w:r>
      <w:r w:rsidR="00004209" w:rsidRPr="008B2B15">
        <w:rPr>
          <w:rFonts w:ascii="Calibri" w:hAnsi="Calibri" w:cs="Calibri"/>
          <w:sz w:val="21"/>
          <w:szCs w:val="21"/>
        </w:rPr>
        <w:t>Climate Change Act 2008”</w:t>
      </w:r>
      <w:r w:rsidR="003003BF" w:rsidRPr="008B2B15">
        <w:rPr>
          <w:rFonts w:ascii="Calibri" w:hAnsi="Calibri" w:cs="Calibri"/>
          <w:sz w:val="21"/>
          <w:szCs w:val="21"/>
        </w:rPr>
        <w:t xml:space="preserve"> (e.g. </w:t>
      </w:r>
      <w:r w:rsidR="003003BF" w:rsidRPr="008B2B15">
        <w:rPr>
          <w:sz w:val="21"/>
          <w:szCs w:val="21"/>
        </w:rPr>
        <w:t>UK Government, 2008; HM government, 2011</w:t>
      </w:r>
      <w:r w:rsidR="003003BF" w:rsidRPr="008B2B15">
        <w:t>)</w:t>
      </w:r>
      <w:r w:rsidR="00004209" w:rsidRPr="008B2B15">
        <w:rPr>
          <w:rFonts w:ascii="Calibri" w:hAnsi="Calibri" w:cs="Calibri"/>
          <w:sz w:val="21"/>
          <w:szCs w:val="21"/>
        </w:rPr>
        <w:t>. In June 2016, the UK confirmed this previously agreed target and set additionally a 57% interim-target for 2030 (</w:t>
      </w:r>
      <w:r w:rsidR="003003BF" w:rsidRPr="008B2B15">
        <w:rPr>
          <w:rFonts w:ascii="Calibri" w:hAnsi="Calibri" w:cs="Calibri"/>
          <w:sz w:val="21"/>
          <w:szCs w:val="21"/>
        </w:rPr>
        <w:t>CCC, 2016</w:t>
      </w:r>
      <w:r w:rsidR="00004209" w:rsidRPr="008B2B15">
        <w:rPr>
          <w:rFonts w:ascii="Calibri" w:hAnsi="Calibri" w:cs="Calibri"/>
          <w:sz w:val="21"/>
          <w:szCs w:val="21"/>
        </w:rPr>
        <w:t xml:space="preserve">). </w:t>
      </w:r>
      <w:r w:rsidR="00D147EE" w:rsidRPr="008B2B15">
        <w:rPr>
          <w:rFonts w:ascii="Calibri" w:hAnsi="Calibri" w:cs="Calibri"/>
          <w:sz w:val="21"/>
          <w:szCs w:val="21"/>
        </w:rPr>
        <w:t xml:space="preserve">More </w:t>
      </w:r>
      <w:r w:rsidR="00564D18" w:rsidRPr="008B2B15">
        <w:rPr>
          <w:rFonts w:ascii="Calibri" w:hAnsi="Calibri" w:cs="Calibri"/>
          <w:sz w:val="21"/>
          <w:szCs w:val="21"/>
        </w:rPr>
        <w:t>recently,</w:t>
      </w:r>
      <w:r w:rsidR="00D147EE" w:rsidRPr="008B2B15">
        <w:rPr>
          <w:rFonts w:ascii="Calibri" w:hAnsi="Calibri" w:cs="Calibri"/>
          <w:sz w:val="21"/>
          <w:szCs w:val="21"/>
        </w:rPr>
        <w:t xml:space="preserve"> the independent </w:t>
      </w:r>
      <w:r w:rsidR="003003BF" w:rsidRPr="008B2B15">
        <w:rPr>
          <w:rFonts w:ascii="Calibri" w:hAnsi="Calibri" w:cs="Calibri"/>
          <w:sz w:val="21"/>
          <w:szCs w:val="21"/>
        </w:rPr>
        <w:t xml:space="preserve">Committee on </w:t>
      </w:r>
      <w:r w:rsidR="00D147EE" w:rsidRPr="008B2B15">
        <w:rPr>
          <w:rFonts w:ascii="Calibri" w:hAnsi="Calibri" w:cs="Calibri"/>
          <w:sz w:val="21"/>
          <w:szCs w:val="21"/>
        </w:rPr>
        <w:t xml:space="preserve">Climate Change </w:t>
      </w:r>
      <w:r w:rsidR="003003BF" w:rsidRPr="008B2B15">
        <w:rPr>
          <w:rFonts w:ascii="Calibri" w:hAnsi="Calibri" w:cs="Calibri"/>
          <w:sz w:val="21"/>
          <w:szCs w:val="21"/>
        </w:rPr>
        <w:t xml:space="preserve">(CCC) </w:t>
      </w:r>
      <w:r w:rsidR="00D147EE" w:rsidRPr="008B2B15">
        <w:rPr>
          <w:rFonts w:ascii="Calibri" w:hAnsi="Calibri" w:cs="Calibri"/>
          <w:sz w:val="21"/>
          <w:szCs w:val="21"/>
        </w:rPr>
        <w:t>has recommended the UK adopt a net zero emissions target by 2050</w:t>
      </w:r>
      <w:r w:rsidR="00CA389D" w:rsidRPr="008B2B15">
        <w:rPr>
          <w:rFonts w:ascii="Calibri" w:hAnsi="Calibri" w:cs="Calibri"/>
          <w:sz w:val="21"/>
          <w:szCs w:val="21"/>
        </w:rPr>
        <w:t xml:space="preserve"> (CCC, 2019).</w:t>
      </w:r>
      <w:r w:rsidR="00B20F6D" w:rsidRPr="008B2B15">
        <w:rPr>
          <w:rFonts w:ascii="Calibri" w:hAnsi="Calibri" w:cs="Calibri"/>
          <w:sz w:val="21"/>
          <w:szCs w:val="21"/>
        </w:rPr>
        <w:t xml:space="preserve"> </w:t>
      </w:r>
    </w:p>
    <w:p w14:paraId="307720DB" w14:textId="2C2EB1A2" w:rsidR="00A11BAC" w:rsidRPr="002B55E5" w:rsidRDefault="00346502" w:rsidP="002B55E5">
      <w:pPr>
        <w:spacing w:after="0" w:line="276" w:lineRule="auto"/>
        <w:rPr>
          <w:rFonts w:ascii="Calibri" w:hAnsi="Calibri" w:cs="Calibri"/>
          <w:sz w:val="21"/>
          <w:szCs w:val="21"/>
        </w:rPr>
      </w:pPr>
      <w:r w:rsidRPr="008B2B15">
        <w:rPr>
          <w:rFonts w:ascii="Calibri" w:hAnsi="Calibri" w:cs="Calibri"/>
          <w:sz w:val="21"/>
          <w:szCs w:val="21"/>
        </w:rPr>
        <w:t>T</w:t>
      </w:r>
      <w:r w:rsidR="00A11BAC" w:rsidRPr="008B2B15">
        <w:rPr>
          <w:rFonts w:ascii="Calibri" w:hAnsi="Calibri" w:cs="Calibri"/>
          <w:sz w:val="21"/>
          <w:szCs w:val="21"/>
        </w:rPr>
        <w:t xml:space="preserve">he UK aims to generate 75% of the UK’s electricity from low-carbon sources by 2030 with a carbon intensity of under </w:t>
      </w:r>
      <w:r w:rsidR="002B03F4" w:rsidRPr="008B2B15">
        <w:rPr>
          <w:rFonts w:ascii="Calibri" w:hAnsi="Calibri" w:cs="Calibri"/>
          <w:sz w:val="21"/>
          <w:szCs w:val="21"/>
        </w:rPr>
        <w:t>100</w:t>
      </w:r>
      <w:r w:rsidR="00933B3F">
        <w:rPr>
          <w:rFonts w:ascii="Calibri" w:hAnsi="Calibri" w:cs="Calibri"/>
          <w:sz w:val="21"/>
          <w:szCs w:val="21"/>
        </w:rPr>
        <w:t xml:space="preserve"> </w:t>
      </w:r>
      <w:r w:rsidR="002B03F4" w:rsidRPr="008B2B15">
        <w:rPr>
          <w:rFonts w:ascii="Calibri" w:hAnsi="Calibri" w:cs="Calibri"/>
          <w:sz w:val="21"/>
          <w:szCs w:val="21"/>
        </w:rPr>
        <w:t>gCO</w:t>
      </w:r>
      <w:r w:rsidR="002B03F4" w:rsidRPr="008B2B15">
        <w:rPr>
          <w:rFonts w:ascii="Calibri" w:hAnsi="Calibri" w:cs="Calibri"/>
          <w:sz w:val="21"/>
          <w:szCs w:val="21"/>
          <w:vertAlign w:val="subscript"/>
        </w:rPr>
        <w:t>2</w:t>
      </w:r>
      <w:r w:rsidR="00A11BAC" w:rsidRPr="008B2B15">
        <w:rPr>
          <w:rFonts w:ascii="Calibri" w:hAnsi="Calibri" w:cs="Calibri"/>
          <w:sz w:val="21"/>
          <w:szCs w:val="21"/>
        </w:rPr>
        <w:t xml:space="preserve">/kWh (CCC, 2018). </w:t>
      </w:r>
      <w:r w:rsidR="006907BF" w:rsidRPr="008B2B15">
        <w:rPr>
          <w:rFonts w:ascii="Calibri" w:hAnsi="Calibri" w:cs="Calibri"/>
          <w:sz w:val="21"/>
          <w:szCs w:val="21"/>
        </w:rPr>
        <w:t>Figure 1</w:t>
      </w:r>
      <w:r w:rsidR="00A11BAC" w:rsidRPr="008B2B15">
        <w:rPr>
          <w:rFonts w:ascii="Calibri" w:hAnsi="Calibri" w:cs="Calibri"/>
          <w:sz w:val="21"/>
          <w:szCs w:val="21"/>
        </w:rPr>
        <w:t xml:space="preserve"> shows that</w:t>
      </w:r>
      <w:r w:rsidR="006907BF" w:rsidRPr="008B2B15">
        <w:rPr>
          <w:rFonts w:ascii="Calibri" w:hAnsi="Calibri" w:cs="Calibri"/>
          <w:sz w:val="21"/>
          <w:szCs w:val="21"/>
        </w:rPr>
        <w:t xml:space="preserve"> in 2018</w:t>
      </w:r>
      <w:r w:rsidR="008232F1" w:rsidRPr="008B2B15">
        <w:rPr>
          <w:rFonts w:ascii="Calibri" w:hAnsi="Calibri" w:cs="Calibri"/>
          <w:sz w:val="21"/>
          <w:szCs w:val="21"/>
        </w:rPr>
        <w:t xml:space="preserve">, </w:t>
      </w:r>
      <w:r w:rsidR="00A11BAC" w:rsidRPr="008B2B15">
        <w:rPr>
          <w:rFonts w:ascii="Calibri" w:hAnsi="Calibri" w:cs="Calibri"/>
          <w:sz w:val="21"/>
          <w:szCs w:val="21"/>
        </w:rPr>
        <w:t xml:space="preserve">42% of total electricity generated originated from gas (40%) and coal (2%). Therefore, </w:t>
      </w:r>
      <w:r w:rsidR="003003BF" w:rsidRPr="008B2B15">
        <w:rPr>
          <w:rFonts w:ascii="Calibri" w:hAnsi="Calibri" w:cs="Calibri"/>
          <w:sz w:val="21"/>
          <w:szCs w:val="21"/>
        </w:rPr>
        <w:t>the UK G</w:t>
      </w:r>
      <w:r w:rsidR="00A11BAC" w:rsidRPr="008B2B15">
        <w:rPr>
          <w:rFonts w:ascii="Calibri" w:hAnsi="Calibri" w:cs="Calibri"/>
          <w:sz w:val="21"/>
          <w:szCs w:val="21"/>
        </w:rPr>
        <w:t>overnment (2017) recommends a significant and rapid increase in the low-carbon electricity generation capacity in the coming years (</w:t>
      </w:r>
      <w:r w:rsidR="003003BF" w:rsidRPr="008B2B15">
        <w:rPr>
          <w:rFonts w:ascii="Calibri" w:hAnsi="Calibri" w:cs="Calibri"/>
          <w:sz w:val="21"/>
          <w:szCs w:val="21"/>
        </w:rPr>
        <w:t xml:space="preserve">see also </w:t>
      </w:r>
      <w:r w:rsidR="00A11BAC" w:rsidRPr="008B2B15">
        <w:rPr>
          <w:rFonts w:ascii="Calibri" w:hAnsi="Calibri" w:cs="Calibri"/>
          <w:sz w:val="21"/>
          <w:szCs w:val="21"/>
        </w:rPr>
        <w:t>HM Government, 2017). In particular, a scenario based on high electrification would requi</w:t>
      </w:r>
      <w:r w:rsidR="00CA389D" w:rsidRPr="008B2B15">
        <w:rPr>
          <w:rFonts w:ascii="Calibri" w:hAnsi="Calibri" w:cs="Calibri"/>
          <w:sz w:val="21"/>
          <w:szCs w:val="21"/>
        </w:rPr>
        <w:t xml:space="preserve">re low-carbon generation to be </w:t>
      </w:r>
      <w:r w:rsidR="00A11BAC" w:rsidRPr="008B2B15">
        <w:rPr>
          <w:rFonts w:ascii="Calibri" w:hAnsi="Calibri" w:cs="Calibri"/>
          <w:sz w:val="21"/>
          <w:szCs w:val="21"/>
        </w:rPr>
        <w:t xml:space="preserve">more than </w:t>
      </w:r>
      <w:r w:rsidR="00CA389D" w:rsidRPr="008B2B15">
        <w:rPr>
          <w:rFonts w:ascii="Calibri" w:hAnsi="Calibri" w:cs="Calibri"/>
          <w:sz w:val="21"/>
          <w:szCs w:val="21"/>
        </w:rPr>
        <w:t>quadrupled between now and 2050</w:t>
      </w:r>
      <w:r w:rsidR="00A11BAC" w:rsidRPr="008B2B15">
        <w:rPr>
          <w:rFonts w:ascii="Calibri" w:hAnsi="Calibri" w:cs="Calibri"/>
          <w:sz w:val="21"/>
          <w:szCs w:val="21"/>
        </w:rPr>
        <w:t xml:space="preserve"> (CCC, 2018). CCC (2018) expects an additional amount of 130 </w:t>
      </w:r>
      <w:proofErr w:type="spellStart"/>
      <w:r w:rsidR="00A11BAC" w:rsidRPr="008B2B15">
        <w:rPr>
          <w:rFonts w:ascii="Calibri" w:hAnsi="Calibri" w:cs="Calibri"/>
          <w:sz w:val="21"/>
          <w:szCs w:val="21"/>
        </w:rPr>
        <w:t>TWh</w:t>
      </w:r>
      <w:proofErr w:type="spellEnd"/>
      <w:r w:rsidR="00A11BAC" w:rsidRPr="008B2B15">
        <w:rPr>
          <w:rFonts w:ascii="Calibri" w:hAnsi="Calibri" w:cs="Calibri"/>
          <w:sz w:val="21"/>
          <w:szCs w:val="21"/>
        </w:rPr>
        <w:t xml:space="preserve"> low-</w:t>
      </w:r>
      <w:r w:rsidR="00214314">
        <w:rPr>
          <w:rFonts w:ascii="Calibri" w:hAnsi="Calibri" w:cs="Calibri"/>
          <w:sz w:val="21"/>
          <w:szCs w:val="21"/>
        </w:rPr>
        <w:t xml:space="preserve">carbon </w:t>
      </w:r>
      <w:r w:rsidR="00A11BAC" w:rsidRPr="008B2B15">
        <w:rPr>
          <w:rFonts w:ascii="Calibri" w:hAnsi="Calibri" w:cs="Calibri"/>
          <w:sz w:val="21"/>
          <w:szCs w:val="21"/>
        </w:rPr>
        <w:t>g</w:t>
      </w:r>
      <w:r w:rsidR="00324B4E" w:rsidRPr="008B2B15">
        <w:rPr>
          <w:rFonts w:ascii="Calibri" w:hAnsi="Calibri" w:cs="Calibri"/>
          <w:sz w:val="21"/>
          <w:szCs w:val="21"/>
        </w:rPr>
        <w:t>eneration to be online in 2020, which</w:t>
      </w:r>
      <w:r w:rsidR="00A11BAC" w:rsidRPr="008B2B15">
        <w:rPr>
          <w:rFonts w:ascii="Calibri" w:hAnsi="Calibri" w:cs="Calibri"/>
          <w:sz w:val="21"/>
          <w:szCs w:val="21"/>
        </w:rPr>
        <w:t xml:space="preserve"> </w:t>
      </w:r>
      <w:r w:rsidR="00324B4E" w:rsidRPr="008B2B15">
        <w:rPr>
          <w:rFonts w:ascii="Calibri" w:hAnsi="Calibri" w:cs="Calibri"/>
          <w:sz w:val="21"/>
          <w:szCs w:val="21"/>
        </w:rPr>
        <w:t>implies</w:t>
      </w:r>
      <w:r w:rsidR="00A11BAC" w:rsidRPr="008B2B15">
        <w:rPr>
          <w:rFonts w:ascii="Calibri" w:hAnsi="Calibri" w:cs="Calibri"/>
          <w:sz w:val="21"/>
          <w:szCs w:val="21"/>
        </w:rPr>
        <w:t xml:space="preserve"> installing an additional 130 to 145 </w:t>
      </w:r>
      <w:proofErr w:type="spellStart"/>
      <w:r w:rsidR="00A11BAC" w:rsidRPr="008B2B15">
        <w:rPr>
          <w:rFonts w:ascii="Calibri" w:hAnsi="Calibri" w:cs="Calibri"/>
          <w:sz w:val="21"/>
          <w:szCs w:val="21"/>
        </w:rPr>
        <w:t>TWh</w:t>
      </w:r>
      <w:proofErr w:type="spellEnd"/>
      <w:r w:rsidR="00A11BAC" w:rsidRPr="008B2B15">
        <w:rPr>
          <w:rFonts w:ascii="Calibri" w:hAnsi="Calibri" w:cs="Calibri"/>
          <w:sz w:val="21"/>
          <w:szCs w:val="21"/>
        </w:rPr>
        <w:t xml:space="preserve"> generating capacity of low-carbon infrastructure during the 2020’s to reach 255 – 275 </w:t>
      </w:r>
      <w:proofErr w:type="spellStart"/>
      <w:r w:rsidR="00A11BAC" w:rsidRPr="008B2B15">
        <w:rPr>
          <w:rFonts w:ascii="Calibri" w:hAnsi="Calibri" w:cs="Calibri"/>
          <w:sz w:val="21"/>
          <w:szCs w:val="21"/>
        </w:rPr>
        <w:t>TWh</w:t>
      </w:r>
      <w:proofErr w:type="spellEnd"/>
      <w:r w:rsidR="00A11BAC" w:rsidRPr="008B2B15">
        <w:rPr>
          <w:rFonts w:ascii="Calibri" w:hAnsi="Calibri" w:cs="Calibri"/>
          <w:sz w:val="21"/>
          <w:szCs w:val="21"/>
        </w:rPr>
        <w:t xml:space="preserve"> of low carbon generating capacity in total </w:t>
      </w:r>
      <w:r w:rsidR="00214314">
        <w:rPr>
          <w:rFonts w:ascii="Calibri" w:hAnsi="Calibri" w:cs="Calibri"/>
          <w:sz w:val="21"/>
          <w:szCs w:val="21"/>
        </w:rPr>
        <w:t>by</w:t>
      </w:r>
      <w:r w:rsidR="00214314" w:rsidRPr="008B2B15">
        <w:rPr>
          <w:rFonts w:ascii="Calibri" w:hAnsi="Calibri" w:cs="Calibri"/>
          <w:sz w:val="21"/>
          <w:szCs w:val="21"/>
        </w:rPr>
        <w:t xml:space="preserve"> </w:t>
      </w:r>
      <w:r w:rsidR="00A11BAC" w:rsidRPr="008B2B15">
        <w:rPr>
          <w:rFonts w:ascii="Calibri" w:hAnsi="Calibri" w:cs="Calibri"/>
          <w:sz w:val="21"/>
          <w:szCs w:val="21"/>
        </w:rPr>
        <w:t>2030 (</w:t>
      </w:r>
      <w:r w:rsidR="003003BF" w:rsidRPr="008B2B15">
        <w:rPr>
          <w:rFonts w:ascii="Calibri" w:hAnsi="Calibri" w:cs="Calibri"/>
          <w:sz w:val="21"/>
          <w:szCs w:val="21"/>
        </w:rPr>
        <w:t xml:space="preserve">see </w:t>
      </w:r>
      <w:r w:rsidR="00A11BAC" w:rsidRPr="008B2B15">
        <w:rPr>
          <w:rFonts w:ascii="Calibri" w:hAnsi="Calibri" w:cs="Calibri"/>
          <w:sz w:val="21"/>
          <w:szCs w:val="21"/>
        </w:rPr>
        <w:t>CCC Scenarios, 2030).</w:t>
      </w:r>
      <w:r w:rsidR="006878BA" w:rsidRPr="008B2B15">
        <w:rPr>
          <w:rFonts w:ascii="Calibri" w:hAnsi="Calibri" w:cs="Calibri"/>
          <w:sz w:val="21"/>
          <w:szCs w:val="21"/>
        </w:rPr>
        <w:t xml:space="preserve"> </w:t>
      </w:r>
    </w:p>
    <w:p w14:paraId="27C66E1A" w14:textId="77777777" w:rsidR="00C3788D" w:rsidRDefault="00C3788D" w:rsidP="002B55E5">
      <w:pPr>
        <w:pStyle w:val="Caption"/>
        <w:keepNext/>
        <w:spacing w:before="240"/>
        <w:rPr>
          <w:color w:val="auto"/>
        </w:rPr>
      </w:pPr>
      <w:r w:rsidRPr="0035699F">
        <w:rPr>
          <w:rFonts w:ascii="Calibri" w:hAnsi="Calibri" w:cs="Calibri"/>
          <w:noProof/>
          <w:color w:val="auto"/>
          <w:sz w:val="21"/>
          <w:szCs w:val="21"/>
          <w:lang w:eastAsia="en-GB"/>
        </w:rPr>
        <w:drawing>
          <wp:inline distT="0" distB="0" distL="0" distR="0" wp14:anchorId="0ADF04CF" wp14:editId="28C83C69">
            <wp:extent cx="4852035" cy="2179125"/>
            <wp:effectExtent l="0" t="0" r="571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05B92F" w14:textId="473A6F23" w:rsidR="00004209" w:rsidRPr="008B2B15" w:rsidRDefault="00954895" w:rsidP="002B55E5">
      <w:pPr>
        <w:pStyle w:val="Caption"/>
        <w:keepNext/>
        <w:spacing w:before="240"/>
        <w:rPr>
          <w:color w:val="auto"/>
        </w:rPr>
      </w:pPr>
      <w:r w:rsidRPr="008B2B15">
        <w:rPr>
          <w:color w:val="auto"/>
        </w:rPr>
        <w:t>Figure 1</w:t>
      </w:r>
      <w:r w:rsidR="006E7C7A" w:rsidRPr="008B2B15">
        <w:rPr>
          <w:color w:val="auto"/>
        </w:rPr>
        <w:t xml:space="preserve">: Electricity generation in </w:t>
      </w:r>
      <w:r w:rsidR="00F85135" w:rsidRPr="008B2B15">
        <w:rPr>
          <w:color w:val="auto"/>
        </w:rPr>
        <w:t>the third quarter</w:t>
      </w:r>
      <w:r w:rsidR="006E7C7A" w:rsidRPr="008B2B15">
        <w:rPr>
          <w:color w:val="auto"/>
        </w:rPr>
        <w:t>2018</w:t>
      </w:r>
    </w:p>
    <w:p w14:paraId="09D22DB1" w14:textId="77777777" w:rsidR="00202B0E" w:rsidRPr="002B55E5" w:rsidRDefault="00202B0E" w:rsidP="00202B0E">
      <w:pPr>
        <w:spacing w:line="276" w:lineRule="auto"/>
        <w:rPr>
          <w:rFonts w:ascii="Calibri" w:hAnsi="Calibri" w:cs="Calibri"/>
          <w:i/>
          <w:sz w:val="18"/>
          <w:szCs w:val="18"/>
        </w:rPr>
      </w:pPr>
      <w:r w:rsidRPr="008B2B15">
        <w:rPr>
          <w:rFonts w:ascii="Calibri" w:hAnsi="Calibri" w:cs="Calibri"/>
          <w:i/>
          <w:sz w:val="18"/>
          <w:szCs w:val="18"/>
        </w:rPr>
        <w:t>Source: Data taken from Department for Business, Energy &amp; Industrial Strategy (2018)</w:t>
      </w:r>
    </w:p>
    <w:p w14:paraId="2794B76C" w14:textId="55409048" w:rsidR="00004209" w:rsidRPr="008B2B15" w:rsidRDefault="00004209" w:rsidP="0035699F">
      <w:pPr>
        <w:spacing w:line="276" w:lineRule="auto"/>
        <w:rPr>
          <w:rFonts w:ascii="Georgia" w:hAnsi="Georgia"/>
          <w:sz w:val="21"/>
          <w:szCs w:val="21"/>
        </w:rPr>
      </w:pPr>
      <w:r w:rsidRPr="008B2B15">
        <w:rPr>
          <w:rFonts w:ascii="Calibri" w:hAnsi="Calibri" w:cs="Calibri"/>
          <w:sz w:val="21"/>
          <w:szCs w:val="21"/>
        </w:rPr>
        <w:t xml:space="preserve">Current projections of future UK greenhouse gas emissions </w:t>
      </w:r>
      <w:r w:rsidR="001A5E2D" w:rsidRPr="008B2B15">
        <w:rPr>
          <w:rFonts w:ascii="Calibri" w:hAnsi="Calibri" w:cs="Calibri"/>
          <w:sz w:val="21"/>
          <w:szCs w:val="21"/>
        </w:rPr>
        <w:t>show</w:t>
      </w:r>
      <w:r w:rsidRPr="008B2B15">
        <w:rPr>
          <w:rFonts w:ascii="Calibri" w:hAnsi="Calibri" w:cs="Calibri"/>
          <w:sz w:val="21"/>
          <w:szCs w:val="21"/>
        </w:rPr>
        <w:t xml:space="preserve"> </w:t>
      </w:r>
      <w:r w:rsidR="00564D18" w:rsidRPr="008B2B15">
        <w:rPr>
          <w:rFonts w:ascii="Calibri" w:hAnsi="Calibri" w:cs="Calibri"/>
          <w:sz w:val="21"/>
          <w:szCs w:val="21"/>
        </w:rPr>
        <w:t xml:space="preserve">that </w:t>
      </w:r>
      <w:r w:rsidRPr="008B2B15">
        <w:rPr>
          <w:rFonts w:ascii="Calibri" w:hAnsi="Calibri" w:cs="Calibri"/>
          <w:sz w:val="21"/>
          <w:szCs w:val="21"/>
        </w:rPr>
        <w:t>the UK will not reach its climate target without the introduction of addition</w:t>
      </w:r>
      <w:r w:rsidR="00564D18" w:rsidRPr="008B2B15">
        <w:rPr>
          <w:rFonts w:ascii="Calibri" w:hAnsi="Calibri" w:cs="Calibri"/>
          <w:sz w:val="21"/>
          <w:szCs w:val="21"/>
        </w:rPr>
        <w:t>al policies to restructure and decarbonise</w:t>
      </w:r>
      <w:r w:rsidRPr="008B2B15">
        <w:rPr>
          <w:rFonts w:ascii="Calibri" w:hAnsi="Calibri" w:cs="Calibri"/>
          <w:sz w:val="21"/>
          <w:szCs w:val="21"/>
        </w:rPr>
        <w:t xml:space="preserve"> its economy (CCC, 2016). In particular, CCC (2018) reports that </w:t>
      </w:r>
      <w:r w:rsidR="001A5E2D" w:rsidRPr="008B2B15">
        <w:rPr>
          <w:rFonts w:ascii="Calibri" w:hAnsi="Calibri" w:cs="Calibri"/>
          <w:sz w:val="21"/>
          <w:szCs w:val="21"/>
        </w:rPr>
        <w:t>there is</w:t>
      </w:r>
      <w:r w:rsidR="00324B4E" w:rsidRPr="008B2B15">
        <w:rPr>
          <w:rFonts w:ascii="Calibri" w:hAnsi="Calibri" w:cs="Calibri"/>
          <w:sz w:val="21"/>
          <w:szCs w:val="21"/>
        </w:rPr>
        <w:t xml:space="preserve"> </w:t>
      </w:r>
      <w:r w:rsidRPr="008B2B15">
        <w:rPr>
          <w:rFonts w:ascii="Calibri" w:hAnsi="Calibri" w:cs="Calibri"/>
          <w:sz w:val="21"/>
          <w:szCs w:val="21"/>
        </w:rPr>
        <w:t>a policy gap of more than 20 Mt CO</w:t>
      </w:r>
      <w:r w:rsidRPr="008B2B15">
        <w:rPr>
          <w:rFonts w:ascii="Calibri" w:hAnsi="Calibri" w:cs="Calibri"/>
          <w:sz w:val="21"/>
          <w:szCs w:val="21"/>
          <w:vertAlign w:val="subscript"/>
        </w:rPr>
        <w:t>2</w:t>
      </w:r>
      <w:r w:rsidRPr="008B2B15">
        <w:rPr>
          <w:rFonts w:ascii="Calibri" w:hAnsi="Calibri" w:cs="Calibri"/>
          <w:sz w:val="21"/>
          <w:szCs w:val="21"/>
        </w:rPr>
        <w:t xml:space="preserve"> emissions corresponding to </w:t>
      </w:r>
      <w:r w:rsidR="00F338E6" w:rsidRPr="008B2B15">
        <w:rPr>
          <w:rFonts w:ascii="Calibri" w:hAnsi="Calibri" w:cs="Calibri"/>
          <w:sz w:val="21"/>
          <w:szCs w:val="21"/>
        </w:rPr>
        <w:t>a gap of</w:t>
      </w:r>
      <w:r w:rsidR="00DC05C1" w:rsidRPr="008B2B15">
        <w:rPr>
          <w:rFonts w:ascii="Calibri" w:hAnsi="Calibri" w:cs="Calibri"/>
          <w:sz w:val="21"/>
          <w:szCs w:val="21"/>
        </w:rPr>
        <w:t xml:space="preserve"> </w:t>
      </w:r>
      <w:r w:rsidR="00F338E6" w:rsidRPr="008B2B15">
        <w:rPr>
          <w:rFonts w:ascii="Calibri" w:hAnsi="Calibri" w:cs="Calibri"/>
          <w:sz w:val="21"/>
          <w:szCs w:val="21"/>
        </w:rPr>
        <w:t xml:space="preserve">45 to 65 </w:t>
      </w:r>
      <w:proofErr w:type="spellStart"/>
      <w:r w:rsidR="00F338E6" w:rsidRPr="008B2B15">
        <w:rPr>
          <w:rFonts w:ascii="Calibri" w:hAnsi="Calibri" w:cs="Calibri"/>
          <w:sz w:val="21"/>
          <w:szCs w:val="21"/>
        </w:rPr>
        <w:t>TWh</w:t>
      </w:r>
      <w:proofErr w:type="spellEnd"/>
      <w:r w:rsidR="00F338E6" w:rsidRPr="008B2B15">
        <w:rPr>
          <w:rFonts w:ascii="Calibri" w:hAnsi="Calibri" w:cs="Calibri"/>
          <w:sz w:val="21"/>
          <w:szCs w:val="21"/>
        </w:rPr>
        <w:t xml:space="preserve"> </w:t>
      </w:r>
      <w:r w:rsidR="00DC05C1" w:rsidRPr="008B2B15">
        <w:rPr>
          <w:rFonts w:ascii="Calibri" w:hAnsi="Calibri" w:cs="Calibri"/>
          <w:sz w:val="21"/>
          <w:szCs w:val="21"/>
        </w:rPr>
        <w:t>low carbon</w:t>
      </w:r>
      <w:r w:rsidRPr="008B2B15">
        <w:rPr>
          <w:rFonts w:ascii="Calibri" w:hAnsi="Calibri" w:cs="Calibri"/>
          <w:sz w:val="21"/>
          <w:szCs w:val="21"/>
        </w:rPr>
        <w:t xml:space="preserve"> electricity generation</w:t>
      </w:r>
      <w:r w:rsidR="001A5E2D" w:rsidRPr="008B2B15">
        <w:rPr>
          <w:rFonts w:ascii="Calibri" w:hAnsi="Calibri" w:cs="Calibri"/>
          <w:sz w:val="21"/>
          <w:szCs w:val="21"/>
        </w:rPr>
        <w:t xml:space="preserve"> out to 2030</w:t>
      </w:r>
      <w:r w:rsidRPr="008B2B15">
        <w:rPr>
          <w:rFonts w:ascii="Calibri" w:hAnsi="Calibri" w:cs="Calibri"/>
          <w:sz w:val="21"/>
          <w:szCs w:val="21"/>
        </w:rPr>
        <w:t xml:space="preserve"> (</w:t>
      </w:r>
      <w:r w:rsidR="00CA389D" w:rsidRPr="008B2B15">
        <w:rPr>
          <w:rFonts w:ascii="Calibri" w:hAnsi="Calibri" w:cs="Calibri"/>
          <w:sz w:val="21"/>
          <w:szCs w:val="21"/>
        </w:rPr>
        <w:t>see also</w:t>
      </w:r>
      <w:r w:rsidR="00DC05C1" w:rsidRPr="008B2B15">
        <w:rPr>
          <w:rFonts w:ascii="Calibri" w:hAnsi="Calibri" w:cs="Calibri"/>
          <w:sz w:val="21"/>
          <w:szCs w:val="21"/>
        </w:rPr>
        <w:t xml:space="preserve"> HM government, 2011; DECC, 2014</w:t>
      </w:r>
      <w:r w:rsidRPr="008B2B15">
        <w:rPr>
          <w:rFonts w:ascii="Calibri" w:hAnsi="Calibri" w:cs="Calibri"/>
          <w:sz w:val="21"/>
          <w:szCs w:val="21"/>
        </w:rPr>
        <w:t xml:space="preserve">). DECC (2014) </w:t>
      </w:r>
      <w:r w:rsidR="001D0EBA" w:rsidRPr="008B2B15">
        <w:rPr>
          <w:rFonts w:ascii="Calibri" w:hAnsi="Calibri" w:cs="Calibri"/>
          <w:sz w:val="21"/>
          <w:szCs w:val="21"/>
        </w:rPr>
        <w:t>estimate</w:t>
      </w:r>
      <w:r w:rsidR="001D0EBA">
        <w:rPr>
          <w:rFonts w:ascii="Calibri" w:hAnsi="Calibri" w:cs="Calibri"/>
          <w:sz w:val="21"/>
          <w:szCs w:val="21"/>
        </w:rPr>
        <w:t>d</w:t>
      </w:r>
      <w:r w:rsidR="001D0EBA" w:rsidRPr="008B2B15">
        <w:rPr>
          <w:rFonts w:ascii="Calibri" w:hAnsi="Calibri" w:cs="Calibri"/>
          <w:sz w:val="21"/>
          <w:szCs w:val="21"/>
        </w:rPr>
        <w:t xml:space="preserve"> </w:t>
      </w:r>
      <w:r w:rsidRPr="008B2B15">
        <w:rPr>
          <w:rFonts w:ascii="Calibri" w:hAnsi="Calibri" w:cs="Calibri"/>
          <w:sz w:val="21"/>
          <w:szCs w:val="21"/>
        </w:rPr>
        <w:t xml:space="preserve">the required investments into low-emission energy infrastructure to be £100 </w:t>
      </w:r>
      <w:proofErr w:type="spellStart"/>
      <w:r w:rsidRPr="008B2B15">
        <w:rPr>
          <w:rFonts w:ascii="Calibri" w:hAnsi="Calibri" w:cs="Calibri"/>
          <w:sz w:val="21"/>
          <w:szCs w:val="21"/>
        </w:rPr>
        <w:t>bn</w:t>
      </w:r>
      <w:proofErr w:type="spellEnd"/>
      <w:r w:rsidRPr="008B2B15">
        <w:rPr>
          <w:rFonts w:ascii="Calibri" w:hAnsi="Calibri" w:cs="Calibri"/>
          <w:sz w:val="21"/>
          <w:szCs w:val="21"/>
        </w:rPr>
        <w:t xml:space="preserve"> (if transmission &amp; generation are included) by 2020 and £130 </w:t>
      </w:r>
      <w:proofErr w:type="spellStart"/>
      <w:r w:rsidRPr="008B2B15">
        <w:rPr>
          <w:rFonts w:ascii="Calibri" w:hAnsi="Calibri" w:cs="Calibri"/>
          <w:sz w:val="21"/>
          <w:szCs w:val="21"/>
        </w:rPr>
        <w:t>bn</w:t>
      </w:r>
      <w:proofErr w:type="spellEnd"/>
      <w:r w:rsidRPr="008B2B15">
        <w:rPr>
          <w:rFonts w:ascii="Calibri" w:hAnsi="Calibri" w:cs="Calibri"/>
          <w:sz w:val="21"/>
          <w:szCs w:val="21"/>
        </w:rPr>
        <w:t xml:space="preserve"> by 2030. However, some organisations, including the Committee on Climate Change and </w:t>
      </w:r>
      <w:r w:rsidR="00AE0B07" w:rsidRPr="008B2B15">
        <w:rPr>
          <w:rFonts w:ascii="Calibri" w:hAnsi="Calibri" w:cs="Calibri"/>
          <w:sz w:val="21"/>
          <w:szCs w:val="21"/>
        </w:rPr>
        <w:t>Vivid Economics</w:t>
      </w:r>
      <w:r w:rsidRPr="008B2B15">
        <w:rPr>
          <w:rFonts w:ascii="Calibri" w:hAnsi="Calibri" w:cs="Calibri"/>
          <w:sz w:val="21"/>
          <w:szCs w:val="21"/>
        </w:rPr>
        <w:t xml:space="preserve"> estimate the required investment to be higher and ranging </w:t>
      </w:r>
      <w:r w:rsidR="00AE0B07" w:rsidRPr="008B2B15">
        <w:rPr>
          <w:rFonts w:ascii="Calibri" w:hAnsi="Calibri" w:cs="Calibri"/>
          <w:sz w:val="21"/>
          <w:szCs w:val="21"/>
        </w:rPr>
        <w:t>up to</w:t>
      </w:r>
      <w:r w:rsidRPr="008B2B15">
        <w:rPr>
          <w:rFonts w:ascii="Calibri" w:hAnsi="Calibri" w:cs="Calibri"/>
          <w:sz w:val="21"/>
          <w:szCs w:val="21"/>
        </w:rPr>
        <w:t xml:space="preserve"> £300 </w:t>
      </w:r>
      <w:proofErr w:type="spellStart"/>
      <w:r w:rsidRPr="008B2B15">
        <w:rPr>
          <w:rFonts w:ascii="Calibri" w:hAnsi="Calibri" w:cs="Calibri"/>
          <w:sz w:val="21"/>
          <w:szCs w:val="21"/>
        </w:rPr>
        <w:t>bn</w:t>
      </w:r>
      <w:proofErr w:type="spellEnd"/>
      <w:r w:rsidRPr="008B2B15">
        <w:rPr>
          <w:rFonts w:ascii="Calibri" w:hAnsi="Calibri" w:cs="Calibri"/>
          <w:sz w:val="21"/>
          <w:szCs w:val="21"/>
        </w:rPr>
        <w:t xml:space="preserve"> by 2030 (</w:t>
      </w:r>
      <w:r w:rsidR="008106E1" w:rsidRPr="008B2B15">
        <w:rPr>
          <w:rFonts w:ascii="Calibri" w:hAnsi="Calibri" w:cs="Calibri"/>
          <w:sz w:val="21"/>
          <w:szCs w:val="21"/>
        </w:rPr>
        <w:t>Vivid Economics</w:t>
      </w:r>
      <w:r w:rsidRPr="008B2B15">
        <w:rPr>
          <w:rFonts w:ascii="Calibri" w:hAnsi="Calibri" w:cs="Calibri"/>
          <w:sz w:val="21"/>
          <w:szCs w:val="21"/>
        </w:rPr>
        <w:t xml:space="preserve">, </w:t>
      </w:r>
      <w:r w:rsidR="00AE0B07" w:rsidRPr="008B2B15">
        <w:rPr>
          <w:rFonts w:ascii="Calibri" w:hAnsi="Calibri" w:cs="Calibri"/>
          <w:sz w:val="21"/>
          <w:szCs w:val="21"/>
        </w:rPr>
        <w:t>2012</w:t>
      </w:r>
      <w:r w:rsidRPr="008B2B15">
        <w:rPr>
          <w:rFonts w:ascii="Calibri" w:hAnsi="Calibri" w:cs="Calibri"/>
          <w:sz w:val="21"/>
          <w:szCs w:val="21"/>
        </w:rPr>
        <w:t xml:space="preserve">; CCC, 2013). All these estimates </w:t>
      </w:r>
      <w:r w:rsidR="00D14573" w:rsidRPr="008B2B15">
        <w:rPr>
          <w:rFonts w:ascii="Calibri" w:hAnsi="Calibri" w:cs="Calibri"/>
          <w:sz w:val="21"/>
          <w:szCs w:val="21"/>
        </w:rPr>
        <w:t>imply</w:t>
      </w:r>
      <w:r w:rsidRPr="008B2B15">
        <w:rPr>
          <w:rFonts w:ascii="Calibri" w:hAnsi="Calibri" w:cs="Calibri"/>
          <w:sz w:val="21"/>
          <w:szCs w:val="21"/>
        </w:rPr>
        <w:t xml:space="preserve"> that the required investments into low-carbon infrastructure </w:t>
      </w:r>
      <w:r w:rsidR="00D14573" w:rsidRPr="008B2B15">
        <w:rPr>
          <w:rFonts w:ascii="Calibri" w:hAnsi="Calibri" w:cs="Calibri"/>
          <w:sz w:val="21"/>
          <w:szCs w:val="21"/>
        </w:rPr>
        <w:t xml:space="preserve">in the next decades </w:t>
      </w:r>
      <w:r w:rsidRPr="008B2B15">
        <w:rPr>
          <w:rFonts w:ascii="Calibri" w:hAnsi="Calibri" w:cs="Calibri"/>
          <w:sz w:val="21"/>
          <w:szCs w:val="21"/>
        </w:rPr>
        <w:t>will need to be significantly higher than during the 2000’s (Blyth et al., 2015). Traditional sources of capital (e.g. project finance) will not be enough to cover the required energy infrastructure investments</w:t>
      </w:r>
      <w:r w:rsidR="0033217E" w:rsidRPr="008B2B15">
        <w:rPr>
          <w:rFonts w:ascii="Calibri" w:hAnsi="Calibri" w:cs="Calibri"/>
          <w:sz w:val="21"/>
          <w:szCs w:val="21"/>
        </w:rPr>
        <w:t xml:space="preserve"> (Ernst &amp; Young, 2010)</w:t>
      </w:r>
      <w:r w:rsidRPr="008B2B15">
        <w:rPr>
          <w:rFonts w:ascii="Calibri" w:hAnsi="Calibri" w:cs="Calibri"/>
          <w:sz w:val="21"/>
          <w:szCs w:val="21"/>
        </w:rPr>
        <w:t xml:space="preserve">. Therefore, additional funding sources, such as finance </w:t>
      </w:r>
      <w:r w:rsidRPr="008B2B15">
        <w:rPr>
          <w:rFonts w:ascii="Calibri" w:hAnsi="Calibri" w:cs="Calibri"/>
          <w:sz w:val="21"/>
          <w:szCs w:val="21"/>
        </w:rPr>
        <w:lastRenderedPageBreak/>
        <w:t>from institutional investors (e.g. pension funds, insurance companies) or private investors (e.g. mainstream investors or high-net-worth individuals) are required to cover the green finance gap</w:t>
      </w:r>
      <w:r w:rsidR="00116E60" w:rsidRPr="008B2B15">
        <w:rPr>
          <w:rFonts w:ascii="Calibri" w:hAnsi="Calibri" w:cs="Calibri"/>
          <w:sz w:val="21"/>
          <w:szCs w:val="21"/>
        </w:rPr>
        <w:t xml:space="preserve"> </w:t>
      </w:r>
      <w:r w:rsidRPr="008B2B15">
        <w:rPr>
          <w:rFonts w:ascii="Calibri" w:hAnsi="Calibri" w:cs="Calibri"/>
          <w:sz w:val="21"/>
          <w:szCs w:val="21"/>
        </w:rPr>
        <w:t>(OECD, 2016</w:t>
      </w:r>
      <w:r w:rsidR="00D71306" w:rsidRPr="008B2B15">
        <w:rPr>
          <w:rFonts w:ascii="Calibri" w:hAnsi="Calibri" w:cs="Calibri"/>
          <w:sz w:val="21"/>
          <w:szCs w:val="21"/>
        </w:rPr>
        <w:t>a</w:t>
      </w:r>
      <w:r w:rsidRPr="008B2B15">
        <w:rPr>
          <w:rFonts w:ascii="Calibri" w:hAnsi="Calibri" w:cs="Calibri"/>
          <w:sz w:val="21"/>
          <w:szCs w:val="21"/>
        </w:rPr>
        <w:t>; Irena, 2016). However, currently private and institutional investors are n</w:t>
      </w:r>
      <w:r w:rsidR="005A6B01" w:rsidRPr="008B2B15">
        <w:rPr>
          <w:rFonts w:ascii="Calibri" w:hAnsi="Calibri" w:cs="Calibri"/>
          <w:sz w:val="21"/>
          <w:szCs w:val="21"/>
        </w:rPr>
        <w:t>ot investing sufficiently into green</w:t>
      </w:r>
      <w:r w:rsidRPr="008B2B15">
        <w:rPr>
          <w:rFonts w:ascii="Calibri" w:hAnsi="Calibri" w:cs="Calibri"/>
          <w:sz w:val="21"/>
          <w:szCs w:val="21"/>
        </w:rPr>
        <w:t xml:space="preserve"> energy infrastructure due to lack of confidence given the technology risks, unstable policies, high up-front capital requirements of renewables, high capital costs for commercialization, lack of information, lack of experience and capacity gaps and high transaction costs etc. (Ernst &amp; Young, 2010; Irena, 2016; OECD, 2016</w:t>
      </w:r>
      <w:r w:rsidR="00D71306" w:rsidRPr="008B2B15">
        <w:rPr>
          <w:rFonts w:ascii="Calibri" w:hAnsi="Calibri" w:cs="Calibri"/>
          <w:sz w:val="21"/>
          <w:szCs w:val="21"/>
        </w:rPr>
        <w:t>a</w:t>
      </w:r>
      <w:r w:rsidRPr="008B2B15">
        <w:rPr>
          <w:rFonts w:ascii="Calibri" w:hAnsi="Calibri" w:cs="Calibri"/>
          <w:sz w:val="21"/>
          <w:szCs w:val="21"/>
        </w:rPr>
        <w:t xml:space="preserve">; Jones, 2015). </w:t>
      </w:r>
    </w:p>
    <w:p w14:paraId="0F4D7218" w14:textId="798AA901" w:rsidR="00004209" w:rsidRPr="008B2B15" w:rsidRDefault="00C20A33" w:rsidP="0035699F">
      <w:pPr>
        <w:spacing w:after="240" w:line="276" w:lineRule="auto"/>
        <w:rPr>
          <w:rFonts w:ascii="Calibri" w:eastAsia="Times" w:hAnsi="Calibri" w:cs="Calibri"/>
          <w:sz w:val="21"/>
          <w:szCs w:val="21"/>
        </w:rPr>
      </w:pPr>
      <w:r w:rsidRPr="008B2B15">
        <w:rPr>
          <w:rFonts w:ascii="Calibri" w:hAnsi="Calibri" w:cs="Calibri"/>
          <w:sz w:val="21"/>
          <w:szCs w:val="21"/>
        </w:rPr>
        <w:t>T</w:t>
      </w:r>
      <w:r w:rsidR="00004209" w:rsidRPr="008B2B15">
        <w:rPr>
          <w:rFonts w:ascii="Calibri" w:hAnsi="Calibri" w:cs="Calibri"/>
          <w:sz w:val="21"/>
          <w:szCs w:val="21"/>
        </w:rPr>
        <w:t>he mobilization of further investment</w:t>
      </w:r>
      <w:r w:rsidR="00834FFA" w:rsidRPr="008B2B15">
        <w:rPr>
          <w:rFonts w:ascii="Calibri" w:hAnsi="Calibri" w:cs="Calibri"/>
          <w:sz w:val="21"/>
          <w:szCs w:val="21"/>
        </w:rPr>
        <w:t>s</w:t>
      </w:r>
      <w:r w:rsidR="00004209" w:rsidRPr="008B2B15">
        <w:rPr>
          <w:rFonts w:ascii="Calibri" w:hAnsi="Calibri" w:cs="Calibri"/>
          <w:sz w:val="21"/>
          <w:szCs w:val="21"/>
        </w:rPr>
        <w:t xml:space="preserve"> into green energy infrastructure </w:t>
      </w:r>
      <w:r w:rsidR="00834FFA" w:rsidRPr="008B2B15">
        <w:rPr>
          <w:rFonts w:ascii="Calibri" w:hAnsi="Calibri" w:cs="Calibri"/>
          <w:sz w:val="21"/>
          <w:szCs w:val="21"/>
        </w:rPr>
        <w:t xml:space="preserve">requires </w:t>
      </w:r>
      <w:r w:rsidR="00004209" w:rsidRPr="008B2B15">
        <w:rPr>
          <w:rFonts w:ascii="Calibri" w:hAnsi="Calibri" w:cs="Calibri"/>
          <w:sz w:val="21"/>
          <w:szCs w:val="21"/>
        </w:rPr>
        <w:t xml:space="preserve">the introduction of </w:t>
      </w:r>
      <w:r w:rsidR="00834FFA" w:rsidRPr="008B2B15">
        <w:rPr>
          <w:rFonts w:ascii="Calibri" w:hAnsi="Calibri" w:cs="Calibri"/>
          <w:sz w:val="21"/>
          <w:szCs w:val="21"/>
        </w:rPr>
        <w:t xml:space="preserve">additional </w:t>
      </w:r>
      <w:r w:rsidR="00004209" w:rsidRPr="008B2B15">
        <w:rPr>
          <w:rFonts w:ascii="Calibri" w:hAnsi="Calibri" w:cs="Calibri"/>
          <w:sz w:val="21"/>
          <w:szCs w:val="21"/>
        </w:rPr>
        <w:t xml:space="preserve">policies that tackle those </w:t>
      </w:r>
      <w:r w:rsidR="00834FFA" w:rsidRPr="008B2B15">
        <w:rPr>
          <w:rFonts w:ascii="Calibri" w:hAnsi="Calibri" w:cs="Calibri"/>
          <w:sz w:val="21"/>
          <w:szCs w:val="21"/>
        </w:rPr>
        <w:t xml:space="preserve">investment </w:t>
      </w:r>
      <w:r w:rsidR="00004209" w:rsidRPr="008B2B15">
        <w:rPr>
          <w:rFonts w:ascii="Calibri" w:hAnsi="Calibri" w:cs="Calibri"/>
          <w:sz w:val="21"/>
          <w:szCs w:val="21"/>
        </w:rPr>
        <w:t>barriers. However, although the literature on the requirement of policies to scale up green investments into the renewable energy infrastructure sector is growing rapidly, there is not yet an unambiguous conclusion</w:t>
      </w:r>
      <w:r w:rsidRPr="008B2B15">
        <w:rPr>
          <w:rFonts w:ascii="Calibri" w:hAnsi="Calibri" w:cs="Calibri"/>
          <w:sz w:val="21"/>
          <w:szCs w:val="21"/>
        </w:rPr>
        <w:t xml:space="preserve"> on the importance of different barriers and </w:t>
      </w:r>
      <w:r w:rsidR="004F36BB" w:rsidRPr="008B2B15">
        <w:rPr>
          <w:rFonts w:ascii="Calibri" w:hAnsi="Calibri" w:cs="Calibri"/>
          <w:sz w:val="21"/>
          <w:szCs w:val="21"/>
        </w:rPr>
        <w:t>solutions</w:t>
      </w:r>
      <w:r w:rsidR="00004209" w:rsidRPr="008B2B15">
        <w:rPr>
          <w:rFonts w:ascii="Calibri" w:hAnsi="Calibri" w:cs="Calibri"/>
          <w:sz w:val="21"/>
          <w:szCs w:val="21"/>
        </w:rPr>
        <w:t>.</w:t>
      </w:r>
      <w:r w:rsidR="002B55E5">
        <w:rPr>
          <w:rFonts w:ascii="Calibri" w:hAnsi="Calibri" w:cs="Calibri"/>
          <w:sz w:val="21"/>
          <w:szCs w:val="21"/>
        </w:rPr>
        <w:t xml:space="preserve"> This renders the determination of the most effective policy intervention</w:t>
      </w:r>
      <w:r w:rsidR="008231B7">
        <w:rPr>
          <w:rFonts w:ascii="Calibri" w:hAnsi="Calibri" w:cs="Calibri"/>
          <w:sz w:val="21"/>
          <w:szCs w:val="21"/>
        </w:rPr>
        <w:t>s</w:t>
      </w:r>
      <w:r w:rsidR="002B55E5">
        <w:rPr>
          <w:rFonts w:ascii="Calibri" w:hAnsi="Calibri" w:cs="Calibri"/>
          <w:sz w:val="21"/>
          <w:szCs w:val="21"/>
        </w:rPr>
        <w:t xml:space="preserve"> or the prioritization of different possible interventions difficult.</w:t>
      </w:r>
      <w:r w:rsidR="00004209" w:rsidRPr="008B2B15">
        <w:rPr>
          <w:rFonts w:ascii="Calibri" w:hAnsi="Calibri" w:cs="Calibri"/>
          <w:sz w:val="21"/>
          <w:szCs w:val="21"/>
        </w:rPr>
        <w:t xml:space="preserve"> In light of this background, this study has </w:t>
      </w:r>
      <w:r w:rsidR="00781A8B">
        <w:rPr>
          <w:rFonts w:ascii="Calibri" w:hAnsi="Calibri" w:cs="Calibri"/>
          <w:sz w:val="21"/>
          <w:szCs w:val="21"/>
        </w:rPr>
        <w:t>three</w:t>
      </w:r>
      <w:r w:rsidR="00781A8B" w:rsidRPr="008B2B15">
        <w:rPr>
          <w:rFonts w:ascii="Calibri" w:hAnsi="Calibri" w:cs="Calibri"/>
          <w:sz w:val="21"/>
          <w:szCs w:val="21"/>
        </w:rPr>
        <w:t xml:space="preserve"> </w:t>
      </w:r>
      <w:r w:rsidR="00004209" w:rsidRPr="008B2B15">
        <w:rPr>
          <w:rFonts w:ascii="Calibri" w:hAnsi="Calibri" w:cs="Calibri"/>
          <w:sz w:val="21"/>
          <w:szCs w:val="21"/>
        </w:rPr>
        <w:t xml:space="preserve">research objectives: </w:t>
      </w:r>
    </w:p>
    <w:p w14:paraId="291EBD9D" w14:textId="5BBE5A2F" w:rsidR="00004209" w:rsidRDefault="00004209" w:rsidP="0043498E">
      <w:pPr>
        <w:pStyle w:val="ListParagraph"/>
        <w:numPr>
          <w:ilvl w:val="0"/>
          <w:numId w:val="2"/>
        </w:numPr>
        <w:spacing w:after="240" w:line="276" w:lineRule="auto"/>
        <w:rPr>
          <w:rFonts w:ascii="Calibri" w:hAnsi="Calibri" w:cs="Calibri"/>
          <w:sz w:val="21"/>
          <w:szCs w:val="21"/>
        </w:rPr>
      </w:pPr>
      <w:r w:rsidRPr="008B2B15">
        <w:rPr>
          <w:rFonts w:ascii="Calibri" w:hAnsi="Calibri" w:cs="Calibri"/>
          <w:sz w:val="21"/>
          <w:szCs w:val="21"/>
        </w:rPr>
        <w:t xml:space="preserve">What are </w:t>
      </w:r>
      <w:r w:rsidR="00E80951">
        <w:rPr>
          <w:rFonts w:ascii="Calibri" w:hAnsi="Calibri" w:cs="Calibri"/>
          <w:sz w:val="21"/>
          <w:szCs w:val="21"/>
        </w:rPr>
        <w:t xml:space="preserve">the key </w:t>
      </w:r>
      <w:r w:rsidRPr="008B2B15">
        <w:rPr>
          <w:rFonts w:ascii="Calibri" w:hAnsi="Calibri" w:cs="Calibri"/>
          <w:sz w:val="21"/>
          <w:szCs w:val="21"/>
        </w:rPr>
        <w:t xml:space="preserve">barriers towards more green investments into renewable energy infrastructure from the perspective of (financial) investors? </w:t>
      </w:r>
    </w:p>
    <w:p w14:paraId="411CCD8B" w14:textId="2CEFC6A5" w:rsidR="00E24370" w:rsidRPr="008B2B15" w:rsidRDefault="00E24370" w:rsidP="0043498E">
      <w:pPr>
        <w:pStyle w:val="ListParagraph"/>
        <w:numPr>
          <w:ilvl w:val="0"/>
          <w:numId w:val="2"/>
        </w:numPr>
        <w:spacing w:after="240" w:line="276" w:lineRule="auto"/>
        <w:rPr>
          <w:rFonts w:ascii="Calibri" w:hAnsi="Calibri" w:cs="Calibri"/>
          <w:sz w:val="21"/>
          <w:szCs w:val="21"/>
        </w:rPr>
      </w:pPr>
      <w:r>
        <w:rPr>
          <w:rFonts w:ascii="Calibri" w:hAnsi="Calibri" w:cs="Calibri"/>
          <w:sz w:val="21"/>
          <w:szCs w:val="21"/>
        </w:rPr>
        <w:t xml:space="preserve">What theoretical framework conceptualises the green finance gap and would </w:t>
      </w:r>
      <w:r w:rsidR="009445E0">
        <w:rPr>
          <w:rFonts w:ascii="Calibri" w:hAnsi="Calibri" w:cs="Calibri"/>
          <w:sz w:val="21"/>
          <w:szCs w:val="21"/>
        </w:rPr>
        <w:t>contribute to</w:t>
      </w:r>
      <w:r>
        <w:rPr>
          <w:rFonts w:ascii="Calibri" w:hAnsi="Calibri" w:cs="Calibri"/>
          <w:sz w:val="21"/>
          <w:szCs w:val="21"/>
        </w:rPr>
        <w:t xml:space="preserve"> the elaboration of policy recommendations to close it? </w:t>
      </w:r>
    </w:p>
    <w:p w14:paraId="1B5D0109" w14:textId="3F532DEE" w:rsidR="00004209" w:rsidRPr="008B2B15" w:rsidRDefault="00004209" w:rsidP="0043498E">
      <w:pPr>
        <w:pStyle w:val="ListParagraph"/>
        <w:numPr>
          <w:ilvl w:val="0"/>
          <w:numId w:val="2"/>
        </w:numPr>
        <w:spacing w:after="240" w:line="276" w:lineRule="auto"/>
        <w:rPr>
          <w:rFonts w:ascii="Calibri" w:hAnsi="Calibri" w:cs="Calibri"/>
          <w:sz w:val="21"/>
          <w:szCs w:val="21"/>
        </w:rPr>
      </w:pPr>
      <w:r w:rsidRPr="008B2B15">
        <w:rPr>
          <w:rFonts w:ascii="Calibri" w:hAnsi="Calibri" w:cs="Calibri"/>
          <w:sz w:val="21"/>
          <w:szCs w:val="21"/>
        </w:rPr>
        <w:t xml:space="preserve">What are possible </w:t>
      </w:r>
      <w:r w:rsidR="00834FFA" w:rsidRPr="008B2B15">
        <w:rPr>
          <w:rFonts w:ascii="Calibri" w:hAnsi="Calibri" w:cs="Calibri"/>
          <w:sz w:val="21"/>
          <w:szCs w:val="21"/>
        </w:rPr>
        <w:t xml:space="preserve">policy </w:t>
      </w:r>
      <w:r w:rsidRPr="008B2B15">
        <w:rPr>
          <w:rFonts w:ascii="Calibri" w:hAnsi="Calibri" w:cs="Calibri"/>
          <w:sz w:val="21"/>
          <w:szCs w:val="21"/>
        </w:rPr>
        <w:t>interventions to scale-up investments into r</w:t>
      </w:r>
      <w:r w:rsidR="00D14573" w:rsidRPr="008B2B15">
        <w:rPr>
          <w:rFonts w:ascii="Calibri" w:hAnsi="Calibri" w:cs="Calibri"/>
          <w:sz w:val="21"/>
          <w:szCs w:val="21"/>
        </w:rPr>
        <w:t xml:space="preserve">enewable energy infrastructure </w:t>
      </w:r>
      <w:r w:rsidRPr="008B2B15">
        <w:rPr>
          <w:rFonts w:ascii="Calibri" w:hAnsi="Calibri" w:cs="Calibri"/>
          <w:sz w:val="21"/>
          <w:szCs w:val="21"/>
        </w:rPr>
        <w:t xml:space="preserve">at sufficient scale and </w:t>
      </w:r>
      <w:r w:rsidR="00834FFA" w:rsidRPr="008B2B15">
        <w:rPr>
          <w:rFonts w:ascii="Calibri" w:hAnsi="Calibri" w:cs="Calibri"/>
          <w:sz w:val="21"/>
          <w:szCs w:val="21"/>
        </w:rPr>
        <w:t>pace</w:t>
      </w:r>
      <w:r w:rsidRPr="008B2B15">
        <w:rPr>
          <w:rFonts w:ascii="Calibri" w:hAnsi="Calibri" w:cs="Calibri"/>
          <w:sz w:val="21"/>
          <w:szCs w:val="21"/>
        </w:rPr>
        <w:t xml:space="preserve">? </w:t>
      </w:r>
    </w:p>
    <w:p w14:paraId="59FD774E" w14:textId="6E163752" w:rsidR="00004209" w:rsidRPr="008B2B15" w:rsidRDefault="00004209" w:rsidP="0035699F">
      <w:pPr>
        <w:spacing w:after="240" w:line="276" w:lineRule="auto"/>
        <w:rPr>
          <w:rFonts w:ascii="Calibri" w:hAnsi="Calibri" w:cs="Calibri"/>
          <w:sz w:val="21"/>
          <w:szCs w:val="21"/>
        </w:rPr>
      </w:pPr>
      <w:r w:rsidRPr="008B2B15">
        <w:rPr>
          <w:rFonts w:ascii="Calibri" w:hAnsi="Calibri" w:cs="Calibri"/>
          <w:sz w:val="21"/>
          <w:szCs w:val="21"/>
        </w:rPr>
        <w:t xml:space="preserve">We approach the first research question by </w:t>
      </w:r>
      <w:r w:rsidR="00F85135" w:rsidRPr="008B2B15">
        <w:rPr>
          <w:rFonts w:ascii="Calibri" w:hAnsi="Calibri" w:cs="Calibri"/>
          <w:sz w:val="21"/>
          <w:szCs w:val="21"/>
        </w:rPr>
        <w:t>conducting</w:t>
      </w:r>
      <w:r w:rsidR="00D2794C" w:rsidRPr="008B2B15">
        <w:rPr>
          <w:rFonts w:ascii="Calibri" w:hAnsi="Calibri" w:cs="Calibri"/>
          <w:sz w:val="21"/>
          <w:szCs w:val="21"/>
        </w:rPr>
        <w:t xml:space="preserve"> </w:t>
      </w:r>
      <w:r w:rsidRPr="008B2B15">
        <w:rPr>
          <w:rFonts w:ascii="Calibri" w:hAnsi="Calibri" w:cs="Calibri"/>
          <w:sz w:val="21"/>
          <w:szCs w:val="21"/>
        </w:rPr>
        <w:t xml:space="preserve">a systematic academic literature review, by </w:t>
      </w:r>
      <w:r w:rsidR="003C00DF" w:rsidRPr="008B2B15">
        <w:rPr>
          <w:rFonts w:ascii="Calibri" w:hAnsi="Calibri" w:cs="Calibri"/>
          <w:sz w:val="21"/>
          <w:szCs w:val="21"/>
        </w:rPr>
        <w:t>drawing on an</w:t>
      </w:r>
      <w:r w:rsidRPr="008B2B15">
        <w:rPr>
          <w:rFonts w:ascii="Calibri" w:hAnsi="Calibri" w:cs="Calibri"/>
          <w:sz w:val="21"/>
          <w:szCs w:val="21"/>
        </w:rPr>
        <w:t xml:space="preserve"> evaluation of policy reports</w:t>
      </w:r>
      <w:r w:rsidR="003C00DF" w:rsidRPr="008B2B15">
        <w:rPr>
          <w:rFonts w:ascii="Calibri" w:hAnsi="Calibri" w:cs="Calibri"/>
          <w:sz w:val="21"/>
          <w:szCs w:val="21"/>
        </w:rPr>
        <w:t xml:space="preserve"> conducted by Hafner et al. (2019) </w:t>
      </w:r>
      <w:r w:rsidRPr="008B2B15">
        <w:rPr>
          <w:rFonts w:ascii="Calibri" w:hAnsi="Calibri" w:cs="Calibri"/>
          <w:sz w:val="21"/>
          <w:szCs w:val="21"/>
        </w:rPr>
        <w:t xml:space="preserve">and </w:t>
      </w:r>
      <w:r w:rsidR="00D14573" w:rsidRPr="008B2B15">
        <w:rPr>
          <w:rFonts w:ascii="Calibri" w:hAnsi="Calibri" w:cs="Calibri"/>
          <w:sz w:val="21"/>
          <w:szCs w:val="21"/>
        </w:rPr>
        <w:t>by analysing</w:t>
      </w:r>
      <w:r w:rsidRPr="008B2B15">
        <w:rPr>
          <w:rFonts w:ascii="Calibri" w:hAnsi="Calibri" w:cs="Calibri"/>
          <w:sz w:val="21"/>
          <w:szCs w:val="21"/>
        </w:rPr>
        <w:t xml:space="preserve"> 17</w:t>
      </w:r>
      <w:r w:rsidR="00D14573" w:rsidRPr="008B2B15">
        <w:rPr>
          <w:rFonts w:ascii="Calibri" w:hAnsi="Calibri" w:cs="Calibri"/>
          <w:sz w:val="21"/>
          <w:szCs w:val="21"/>
        </w:rPr>
        <w:t xml:space="preserve"> conducted</w:t>
      </w:r>
      <w:r w:rsidRPr="008B2B15">
        <w:rPr>
          <w:rFonts w:ascii="Calibri" w:hAnsi="Calibri" w:cs="Calibri"/>
          <w:sz w:val="21"/>
          <w:szCs w:val="21"/>
        </w:rPr>
        <w:t xml:space="preserve"> interviews with financial investors, advisers or experts in this area. We address the second </w:t>
      </w:r>
      <w:r w:rsidR="00E24370">
        <w:rPr>
          <w:rFonts w:ascii="Calibri" w:hAnsi="Calibri" w:cs="Calibri"/>
          <w:sz w:val="21"/>
          <w:szCs w:val="21"/>
        </w:rPr>
        <w:t xml:space="preserve">and third </w:t>
      </w:r>
      <w:r w:rsidRPr="008B2B15">
        <w:rPr>
          <w:rFonts w:ascii="Calibri" w:hAnsi="Calibri" w:cs="Calibri"/>
          <w:sz w:val="21"/>
          <w:szCs w:val="21"/>
        </w:rPr>
        <w:t xml:space="preserve">research question based on the evaluation of the </w:t>
      </w:r>
      <w:r w:rsidR="00E24370">
        <w:rPr>
          <w:rFonts w:ascii="Calibri" w:hAnsi="Calibri" w:cs="Calibri"/>
          <w:sz w:val="21"/>
          <w:szCs w:val="21"/>
        </w:rPr>
        <w:t xml:space="preserve">insights and </w:t>
      </w:r>
      <w:r w:rsidRPr="008B2B15">
        <w:rPr>
          <w:rFonts w:ascii="Calibri" w:hAnsi="Calibri" w:cs="Calibri"/>
          <w:sz w:val="21"/>
          <w:szCs w:val="21"/>
        </w:rPr>
        <w:t xml:space="preserve">findings </w:t>
      </w:r>
      <w:r w:rsidR="00E24370">
        <w:rPr>
          <w:rFonts w:ascii="Calibri" w:hAnsi="Calibri" w:cs="Calibri"/>
          <w:sz w:val="21"/>
          <w:szCs w:val="21"/>
        </w:rPr>
        <w:t>of</w:t>
      </w:r>
      <w:r w:rsidR="00E24370" w:rsidRPr="008B2B15">
        <w:rPr>
          <w:rFonts w:ascii="Calibri" w:hAnsi="Calibri" w:cs="Calibri"/>
          <w:sz w:val="21"/>
          <w:szCs w:val="21"/>
        </w:rPr>
        <w:t xml:space="preserve"> </w:t>
      </w:r>
      <w:r w:rsidRPr="008B2B15">
        <w:rPr>
          <w:rFonts w:ascii="Calibri" w:hAnsi="Calibri" w:cs="Calibri"/>
          <w:sz w:val="21"/>
          <w:szCs w:val="21"/>
        </w:rPr>
        <w:t xml:space="preserve">the first research question. </w:t>
      </w:r>
      <w:r w:rsidR="00DA18F9">
        <w:rPr>
          <w:rFonts w:ascii="Calibri" w:hAnsi="Calibri" w:cs="Calibri"/>
          <w:sz w:val="21"/>
          <w:szCs w:val="21"/>
        </w:rPr>
        <w:t>W</w:t>
      </w:r>
      <w:r w:rsidRPr="008B2B15">
        <w:rPr>
          <w:rFonts w:ascii="Calibri" w:hAnsi="Calibri" w:cs="Calibri"/>
          <w:sz w:val="21"/>
          <w:szCs w:val="21"/>
        </w:rPr>
        <w:t>e approach the search for possible policy interventions from a high-level perspective and</w:t>
      </w:r>
      <w:r w:rsidR="00B62A88" w:rsidRPr="008B2B15">
        <w:rPr>
          <w:rFonts w:ascii="Calibri" w:hAnsi="Calibri" w:cs="Calibri"/>
          <w:sz w:val="21"/>
          <w:szCs w:val="21"/>
        </w:rPr>
        <w:t xml:space="preserve"> we </w:t>
      </w:r>
      <w:r w:rsidRPr="008B2B15">
        <w:rPr>
          <w:rFonts w:ascii="Calibri" w:hAnsi="Calibri" w:cs="Calibri"/>
          <w:sz w:val="21"/>
          <w:szCs w:val="21"/>
        </w:rPr>
        <w:t xml:space="preserve">therefore do not </w:t>
      </w:r>
      <w:r w:rsidR="00991F37" w:rsidRPr="008B2B15">
        <w:rPr>
          <w:rFonts w:ascii="Calibri" w:hAnsi="Calibri" w:cs="Calibri"/>
          <w:sz w:val="21"/>
          <w:szCs w:val="21"/>
        </w:rPr>
        <w:t xml:space="preserve">aim to </w:t>
      </w:r>
      <w:r w:rsidRPr="008B2B15">
        <w:rPr>
          <w:rFonts w:ascii="Calibri" w:hAnsi="Calibri" w:cs="Calibri"/>
          <w:sz w:val="21"/>
          <w:szCs w:val="21"/>
        </w:rPr>
        <w:t>provide in-depth insights into the political negotiation of different policy priorities and trade-offs</w:t>
      </w:r>
      <w:r w:rsidR="00DC7ABA">
        <w:rPr>
          <w:rFonts w:ascii="Calibri" w:hAnsi="Calibri" w:cs="Calibri"/>
          <w:sz w:val="21"/>
          <w:szCs w:val="21"/>
        </w:rPr>
        <w:t xml:space="preserve"> in this paper</w:t>
      </w:r>
      <w:r w:rsidRPr="008B2B15">
        <w:rPr>
          <w:rFonts w:ascii="Calibri" w:hAnsi="Calibri" w:cs="Calibri"/>
          <w:sz w:val="21"/>
          <w:szCs w:val="21"/>
        </w:rPr>
        <w:t xml:space="preserve">. </w:t>
      </w:r>
    </w:p>
    <w:p w14:paraId="6BD6DEA6" w14:textId="40706134" w:rsidR="00004209" w:rsidRPr="008B2B15" w:rsidRDefault="00004209" w:rsidP="0035699F">
      <w:pPr>
        <w:spacing w:after="0" w:line="276" w:lineRule="auto"/>
        <w:rPr>
          <w:rFonts w:ascii="Calibri" w:hAnsi="Calibri" w:cs="Calibri"/>
          <w:sz w:val="21"/>
          <w:szCs w:val="21"/>
        </w:rPr>
      </w:pPr>
      <w:r w:rsidRPr="008B2B15">
        <w:rPr>
          <w:rFonts w:ascii="Calibri" w:hAnsi="Calibri" w:cs="Calibri"/>
          <w:sz w:val="21"/>
          <w:szCs w:val="21"/>
        </w:rPr>
        <w:t xml:space="preserve">The key motivation for conducting this study is the urgent requirement to determine suitable solutions </w:t>
      </w:r>
      <w:r w:rsidR="000F2F71" w:rsidRPr="008B2B15">
        <w:rPr>
          <w:rFonts w:ascii="Calibri" w:hAnsi="Calibri" w:cs="Calibri"/>
          <w:sz w:val="21"/>
          <w:szCs w:val="21"/>
        </w:rPr>
        <w:t>and (policy) interventions</w:t>
      </w:r>
      <w:r w:rsidRPr="008B2B15">
        <w:rPr>
          <w:rFonts w:ascii="Calibri" w:hAnsi="Calibri" w:cs="Calibri"/>
          <w:sz w:val="21"/>
          <w:szCs w:val="21"/>
        </w:rPr>
        <w:t xml:space="preserve"> to scale up green investment into energy infrastructure at the required scale and speed in the UK (CCC, 2018; Bolton &amp; </w:t>
      </w:r>
      <w:proofErr w:type="spellStart"/>
      <w:r w:rsidRPr="008B2B15">
        <w:rPr>
          <w:rFonts w:ascii="Calibri" w:hAnsi="Calibri" w:cs="Calibri"/>
          <w:sz w:val="21"/>
          <w:szCs w:val="21"/>
        </w:rPr>
        <w:t>Foxon</w:t>
      </w:r>
      <w:proofErr w:type="spellEnd"/>
      <w:r w:rsidRPr="008B2B15">
        <w:rPr>
          <w:rFonts w:ascii="Calibri" w:hAnsi="Calibri" w:cs="Calibri"/>
          <w:sz w:val="21"/>
          <w:szCs w:val="21"/>
        </w:rPr>
        <w:t>, 2016). To focus the review of our study, we limit this st</w:t>
      </w:r>
      <w:r w:rsidR="000F2F71" w:rsidRPr="008B2B15">
        <w:rPr>
          <w:rFonts w:ascii="Calibri" w:hAnsi="Calibri" w:cs="Calibri"/>
          <w:sz w:val="21"/>
          <w:szCs w:val="21"/>
        </w:rPr>
        <w:t>udy to (</w:t>
      </w:r>
      <w:proofErr w:type="spellStart"/>
      <w:r w:rsidR="000F2F71" w:rsidRPr="008B2B15">
        <w:rPr>
          <w:rFonts w:ascii="Calibri" w:hAnsi="Calibri" w:cs="Calibri"/>
          <w:sz w:val="21"/>
          <w:szCs w:val="21"/>
        </w:rPr>
        <w:t>i</w:t>
      </w:r>
      <w:proofErr w:type="spellEnd"/>
      <w:r w:rsidR="000F2F71" w:rsidRPr="008B2B15">
        <w:rPr>
          <w:rFonts w:ascii="Calibri" w:hAnsi="Calibri" w:cs="Calibri"/>
          <w:sz w:val="21"/>
          <w:szCs w:val="21"/>
        </w:rPr>
        <w:t xml:space="preserve">) developed countries and </w:t>
      </w:r>
      <w:r w:rsidRPr="008B2B15">
        <w:rPr>
          <w:rFonts w:ascii="Calibri" w:hAnsi="Calibri" w:cs="Calibri"/>
          <w:sz w:val="21"/>
          <w:szCs w:val="21"/>
        </w:rPr>
        <w:t xml:space="preserve">(ii) </w:t>
      </w:r>
      <w:r w:rsidR="000F2F71" w:rsidRPr="008B2B15">
        <w:rPr>
          <w:rFonts w:ascii="Calibri" w:hAnsi="Calibri" w:cs="Calibri"/>
          <w:sz w:val="21"/>
          <w:szCs w:val="21"/>
        </w:rPr>
        <w:t>to</w:t>
      </w:r>
      <w:r w:rsidR="003C00DF" w:rsidRPr="008B2B15">
        <w:rPr>
          <w:rFonts w:ascii="Calibri" w:hAnsi="Calibri" w:cs="Calibri"/>
          <w:sz w:val="21"/>
          <w:szCs w:val="21"/>
        </w:rPr>
        <w:t xml:space="preserve"> commercialised</w:t>
      </w:r>
      <w:r w:rsidRPr="008B2B15">
        <w:rPr>
          <w:rFonts w:ascii="Calibri" w:hAnsi="Calibri" w:cs="Calibri"/>
          <w:sz w:val="21"/>
          <w:szCs w:val="21"/>
        </w:rPr>
        <w:t xml:space="preserve"> large-scale energy infrastructure</w:t>
      </w:r>
      <w:r w:rsidR="000F2F71" w:rsidRPr="008B2B15">
        <w:rPr>
          <w:rFonts w:ascii="Calibri" w:hAnsi="Calibri" w:cs="Calibri"/>
          <w:sz w:val="21"/>
          <w:szCs w:val="21"/>
        </w:rPr>
        <w:t>. With regard to (</w:t>
      </w:r>
      <w:proofErr w:type="spellStart"/>
      <w:r w:rsidR="000F2F71" w:rsidRPr="008B2B15">
        <w:rPr>
          <w:rFonts w:ascii="Calibri" w:hAnsi="Calibri" w:cs="Calibri"/>
          <w:sz w:val="21"/>
          <w:szCs w:val="21"/>
        </w:rPr>
        <w:t>i</w:t>
      </w:r>
      <w:proofErr w:type="spellEnd"/>
      <w:r w:rsidR="000F2F71" w:rsidRPr="008B2B15">
        <w:rPr>
          <w:rFonts w:ascii="Calibri" w:hAnsi="Calibri" w:cs="Calibri"/>
          <w:sz w:val="21"/>
          <w:szCs w:val="21"/>
        </w:rPr>
        <w:t xml:space="preserve">) we assume that the investment conditions from an investor perspective of developed countries are sufficiently comparable to the ones in the UK. With regard to (ii) we thus </w:t>
      </w:r>
      <w:r w:rsidRPr="008B2B15">
        <w:rPr>
          <w:rFonts w:ascii="Calibri" w:hAnsi="Calibri" w:cs="Calibri"/>
          <w:sz w:val="21"/>
          <w:szCs w:val="21"/>
        </w:rPr>
        <w:t>do not address the question on the potential further decentralisation of the UK energy infrastructure and the related barriers or solution</w:t>
      </w:r>
      <w:r w:rsidR="00C20A33" w:rsidRPr="008B2B15">
        <w:rPr>
          <w:rFonts w:ascii="Calibri" w:hAnsi="Calibri" w:cs="Calibri"/>
          <w:sz w:val="21"/>
          <w:szCs w:val="21"/>
        </w:rPr>
        <w:t>s</w:t>
      </w:r>
      <w:r w:rsidRPr="008B2B15">
        <w:rPr>
          <w:rFonts w:ascii="Calibri" w:hAnsi="Calibri" w:cs="Calibri"/>
          <w:sz w:val="21"/>
          <w:szCs w:val="21"/>
        </w:rPr>
        <w:t xml:space="preserve"> towards this </w:t>
      </w:r>
      <w:r w:rsidR="00C20A33" w:rsidRPr="008B2B15">
        <w:rPr>
          <w:rFonts w:ascii="Calibri" w:hAnsi="Calibri" w:cs="Calibri"/>
          <w:sz w:val="21"/>
          <w:szCs w:val="21"/>
        </w:rPr>
        <w:t>and</w:t>
      </w:r>
      <w:r w:rsidR="002541E1" w:rsidRPr="008B2B15">
        <w:rPr>
          <w:rFonts w:ascii="Calibri" w:hAnsi="Calibri" w:cs="Calibri"/>
          <w:sz w:val="21"/>
          <w:szCs w:val="21"/>
        </w:rPr>
        <w:t xml:space="preserve"> neither do we consider the question on how to scale-up finance into </w:t>
      </w:r>
      <w:r w:rsidR="00C20A33" w:rsidRPr="008B2B15">
        <w:rPr>
          <w:rFonts w:ascii="Calibri" w:hAnsi="Calibri" w:cs="Calibri"/>
          <w:sz w:val="21"/>
          <w:szCs w:val="21"/>
        </w:rPr>
        <w:t>not yet commercialised</w:t>
      </w:r>
      <w:r w:rsidR="002541E1" w:rsidRPr="008B2B15">
        <w:rPr>
          <w:rFonts w:ascii="Calibri" w:hAnsi="Calibri" w:cs="Calibri"/>
          <w:sz w:val="21"/>
          <w:szCs w:val="21"/>
        </w:rPr>
        <w:t xml:space="preserve"> energy technologies</w:t>
      </w:r>
      <w:r w:rsidRPr="008B2B15">
        <w:rPr>
          <w:rFonts w:ascii="Calibri" w:hAnsi="Calibri" w:cs="Calibri"/>
          <w:sz w:val="21"/>
          <w:szCs w:val="21"/>
        </w:rPr>
        <w:t xml:space="preserve">. </w:t>
      </w:r>
    </w:p>
    <w:p w14:paraId="2D28750D" w14:textId="77777777" w:rsidR="00004209" w:rsidRPr="008B2B15" w:rsidRDefault="00004209" w:rsidP="0035699F">
      <w:pPr>
        <w:spacing w:after="0" w:line="276" w:lineRule="auto"/>
        <w:rPr>
          <w:rFonts w:ascii="Calibri" w:hAnsi="Calibri" w:cs="Calibri"/>
          <w:sz w:val="21"/>
          <w:szCs w:val="21"/>
        </w:rPr>
      </w:pPr>
    </w:p>
    <w:p w14:paraId="041F392F" w14:textId="27118DF9" w:rsidR="00004209" w:rsidRDefault="00004209" w:rsidP="0035699F">
      <w:pPr>
        <w:spacing w:after="0" w:line="276" w:lineRule="auto"/>
        <w:rPr>
          <w:rFonts w:ascii="Calibri" w:hAnsi="Calibri" w:cs="Calibri"/>
          <w:sz w:val="21"/>
          <w:szCs w:val="21"/>
        </w:rPr>
      </w:pPr>
      <w:r w:rsidRPr="008B2B15">
        <w:rPr>
          <w:rFonts w:ascii="Calibri" w:hAnsi="Calibri" w:cs="Calibri"/>
          <w:sz w:val="21"/>
          <w:szCs w:val="21"/>
        </w:rPr>
        <w:t xml:space="preserve">There are a number of already existing studies evaluating </w:t>
      </w:r>
      <w:r w:rsidR="00F85135" w:rsidRPr="008B2B15">
        <w:rPr>
          <w:rFonts w:ascii="Calibri" w:hAnsi="Calibri" w:cs="Calibri"/>
          <w:sz w:val="21"/>
          <w:szCs w:val="21"/>
        </w:rPr>
        <w:t xml:space="preserve">investment </w:t>
      </w:r>
      <w:r w:rsidRPr="008B2B15">
        <w:rPr>
          <w:rFonts w:ascii="Calibri" w:hAnsi="Calibri" w:cs="Calibri"/>
          <w:sz w:val="21"/>
          <w:szCs w:val="21"/>
        </w:rPr>
        <w:t xml:space="preserve">barriers into renewable energy infrastructure. On one hand, there are </w:t>
      </w:r>
      <w:r w:rsidR="00C20A33" w:rsidRPr="008B2B15">
        <w:rPr>
          <w:rFonts w:ascii="Calibri" w:hAnsi="Calibri" w:cs="Calibri"/>
          <w:sz w:val="21"/>
          <w:szCs w:val="21"/>
        </w:rPr>
        <w:t>studies that conduct</w:t>
      </w:r>
      <w:r w:rsidRPr="008B2B15">
        <w:rPr>
          <w:rFonts w:ascii="Calibri" w:hAnsi="Calibri" w:cs="Calibri"/>
          <w:sz w:val="21"/>
          <w:szCs w:val="21"/>
        </w:rPr>
        <w:t xml:space="preserve"> literature review</w:t>
      </w:r>
      <w:r w:rsidR="0029526A" w:rsidRPr="008B2B15">
        <w:rPr>
          <w:rFonts w:ascii="Calibri" w:hAnsi="Calibri" w:cs="Calibri"/>
          <w:sz w:val="21"/>
          <w:szCs w:val="21"/>
        </w:rPr>
        <w:t>s</w:t>
      </w:r>
      <w:r w:rsidRPr="008B2B15">
        <w:rPr>
          <w:rFonts w:ascii="Calibri" w:hAnsi="Calibri" w:cs="Calibri"/>
          <w:sz w:val="21"/>
          <w:szCs w:val="21"/>
        </w:rPr>
        <w:t xml:space="preserve"> on green barriers (</w:t>
      </w:r>
      <w:r w:rsidR="00F85135" w:rsidRPr="008B2B15">
        <w:rPr>
          <w:rFonts w:ascii="Calibri" w:hAnsi="Calibri" w:cs="Calibri"/>
          <w:sz w:val="21"/>
          <w:szCs w:val="21"/>
        </w:rPr>
        <w:t xml:space="preserve">e.g. </w:t>
      </w:r>
      <w:r w:rsidRPr="008B2B15">
        <w:rPr>
          <w:rFonts w:ascii="Calibri" w:hAnsi="Calibri" w:cs="Calibri"/>
          <w:sz w:val="21"/>
          <w:szCs w:val="21"/>
        </w:rPr>
        <w:t xml:space="preserve">Hu et al., 2018; </w:t>
      </w:r>
      <w:proofErr w:type="spellStart"/>
      <w:r w:rsidRPr="008B2B15">
        <w:rPr>
          <w:rFonts w:ascii="Calibri" w:hAnsi="Calibri" w:cs="Calibri"/>
          <w:sz w:val="21"/>
          <w:szCs w:val="21"/>
        </w:rPr>
        <w:t>Polzin</w:t>
      </w:r>
      <w:proofErr w:type="spellEnd"/>
      <w:r w:rsidRPr="008B2B15">
        <w:rPr>
          <w:rFonts w:ascii="Calibri" w:hAnsi="Calibri" w:cs="Calibri"/>
          <w:sz w:val="21"/>
          <w:szCs w:val="21"/>
        </w:rPr>
        <w:t>, 2017). On the other hand, there are differ</w:t>
      </w:r>
      <w:r w:rsidR="0029526A" w:rsidRPr="008B2B15">
        <w:rPr>
          <w:rFonts w:ascii="Calibri" w:hAnsi="Calibri" w:cs="Calibri"/>
          <w:sz w:val="21"/>
          <w:szCs w:val="21"/>
        </w:rPr>
        <w:t xml:space="preserve">ent types of empirical studies, including </w:t>
      </w:r>
      <w:r w:rsidRPr="008B2B15">
        <w:rPr>
          <w:rFonts w:ascii="Calibri" w:hAnsi="Calibri" w:cs="Calibri"/>
          <w:sz w:val="21"/>
          <w:szCs w:val="21"/>
        </w:rPr>
        <w:t>(</w:t>
      </w:r>
      <w:proofErr w:type="spellStart"/>
      <w:r w:rsidRPr="008B2B15">
        <w:rPr>
          <w:rFonts w:ascii="Calibri" w:hAnsi="Calibri" w:cs="Calibri"/>
          <w:sz w:val="21"/>
          <w:szCs w:val="21"/>
        </w:rPr>
        <w:t>i</w:t>
      </w:r>
      <w:proofErr w:type="spellEnd"/>
      <w:r w:rsidRPr="008B2B15">
        <w:rPr>
          <w:rFonts w:ascii="Calibri" w:hAnsi="Calibri" w:cs="Calibri"/>
          <w:sz w:val="21"/>
          <w:szCs w:val="21"/>
        </w:rPr>
        <w:t xml:space="preserve">) surveys or interviews (e.g. Bolton &amp; </w:t>
      </w:r>
      <w:proofErr w:type="spellStart"/>
      <w:r w:rsidRPr="008B2B15">
        <w:rPr>
          <w:rFonts w:ascii="Calibri" w:hAnsi="Calibri" w:cs="Calibri"/>
          <w:sz w:val="21"/>
          <w:szCs w:val="21"/>
        </w:rPr>
        <w:t>Foxon</w:t>
      </w:r>
      <w:proofErr w:type="spellEnd"/>
      <w:r w:rsidRPr="008B2B15">
        <w:rPr>
          <w:rFonts w:ascii="Calibri" w:hAnsi="Calibri" w:cs="Calibri"/>
          <w:sz w:val="21"/>
          <w:szCs w:val="21"/>
        </w:rPr>
        <w:t>, 2015;</w:t>
      </w:r>
      <w:r w:rsidR="00CC1CCB" w:rsidRPr="008B2B15">
        <w:rPr>
          <w:rStyle w:val="FootnoteReference"/>
          <w:rFonts w:ascii="Calibri" w:hAnsi="Calibri" w:cs="Calibri"/>
          <w:sz w:val="21"/>
          <w:szCs w:val="21"/>
        </w:rPr>
        <w:footnoteReference w:id="1"/>
      </w:r>
      <w:r w:rsidRPr="008B2B15">
        <w:rPr>
          <w:rFonts w:ascii="Calibri" w:hAnsi="Calibri" w:cs="Calibri"/>
          <w:sz w:val="21"/>
          <w:szCs w:val="21"/>
        </w:rPr>
        <w:t xml:space="preserve"> Bolton et al., 2016; Geddes at al., 2018; </w:t>
      </w:r>
      <w:proofErr w:type="spellStart"/>
      <w:r w:rsidRPr="008B2B15">
        <w:rPr>
          <w:rFonts w:ascii="Calibri" w:hAnsi="Calibri" w:cs="Calibri"/>
          <w:sz w:val="21"/>
          <w:szCs w:val="21"/>
        </w:rPr>
        <w:t>Holbrun</w:t>
      </w:r>
      <w:proofErr w:type="spellEnd"/>
      <w:r w:rsidRPr="008B2B15">
        <w:rPr>
          <w:rFonts w:ascii="Calibri" w:hAnsi="Calibri" w:cs="Calibri"/>
          <w:sz w:val="21"/>
          <w:szCs w:val="21"/>
        </w:rPr>
        <w:t xml:space="preserve"> et al., </w:t>
      </w:r>
      <w:r w:rsidRPr="008B2B15">
        <w:rPr>
          <w:rFonts w:ascii="Calibri" w:hAnsi="Calibri" w:cs="Calibri"/>
          <w:sz w:val="21"/>
          <w:szCs w:val="21"/>
        </w:rPr>
        <w:lastRenderedPageBreak/>
        <w:t xml:space="preserve">2010 Groot et al., 2013) and (ii) case studies (e.g. Byrnes et al., 2013). </w:t>
      </w:r>
      <w:r w:rsidR="004C6CC7" w:rsidRPr="008B2B15">
        <w:rPr>
          <w:rFonts w:ascii="Calibri" w:hAnsi="Calibri" w:cs="Calibri"/>
          <w:sz w:val="21"/>
          <w:szCs w:val="21"/>
        </w:rPr>
        <w:t>In a</w:t>
      </w:r>
      <w:r w:rsidR="00F85135" w:rsidRPr="008B2B15">
        <w:rPr>
          <w:rFonts w:ascii="Calibri" w:hAnsi="Calibri" w:cs="Calibri"/>
          <w:sz w:val="21"/>
          <w:szCs w:val="21"/>
        </w:rPr>
        <w:t>ddition</w:t>
      </w:r>
      <w:r w:rsidRPr="008B2B15">
        <w:rPr>
          <w:rFonts w:ascii="Calibri" w:hAnsi="Calibri" w:cs="Calibri"/>
          <w:sz w:val="21"/>
          <w:szCs w:val="21"/>
        </w:rPr>
        <w:t xml:space="preserve">, </w:t>
      </w:r>
      <w:proofErr w:type="spellStart"/>
      <w:r w:rsidRPr="008B2B15">
        <w:rPr>
          <w:rFonts w:ascii="Calibri" w:hAnsi="Calibri" w:cs="Calibri"/>
          <w:sz w:val="21"/>
          <w:szCs w:val="21"/>
        </w:rPr>
        <w:t>Chassot</w:t>
      </w:r>
      <w:proofErr w:type="spellEnd"/>
      <w:r w:rsidRPr="008B2B15">
        <w:rPr>
          <w:rFonts w:ascii="Calibri" w:hAnsi="Calibri" w:cs="Calibri"/>
          <w:sz w:val="21"/>
          <w:szCs w:val="21"/>
        </w:rPr>
        <w:t xml:space="preserve"> et al. (2014) undertake choice experiments with investors, Jones (2015) applies the Delphi method based on a couple of roundtables with investors and </w:t>
      </w:r>
      <w:proofErr w:type="spellStart"/>
      <w:r w:rsidRPr="008B2B15">
        <w:rPr>
          <w:rFonts w:ascii="Calibri" w:hAnsi="Calibri" w:cs="Calibri"/>
          <w:sz w:val="21"/>
          <w:szCs w:val="21"/>
        </w:rPr>
        <w:t>Masini</w:t>
      </w:r>
      <w:proofErr w:type="spellEnd"/>
      <w:r w:rsidRPr="008B2B15">
        <w:rPr>
          <w:rFonts w:ascii="Calibri" w:hAnsi="Calibri" w:cs="Calibri"/>
          <w:sz w:val="21"/>
          <w:szCs w:val="21"/>
        </w:rPr>
        <w:t xml:space="preserve"> &amp; </w:t>
      </w:r>
      <w:proofErr w:type="spellStart"/>
      <w:r w:rsidRPr="008B2B15">
        <w:rPr>
          <w:rFonts w:ascii="Calibri" w:hAnsi="Calibri" w:cs="Calibri"/>
          <w:sz w:val="21"/>
          <w:szCs w:val="21"/>
        </w:rPr>
        <w:t>Menichetti</w:t>
      </w:r>
      <w:proofErr w:type="spellEnd"/>
      <w:r w:rsidRPr="008B2B15">
        <w:rPr>
          <w:rFonts w:ascii="Calibri" w:hAnsi="Calibri" w:cs="Calibri"/>
          <w:sz w:val="21"/>
          <w:szCs w:val="21"/>
        </w:rPr>
        <w:t xml:space="preserve"> (2012) construct an econometric model based on 93 questionnaires filled in by investors. However, our study combines a review of the academic literature with additional insights </w:t>
      </w:r>
      <w:r w:rsidR="00094674" w:rsidRPr="008B2B15">
        <w:rPr>
          <w:rFonts w:ascii="Calibri" w:hAnsi="Calibri" w:cs="Calibri"/>
          <w:sz w:val="21"/>
          <w:szCs w:val="21"/>
        </w:rPr>
        <w:t xml:space="preserve">from </w:t>
      </w:r>
      <w:r w:rsidRPr="008B2B15">
        <w:rPr>
          <w:rFonts w:ascii="Calibri" w:hAnsi="Calibri" w:cs="Calibri"/>
          <w:sz w:val="21"/>
          <w:szCs w:val="21"/>
        </w:rPr>
        <w:t xml:space="preserve">policy reports and interviews with </w:t>
      </w:r>
      <w:r w:rsidR="0040142A" w:rsidRPr="008B2B15">
        <w:rPr>
          <w:rFonts w:ascii="Calibri" w:hAnsi="Calibri" w:cs="Calibri"/>
          <w:sz w:val="21"/>
          <w:szCs w:val="21"/>
        </w:rPr>
        <w:t xml:space="preserve">financial investors, their </w:t>
      </w:r>
      <w:r w:rsidR="00D85E8C" w:rsidRPr="008B2B15">
        <w:rPr>
          <w:rFonts w:ascii="Calibri" w:hAnsi="Calibri" w:cs="Calibri"/>
          <w:sz w:val="21"/>
          <w:szCs w:val="21"/>
        </w:rPr>
        <w:t>advisers</w:t>
      </w:r>
      <w:r w:rsidR="0040142A" w:rsidRPr="008B2B15">
        <w:rPr>
          <w:rFonts w:ascii="Calibri" w:hAnsi="Calibri" w:cs="Calibri"/>
          <w:sz w:val="21"/>
          <w:szCs w:val="21"/>
        </w:rPr>
        <w:t xml:space="preserve"> or experts</w:t>
      </w:r>
      <w:r w:rsidR="00D85E8C" w:rsidRPr="008B2B15">
        <w:rPr>
          <w:rFonts w:ascii="Calibri" w:hAnsi="Calibri" w:cs="Calibri"/>
          <w:sz w:val="21"/>
          <w:szCs w:val="21"/>
        </w:rPr>
        <w:t xml:space="preserve">. </w:t>
      </w:r>
      <w:r w:rsidR="008231B7">
        <w:rPr>
          <w:rFonts w:ascii="Calibri" w:hAnsi="Calibri" w:cs="Calibri"/>
          <w:sz w:val="21"/>
          <w:szCs w:val="21"/>
        </w:rPr>
        <w:t>Following</w:t>
      </w:r>
      <w:r w:rsidR="00D85E8C" w:rsidRPr="004C0273">
        <w:rPr>
          <w:rFonts w:ascii="Calibri" w:hAnsi="Calibri" w:cs="Calibri"/>
          <w:sz w:val="21"/>
          <w:szCs w:val="21"/>
        </w:rPr>
        <w:t xml:space="preserve"> our results </w:t>
      </w:r>
      <w:r w:rsidR="00094674" w:rsidRPr="004C0273">
        <w:rPr>
          <w:rFonts w:ascii="Calibri" w:hAnsi="Calibri" w:cs="Calibri"/>
          <w:sz w:val="21"/>
          <w:szCs w:val="21"/>
        </w:rPr>
        <w:t xml:space="preserve">on green investment </w:t>
      </w:r>
      <w:proofErr w:type="gramStart"/>
      <w:r w:rsidR="00094674" w:rsidRPr="004C0273">
        <w:rPr>
          <w:rFonts w:ascii="Calibri" w:hAnsi="Calibri" w:cs="Calibri"/>
          <w:sz w:val="21"/>
          <w:szCs w:val="21"/>
        </w:rPr>
        <w:t>barriers</w:t>
      </w:r>
      <w:proofErr w:type="gramEnd"/>
      <w:r w:rsidR="00094674" w:rsidRPr="004C0273">
        <w:rPr>
          <w:rFonts w:ascii="Calibri" w:hAnsi="Calibri" w:cs="Calibri"/>
          <w:sz w:val="21"/>
          <w:szCs w:val="21"/>
        </w:rPr>
        <w:t xml:space="preserve"> </w:t>
      </w:r>
      <w:r w:rsidR="00D85E8C" w:rsidRPr="004C0273">
        <w:rPr>
          <w:rFonts w:ascii="Calibri" w:hAnsi="Calibri" w:cs="Calibri"/>
          <w:sz w:val="21"/>
          <w:szCs w:val="21"/>
        </w:rPr>
        <w:t xml:space="preserve">we </w:t>
      </w:r>
      <w:r w:rsidRPr="004C0273">
        <w:rPr>
          <w:rFonts w:ascii="Calibri" w:hAnsi="Calibri" w:cs="Calibri"/>
          <w:sz w:val="21"/>
          <w:szCs w:val="21"/>
        </w:rPr>
        <w:t xml:space="preserve">suggest </w:t>
      </w:r>
      <w:r w:rsidR="00896CC5" w:rsidRPr="004C0273">
        <w:rPr>
          <w:rFonts w:ascii="Calibri" w:hAnsi="Calibri" w:cs="Calibri"/>
          <w:sz w:val="21"/>
          <w:szCs w:val="21"/>
        </w:rPr>
        <w:t>a systems/complexity perspective</w:t>
      </w:r>
      <w:r w:rsidR="000D12F5" w:rsidRPr="004C0273">
        <w:rPr>
          <w:rFonts w:ascii="Calibri" w:hAnsi="Calibri" w:cs="Calibri"/>
          <w:sz w:val="21"/>
          <w:szCs w:val="21"/>
        </w:rPr>
        <w:t xml:space="preserve"> as </w:t>
      </w:r>
      <w:r w:rsidR="00E24370">
        <w:rPr>
          <w:rFonts w:ascii="Calibri" w:hAnsi="Calibri" w:cs="Calibri"/>
          <w:sz w:val="21"/>
          <w:szCs w:val="21"/>
        </w:rPr>
        <w:t xml:space="preserve">a novel </w:t>
      </w:r>
      <w:r w:rsidR="000D12F5" w:rsidRPr="004C0273">
        <w:rPr>
          <w:rFonts w:ascii="Calibri" w:hAnsi="Calibri" w:cs="Calibri"/>
          <w:sz w:val="21"/>
          <w:szCs w:val="21"/>
        </w:rPr>
        <w:t>theoretical framework</w:t>
      </w:r>
      <w:r w:rsidR="00896CC5" w:rsidRPr="004C0273">
        <w:rPr>
          <w:rFonts w:ascii="Calibri" w:hAnsi="Calibri" w:cs="Calibri"/>
          <w:sz w:val="21"/>
          <w:szCs w:val="21"/>
        </w:rPr>
        <w:t xml:space="preserve"> </w:t>
      </w:r>
      <w:r w:rsidR="000D12F5" w:rsidRPr="004C0273">
        <w:rPr>
          <w:rFonts w:ascii="Calibri" w:hAnsi="Calibri" w:cs="Calibri"/>
          <w:sz w:val="21"/>
          <w:szCs w:val="21"/>
        </w:rPr>
        <w:t>for the investigation of</w:t>
      </w:r>
      <w:r w:rsidR="00896CC5" w:rsidRPr="004C0273">
        <w:rPr>
          <w:rFonts w:ascii="Calibri" w:hAnsi="Calibri" w:cs="Calibri"/>
          <w:sz w:val="21"/>
          <w:szCs w:val="21"/>
        </w:rPr>
        <w:t xml:space="preserve"> the </w:t>
      </w:r>
      <w:r w:rsidR="00B03132" w:rsidRPr="004C0273">
        <w:rPr>
          <w:rFonts w:ascii="Calibri" w:hAnsi="Calibri" w:cs="Calibri"/>
          <w:sz w:val="21"/>
          <w:szCs w:val="21"/>
        </w:rPr>
        <w:t>green finance gap</w:t>
      </w:r>
      <w:r w:rsidR="00896CC5" w:rsidRPr="004C0273">
        <w:rPr>
          <w:rFonts w:ascii="Calibri" w:hAnsi="Calibri" w:cs="Calibri"/>
          <w:sz w:val="21"/>
          <w:szCs w:val="21"/>
        </w:rPr>
        <w:t xml:space="preserve"> and </w:t>
      </w:r>
      <w:r w:rsidR="00E24370">
        <w:rPr>
          <w:rFonts w:ascii="Calibri" w:hAnsi="Calibri" w:cs="Calibri"/>
          <w:sz w:val="21"/>
          <w:szCs w:val="21"/>
        </w:rPr>
        <w:t xml:space="preserve">the elaboration of systematic </w:t>
      </w:r>
      <w:r w:rsidR="00896CC5" w:rsidRPr="004C0273">
        <w:rPr>
          <w:rFonts w:ascii="Calibri" w:hAnsi="Calibri" w:cs="Calibri"/>
          <w:sz w:val="21"/>
          <w:szCs w:val="21"/>
        </w:rPr>
        <w:t xml:space="preserve">long-term solutions to </w:t>
      </w:r>
      <w:r w:rsidR="00B03132" w:rsidRPr="004C0273">
        <w:rPr>
          <w:rFonts w:ascii="Calibri" w:hAnsi="Calibri" w:cs="Calibri"/>
          <w:sz w:val="21"/>
          <w:szCs w:val="21"/>
        </w:rPr>
        <w:t>close</w:t>
      </w:r>
      <w:r w:rsidR="00896CC5" w:rsidRPr="004C0273">
        <w:rPr>
          <w:rFonts w:ascii="Calibri" w:hAnsi="Calibri" w:cs="Calibri"/>
          <w:sz w:val="21"/>
          <w:szCs w:val="21"/>
        </w:rPr>
        <w:t xml:space="preserve"> it. </w:t>
      </w:r>
      <w:r w:rsidR="00E24370">
        <w:rPr>
          <w:rFonts w:ascii="Calibri" w:hAnsi="Calibri" w:cs="Calibri"/>
          <w:sz w:val="21"/>
          <w:szCs w:val="21"/>
        </w:rPr>
        <w:t>We argue that t</w:t>
      </w:r>
      <w:r w:rsidR="004C0273">
        <w:rPr>
          <w:rFonts w:ascii="Calibri" w:hAnsi="Calibri" w:cs="Calibri"/>
          <w:sz w:val="21"/>
          <w:szCs w:val="21"/>
        </w:rPr>
        <w:t xml:space="preserve">he </w:t>
      </w:r>
      <w:r w:rsidR="000D12F5" w:rsidRPr="004C0273">
        <w:rPr>
          <w:rFonts w:ascii="Calibri" w:hAnsi="Calibri" w:cs="Calibri"/>
          <w:sz w:val="21"/>
          <w:szCs w:val="21"/>
        </w:rPr>
        <w:t xml:space="preserve">analysis of the green finance gap through the lenses of systems thinking </w:t>
      </w:r>
      <w:r w:rsidR="004C0273">
        <w:rPr>
          <w:rFonts w:ascii="Calibri" w:hAnsi="Calibri" w:cs="Calibri"/>
          <w:sz w:val="21"/>
          <w:szCs w:val="21"/>
        </w:rPr>
        <w:t>supports</w:t>
      </w:r>
      <w:r w:rsidR="000D12F5" w:rsidRPr="004C0273">
        <w:rPr>
          <w:rFonts w:ascii="Calibri" w:hAnsi="Calibri" w:cs="Calibri"/>
          <w:sz w:val="21"/>
          <w:szCs w:val="21"/>
        </w:rPr>
        <w:t xml:space="preserve"> the elaboration of effective policies that avoid adverse side effects whilst exploiting potential co-benefits</w:t>
      </w:r>
      <w:r w:rsidR="004C0273">
        <w:rPr>
          <w:rFonts w:ascii="Calibri" w:hAnsi="Calibri" w:cs="Calibri"/>
          <w:sz w:val="21"/>
          <w:szCs w:val="21"/>
        </w:rPr>
        <w:t xml:space="preserve"> (</w:t>
      </w:r>
      <w:r w:rsidR="00E24370">
        <w:rPr>
          <w:rFonts w:ascii="Calibri" w:hAnsi="Calibri" w:cs="Calibri"/>
          <w:sz w:val="21"/>
          <w:szCs w:val="21"/>
        </w:rPr>
        <w:t xml:space="preserve">e.g. </w:t>
      </w:r>
      <w:proofErr w:type="spellStart"/>
      <w:r w:rsidR="004C0273">
        <w:rPr>
          <w:rFonts w:ascii="Calibri" w:hAnsi="Calibri" w:cs="Calibri"/>
          <w:sz w:val="21"/>
          <w:szCs w:val="21"/>
        </w:rPr>
        <w:t>Sterman</w:t>
      </w:r>
      <w:proofErr w:type="spellEnd"/>
      <w:r w:rsidR="004C0273">
        <w:rPr>
          <w:rFonts w:ascii="Calibri" w:hAnsi="Calibri" w:cs="Calibri"/>
          <w:sz w:val="21"/>
          <w:szCs w:val="21"/>
        </w:rPr>
        <w:t>, 2000)</w:t>
      </w:r>
      <w:r w:rsidR="000D12F5" w:rsidRPr="004C0273">
        <w:rPr>
          <w:rFonts w:ascii="Calibri" w:hAnsi="Calibri" w:cs="Calibri"/>
          <w:sz w:val="21"/>
          <w:szCs w:val="21"/>
        </w:rPr>
        <w:t xml:space="preserve">. In addition, </w:t>
      </w:r>
      <w:r w:rsidR="004C0273" w:rsidRPr="004C0273">
        <w:rPr>
          <w:rFonts w:ascii="Calibri" w:hAnsi="Calibri" w:cs="Calibri"/>
          <w:sz w:val="21"/>
          <w:szCs w:val="21"/>
        </w:rPr>
        <w:t>from a theoretical perspective</w:t>
      </w:r>
      <w:r w:rsidR="000D12F5" w:rsidRPr="004C0273">
        <w:rPr>
          <w:rFonts w:ascii="Calibri" w:hAnsi="Calibri" w:cs="Calibri"/>
          <w:sz w:val="21"/>
          <w:szCs w:val="21"/>
        </w:rPr>
        <w:t xml:space="preserve">, the application of a complexity framework opens up the discussion </w:t>
      </w:r>
      <w:r w:rsidR="00E24370">
        <w:rPr>
          <w:rFonts w:ascii="Calibri" w:hAnsi="Calibri" w:cs="Calibri"/>
          <w:sz w:val="21"/>
          <w:szCs w:val="21"/>
        </w:rPr>
        <w:t>about</w:t>
      </w:r>
      <w:r w:rsidR="000D12F5" w:rsidRPr="004C0273">
        <w:rPr>
          <w:rFonts w:ascii="Calibri" w:hAnsi="Calibri" w:cs="Calibri"/>
          <w:sz w:val="21"/>
          <w:szCs w:val="21"/>
        </w:rPr>
        <w:t xml:space="preserve"> a broader spectrum of policy instruments, such as market-shaping policies (e.g. </w:t>
      </w:r>
      <w:proofErr w:type="spellStart"/>
      <w:r w:rsidR="000D12F5" w:rsidRPr="004C0273">
        <w:rPr>
          <w:rFonts w:ascii="Calibri" w:hAnsi="Calibri"/>
          <w:iCs/>
          <w:sz w:val="21"/>
          <w:szCs w:val="21"/>
        </w:rPr>
        <w:t>Mazzucato</w:t>
      </w:r>
      <w:proofErr w:type="spellEnd"/>
      <w:r w:rsidR="000D12F5" w:rsidRPr="004C0273">
        <w:rPr>
          <w:rFonts w:ascii="Calibri" w:hAnsi="Calibri"/>
          <w:iCs/>
          <w:sz w:val="21"/>
          <w:szCs w:val="21"/>
        </w:rPr>
        <w:t xml:space="preserve">, 2016; </w:t>
      </w:r>
      <w:proofErr w:type="spellStart"/>
      <w:r w:rsidR="000D12F5" w:rsidRPr="004C0273">
        <w:rPr>
          <w:rFonts w:ascii="Calibri" w:hAnsi="Calibri"/>
          <w:iCs/>
          <w:sz w:val="21"/>
          <w:szCs w:val="21"/>
        </w:rPr>
        <w:t>Mazzucato</w:t>
      </w:r>
      <w:proofErr w:type="spellEnd"/>
      <w:r w:rsidR="000D12F5" w:rsidRPr="004C0273">
        <w:rPr>
          <w:rFonts w:ascii="Calibri" w:hAnsi="Calibri"/>
          <w:iCs/>
          <w:sz w:val="21"/>
          <w:szCs w:val="21"/>
        </w:rPr>
        <w:t xml:space="preserve"> &amp; </w:t>
      </w:r>
      <w:proofErr w:type="spellStart"/>
      <w:r w:rsidR="000D12F5" w:rsidRPr="004C0273">
        <w:rPr>
          <w:rFonts w:ascii="Calibri" w:hAnsi="Calibri"/>
          <w:iCs/>
          <w:sz w:val="21"/>
          <w:szCs w:val="21"/>
        </w:rPr>
        <w:t>Penna</w:t>
      </w:r>
      <w:proofErr w:type="spellEnd"/>
      <w:r w:rsidR="000D12F5" w:rsidRPr="004C0273">
        <w:rPr>
          <w:rFonts w:ascii="Calibri" w:hAnsi="Calibri"/>
          <w:iCs/>
          <w:sz w:val="21"/>
          <w:szCs w:val="21"/>
        </w:rPr>
        <w:t xml:space="preserve">, 2016; Bolton &amp; </w:t>
      </w:r>
      <w:proofErr w:type="spellStart"/>
      <w:r w:rsidR="000D12F5" w:rsidRPr="004C0273">
        <w:rPr>
          <w:rFonts w:ascii="Calibri" w:hAnsi="Calibri"/>
          <w:iCs/>
          <w:sz w:val="21"/>
          <w:szCs w:val="21"/>
        </w:rPr>
        <w:t>Foxon</w:t>
      </w:r>
      <w:proofErr w:type="spellEnd"/>
      <w:r w:rsidR="000D12F5" w:rsidRPr="004C0273">
        <w:rPr>
          <w:rFonts w:ascii="Calibri" w:hAnsi="Calibri"/>
          <w:iCs/>
          <w:sz w:val="21"/>
          <w:szCs w:val="21"/>
        </w:rPr>
        <w:t>, 2015).</w:t>
      </w:r>
      <w:r w:rsidR="000D12F5" w:rsidRPr="004C0273">
        <w:rPr>
          <w:rFonts w:ascii="Calibri" w:hAnsi="Calibri" w:cs="Calibri"/>
          <w:sz w:val="21"/>
          <w:szCs w:val="21"/>
        </w:rPr>
        <w:t xml:space="preserve"> </w:t>
      </w:r>
      <w:r w:rsidR="00896CC5" w:rsidRPr="004C0273">
        <w:rPr>
          <w:rFonts w:ascii="Calibri" w:hAnsi="Calibri" w:cs="Calibri"/>
          <w:sz w:val="21"/>
          <w:szCs w:val="21"/>
        </w:rPr>
        <w:t xml:space="preserve">Finally, we </w:t>
      </w:r>
      <w:r w:rsidR="00B03132" w:rsidRPr="004C0273">
        <w:rPr>
          <w:rFonts w:ascii="Calibri" w:hAnsi="Calibri" w:cs="Calibri"/>
          <w:sz w:val="21"/>
          <w:szCs w:val="21"/>
        </w:rPr>
        <w:t>give an overview on</w:t>
      </w:r>
      <w:r w:rsidR="00896CC5" w:rsidRPr="004C0273">
        <w:rPr>
          <w:rFonts w:ascii="Calibri" w:hAnsi="Calibri" w:cs="Calibri"/>
          <w:sz w:val="21"/>
          <w:szCs w:val="21"/>
        </w:rPr>
        <w:t xml:space="preserve"> </w:t>
      </w:r>
      <w:r w:rsidRPr="004C0273">
        <w:rPr>
          <w:rFonts w:ascii="Calibri" w:hAnsi="Calibri" w:cs="Calibri"/>
          <w:sz w:val="21"/>
          <w:szCs w:val="21"/>
        </w:rPr>
        <w:t>possible solution</w:t>
      </w:r>
      <w:r w:rsidR="00D85E8C" w:rsidRPr="004C0273">
        <w:rPr>
          <w:rFonts w:ascii="Calibri" w:hAnsi="Calibri" w:cs="Calibri"/>
          <w:sz w:val="21"/>
          <w:szCs w:val="21"/>
        </w:rPr>
        <w:t>s</w:t>
      </w:r>
      <w:r w:rsidR="00094674" w:rsidRPr="004C0273">
        <w:rPr>
          <w:rFonts w:ascii="Calibri" w:hAnsi="Calibri" w:cs="Calibri"/>
          <w:sz w:val="21"/>
          <w:szCs w:val="21"/>
        </w:rPr>
        <w:t xml:space="preserve"> to tackle </w:t>
      </w:r>
      <w:r w:rsidR="00896CC5" w:rsidRPr="004C0273">
        <w:rPr>
          <w:rFonts w:ascii="Calibri" w:hAnsi="Calibri" w:cs="Calibri"/>
          <w:sz w:val="21"/>
          <w:szCs w:val="21"/>
        </w:rPr>
        <w:t xml:space="preserve">identified </w:t>
      </w:r>
      <w:r w:rsidR="00B03132" w:rsidRPr="004C0273">
        <w:rPr>
          <w:rFonts w:ascii="Calibri" w:hAnsi="Calibri" w:cs="Calibri"/>
          <w:sz w:val="21"/>
          <w:szCs w:val="21"/>
        </w:rPr>
        <w:t xml:space="preserve">green investment </w:t>
      </w:r>
      <w:r w:rsidR="00896CC5" w:rsidRPr="004C0273">
        <w:rPr>
          <w:rFonts w:ascii="Calibri" w:hAnsi="Calibri" w:cs="Calibri"/>
          <w:sz w:val="21"/>
          <w:szCs w:val="21"/>
        </w:rPr>
        <w:t>barriers</w:t>
      </w:r>
      <w:r w:rsidR="006F4F61" w:rsidRPr="004C0273">
        <w:rPr>
          <w:rFonts w:ascii="Calibri" w:hAnsi="Calibri" w:cs="Calibri"/>
          <w:sz w:val="21"/>
          <w:szCs w:val="21"/>
        </w:rPr>
        <w:t xml:space="preserve"> </w:t>
      </w:r>
      <w:r w:rsidR="00D85E8C" w:rsidRPr="004C0273">
        <w:rPr>
          <w:rFonts w:ascii="Calibri" w:hAnsi="Calibri" w:cs="Calibri"/>
          <w:sz w:val="21"/>
          <w:szCs w:val="21"/>
        </w:rPr>
        <w:t xml:space="preserve">and </w:t>
      </w:r>
      <w:r w:rsidR="00896CC5" w:rsidRPr="004C0273">
        <w:rPr>
          <w:rFonts w:ascii="Calibri" w:hAnsi="Calibri" w:cs="Calibri"/>
          <w:sz w:val="21"/>
          <w:szCs w:val="21"/>
        </w:rPr>
        <w:t xml:space="preserve">propose </w:t>
      </w:r>
      <w:r w:rsidR="00E24370">
        <w:rPr>
          <w:rFonts w:ascii="Calibri" w:hAnsi="Calibri" w:cs="Calibri"/>
          <w:sz w:val="21"/>
          <w:szCs w:val="21"/>
        </w:rPr>
        <w:t xml:space="preserve">the expansion of green bonds as </w:t>
      </w:r>
      <w:r w:rsidR="00896CC5" w:rsidRPr="004C0273">
        <w:rPr>
          <w:rFonts w:ascii="Calibri" w:hAnsi="Calibri" w:cs="Calibri"/>
          <w:sz w:val="21"/>
          <w:szCs w:val="21"/>
        </w:rPr>
        <w:t>a short-term solution</w:t>
      </w:r>
      <w:r w:rsidR="00B03132" w:rsidRPr="004C0273">
        <w:rPr>
          <w:rFonts w:ascii="Calibri" w:hAnsi="Calibri" w:cs="Calibri"/>
          <w:sz w:val="21"/>
          <w:szCs w:val="21"/>
        </w:rPr>
        <w:t xml:space="preserve"> </w:t>
      </w:r>
      <w:r w:rsidR="009445E0">
        <w:rPr>
          <w:rFonts w:ascii="Calibri" w:hAnsi="Calibri" w:cs="Calibri"/>
          <w:sz w:val="21"/>
          <w:szCs w:val="21"/>
        </w:rPr>
        <w:t>given the urgency of a rapid green energy transition</w:t>
      </w:r>
      <w:r w:rsidRPr="004C0273">
        <w:rPr>
          <w:rFonts w:ascii="Calibri" w:hAnsi="Calibri" w:cs="Calibri"/>
          <w:sz w:val="21"/>
          <w:szCs w:val="21"/>
        </w:rPr>
        <w:t>, thus complementing current literature.</w:t>
      </w:r>
      <w:r w:rsidRPr="008B2B15">
        <w:rPr>
          <w:rFonts w:ascii="Calibri" w:hAnsi="Calibri" w:cs="Calibri"/>
          <w:sz w:val="21"/>
          <w:szCs w:val="21"/>
        </w:rPr>
        <w:t xml:space="preserve"> </w:t>
      </w:r>
    </w:p>
    <w:p w14:paraId="088CF1C5" w14:textId="77777777" w:rsidR="004C0273" w:rsidRPr="00B03132" w:rsidRDefault="004C0273" w:rsidP="0035699F">
      <w:pPr>
        <w:spacing w:after="0" w:line="276" w:lineRule="auto"/>
        <w:rPr>
          <w:rFonts w:ascii="Calibri" w:hAnsi="Calibri" w:cs="Calibri"/>
          <w:sz w:val="21"/>
          <w:szCs w:val="21"/>
          <w:highlight w:val="yellow"/>
        </w:rPr>
      </w:pPr>
    </w:p>
    <w:p w14:paraId="506204E0" w14:textId="2717D4F9" w:rsidR="00B03132" w:rsidRPr="008B2B15" w:rsidRDefault="00004209" w:rsidP="00E80951">
      <w:pPr>
        <w:spacing w:line="276" w:lineRule="auto"/>
        <w:rPr>
          <w:rFonts w:ascii="Calibri" w:hAnsi="Calibri" w:cs="Calibri"/>
          <w:sz w:val="21"/>
          <w:szCs w:val="21"/>
        </w:rPr>
      </w:pPr>
      <w:r w:rsidRPr="008B2B15">
        <w:rPr>
          <w:rFonts w:ascii="Calibri" w:hAnsi="Calibri" w:cs="Calibri"/>
          <w:sz w:val="21"/>
          <w:szCs w:val="21"/>
        </w:rPr>
        <w:t>The remainder of this article is organised as follows. Section 2 presents our method</w:t>
      </w:r>
      <w:r w:rsidR="0029526A" w:rsidRPr="008B2B15">
        <w:rPr>
          <w:rFonts w:ascii="Calibri" w:hAnsi="Calibri" w:cs="Calibri"/>
          <w:sz w:val="21"/>
          <w:szCs w:val="21"/>
        </w:rPr>
        <w:t>ology</w:t>
      </w:r>
      <w:r w:rsidRPr="008B2B15">
        <w:rPr>
          <w:rFonts w:ascii="Calibri" w:hAnsi="Calibri" w:cs="Calibri"/>
          <w:sz w:val="21"/>
          <w:szCs w:val="21"/>
        </w:rPr>
        <w:t xml:space="preserve">. Section 3 describes our results. The presentation of our main findings </w:t>
      </w:r>
      <w:proofErr w:type="gramStart"/>
      <w:r w:rsidRPr="008B2B15">
        <w:rPr>
          <w:rFonts w:ascii="Calibri" w:hAnsi="Calibri" w:cs="Calibri"/>
          <w:sz w:val="21"/>
          <w:szCs w:val="21"/>
        </w:rPr>
        <w:t>is followed</w:t>
      </w:r>
      <w:proofErr w:type="gramEnd"/>
      <w:r w:rsidRPr="008B2B15">
        <w:rPr>
          <w:rFonts w:ascii="Calibri" w:hAnsi="Calibri" w:cs="Calibri"/>
          <w:sz w:val="21"/>
          <w:szCs w:val="21"/>
        </w:rPr>
        <w:t xml:space="preserve"> in section 4 by a discussion of our </w:t>
      </w:r>
      <w:r w:rsidR="00DE059B">
        <w:rPr>
          <w:rFonts w:ascii="Calibri" w:hAnsi="Calibri" w:cs="Calibri"/>
          <w:sz w:val="21"/>
          <w:szCs w:val="21"/>
        </w:rPr>
        <w:t>results</w:t>
      </w:r>
      <w:r w:rsidR="0016562A">
        <w:rPr>
          <w:rFonts w:ascii="Calibri" w:hAnsi="Calibri" w:cs="Calibri"/>
          <w:sz w:val="21"/>
          <w:szCs w:val="21"/>
        </w:rPr>
        <w:t xml:space="preserve"> </w:t>
      </w:r>
      <w:r w:rsidR="00DE059B">
        <w:rPr>
          <w:rFonts w:ascii="Calibri" w:hAnsi="Calibri" w:cs="Calibri"/>
          <w:sz w:val="21"/>
          <w:szCs w:val="21"/>
        </w:rPr>
        <w:t>introducing</w:t>
      </w:r>
      <w:r w:rsidR="0016562A">
        <w:rPr>
          <w:rFonts w:ascii="Calibri" w:hAnsi="Calibri" w:cs="Calibri"/>
          <w:sz w:val="21"/>
          <w:szCs w:val="21"/>
        </w:rPr>
        <w:t xml:space="preserve"> a systems perspective as </w:t>
      </w:r>
      <w:r w:rsidR="00DB04F6">
        <w:rPr>
          <w:rFonts w:ascii="Calibri" w:hAnsi="Calibri" w:cs="Calibri"/>
          <w:sz w:val="21"/>
          <w:szCs w:val="21"/>
        </w:rPr>
        <w:t xml:space="preserve">a </w:t>
      </w:r>
      <w:r w:rsidR="0016562A">
        <w:rPr>
          <w:rFonts w:ascii="Calibri" w:hAnsi="Calibri" w:cs="Calibri"/>
          <w:sz w:val="21"/>
          <w:szCs w:val="21"/>
        </w:rPr>
        <w:t>theoretical framework</w:t>
      </w:r>
      <w:r w:rsidR="00DE059B">
        <w:rPr>
          <w:rFonts w:ascii="Calibri" w:hAnsi="Calibri" w:cs="Calibri"/>
          <w:sz w:val="21"/>
          <w:szCs w:val="21"/>
        </w:rPr>
        <w:t xml:space="preserve"> to conceptualise the key investment barriers</w:t>
      </w:r>
      <w:r w:rsidRPr="008B2B15">
        <w:rPr>
          <w:rFonts w:ascii="Calibri" w:hAnsi="Calibri" w:cs="Calibri"/>
          <w:sz w:val="21"/>
          <w:szCs w:val="21"/>
        </w:rPr>
        <w:t xml:space="preserve">. Section 5 </w:t>
      </w:r>
      <w:r w:rsidR="000D12F5">
        <w:rPr>
          <w:rFonts w:ascii="Calibri" w:hAnsi="Calibri" w:cs="Calibri"/>
          <w:sz w:val="21"/>
          <w:szCs w:val="21"/>
        </w:rPr>
        <w:t>introduces</w:t>
      </w:r>
      <w:r w:rsidR="0016562A">
        <w:rPr>
          <w:rFonts w:ascii="Calibri" w:hAnsi="Calibri" w:cs="Calibri"/>
          <w:sz w:val="21"/>
          <w:szCs w:val="21"/>
        </w:rPr>
        <w:t xml:space="preserve"> a set of solutions to upscale </w:t>
      </w:r>
      <w:r w:rsidR="000D12F5">
        <w:rPr>
          <w:rFonts w:ascii="Calibri" w:hAnsi="Calibri" w:cs="Calibri"/>
          <w:sz w:val="21"/>
          <w:szCs w:val="21"/>
        </w:rPr>
        <w:t xml:space="preserve">green </w:t>
      </w:r>
      <w:r w:rsidR="0016562A">
        <w:rPr>
          <w:rFonts w:ascii="Calibri" w:hAnsi="Calibri" w:cs="Calibri"/>
          <w:sz w:val="21"/>
          <w:szCs w:val="21"/>
        </w:rPr>
        <w:t>investments into energy infrastructure</w:t>
      </w:r>
      <w:r w:rsidR="00B62A88" w:rsidRPr="008B2B15">
        <w:rPr>
          <w:rFonts w:ascii="Calibri" w:hAnsi="Calibri" w:cs="Calibri"/>
          <w:sz w:val="21"/>
          <w:szCs w:val="21"/>
        </w:rPr>
        <w:t>,</w:t>
      </w:r>
      <w:r w:rsidR="00C20A33" w:rsidRPr="008B2B15">
        <w:rPr>
          <w:rFonts w:ascii="Calibri" w:hAnsi="Calibri" w:cs="Calibri"/>
          <w:sz w:val="21"/>
          <w:szCs w:val="21"/>
        </w:rPr>
        <w:t xml:space="preserve"> and section 6 </w:t>
      </w:r>
      <w:r w:rsidRPr="008B2B15">
        <w:rPr>
          <w:rFonts w:ascii="Calibri" w:hAnsi="Calibri" w:cs="Calibri"/>
          <w:sz w:val="21"/>
          <w:szCs w:val="21"/>
        </w:rPr>
        <w:t>concludes and states fu</w:t>
      </w:r>
      <w:r w:rsidR="001E6AAA" w:rsidRPr="008B2B15">
        <w:rPr>
          <w:rFonts w:ascii="Calibri" w:hAnsi="Calibri" w:cs="Calibri"/>
          <w:sz w:val="21"/>
          <w:szCs w:val="21"/>
        </w:rPr>
        <w:t>ture research</w:t>
      </w:r>
      <w:r w:rsidR="0016562A">
        <w:rPr>
          <w:rFonts w:ascii="Calibri" w:hAnsi="Calibri" w:cs="Calibri"/>
          <w:sz w:val="21"/>
          <w:szCs w:val="21"/>
        </w:rPr>
        <w:t xml:space="preserve"> </w:t>
      </w:r>
      <w:r w:rsidR="001E6AAA" w:rsidRPr="008B2B15">
        <w:rPr>
          <w:rFonts w:ascii="Calibri" w:hAnsi="Calibri" w:cs="Calibri"/>
          <w:sz w:val="21"/>
          <w:szCs w:val="21"/>
        </w:rPr>
        <w:t xml:space="preserve">recommendations. </w:t>
      </w:r>
    </w:p>
    <w:p w14:paraId="50E1CDD9" w14:textId="55929197" w:rsidR="001E6AAA" w:rsidRPr="008B2B15" w:rsidRDefault="00BE7E13" w:rsidP="0043498E">
      <w:pPr>
        <w:pStyle w:val="Heading2"/>
        <w:numPr>
          <w:ilvl w:val="0"/>
          <w:numId w:val="4"/>
        </w:numPr>
        <w:spacing w:after="240" w:line="276" w:lineRule="auto"/>
        <w:rPr>
          <w:sz w:val="21"/>
          <w:szCs w:val="21"/>
        </w:rPr>
      </w:pPr>
      <w:r w:rsidRPr="008B2B15">
        <w:rPr>
          <w:sz w:val="21"/>
          <w:szCs w:val="21"/>
        </w:rPr>
        <w:t xml:space="preserve">Methodology </w:t>
      </w:r>
    </w:p>
    <w:p w14:paraId="0812B88D" w14:textId="2D5AA8D5" w:rsidR="00F61BAD" w:rsidRPr="008B2B15" w:rsidRDefault="00F85135" w:rsidP="00E80951">
      <w:pPr>
        <w:spacing w:line="276" w:lineRule="auto"/>
        <w:rPr>
          <w:rFonts w:ascii="Calibri" w:hAnsi="Calibri" w:cs="Calibri"/>
          <w:sz w:val="21"/>
          <w:szCs w:val="21"/>
        </w:rPr>
      </w:pPr>
      <w:r w:rsidRPr="008B2B15">
        <w:rPr>
          <w:rFonts w:ascii="Calibri" w:hAnsi="Calibri" w:cs="Calibri"/>
          <w:sz w:val="21"/>
          <w:szCs w:val="21"/>
        </w:rPr>
        <w:t>There were</w:t>
      </w:r>
      <w:r w:rsidR="00151ADC" w:rsidRPr="008B2B15">
        <w:rPr>
          <w:rFonts w:ascii="Calibri" w:hAnsi="Calibri" w:cs="Calibri"/>
          <w:sz w:val="21"/>
          <w:szCs w:val="21"/>
        </w:rPr>
        <w:t xml:space="preserve"> three </w:t>
      </w:r>
      <w:r w:rsidRPr="008B2B15">
        <w:rPr>
          <w:rFonts w:ascii="Calibri" w:hAnsi="Calibri" w:cs="Calibri"/>
          <w:sz w:val="21"/>
          <w:szCs w:val="21"/>
        </w:rPr>
        <w:t xml:space="preserve">different </w:t>
      </w:r>
      <w:r w:rsidR="00151ADC" w:rsidRPr="008B2B15">
        <w:rPr>
          <w:rFonts w:ascii="Calibri" w:hAnsi="Calibri" w:cs="Calibri"/>
          <w:sz w:val="21"/>
          <w:szCs w:val="21"/>
        </w:rPr>
        <w:t xml:space="preserve">methods used in this study. </w:t>
      </w:r>
    </w:p>
    <w:p w14:paraId="15FF172A" w14:textId="59BE271D" w:rsidR="004A158B" w:rsidRPr="008B2B15" w:rsidRDefault="00E200D0" w:rsidP="00E80951">
      <w:pPr>
        <w:pStyle w:val="Heading3"/>
        <w:numPr>
          <w:ilvl w:val="1"/>
          <w:numId w:val="3"/>
        </w:numPr>
        <w:spacing w:after="240" w:line="276" w:lineRule="auto"/>
        <w:rPr>
          <w:rFonts w:ascii="Calibri" w:hAnsi="Calibri" w:cs="Calibri"/>
          <w:sz w:val="21"/>
          <w:szCs w:val="21"/>
        </w:rPr>
      </w:pPr>
      <w:r w:rsidRPr="008B2B15">
        <w:rPr>
          <w:rFonts w:ascii="Calibri" w:hAnsi="Calibri" w:cs="Calibri"/>
          <w:sz w:val="21"/>
          <w:szCs w:val="21"/>
        </w:rPr>
        <w:t>P</w:t>
      </w:r>
      <w:r w:rsidR="003F454B" w:rsidRPr="008B2B15">
        <w:rPr>
          <w:rFonts w:ascii="Calibri" w:hAnsi="Calibri" w:cs="Calibri"/>
          <w:sz w:val="21"/>
          <w:szCs w:val="21"/>
        </w:rPr>
        <w:t>olicy reports</w:t>
      </w:r>
    </w:p>
    <w:p w14:paraId="35B55230" w14:textId="5F601DFA" w:rsidR="00F312F6" w:rsidRPr="008B2B15" w:rsidRDefault="006D539D" w:rsidP="00E80951">
      <w:pPr>
        <w:spacing w:after="0" w:line="276" w:lineRule="auto"/>
        <w:rPr>
          <w:rFonts w:ascii="Calibri" w:hAnsi="Calibri" w:cs="Calibri"/>
          <w:sz w:val="21"/>
          <w:szCs w:val="21"/>
        </w:rPr>
      </w:pPr>
      <w:r w:rsidRPr="008B2B15">
        <w:rPr>
          <w:rFonts w:ascii="Calibri" w:hAnsi="Calibri" w:cs="Calibri"/>
          <w:sz w:val="21"/>
          <w:szCs w:val="21"/>
        </w:rPr>
        <w:t xml:space="preserve">We use the results of Hafner et al. </w:t>
      </w:r>
      <w:r w:rsidR="001C6412" w:rsidRPr="008B2B15">
        <w:rPr>
          <w:rFonts w:ascii="Calibri" w:hAnsi="Calibri" w:cs="Calibri"/>
          <w:sz w:val="21"/>
          <w:szCs w:val="21"/>
        </w:rPr>
        <w:t xml:space="preserve">(2019) with regard to the green investment </w:t>
      </w:r>
      <w:r w:rsidRPr="008B2B15">
        <w:rPr>
          <w:rFonts w:ascii="Calibri" w:hAnsi="Calibri" w:cs="Calibri"/>
          <w:sz w:val="21"/>
          <w:szCs w:val="21"/>
        </w:rPr>
        <w:t xml:space="preserve">barriers </w:t>
      </w:r>
      <w:r w:rsidR="001C6412" w:rsidRPr="008B2B15">
        <w:rPr>
          <w:rFonts w:ascii="Calibri" w:hAnsi="Calibri" w:cs="Calibri"/>
          <w:sz w:val="21"/>
          <w:szCs w:val="21"/>
        </w:rPr>
        <w:t>reported in policy reports</w:t>
      </w:r>
      <w:r w:rsidRPr="008B2B15">
        <w:rPr>
          <w:rFonts w:ascii="Calibri" w:hAnsi="Calibri" w:cs="Calibri"/>
          <w:sz w:val="21"/>
          <w:szCs w:val="21"/>
        </w:rPr>
        <w:t xml:space="preserve">. This study </w:t>
      </w:r>
      <w:r w:rsidR="002D65A3" w:rsidRPr="008B2B15">
        <w:rPr>
          <w:rFonts w:ascii="Calibri" w:hAnsi="Calibri" w:cs="Calibri"/>
          <w:sz w:val="21"/>
          <w:szCs w:val="21"/>
        </w:rPr>
        <w:t>investigate</w:t>
      </w:r>
      <w:r w:rsidR="00C70ABD">
        <w:rPr>
          <w:rFonts w:ascii="Calibri" w:hAnsi="Calibri" w:cs="Calibri"/>
          <w:sz w:val="21"/>
          <w:szCs w:val="21"/>
        </w:rPr>
        <w:t>d</w:t>
      </w:r>
      <w:r w:rsidR="00665657" w:rsidRPr="008B2B15">
        <w:rPr>
          <w:rFonts w:ascii="Calibri" w:hAnsi="Calibri" w:cs="Calibri"/>
          <w:sz w:val="21"/>
          <w:szCs w:val="21"/>
        </w:rPr>
        <w:t xml:space="preserve"> </w:t>
      </w:r>
      <w:r w:rsidR="003F454B" w:rsidRPr="008B2B15">
        <w:rPr>
          <w:rFonts w:ascii="Calibri" w:hAnsi="Calibri" w:cs="Calibri"/>
          <w:sz w:val="21"/>
          <w:szCs w:val="21"/>
        </w:rPr>
        <w:t xml:space="preserve">policy </w:t>
      </w:r>
      <w:proofErr w:type="gramStart"/>
      <w:r w:rsidR="003F454B" w:rsidRPr="008B2B15">
        <w:rPr>
          <w:rFonts w:ascii="Calibri" w:hAnsi="Calibri" w:cs="Calibri"/>
          <w:sz w:val="21"/>
          <w:szCs w:val="21"/>
        </w:rPr>
        <w:t>reports</w:t>
      </w:r>
      <w:r w:rsidR="00426A53" w:rsidRPr="008B2B15">
        <w:rPr>
          <w:rFonts w:ascii="Calibri" w:hAnsi="Calibri" w:cs="Calibri"/>
          <w:sz w:val="21"/>
          <w:szCs w:val="21"/>
        </w:rPr>
        <w:t xml:space="preserve"> w</w:t>
      </w:r>
      <w:r w:rsidR="00C602BA" w:rsidRPr="008B2B15">
        <w:rPr>
          <w:rFonts w:ascii="Calibri" w:hAnsi="Calibri" w:cs="Calibri"/>
          <w:sz w:val="21"/>
          <w:szCs w:val="21"/>
        </w:rPr>
        <w:t>hich</w:t>
      </w:r>
      <w:proofErr w:type="gramEnd"/>
      <w:r w:rsidR="00426A53" w:rsidRPr="008B2B15">
        <w:rPr>
          <w:rFonts w:ascii="Calibri" w:hAnsi="Calibri" w:cs="Calibri"/>
          <w:sz w:val="21"/>
          <w:szCs w:val="21"/>
        </w:rPr>
        <w:t xml:space="preserve"> focus</w:t>
      </w:r>
      <w:r w:rsidR="00C70ABD">
        <w:rPr>
          <w:rFonts w:ascii="Calibri" w:hAnsi="Calibri" w:cs="Calibri"/>
          <w:sz w:val="21"/>
          <w:szCs w:val="21"/>
        </w:rPr>
        <w:t>sed</w:t>
      </w:r>
      <w:r w:rsidR="00426A53" w:rsidRPr="008B2B15">
        <w:rPr>
          <w:rFonts w:ascii="Calibri" w:hAnsi="Calibri" w:cs="Calibri"/>
          <w:sz w:val="21"/>
          <w:szCs w:val="21"/>
        </w:rPr>
        <w:t xml:space="preserve"> </w:t>
      </w:r>
      <w:r w:rsidR="00C70ABD">
        <w:rPr>
          <w:rFonts w:ascii="Calibri" w:hAnsi="Calibri" w:cs="Calibri"/>
          <w:sz w:val="21"/>
          <w:szCs w:val="21"/>
        </w:rPr>
        <w:t xml:space="preserve">on </w:t>
      </w:r>
      <w:r w:rsidR="00426A53" w:rsidRPr="008B2B15">
        <w:rPr>
          <w:rFonts w:ascii="Calibri" w:hAnsi="Calibri" w:cs="Calibri"/>
          <w:sz w:val="21"/>
          <w:szCs w:val="21"/>
        </w:rPr>
        <w:t>inform</w:t>
      </w:r>
      <w:r w:rsidR="00C602BA" w:rsidRPr="008B2B15">
        <w:rPr>
          <w:rFonts w:ascii="Calibri" w:hAnsi="Calibri" w:cs="Calibri"/>
          <w:sz w:val="21"/>
          <w:szCs w:val="21"/>
        </w:rPr>
        <w:t>ing</w:t>
      </w:r>
      <w:r w:rsidR="00426A53" w:rsidRPr="008B2B15">
        <w:rPr>
          <w:rFonts w:ascii="Calibri" w:hAnsi="Calibri" w:cs="Calibri"/>
          <w:sz w:val="21"/>
          <w:szCs w:val="21"/>
        </w:rPr>
        <w:t xml:space="preserve"> policymakers </w:t>
      </w:r>
      <w:r w:rsidR="00C602BA" w:rsidRPr="008B2B15">
        <w:rPr>
          <w:rFonts w:ascii="Calibri" w:hAnsi="Calibri" w:cs="Calibri"/>
          <w:sz w:val="21"/>
          <w:szCs w:val="21"/>
        </w:rPr>
        <w:t xml:space="preserve">about </w:t>
      </w:r>
      <w:r w:rsidR="00426A53" w:rsidRPr="008B2B15">
        <w:rPr>
          <w:rFonts w:ascii="Calibri" w:hAnsi="Calibri" w:cs="Calibri"/>
          <w:sz w:val="21"/>
          <w:szCs w:val="21"/>
        </w:rPr>
        <w:t>barriers towards more green investments into energy infrastructure.</w:t>
      </w:r>
      <w:r w:rsidR="00F312F6" w:rsidRPr="008B2B15">
        <w:rPr>
          <w:rFonts w:ascii="Calibri" w:hAnsi="Calibri" w:cs="Calibri"/>
          <w:sz w:val="21"/>
          <w:szCs w:val="21"/>
        </w:rPr>
        <w:t xml:space="preserve"> </w:t>
      </w:r>
      <w:r w:rsidR="00665657" w:rsidRPr="008B2B15">
        <w:rPr>
          <w:rFonts w:ascii="Calibri" w:hAnsi="Calibri" w:cs="Calibri"/>
          <w:sz w:val="21"/>
          <w:szCs w:val="21"/>
        </w:rPr>
        <w:t xml:space="preserve">The policy reports </w:t>
      </w:r>
      <w:r w:rsidR="00C70ABD">
        <w:rPr>
          <w:rFonts w:ascii="Calibri" w:hAnsi="Calibri" w:cs="Calibri"/>
          <w:sz w:val="21"/>
          <w:szCs w:val="21"/>
        </w:rPr>
        <w:t>were</w:t>
      </w:r>
      <w:r w:rsidR="00665657" w:rsidRPr="008B2B15">
        <w:rPr>
          <w:rFonts w:ascii="Calibri" w:hAnsi="Calibri" w:cs="Calibri"/>
          <w:sz w:val="21"/>
          <w:szCs w:val="21"/>
        </w:rPr>
        <w:t xml:space="preserve"> found by</w:t>
      </w:r>
      <w:r w:rsidR="00F312F6" w:rsidRPr="008B2B15">
        <w:rPr>
          <w:rFonts w:ascii="Calibri" w:hAnsi="Calibri" w:cs="Calibri"/>
          <w:sz w:val="21"/>
          <w:szCs w:val="21"/>
        </w:rPr>
        <w:t xml:space="preserve"> </w:t>
      </w:r>
      <w:r w:rsidR="00665657" w:rsidRPr="008B2B15">
        <w:rPr>
          <w:rFonts w:ascii="Calibri" w:hAnsi="Calibri" w:cs="Calibri"/>
          <w:sz w:val="21"/>
          <w:szCs w:val="21"/>
        </w:rPr>
        <w:t>an internet</w:t>
      </w:r>
      <w:r w:rsidR="00733097" w:rsidRPr="008B2B15">
        <w:rPr>
          <w:rFonts w:ascii="Calibri" w:hAnsi="Calibri" w:cs="Calibri"/>
          <w:sz w:val="21"/>
          <w:szCs w:val="21"/>
        </w:rPr>
        <w:t xml:space="preserve"> </w:t>
      </w:r>
      <w:r w:rsidR="00F312F6" w:rsidRPr="008B2B15">
        <w:rPr>
          <w:rFonts w:ascii="Calibri" w:hAnsi="Calibri" w:cs="Calibri"/>
          <w:sz w:val="21"/>
          <w:szCs w:val="21"/>
        </w:rPr>
        <w:t xml:space="preserve">search </w:t>
      </w:r>
      <w:r w:rsidR="00665657" w:rsidRPr="008B2B15">
        <w:rPr>
          <w:rFonts w:ascii="Calibri" w:hAnsi="Calibri" w:cs="Calibri"/>
          <w:sz w:val="21"/>
          <w:szCs w:val="21"/>
        </w:rPr>
        <w:t xml:space="preserve">and </w:t>
      </w:r>
      <w:r w:rsidR="00F312F6" w:rsidRPr="008B2B15">
        <w:rPr>
          <w:rFonts w:ascii="Calibri" w:hAnsi="Calibri" w:cs="Calibri"/>
          <w:sz w:val="21"/>
          <w:szCs w:val="21"/>
        </w:rPr>
        <w:t xml:space="preserve">by the use of the following </w:t>
      </w:r>
      <w:r w:rsidR="004B3B68" w:rsidRPr="008B2B15">
        <w:rPr>
          <w:rFonts w:ascii="Calibri" w:hAnsi="Calibri" w:cs="Calibri"/>
          <w:sz w:val="21"/>
          <w:szCs w:val="21"/>
        </w:rPr>
        <w:t>set of keywords</w:t>
      </w:r>
      <w:r w:rsidR="00665657" w:rsidRPr="008B2B15">
        <w:rPr>
          <w:rFonts w:ascii="Calibri" w:hAnsi="Calibri" w:cs="Calibri"/>
          <w:sz w:val="21"/>
          <w:szCs w:val="21"/>
        </w:rPr>
        <w:t xml:space="preserve"> (see Hafner et al., 2019)</w:t>
      </w:r>
      <w:r w:rsidR="00F312F6" w:rsidRPr="008B2B15">
        <w:rPr>
          <w:rFonts w:ascii="Calibri" w:hAnsi="Calibri" w:cs="Calibri"/>
          <w:sz w:val="21"/>
          <w:szCs w:val="21"/>
        </w:rPr>
        <w:t xml:space="preserve">: </w:t>
      </w:r>
    </w:p>
    <w:p w14:paraId="189F2DF5" w14:textId="77777777" w:rsidR="00426A53" w:rsidRPr="008B2B15" w:rsidRDefault="00426A53" w:rsidP="0035699F">
      <w:pPr>
        <w:spacing w:after="0" w:line="276" w:lineRule="auto"/>
        <w:rPr>
          <w:rFonts w:ascii="Calibri" w:hAnsi="Calibri" w:cs="Calibri"/>
          <w:sz w:val="21"/>
          <w:szCs w:val="21"/>
        </w:rPr>
      </w:pPr>
    </w:p>
    <w:p w14:paraId="7CCB38A4" w14:textId="52CE5710" w:rsidR="00F312F6" w:rsidRPr="008B2B15" w:rsidRDefault="00D51818" w:rsidP="0035699F">
      <w:pPr>
        <w:spacing w:after="0" w:line="276" w:lineRule="auto"/>
        <w:ind w:left="720"/>
        <w:rPr>
          <w:rFonts w:ascii="Calibri" w:hAnsi="Calibri" w:cs="Calibri"/>
          <w:sz w:val="21"/>
          <w:szCs w:val="21"/>
        </w:rPr>
      </w:pPr>
      <w:r w:rsidRPr="008B2B15">
        <w:rPr>
          <w:rFonts w:ascii="Calibri" w:hAnsi="Calibri" w:cs="Calibri"/>
          <w:i/>
          <w:sz w:val="21"/>
          <w:szCs w:val="21"/>
        </w:rPr>
        <w:t>(I</w:t>
      </w:r>
      <w:r w:rsidR="00CD0145" w:rsidRPr="008B2B15">
        <w:rPr>
          <w:rFonts w:ascii="Calibri" w:hAnsi="Calibri" w:cs="Calibri"/>
          <w:i/>
          <w:sz w:val="21"/>
          <w:szCs w:val="21"/>
        </w:rPr>
        <w:t>nvestment OR invest OR f</w:t>
      </w:r>
      <w:r w:rsidR="00F312F6" w:rsidRPr="008B2B15">
        <w:rPr>
          <w:rFonts w:ascii="Calibri" w:hAnsi="Calibri" w:cs="Calibri"/>
          <w:i/>
          <w:sz w:val="21"/>
          <w:szCs w:val="21"/>
        </w:rPr>
        <w:t>inance) AND energy AND (renewab</w:t>
      </w:r>
      <w:r w:rsidR="00CD0145" w:rsidRPr="008B2B15">
        <w:rPr>
          <w:rFonts w:ascii="Calibri" w:hAnsi="Calibri" w:cs="Calibri"/>
          <w:i/>
          <w:sz w:val="21"/>
          <w:szCs w:val="21"/>
        </w:rPr>
        <w:t>le OR green OR “low-carbon” OR climate</w:t>
      </w:r>
      <w:r w:rsidR="00F312F6" w:rsidRPr="008B2B15">
        <w:rPr>
          <w:rFonts w:ascii="Calibri" w:hAnsi="Calibri" w:cs="Calibri"/>
          <w:i/>
          <w:sz w:val="21"/>
          <w:szCs w:val="21"/>
        </w:rPr>
        <w:t>)</w:t>
      </w:r>
    </w:p>
    <w:p w14:paraId="0644688F" w14:textId="77777777" w:rsidR="00F312F6" w:rsidRPr="008B2B15" w:rsidRDefault="00F312F6" w:rsidP="0035699F">
      <w:pPr>
        <w:spacing w:after="0" w:line="276" w:lineRule="auto"/>
        <w:rPr>
          <w:rFonts w:ascii="Calibri" w:hAnsi="Calibri" w:cs="Calibri"/>
          <w:sz w:val="21"/>
          <w:szCs w:val="21"/>
        </w:rPr>
      </w:pPr>
    </w:p>
    <w:p w14:paraId="76286C03" w14:textId="4AF09F4B" w:rsidR="004A158B" w:rsidRPr="008B2B15" w:rsidRDefault="00F312F6" w:rsidP="0035699F">
      <w:pPr>
        <w:spacing w:after="0" w:line="276" w:lineRule="auto"/>
        <w:rPr>
          <w:rFonts w:ascii="Calibri" w:hAnsi="Calibri" w:cs="Calibri"/>
          <w:sz w:val="21"/>
          <w:szCs w:val="21"/>
        </w:rPr>
      </w:pPr>
      <w:r w:rsidRPr="008B2B15">
        <w:rPr>
          <w:rFonts w:ascii="Calibri" w:hAnsi="Calibri" w:cs="Calibri"/>
          <w:sz w:val="21"/>
          <w:szCs w:val="21"/>
        </w:rPr>
        <w:t>Moreover, t</w:t>
      </w:r>
      <w:r w:rsidR="004A158B" w:rsidRPr="008B2B15">
        <w:rPr>
          <w:rFonts w:ascii="Calibri" w:hAnsi="Calibri" w:cs="Calibri"/>
          <w:sz w:val="21"/>
          <w:szCs w:val="21"/>
        </w:rPr>
        <w:t xml:space="preserve">he </w:t>
      </w:r>
      <w:r w:rsidR="00665657" w:rsidRPr="008B2B15">
        <w:rPr>
          <w:rFonts w:ascii="Calibri" w:hAnsi="Calibri" w:cs="Calibri"/>
          <w:sz w:val="21"/>
          <w:szCs w:val="21"/>
        </w:rPr>
        <w:t xml:space="preserve">following </w:t>
      </w:r>
      <w:r w:rsidR="004A158B" w:rsidRPr="008B2B15">
        <w:rPr>
          <w:rFonts w:ascii="Calibri" w:hAnsi="Calibri" w:cs="Calibri"/>
          <w:sz w:val="21"/>
          <w:szCs w:val="21"/>
        </w:rPr>
        <w:t xml:space="preserve">criteria for inclusion of </w:t>
      </w:r>
      <w:r w:rsidR="003F454B" w:rsidRPr="008B2B15">
        <w:rPr>
          <w:rFonts w:ascii="Calibri" w:hAnsi="Calibri" w:cs="Calibri"/>
          <w:sz w:val="21"/>
          <w:szCs w:val="21"/>
        </w:rPr>
        <w:t>policy</w:t>
      </w:r>
      <w:r w:rsidR="004A158B" w:rsidRPr="008B2B15">
        <w:rPr>
          <w:rFonts w:ascii="Calibri" w:hAnsi="Calibri" w:cs="Calibri"/>
          <w:sz w:val="21"/>
          <w:szCs w:val="21"/>
        </w:rPr>
        <w:t xml:space="preserve"> </w:t>
      </w:r>
      <w:r w:rsidR="001C6412" w:rsidRPr="008B2B15">
        <w:rPr>
          <w:rFonts w:ascii="Calibri" w:hAnsi="Calibri" w:cs="Calibri"/>
          <w:sz w:val="21"/>
          <w:szCs w:val="21"/>
        </w:rPr>
        <w:t xml:space="preserve">reports </w:t>
      </w:r>
      <w:r w:rsidR="00665657" w:rsidRPr="008B2B15">
        <w:rPr>
          <w:rFonts w:ascii="Calibri" w:hAnsi="Calibri" w:cs="Calibri"/>
          <w:sz w:val="21"/>
          <w:szCs w:val="21"/>
        </w:rPr>
        <w:t>have been applied (Hafner et al., 2019)</w:t>
      </w:r>
      <w:r w:rsidR="004A158B" w:rsidRPr="008B2B15">
        <w:rPr>
          <w:rFonts w:ascii="Calibri" w:hAnsi="Calibri" w:cs="Calibri"/>
          <w:sz w:val="21"/>
          <w:szCs w:val="21"/>
        </w:rPr>
        <w:t xml:space="preserve">: </w:t>
      </w:r>
    </w:p>
    <w:p w14:paraId="07C4B36B" w14:textId="77777777" w:rsidR="004A158B" w:rsidRPr="008B2B15" w:rsidRDefault="004A158B" w:rsidP="0035699F">
      <w:pPr>
        <w:spacing w:after="0" w:line="276" w:lineRule="auto"/>
        <w:ind w:firstLine="360"/>
        <w:rPr>
          <w:rFonts w:ascii="Calibri" w:hAnsi="Calibri" w:cs="Calibri"/>
          <w:sz w:val="21"/>
          <w:szCs w:val="21"/>
        </w:rPr>
      </w:pPr>
    </w:p>
    <w:p w14:paraId="2023BAF5" w14:textId="77777777" w:rsidR="004A158B" w:rsidRPr="008B2B15" w:rsidRDefault="004A158B" w:rsidP="0043498E">
      <w:pPr>
        <w:pStyle w:val="ListParagraph"/>
        <w:widowControl w:val="0"/>
        <w:numPr>
          <w:ilvl w:val="0"/>
          <w:numId w:val="1"/>
        </w:numPr>
        <w:adjustRightInd w:val="0"/>
        <w:spacing w:after="0" w:line="276" w:lineRule="auto"/>
        <w:jc w:val="both"/>
        <w:textAlignment w:val="baseline"/>
        <w:rPr>
          <w:rFonts w:ascii="Calibri" w:hAnsi="Calibri" w:cs="Calibri"/>
          <w:sz w:val="21"/>
          <w:szCs w:val="21"/>
        </w:rPr>
      </w:pPr>
      <w:r w:rsidRPr="008B2B15">
        <w:rPr>
          <w:rFonts w:ascii="Calibri" w:hAnsi="Calibri" w:cs="Calibri"/>
          <w:sz w:val="21"/>
          <w:szCs w:val="21"/>
        </w:rPr>
        <w:t xml:space="preserve">Published since 2009 </w:t>
      </w:r>
    </w:p>
    <w:p w14:paraId="15C80D7E" w14:textId="77777777" w:rsidR="004A158B" w:rsidRPr="008B2B15" w:rsidRDefault="004A158B" w:rsidP="0043498E">
      <w:pPr>
        <w:pStyle w:val="ListParagraph"/>
        <w:widowControl w:val="0"/>
        <w:numPr>
          <w:ilvl w:val="0"/>
          <w:numId w:val="1"/>
        </w:numPr>
        <w:adjustRightInd w:val="0"/>
        <w:spacing w:after="0" w:line="276" w:lineRule="auto"/>
        <w:jc w:val="both"/>
        <w:textAlignment w:val="baseline"/>
        <w:rPr>
          <w:rFonts w:ascii="Calibri" w:hAnsi="Calibri" w:cs="Calibri"/>
          <w:sz w:val="21"/>
          <w:szCs w:val="21"/>
        </w:rPr>
      </w:pPr>
      <w:r w:rsidRPr="008B2B15">
        <w:rPr>
          <w:rFonts w:ascii="Calibri" w:hAnsi="Calibri" w:cs="Calibri"/>
          <w:sz w:val="21"/>
          <w:szCs w:val="21"/>
        </w:rPr>
        <w:t xml:space="preserve">Published by organisations in developed countries </w:t>
      </w:r>
    </w:p>
    <w:p w14:paraId="36BA4F00" w14:textId="77777777" w:rsidR="004A158B" w:rsidRPr="008B2B15" w:rsidRDefault="004A158B" w:rsidP="0043498E">
      <w:pPr>
        <w:pStyle w:val="ListParagraph"/>
        <w:widowControl w:val="0"/>
        <w:numPr>
          <w:ilvl w:val="0"/>
          <w:numId w:val="1"/>
        </w:numPr>
        <w:adjustRightInd w:val="0"/>
        <w:spacing w:after="0" w:line="276" w:lineRule="auto"/>
        <w:jc w:val="both"/>
        <w:textAlignment w:val="baseline"/>
        <w:rPr>
          <w:rFonts w:ascii="Calibri" w:hAnsi="Calibri" w:cs="Calibri"/>
          <w:sz w:val="21"/>
          <w:szCs w:val="21"/>
        </w:rPr>
      </w:pPr>
      <w:r w:rsidRPr="008B2B15">
        <w:rPr>
          <w:rFonts w:ascii="Calibri" w:hAnsi="Calibri" w:cs="Calibri"/>
          <w:sz w:val="21"/>
          <w:szCs w:val="21"/>
        </w:rPr>
        <w:t>Include specific reference to barriers in large-scale clean energy infrastructure investment</w:t>
      </w:r>
    </w:p>
    <w:p w14:paraId="24757DA1" w14:textId="14FDABB8" w:rsidR="004A158B" w:rsidRPr="008B2B15" w:rsidRDefault="004A158B" w:rsidP="0043498E">
      <w:pPr>
        <w:pStyle w:val="ListParagraph"/>
        <w:widowControl w:val="0"/>
        <w:numPr>
          <w:ilvl w:val="0"/>
          <w:numId w:val="1"/>
        </w:numPr>
        <w:adjustRightInd w:val="0"/>
        <w:spacing w:after="0" w:line="276" w:lineRule="auto"/>
        <w:jc w:val="both"/>
        <w:textAlignment w:val="baseline"/>
        <w:rPr>
          <w:rFonts w:ascii="Calibri" w:hAnsi="Calibri" w:cs="Calibri"/>
          <w:sz w:val="21"/>
          <w:szCs w:val="21"/>
        </w:rPr>
      </w:pPr>
      <w:r w:rsidRPr="008B2B15">
        <w:rPr>
          <w:rFonts w:ascii="Calibri" w:hAnsi="Calibri" w:cs="Calibri"/>
          <w:sz w:val="21"/>
          <w:szCs w:val="21"/>
        </w:rPr>
        <w:t xml:space="preserve">Published by multi-stakeholder groups, or an organisation, either public or private, that regularly consults multiple parties </w:t>
      </w:r>
      <w:r w:rsidR="004B3B68" w:rsidRPr="008B2B15">
        <w:rPr>
          <w:rFonts w:ascii="Calibri" w:hAnsi="Calibri" w:cs="Calibri"/>
          <w:sz w:val="21"/>
          <w:szCs w:val="21"/>
        </w:rPr>
        <w:t>across the investment community</w:t>
      </w:r>
      <w:r w:rsidRPr="008B2B15">
        <w:rPr>
          <w:rFonts w:ascii="Calibri" w:hAnsi="Calibri" w:cs="Calibri"/>
          <w:sz w:val="21"/>
          <w:szCs w:val="21"/>
        </w:rPr>
        <w:t xml:space="preserve"> </w:t>
      </w:r>
    </w:p>
    <w:p w14:paraId="4A616008" w14:textId="77777777" w:rsidR="004A158B" w:rsidRPr="008B2B15" w:rsidRDefault="004A158B" w:rsidP="0035699F">
      <w:pPr>
        <w:spacing w:after="0" w:line="276" w:lineRule="auto"/>
        <w:rPr>
          <w:rFonts w:ascii="Calibri" w:hAnsi="Calibri" w:cs="Calibri"/>
          <w:sz w:val="21"/>
          <w:szCs w:val="21"/>
        </w:rPr>
      </w:pPr>
    </w:p>
    <w:p w14:paraId="1F69155F" w14:textId="108239A8" w:rsidR="00F312F6" w:rsidRPr="008B2B15" w:rsidRDefault="00665657" w:rsidP="0035699F">
      <w:pPr>
        <w:spacing w:after="0" w:line="276" w:lineRule="auto"/>
        <w:rPr>
          <w:rFonts w:ascii="Calibri" w:hAnsi="Calibri" w:cs="Calibri"/>
          <w:sz w:val="21"/>
          <w:szCs w:val="21"/>
        </w:rPr>
      </w:pPr>
      <w:r w:rsidRPr="008B2B15">
        <w:rPr>
          <w:rFonts w:ascii="Calibri" w:hAnsi="Calibri" w:cs="Calibri"/>
          <w:sz w:val="21"/>
          <w:szCs w:val="21"/>
        </w:rPr>
        <w:lastRenderedPageBreak/>
        <w:t>Overall, the identified</w:t>
      </w:r>
      <w:r w:rsidR="00F312F6" w:rsidRPr="008B2B15">
        <w:rPr>
          <w:rFonts w:ascii="Calibri" w:hAnsi="Calibri" w:cs="Calibri"/>
          <w:sz w:val="21"/>
          <w:szCs w:val="21"/>
        </w:rPr>
        <w:t xml:space="preserve"> </w:t>
      </w:r>
      <w:r w:rsidR="00C97990" w:rsidRPr="008B2B15">
        <w:rPr>
          <w:rFonts w:ascii="Calibri" w:hAnsi="Calibri" w:cs="Calibri"/>
          <w:sz w:val="21"/>
          <w:szCs w:val="21"/>
        </w:rPr>
        <w:t xml:space="preserve">sample of </w:t>
      </w:r>
      <w:r w:rsidR="003F454B" w:rsidRPr="008B2B15">
        <w:rPr>
          <w:rFonts w:ascii="Calibri" w:hAnsi="Calibri" w:cs="Calibri"/>
          <w:sz w:val="21"/>
          <w:szCs w:val="21"/>
        </w:rPr>
        <w:t>policy</w:t>
      </w:r>
      <w:r w:rsidR="00C97990" w:rsidRPr="008B2B15">
        <w:rPr>
          <w:rFonts w:ascii="Calibri" w:hAnsi="Calibri" w:cs="Calibri"/>
          <w:sz w:val="21"/>
          <w:szCs w:val="21"/>
        </w:rPr>
        <w:t xml:space="preserve"> reports</w:t>
      </w:r>
      <w:r w:rsidR="00F312F6" w:rsidRPr="008B2B15">
        <w:rPr>
          <w:rFonts w:ascii="Calibri" w:hAnsi="Calibri" w:cs="Calibri"/>
          <w:sz w:val="21"/>
          <w:szCs w:val="21"/>
        </w:rPr>
        <w:t xml:space="preserve"> </w:t>
      </w:r>
      <w:r w:rsidR="007524EF" w:rsidRPr="008B2B15">
        <w:rPr>
          <w:rFonts w:ascii="Calibri" w:hAnsi="Calibri" w:cs="Calibri"/>
          <w:sz w:val="21"/>
          <w:szCs w:val="21"/>
        </w:rPr>
        <w:t xml:space="preserve">is </w:t>
      </w:r>
      <w:r w:rsidR="00F312F6" w:rsidRPr="008B2B15">
        <w:rPr>
          <w:rFonts w:ascii="Calibri" w:hAnsi="Calibri" w:cs="Calibri"/>
          <w:sz w:val="21"/>
          <w:szCs w:val="21"/>
        </w:rPr>
        <w:t>representative for this type of literature and capture</w:t>
      </w:r>
      <w:r w:rsidR="00C97990" w:rsidRPr="008B2B15">
        <w:rPr>
          <w:rFonts w:ascii="Calibri" w:hAnsi="Calibri" w:cs="Calibri"/>
          <w:sz w:val="21"/>
          <w:szCs w:val="21"/>
        </w:rPr>
        <w:t>s</w:t>
      </w:r>
      <w:r w:rsidR="00F312F6" w:rsidRPr="008B2B15">
        <w:rPr>
          <w:rFonts w:ascii="Calibri" w:hAnsi="Calibri" w:cs="Calibri"/>
          <w:sz w:val="21"/>
          <w:szCs w:val="21"/>
        </w:rPr>
        <w:t xml:space="preserve"> the </w:t>
      </w:r>
      <w:r w:rsidR="00CD0145" w:rsidRPr="008B2B15">
        <w:rPr>
          <w:rFonts w:ascii="Calibri" w:hAnsi="Calibri" w:cs="Calibri"/>
          <w:sz w:val="21"/>
          <w:szCs w:val="21"/>
        </w:rPr>
        <w:t xml:space="preserve">current </w:t>
      </w:r>
      <w:r w:rsidR="00F312F6" w:rsidRPr="008B2B15">
        <w:rPr>
          <w:rFonts w:ascii="Calibri" w:hAnsi="Calibri" w:cs="Calibri"/>
          <w:sz w:val="21"/>
          <w:szCs w:val="21"/>
        </w:rPr>
        <w:t>state of knowledge with regard to the barriers related to renewable energy infrastructure investments</w:t>
      </w:r>
      <w:r w:rsidRPr="008B2B15">
        <w:rPr>
          <w:rFonts w:ascii="Calibri" w:hAnsi="Calibri" w:cs="Calibri"/>
          <w:sz w:val="21"/>
          <w:szCs w:val="21"/>
        </w:rPr>
        <w:t xml:space="preserve"> (Hafner et al., 2019)</w:t>
      </w:r>
      <w:r w:rsidR="00F312F6" w:rsidRPr="008B2B15">
        <w:rPr>
          <w:rFonts w:ascii="Calibri" w:hAnsi="Calibri" w:cs="Calibri"/>
          <w:sz w:val="21"/>
          <w:szCs w:val="21"/>
        </w:rPr>
        <w:t xml:space="preserve">. </w:t>
      </w:r>
    </w:p>
    <w:p w14:paraId="5D1EC414" w14:textId="77777777" w:rsidR="00F312F6" w:rsidRPr="008B2B15" w:rsidRDefault="00F312F6" w:rsidP="0035699F">
      <w:pPr>
        <w:spacing w:after="0" w:line="276" w:lineRule="auto"/>
        <w:rPr>
          <w:rFonts w:ascii="Calibri" w:hAnsi="Calibri" w:cs="Calibri"/>
          <w:sz w:val="21"/>
          <w:szCs w:val="21"/>
        </w:rPr>
      </w:pPr>
    </w:p>
    <w:p w14:paraId="1CCC0352" w14:textId="3A601411" w:rsidR="004A158B" w:rsidRPr="008B2B15" w:rsidRDefault="00665657" w:rsidP="0035699F">
      <w:pPr>
        <w:spacing w:after="0" w:line="276" w:lineRule="auto"/>
        <w:rPr>
          <w:rFonts w:ascii="Calibri" w:hAnsi="Calibri" w:cs="Calibri"/>
          <w:sz w:val="21"/>
          <w:szCs w:val="21"/>
        </w:rPr>
      </w:pPr>
      <w:r w:rsidRPr="008B2B15">
        <w:rPr>
          <w:rFonts w:ascii="Calibri" w:hAnsi="Calibri" w:cs="Calibri"/>
          <w:sz w:val="21"/>
          <w:szCs w:val="21"/>
        </w:rPr>
        <w:t>In total, the study identified</w:t>
      </w:r>
      <w:r w:rsidR="004A158B" w:rsidRPr="008B2B15">
        <w:rPr>
          <w:rFonts w:ascii="Calibri" w:hAnsi="Calibri" w:cs="Calibri"/>
          <w:sz w:val="21"/>
          <w:szCs w:val="21"/>
        </w:rPr>
        <w:t xml:space="preserve"> 11 themes and 35 </w:t>
      </w:r>
      <w:r w:rsidR="00606B0C" w:rsidRPr="008B2B15">
        <w:rPr>
          <w:rFonts w:ascii="Calibri" w:hAnsi="Calibri" w:cs="Calibri"/>
          <w:sz w:val="21"/>
          <w:szCs w:val="21"/>
        </w:rPr>
        <w:t>code words (or phrases). Table 1</w:t>
      </w:r>
      <w:r w:rsidR="004A158B" w:rsidRPr="008B2B15">
        <w:rPr>
          <w:rFonts w:ascii="Calibri" w:hAnsi="Calibri" w:cs="Calibri"/>
          <w:sz w:val="21"/>
          <w:szCs w:val="21"/>
        </w:rPr>
        <w:t xml:space="preserve"> presents the themes and code words use</w:t>
      </w:r>
      <w:r w:rsidR="00C97990" w:rsidRPr="008B2B15">
        <w:rPr>
          <w:rFonts w:ascii="Calibri" w:hAnsi="Calibri" w:cs="Calibri"/>
          <w:sz w:val="21"/>
          <w:szCs w:val="21"/>
        </w:rPr>
        <w:t xml:space="preserve">d. In </w:t>
      </w:r>
      <w:r w:rsidR="00BB4ED0" w:rsidRPr="008B2B15">
        <w:rPr>
          <w:rFonts w:ascii="Calibri" w:hAnsi="Calibri" w:cs="Calibri"/>
          <w:sz w:val="21"/>
          <w:szCs w:val="21"/>
        </w:rPr>
        <w:t xml:space="preserve">addition, the </w:t>
      </w:r>
      <w:r w:rsidR="002D65A3" w:rsidRPr="008B2B15">
        <w:rPr>
          <w:rFonts w:ascii="Calibri" w:hAnsi="Calibri" w:cs="Calibri"/>
          <w:sz w:val="21"/>
          <w:szCs w:val="21"/>
        </w:rPr>
        <w:t>key</w:t>
      </w:r>
      <w:r w:rsidR="00BB4ED0" w:rsidRPr="008B2B15">
        <w:rPr>
          <w:rFonts w:ascii="Calibri" w:hAnsi="Calibri" w:cs="Calibri"/>
          <w:sz w:val="21"/>
          <w:szCs w:val="21"/>
        </w:rPr>
        <w:t xml:space="preserve"> word “</w:t>
      </w:r>
      <w:r w:rsidR="00C97990" w:rsidRPr="008B2B15">
        <w:rPr>
          <w:rFonts w:ascii="Calibri" w:hAnsi="Calibri" w:cs="Calibri"/>
          <w:sz w:val="21"/>
          <w:szCs w:val="21"/>
        </w:rPr>
        <w:t>b</w:t>
      </w:r>
      <w:r w:rsidR="00BB4ED0" w:rsidRPr="008B2B15">
        <w:rPr>
          <w:rFonts w:ascii="Calibri" w:hAnsi="Calibri" w:cs="Calibri"/>
          <w:sz w:val="21"/>
          <w:szCs w:val="21"/>
        </w:rPr>
        <w:t>arrier”</w:t>
      </w:r>
      <w:r w:rsidR="004A158B" w:rsidRPr="008B2B15">
        <w:rPr>
          <w:rFonts w:ascii="Calibri" w:hAnsi="Calibri" w:cs="Calibri"/>
          <w:sz w:val="21"/>
          <w:szCs w:val="21"/>
        </w:rPr>
        <w:t xml:space="preserve"> </w:t>
      </w:r>
      <w:proofErr w:type="gramStart"/>
      <w:r w:rsidR="004A158B" w:rsidRPr="008B2B15">
        <w:rPr>
          <w:rFonts w:ascii="Calibri" w:hAnsi="Calibri" w:cs="Calibri"/>
          <w:sz w:val="21"/>
          <w:szCs w:val="21"/>
        </w:rPr>
        <w:t>was used</w:t>
      </w:r>
      <w:proofErr w:type="gramEnd"/>
      <w:r w:rsidR="004A158B" w:rsidRPr="008B2B15">
        <w:rPr>
          <w:rFonts w:ascii="Calibri" w:hAnsi="Calibri" w:cs="Calibri"/>
          <w:sz w:val="21"/>
          <w:szCs w:val="21"/>
        </w:rPr>
        <w:t xml:space="preserve"> to </w:t>
      </w:r>
      <w:r w:rsidR="002D65A3" w:rsidRPr="008B2B15">
        <w:rPr>
          <w:rFonts w:ascii="Calibri" w:hAnsi="Calibri" w:cs="Calibri"/>
          <w:sz w:val="21"/>
          <w:szCs w:val="21"/>
        </w:rPr>
        <w:t>consider</w:t>
      </w:r>
      <w:r w:rsidR="006C33D6" w:rsidRPr="008B2B15">
        <w:rPr>
          <w:rFonts w:ascii="Calibri" w:hAnsi="Calibri" w:cs="Calibri"/>
          <w:sz w:val="21"/>
          <w:szCs w:val="21"/>
        </w:rPr>
        <w:t xml:space="preserve"> barriers outside the main barrier topics</w:t>
      </w:r>
      <w:r w:rsidR="005D5E9E" w:rsidRPr="008B2B15">
        <w:rPr>
          <w:rFonts w:ascii="Calibri" w:hAnsi="Calibri" w:cs="Calibri"/>
          <w:sz w:val="21"/>
          <w:szCs w:val="21"/>
        </w:rPr>
        <w:t xml:space="preserve"> (e.g. fiscal policy reforms)</w:t>
      </w:r>
      <w:r w:rsidR="004A158B" w:rsidRPr="008B2B15">
        <w:rPr>
          <w:rFonts w:ascii="Calibri" w:hAnsi="Calibri" w:cs="Calibri"/>
          <w:sz w:val="21"/>
          <w:szCs w:val="21"/>
        </w:rPr>
        <w:t xml:space="preserve">. </w:t>
      </w:r>
      <w:r w:rsidR="00C602BA" w:rsidRPr="008B2B15">
        <w:rPr>
          <w:rFonts w:ascii="Calibri" w:hAnsi="Calibri" w:cs="Calibri"/>
          <w:sz w:val="21"/>
          <w:szCs w:val="21"/>
        </w:rPr>
        <w:t>It is i</w:t>
      </w:r>
      <w:r w:rsidR="001C6412" w:rsidRPr="008B2B15">
        <w:rPr>
          <w:rFonts w:ascii="Calibri" w:hAnsi="Calibri" w:cs="Calibri"/>
          <w:sz w:val="21"/>
          <w:szCs w:val="21"/>
        </w:rPr>
        <w:t>mportant to note, t</w:t>
      </w:r>
      <w:r w:rsidR="00C97990" w:rsidRPr="008B2B15">
        <w:rPr>
          <w:rFonts w:ascii="Calibri" w:hAnsi="Calibri" w:cs="Calibri"/>
          <w:sz w:val="21"/>
          <w:szCs w:val="21"/>
        </w:rPr>
        <w:t xml:space="preserve">he results of this study </w:t>
      </w:r>
      <w:proofErr w:type="gramStart"/>
      <w:r w:rsidR="00C97990" w:rsidRPr="008B2B15">
        <w:rPr>
          <w:rFonts w:ascii="Calibri" w:hAnsi="Calibri" w:cs="Calibri"/>
          <w:sz w:val="21"/>
          <w:szCs w:val="21"/>
        </w:rPr>
        <w:t>might be biased</w:t>
      </w:r>
      <w:proofErr w:type="gramEnd"/>
      <w:r w:rsidR="00C97990" w:rsidRPr="008B2B15">
        <w:rPr>
          <w:rFonts w:ascii="Calibri" w:hAnsi="Calibri" w:cs="Calibri"/>
          <w:sz w:val="21"/>
          <w:szCs w:val="21"/>
        </w:rPr>
        <w:t xml:space="preserve"> based on </w:t>
      </w:r>
      <w:r w:rsidR="001C6412" w:rsidRPr="008B2B15">
        <w:rPr>
          <w:rFonts w:ascii="Calibri" w:hAnsi="Calibri" w:cs="Calibri"/>
          <w:sz w:val="21"/>
          <w:szCs w:val="21"/>
        </w:rPr>
        <w:t xml:space="preserve">the </w:t>
      </w:r>
      <w:r w:rsidR="00C97990" w:rsidRPr="008B2B15">
        <w:rPr>
          <w:rFonts w:ascii="Calibri" w:hAnsi="Calibri" w:cs="Calibri"/>
          <w:sz w:val="21"/>
          <w:szCs w:val="21"/>
        </w:rPr>
        <w:t xml:space="preserve">choice of barrier themes and the related </w:t>
      </w:r>
      <w:r w:rsidR="002D65A3" w:rsidRPr="008B2B15">
        <w:rPr>
          <w:rFonts w:ascii="Calibri" w:hAnsi="Calibri" w:cs="Calibri"/>
          <w:sz w:val="21"/>
          <w:szCs w:val="21"/>
        </w:rPr>
        <w:t>code</w:t>
      </w:r>
      <w:r w:rsidR="00C97990" w:rsidRPr="008B2B15">
        <w:rPr>
          <w:rFonts w:ascii="Calibri" w:hAnsi="Calibri" w:cs="Calibri"/>
          <w:sz w:val="21"/>
          <w:szCs w:val="21"/>
        </w:rPr>
        <w:t xml:space="preserve"> words as this is to some extent a subjective choice. </w:t>
      </w:r>
      <w:r w:rsidR="001C6412" w:rsidRPr="008B2B15">
        <w:rPr>
          <w:rFonts w:ascii="Calibri" w:hAnsi="Calibri" w:cs="Calibri"/>
          <w:sz w:val="21"/>
          <w:szCs w:val="21"/>
        </w:rPr>
        <w:t xml:space="preserve">This limitation would consequently also apply to this study. </w:t>
      </w:r>
    </w:p>
    <w:p w14:paraId="59A82E0A" w14:textId="77777777" w:rsidR="004A158B" w:rsidRPr="008B2B15" w:rsidRDefault="004A158B" w:rsidP="004A158B">
      <w:pPr>
        <w:spacing w:after="0" w:line="240" w:lineRule="auto"/>
        <w:rPr>
          <w:rFonts w:ascii="Calibri" w:hAnsi="Calibri" w:cs="Calibri"/>
          <w:sz w:val="21"/>
          <w:szCs w:val="21"/>
        </w:rPr>
      </w:pPr>
    </w:p>
    <w:p w14:paraId="500B2869" w14:textId="71679B82" w:rsidR="00040EF0" w:rsidRPr="008B2B15" w:rsidRDefault="00040EF0" w:rsidP="00E83DD8">
      <w:pPr>
        <w:pStyle w:val="Caption"/>
        <w:keepNext/>
        <w:spacing w:after="0"/>
        <w:rPr>
          <w:color w:val="auto"/>
        </w:rPr>
      </w:pPr>
      <w:r w:rsidRPr="008B2B15">
        <w:rPr>
          <w:color w:val="auto"/>
        </w:rPr>
        <w:t>Table</w:t>
      </w:r>
      <w:r w:rsidR="00606B0C" w:rsidRPr="008B2B15">
        <w:rPr>
          <w:color w:val="auto"/>
        </w:rPr>
        <w:t xml:space="preserve"> 1</w:t>
      </w:r>
      <w:r w:rsidRPr="008B2B15">
        <w:rPr>
          <w:color w:val="auto"/>
        </w:rPr>
        <w:t>: Themes and code words identified through the analysis of the practice policy reports</w:t>
      </w:r>
      <w:r w:rsidR="001C6412" w:rsidRPr="008B2B15">
        <w:rPr>
          <w:color w:val="auto"/>
        </w:rPr>
        <w:t xml:space="preserve"> in Hafner et al. (2019)</w:t>
      </w:r>
    </w:p>
    <w:tbl>
      <w:tblPr>
        <w:tblStyle w:val="TableGrid"/>
        <w:tblW w:w="9247" w:type="dxa"/>
        <w:tblInd w:w="-5" w:type="dxa"/>
        <w:tblLook w:val="04A0" w:firstRow="1" w:lastRow="0" w:firstColumn="1" w:lastColumn="0" w:noHBand="0" w:noVBand="1"/>
      </w:tblPr>
      <w:tblGrid>
        <w:gridCol w:w="488"/>
        <w:gridCol w:w="4404"/>
        <w:gridCol w:w="4355"/>
      </w:tblGrid>
      <w:tr w:rsidR="00C3788D" w:rsidRPr="00B07962" w14:paraId="75F35A02" w14:textId="77777777" w:rsidTr="003E223D">
        <w:trPr>
          <w:trHeight w:val="130"/>
        </w:trPr>
        <w:tc>
          <w:tcPr>
            <w:tcW w:w="488" w:type="dxa"/>
          </w:tcPr>
          <w:p w14:paraId="6CAB17B9" w14:textId="77777777" w:rsidR="00C3788D" w:rsidRPr="00B07962" w:rsidRDefault="00C3788D" w:rsidP="003E223D">
            <w:pPr>
              <w:jc w:val="center"/>
              <w:rPr>
                <w:rFonts w:ascii="Calibri" w:hAnsi="Calibri" w:cs="Calibri"/>
                <w:b/>
                <w:i/>
                <w:sz w:val="21"/>
                <w:szCs w:val="21"/>
              </w:rPr>
            </w:pPr>
            <w:proofErr w:type="spellStart"/>
            <w:r>
              <w:rPr>
                <w:rFonts w:ascii="Calibri" w:hAnsi="Calibri" w:cs="Calibri"/>
                <w:b/>
                <w:i/>
                <w:sz w:val="21"/>
                <w:szCs w:val="21"/>
              </w:rPr>
              <w:t>Nr</w:t>
            </w:r>
            <w:proofErr w:type="spellEnd"/>
            <w:r>
              <w:rPr>
                <w:rFonts w:ascii="Calibri" w:hAnsi="Calibri" w:cs="Calibri"/>
                <w:b/>
                <w:i/>
                <w:sz w:val="21"/>
                <w:szCs w:val="21"/>
              </w:rPr>
              <w:t>.</w:t>
            </w:r>
          </w:p>
        </w:tc>
        <w:tc>
          <w:tcPr>
            <w:tcW w:w="4404" w:type="dxa"/>
          </w:tcPr>
          <w:p w14:paraId="7ABA1335" w14:textId="77777777" w:rsidR="00C3788D" w:rsidRPr="00B07962" w:rsidRDefault="00C3788D" w:rsidP="003E223D">
            <w:pPr>
              <w:jc w:val="center"/>
              <w:rPr>
                <w:rFonts w:ascii="Calibri" w:hAnsi="Calibri" w:cs="Calibri"/>
                <w:b/>
                <w:i/>
                <w:sz w:val="21"/>
                <w:szCs w:val="21"/>
              </w:rPr>
            </w:pPr>
            <w:r w:rsidRPr="00B07962">
              <w:rPr>
                <w:rFonts w:ascii="Calibri" w:hAnsi="Calibri" w:cs="Calibri"/>
                <w:b/>
                <w:i/>
                <w:sz w:val="21"/>
                <w:szCs w:val="21"/>
              </w:rPr>
              <w:t>Theme</w:t>
            </w:r>
          </w:p>
        </w:tc>
        <w:tc>
          <w:tcPr>
            <w:tcW w:w="4355" w:type="dxa"/>
          </w:tcPr>
          <w:p w14:paraId="4F7FD3F6" w14:textId="77777777" w:rsidR="00C3788D" w:rsidRPr="00B07962" w:rsidRDefault="00C3788D" w:rsidP="003E223D">
            <w:pPr>
              <w:jc w:val="center"/>
              <w:rPr>
                <w:rFonts w:ascii="Calibri" w:hAnsi="Calibri" w:cs="Calibri"/>
                <w:b/>
                <w:i/>
                <w:sz w:val="21"/>
                <w:szCs w:val="21"/>
              </w:rPr>
            </w:pPr>
            <w:r w:rsidRPr="00B07962">
              <w:rPr>
                <w:rFonts w:ascii="Calibri" w:hAnsi="Calibri" w:cs="Calibri"/>
                <w:b/>
                <w:i/>
                <w:sz w:val="21"/>
                <w:szCs w:val="21"/>
              </w:rPr>
              <w:t>Code words</w:t>
            </w:r>
          </w:p>
        </w:tc>
      </w:tr>
      <w:tr w:rsidR="00C3788D" w:rsidRPr="00B07962" w14:paraId="761915B7" w14:textId="77777777" w:rsidTr="003E223D">
        <w:trPr>
          <w:trHeight w:val="401"/>
        </w:trPr>
        <w:tc>
          <w:tcPr>
            <w:tcW w:w="488" w:type="dxa"/>
          </w:tcPr>
          <w:p w14:paraId="13D0F02C" w14:textId="77777777" w:rsidR="00C3788D" w:rsidRPr="00CE3844" w:rsidRDefault="00C3788D" w:rsidP="003E223D">
            <w:pPr>
              <w:rPr>
                <w:rFonts w:ascii="Calibri" w:hAnsi="Calibri" w:cs="Calibri"/>
                <w:sz w:val="21"/>
                <w:szCs w:val="21"/>
              </w:rPr>
            </w:pPr>
            <w:r>
              <w:rPr>
                <w:rFonts w:ascii="Calibri" w:hAnsi="Calibri" w:cs="Calibri"/>
                <w:sz w:val="21"/>
                <w:szCs w:val="21"/>
              </w:rPr>
              <w:t>2</w:t>
            </w:r>
          </w:p>
        </w:tc>
        <w:tc>
          <w:tcPr>
            <w:tcW w:w="4404" w:type="dxa"/>
          </w:tcPr>
          <w:p w14:paraId="519A7BC2" w14:textId="77777777" w:rsidR="00C3788D" w:rsidRPr="00CE3844" w:rsidRDefault="00C3788D" w:rsidP="003E223D">
            <w:pPr>
              <w:rPr>
                <w:rFonts w:ascii="Calibri" w:eastAsia="Times New Roman" w:hAnsi="Calibri" w:cs="Calibri"/>
                <w:sz w:val="14"/>
                <w:szCs w:val="14"/>
                <w:lang w:eastAsia="en-GB"/>
              </w:rPr>
            </w:pPr>
            <w:r>
              <w:rPr>
                <w:rFonts w:ascii="Calibri" w:hAnsi="Calibri" w:cs="Calibri"/>
                <w:sz w:val="21"/>
                <w:szCs w:val="21"/>
              </w:rPr>
              <w:t>Lack of a stable</w:t>
            </w:r>
            <w:r w:rsidRPr="00CE3844">
              <w:rPr>
                <w:rFonts w:ascii="Calibri" w:hAnsi="Calibri" w:cs="Calibri"/>
                <w:sz w:val="21"/>
                <w:szCs w:val="21"/>
              </w:rPr>
              <w:t xml:space="preserve"> climate change policy framewo</w:t>
            </w:r>
            <w:r>
              <w:rPr>
                <w:rFonts w:ascii="Calibri" w:hAnsi="Calibri" w:cs="Calibri"/>
                <w:sz w:val="21"/>
                <w:szCs w:val="21"/>
              </w:rPr>
              <w:t>rks and policy direction</w:t>
            </w:r>
            <w:r>
              <w:rPr>
                <w:rStyle w:val="FootnoteReference"/>
                <w:rFonts w:ascii="Calibri" w:eastAsia="Times New Roman" w:hAnsi="Calibri" w:cs="Calibri"/>
                <w:sz w:val="14"/>
                <w:szCs w:val="14"/>
                <w:lang w:eastAsia="en-GB"/>
              </w:rPr>
              <w:footnoteReference w:id="2"/>
            </w:r>
          </w:p>
          <w:p w14:paraId="2E8AAF06" w14:textId="77777777" w:rsidR="00C3788D" w:rsidRPr="00B07962" w:rsidRDefault="00C3788D" w:rsidP="003E223D">
            <w:pPr>
              <w:rPr>
                <w:rFonts w:ascii="Calibri" w:hAnsi="Calibri" w:cs="Calibri"/>
                <w:sz w:val="21"/>
                <w:szCs w:val="21"/>
              </w:rPr>
            </w:pPr>
          </w:p>
        </w:tc>
        <w:tc>
          <w:tcPr>
            <w:tcW w:w="4355" w:type="dxa"/>
          </w:tcPr>
          <w:p w14:paraId="19694216"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Policy framework; Policy direction; Long term; Policy uncertainty; Stable regulatory framework; Policy stability; Certainty</w:t>
            </w:r>
          </w:p>
        </w:tc>
      </w:tr>
      <w:tr w:rsidR="00C3788D" w:rsidRPr="00B07962" w14:paraId="733AD5AA" w14:textId="77777777" w:rsidTr="003E223D">
        <w:trPr>
          <w:trHeight w:val="268"/>
        </w:trPr>
        <w:tc>
          <w:tcPr>
            <w:tcW w:w="488" w:type="dxa"/>
          </w:tcPr>
          <w:p w14:paraId="3B62F183" w14:textId="77777777" w:rsidR="00C3788D" w:rsidRPr="00B07962" w:rsidRDefault="00C3788D" w:rsidP="003E223D">
            <w:pPr>
              <w:rPr>
                <w:rFonts w:ascii="Calibri" w:hAnsi="Calibri" w:cs="Calibri"/>
                <w:sz w:val="21"/>
                <w:szCs w:val="21"/>
              </w:rPr>
            </w:pPr>
            <w:r>
              <w:rPr>
                <w:rFonts w:ascii="Calibri" w:hAnsi="Calibri" w:cs="Calibri"/>
                <w:sz w:val="21"/>
                <w:szCs w:val="21"/>
              </w:rPr>
              <w:t>3</w:t>
            </w:r>
          </w:p>
        </w:tc>
        <w:tc>
          <w:tcPr>
            <w:tcW w:w="4404" w:type="dxa"/>
          </w:tcPr>
          <w:p w14:paraId="5DD7F4F2"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Policies are in favour of 'brown' energy-infrastructure (e.g. fossil fuel subsidies</w:t>
            </w:r>
            <w:r w:rsidRPr="003B6D0D">
              <w:rPr>
                <w:rStyle w:val="FootnoteReference"/>
                <w:rFonts w:eastAsia="Times New Roman" w:cstheme="minorHAnsi"/>
                <w:sz w:val="14"/>
                <w:szCs w:val="14"/>
                <w:lang w:eastAsia="en-GB"/>
              </w:rPr>
              <w:footnoteReference w:id="3"/>
            </w:r>
            <w:r>
              <w:rPr>
                <w:rFonts w:ascii="Calibri" w:hAnsi="Calibri" w:cs="Calibri"/>
                <w:sz w:val="21"/>
                <w:szCs w:val="21"/>
              </w:rPr>
              <w:t xml:space="preserve"> or limited pricing of carbon emissions</w:t>
            </w:r>
            <w:r w:rsidRPr="003B6D0D">
              <w:rPr>
                <w:rStyle w:val="FootnoteReference"/>
                <w:rFonts w:eastAsia="Times New Roman" w:cstheme="minorHAnsi"/>
                <w:sz w:val="14"/>
                <w:szCs w:val="14"/>
                <w:lang w:eastAsia="en-GB"/>
              </w:rPr>
              <w:footnoteReference w:id="4"/>
            </w:r>
            <w:r w:rsidRPr="00B07962">
              <w:rPr>
                <w:rFonts w:ascii="Calibri" w:hAnsi="Calibri" w:cs="Calibri"/>
                <w:sz w:val="21"/>
                <w:szCs w:val="21"/>
              </w:rPr>
              <w:t>)</w:t>
            </w:r>
          </w:p>
        </w:tc>
        <w:tc>
          <w:tcPr>
            <w:tcW w:w="4355" w:type="dxa"/>
          </w:tcPr>
          <w:p w14:paraId="40DCD742"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Fossil fuel subsidies; Carbon price; Perverse incentives; Distorted</w:t>
            </w:r>
          </w:p>
        </w:tc>
      </w:tr>
      <w:tr w:rsidR="00C3788D" w:rsidRPr="00B07962" w14:paraId="64D812D4" w14:textId="77777777" w:rsidTr="003E223D">
        <w:trPr>
          <w:trHeight w:val="268"/>
        </w:trPr>
        <w:tc>
          <w:tcPr>
            <w:tcW w:w="488" w:type="dxa"/>
          </w:tcPr>
          <w:p w14:paraId="3323E108" w14:textId="77777777" w:rsidR="00C3788D" w:rsidRPr="00B07962" w:rsidRDefault="00C3788D" w:rsidP="003E223D">
            <w:pPr>
              <w:rPr>
                <w:rFonts w:ascii="Calibri" w:hAnsi="Calibri" w:cs="Calibri"/>
                <w:sz w:val="21"/>
                <w:szCs w:val="21"/>
              </w:rPr>
            </w:pPr>
            <w:r>
              <w:rPr>
                <w:rFonts w:ascii="Calibri" w:hAnsi="Calibri" w:cs="Calibri"/>
                <w:sz w:val="21"/>
                <w:szCs w:val="21"/>
              </w:rPr>
              <w:t>4</w:t>
            </w:r>
          </w:p>
        </w:tc>
        <w:tc>
          <w:tcPr>
            <w:tcW w:w="4404" w:type="dxa"/>
          </w:tcPr>
          <w:p w14:paraId="027CB691"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Constraints on decision making within investor companies</w:t>
            </w:r>
            <w:r>
              <w:rPr>
                <w:rStyle w:val="FootnoteReference"/>
                <w:rFonts w:ascii="Calibri" w:hAnsi="Calibri" w:cs="Calibri"/>
                <w:sz w:val="21"/>
                <w:szCs w:val="21"/>
              </w:rPr>
              <w:footnoteReference w:id="5"/>
            </w:r>
            <w:r w:rsidRPr="00B07962">
              <w:rPr>
                <w:rFonts w:ascii="Calibri" w:hAnsi="Calibri" w:cs="Calibri"/>
                <w:sz w:val="21"/>
                <w:szCs w:val="21"/>
              </w:rPr>
              <w:t xml:space="preserve">  </w:t>
            </w:r>
          </w:p>
        </w:tc>
        <w:tc>
          <w:tcPr>
            <w:tcW w:w="4355" w:type="dxa"/>
          </w:tcPr>
          <w:p w14:paraId="0574972B"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Fiduciary duty; Trust; Investor perceptions; Awareness; Short term; Accounting; Solvency</w:t>
            </w:r>
          </w:p>
        </w:tc>
      </w:tr>
      <w:tr w:rsidR="00C3788D" w:rsidRPr="00B07962" w14:paraId="382900DF" w14:textId="77777777" w:rsidTr="003E223D">
        <w:trPr>
          <w:trHeight w:val="401"/>
        </w:trPr>
        <w:tc>
          <w:tcPr>
            <w:tcW w:w="488" w:type="dxa"/>
          </w:tcPr>
          <w:p w14:paraId="5057476A" w14:textId="77777777" w:rsidR="00C3788D" w:rsidRPr="00B07962" w:rsidRDefault="00C3788D" w:rsidP="003E223D">
            <w:pPr>
              <w:rPr>
                <w:rFonts w:ascii="Calibri" w:hAnsi="Calibri" w:cs="Calibri"/>
                <w:sz w:val="21"/>
                <w:szCs w:val="21"/>
              </w:rPr>
            </w:pPr>
            <w:r>
              <w:rPr>
                <w:rFonts w:ascii="Calibri" w:hAnsi="Calibri" w:cs="Calibri"/>
                <w:sz w:val="21"/>
                <w:szCs w:val="21"/>
              </w:rPr>
              <w:t>5</w:t>
            </w:r>
          </w:p>
        </w:tc>
        <w:tc>
          <w:tcPr>
            <w:tcW w:w="4404" w:type="dxa"/>
          </w:tcPr>
          <w:p w14:paraId="3F5B9A74"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 xml:space="preserve">Perceptions that returns of renewable infrastructure investments are too low and require high initial capital investment  </w:t>
            </w:r>
          </w:p>
        </w:tc>
        <w:tc>
          <w:tcPr>
            <w:tcW w:w="4355" w:type="dxa"/>
          </w:tcPr>
          <w:p w14:paraId="38413207"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Risk return</w:t>
            </w:r>
          </w:p>
        </w:tc>
      </w:tr>
      <w:tr w:rsidR="00C3788D" w:rsidRPr="00B07962" w14:paraId="10A3F754" w14:textId="77777777" w:rsidTr="003E223D">
        <w:trPr>
          <w:trHeight w:val="268"/>
        </w:trPr>
        <w:tc>
          <w:tcPr>
            <w:tcW w:w="488" w:type="dxa"/>
          </w:tcPr>
          <w:p w14:paraId="18134C0C" w14:textId="77777777" w:rsidR="00C3788D" w:rsidRPr="00B07962" w:rsidRDefault="00C3788D" w:rsidP="003E223D">
            <w:pPr>
              <w:rPr>
                <w:rFonts w:ascii="Calibri" w:hAnsi="Calibri" w:cs="Calibri"/>
                <w:sz w:val="21"/>
                <w:szCs w:val="21"/>
              </w:rPr>
            </w:pPr>
            <w:r>
              <w:rPr>
                <w:rFonts w:ascii="Calibri" w:hAnsi="Calibri" w:cs="Calibri"/>
                <w:sz w:val="21"/>
                <w:szCs w:val="21"/>
              </w:rPr>
              <w:t>6</w:t>
            </w:r>
          </w:p>
        </w:tc>
        <w:tc>
          <w:tcPr>
            <w:tcW w:w="4404" w:type="dxa"/>
          </w:tcPr>
          <w:p w14:paraId="37592474"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Requirement that projects need a certain credit rating so that it is possible to invest</w:t>
            </w:r>
            <w:r>
              <w:rPr>
                <w:rStyle w:val="FootnoteReference"/>
                <w:rFonts w:ascii="Calibri" w:hAnsi="Calibri" w:cs="Calibri"/>
                <w:sz w:val="21"/>
                <w:szCs w:val="21"/>
              </w:rPr>
              <w:footnoteReference w:id="6"/>
            </w:r>
          </w:p>
        </w:tc>
        <w:tc>
          <w:tcPr>
            <w:tcW w:w="4355" w:type="dxa"/>
          </w:tcPr>
          <w:p w14:paraId="71D8438A"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Credit rating; Risk rating; Credit worthy</w:t>
            </w:r>
          </w:p>
        </w:tc>
      </w:tr>
      <w:tr w:rsidR="00C3788D" w:rsidRPr="00B07962" w14:paraId="42AAB1A6" w14:textId="77777777" w:rsidTr="003E223D">
        <w:trPr>
          <w:trHeight w:val="268"/>
        </w:trPr>
        <w:tc>
          <w:tcPr>
            <w:tcW w:w="488" w:type="dxa"/>
          </w:tcPr>
          <w:p w14:paraId="7D53FE18" w14:textId="77777777" w:rsidR="00C3788D" w:rsidRPr="00B07962" w:rsidRDefault="00C3788D" w:rsidP="003E223D">
            <w:pPr>
              <w:rPr>
                <w:rFonts w:ascii="Calibri" w:hAnsi="Calibri" w:cs="Calibri"/>
                <w:sz w:val="21"/>
                <w:szCs w:val="21"/>
              </w:rPr>
            </w:pPr>
            <w:r>
              <w:rPr>
                <w:rFonts w:ascii="Calibri" w:hAnsi="Calibri" w:cs="Calibri"/>
                <w:sz w:val="21"/>
                <w:szCs w:val="21"/>
              </w:rPr>
              <w:t>7</w:t>
            </w:r>
          </w:p>
        </w:tc>
        <w:tc>
          <w:tcPr>
            <w:tcW w:w="4404" w:type="dxa"/>
          </w:tcPr>
          <w:p w14:paraId="1A47E1D9"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Technology-ris</w:t>
            </w:r>
            <w:r>
              <w:rPr>
                <w:rFonts w:ascii="Calibri" w:hAnsi="Calibri" w:cs="Calibri"/>
                <w:sz w:val="21"/>
                <w:szCs w:val="21"/>
              </w:rPr>
              <w:t xml:space="preserve">k associated with uncertain </w:t>
            </w:r>
            <w:r w:rsidRPr="00B07962">
              <w:rPr>
                <w:rFonts w:ascii="Calibri" w:hAnsi="Calibri" w:cs="Calibri"/>
                <w:sz w:val="21"/>
                <w:szCs w:val="21"/>
              </w:rPr>
              <w:t xml:space="preserve">technologies </w:t>
            </w:r>
          </w:p>
        </w:tc>
        <w:tc>
          <w:tcPr>
            <w:tcW w:w="4355" w:type="dxa"/>
          </w:tcPr>
          <w:p w14:paraId="52AFF083"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Technology risk</w:t>
            </w:r>
          </w:p>
        </w:tc>
      </w:tr>
      <w:tr w:rsidR="00C3788D" w:rsidRPr="00B07962" w14:paraId="53895934" w14:textId="77777777" w:rsidTr="003E223D">
        <w:trPr>
          <w:trHeight w:val="262"/>
        </w:trPr>
        <w:tc>
          <w:tcPr>
            <w:tcW w:w="488" w:type="dxa"/>
          </w:tcPr>
          <w:p w14:paraId="296E01E7" w14:textId="77777777" w:rsidR="00C3788D" w:rsidRPr="00B07962" w:rsidRDefault="00C3788D" w:rsidP="003E223D">
            <w:pPr>
              <w:rPr>
                <w:rFonts w:ascii="Calibri" w:hAnsi="Calibri" w:cs="Calibri"/>
                <w:sz w:val="21"/>
                <w:szCs w:val="21"/>
              </w:rPr>
            </w:pPr>
            <w:r>
              <w:rPr>
                <w:rFonts w:ascii="Calibri" w:hAnsi="Calibri" w:cs="Calibri"/>
                <w:sz w:val="21"/>
                <w:szCs w:val="21"/>
              </w:rPr>
              <w:t>8</w:t>
            </w:r>
          </w:p>
        </w:tc>
        <w:tc>
          <w:tcPr>
            <w:tcW w:w="4404" w:type="dxa"/>
          </w:tcPr>
          <w:p w14:paraId="7C4BB12A" w14:textId="77777777" w:rsidR="00C3788D" w:rsidRPr="00F67BE3" w:rsidRDefault="00C3788D" w:rsidP="003E223D">
            <w:pPr>
              <w:rPr>
                <w:rFonts w:ascii="Calibri" w:hAnsi="Calibri" w:cs="Calibri"/>
                <w:sz w:val="21"/>
                <w:szCs w:val="21"/>
              </w:rPr>
            </w:pPr>
            <w:r w:rsidRPr="00F67BE3">
              <w:rPr>
                <w:rFonts w:ascii="Calibri" w:eastAsia="Times New Roman" w:hAnsi="Calibri" w:cs="Calibri"/>
                <w:sz w:val="21"/>
                <w:szCs w:val="21"/>
                <w:lang w:eastAsia="en-GB"/>
              </w:rPr>
              <w:t xml:space="preserve">Disclosure on climate related risks and integrating them into financial decision-making </w:t>
            </w:r>
            <w:r w:rsidRPr="00F67BE3">
              <w:rPr>
                <w:rFonts w:ascii="Calibri" w:eastAsia="Times New Roman" w:hAnsi="Calibri" w:cs="Calibri"/>
                <w:sz w:val="21"/>
                <w:szCs w:val="21"/>
              </w:rPr>
              <w:t>or a lack of standardised ESG-data</w:t>
            </w:r>
            <w:r w:rsidRPr="00F67BE3">
              <w:rPr>
                <w:rStyle w:val="FootnoteReference"/>
                <w:rFonts w:ascii="Calibri" w:eastAsia="Times New Roman" w:hAnsi="Calibri" w:cs="Calibri"/>
                <w:sz w:val="21"/>
                <w:szCs w:val="21"/>
                <w:lang w:eastAsia="en-GB"/>
              </w:rPr>
              <w:footnoteReference w:id="7"/>
            </w:r>
            <w:r w:rsidRPr="00F67BE3">
              <w:rPr>
                <w:rFonts w:ascii="Calibri" w:hAnsi="Calibri" w:cs="Calibri"/>
                <w:sz w:val="21"/>
                <w:szCs w:val="21"/>
              </w:rPr>
              <w:t xml:space="preserve"> </w:t>
            </w:r>
          </w:p>
        </w:tc>
        <w:tc>
          <w:tcPr>
            <w:tcW w:w="4355" w:type="dxa"/>
          </w:tcPr>
          <w:p w14:paraId="7ED88593"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Climate disclosure; Standards; ESG; Benchmark</w:t>
            </w:r>
          </w:p>
        </w:tc>
      </w:tr>
      <w:tr w:rsidR="00C3788D" w:rsidRPr="00B07962" w14:paraId="374F0D65" w14:textId="77777777" w:rsidTr="003E223D">
        <w:trPr>
          <w:trHeight w:val="268"/>
        </w:trPr>
        <w:tc>
          <w:tcPr>
            <w:tcW w:w="488" w:type="dxa"/>
          </w:tcPr>
          <w:p w14:paraId="57300305" w14:textId="77777777" w:rsidR="00C3788D" w:rsidRPr="00B07962" w:rsidRDefault="00C3788D" w:rsidP="003E223D">
            <w:pPr>
              <w:rPr>
                <w:rFonts w:ascii="Calibri" w:hAnsi="Calibri" w:cs="Calibri"/>
                <w:sz w:val="21"/>
                <w:szCs w:val="21"/>
              </w:rPr>
            </w:pPr>
            <w:r>
              <w:rPr>
                <w:rFonts w:ascii="Calibri" w:hAnsi="Calibri" w:cs="Calibri"/>
                <w:sz w:val="21"/>
                <w:szCs w:val="21"/>
              </w:rPr>
              <w:t>9</w:t>
            </w:r>
          </w:p>
        </w:tc>
        <w:tc>
          <w:tcPr>
            <w:tcW w:w="4404" w:type="dxa"/>
          </w:tcPr>
          <w:p w14:paraId="67F0BC91"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 xml:space="preserve">Limited </w:t>
            </w:r>
            <w:r w:rsidRPr="00F67BE3">
              <w:rPr>
                <w:rFonts w:ascii="Calibri" w:hAnsi="Calibri" w:cs="Calibri"/>
                <w:sz w:val="21"/>
                <w:szCs w:val="21"/>
              </w:rPr>
              <w:t xml:space="preserve">projects with acceptable risk-return profiles or </w:t>
            </w:r>
            <w:r w:rsidRPr="00F67BE3">
              <w:rPr>
                <w:rFonts w:ascii="Calibri" w:eastAsia="Times New Roman" w:hAnsi="Calibri" w:cs="Calibri"/>
                <w:sz w:val="21"/>
                <w:szCs w:val="21"/>
                <w:lang w:eastAsia="en-GB"/>
              </w:rPr>
              <w:t>lack of liquidity in markets</w:t>
            </w:r>
          </w:p>
        </w:tc>
        <w:tc>
          <w:tcPr>
            <w:tcW w:w="4355" w:type="dxa"/>
          </w:tcPr>
          <w:p w14:paraId="197EFA25"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Liquidity; Liquid market; Scale</w:t>
            </w:r>
          </w:p>
        </w:tc>
      </w:tr>
      <w:tr w:rsidR="00C3788D" w:rsidRPr="00B07962" w14:paraId="7B0DE0F3" w14:textId="77777777" w:rsidTr="003E223D">
        <w:trPr>
          <w:trHeight w:val="268"/>
        </w:trPr>
        <w:tc>
          <w:tcPr>
            <w:tcW w:w="488" w:type="dxa"/>
          </w:tcPr>
          <w:p w14:paraId="6EC1BF1E" w14:textId="77777777" w:rsidR="00C3788D" w:rsidRPr="00B07962" w:rsidRDefault="00C3788D" w:rsidP="003E223D">
            <w:pPr>
              <w:rPr>
                <w:rFonts w:ascii="Calibri" w:hAnsi="Calibri" w:cs="Calibri"/>
                <w:sz w:val="21"/>
                <w:szCs w:val="21"/>
              </w:rPr>
            </w:pPr>
            <w:r>
              <w:rPr>
                <w:rFonts w:ascii="Calibri" w:hAnsi="Calibri" w:cs="Calibri"/>
                <w:sz w:val="21"/>
                <w:szCs w:val="21"/>
              </w:rPr>
              <w:t>10</w:t>
            </w:r>
          </w:p>
        </w:tc>
        <w:tc>
          <w:tcPr>
            <w:tcW w:w="4404" w:type="dxa"/>
          </w:tcPr>
          <w:p w14:paraId="19CDE387"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Lack of suitable financial vehicles/financial instruments</w:t>
            </w:r>
            <w:r>
              <w:rPr>
                <w:rStyle w:val="FootnoteReference"/>
                <w:rFonts w:ascii="Calibri" w:eastAsia="Times New Roman" w:hAnsi="Calibri" w:cs="Calibri"/>
                <w:color w:val="000000"/>
                <w:sz w:val="20"/>
                <w:szCs w:val="20"/>
                <w:lang w:eastAsia="en-GB"/>
              </w:rPr>
              <w:footnoteReference w:id="8"/>
            </w:r>
            <w:r w:rsidRPr="00B07962">
              <w:rPr>
                <w:rFonts w:ascii="Calibri" w:hAnsi="Calibri" w:cs="Calibri"/>
                <w:sz w:val="21"/>
                <w:szCs w:val="21"/>
              </w:rPr>
              <w:t xml:space="preserve"> </w:t>
            </w:r>
          </w:p>
        </w:tc>
        <w:tc>
          <w:tcPr>
            <w:tcW w:w="4355" w:type="dxa"/>
          </w:tcPr>
          <w:p w14:paraId="0A9E6ED0"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Financial vehicle; Financial instruments</w:t>
            </w:r>
          </w:p>
        </w:tc>
      </w:tr>
      <w:tr w:rsidR="00C3788D" w:rsidRPr="00B07962" w14:paraId="49C26F6C" w14:textId="77777777" w:rsidTr="003E223D">
        <w:trPr>
          <w:trHeight w:val="130"/>
        </w:trPr>
        <w:tc>
          <w:tcPr>
            <w:tcW w:w="488" w:type="dxa"/>
          </w:tcPr>
          <w:p w14:paraId="5E7BBDBE" w14:textId="77777777" w:rsidR="00C3788D" w:rsidRPr="00B07962" w:rsidRDefault="00C3788D" w:rsidP="003E223D">
            <w:pPr>
              <w:rPr>
                <w:rFonts w:ascii="Calibri" w:hAnsi="Calibri" w:cs="Calibri"/>
                <w:sz w:val="21"/>
                <w:szCs w:val="21"/>
              </w:rPr>
            </w:pPr>
            <w:r>
              <w:rPr>
                <w:rFonts w:ascii="Calibri" w:hAnsi="Calibri" w:cs="Calibri"/>
                <w:sz w:val="21"/>
                <w:szCs w:val="21"/>
              </w:rPr>
              <w:t>11</w:t>
            </w:r>
          </w:p>
        </w:tc>
        <w:tc>
          <w:tcPr>
            <w:tcW w:w="4404" w:type="dxa"/>
          </w:tcPr>
          <w:p w14:paraId="4C2AF86A"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High transaction costs or fees</w:t>
            </w:r>
            <w:r>
              <w:rPr>
                <w:rStyle w:val="FootnoteReference"/>
                <w:rFonts w:ascii="Calibri" w:hAnsi="Calibri" w:cs="Calibri"/>
                <w:sz w:val="21"/>
                <w:szCs w:val="21"/>
              </w:rPr>
              <w:footnoteReference w:id="9"/>
            </w:r>
            <w:r w:rsidRPr="00B07962">
              <w:rPr>
                <w:rFonts w:ascii="Calibri" w:hAnsi="Calibri" w:cs="Calibri"/>
                <w:sz w:val="21"/>
                <w:szCs w:val="21"/>
              </w:rPr>
              <w:t xml:space="preserve"> </w:t>
            </w:r>
          </w:p>
        </w:tc>
        <w:tc>
          <w:tcPr>
            <w:tcW w:w="4355" w:type="dxa"/>
          </w:tcPr>
          <w:p w14:paraId="2788E4E8"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Transaction costs; High fees</w:t>
            </w:r>
          </w:p>
        </w:tc>
      </w:tr>
      <w:tr w:rsidR="00C3788D" w:rsidRPr="00B07962" w14:paraId="60BFA9B9" w14:textId="77777777" w:rsidTr="003E223D">
        <w:trPr>
          <w:trHeight w:val="268"/>
        </w:trPr>
        <w:tc>
          <w:tcPr>
            <w:tcW w:w="488" w:type="dxa"/>
          </w:tcPr>
          <w:p w14:paraId="43396597" w14:textId="77777777" w:rsidR="00C3788D" w:rsidRPr="00B07962" w:rsidRDefault="00C3788D" w:rsidP="003E223D">
            <w:pPr>
              <w:rPr>
                <w:rFonts w:ascii="Calibri" w:hAnsi="Calibri" w:cs="Calibri"/>
                <w:sz w:val="21"/>
                <w:szCs w:val="21"/>
              </w:rPr>
            </w:pPr>
            <w:r>
              <w:rPr>
                <w:rFonts w:ascii="Calibri" w:hAnsi="Calibri" w:cs="Calibri"/>
                <w:sz w:val="21"/>
                <w:szCs w:val="21"/>
              </w:rPr>
              <w:t>12</w:t>
            </w:r>
          </w:p>
        </w:tc>
        <w:tc>
          <w:tcPr>
            <w:tcW w:w="4404" w:type="dxa"/>
          </w:tcPr>
          <w:p w14:paraId="0BFB2627"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 xml:space="preserve">Lack of knowledge/technical advice on </w:t>
            </w:r>
            <w:r>
              <w:rPr>
                <w:rFonts w:ascii="Calibri" w:hAnsi="Calibri" w:cs="Calibri"/>
                <w:sz w:val="21"/>
                <w:szCs w:val="21"/>
              </w:rPr>
              <w:t>green infrastructure investment</w:t>
            </w:r>
            <w:r>
              <w:rPr>
                <w:rStyle w:val="FootnoteReference"/>
                <w:rFonts w:ascii="Calibri" w:eastAsia="Times New Roman" w:hAnsi="Calibri" w:cs="Calibri"/>
                <w:sz w:val="14"/>
                <w:szCs w:val="14"/>
                <w:lang w:eastAsia="en-GB"/>
              </w:rPr>
              <w:footnoteReference w:id="10"/>
            </w:r>
          </w:p>
        </w:tc>
        <w:tc>
          <w:tcPr>
            <w:tcW w:w="4355" w:type="dxa"/>
          </w:tcPr>
          <w:p w14:paraId="3CF366E8"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Technical advice; Technical knowledge</w:t>
            </w:r>
          </w:p>
        </w:tc>
      </w:tr>
      <w:tr w:rsidR="00C3788D" w:rsidRPr="00B07962" w14:paraId="62556132" w14:textId="77777777" w:rsidTr="003E223D">
        <w:trPr>
          <w:trHeight w:val="130"/>
        </w:trPr>
        <w:tc>
          <w:tcPr>
            <w:tcW w:w="488" w:type="dxa"/>
          </w:tcPr>
          <w:p w14:paraId="33DEF713" w14:textId="77777777" w:rsidR="00C3788D" w:rsidRPr="00B07962" w:rsidRDefault="00C3788D" w:rsidP="003E223D">
            <w:pPr>
              <w:rPr>
                <w:rFonts w:ascii="Calibri" w:hAnsi="Calibri" w:cs="Calibri"/>
                <w:sz w:val="21"/>
                <w:szCs w:val="21"/>
              </w:rPr>
            </w:pPr>
            <w:r>
              <w:rPr>
                <w:rFonts w:ascii="Calibri" w:hAnsi="Calibri" w:cs="Calibri"/>
                <w:sz w:val="21"/>
                <w:szCs w:val="21"/>
              </w:rPr>
              <w:t>15</w:t>
            </w:r>
          </w:p>
        </w:tc>
        <w:tc>
          <w:tcPr>
            <w:tcW w:w="4404" w:type="dxa"/>
          </w:tcPr>
          <w:p w14:paraId="0BB957B7"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 xml:space="preserve">Other barriers </w:t>
            </w:r>
          </w:p>
        </w:tc>
        <w:tc>
          <w:tcPr>
            <w:tcW w:w="4355" w:type="dxa"/>
          </w:tcPr>
          <w:p w14:paraId="6066C9B7" w14:textId="77777777" w:rsidR="00C3788D" w:rsidRPr="00B07962" w:rsidRDefault="00C3788D" w:rsidP="003E223D">
            <w:pPr>
              <w:rPr>
                <w:rFonts w:ascii="Calibri" w:hAnsi="Calibri" w:cs="Calibri"/>
                <w:sz w:val="21"/>
                <w:szCs w:val="21"/>
              </w:rPr>
            </w:pPr>
            <w:r w:rsidRPr="00B07962">
              <w:rPr>
                <w:rFonts w:ascii="Calibri" w:hAnsi="Calibri" w:cs="Calibri"/>
                <w:sz w:val="21"/>
                <w:szCs w:val="21"/>
              </w:rPr>
              <w:t xml:space="preserve">Barrier </w:t>
            </w:r>
          </w:p>
        </w:tc>
      </w:tr>
    </w:tbl>
    <w:p w14:paraId="007EB4B4" w14:textId="77777777" w:rsidR="00C3788D" w:rsidRPr="000E4EE2" w:rsidRDefault="00C3788D" w:rsidP="00C3788D">
      <w:pPr>
        <w:rPr>
          <w:i/>
          <w:sz w:val="2"/>
          <w:szCs w:val="2"/>
        </w:rPr>
      </w:pPr>
    </w:p>
    <w:p w14:paraId="17E70255" w14:textId="77777777" w:rsidR="00C3788D" w:rsidRDefault="00C3788D" w:rsidP="00C3788D">
      <w:pPr>
        <w:rPr>
          <w:i/>
          <w:sz w:val="18"/>
          <w:szCs w:val="18"/>
        </w:rPr>
      </w:pPr>
      <w:r>
        <w:rPr>
          <w:i/>
          <w:sz w:val="18"/>
          <w:szCs w:val="18"/>
        </w:rPr>
        <w:t>Source: Hafner et al. (2019) – reprinted with permission</w:t>
      </w:r>
    </w:p>
    <w:p w14:paraId="1D926889" w14:textId="77777777" w:rsidR="001F0801" w:rsidRPr="008B2B15" w:rsidRDefault="001F0801" w:rsidP="00CC6E7F">
      <w:pPr>
        <w:spacing w:after="0" w:line="240" w:lineRule="auto"/>
        <w:rPr>
          <w:rFonts w:ascii="Calibri" w:hAnsi="Calibri" w:cs="Calibri"/>
          <w:sz w:val="21"/>
          <w:szCs w:val="21"/>
        </w:rPr>
      </w:pPr>
    </w:p>
    <w:p w14:paraId="08270DB9" w14:textId="3AF91232" w:rsidR="00C602BA" w:rsidRPr="008B2B15" w:rsidRDefault="00C700C5" w:rsidP="00E80951">
      <w:pPr>
        <w:spacing w:line="240" w:lineRule="auto"/>
        <w:rPr>
          <w:rFonts w:ascii="Calibri" w:hAnsi="Calibri" w:cs="Calibri"/>
          <w:sz w:val="21"/>
          <w:szCs w:val="21"/>
        </w:rPr>
      </w:pPr>
      <w:r w:rsidRPr="008B2B15">
        <w:rPr>
          <w:rFonts w:ascii="Calibri" w:hAnsi="Calibri" w:cs="Calibri"/>
          <w:sz w:val="21"/>
          <w:szCs w:val="21"/>
        </w:rPr>
        <w:lastRenderedPageBreak/>
        <w:t xml:space="preserve">In total, </w:t>
      </w:r>
      <w:r w:rsidR="001C6412" w:rsidRPr="008B2B15">
        <w:rPr>
          <w:rFonts w:ascii="Calibri" w:hAnsi="Calibri" w:cs="Calibri"/>
          <w:sz w:val="21"/>
          <w:szCs w:val="21"/>
        </w:rPr>
        <w:t>the study analysed</w:t>
      </w:r>
      <w:r w:rsidRPr="008B2B15">
        <w:rPr>
          <w:rFonts w:ascii="Calibri" w:hAnsi="Calibri" w:cs="Calibri"/>
          <w:sz w:val="21"/>
          <w:szCs w:val="21"/>
        </w:rPr>
        <w:t xml:space="preserve"> 31 reports (see </w:t>
      </w:r>
      <w:r w:rsidR="00202B0E" w:rsidRPr="008B2B15">
        <w:rPr>
          <w:rFonts w:ascii="Calibri" w:hAnsi="Calibri" w:cs="Calibri"/>
          <w:sz w:val="21"/>
          <w:szCs w:val="21"/>
        </w:rPr>
        <w:t xml:space="preserve">table 1a in the appendix or </w:t>
      </w:r>
      <w:r w:rsidR="00534746" w:rsidRPr="008B2B15">
        <w:rPr>
          <w:rFonts w:ascii="Calibri" w:hAnsi="Calibri" w:cs="Calibri"/>
          <w:sz w:val="21"/>
          <w:szCs w:val="21"/>
        </w:rPr>
        <w:t>Hafner et al. (2019)</w:t>
      </w:r>
      <w:r w:rsidRPr="008B2B15">
        <w:rPr>
          <w:rFonts w:ascii="Calibri" w:hAnsi="Calibri" w:cs="Calibri"/>
          <w:sz w:val="21"/>
          <w:szCs w:val="21"/>
        </w:rPr>
        <w:t xml:space="preserve"> for an overview of </w:t>
      </w:r>
      <w:r w:rsidR="006C33D6" w:rsidRPr="008B2B15">
        <w:rPr>
          <w:rFonts w:ascii="Calibri" w:hAnsi="Calibri" w:cs="Calibri"/>
          <w:sz w:val="21"/>
          <w:szCs w:val="21"/>
        </w:rPr>
        <w:t>the reviewed policy reports</w:t>
      </w:r>
      <w:r w:rsidRPr="008B2B15">
        <w:rPr>
          <w:rFonts w:ascii="Calibri" w:hAnsi="Calibri" w:cs="Calibri"/>
          <w:sz w:val="21"/>
          <w:szCs w:val="21"/>
        </w:rPr>
        <w:t>).</w:t>
      </w:r>
      <w:r w:rsidR="00665657" w:rsidRPr="008B2B15">
        <w:rPr>
          <w:rFonts w:ascii="Calibri" w:hAnsi="Calibri" w:cs="Calibri"/>
          <w:sz w:val="21"/>
          <w:szCs w:val="21"/>
        </w:rPr>
        <w:t xml:space="preserve"> </w:t>
      </w:r>
    </w:p>
    <w:p w14:paraId="31207907" w14:textId="06B4EDCA" w:rsidR="00E719DE" w:rsidRPr="008B2B15" w:rsidRDefault="00E200D0" w:rsidP="00E80951">
      <w:pPr>
        <w:pStyle w:val="Heading3"/>
        <w:numPr>
          <w:ilvl w:val="1"/>
          <w:numId w:val="3"/>
        </w:numPr>
        <w:spacing w:line="240" w:lineRule="auto"/>
        <w:rPr>
          <w:rFonts w:ascii="Calibri" w:hAnsi="Calibri" w:cs="Calibri"/>
          <w:sz w:val="21"/>
          <w:szCs w:val="21"/>
        </w:rPr>
      </w:pPr>
      <w:r w:rsidRPr="008B2B15">
        <w:rPr>
          <w:rFonts w:ascii="Calibri" w:hAnsi="Calibri" w:cs="Calibri"/>
          <w:sz w:val="21"/>
          <w:szCs w:val="21"/>
        </w:rPr>
        <w:t>A</w:t>
      </w:r>
      <w:r w:rsidR="00151ADC" w:rsidRPr="008B2B15">
        <w:rPr>
          <w:rFonts w:ascii="Calibri" w:hAnsi="Calibri" w:cs="Calibri"/>
          <w:sz w:val="21"/>
          <w:szCs w:val="21"/>
        </w:rPr>
        <w:t>cademic literature</w:t>
      </w:r>
    </w:p>
    <w:p w14:paraId="7B15524E" w14:textId="4FD3EA5A" w:rsidR="00151ADC" w:rsidRPr="008B2B15" w:rsidRDefault="00044EE5" w:rsidP="00B62A88">
      <w:pPr>
        <w:spacing w:before="240" w:after="0" w:line="276" w:lineRule="auto"/>
        <w:rPr>
          <w:rFonts w:ascii="Calibri" w:hAnsi="Calibri" w:cs="Calibri"/>
          <w:sz w:val="21"/>
          <w:szCs w:val="21"/>
        </w:rPr>
      </w:pPr>
      <w:r w:rsidRPr="008B2B15">
        <w:rPr>
          <w:rFonts w:ascii="Calibri" w:hAnsi="Calibri" w:cs="Calibri"/>
          <w:sz w:val="21"/>
          <w:szCs w:val="21"/>
        </w:rPr>
        <w:t xml:space="preserve">The second step in our methodology was a systematic review of the relevant academic literature. </w:t>
      </w:r>
      <w:r w:rsidR="00BC7BB8">
        <w:rPr>
          <w:rFonts w:ascii="Calibri" w:hAnsi="Calibri" w:cs="Calibri"/>
          <w:sz w:val="21"/>
          <w:szCs w:val="21"/>
        </w:rPr>
        <w:t xml:space="preserve">This builds on the earlier scoping review as presented in </w:t>
      </w:r>
      <w:r w:rsidR="00BC7BB8" w:rsidRPr="008B2B15">
        <w:rPr>
          <w:rFonts w:ascii="Calibri" w:hAnsi="Calibri" w:cs="Calibri"/>
          <w:sz w:val="21"/>
          <w:szCs w:val="21"/>
        </w:rPr>
        <w:t xml:space="preserve">Hafner et al. (2019) </w:t>
      </w:r>
      <w:r w:rsidR="00BC7BB8">
        <w:rPr>
          <w:rFonts w:ascii="Calibri" w:hAnsi="Calibri" w:cs="Calibri"/>
          <w:sz w:val="21"/>
          <w:szCs w:val="21"/>
        </w:rPr>
        <w:t xml:space="preserve">but includes a further database of articles and snowball process as described here to ensure a systematic review of literature. </w:t>
      </w:r>
      <w:r w:rsidR="00151ADC" w:rsidRPr="008B2B15">
        <w:rPr>
          <w:rFonts w:ascii="Calibri" w:hAnsi="Calibri" w:cs="Calibri"/>
          <w:sz w:val="21"/>
          <w:szCs w:val="21"/>
        </w:rPr>
        <w:t xml:space="preserve">For </w:t>
      </w:r>
      <w:r w:rsidRPr="008B2B15">
        <w:rPr>
          <w:rFonts w:ascii="Calibri" w:hAnsi="Calibri" w:cs="Calibri"/>
          <w:sz w:val="21"/>
          <w:szCs w:val="21"/>
        </w:rPr>
        <w:t xml:space="preserve">this </w:t>
      </w:r>
      <w:r w:rsidR="00151ADC" w:rsidRPr="008B2B15">
        <w:rPr>
          <w:rFonts w:ascii="Calibri" w:hAnsi="Calibri" w:cs="Calibri"/>
          <w:sz w:val="21"/>
          <w:szCs w:val="21"/>
        </w:rPr>
        <w:t xml:space="preserve">review, we used </w:t>
      </w:r>
      <w:r w:rsidR="004B3B68" w:rsidRPr="008B2B15">
        <w:rPr>
          <w:rFonts w:ascii="Calibri" w:hAnsi="Calibri" w:cs="Calibri"/>
          <w:sz w:val="21"/>
          <w:szCs w:val="21"/>
        </w:rPr>
        <w:t>a similar set of</w:t>
      </w:r>
      <w:r w:rsidR="00151ADC" w:rsidRPr="008B2B15">
        <w:rPr>
          <w:rFonts w:ascii="Calibri" w:hAnsi="Calibri" w:cs="Calibri"/>
          <w:sz w:val="21"/>
          <w:szCs w:val="21"/>
        </w:rPr>
        <w:t xml:space="preserve"> keywords </w:t>
      </w:r>
      <w:r w:rsidR="004B3B68" w:rsidRPr="008B2B15">
        <w:rPr>
          <w:rFonts w:ascii="Calibri" w:hAnsi="Calibri" w:cs="Calibri"/>
          <w:sz w:val="21"/>
          <w:szCs w:val="21"/>
        </w:rPr>
        <w:t xml:space="preserve">as previously used for the google search of the </w:t>
      </w:r>
      <w:r w:rsidR="006C33D6" w:rsidRPr="008B2B15">
        <w:rPr>
          <w:rFonts w:ascii="Calibri" w:hAnsi="Calibri" w:cs="Calibri"/>
          <w:sz w:val="21"/>
          <w:szCs w:val="21"/>
        </w:rPr>
        <w:t>policy</w:t>
      </w:r>
      <w:r w:rsidR="004B3B68" w:rsidRPr="008B2B15">
        <w:rPr>
          <w:rFonts w:ascii="Calibri" w:hAnsi="Calibri" w:cs="Calibri"/>
          <w:sz w:val="21"/>
          <w:szCs w:val="21"/>
        </w:rPr>
        <w:t xml:space="preserve"> reports</w:t>
      </w:r>
      <w:r w:rsidR="007524EF" w:rsidRPr="008B2B15">
        <w:rPr>
          <w:rFonts w:ascii="Calibri" w:hAnsi="Calibri" w:cs="Calibri"/>
          <w:sz w:val="21"/>
          <w:szCs w:val="21"/>
        </w:rPr>
        <w:t xml:space="preserve"> combined with the code words identified</w:t>
      </w:r>
      <w:r w:rsidR="004B3B68" w:rsidRPr="008B2B15">
        <w:rPr>
          <w:rFonts w:ascii="Calibri" w:hAnsi="Calibri" w:cs="Calibri"/>
          <w:sz w:val="21"/>
          <w:szCs w:val="21"/>
        </w:rPr>
        <w:t xml:space="preserve">. </w:t>
      </w:r>
      <w:r w:rsidR="007524EF" w:rsidRPr="008B2B15">
        <w:rPr>
          <w:rFonts w:ascii="Calibri" w:hAnsi="Calibri" w:cs="Calibri"/>
          <w:sz w:val="21"/>
          <w:szCs w:val="21"/>
        </w:rPr>
        <w:t>W</w:t>
      </w:r>
      <w:r w:rsidR="004B3B68" w:rsidRPr="008B2B15">
        <w:rPr>
          <w:rFonts w:ascii="Calibri" w:hAnsi="Calibri" w:cs="Calibri"/>
          <w:sz w:val="21"/>
          <w:szCs w:val="21"/>
        </w:rPr>
        <w:t xml:space="preserve">e </w:t>
      </w:r>
      <w:r w:rsidR="00151ADC" w:rsidRPr="008B2B15">
        <w:rPr>
          <w:rFonts w:ascii="Calibri" w:hAnsi="Calibri" w:cs="Calibri"/>
          <w:sz w:val="21"/>
          <w:szCs w:val="21"/>
        </w:rPr>
        <w:t>searched articles</w:t>
      </w:r>
      <w:r w:rsidR="004B3B68" w:rsidRPr="008B2B15">
        <w:rPr>
          <w:rFonts w:ascii="Calibri" w:hAnsi="Calibri" w:cs="Calibri"/>
          <w:sz w:val="21"/>
          <w:szCs w:val="21"/>
        </w:rPr>
        <w:t xml:space="preserve"> in</w:t>
      </w:r>
      <w:r w:rsidR="00151ADC" w:rsidRPr="008B2B15">
        <w:rPr>
          <w:rFonts w:ascii="Calibri" w:hAnsi="Calibri" w:cs="Calibri"/>
          <w:sz w:val="21"/>
          <w:szCs w:val="21"/>
        </w:rPr>
        <w:t xml:space="preserve"> the </w:t>
      </w:r>
      <w:r w:rsidRPr="008B2B15">
        <w:rPr>
          <w:rFonts w:ascii="Calibri" w:hAnsi="Calibri" w:cs="Calibri"/>
          <w:sz w:val="21"/>
          <w:szCs w:val="21"/>
        </w:rPr>
        <w:t xml:space="preserve">databases </w:t>
      </w:r>
      <w:r w:rsidR="00151ADC" w:rsidRPr="008B2B15">
        <w:rPr>
          <w:rFonts w:ascii="Calibri" w:hAnsi="Calibri" w:cs="Calibri"/>
          <w:sz w:val="21"/>
          <w:szCs w:val="21"/>
        </w:rPr>
        <w:t xml:space="preserve">Isi Web of Science and Scopus. </w:t>
      </w:r>
      <w:r w:rsidR="007524EF" w:rsidRPr="008B2B15">
        <w:rPr>
          <w:rFonts w:ascii="Calibri" w:hAnsi="Calibri" w:cs="Calibri"/>
          <w:sz w:val="21"/>
          <w:szCs w:val="21"/>
        </w:rPr>
        <w:t>T</w:t>
      </w:r>
      <w:r w:rsidR="00151ADC" w:rsidRPr="008B2B15">
        <w:rPr>
          <w:rFonts w:ascii="Calibri" w:hAnsi="Calibri" w:cs="Calibri"/>
          <w:sz w:val="21"/>
          <w:szCs w:val="21"/>
        </w:rPr>
        <w:t xml:space="preserve">he following </w:t>
      </w:r>
      <w:r w:rsidR="003F454B" w:rsidRPr="008B2B15">
        <w:rPr>
          <w:rFonts w:ascii="Calibri" w:hAnsi="Calibri" w:cs="Calibri"/>
          <w:sz w:val="21"/>
          <w:szCs w:val="21"/>
        </w:rPr>
        <w:t xml:space="preserve">set of key words </w:t>
      </w:r>
      <w:proofErr w:type="gramStart"/>
      <w:r w:rsidR="007524EF" w:rsidRPr="008B2B15">
        <w:rPr>
          <w:rFonts w:ascii="Calibri" w:hAnsi="Calibri" w:cs="Calibri"/>
          <w:sz w:val="21"/>
          <w:szCs w:val="21"/>
        </w:rPr>
        <w:t>was used</w:t>
      </w:r>
      <w:proofErr w:type="gramEnd"/>
      <w:r w:rsidR="007524EF" w:rsidRPr="008B2B15">
        <w:rPr>
          <w:rFonts w:ascii="Calibri" w:hAnsi="Calibri" w:cs="Calibri"/>
          <w:sz w:val="21"/>
          <w:szCs w:val="21"/>
        </w:rPr>
        <w:t xml:space="preserve"> </w:t>
      </w:r>
      <w:r w:rsidR="00151ADC" w:rsidRPr="008B2B15">
        <w:rPr>
          <w:rFonts w:ascii="Calibri" w:hAnsi="Calibri" w:cs="Calibri"/>
          <w:sz w:val="21"/>
          <w:szCs w:val="21"/>
        </w:rPr>
        <w:t xml:space="preserve">to search these databases: </w:t>
      </w:r>
    </w:p>
    <w:p w14:paraId="2A30AC86" w14:textId="77777777" w:rsidR="00151ADC" w:rsidRPr="008B2B15" w:rsidRDefault="00151ADC" w:rsidP="0035699F">
      <w:pPr>
        <w:spacing w:after="0" w:line="276" w:lineRule="auto"/>
        <w:rPr>
          <w:rFonts w:ascii="Calibri" w:hAnsi="Calibri" w:cs="Calibri"/>
          <w:i/>
          <w:sz w:val="21"/>
          <w:szCs w:val="21"/>
        </w:rPr>
      </w:pPr>
    </w:p>
    <w:p w14:paraId="45CFD5C3" w14:textId="61C82276" w:rsidR="004B0B15" w:rsidRPr="008B2B15" w:rsidRDefault="004B3B68" w:rsidP="0035699F">
      <w:pPr>
        <w:spacing w:after="0" w:line="276" w:lineRule="auto"/>
        <w:ind w:left="360"/>
        <w:rPr>
          <w:rFonts w:ascii="Calibri" w:hAnsi="Calibri" w:cs="Calibri"/>
          <w:i/>
          <w:sz w:val="21"/>
          <w:szCs w:val="21"/>
        </w:rPr>
      </w:pPr>
      <w:r w:rsidRPr="008B2B15">
        <w:rPr>
          <w:rFonts w:ascii="Calibri" w:hAnsi="Calibri" w:cs="Calibri"/>
          <w:i/>
          <w:sz w:val="21"/>
          <w:szCs w:val="21"/>
        </w:rPr>
        <w:t>(</w:t>
      </w:r>
      <w:r w:rsidR="00D51818" w:rsidRPr="008B2B15">
        <w:rPr>
          <w:rFonts w:ascii="Calibri" w:hAnsi="Calibri" w:cs="Calibri"/>
          <w:i/>
          <w:sz w:val="21"/>
          <w:szCs w:val="21"/>
        </w:rPr>
        <w:t>I</w:t>
      </w:r>
      <w:r w:rsidR="00044EE5" w:rsidRPr="008B2B15">
        <w:rPr>
          <w:rFonts w:ascii="Calibri" w:hAnsi="Calibri" w:cs="Calibri"/>
          <w:i/>
          <w:sz w:val="21"/>
          <w:szCs w:val="21"/>
        </w:rPr>
        <w:t>nvestment OR invest OR f</w:t>
      </w:r>
      <w:r w:rsidR="004B0B15" w:rsidRPr="008B2B15">
        <w:rPr>
          <w:rFonts w:ascii="Calibri" w:hAnsi="Calibri" w:cs="Calibri"/>
          <w:i/>
          <w:sz w:val="21"/>
          <w:szCs w:val="21"/>
        </w:rPr>
        <w:t>inance) AND energy AND (renewabl</w:t>
      </w:r>
      <w:r w:rsidR="00044EE5" w:rsidRPr="008B2B15">
        <w:rPr>
          <w:rFonts w:ascii="Calibri" w:hAnsi="Calibri" w:cs="Calibri"/>
          <w:i/>
          <w:sz w:val="21"/>
          <w:szCs w:val="21"/>
        </w:rPr>
        <w:t>e OR green OR “low-carbon” OR climate</w:t>
      </w:r>
      <w:r w:rsidR="004B0B15" w:rsidRPr="008B2B15">
        <w:rPr>
          <w:rFonts w:ascii="Calibri" w:hAnsi="Calibri" w:cs="Calibri"/>
          <w:i/>
          <w:sz w:val="21"/>
          <w:szCs w:val="21"/>
        </w:rPr>
        <w:t>) AND ("one of the code words</w:t>
      </w:r>
      <w:r w:rsidRPr="008B2B15">
        <w:rPr>
          <w:rFonts w:ascii="Calibri" w:hAnsi="Calibri" w:cs="Calibri"/>
          <w:i/>
          <w:sz w:val="21"/>
          <w:szCs w:val="21"/>
        </w:rPr>
        <w:t xml:space="preserve"> indicated in table 1")</w:t>
      </w:r>
    </w:p>
    <w:p w14:paraId="2E433BA8" w14:textId="77777777" w:rsidR="00365278" w:rsidRPr="008B2B15" w:rsidRDefault="00365278" w:rsidP="0035699F">
      <w:pPr>
        <w:spacing w:after="0" w:line="276" w:lineRule="auto"/>
        <w:rPr>
          <w:rFonts w:ascii="Calibri" w:hAnsi="Calibri" w:cs="Calibri"/>
          <w:sz w:val="21"/>
          <w:szCs w:val="21"/>
        </w:rPr>
      </w:pPr>
    </w:p>
    <w:p w14:paraId="0F071889" w14:textId="178F2385" w:rsidR="00733023" w:rsidRPr="008B2B15" w:rsidRDefault="007524EF" w:rsidP="0035699F">
      <w:pPr>
        <w:spacing w:after="0" w:line="276" w:lineRule="auto"/>
        <w:rPr>
          <w:rFonts w:ascii="Calibri" w:hAnsi="Calibri" w:cs="Calibri"/>
          <w:sz w:val="21"/>
          <w:szCs w:val="21"/>
        </w:rPr>
      </w:pPr>
      <w:r w:rsidRPr="008B2B15">
        <w:rPr>
          <w:rFonts w:ascii="Calibri" w:hAnsi="Calibri" w:cs="Calibri"/>
          <w:sz w:val="21"/>
          <w:szCs w:val="21"/>
        </w:rPr>
        <w:t>W</w:t>
      </w:r>
      <w:r w:rsidR="00151ADC" w:rsidRPr="008B2B15">
        <w:rPr>
          <w:rFonts w:ascii="Calibri" w:hAnsi="Calibri" w:cs="Calibri"/>
          <w:sz w:val="21"/>
          <w:szCs w:val="21"/>
        </w:rPr>
        <w:t>e only considered academi</w:t>
      </w:r>
      <w:r w:rsidR="007716F2" w:rsidRPr="008B2B15">
        <w:rPr>
          <w:rFonts w:ascii="Calibri" w:hAnsi="Calibri" w:cs="Calibri"/>
          <w:sz w:val="21"/>
          <w:szCs w:val="21"/>
        </w:rPr>
        <w:t xml:space="preserve">c articles published since 2009. </w:t>
      </w:r>
      <w:r w:rsidR="00151ADC" w:rsidRPr="008B2B15">
        <w:rPr>
          <w:rFonts w:ascii="Calibri" w:hAnsi="Calibri" w:cs="Calibri"/>
          <w:sz w:val="21"/>
          <w:szCs w:val="21"/>
        </w:rPr>
        <w:t>We downloaded the rel</w:t>
      </w:r>
      <w:r w:rsidR="004B3B68" w:rsidRPr="008B2B15">
        <w:rPr>
          <w:rFonts w:ascii="Calibri" w:hAnsi="Calibri" w:cs="Calibri"/>
          <w:sz w:val="21"/>
          <w:szCs w:val="21"/>
        </w:rPr>
        <w:t>evant information (i.e. information on a</w:t>
      </w:r>
      <w:r w:rsidR="00151ADC" w:rsidRPr="008B2B15">
        <w:rPr>
          <w:rFonts w:ascii="Calibri" w:hAnsi="Calibri" w:cs="Calibri"/>
          <w:sz w:val="21"/>
          <w:szCs w:val="21"/>
        </w:rPr>
        <w:t xml:space="preserve">uthor, title, year </w:t>
      </w:r>
      <w:r w:rsidR="004B3B68" w:rsidRPr="008B2B15">
        <w:rPr>
          <w:rFonts w:ascii="Calibri" w:hAnsi="Calibri" w:cs="Calibri"/>
          <w:sz w:val="21"/>
          <w:szCs w:val="21"/>
        </w:rPr>
        <w:t xml:space="preserve">etc. </w:t>
      </w:r>
      <w:r w:rsidR="00151ADC" w:rsidRPr="008B2B15">
        <w:rPr>
          <w:rFonts w:ascii="Calibri" w:hAnsi="Calibri" w:cs="Calibri"/>
          <w:sz w:val="21"/>
          <w:szCs w:val="21"/>
        </w:rPr>
        <w:t>and the abstract) of articles from these databases into excel spreadsheets. Subsequently, a first researcher determine</w:t>
      </w:r>
      <w:r w:rsidR="00044EE5" w:rsidRPr="008B2B15">
        <w:rPr>
          <w:rFonts w:ascii="Calibri" w:hAnsi="Calibri" w:cs="Calibri"/>
          <w:sz w:val="21"/>
          <w:szCs w:val="21"/>
        </w:rPr>
        <w:t>d</w:t>
      </w:r>
      <w:r w:rsidR="00151ADC" w:rsidRPr="008B2B15">
        <w:rPr>
          <w:rFonts w:ascii="Calibri" w:hAnsi="Calibri" w:cs="Calibri"/>
          <w:sz w:val="21"/>
          <w:szCs w:val="21"/>
        </w:rPr>
        <w:t xml:space="preserve"> all </w:t>
      </w:r>
      <w:r w:rsidR="004B3B68" w:rsidRPr="008B2B15">
        <w:rPr>
          <w:rFonts w:ascii="Calibri" w:hAnsi="Calibri" w:cs="Calibri"/>
          <w:sz w:val="21"/>
          <w:szCs w:val="21"/>
        </w:rPr>
        <w:t xml:space="preserve">relevant </w:t>
      </w:r>
      <w:r w:rsidR="00151ADC" w:rsidRPr="008B2B15">
        <w:rPr>
          <w:rFonts w:ascii="Calibri" w:hAnsi="Calibri" w:cs="Calibri"/>
          <w:sz w:val="21"/>
          <w:szCs w:val="21"/>
        </w:rPr>
        <w:t>academic articles</w:t>
      </w:r>
      <w:r w:rsidR="004B3B68" w:rsidRPr="008B2B15">
        <w:rPr>
          <w:rFonts w:ascii="Calibri" w:hAnsi="Calibri" w:cs="Calibri"/>
          <w:sz w:val="21"/>
          <w:szCs w:val="21"/>
        </w:rPr>
        <w:t xml:space="preserve"> for our study</w:t>
      </w:r>
      <w:r w:rsidR="00151ADC" w:rsidRPr="008B2B15">
        <w:rPr>
          <w:rFonts w:ascii="Calibri" w:hAnsi="Calibri" w:cs="Calibri"/>
          <w:sz w:val="21"/>
          <w:szCs w:val="21"/>
        </w:rPr>
        <w:t xml:space="preserve"> from the saved database. </w:t>
      </w:r>
      <w:r w:rsidR="006C33D6" w:rsidRPr="008B2B15">
        <w:rPr>
          <w:rFonts w:ascii="Calibri" w:hAnsi="Calibri" w:cs="Calibri"/>
          <w:sz w:val="21"/>
          <w:szCs w:val="21"/>
        </w:rPr>
        <w:t>Thereby</w:t>
      </w:r>
      <w:r w:rsidR="00151ADC" w:rsidRPr="008B2B15">
        <w:rPr>
          <w:rFonts w:ascii="Calibri" w:hAnsi="Calibri" w:cs="Calibri"/>
          <w:sz w:val="21"/>
          <w:szCs w:val="21"/>
        </w:rPr>
        <w:t xml:space="preserve">, </w:t>
      </w:r>
      <w:r w:rsidR="00365278" w:rsidRPr="008B2B15">
        <w:rPr>
          <w:rFonts w:ascii="Calibri" w:hAnsi="Calibri" w:cs="Calibri"/>
          <w:sz w:val="21"/>
          <w:szCs w:val="21"/>
        </w:rPr>
        <w:t xml:space="preserve">we excluded </w:t>
      </w:r>
      <w:r w:rsidR="006C33D6" w:rsidRPr="008B2B15">
        <w:rPr>
          <w:rFonts w:ascii="Calibri" w:hAnsi="Calibri" w:cs="Calibri"/>
          <w:sz w:val="21"/>
          <w:szCs w:val="21"/>
        </w:rPr>
        <w:t>all articles that were not relevant for our research question. That is, we excluded f</w:t>
      </w:r>
      <w:r w:rsidR="00151ADC" w:rsidRPr="008B2B15">
        <w:rPr>
          <w:rFonts w:ascii="Calibri" w:hAnsi="Calibri" w:cs="Calibri"/>
          <w:sz w:val="21"/>
          <w:szCs w:val="21"/>
        </w:rPr>
        <w:t>or example</w:t>
      </w:r>
      <w:r w:rsidR="006C33D6" w:rsidRPr="008B2B15">
        <w:rPr>
          <w:rFonts w:ascii="Calibri" w:hAnsi="Calibri" w:cs="Calibri"/>
          <w:sz w:val="21"/>
          <w:szCs w:val="21"/>
        </w:rPr>
        <w:t xml:space="preserve"> </w:t>
      </w:r>
      <w:r w:rsidR="00151ADC" w:rsidRPr="008B2B15">
        <w:rPr>
          <w:rFonts w:ascii="Calibri" w:hAnsi="Calibri" w:cs="Calibri"/>
          <w:sz w:val="21"/>
          <w:szCs w:val="21"/>
        </w:rPr>
        <w:t xml:space="preserve">articles focusing on solar rooftop installation or barriers towards investment in renewable energy technologies </w:t>
      </w:r>
      <w:r w:rsidR="00901DE4" w:rsidRPr="008B2B15">
        <w:rPr>
          <w:rFonts w:ascii="Calibri" w:hAnsi="Calibri" w:cs="Calibri"/>
          <w:sz w:val="21"/>
          <w:szCs w:val="21"/>
        </w:rPr>
        <w:t>pre-commercialisation</w:t>
      </w:r>
      <w:r w:rsidR="00151ADC" w:rsidRPr="008B2B15">
        <w:rPr>
          <w:rFonts w:ascii="Calibri" w:hAnsi="Calibri" w:cs="Calibri"/>
          <w:sz w:val="21"/>
          <w:szCs w:val="21"/>
        </w:rPr>
        <w:t xml:space="preserve">. Subsequently, a second researcher conducted the same endeavour. All differences </w:t>
      </w:r>
      <w:r w:rsidR="00365278" w:rsidRPr="008B2B15">
        <w:rPr>
          <w:rFonts w:ascii="Calibri" w:hAnsi="Calibri" w:cs="Calibri"/>
          <w:sz w:val="21"/>
          <w:szCs w:val="21"/>
        </w:rPr>
        <w:t xml:space="preserve">with regard to determined relevant articles </w:t>
      </w:r>
      <w:proofErr w:type="gramStart"/>
      <w:r w:rsidR="00151ADC" w:rsidRPr="008B2B15">
        <w:rPr>
          <w:rFonts w:ascii="Calibri" w:hAnsi="Calibri" w:cs="Calibri"/>
          <w:sz w:val="21"/>
          <w:szCs w:val="21"/>
        </w:rPr>
        <w:t>have been discussed</w:t>
      </w:r>
      <w:proofErr w:type="gramEnd"/>
      <w:r w:rsidR="00151ADC" w:rsidRPr="008B2B15">
        <w:rPr>
          <w:rFonts w:ascii="Calibri" w:hAnsi="Calibri" w:cs="Calibri"/>
          <w:sz w:val="21"/>
          <w:szCs w:val="21"/>
        </w:rPr>
        <w:t xml:space="preserve"> </w:t>
      </w:r>
      <w:r w:rsidR="00365278" w:rsidRPr="008B2B15">
        <w:rPr>
          <w:rFonts w:ascii="Calibri" w:hAnsi="Calibri" w:cs="Calibri"/>
          <w:sz w:val="21"/>
          <w:szCs w:val="21"/>
        </w:rPr>
        <w:t xml:space="preserve">between the two researchers </w:t>
      </w:r>
      <w:r w:rsidR="00044EE5" w:rsidRPr="008B2B15">
        <w:rPr>
          <w:rFonts w:ascii="Calibri" w:hAnsi="Calibri" w:cs="Calibri"/>
          <w:sz w:val="21"/>
          <w:szCs w:val="21"/>
        </w:rPr>
        <w:t xml:space="preserve">and </w:t>
      </w:r>
      <w:r w:rsidR="002D65A3" w:rsidRPr="008B2B15">
        <w:rPr>
          <w:rFonts w:ascii="Calibri" w:hAnsi="Calibri" w:cs="Calibri"/>
          <w:sz w:val="21"/>
          <w:szCs w:val="21"/>
        </w:rPr>
        <w:t xml:space="preserve">one </w:t>
      </w:r>
      <w:r w:rsidR="00DF22FF" w:rsidRPr="008B2B15">
        <w:rPr>
          <w:rFonts w:ascii="Calibri" w:hAnsi="Calibri" w:cs="Calibri"/>
          <w:sz w:val="21"/>
          <w:szCs w:val="21"/>
        </w:rPr>
        <w:t>additional</w:t>
      </w:r>
      <w:r w:rsidR="00044EE5" w:rsidRPr="008B2B15">
        <w:rPr>
          <w:rFonts w:ascii="Calibri" w:hAnsi="Calibri" w:cs="Calibri"/>
          <w:sz w:val="21"/>
          <w:szCs w:val="21"/>
        </w:rPr>
        <w:t xml:space="preserve"> researcher working on this study. S</w:t>
      </w:r>
      <w:r w:rsidR="00151ADC" w:rsidRPr="008B2B15">
        <w:rPr>
          <w:rFonts w:ascii="Calibri" w:hAnsi="Calibri" w:cs="Calibri"/>
          <w:sz w:val="21"/>
          <w:szCs w:val="21"/>
        </w:rPr>
        <w:t xml:space="preserve">ubsequently </w:t>
      </w:r>
      <w:r w:rsidR="00365278" w:rsidRPr="008B2B15">
        <w:rPr>
          <w:rFonts w:ascii="Calibri" w:hAnsi="Calibri" w:cs="Calibri"/>
          <w:sz w:val="21"/>
          <w:szCs w:val="21"/>
        </w:rPr>
        <w:t>a</w:t>
      </w:r>
      <w:r w:rsidR="00151ADC" w:rsidRPr="008B2B15">
        <w:rPr>
          <w:rFonts w:ascii="Calibri" w:hAnsi="Calibri" w:cs="Calibri"/>
          <w:sz w:val="21"/>
          <w:szCs w:val="21"/>
        </w:rPr>
        <w:t xml:space="preserve"> list with relevant academic articles for our studies </w:t>
      </w:r>
      <w:r w:rsidR="00992269" w:rsidRPr="008B2B15">
        <w:rPr>
          <w:rFonts w:ascii="Calibri" w:hAnsi="Calibri" w:cs="Calibri"/>
          <w:sz w:val="21"/>
          <w:szCs w:val="21"/>
        </w:rPr>
        <w:t>has</w:t>
      </w:r>
      <w:r w:rsidR="00151ADC" w:rsidRPr="008B2B15">
        <w:rPr>
          <w:rFonts w:ascii="Calibri" w:hAnsi="Calibri" w:cs="Calibri"/>
          <w:sz w:val="21"/>
          <w:szCs w:val="21"/>
        </w:rPr>
        <w:t xml:space="preserve"> been determined. </w:t>
      </w:r>
    </w:p>
    <w:p w14:paraId="57C41795" w14:textId="77777777" w:rsidR="00733023" w:rsidRPr="008B2B15" w:rsidRDefault="00733023" w:rsidP="0035699F">
      <w:pPr>
        <w:spacing w:after="0" w:line="276" w:lineRule="auto"/>
        <w:rPr>
          <w:rFonts w:ascii="Calibri" w:hAnsi="Calibri" w:cs="Calibri"/>
          <w:sz w:val="21"/>
          <w:szCs w:val="21"/>
        </w:rPr>
      </w:pPr>
    </w:p>
    <w:p w14:paraId="73520A67" w14:textId="6903DE7C" w:rsidR="0052453E" w:rsidRPr="008B2B15" w:rsidRDefault="00733023" w:rsidP="0035699F">
      <w:pPr>
        <w:spacing w:after="0" w:line="276" w:lineRule="auto"/>
        <w:rPr>
          <w:rFonts w:ascii="Calibri" w:hAnsi="Calibri" w:cs="Calibri"/>
          <w:sz w:val="21"/>
          <w:szCs w:val="21"/>
        </w:rPr>
      </w:pPr>
      <w:r w:rsidRPr="008B2B15">
        <w:rPr>
          <w:rFonts w:ascii="Calibri" w:hAnsi="Calibri" w:cs="Calibri"/>
          <w:sz w:val="21"/>
          <w:szCs w:val="21"/>
        </w:rPr>
        <w:t>The relevant characterised articles</w:t>
      </w:r>
      <w:r w:rsidR="00151ADC" w:rsidRPr="008B2B15">
        <w:rPr>
          <w:rFonts w:ascii="Calibri" w:hAnsi="Calibri" w:cs="Calibri"/>
          <w:sz w:val="21"/>
          <w:szCs w:val="21"/>
        </w:rPr>
        <w:t xml:space="preserve"> have been read again </w:t>
      </w:r>
      <w:r w:rsidR="007524EF" w:rsidRPr="008B2B15">
        <w:rPr>
          <w:rFonts w:ascii="Calibri" w:hAnsi="Calibri" w:cs="Calibri"/>
          <w:sz w:val="21"/>
          <w:szCs w:val="21"/>
        </w:rPr>
        <w:t xml:space="preserve">by </w:t>
      </w:r>
      <w:r w:rsidR="00DF22FF" w:rsidRPr="008B2B15">
        <w:rPr>
          <w:rFonts w:ascii="Calibri" w:hAnsi="Calibri" w:cs="Calibri"/>
          <w:sz w:val="21"/>
          <w:szCs w:val="21"/>
        </w:rPr>
        <w:t>the two</w:t>
      </w:r>
      <w:r w:rsidR="00151ADC" w:rsidRPr="008B2B15">
        <w:rPr>
          <w:rFonts w:ascii="Calibri" w:hAnsi="Calibri" w:cs="Calibri"/>
          <w:sz w:val="21"/>
          <w:szCs w:val="21"/>
        </w:rPr>
        <w:t xml:space="preserve"> researcher</w:t>
      </w:r>
      <w:r w:rsidR="007524EF" w:rsidRPr="008B2B15">
        <w:rPr>
          <w:rFonts w:ascii="Calibri" w:hAnsi="Calibri" w:cs="Calibri"/>
          <w:sz w:val="21"/>
          <w:szCs w:val="21"/>
        </w:rPr>
        <w:t>s</w:t>
      </w:r>
      <w:r w:rsidR="00DF22FF" w:rsidRPr="008B2B15">
        <w:rPr>
          <w:rFonts w:ascii="Calibri" w:hAnsi="Calibri" w:cs="Calibri"/>
          <w:sz w:val="21"/>
          <w:szCs w:val="21"/>
        </w:rPr>
        <w:t xml:space="preserve"> who</w:t>
      </w:r>
      <w:r w:rsidR="00151ADC" w:rsidRPr="008B2B15">
        <w:rPr>
          <w:rFonts w:ascii="Calibri" w:hAnsi="Calibri" w:cs="Calibri"/>
          <w:sz w:val="21"/>
          <w:szCs w:val="21"/>
        </w:rPr>
        <w:t xml:space="preserve"> </w:t>
      </w:r>
      <w:r w:rsidR="0004715B" w:rsidRPr="008B2B15">
        <w:rPr>
          <w:rFonts w:ascii="Calibri" w:hAnsi="Calibri" w:cs="Calibri"/>
          <w:sz w:val="21"/>
          <w:szCs w:val="21"/>
        </w:rPr>
        <w:t xml:space="preserve">identified </w:t>
      </w:r>
      <w:r w:rsidRPr="008B2B15">
        <w:rPr>
          <w:rFonts w:ascii="Calibri" w:hAnsi="Calibri" w:cs="Calibri"/>
          <w:sz w:val="21"/>
          <w:szCs w:val="21"/>
        </w:rPr>
        <w:t xml:space="preserve">green investment </w:t>
      </w:r>
      <w:r w:rsidR="0004715B" w:rsidRPr="008B2B15">
        <w:rPr>
          <w:rFonts w:ascii="Calibri" w:hAnsi="Calibri" w:cs="Calibri"/>
          <w:sz w:val="21"/>
          <w:szCs w:val="21"/>
        </w:rPr>
        <w:t xml:space="preserve">barriers in these studies </w:t>
      </w:r>
      <w:r w:rsidR="00DF22FF" w:rsidRPr="008B2B15">
        <w:rPr>
          <w:rFonts w:ascii="Calibri" w:hAnsi="Calibri" w:cs="Calibri"/>
          <w:sz w:val="21"/>
          <w:szCs w:val="21"/>
        </w:rPr>
        <w:t>and</w:t>
      </w:r>
      <w:r w:rsidR="00BF5AD8" w:rsidRPr="008B2B15">
        <w:rPr>
          <w:rFonts w:ascii="Calibri" w:hAnsi="Calibri" w:cs="Calibri"/>
          <w:sz w:val="21"/>
          <w:szCs w:val="21"/>
        </w:rPr>
        <w:t xml:space="preserve"> attributed </w:t>
      </w:r>
      <w:r w:rsidR="00DF22FF" w:rsidRPr="008B2B15">
        <w:rPr>
          <w:rFonts w:ascii="Calibri" w:hAnsi="Calibri" w:cs="Calibri"/>
          <w:sz w:val="21"/>
          <w:szCs w:val="21"/>
        </w:rPr>
        <w:t xml:space="preserve">them </w:t>
      </w:r>
      <w:r w:rsidR="00BF5AD8" w:rsidRPr="008B2B15">
        <w:rPr>
          <w:rFonts w:ascii="Calibri" w:hAnsi="Calibri" w:cs="Calibri"/>
          <w:sz w:val="21"/>
          <w:szCs w:val="21"/>
        </w:rPr>
        <w:t xml:space="preserve">to a similar </w:t>
      </w:r>
      <w:r w:rsidR="0004715B" w:rsidRPr="008B2B15">
        <w:rPr>
          <w:rFonts w:ascii="Calibri" w:hAnsi="Calibri" w:cs="Calibri"/>
          <w:sz w:val="21"/>
          <w:szCs w:val="21"/>
        </w:rPr>
        <w:t>set of barrier topics as used for</w:t>
      </w:r>
      <w:r w:rsidR="00BF5AD8" w:rsidRPr="008B2B15">
        <w:rPr>
          <w:rFonts w:ascii="Calibri" w:hAnsi="Calibri" w:cs="Calibri"/>
          <w:sz w:val="21"/>
          <w:szCs w:val="21"/>
        </w:rPr>
        <w:t xml:space="preserve"> the policy reports (</w:t>
      </w:r>
      <w:r w:rsidR="00DF22FF" w:rsidRPr="008B2B15">
        <w:rPr>
          <w:rFonts w:ascii="Calibri" w:hAnsi="Calibri" w:cs="Calibri"/>
          <w:sz w:val="21"/>
          <w:szCs w:val="21"/>
        </w:rPr>
        <w:t>see table 1</w:t>
      </w:r>
      <w:r w:rsidR="0004715B" w:rsidRPr="008B2B15">
        <w:rPr>
          <w:rFonts w:ascii="Calibri" w:hAnsi="Calibri" w:cs="Calibri"/>
          <w:sz w:val="21"/>
          <w:szCs w:val="21"/>
        </w:rPr>
        <w:t xml:space="preserve">). </w:t>
      </w:r>
      <w:r w:rsidR="0041705C" w:rsidRPr="008B2B15">
        <w:rPr>
          <w:rFonts w:ascii="Calibri" w:hAnsi="Calibri" w:cs="Calibri"/>
          <w:sz w:val="21"/>
          <w:szCs w:val="21"/>
        </w:rPr>
        <w:t xml:space="preserve">That is, </w:t>
      </w:r>
      <w:r w:rsidR="005D4D3E" w:rsidRPr="008B2B15">
        <w:rPr>
          <w:rFonts w:ascii="Calibri" w:hAnsi="Calibri" w:cs="Calibri"/>
          <w:sz w:val="21"/>
          <w:szCs w:val="21"/>
        </w:rPr>
        <w:t xml:space="preserve">we used </w:t>
      </w:r>
      <w:r w:rsidR="0041705C" w:rsidRPr="008B2B15">
        <w:rPr>
          <w:rFonts w:ascii="Calibri" w:hAnsi="Calibri" w:cs="Calibri"/>
          <w:sz w:val="21"/>
          <w:szCs w:val="21"/>
        </w:rPr>
        <w:t xml:space="preserve">the </w:t>
      </w:r>
      <w:r w:rsidR="00357376" w:rsidRPr="008B2B15">
        <w:rPr>
          <w:rFonts w:ascii="Calibri" w:hAnsi="Calibri" w:cs="Calibri"/>
          <w:sz w:val="21"/>
          <w:szCs w:val="21"/>
        </w:rPr>
        <w:t xml:space="preserve">same </w:t>
      </w:r>
      <w:r w:rsidR="0041705C" w:rsidRPr="008B2B15">
        <w:rPr>
          <w:rFonts w:ascii="Calibri" w:hAnsi="Calibri" w:cs="Calibri"/>
          <w:sz w:val="21"/>
          <w:szCs w:val="21"/>
        </w:rPr>
        <w:t>barrier topics as for the poli</w:t>
      </w:r>
      <w:r w:rsidR="00131A50" w:rsidRPr="008B2B15">
        <w:rPr>
          <w:rFonts w:ascii="Calibri" w:hAnsi="Calibri" w:cs="Calibri"/>
          <w:sz w:val="21"/>
          <w:szCs w:val="21"/>
        </w:rPr>
        <w:t xml:space="preserve">cy reports as a basis, but </w:t>
      </w:r>
      <w:r w:rsidR="005D4D3E" w:rsidRPr="008B2B15">
        <w:rPr>
          <w:rFonts w:ascii="Calibri" w:hAnsi="Calibri" w:cs="Calibri"/>
          <w:sz w:val="21"/>
          <w:szCs w:val="21"/>
        </w:rPr>
        <w:t xml:space="preserve">allowed additional barrier topics to emerge. </w:t>
      </w:r>
      <w:r w:rsidR="00736441" w:rsidRPr="008B2B15">
        <w:rPr>
          <w:rFonts w:ascii="Calibri" w:hAnsi="Calibri" w:cs="Calibri"/>
          <w:sz w:val="21"/>
          <w:szCs w:val="21"/>
        </w:rPr>
        <w:t xml:space="preserve">Differences in classification of </w:t>
      </w:r>
      <w:r w:rsidR="00350E3B" w:rsidRPr="008B2B15">
        <w:rPr>
          <w:rFonts w:ascii="Calibri" w:hAnsi="Calibri" w:cs="Calibri"/>
          <w:sz w:val="21"/>
          <w:szCs w:val="21"/>
        </w:rPr>
        <w:t xml:space="preserve">the indicated </w:t>
      </w:r>
      <w:r w:rsidR="00736441" w:rsidRPr="008B2B15">
        <w:rPr>
          <w:rFonts w:ascii="Calibri" w:hAnsi="Calibri" w:cs="Calibri"/>
          <w:sz w:val="21"/>
          <w:szCs w:val="21"/>
        </w:rPr>
        <w:t>barrier</w:t>
      </w:r>
      <w:r w:rsidR="00350E3B" w:rsidRPr="008B2B15">
        <w:rPr>
          <w:rFonts w:ascii="Calibri" w:hAnsi="Calibri" w:cs="Calibri"/>
          <w:sz w:val="21"/>
          <w:szCs w:val="21"/>
        </w:rPr>
        <w:t>s</w:t>
      </w:r>
      <w:r w:rsidR="00736441" w:rsidRPr="008B2B15">
        <w:rPr>
          <w:rFonts w:ascii="Calibri" w:hAnsi="Calibri" w:cs="Calibri"/>
          <w:sz w:val="21"/>
          <w:szCs w:val="21"/>
        </w:rPr>
        <w:t xml:space="preserve"> in these articles </w:t>
      </w:r>
      <w:proofErr w:type="gramStart"/>
      <w:r w:rsidR="00992269" w:rsidRPr="008B2B15">
        <w:rPr>
          <w:rFonts w:ascii="Calibri" w:hAnsi="Calibri" w:cs="Calibri"/>
          <w:sz w:val="21"/>
          <w:szCs w:val="21"/>
        </w:rPr>
        <w:t>have again been discussed</w:t>
      </w:r>
      <w:proofErr w:type="gramEnd"/>
      <w:r w:rsidR="00992269" w:rsidRPr="008B2B15">
        <w:rPr>
          <w:rFonts w:ascii="Calibri" w:hAnsi="Calibri" w:cs="Calibri"/>
          <w:sz w:val="21"/>
          <w:szCs w:val="21"/>
        </w:rPr>
        <w:t xml:space="preserve"> between the two researchers and </w:t>
      </w:r>
      <w:r w:rsidR="002D65A3" w:rsidRPr="008B2B15">
        <w:rPr>
          <w:rFonts w:ascii="Calibri" w:hAnsi="Calibri" w:cs="Calibri"/>
          <w:sz w:val="21"/>
          <w:szCs w:val="21"/>
        </w:rPr>
        <w:t>one additional</w:t>
      </w:r>
      <w:r w:rsidR="00DF22FF" w:rsidRPr="008B2B15">
        <w:rPr>
          <w:rFonts w:ascii="Calibri" w:hAnsi="Calibri" w:cs="Calibri"/>
          <w:sz w:val="21"/>
          <w:szCs w:val="21"/>
        </w:rPr>
        <w:t xml:space="preserve"> </w:t>
      </w:r>
      <w:r w:rsidR="00992269" w:rsidRPr="008B2B15">
        <w:rPr>
          <w:rFonts w:ascii="Calibri" w:hAnsi="Calibri" w:cs="Calibri"/>
          <w:sz w:val="21"/>
          <w:szCs w:val="21"/>
        </w:rPr>
        <w:t>researcher working on this study. Furthermore</w:t>
      </w:r>
      <w:r w:rsidRPr="008B2B15">
        <w:rPr>
          <w:rFonts w:ascii="Calibri" w:hAnsi="Calibri" w:cs="Calibri"/>
          <w:sz w:val="21"/>
          <w:szCs w:val="21"/>
        </w:rPr>
        <w:t xml:space="preserve">, we distinguish between different </w:t>
      </w:r>
      <w:r w:rsidR="00CF79FA" w:rsidRPr="008B2B15">
        <w:rPr>
          <w:rFonts w:ascii="Calibri" w:hAnsi="Calibri" w:cs="Calibri"/>
          <w:sz w:val="21"/>
          <w:szCs w:val="21"/>
        </w:rPr>
        <w:t>types of academic articles</w:t>
      </w:r>
      <w:r w:rsidRPr="008B2B15">
        <w:rPr>
          <w:rFonts w:ascii="Calibri" w:hAnsi="Calibri" w:cs="Calibri"/>
          <w:sz w:val="21"/>
          <w:szCs w:val="21"/>
        </w:rPr>
        <w:t xml:space="preserve"> in our review. First, we </w:t>
      </w:r>
      <w:r w:rsidR="00CF79FA" w:rsidRPr="008B2B15">
        <w:rPr>
          <w:rFonts w:ascii="Calibri" w:hAnsi="Calibri" w:cs="Calibri"/>
          <w:sz w:val="21"/>
          <w:szCs w:val="21"/>
        </w:rPr>
        <w:t xml:space="preserve">classified articles as type </w:t>
      </w:r>
      <w:proofErr w:type="spellStart"/>
      <w:r w:rsidR="00CF79FA" w:rsidRPr="008B2B15">
        <w:rPr>
          <w:rFonts w:ascii="Calibri" w:hAnsi="Calibri" w:cs="Calibri"/>
          <w:sz w:val="21"/>
          <w:szCs w:val="21"/>
        </w:rPr>
        <w:t>i</w:t>
      </w:r>
      <w:proofErr w:type="spellEnd"/>
      <w:r w:rsidR="00CF79FA" w:rsidRPr="008B2B15">
        <w:rPr>
          <w:rFonts w:ascii="Calibri" w:hAnsi="Calibri" w:cs="Calibri"/>
          <w:sz w:val="21"/>
          <w:szCs w:val="21"/>
        </w:rPr>
        <w:t>) academic articles when they</w:t>
      </w:r>
      <w:r w:rsidRPr="008B2B15">
        <w:rPr>
          <w:rFonts w:ascii="Calibri" w:hAnsi="Calibri" w:cs="Calibri"/>
          <w:sz w:val="21"/>
          <w:szCs w:val="21"/>
        </w:rPr>
        <w:t xml:space="preserve"> investigate</w:t>
      </w:r>
      <w:r w:rsidR="005D4D3E" w:rsidRPr="008B2B15">
        <w:rPr>
          <w:rFonts w:ascii="Calibri" w:hAnsi="Calibri" w:cs="Calibri"/>
          <w:sz w:val="21"/>
          <w:szCs w:val="21"/>
        </w:rPr>
        <w:t xml:space="preserve"> </w:t>
      </w:r>
      <w:r w:rsidRPr="008B2B15">
        <w:rPr>
          <w:rFonts w:ascii="Calibri" w:hAnsi="Calibri" w:cs="Calibri"/>
          <w:sz w:val="21"/>
          <w:szCs w:val="21"/>
        </w:rPr>
        <w:t xml:space="preserve">empirically different </w:t>
      </w:r>
      <w:r w:rsidR="00CF79FA" w:rsidRPr="008B2B15">
        <w:rPr>
          <w:rFonts w:ascii="Calibri" w:hAnsi="Calibri" w:cs="Calibri"/>
          <w:sz w:val="21"/>
          <w:szCs w:val="21"/>
        </w:rPr>
        <w:t xml:space="preserve">investment </w:t>
      </w:r>
      <w:r w:rsidRPr="008B2B15">
        <w:rPr>
          <w:rFonts w:ascii="Calibri" w:hAnsi="Calibri" w:cs="Calibri"/>
          <w:sz w:val="21"/>
          <w:szCs w:val="21"/>
        </w:rPr>
        <w:t>barriers</w:t>
      </w:r>
      <w:r w:rsidR="003F670E" w:rsidRPr="008B2B15">
        <w:rPr>
          <w:rFonts w:ascii="Calibri" w:hAnsi="Calibri" w:cs="Calibri"/>
          <w:sz w:val="21"/>
          <w:szCs w:val="21"/>
        </w:rPr>
        <w:t xml:space="preserve"> topics as defined in this study</w:t>
      </w:r>
      <w:r w:rsidRPr="008B2B15">
        <w:rPr>
          <w:rFonts w:ascii="Calibri" w:hAnsi="Calibri" w:cs="Calibri"/>
          <w:sz w:val="21"/>
          <w:szCs w:val="21"/>
        </w:rPr>
        <w:t xml:space="preserve">, without pre-assuming the existence of one specific barrier prior to the application of the empirical method. Moreover, academic studies that conduct literature reviews or </w:t>
      </w:r>
      <w:r w:rsidR="00131A50" w:rsidRPr="008B2B15">
        <w:rPr>
          <w:rFonts w:ascii="Calibri" w:hAnsi="Calibri" w:cs="Calibri"/>
          <w:sz w:val="21"/>
          <w:szCs w:val="21"/>
        </w:rPr>
        <w:t xml:space="preserve">literature-based </w:t>
      </w:r>
      <w:r w:rsidRPr="008B2B15">
        <w:rPr>
          <w:rFonts w:ascii="Calibri" w:hAnsi="Calibri" w:cs="Calibri"/>
          <w:sz w:val="21"/>
          <w:szCs w:val="21"/>
        </w:rPr>
        <w:t xml:space="preserve">overviews on several green investment barriers are characterised as type ii) academic literature studies. Type iii) articles are studies, which investigate </w:t>
      </w:r>
      <w:r w:rsidR="003F670E" w:rsidRPr="008B2B15">
        <w:rPr>
          <w:rFonts w:ascii="Calibri" w:hAnsi="Calibri" w:cs="Calibri"/>
          <w:sz w:val="21"/>
          <w:szCs w:val="21"/>
        </w:rPr>
        <w:t>not more than two</w:t>
      </w:r>
      <w:r w:rsidRPr="008B2B15">
        <w:rPr>
          <w:rFonts w:ascii="Calibri" w:hAnsi="Calibri" w:cs="Calibri"/>
          <w:sz w:val="21"/>
          <w:szCs w:val="21"/>
        </w:rPr>
        <w:t xml:space="preserve"> green investment barrier</w:t>
      </w:r>
      <w:r w:rsidR="003F670E" w:rsidRPr="008B2B15">
        <w:rPr>
          <w:rFonts w:ascii="Calibri" w:hAnsi="Calibri" w:cs="Calibri"/>
          <w:sz w:val="21"/>
          <w:szCs w:val="21"/>
        </w:rPr>
        <w:t>s topics as defined in this study</w:t>
      </w:r>
      <w:r w:rsidR="00D44242" w:rsidRPr="008B2B15">
        <w:rPr>
          <w:rFonts w:ascii="Calibri" w:hAnsi="Calibri" w:cs="Calibri"/>
          <w:sz w:val="21"/>
          <w:szCs w:val="21"/>
        </w:rPr>
        <w:t xml:space="preserve"> (either empirically or by using a qualitative research method)</w:t>
      </w:r>
      <w:r w:rsidRPr="008B2B15">
        <w:rPr>
          <w:rFonts w:ascii="Calibri" w:hAnsi="Calibri" w:cs="Calibri"/>
          <w:sz w:val="21"/>
          <w:szCs w:val="21"/>
        </w:rPr>
        <w:t xml:space="preserve">. We are mainly interested in type </w:t>
      </w:r>
      <w:proofErr w:type="spellStart"/>
      <w:r w:rsidRPr="008B2B15">
        <w:rPr>
          <w:rFonts w:ascii="Calibri" w:hAnsi="Calibri" w:cs="Calibri"/>
          <w:sz w:val="21"/>
          <w:szCs w:val="21"/>
        </w:rPr>
        <w:t>i</w:t>
      </w:r>
      <w:proofErr w:type="spellEnd"/>
      <w:r w:rsidRPr="008B2B15">
        <w:rPr>
          <w:rFonts w:ascii="Calibri" w:hAnsi="Calibri" w:cs="Calibri"/>
          <w:sz w:val="21"/>
          <w:szCs w:val="21"/>
        </w:rPr>
        <w:t xml:space="preserve">) or type ii) studies as </w:t>
      </w:r>
      <w:r w:rsidR="00CF79FA" w:rsidRPr="008B2B15">
        <w:rPr>
          <w:rFonts w:ascii="Calibri" w:hAnsi="Calibri" w:cs="Calibri"/>
          <w:sz w:val="21"/>
          <w:szCs w:val="21"/>
        </w:rPr>
        <w:t>they</w:t>
      </w:r>
      <w:r w:rsidRPr="008B2B15">
        <w:rPr>
          <w:rFonts w:ascii="Calibri" w:hAnsi="Calibri" w:cs="Calibri"/>
          <w:sz w:val="21"/>
          <w:szCs w:val="21"/>
        </w:rPr>
        <w:t xml:space="preserve"> analyse </w:t>
      </w:r>
      <w:r w:rsidR="00CF79FA" w:rsidRPr="008B2B15">
        <w:rPr>
          <w:rFonts w:ascii="Calibri" w:hAnsi="Calibri" w:cs="Calibri"/>
          <w:sz w:val="21"/>
          <w:szCs w:val="21"/>
        </w:rPr>
        <w:t>several</w:t>
      </w:r>
      <w:r w:rsidRPr="008B2B15">
        <w:rPr>
          <w:rFonts w:ascii="Calibri" w:hAnsi="Calibri" w:cs="Calibri"/>
          <w:sz w:val="21"/>
          <w:szCs w:val="21"/>
        </w:rPr>
        <w:t xml:space="preserve"> barriers at the same time and are </w:t>
      </w:r>
      <w:r w:rsidR="00CF79FA" w:rsidRPr="008B2B15">
        <w:rPr>
          <w:rFonts w:ascii="Calibri" w:hAnsi="Calibri" w:cs="Calibri"/>
          <w:sz w:val="21"/>
          <w:szCs w:val="21"/>
        </w:rPr>
        <w:t xml:space="preserve">therefore </w:t>
      </w:r>
      <w:r w:rsidRPr="008B2B15">
        <w:rPr>
          <w:rFonts w:ascii="Calibri" w:hAnsi="Calibri" w:cs="Calibri"/>
          <w:sz w:val="21"/>
          <w:szCs w:val="21"/>
        </w:rPr>
        <w:t>deemed to be more systematic for our purpo</w:t>
      </w:r>
      <w:r w:rsidR="00CF79FA" w:rsidRPr="008B2B15">
        <w:rPr>
          <w:rFonts w:ascii="Calibri" w:hAnsi="Calibri" w:cs="Calibri"/>
          <w:sz w:val="21"/>
          <w:szCs w:val="21"/>
        </w:rPr>
        <w:t xml:space="preserve">se. </w:t>
      </w:r>
    </w:p>
    <w:p w14:paraId="1AE04192" w14:textId="77777777" w:rsidR="0052453E" w:rsidRPr="008B2B15" w:rsidRDefault="0052453E" w:rsidP="0035699F">
      <w:pPr>
        <w:spacing w:after="0" w:line="276" w:lineRule="auto"/>
        <w:rPr>
          <w:rFonts w:ascii="Calibri" w:hAnsi="Calibri" w:cs="Calibri"/>
          <w:sz w:val="21"/>
          <w:szCs w:val="21"/>
        </w:rPr>
      </w:pPr>
    </w:p>
    <w:p w14:paraId="796F9657" w14:textId="07FC1EA6" w:rsidR="004B0B15" w:rsidRPr="008B2B15" w:rsidRDefault="00CF79FA" w:rsidP="0035699F">
      <w:pPr>
        <w:spacing w:after="0" w:line="276" w:lineRule="auto"/>
        <w:rPr>
          <w:rFonts w:ascii="Calibri" w:hAnsi="Calibri" w:cs="Calibri"/>
          <w:sz w:val="21"/>
          <w:szCs w:val="21"/>
        </w:rPr>
      </w:pPr>
      <w:r w:rsidRPr="008B2B15">
        <w:rPr>
          <w:rFonts w:ascii="Calibri" w:hAnsi="Calibri" w:cs="Calibri"/>
          <w:sz w:val="21"/>
          <w:szCs w:val="21"/>
        </w:rPr>
        <w:t>Finally, we</w:t>
      </w:r>
      <w:r w:rsidR="00733023" w:rsidRPr="008B2B15">
        <w:rPr>
          <w:rFonts w:ascii="Calibri" w:hAnsi="Calibri" w:cs="Calibri"/>
          <w:sz w:val="21"/>
          <w:szCs w:val="21"/>
        </w:rPr>
        <w:t xml:space="preserve"> conducted a snowball research based on the references of </w:t>
      </w:r>
      <w:r w:rsidRPr="008B2B15">
        <w:rPr>
          <w:rFonts w:ascii="Calibri" w:hAnsi="Calibri" w:cs="Calibri"/>
          <w:sz w:val="21"/>
          <w:szCs w:val="21"/>
        </w:rPr>
        <w:t xml:space="preserve">type </w:t>
      </w:r>
      <w:proofErr w:type="spellStart"/>
      <w:r w:rsidRPr="008B2B15">
        <w:rPr>
          <w:rFonts w:ascii="Calibri" w:hAnsi="Calibri" w:cs="Calibri"/>
          <w:sz w:val="21"/>
          <w:szCs w:val="21"/>
        </w:rPr>
        <w:t>i</w:t>
      </w:r>
      <w:proofErr w:type="spellEnd"/>
      <w:r w:rsidRPr="008B2B15">
        <w:rPr>
          <w:rFonts w:ascii="Calibri" w:hAnsi="Calibri" w:cs="Calibri"/>
          <w:sz w:val="21"/>
          <w:szCs w:val="21"/>
        </w:rPr>
        <w:t xml:space="preserve">) and ii) studies </w:t>
      </w:r>
      <w:r w:rsidR="00313326" w:rsidRPr="008B2B15">
        <w:rPr>
          <w:rFonts w:ascii="Calibri" w:hAnsi="Calibri" w:cs="Calibri"/>
          <w:sz w:val="21"/>
          <w:szCs w:val="21"/>
        </w:rPr>
        <w:t xml:space="preserve">in our database, </w:t>
      </w:r>
      <w:r w:rsidRPr="008B2B15">
        <w:rPr>
          <w:rFonts w:ascii="Calibri" w:hAnsi="Calibri" w:cs="Calibri"/>
          <w:sz w:val="21"/>
          <w:szCs w:val="21"/>
        </w:rPr>
        <w:t>add</w:t>
      </w:r>
      <w:r w:rsidR="0052453E" w:rsidRPr="008B2B15">
        <w:rPr>
          <w:rFonts w:ascii="Calibri" w:hAnsi="Calibri" w:cs="Calibri"/>
          <w:sz w:val="21"/>
          <w:szCs w:val="21"/>
        </w:rPr>
        <w:t>ing</w:t>
      </w:r>
      <w:r w:rsidRPr="008B2B15">
        <w:rPr>
          <w:rFonts w:ascii="Calibri" w:hAnsi="Calibri" w:cs="Calibri"/>
          <w:sz w:val="21"/>
          <w:szCs w:val="21"/>
        </w:rPr>
        <w:t xml:space="preserve"> </w:t>
      </w:r>
      <w:r w:rsidR="00313326" w:rsidRPr="008B2B15">
        <w:rPr>
          <w:rFonts w:ascii="Calibri" w:hAnsi="Calibri" w:cs="Calibri"/>
          <w:sz w:val="21"/>
          <w:szCs w:val="21"/>
        </w:rPr>
        <w:t>additional</w:t>
      </w:r>
      <w:r w:rsidRPr="008B2B15">
        <w:rPr>
          <w:rFonts w:ascii="Calibri" w:hAnsi="Calibri" w:cs="Calibri"/>
          <w:sz w:val="21"/>
          <w:szCs w:val="21"/>
        </w:rPr>
        <w:t xml:space="preserve"> </w:t>
      </w:r>
      <w:r w:rsidR="00313326" w:rsidRPr="008B2B15">
        <w:rPr>
          <w:rFonts w:ascii="Calibri" w:hAnsi="Calibri" w:cs="Calibri"/>
          <w:sz w:val="21"/>
          <w:szCs w:val="21"/>
        </w:rPr>
        <w:t>relevant studies</w:t>
      </w:r>
      <w:r w:rsidRPr="008B2B15">
        <w:rPr>
          <w:rFonts w:ascii="Calibri" w:hAnsi="Calibri" w:cs="Calibri"/>
          <w:sz w:val="21"/>
          <w:szCs w:val="21"/>
        </w:rPr>
        <w:t xml:space="preserve"> to our article database and </w:t>
      </w:r>
      <w:r w:rsidR="0052453E" w:rsidRPr="008B2B15">
        <w:rPr>
          <w:rFonts w:ascii="Calibri" w:hAnsi="Calibri" w:cs="Calibri"/>
          <w:sz w:val="21"/>
          <w:szCs w:val="21"/>
        </w:rPr>
        <w:t xml:space="preserve">identifying </w:t>
      </w:r>
      <w:r w:rsidRPr="008B2B15">
        <w:rPr>
          <w:rFonts w:ascii="Calibri" w:hAnsi="Calibri" w:cs="Calibri"/>
          <w:sz w:val="21"/>
          <w:szCs w:val="21"/>
        </w:rPr>
        <w:t xml:space="preserve">the barriers indicated in these studies. </w:t>
      </w:r>
      <w:r w:rsidR="00313326" w:rsidRPr="008B2B15">
        <w:rPr>
          <w:rFonts w:ascii="Calibri" w:hAnsi="Calibri" w:cs="Calibri"/>
          <w:sz w:val="21"/>
          <w:szCs w:val="21"/>
        </w:rPr>
        <w:t xml:space="preserve">In order to keep our </w:t>
      </w:r>
      <w:r w:rsidR="00DF22FF" w:rsidRPr="008B2B15">
        <w:rPr>
          <w:rFonts w:ascii="Calibri" w:hAnsi="Calibri" w:cs="Calibri"/>
          <w:sz w:val="21"/>
          <w:szCs w:val="21"/>
        </w:rPr>
        <w:t>database</w:t>
      </w:r>
      <w:r w:rsidR="00313326" w:rsidRPr="008B2B15">
        <w:rPr>
          <w:rFonts w:ascii="Calibri" w:hAnsi="Calibri" w:cs="Calibri"/>
          <w:sz w:val="21"/>
          <w:szCs w:val="21"/>
        </w:rPr>
        <w:t xml:space="preserve"> manageable, we only added additional studies if they were of type </w:t>
      </w:r>
      <w:proofErr w:type="spellStart"/>
      <w:r w:rsidR="00313326" w:rsidRPr="008B2B15">
        <w:rPr>
          <w:rFonts w:ascii="Calibri" w:hAnsi="Calibri" w:cs="Calibri"/>
          <w:sz w:val="21"/>
          <w:szCs w:val="21"/>
        </w:rPr>
        <w:t>i</w:t>
      </w:r>
      <w:proofErr w:type="spellEnd"/>
      <w:r w:rsidR="00313326" w:rsidRPr="008B2B15">
        <w:rPr>
          <w:rFonts w:ascii="Calibri" w:hAnsi="Calibri" w:cs="Calibri"/>
          <w:sz w:val="21"/>
          <w:szCs w:val="21"/>
        </w:rPr>
        <w:t xml:space="preserve">) or ii). </w:t>
      </w:r>
    </w:p>
    <w:p w14:paraId="7A7A9B89" w14:textId="5F975AF4" w:rsidR="00C700C5" w:rsidRPr="008B2B15" w:rsidRDefault="00C700C5" w:rsidP="0035699F">
      <w:pPr>
        <w:spacing w:after="0" w:line="276" w:lineRule="auto"/>
        <w:rPr>
          <w:rFonts w:ascii="Calibri" w:hAnsi="Calibri" w:cs="Calibri"/>
          <w:sz w:val="21"/>
          <w:szCs w:val="21"/>
        </w:rPr>
      </w:pPr>
    </w:p>
    <w:p w14:paraId="1BAB846D" w14:textId="4FCA803A" w:rsidR="00AC61F9" w:rsidRPr="008B2B15" w:rsidRDefault="00E152FA" w:rsidP="0035699F">
      <w:pPr>
        <w:spacing w:after="0" w:line="276" w:lineRule="auto"/>
        <w:rPr>
          <w:rFonts w:ascii="Calibri" w:hAnsi="Calibri" w:cs="Calibri"/>
          <w:sz w:val="21"/>
          <w:szCs w:val="21"/>
        </w:rPr>
      </w:pPr>
      <w:r w:rsidRPr="008B2B15">
        <w:rPr>
          <w:rFonts w:ascii="Calibri" w:hAnsi="Calibri" w:cs="Calibri"/>
          <w:sz w:val="21"/>
          <w:szCs w:val="21"/>
        </w:rPr>
        <w:t>Overall,</w:t>
      </w:r>
      <w:r w:rsidR="00C700C5" w:rsidRPr="008B2B15">
        <w:rPr>
          <w:rFonts w:ascii="Calibri" w:hAnsi="Calibri" w:cs="Calibri"/>
          <w:sz w:val="21"/>
          <w:szCs w:val="21"/>
        </w:rPr>
        <w:t xml:space="preserve"> we</w:t>
      </w:r>
      <w:r w:rsidR="00BB4ED0" w:rsidRPr="008B2B15">
        <w:rPr>
          <w:rFonts w:ascii="Calibri" w:hAnsi="Calibri" w:cs="Calibri"/>
          <w:sz w:val="21"/>
          <w:szCs w:val="21"/>
        </w:rPr>
        <w:t xml:space="preserve"> found 3,357 articles from the Isi Web of Science</w:t>
      </w:r>
      <w:r w:rsidR="00B20F6D" w:rsidRPr="008B2B15">
        <w:rPr>
          <w:rFonts w:ascii="Calibri" w:hAnsi="Calibri" w:cs="Calibri"/>
          <w:sz w:val="21"/>
          <w:szCs w:val="21"/>
        </w:rPr>
        <w:t xml:space="preserve"> database and</w:t>
      </w:r>
      <w:r w:rsidR="00C700C5" w:rsidRPr="008B2B15">
        <w:rPr>
          <w:rFonts w:ascii="Calibri" w:hAnsi="Calibri" w:cs="Calibri"/>
          <w:sz w:val="21"/>
          <w:szCs w:val="21"/>
        </w:rPr>
        <w:t xml:space="preserve"> 2,049 additional academic</w:t>
      </w:r>
      <w:r w:rsidR="00BB4ED0" w:rsidRPr="008B2B15">
        <w:rPr>
          <w:rFonts w:ascii="Calibri" w:hAnsi="Calibri" w:cs="Calibri"/>
          <w:sz w:val="21"/>
          <w:szCs w:val="21"/>
        </w:rPr>
        <w:t xml:space="preserve"> articles and studies from the Scopus</w:t>
      </w:r>
      <w:r w:rsidR="00C700C5" w:rsidRPr="008B2B15">
        <w:rPr>
          <w:rFonts w:ascii="Calibri" w:hAnsi="Calibri" w:cs="Calibri"/>
          <w:sz w:val="21"/>
          <w:szCs w:val="21"/>
        </w:rPr>
        <w:t xml:space="preserve"> </w:t>
      </w:r>
      <w:r w:rsidR="003F7320" w:rsidRPr="008B2B15">
        <w:rPr>
          <w:rFonts w:ascii="Calibri" w:hAnsi="Calibri" w:cs="Calibri"/>
          <w:sz w:val="21"/>
          <w:szCs w:val="21"/>
        </w:rPr>
        <w:t xml:space="preserve">database. After reviewing them, </w:t>
      </w:r>
      <w:r w:rsidR="00C700C5" w:rsidRPr="008B2B15">
        <w:rPr>
          <w:rFonts w:ascii="Calibri" w:hAnsi="Calibri" w:cs="Calibri"/>
          <w:sz w:val="21"/>
          <w:szCs w:val="21"/>
        </w:rPr>
        <w:t xml:space="preserve">determining their relevance to our </w:t>
      </w:r>
      <w:r w:rsidR="00C700C5" w:rsidRPr="008B2B15">
        <w:rPr>
          <w:rFonts w:ascii="Calibri" w:hAnsi="Calibri" w:cs="Calibri"/>
          <w:sz w:val="21"/>
          <w:szCs w:val="21"/>
        </w:rPr>
        <w:lastRenderedPageBreak/>
        <w:t>research question</w:t>
      </w:r>
      <w:r w:rsidR="003F7320" w:rsidRPr="008B2B15">
        <w:rPr>
          <w:rFonts w:ascii="Calibri" w:hAnsi="Calibri" w:cs="Calibri"/>
          <w:sz w:val="21"/>
          <w:szCs w:val="21"/>
        </w:rPr>
        <w:t xml:space="preserve"> and performing a snowball search</w:t>
      </w:r>
      <w:r w:rsidR="00A24AFE" w:rsidRPr="008B2B15">
        <w:rPr>
          <w:rFonts w:ascii="Calibri" w:hAnsi="Calibri" w:cs="Calibri"/>
          <w:sz w:val="21"/>
          <w:szCs w:val="21"/>
        </w:rPr>
        <w:t>, w</w:t>
      </w:r>
      <w:r w:rsidR="00ED261C" w:rsidRPr="008B2B15">
        <w:rPr>
          <w:rFonts w:ascii="Calibri" w:hAnsi="Calibri" w:cs="Calibri"/>
          <w:sz w:val="21"/>
          <w:szCs w:val="21"/>
        </w:rPr>
        <w:t>e identified 42</w:t>
      </w:r>
      <w:r w:rsidR="00C700C5" w:rsidRPr="008B2B15">
        <w:rPr>
          <w:rFonts w:ascii="Calibri" w:hAnsi="Calibri" w:cs="Calibri"/>
          <w:sz w:val="21"/>
          <w:szCs w:val="21"/>
        </w:rPr>
        <w:t xml:space="preserve"> type </w:t>
      </w:r>
      <w:proofErr w:type="spellStart"/>
      <w:r w:rsidR="00C700C5" w:rsidRPr="008B2B15">
        <w:rPr>
          <w:rFonts w:ascii="Calibri" w:hAnsi="Calibri" w:cs="Calibri"/>
          <w:sz w:val="21"/>
          <w:szCs w:val="21"/>
        </w:rPr>
        <w:t>i</w:t>
      </w:r>
      <w:proofErr w:type="spellEnd"/>
      <w:r w:rsidR="00C700C5" w:rsidRPr="008B2B15">
        <w:rPr>
          <w:rFonts w:ascii="Calibri" w:hAnsi="Calibri" w:cs="Calibri"/>
          <w:sz w:val="21"/>
          <w:szCs w:val="21"/>
        </w:rPr>
        <w:t>) and ii) articles an</w:t>
      </w:r>
      <w:r w:rsidR="00ED261C" w:rsidRPr="008B2B15">
        <w:rPr>
          <w:rFonts w:ascii="Calibri" w:hAnsi="Calibri" w:cs="Calibri"/>
          <w:sz w:val="21"/>
          <w:szCs w:val="21"/>
        </w:rPr>
        <w:t>d 31 type iii) articles, thus 73</w:t>
      </w:r>
      <w:r w:rsidR="00C700C5" w:rsidRPr="008B2B15">
        <w:rPr>
          <w:rFonts w:ascii="Calibri" w:hAnsi="Calibri" w:cs="Calibri"/>
          <w:sz w:val="21"/>
          <w:szCs w:val="21"/>
        </w:rPr>
        <w:t xml:space="preserve"> academic articles in total. </w:t>
      </w:r>
    </w:p>
    <w:p w14:paraId="1166EB57" w14:textId="77777777" w:rsidR="00782E04" w:rsidRPr="008B2B15" w:rsidRDefault="00782E04" w:rsidP="00AB5055">
      <w:pPr>
        <w:spacing w:after="0" w:line="276" w:lineRule="auto"/>
        <w:rPr>
          <w:rFonts w:ascii="Calibri" w:hAnsi="Calibri" w:cs="Calibri"/>
          <w:sz w:val="21"/>
          <w:szCs w:val="21"/>
        </w:rPr>
      </w:pPr>
    </w:p>
    <w:p w14:paraId="6524C2C4" w14:textId="027FBDDF" w:rsidR="00AB5055" w:rsidRPr="008B2B15" w:rsidRDefault="00AB5055" w:rsidP="00AB5055">
      <w:pPr>
        <w:spacing w:after="0" w:line="276" w:lineRule="auto"/>
        <w:rPr>
          <w:rFonts w:ascii="Calibri" w:hAnsi="Calibri" w:cs="Calibri"/>
          <w:sz w:val="21"/>
          <w:szCs w:val="21"/>
        </w:rPr>
      </w:pPr>
      <w:r w:rsidRPr="008B2B15">
        <w:rPr>
          <w:rFonts w:ascii="Calibri" w:hAnsi="Calibri" w:cs="Calibri"/>
          <w:sz w:val="21"/>
          <w:szCs w:val="21"/>
        </w:rPr>
        <w:t xml:space="preserve">We identified three other important barriers in the academic literature that were not included in the policy documents, including the following: (1) Complex and long administration processes mainly due to electricity market regulations, (2) Attitudes of the public, resistance of society and (3) path-dependency or lock-in. The emergence of these additional topics </w:t>
      </w:r>
      <w:proofErr w:type="gramStart"/>
      <w:r w:rsidRPr="008B2B15">
        <w:rPr>
          <w:rFonts w:ascii="Calibri" w:hAnsi="Calibri" w:cs="Calibri"/>
          <w:sz w:val="21"/>
          <w:szCs w:val="21"/>
        </w:rPr>
        <w:t>might be related</w:t>
      </w:r>
      <w:proofErr w:type="gramEnd"/>
      <w:r w:rsidRPr="008B2B15">
        <w:rPr>
          <w:rFonts w:ascii="Calibri" w:hAnsi="Calibri" w:cs="Calibri"/>
          <w:sz w:val="21"/>
          <w:szCs w:val="21"/>
        </w:rPr>
        <w:t xml:space="preserve"> to the fact that academic literature ofte</w:t>
      </w:r>
      <w:r w:rsidR="00BB4ED0" w:rsidRPr="008B2B15">
        <w:rPr>
          <w:rFonts w:ascii="Calibri" w:hAnsi="Calibri" w:cs="Calibri"/>
          <w:sz w:val="21"/>
          <w:szCs w:val="21"/>
        </w:rPr>
        <w:t>n include</w:t>
      </w:r>
      <w:r w:rsidR="00A82291">
        <w:rPr>
          <w:rFonts w:ascii="Calibri" w:hAnsi="Calibri" w:cs="Calibri"/>
          <w:sz w:val="21"/>
          <w:szCs w:val="21"/>
        </w:rPr>
        <w:t>s</w:t>
      </w:r>
      <w:r w:rsidR="00BB4ED0" w:rsidRPr="008B2B15">
        <w:rPr>
          <w:rFonts w:ascii="Calibri" w:hAnsi="Calibri" w:cs="Calibri"/>
          <w:sz w:val="21"/>
          <w:szCs w:val="21"/>
        </w:rPr>
        <w:t xml:space="preserve"> energy developers or </w:t>
      </w:r>
      <w:r w:rsidRPr="008B2B15">
        <w:rPr>
          <w:rFonts w:ascii="Calibri" w:hAnsi="Calibri" w:cs="Calibri"/>
          <w:sz w:val="21"/>
          <w:szCs w:val="21"/>
        </w:rPr>
        <w:t>energ</w:t>
      </w:r>
      <w:r w:rsidR="00BB4ED0" w:rsidRPr="008B2B15">
        <w:rPr>
          <w:rFonts w:ascii="Calibri" w:hAnsi="Calibri" w:cs="Calibri"/>
          <w:sz w:val="21"/>
          <w:szCs w:val="21"/>
        </w:rPr>
        <w:t>y</w:t>
      </w:r>
      <w:r w:rsidRPr="008B2B15">
        <w:rPr>
          <w:rFonts w:ascii="Calibri" w:hAnsi="Calibri" w:cs="Calibri"/>
          <w:sz w:val="21"/>
          <w:szCs w:val="21"/>
        </w:rPr>
        <w:t xml:space="preserve"> firms as investors whereas policy-reports and interviews focused on financial investors. </w:t>
      </w:r>
    </w:p>
    <w:p w14:paraId="2F660314" w14:textId="77777777" w:rsidR="00AB5055" w:rsidRPr="008B2B15" w:rsidRDefault="00AB5055" w:rsidP="00AC61F9">
      <w:pPr>
        <w:spacing w:after="0" w:line="276" w:lineRule="auto"/>
        <w:rPr>
          <w:rFonts w:ascii="Calibri" w:hAnsi="Calibri" w:cs="Calibri"/>
          <w:sz w:val="21"/>
          <w:szCs w:val="21"/>
        </w:rPr>
      </w:pPr>
    </w:p>
    <w:p w14:paraId="0B648185" w14:textId="2F447FCE" w:rsidR="0052453E" w:rsidRPr="008B2B15" w:rsidRDefault="00AC61F9" w:rsidP="00E80951">
      <w:pPr>
        <w:spacing w:line="276" w:lineRule="auto"/>
        <w:rPr>
          <w:rFonts w:ascii="Calibri" w:hAnsi="Calibri" w:cs="Calibri"/>
          <w:sz w:val="21"/>
          <w:szCs w:val="21"/>
        </w:rPr>
      </w:pPr>
      <w:r w:rsidRPr="008B2B15">
        <w:rPr>
          <w:rFonts w:ascii="Calibri" w:hAnsi="Calibri" w:cs="Calibri"/>
          <w:sz w:val="21"/>
          <w:szCs w:val="21"/>
        </w:rPr>
        <w:t xml:space="preserve">We acknowledge that there is a need to understand the relevant barriers for the different types of investors as pointed out in earlier research (e.g. Wells et al., 2013; </w:t>
      </w:r>
      <w:proofErr w:type="spellStart"/>
      <w:r w:rsidRPr="008B2B15">
        <w:rPr>
          <w:rFonts w:ascii="Calibri" w:hAnsi="Calibri" w:cs="Calibri"/>
          <w:sz w:val="21"/>
          <w:szCs w:val="21"/>
        </w:rPr>
        <w:t>Mazzucato</w:t>
      </w:r>
      <w:proofErr w:type="spellEnd"/>
      <w:r w:rsidRPr="008B2B15">
        <w:rPr>
          <w:rFonts w:ascii="Calibri" w:hAnsi="Calibri" w:cs="Calibri"/>
          <w:sz w:val="21"/>
          <w:szCs w:val="21"/>
        </w:rPr>
        <w:t xml:space="preserve"> &amp; </w:t>
      </w:r>
      <w:proofErr w:type="spellStart"/>
      <w:r w:rsidRPr="008B2B15">
        <w:rPr>
          <w:rFonts w:ascii="Calibri" w:hAnsi="Calibri" w:cs="Calibri"/>
          <w:sz w:val="21"/>
          <w:szCs w:val="21"/>
        </w:rPr>
        <w:t>Semieniuk</w:t>
      </w:r>
      <w:proofErr w:type="spellEnd"/>
      <w:r w:rsidRPr="008B2B15">
        <w:rPr>
          <w:rFonts w:ascii="Calibri" w:hAnsi="Calibri" w:cs="Calibri"/>
          <w:sz w:val="21"/>
          <w:szCs w:val="21"/>
        </w:rPr>
        <w:t>, 2018), which is why our</w:t>
      </w:r>
      <w:r w:rsidR="0078551B" w:rsidRPr="008B2B15">
        <w:rPr>
          <w:rFonts w:ascii="Calibri" w:hAnsi="Calibri" w:cs="Calibri"/>
          <w:sz w:val="21"/>
          <w:szCs w:val="21"/>
        </w:rPr>
        <w:t xml:space="preserve"> overview tables 4a, 5a and 6</w:t>
      </w:r>
      <w:r w:rsidRPr="008B2B15">
        <w:rPr>
          <w:rFonts w:ascii="Calibri" w:hAnsi="Calibri" w:cs="Calibri"/>
          <w:sz w:val="21"/>
          <w:szCs w:val="21"/>
        </w:rPr>
        <w:t xml:space="preserve">a indicate from which investor type perspective </w:t>
      </w:r>
      <w:r w:rsidR="00AB5055" w:rsidRPr="008B2B15">
        <w:rPr>
          <w:rFonts w:ascii="Calibri" w:hAnsi="Calibri" w:cs="Calibri"/>
          <w:sz w:val="21"/>
          <w:szCs w:val="21"/>
        </w:rPr>
        <w:t>academic studies</w:t>
      </w:r>
      <w:r w:rsidRPr="008B2B15">
        <w:rPr>
          <w:rFonts w:ascii="Calibri" w:hAnsi="Calibri" w:cs="Calibri"/>
          <w:sz w:val="21"/>
          <w:szCs w:val="21"/>
        </w:rPr>
        <w:t xml:space="preserve"> </w:t>
      </w:r>
      <w:r w:rsidR="00AB5055" w:rsidRPr="008B2B15">
        <w:rPr>
          <w:rFonts w:ascii="Calibri" w:hAnsi="Calibri" w:cs="Calibri"/>
          <w:sz w:val="21"/>
          <w:szCs w:val="21"/>
        </w:rPr>
        <w:t>have</w:t>
      </w:r>
      <w:r w:rsidRPr="008B2B15">
        <w:rPr>
          <w:rFonts w:ascii="Calibri" w:hAnsi="Calibri" w:cs="Calibri"/>
          <w:sz w:val="21"/>
          <w:szCs w:val="21"/>
        </w:rPr>
        <w:t xml:space="preserve"> been written. Moreover, for our research question the perspective of financial investors (e.g. institutional investors) </w:t>
      </w:r>
      <w:proofErr w:type="gramStart"/>
      <w:r w:rsidRPr="008B2B15">
        <w:rPr>
          <w:rFonts w:ascii="Calibri" w:hAnsi="Calibri" w:cs="Calibri"/>
          <w:sz w:val="21"/>
          <w:szCs w:val="21"/>
        </w:rPr>
        <w:t>are considered</w:t>
      </w:r>
      <w:proofErr w:type="gramEnd"/>
      <w:r w:rsidRPr="008B2B15">
        <w:rPr>
          <w:rFonts w:ascii="Calibri" w:hAnsi="Calibri" w:cs="Calibri"/>
          <w:sz w:val="21"/>
          <w:szCs w:val="21"/>
        </w:rPr>
        <w:t xml:space="preserve"> more relevant</w:t>
      </w:r>
      <w:r w:rsidR="00782E04" w:rsidRPr="008B2B15">
        <w:rPr>
          <w:rFonts w:ascii="Calibri" w:hAnsi="Calibri" w:cs="Calibri"/>
          <w:sz w:val="21"/>
          <w:szCs w:val="21"/>
        </w:rPr>
        <w:t xml:space="preserve"> than the perspective of energy developers</w:t>
      </w:r>
      <w:r w:rsidRPr="008B2B15">
        <w:rPr>
          <w:rFonts w:ascii="Calibri" w:hAnsi="Calibri" w:cs="Calibri"/>
          <w:sz w:val="21"/>
          <w:szCs w:val="21"/>
        </w:rPr>
        <w:t xml:space="preserve">. </w:t>
      </w:r>
      <w:r w:rsidR="00782E04" w:rsidRPr="008B2B15">
        <w:rPr>
          <w:rFonts w:ascii="Calibri" w:hAnsi="Calibri" w:cs="Calibri"/>
          <w:sz w:val="21"/>
          <w:szCs w:val="21"/>
        </w:rPr>
        <w:t>This is because we are mainly interested on how to increase green investments from alternative financing sources</w:t>
      </w:r>
      <w:r w:rsidR="00B20F6D" w:rsidRPr="008B2B15">
        <w:rPr>
          <w:rFonts w:ascii="Calibri" w:hAnsi="Calibri" w:cs="Calibri"/>
          <w:sz w:val="21"/>
          <w:szCs w:val="21"/>
        </w:rPr>
        <w:t>,</w:t>
      </w:r>
      <w:r w:rsidR="00782E04" w:rsidRPr="008B2B15">
        <w:rPr>
          <w:rFonts w:ascii="Calibri" w:hAnsi="Calibri" w:cs="Calibri"/>
          <w:sz w:val="21"/>
          <w:szCs w:val="21"/>
        </w:rPr>
        <w:t xml:space="preserve"> </w:t>
      </w:r>
      <w:r w:rsidR="00B20F6D" w:rsidRPr="008B2B15">
        <w:rPr>
          <w:rFonts w:ascii="Calibri" w:hAnsi="Calibri" w:cs="Calibri"/>
          <w:sz w:val="21"/>
          <w:szCs w:val="21"/>
        </w:rPr>
        <w:t xml:space="preserve">i.e. other than from energy firms, </w:t>
      </w:r>
      <w:r w:rsidR="00782E04" w:rsidRPr="008B2B15">
        <w:rPr>
          <w:rFonts w:ascii="Calibri" w:hAnsi="Calibri" w:cs="Calibri"/>
          <w:sz w:val="21"/>
          <w:szCs w:val="21"/>
        </w:rPr>
        <w:t xml:space="preserve">as this will be required for the scale and urgency of the green finance challenge related to a rapid energy transition in the UK or comparable countries. </w:t>
      </w:r>
      <w:r w:rsidRPr="008B2B15">
        <w:rPr>
          <w:rFonts w:ascii="Calibri" w:hAnsi="Calibri" w:cs="Calibri"/>
          <w:sz w:val="21"/>
          <w:szCs w:val="21"/>
        </w:rPr>
        <w:t>Therefore, reported results</w:t>
      </w:r>
      <w:r w:rsidR="00AB5055" w:rsidRPr="008B2B15">
        <w:rPr>
          <w:rFonts w:ascii="Calibri" w:hAnsi="Calibri" w:cs="Calibri"/>
          <w:sz w:val="21"/>
          <w:szCs w:val="21"/>
        </w:rPr>
        <w:t xml:space="preserve"> in section 3 </w:t>
      </w:r>
      <w:r w:rsidRPr="008B2B15">
        <w:rPr>
          <w:rFonts w:ascii="Calibri" w:hAnsi="Calibri" w:cs="Calibri"/>
          <w:sz w:val="21"/>
          <w:szCs w:val="21"/>
        </w:rPr>
        <w:t xml:space="preserve">refer only to those studies that investigated investment barriers from the perspective of </w:t>
      </w:r>
      <w:r w:rsidR="00294697" w:rsidRPr="008B2B15">
        <w:rPr>
          <w:rFonts w:ascii="Calibri" w:hAnsi="Calibri" w:cs="Calibri"/>
          <w:sz w:val="21"/>
          <w:szCs w:val="21"/>
        </w:rPr>
        <w:t xml:space="preserve">financial investors. </w:t>
      </w:r>
      <w:r w:rsidRPr="008B2B15">
        <w:rPr>
          <w:rFonts w:ascii="Calibri" w:hAnsi="Calibri" w:cs="Calibri"/>
          <w:sz w:val="21"/>
          <w:szCs w:val="21"/>
        </w:rPr>
        <w:t xml:space="preserve">That is, </w:t>
      </w:r>
      <w:r w:rsidR="00294697" w:rsidRPr="008B2B15">
        <w:rPr>
          <w:rFonts w:ascii="Calibri" w:hAnsi="Calibri" w:cs="Calibri"/>
          <w:sz w:val="21"/>
          <w:szCs w:val="21"/>
        </w:rPr>
        <w:t>we</w:t>
      </w:r>
      <w:r w:rsidRPr="008B2B15">
        <w:rPr>
          <w:rFonts w:ascii="Calibri" w:hAnsi="Calibri" w:cs="Calibri"/>
          <w:sz w:val="21"/>
          <w:szCs w:val="21"/>
        </w:rPr>
        <w:t xml:space="preserve"> exclude</w:t>
      </w:r>
      <w:r w:rsidR="00294697" w:rsidRPr="008B2B15">
        <w:rPr>
          <w:rFonts w:ascii="Calibri" w:hAnsi="Calibri" w:cs="Calibri"/>
          <w:sz w:val="21"/>
          <w:szCs w:val="21"/>
        </w:rPr>
        <w:t>d in the result section</w:t>
      </w:r>
      <w:r w:rsidRPr="008B2B15">
        <w:rPr>
          <w:rFonts w:ascii="Calibri" w:hAnsi="Calibri" w:cs="Calibri"/>
          <w:sz w:val="21"/>
          <w:szCs w:val="21"/>
        </w:rPr>
        <w:t xml:space="preserve"> the studies which report barriers only from the p</w:t>
      </w:r>
      <w:r w:rsidR="00B20F6D" w:rsidRPr="008B2B15">
        <w:rPr>
          <w:rFonts w:ascii="Calibri" w:hAnsi="Calibri" w:cs="Calibri"/>
          <w:sz w:val="21"/>
          <w:szCs w:val="21"/>
        </w:rPr>
        <w:t xml:space="preserve">erspective of energy developers or other actors within the </w:t>
      </w:r>
      <w:r w:rsidRPr="008B2B15">
        <w:rPr>
          <w:rFonts w:ascii="Calibri" w:hAnsi="Calibri" w:cs="Calibri"/>
          <w:sz w:val="21"/>
          <w:szCs w:val="21"/>
        </w:rPr>
        <w:t>energy industry or when the in</w:t>
      </w:r>
      <w:r w:rsidR="00E80951">
        <w:rPr>
          <w:rFonts w:ascii="Calibri" w:hAnsi="Calibri" w:cs="Calibri"/>
          <w:sz w:val="21"/>
          <w:szCs w:val="21"/>
        </w:rPr>
        <w:t xml:space="preserve">vestor type </w:t>
      </w:r>
      <w:proofErr w:type="gramStart"/>
      <w:r w:rsidR="00E80951">
        <w:rPr>
          <w:rFonts w:ascii="Calibri" w:hAnsi="Calibri" w:cs="Calibri"/>
          <w:sz w:val="21"/>
          <w:szCs w:val="21"/>
        </w:rPr>
        <w:t>was not specified</w:t>
      </w:r>
      <w:proofErr w:type="gramEnd"/>
      <w:r w:rsidR="00E80951">
        <w:rPr>
          <w:rFonts w:ascii="Calibri" w:hAnsi="Calibri" w:cs="Calibri"/>
          <w:sz w:val="21"/>
          <w:szCs w:val="21"/>
        </w:rPr>
        <w:t xml:space="preserve">. </w:t>
      </w:r>
    </w:p>
    <w:p w14:paraId="48E77719" w14:textId="7E218E5F" w:rsidR="001F5B14" w:rsidRPr="008B2B15" w:rsidRDefault="001F5B14" w:rsidP="00E80951">
      <w:pPr>
        <w:pStyle w:val="Heading3"/>
        <w:numPr>
          <w:ilvl w:val="1"/>
          <w:numId w:val="3"/>
        </w:numPr>
        <w:spacing w:after="240" w:line="276" w:lineRule="auto"/>
        <w:rPr>
          <w:sz w:val="21"/>
          <w:szCs w:val="21"/>
        </w:rPr>
      </w:pPr>
      <w:r w:rsidRPr="008B2B15">
        <w:rPr>
          <w:sz w:val="21"/>
          <w:szCs w:val="21"/>
        </w:rPr>
        <w:t xml:space="preserve">Interviews </w:t>
      </w:r>
    </w:p>
    <w:p w14:paraId="7695417C" w14:textId="3566745B" w:rsidR="00365278" w:rsidRPr="008B2B15" w:rsidRDefault="00365278" w:rsidP="00E80951">
      <w:pPr>
        <w:spacing w:after="0" w:line="276" w:lineRule="auto"/>
        <w:rPr>
          <w:rFonts w:ascii="Calibri" w:hAnsi="Calibri" w:cs="Calibri"/>
          <w:sz w:val="21"/>
          <w:szCs w:val="21"/>
        </w:rPr>
      </w:pPr>
      <w:r w:rsidRPr="008B2B15">
        <w:rPr>
          <w:rFonts w:ascii="Calibri" w:hAnsi="Calibri" w:cs="Calibri"/>
          <w:sz w:val="21"/>
          <w:szCs w:val="21"/>
        </w:rPr>
        <w:t>We collected p</w:t>
      </w:r>
      <w:r w:rsidR="00884D05" w:rsidRPr="008B2B15">
        <w:rPr>
          <w:rFonts w:ascii="Calibri" w:hAnsi="Calibri" w:cs="Calibri"/>
          <w:sz w:val="21"/>
          <w:szCs w:val="21"/>
        </w:rPr>
        <w:t>rimary qualitative data through in-depth semi-struc</w:t>
      </w:r>
      <w:r w:rsidR="0004715B" w:rsidRPr="008B2B15">
        <w:rPr>
          <w:rFonts w:ascii="Calibri" w:hAnsi="Calibri" w:cs="Calibri"/>
          <w:sz w:val="21"/>
          <w:szCs w:val="21"/>
        </w:rPr>
        <w:t>tured and structured interviews (</w:t>
      </w:r>
      <w:proofErr w:type="spellStart"/>
      <w:r w:rsidR="0004715B" w:rsidRPr="008B2B15">
        <w:rPr>
          <w:rFonts w:ascii="Calibri" w:hAnsi="Calibri" w:cs="Calibri"/>
          <w:sz w:val="21"/>
          <w:szCs w:val="21"/>
        </w:rPr>
        <w:t>Bryman</w:t>
      </w:r>
      <w:proofErr w:type="spellEnd"/>
      <w:r w:rsidR="0004715B" w:rsidRPr="008B2B15">
        <w:rPr>
          <w:rFonts w:ascii="Calibri" w:hAnsi="Calibri" w:cs="Calibri"/>
          <w:sz w:val="21"/>
          <w:szCs w:val="21"/>
        </w:rPr>
        <w:t xml:space="preserve">, 2008). Our interviews </w:t>
      </w:r>
      <w:proofErr w:type="gramStart"/>
      <w:r w:rsidR="0004715B" w:rsidRPr="008B2B15">
        <w:rPr>
          <w:rFonts w:ascii="Calibri" w:hAnsi="Calibri" w:cs="Calibri"/>
          <w:sz w:val="21"/>
          <w:szCs w:val="21"/>
        </w:rPr>
        <w:t>were conducted</w:t>
      </w:r>
      <w:proofErr w:type="gramEnd"/>
      <w:r w:rsidR="0004715B" w:rsidRPr="008B2B15">
        <w:rPr>
          <w:rFonts w:ascii="Calibri" w:hAnsi="Calibri" w:cs="Calibri"/>
          <w:sz w:val="21"/>
          <w:szCs w:val="21"/>
        </w:rPr>
        <w:t xml:space="preserve"> </w:t>
      </w:r>
      <w:r w:rsidR="00884D05" w:rsidRPr="008B2B15">
        <w:rPr>
          <w:rFonts w:ascii="Calibri" w:hAnsi="Calibri" w:cs="Calibri"/>
          <w:sz w:val="21"/>
          <w:szCs w:val="21"/>
        </w:rPr>
        <w:t>with private investors, asset-ow</w:t>
      </w:r>
      <w:r w:rsidR="00131A50" w:rsidRPr="008B2B15">
        <w:rPr>
          <w:rFonts w:ascii="Calibri" w:hAnsi="Calibri" w:cs="Calibri"/>
          <w:sz w:val="21"/>
          <w:szCs w:val="21"/>
        </w:rPr>
        <w:t xml:space="preserve">ners and asset-managers, banks and </w:t>
      </w:r>
      <w:r w:rsidR="00884D05" w:rsidRPr="008B2B15">
        <w:rPr>
          <w:rFonts w:ascii="Calibri" w:hAnsi="Calibri" w:cs="Calibri"/>
          <w:sz w:val="21"/>
          <w:szCs w:val="21"/>
        </w:rPr>
        <w:t>pension funds</w:t>
      </w:r>
      <w:r w:rsidR="00131A50" w:rsidRPr="008B2B15">
        <w:rPr>
          <w:rFonts w:ascii="Calibri" w:hAnsi="Calibri" w:cs="Calibri"/>
          <w:sz w:val="21"/>
          <w:szCs w:val="21"/>
        </w:rPr>
        <w:t xml:space="preserve"> representatives</w:t>
      </w:r>
      <w:r w:rsidR="00884D05" w:rsidRPr="008B2B15">
        <w:rPr>
          <w:rFonts w:ascii="Calibri" w:hAnsi="Calibri" w:cs="Calibri"/>
          <w:sz w:val="21"/>
          <w:szCs w:val="21"/>
        </w:rPr>
        <w:t>, actuaries and academic researchers with experti</w:t>
      </w:r>
      <w:r w:rsidR="00131A50" w:rsidRPr="008B2B15">
        <w:rPr>
          <w:rFonts w:ascii="Calibri" w:hAnsi="Calibri" w:cs="Calibri"/>
          <w:sz w:val="21"/>
          <w:szCs w:val="21"/>
        </w:rPr>
        <w:t>se in investment decisions</w:t>
      </w:r>
      <w:r w:rsidR="00D51818" w:rsidRPr="008B2B15">
        <w:rPr>
          <w:rFonts w:ascii="Calibri" w:hAnsi="Calibri" w:cs="Calibri"/>
          <w:sz w:val="21"/>
          <w:szCs w:val="21"/>
        </w:rPr>
        <w:t xml:space="preserve">. </w:t>
      </w:r>
      <w:r w:rsidR="00DB0D23" w:rsidRPr="008B2B15">
        <w:rPr>
          <w:rFonts w:ascii="Calibri" w:hAnsi="Calibri" w:cs="Calibri"/>
          <w:sz w:val="21"/>
          <w:szCs w:val="21"/>
        </w:rPr>
        <w:t>C</w:t>
      </w:r>
      <w:r w:rsidR="00D51818" w:rsidRPr="008B2B15">
        <w:rPr>
          <w:rFonts w:ascii="Calibri" w:hAnsi="Calibri" w:cs="Calibri"/>
          <w:sz w:val="21"/>
          <w:szCs w:val="21"/>
        </w:rPr>
        <w:t>onducti</w:t>
      </w:r>
      <w:r w:rsidR="00DB0D23" w:rsidRPr="008B2B15">
        <w:rPr>
          <w:rFonts w:ascii="Calibri" w:hAnsi="Calibri" w:cs="Calibri"/>
          <w:sz w:val="21"/>
          <w:szCs w:val="21"/>
        </w:rPr>
        <w:t>ng</w:t>
      </w:r>
      <w:r w:rsidR="00D51818" w:rsidRPr="008B2B15">
        <w:rPr>
          <w:rFonts w:ascii="Calibri" w:hAnsi="Calibri" w:cs="Calibri"/>
          <w:sz w:val="21"/>
          <w:szCs w:val="21"/>
        </w:rPr>
        <w:t xml:space="preserve"> semi-structured interviews </w:t>
      </w:r>
      <w:r w:rsidR="00DB0D23" w:rsidRPr="008B2B15">
        <w:rPr>
          <w:rFonts w:ascii="Calibri" w:hAnsi="Calibri" w:cs="Calibri"/>
          <w:sz w:val="21"/>
          <w:szCs w:val="21"/>
        </w:rPr>
        <w:t xml:space="preserve">as </w:t>
      </w:r>
      <w:r w:rsidR="00D51818" w:rsidRPr="008B2B15">
        <w:rPr>
          <w:rFonts w:ascii="Calibri" w:hAnsi="Calibri" w:cs="Calibri"/>
          <w:sz w:val="21"/>
          <w:szCs w:val="21"/>
        </w:rPr>
        <w:t xml:space="preserve">a first step allowed us </w:t>
      </w:r>
      <w:r w:rsidR="0004715B" w:rsidRPr="008B2B15">
        <w:rPr>
          <w:rFonts w:ascii="Calibri" w:hAnsi="Calibri" w:cs="Calibri"/>
          <w:sz w:val="21"/>
          <w:szCs w:val="21"/>
        </w:rPr>
        <w:t xml:space="preserve">to explore key topics in the perceptions of the interviewed investors or investment experts in a more flexible way (e.g. </w:t>
      </w:r>
      <w:proofErr w:type="spellStart"/>
      <w:r w:rsidR="0004715B" w:rsidRPr="008B2B15">
        <w:rPr>
          <w:rFonts w:ascii="Calibri" w:hAnsi="Calibri" w:cs="Calibri"/>
          <w:sz w:val="21"/>
          <w:szCs w:val="21"/>
        </w:rPr>
        <w:t>Bryman</w:t>
      </w:r>
      <w:proofErr w:type="spellEnd"/>
      <w:r w:rsidR="0004715B" w:rsidRPr="008B2B15">
        <w:rPr>
          <w:rFonts w:ascii="Calibri" w:hAnsi="Calibri" w:cs="Calibri"/>
          <w:sz w:val="21"/>
          <w:szCs w:val="21"/>
        </w:rPr>
        <w:t>, 2008)</w:t>
      </w:r>
      <w:r w:rsidR="00DB0D23" w:rsidRPr="008B2B15">
        <w:rPr>
          <w:rFonts w:ascii="Calibri" w:hAnsi="Calibri" w:cs="Calibri"/>
          <w:sz w:val="21"/>
          <w:szCs w:val="21"/>
        </w:rPr>
        <w:t xml:space="preserve">. Once data saturation appeared to </w:t>
      </w:r>
      <w:proofErr w:type="gramStart"/>
      <w:r w:rsidR="00DB0D23" w:rsidRPr="008B2B15">
        <w:rPr>
          <w:rFonts w:ascii="Calibri" w:hAnsi="Calibri" w:cs="Calibri"/>
          <w:sz w:val="21"/>
          <w:szCs w:val="21"/>
        </w:rPr>
        <w:t>have been achieved</w:t>
      </w:r>
      <w:proofErr w:type="gramEnd"/>
      <w:r w:rsidR="00DB0D23" w:rsidRPr="008B2B15">
        <w:rPr>
          <w:rFonts w:ascii="Calibri" w:hAnsi="Calibri" w:cs="Calibri"/>
          <w:sz w:val="21"/>
          <w:szCs w:val="21"/>
        </w:rPr>
        <w:t xml:space="preserve"> through the semi-structured interviews a set of structured questions were developed and a further set of interviews conducted to explore specific issues in more detail.</w:t>
      </w:r>
      <w:r w:rsidR="004C6CC7" w:rsidRPr="008B2B15">
        <w:rPr>
          <w:rFonts w:ascii="Calibri" w:hAnsi="Calibri" w:cs="Calibri"/>
          <w:sz w:val="21"/>
          <w:szCs w:val="21"/>
        </w:rPr>
        <w:t xml:space="preserve"> </w:t>
      </w:r>
      <w:r w:rsidR="00884D05" w:rsidRPr="008B2B15">
        <w:rPr>
          <w:rFonts w:ascii="Calibri" w:hAnsi="Calibri" w:cs="Calibri"/>
          <w:sz w:val="21"/>
          <w:szCs w:val="21"/>
        </w:rPr>
        <w:t xml:space="preserve">The questions for the semi-structured interviews are in </w:t>
      </w:r>
      <w:r w:rsidR="00D44242" w:rsidRPr="008B2B15">
        <w:rPr>
          <w:rFonts w:ascii="Calibri" w:hAnsi="Calibri" w:cs="Calibri"/>
          <w:sz w:val="21"/>
          <w:szCs w:val="21"/>
        </w:rPr>
        <w:t xml:space="preserve">the supplementary </w:t>
      </w:r>
      <w:r w:rsidR="00782E04" w:rsidRPr="008B2B15">
        <w:rPr>
          <w:rFonts w:ascii="Calibri" w:hAnsi="Calibri" w:cs="Calibri"/>
          <w:sz w:val="21"/>
          <w:szCs w:val="21"/>
        </w:rPr>
        <w:t>material</w:t>
      </w:r>
      <w:r w:rsidR="00D44242" w:rsidRPr="008B2B15">
        <w:rPr>
          <w:rFonts w:ascii="Calibri" w:hAnsi="Calibri" w:cs="Calibri"/>
          <w:sz w:val="21"/>
          <w:szCs w:val="21"/>
        </w:rPr>
        <w:t xml:space="preserve"> </w:t>
      </w:r>
      <w:r w:rsidR="00782E04" w:rsidRPr="008B2B15">
        <w:rPr>
          <w:rFonts w:ascii="Calibri" w:hAnsi="Calibri" w:cs="Calibri"/>
          <w:sz w:val="21"/>
          <w:szCs w:val="21"/>
        </w:rPr>
        <w:t>(</w:t>
      </w:r>
      <w:r w:rsidR="00884D05" w:rsidRPr="008B2B15">
        <w:rPr>
          <w:rFonts w:ascii="Calibri" w:hAnsi="Calibri" w:cs="Calibri"/>
          <w:sz w:val="21"/>
          <w:szCs w:val="21"/>
        </w:rPr>
        <w:t>1</w:t>
      </w:r>
      <w:r w:rsidR="00782E04" w:rsidRPr="008B2B15">
        <w:rPr>
          <w:rFonts w:ascii="Calibri" w:hAnsi="Calibri" w:cs="Calibri"/>
          <w:sz w:val="21"/>
          <w:szCs w:val="21"/>
        </w:rPr>
        <w:t>)</w:t>
      </w:r>
      <w:r w:rsidR="00884D05" w:rsidRPr="008B2B15">
        <w:rPr>
          <w:rFonts w:ascii="Calibri" w:hAnsi="Calibri" w:cs="Calibri"/>
          <w:sz w:val="21"/>
          <w:szCs w:val="21"/>
        </w:rPr>
        <w:t xml:space="preserve"> and question</w:t>
      </w:r>
      <w:r w:rsidR="00652EDA" w:rsidRPr="008B2B15">
        <w:rPr>
          <w:rFonts w:ascii="Calibri" w:hAnsi="Calibri" w:cs="Calibri"/>
          <w:sz w:val="21"/>
          <w:szCs w:val="21"/>
        </w:rPr>
        <w:t>s</w:t>
      </w:r>
      <w:r w:rsidR="00884D05" w:rsidRPr="008B2B15">
        <w:rPr>
          <w:rFonts w:ascii="Calibri" w:hAnsi="Calibri" w:cs="Calibri"/>
          <w:sz w:val="21"/>
          <w:szCs w:val="21"/>
        </w:rPr>
        <w:t xml:space="preserve"> asked within the structured interviews are </w:t>
      </w:r>
      <w:r w:rsidR="00D44242" w:rsidRPr="008B2B15">
        <w:rPr>
          <w:rFonts w:ascii="Calibri" w:hAnsi="Calibri" w:cs="Calibri"/>
          <w:sz w:val="21"/>
          <w:szCs w:val="21"/>
        </w:rPr>
        <w:t xml:space="preserve">in the supplementary </w:t>
      </w:r>
      <w:r w:rsidR="00782E04" w:rsidRPr="008B2B15">
        <w:rPr>
          <w:rFonts w:ascii="Calibri" w:hAnsi="Calibri" w:cs="Calibri"/>
          <w:sz w:val="21"/>
          <w:szCs w:val="21"/>
        </w:rPr>
        <w:t>material</w:t>
      </w:r>
      <w:r w:rsidR="00D44242" w:rsidRPr="008B2B15">
        <w:rPr>
          <w:rFonts w:ascii="Calibri" w:hAnsi="Calibri" w:cs="Calibri"/>
          <w:sz w:val="21"/>
          <w:szCs w:val="21"/>
        </w:rPr>
        <w:t xml:space="preserve"> </w:t>
      </w:r>
      <w:r w:rsidR="00782E04" w:rsidRPr="008B2B15">
        <w:rPr>
          <w:rFonts w:ascii="Calibri" w:hAnsi="Calibri" w:cs="Calibri"/>
          <w:sz w:val="21"/>
          <w:szCs w:val="21"/>
        </w:rPr>
        <w:t>(</w:t>
      </w:r>
      <w:r w:rsidR="00D44242" w:rsidRPr="008B2B15">
        <w:rPr>
          <w:rFonts w:ascii="Calibri" w:hAnsi="Calibri" w:cs="Calibri"/>
          <w:sz w:val="21"/>
          <w:szCs w:val="21"/>
        </w:rPr>
        <w:t>2</w:t>
      </w:r>
      <w:r w:rsidR="00782E04" w:rsidRPr="008B2B15">
        <w:rPr>
          <w:rFonts w:ascii="Calibri" w:hAnsi="Calibri" w:cs="Calibri"/>
          <w:sz w:val="21"/>
          <w:szCs w:val="21"/>
        </w:rPr>
        <w:t>)</w:t>
      </w:r>
      <w:r w:rsidR="00FA3E5C" w:rsidRPr="008B2B15">
        <w:rPr>
          <w:rFonts w:ascii="Calibri" w:hAnsi="Calibri" w:cs="Calibri"/>
          <w:sz w:val="21"/>
          <w:szCs w:val="21"/>
        </w:rPr>
        <w:t xml:space="preserve">. </w:t>
      </w:r>
      <w:r w:rsidR="00884D05" w:rsidRPr="008B2B15">
        <w:rPr>
          <w:rFonts w:ascii="Calibri" w:hAnsi="Calibri" w:cs="Calibri"/>
          <w:sz w:val="21"/>
          <w:szCs w:val="21"/>
        </w:rPr>
        <w:t xml:space="preserve">In total, we performed </w:t>
      </w:r>
      <w:proofErr w:type="gramStart"/>
      <w:r w:rsidR="00884D05" w:rsidRPr="008B2B15">
        <w:rPr>
          <w:rFonts w:ascii="Calibri" w:hAnsi="Calibri" w:cs="Calibri"/>
          <w:sz w:val="21"/>
          <w:szCs w:val="21"/>
        </w:rPr>
        <w:t>8</w:t>
      </w:r>
      <w:proofErr w:type="gramEnd"/>
      <w:r w:rsidR="00884D05" w:rsidRPr="008B2B15">
        <w:rPr>
          <w:rFonts w:ascii="Calibri" w:hAnsi="Calibri" w:cs="Calibri"/>
          <w:sz w:val="21"/>
          <w:szCs w:val="21"/>
        </w:rPr>
        <w:t xml:space="preserve"> </w:t>
      </w:r>
      <w:r w:rsidR="00DB0D23" w:rsidRPr="008B2B15">
        <w:rPr>
          <w:rFonts w:ascii="Calibri" w:hAnsi="Calibri" w:cs="Calibri"/>
          <w:sz w:val="21"/>
          <w:szCs w:val="21"/>
        </w:rPr>
        <w:t>semi</w:t>
      </w:r>
      <w:r w:rsidR="00884D05" w:rsidRPr="008B2B15">
        <w:rPr>
          <w:rFonts w:ascii="Calibri" w:hAnsi="Calibri" w:cs="Calibri"/>
          <w:sz w:val="21"/>
          <w:szCs w:val="21"/>
        </w:rPr>
        <w:t>-structured and 9 structured interviews from Dece</w:t>
      </w:r>
      <w:r w:rsidR="003A5173" w:rsidRPr="008B2B15">
        <w:rPr>
          <w:rFonts w:ascii="Calibri" w:hAnsi="Calibri" w:cs="Calibri"/>
          <w:sz w:val="21"/>
          <w:szCs w:val="21"/>
        </w:rPr>
        <w:t>mber 2017 until December 2018. L</w:t>
      </w:r>
      <w:r w:rsidR="00884D05" w:rsidRPr="008B2B15">
        <w:rPr>
          <w:rFonts w:ascii="Calibri" w:hAnsi="Calibri" w:cs="Calibri"/>
          <w:sz w:val="21"/>
          <w:szCs w:val="21"/>
        </w:rPr>
        <w:t xml:space="preserve">isted interview participants in </w:t>
      </w:r>
      <w:r w:rsidR="0078551B" w:rsidRPr="008B2B15">
        <w:rPr>
          <w:rFonts w:ascii="Calibri" w:hAnsi="Calibri" w:cs="Calibri"/>
          <w:sz w:val="21"/>
          <w:szCs w:val="21"/>
        </w:rPr>
        <w:t>table 2a and table 3</w:t>
      </w:r>
      <w:r w:rsidR="00CC45F9" w:rsidRPr="008B2B15">
        <w:rPr>
          <w:rFonts w:ascii="Calibri" w:hAnsi="Calibri" w:cs="Calibri"/>
          <w:sz w:val="21"/>
          <w:szCs w:val="21"/>
        </w:rPr>
        <w:t>a</w:t>
      </w:r>
      <w:r w:rsidR="00D44242" w:rsidRPr="008B2B15">
        <w:rPr>
          <w:rFonts w:ascii="Calibri" w:hAnsi="Calibri" w:cs="Calibri"/>
          <w:sz w:val="21"/>
          <w:szCs w:val="21"/>
        </w:rPr>
        <w:t xml:space="preserve"> in the appendix</w:t>
      </w:r>
      <w:r w:rsidR="00884D05" w:rsidRPr="008B2B15">
        <w:rPr>
          <w:rFonts w:ascii="Calibri" w:hAnsi="Calibri" w:cs="Calibri"/>
          <w:sz w:val="21"/>
          <w:szCs w:val="21"/>
        </w:rPr>
        <w:t xml:space="preserve"> were found via personal contacts and a subsequent </w:t>
      </w:r>
      <w:proofErr w:type="gramStart"/>
      <w:r w:rsidR="00884D05" w:rsidRPr="008B2B15">
        <w:rPr>
          <w:rFonts w:ascii="Calibri" w:hAnsi="Calibri" w:cs="Calibri"/>
          <w:sz w:val="21"/>
          <w:szCs w:val="21"/>
        </w:rPr>
        <w:t>snow-ball</w:t>
      </w:r>
      <w:proofErr w:type="gramEnd"/>
      <w:r w:rsidR="00884D05" w:rsidRPr="008B2B15">
        <w:rPr>
          <w:rFonts w:ascii="Calibri" w:hAnsi="Calibri" w:cs="Calibri"/>
          <w:sz w:val="21"/>
          <w:szCs w:val="21"/>
        </w:rPr>
        <w:t xml:space="preserve"> sampling.</w:t>
      </w:r>
      <w:r w:rsidR="00D44242" w:rsidRPr="008B2B15">
        <w:rPr>
          <w:rFonts w:ascii="Calibri" w:hAnsi="Calibri" w:cs="Calibri"/>
          <w:sz w:val="21"/>
          <w:szCs w:val="21"/>
        </w:rPr>
        <w:t xml:space="preserve"> </w:t>
      </w:r>
      <w:r w:rsidR="00DB0D23" w:rsidRPr="008B2B15">
        <w:rPr>
          <w:rFonts w:ascii="Calibri" w:hAnsi="Calibri" w:cs="Calibri"/>
          <w:sz w:val="21"/>
          <w:szCs w:val="21"/>
        </w:rPr>
        <w:t>In total</w:t>
      </w:r>
      <w:r w:rsidR="00D44242" w:rsidRPr="008B2B15">
        <w:rPr>
          <w:rFonts w:ascii="Calibri" w:hAnsi="Calibri" w:cs="Calibri"/>
          <w:sz w:val="21"/>
          <w:szCs w:val="21"/>
        </w:rPr>
        <w:t xml:space="preserve"> 11 out of the 17 interviewees alre</w:t>
      </w:r>
      <w:r w:rsidR="003A5173" w:rsidRPr="008B2B15">
        <w:rPr>
          <w:rFonts w:ascii="Calibri" w:hAnsi="Calibri" w:cs="Calibri"/>
          <w:sz w:val="21"/>
          <w:szCs w:val="21"/>
        </w:rPr>
        <w:t>ady had experience in invest</w:t>
      </w:r>
      <w:r w:rsidR="00652EDA" w:rsidRPr="008B2B15">
        <w:rPr>
          <w:rFonts w:ascii="Calibri" w:hAnsi="Calibri" w:cs="Calibri"/>
          <w:sz w:val="21"/>
          <w:szCs w:val="21"/>
        </w:rPr>
        <w:t>ing</w:t>
      </w:r>
      <w:r w:rsidR="00D44242" w:rsidRPr="008B2B15">
        <w:rPr>
          <w:rFonts w:ascii="Calibri" w:hAnsi="Calibri" w:cs="Calibri"/>
          <w:sz w:val="21"/>
          <w:szCs w:val="21"/>
        </w:rPr>
        <w:t xml:space="preserve"> in renewable energy infrastructure, which might bias their answers to some extent. </w:t>
      </w:r>
      <w:r w:rsidR="00DB0D23" w:rsidRPr="008B2B15">
        <w:rPr>
          <w:rFonts w:ascii="Calibri" w:hAnsi="Calibri" w:cs="Calibri"/>
          <w:sz w:val="21"/>
          <w:szCs w:val="21"/>
        </w:rPr>
        <w:t>E</w:t>
      </w:r>
      <w:r w:rsidR="00884D05" w:rsidRPr="008B2B15">
        <w:rPr>
          <w:rFonts w:ascii="Calibri" w:hAnsi="Calibri" w:cs="Calibri"/>
          <w:sz w:val="21"/>
          <w:szCs w:val="21"/>
        </w:rPr>
        <w:t xml:space="preserve">thical approval from </w:t>
      </w:r>
      <w:r w:rsidR="00131A50" w:rsidRPr="008B2B15">
        <w:rPr>
          <w:rFonts w:ascii="Calibri" w:hAnsi="Calibri" w:cs="Calibri"/>
          <w:sz w:val="21"/>
          <w:szCs w:val="21"/>
        </w:rPr>
        <w:t>the d</w:t>
      </w:r>
      <w:r w:rsidR="00655388" w:rsidRPr="008B2B15">
        <w:rPr>
          <w:rFonts w:ascii="Calibri" w:hAnsi="Calibri" w:cs="Calibri"/>
          <w:sz w:val="21"/>
          <w:szCs w:val="21"/>
        </w:rPr>
        <w:t xml:space="preserve">epartment’s </w:t>
      </w:r>
      <w:r w:rsidR="00131A50" w:rsidRPr="008B2B15">
        <w:rPr>
          <w:rFonts w:ascii="Calibri" w:hAnsi="Calibri" w:cs="Calibri"/>
          <w:sz w:val="21"/>
          <w:szCs w:val="21"/>
        </w:rPr>
        <w:t xml:space="preserve">ethics </w:t>
      </w:r>
      <w:r w:rsidR="00655388" w:rsidRPr="008B2B15">
        <w:rPr>
          <w:rFonts w:ascii="Calibri" w:hAnsi="Calibri" w:cs="Calibri"/>
          <w:sz w:val="21"/>
          <w:szCs w:val="21"/>
        </w:rPr>
        <w:t>research</w:t>
      </w:r>
      <w:r w:rsidR="00884D05" w:rsidRPr="008B2B15">
        <w:rPr>
          <w:rFonts w:ascii="Calibri" w:hAnsi="Calibri" w:cs="Calibri"/>
          <w:sz w:val="21"/>
          <w:szCs w:val="21"/>
        </w:rPr>
        <w:t xml:space="preserve"> </w:t>
      </w:r>
      <w:r w:rsidR="00131A50" w:rsidRPr="008B2B15">
        <w:rPr>
          <w:rFonts w:ascii="Calibri" w:hAnsi="Calibri" w:cs="Calibri"/>
          <w:sz w:val="21"/>
          <w:szCs w:val="21"/>
        </w:rPr>
        <w:t>p</w:t>
      </w:r>
      <w:r w:rsidR="00884D05" w:rsidRPr="008B2B15">
        <w:rPr>
          <w:rFonts w:ascii="Calibri" w:hAnsi="Calibri" w:cs="Calibri"/>
          <w:sz w:val="21"/>
          <w:szCs w:val="21"/>
        </w:rPr>
        <w:t>anel</w:t>
      </w:r>
      <w:r w:rsidR="00DB0D23" w:rsidRPr="008B2B15">
        <w:rPr>
          <w:rFonts w:ascii="Calibri" w:hAnsi="Calibri" w:cs="Calibri"/>
          <w:sz w:val="21"/>
          <w:szCs w:val="21"/>
        </w:rPr>
        <w:t xml:space="preserve"> </w:t>
      </w:r>
      <w:proofErr w:type="gramStart"/>
      <w:r w:rsidR="00DB0D23" w:rsidRPr="008B2B15">
        <w:rPr>
          <w:rFonts w:ascii="Calibri" w:hAnsi="Calibri" w:cs="Calibri"/>
          <w:sz w:val="21"/>
          <w:szCs w:val="21"/>
        </w:rPr>
        <w:t>was obtained</w:t>
      </w:r>
      <w:proofErr w:type="gramEnd"/>
      <w:r w:rsidR="00884D05" w:rsidRPr="008B2B15">
        <w:rPr>
          <w:rFonts w:ascii="Calibri" w:hAnsi="Calibri" w:cs="Calibri"/>
          <w:sz w:val="21"/>
          <w:szCs w:val="21"/>
        </w:rPr>
        <w:t xml:space="preserve">. Within the study conditions, the participants </w:t>
      </w:r>
      <w:proofErr w:type="gramStart"/>
      <w:r w:rsidR="00884D05" w:rsidRPr="008B2B15">
        <w:rPr>
          <w:rFonts w:ascii="Calibri" w:hAnsi="Calibri" w:cs="Calibri"/>
          <w:sz w:val="21"/>
          <w:szCs w:val="21"/>
        </w:rPr>
        <w:t>were guaranteed</w:t>
      </w:r>
      <w:proofErr w:type="gramEnd"/>
      <w:r w:rsidR="00884D05" w:rsidRPr="008B2B15">
        <w:rPr>
          <w:rFonts w:ascii="Calibri" w:hAnsi="Calibri" w:cs="Calibri"/>
          <w:sz w:val="21"/>
          <w:szCs w:val="21"/>
        </w:rPr>
        <w:t xml:space="preserve"> that their information would only be</w:t>
      </w:r>
      <w:r w:rsidRPr="008B2B15">
        <w:rPr>
          <w:rFonts w:ascii="Calibri" w:hAnsi="Calibri" w:cs="Calibri"/>
          <w:sz w:val="21"/>
          <w:szCs w:val="21"/>
        </w:rPr>
        <w:t xml:space="preserve"> reporte</w:t>
      </w:r>
      <w:r w:rsidR="002F6154" w:rsidRPr="008B2B15">
        <w:rPr>
          <w:rFonts w:ascii="Calibri" w:hAnsi="Calibri" w:cs="Calibri"/>
          <w:sz w:val="21"/>
          <w:szCs w:val="21"/>
        </w:rPr>
        <w:t>d in anonymous format. There</w:t>
      </w:r>
      <w:r w:rsidR="003A5173" w:rsidRPr="008B2B15">
        <w:rPr>
          <w:rFonts w:ascii="Calibri" w:hAnsi="Calibri" w:cs="Calibri"/>
          <w:sz w:val="21"/>
          <w:szCs w:val="21"/>
        </w:rPr>
        <w:t>fore</w:t>
      </w:r>
      <w:r w:rsidR="002F6154" w:rsidRPr="008B2B15">
        <w:rPr>
          <w:rFonts w:ascii="Calibri" w:hAnsi="Calibri" w:cs="Calibri"/>
          <w:sz w:val="21"/>
          <w:szCs w:val="21"/>
        </w:rPr>
        <w:t xml:space="preserve">, </w:t>
      </w:r>
      <w:r w:rsidRPr="008B2B15">
        <w:rPr>
          <w:rFonts w:ascii="Calibri" w:hAnsi="Calibri" w:cs="Calibri"/>
          <w:sz w:val="21"/>
          <w:szCs w:val="21"/>
        </w:rPr>
        <w:t xml:space="preserve">no </w:t>
      </w:r>
      <w:r w:rsidR="002F6154" w:rsidRPr="008B2B15">
        <w:rPr>
          <w:rFonts w:ascii="Calibri" w:hAnsi="Calibri" w:cs="Calibri"/>
          <w:sz w:val="21"/>
          <w:szCs w:val="21"/>
        </w:rPr>
        <w:t>participant’s</w:t>
      </w:r>
      <w:r w:rsidRPr="008B2B15">
        <w:rPr>
          <w:rFonts w:ascii="Calibri" w:hAnsi="Calibri" w:cs="Calibri"/>
          <w:sz w:val="21"/>
          <w:szCs w:val="21"/>
        </w:rPr>
        <w:t xml:space="preserve"> name</w:t>
      </w:r>
      <w:r w:rsidR="002F6154" w:rsidRPr="008B2B15">
        <w:rPr>
          <w:rFonts w:ascii="Calibri" w:hAnsi="Calibri" w:cs="Calibri"/>
          <w:sz w:val="21"/>
          <w:szCs w:val="21"/>
        </w:rPr>
        <w:t xml:space="preserve">s or affiliations </w:t>
      </w:r>
      <w:proofErr w:type="gramStart"/>
      <w:r w:rsidR="002F6154" w:rsidRPr="008B2B15">
        <w:rPr>
          <w:rFonts w:ascii="Calibri" w:hAnsi="Calibri" w:cs="Calibri"/>
          <w:sz w:val="21"/>
          <w:szCs w:val="21"/>
        </w:rPr>
        <w:t>are indicated</w:t>
      </w:r>
      <w:proofErr w:type="gramEnd"/>
      <w:r w:rsidR="002F6154" w:rsidRPr="008B2B15">
        <w:rPr>
          <w:rFonts w:ascii="Calibri" w:hAnsi="Calibri" w:cs="Calibri"/>
          <w:sz w:val="21"/>
          <w:szCs w:val="21"/>
        </w:rPr>
        <w:t xml:space="preserve"> in this study. </w:t>
      </w:r>
      <w:r w:rsidR="00E50E74" w:rsidRPr="008B2B15">
        <w:rPr>
          <w:rFonts w:ascii="Calibri" w:hAnsi="Calibri" w:cs="Calibri"/>
          <w:sz w:val="21"/>
          <w:szCs w:val="21"/>
        </w:rPr>
        <w:t xml:space="preserve">The interviews </w:t>
      </w:r>
      <w:proofErr w:type="gramStart"/>
      <w:r w:rsidR="00E50E74" w:rsidRPr="008B2B15">
        <w:rPr>
          <w:rFonts w:ascii="Calibri" w:hAnsi="Calibri" w:cs="Calibri"/>
          <w:sz w:val="21"/>
          <w:szCs w:val="21"/>
        </w:rPr>
        <w:t>were coded</w:t>
      </w:r>
      <w:proofErr w:type="gramEnd"/>
      <w:r w:rsidR="00E50E74" w:rsidRPr="008B2B15">
        <w:rPr>
          <w:rFonts w:ascii="Calibri" w:hAnsi="Calibri" w:cs="Calibri"/>
          <w:sz w:val="21"/>
          <w:szCs w:val="21"/>
        </w:rPr>
        <w:t xml:space="preserve"> in a similar way </w:t>
      </w:r>
      <w:r w:rsidR="00B20F6D" w:rsidRPr="008B2B15">
        <w:rPr>
          <w:rFonts w:ascii="Calibri" w:hAnsi="Calibri" w:cs="Calibri"/>
          <w:sz w:val="21"/>
          <w:szCs w:val="21"/>
        </w:rPr>
        <w:t>as the academic literature</w:t>
      </w:r>
      <w:r w:rsidR="00E50E74" w:rsidRPr="008B2B15">
        <w:rPr>
          <w:rFonts w:ascii="Calibri" w:hAnsi="Calibri" w:cs="Calibri"/>
          <w:sz w:val="21"/>
          <w:szCs w:val="21"/>
        </w:rPr>
        <w:t xml:space="preserve">. </w:t>
      </w:r>
    </w:p>
    <w:p w14:paraId="66874269" w14:textId="39F68170" w:rsidR="00365278" w:rsidRPr="008B2B15" w:rsidRDefault="00365278" w:rsidP="0035699F">
      <w:pPr>
        <w:spacing w:after="0" w:line="276" w:lineRule="auto"/>
        <w:rPr>
          <w:rFonts w:ascii="Calibri" w:hAnsi="Calibri" w:cs="Calibri"/>
          <w:sz w:val="21"/>
          <w:szCs w:val="21"/>
        </w:rPr>
      </w:pPr>
    </w:p>
    <w:p w14:paraId="434BCF24" w14:textId="58E37B41" w:rsidR="00AB3D3B" w:rsidRPr="008B2B15" w:rsidRDefault="001139F7" w:rsidP="00E80951">
      <w:pPr>
        <w:spacing w:line="276" w:lineRule="auto"/>
        <w:rPr>
          <w:rFonts w:ascii="Calibri" w:hAnsi="Calibri" w:cs="Calibri"/>
          <w:sz w:val="21"/>
          <w:szCs w:val="21"/>
        </w:rPr>
      </w:pPr>
      <w:proofErr w:type="gramStart"/>
      <w:r w:rsidRPr="008B2B15">
        <w:rPr>
          <w:rFonts w:ascii="Calibri" w:hAnsi="Calibri" w:cs="Calibri"/>
          <w:sz w:val="21"/>
          <w:szCs w:val="21"/>
        </w:rPr>
        <w:t xml:space="preserve">Additionally, field notes were taken during the following round-table </w:t>
      </w:r>
      <w:r w:rsidR="00BB4ED0" w:rsidRPr="008B2B15">
        <w:rPr>
          <w:rFonts w:ascii="Calibri" w:hAnsi="Calibri" w:cs="Calibri"/>
          <w:sz w:val="21"/>
          <w:szCs w:val="21"/>
        </w:rPr>
        <w:t>events and workshops: “</w:t>
      </w:r>
      <w:r w:rsidRPr="008B2B15">
        <w:rPr>
          <w:rFonts w:ascii="Calibri" w:hAnsi="Calibri" w:cs="Calibri"/>
          <w:sz w:val="21"/>
          <w:szCs w:val="21"/>
        </w:rPr>
        <w:t>Understanding risk in sustain</w:t>
      </w:r>
      <w:r w:rsidR="00BB4ED0" w:rsidRPr="008B2B15">
        <w:rPr>
          <w:rFonts w:ascii="Calibri" w:hAnsi="Calibri" w:cs="Calibri"/>
          <w:sz w:val="21"/>
          <w:szCs w:val="21"/>
        </w:rPr>
        <w:t>able infrastructure investments”</w:t>
      </w:r>
      <w:r w:rsidRPr="008B2B15">
        <w:rPr>
          <w:rFonts w:ascii="Calibri" w:hAnsi="Calibri" w:cs="Calibri"/>
          <w:sz w:val="21"/>
          <w:szCs w:val="21"/>
        </w:rPr>
        <w:t xml:space="preserve"> organized by the Alder</w:t>
      </w:r>
      <w:r w:rsidR="00FA3E5C" w:rsidRPr="008B2B15">
        <w:rPr>
          <w:rFonts w:ascii="Calibri" w:hAnsi="Calibri" w:cs="Calibri"/>
          <w:sz w:val="21"/>
          <w:szCs w:val="21"/>
        </w:rPr>
        <w:t xml:space="preserve">sgate </w:t>
      </w:r>
      <w:r w:rsidR="00086A1B">
        <w:rPr>
          <w:rFonts w:ascii="Calibri" w:hAnsi="Calibri" w:cs="Calibri"/>
          <w:sz w:val="21"/>
          <w:szCs w:val="21"/>
        </w:rPr>
        <w:t>G</w:t>
      </w:r>
      <w:r w:rsidR="00FA3E5C" w:rsidRPr="008B2B15">
        <w:rPr>
          <w:rFonts w:ascii="Calibri" w:hAnsi="Calibri" w:cs="Calibri"/>
          <w:sz w:val="21"/>
          <w:szCs w:val="21"/>
        </w:rPr>
        <w:t>roup in October 2017</w:t>
      </w:r>
      <w:r w:rsidR="00BB4ED0" w:rsidRPr="008B2B15">
        <w:rPr>
          <w:rFonts w:ascii="Calibri" w:hAnsi="Calibri" w:cs="Calibri"/>
          <w:sz w:val="21"/>
          <w:szCs w:val="21"/>
        </w:rPr>
        <w:t>, “</w:t>
      </w:r>
      <w:proofErr w:type="spellStart"/>
      <w:r w:rsidR="00BB4ED0" w:rsidRPr="008B2B15">
        <w:rPr>
          <w:rFonts w:ascii="Calibri" w:hAnsi="Calibri" w:cs="Calibri"/>
          <w:sz w:val="21"/>
          <w:szCs w:val="21"/>
        </w:rPr>
        <w:t>Finexus</w:t>
      </w:r>
      <w:proofErr w:type="spellEnd"/>
      <w:r w:rsidR="00BB4ED0" w:rsidRPr="008B2B15">
        <w:rPr>
          <w:rFonts w:ascii="Calibri" w:hAnsi="Calibri" w:cs="Calibri"/>
          <w:sz w:val="21"/>
          <w:szCs w:val="21"/>
        </w:rPr>
        <w:t xml:space="preserve"> conference”</w:t>
      </w:r>
      <w:r w:rsidRPr="008B2B15">
        <w:rPr>
          <w:rFonts w:ascii="Calibri" w:hAnsi="Calibri" w:cs="Calibri"/>
          <w:sz w:val="21"/>
          <w:szCs w:val="21"/>
        </w:rPr>
        <w:t xml:space="preserve"> h</w:t>
      </w:r>
      <w:r w:rsidR="00FA3E5C" w:rsidRPr="008B2B15">
        <w:rPr>
          <w:rFonts w:ascii="Calibri" w:hAnsi="Calibri" w:cs="Calibri"/>
          <w:sz w:val="21"/>
          <w:szCs w:val="21"/>
        </w:rPr>
        <w:t>eld at the University of Zurich</w:t>
      </w:r>
      <w:r w:rsidR="00086A1B">
        <w:rPr>
          <w:rFonts w:ascii="Calibri" w:hAnsi="Calibri" w:cs="Calibri"/>
          <w:sz w:val="21"/>
          <w:szCs w:val="21"/>
        </w:rPr>
        <w:t xml:space="preserve"> </w:t>
      </w:r>
      <w:r w:rsidR="00FA3E5C" w:rsidRPr="008B2B15">
        <w:rPr>
          <w:rFonts w:ascii="Calibri" w:hAnsi="Calibri" w:cs="Calibri"/>
          <w:sz w:val="21"/>
          <w:szCs w:val="21"/>
        </w:rPr>
        <w:t>in January 2018</w:t>
      </w:r>
      <w:r w:rsidR="00BB4ED0" w:rsidRPr="008B2B15">
        <w:rPr>
          <w:rFonts w:ascii="Calibri" w:hAnsi="Calibri" w:cs="Calibri"/>
          <w:sz w:val="21"/>
          <w:szCs w:val="21"/>
        </w:rPr>
        <w:t>, “</w:t>
      </w:r>
      <w:r w:rsidRPr="008B2B15">
        <w:rPr>
          <w:rFonts w:ascii="Calibri" w:hAnsi="Calibri" w:cs="Calibri"/>
          <w:sz w:val="21"/>
          <w:szCs w:val="21"/>
        </w:rPr>
        <w:t>Financial Institutions, Business and Climate Change: Addressing Risks and Finding Op</w:t>
      </w:r>
      <w:r w:rsidR="00BB4ED0" w:rsidRPr="008B2B15">
        <w:rPr>
          <w:rFonts w:ascii="Calibri" w:hAnsi="Calibri" w:cs="Calibri"/>
          <w:sz w:val="21"/>
          <w:szCs w:val="21"/>
        </w:rPr>
        <w:t>portunities in a Changing World”</w:t>
      </w:r>
      <w:r w:rsidRPr="008B2B15">
        <w:rPr>
          <w:rFonts w:ascii="Calibri" w:hAnsi="Calibri" w:cs="Calibri"/>
          <w:sz w:val="21"/>
          <w:szCs w:val="21"/>
        </w:rPr>
        <w:t xml:space="preserve"> organised by the World Bank Group (Climate Change), Carbon pricing Leadership Coalition and </w:t>
      </w:r>
      <w:r w:rsidRPr="008B2B15">
        <w:rPr>
          <w:rFonts w:ascii="Calibri" w:hAnsi="Calibri" w:cs="Calibri"/>
          <w:sz w:val="21"/>
          <w:szCs w:val="21"/>
        </w:rPr>
        <w:lastRenderedPageBreak/>
        <w:t>the Swiss Confederation</w:t>
      </w:r>
      <w:r w:rsidR="00FA3E5C" w:rsidRPr="008B2B15">
        <w:rPr>
          <w:rFonts w:ascii="Calibri" w:hAnsi="Calibri" w:cs="Calibri"/>
          <w:sz w:val="21"/>
          <w:szCs w:val="21"/>
        </w:rPr>
        <w:t xml:space="preserve"> in January 2018</w:t>
      </w:r>
      <w:r w:rsidR="00BB4ED0" w:rsidRPr="008B2B15">
        <w:rPr>
          <w:rFonts w:ascii="Calibri" w:hAnsi="Calibri" w:cs="Calibri"/>
          <w:sz w:val="21"/>
          <w:szCs w:val="21"/>
        </w:rPr>
        <w:t xml:space="preserve"> and finally the “Actuarial and accounting approaches to sustainable prosperity: a professional dialogue”</w:t>
      </w:r>
      <w:r w:rsidRPr="008B2B15">
        <w:rPr>
          <w:rFonts w:ascii="Calibri" w:hAnsi="Calibri" w:cs="Calibri"/>
          <w:sz w:val="21"/>
          <w:szCs w:val="21"/>
        </w:rPr>
        <w:t xml:space="preserve"> held at the institute of Actuaries in London on behalf of the Observer Research</w:t>
      </w:r>
      <w:r w:rsidR="00FA3E5C" w:rsidRPr="008B2B15">
        <w:rPr>
          <w:rFonts w:ascii="Calibri" w:hAnsi="Calibri" w:cs="Calibri"/>
          <w:sz w:val="21"/>
          <w:szCs w:val="21"/>
        </w:rPr>
        <w:t xml:space="preserve"> Foundation </w:t>
      </w:r>
      <w:r w:rsidR="00BB4ED0" w:rsidRPr="008B2B15">
        <w:rPr>
          <w:rFonts w:ascii="Calibri" w:hAnsi="Calibri" w:cs="Calibri"/>
          <w:sz w:val="21"/>
          <w:szCs w:val="21"/>
        </w:rPr>
        <w:t>in May, 2019</w:t>
      </w:r>
      <w:r w:rsidRPr="008B2B15">
        <w:rPr>
          <w:rFonts w:ascii="Calibri" w:hAnsi="Calibri" w:cs="Calibri"/>
          <w:sz w:val="21"/>
          <w:szCs w:val="21"/>
        </w:rPr>
        <w:t>.</w:t>
      </w:r>
      <w:proofErr w:type="gramEnd"/>
      <w:r w:rsidRPr="008B2B15">
        <w:rPr>
          <w:rFonts w:ascii="Calibri" w:hAnsi="Calibri" w:cs="Calibri"/>
          <w:sz w:val="21"/>
          <w:szCs w:val="21"/>
        </w:rPr>
        <w:t xml:space="preserve"> The insights gained during these round-tables </w:t>
      </w:r>
      <w:r w:rsidR="00C57891" w:rsidRPr="008B2B15">
        <w:rPr>
          <w:rFonts w:ascii="Calibri" w:hAnsi="Calibri" w:cs="Calibri"/>
          <w:sz w:val="21"/>
          <w:szCs w:val="21"/>
        </w:rPr>
        <w:t xml:space="preserve">and conference </w:t>
      </w:r>
      <w:r w:rsidR="002F6154" w:rsidRPr="008B2B15">
        <w:rPr>
          <w:rFonts w:ascii="Calibri" w:hAnsi="Calibri" w:cs="Calibri"/>
          <w:sz w:val="21"/>
          <w:szCs w:val="21"/>
        </w:rPr>
        <w:t xml:space="preserve">confirmed the insights </w:t>
      </w:r>
      <w:r w:rsidR="00C57891" w:rsidRPr="008B2B15">
        <w:rPr>
          <w:rFonts w:ascii="Calibri" w:hAnsi="Calibri" w:cs="Calibri"/>
          <w:sz w:val="21"/>
          <w:szCs w:val="21"/>
        </w:rPr>
        <w:t xml:space="preserve">gained </w:t>
      </w:r>
      <w:r w:rsidR="002F6154" w:rsidRPr="008B2B15">
        <w:rPr>
          <w:rFonts w:ascii="Calibri" w:hAnsi="Calibri" w:cs="Calibri"/>
          <w:sz w:val="21"/>
          <w:szCs w:val="21"/>
        </w:rPr>
        <w:t xml:space="preserve">from the </w:t>
      </w:r>
      <w:r w:rsidR="00C57891" w:rsidRPr="008B2B15">
        <w:rPr>
          <w:rFonts w:ascii="Calibri" w:hAnsi="Calibri" w:cs="Calibri"/>
          <w:sz w:val="21"/>
          <w:szCs w:val="21"/>
        </w:rPr>
        <w:t xml:space="preserve">literature </w:t>
      </w:r>
      <w:r w:rsidR="002F6154" w:rsidRPr="008B2B15">
        <w:rPr>
          <w:rFonts w:ascii="Calibri" w:hAnsi="Calibri" w:cs="Calibri"/>
          <w:sz w:val="21"/>
          <w:szCs w:val="21"/>
        </w:rPr>
        <w:t xml:space="preserve">review and the </w:t>
      </w:r>
      <w:r w:rsidRPr="008B2B15">
        <w:rPr>
          <w:rFonts w:ascii="Calibri" w:hAnsi="Calibri" w:cs="Calibri"/>
          <w:sz w:val="21"/>
          <w:szCs w:val="21"/>
        </w:rPr>
        <w:t xml:space="preserve">interviews. However, generally </w:t>
      </w:r>
      <w:r w:rsidR="002F6154" w:rsidRPr="008B2B15">
        <w:rPr>
          <w:rFonts w:ascii="Calibri" w:hAnsi="Calibri" w:cs="Calibri"/>
          <w:sz w:val="21"/>
          <w:szCs w:val="21"/>
        </w:rPr>
        <w:t>these conference</w:t>
      </w:r>
      <w:r w:rsidR="00086A1B">
        <w:rPr>
          <w:rFonts w:ascii="Calibri" w:hAnsi="Calibri" w:cs="Calibri"/>
          <w:sz w:val="21"/>
          <w:szCs w:val="21"/>
        </w:rPr>
        <w:t>s</w:t>
      </w:r>
      <w:r w:rsidR="002F6154" w:rsidRPr="008B2B15">
        <w:rPr>
          <w:rFonts w:ascii="Calibri" w:hAnsi="Calibri" w:cs="Calibri"/>
          <w:sz w:val="21"/>
          <w:szCs w:val="21"/>
        </w:rPr>
        <w:t xml:space="preserve"> and workshops</w:t>
      </w:r>
      <w:r w:rsidRPr="008B2B15">
        <w:rPr>
          <w:rFonts w:ascii="Calibri" w:hAnsi="Calibri" w:cs="Calibri"/>
          <w:sz w:val="21"/>
          <w:szCs w:val="21"/>
        </w:rPr>
        <w:t xml:space="preserve"> </w:t>
      </w:r>
      <w:r w:rsidR="002F6154" w:rsidRPr="008B2B15">
        <w:rPr>
          <w:rFonts w:ascii="Calibri" w:hAnsi="Calibri" w:cs="Calibri"/>
          <w:sz w:val="21"/>
          <w:szCs w:val="21"/>
        </w:rPr>
        <w:t>did not</w:t>
      </w:r>
      <w:r w:rsidRPr="008B2B15">
        <w:rPr>
          <w:rFonts w:ascii="Calibri" w:hAnsi="Calibri" w:cs="Calibri"/>
          <w:sz w:val="21"/>
          <w:szCs w:val="21"/>
        </w:rPr>
        <w:t xml:space="preserve"> </w:t>
      </w:r>
      <w:r w:rsidR="002F6154" w:rsidRPr="008B2B15">
        <w:rPr>
          <w:rFonts w:ascii="Calibri" w:hAnsi="Calibri" w:cs="Calibri"/>
          <w:sz w:val="21"/>
          <w:szCs w:val="21"/>
        </w:rPr>
        <w:t>reveal any</w:t>
      </w:r>
      <w:r w:rsidRPr="008B2B15">
        <w:rPr>
          <w:rFonts w:ascii="Calibri" w:hAnsi="Calibri" w:cs="Calibri"/>
          <w:sz w:val="21"/>
          <w:szCs w:val="21"/>
        </w:rPr>
        <w:t xml:space="preserve"> additional barriers </w:t>
      </w:r>
      <w:r w:rsidR="002F6154" w:rsidRPr="008B2B15">
        <w:rPr>
          <w:rFonts w:ascii="Calibri" w:hAnsi="Calibri" w:cs="Calibri"/>
          <w:sz w:val="21"/>
          <w:szCs w:val="21"/>
        </w:rPr>
        <w:t>compared to the identified set of barrier topics</w:t>
      </w:r>
      <w:r w:rsidR="003F454B" w:rsidRPr="008B2B15">
        <w:rPr>
          <w:rFonts w:ascii="Calibri" w:hAnsi="Calibri" w:cs="Calibri"/>
          <w:sz w:val="21"/>
          <w:szCs w:val="21"/>
        </w:rPr>
        <w:t xml:space="preserve"> in the conducted interviews</w:t>
      </w:r>
      <w:r w:rsidRPr="008B2B15">
        <w:rPr>
          <w:rFonts w:ascii="Calibri" w:hAnsi="Calibri" w:cs="Calibri"/>
          <w:sz w:val="21"/>
          <w:szCs w:val="21"/>
        </w:rPr>
        <w:t xml:space="preserve">. Therefore, </w:t>
      </w:r>
      <w:r w:rsidR="00C57891" w:rsidRPr="008B2B15">
        <w:rPr>
          <w:rFonts w:ascii="Calibri" w:hAnsi="Calibri" w:cs="Calibri"/>
          <w:sz w:val="21"/>
          <w:szCs w:val="21"/>
        </w:rPr>
        <w:t xml:space="preserve">the </w:t>
      </w:r>
      <w:r w:rsidR="00E50E74" w:rsidRPr="008B2B15">
        <w:rPr>
          <w:rFonts w:ascii="Calibri" w:hAnsi="Calibri" w:cs="Calibri"/>
          <w:sz w:val="21"/>
          <w:szCs w:val="21"/>
        </w:rPr>
        <w:t xml:space="preserve">data from these field notes </w:t>
      </w:r>
      <w:proofErr w:type="gramStart"/>
      <w:r w:rsidR="00E50E74" w:rsidRPr="008B2B15">
        <w:rPr>
          <w:rFonts w:ascii="Calibri" w:hAnsi="Calibri" w:cs="Calibri"/>
          <w:sz w:val="21"/>
          <w:szCs w:val="21"/>
        </w:rPr>
        <w:t>were</w:t>
      </w:r>
      <w:r w:rsidRPr="008B2B15">
        <w:rPr>
          <w:rFonts w:ascii="Calibri" w:hAnsi="Calibri" w:cs="Calibri"/>
          <w:sz w:val="21"/>
          <w:szCs w:val="21"/>
        </w:rPr>
        <w:t xml:space="preserve"> </w:t>
      </w:r>
      <w:r w:rsidR="00E50E74" w:rsidRPr="008B2B15">
        <w:rPr>
          <w:rFonts w:ascii="Calibri" w:hAnsi="Calibri" w:cs="Calibri"/>
          <w:sz w:val="21"/>
          <w:szCs w:val="21"/>
        </w:rPr>
        <w:t>only used</w:t>
      </w:r>
      <w:proofErr w:type="gramEnd"/>
      <w:r w:rsidR="00E50E74" w:rsidRPr="008B2B15">
        <w:rPr>
          <w:rFonts w:ascii="Calibri" w:hAnsi="Calibri" w:cs="Calibri"/>
          <w:sz w:val="21"/>
          <w:szCs w:val="21"/>
        </w:rPr>
        <w:t xml:space="preserve"> as a validation for our data from </w:t>
      </w:r>
      <w:r w:rsidR="00FA3E5C" w:rsidRPr="008B2B15">
        <w:rPr>
          <w:rFonts w:ascii="Calibri" w:hAnsi="Calibri" w:cs="Calibri"/>
          <w:sz w:val="21"/>
          <w:szCs w:val="21"/>
        </w:rPr>
        <w:t xml:space="preserve">the conducted interviews. </w:t>
      </w:r>
    </w:p>
    <w:p w14:paraId="2B89862A" w14:textId="75969222" w:rsidR="00AC61F9" w:rsidRPr="00E80951" w:rsidRDefault="00103C6D" w:rsidP="00E80951">
      <w:pPr>
        <w:pStyle w:val="Heading2"/>
        <w:numPr>
          <w:ilvl w:val="0"/>
          <w:numId w:val="3"/>
        </w:numPr>
        <w:spacing w:after="240" w:line="240" w:lineRule="auto"/>
        <w:rPr>
          <w:rFonts w:ascii="Calibri" w:hAnsi="Calibri" w:cs="Calibri"/>
          <w:sz w:val="21"/>
          <w:szCs w:val="21"/>
        </w:rPr>
      </w:pPr>
      <w:r w:rsidRPr="008B2B15">
        <w:rPr>
          <w:rFonts w:ascii="Calibri" w:hAnsi="Calibri" w:cs="Calibri"/>
          <w:sz w:val="21"/>
          <w:szCs w:val="21"/>
        </w:rPr>
        <w:t>Results</w:t>
      </w:r>
      <w:r w:rsidR="00A82291">
        <w:rPr>
          <w:rFonts w:ascii="Calibri" w:hAnsi="Calibri" w:cs="Calibri"/>
          <w:sz w:val="21"/>
          <w:szCs w:val="21"/>
        </w:rPr>
        <w:t xml:space="preserve"> </w:t>
      </w:r>
    </w:p>
    <w:p w14:paraId="2C46E380" w14:textId="491D9208" w:rsidR="00E31437" w:rsidRPr="006A0CDD" w:rsidRDefault="00E31437" w:rsidP="006A0CDD">
      <w:pPr>
        <w:pStyle w:val="ListParagraph"/>
        <w:numPr>
          <w:ilvl w:val="1"/>
          <w:numId w:val="3"/>
        </w:numPr>
        <w:spacing w:line="276" w:lineRule="auto"/>
        <w:rPr>
          <w:rFonts w:ascii="Calibri" w:hAnsi="Calibri" w:cs="Calibri"/>
          <w:i/>
          <w:sz w:val="21"/>
          <w:szCs w:val="21"/>
        </w:rPr>
      </w:pPr>
      <w:r w:rsidRPr="006A0CDD">
        <w:rPr>
          <w:rFonts w:ascii="Calibri" w:hAnsi="Calibri" w:cs="Calibri"/>
          <w:i/>
          <w:sz w:val="21"/>
          <w:szCs w:val="21"/>
        </w:rPr>
        <w:t xml:space="preserve">Results </w:t>
      </w:r>
      <w:r w:rsidR="003E140E">
        <w:rPr>
          <w:rFonts w:ascii="Calibri" w:hAnsi="Calibri" w:cs="Calibri"/>
          <w:i/>
          <w:sz w:val="21"/>
          <w:szCs w:val="21"/>
        </w:rPr>
        <w:t>on key green investment barriers</w:t>
      </w:r>
    </w:p>
    <w:p w14:paraId="74A35786" w14:textId="74925153" w:rsidR="00AB5055" w:rsidRPr="008B2B15" w:rsidRDefault="00AC61F9" w:rsidP="0035699F">
      <w:pPr>
        <w:spacing w:after="0" w:line="276" w:lineRule="auto"/>
        <w:rPr>
          <w:sz w:val="21"/>
          <w:szCs w:val="21"/>
        </w:rPr>
      </w:pPr>
      <w:r w:rsidRPr="008B2B15">
        <w:rPr>
          <w:rFonts w:ascii="Calibri" w:hAnsi="Calibri" w:cs="Calibri"/>
          <w:sz w:val="21"/>
          <w:szCs w:val="21"/>
        </w:rPr>
        <w:t xml:space="preserve">Table 2 presents an overview of the identified barriers and </w:t>
      </w:r>
      <w:r w:rsidRPr="008B2B15">
        <w:rPr>
          <w:sz w:val="21"/>
          <w:szCs w:val="21"/>
        </w:rPr>
        <w:t>indicates how often each barrier topic (as defined in this paper) has been reported in the reviewed academic papers of type (</w:t>
      </w:r>
      <w:proofErr w:type="spellStart"/>
      <w:r w:rsidRPr="008B2B15">
        <w:rPr>
          <w:sz w:val="21"/>
          <w:szCs w:val="21"/>
        </w:rPr>
        <w:t>i</w:t>
      </w:r>
      <w:proofErr w:type="spellEnd"/>
      <w:r w:rsidRPr="008B2B15">
        <w:rPr>
          <w:sz w:val="21"/>
          <w:szCs w:val="21"/>
        </w:rPr>
        <w:t>) and ii) from the perspective of financial investors</w:t>
      </w:r>
      <w:r w:rsidR="004C49EA" w:rsidRPr="008B2B15">
        <w:rPr>
          <w:sz w:val="21"/>
          <w:szCs w:val="21"/>
        </w:rPr>
        <w:t xml:space="preserve">, thus excluding </w:t>
      </w:r>
      <w:r w:rsidRPr="008B2B15">
        <w:rPr>
          <w:sz w:val="21"/>
          <w:szCs w:val="21"/>
        </w:rPr>
        <w:t xml:space="preserve">energy firms (see column 1), in the policy reports (column 2) and in the conducted interviews (column 3). The additional barrier topics that emerge subsequently through academic literature </w:t>
      </w:r>
      <w:proofErr w:type="gramStart"/>
      <w:r w:rsidRPr="008B2B15">
        <w:rPr>
          <w:sz w:val="21"/>
          <w:szCs w:val="21"/>
        </w:rPr>
        <w:t>are not displayed</w:t>
      </w:r>
      <w:proofErr w:type="gramEnd"/>
      <w:r w:rsidRPr="008B2B15">
        <w:rPr>
          <w:sz w:val="21"/>
          <w:szCs w:val="21"/>
        </w:rPr>
        <w:t xml:space="preserve"> here and are </w:t>
      </w:r>
      <w:r w:rsidR="006D03A2" w:rsidRPr="008B2B15">
        <w:rPr>
          <w:sz w:val="21"/>
          <w:szCs w:val="21"/>
        </w:rPr>
        <w:t>accounted for in barrier topic “</w:t>
      </w:r>
      <w:r w:rsidRPr="008B2B15">
        <w:rPr>
          <w:sz w:val="21"/>
          <w:szCs w:val="21"/>
        </w:rPr>
        <w:t xml:space="preserve">other </w:t>
      </w:r>
      <w:r w:rsidR="006D03A2" w:rsidRPr="008B2B15">
        <w:rPr>
          <w:sz w:val="21"/>
          <w:szCs w:val="21"/>
        </w:rPr>
        <w:t>barriers”</w:t>
      </w:r>
      <w:r w:rsidRPr="008B2B15">
        <w:rPr>
          <w:sz w:val="21"/>
          <w:szCs w:val="21"/>
        </w:rPr>
        <w:t xml:space="preserve">. </w:t>
      </w:r>
    </w:p>
    <w:p w14:paraId="37D827DE" w14:textId="77777777" w:rsidR="00AB5055" w:rsidRPr="008B2B15" w:rsidRDefault="00AB5055" w:rsidP="0035699F">
      <w:pPr>
        <w:spacing w:after="0" w:line="276" w:lineRule="auto"/>
        <w:rPr>
          <w:sz w:val="21"/>
          <w:szCs w:val="21"/>
        </w:rPr>
      </w:pPr>
    </w:p>
    <w:p w14:paraId="5EBB7AE4" w14:textId="17BFC459" w:rsidR="00AB5055" w:rsidRPr="008B2B15" w:rsidRDefault="00AC61F9" w:rsidP="0035699F">
      <w:pPr>
        <w:spacing w:after="0" w:line="276" w:lineRule="auto"/>
        <w:rPr>
          <w:rFonts w:ascii="Calibri" w:hAnsi="Calibri" w:cs="Calibri"/>
          <w:sz w:val="21"/>
          <w:szCs w:val="21"/>
        </w:rPr>
      </w:pPr>
      <w:r w:rsidRPr="008B2B15">
        <w:rPr>
          <w:rFonts w:ascii="Calibri" w:hAnsi="Calibri" w:cs="Calibri"/>
          <w:sz w:val="21"/>
          <w:szCs w:val="21"/>
        </w:rPr>
        <w:t>O</w:t>
      </w:r>
      <w:r w:rsidR="0078551B" w:rsidRPr="008B2B15">
        <w:rPr>
          <w:rFonts w:ascii="Calibri" w:hAnsi="Calibri" w:cs="Calibri"/>
          <w:sz w:val="21"/>
          <w:szCs w:val="21"/>
        </w:rPr>
        <w:t>verview table 7</w:t>
      </w:r>
      <w:r w:rsidRPr="008B2B15">
        <w:rPr>
          <w:rFonts w:ascii="Calibri" w:hAnsi="Calibri" w:cs="Calibri"/>
          <w:sz w:val="21"/>
          <w:szCs w:val="21"/>
        </w:rPr>
        <w:t xml:space="preserve">a (in the appendix) presents the results </w:t>
      </w:r>
      <w:r w:rsidR="004C49EA" w:rsidRPr="008B2B15">
        <w:rPr>
          <w:rFonts w:ascii="Calibri" w:hAnsi="Calibri" w:cs="Calibri"/>
          <w:sz w:val="21"/>
          <w:szCs w:val="21"/>
        </w:rPr>
        <w:t>in more detail</w:t>
      </w:r>
      <w:r w:rsidRPr="008B2B15">
        <w:rPr>
          <w:rFonts w:ascii="Calibri" w:hAnsi="Calibri" w:cs="Calibri"/>
          <w:sz w:val="21"/>
          <w:szCs w:val="21"/>
        </w:rPr>
        <w:t xml:space="preserve"> for the academic studies and shows that the order of importance of the investments barriers does not change significantly</w:t>
      </w:r>
      <w:r w:rsidR="004C49EA" w:rsidRPr="008B2B15">
        <w:rPr>
          <w:rFonts w:ascii="Calibri" w:hAnsi="Calibri" w:cs="Calibri"/>
          <w:sz w:val="21"/>
          <w:szCs w:val="21"/>
        </w:rPr>
        <w:t xml:space="preserve"> when energy firms are included as investors</w:t>
      </w:r>
      <w:r w:rsidR="00AB5055" w:rsidRPr="008B2B15">
        <w:rPr>
          <w:rFonts w:ascii="Calibri" w:hAnsi="Calibri" w:cs="Calibri"/>
          <w:sz w:val="21"/>
          <w:szCs w:val="21"/>
        </w:rPr>
        <w:t xml:space="preserve">. </w:t>
      </w:r>
      <w:r w:rsidR="0078551B" w:rsidRPr="008B2B15">
        <w:rPr>
          <w:rFonts w:ascii="Calibri" w:hAnsi="Calibri" w:cs="Calibri"/>
          <w:sz w:val="21"/>
          <w:szCs w:val="21"/>
        </w:rPr>
        <w:t>Further, tables 4</w:t>
      </w:r>
      <w:r w:rsidR="00AB5055" w:rsidRPr="008B2B15">
        <w:rPr>
          <w:sz w:val="21"/>
          <w:szCs w:val="21"/>
        </w:rPr>
        <w:t>a</w:t>
      </w:r>
      <w:r w:rsidR="0078551B" w:rsidRPr="008B2B15">
        <w:rPr>
          <w:rFonts w:ascii="Calibri" w:hAnsi="Calibri" w:cs="Calibri"/>
          <w:sz w:val="21"/>
          <w:szCs w:val="21"/>
        </w:rPr>
        <w:t>, 5a and 6</w:t>
      </w:r>
      <w:r w:rsidR="00AB5055" w:rsidRPr="008B2B15">
        <w:rPr>
          <w:rFonts w:ascii="Calibri" w:hAnsi="Calibri" w:cs="Calibri"/>
          <w:sz w:val="21"/>
          <w:szCs w:val="21"/>
        </w:rPr>
        <w:t>a in the appendix show the identified barrier topics for each</w:t>
      </w:r>
      <w:r w:rsidR="00294697" w:rsidRPr="008B2B15">
        <w:rPr>
          <w:rFonts w:ascii="Calibri" w:hAnsi="Calibri" w:cs="Calibri"/>
          <w:sz w:val="21"/>
          <w:szCs w:val="21"/>
        </w:rPr>
        <w:t xml:space="preserve"> type</w:t>
      </w:r>
      <w:r w:rsidR="00AB5055" w:rsidRPr="008B2B15">
        <w:rPr>
          <w:rFonts w:ascii="Calibri" w:hAnsi="Calibri" w:cs="Calibri"/>
          <w:sz w:val="21"/>
          <w:szCs w:val="21"/>
        </w:rPr>
        <w:t xml:space="preserve"> of the reviewed academic articles. The academic articles presented in these tables </w:t>
      </w:r>
      <w:proofErr w:type="gramStart"/>
      <w:r w:rsidR="00AB5055" w:rsidRPr="008B2B15">
        <w:rPr>
          <w:rFonts w:ascii="Calibri" w:hAnsi="Calibri" w:cs="Calibri"/>
          <w:sz w:val="21"/>
          <w:szCs w:val="21"/>
        </w:rPr>
        <w:t>are also classified</w:t>
      </w:r>
      <w:proofErr w:type="gramEnd"/>
      <w:r w:rsidR="00AB5055" w:rsidRPr="008B2B15">
        <w:rPr>
          <w:rFonts w:ascii="Calibri" w:hAnsi="Calibri" w:cs="Calibri"/>
          <w:sz w:val="21"/>
          <w:szCs w:val="21"/>
        </w:rPr>
        <w:t xml:space="preserve"> according to their research method and the type of investor perspective (e.g. energy developers, institutional investor’s perspective etc.), the type of renewable energy and the geographical region considered by each of these relevant academic articles.</w:t>
      </w:r>
      <w:r w:rsidR="001F0801" w:rsidRPr="008B2B15">
        <w:rPr>
          <w:rFonts w:ascii="Calibri" w:hAnsi="Calibri" w:cs="Calibri"/>
          <w:sz w:val="21"/>
          <w:szCs w:val="21"/>
        </w:rPr>
        <w:t xml:space="preserve"> </w:t>
      </w:r>
    </w:p>
    <w:p w14:paraId="427BD660" w14:textId="33FF3407" w:rsidR="00040EF0" w:rsidRPr="008B2B15" w:rsidRDefault="00040EF0" w:rsidP="00040EF0">
      <w:pPr>
        <w:spacing w:after="0" w:line="240" w:lineRule="auto"/>
        <w:rPr>
          <w:rFonts w:ascii="Calibri" w:hAnsi="Calibri" w:cs="Calibri"/>
          <w:sz w:val="21"/>
          <w:szCs w:val="21"/>
        </w:rPr>
      </w:pPr>
    </w:p>
    <w:p w14:paraId="7C4DF0B4" w14:textId="5FD4E7B5" w:rsidR="00F734DD" w:rsidRPr="008B2B15" w:rsidRDefault="00040EF0" w:rsidP="001F0801">
      <w:pPr>
        <w:pStyle w:val="Caption"/>
        <w:keepNext/>
        <w:rPr>
          <w:color w:val="auto"/>
        </w:rPr>
      </w:pPr>
      <w:r w:rsidRPr="008B2B15">
        <w:rPr>
          <w:color w:val="auto"/>
        </w:rPr>
        <w:t xml:space="preserve">Table </w:t>
      </w:r>
      <w:r w:rsidR="00606B0C" w:rsidRPr="008B2B15">
        <w:rPr>
          <w:color w:val="auto"/>
        </w:rPr>
        <w:t>2</w:t>
      </w:r>
      <w:r w:rsidRPr="008B2B15">
        <w:rPr>
          <w:color w:val="auto"/>
        </w:rPr>
        <w:t>: Overview on the identified barrier topics</w:t>
      </w:r>
      <w:r w:rsidR="00E15497" w:rsidRPr="008B2B15">
        <w:rPr>
          <w:color w:val="auto"/>
        </w:rPr>
        <w:t xml:space="preserve">. The number in the columns indicates the number of documents or interviews that included that theme. The number in parentheses indicates the order of ranks with regard to importance of each barrier topic. </w:t>
      </w:r>
    </w:p>
    <w:tbl>
      <w:tblPr>
        <w:tblW w:w="89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805"/>
        <w:gridCol w:w="1485"/>
        <w:gridCol w:w="1580"/>
        <w:gridCol w:w="1580"/>
      </w:tblGrid>
      <w:tr w:rsidR="00C3788D" w:rsidRPr="00DD264D" w14:paraId="123179E2" w14:textId="77777777" w:rsidTr="003E223D">
        <w:trPr>
          <w:trHeight w:val="185"/>
        </w:trPr>
        <w:tc>
          <w:tcPr>
            <w:tcW w:w="484" w:type="dxa"/>
          </w:tcPr>
          <w:p w14:paraId="2D249E78" w14:textId="77777777" w:rsidR="00C3788D" w:rsidRPr="00F01AFD" w:rsidRDefault="00C3788D" w:rsidP="003E223D">
            <w:pPr>
              <w:spacing w:after="0" w:line="240" w:lineRule="auto"/>
              <w:rPr>
                <w:rFonts w:ascii="Calibri" w:eastAsia="Times New Roman" w:hAnsi="Calibri" w:cs="Calibri"/>
                <w:b/>
                <w:bCs/>
                <w:color w:val="000000"/>
                <w:sz w:val="20"/>
                <w:szCs w:val="20"/>
                <w:lang w:eastAsia="en-GB"/>
              </w:rPr>
            </w:pPr>
            <w:proofErr w:type="spellStart"/>
            <w:r>
              <w:rPr>
                <w:rFonts w:ascii="Calibri" w:hAnsi="Calibri" w:cs="Calibri"/>
                <w:b/>
                <w:i/>
                <w:sz w:val="21"/>
                <w:szCs w:val="21"/>
              </w:rPr>
              <w:t>Nr</w:t>
            </w:r>
            <w:proofErr w:type="spellEnd"/>
            <w:r>
              <w:rPr>
                <w:rFonts w:ascii="Calibri" w:hAnsi="Calibri" w:cs="Calibri"/>
                <w:b/>
                <w:i/>
                <w:sz w:val="21"/>
                <w:szCs w:val="21"/>
              </w:rPr>
              <w:t>.</w:t>
            </w:r>
          </w:p>
        </w:tc>
        <w:tc>
          <w:tcPr>
            <w:tcW w:w="3805" w:type="dxa"/>
            <w:shd w:val="clear" w:color="auto" w:fill="auto"/>
            <w:vAlign w:val="center"/>
            <w:hideMark/>
          </w:tcPr>
          <w:p w14:paraId="70E02088" w14:textId="77777777" w:rsidR="00C3788D" w:rsidRPr="00F01AFD" w:rsidRDefault="00C3788D" w:rsidP="003E223D">
            <w:pPr>
              <w:spacing w:after="0" w:line="240" w:lineRule="auto"/>
              <w:rPr>
                <w:rFonts w:ascii="Calibri" w:eastAsia="Times New Roman" w:hAnsi="Calibri" w:cs="Calibri"/>
                <w:b/>
                <w:bCs/>
                <w:color w:val="000000"/>
                <w:sz w:val="20"/>
                <w:szCs w:val="20"/>
                <w:lang w:eastAsia="en-GB"/>
              </w:rPr>
            </w:pPr>
            <w:r w:rsidRPr="00F01AFD">
              <w:rPr>
                <w:rFonts w:ascii="Calibri" w:eastAsia="Times New Roman" w:hAnsi="Calibri" w:cs="Calibri"/>
                <w:b/>
                <w:bCs/>
                <w:color w:val="000000"/>
                <w:sz w:val="20"/>
                <w:szCs w:val="20"/>
                <w:lang w:eastAsia="en-GB"/>
              </w:rPr>
              <w:t>Theme</w:t>
            </w:r>
          </w:p>
        </w:tc>
        <w:tc>
          <w:tcPr>
            <w:tcW w:w="1485" w:type="dxa"/>
            <w:shd w:val="clear" w:color="000000" w:fill="auto"/>
            <w:vAlign w:val="center"/>
            <w:hideMark/>
          </w:tcPr>
          <w:p w14:paraId="614D086D" w14:textId="77777777" w:rsidR="00C3788D" w:rsidRPr="00F01AFD" w:rsidRDefault="00C3788D" w:rsidP="003E223D">
            <w:pPr>
              <w:spacing w:after="0" w:line="240" w:lineRule="auto"/>
              <w:jc w:val="center"/>
              <w:rPr>
                <w:rFonts w:ascii="Calibri" w:eastAsia="Times New Roman" w:hAnsi="Calibri" w:cs="Calibri"/>
                <w:b/>
                <w:bCs/>
                <w:color w:val="000000"/>
                <w:sz w:val="20"/>
                <w:szCs w:val="20"/>
                <w:lang w:eastAsia="en-GB"/>
              </w:rPr>
            </w:pPr>
            <w:r w:rsidRPr="00F01AFD">
              <w:rPr>
                <w:rFonts w:ascii="Calibri" w:eastAsia="Times New Roman" w:hAnsi="Calibri" w:cs="Calibri"/>
                <w:b/>
                <w:bCs/>
                <w:color w:val="000000"/>
                <w:sz w:val="20"/>
                <w:szCs w:val="20"/>
                <w:lang w:eastAsia="en-GB"/>
              </w:rPr>
              <w:t>Results policy-based literature</w:t>
            </w:r>
          </w:p>
        </w:tc>
        <w:tc>
          <w:tcPr>
            <w:tcW w:w="1580" w:type="dxa"/>
            <w:shd w:val="clear" w:color="000000" w:fill="auto"/>
            <w:vAlign w:val="center"/>
          </w:tcPr>
          <w:p w14:paraId="634923B9" w14:textId="77777777" w:rsidR="00C3788D" w:rsidRPr="00F01AFD" w:rsidRDefault="00C3788D" w:rsidP="003E223D">
            <w:pPr>
              <w:spacing w:after="0" w:line="240" w:lineRule="auto"/>
              <w:jc w:val="center"/>
              <w:rPr>
                <w:rFonts w:ascii="Calibri" w:eastAsia="Times New Roman" w:hAnsi="Calibri" w:cs="Calibri"/>
                <w:b/>
                <w:color w:val="000000"/>
                <w:sz w:val="20"/>
                <w:szCs w:val="20"/>
                <w:lang w:eastAsia="en-GB"/>
              </w:rPr>
            </w:pPr>
            <w:r w:rsidRPr="00F01AFD">
              <w:rPr>
                <w:rFonts w:ascii="Calibri" w:eastAsia="Times New Roman" w:hAnsi="Calibri" w:cs="Calibri"/>
                <w:b/>
                <w:color w:val="000000"/>
                <w:sz w:val="20"/>
                <w:szCs w:val="20"/>
                <w:lang w:eastAsia="en-GB"/>
              </w:rPr>
              <w:t>Results academic literature</w:t>
            </w:r>
          </w:p>
        </w:tc>
        <w:tc>
          <w:tcPr>
            <w:tcW w:w="1580" w:type="dxa"/>
            <w:shd w:val="clear" w:color="000000" w:fill="auto"/>
            <w:vAlign w:val="center"/>
            <w:hideMark/>
          </w:tcPr>
          <w:p w14:paraId="07EC6027" w14:textId="77777777" w:rsidR="00C3788D" w:rsidRPr="00F01AFD" w:rsidRDefault="00C3788D" w:rsidP="003E223D">
            <w:pPr>
              <w:spacing w:after="0" w:line="240" w:lineRule="auto"/>
              <w:jc w:val="center"/>
              <w:rPr>
                <w:rFonts w:ascii="Calibri" w:eastAsia="Times New Roman" w:hAnsi="Calibri" w:cs="Calibri"/>
                <w:b/>
                <w:bCs/>
                <w:color w:val="000000"/>
                <w:sz w:val="20"/>
                <w:szCs w:val="20"/>
                <w:lang w:eastAsia="en-GB"/>
              </w:rPr>
            </w:pPr>
            <w:r w:rsidRPr="00F01AFD">
              <w:rPr>
                <w:rFonts w:ascii="Calibri" w:eastAsia="Times New Roman" w:hAnsi="Calibri" w:cs="Calibri"/>
                <w:b/>
                <w:bCs/>
                <w:color w:val="000000"/>
                <w:sz w:val="20"/>
                <w:szCs w:val="20"/>
                <w:lang w:eastAsia="en-GB"/>
              </w:rPr>
              <w:t>Results interviews</w:t>
            </w:r>
          </w:p>
        </w:tc>
      </w:tr>
      <w:tr w:rsidR="00C3788D" w:rsidRPr="00DD264D" w14:paraId="38C90C7D" w14:textId="77777777" w:rsidTr="003E223D">
        <w:trPr>
          <w:trHeight w:val="362"/>
        </w:trPr>
        <w:tc>
          <w:tcPr>
            <w:tcW w:w="484" w:type="dxa"/>
          </w:tcPr>
          <w:p w14:paraId="0F1D920B" w14:textId="77777777" w:rsidR="00C3788D" w:rsidRPr="00010649" w:rsidRDefault="00C3788D" w:rsidP="003E223D">
            <w:pPr>
              <w:spacing w:after="0" w:line="240" w:lineRule="auto"/>
              <w:rPr>
                <w:rFonts w:ascii="Calibri" w:hAnsi="Calibri" w:cs="Calibri"/>
                <w:sz w:val="21"/>
                <w:szCs w:val="21"/>
              </w:rPr>
            </w:pPr>
            <w:r>
              <w:rPr>
                <w:rFonts w:ascii="Calibri" w:hAnsi="Calibri" w:cs="Calibri"/>
                <w:sz w:val="21"/>
                <w:szCs w:val="21"/>
              </w:rPr>
              <w:t>2</w:t>
            </w:r>
          </w:p>
        </w:tc>
        <w:tc>
          <w:tcPr>
            <w:tcW w:w="3805" w:type="dxa"/>
            <w:shd w:val="clear" w:color="auto" w:fill="auto"/>
            <w:vAlign w:val="center"/>
            <w:hideMark/>
          </w:tcPr>
          <w:p w14:paraId="7C7879A6"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hAnsi="Calibri" w:cs="Calibri"/>
                <w:sz w:val="21"/>
                <w:szCs w:val="21"/>
              </w:rPr>
              <w:t>Lack of a stable climate change policy frameworks and policy direction</w:t>
            </w:r>
          </w:p>
        </w:tc>
        <w:tc>
          <w:tcPr>
            <w:tcW w:w="1485" w:type="dxa"/>
            <w:shd w:val="clear" w:color="auto" w:fill="auto"/>
            <w:vAlign w:val="center"/>
            <w:hideMark/>
          </w:tcPr>
          <w:p w14:paraId="34DFC459"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8</w:t>
            </w:r>
            <w:r>
              <w:rPr>
                <w:rFonts w:ascii="Calibri" w:eastAsia="Times New Roman" w:hAnsi="Calibri" w:cs="Calibri"/>
                <w:color w:val="000000"/>
                <w:sz w:val="20"/>
                <w:szCs w:val="20"/>
                <w:lang w:eastAsia="en-GB"/>
              </w:rPr>
              <w:t xml:space="preserve"> (5)</w:t>
            </w:r>
          </w:p>
        </w:tc>
        <w:tc>
          <w:tcPr>
            <w:tcW w:w="1580" w:type="dxa"/>
            <w:vAlign w:val="center"/>
          </w:tcPr>
          <w:p w14:paraId="077C6BAB"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21 </w:t>
            </w:r>
            <w:r w:rsidRPr="00F01AFD">
              <w:rPr>
                <w:rFonts w:ascii="Calibri" w:eastAsia="Times New Roman" w:hAnsi="Calibri" w:cs="Calibri"/>
                <w:color w:val="000000"/>
                <w:sz w:val="20"/>
                <w:szCs w:val="20"/>
                <w:lang w:eastAsia="en-GB"/>
              </w:rPr>
              <w:t>(1)</w:t>
            </w:r>
          </w:p>
        </w:tc>
        <w:tc>
          <w:tcPr>
            <w:tcW w:w="1580" w:type="dxa"/>
            <w:shd w:val="clear" w:color="auto" w:fill="auto"/>
            <w:noWrap/>
            <w:vAlign w:val="center"/>
            <w:hideMark/>
          </w:tcPr>
          <w:p w14:paraId="4B3B30B9"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16</w:t>
            </w:r>
            <w:r>
              <w:rPr>
                <w:rFonts w:ascii="Calibri" w:eastAsia="Times New Roman" w:hAnsi="Calibri" w:cs="Calibri"/>
                <w:color w:val="000000"/>
                <w:sz w:val="20"/>
                <w:szCs w:val="20"/>
                <w:lang w:eastAsia="en-GB"/>
              </w:rPr>
              <w:t xml:space="preserve"> (1)</w:t>
            </w:r>
          </w:p>
        </w:tc>
      </w:tr>
      <w:tr w:rsidR="00C3788D" w:rsidRPr="00DD264D" w14:paraId="4360A7E1" w14:textId="77777777" w:rsidTr="003E223D">
        <w:trPr>
          <w:trHeight w:val="362"/>
        </w:trPr>
        <w:tc>
          <w:tcPr>
            <w:tcW w:w="484" w:type="dxa"/>
          </w:tcPr>
          <w:p w14:paraId="13F0E4BD"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3</w:t>
            </w:r>
          </w:p>
        </w:tc>
        <w:tc>
          <w:tcPr>
            <w:tcW w:w="3805" w:type="dxa"/>
            <w:shd w:val="clear" w:color="auto" w:fill="auto"/>
            <w:vAlign w:val="center"/>
            <w:hideMark/>
          </w:tcPr>
          <w:p w14:paraId="1B83EB86"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Policies are in favour of 'brown' energy-infrastructure (e.g. fossil fuel subsidies; </w:t>
            </w:r>
            <w:r w:rsidRPr="00010649">
              <w:rPr>
                <w:rFonts w:ascii="Calibri" w:eastAsia="Times New Roman" w:hAnsi="Calibri" w:cs="Calibri"/>
                <w:sz w:val="21"/>
                <w:szCs w:val="21"/>
                <w:lang w:eastAsia="en-GB"/>
              </w:rPr>
              <w:t>limited pricing of carbon emissions</w:t>
            </w:r>
            <w:r w:rsidRPr="00010649">
              <w:rPr>
                <w:rFonts w:ascii="Calibri" w:eastAsia="Times New Roman" w:hAnsi="Calibri" w:cs="Calibri"/>
                <w:color w:val="000000"/>
                <w:sz w:val="21"/>
                <w:szCs w:val="21"/>
                <w:lang w:eastAsia="en-GB"/>
              </w:rPr>
              <w:t>)</w:t>
            </w:r>
          </w:p>
        </w:tc>
        <w:tc>
          <w:tcPr>
            <w:tcW w:w="1485" w:type="dxa"/>
            <w:shd w:val="clear" w:color="auto" w:fill="auto"/>
            <w:vAlign w:val="center"/>
            <w:hideMark/>
          </w:tcPr>
          <w:p w14:paraId="2EEF2462"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8</w:t>
            </w:r>
            <w:r>
              <w:rPr>
                <w:rFonts w:ascii="Calibri" w:eastAsia="Times New Roman" w:hAnsi="Calibri" w:cs="Calibri"/>
                <w:color w:val="000000"/>
                <w:sz w:val="20"/>
                <w:szCs w:val="20"/>
                <w:lang w:eastAsia="en-GB"/>
              </w:rPr>
              <w:t xml:space="preserve"> (5)</w:t>
            </w:r>
          </w:p>
        </w:tc>
        <w:tc>
          <w:tcPr>
            <w:tcW w:w="1580" w:type="dxa"/>
            <w:vAlign w:val="center"/>
          </w:tcPr>
          <w:p w14:paraId="27539FFD"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3 (8)</w:t>
            </w:r>
          </w:p>
        </w:tc>
        <w:tc>
          <w:tcPr>
            <w:tcW w:w="1580" w:type="dxa"/>
            <w:shd w:val="clear" w:color="auto" w:fill="auto"/>
            <w:noWrap/>
            <w:vAlign w:val="center"/>
            <w:hideMark/>
          </w:tcPr>
          <w:p w14:paraId="4E2D8553"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 xml:space="preserve"> (7)</w:t>
            </w:r>
          </w:p>
        </w:tc>
      </w:tr>
      <w:tr w:rsidR="00C3788D" w:rsidRPr="00DD264D" w14:paraId="6163F5D1" w14:textId="77777777" w:rsidTr="003E223D">
        <w:trPr>
          <w:trHeight w:val="362"/>
        </w:trPr>
        <w:tc>
          <w:tcPr>
            <w:tcW w:w="484" w:type="dxa"/>
          </w:tcPr>
          <w:p w14:paraId="6E153DB3"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4</w:t>
            </w:r>
          </w:p>
        </w:tc>
        <w:tc>
          <w:tcPr>
            <w:tcW w:w="3805" w:type="dxa"/>
            <w:shd w:val="clear" w:color="auto" w:fill="auto"/>
            <w:vAlign w:val="center"/>
            <w:hideMark/>
          </w:tcPr>
          <w:p w14:paraId="3FECE97F"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Constraints on decision making within investor companies </w:t>
            </w:r>
          </w:p>
        </w:tc>
        <w:tc>
          <w:tcPr>
            <w:tcW w:w="1485" w:type="dxa"/>
            <w:shd w:val="clear" w:color="auto" w:fill="auto"/>
            <w:vAlign w:val="center"/>
            <w:hideMark/>
          </w:tcPr>
          <w:p w14:paraId="7EC69582"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11</w:t>
            </w:r>
            <w:r>
              <w:rPr>
                <w:rFonts w:ascii="Calibri" w:eastAsia="Times New Roman" w:hAnsi="Calibri" w:cs="Calibri"/>
                <w:color w:val="000000"/>
                <w:sz w:val="20"/>
                <w:szCs w:val="20"/>
                <w:lang w:eastAsia="en-GB"/>
              </w:rPr>
              <w:t xml:space="preserve"> (2) </w:t>
            </w:r>
          </w:p>
        </w:tc>
        <w:tc>
          <w:tcPr>
            <w:tcW w:w="1580" w:type="dxa"/>
            <w:vAlign w:val="center"/>
          </w:tcPr>
          <w:p w14:paraId="23629D68"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17 (2)</w:t>
            </w:r>
          </w:p>
        </w:tc>
        <w:tc>
          <w:tcPr>
            <w:tcW w:w="1580" w:type="dxa"/>
            <w:shd w:val="clear" w:color="auto" w:fill="auto"/>
            <w:noWrap/>
            <w:vAlign w:val="center"/>
            <w:hideMark/>
          </w:tcPr>
          <w:p w14:paraId="193D57F4"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14</w:t>
            </w:r>
            <w:r>
              <w:rPr>
                <w:rFonts w:ascii="Calibri" w:eastAsia="Times New Roman" w:hAnsi="Calibri" w:cs="Calibri"/>
                <w:color w:val="000000"/>
                <w:sz w:val="20"/>
                <w:szCs w:val="20"/>
                <w:lang w:eastAsia="en-GB"/>
              </w:rPr>
              <w:t xml:space="preserve"> (2)</w:t>
            </w:r>
          </w:p>
        </w:tc>
      </w:tr>
      <w:tr w:rsidR="00C3788D" w:rsidRPr="00DD264D" w14:paraId="540760CB" w14:textId="77777777" w:rsidTr="003E223D">
        <w:trPr>
          <w:trHeight w:val="484"/>
        </w:trPr>
        <w:tc>
          <w:tcPr>
            <w:tcW w:w="484" w:type="dxa"/>
          </w:tcPr>
          <w:p w14:paraId="52DA4C62"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5</w:t>
            </w:r>
          </w:p>
        </w:tc>
        <w:tc>
          <w:tcPr>
            <w:tcW w:w="3805" w:type="dxa"/>
            <w:shd w:val="clear" w:color="auto" w:fill="auto"/>
            <w:vAlign w:val="center"/>
            <w:hideMark/>
          </w:tcPr>
          <w:p w14:paraId="1BB1364D"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Perceptions that returns of renewable infrastructure investments are too low and require high initial capital investment  </w:t>
            </w:r>
          </w:p>
        </w:tc>
        <w:tc>
          <w:tcPr>
            <w:tcW w:w="1485" w:type="dxa"/>
            <w:shd w:val="clear" w:color="auto" w:fill="auto"/>
            <w:vAlign w:val="center"/>
            <w:hideMark/>
          </w:tcPr>
          <w:p w14:paraId="787CF49F"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4</w:t>
            </w:r>
            <w:r>
              <w:rPr>
                <w:rFonts w:ascii="Calibri" w:eastAsia="Times New Roman" w:hAnsi="Calibri" w:cs="Calibri"/>
                <w:color w:val="000000"/>
                <w:sz w:val="20"/>
                <w:szCs w:val="20"/>
                <w:lang w:eastAsia="en-GB"/>
              </w:rPr>
              <w:t xml:space="preserve"> (7)</w:t>
            </w:r>
          </w:p>
        </w:tc>
        <w:tc>
          <w:tcPr>
            <w:tcW w:w="1580" w:type="dxa"/>
            <w:vAlign w:val="center"/>
          </w:tcPr>
          <w:p w14:paraId="6CC170FE"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7 (4)</w:t>
            </w:r>
          </w:p>
        </w:tc>
        <w:tc>
          <w:tcPr>
            <w:tcW w:w="1580" w:type="dxa"/>
            <w:shd w:val="clear" w:color="auto" w:fill="auto"/>
            <w:noWrap/>
            <w:vAlign w:val="center"/>
            <w:hideMark/>
          </w:tcPr>
          <w:p w14:paraId="5418BC94"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10</w:t>
            </w:r>
            <w:r>
              <w:rPr>
                <w:rFonts w:ascii="Calibri" w:eastAsia="Times New Roman" w:hAnsi="Calibri" w:cs="Calibri"/>
                <w:color w:val="000000"/>
                <w:sz w:val="20"/>
                <w:szCs w:val="20"/>
                <w:lang w:eastAsia="en-GB"/>
              </w:rPr>
              <w:t xml:space="preserve"> (5)</w:t>
            </w:r>
          </w:p>
        </w:tc>
      </w:tr>
      <w:tr w:rsidR="00C3788D" w:rsidRPr="00DD264D" w14:paraId="66433D91" w14:textId="77777777" w:rsidTr="003E223D">
        <w:trPr>
          <w:trHeight w:val="362"/>
        </w:trPr>
        <w:tc>
          <w:tcPr>
            <w:tcW w:w="484" w:type="dxa"/>
          </w:tcPr>
          <w:p w14:paraId="3A191C38"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6</w:t>
            </w:r>
          </w:p>
        </w:tc>
        <w:tc>
          <w:tcPr>
            <w:tcW w:w="3805" w:type="dxa"/>
            <w:shd w:val="clear" w:color="auto" w:fill="auto"/>
            <w:vAlign w:val="center"/>
            <w:hideMark/>
          </w:tcPr>
          <w:p w14:paraId="705C6D54"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Requirement that projects need a certain credit rating so that it is possible to invest</w:t>
            </w:r>
          </w:p>
        </w:tc>
        <w:tc>
          <w:tcPr>
            <w:tcW w:w="1485" w:type="dxa"/>
            <w:shd w:val="clear" w:color="auto" w:fill="auto"/>
            <w:vAlign w:val="center"/>
            <w:hideMark/>
          </w:tcPr>
          <w:p w14:paraId="24DB1951"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6</w:t>
            </w:r>
            <w:r>
              <w:rPr>
                <w:rFonts w:ascii="Calibri" w:eastAsia="Times New Roman" w:hAnsi="Calibri" w:cs="Calibri"/>
                <w:color w:val="000000"/>
                <w:sz w:val="20"/>
                <w:szCs w:val="20"/>
                <w:lang w:eastAsia="en-GB"/>
              </w:rPr>
              <w:t xml:space="preserve"> (6)</w:t>
            </w:r>
          </w:p>
        </w:tc>
        <w:tc>
          <w:tcPr>
            <w:tcW w:w="1580" w:type="dxa"/>
            <w:vAlign w:val="center"/>
          </w:tcPr>
          <w:p w14:paraId="0466FE30"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4 (7)</w:t>
            </w:r>
          </w:p>
        </w:tc>
        <w:tc>
          <w:tcPr>
            <w:tcW w:w="1580" w:type="dxa"/>
            <w:shd w:val="clear" w:color="auto" w:fill="auto"/>
            <w:noWrap/>
            <w:vAlign w:val="center"/>
            <w:hideMark/>
          </w:tcPr>
          <w:p w14:paraId="7E322F08"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 xml:space="preserve"> (8)</w:t>
            </w:r>
          </w:p>
        </w:tc>
      </w:tr>
      <w:tr w:rsidR="00C3788D" w:rsidRPr="00DD264D" w14:paraId="07161206" w14:textId="77777777" w:rsidTr="003E223D">
        <w:trPr>
          <w:trHeight w:val="240"/>
        </w:trPr>
        <w:tc>
          <w:tcPr>
            <w:tcW w:w="484" w:type="dxa"/>
          </w:tcPr>
          <w:p w14:paraId="3C9DC0AA"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7</w:t>
            </w:r>
          </w:p>
        </w:tc>
        <w:tc>
          <w:tcPr>
            <w:tcW w:w="3805" w:type="dxa"/>
            <w:shd w:val="clear" w:color="auto" w:fill="auto"/>
            <w:vAlign w:val="center"/>
            <w:hideMark/>
          </w:tcPr>
          <w:p w14:paraId="0AF4FD32"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Technology-risk associated with uncertain technologies </w:t>
            </w:r>
          </w:p>
        </w:tc>
        <w:tc>
          <w:tcPr>
            <w:tcW w:w="1485" w:type="dxa"/>
            <w:shd w:val="clear" w:color="auto" w:fill="auto"/>
            <w:vAlign w:val="center"/>
            <w:hideMark/>
          </w:tcPr>
          <w:p w14:paraId="73A22CEB"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11</w:t>
            </w:r>
            <w:r>
              <w:rPr>
                <w:rFonts w:ascii="Calibri" w:eastAsia="Times New Roman" w:hAnsi="Calibri" w:cs="Calibri"/>
                <w:color w:val="000000"/>
                <w:sz w:val="20"/>
                <w:szCs w:val="20"/>
                <w:lang w:eastAsia="en-GB"/>
              </w:rPr>
              <w:t xml:space="preserve"> (3) </w:t>
            </w:r>
          </w:p>
        </w:tc>
        <w:tc>
          <w:tcPr>
            <w:tcW w:w="1580" w:type="dxa"/>
            <w:vAlign w:val="center"/>
          </w:tcPr>
          <w:p w14:paraId="2FA237B2"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13 (3)</w:t>
            </w:r>
          </w:p>
        </w:tc>
        <w:tc>
          <w:tcPr>
            <w:tcW w:w="1580" w:type="dxa"/>
            <w:shd w:val="clear" w:color="auto" w:fill="auto"/>
            <w:noWrap/>
            <w:vAlign w:val="center"/>
            <w:hideMark/>
          </w:tcPr>
          <w:p w14:paraId="7D3F791C"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6</w:t>
            </w:r>
            <w:r>
              <w:rPr>
                <w:rFonts w:ascii="Calibri" w:eastAsia="Times New Roman" w:hAnsi="Calibri" w:cs="Calibri"/>
                <w:color w:val="000000"/>
                <w:sz w:val="20"/>
                <w:szCs w:val="20"/>
                <w:lang w:eastAsia="en-GB"/>
              </w:rPr>
              <w:t xml:space="preserve"> (6)</w:t>
            </w:r>
          </w:p>
        </w:tc>
      </w:tr>
      <w:tr w:rsidR="00C3788D" w:rsidRPr="00DD264D" w14:paraId="632BDA8F" w14:textId="77777777" w:rsidTr="003E223D">
        <w:trPr>
          <w:trHeight w:val="240"/>
        </w:trPr>
        <w:tc>
          <w:tcPr>
            <w:tcW w:w="484" w:type="dxa"/>
          </w:tcPr>
          <w:p w14:paraId="74BE248D" w14:textId="77777777" w:rsidR="00C3788D" w:rsidRPr="00010649" w:rsidRDefault="00C3788D" w:rsidP="003E223D">
            <w:pPr>
              <w:spacing w:line="240" w:lineRule="auto"/>
              <w:rPr>
                <w:rFonts w:ascii="Calibri" w:eastAsia="Times New Roman" w:hAnsi="Calibri" w:cs="Calibri"/>
                <w:sz w:val="21"/>
                <w:szCs w:val="21"/>
                <w:lang w:eastAsia="en-GB"/>
              </w:rPr>
            </w:pPr>
            <w:r>
              <w:rPr>
                <w:rFonts w:ascii="Calibri" w:hAnsi="Calibri" w:cs="Calibri"/>
                <w:sz w:val="21"/>
                <w:szCs w:val="21"/>
              </w:rPr>
              <w:t>8</w:t>
            </w:r>
          </w:p>
        </w:tc>
        <w:tc>
          <w:tcPr>
            <w:tcW w:w="3805" w:type="dxa"/>
            <w:shd w:val="clear" w:color="auto" w:fill="auto"/>
            <w:vAlign w:val="center"/>
            <w:hideMark/>
          </w:tcPr>
          <w:p w14:paraId="3D8D3427" w14:textId="77777777" w:rsidR="00C3788D" w:rsidRPr="00010649" w:rsidRDefault="00C3788D" w:rsidP="003E223D">
            <w:pPr>
              <w:spacing w:line="240" w:lineRule="auto"/>
              <w:rPr>
                <w:rFonts w:ascii="Calibri" w:hAnsi="Calibri" w:cs="Calibri"/>
                <w:sz w:val="21"/>
                <w:szCs w:val="21"/>
              </w:rPr>
            </w:pPr>
            <w:r w:rsidRPr="00010649">
              <w:rPr>
                <w:rFonts w:ascii="Calibri" w:eastAsia="Times New Roman" w:hAnsi="Calibri" w:cs="Calibri"/>
                <w:sz w:val="21"/>
                <w:szCs w:val="21"/>
                <w:lang w:eastAsia="en-GB"/>
              </w:rPr>
              <w:t xml:space="preserve">Disclosure on climate related risks and integrating them into financial decision-making </w:t>
            </w:r>
            <w:r w:rsidRPr="00010649">
              <w:rPr>
                <w:rFonts w:ascii="Calibri" w:eastAsia="Times New Roman" w:hAnsi="Calibri" w:cs="Calibri"/>
                <w:sz w:val="21"/>
                <w:szCs w:val="21"/>
              </w:rPr>
              <w:t xml:space="preserve">/ Lack of standardised ESG-data </w:t>
            </w:r>
          </w:p>
        </w:tc>
        <w:tc>
          <w:tcPr>
            <w:tcW w:w="1485" w:type="dxa"/>
            <w:shd w:val="clear" w:color="auto" w:fill="auto"/>
            <w:vAlign w:val="center"/>
            <w:hideMark/>
          </w:tcPr>
          <w:p w14:paraId="6D168A9E"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10</w:t>
            </w:r>
            <w:r>
              <w:rPr>
                <w:rFonts w:ascii="Calibri" w:eastAsia="Times New Roman" w:hAnsi="Calibri" w:cs="Calibri"/>
                <w:color w:val="000000"/>
                <w:sz w:val="20"/>
                <w:szCs w:val="20"/>
                <w:lang w:eastAsia="en-GB"/>
              </w:rPr>
              <w:t xml:space="preserve"> (4)</w:t>
            </w:r>
          </w:p>
        </w:tc>
        <w:tc>
          <w:tcPr>
            <w:tcW w:w="1580" w:type="dxa"/>
            <w:vAlign w:val="center"/>
          </w:tcPr>
          <w:p w14:paraId="14D0B00F"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4 (7)</w:t>
            </w:r>
          </w:p>
        </w:tc>
        <w:tc>
          <w:tcPr>
            <w:tcW w:w="1580" w:type="dxa"/>
            <w:shd w:val="clear" w:color="auto" w:fill="auto"/>
            <w:noWrap/>
            <w:vAlign w:val="center"/>
            <w:hideMark/>
          </w:tcPr>
          <w:p w14:paraId="24FEEF37"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11</w:t>
            </w:r>
            <w:r>
              <w:rPr>
                <w:rFonts w:ascii="Calibri" w:eastAsia="Times New Roman" w:hAnsi="Calibri" w:cs="Calibri"/>
                <w:color w:val="000000"/>
                <w:sz w:val="20"/>
                <w:szCs w:val="20"/>
                <w:lang w:eastAsia="en-GB"/>
              </w:rPr>
              <w:t xml:space="preserve"> (3)</w:t>
            </w:r>
          </w:p>
        </w:tc>
      </w:tr>
      <w:tr w:rsidR="00C3788D" w:rsidRPr="00DD264D" w14:paraId="7AB11F20" w14:textId="77777777" w:rsidTr="003E223D">
        <w:trPr>
          <w:trHeight w:val="362"/>
        </w:trPr>
        <w:tc>
          <w:tcPr>
            <w:tcW w:w="484" w:type="dxa"/>
          </w:tcPr>
          <w:p w14:paraId="246C8807"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lastRenderedPageBreak/>
              <w:t>9</w:t>
            </w:r>
          </w:p>
        </w:tc>
        <w:tc>
          <w:tcPr>
            <w:tcW w:w="3805" w:type="dxa"/>
            <w:shd w:val="clear" w:color="auto" w:fill="auto"/>
            <w:vAlign w:val="center"/>
            <w:hideMark/>
          </w:tcPr>
          <w:p w14:paraId="72AB337B"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Limited projects with acceptable risk-return profiles; lack of liquidity in markets</w:t>
            </w:r>
          </w:p>
        </w:tc>
        <w:tc>
          <w:tcPr>
            <w:tcW w:w="1485" w:type="dxa"/>
            <w:shd w:val="clear" w:color="auto" w:fill="auto"/>
            <w:vAlign w:val="center"/>
            <w:hideMark/>
          </w:tcPr>
          <w:p w14:paraId="2CE2E5B4"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14</w:t>
            </w:r>
            <w:r>
              <w:rPr>
                <w:rFonts w:ascii="Calibri" w:eastAsia="Times New Roman" w:hAnsi="Calibri" w:cs="Calibri"/>
                <w:color w:val="000000"/>
                <w:sz w:val="20"/>
                <w:szCs w:val="20"/>
                <w:lang w:eastAsia="en-GB"/>
              </w:rPr>
              <w:t xml:space="preserve"> (1) </w:t>
            </w:r>
          </w:p>
        </w:tc>
        <w:tc>
          <w:tcPr>
            <w:tcW w:w="1580" w:type="dxa"/>
            <w:vAlign w:val="center"/>
          </w:tcPr>
          <w:p w14:paraId="1792F326"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3 (8)</w:t>
            </w:r>
          </w:p>
        </w:tc>
        <w:tc>
          <w:tcPr>
            <w:tcW w:w="1580" w:type="dxa"/>
            <w:shd w:val="clear" w:color="auto" w:fill="auto"/>
            <w:noWrap/>
            <w:vAlign w:val="center"/>
            <w:hideMark/>
          </w:tcPr>
          <w:p w14:paraId="7B86BA97"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11</w:t>
            </w:r>
            <w:r>
              <w:rPr>
                <w:rFonts w:ascii="Calibri" w:eastAsia="Times New Roman" w:hAnsi="Calibri" w:cs="Calibri"/>
                <w:color w:val="000000"/>
                <w:sz w:val="20"/>
                <w:szCs w:val="20"/>
                <w:lang w:eastAsia="en-GB"/>
              </w:rPr>
              <w:t xml:space="preserve"> (3)</w:t>
            </w:r>
          </w:p>
        </w:tc>
      </w:tr>
      <w:tr w:rsidR="00C3788D" w:rsidRPr="00DD264D" w14:paraId="0A2BF62E" w14:textId="77777777" w:rsidTr="003E223D">
        <w:trPr>
          <w:trHeight w:val="240"/>
        </w:trPr>
        <w:tc>
          <w:tcPr>
            <w:tcW w:w="484" w:type="dxa"/>
          </w:tcPr>
          <w:p w14:paraId="7803FA98"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10</w:t>
            </w:r>
          </w:p>
        </w:tc>
        <w:tc>
          <w:tcPr>
            <w:tcW w:w="3805" w:type="dxa"/>
            <w:shd w:val="clear" w:color="auto" w:fill="auto"/>
            <w:vAlign w:val="center"/>
            <w:hideMark/>
          </w:tcPr>
          <w:p w14:paraId="4BB18FAE"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Lack of suitable financial vehicles/financial instruments </w:t>
            </w:r>
          </w:p>
        </w:tc>
        <w:tc>
          <w:tcPr>
            <w:tcW w:w="1485" w:type="dxa"/>
            <w:shd w:val="clear" w:color="auto" w:fill="auto"/>
            <w:vAlign w:val="center"/>
            <w:hideMark/>
          </w:tcPr>
          <w:p w14:paraId="75E1E6CA"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10</w:t>
            </w:r>
            <w:r>
              <w:rPr>
                <w:rFonts w:ascii="Calibri" w:eastAsia="Times New Roman" w:hAnsi="Calibri" w:cs="Calibri"/>
                <w:color w:val="000000"/>
                <w:sz w:val="20"/>
                <w:szCs w:val="20"/>
                <w:lang w:eastAsia="en-GB"/>
              </w:rPr>
              <w:t xml:space="preserve"> (4)</w:t>
            </w:r>
          </w:p>
        </w:tc>
        <w:tc>
          <w:tcPr>
            <w:tcW w:w="1580" w:type="dxa"/>
            <w:vAlign w:val="center"/>
          </w:tcPr>
          <w:p w14:paraId="765FD8C1"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3 (8)</w:t>
            </w:r>
          </w:p>
        </w:tc>
        <w:tc>
          <w:tcPr>
            <w:tcW w:w="1580" w:type="dxa"/>
            <w:shd w:val="clear" w:color="auto" w:fill="auto"/>
            <w:noWrap/>
            <w:vAlign w:val="center"/>
            <w:hideMark/>
          </w:tcPr>
          <w:p w14:paraId="560B4A3D"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11</w:t>
            </w:r>
            <w:r>
              <w:rPr>
                <w:rFonts w:ascii="Calibri" w:eastAsia="Times New Roman" w:hAnsi="Calibri" w:cs="Calibri"/>
                <w:color w:val="000000"/>
                <w:sz w:val="20"/>
                <w:szCs w:val="20"/>
                <w:lang w:eastAsia="en-GB"/>
              </w:rPr>
              <w:t xml:space="preserve"> (3)</w:t>
            </w:r>
          </w:p>
        </w:tc>
      </w:tr>
      <w:tr w:rsidR="00C3788D" w:rsidRPr="00DD264D" w14:paraId="001A15F8" w14:textId="77777777" w:rsidTr="003E223D">
        <w:trPr>
          <w:trHeight w:val="132"/>
        </w:trPr>
        <w:tc>
          <w:tcPr>
            <w:tcW w:w="484" w:type="dxa"/>
          </w:tcPr>
          <w:p w14:paraId="53900B64"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11</w:t>
            </w:r>
          </w:p>
        </w:tc>
        <w:tc>
          <w:tcPr>
            <w:tcW w:w="3805" w:type="dxa"/>
            <w:shd w:val="clear" w:color="auto" w:fill="auto"/>
            <w:vAlign w:val="center"/>
            <w:hideMark/>
          </w:tcPr>
          <w:p w14:paraId="5811DC82"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High transaction costs or fees </w:t>
            </w:r>
          </w:p>
        </w:tc>
        <w:tc>
          <w:tcPr>
            <w:tcW w:w="1485" w:type="dxa"/>
            <w:shd w:val="clear" w:color="auto" w:fill="auto"/>
            <w:vAlign w:val="center"/>
            <w:hideMark/>
          </w:tcPr>
          <w:p w14:paraId="4045579F"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10</w:t>
            </w:r>
            <w:r>
              <w:rPr>
                <w:rFonts w:ascii="Calibri" w:eastAsia="Times New Roman" w:hAnsi="Calibri" w:cs="Calibri"/>
                <w:color w:val="000000"/>
                <w:sz w:val="20"/>
                <w:szCs w:val="20"/>
                <w:lang w:eastAsia="en-GB"/>
              </w:rPr>
              <w:t xml:space="preserve"> (4)</w:t>
            </w:r>
          </w:p>
        </w:tc>
        <w:tc>
          <w:tcPr>
            <w:tcW w:w="1580" w:type="dxa"/>
            <w:vAlign w:val="center"/>
          </w:tcPr>
          <w:p w14:paraId="3F3F33EC"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 xml:space="preserve"> (9)</w:t>
            </w:r>
          </w:p>
        </w:tc>
        <w:tc>
          <w:tcPr>
            <w:tcW w:w="1580" w:type="dxa"/>
            <w:shd w:val="clear" w:color="auto" w:fill="auto"/>
            <w:noWrap/>
            <w:vAlign w:val="center"/>
            <w:hideMark/>
          </w:tcPr>
          <w:p w14:paraId="76B7B14F"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 xml:space="preserve"> (9)</w:t>
            </w:r>
          </w:p>
        </w:tc>
      </w:tr>
      <w:tr w:rsidR="00C3788D" w:rsidRPr="00DD264D" w14:paraId="72BE8633" w14:textId="77777777" w:rsidTr="003E223D">
        <w:trPr>
          <w:trHeight w:val="240"/>
        </w:trPr>
        <w:tc>
          <w:tcPr>
            <w:tcW w:w="484" w:type="dxa"/>
          </w:tcPr>
          <w:p w14:paraId="03C97EB9"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12</w:t>
            </w:r>
          </w:p>
        </w:tc>
        <w:tc>
          <w:tcPr>
            <w:tcW w:w="3805" w:type="dxa"/>
            <w:shd w:val="clear" w:color="auto" w:fill="auto"/>
            <w:vAlign w:val="center"/>
            <w:hideMark/>
          </w:tcPr>
          <w:p w14:paraId="640F3874"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Lack of knowledge/technical advice on green infrastructure investment </w:t>
            </w:r>
          </w:p>
        </w:tc>
        <w:tc>
          <w:tcPr>
            <w:tcW w:w="1485" w:type="dxa"/>
            <w:shd w:val="clear" w:color="auto" w:fill="auto"/>
            <w:vAlign w:val="center"/>
            <w:hideMark/>
          </w:tcPr>
          <w:p w14:paraId="36F599A9"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 xml:space="preserve"> (8)</w:t>
            </w:r>
          </w:p>
        </w:tc>
        <w:tc>
          <w:tcPr>
            <w:tcW w:w="1580" w:type="dxa"/>
            <w:vAlign w:val="center"/>
          </w:tcPr>
          <w:p w14:paraId="0714C216"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13 (3)</w:t>
            </w:r>
          </w:p>
        </w:tc>
        <w:tc>
          <w:tcPr>
            <w:tcW w:w="1580" w:type="dxa"/>
            <w:shd w:val="clear" w:color="auto" w:fill="auto"/>
            <w:noWrap/>
            <w:vAlign w:val="center"/>
            <w:hideMark/>
          </w:tcPr>
          <w:p w14:paraId="426689BA"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9</w:t>
            </w:r>
            <w:r>
              <w:rPr>
                <w:rFonts w:ascii="Calibri" w:eastAsia="Times New Roman" w:hAnsi="Calibri" w:cs="Calibri"/>
                <w:color w:val="000000"/>
                <w:sz w:val="20"/>
                <w:szCs w:val="20"/>
                <w:lang w:eastAsia="en-GB"/>
              </w:rPr>
              <w:t xml:space="preserve"> (4)</w:t>
            </w:r>
          </w:p>
        </w:tc>
      </w:tr>
      <w:tr w:rsidR="00C3788D" w:rsidRPr="00DD264D" w14:paraId="0D5F6F4E" w14:textId="77777777" w:rsidTr="003E223D">
        <w:trPr>
          <w:trHeight w:val="132"/>
        </w:trPr>
        <w:tc>
          <w:tcPr>
            <w:tcW w:w="484" w:type="dxa"/>
          </w:tcPr>
          <w:p w14:paraId="122F465F"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Pr>
                <w:rFonts w:ascii="Calibri" w:hAnsi="Calibri" w:cs="Calibri"/>
                <w:sz w:val="21"/>
                <w:szCs w:val="21"/>
              </w:rPr>
              <w:t>15</w:t>
            </w:r>
          </w:p>
        </w:tc>
        <w:tc>
          <w:tcPr>
            <w:tcW w:w="3805" w:type="dxa"/>
            <w:shd w:val="clear" w:color="auto" w:fill="auto"/>
            <w:vAlign w:val="center"/>
            <w:hideMark/>
          </w:tcPr>
          <w:p w14:paraId="3AAB5718" w14:textId="77777777" w:rsidR="00C3788D" w:rsidRPr="00010649" w:rsidRDefault="00C3788D" w:rsidP="003E223D">
            <w:pPr>
              <w:spacing w:after="0" w:line="240" w:lineRule="auto"/>
              <w:rPr>
                <w:rFonts w:ascii="Calibri" w:eastAsia="Times New Roman" w:hAnsi="Calibri" w:cs="Calibri"/>
                <w:color w:val="000000"/>
                <w:sz w:val="21"/>
                <w:szCs w:val="21"/>
                <w:lang w:eastAsia="en-GB"/>
              </w:rPr>
            </w:pPr>
            <w:r w:rsidRPr="00010649">
              <w:rPr>
                <w:rFonts w:ascii="Calibri" w:eastAsia="Times New Roman" w:hAnsi="Calibri" w:cs="Calibri"/>
                <w:color w:val="000000"/>
                <w:sz w:val="21"/>
                <w:szCs w:val="21"/>
                <w:lang w:eastAsia="en-GB"/>
              </w:rPr>
              <w:t xml:space="preserve">Other barriers </w:t>
            </w:r>
          </w:p>
        </w:tc>
        <w:tc>
          <w:tcPr>
            <w:tcW w:w="1485" w:type="dxa"/>
            <w:shd w:val="clear" w:color="auto" w:fill="auto"/>
            <w:vAlign w:val="center"/>
            <w:hideMark/>
          </w:tcPr>
          <w:p w14:paraId="5A39107B"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28</w:t>
            </w:r>
          </w:p>
        </w:tc>
        <w:tc>
          <w:tcPr>
            <w:tcW w:w="1580" w:type="dxa"/>
            <w:vAlign w:val="center"/>
          </w:tcPr>
          <w:p w14:paraId="5A3A1393"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50</w:t>
            </w:r>
          </w:p>
        </w:tc>
        <w:tc>
          <w:tcPr>
            <w:tcW w:w="1580" w:type="dxa"/>
            <w:shd w:val="clear" w:color="auto" w:fill="auto"/>
            <w:noWrap/>
            <w:vAlign w:val="center"/>
            <w:hideMark/>
          </w:tcPr>
          <w:p w14:paraId="010DE6E4" w14:textId="77777777" w:rsidR="00C3788D" w:rsidRPr="00F01AFD" w:rsidRDefault="00C3788D" w:rsidP="003E223D">
            <w:pPr>
              <w:spacing w:after="0" w:line="240" w:lineRule="auto"/>
              <w:jc w:val="right"/>
              <w:rPr>
                <w:rFonts w:ascii="Calibri" w:eastAsia="Times New Roman" w:hAnsi="Calibri" w:cs="Calibri"/>
                <w:color w:val="000000"/>
                <w:sz w:val="20"/>
                <w:szCs w:val="20"/>
                <w:lang w:eastAsia="en-GB"/>
              </w:rPr>
            </w:pPr>
            <w:r w:rsidRPr="00F01AFD">
              <w:rPr>
                <w:rFonts w:ascii="Calibri" w:eastAsia="Times New Roman" w:hAnsi="Calibri" w:cs="Calibri"/>
                <w:color w:val="000000"/>
                <w:sz w:val="20"/>
                <w:szCs w:val="20"/>
                <w:lang w:eastAsia="en-GB"/>
              </w:rPr>
              <w:t>12</w:t>
            </w:r>
          </w:p>
        </w:tc>
      </w:tr>
    </w:tbl>
    <w:p w14:paraId="213DB8D7" w14:textId="77777777" w:rsidR="00C3788D" w:rsidRPr="005B7F1A" w:rsidRDefault="00C3788D" w:rsidP="00C3788D">
      <w:pPr>
        <w:spacing w:after="0" w:line="240" w:lineRule="auto"/>
        <w:rPr>
          <w:rFonts w:ascii="Calibri" w:hAnsi="Calibri" w:cs="Calibri"/>
          <w:sz w:val="10"/>
          <w:szCs w:val="10"/>
        </w:rPr>
      </w:pPr>
    </w:p>
    <w:p w14:paraId="0AE0D07F" w14:textId="77777777" w:rsidR="00C3788D" w:rsidRDefault="00C3788D" w:rsidP="00C3788D">
      <w:pPr>
        <w:spacing w:after="0" w:line="276" w:lineRule="auto"/>
        <w:rPr>
          <w:i/>
          <w:sz w:val="18"/>
          <w:szCs w:val="18"/>
        </w:rPr>
      </w:pPr>
      <w:r>
        <w:rPr>
          <w:i/>
          <w:sz w:val="18"/>
          <w:szCs w:val="18"/>
        </w:rPr>
        <w:t xml:space="preserve">Source: own elaboration and the keywords indicated in the second column </w:t>
      </w:r>
      <w:proofErr w:type="gramStart"/>
      <w:r>
        <w:rPr>
          <w:i/>
          <w:sz w:val="18"/>
          <w:szCs w:val="18"/>
        </w:rPr>
        <w:t>are taken</w:t>
      </w:r>
      <w:proofErr w:type="gramEnd"/>
      <w:r>
        <w:rPr>
          <w:i/>
          <w:sz w:val="18"/>
          <w:szCs w:val="18"/>
        </w:rPr>
        <w:t xml:space="preserve"> from Hafner et al. (2019)</w:t>
      </w:r>
    </w:p>
    <w:p w14:paraId="1D7DA802" w14:textId="77777777" w:rsidR="00C3788D" w:rsidRDefault="00C3788D" w:rsidP="00C3788D">
      <w:pPr>
        <w:spacing w:after="0" w:line="276" w:lineRule="auto"/>
        <w:rPr>
          <w:i/>
          <w:sz w:val="18"/>
          <w:szCs w:val="18"/>
        </w:rPr>
      </w:pPr>
    </w:p>
    <w:p w14:paraId="5896F283" w14:textId="0042CB4B" w:rsidR="00D451B3" w:rsidRPr="008B2B15" w:rsidRDefault="001A5CCD" w:rsidP="00C3788D">
      <w:pPr>
        <w:spacing w:after="0" w:line="276" w:lineRule="auto"/>
        <w:rPr>
          <w:rFonts w:ascii="Calibri" w:hAnsi="Calibri" w:cs="Calibri"/>
          <w:sz w:val="21"/>
          <w:szCs w:val="21"/>
        </w:rPr>
      </w:pPr>
      <w:r w:rsidRPr="008B2B15">
        <w:rPr>
          <w:rFonts w:ascii="Calibri" w:hAnsi="Calibri" w:cs="Calibri"/>
          <w:sz w:val="21"/>
          <w:szCs w:val="21"/>
        </w:rPr>
        <w:t>B</w:t>
      </w:r>
      <w:r w:rsidR="00D451B3" w:rsidRPr="008B2B15">
        <w:rPr>
          <w:rFonts w:ascii="Calibri" w:hAnsi="Calibri" w:cs="Calibri"/>
          <w:sz w:val="21"/>
          <w:szCs w:val="21"/>
        </w:rPr>
        <w:t xml:space="preserve">oth in the academic literature and in the interviews, </w:t>
      </w:r>
      <w:r w:rsidR="006D03A2" w:rsidRPr="008B2B15">
        <w:rPr>
          <w:rFonts w:ascii="Calibri" w:hAnsi="Calibri" w:cs="Calibri"/>
          <w:sz w:val="21"/>
          <w:szCs w:val="21"/>
        </w:rPr>
        <w:t>barrier topic “</w:t>
      </w:r>
      <w:r w:rsidR="00054825" w:rsidRPr="008B2B15">
        <w:rPr>
          <w:rFonts w:ascii="Calibri" w:eastAsia="Times New Roman" w:hAnsi="Calibri" w:cs="Calibri"/>
          <w:sz w:val="21"/>
          <w:szCs w:val="21"/>
          <w:lang w:eastAsia="en-GB"/>
        </w:rPr>
        <w:t>l</w:t>
      </w:r>
      <w:r w:rsidR="00AF6877" w:rsidRPr="008B2B15">
        <w:rPr>
          <w:rFonts w:ascii="Calibri" w:eastAsia="Times New Roman" w:hAnsi="Calibri" w:cs="Calibri"/>
          <w:sz w:val="21"/>
          <w:szCs w:val="21"/>
          <w:lang w:eastAsia="en-GB"/>
        </w:rPr>
        <w:t>ack of a long-term climate change policy framew</w:t>
      </w:r>
      <w:r w:rsidR="006D03A2" w:rsidRPr="008B2B15">
        <w:rPr>
          <w:rFonts w:ascii="Calibri" w:eastAsia="Times New Roman" w:hAnsi="Calibri" w:cs="Calibri"/>
          <w:sz w:val="21"/>
          <w:szCs w:val="21"/>
          <w:lang w:eastAsia="en-GB"/>
        </w:rPr>
        <w:t>ork and lack of stable policies”</w:t>
      </w:r>
      <w:r w:rsidR="00D451B3" w:rsidRPr="008B2B15">
        <w:rPr>
          <w:rFonts w:ascii="Calibri" w:hAnsi="Calibri" w:cs="Calibri"/>
          <w:sz w:val="21"/>
          <w:szCs w:val="21"/>
        </w:rPr>
        <w:t xml:space="preserve"> </w:t>
      </w:r>
      <w:proofErr w:type="gramStart"/>
      <w:r w:rsidR="00D451B3" w:rsidRPr="008B2B15">
        <w:rPr>
          <w:rFonts w:ascii="Calibri" w:hAnsi="Calibri" w:cs="Calibri"/>
          <w:sz w:val="21"/>
          <w:szCs w:val="21"/>
        </w:rPr>
        <w:t>has</w:t>
      </w:r>
      <w:r w:rsidR="00BB71CA" w:rsidRPr="008B2B15">
        <w:rPr>
          <w:rFonts w:ascii="Calibri" w:hAnsi="Calibri" w:cs="Calibri"/>
          <w:sz w:val="21"/>
          <w:szCs w:val="21"/>
        </w:rPr>
        <w:t xml:space="preserve"> been </w:t>
      </w:r>
      <w:r w:rsidR="004C49EA" w:rsidRPr="008B2B15">
        <w:rPr>
          <w:rFonts w:ascii="Calibri" w:hAnsi="Calibri" w:cs="Calibri"/>
          <w:sz w:val="21"/>
          <w:szCs w:val="21"/>
        </w:rPr>
        <w:t>mentioned</w:t>
      </w:r>
      <w:proofErr w:type="gramEnd"/>
      <w:r w:rsidRPr="008B2B15">
        <w:rPr>
          <w:rFonts w:ascii="Calibri" w:hAnsi="Calibri" w:cs="Calibri"/>
          <w:sz w:val="21"/>
          <w:szCs w:val="21"/>
        </w:rPr>
        <w:t xml:space="preserve"> </w:t>
      </w:r>
      <w:r w:rsidR="00BB71CA" w:rsidRPr="008B2B15">
        <w:rPr>
          <w:rFonts w:ascii="Calibri" w:hAnsi="Calibri" w:cs="Calibri"/>
          <w:sz w:val="21"/>
          <w:szCs w:val="21"/>
        </w:rPr>
        <w:t>the most often, indicating</w:t>
      </w:r>
      <w:r w:rsidR="00D451B3" w:rsidRPr="008B2B15">
        <w:rPr>
          <w:rFonts w:ascii="Calibri" w:hAnsi="Calibri" w:cs="Calibri"/>
          <w:sz w:val="21"/>
          <w:szCs w:val="21"/>
        </w:rPr>
        <w:t xml:space="preserve"> that </w:t>
      </w:r>
      <w:r w:rsidR="00AF6877" w:rsidRPr="008B2B15">
        <w:rPr>
          <w:rFonts w:ascii="Calibri" w:hAnsi="Calibri" w:cs="Calibri"/>
          <w:sz w:val="21"/>
          <w:szCs w:val="21"/>
        </w:rPr>
        <w:t>this is</w:t>
      </w:r>
      <w:r w:rsidR="004C49EA" w:rsidRPr="008B2B15">
        <w:rPr>
          <w:rFonts w:ascii="Calibri" w:hAnsi="Calibri" w:cs="Calibri"/>
          <w:sz w:val="21"/>
          <w:szCs w:val="21"/>
        </w:rPr>
        <w:t xml:space="preserve"> an important </w:t>
      </w:r>
      <w:r w:rsidR="00D451B3" w:rsidRPr="008B2B15">
        <w:rPr>
          <w:rFonts w:ascii="Calibri" w:hAnsi="Calibri" w:cs="Calibri"/>
          <w:sz w:val="21"/>
          <w:szCs w:val="21"/>
        </w:rPr>
        <w:t xml:space="preserve">barrier deterring investors </w:t>
      </w:r>
      <w:r w:rsidRPr="008B2B15">
        <w:rPr>
          <w:rFonts w:ascii="Calibri" w:hAnsi="Calibri" w:cs="Calibri"/>
          <w:sz w:val="21"/>
          <w:szCs w:val="21"/>
        </w:rPr>
        <w:t xml:space="preserve">from </w:t>
      </w:r>
      <w:r w:rsidR="00D451B3" w:rsidRPr="008B2B15">
        <w:rPr>
          <w:rFonts w:ascii="Calibri" w:hAnsi="Calibri" w:cs="Calibri"/>
          <w:sz w:val="21"/>
          <w:szCs w:val="21"/>
        </w:rPr>
        <w:t>invest</w:t>
      </w:r>
      <w:r w:rsidRPr="008B2B15">
        <w:rPr>
          <w:rFonts w:ascii="Calibri" w:hAnsi="Calibri" w:cs="Calibri"/>
          <w:sz w:val="21"/>
          <w:szCs w:val="21"/>
        </w:rPr>
        <w:t>ing</w:t>
      </w:r>
      <w:r w:rsidR="00D451B3" w:rsidRPr="008B2B15">
        <w:rPr>
          <w:rFonts w:ascii="Calibri" w:hAnsi="Calibri" w:cs="Calibri"/>
          <w:sz w:val="21"/>
          <w:szCs w:val="21"/>
        </w:rPr>
        <w:t xml:space="preserve"> in renewable energy infrastructure. In the policy reports instead, the </w:t>
      </w:r>
      <w:r w:rsidR="006D03A2" w:rsidRPr="008B2B15">
        <w:rPr>
          <w:rFonts w:ascii="Calibri" w:hAnsi="Calibri" w:cs="Calibri"/>
          <w:sz w:val="21"/>
          <w:szCs w:val="21"/>
        </w:rPr>
        <w:t>“</w:t>
      </w:r>
      <w:r w:rsidR="00D451B3" w:rsidRPr="008B2B15">
        <w:rPr>
          <w:rFonts w:ascii="Calibri" w:hAnsi="Calibri" w:cs="Calibri"/>
          <w:sz w:val="21"/>
          <w:szCs w:val="21"/>
        </w:rPr>
        <w:t xml:space="preserve">lack </w:t>
      </w:r>
      <w:r w:rsidR="006D03A2" w:rsidRPr="008B2B15">
        <w:rPr>
          <w:rFonts w:ascii="Calibri" w:hAnsi="Calibri" w:cs="Calibri"/>
          <w:sz w:val="21"/>
          <w:szCs w:val="21"/>
        </w:rPr>
        <w:t>of appropriate</w:t>
      </w:r>
      <w:r w:rsidR="00D451B3" w:rsidRPr="008B2B15">
        <w:rPr>
          <w:rFonts w:ascii="Calibri" w:hAnsi="Calibri" w:cs="Calibri"/>
          <w:sz w:val="21"/>
          <w:szCs w:val="21"/>
        </w:rPr>
        <w:t xml:space="preserve"> projects </w:t>
      </w:r>
      <w:r w:rsidR="00054825" w:rsidRPr="008B2B15">
        <w:rPr>
          <w:rFonts w:ascii="Calibri" w:hAnsi="Calibri" w:cs="Calibri"/>
          <w:sz w:val="21"/>
          <w:szCs w:val="21"/>
        </w:rPr>
        <w:t>or investment possibilities</w:t>
      </w:r>
      <w:r w:rsidR="006D03A2" w:rsidRPr="008B2B15">
        <w:rPr>
          <w:rFonts w:ascii="Calibri" w:hAnsi="Calibri" w:cs="Calibri"/>
          <w:sz w:val="21"/>
          <w:szCs w:val="21"/>
        </w:rPr>
        <w:t>”</w:t>
      </w:r>
      <w:r w:rsidR="00D451B3" w:rsidRPr="008B2B15">
        <w:rPr>
          <w:rFonts w:ascii="Calibri" w:hAnsi="Calibri" w:cs="Calibri"/>
          <w:sz w:val="21"/>
          <w:szCs w:val="21"/>
        </w:rPr>
        <w:t xml:space="preserve"> </w:t>
      </w:r>
      <w:proofErr w:type="gramStart"/>
      <w:r w:rsidR="00054825" w:rsidRPr="008B2B15">
        <w:rPr>
          <w:rFonts w:ascii="Calibri" w:hAnsi="Calibri" w:cs="Calibri"/>
          <w:sz w:val="21"/>
          <w:szCs w:val="21"/>
        </w:rPr>
        <w:t>has</w:t>
      </w:r>
      <w:r w:rsidR="00D451B3" w:rsidRPr="008B2B15">
        <w:rPr>
          <w:rFonts w:ascii="Calibri" w:hAnsi="Calibri" w:cs="Calibri"/>
          <w:sz w:val="21"/>
          <w:szCs w:val="21"/>
        </w:rPr>
        <w:t xml:space="preserve"> been indicated</w:t>
      </w:r>
      <w:proofErr w:type="gramEnd"/>
      <w:r w:rsidR="00D451B3" w:rsidRPr="008B2B15">
        <w:rPr>
          <w:rFonts w:ascii="Calibri" w:hAnsi="Calibri" w:cs="Calibri"/>
          <w:sz w:val="21"/>
          <w:szCs w:val="21"/>
        </w:rPr>
        <w:t xml:space="preserve"> as the most important barrier towards more green investments. In all the different information sources, </w:t>
      </w:r>
      <w:r w:rsidR="00054825" w:rsidRPr="008B2B15">
        <w:rPr>
          <w:rFonts w:ascii="Calibri" w:hAnsi="Calibri" w:cs="Calibri"/>
          <w:sz w:val="21"/>
          <w:szCs w:val="21"/>
        </w:rPr>
        <w:t xml:space="preserve">the </w:t>
      </w:r>
      <w:r w:rsidR="00D451B3" w:rsidRPr="008B2B15">
        <w:rPr>
          <w:rFonts w:ascii="Calibri" w:hAnsi="Calibri" w:cs="Calibri"/>
          <w:sz w:val="21"/>
          <w:szCs w:val="21"/>
        </w:rPr>
        <w:t>barrie</w:t>
      </w:r>
      <w:r w:rsidR="006D03A2" w:rsidRPr="008B2B15">
        <w:rPr>
          <w:rFonts w:ascii="Calibri" w:hAnsi="Calibri" w:cs="Calibri"/>
          <w:sz w:val="21"/>
          <w:szCs w:val="21"/>
        </w:rPr>
        <w:t>r topic “</w:t>
      </w:r>
      <w:r w:rsidR="001853BF" w:rsidRPr="008B2B15">
        <w:rPr>
          <w:rFonts w:ascii="Calibri" w:eastAsia="Times New Roman" w:hAnsi="Calibri" w:cs="Calibri"/>
          <w:sz w:val="21"/>
          <w:szCs w:val="21"/>
          <w:lang w:eastAsia="en-GB"/>
        </w:rPr>
        <w:t>c</w:t>
      </w:r>
      <w:r w:rsidR="00054825" w:rsidRPr="008B2B15">
        <w:rPr>
          <w:rFonts w:ascii="Calibri" w:eastAsia="Times New Roman" w:hAnsi="Calibri" w:cs="Calibri"/>
          <w:sz w:val="21"/>
          <w:szCs w:val="21"/>
          <w:lang w:eastAsia="en-GB"/>
        </w:rPr>
        <w:t>onstraints on decision m</w:t>
      </w:r>
      <w:r w:rsidR="006D03A2" w:rsidRPr="008B2B15">
        <w:rPr>
          <w:rFonts w:ascii="Calibri" w:eastAsia="Times New Roman" w:hAnsi="Calibri" w:cs="Calibri"/>
          <w:sz w:val="21"/>
          <w:szCs w:val="21"/>
          <w:lang w:eastAsia="en-GB"/>
        </w:rPr>
        <w:t>aking within investor companies”</w:t>
      </w:r>
      <w:r w:rsidR="00054825" w:rsidRPr="008B2B15">
        <w:rPr>
          <w:rFonts w:ascii="Calibri" w:eastAsia="Times New Roman" w:hAnsi="Calibri" w:cs="Calibri"/>
          <w:sz w:val="21"/>
          <w:szCs w:val="21"/>
          <w:lang w:eastAsia="en-GB"/>
        </w:rPr>
        <w:t xml:space="preserve">, which is related to the </w:t>
      </w:r>
      <w:r w:rsidR="00D451B3" w:rsidRPr="008B2B15">
        <w:rPr>
          <w:rFonts w:ascii="Calibri" w:hAnsi="Calibri" w:cs="Calibri"/>
          <w:sz w:val="21"/>
          <w:szCs w:val="21"/>
        </w:rPr>
        <w:t>short-term</w:t>
      </w:r>
      <w:r w:rsidR="006D03A2" w:rsidRPr="008B2B15">
        <w:rPr>
          <w:rFonts w:ascii="Calibri" w:hAnsi="Calibri" w:cs="Calibri"/>
          <w:sz w:val="21"/>
          <w:szCs w:val="21"/>
        </w:rPr>
        <w:t>ism in the financial system</w:t>
      </w:r>
      <w:r w:rsidR="006A7B66" w:rsidRPr="008B2B15">
        <w:rPr>
          <w:rFonts w:ascii="Calibri" w:hAnsi="Calibri" w:cs="Calibri"/>
          <w:sz w:val="21"/>
          <w:szCs w:val="21"/>
        </w:rPr>
        <w:t xml:space="preserve"> </w:t>
      </w:r>
      <w:r w:rsidR="00D451B3" w:rsidRPr="008B2B15">
        <w:rPr>
          <w:rFonts w:ascii="Calibri" w:hAnsi="Calibri" w:cs="Calibri"/>
          <w:sz w:val="21"/>
          <w:szCs w:val="21"/>
        </w:rPr>
        <w:t>has been reported as th</w:t>
      </w:r>
      <w:r w:rsidR="00EC7C19" w:rsidRPr="008B2B15">
        <w:rPr>
          <w:rFonts w:ascii="Calibri" w:hAnsi="Calibri" w:cs="Calibri"/>
          <w:sz w:val="21"/>
          <w:szCs w:val="21"/>
        </w:rPr>
        <w:t>e second most important barrier</w:t>
      </w:r>
      <w:r w:rsidR="00D451B3" w:rsidRPr="008B2B15">
        <w:rPr>
          <w:rFonts w:ascii="Calibri" w:hAnsi="Calibri" w:cs="Calibri"/>
          <w:sz w:val="21"/>
          <w:szCs w:val="21"/>
        </w:rPr>
        <w:t xml:space="preserve">. </w:t>
      </w:r>
      <w:r w:rsidR="00726E84" w:rsidRPr="008B2B15">
        <w:rPr>
          <w:rFonts w:ascii="Calibri" w:hAnsi="Calibri" w:cs="Calibri"/>
          <w:sz w:val="21"/>
          <w:szCs w:val="21"/>
        </w:rPr>
        <w:t xml:space="preserve">Furthermore, </w:t>
      </w:r>
      <w:r w:rsidR="003D006D" w:rsidRPr="008B2B15">
        <w:rPr>
          <w:rFonts w:ascii="Calibri" w:hAnsi="Calibri" w:cs="Calibri"/>
          <w:sz w:val="21"/>
          <w:szCs w:val="21"/>
        </w:rPr>
        <w:t>the academic</w:t>
      </w:r>
      <w:r w:rsidRPr="008B2B15">
        <w:rPr>
          <w:rFonts w:ascii="Calibri" w:hAnsi="Calibri" w:cs="Calibri"/>
          <w:sz w:val="21"/>
          <w:szCs w:val="21"/>
        </w:rPr>
        <w:t xml:space="preserve"> </w:t>
      </w:r>
      <w:r w:rsidR="003D006D" w:rsidRPr="008B2B15">
        <w:rPr>
          <w:rFonts w:ascii="Calibri" w:hAnsi="Calibri" w:cs="Calibri"/>
          <w:sz w:val="21"/>
          <w:szCs w:val="21"/>
        </w:rPr>
        <w:t xml:space="preserve">literature </w:t>
      </w:r>
      <w:r w:rsidRPr="008B2B15">
        <w:rPr>
          <w:rFonts w:ascii="Calibri" w:hAnsi="Calibri" w:cs="Calibri"/>
          <w:sz w:val="21"/>
          <w:szCs w:val="21"/>
        </w:rPr>
        <w:t xml:space="preserve">and practice-based reports </w:t>
      </w:r>
      <w:r w:rsidR="003D006D" w:rsidRPr="008B2B15">
        <w:rPr>
          <w:rFonts w:ascii="Calibri" w:hAnsi="Calibri" w:cs="Calibri"/>
          <w:sz w:val="21"/>
          <w:szCs w:val="21"/>
        </w:rPr>
        <w:t>shows that the</w:t>
      </w:r>
      <w:r w:rsidR="006D03A2" w:rsidRPr="008B2B15">
        <w:rPr>
          <w:rFonts w:ascii="Calibri" w:hAnsi="Calibri" w:cs="Calibri"/>
          <w:sz w:val="21"/>
          <w:szCs w:val="21"/>
        </w:rPr>
        <w:t xml:space="preserve"> barrier topic “</w:t>
      </w:r>
      <w:r w:rsidR="00A147B0">
        <w:rPr>
          <w:rFonts w:ascii="Calibri" w:eastAsia="Times New Roman" w:hAnsi="Calibri" w:cs="Calibri"/>
          <w:sz w:val="21"/>
          <w:szCs w:val="21"/>
          <w:lang w:eastAsia="en-GB"/>
        </w:rPr>
        <w:t xml:space="preserve">Lack of </w:t>
      </w:r>
      <w:r w:rsidR="00C20EF9" w:rsidRPr="008B2B15">
        <w:rPr>
          <w:rFonts w:ascii="Calibri" w:eastAsia="Times New Roman" w:hAnsi="Calibri" w:cs="Calibri"/>
          <w:sz w:val="21"/>
          <w:szCs w:val="21"/>
          <w:lang w:eastAsia="en-GB"/>
        </w:rPr>
        <w:t xml:space="preserve">knowledge/technical advice on </w:t>
      </w:r>
      <w:r w:rsidR="006D03A2" w:rsidRPr="008B2B15">
        <w:rPr>
          <w:rFonts w:ascii="Calibri" w:eastAsia="Times New Roman" w:hAnsi="Calibri" w:cs="Calibri"/>
          <w:sz w:val="21"/>
          <w:szCs w:val="21"/>
          <w:lang w:eastAsia="en-GB"/>
        </w:rPr>
        <w:t>green infrastructure investment”</w:t>
      </w:r>
      <w:r w:rsidR="00C20EF9" w:rsidRPr="008B2B15">
        <w:rPr>
          <w:rFonts w:ascii="Calibri" w:eastAsia="Times New Roman" w:hAnsi="Calibri" w:cs="Calibri"/>
          <w:sz w:val="21"/>
          <w:szCs w:val="21"/>
          <w:lang w:eastAsia="en-GB"/>
        </w:rPr>
        <w:t xml:space="preserve"> </w:t>
      </w:r>
      <w:r w:rsidR="00726E84" w:rsidRPr="008B2B15">
        <w:rPr>
          <w:rFonts w:ascii="Calibri" w:hAnsi="Calibri" w:cs="Calibri"/>
          <w:sz w:val="21"/>
          <w:szCs w:val="21"/>
        </w:rPr>
        <w:t>is</w:t>
      </w:r>
      <w:r w:rsidR="00D451B3" w:rsidRPr="008B2B15">
        <w:rPr>
          <w:rFonts w:ascii="Calibri" w:hAnsi="Calibri" w:cs="Calibri"/>
          <w:sz w:val="21"/>
          <w:szCs w:val="21"/>
        </w:rPr>
        <w:t xml:space="preserve"> </w:t>
      </w:r>
      <w:r w:rsidR="00EC7C19" w:rsidRPr="008B2B15">
        <w:rPr>
          <w:rFonts w:ascii="Calibri" w:hAnsi="Calibri" w:cs="Calibri"/>
          <w:sz w:val="21"/>
          <w:szCs w:val="21"/>
        </w:rPr>
        <w:t xml:space="preserve">the </w:t>
      </w:r>
      <w:r w:rsidR="00D451B3" w:rsidRPr="008B2B15">
        <w:rPr>
          <w:rFonts w:ascii="Calibri" w:hAnsi="Calibri" w:cs="Calibri"/>
          <w:sz w:val="21"/>
          <w:szCs w:val="21"/>
        </w:rPr>
        <w:t>third important the barrier topic</w:t>
      </w:r>
      <w:r w:rsidR="00C20EF9" w:rsidRPr="008B2B15">
        <w:rPr>
          <w:rFonts w:ascii="Calibri" w:hAnsi="Calibri" w:cs="Calibri"/>
          <w:sz w:val="21"/>
          <w:szCs w:val="21"/>
        </w:rPr>
        <w:t xml:space="preserve"> from this literature</w:t>
      </w:r>
      <w:r w:rsidR="00D451B3" w:rsidRPr="008B2B15">
        <w:rPr>
          <w:rFonts w:ascii="Calibri" w:hAnsi="Calibri" w:cs="Calibri"/>
          <w:sz w:val="21"/>
          <w:szCs w:val="21"/>
        </w:rPr>
        <w:t xml:space="preserve">. </w:t>
      </w:r>
      <w:r w:rsidR="00726E84" w:rsidRPr="008B2B15">
        <w:rPr>
          <w:rFonts w:ascii="Calibri" w:hAnsi="Calibri" w:cs="Calibri"/>
          <w:sz w:val="21"/>
          <w:szCs w:val="21"/>
        </w:rPr>
        <w:t xml:space="preserve">From the perspective of the interviewees </w:t>
      </w:r>
      <w:r w:rsidR="003D006D" w:rsidRPr="008B2B15">
        <w:rPr>
          <w:rFonts w:ascii="Calibri" w:hAnsi="Calibri" w:cs="Calibri"/>
          <w:sz w:val="21"/>
          <w:szCs w:val="21"/>
        </w:rPr>
        <w:t>the barrier topics</w:t>
      </w:r>
      <w:r w:rsidR="006D03A2" w:rsidRPr="008B2B15">
        <w:rPr>
          <w:rFonts w:ascii="Calibri" w:hAnsi="Calibri" w:cs="Calibri"/>
          <w:sz w:val="21"/>
          <w:szCs w:val="21"/>
        </w:rPr>
        <w:t xml:space="preserve"> “</w:t>
      </w:r>
      <w:r w:rsidR="003D006D" w:rsidRPr="008B2B15">
        <w:rPr>
          <w:rFonts w:ascii="Calibri" w:hAnsi="Calibri" w:cs="Calibri"/>
          <w:sz w:val="21"/>
          <w:szCs w:val="21"/>
        </w:rPr>
        <w:t>l</w:t>
      </w:r>
      <w:r w:rsidR="00D451B3" w:rsidRPr="008B2B15">
        <w:rPr>
          <w:rFonts w:ascii="Calibri" w:hAnsi="Calibri" w:cs="Calibri"/>
          <w:sz w:val="21"/>
          <w:szCs w:val="21"/>
        </w:rPr>
        <w:t>ack of</w:t>
      </w:r>
      <w:r w:rsidR="006D03A2" w:rsidRPr="008B2B15">
        <w:rPr>
          <w:rFonts w:ascii="Calibri" w:hAnsi="Calibri" w:cs="Calibri"/>
          <w:sz w:val="21"/>
          <w:szCs w:val="21"/>
        </w:rPr>
        <w:t xml:space="preserve"> suitable financial instruments”, “</w:t>
      </w:r>
      <w:r w:rsidR="00D451B3" w:rsidRPr="008B2B15">
        <w:rPr>
          <w:rFonts w:ascii="Calibri" w:hAnsi="Calibri" w:cs="Calibri"/>
          <w:sz w:val="21"/>
          <w:szCs w:val="21"/>
        </w:rPr>
        <w:t>l</w:t>
      </w:r>
      <w:r w:rsidR="003D006D" w:rsidRPr="008B2B15">
        <w:rPr>
          <w:rFonts w:ascii="Calibri" w:hAnsi="Calibri" w:cs="Calibri"/>
          <w:sz w:val="21"/>
          <w:szCs w:val="21"/>
        </w:rPr>
        <w:t>ack of liquidity i</w:t>
      </w:r>
      <w:r w:rsidR="006D03A2" w:rsidRPr="008B2B15">
        <w:rPr>
          <w:rFonts w:ascii="Calibri" w:hAnsi="Calibri" w:cs="Calibri"/>
          <w:sz w:val="21"/>
          <w:szCs w:val="21"/>
        </w:rPr>
        <w:t>n the markets” and “climate disclosure”</w:t>
      </w:r>
      <w:r w:rsidR="00D451B3" w:rsidRPr="008B2B15">
        <w:rPr>
          <w:rFonts w:ascii="Calibri" w:hAnsi="Calibri" w:cs="Calibri"/>
          <w:sz w:val="21"/>
          <w:szCs w:val="21"/>
        </w:rPr>
        <w:t xml:space="preserve"> </w:t>
      </w:r>
      <w:r w:rsidR="00EC7C19" w:rsidRPr="008B2B15">
        <w:rPr>
          <w:rFonts w:ascii="Calibri" w:hAnsi="Calibri" w:cs="Calibri"/>
          <w:sz w:val="21"/>
          <w:szCs w:val="21"/>
        </w:rPr>
        <w:t>are</w:t>
      </w:r>
      <w:r w:rsidR="003D006D" w:rsidRPr="008B2B15">
        <w:rPr>
          <w:rFonts w:ascii="Calibri" w:hAnsi="Calibri" w:cs="Calibri"/>
          <w:sz w:val="21"/>
          <w:szCs w:val="21"/>
        </w:rPr>
        <w:t xml:space="preserve"> all the </w:t>
      </w:r>
      <w:r w:rsidR="00D451B3" w:rsidRPr="008B2B15">
        <w:rPr>
          <w:rFonts w:ascii="Calibri" w:hAnsi="Calibri" w:cs="Calibri"/>
          <w:sz w:val="21"/>
          <w:szCs w:val="21"/>
        </w:rPr>
        <w:t xml:space="preserve">third most important barrier topics. </w:t>
      </w:r>
    </w:p>
    <w:p w14:paraId="1C924D99" w14:textId="77777777" w:rsidR="00E80951" w:rsidRDefault="00E80951" w:rsidP="0035699F">
      <w:pPr>
        <w:spacing w:after="0" w:line="276" w:lineRule="auto"/>
        <w:rPr>
          <w:rFonts w:ascii="Calibri" w:hAnsi="Calibri" w:cs="Calibri"/>
          <w:sz w:val="21"/>
          <w:szCs w:val="21"/>
        </w:rPr>
      </w:pPr>
    </w:p>
    <w:p w14:paraId="7BA0120D" w14:textId="140DA7CF" w:rsidR="00B03132" w:rsidRDefault="00BB215E" w:rsidP="00E80951">
      <w:pPr>
        <w:spacing w:line="276" w:lineRule="auto"/>
        <w:rPr>
          <w:rFonts w:ascii="Calibri" w:hAnsi="Calibri" w:cs="Calibri"/>
          <w:sz w:val="21"/>
          <w:szCs w:val="21"/>
        </w:rPr>
      </w:pPr>
      <w:r>
        <w:rPr>
          <w:rFonts w:ascii="Calibri" w:hAnsi="Calibri" w:cs="Calibri"/>
          <w:sz w:val="21"/>
          <w:szCs w:val="21"/>
        </w:rPr>
        <w:t>Importantly</w:t>
      </w:r>
      <w:r w:rsidRPr="008B2B15">
        <w:rPr>
          <w:rFonts w:ascii="Calibri" w:hAnsi="Calibri" w:cs="Calibri"/>
          <w:sz w:val="21"/>
          <w:szCs w:val="21"/>
        </w:rPr>
        <w:t xml:space="preserve"> </w:t>
      </w:r>
      <w:r w:rsidR="00AC61F9" w:rsidRPr="008B2B15">
        <w:rPr>
          <w:rFonts w:ascii="Calibri" w:hAnsi="Calibri" w:cs="Calibri"/>
          <w:sz w:val="21"/>
          <w:szCs w:val="21"/>
        </w:rPr>
        <w:t>it is worth mention</w:t>
      </w:r>
      <w:r w:rsidR="00C17189">
        <w:rPr>
          <w:rFonts w:ascii="Calibri" w:hAnsi="Calibri" w:cs="Calibri"/>
          <w:sz w:val="21"/>
          <w:szCs w:val="21"/>
        </w:rPr>
        <w:t>ing</w:t>
      </w:r>
      <w:r w:rsidR="00AC61F9" w:rsidRPr="008B2B15">
        <w:rPr>
          <w:rFonts w:ascii="Calibri" w:hAnsi="Calibri" w:cs="Calibri"/>
          <w:sz w:val="21"/>
          <w:szCs w:val="21"/>
        </w:rPr>
        <w:t xml:space="preserve"> that</w:t>
      </w:r>
      <w:r w:rsidR="00625905" w:rsidRPr="008B2B15">
        <w:rPr>
          <w:rFonts w:ascii="Calibri" w:hAnsi="Calibri" w:cs="Calibri"/>
          <w:sz w:val="21"/>
          <w:szCs w:val="21"/>
        </w:rPr>
        <w:t xml:space="preserve"> the interview</w:t>
      </w:r>
      <w:r w:rsidR="00261881" w:rsidRPr="008B2B15">
        <w:rPr>
          <w:rFonts w:ascii="Calibri" w:hAnsi="Calibri" w:cs="Calibri"/>
          <w:sz w:val="21"/>
          <w:szCs w:val="21"/>
        </w:rPr>
        <w:t>ee</w:t>
      </w:r>
      <w:r w:rsidR="00625905" w:rsidRPr="008B2B15">
        <w:rPr>
          <w:rFonts w:ascii="Calibri" w:hAnsi="Calibri" w:cs="Calibri"/>
          <w:sz w:val="21"/>
          <w:szCs w:val="21"/>
        </w:rPr>
        <w:t>s were asked to rank the different barrier topics according to their relative importance in comparison to all other investment barriers</w:t>
      </w:r>
      <w:r w:rsidR="00FA3E5C" w:rsidRPr="008B2B15">
        <w:rPr>
          <w:rFonts w:ascii="Calibri" w:hAnsi="Calibri" w:cs="Calibri"/>
          <w:sz w:val="21"/>
          <w:szCs w:val="21"/>
        </w:rPr>
        <w:t xml:space="preserve"> (see supplementary material (</w:t>
      </w:r>
      <w:r w:rsidR="00AC61F9" w:rsidRPr="008B2B15">
        <w:rPr>
          <w:rFonts w:ascii="Calibri" w:hAnsi="Calibri" w:cs="Calibri"/>
          <w:sz w:val="21"/>
          <w:szCs w:val="21"/>
        </w:rPr>
        <w:t>2</w:t>
      </w:r>
      <w:r w:rsidR="00FA3E5C" w:rsidRPr="008B2B15">
        <w:rPr>
          <w:rFonts w:ascii="Calibri" w:hAnsi="Calibri" w:cs="Calibri"/>
          <w:sz w:val="21"/>
          <w:szCs w:val="21"/>
        </w:rPr>
        <w:t>)</w:t>
      </w:r>
      <w:r w:rsidR="00AC61F9" w:rsidRPr="008B2B15">
        <w:rPr>
          <w:rFonts w:ascii="Calibri" w:hAnsi="Calibri" w:cs="Calibri"/>
          <w:sz w:val="21"/>
          <w:szCs w:val="21"/>
        </w:rPr>
        <w:t>)</w:t>
      </w:r>
      <w:r w:rsidR="00625905" w:rsidRPr="008B2B15">
        <w:rPr>
          <w:rFonts w:ascii="Calibri" w:hAnsi="Calibri" w:cs="Calibri"/>
          <w:sz w:val="21"/>
          <w:szCs w:val="21"/>
        </w:rPr>
        <w:t xml:space="preserve"> </w:t>
      </w:r>
      <w:r w:rsidR="00261881" w:rsidRPr="008B2B15">
        <w:rPr>
          <w:rFonts w:ascii="Calibri" w:hAnsi="Calibri" w:cs="Calibri"/>
          <w:sz w:val="21"/>
          <w:szCs w:val="21"/>
        </w:rPr>
        <w:t xml:space="preserve">and </w:t>
      </w:r>
      <w:r w:rsidR="00625905" w:rsidRPr="008B2B15">
        <w:rPr>
          <w:rFonts w:ascii="Calibri" w:hAnsi="Calibri" w:cs="Calibri"/>
          <w:sz w:val="21"/>
          <w:szCs w:val="21"/>
        </w:rPr>
        <w:t xml:space="preserve">around half of them indicated that they </w:t>
      </w:r>
      <w:r w:rsidR="00AC61F9" w:rsidRPr="008B2B15">
        <w:rPr>
          <w:rFonts w:ascii="Calibri" w:hAnsi="Calibri" w:cs="Calibri"/>
          <w:sz w:val="21"/>
          <w:szCs w:val="21"/>
        </w:rPr>
        <w:t>were not</w:t>
      </w:r>
      <w:r w:rsidR="00625905" w:rsidRPr="008B2B15">
        <w:rPr>
          <w:rFonts w:ascii="Calibri" w:hAnsi="Calibri" w:cs="Calibri"/>
          <w:sz w:val="21"/>
          <w:szCs w:val="21"/>
        </w:rPr>
        <w:t xml:space="preserve"> sure </w:t>
      </w:r>
      <w:proofErr w:type="gramStart"/>
      <w:r w:rsidR="00625905" w:rsidRPr="008B2B15">
        <w:rPr>
          <w:rFonts w:ascii="Calibri" w:hAnsi="Calibri" w:cs="Calibri"/>
          <w:sz w:val="21"/>
          <w:szCs w:val="21"/>
        </w:rPr>
        <w:t xml:space="preserve">on </w:t>
      </w:r>
      <w:r w:rsidR="00C17189">
        <w:rPr>
          <w:rFonts w:ascii="Calibri" w:hAnsi="Calibri" w:cs="Calibri"/>
          <w:sz w:val="21"/>
          <w:szCs w:val="21"/>
        </w:rPr>
        <w:t xml:space="preserve">the </w:t>
      </w:r>
      <w:r w:rsidR="00625905" w:rsidRPr="008B2B15">
        <w:rPr>
          <w:rFonts w:ascii="Calibri" w:hAnsi="Calibri" w:cs="Calibri"/>
          <w:sz w:val="21"/>
          <w:szCs w:val="21"/>
        </w:rPr>
        <w:t>order of</w:t>
      </w:r>
      <w:proofErr w:type="gramEnd"/>
      <w:r w:rsidR="00625905" w:rsidRPr="008B2B15">
        <w:rPr>
          <w:rFonts w:ascii="Calibri" w:hAnsi="Calibri" w:cs="Calibri"/>
          <w:sz w:val="21"/>
          <w:szCs w:val="21"/>
        </w:rPr>
        <w:t xml:space="preserve"> importance concerning the barrier topics. </w:t>
      </w:r>
      <w:proofErr w:type="gramStart"/>
      <w:r w:rsidR="00625905" w:rsidRPr="008B2B15">
        <w:rPr>
          <w:rFonts w:ascii="Calibri" w:hAnsi="Calibri" w:cs="Calibri"/>
          <w:sz w:val="21"/>
          <w:szCs w:val="21"/>
        </w:rPr>
        <w:t>This point</w:t>
      </w:r>
      <w:r w:rsidR="00986B97">
        <w:rPr>
          <w:rFonts w:ascii="Calibri" w:hAnsi="Calibri" w:cs="Calibri"/>
          <w:sz w:val="21"/>
          <w:szCs w:val="21"/>
        </w:rPr>
        <w:t>s</w:t>
      </w:r>
      <w:proofErr w:type="gramEnd"/>
      <w:r w:rsidR="00625905" w:rsidRPr="008B2B15">
        <w:rPr>
          <w:rFonts w:ascii="Calibri" w:hAnsi="Calibri" w:cs="Calibri"/>
          <w:sz w:val="21"/>
          <w:szCs w:val="21"/>
        </w:rPr>
        <w:t xml:space="preserve"> towards the possibility that the different barriers are a system of interrelated barriers topics rather than single barrier topics considered in separation. We will describe this in more detail in </w:t>
      </w:r>
      <w:r w:rsidR="00986B97">
        <w:rPr>
          <w:rFonts w:ascii="Calibri" w:hAnsi="Calibri" w:cs="Calibri"/>
          <w:sz w:val="21"/>
          <w:szCs w:val="21"/>
        </w:rPr>
        <w:t>the remainder of this paper</w:t>
      </w:r>
      <w:r w:rsidR="00625905" w:rsidRPr="008B2B15">
        <w:rPr>
          <w:rFonts w:ascii="Calibri" w:hAnsi="Calibri" w:cs="Calibri"/>
          <w:sz w:val="21"/>
          <w:szCs w:val="21"/>
        </w:rPr>
        <w:t xml:space="preserve">. </w:t>
      </w:r>
    </w:p>
    <w:p w14:paraId="7F8F124C" w14:textId="211E168C" w:rsidR="00702022" w:rsidRPr="006A0CDD" w:rsidRDefault="00E31437" w:rsidP="006A0CDD">
      <w:pPr>
        <w:pStyle w:val="Heading2"/>
        <w:spacing w:after="240" w:line="240" w:lineRule="auto"/>
        <w:ind w:left="360"/>
        <w:rPr>
          <w:rFonts w:ascii="Calibri" w:hAnsi="Calibri" w:cs="Calibri"/>
          <w:b w:val="0"/>
          <w:i/>
          <w:sz w:val="21"/>
          <w:szCs w:val="21"/>
        </w:rPr>
      </w:pPr>
      <w:r w:rsidRPr="006A0CDD">
        <w:rPr>
          <w:rFonts w:ascii="Calibri" w:hAnsi="Calibri" w:cs="Calibri"/>
          <w:b w:val="0"/>
          <w:i/>
          <w:sz w:val="21"/>
          <w:szCs w:val="21"/>
        </w:rPr>
        <w:t xml:space="preserve">3.2. </w:t>
      </w:r>
      <w:r w:rsidR="00702022" w:rsidRPr="006A0CDD">
        <w:rPr>
          <w:rFonts w:ascii="Calibri" w:hAnsi="Calibri" w:cs="Calibri"/>
          <w:b w:val="0"/>
          <w:i/>
          <w:sz w:val="21"/>
          <w:szCs w:val="21"/>
        </w:rPr>
        <w:t>Adding a</w:t>
      </w:r>
      <w:r w:rsidR="005A4D6D" w:rsidRPr="006A0CDD">
        <w:rPr>
          <w:rFonts w:ascii="Calibri" w:hAnsi="Calibri" w:cs="Calibri"/>
          <w:b w:val="0"/>
          <w:i/>
          <w:sz w:val="21"/>
          <w:szCs w:val="21"/>
        </w:rPr>
        <w:t xml:space="preserve"> novel theoretical framework </w:t>
      </w:r>
      <w:r w:rsidR="00702022" w:rsidRPr="006A0CDD">
        <w:rPr>
          <w:rFonts w:ascii="Calibri" w:hAnsi="Calibri" w:cs="Calibri"/>
          <w:b w:val="0"/>
          <w:i/>
          <w:sz w:val="21"/>
          <w:szCs w:val="21"/>
        </w:rPr>
        <w:t>to</w:t>
      </w:r>
      <w:r w:rsidR="005A4D6D" w:rsidRPr="006A0CDD">
        <w:rPr>
          <w:rFonts w:ascii="Calibri" w:hAnsi="Calibri" w:cs="Calibri"/>
          <w:b w:val="0"/>
          <w:i/>
          <w:sz w:val="21"/>
          <w:szCs w:val="21"/>
        </w:rPr>
        <w:t xml:space="preserve"> the </w:t>
      </w:r>
      <w:r w:rsidR="00A147B0" w:rsidRPr="006A0CDD">
        <w:rPr>
          <w:rFonts w:ascii="Calibri" w:hAnsi="Calibri" w:cs="Calibri"/>
          <w:b w:val="0"/>
          <w:i/>
          <w:sz w:val="21"/>
          <w:szCs w:val="21"/>
        </w:rPr>
        <w:t>discussion</w:t>
      </w:r>
      <w:r w:rsidR="005A4D6D" w:rsidRPr="006A0CDD">
        <w:rPr>
          <w:rFonts w:ascii="Calibri" w:hAnsi="Calibri" w:cs="Calibri"/>
          <w:b w:val="0"/>
          <w:i/>
          <w:sz w:val="21"/>
          <w:szCs w:val="21"/>
        </w:rPr>
        <w:t xml:space="preserve"> of the green finance gap</w:t>
      </w:r>
      <w:r w:rsidR="00B03132" w:rsidRPr="006A0CDD">
        <w:rPr>
          <w:rFonts w:ascii="Calibri" w:hAnsi="Calibri" w:cs="Calibri"/>
          <w:b w:val="0"/>
          <w:i/>
          <w:sz w:val="21"/>
          <w:szCs w:val="21"/>
        </w:rPr>
        <w:t>: systems thinking and complexity</w:t>
      </w:r>
    </w:p>
    <w:p w14:paraId="6C51CB1B" w14:textId="230626D9" w:rsidR="00702022" w:rsidRDefault="00FF63D0" w:rsidP="00E80951">
      <w:pPr>
        <w:spacing w:after="0" w:line="276" w:lineRule="auto"/>
        <w:rPr>
          <w:rFonts w:cstheme="minorHAnsi"/>
          <w:bCs/>
          <w:sz w:val="21"/>
          <w:szCs w:val="21"/>
        </w:rPr>
      </w:pPr>
      <w:r>
        <w:rPr>
          <w:rFonts w:cstheme="minorHAnsi"/>
          <w:bCs/>
          <w:sz w:val="21"/>
          <w:szCs w:val="21"/>
        </w:rPr>
        <w:t xml:space="preserve">We argue that the application of an appropriate theoretical framework for the analysis of the green finance gap is equally important as, or indeed a prerequisite for the elaboration and implementation of the increasingly urgently required policy interventions. f. </w:t>
      </w:r>
      <w:r w:rsidR="0062150C">
        <w:rPr>
          <w:rFonts w:cstheme="minorHAnsi"/>
          <w:bCs/>
          <w:sz w:val="21"/>
          <w:szCs w:val="21"/>
        </w:rPr>
        <w:t>This is because b</w:t>
      </w:r>
      <w:r w:rsidR="00A147B0">
        <w:rPr>
          <w:rFonts w:cstheme="minorHAnsi"/>
          <w:bCs/>
          <w:sz w:val="21"/>
          <w:szCs w:val="21"/>
        </w:rPr>
        <w:t>ased on</w:t>
      </w:r>
      <w:r w:rsidR="00702022">
        <w:rPr>
          <w:rFonts w:cstheme="minorHAnsi"/>
          <w:bCs/>
          <w:sz w:val="21"/>
          <w:szCs w:val="21"/>
        </w:rPr>
        <w:t xml:space="preserve"> our conducted literature review and interviews we found that </w:t>
      </w:r>
      <w:r w:rsidR="00A147B0">
        <w:rPr>
          <w:rFonts w:cstheme="minorHAnsi"/>
          <w:bCs/>
          <w:sz w:val="21"/>
          <w:szCs w:val="21"/>
        </w:rPr>
        <w:t xml:space="preserve">the </w:t>
      </w:r>
      <w:r w:rsidR="00DE059B">
        <w:rPr>
          <w:rFonts w:cstheme="minorHAnsi"/>
          <w:bCs/>
          <w:sz w:val="21"/>
          <w:szCs w:val="21"/>
        </w:rPr>
        <w:t>use</w:t>
      </w:r>
      <w:r w:rsidR="00A147B0">
        <w:rPr>
          <w:rFonts w:cstheme="minorHAnsi"/>
          <w:bCs/>
          <w:sz w:val="21"/>
          <w:szCs w:val="21"/>
        </w:rPr>
        <w:t xml:space="preserve"> of systems </w:t>
      </w:r>
      <w:r w:rsidR="00DE059B">
        <w:rPr>
          <w:rFonts w:cstheme="minorHAnsi"/>
          <w:bCs/>
          <w:sz w:val="21"/>
          <w:szCs w:val="21"/>
        </w:rPr>
        <w:t>theory</w:t>
      </w:r>
      <w:r w:rsidR="00A147B0">
        <w:rPr>
          <w:rFonts w:cstheme="minorHAnsi"/>
          <w:bCs/>
          <w:sz w:val="21"/>
          <w:szCs w:val="21"/>
        </w:rPr>
        <w:t xml:space="preserve"> as </w:t>
      </w:r>
      <w:r w:rsidR="00702022">
        <w:rPr>
          <w:rFonts w:cstheme="minorHAnsi"/>
          <w:bCs/>
          <w:sz w:val="21"/>
          <w:szCs w:val="21"/>
        </w:rPr>
        <w:t xml:space="preserve">a novel theoretical framework </w:t>
      </w:r>
      <w:r w:rsidR="00A147B0">
        <w:rPr>
          <w:rFonts w:cstheme="minorHAnsi"/>
          <w:bCs/>
          <w:sz w:val="21"/>
          <w:szCs w:val="21"/>
        </w:rPr>
        <w:t>for the investigation of</w:t>
      </w:r>
      <w:r w:rsidR="00702022">
        <w:rPr>
          <w:rFonts w:cstheme="minorHAnsi"/>
          <w:bCs/>
          <w:sz w:val="21"/>
          <w:szCs w:val="21"/>
        </w:rPr>
        <w:t xml:space="preserve"> the green finance gap might not only be helpful, but required, to inform the related policy debate in the UK and in </w:t>
      </w:r>
      <w:r w:rsidR="00DE059B">
        <w:rPr>
          <w:rFonts w:cstheme="minorHAnsi"/>
          <w:bCs/>
          <w:sz w:val="21"/>
          <w:szCs w:val="21"/>
        </w:rPr>
        <w:t xml:space="preserve">country </w:t>
      </w:r>
      <w:r w:rsidR="00A147B0">
        <w:rPr>
          <w:rFonts w:cstheme="minorHAnsi"/>
          <w:bCs/>
          <w:sz w:val="21"/>
          <w:szCs w:val="21"/>
        </w:rPr>
        <w:t>contexts</w:t>
      </w:r>
      <w:r w:rsidR="00702022">
        <w:rPr>
          <w:rFonts w:cstheme="minorHAnsi"/>
          <w:bCs/>
          <w:sz w:val="21"/>
          <w:szCs w:val="21"/>
        </w:rPr>
        <w:t xml:space="preserve">. </w:t>
      </w:r>
    </w:p>
    <w:p w14:paraId="02C34351" w14:textId="784DE2CA" w:rsidR="00B03132" w:rsidRDefault="00B03132" w:rsidP="00B03132">
      <w:pPr>
        <w:spacing w:before="240" w:after="0" w:line="276" w:lineRule="auto"/>
        <w:rPr>
          <w:rFonts w:cstheme="minorHAnsi"/>
          <w:sz w:val="21"/>
          <w:szCs w:val="21"/>
        </w:rPr>
      </w:pPr>
      <w:r w:rsidRPr="00C727EA">
        <w:rPr>
          <w:rFonts w:cstheme="minorHAnsi"/>
          <w:bCs/>
          <w:sz w:val="21"/>
          <w:szCs w:val="21"/>
        </w:rPr>
        <w:t>Systems thinking</w:t>
      </w:r>
      <w:r w:rsidRPr="00C727EA">
        <w:rPr>
          <w:rFonts w:cstheme="minorHAnsi"/>
          <w:sz w:val="21"/>
          <w:szCs w:val="21"/>
        </w:rPr>
        <w:t xml:space="preserve"> (Arnold &amp; </w:t>
      </w:r>
      <w:proofErr w:type="spellStart"/>
      <w:r w:rsidRPr="00C727EA">
        <w:rPr>
          <w:rFonts w:cstheme="minorHAnsi"/>
          <w:sz w:val="21"/>
          <w:szCs w:val="21"/>
        </w:rPr>
        <w:t>Walde</w:t>
      </w:r>
      <w:proofErr w:type="spellEnd"/>
      <w:r w:rsidRPr="00C727EA">
        <w:rPr>
          <w:rFonts w:cstheme="minorHAnsi"/>
          <w:sz w:val="21"/>
          <w:szCs w:val="21"/>
        </w:rPr>
        <w:t>, 2015) is a way of thinking to understand how different components within systems or sub-systems influence one another over time. Solving a policy challenge based on</w:t>
      </w:r>
      <w:r w:rsidRPr="008B2B15">
        <w:rPr>
          <w:rFonts w:cstheme="minorHAnsi"/>
          <w:sz w:val="21"/>
          <w:szCs w:val="21"/>
        </w:rPr>
        <w:t xml:space="preserve"> systems thinking involves trying to understand the mechanism in the system(s) underlying the policy problem from a holistic perspective, thus taking for example potential desired and undesired consequences of potential solutions into consideration (</w:t>
      </w:r>
      <w:proofErr w:type="spellStart"/>
      <w:r w:rsidRPr="008B2B15">
        <w:rPr>
          <w:rFonts w:cstheme="minorHAnsi"/>
          <w:sz w:val="21"/>
          <w:szCs w:val="21"/>
        </w:rPr>
        <w:t>Sterman</w:t>
      </w:r>
      <w:proofErr w:type="spellEnd"/>
      <w:r w:rsidRPr="008B2B15">
        <w:rPr>
          <w:rFonts w:cstheme="minorHAnsi"/>
          <w:sz w:val="21"/>
          <w:szCs w:val="21"/>
        </w:rPr>
        <w:t xml:space="preserve">, 2000; </w:t>
      </w:r>
      <w:r w:rsidRPr="008B2B15">
        <w:rPr>
          <w:rFonts w:ascii="Calibri" w:hAnsi="Calibri" w:cs="Calibri"/>
          <w:bCs/>
          <w:sz w:val="21"/>
          <w:szCs w:val="21"/>
        </w:rPr>
        <w:t xml:space="preserve">Forrester, 1993; </w:t>
      </w:r>
      <w:proofErr w:type="spellStart"/>
      <w:r w:rsidRPr="008B2B15">
        <w:rPr>
          <w:rFonts w:ascii="Calibri" w:hAnsi="Calibri" w:cs="Calibri"/>
          <w:bCs/>
          <w:sz w:val="21"/>
          <w:szCs w:val="21"/>
        </w:rPr>
        <w:t>Senge</w:t>
      </w:r>
      <w:proofErr w:type="spellEnd"/>
      <w:r w:rsidRPr="008B2B15">
        <w:rPr>
          <w:rFonts w:ascii="Calibri" w:hAnsi="Calibri" w:cs="Calibri"/>
          <w:bCs/>
          <w:sz w:val="21"/>
          <w:szCs w:val="21"/>
        </w:rPr>
        <w:t xml:space="preserve">, 1990; </w:t>
      </w:r>
      <w:r w:rsidRPr="008B2B15">
        <w:rPr>
          <w:rFonts w:ascii="Calibri" w:hAnsi="Calibri" w:cs="Calibri"/>
          <w:sz w:val="21"/>
          <w:szCs w:val="21"/>
        </w:rPr>
        <w:t xml:space="preserve">Sweeney &amp; </w:t>
      </w:r>
      <w:proofErr w:type="spellStart"/>
      <w:r w:rsidRPr="008B2B15">
        <w:rPr>
          <w:rFonts w:ascii="Calibri" w:hAnsi="Calibri" w:cs="Calibri"/>
          <w:sz w:val="21"/>
          <w:szCs w:val="21"/>
        </w:rPr>
        <w:t>Sterman</w:t>
      </w:r>
      <w:proofErr w:type="spellEnd"/>
      <w:r w:rsidRPr="008B2B15">
        <w:rPr>
          <w:rFonts w:ascii="Calibri" w:hAnsi="Calibri" w:cs="Calibri"/>
          <w:sz w:val="21"/>
          <w:szCs w:val="21"/>
        </w:rPr>
        <w:t xml:space="preserve">, 2000). </w:t>
      </w:r>
      <w:r w:rsidRPr="008B2B15">
        <w:rPr>
          <w:rFonts w:cstheme="minorHAnsi"/>
          <w:sz w:val="21"/>
          <w:szCs w:val="21"/>
        </w:rPr>
        <w:t xml:space="preserve">Additionally, a system approach is suitable for long-term and collaborative planning across areas of organizations (e.g. </w:t>
      </w:r>
      <w:proofErr w:type="spellStart"/>
      <w:r w:rsidRPr="008B2B15">
        <w:rPr>
          <w:rFonts w:cstheme="minorHAnsi"/>
          <w:sz w:val="21"/>
          <w:szCs w:val="21"/>
        </w:rPr>
        <w:t>Kopainsky</w:t>
      </w:r>
      <w:proofErr w:type="spellEnd"/>
      <w:r w:rsidRPr="008B2B15">
        <w:rPr>
          <w:rFonts w:cstheme="minorHAnsi"/>
          <w:sz w:val="21"/>
          <w:szCs w:val="21"/>
        </w:rPr>
        <w:t xml:space="preserve">, </w:t>
      </w:r>
      <w:proofErr w:type="spellStart"/>
      <w:r w:rsidRPr="008B2B15">
        <w:rPr>
          <w:rFonts w:cstheme="minorHAnsi"/>
          <w:sz w:val="21"/>
          <w:szCs w:val="21"/>
        </w:rPr>
        <w:t>Alessi</w:t>
      </w:r>
      <w:proofErr w:type="spellEnd"/>
      <w:r w:rsidRPr="008B2B15">
        <w:rPr>
          <w:rFonts w:cstheme="minorHAnsi"/>
          <w:sz w:val="21"/>
          <w:szCs w:val="21"/>
        </w:rPr>
        <w:t xml:space="preserve">, &amp; Davidson, 2011). </w:t>
      </w:r>
    </w:p>
    <w:p w14:paraId="17FA1BD9" w14:textId="5C4A945A" w:rsidR="00B03132" w:rsidRPr="00501B5F" w:rsidDel="00BC12C2" w:rsidRDefault="00B03132" w:rsidP="00B03132">
      <w:pPr>
        <w:spacing w:before="240" w:after="0" w:line="276" w:lineRule="auto"/>
        <w:rPr>
          <w:rFonts w:cstheme="minorHAnsi"/>
          <w:sz w:val="21"/>
          <w:szCs w:val="21"/>
        </w:rPr>
      </w:pPr>
      <w:r w:rsidRPr="00501B5F" w:rsidDel="00BC12C2">
        <w:rPr>
          <w:rFonts w:cstheme="minorHAnsi"/>
          <w:sz w:val="21"/>
          <w:szCs w:val="21"/>
        </w:rPr>
        <w:lastRenderedPageBreak/>
        <w:t xml:space="preserve">In the following, we list </w:t>
      </w:r>
      <w:r w:rsidR="00C727EA" w:rsidRPr="00501B5F" w:rsidDel="00BC12C2">
        <w:rPr>
          <w:rFonts w:cstheme="minorHAnsi"/>
          <w:sz w:val="21"/>
          <w:szCs w:val="21"/>
        </w:rPr>
        <w:t xml:space="preserve">key </w:t>
      </w:r>
      <w:r w:rsidRPr="00501B5F" w:rsidDel="00BC12C2">
        <w:rPr>
          <w:rFonts w:cstheme="minorHAnsi"/>
          <w:sz w:val="21"/>
          <w:szCs w:val="21"/>
        </w:rPr>
        <w:t xml:space="preserve">characteristics </w:t>
      </w:r>
      <w:r w:rsidR="00C727EA" w:rsidRPr="00501B5F" w:rsidDel="00BC12C2">
        <w:rPr>
          <w:rFonts w:cstheme="minorHAnsi"/>
          <w:sz w:val="21"/>
          <w:szCs w:val="21"/>
        </w:rPr>
        <w:t xml:space="preserve">of complex systems </w:t>
      </w:r>
      <w:r w:rsidRPr="00501B5F" w:rsidDel="00BC12C2">
        <w:rPr>
          <w:rFonts w:cstheme="minorHAnsi"/>
          <w:sz w:val="21"/>
          <w:szCs w:val="21"/>
        </w:rPr>
        <w:t xml:space="preserve">and relate them to </w:t>
      </w:r>
      <w:r w:rsidR="00C727EA" w:rsidRPr="00501B5F" w:rsidDel="00BC12C2">
        <w:rPr>
          <w:rFonts w:cstheme="minorHAnsi"/>
          <w:sz w:val="21"/>
          <w:szCs w:val="21"/>
        </w:rPr>
        <w:t>the identified green investment barriers by providing illustrative examples</w:t>
      </w:r>
      <w:r w:rsidRPr="00501B5F" w:rsidDel="00BC12C2">
        <w:rPr>
          <w:rFonts w:cstheme="minorHAnsi"/>
          <w:sz w:val="21"/>
          <w:szCs w:val="21"/>
        </w:rPr>
        <w:t xml:space="preserve"> – in order to demonstrate how the green barriers </w:t>
      </w:r>
      <w:r w:rsidR="00806E2C" w:rsidDel="00BC12C2">
        <w:rPr>
          <w:rFonts w:cstheme="minorHAnsi"/>
          <w:sz w:val="21"/>
          <w:szCs w:val="21"/>
        </w:rPr>
        <w:t>can be conceptualised as</w:t>
      </w:r>
      <w:r w:rsidRPr="00501B5F" w:rsidDel="00BC12C2">
        <w:rPr>
          <w:rFonts w:cstheme="minorHAnsi"/>
          <w:sz w:val="21"/>
          <w:szCs w:val="21"/>
        </w:rPr>
        <w:t xml:space="preserve"> a complex system</w:t>
      </w:r>
      <w:r w:rsidR="00806E2C" w:rsidDel="00BC12C2">
        <w:rPr>
          <w:rFonts w:cstheme="minorHAnsi"/>
          <w:sz w:val="21"/>
          <w:szCs w:val="21"/>
        </w:rPr>
        <w:t xml:space="preserve">, </w:t>
      </w:r>
      <w:r w:rsidR="00C727EA" w:rsidRPr="00501B5F" w:rsidDel="00BC12C2">
        <w:rPr>
          <w:rFonts w:cstheme="minorHAnsi"/>
          <w:sz w:val="21"/>
          <w:szCs w:val="21"/>
        </w:rPr>
        <w:t>thus providing a rational for the application of</w:t>
      </w:r>
      <w:r w:rsidRPr="00501B5F" w:rsidDel="00BC12C2">
        <w:rPr>
          <w:rFonts w:cstheme="minorHAnsi"/>
          <w:sz w:val="21"/>
          <w:szCs w:val="21"/>
        </w:rPr>
        <w:t xml:space="preserve"> a complexity or systems perspective to understand and solve the policy challenge under consideration. </w:t>
      </w:r>
    </w:p>
    <w:p w14:paraId="710B07C2" w14:textId="39DFEAC2" w:rsidR="00B03132" w:rsidRDefault="00B03132" w:rsidP="00B03132">
      <w:pPr>
        <w:spacing w:before="240" w:after="0" w:line="276" w:lineRule="auto"/>
        <w:rPr>
          <w:rFonts w:ascii="Calibri" w:hAnsi="Calibri" w:cs="Calibri"/>
          <w:sz w:val="21"/>
          <w:szCs w:val="21"/>
        </w:rPr>
      </w:pPr>
      <w:r w:rsidRPr="008B2B15">
        <w:rPr>
          <w:rFonts w:ascii="Calibri" w:hAnsi="Calibri" w:cs="Calibri"/>
          <w:sz w:val="21"/>
          <w:szCs w:val="21"/>
        </w:rPr>
        <w:t xml:space="preserve">A systems perspective </w:t>
      </w:r>
      <w:proofErr w:type="gramStart"/>
      <w:r w:rsidRPr="008B2B15">
        <w:rPr>
          <w:rFonts w:ascii="Calibri" w:hAnsi="Calibri" w:cs="Calibri"/>
          <w:sz w:val="21"/>
          <w:szCs w:val="21"/>
        </w:rPr>
        <w:t>is typically applied</w:t>
      </w:r>
      <w:proofErr w:type="gramEnd"/>
      <w:r w:rsidRPr="008B2B15">
        <w:rPr>
          <w:rFonts w:ascii="Calibri" w:hAnsi="Calibri" w:cs="Calibri"/>
          <w:sz w:val="21"/>
          <w:szCs w:val="21"/>
        </w:rPr>
        <w:t xml:space="preserve"> to solve problems caused by complex systems that are characterised by the following features (</w:t>
      </w:r>
      <w:proofErr w:type="spellStart"/>
      <w:r w:rsidRPr="008B2B15">
        <w:rPr>
          <w:rFonts w:ascii="Calibri" w:hAnsi="Calibri" w:cs="Calibri"/>
          <w:sz w:val="21"/>
          <w:szCs w:val="21"/>
        </w:rPr>
        <w:t>Sterman</w:t>
      </w:r>
      <w:proofErr w:type="spellEnd"/>
      <w:r w:rsidRPr="008B2B15">
        <w:rPr>
          <w:rFonts w:ascii="Calibri" w:hAnsi="Calibri" w:cs="Calibri"/>
          <w:sz w:val="21"/>
          <w:szCs w:val="21"/>
        </w:rPr>
        <w:t>, 2000</w:t>
      </w:r>
      <w:r w:rsidRPr="008B2B15">
        <w:rPr>
          <w:rFonts w:ascii="Calibri" w:hAnsi="Calibri" w:cs="Calibri"/>
          <w:bCs/>
          <w:sz w:val="21"/>
          <w:szCs w:val="21"/>
        </w:rPr>
        <w:t xml:space="preserve">; </w:t>
      </w:r>
      <w:proofErr w:type="spellStart"/>
      <w:r w:rsidRPr="008B2B15">
        <w:rPr>
          <w:rFonts w:ascii="Calibri" w:hAnsi="Calibri" w:cs="Calibri"/>
          <w:bCs/>
          <w:sz w:val="21"/>
          <w:szCs w:val="21"/>
        </w:rPr>
        <w:t>Senge</w:t>
      </w:r>
      <w:proofErr w:type="spellEnd"/>
      <w:r w:rsidRPr="008B2B15">
        <w:rPr>
          <w:rFonts w:ascii="Calibri" w:hAnsi="Calibri" w:cs="Calibri"/>
          <w:bCs/>
          <w:sz w:val="21"/>
          <w:szCs w:val="21"/>
        </w:rPr>
        <w:t xml:space="preserve">, 1990; </w:t>
      </w:r>
      <w:r w:rsidRPr="008B2B15">
        <w:rPr>
          <w:rFonts w:ascii="Calibri" w:hAnsi="Calibri" w:cs="Calibri"/>
          <w:sz w:val="21"/>
          <w:szCs w:val="21"/>
        </w:rPr>
        <w:t xml:space="preserve">Sweeney &amp; </w:t>
      </w:r>
      <w:proofErr w:type="spellStart"/>
      <w:r w:rsidRPr="008B2B15">
        <w:rPr>
          <w:rFonts w:ascii="Calibri" w:hAnsi="Calibri" w:cs="Calibri"/>
          <w:sz w:val="21"/>
          <w:szCs w:val="21"/>
        </w:rPr>
        <w:t>Sterman</w:t>
      </w:r>
      <w:proofErr w:type="spellEnd"/>
      <w:r w:rsidRPr="008B2B15">
        <w:rPr>
          <w:rFonts w:ascii="Calibri" w:hAnsi="Calibri" w:cs="Calibri"/>
          <w:sz w:val="21"/>
          <w:szCs w:val="21"/>
        </w:rPr>
        <w:t xml:space="preserve">, 2000): </w:t>
      </w:r>
    </w:p>
    <w:p w14:paraId="4F358999" w14:textId="77777777" w:rsidR="00B03132" w:rsidRPr="00F61BAD" w:rsidRDefault="00B03132" w:rsidP="00B03132">
      <w:pPr>
        <w:spacing w:before="240" w:after="0" w:line="276" w:lineRule="auto"/>
        <w:rPr>
          <w:rFonts w:ascii="Calibri" w:hAnsi="Calibri" w:cs="Calibri"/>
          <w:sz w:val="2"/>
          <w:szCs w:val="2"/>
        </w:rPr>
      </w:pPr>
    </w:p>
    <w:p w14:paraId="7356DC44" w14:textId="77777777" w:rsidR="00C727EA" w:rsidRDefault="00B03132" w:rsidP="00B03132">
      <w:pPr>
        <w:numPr>
          <w:ilvl w:val="0"/>
          <w:numId w:val="5"/>
        </w:numPr>
        <w:spacing w:line="276" w:lineRule="auto"/>
        <w:rPr>
          <w:rFonts w:ascii="Calibri" w:hAnsi="Calibri" w:cs="Calibri"/>
          <w:sz w:val="21"/>
          <w:szCs w:val="21"/>
        </w:rPr>
      </w:pPr>
      <w:r w:rsidRPr="008B2B15">
        <w:rPr>
          <w:rFonts w:ascii="Calibri" w:hAnsi="Calibri" w:cs="Calibri"/>
          <w:b/>
          <w:sz w:val="21"/>
          <w:szCs w:val="21"/>
        </w:rPr>
        <w:t>Two-way interconnections and interrelationships (on multiple levels) among system’s components</w:t>
      </w:r>
      <w:r w:rsidRPr="008B2B15">
        <w:rPr>
          <w:rFonts w:ascii="Calibri" w:hAnsi="Calibri" w:cs="Calibri"/>
          <w:sz w:val="21"/>
          <w:szCs w:val="21"/>
        </w:rPr>
        <w:t xml:space="preserve">: The underlying system of a complex problem is a “whole” of various interlinked components or sub-systems which cause the overall observed behaviour or problem. </w:t>
      </w:r>
    </w:p>
    <w:p w14:paraId="53EC909E" w14:textId="19191C14" w:rsidR="00B03132" w:rsidRPr="008B2B15" w:rsidRDefault="00B03132" w:rsidP="00C727EA">
      <w:pPr>
        <w:spacing w:line="276" w:lineRule="auto"/>
        <w:ind w:left="720"/>
        <w:rPr>
          <w:rFonts w:ascii="Calibri" w:hAnsi="Calibri" w:cs="Calibri"/>
          <w:sz w:val="21"/>
          <w:szCs w:val="21"/>
        </w:rPr>
      </w:pPr>
      <w:r w:rsidRPr="008B2B15">
        <w:rPr>
          <w:rFonts w:ascii="Calibri" w:hAnsi="Calibri" w:cs="Calibri"/>
          <w:sz w:val="21"/>
          <w:szCs w:val="21"/>
        </w:rPr>
        <w:t xml:space="preserve">We introduce the following examples to illustrate this complexity feature in our case: first, different barriers </w:t>
      </w:r>
      <w:proofErr w:type="gramStart"/>
      <w:r w:rsidRPr="008B2B15">
        <w:rPr>
          <w:rFonts w:ascii="Calibri" w:hAnsi="Calibri" w:cs="Calibri"/>
          <w:sz w:val="21"/>
          <w:szCs w:val="21"/>
        </w:rPr>
        <w:t>are connected</w:t>
      </w:r>
      <w:proofErr w:type="gramEnd"/>
      <w:r w:rsidRPr="008B2B15">
        <w:rPr>
          <w:rFonts w:ascii="Calibri" w:hAnsi="Calibri" w:cs="Calibri"/>
          <w:sz w:val="21"/>
          <w:szCs w:val="21"/>
        </w:rPr>
        <w:t xml:space="preserve"> to each other. For example, the non-introduction of a carbon price at sufficient level and the introduction of fossil-fuel support policies (barrier topic 3) contributes to inconsistency in the long-term climate policy framework (barrier topic 2). Further, the climate policy framework (barrier topic 2) influences the structure of electricity regulations (barrier topic 1). Current financial regulations do not make it mandatory for investors to include climate related risks and ESG values (topic 4 &amp; 8) in their investment decisions. This has implications on the availability of (</w:t>
      </w:r>
      <w:proofErr w:type="spellStart"/>
      <w:r w:rsidRPr="008B2B15">
        <w:rPr>
          <w:rFonts w:ascii="Calibri" w:hAnsi="Calibri" w:cs="Calibri"/>
          <w:sz w:val="21"/>
          <w:szCs w:val="21"/>
        </w:rPr>
        <w:t>i</w:t>
      </w:r>
      <w:proofErr w:type="spellEnd"/>
      <w:r w:rsidRPr="008B2B15">
        <w:rPr>
          <w:rFonts w:ascii="Calibri" w:hAnsi="Calibri" w:cs="Calibri"/>
          <w:sz w:val="21"/>
          <w:szCs w:val="21"/>
        </w:rPr>
        <w:t xml:space="preserve">) standardised and high-quality data and metrics on these matters (topic 8), (ii) standardised empirical evidence on the performance of sustainable investments (topic 5) and (iii) credit ratings (topic 6). Further, standardised metrics on climate-related risks and ESG values (topic 8) lead to lower costs for the verification of green bonds and thus to lower fees and transaction costs for sustainable investment (topic 11). While none of our interview participants referred directly to a “system of interrelated green investment barriers” most of them agreed that different barriers would be connected and interrelated when asked and most of them refused to rank the relative importance of the indicated investment barriers. In addition, different studies refer to notions such as a “system of nested barriers” (Aldersgate Group, 2018; Bolton &amp; </w:t>
      </w:r>
      <w:proofErr w:type="spellStart"/>
      <w:r w:rsidRPr="008B2B15">
        <w:rPr>
          <w:rFonts w:ascii="Calibri" w:hAnsi="Calibri" w:cs="Calibri"/>
          <w:sz w:val="21"/>
          <w:szCs w:val="21"/>
        </w:rPr>
        <w:t>Foxon</w:t>
      </w:r>
      <w:proofErr w:type="spellEnd"/>
      <w:r w:rsidRPr="008B2B15">
        <w:rPr>
          <w:rFonts w:ascii="Calibri" w:hAnsi="Calibri" w:cs="Calibri"/>
          <w:sz w:val="21"/>
          <w:szCs w:val="21"/>
        </w:rPr>
        <w:t>, 2015</w:t>
      </w:r>
      <w:r w:rsidRPr="008B2B15">
        <w:rPr>
          <w:rStyle w:val="FootnoteReference"/>
          <w:rFonts w:ascii="Calibri" w:hAnsi="Calibri" w:cs="Calibri"/>
          <w:sz w:val="21"/>
          <w:szCs w:val="21"/>
        </w:rPr>
        <w:footnoteReference w:id="11"/>
      </w:r>
      <w:r w:rsidRPr="008B2B15">
        <w:rPr>
          <w:rFonts w:ascii="Calibri" w:hAnsi="Calibri" w:cs="Calibri"/>
          <w:sz w:val="21"/>
          <w:szCs w:val="21"/>
        </w:rPr>
        <w:t xml:space="preserve">; </w:t>
      </w:r>
      <w:proofErr w:type="spellStart"/>
      <w:r w:rsidRPr="008B2B15">
        <w:rPr>
          <w:rFonts w:ascii="Calibri" w:hAnsi="Calibri" w:cs="Calibri"/>
          <w:sz w:val="21"/>
          <w:szCs w:val="21"/>
        </w:rPr>
        <w:t>Polzin</w:t>
      </w:r>
      <w:proofErr w:type="spellEnd"/>
      <w:r w:rsidRPr="008B2B15">
        <w:rPr>
          <w:rFonts w:ascii="Calibri" w:hAnsi="Calibri" w:cs="Calibri"/>
          <w:sz w:val="21"/>
          <w:szCs w:val="21"/>
        </w:rPr>
        <w:t xml:space="preserve"> et al., 2017; </w:t>
      </w:r>
      <w:proofErr w:type="spellStart"/>
      <w:r w:rsidRPr="008B2B15">
        <w:rPr>
          <w:rFonts w:ascii="Calibri" w:hAnsi="Calibri" w:cs="Calibri"/>
          <w:sz w:val="21"/>
          <w:szCs w:val="21"/>
        </w:rPr>
        <w:t>Granoff</w:t>
      </w:r>
      <w:proofErr w:type="spellEnd"/>
      <w:r w:rsidRPr="008B2B15">
        <w:rPr>
          <w:rFonts w:ascii="Calibri" w:hAnsi="Calibri" w:cs="Calibri"/>
          <w:sz w:val="21"/>
          <w:szCs w:val="21"/>
        </w:rPr>
        <w:t xml:space="preserve"> et al., 2016; Hall et al., 2017) or distinguish between fundamental and symptomatic barriers (Hu et al., 2018; Richards et al., 2012; </w:t>
      </w:r>
      <w:proofErr w:type="spellStart"/>
      <w:r w:rsidRPr="008B2B15">
        <w:rPr>
          <w:rFonts w:ascii="Calibri" w:hAnsi="Calibri" w:cs="Calibri"/>
          <w:sz w:val="21"/>
          <w:szCs w:val="21"/>
        </w:rPr>
        <w:t>Boie</w:t>
      </w:r>
      <w:proofErr w:type="spellEnd"/>
      <w:r w:rsidRPr="008B2B15">
        <w:rPr>
          <w:rFonts w:ascii="Calibri" w:hAnsi="Calibri" w:cs="Calibri"/>
          <w:sz w:val="21"/>
          <w:szCs w:val="21"/>
        </w:rPr>
        <w:t xml:space="preserve"> et al., 2014). Moreover, not only are green investment barriers interrelated, </w:t>
      </w:r>
      <w:proofErr w:type="gramStart"/>
      <w:r w:rsidRPr="008B2B15">
        <w:rPr>
          <w:rFonts w:ascii="Calibri" w:hAnsi="Calibri" w:cs="Calibri"/>
          <w:sz w:val="21"/>
          <w:szCs w:val="21"/>
        </w:rPr>
        <w:t>but</w:t>
      </w:r>
      <w:proofErr w:type="gramEnd"/>
      <w:r w:rsidRPr="008B2B15">
        <w:rPr>
          <w:rFonts w:ascii="Calibri" w:hAnsi="Calibri" w:cs="Calibri"/>
          <w:sz w:val="21"/>
          <w:szCs w:val="21"/>
        </w:rPr>
        <w:t xml:space="preserve"> so are major stakeholders that influence the relevant system and the implementation of viable solutions (CPI, 2016)</w:t>
      </w:r>
      <w:r w:rsidRPr="008B2B15">
        <w:rPr>
          <w:sz w:val="21"/>
          <w:szCs w:val="21"/>
        </w:rPr>
        <w:t xml:space="preserve">. </w:t>
      </w:r>
    </w:p>
    <w:p w14:paraId="5E59F7AD" w14:textId="77777777" w:rsidR="00C727EA" w:rsidRPr="00C727EA" w:rsidRDefault="00B03132" w:rsidP="00B03132">
      <w:pPr>
        <w:numPr>
          <w:ilvl w:val="0"/>
          <w:numId w:val="5"/>
        </w:numPr>
        <w:spacing w:line="276" w:lineRule="auto"/>
        <w:rPr>
          <w:rFonts w:ascii="Calibri" w:hAnsi="Calibri" w:cs="Calibri"/>
          <w:sz w:val="21"/>
          <w:szCs w:val="21"/>
        </w:rPr>
      </w:pPr>
      <w:r w:rsidRPr="008B2B15">
        <w:rPr>
          <w:rFonts w:ascii="Calibri" w:hAnsi="Calibri" w:cs="Calibri"/>
          <w:b/>
          <w:bCs/>
          <w:sz w:val="21"/>
          <w:szCs w:val="21"/>
          <w:lang w:val="en-US"/>
        </w:rPr>
        <w:t>Path-dependency and lock-in caused by multiple reinforcing and balancing feedback loops</w:t>
      </w:r>
      <w:r w:rsidRPr="008B2B15">
        <w:rPr>
          <w:rFonts w:ascii="Calibri" w:hAnsi="Calibri" w:cs="Calibri"/>
          <w:sz w:val="21"/>
          <w:szCs w:val="21"/>
        </w:rPr>
        <w:t>: Complex systems are typically characterised by multiple interlinked positive and negative feedback loops, leading to path-dependency and lock-in</w:t>
      </w:r>
      <w:r w:rsidRPr="008B2B15">
        <w:rPr>
          <w:rFonts w:cstheme="minorHAnsi"/>
          <w:bCs/>
          <w:sz w:val="21"/>
          <w:szCs w:val="21"/>
        </w:rPr>
        <w:t xml:space="preserve">. </w:t>
      </w:r>
    </w:p>
    <w:p w14:paraId="3574D5AA" w14:textId="6D6BDF14" w:rsidR="00B03132" w:rsidRPr="008B2B15" w:rsidRDefault="00B03132" w:rsidP="00C727EA">
      <w:pPr>
        <w:spacing w:line="276" w:lineRule="auto"/>
        <w:ind w:left="720"/>
        <w:rPr>
          <w:rFonts w:ascii="Calibri" w:hAnsi="Calibri" w:cs="Calibri"/>
          <w:sz w:val="21"/>
          <w:szCs w:val="21"/>
        </w:rPr>
      </w:pPr>
      <w:r w:rsidRPr="008B2B15">
        <w:rPr>
          <w:rFonts w:cstheme="minorHAnsi"/>
          <w:bCs/>
          <w:sz w:val="21"/>
          <w:szCs w:val="21"/>
        </w:rPr>
        <w:t xml:space="preserve">For illustration, energy infrastructure lock-in arises due to the long-term nature of infrastructure in general. In particular, once “brown” infrastructure </w:t>
      </w:r>
      <w:proofErr w:type="gramStart"/>
      <w:r w:rsidRPr="008B2B15">
        <w:rPr>
          <w:rFonts w:cstheme="minorHAnsi"/>
          <w:bCs/>
          <w:sz w:val="21"/>
          <w:szCs w:val="21"/>
        </w:rPr>
        <w:t>is built</w:t>
      </w:r>
      <w:proofErr w:type="gramEnd"/>
      <w:r w:rsidRPr="008B2B15">
        <w:rPr>
          <w:rFonts w:cstheme="minorHAnsi"/>
          <w:bCs/>
          <w:sz w:val="21"/>
          <w:szCs w:val="21"/>
        </w:rPr>
        <w:t xml:space="preserve">, it is typically costly or technically impossible to green it, which therefore creates a high danger of a sub-optimal long-term path-dependency. In addition, current supply chains, investment vehicles or electricity regulations, which are adapted towards the undertaking of brown </w:t>
      </w:r>
      <w:proofErr w:type="gramStart"/>
      <w:r w:rsidRPr="008B2B15">
        <w:rPr>
          <w:rFonts w:cstheme="minorHAnsi"/>
          <w:bCs/>
          <w:sz w:val="21"/>
          <w:szCs w:val="21"/>
        </w:rPr>
        <w:t>investments</w:t>
      </w:r>
      <w:proofErr w:type="gramEnd"/>
      <w:r w:rsidRPr="008B2B15">
        <w:rPr>
          <w:rFonts w:cstheme="minorHAnsi"/>
          <w:bCs/>
          <w:sz w:val="21"/>
          <w:szCs w:val="21"/>
        </w:rPr>
        <w:t xml:space="preserve"> reinforce this path-dependency (e.g. </w:t>
      </w:r>
      <w:proofErr w:type="spellStart"/>
      <w:r w:rsidRPr="008B2B15">
        <w:rPr>
          <w:rFonts w:ascii="Calibri" w:hAnsi="Calibri" w:cs="Calibri"/>
          <w:bCs/>
          <w:sz w:val="21"/>
          <w:szCs w:val="21"/>
          <w:lang w:val="en-US"/>
        </w:rPr>
        <w:t>Granoff</w:t>
      </w:r>
      <w:proofErr w:type="spellEnd"/>
      <w:r w:rsidRPr="008B2B15">
        <w:rPr>
          <w:rFonts w:ascii="Calibri" w:hAnsi="Calibri" w:cs="Calibri"/>
          <w:bCs/>
          <w:sz w:val="21"/>
          <w:szCs w:val="21"/>
          <w:lang w:val="en-US"/>
        </w:rPr>
        <w:t xml:space="preserve"> et al., 2016)</w:t>
      </w:r>
      <w:r w:rsidRPr="008B2B15">
        <w:rPr>
          <w:rFonts w:cstheme="minorHAnsi"/>
          <w:bCs/>
          <w:sz w:val="21"/>
          <w:szCs w:val="21"/>
        </w:rPr>
        <w:t xml:space="preserve">. </w:t>
      </w:r>
      <w:r w:rsidRPr="008B2B15">
        <w:rPr>
          <w:rFonts w:ascii="Calibri" w:hAnsi="Calibri" w:cs="Calibri"/>
          <w:sz w:val="21"/>
          <w:szCs w:val="21"/>
        </w:rPr>
        <w:t xml:space="preserve">Risk perceptions or perception in general, investment knowledge, herd behaviour related to investor practices, available data and metrics and cultural or personal values are other factors creating (soft) path-dependency (Bolton &amp; </w:t>
      </w:r>
      <w:proofErr w:type="spellStart"/>
      <w:r w:rsidRPr="008B2B15">
        <w:rPr>
          <w:rFonts w:ascii="Calibri" w:hAnsi="Calibri" w:cs="Calibri"/>
          <w:sz w:val="21"/>
          <w:szCs w:val="21"/>
        </w:rPr>
        <w:t>Foxon</w:t>
      </w:r>
      <w:proofErr w:type="spellEnd"/>
      <w:r w:rsidRPr="008B2B15">
        <w:rPr>
          <w:rFonts w:ascii="Calibri" w:hAnsi="Calibri" w:cs="Calibri"/>
          <w:sz w:val="21"/>
          <w:szCs w:val="21"/>
        </w:rPr>
        <w:t xml:space="preserve">, 2015; </w:t>
      </w:r>
      <w:proofErr w:type="spellStart"/>
      <w:r w:rsidRPr="008B2B15">
        <w:rPr>
          <w:rFonts w:ascii="Calibri" w:hAnsi="Calibri" w:cs="Calibri"/>
          <w:bCs/>
          <w:sz w:val="21"/>
          <w:szCs w:val="21"/>
          <w:lang w:val="en-US"/>
        </w:rPr>
        <w:lastRenderedPageBreak/>
        <w:t>Savacool</w:t>
      </w:r>
      <w:proofErr w:type="spellEnd"/>
      <w:r w:rsidRPr="008B2B15">
        <w:rPr>
          <w:rFonts w:ascii="Calibri" w:hAnsi="Calibri" w:cs="Calibri"/>
          <w:bCs/>
          <w:sz w:val="21"/>
          <w:szCs w:val="21"/>
          <w:lang w:val="en-US"/>
        </w:rPr>
        <w:t xml:space="preserve">, 2009; </w:t>
      </w:r>
      <w:proofErr w:type="spellStart"/>
      <w:r w:rsidRPr="008B2B15">
        <w:rPr>
          <w:rFonts w:ascii="Calibri" w:hAnsi="Calibri" w:cs="Calibri"/>
          <w:bCs/>
          <w:sz w:val="21"/>
          <w:szCs w:val="21"/>
          <w:lang w:val="en-US"/>
        </w:rPr>
        <w:t>Granoff</w:t>
      </w:r>
      <w:proofErr w:type="spellEnd"/>
      <w:r w:rsidRPr="008B2B15">
        <w:rPr>
          <w:rFonts w:ascii="Calibri" w:hAnsi="Calibri" w:cs="Calibri"/>
          <w:bCs/>
          <w:sz w:val="21"/>
          <w:szCs w:val="21"/>
          <w:lang w:val="en-US"/>
        </w:rPr>
        <w:t xml:space="preserve"> et al., 2016; Hu et al., 2018; </w:t>
      </w:r>
      <w:proofErr w:type="spellStart"/>
      <w:r w:rsidRPr="008B2B15">
        <w:rPr>
          <w:rFonts w:ascii="Calibri" w:hAnsi="Calibri" w:cs="Calibri"/>
          <w:bCs/>
          <w:sz w:val="21"/>
          <w:szCs w:val="21"/>
          <w:lang w:val="en-US"/>
        </w:rPr>
        <w:t>Polzin</w:t>
      </w:r>
      <w:proofErr w:type="spellEnd"/>
      <w:r w:rsidRPr="008B2B15">
        <w:rPr>
          <w:rFonts w:ascii="Calibri" w:hAnsi="Calibri" w:cs="Calibri"/>
          <w:bCs/>
          <w:sz w:val="21"/>
          <w:szCs w:val="21"/>
          <w:lang w:val="en-US"/>
        </w:rPr>
        <w:t xml:space="preserve">, 2017; </w:t>
      </w:r>
      <w:proofErr w:type="spellStart"/>
      <w:r w:rsidRPr="008B2B15">
        <w:rPr>
          <w:rFonts w:ascii="Calibri" w:eastAsia="Times New Roman" w:hAnsi="Calibri" w:cs="Calibri"/>
          <w:sz w:val="21"/>
          <w:szCs w:val="21"/>
          <w:lang w:eastAsia="en-GB"/>
        </w:rPr>
        <w:t>Hampl</w:t>
      </w:r>
      <w:proofErr w:type="spellEnd"/>
      <w:r w:rsidRPr="008B2B15">
        <w:rPr>
          <w:rFonts w:ascii="Calibri" w:eastAsia="Times New Roman" w:hAnsi="Calibri" w:cs="Calibri"/>
          <w:sz w:val="21"/>
          <w:szCs w:val="21"/>
          <w:lang w:eastAsia="en-GB"/>
        </w:rPr>
        <w:t xml:space="preserve"> &amp; </w:t>
      </w:r>
      <w:proofErr w:type="spellStart"/>
      <w:r w:rsidRPr="008B2B15">
        <w:rPr>
          <w:rFonts w:ascii="Calibri" w:eastAsia="Times New Roman" w:hAnsi="Calibri" w:cs="Calibri"/>
          <w:sz w:val="21"/>
          <w:szCs w:val="21"/>
          <w:lang w:eastAsia="en-GB"/>
        </w:rPr>
        <w:t>Wüstenhagen</w:t>
      </w:r>
      <w:proofErr w:type="spellEnd"/>
      <w:r w:rsidRPr="008B2B15">
        <w:rPr>
          <w:rFonts w:ascii="Calibri" w:eastAsia="Times New Roman" w:hAnsi="Calibri" w:cs="Calibri"/>
          <w:sz w:val="21"/>
          <w:szCs w:val="21"/>
          <w:lang w:eastAsia="en-GB"/>
        </w:rPr>
        <w:t>, 2013</w:t>
      </w:r>
      <w:r w:rsidRPr="008B2B15">
        <w:rPr>
          <w:rFonts w:ascii="Calibri" w:hAnsi="Calibri" w:cs="Calibri"/>
          <w:sz w:val="21"/>
          <w:szCs w:val="21"/>
        </w:rPr>
        <w:t>). Moreover, the institutional setting combined with vested interests, for example put forward by incumbent industries or (financial) investors with an expertise and investments in “brown” projects/assets, further leads to path-dependency and lock-in (</w:t>
      </w:r>
      <w:proofErr w:type="spellStart"/>
      <w:r w:rsidRPr="008B2B15">
        <w:rPr>
          <w:rFonts w:ascii="Calibri" w:hAnsi="Calibri" w:cs="Calibri"/>
          <w:sz w:val="21"/>
          <w:szCs w:val="21"/>
        </w:rPr>
        <w:t>Grandoff</w:t>
      </w:r>
      <w:proofErr w:type="spellEnd"/>
      <w:r w:rsidRPr="008B2B15">
        <w:rPr>
          <w:rFonts w:ascii="Calibri" w:hAnsi="Calibri" w:cs="Calibri"/>
          <w:sz w:val="21"/>
          <w:szCs w:val="21"/>
        </w:rPr>
        <w:t xml:space="preserve"> et al., 2016; </w:t>
      </w:r>
      <w:proofErr w:type="spellStart"/>
      <w:r w:rsidRPr="008B2B15">
        <w:rPr>
          <w:rFonts w:ascii="Calibri" w:eastAsia="Times New Roman" w:hAnsi="Calibri" w:cs="Calibri"/>
          <w:sz w:val="21"/>
          <w:szCs w:val="21"/>
          <w:lang w:eastAsia="en-GB"/>
        </w:rPr>
        <w:t>Wüstenhagen</w:t>
      </w:r>
      <w:proofErr w:type="spellEnd"/>
      <w:r w:rsidRPr="008B2B15">
        <w:rPr>
          <w:rFonts w:ascii="Calibri" w:eastAsia="Times New Roman" w:hAnsi="Calibri" w:cs="Calibri"/>
          <w:sz w:val="21"/>
          <w:szCs w:val="21"/>
          <w:lang w:eastAsia="en-GB"/>
        </w:rPr>
        <w:t xml:space="preserve"> &amp; </w:t>
      </w:r>
      <w:proofErr w:type="spellStart"/>
      <w:r w:rsidRPr="008B2B15">
        <w:rPr>
          <w:rFonts w:ascii="Calibri" w:eastAsia="Times New Roman" w:hAnsi="Calibri" w:cs="Calibri"/>
          <w:sz w:val="21"/>
          <w:szCs w:val="21"/>
          <w:lang w:eastAsia="en-GB"/>
        </w:rPr>
        <w:t>Menichetti</w:t>
      </w:r>
      <w:proofErr w:type="spellEnd"/>
      <w:r w:rsidRPr="008B2B15">
        <w:rPr>
          <w:rFonts w:ascii="Calibri" w:eastAsia="Times New Roman" w:hAnsi="Calibri" w:cs="Calibri"/>
          <w:sz w:val="21"/>
          <w:szCs w:val="21"/>
          <w:lang w:eastAsia="en-GB"/>
        </w:rPr>
        <w:t>; 2012</w:t>
      </w:r>
      <w:r w:rsidRPr="008B2B15">
        <w:rPr>
          <w:rFonts w:ascii="Calibri" w:hAnsi="Calibri" w:cs="Calibri"/>
          <w:sz w:val="21"/>
          <w:szCs w:val="21"/>
        </w:rPr>
        <w:t xml:space="preserve">). </w:t>
      </w:r>
    </w:p>
    <w:p w14:paraId="7AF0DD10" w14:textId="77777777" w:rsidR="00C727EA" w:rsidRDefault="00B03132" w:rsidP="00B03132">
      <w:pPr>
        <w:numPr>
          <w:ilvl w:val="0"/>
          <w:numId w:val="5"/>
        </w:numPr>
        <w:spacing w:line="276" w:lineRule="auto"/>
        <w:rPr>
          <w:rFonts w:ascii="Calibri" w:hAnsi="Calibri" w:cs="Calibri"/>
          <w:sz w:val="21"/>
          <w:szCs w:val="21"/>
        </w:rPr>
      </w:pPr>
      <w:r w:rsidRPr="008B2B15">
        <w:rPr>
          <w:rFonts w:ascii="Calibri" w:hAnsi="Calibri" w:cs="Calibri"/>
          <w:b/>
          <w:bCs/>
          <w:sz w:val="21"/>
          <w:szCs w:val="21"/>
          <w:lang w:val="en-US"/>
        </w:rPr>
        <w:t>The system structure generates observed behavior:</w:t>
      </w:r>
      <w:r w:rsidRPr="008B2B15">
        <w:rPr>
          <w:rFonts w:ascii="Calibri" w:hAnsi="Calibri" w:cs="Calibri"/>
          <w:sz w:val="21"/>
          <w:szCs w:val="21"/>
          <w:lang w:val="en-US"/>
        </w:rPr>
        <w:t xml:space="preserve"> </w:t>
      </w:r>
      <w:r w:rsidRPr="008B2B15">
        <w:rPr>
          <w:rFonts w:ascii="Calibri" w:hAnsi="Calibri" w:cs="Calibri"/>
          <w:sz w:val="21"/>
          <w:szCs w:val="21"/>
        </w:rPr>
        <w:t xml:space="preserve">Complex systems do not necessarily converge towards an optimal equilibrium. Instead, the underlying causal mechanisms of the entire system determine the state of the </w:t>
      </w:r>
      <w:proofErr w:type="gramStart"/>
      <w:r w:rsidRPr="008B2B15">
        <w:rPr>
          <w:rFonts w:ascii="Calibri" w:hAnsi="Calibri" w:cs="Calibri"/>
          <w:sz w:val="21"/>
          <w:szCs w:val="21"/>
        </w:rPr>
        <w:t>system which</w:t>
      </w:r>
      <w:proofErr w:type="gramEnd"/>
      <w:r w:rsidRPr="008B2B15">
        <w:rPr>
          <w:rFonts w:ascii="Calibri" w:hAnsi="Calibri" w:cs="Calibri"/>
          <w:sz w:val="21"/>
          <w:szCs w:val="21"/>
        </w:rPr>
        <w:t xml:space="preserve"> is also called the emergent or observed behaviour (</w:t>
      </w:r>
      <w:proofErr w:type="spellStart"/>
      <w:r w:rsidRPr="008B2B15">
        <w:rPr>
          <w:rFonts w:ascii="Calibri" w:hAnsi="Calibri" w:cs="Calibri"/>
          <w:sz w:val="21"/>
          <w:szCs w:val="21"/>
        </w:rPr>
        <w:t>Sterman</w:t>
      </w:r>
      <w:proofErr w:type="spellEnd"/>
      <w:r w:rsidRPr="008B2B15">
        <w:rPr>
          <w:rFonts w:ascii="Calibri" w:hAnsi="Calibri" w:cs="Calibri"/>
          <w:sz w:val="21"/>
          <w:szCs w:val="21"/>
        </w:rPr>
        <w:t xml:space="preserve">, 2000). </w:t>
      </w:r>
    </w:p>
    <w:p w14:paraId="5E35B38C" w14:textId="0636AF54" w:rsidR="00B03132" w:rsidRPr="008B2B15" w:rsidRDefault="00B03132" w:rsidP="00C727EA">
      <w:pPr>
        <w:spacing w:line="276" w:lineRule="auto"/>
        <w:ind w:left="720"/>
        <w:rPr>
          <w:rFonts w:ascii="Calibri" w:hAnsi="Calibri" w:cs="Calibri"/>
          <w:sz w:val="21"/>
          <w:szCs w:val="21"/>
        </w:rPr>
      </w:pPr>
      <w:r w:rsidRPr="008B2B15">
        <w:rPr>
          <w:rFonts w:ascii="Calibri" w:hAnsi="Calibri" w:cs="Calibri"/>
          <w:sz w:val="21"/>
          <w:szCs w:val="21"/>
        </w:rPr>
        <w:t xml:space="preserve">Related to our context, Hall et al. (2017) illustrate why the understanding of investment decisions requires a new framework, comparable to the evolutionary framework for the analysis of the real economy as opposed to a neoclassical framework. </w:t>
      </w:r>
      <w:proofErr w:type="spellStart"/>
      <w:r w:rsidRPr="008B2B15">
        <w:rPr>
          <w:rFonts w:ascii="Calibri" w:hAnsi="Calibri" w:cs="Calibri"/>
          <w:sz w:val="21"/>
          <w:szCs w:val="21"/>
        </w:rPr>
        <w:t>Masini</w:t>
      </w:r>
      <w:proofErr w:type="spellEnd"/>
      <w:r w:rsidRPr="008B2B15">
        <w:rPr>
          <w:rFonts w:ascii="Calibri" w:hAnsi="Calibri" w:cs="Calibri"/>
          <w:sz w:val="21"/>
          <w:szCs w:val="21"/>
        </w:rPr>
        <w:t xml:space="preserve"> &amp; </w:t>
      </w:r>
      <w:proofErr w:type="spellStart"/>
      <w:r w:rsidRPr="008B2B15">
        <w:rPr>
          <w:rFonts w:ascii="Calibri" w:hAnsi="Calibri" w:cs="Calibri"/>
          <w:sz w:val="21"/>
          <w:szCs w:val="21"/>
        </w:rPr>
        <w:t>Menichetti</w:t>
      </w:r>
      <w:proofErr w:type="spellEnd"/>
      <w:r w:rsidRPr="008B2B15">
        <w:rPr>
          <w:rFonts w:ascii="Calibri" w:hAnsi="Calibri" w:cs="Calibri"/>
          <w:sz w:val="21"/>
          <w:szCs w:val="21"/>
        </w:rPr>
        <w:t xml:space="preserve"> (2012; 2013), </w:t>
      </w:r>
      <w:proofErr w:type="spellStart"/>
      <w:r w:rsidRPr="008B2B15">
        <w:rPr>
          <w:rFonts w:ascii="Calibri" w:hAnsi="Calibri" w:cs="Calibri"/>
          <w:sz w:val="21"/>
          <w:szCs w:val="21"/>
        </w:rPr>
        <w:t>Salm</w:t>
      </w:r>
      <w:proofErr w:type="spellEnd"/>
      <w:r w:rsidRPr="008B2B15">
        <w:rPr>
          <w:rFonts w:ascii="Calibri" w:hAnsi="Calibri" w:cs="Calibri"/>
          <w:sz w:val="21"/>
          <w:szCs w:val="21"/>
        </w:rPr>
        <w:t xml:space="preserve"> (2017) and </w:t>
      </w:r>
      <w:proofErr w:type="spellStart"/>
      <w:r w:rsidRPr="008B2B15">
        <w:rPr>
          <w:rFonts w:ascii="Calibri" w:hAnsi="Calibri" w:cs="Calibri"/>
          <w:sz w:val="21"/>
          <w:szCs w:val="21"/>
        </w:rPr>
        <w:t>Folton</w:t>
      </w:r>
      <w:proofErr w:type="spellEnd"/>
      <w:r w:rsidRPr="008B2B15">
        <w:rPr>
          <w:rFonts w:ascii="Calibri" w:hAnsi="Calibri" w:cs="Calibri"/>
          <w:sz w:val="21"/>
          <w:szCs w:val="21"/>
        </w:rPr>
        <w:t xml:space="preserve"> &amp; </w:t>
      </w:r>
      <w:proofErr w:type="spellStart"/>
      <w:r w:rsidRPr="008B2B15">
        <w:rPr>
          <w:rFonts w:ascii="Calibri" w:hAnsi="Calibri" w:cs="Calibri"/>
          <w:sz w:val="21"/>
          <w:szCs w:val="21"/>
        </w:rPr>
        <w:t>Boxon</w:t>
      </w:r>
      <w:proofErr w:type="spellEnd"/>
      <w:r w:rsidRPr="008B2B15">
        <w:rPr>
          <w:rFonts w:ascii="Calibri" w:hAnsi="Calibri" w:cs="Calibri"/>
          <w:sz w:val="21"/>
          <w:szCs w:val="21"/>
        </w:rPr>
        <w:t xml:space="preserve"> (2015) confirm the importance of behavioural impacts in investment decisions, including among others the personal attitude and expectation of investors, peer behaviour or the application of heuristics. This points towards the concept that agents are bounded rational and take decisions not only based on price-signals, which implies that (financial) markets do not necessarily converge towards an equilibrium, but are instead determined by the complex interactions of various bounded-rational agents (see Simon, 1957; </w:t>
      </w:r>
      <w:proofErr w:type="spellStart"/>
      <w:r w:rsidRPr="008B2B15">
        <w:rPr>
          <w:rFonts w:ascii="Calibri" w:hAnsi="Calibri" w:cs="Calibri"/>
          <w:sz w:val="21"/>
          <w:szCs w:val="21"/>
        </w:rPr>
        <w:t>Tversky</w:t>
      </w:r>
      <w:proofErr w:type="spellEnd"/>
      <w:r w:rsidRPr="008B2B15">
        <w:rPr>
          <w:rFonts w:ascii="Calibri" w:hAnsi="Calibri" w:cs="Calibri"/>
          <w:sz w:val="21"/>
          <w:szCs w:val="21"/>
        </w:rPr>
        <w:t xml:space="preserve"> &amp; </w:t>
      </w:r>
      <w:proofErr w:type="spellStart"/>
      <w:r w:rsidRPr="008B2B15">
        <w:rPr>
          <w:rFonts w:ascii="Calibri" w:hAnsi="Calibri" w:cs="Calibri"/>
          <w:sz w:val="21"/>
          <w:szCs w:val="21"/>
        </w:rPr>
        <w:t>Kahneman</w:t>
      </w:r>
      <w:proofErr w:type="spellEnd"/>
      <w:r w:rsidRPr="008B2B15">
        <w:rPr>
          <w:rFonts w:ascii="Calibri" w:hAnsi="Calibri" w:cs="Calibri"/>
          <w:sz w:val="21"/>
          <w:szCs w:val="21"/>
        </w:rPr>
        <w:t xml:space="preserve">, 1974). </w:t>
      </w:r>
    </w:p>
    <w:p w14:paraId="5F5DA9AF" w14:textId="77777777" w:rsidR="00C727EA" w:rsidRDefault="00B03132" w:rsidP="00B03132">
      <w:pPr>
        <w:numPr>
          <w:ilvl w:val="0"/>
          <w:numId w:val="5"/>
        </w:numPr>
        <w:spacing w:line="276" w:lineRule="auto"/>
        <w:rPr>
          <w:rFonts w:ascii="Calibri" w:hAnsi="Calibri" w:cs="Calibri"/>
          <w:sz w:val="21"/>
          <w:szCs w:val="21"/>
        </w:rPr>
      </w:pPr>
      <w:r w:rsidRPr="008B2B15">
        <w:rPr>
          <w:rFonts w:ascii="Calibri" w:hAnsi="Calibri" w:cs="Calibri"/>
          <w:b/>
          <w:bCs/>
          <w:sz w:val="21"/>
          <w:szCs w:val="21"/>
        </w:rPr>
        <w:t xml:space="preserve">Non-linearity (e.g. due to threshold values, delays or sudden non-linear changes): </w:t>
      </w:r>
      <w:r w:rsidRPr="008B2B15">
        <w:rPr>
          <w:rFonts w:ascii="Calibri" w:hAnsi="Calibri" w:cs="Calibri"/>
          <w:bCs/>
          <w:sz w:val="21"/>
          <w:szCs w:val="21"/>
        </w:rPr>
        <w:t xml:space="preserve">Complex systems are characterised by non-linearity of the overall system behaviour or individual components. </w:t>
      </w:r>
      <w:r w:rsidRPr="008B2B15">
        <w:rPr>
          <w:rFonts w:ascii="Calibri" w:hAnsi="Calibri" w:cs="Calibri"/>
          <w:sz w:val="21"/>
          <w:szCs w:val="21"/>
        </w:rPr>
        <w:t xml:space="preserve">In particular, non-linear and/or sudden changes of system’s components can trigger larger and seemingly random changes in the overall system due to the amplification of these changes by reinforcing feedback loops. </w:t>
      </w:r>
    </w:p>
    <w:p w14:paraId="4D35E510" w14:textId="18C1C2E0" w:rsidR="00B03132" w:rsidRPr="008B2B15" w:rsidRDefault="00B03132" w:rsidP="00C727EA">
      <w:pPr>
        <w:spacing w:line="276" w:lineRule="auto"/>
        <w:ind w:left="720"/>
        <w:rPr>
          <w:rFonts w:ascii="Calibri" w:hAnsi="Calibri" w:cs="Calibri"/>
          <w:sz w:val="21"/>
          <w:szCs w:val="21"/>
        </w:rPr>
      </w:pPr>
      <w:r w:rsidRPr="008B2B15">
        <w:rPr>
          <w:rFonts w:ascii="Calibri" w:hAnsi="Calibri" w:cs="Calibri"/>
          <w:sz w:val="21"/>
          <w:szCs w:val="21"/>
        </w:rPr>
        <w:t xml:space="preserve">For illustration, professional investors have often a maximal amount of value-at-risk and if the risk related to certain investments is above </w:t>
      </w:r>
      <w:proofErr w:type="gramStart"/>
      <w:r w:rsidRPr="008B2B15">
        <w:rPr>
          <w:rFonts w:ascii="Calibri" w:hAnsi="Calibri" w:cs="Calibri"/>
          <w:sz w:val="21"/>
          <w:szCs w:val="21"/>
        </w:rPr>
        <w:t>this</w:t>
      </w:r>
      <w:proofErr w:type="gramEnd"/>
      <w:r w:rsidRPr="008B2B15">
        <w:rPr>
          <w:rFonts w:ascii="Calibri" w:hAnsi="Calibri" w:cs="Calibri"/>
          <w:sz w:val="21"/>
          <w:szCs w:val="21"/>
        </w:rPr>
        <w:t xml:space="preserve"> threshold value they will not invest at all. However, once the value of a specific investment project is below that value, they will consider investing in this project, which then leads to a non-linear change in financial flows. Various interviewees also pointed out that they would not consider investing in renewable energy infrastructure projects at all given the current unclear and changing energy and climate policy framework and direction of the UK. Consequently, once the UK or comparable countries convincingly implement a credible and coherent long-term policy framework, it will upscale green investments in a non-linear way. Finally, introducing various solutions (e.g. introduction of incentives towards long-term sustainable investments in the financial regulations) will suffer inevitable delays as first related metrics, methodologies, guidelines, investment skills and expertise need to be updated or elaborated accordingly, thus contributing to non-linearity. </w:t>
      </w:r>
    </w:p>
    <w:p w14:paraId="2250F430" w14:textId="77777777" w:rsidR="00C727EA" w:rsidRDefault="00B03132" w:rsidP="00B03132">
      <w:pPr>
        <w:numPr>
          <w:ilvl w:val="0"/>
          <w:numId w:val="5"/>
        </w:numPr>
        <w:spacing w:line="276" w:lineRule="auto"/>
        <w:rPr>
          <w:rFonts w:ascii="Calibri" w:hAnsi="Calibri" w:cs="Calibri"/>
          <w:sz w:val="21"/>
          <w:szCs w:val="21"/>
        </w:rPr>
      </w:pPr>
      <w:r w:rsidRPr="008B2B15">
        <w:rPr>
          <w:rFonts w:ascii="Calibri" w:hAnsi="Calibri" w:cs="Calibri"/>
          <w:b/>
          <w:sz w:val="21"/>
          <w:szCs w:val="21"/>
        </w:rPr>
        <w:t>Dynamic behaviour</w:t>
      </w:r>
      <w:r w:rsidRPr="008B2B15">
        <w:rPr>
          <w:rFonts w:ascii="Calibri" w:hAnsi="Calibri" w:cs="Calibri"/>
          <w:sz w:val="21"/>
          <w:szCs w:val="21"/>
        </w:rPr>
        <w:t xml:space="preserve">: In a complex system, components or sub-components change over time, and thus the system itself as well as the observed behaviour change over time. In addition, changes of system’s components can occur due to external triggers. </w:t>
      </w:r>
    </w:p>
    <w:p w14:paraId="27A18389" w14:textId="27D7F14E" w:rsidR="00B03132" w:rsidRPr="008B2B15" w:rsidRDefault="00B03132" w:rsidP="00C727EA">
      <w:pPr>
        <w:spacing w:line="276" w:lineRule="auto"/>
        <w:ind w:left="720"/>
        <w:rPr>
          <w:rFonts w:ascii="Calibri" w:hAnsi="Calibri" w:cs="Calibri"/>
          <w:sz w:val="21"/>
          <w:szCs w:val="21"/>
        </w:rPr>
      </w:pPr>
      <w:r w:rsidRPr="008B2B15">
        <w:rPr>
          <w:rFonts w:ascii="Calibri" w:hAnsi="Calibri" w:cs="Calibri"/>
          <w:sz w:val="21"/>
          <w:szCs w:val="21"/>
        </w:rPr>
        <w:t xml:space="preserve">With regard to our case, one could think of various examples, including single investors changing their risk-perceptions or personal values (e.g. related to ESG values), or international pressure causing a change in the national investments incentives towards long-term sustainable investments. </w:t>
      </w:r>
    </w:p>
    <w:p w14:paraId="0DFB4BB8" w14:textId="77777777" w:rsidR="00C727EA" w:rsidRPr="00C727EA" w:rsidRDefault="00B03132" w:rsidP="00C727EA">
      <w:pPr>
        <w:numPr>
          <w:ilvl w:val="0"/>
          <w:numId w:val="5"/>
        </w:numPr>
        <w:spacing w:line="276" w:lineRule="auto"/>
        <w:rPr>
          <w:rFonts w:ascii="Calibri" w:eastAsia="Times New Roman" w:hAnsi="Calibri" w:cs="Calibri"/>
          <w:sz w:val="21"/>
          <w:szCs w:val="21"/>
          <w:lang w:eastAsia="en-GB"/>
        </w:rPr>
      </w:pPr>
      <w:r w:rsidRPr="008B2B15">
        <w:rPr>
          <w:rFonts w:ascii="Calibri" w:hAnsi="Calibri" w:cs="Calibri"/>
          <w:b/>
          <w:bCs/>
          <w:sz w:val="21"/>
          <w:szCs w:val="21"/>
          <w:lang w:val="en-US"/>
        </w:rPr>
        <w:lastRenderedPageBreak/>
        <w:t>Transdisciplinary</w:t>
      </w:r>
      <w:r w:rsidRPr="008B2B15">
        <w:rPr>
          <w:rFonts w:ascii="Calibri" w:hAnsi="Calibri" w:cs="Calibri"/>
          <w:sz w:val="21"/>
          <w:szCs w:val="21"/>
          <w:lang w:val="en-US"/>
        </w:rPr>
        <w:t xml:space="preserve">: Complex systems generally include various sub-systems (e.g. technical, economic and social ones) and actors (e.g. retail investors, government, regulators etc.). This makes it necessary to investigate complex systems from a transdisciplinary perspective. </w:t>
      </w:r>
    </w:p>
    <w:p w14:paraId="7A3FE7BF" w14:textId="6DC4667D" w:rsidR="00B03132" w:rsidRPr="008B2B15" w:rsidRDefault="009C6AA7" w:rsidP="00C727EA">
      <w:pPr>
        <w:spacing w:after="0" w:line="276" w:lineRule="auto"/>
        <w:ind w:left="720"/>
        <w:rPr>
          <w:rFonts w:ascii="Calibri" w:eastAsia="Times New Roman" w:hAnsi="Calibri" w:cs="Calibri"/>
          <w:sz w:val="21"/>
          <w:szCs w:val="21"/>
          <w:lang w:eastAsia="en-GB"/>
        </w:rPr>
      </w:pPr>
      <w:r>
        <w:rPr>
          <w:rFonts w:ascii="Calibri" w:hAnsi="Calibri" w:cs="Calibri"/>
          <w:sz w:val="21"/>
          <w:szCs w:val="21"/>
          <w:lang w:val="en-US"/>
        </w:rPr>
        <w:t>W</w:t>
      </w:r>
      <w:r w:rsidR="00B03132" w:rsidRPr="008B2B15">
        <w:rPr>
          <w:rFonts w:ascii="Calibri" w:hAnsi="Calibri" w:cs="Calibri"/>
          <w:sz w:val="21"/>
          <w:szCs w:val="21"/>
          <w:lang w:val="en-US"/>
        </w:rPr>
        <w:t xml:space="preserve">e have shown that various interrelated institutional, behavioral, cognitive, cultural or political barriers and barriers in the financial system or the electricity market system are deterring green investments (see also e.g. </w:t>
      </w:r>
      <w:proofErr w:type="spellStart"/>
      <w:r w:rsidR="00B03132" w:rsidRPr="008B2B15">
        <w:rPr>
          <w:rFonts w:ascii="Calibri" w:eastAsia="Times New Roman" w:hAnsi="Calibri" w:cs="Calibri"/>
          <w:sz w:val="21"/>
          <w:szCs w:val="21"/>
          <w:lang w:eastAsia="en-GB"/>
        </w:rPr>
        <w:t>Grüning</w:t>
      </w:r>
      <w:proofErr w:type="spellEnd"/>
      <w:r w:rsidR="00B03132" w:rsidRPr="008B2B15">
        <w:rPr>
          <w:rFonts w:ascii="Calibri" w:eastAsia="Times New Roman" w:hAnsi="Calibri" w:cs="Calibri"/>
          <w:sz w:val="21"/>
          <w:szCs w:val="21"/>
          <w:lang w:eastAsia="en-GB"/>
        </w:rPr>
        <w:t xml:space="preserve"> &amp; </w:t>
      </w:r>
      <w:proofErr w:type="spellStart"/>
      <w:r w:rsidR="00B03132" w:rsidRPr="008B2B15">
        <w:rPr>
          <w:rFonts w:ascii="Calibri" w:eastAsia="Times New Roman" w:hAnsi="Calibri" w:cs="Calibri"/>
          <w:sz w:val="21"/>
          <w:szCs w:val="21"/>
          <w:lang w:eastAsia="en-GB"/>
        </w:rPr>
        <w:t>Moslener</w:t>
      </w:r>
      <w:proofErr w:type="spellEnd"/>
      <w:r w:rsidR="00B03132" w:rsidRPr="008B2B15">
        <w:rPr>
          <w:rFonts w:ascii="Calibri" w:eastAsia="Times New Roman" w:hAnsi="Calibri" w:cs="Calibri"/>
          <w:sz w:val="21"/>
          <w:szCs w:val="21"/>
          <w:lang w:eastAsia="en-GB"/>
        </w:rPr>
        <w:t xml:space="preserve">, 2016; </w:t>
      </w:r>
      <w:proofErr w:type="spellStart"/>
      <w:r w:rsidR="00B03132" w:rsidRPr="008B2B15">
        <w:rPr>
          <w:rFonts w:ascii="Calibri" w:eastAsia="Times New Roman" w:hAnsi="Calibri" w:cs="Calibri"/>
          <w:sz w:val="21"/>
          <w:szCs w:val="21"/>
          <w:lang w:eastAsia="en-GB"/>
        </w:rPr>
        <w:t>Hampl</w:t>
      </w:r>
      <w:proofErr w:type="spellEnd"/>
      <w:r w:rsidR="00B03132" w:rsidRPr="008B2B15">
        <w:rPr>
          <w:rFonts w:ascii="Calibri" w:eastAsia="Times New Roman" w:hAnsi="Calibri" w:cs="Calibri"/>
          <w:sz w:val="21"/>
          <w:szCs w:val="21"/>
          <w:lang w:eastAsia="en-GB"/>
        </w:rPr>
        <w:t xml:space="preserve"> &amp; </w:t>
      </w:r>
      <w:proofErr w:type="spellStart"/>
      <w:r w:rsidR="00B03132" w:rsidRPr="008B2B15">
        <w:rPr>
          <w:rFonts w:ascii="Calibri" w:eastAsia="Times New Roman" w:hAnsi="Calibri" w:cs="Calibri"/>
          <w:sz w:val="21"/>
          <w:szCs w:val="21"/>
          <w:lang w:eastAsia="en-GB"/>
        </w:rPr>
        <w:t>Wüstenhagen</w:t>
      </w:r>
      <w:proofErr w:type="spellEnd"/>
      <w:r w:rsidR="00B03132" w:rsidRPr="008B2B15">
        <w:rPr>
          <w:rFonts w:ascii="Calibri" w:eastAsia="Times New Roman" w:hAnsi="Calibri" w:cs="Calibri"/>
          <w:sz w:val="21"/>
          <w:szCs w:val="21"/>
          <w:lang w:eastAsia="en-GB"/>
        </w:rPr>
        <w:t xml:space="preserve">, 2013; </w:t>
      </w:r>
      <w:proofErr w:type="spellStart"/>
      <w:r w:rsidR="00B03132" w:rsidRPr="008B2B15">
        <w:rPr>
          <w:rFonts w:ascii="Calibri" w:eastAsia="Times New Roman" w:hAnsi="Calibri" w:cs="Calibri"/>
          <w:sz w:val="21"/>
          <w:szCs w:val="21"/>
          <w:lang w:eastAsia="en-GB"/>
        </w:rPr>
        <w:t>Wüstenhagen</w:t>
      </w:r>
      <w:proofErr w:type="spellEnd"/>
      <w:r w:rsidR="00B03132" w:rsidRPr="008B2B15">
        <w:rPr>
          <w:rFonts w:ascii="Calibri" w:eastAsia="Times New Roman" w:hAnsi="Calibri" w:cs="Calibri"/>
          <w:sz w:val="21"/>
          <w:szCs w:val="21"/>
          <w:lang w:eastAsia="en-GB"/>
        </w:rPr>
        <w:t xml:space="preserve"> &amp; </w:t>
      </w:r>
      <w:proofErr w:type="spellStart"/>
      <w:r w:rsidR="00B03132" w:rsidRPr="008B2B15">
        <w:rPr>
          <w:rFonts w:ascii="Calibri" w:eastAsia="Times New Roman" w:hAnsi="Calibri" w:cs="Calibri"/>
          <w:sz w:val="21"/>
          <w:szCs w:val="21"/>
          <w:lang w:eastAsia="en-GB"/>
        </w:rPr>
        <w:t>Menichetti</w:t>
      </w:r>
      <w:proofErr w:type="spellEnd"/>
      <w:r w:rsidR="00B03132" w:rsidRPr="008B2B15">
        <w:rPr>
          <w:rFonts w:ascii="Calibri" w:eastAsia="Times New Roman" w:hAnsi="Calibri" w:cs="Calibri"/>
          <w:sz w:val="21"/>
          <w:szCs w:val="21"/>
          <w:lang w:eastAsia="en-GB"/>
        </w:rPr>
        <w:t xml:space="preserve">, 2012; </w:t>
      </w:r>
      <w:r w:rsidR="00B03132" w:rsidRPr="008B2B15">
        <w:rPr>
          <w:rFonts w:ascii="Calibri" w:hAnsi="Calibri" w:cs="Calibri"/>
          <w:sz w:val="21"/>
          <w:szCs w:val="21"/>
        </w:rPr>
        <w:t>Erickson et al., 2015</w:t>
      </w:r>
      <w:r w:rsidR="00B03132" w:rsidRPr="008B2B15">
        <w:rPr>
          <w:rFonts w:ascii="Calibri" w:eastAsia="Times New Roman" w:hAnsi="Calibri" w:cs="Calibri"/>
          <w:sz w:val="21"/>
          <w:szCs w:val="21"/>
          <w:lang w:eastAsia="en-GB"/>
        </w:rPr>
        <w:t xml:space="preserve">; </w:t>
      </w:r>
      <w:r w:rsidR="00B03132" w:rsidRPr="008B2B15">
        <w:rPr>
          <w:rFonts w:ascii="Calibri" w:hAnsi="Calibri" w:cs="Calibri"/>
          <w:sz w:val="21"/>
          <w:szCs w:val="21"/>
        </w:rPr>
        <w:t xml:space="preserve">Groot et al., 2013; </w:t>
      </w:r>
      <w:proofErr w:type="spellStart"/>
      <w:r w:rsidR="00B03132" w:rsidRPr="008B2B15">
        <w:rPr>
          <w:rFonts w:ascii="Calibri" w:hAnsi="Calibri" w:cs="Calibri"/>
          <w:sz w:val="21"/>
          <w:szCs w:val="21"/>
        </w:rPr>
        <w:t>Polzin</w:t>
      </w:r>
      <w:proofErr w:type="spellEnd"/>
      <w:r w:rsidR="00B03132" w:rsidRPr="008B2B15">
        <w:rPr>
          <w:rFonts w:ascii="Calibri" w:hAnsi="Calibri" w:cs="Calibri"/>
          <w:sz w:val="21"/>
          <w:szCs w:val="21"/>
        </w:rPr>
        <w:t xml:space="preserve">, 2017; </w:t>
      </w:r>
      <w:proofErr w:type="spellStart"/>
      <w:r w:rsidR="00B03132" w:rsidRPr="008B2B15">
        <w:rPr>
          <w:rFonts w:ascii="Calibri" w:hAnsi="Calibri" w:cs="Calibri"/>
          <w:sz w:val="21"/>
          <w:szCs w:val="21"/>
        </w:rPr>
        <w:t>Masini</w:t>
      </w:r>
      <w:proofErr w:type="spellEnd"/>
      <w:r w:rsidR="00B03132" w:rsidRPr="008B2B15">
        <w:rPr>
          <w:rFonts w:ascii="Calibri" w:hAnsi="Calibri" w:cs="Calibri"/>
          <w:sz w:val="21"/>
          <w:szCs w:val="21"/>
        </w:rPr>
        <w:t xml:space="preserve"> &amp; </w:t>
      </w:r>
      <w:proofErr w:type="spellStart"/>
      <w:r w:rsidR="00B03132" w:rsidRPr="008B2B15">
        <w:rPr>
          <w:rFonts w:ascii="Calibri" w:hAnsi="Calibri" w:cs="Calibri"/>
          <w:sz w:val="21"/>
          <w:szCs w:val="21"/>
        </w:rPr>
        <w:t>Menichetti</w:t>
      </w:r>
      <w:proofErr w:type="spellEnd"/>
      <w:r w:rsidR="00B03132" w:rsidRPr="008B2B15">
        <w:rPr>
          <w:rFonts w:ascii="Calibri" w:hAnsi="Calibri" w:cs="Calibri"/>
          <w:sz w:val="21"/>
          <w:szCs w:val="21"/>
        </w:rPr>
        <w:t xml:space="preserve">, 2012; 2013; </w:t>
      </w:r>
      <w:proofErr w:type="spellStart"/>
      <w:r w:rsidR="00B03132" w:rsidRPr="008B2B15">
        <w:rPr>
          <w:rFonts w:ascii="Calibri" w:hAnsi="Calibri" w:cs="Calibri"/>
          <w:sz w:val="21"/>
          <w:szCs w:val="21"/>
        </w:rPr>
        <w:t>Salm</w:t>
      </w:r>
      <w:proofErr w:type="spellEnd"/>
      <w:r w:rsidR="00B03132" w:rsidRPr="008B2B15">
        <w:rPr>
          <w:rFonts w:ascii="Calibri" w:hAnsi="Calibri" w:cs="Calibri"/>
          <w:sz w:val="21"/>
          <w:szCs w:val="21"/>
        </w:rPr>
        <w:t xml:space="preserve">, 2017). </w:t>
      </w:r>
    </w:p>
    <w:p w14:paraId="00AA8772" w14:textId="77777777" w:rsidR="00B03132" w:rsidRPr="008B2B15" w:rsidRDefault="00B03132" w:rsidP="00B03132">
      <w:pPr>
        <w:spacing w:after="0" w:line="276" w:lineRule="auto"/>
        <w:ind w:left="720"/>
        <w:rPr>
          <w:rFonts w:ascii="Calibri" w:eastAsia="Times New Roman" w:hAnsi="Calibri" w:cs="Calibri"/>
          <w:sz w:val="21"/>
          <w:szCs w:val="21"/>
          <w:lang w:eastAsia="en-GB"/>
        </w:rPr>
      </w:pPr>
    </w:p>
    <w:p w14:paraId="291ADA09" w14:textId="745C98DD" w:rsidR="00B03132" w:rsidRPr="008B2B15" w:rsidRDefault="00B03132" w:rsidP="00B03132">
      <w:pPr>
        <w:autoSpaceDE w:val="0"/>
        <w:autoSpaceDN w:val="0"/>
        <w:adjustRightInd w:val="0"/>
        <w:spacing w:line="276" w:lineRule="auto"/>
        <w:rPr>
          <w:rFonts w:ascii="Calibri" w:hAnsi="Calibri" w:cs="Calibri"/>
          <w:sz w:val="21"/>
          <w:szCs w:val="21"/>
        </w:rPr>
      </w:pPr>
      <w:r w:rsidRPr="008B2B15">
        <w:rPr>
          <w:rFonts w:ascii="Calibri" w:hAnsi="Calibri" w:cs="Calibri"/>
          <w:sz w:val="21"/>
          <w:szCs w:val="21"/>
        </w:rPr>
        <w:t xml:space="preserve">Figure 2 gives a simplified illustration of the complexity underlying the policy challenge to close the green finance gap. It goes beyond the scope of this study to determine the exact links between the different green investment barriers, the involved actors and institutions, and other relevant components. We recommend this as an important question for future research. For this reason, figure </w:t>
      </w:r>
      <w:r w:rsidR="00001864">
        <w:rPr>
          <w:rFonts w:ascii="Calibri" w:hAnsi="Calibri" w:cs="Calibri"/>
          <w:sz w:val="21"/>
          <w:szCs w:val="21"/>
        </w:rPr>
        <w:t>2</w:t>
      </w:r>
      <w:r w:rsidRPr="008B2B15">
        <w:rPr>
          <w:rFonts w:ascii="Calibri" w:hAnsi="Calibri" w:cs="Calibri"/>
          <w:sz w:val="21"/>
          <w:szCs w:val="21"/>
        </w:rPr>
        <w:t xml:space="preserve"> does not display the accurate links between various investment barriers as illustrated under point 1 above. However, the arrows between the subsystems underlying the green finance challenge, namely the electricity market, financial market, the governance and institutional setting, and the labour market or the economy, indicate that there exist various two-way links between investment barriers across different subsystems (see figure </w:t>
      </w:r>
      <w:r w:rsidR="00001864">
        <w:rPr>
          <w:rFonts w:ascii="Calibri" w:hAnsi="Calibri" w:cs="Calibri"/>
          <w:sz w:val="21"/>
          <w:szCs w:val="21"/>
        </w:rPr>
        <w:t>2</w:t>
      </w:r>
      <w:r w:rsidRPr="008B2B15">
        <w:rPr>
          <w:rFonts w:ascii="Calibri" w:hAnsi="Calibri" w:cs="Calibri"/>
          <w:sz w:val="21"/>
          <w:szCs w:val="21"/>
        </w:rPr>
        <w:t xml:space="preserve">). However, figure 2 does not display any links between investment barriers in the same subsystem although these likely exist. Moreover, we indicate some of interlinkages between the different stakeholders involved, however, neither the indicated stakeholders nor the indicated connections </w:t>
      </w:r>
      <w:proofErr w:type="gramStart"/>
      <w:r w:rsidRPr="008B2B15">
        <w:rPr>
          <w:rFonts w:ascii="Calibri" w:hAnsi="Calibri" w:cs="Calibri"/>
          <w:sz w:val="21"/>
          <w:szCs w:val="21"/>
        </w:rPr>
        <w:t>should be considered</w:t>
      </w:r>
      <w:proofErr w:type="gramEnd"/>
      <w:r w:rsidRPr="008B2B15">
        <w:rPr>
          <w:rFonts w:ascii="Calibri" w:hAnsi="Calibri" w:cs="Calibri"/>
          <w:sz w:val="21"/>
          <w:szCs w:val="21"/>
        </w:rPr>
        <w:t xml:space="preserve"> as complete (see e.g. CPI, 2016 for more information on interactions among stakeholders related to the green finance gap). Finally, the arrows between the “Green finance barrier space” and “Actor space” point out that these two components </w:t>
      </w:r>
      <w:proofErr w:type="gramStart"/>
      <w:r w:rsidRPr="008B2B15">
        <w:rPr>
          <w:rFonts w:ascii="Calibri" w:hAnsi="Calibri" w:cs="Calibri"/>
          <w:sz w:val="21"/>
          <w:szCs w:val="21"/>
        </w:rPr>
        <w:t>are interlinked</w:t>
      </w:r>
      <w:proofErr w:type="gramEnd"/>
      <w:r w:rsidRPr="008B2B15">
        <w:rPr>
          <w:rFonts w:ascii="Calibri" w:hAnsi="Calibri" w:cs="Calibri"/>
          <w:sz w:val="21"/>
          <w:szCs w:val="21"/>
        </w:rPr>
        <w:t xml:space="preserve"> as well (see CPI, 2016 and point 1 above). </w:t>
      </w:r>
    </w:p>
    <w:p w14:paraId="28FE792A" w14:textId="77777777" w:rsidR="00C3788D" w:rsidRDefault="00C3788D" w:rsidP="00B03132">
      <w:pPr>
        <w:pStyle w:val="Caption"/>
        <w:keepNext/>
        <w:rPr>
          <w:color w:val="auto"/>
        </w:rPr>
      </w:pPr>
      <w:r>
        <w:rPr>
          <w:rFonts w:cstheme="minorHAnsi"/>
          <w:noProof/>
          <w:sz w:val="21"/>
          <w:szCs w:val="21"/>
          <w:lang w:eastAsia="en-GB"/>
        </w:rPr>
        <w:drawing>
          <wp:inline distT="0" distB="0" distL="0" distR="0" wp14:anchorId="1B324EC9" wp14:editId="74052B6A">
            <wp:extent cx="4070350" cy="31842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414"/>
                    <a:stretch/>
                  </pic:blipFill>
                  <pic:spPr bwMode="auto">
                    <a:xfrm>
                      <a:off x="0" y="0"/>
                      <a:ext cx="4128957" cy="3230084"/>
                    </a:xfrm>
                    <a:prstGeom prst="rect">
                      <a:avLst/>
                    </a:prstGeom>
                    <a:noFill/>
                    <a:ln>
                      <a:noFill/>
                    </a:ln>
                    <a:extLst>
                      <a:ext uri="{53640926-AAD7-44D8-BBD7-CCE9431645EC}">
                        <a14:shadowObscured xmlns:a14="http://schemas.microsoft.com/office/drawing/2010/main"/>
                      </a:ext>
                    </a:extLst>
                  </pic:spPr>
                </pic:pic>
              </a:graphicData>
            </a:graphic>
          </wp:inline>
        </w:drawing>
      </w:r>
    </w:p>
    <w:p w14:paraId="062B58E6" w14:textId="58AE123C" w:rsidR="00B03132" w:rsidRPr="008B2B15" w:rsidRDefault="00B03132" w:rsidP="00B03132">
      <w:pPr>
        <w:pStyle w:val="Caption"/>
        <w:keepNext/>
        <w:rPr>
          <w:color w:val="auto"/>
        </w:rPr>
      </w:pPr>
      <w:r w:rsidRPr="008B2B15">
        <w:rPr>
          <w:color w:val="auto"/>
        </w:rPr>
        <w:t>Figure 2: Simplified complexity of the green finance gap</w:t>
      </w:r>
    </w:p>
    <w:p w14:paraId="36465999" w14:textId="0C0B5E94" w:rsidR="00CF6BEE" w:rsidRPr="00902A62" w:rsidRDefault="00B03132" w:rsidP="00902A62">
      <w:pPr>
        <w:autoSpaceDE w:val="0"/>
        <w:autoSpaceDN w:val="0"/>
        <w:adjustRightInd w:val="0"/>
        <w:spacing w:line="276" w:lineRule="auto"/>
        <w:rPr>
          <w:rFonts w:ascii="Calibri" w:hAnsi="Calibri" w:cs="Calibri"/>
        </w:rPr>
      </w:pPr>
      <w:r w:rsidRPr="00001864">
        <w:rPr>
          <w:rFonts w:ascii="Calibri" w:hAnsi="Calibri" w:cs="Calibri"/>
          <w:sz w:val="21"/>
          <w:szCs w:val="21"/>
        </w:rPr>
        <w:t xml:space="preserve">The application of a systems approach </w:t>
      </w:r>
      <w:r w:rsidR="00CF6BEE">
        <w:rPr>
          <w:rFonts w:ascii="Calibri" w:hAnsi="Calibri" w:cs="Calibri"/>
          <w:sz w:val="21"/>
          <w:szCs w:val="21"/>
        </w:rPr>
        <w:t xml:space="preserve">can lead to insights </w:t>
      </w:r>
      <w:r w:rsidR="009B46B8">
        <w:rPr>
          <w:rFonts w:ascii="Calibri" w:hAnsi="Calibri" w:cs="Calibri"/>
          <w:sz w:val="21"/>
          <w:szCs w:val="21"/>
        </w:rPr>
        <w:t xml:space="preserve">and </w:t>
      </w:r>
      <w:proofErr w:type="gramStart"/>
      <w:r w:rsidR="009B46B8">
        <w:rPr>
          <w:rFonts w:ascii="Calibri" w:hAnsi="Calibri" w:cs="Calibri"/>
          <w:sz w:val="21"/>
          <w:szCs w:val="21"/>
        </w:rPr>
        <w:t>added value</w:t>
      </w:r>
      <w:proofErr w:type="gramEnd"/>
      <w:r w:rsidR="009B46B8">
        <w:rPr>
          <w:rFonts w:ascii="Calibri" w:hAnsi="Calibri" w:cs="Calibri"/>
          <w:sz w:val="21"/>
          <w:szCs w:val="21"/>
        </w:rPr>
        <w:t xml:space="preserve"> </w:t>
      </w:r>
      <w:r w:rsidR="00CF6BEE">
        <w:rPr>
          <w:rFonts w:ascii="Calibri" w:hAnsi="Calibri" w:cs="Calibri"/>
          <w:sz w:val="21"/>
          <w:szCs w:val="21"/>
        </w:rPr>
        <w:t xml:space="preserve">on different levels </w:t>
      </w:r>
      <w:r w:rsidR="00407CC9">
        <w:rPr>
          <w:rFonts w:ascii="Calibri" w:hAnsi="Calibri" w:cs="Calibri"/>
          <w:sz w:val="21"/>
          <w:szCs w:val="21"/>
        </w:rPr>
        <w:t>for</w:t>
      </w:r>
      <w:r w:rsidRPr="00001864">
        <w:rPr>
          <w:rFonts w:ascii="Calibri" w:hAnsi="Calibri" w:cs="Calibri"/>
          <w:sz w:val="21"/>
          <w:szCs w:val="21"/>
        </w:rPr>
        <w:t xml:space="preserve"> policy assessment and intervention</w:t>
      </w:r>
      <w:r w:rsidR="00902A62">
        <w:rPr>
          <w:rFonts w:ascii="Calibri" w:hAnsi="Calibri" w:cs="Calibri"/>
        </w:rPr>
        <w:t xml:space="preserve">. Firstly, </w:t>
      </w:r>
      <w:r w:rsidR="00902A62">
        <w:rPr>
          <w:rFonts w:ascii="Calibri" w:hAnsi="Calibri"/>
          <w:iCs/>
          <w:sz w:val="21"/>
          <w:szCs w:val="21"/>
        </w:rPr>
        <w:t>t</w:t>
      </w:r>
      <w:r w:rsidRPr="00902A62">
        <w:rPr>
          <w:rFonts w:ascii="Calibri" w:hAnsi="Calibri"/>
          <w:iCs/>
          <w:sz w:val="21"/>
          <w:szCs w:val="21"/>
        </w:rPr>
        <w:t xml:space="preserve">he application of a systems approach (combined with a conceptual or quantitative model) can support policymakers to understand better the underlying system of their </w:t>
      </w:r>
      <w:r w:rsidRPr="00902A62">
        <w:rPr>
          <w:rFonts w:ascii="Calibri" w:hAnsi="Calibri"/>
          <w:iCs/>
          <w:sz w:val="21"/>
          <w:szCs w:val="21"/>
        </w:rPr>
        <w:lastRenderedPageBreak/>
        <w:t>policy objective(s) or challenge(s). This understanding of the underlying system, including its main mechanisms, supports the identification of “</w:t>
      </w:r>
      <w:r w:rsidRPr="00902A62">
        <w:rPr>
          <w:rFonts w:ascii="Calibri" w:hAnsi="Calibri"/>
          <w:sz w:val="21"/>
          <w:szCs w:val="21"/>
        </w:rPr>
        <w:t>leverage points”</w:t>
      </w:r>
      <w:r w:rsidRPr="008B2B15">
        <w:rPr>
          <w:rStyle w:val="FootnoteReference"/>
          <w:rFonts w:ascii="Calibri" w:hAnsi="Calibri"/>
          <w:sz w:val="21"/>
          <w:szCs w:val="21"/>
        </w:rPr>
        <w:footnoteReference w:id="12"/>
      </w:r>
      <w:r w:rsidRPr="00902A62">
        <w:rPr>
          <w:rFonts w:ascii="Calibri" w:hAnsi="Calibri"/>
          <w:sz w:val="21"/>
          <w:szCs w:val="21"/>
        </w:rPr>
        <w:t xml:space="preserve"> </w:t>
      </w:r>
      <w:r w:rsidRPr="00902A62">
        <w:rPr>
          <w:rFonts w:ascii="Calibri" w:hAnsi="Calibri"/>
          <w:iCs/>
          <w:sz w:val="21"/>
          <w:szCs w:val="21"/>
        </w:rPr>
        <w:t>for policy intervention</w:t>
      </w:r>
      <w:r w:rsidR="00CF6BEE" w:rsidRPr="00902A62">
        <w:rPr>
          <w:rFonts w:ascii="Calibri" w:hAnsi="Calibri"/>
          <w:iCs/>
          <w:sz w:val="21"/>
          <w:szCs w:val="21"/>
        </w:rPr>
        <w:t xml:space="preserve"> and thus the </w:t>
      </w:r>
      <w:r w:rsidR="00EA70C4" w:rsidRPr="00902A62">
        <w:rPr>
          <w:rFonts w:ascii="Calibri" w:hAnsi="Calibri"/>
          <w:iCs/>
          <w:sz w:val="21"/>
          <w:szCs w:val="21"/>
        </w:rPr>
        <w:t>implementation</w:t>
      </w:r>
      <w:r w:rsidR="00CF6BEE" w:rsidRPr="00902A62">
        <w:rPr>
          <w:rFonts w:ascii="Calibri" w:hAnsi="Calibri"/>
          <w:iCs/>
          <w:sz w:val="21"/>
          <w:szCs w:val="21"/>
        </w:rPr>
        <w:t xml:space="preserve"> of more effective policies</w:t>
      </w:r>
      <w:r w:rsidR="009B46B8" w:rsidRPr="00902A62">
        <w:rPr>
          <w:rFonts w:ascii="Calibri" w:hAnsi="Calibri"/>
          <w:iCs/>
          <w:sz w:val="21"/>
          <w:szCs w:val="21"/>
        </w:rPr>
        <w:t xml:space="preserve"> that </w:t>
      </w:r>
      <w:r w:rsidR="00EA70C4" w:rsidRPr="00902A62">
        <w:rPr>
          <w:rFonts w:ascii="Calibri" w:hAnsi="Calibri"/>
          <w:iCs/>
          <w:sz w:val="21"/>
          <w:szCs w:val="21"/>
        </w:rPr>
        <w:t>address</w:t>
      </w:r>
      <w:r w:rsidR="009B46B8" w:rsidRPr="00902A62">
        <w:rPr>
          <w:rFonts w:ascii="Calibri" w:hAnsi="Calibri"/>
          <w:iCs/>
          <w:sz w:val="21"/>
          <w:szCs w:val="21"/>
        </w:rPr>
        <w:t xml:space="preserve"> various barriers at the same time</w:t>
      </w:r>
      <w:r w:rsidR="00317301" w:rsidRPr="00902A62">
        <w:rPr>
          <w:rFonts w:ascii="Calibri" w:hAnsi="Calibri"/>
          <w:iCs/>
          <w:sz w:val="21"/>
          <w:szCs w:val="21"/>
        </w:rPr>
        <w:t xml:space="preserve">. </w:t>
      </w:r>
    </w:p>
    <w:p w14:paraId="4DE5580F" w14:textId="791FECF0" w:rsidR="00CF6BEE" w:rsidRPr="00FB3C77" w:rsidRDefault="00FB3C77" w:rsidP="00FB3C77">
      <w:pPr>
        <w:autoSpaceDE w:val="0"/>
        <w:autoSpaceDN w:val="0"/>
        <w:adjustRightInd w:val="0"/>
        <w:spacing w:line="276" w:lineRule="auto"/>
        <w:rPr>
          <w:rFonts w:ascii="Calibri" w:hAnsi="Calibri"/>
          <w:iCs/>
          <w:sz w:val="21"/>
          <w:szCs w:val="21"/>
        </w:rPr>
      </w:pPr>
      <w:r>
        <w:rPr>
          <w:rFonts w:ascii="Calibri" w:hAnsi="Calibri"/>
          <w:iCs/>
          <w:sz w:val="21"/>
          <w:szCs w:val="21"/>
        </w:rPr>
        <w:t>Secondly, a</w:t>
      </w:r>
      <w:r w:rsidR="00B03132" w:rsidRPr="00FB3C77">
        <w:rPr>
          <w:rFonts w:ascii="Calibri" w:hAnsi="Calibri"/>
          <w:iCs/>
          <w:sz w:val="21"/>
          <w:szCs w:val="21"/>
        </w:rPr>
        <w:t xml:space="preserve"> holistic approach, taking into account various policy objectives, contributes to avoid negative indirect policy consequences (e.g. on inequality, employment or ecosystems) and to exploit synergies by exploiting co-benefits of policies (e.g. increase in employment, increase in sustainable long-term investment in infrastructure, steering the entire economy towards a sustainable economy). </w:t>
      </w:r>
    </w:p>
    <w:p w14:paraId="031F235F" w14:textId="77777777" w:rsidR="00E77B74" w:rsidRDefault="00FB3C77" w:rsidP="00FB3C77">
      <w:pPr>
        <w:autoSpaceDE w:val="0"/>
        <w:autoSpaceDN w:val="0"/>
        <w:adjustRightInd w:val="0"/>
        <w:spacing w:line="276" w:lineRule="auto"/>
        <w:rPr>
          <w:rFonts w:ascii="Calibri" w:hAnsi="Calibri"/>
          <w:iCs/>
          <w:sz w:val="21"/>
          <w:szCs w:val="21"/>
        </w:rPr>
      </w:pPr>
      <w:r>
        <w:rPr>
          <w:rFonts w:ascii="Calibri" w:hAnsi="Calibri"/>
          <w:iCs/>
          <w:sz w:val="21"/>
          <w:szCs w:val="21"/>
        </w:rPr>
        <w:t xml:space="preserve">Finally, </w:t>
      </w:r>
      <w:r w:rsidR="009C02CF">
        <w:rPr>
          <w:rFonts w:ascii="Calibri" w:hAnsi="Calibri"/>
          <w:iCs/>
          <w:sz w:val="21"/>
          <w:szCs w:val="21"/>
        </w:rPr>
        <w:t>at</w:t>
      </w:r>
      <w:r w:rsidR="00CF6BEE" w:rsidRPr="00FB3C77">
        <w:rPr>
          <w:rFonts w:ascii="Calibri" w:hAnsi="Calibri"/>
          <w:iCs/>
          <w:sz w:val="21"/>
          <w:szCs w:val="21"/>
        </w:rPr>
        <w:t xml:space="preserve"> the theoretical level, </w:t>
      </w:r>
      <w:r w:rsidR="00B03132" w:rsidRPr="00FB3C77">
        <w:rPr>
          <w:rFonts w:ascii="Calibri" w:hAnsi="Calibri"/>
          <w:iCs/>
          <w:sz w:val="21"/>
          <w:szCs w:val="21"/>
        </w:rPr>
        <w:t>a framework based on complexity abstracts away from the assumption that economies converge towards an optimal equilibrium (in the long-term) and from the idea that agents are rational (</w:t>
      </w:r>
      <w:proofErr w:type="spellStart"/>
      <w:r w:rsidR="00B03132" w:rsidRPr="00FB3C77">
        <w:rPr>
          <w:rFonts w:ascii="Calibri" w:hAnsi="Calibri"/>
          <w:iCs/>
          <w:sz w:val="21"/>
          <w:szCs w:val="21"/>
        </w:rPr>
        <w:t>Mankiw</w:t>
      </w:r>
      <w:proofErr w:type="spellEnd"/>
      <w:r w:rsidR="00B03132" w:rsidRPr="00FB3C77">
        <w:rPr>
          <w:rFonts w:ascii="Calibri" w:hAnsi="Calibri"/>
          <w:iCs/>
          <w:sz w:val="21"/>
          <w:szCs w:val="21"/>
        </w:rPr>
        <w:t xml:space="preserve">, 2013) and only act at the margin based upon price signals. </w:t>
      </w:r>
      <w:r w:rsidR="00CF6BEE" w:rsidRPr="00FB3C77">
        <w:rPr>
          <w:rFonts w:ascii="Calibri" w:hAnsi="Calibri"/>
          <w:iCs/>
          <w:sz w:val="21"/>
          <w:szCs w:val="21"/>
        </w:rPr>
        <w:t>In particular</w:t>
      </w:r>
      <w:r w:rsidR="00B03132" w:rsidRPr="00FB3C77">
        <w:rPr>
          <w:rFonts w:ascii="Calibri" w:hAnsi="Calibri"/>
          <w:iCs/>
          <w:sz w:val="21"/>
          <w:szCs w:val="21"/>
        </w:rPr>
        <w:t>, a</w:t>
      </w:r>
      <w:r w:rsidR="00EA70C4" w:rsidRPr="00FB3C77">
        <w:rPr>
          <w:rFonts w:ascii="Calibri" w:hAnsi="Calibri"/>
          <w:iCs/>
          <w:sz w:val="21"/>
          <w:szCs w:val="21"/>
        </w:rPr>
        <w:t>n analytical underpinning</w:t>
      </w:r>
      <w:r w:rsidR="00B03132" w:rsidRPr="00FB3C77">
        <w:rPr>
          <w:rFonts w:ascii="Calibri" w:hAnsi="Calibri"/>
          <w:iCs/>
          <w:sz w:val="21"/>
          <w:szCs w:val="21"/>
        </w:rPr>
        <w:t xml:space="preserve"> based on complexity allows the consideration of </w:t>
      </w:r>
      <w:r w:rsidR="00407CC9" w:rsidRPr="00FB3C77">
        <w:rPr>
          <w:rFonts w:ascii="Calibri" w:hAnsi="Calibri"/>
          <w:iCs/>
          <w:sz w:val="21"/>
          <w:szCs w:val="21"/>
        </w:rPr>
        <w:t xml:space="preserve">dynamic </w:t>
      </w:r>
      <w:r w:rsidR="00B03132" w:rsidRPr="00FB3C77">
        <w:rPr>
          <w:rFonts w:ascii="Calibri" w:hAnsi="Calibri"/>
          <w:iCs/>
          <w:sz w:val="21"/>
          <w:szCs w:val="21"/>
        </w:rPr>
        <w:t>non-marginal changes</w:t>
      </w:r>
      <w:r w:rsidR="00407CC9" w:rsidRPr="00FB3C77">
        <w:rPr>
          <w:rFonts w:ascii="Calibri" w:hAnsi="Calibri"/>
          <w:iCs/>
          <w:sz w:val="21"/>
          <w:szCs w:val="21"/>
        </w:rPr>
        <w:t xml:space="preserve"> and processes, which involves various subsystems and interlinkages between them. These </w:t>
      </w:r>
      <w:r w:rsidR="00EA70C4" w:rsidRPr="00FB3C77">
        <w:rPr>
          <w:rFonts w:ascii="Calibri" w:hAnsi="Calibri"/>
          <w:iCs/>
          <w:sz w:val="21"/>
          <w:szCs w:val="21"/>
        </w:rPr>
        <w:t>characteristics</w:t>
      </w:r>
      <w:r w:rsidR="00407CC9" w:rsidRPr="00FB3C77">
        <w:rPr>
          <w:rFonts w:ascii="Calibri" w:hAnsi="Calibri"/>
          <w:iCs/>
          <w:sz w:val="21"/>
          <w:szCs w:val="21"/>
        </w:rPr>
        <w:t xml:space="preserve"> are</w:t>
      </w:r>
      <w:r w:rsidR="00EA70C4" w:rsidRPr="00FB3C77">
        <w:rPr>
          <w:rFonts w:ascii="Calibri" w:hAnsi="Calibri"/>
          <w:iCs/>
          <w:sz w:val="21"/>
          <w:szCs w:val="21"/>
        </w:rPr>
        <w:t xml:space="preserve">, however, </w:t>
      </w:r>
      <w:r w:rsidR="00B03132" w:rsidRPr="00FB3C77">
        <w:rPr>
          <w:rFonts w:ascii="Calibri" w:hAnsi="Calibri"/>
          <w:iCs/>
          <w:sz w:val="21"/>
          <w:szCs w:val="21"/>
        </w:rPr>
        <w:t xml:space="preserve">relevant for complex transitions, such as the decarbonisation of the UK energy system. </w:t>
      </w:r>
      <w:r w:rsidR="00407CC9" w:rsidRPr="00FB3C77">
        <w:rPr>
          <w:rFonts w:ascii="Calibri" w:hAnsi="Calibri"/>
          <w:iCs/>
          <w:sz w:val="21"/>
          <w:szCs w:val="21"/>
        </w:rPr>
        <w:t xml:space="preserve">The </w:t>
      </w:r>
      <w:r w:rsidR="00317301" w:rsidRPr="00FB3C77">
        <w:rPr>
          <w:rFonts w:ascii="Calibri" w:hAnsi="Calibri"/>
          <w:iCs/>
          <w:sz w:val="21"/>
          <w:szCs w:val="21"/>
        </w:rPr>
        <w:t>choice</w:t>
      </w:r>
      <w:r w:rsidR="00407CC9" w:rsidRPr="00FB3C77">
        <w:rPr>
          <w:rFonts w:ascii="Calibri" w:hAnsi="Calibri"/>
          <w:iCs/>
          <w:sz w:val="21"/>
          <w:szCs w:val="21"/>
        </w:rPr>
        <w:t xml:space="preserve"> </w:t>
      </w:r>
      <w:r w:rsidR="009603EE">
        <w:rPr>
          <w:rFonts w:ascii="Calibri" w:hAnsi="Calibri"/>
          <w:iCs/>
          <w:sz w:val="21"/>
          <w:szCs w:val="21"/>
        </w:rPr>
        <w:t xml:space="preserve">of </w:t>
      </w:r>
      <w:r w:rsidR="00407CC9" w:rsidRPr="00FB3C77">
        <w:rPr>
          <w:rFonts w:ascii="Calibri" w:hAnsi="Calibri"/>
          <w:iCs/>
          <w:sz w:val="21"/>
          <w:szCs w:val="21"/>
        </w:rPr>
        <w:t xml:space="preserve">theoretical framework </w:t>
      </w:r>
      <w:r w:rsidR="00A85361" w:rsidRPr="00FB3C77">
        <w:rPr>
          <w:rFonts w:ascii="Calibri" w:hAnsi="Calibri"/>
          <w:iCs/>
          <w:sz w:val="21"/>
          <w:szCs w:val="21"/>
        </w:rPr>
        <w:t xml:space="preserve">is not only </w:t>
      </w:r>
      <w:r w:rsidR="00902A62" w:rsidRPr="00FB3C77">
        <w:rPr>
          <w:rFonts w:ascii="Calibri" w:hAnsi="Calibri"/>
          <w:iCs/>
          <w:sz w:val="21"/>
          <w:szCs w:val="21"/>
        </w:rPr>
        <w:t>relevant</w:t>
      </w:r>
      <w:r w:rsidR="00A85361" w:rsidRPr="00FB3C77">
        <w:rPr>
          <w:rFonts w:ascii="Calibri" w:hAnsi="Calibri"/>
          <w:iCs/>
          <w:sz w:val="21"/>
          <w:szCs w:val="21"/>
        </w:rPr>
        <w:t xml:space="preserve"> from a theoretical perspective, but </w:t>
      </w:r>
      <w:r w:rsidR="00902A62" w:rsidRPr="00FB3C77">
        <w:rPr>
          <w:rFonts w:ascii="Calibri" w:hAnsi="Calibri"/>
          <w:iCs/>
          <w:sz w:val="21"/>
          <w:szCs w:val="21"/>
        </w:rPr>
        <w:t xml:space="preserve">its choice </w:t>
      </w:r>
      <w:r w:rsidR="00407CC9" w:rsidRPr="00FB3C77">
        <w:rPr>
          <w:rFonts w:ascii="Calibri" w:hAnsi="Calibri"/>
          <w:iCs/>
          <w:sz w:val="21"/>
          <w:szCs w:val="21"/>
        </w:rPr>
        <w:t>has</w:t>
      </w:r>
      <w:r w:rsidR="00902A62" w:rsidRPr="00FB3C77">
        <w:rPr>
          <w:rFonts w:ascii="Calibri" w:hAnsi="Calibri"/>
          <w:iCs/>
          <w:sz w:val="21"/>
          <w:szCs w:val="21"/>
        </w:rPr>
        <w:t xml:space="preserve"> also</w:t>
      </w:r>
      <w:r w:rsidR="00407CC9" w:rsidRPr="00FB3C77">
        <w:rPr>
          <w:rFonts w:ascii="Calibri" w:hAnsi="Calibri"/>
          <w:iCs/>
          <w:sz w:val="21"/>
          <w:szCs w:val="21"/>
        </w:rPr>
        <w:t xml:space="preserve"> important</w:t>
      </w:r>
      <w:r w:rsidR="00902A62" w:rsidRPr="00FB3C77">
        <w:rPr>
          <w:rFonts w:ascii="Calibri" w:hAnsi="Calibri"/>
          <w:iCs/>
          <w:sz w:val="21"/>
          <w:szCs w:val="21"/>
        </w:rPr>
        <w:t xml:space="preserve"> </w:t>
      </w:r>
      <w:r w:rsidR="00407CC9" w:rsidRPr="00FB3C77">
        <w:rPr>
          <w:rFonts w:ascii="Calibri" w:hAnsi="Calibri"/>
          <w:iCs/>
          <w:sz w:val="21"/>
          <w:szCs w:val="21"/>
        </w:rPr>
        <w:t>implications on the practical level</w:t>
      </w:r>
      <w:r w:rsidR="00A85361" w:rsidRPr="00FB3C77">
        <w:rPr>
          <w:rFonts w:ascii="Calibri" w:hAnsi="Calibri"/>
          <w:iCs/>
          <w:sz w:val="21"/>
          <w:szCs w:val="21"/>
        </w:rPr>
        <w:t xml:space="preserve">. </w:t>
      </w:r>
    </w:p>
    <w:p w14:paraId="30F0004C" w14:textId="707CE9B8" w:rsidR="00A85361" w:rsidRPr="00FB3C77" w:rsidRDefault="00A85361" w:rsidP="00FB3C77">
      <w:pPr>
        <w:autoSpaceDE w:val="0"/>
        <w:autoSpaceDN w:val="0"/>
        <w:adjustRightInd w:val="0"/>
        <w:spacing w:line="276" w:lineRule="auto"/>
        <w:rPr>
          <w:rFonts w:ascii="Calibri" w:hAnsi="Calibri"/>
          <w:iCs/>
          <w:sz w:val="21"/>
          <w:szCs w:val="21"/>
        </w:rPr>
      </w:pPr>
      <w:r w:rsidRPr="00FB3C77">
        <w:rPr>
          <w:rFonts w:ascii="Calibri" w:hAnsi="Calibri"/>
          <w:iCs/>
          <w:sz w:val="21"/>
          <w:szCs w:val="21"/>
        </w:rPr>
        <w:t xml:space="preserve">As different theoretical frameworks represent </w:t>
      </w:r>
      <w:r w:rsidR="009E7A54">
        <w:rPr>
          <w:rFonts w:ascii="Calibri" w:hAnsi="Calibri"/>
          <w:iCs/>
          <w:sz w:val="21"/>
          <w:szCs w:val="21"/>
        </w:rPr>
        <w:t xml:space="preserve">the </w:t>
      </w:r>
      <w:r w:rsidRPr="00FB3C77">
        <w:rPr>
          <w:rFonts w:ascii="Calibri" w:hAnsi="Calibri"/>
          <w:iCs/>
          <w:sz w:val="21"/>
          <w:szCs w:val="21"/>
        </w:rPr>
        <w:t xml:space="preserve">characteristics and (causal) linkages </w:t>
      </w:r>
      <w:r w:rsidR="009E7A54">
        <w:rPr>
          <w:rFonts w:ascii="Calibri" w:hAnsi="Calibri"/>
          <w:iCs/>
          <w:sz w:val="21"/>
          <w:szCs w:val="21"/>
        </w:rPr>
        <w:t xml:space="preserve">of a certain policy challenge </w:t>
      </w:r>
      <w:r w:rsidRPr="00FB3C77">
        <w:rPr>
          <w:rFonts w:ascii="Calibri" w:hAnsi="Calibri"/>
          <w:iCs/>
          <w:sz w:val="21"/>
          <w:szCs w:val="21"/>
        </w:rPr>
        <w:t>in different ways, they typically recommend different policy instrument</w:t>
      </w:r>
      <w:r w:rsidR="009E7A54">
        <w:rPr>
          <w:rFonts w:ascii="Calibri" w:hAnsi="Calibri"/>
          <w:iCs/>
          <w:sz w:val="21"/>
          <w:szCs w:val="21"/>
        </w:rPr>
        <w:t>s</w:t>
      </w:r>
      <w:r w:rsidRPr="00FB3C77">
        <w:rPr>
          <w:rFonts w:ascii="Calibri" w:hAnsi="Calibri"/>
          <w:iCs/>
          <w:sz w:val="21"/>
          <w:szCs w:val="21"/>
        </w:rPr>
        <w:t xml:space="preserve"> </w:t>
      </w:r>
      <w:r w:rsidR="009E7A54">
        <w:rPr>
          <w:rFonts w:ascii="Calibri" w:hAnsi="Calibri"/>
          <w:iCs/>
          <w:sz w:val="21"/>
          <w:szCs w:val="21"/>
        </w:rPr>
        <w:t>as solutions</w:t>
      </w:r>
      <w:r w:rsidRPr="00FB3C77">
        <w:rPr>
          <w:rFonts w:ascii="Calibri" w:hAnsi="Calibri"/>
          <w:iCs/>
          <w:sz w:val="21"/>
          <w:szCs w:val="21"/>
        </w:rPr>
        <w:t>. That is, a theoretical underpinning based on neoclassical economics typically leads to the conclusion that price incentives (e.g. taxes) are the most effective policy response and abstracts away from the potential importance of</w:t>
      </w:r>
      <w:r w:rsidR="009E7A54">
        <w:rPr>
          <w:rFonts w:ascii="Calibri" w:hAnsi="Calibri"/>
          <w:iCs/>
          <w:sz w:val="21"/>
          <w:szCs w:val="21"/>
        </w:rPr>
        <w:t>,</w:t>
      </w:r>
      <w:r w:rsidRPr="00FB3C77">
        <w:rPr>
          <w:rFonts w:ascii="Calibri" w:hAnsi="Calibri"/>
          <w:iCs/>
          <w:sz w:val="21"/>
          <w:szCs w:val="21"/>
        </w:rPr>
        <w:t xml:space="preserve"> for </w:t>
      </w:r>
      <w:r w:rsidR="00902A62" w:rsidRPr="00FB3C77">
        <w:rPr>
          <w:rFonts w:ascii="Calibri" w:hAnsi="Calibri"/>
          <w:iCs/>
          <w:sz w:val="21"/>
          <w:szCs w:val="21"/>
        </w:rPr>
        <w:t>example</w:t>
      </w:r>
      <w:r w:rsidR="009E7A54">
        <w:rPr>
          <w:rFonts w:ascii="Calibri" w:hAnsi="Calibri"/>
          <w:iCs/>
          <w:sz w:val="21"/>
          <w:szCs w:val="21"/>
        </w:rPr>
        <w:t>,</w:t>
      </w:r>
      <w:r w:rsidR="00902A62" w:rsidRPr="00FB3C77">
        <w:rPr>
          <w:rFonts w:ascii="Calibri" w:hAnsi="Calibri"/>
          <w:iCs/>
          <w:sz w:val="21"/>
          <w:szCs w:val="21"/>
        </w:rPr>
        <w:t xml:space="preserve"> market-shaping policies or systemic changes</w:t>
      </w:r>
      <w:r w:rsidRPr="00FB3C77">
        <w:rPr>
          <w:rFonts w:ascii="Calibri" w:hAnsi="Calibri"/>
          <w:iCs/>
          <w:sz w:val="21"/>
          <w:szCs w:val="21"/>
        </w:rPr>
        <w:t xml:space="preserve">. In contrast, an investigation through the </w:t>
      </w:r>
      <w:proofErr w:type="spellStart"/>
      <w:r w:rsidRPr="00FB3C77">
        <w:rPr>
          <w:rFonts w:ascii="Calibri" w:hAnsi="Calibri"/>
          <w:iCs/>
          <w:sz w:val="21"/>
          <w:szCs w:val="21"/>
        </w:rPr>
        <w:t>lense</w:t>
      </w:r>
      <w:proofErr w:type="spellEnd"/>
      <w:r w:rsidRPr="00FB3C77">
        <w:rPr>
          <w:rFonts w:ascii="Calibri" w:hAnsi="Calibri"/>
          <w:iCs/>
          <w:sz w:val="21"/>
          <w:szCs w:val="21"/>
        </w:rPr>
        <w:t xml:space="preserve"> of a systems approach allows for the consideration of a more diverse set of policy instruments, including market-shaping policies, regulations or reporting standards. </w:t>
      </w:r>
      <w:r w:rsidR="00902A62" w:rsidRPr="00FB3C77">
        <w:rPr>
          <w:rFonts w:ascii="Calibri" w:hAnsi="Calibri"/>
          <w:iCs/>
          <w:sz w:val="21"/>
          <w:szCs w:val="21"/>
        </w:rPr>
        <w:t xml:space="preserve">A diverse set of policy solutions or system’s changes </w:t>
      </w:r>
      <w:r w:rsidR="009E7A54">
        <w:rPr>
          <w:rFonts w:ascii="Calibri" w:hAnsi="Calibri"/>
          <w:iCs/>
          <w:sz w:val="21"/>
          <w:szCs w:val="21"/>
        </w:rPr>
        <w:t>is indeed</w:t>
      </w:r>
      <w:r w:rsidRPr="00FB3C77">
        <w:rPr>
          <w:rFonts w:ascii="Calibri" w:hAnsi="Calibri"/>
          <w:iCs/>
          <w:sz w:val="21"/>
          <w:szCs w:val="21"/>
        </w:rPr>
        <w:t xml:space="preserve"> required to scale-up green investments into renewable energy infrastructure at required scale and pace due to the complexity involved (e.g. </w:t>
      </w:r>
      <w:proofErr w:type="spellStart"/>
      <w:r w:rsidRPr="00FB3C77">
        <w:rPr>
          <w:rFonts w:ascii="Calibri" w:hAnsi="Calibri"/>
          <w:iCs/>
          <w:sz w:val="21"/>
          <w:szCs w:val="21"/>
        </w:rPr>
        <w:t>Mazzucato</w:t>
      </w:r>
      <w:proofErr w:type="spellEnd"/>
      <w:r w:rsidRPr="00FB3C77">
        <w:rPr>
          <w:rFonts w:ascii="Calibri" w:hAnsi="Calibri"/>
          <w:iCs/>
          <w:sz w:val="21"/>
          <w:szCs w:val="21"/>
        </w:rPr>
        <w:t xml:space="preserve">, 2016; </w:t>
      </w:r>
      <w:proofErr w:type="spellStart"/>
      <w:r w:rsidRPr="00FB3C77">
        <w:rPr>
          <w:rFonts w:ascii="Calibri" w:hAnsi="Calibri"/>
          <w:iCs/>
          <w:sz w:val="21"/>
          <w:szCs w:val="21"/>
        </w:rPr>
        <w:t>Mazzucato</w:t>
      </w:r>
      <w:proofErr w:type="spellEnd"/>
      <w:r w:rsidRPr="00FB3C77">
        <w:rPr>
          <w:rFonts w:ascii="Calibri" w:hAnsi="Calibri"/>
          <w:iCs/>
          <w:sz w:val="21"/>
          <w:szCs w:val="21"/>
        </w:rPr>
        <w:t xml:space="preserve"> &amp; </w:t>
      </w:r>
      <w:proofErr w:type="spellStart"/>
      <w:r w:rsidRPr="00FB3C77">
        <w:rPr>
          <w:rFonts w:ascii="Calibri" w:hAnsi="Calibri"/>
          <w:iCs/>
          <w:sz w:val="21"/>
          <w:szCs w:val="21"/>
        </w:rPr>
        <w:t>Penna</w:t>
      </w:r>
      <w:proofErr w:type="spellEnd"/>
      <w:r w:rsidRPr="00FB3C77">
        <w:rPr>
          <w:rFonts w:ascii="Calibri" w:hAnsi="Calibri"/>
          <w:iCs/>
          <w:sz w:val="21"/>
          <w:szCs w:val="21"/>
        </w:rPr>
        <w:t xml:space="preserve">, 2016; Bolton &amp; </w:t>
      </w:r>
      <w:proofErr w:type="spellStart"/>
      <w:r w:rsidRPr="00FB3C77">
        <w:rPr>
          <w:rFonts w:ascii="Calibri" w:hAnsi="Calibri"/>
          <w:iCs/>
          <w:sz w:val="21"/>
          <w:szCs w:val="21"/>
        </w:rPr>
        <w:t>Foxon</w:t>
      </w:r>
      <w:proofErr w:type="spellEnd"/>
      <w:r w:rsidRPr="00FB3C77">
        <w:rPr>
          <w:rFonts w:ascii="Calibri" w:hAnsi="Calibri"/>
          <w:iCs/>
          <w:sz w:val="21"/>
          <w:szCs w:val="21"/>
        </w:rPr>
        <w:t>, 2015; Hall et al., 2017)</w:t>
      </w:r>
      <w:r w:rsidRPr="008B2B15">
        <w:rPr>
          <w:rStyle w:val="FootnoteReference"/>
          <w:rFonts w:ascii="Calibri" w:hAnsi="Calibri"/>
          <w:iCs/>
          <w:sz w:val="21"/>
          <w:szCs w:val="21"/>
        </w:rPr>
        <w:footnoteReference w:id="13"/>
      </w:r>
      <w:r w:rsidRPr="00FB3C77">
        <w:rPr>
          <w:rFonts w:ascii="Calibri" w:hAnsi="Calibri"/>
          <w:iCs/>
          <w:sz w:val="21"/>
          <w:szCs w:val="21"/>
        </w:rPr>
        <w:t xml:space="preserve">. </w:t>
      </w:r>
    </w:p>
    <w:p w14:paraId="72C7A4BF" w14:textId="582450AC" w:rsidR="00B03132" w:rsidRPr="00B74202" w:rsidRDefault="0026049C" w:rsidP="00B03132">
      <w:pPr>
        <w:autoSpaceDE w:val="0"/>
        <w:autoSpaceDN w:val="0"/>
        <w:adjustRightInd w:val="0"/>
        <w:spacing w:line="276" w:lineRule="auto"/>
        <w:rPr>
          <w:rFonts w:cstheme="minorHAnsi"/>
          <w:color w:val="FF0000"/>
          <w:sz w:val="21"/>
          <w:szCs w:val="21"/>
        </w:rPr>
      </w:pPr>
      <w:r w:rsidRPr="00317301">
        <w:rPr>
          <w:rFonts w:cstheme="minorHAnsi"/>
          <w:sz w:val="21"/>
          <w:szCs w:val="21"/>
        </w:rPr>
        <w:t>A</w:t>
      </w:r>
      <w:r w:rsidR="00B03132" w:rsidRPr="00317301">
        <w:rPr>
          <w:rFonts w:cstheme="minorHAnsi"/>
          <w:sz w:val="21"/>
          <w:szCs w:val="21"/>
        </w:rPr>
        <w:t xml:space="preserve"> policy process based on a systems approach</w:t>
      </w:r>
      <w:r w:rsidR="00A85361">
        <w:rPr>
          <w:rFonts w:cstheme="minorHAnsi"/>
          <w:sz w:val="21"/>
          <w:szCs w:val="21"/>
        </w:rPr>
        <w:t xml:space="preserve"> is systematic and</w:t>
      </w:r>
      <w:r w:rsidRPr="00317301">
        <w:rPr>
          <w:rFonts w:cstheme="minorHAnsi"/>
          <w:sz w:val="21"/>
          <w:szCs w:val="21"/>
        </w:rPr>
        <w:t xml:space="preserve"> involves the following stages (</w:t>
      </w:r>
      <w:r w:rsidR="00EA70C4">
        <w:rPr>
          <w:rFonts w:cstheme="minorHAnsi"/>
          <w:sz w:val="21"/>
          <w:szCs w:val="21"/>
        </w:rPr>
        <w:t xml:space="preserve">based on </w:t>
      </w:r>
      <w:proofErr w:type="spellStart"/>
      <w:r w:rsidRPr="00317301">
        <w:rPr>
          <w:rFonts w:cstheme="minorHAnsi"/>
          <w:sz w:val="21"/>
          <w:szCs w:val="21"/>
        </w:rPr>
        <w:t>Sterman</w:t>
      </w:r>
      <w:proofErr w:type="spellEnd"/>
      <w:r w:rsidRPr="00317301">
        <w:rPr>
          <w:rFonts w:cstheme="minorHAnsi"/>
          <w:sz w:val="21"/>
          <w:szCs w:val="21"/>
        </w:rPr>
        <w:t xml:space="preserve">, 2000): </w:t>
      </w:r>
      <w:r w:rsidR="00B03132" w:rsidRPr="00317301">
        <w:rPr>
          <w:rFonts w:cstheme="minorHAnsi"/>
          <w:sz w:val="21"/>
          <w:szCs w:val="21"/>
        </w:rPr>
        <w:t xml:space="preserve"> </w:t>
      </w:r>
    </w:p>
    <w:p w14:paraId="7008341C" w14:textId="15508C6B"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cstheme="minorHAnsi"/>
          <w:sz w:val="21"/>
          <w:szCs w:val="21"/>
        </w:rPr>
      </w:pPr>
      <w:r w:rsidRPr="008B2B15">
        <w:rPr>
          <w:rFonts w:cstheme="minorHAnsi"/>
          <w:b/>
          <w:sz w:val="21"/>
          <w:szCs w:val="21"/>
        </w:rPr>
        <w:t xml:space="preserve">Determination of </w:t>
      </w:r>
      <w:r w:rsidR="00A827B1">
        <w:rPr>
          <w:rFonts w:cstheme="minorHAnsi"/>
          <w:b/>
          <w:sz w:val="21"/>
          <w:szCs w:val="21"/>
        </w:rPr>
        <w:t>key</w:t>
      </w:r>
      <w:r w:rsidRPr="008B2B15">
        <w:rPr>
          <w:rFonts w:cstheme="minorHAnsi"/>
          <w:b/>
          <w:sz w:val="21"/>
          <w:szCs w:val="21"/>
        </w:rPr>
        <w:t xml:space="preserve"> policy objective(s):</w:t>
      </w:r>
      <w:r w:rsidRPr="008B2B15">
        <w:rPr>
          <w:rFonts w:cstheme="minorHAnsi"/>
          <w:sz w:val="21"/>
          <w:szCs w:val="21"/>
        </w:rPr>
        <w:t xml:space="preserve"> the main policy objectives are determined (e.g. decarbonisation of the UK energy system). </w:t>
      </w:r>
    </w:p>
    <w:p w14:paraId="05C418C7" w14:textId="77777777"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cstheme="minorHAnsi"/>
          <w:sz w:val="21"/>
          <w:szCs w:val="21"/>
        </w:rPr>
      </w:pPr>
      <w:r w:rsidRPr="008B2B15">
        <w:rPr>
          <w:rFonts w:cstheme="minorHAnsi"/>
          <w:b/>
          <w:sz w:val="21"/>
          <w:szCs w:val="21"/>
        </w:rPr>
        <w:t>Articulation of the policy problem and identification of its underlying system:</w:t>
      </w:r>
      <w:r w:rsidRPr="008B2B15">
        <w:rPr>
          <w:rFonts w:cstheme="minorHAnsi"/>
          <w:sz w:val="21"/>
          <w:szCs w:val="21"/>
        </w:rPr>
        <w:t xml:space="preserve"> the policy problem and its “relevant” underlying system </w:t>
      </w:r>
      <w:proofErr w:type="gramStart"/>
      <w:r w:rsidRPr="008B2B15">
        <w:rPr>
          <w:rFonts w:cstheme="minorHAnsi"/>
          <w:sz w:val="21"/>
          <w:szCs w:val="21"/>
        </w:rPr>
        <w:t>is identified</w:t>
      </w:r>
      <w:proofErr w:type="gramEnd"/>
      <w:r w:rsidRPr="008B2B15">
        <w:rPr>
          <w:rFonts w:cstheme="minorHAnsi"/>
          <w:sz w:val="21"/>
          <w:szCs w:val="21"/>
        </w:rPr>
        <w:t xml:space="preserve">. The “relevant” system includes the main mechanisms causing the policy challenge. In our case, the policy problem is the lack of green investments into large-scale renewable energy infrastructure. The relevant system includes, to some extent, the financial system, the economy, the institutional settings and governance, and the electricity market. </w:t>
      </w:r>
    </w:p>
    <w:p w14:paraId="4EF72E7C" w14:textId="77777777"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cstheme="minorHAnsi"/>
          <w:sz w:val="21"/>
          <w:szCs w:val="21"/>
        </w:rPr>
      </w:pPr>
      <w:r w:rsidRPr="008B2B15">
        <w:rPr>
          <w:rFonts w:cstheme="minorHAnsi"/>
          <w:b/>
          <w:sz w:val="21"/>
          <w:szCs w:val="21"/>
        </w:rPr>
        <w:t>Information collection</w:t>
      </w:r>
      <w:r w:rsidRPr="008B2B15">
        <w:rPr>
          <w:rFonts w:cstheme="minorHAnsi"/>
          <w:sz w:val="21"/>
          <w:szCs w:val="21"/>
        </w:rPr>
        <w:t xml:space="preserve">: once the underlying system(s) is/are identified, information on these systems is collected. Information here refers to both quantitative and qualitative data from </w:t>
      </w:r>
      <w:r w:rsidRPr="008B2B15">
        <w:rPr>
          <w:rFonts w:cstheme="minorHAnsi"/>
          <w:sz w:val="21"/>
          <w:szCs w:val="21"/>
        </w:rPr>
        <w:lastRenderedPageBreak/>
        <w:t xml:space="preserve">various information sources, including, but not limited to, databases, research studies or </w:t>
      </w:r>
      <w:r w:rsidRPr="008B2B15">
        <w:rPr>
          <w:rFonts w:ascii="Calibri" w:hAnsi="Calibri" w:cs="Calibri"/>
          <w:sz w:val="21"/>
          <w:szCs w:val="21"/>
        </w:rPr>
        <w:t>information received from experts or multi-stakeholder workshops (e .g. Howarth &amp; Monasterolo, 2017).</w:t>
      </w:r>
      <w:r w:rsidRPr="008B2B15">
        <w:rPr>
          <w:rFonts w:ascii="Arial" w:hAnsi="Arial" w:cs="Arial"/>
          <w:sz w:val="20"/>
          <w:szCs w:val="20"/>
        </w:rPr>
        <w:t xml:space="preserve"> </w:t>
      </w:r>
      <w:r w:rsidRPr="008B2B15">
        <w:rPr>
          <w:rFonts w:cstheme="minorHAnsi"/>
          <w:sz w:val="21"/>
          <w:szCs w:val="21"/>
        </w:rPr>
        <w:t xml:space="preserve">It might occur that once information is collected, the specification of the problem or the “relevant” systems needs to be refined, which would lead us back to step </w:t>
      </w:r>
      <w:proofErr w:type="gramStart"/>
      <w:r w:rsidRPr="008B2B15">
        <w:rPr>
          <w:rFonts w:cstheme="minorHAnsi"/>
          <w:sz w:val="21"/>
          <w:szCs w:val="21"/>
        </w:rPr>
        <w:t>2</w:t>
      </w:r>
      <w:proofErr w:type="gramEnd"/>
      <w:r w:rsidRPr="008B2B15">
        <w:rPr>
          <w:rFonts w:cstheme="minorHAnsi"/>
          <w:sz w:val="21"/>
          <w:szCs w:val="21"/>
        </w:rPr>
        <w:t xml:space="preserve">. </w:t>
      </w:r>
    </w:p>
    <w:p w14:paraId="7BBF1A9E" w14:textId="77777777"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cstheme="minorHAnsi"/>
          <w:sz w:val="21"/>
          <w:szCs w:val="21"/>
        </w:rPr>
      </w:pPr>
      <w:r w:rsidRPr="008B2B15">
        <w:rPr>
          <w:rFonts w:cstheme="minorHAnsi"/>
          <w:b/>
          <w:sz w:val="21"/>
          <w:szCs w:val="21"/>
        </w:rPr>
        <w:t>Elaboration of a system framework or model</w:t>
      </w:r>
      <w:r w:rsidRPr="008B2B15">
        <w:rPr>
          <w:rFonts w:cstheme="minorHAnsi"/>
          <w:sz w:val="21"/>
          <w:szCs w:val="21"/>
        </w:rPr>
        <w:t xml:space="preserve">: </w:t>
      </w:r>
      <w:proofErr w:type="gramStart"/>
      <w:r w:rsidRPr="008B2B15">
        <w:rPr>
          <w:rFonts w:cstheme="minorHAnsi"/>
          <w:sz w:val="21"/>
          <w:szCs w:val="21"/>
        </w:rPr>
        <w:t>as a fourth</w:t>
      </w:r>
      <w:proofErr w:type="gramEnd"/>
      <w:r w:rsidRPr="008B2B15">
        <w:rPr>
          <w:rFonts w:cstheme="minorHAnsi"/>
          <w:sz w:val="21"/>
          <w:szCs w:val="21"/>
        </w:rPr>
        <w:t xml:space="preserve"> step, a conceptual or quantitative model or system framework is elaborated. One possibility to develop a model is via participatory modelling, involving </w:t>
      </w:r>
      <w:r w:rsidRPr="008B2B15">
        <w:rPr>
          <w:rFonts w:ascii="Calibri" w:hAnsi="Calibri" w:cs="Calibri"/>
          <w:sz w:val="21"/>
          <w:szCs w:val="21"/>
        </w:rPr>
        <w:t xml:space="preserve">the main stakeholders and relevant experts for the policy problem (e.g. </w:t>
      </w:r>
      <w:proofErr w:type="spellStart"/>
      <w:r w:rsidRPr="008B2B15">
        <w:rPr>
          <w:rFonts w:ascii="Calibri" w:hAnsi="Calibri" w:cs="Calibri"/>
          <w:color w:val="222222"/>
          <w:sz w:val="21"/>
          <w:szCs w:val="21"/>
        </w:rPr>
        <w:t>Antunes</w:t>
      </w:r>
      <w:proofErr w:type="spellEnd"/>
      <w:r w:rsidRPr="008B2B15">
        <w:rPr>
          <w:rFonts w:ascii="Calibri" w:hAnsi="Calibri" w:cs="Calibri"/>
          <w:color w:val="222222"/>
          <w:sz w:val="21"/>
          <w:szCs w:val="21"/>
        </w:rPr>
        <w:t xml:space="preserve"> et al., 2006; </w:t>
      </w:r>
      <w:proofErr w:type="spellStart"/>
      <w:r w:rsidRPr="008B2B15">
        <w:rPr>
          <w:rFonts w:ascii="Calibri" w:hAnsi="Calibri" w:cs="Calibri"/>
          <w:color w:val="222222"/>
          <w:sz w:val="21"/>
          <w:szCs w:val="21"/>
        </w:rPr>
        <w:t>Videira</w:t>
      </w:r>
      <w:proofErr w:type="spellEnd"/>
      <w:r w:rsidRPr="008B2B15">
        <w:rPr>
          <w:rFonts w:ascii="Calibri" w:hAnsi="Calibri" w:cs="Calibri"/>
          <w:color w:val="222222"/>
          <w:sz w:val="21"/>
          <w:szCs w:val="21"/>
        </w:rPr>
        <w:t xml:space="preserve"> et al., 2010</w:t>
      </w:r>
      <w:r w:rsidRPr="008B2B15">
        <w:rPr>
          <w:rFonts w:ascii="Calibri" w:hAnsi="Calibri" w:cs="Calibri"/>
          <w:sz w:val="21"/>
          <w:szCs w:val="21"/>
        </w:rPr>
        <w:t>).</w:t>
      </w:r>
      <w:r w:rsidRPr="008B2B15">
        <w:rPr>
          <w:rFonts w:cstheme="minorHAnsi"/>
          <w:sz w:val="21"/>
          <w:szCs w:val="21"/>
        </w:rPr>
        <w:t xml:space="preserve"> </w:t>
      </w:r>
    </w:p>
    <w:p w14:paraId="6D6D1BDA" w14:textId="4E27A29D"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cstheme="minorHAnsi"/>
          <w:sz w:val="21"/>
          <w:szCs w:val="21"/>
        </w:rPr>
      </w:pPr>
      <w:r w:rsidRPr="008B2B15">
        <w:rPr>
          <w:rFonts w:cstheme="minorHAnsi"/>
          <w:b/>
          <w:sz w:val="21"/>
          <w:szCs w:val="21"/>
        </w:rPr>
        <w:t>Policy analysis, evaluation and formulation</w:t>
      </w:r>
      <w:r w:rsidRPr="008B2B15">
        <w:rPr>
          <w:rFonts w:cstheme="minorHAnsi"/>
          <w:sz w:val="21"/>
          <w:szCs w:val="21"/>
        </w:rPr>
        <w:t xml:space="preserve">: based on that model and the understanding of the main determining feedback loops and mechanisms for the policy problem under consideration, effective policy solutions intervening at “leverage-points” </w:t>
      </w:r>
      <w:proofErr w:type="gramStart"/>
      <w:r w:rsidRPr="008B2B15">
        <w:rPr>
          <w:rFonts w:cstheme="minorHAnsi"/>
          <w:sz w:val="21"/>
          <w:szCs w:val="21"/>
        </w:rPr>
        <w:t>are elaborated</w:t>
      </w:r>
      <w:proofErr w:type="gramEnd"/>
      <w:r w:rsidRPr="008B2B15">
        <w:rPr>
          <w:rFonts w:cstheme="minorHAnsi"/>
          <w:sz w:val="21"/>
          <w:szCs w:val="21"/>
        </w:rPr>
        <w:t xml:space="preserve">. Leverage-points are useful to trigger important feedback loops of the system under consideration and thus determining policies that tackle directly or indirectly several of the identified barriers. To illustrate this in our case, a change in the incentive mechanisms and investment practices in the financial system could lower the required investment benchmark returns and thus at the same time relatively increase the returns on infrastructure investments compared to benchmark returns. Step 5 includes further the assessment of </w:t>
      </w:r>
      <w:r w:rsidRPr="008B2B15">
        <w:rPr>
          <w:rFonts w:ascii="Calibri" w:hAnsi="Calibri" w:cs="Calibri"/>
          <w:sz w:val="21"/>
          <w:szCs w:val="21"/>
        </w:rPr>
        <w:t xml:space="preserve">potential synergies with other (cross-sectorial) policy objectives across departments. For example, </w:t>
      </w:r>
      <w:proofErr w:type="spellStart"/>
      <w:r w:rsidRPr="008B2B15">
        <w:rPr>
          <w:rFonts w:ascii="Calibri" w:hAnsi="Calibri" w:cs="Calibri"/>
          <w:sz w:val="21"/>
          <w:szCs w:val="21"/>
        </w:rPr>
        <w:t>Granoff</w:t>
      </w:r>
      <w:proofErr w:type="spellEnd"/>
      <w:r w:rsidRPr="008B2B15">
        <w:rPr>
          <w:rFonts w:ascii="Calibri" w:hAnsi="Calibri" w:cs="Calibri"/>
          <w:sz w:val="21"/>
          <w:szCs w:val="21"/>
        </w:rPr>
        <w:t xml:space="preserve"> et al. (2016) showed that various green investment barriers</w:t>
      </w:r>
      <w:r w:rsidRPr="008B2B15">
        <w:rPr>
          <w:rFonts w:cstheme="minorHAnsi"/>
          <w:sz w:val="21"/>
          <w:szCs w:val="21"/>
        </w:rPr>
        <w:t xml:space="preserve"> lead both to lower investment in green energy infrastructure investments as well as to lower infrastructure investments in general. Our interview results confirmed this finding (see also </w:t>
      </w:r>
      <w:r w:rsidRPr="008B2B15">
        <w:rPr>
          <w:rFonts w:ascii="Calibri" w:hAnsi="Calibri" w:cs="Calibri"/>
          <w:sz w:val="21"/>
          <w:szCs w:val="21"/>
        </w:rPr>
        <w:t>Bergsten et al., 2019).</w:t>
      </w:r>
      <w:r w:rsidRPr="008B2B15">
        <w:rPr>
          <w:rFonts w:cstheme="minorHAnsi"/>
          <w:sz w:val="21"/>
          <w:szCs w:val="21"/>
        </w:rPr>
        <w:t xml:space="preserve"> Importantly, unintended consequences </w:t>
      </w:r>
      <w:proofErr w:type="gramStart"/>
      <w:r w:rsidRPr="008B2B15">
        <w:rPr>
          <w:rFonts w:cstheme="minorHAnsi"/>
          <w:sz w:val="21"/>
          <w:szCs w:val="21"/>
        </w:rPr>
        <w:t>should be assessed</w:t>
      </w:r>
      <w:proofErr w:type="gramEnd"/>
      <w:r w:rsidRPr="008B2B15">
        <w:rPr>
          <w:rFonts w:cstheme="minorHAnsi"/>
          <w:sz w:val="21"/>
          <w:szCs w:val="21"/>
        </w:rPr>
        <w:t xml:space="preserve"> too. </w:t>
      </w:r>
      <w:r w:rsidRPr="008B2B15">
        <w:rPr>
          <w:rFonts w:ascii="Calibri" w:hAnsi="Calibri" w:cs="Calibri"/>
          <w:sz w:val="21"/>
          <w:szCs w:val="21"/>
        </w:rPr>
        <w:t xml:space="preserve">For example, green finance policies can have impacts on inequality. In particular, the UK energy policy </w:t>
      </w:r>
      <w:proofErr w:type="gramStart"/>
      <w:r w:rsidRPr="008B2B15">
        <w:rPr>
          <w:rFonts w:ascii="Calibri" w:hAnsi="Calibri" w:cs="Calibri"/>
          <w:sz w:val="21"/>
          <w:szCs w:val="21"/>
        </w:rPr>
        <w:t>has been designed</w:t>
      </w:r>
      <w:proofErr w:type="gramEnd"/>
      <w:r w:rsidRPr="008B2B15">
        <w:rPr>
          <w:rFonts w:ascii="Calibri" w:hAnsi="Calibri" w:cs="Calibri"/>
          <w:sz w:val="21"/>
          <w:szCs w:val="21"/>
        </w:rPr>
        <w:t xml:space="preserve"> as such to meet the demands of market-based finance (Bolton &amp; </w:t>
      </w:r>
      <w:proofErr w:type="spellStart"/>
      <w:r w:rsidRPr="008B2B15">
        <w:rPr>
          <w:rFonts w:ascii="Calibri" w:hAnsi="Calibri" w:cs="Calibri"/>
          <w:sz w:val="21"/>
          <w:szCs w:val="21"/>
        </w:rPr>
        <w:t>Foxon</w:t>
      </w:r>
      <w:proofErr w:type="spellEnd"/>
      <w:r w:rsidRPr="008B2B15">
        <w:rPr>
          <w:rFonts w:ascii="Calibri" w:hAnsi="Calibri" w:cs="Calibri"/>
          <w:sz w:val="21"/>
          <w:szCs w:val="21"/>
        </w:rPr>
        <w:t xml:space="preserve">, 2015). Hall et al. (2018) demonstrate the multi-billion mobilisation of energy finance can have significant justice impacts, with most of them not yet taken into account by the current literature on green finance. The same applies to impacts of low-carbon policy on inequalities (see </w:t>
      </w:r>
      <w:proofErr w:type="spellStart"/>
      <w:r w:rsidRPr="008B2B15">
        <w:rPr>
          <w:rFonts w:ascii="Calibri" w:hAnsi="Calibri" w:cs="Calibri"/>
          <w:sz w:val="21"/>
          <w:szCs w:val="21"/>
        </w:rPr>
        <w:t>Markkanen</w:t>
      </w:r>
      <w:proofErr w:type="spellEnd"/>
      <w:r w:rsidRPr="008B2B15">
        <w:rPr>
          <w:rFonts w:ascii="Calibri" w:hAnsi="Calibri" w:cs="Calibri"/>
          <w:sz w:val="21"/>
          <w:szCs w:val="21"/>
        </w:rPr>
        <w:t xml:space="preserve"> &amp; Anger-</w:t>
      </w:r>
      <w:proofErr w:type="spellStart"/>
      <w:r w:rsidRPr="008B2B15">
        <w:rPr>
          <w:rFonts w:ascii="Calibri" w:hAnsi="Calibri" w:cs="Calibri"/>
          <w:sz w:val="21"/>
          <w:szCs w:val="21"/>
        </w:rPr>
        <w:t>Kraavi</w:t>
      </w:r>
      <w:proofErr w:type="spellEnd"/>
      <w:r w:rsidRPr="008B2B15">
        <w:rPr>
          <w:rFonts w:ascii="Calibri" w:hAnsi="Calibri" w:cs="Calibri"/>
          <w:sz w:val="21"/>
          <w:szCs w:val="21"/>
        </w:rPr>
        <w:t xml:space="preserve"> (2019) for an overview). </w:t>
      </w:r>
      <w:r w:rsidRPr="008B2B15">
        <w:rPr>
          <w:rFonts w:cstheme="minorHAnsi"/>
          <w:sz w:val="21"/>
          <w:szCs w:val="21"/>
        </w:rPr>
        <w:t xml:space="preserve">If tested policies have unintended adverse impacts, it is suggested to go back to step (2) in order to better understand the policy challenge from a holistic perspective or to step (5) in order to elaborate new policies and to test it again by the elaborated model. </w:t>
      </w:r>
    </w:p>
    <w:p w14:paraId="0DD26F29" w14:textId="77777777"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ascii="Calibri" w:hAnsi="Calibri" w:cs="Calibri"/>
          <w:sz w:val="21"/>
          <w:szCs w:val="21"/>
        </w:rPr>
      </w:pPr>
      <w:r w:rsidRPr="008B2B15">
        <w:rPr>
          <w:rFonts w:ascii="Calibri" w:hAnsi="Calibri" w:cs="Calibri"/>
          <w:b/>
          <w:sz w:val="21"/>
          <w:szCs w:val="21"/>
        </w:rPr>
        <w:t>Policy implementation</w:t>
      </w:r>
      <w:r w:rsidRPr="008B2B15">
        <w:rPr>
          <w:rFonts w:ascii="Calibri" w:hAnsi="Calibri" w:cs="Calibri"/>
          <w:sz w:val="21"/>
          <w:szCs w:val="21"/>
        </w:rPr>
        <w:t xml:space="preserve">: this concerns the policy implementation itself. </w:t>
      </w:r>
    </w:p>
    <w:p w14:paraId="5CFF4033" w14:textId="61962E49" w:rsidR="00B03132" w:rsidRPr="008B2B15" w:rsidRDefault="00B03132" w:rsidP="00B03132">
      <w:pPr>
        <w:pStyle w:val="ListParagraph"/>
        <w:numPr>
          <w:ilvl w:val="0"/>
          <w:numId w:val="6"/>
        </w:numPr>
        <w:autoSpaceDE w:val="0"/>
        <w:autoSpaceDN w:val="0"/>
        <w:adjustRightInd w:val="0"/>
        <w:spacing w:line="276" w:lineRule="auto"/>
        <w:ind w:left="714" w:hanging="357"/>
        <w:contextualSpacing w:val="0"/>
        <w:rPr>
          <w:rFonts w:cstheme="minorHAnsi"/>
          <w:sz w:val="21"/>
          <w:szCs w:val="21"/>
        </w:rPr>
      </w:pPr>
      <w:r w:rsidRPr="008B2B15">
        <w:rPr>
          <w:rFonts w:ascii="Calibri" w:hAnsi="Calibri" w:cs="Calibri"/>
          <w:b/>
          <w:sz w:val="21"/>
          <w:szCs w:val="21"/>
        </w:rPr>
        <w:t>Policy review</w:t>
      </w:r>
      <w:r w:rsidRPr="008B2B15">
        <w:rPr>
          <w:rFonts w:ascii="Calibri" w:hAnsi="Calibri" w:cs="Calibri"/>
          <w:sz w:val="21"/>
          <w:szCs w:val="21"/>
        </w:rPr>
        <w:t xml:space="preserve">: this step concerns the evaluation of the direct and indirect policy impacts and capturing the lessons learns. Depending on the policy review, the process is either finished or goes back to step 3) as the evaluation revealed that the policy caused unintended negative indirect policy impacts or was not impactful at all. The lessons learnt </w:t>
      </w:r>
      <w:proofErr w:type="gramStart"/>
      <w:r w:rsidRPr="008B2B15">
        <w:rPr>
          <w:rFonts w:ascii="Calibri" w:hAnsi="Calibri" w:cs="Calibri"/>
          <w:sz w:val="21"/>
          <w:szCs w:val="21"/>
        </w:rPr>
        <w:t>should also be exploited</w:t>
      </w:r>
      <w:proofErr w:type="gramEnd"/>
      <w:r w:rsidRPr="008B2B15">
        <w:rPr>
          <w:rFonts w:ascii="Calibri" w:hAnsi="Calibri" w:cs="Calibri"/>
          <w:sz w:val="21"/>
          <w:szCs w:val="21"/>
        </w:rPr>
        <w:t xml:space="preserve"> for future policy challenges. </w:t>
      </w:r>
    </w:p>
    <w:p w14:paraId="74A6BFFE" w14:textId="59E24732" w:rsidR="0026049C" w:rsidRDefault="0026049C" w:rsidP="0026049C">
      <w:pPr>
        <w:autoSpaceDE w:val="0"/>
        <w:autoSpaceDN w:val="0"/>
        <w:adjustRightInd w:val="0"/>
        <w:spacing w:line="276" w:lineRule="auto"/>
        <w:rPr>
          <w:rFonts w:ascii="Calibri" w:hAnsi="Calibri"/>
          <w:iCs/>
          <w:sz w:val="21"/>
          <w:szCs w:val="21"/>
        </w:rPr>
      </w:pPr>
      <w:r w:rsidRPr="0026049C">
        <w:rPr>
          <w:rFonts w:ascii="Calibri" w:hAnsi="Calibri"/>
          <w:iCs/>
          <w:sz w:val="21"/>
          <w:szCs w:val="21"/>
        </w:rPr>
        <w:t xml:space="preserve">Figure 3 visualizes the systematic policy process based on a complexity approach. </w:t>
      </w:r>
    </w:p>
    <w:p w14:paraId="04EAFBD2" w14:textId="77777777" w:rsidR="00C3788D" w:rsidRDefault="00C3788D" w:rsidP="0026049C">
      <w:pPr>
        <w:pStyle w:val="Caption"/>
        <w:keepNext/>
        <w:rPr>
          <w:color w:val="auto"/>
        </w:rPr>
      </w:pPr>
      <w:r>
        <w:rPr>
          <w:rFonts w:ascii="Calibri" w:hAnsi="Calibri" w:cs="Calibri"/>
          <w:i w:val="0"/>
          <w:noProof/>
          <w:color w:val="000000" w:themeColor="text1"/>
          <w:lang w:eastAsia="en-GB"/>
        </w:rPr>
        <w:lastRenderedPageBreak/>
        <w:drawing>
          <wp:inline distT="0" distB="0" distL="0" distR="0" wp14:anchorId="45A9AEA6" wp14:editId="199DDEFD">
            <wp:extent cx="3708400" cy="365388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9049" cy="3664372"/>
                    </a:xfrm>
                    <a:prstGeom prst="rect">
                      <a:avLst/>
                    </a:prstGeom>
                    <a:noFill/>
                  </pic:spPr>
                </pic:pic>
              </a:graphicData>
            </a:graphic>
          </wp:inline>
        </w:drawing>
      </w:r>
    </w:p>
    <w:p w14:paraId="4FA78BE7" w14:textId="4047288A" w:rsidR="0026049C" w:rsidRPr="008B2B15" w:rsidRDefault="0026049C" w:rsidP="0026049C">
      <w:pPr>
        <w:pStyle w:val="Caption"/>
        <w:keepNext/>
        <w:rPr>
          <w:color w:val="auto"/>
        </w:rPr>
      </w:pPr>
      <w:r w:rsidRPr="008B2B15">
        <w:rPr>
          <w:color w:val="auto"/>
        </w:rPr>
        <w:t>Figure 3: Systematic policy process based on a systems approach</w:t>
      </w:r>
    </w:p>
    <w:p w14:paraId="58D22028" w14:textId="46203240" w:rsidR="0026049C" w:rsidRPr="0026049C" w:rsidRDefault="0026049C" w:rsidP="0026049C">
      <w:pPr>
        <w:autoSpaceDE w:val="0"/>
        <w:autoSpaceDN w:val="0"/>
        <w:adjustRightInd w:val="0"/>
        <w:spacing w:line="276" w:lineRule="auto"/>
        <w:rPr>
          <w:rFonts w:ascii="Calibri" w:hAnsi="Calibri"/>
          <w:i/>
          <w:iCs/>
          <w:sz w:val="18"/>
          <w:szCs w:val="18"/>
        </w:rPr>
      </w:pPr>
      <w:r w:rsidRPr="008B2B15">
        <w:rPr>
          <w:rFonts w:ascii="Calibri" w:hAnsi="Calibri" w:cs="Calibri"/>
          <w:i/>
          <w:sz w:val="18"/>
          <w:szCs w:val="18"/>
        </w:rPr>
        <w:t xml:space="preserve">Source: own elaboration based on </w:t>
      </w:r>
      <w:proofErr w:type="spellStart"/>
      <w:r w:rsidRPr="008B2B15">
        <w:rPr>
          <w:rFonts w:ascii="Calibri" w:hAnsi="Calibri" w:cs="Calibri"/>
          <w:i/>
          <w:sz w:val="18"/>
          <w:szCs w:val="18"/>
        </w:rPr>
        <w:t>Sterman</w:t>
      </w:r>
      <w:proofErr w:type="spellEnd"/>
      <w:r w:rsidRPr="008B2B15">
        <w:rPr>
          <w:rFonts w:ascii="Calibri" w:hAnsi="Calibri" w:cs="Calibri"/>
          <w:i/>
          <w:sz w:val="18"/>
          <w:szCs w:val="18"/>
        </w:rPr>
        <w:t xml:space="preserve"> (2000)</w:t>
      </w:r>
    </w:p>
    <w:p w14:paraId="6F457152" w14:textId="625F424A" w:rsidR="00C31D4B" w:rsidRDefault="00B03132" w:rsidP="00B03132">
      <w:pPr>
        <w:autoSpaceDE w:val="0"/>
        <w:autoSpaceDN w:val="0"/>
        <w:adjustRightInd w:val="0"/>
        <w:spacing w:after="0" w:line="276" w:lineRule="auto"/>
        <w:rPr>
          <w:rFonts w:ascii="Calibri" w:hAnsi="Calibri" w:cs="Calibri"/>
          <w:sz w:val="21"/>
          <w:szCs w:val="21"/>
        </w:rPr>
      </w:pPr>
      <w:r w:rsidRPr="008B2B15">
        <w:rPr>
          <w:rFonts w:ascii="Calibri" w:hAnsi="Calibri"/>
          <w:iCs/>
          <w:sz w:val="21"/>
          <w:szCs w:val="21"/>
        </w:rPr>
        <w:t xml:space="preserve">In a nutshell, a coherent and integrated mix of policy instruments based on a holistic systems perspective, which considers various policy objectives, helps to close not only the green finance gap, but likely also to steer the wider economy towards a “sustainable economy”. </w:t>
      </w:r>
      <w:r w:rsidR="00841A98" w:rsidRPr="008B2B15">
        <w:rPr>
          <w:rFonts w:ascii="Calibri" w:hAnsi="Calibri"/>
          <w:iCs/>
          <w:sz w:val="21"/>
          <w:szCs w:val="21"/>
        </w:rPr>
        <w:t xml:space="preserve">A systems approach can support the clarification of policy trade-offs and mitigating adverse policy side-impacts, which would endanger a rapid and smooth low-carbon transition. </w:t>
      </w:r>
      <w:r w:rsidRPr="008B2B15">
        <w:rPr>
          <w:rFonts w:ascii="Calibri" w:hAnsi="Calibri"/>
          <w:iCs/>
          <w:sz w:val="21"/>
          <w:szCs w:val="21"/>
        </w:rPr>
        <w:t xml:space="preserve">However, there is the danger that long-term planning can </w:t>
      </w:r>
      <w:r w:rsidR="00397A19">
        <w:rPr>
          <w:rFonts w:ascii="Calibri" w:hAnsi="Calibri"/>
          <w:iCs/>
          <w:sz w:val="21"/>
          <w:szCs w:val="21"/>
        </w:rPr>
        <w:t>necessitate</w:t>
      </w:r>
      <w:r w:rsidRPr="008B2B15">
        <w:rPr>
          <w:rFonts w:ascii="Calibri" w:hAnsi="Calibri"/>
          <w:iCs/>
          <w:sz w:val="21"/>
          <w:szCs w:val="21"/>
        </w:rPr>
        <w:t xml:space="preserve"> large and costly efforts in the short-term and/or postpone fast and partial policy-action in specific areas (EC, 2019). </w:t>
      </w:r>
      <w:r w:rsidRPr="008624A8">
        <w:rPr>
          <w:rFonts w:ascii="Calibri" w:hAnsi="Calibri" w:cs="Calibri"/>
          <w:sz w:val="21"/>
          <w:szCs w:val="21"/>
        </w:rPr>
        <w:t xml:space="preserve">To mitigate this risk, we propose </w:t>
      </w:r>
      <w:r w:rsidR="00397A19" w:rsidRPr="008624A8">
        <w:rPr>
          <w:rFonts w:ascii="Calibri" w:hAnsi="Calibri" w:cs="Calibri"/>
          <w:sz w:val="21"/>
          <w:szCs w:val="21"/>
        </w:rPr>
        <w:t xml:space="preserve">in the next section </w:t>
      </w:r>
      <w:r w:rsidRPr="008624A8">
        <w:rPr>
          <w:rFonts w:ascii="Calibri" w:hAnsi="Calibri" w:cs="Calibri"/>
          <w:sz w:val="21"/>
          <w:szCs w:val="21"/>
        </w:rPr>
        <w:t>a policy response in the short-term to tackle the problem at lea</w:t>
      </w:r>
      <w:r w:rsidRPr="00F5257B">
        <w:rPr>
          <w:rFonts w:ascii="Calibri" w:hAnsi="Calibri" w:cs="Calibri"/>
          <w:sz w:val="21"/>
          <w:szCs w:val="21"/>
        </w:rPr>
        <w:t>st partially. Another general challenge of a systems approach is to balance a variety of trade-offs between policy objectives and diverting interests of various stakeholders (</w:t>
      </w:r>
      <w:proofErr w:type="gramStart"/>
      <w:r w:rsidRPr="00F5257B">
        <w:rPr>
          <w:rFonts w:ascii="Calibri" w:hAnsi="Calibri" w:cs="Calibri"/>
          <w:i/>
          <w:sz w:val="21"/>
          <w:szCs w:val="21"/>
        </w:rPr>
        <w:t>ibid.;</w:t>
      </w:r>
      <w:proofErr w:type="gramEnd"/>
      <w:r w:rsidRPr="00F5257B">
        <w:rPr>
          <w:rFonts w:ascii="Calibri" w:hAnsi="Calibri" w:cs="Calibri"/>
          <w:i/>
          <w:sz w:val="21"/>
          <w:szCs w:val="21"/>
        </w:rPr>
        <w:t xml:space="preserve"> </w:t>
      </w:r>
      <w:r w:rsidRPr="00F5257B">
        <w:rPr>
          <w:rFonts w:ascii="Calibri" w:hAnsi="Calibri" w:cs="Calibri"/>
          <w:sz w:val="21"/>
          <w:szCs w:val="21"/>
        </w:rPr>
        <w:t>Scherer et al., 2018)</w:t>
      </w:r>
      <w:r w:rsidR="00397A19" w:rsidRPr="00F5257B">
        <w:rPr>
          <w:rFonts w:ascii="Calibri" w:hAnsi="Calibri" w:cs="Calibri"/>
          <w:sz w:val="21"/>
          <w:szCs w:val="21"/>
        </w:rPr>
        <w:t>.</w:t>
      </w:r>
      <w:r w:rsidRPr="00F5257B">
        <w:rPr>
          <w:rFonts w:ascii="Calibri" w:hAnsi="Calibri" w:cs="Calibri"/>
          <w:sz w:val="21"/>
          <w:szCs w:val="21"/>
        </w:rPr>
        <w:t xml:space="preserve"> </w:t>
      </w:r>
      <w:r w:rsidR="00397A19" w:rsidRPr="00F5257B">
        <w:rPr>
          <w:rFonts w:ascii="Calibri" w:hAnsi="Calibri" w:cs="Calibri"/>
          <w:sz w:val="21"/>
          <w:szCs w:val="21"/>
        </w:rPr>
        <w:t>M</w:t>
      </w:r>
      <w:r w:rsidRPr="00F5257B">
        <w:rPr>
          <w:rFonts w:ascii="Calibri" w:hAnsi="Calibri" w:cs="Calibri"/>
          <w:sz w:val="21"/>
          <w:szCs w:val="21"/>
        </w:rPr>
        <w:t xml:space="preserve">ulti-stakeholder discussion </w:t>
      </w:r>
      <w:proofErr w:type="gramStart"/>
      <w:r w:rsidRPr="00F5257B">
        <w:rPr>
          <w:rFonts w:ascii="Calibri" w:hAnsi="Calibri" w:cs="Calibri"/>
          <w:sz w:val="21"/>
          <w:szCs w:val="21"/>
        </w:rPr>
        <w:t>could be promoted</w:t>
      </w:r>
      <w:proofErr w:type="gramEnd"/>
      <w:r w:rsidRPr="00F5257B">
        <w:rPr>
          <w:rFonts w:ascii="Calibri" w:hAnsi="Calibri" w:cs="Calibri"/>
          <w:sz w:val="21"/>
          <w:szCs w:val="21"/>
        </w:rPr>
        <w:t xml:space="preserve"> to address this challenge (see e.g. Howarth &amp; Monasterolo 2016).</w:t>
      </w:r>
      <w:r w:rsidRPr="008B2B15">
        <w:rPr>
          <w:rFonts w:ascii="Calibri" w:hAnsi="Calibri" w:cs="Calibri"/>
          <w:sz w:val="21"/>
          <w:szCs w:val="21"/>
        </w:rPr>
        <w:t xml:space="preserve"> </w:t>
      </w:r>
    </w:p>
    <w:p w14:paraId="2E2BCD2C" w14:textId="77777777" w:rsidR="00C31D4B" w:rsidRDefault="00C31D4B" w:rsidP="00B03132">
      <w:pPr>
        <w:autoSpaceDE w:val="0"/>
        <w:autoSpaceDN w:val="0"/>
        <w:adjustRightInd w:val="0"/>
        <w:spacing w:after="0" w:line="276" w:lineRule="auto"/>
        <w:rPr>
          <w:rFonts w:ascii="Calibri" w:hAnsi="Calibri" w:cs="Calibri"/>
          <w:sz w:val="21"/>
          <w:szCs w:val="21"/>
        </w:rPr>
      </w:pPr>
    </w:p>
    <w:p w14:paraId="474EC93B" w14:textId="56E8705F" w:rsidR="00B03132" w:rsidRPr="008B2B15" w:rsidRDefault="00B03132" w:rsidP="00B03132">
      <w:pPr>
        <w:autoSpaceDE w:val="0"/>
        <w:autoSpaceDN w:val="0"/>
        <w:adjustRightInd w:val="0"/>
        <w:spacing w:after="0" w:line="276" w:lineRule="auto"/>
        <w:rPr>
          <w:rFonts w:ascii="Times New Roman" w:hAnsi="Times New Roman" w:cs="Times New Roman"/>
          <w:sz w:val="21"/>
          <w:szCs w:val="21"/>
        </w:rPr>
      </w:pPr>
      <w:r w:rsidRPr="008B2B15">
        <w:rPr>
          <w:rFonts w:ascii="Calibri" w:hAnsi="Calibri"/>
          <w:iCs/>
          <w:sz w:val="21"/>
          <w:szCs w:val="21"/>
        </w:rPr>
        <w:t xml:space="preserve">We argue that national long-term policy planning based on a systems approach and the implementation of an integrated and coherent policy mix, ensuring environmental sustainability, economic production and social justice, is both overall beneficial as well as unavoidable in the long-term. The reason is that various policy objectives and policy (side-) impacts are strongly interrelated in the wider system (e.g. HM Government, 2005; EC, 2019) and our study showed that the green finance gap is by itself already a complex system. </w:t>
      </w:r>
    </w:p>
    <w:p w14:paraId="7CC6ED29" w14:textId="77777777" w:rsidR="00B03132" w:rsidRPr="008B2B15" w:rsidRDefault="00B03132" w:rsidP="0035699F">
      <w:pPr>
        <w:spacing w:after="0" w:line="276" w:lineRule="auto"/>
        <w:rPr>
          <w:rFonts w:ascii="Calibri" w:hAnsi="Calibri" w:cs="Calibri"/>
          <w:sz w:val="21"/>
          <w:szCs w:val="21"/>
        </w:rPr>
      </w:pPr>
    </w:p>
    <w:p w14:paraId="53FBA9AD" w14:textId="16B6DD1B" w:rsidR="0039047F" w:rsidRPr="006A0CDD" w:rsidRDefault="003F6018" w:rsidP="00EC3985">
      <w:pPr>
        <w:pStyle w:val="Heading2"/>
        <w:numPr>
          <w:ilvl w:val="1"/>
          <w:numId w:val="8"/>
        </w:numPr>
        <w:spacing w:line="276" w:lineRule="auto"/>
        <w:rPr>
          <w:rFonts w:ascii="Calibri" w:hAnsi="Calibri" w:cs="Calibri"/>
          <w:b w:val="0"/>
          <w:i/>
          <w:sz w:val="21"/>
          <w:szCs w:val="21"/>
        </w:rPr>
      </w:pPr>
      <w:r w:rsidRPr="006A0CDD">
        <w:rPr>
          <w:rFonts w:ascii="Calibri" w:hAnsi="Calibri" w:cs="Calibri"/>
          <w:b w:val="0"/>
          <w:i/>
          <w:sz w:val="21"/>
          <w:szCs w:val="21"/>
        </w:rPr>
        <w:t>S</w:t>
      </w:r>
      <w:r w:rsidR="0067686E" w:rsidRPr="006A0CDD">
        <w:rPr>
          <w:rFonts w:ascii="Calibri" w:hAnsi="Calibri" w:cs="Calibri"/>
          <w:b w:val="0"/>
          <w:i/>
          <w:sz w:val="21"/>
          <w:szCs w:val="21"/>
        </w:rPr>
        <w:t>olutions</w:t>
      </w:r>
      <w:r w:rsidR="00E73CFD" w:rsidRPr="006A0CDD">
        <w:rPr>
          <w:rFonts w:ascii="Calibri" w:hAnsi="Calibri" w:cs="Calibri"/>
          <w:b w:val="0"/>
          <w:i/>
          <w:sz w:val="21"/>
          <w:szCs w:val="21"/>
        </w:rPr>
        <w:t xml:space="preserve"> to tackle green investments</w:t>
      </w:r>
      <w:r w:rsidR="00893E1B" w:rsidRPr="006A0CDD">
        <w:rPr>
          <w:rFonts w:ascii="Calibri" w:hAnsi="Calibri" w:cs="Calibri"/>
          <w:b w:val="0"/>
          <w:i/>
          <w:sz w:val="21"/>
          <w:szCs w:val="21"/>
        </w:rPr>
        <w:t xml:space="preserve"> barriers</w:t>
      </w:r>
    </w:p>
    <w:p w14:paraId="7058BC01" w14:textId="29D5C111" w:rsidR="00B7136A" w:rsidRDefault="00841A98" w:rsidP="00BF788B">
      <w:pPr>
        <w:spacing w:before="240" w:after="0" w:line="276" w:lineRule="auto"/>
        <w:rPr>
          <w:sz w:val="21"/>
          <w:szCs w:val="21"/>
        </w:rPr>
      </w:pPr>
      <w:r>
        <w:rPr>
          <w:sz w:val="21"/>
          <w:szCs w:val="21"/>
        </w:rPr>
        <w:t xml:space="preserve">While we point towards the </w:t>
      </w:r>
      <w:r w:rsidR="00AD0EDB">
        <w:rPr>
          <w:sz w:val="21"/>
          <w:szCs w:val="21"/>
        </w:rPr>
        <w:t>importance</w:t>
      </w:r>
      <w:r w:rsidR="00D13F45">
        <w:rPr>
          <w:sz w:val="21"/>
          <w:szCs w:val="21"/>
        </w:rPr>
        <w:t xml:space="preserve"> </w:t>
      </w:r>
      <w:r>
        <w:rPr>
          <w:sz w:val="21"/>
          <w:szCs w:val="21"/>
        </w:rPr>
        <w:t xml:space="preserve">of a systems approach </w:t>
      </w:r>
      <w:r w:rsidR="00D13F45">
        <w:rPr>
          <w:sz w:val="21"/>
          <w:szCs w:val="21"/>
        </w:rPr>
        <w:t xml:space="preserve">for effective policy intervention </w:t>
      </w:r>
      <w:r>
        <w:rPr>
          <w:sz w:val="21"/>
          <w:szCs w:val="21"/>
        </w:rPr>
        <w:t xml:space="preserve">in the </w:t>
      </w:r>
      <w:r w:rsidR="00D13F45">
        <w:rPr>
          <w:sz w:val="21"/>
          <w:szCs w:val="21"/>
        </w:rPr>
        <w:t xml:space="preserve">medium- </w:t>
      </w:r>
      <w:r w:rsidR="00624248">
        <w:rPr>
          <w:sz w:val="21"/>
          <w:szCs w:val="21"/>
        </w:rPr>
        <w:t>and</w:t>
      </w:r>
      <w:r w:rsidR="00D13F45">
        <w:rPr>
          <w:sz w:val="21"/>
          <w:szCs w:val="21"/>
        </w:rPr>
        <w:t xml:space="preserve"> long-term</w:t>
      </w:r>
      <w:r>
        <w:rPr>
          <w:sz w:val="21"/>
          <w:szCs w:val="21"/>
        </w:rPr>
        <w:t xml:space="preserve">, </w:t>
      </w:r>
      <w:r w:rsidR="00D13F45">
        <w:rPr>
          <w:sz w:val="21"/>
          <w:szCs w:val="21"/>
        </w:rPr>
        <w:t xml:space="preserve">we believe that </w:t>
      </w:r>
      <w:r w:rsidR="00B7136A">
        <w:rPr>
          <w:sz w:val="21"/>
          <w:szCs w:val="21"/>
        </w:rPr>
        <w:t>a short</w:t>
      </w:r>
      <w:r w:rsidR="005E4A0B">
        <w:rPr>
          <w:sz w:val="21"/>
          <w:szCs w:val="21"/>
        </w:rPr>
        <w:t xml:space="preserve">-term policy response </w:t>
      </w:r>
      <w:r w:rsidR="00B7136A">
        <w:rPr>
          <w:sz w:val="21"/>
          <w:szCs w:val="21"/>
        </w:rPr>
        <w:t xml:space="preserve">is </w:t>
      </w:r>
      <w:r w:rsidR="00FF63D0">
        <w:rPr>
          <w:sz w:val="21"/>
          <w:szCs w:val="21"/>
        </w:rPr>
        <w:t xml:space="preserve">as </w:t>
      </w:r>
      <w:r w:rsidR="00B7136A">
        <w:rPr>
          <w:sz w:val="21"/>
          <w:szCs w:val="21"/>
        </w:rPr>
        <w:t xml:space="preserve">important </w:t>
      </w:r>
      <w:r w:rsidR="005E4A0B">
        <w:rPr>
          <w:sz w:val="21"/>
          <w:szCs w:val="21"/>
        </w:rPr>
        <w:t xml:space="preserve">in the background </w:t>
      </w:r>
      <w:r w:rsidR="00B7136A">
        <w:rPr>
          <w:sz w:val="21"/>
          <w:szCs w:val="21"/>
        </w:rPr>
        <w:t xml:space="preserve">of the </w:t>
      </w:r>
      <w:r w:rsidR="00AD0EDB" w:rsidRPr="00214BC1">
        <w:rPr>
          <w:sz w:val="21"/>
          <w:szCs w:val="21"/>
        </w:rPr>
        <w:t>increasing pressure for r</w:t>
      </w:r>
      <w:r w:rsidR="00AD0EDB" w:rsidRPr="00AD0EDB">
        <w:rPr>
          <w:sz w:val="21"/>
          <w:szCs w:val="21"/>
        </w:rPr>
        <w:t>apid</w:t>
      </w:r>
      <w:r w:rsidR="00B7136A" w:rsidRPr="00AD0EDB">
        <w:rPr>
          <w:sz w:val="21"/>
          <w:szCs w:val="21"/>
        </w:rPr>
        <w:t xml:space="preserve"> climate </w:t>
      </w:r>
      <w:r w:rsidR="00AD0EDB" w:rsidRPr="00AD0EDB">
        <w:rPr>
          <w:sz w:val="21"/>
          <w:szCs w:val="21"/>
        </w:rPr>
        <w:t xml:space="preserve">actions </w:t>
      </w:r>
      <w:r w:rsidR="00B7136A" w:rsidRPr="00AD0EDB">
        <w:rPr>
          <w:sz w:val="21"/>
          <w:szCs w:val="21"/>
        </w:rPr>
        <w:t xml:space="preserve">(e.g. </w:t>
      </w:r>
      <w:r w:rsidR="00AD0EDB" w:rsidRPr="00624248">
        <w:rPr>
          <w:rFonts w:ascii="Calibri" w:hAnsi="Calibri" w:cs="Calibri"/>
          <w:sz w:val="21"/>
          <w:szCs w:val="21"/>
        </w:rPr>
        <w:t>Guardian, 2019; Forbes, 2019</w:t>
      </w:r>
      <w:r w:rsidR="00B7136A" w:rsidRPr="00214BC1">
        <w:rPr>
          <w:sz w:val="21"/>
          <w:szCs w:val="21"/>
        </w:rPr>
        <w:t>)</w:t>
      </w:r>
      <w:r w:rsidR="00C9791F">
        <w:rPr>
          <w:sz w:val="21"/>
          <w:szCs w:val="21"/>
        </w:rPr>
        <w:t xml:space="preserve"> or </w:t>
      </w:r>
      <w:r w:rsidR="00AD0EDB">
        <w:rPr>
          <w:sz w:val="21"/>
          <w:szCs w:val="21"/>
        </w:rPr>
        <w:t xml:space="preserve">the recent UK </w:t>
      </w:r>
      <w:r w:rsidR="00AD0EDB">
        <w:rPr>
          <w:sz w:val="21"/>
          <w:szCs w:val="21"/>
        </w:rPr>
        <w:lastRenderedPageBreak/>
        <w:t xml:space="preserve">‘climate </w:t>
      </w:r>
      <w:r w:rsidR="00AD0EDB" w:rsidRPr="00FF7C4C">
        <w:rPr>
          <w:sz w:val="21"/>
          <w:szCs w:val="21"/>
        </w:rPr>
        <w:t xml:space="preserve">emergency’ </w:t>
      </w:r>
      <w:r w:rsidR="00AD0EDB">
        <w:rPr>
          <w:sz w:val="21"/>
          <w:szCs w:val="21"/>
        </w:rPr>
        <w:t>declaration (BBC, 2019)</w:t>
      </w:r>
      <w:r w:rsidR="00C9791F">
        <w:rPr>
          <w:sz w:val="21"/>
          <w:szCs w:val="21"/>
        </w:rPr>
        <w:t xml:space="preserve">. </w:t>
      </w:r>
      <w:r w:rsidR="00BF788B">
        <w:rPr>
          <w:sz w:val="21"/>
          <w:szCs w:val="21"/>
        </w:rPr>
        <w:t xml:space="preserve">Further, additional ‘brown’ energy infrastructure investments lead to an undesirable lock-in of a brown energy trajectory and thus contribute to postponing the urgently required green transition (e.g. </w:t>
      </w:r>
      <w:r w:rsidR="00BF788B" w:rsidRPr="00FB3C77">
        <w:rPr>
          <w:rFonts w:ascii="Calibri" w:hAnsi="Calibri"/>
          <w:iCs/>
          <w:sz w:val="21"/>
          <w:szCs w:val="21"/>
        </w:rPr>
        <w:t xml:space="preserve">Bolton &amp; </w:t>
      </w:r>
      <w:proofErr w:type="spellStart"/>
      <w:r w:rsidR="00BF788B" w:rsidRPr="00FB3C77">
        <w:rPr>
          <w:rFonts w:ascii="Calibri" w:hAnsi="Calibri"/>
          <w:iCs/>
          <w:sz w:val="21"/>
          <w:szCs w:val="21"/>
        </w:rPr>
        <w:t>Foxon</w:t>
      </w:r>
      <w:proofErr w:type="spellEnd"/>
      <w:r w:rsidR="00BF788B" w:rsidRPr="00FB3C77">
        <w:rPr>
          <w:rFonts w:ascii="Calibri" w:hAnsi="Calibri"/>
          <w:iCs/>
          <w:sz w:val="21"/>
          <w:szCs w:val="21"/>
        </w:rPr>
        <w:t>, 2015</w:t>
      </w:r>
      <w:r w:rsidR="00BF788B">
        <w:rPr>
          <w:rFonts w:ascii="Calibri" w:hAnsi="Calibri"/>
          <w:iCs/>
          <w:sz w:val="21"/>
          <w:szCs w:val="21"/>
        </w:rPr>
        <w:t>)</w:t>
      </w:r>
      <w:r w:rsidR="00BF788B">
        <w:rPr>
          <w:sz w:val="21"/>
          <w:szCs w:val="21"/>
        </w:rPr>
        <w:t xml:space="preserve"> and calling as well for near-term policy action to mitigate the risk of brown infrastructure lock-in.</w:t>
      </w:r>
      <w:r w:rsidR="006C1C98">
        <w:rPr>
          <w:sz w:val="21"/>
          <w:szCs w:val="21"/>
        </w:rPr>
        <w:t xml:space="preserve"> However, we emphasise that any short</w:t>
      </w:r>
      <w:r w:rsidR="00CB0646">
        <w:rPr>
          <w:sz w:val="21"/>
          <w:szCs w:val="21"/>
        </w:rPr>
        <w:t>-</w:t>
      </w:r>
      <w:r w:rsidR="006C1C98">
        <w:rPr>
          <w:sz w:val="21"/>
          <w:szCs w:val="21"/>
        </w:rPr>
        <w:t xml:space="preserve">term solution needs to be considered in </w:t>
      </w:r>
      <w:r w:rsidR="001D0113">
        <w:rPr>
          <w:sz w:val="21"/>
          <w:szCs w:val="21"/>
        </w:rPr>
        <w:t>a</w:t>
      </w:r>
      <w:r w:rsidR="006C1C98">
        <w:rPr>
          <w:sz w:val="21"/>
          <w:szCs w:val="21"/>
        </w:rPr>
        <w:t xml:space="preserve"> medium and </w:t>
      </w:r>
      <w:proofErr w:type="gramStart"/>
      <w:r w:rsidR="006C1C98">
        <w:rPr>
          <w:sz w:val="21"/>
          <w:szCs w:val="21"/>
        </w:rPr>
        <w:t>long term</w:t>
      </w:r>
      <w:proofErr w:type="gramEnd"/>
      <w:r w:rsidR="006C1C98">
        <w:rPr>
          <w:sz w:val="21"/>
          <w:szCs w:val="21"/>
        </w:rPr>
        <w:t xml:space="preserve"> </w:t>
      </w:r>
      <w:r w:rsidR="001D0113">
        <w:rPr>
          <w:sz w:val="21"/>
          <w:szCs w:val="21"/>
        </w:rPr>
        <w:t xml:space="preserve">perspective </w:t>
      </w:r>
      <w:r w:rsidR="006C1C98">
        <w:rPr>
          <w:sz w:val="21"/>
          <w:szCs w:val="21"/>
        </w:rPr>
        <w:t>so as not to, in itself, lock in a policy direction that does not support a systems approach</w:t>
      </w:r>
      <w:r w:rsidR="001D0113">
        <w:rPr>
          <w:sz w:val="21"/>
          <w:szCs w:val="21"/>
        </w:rPr>
        <w:t xml:space="preserve"> nor lead to</w:t>
      </w:r>
      <w:r w:rsidR="0020173B">
        <w:rPr>
          <w:sz w:val="21"/>
          <w:szCs w:val="21"/>
        </w:rPr>
        <w:t xml:space="preserve"> </w:t>
      </w:r>
      <w:r w:rsidR="001D0113">
        <w:rPr>
          <w:sz w:val="21"/>
          <w:szCs w:val="21"/>
        </w:rPr>
        <w:t>postponement</w:t>
      </w:r>
      <w:r w:rsidR="0020173B">
        <w:rPr>
          <w:sz w:val="21"/>
          <w:szCs w:val="21"/>
        </w:rPr>
        <w:t xml:space="preserve"> or </w:t>
      </w:r>
      <w:r w:rsidR="001D0113">
        <w:rPr>
          <w:sz w:val="21"/>
          <w:szCs w:val="21"/>
        </w:rPr>
        <w:t>avoidance of</w:t>
      </w:r>
      <w:r w:rsidR="0020173B">
        <w:rPr>
          <w:sz w:val="21"/>
          <w:szCs w:val="21"/>
        </w:rPr>
        <w:t xml:space="preserve"> implementing an adequate medium- and long-term policy approach based on a systems approach</w:t>
      </w:r>
    </w:p>
    <w:p w14:paraId="6C343BAE" w14:textId="70A5188A" w:rsidR="00625905" w:rsidRPr="00E90A57" w:rsidRDefault="009B46B8" w:rsidP="00E90A57">
      <w:pPr>
        <w:spacing w:before="240" w:after="0" w:line="276" w:lineRule="auto"/>
        <w:rPr>
          <w:sz w:val="21"/>
          <w:szCs w:val="21"/>
        </w:rPr>
      </w:pPr>
      <w:r w:rsidRPr="008B2B15">
        <w:rPr>
          <w:sz w:val="21"/>
          <w:szCs w:val="21"/>
        </w:rPr>
        <w:t xml:space="preserve">Table 3 summarises </w:t>
      </w:r>
      <w:r w:rsidR="00FD6E30">
        <w:rPr>
          <w:sz w:val="21"/>
          <w:szCs w:val="21"/>
        </w:rPr>
        <w:t>these</w:t>
      </w:r>
      <w:r w:rsidRPr="008B2B15">
        <w:rPr>
          <w:sz w:val="21"/>
          <w:szCs w:val="21"/>
        </w:rPr>
        <w:t xml:space="preserve"> solutions for each of our considered barrier topics</w:t>
      </w:r>
      <w:r>
        <w:rPr>
          <w:sz w:val="21"/>
          <w:szCs w:val="21"/>
        </w:rPr>
        <w:t xml:space="preserve"> drawing on current academic literature and policy reports</w:t>
      </w:r>
      <w:r w:rsidRPr="008B2B15">
        <w:rPr>
          <w:sz w:val="21"/>
          <w:szCs w:val="21"/>
        </w:rPr>
        <w:t xml:space="preserve">. </w:t>
      </w:r>
      <w:r>
        <w:rPr>
          <w:sz w:val="21"/>
          <w:szCs w:val="21"/>
        </w:rPr>
        <w:t>This overview ought</w:t>
      </w:r>
      <w:r w:rsidR="00D13F45">
        <w:rPr>
          <w:sz w:val="21"/>
          <w:szCs w:val="21"/>
        </w:rPr>
        <w:t xml:space="preserve"> </w:t>
      </w:r>
      <w:r>
        <w:rPr>
          <w:sz w:val="21"/>
          <w:szCs w:val="21"/>
        </w:rPr>
        <w:t xml:space="preserve">to </w:t>
      </w:r>
      <w:r w:rsidR="00D13F45">
        <w:rPr>
          <w:sz w:val="21"/>
          <w:szCs w:val="21"/>
        </w:rPr>
        <w:t xml:space="preserve">be </w:t>
      </w:r>
      <w:r>
        <w:rPr>
          <w:sz w:val="21"/>
          <w:szCs w:val="21"/>
        </w:rPr>
        <w:t>helpful</w:t>
      </w:r>
      <w:r w:rsidR="00D13F45">
        <w:rPr>
          <w:sz w:val="21"/>
          <w:szCs w:val="21"/>
        </w:rPr>
        <w:t xml:space="preserve"> for </w:t>
      </w:r>
      <w:r w:rsidR="00A22448">
        <w:rPr>
          <w:sz w:val="21"/>
          <w:szCs w:val="21"/>
        </w:rPr>
        <w:t>our</w:t>
      </w:r>
      <w:r w:rsidR="00D13F45">
        <w:rPr>
          <w:sz w:val="21"/>
          <w:szCs w:val="21"/>
        </w:rPr>
        <w:t xml:space="preserve"> endeavour </w:t>
      </w:r>
      <w:r>
        <w:rPr>
          <w:sz w:val="21"/>
          <w:szCs w:val="21"/>
        </w:rPr>
        <w:t xml:space="preserve">to </w:t>
      </w:r>
      <w:r w:rsidR="00A22448">
        <w:rPr>
          <w:sz w:val="21"/>
          <w:szCs w:val="21"/>
        </w:rPr>
        <w:t>propose</w:t>
      </w:r>
      <w:r>
        <w:rPr>
          <w:sz w:val="21"/>
          <w:szCs w:val="21"/>
        </w:rPr>
        <w:t xml:space="preserve"> </w:t>
      </w:r>
      <w:r w:rsidR="002648E0">
        <w:rPr>
          <w:sz w:val="21"/>
          <w:szCs w:val="21"/>
        </w:rPr>
        <w:t>immediate</w:t>
      </w:r>
      <w:r w:rsidR="00D13F45">
        <w:rPr>
          <w:sz w:val="21"/>
          <w:szCs w:val="21"/>
        </w:rPr>
        <w:t xml:space="preserve"> </w:t>
      </w:r>
      <w:r>
        <w:rPr>
          <w:sz w:val="21"/>
          <w:szCs w:val="21"/>
        </w:rPr>
        <w:t>policy response</w:t>
      </w:r>
      <w:r w:rsidR="006C1C98">
        <w:rPr>
          <w:sz w:val="21"/>
          <w:szCs w:val="21"/>
        </w:rPr>
        <w:t>s</w:t>
      </w:r>
      <w:r>
        <w:rPr>
          <w:sz w:val="21"/>
          <w:szCs w:val="21"/>
        </w:rPr>
        <w:t xml:space="preserve"> to close the green finance gap as well as for future research on solutions for this challenge</w:t>
      </w:r>
      <w:r w:rsidR="00A22448">
        <w:rPr>
          <w:sz w:val="21"/>
          <w:szCs w:val="21"/>
        </w:rPr>
        <w:t xml:space="preserve"> </w:t>
      </w:r>
      <w:r w:rsidR="006C1C98">
        <w:rPr>
          <w:sz w:val="21"/>
          <w:szCs w:val="21"/>
        </w:rPr>
        <w:t>within a systems approach</w:t>
      </w:r>
      <w:r>
        <w:rPr>
          <w:sz w:val="21"/>
          <w:szCs w:val="21"/>
        </w:rPr>
        <w:t xml:space="preserve">. </w:t>
      </w:r>
      <w:r w:rsidR="001D0113">
        <w:rPr>
          <w:sz w:val="21"/>
          <w:szCs w:val="21"/>
        </w:rPr>
        <w:t>That is, w</w:t>
      </w:r>
      <w:r w:rsidR="0020173B">
        <w:rPr>
          <w:sz w:val="21"/>
          <w:szCs w:val="21"/>
        </w:rPr>
        <w:t xml:space="preserve">hile these solutions </w:t>
      </w:r>
      <w:proofErr w:type="gramStart"/>
      <w:r w:rsidR="0020173B">
        <w:rPr>
          <w:sz w:val="21"/>
          <w:szCs w:val="21"/>
        </w:rPr>
        <w:t>can be considered</w:t>
      </w:r>
      <w:proofErr w:type="gramEnd"/>
      <w:r w:rsidR="0020173B">
        <w:rPr>
          <w:sz w:val="21"/>
          <w:szCs w:val="21"/>
        </w:rPr>
        <w:t xml:space="preserve"> as a linear response to the barriers identified we argue that implementing any one of these solutions will not be enough to tackle this issue and that they must be taken holistically within a systems perspective</w:t>
      </w:r>
      <w:r w:rsidR="001D0113">
        <w:rPr>
          <w:sz w:val="21"/>
          <w:szCs w:val="21"/>
        </w:rPr>
        <w:t xml:space="preserve"> in the medium and longer term</w:t>
      </w:r>
      <w:r w:rsidR="0020173B">
        <w:rPr>
          <w:sz w:val="21"/>
          <w:szCs w:val="21"/>
        </w:rPr>
        <w:t xml:space="preserve">. We particularly note that the implementation of the policies will likely need to be phased appropriately (for example a national infrastructure roadmap and strategy will need to developed prior to electricity market regulations that then support this strategy). However, the exact phasing of these policies is beyond the scope of this paper. </w:t>
      </w:r>
      <w:r w:rsidR="001D0113" w:rsidRPr="008E6933">
        <w:rPr>
          <w:sz w:val="21"/>
          <w:szCs w:val="21"/>
        </w:rPr>
        <w:t xml:space="preserve">The indicated solutions </w:t>
      </w:r>
      <w:r w:rsidR="001D0113">
        <w:rPr>
          <w:sz w:val="21"/>
          <w:szCs w:val="21"/>
        </w:rPr>
        <w:t xml:space="preserve">in table 3 </w:t>
      </w:r>
      <w:r w:rsidR="001D0113" w:rsidRPr="008E6933">
        <w:rPr>
          <w:sz w:val="21"/>
          <w:szCs w:val="21"/>
        </w:rPr>
        <w:t xml:space="preserve">should not be interpreted as comprehensive, however, we attempted to indicate the most direct and effective solutions for each barrier topic. </w:t>
      </w:r>
      <w:r w:rsidR="00990393" w:rsidRPr="008E6933">
        <w:rPr>
          <w:rFonts w:ascii="Calibri" w:hAnsi="Calibri" w:cs="AdvOT987ad488"/>
          <w:sz w:val="21"/>
          <w:szCs w:val="21"/>
        </w:rPr>
        <w:t>T</w:t>
      </w:r>
      <w:r w:rsidR="007C2984" w:rsidRPr="008E6933">
        <w:rPr>
          <w:rFonts w:ascii="Calibri" w:hAnsi="Calibri" w:cs="AdvOT987ad488"/>
          <w:sz w:val="21"/>
          <w:szCs w:val="21"/>
        </w:rPr>
        <w:t>he implementation of most</w:t>
      </w:r>
      <w:r w:rsidR="002D3526" w:rsidRPr="008E6933">
        <w:rPr>
          <w:rFonts w:ascii="Calibri" w:hAnsi="Calibri" w:cs="AdvOT987ad488"/>
          <w:sz w:val="21"/>
          <w:szCs w:val="21"/>
        </w:rPr>
        <w:t xml:space="preserve"> solutions would </w:t>
      </w:r>
      <w:r w:rsidR="00C374B5" w:rsidRPr="008E6933">
        <w:rPr>
          <w:rFonts w:ascii="Calibri" w:hAnsi="Calibri" w:cs="AdvOT987ad488"/>
          <w:sz w:val="21"/>
          <w:szCs w:val="21"/>
        </w:rPr>
        <w:t xml:space="preserve">additionally </w:t>
      </w:r>
      <w:r w:rsidR="002D3526" w:rsidRPr="008E6933">
        <w:rPr>
          <w:rFonts w:ascii="Calibri" w:hAnsi="Calibri" w:cs="AdvOT987ad488"/>
          <w:sz w:val="21"/>
          <w:szCs w:val="21"/>
        </w:rPr>
        <w:t xml:space="preserve">require </w:t>
      </w:r>
      <w:r w:rsidR="007C2984" w:rsidRPr="008E6933">
        <w:rPr>
          <w:rFonts w:ascii="Calibri" w:hAnsi="Calibri" w:cs="AdvOT987ad488"/>
          <w:sz w:val="21"/>
          <w:szCs w:val="21"/>
        </w:rPr>
        <w:t>amend</w:t>
      </w:r>
      <w:r w:rsidR="00990393" w:rsidRPr="008E6933">
        <w:rPr>
          <w:rFonts w:ascii="Calibri" w:hAnsi="Calibri" w:cs="AdvOT987ad488"/>
          <w:sz w:val="21"/>
          <w:szCs w:val="21"/>
        </w:rPr>
        <w:t>ing</w:t>
      </w:r>
      <w:r w:rsidR="006B33B8" w:rsidRPr="008E6933">
        <w:rPr>
          <w:rFonts w:ascii="Calibri" w:hAnsi="Calibri" w:cs="AdvOT987ad488"/>
          <w:sz w:val="21"/>
          <w:szCs w:val="21"/>
        </w:rPr>
        <w:t xml:space="preserve"> current</w:t>
      </w:r>
      <w:r w:rsidR="002D3526" w:rsidRPr="008E6933">
        <w:rPr>
          <w:rFonts w:ascii="Calibri" w:hAnsi="Calibri" w:cs="AdvOT987ad488"/>
          <w:sz w:val="21"/>
          <w:szCs w:val="21"/>
        </w:rPr>
        <w:t xml:space="preserve"> applied investment, accounting or evaluation </w:t>
      </w:r>
      <w:r w:rsidR="007C2984" w:rsidRPr="008E6933">
        <w:rPr>
          <w:rFonts w:ascii="Calibri" w:hAnsi="Calibri" w:cs="AdvOT987ad488"/>
          <w:sz w:val="21"/>
          <w:szCs w:val="21"/>
        </w:rPr>
        <w:t>metrics and frameworks in a standardised way</w:t>
      </w:r>
      <w:r w:rsidR="002D3526" w:rsidRPr="008E6933">
        <w:rPr>
          <w:rFonts w:ascii="Calibri" w:hAnsi="Calibri" w:cs="AdvOT987ad488"/>
          <w:sz w:val="21"/>
          <w:szCs w:val="21"/>
        </w:rPr>
        <w:t xml:space="preserve">. However, due to space reasons this </w:t>
      </w:r>
      <w:proofErr w:type="gramStart"/>
      <w:r w:rsidR="002D3526" w:rsidRPr="008E6933">
        <w:rPr>
          <w:rFonts w:ascii="Calibri" w:hAnsi="Calibri" w:cs="AdvOT987ad488"/>
          <w:sz w:val="21"/>
          <w:szCs w:val="21"/>
        </w:rPr>
        <w:t>is not indicated</w:t>
      </w:r>
      <w:proofErr w:type="gramEnd"/>
      <w:r w:rsidR="002D3526" w:rsidRPr="008E6933">
        <w:rPr>
          <w:rFonts w:ascii="Calibri" w:hAnsi="Calibri" w:cs="AdvOT987ad488"/>
          <w:sz w:val="21"/>
          <w:szCs w:val="21"/>
        </w:rPr>
        <w:t xml:space="preserve"> separately</w:t>
      </w:r>
      <w:r w:rsidR="007C2984" w:rsidRPr="008E6933">
        <w:rPr>
          <w:rFonts w:ascii="Calibri" w:hAnsi="Calibri" w:cs="AdvOT987ad488"/>
          <w:sz w:val="21"/>
          <w:szCs w:val="21"/>
        </w:rPr>
        <w:t xml:space="preserve"> for each case</w:t>
      </w:r>
      <w:r w:rsidR="002D3526" w:rsidRPr="008E6933">
        <w:rPr>
          <w:rFonts w:ascii="Calibri" w:hAnsi="Calibri" w:cs="AdvOT987ad488"/>
          <w:sz w:val="21"/>
          <w:szCs w:val="21"/>
        </w:rPr>
        <w:t xml:space="preserve"> in the table. For example, </w:t>
      </w:r>
      <w:r w:rsidR="006B33B8" w:rsidRPr="008E6933">
        <w:rPr>
          <w:rFonts w:ascii="Calibri" w:hAnsi="Calibri" w:cs="AdvOT987ad488"/>
          <w:sz w:val="21"/>
          <w:szCs w:val="21"/>
        </w:rPr>
        <w:t>the introduction of</w:t>
      </w:r>
      <w:r w:rsidR="002D3526" w:rsidRPr="008E6933">
        <w:rPr>
          <w:rFonts w:ascii="Calibri" w:hAnsi="Calibri" w:cs="AdvOT987ad488"/>
          <w:sz w:val="21"/>
          <w:szCs w:val="21"/>
        </w:rPr>
        <w:t xml:space="preserve"> sustainable investment regulations </w:t>
      </w:r>
      <w:r w:rsidR="007C2984" w:rsidRPr="008E6933">
        <w:rPr>
          <w:rFonts w:ascii="Calibri" w:hAnsi="Calibri" w:cs="AdvOT987ad488"/>
          <w:sz w:val="21"/>
          <w:szCs w:val="21"/>
        </w:rPr>
        <w:t xml:space="preserve">would </w:t>
      </w:r>
      <w:r w:rsidR="002D3526" w:rsidRPr="008E6933">
        <w:rPr>
          <w:rFonts w:ascii="Calibri" w:hAnsi="Calibri" w:cs="AdvOT987ad488"/>
          <w:sz w:val="21"/>
          <w:szCs w:val="21"/>
        </w:rPr>
        <w:t>require t</w:t>
      </w:r>
      <w:r w:rsidR="006B33B8" w:rsidRPr="008E6933">
        <w:rPr>
          <w:rFonts w:ascii="Calibri" w:hAnsi="Calibri" w:cs="AdvOT987ad488"/>
          <w:sz w:val="21"/>
          <w:szCs w:val="21"/>
        </w:rPr>
        <w:t>he collection of necessary data as well as</w:t>
      </w:r>
      <w:r w:rsidR="002D3526" w:rsidRPr="008E6933">
        <w:rPr>
          <w:rFonts w:ascii="Calibri" w:hAnsi="Calibri" w:cs="AdvOT987ad488"/>
          <w:sz w:val="21"/>
          <w:szCs w:val="21"/>
        </w:rPr>
        <w:t xml:space="preserve"> the elaboration of appropriate metrics </w:t>
      </w:r>
      <w:r w:rsidR="007C2984" w:rsidRPr="008E6933">
        <w:rPr>
          <w:rFonts w:ascii="Calibri" w:hAnsi="Calibri" w:cs="AdvOT987ad488"/>
          <w:sz w:val="21"/>
          <w:szCs w:val="21"/>
        </w:rPr>
        <w:t xml:space="preserve">and measurement criteria </w:t>
      </w:r>
      <w:r w:rsidR="00C374B5" w:rsidRPr="008E6933">
        <w:rPr>
          <w:rFonts w:ascii="Calibri" w:hAnsi="Calibri" w:cs="AdvOT987ad488"/>
          <w:sz w:val="21"/>
          <w:szCs w:val="21"/>
        </w:rPr>
        <w:t xml:space="preserve">in addition </w:t>
      </w:r>
      <w:r w:rsidR="002D3526" w:rsidRPr="008E6933">
        <w:rPr>
          <w:rFonts w:ascii="Calibri" w:hAnsi="Calibri" w:cs="AdvOT987ad488"/>
          <w:sz w:val="21"/>
          <w:szCs w:val="21"/>
        </w:rPr>
        <w:t>(Kay, 2012</w:t>
      </w:r>
      <w:r w:rsidR="005F3DC4" w:rsidRPr="008E6933">
        <w:rPr>
          <w:rFonts w:ascii="Calibri" w:hAnsi="Calibri" w:cs="AdvOT987ad488"/>
          <w:sz w:val="21"/>
          <w:szCs w:val="21"/>
        </w:rPr>
        <w:t>; OECD, 2017</w:t>
      </w:r>
      <w:r w:rsidR="002D3526" w:rsidRPr="008E6933">
        <w:rPr>
          <w:rFonts w:ascii="Calibri" w:hAnsi="Calibri" w:cs="AdvOT987ad488"/>
          <w:sz w:val="21"/>
          <w:szCs w:val="21"/>
        </w:rPr>
        <w:t xml:space="preserve">). </w:t>
      </w:r>
      <w:proofErr w:type="gramStart"/>
      <w:r w:rsidR="002D3526" w:rsidRPr="008E6933">
        <w:rPr>
          <w:rFonts w:ascii="Calibri" w:hAnsi="Calibri" w:cs="AdvOT987ad488"/>
          <w:sz w:val="21"/>
          <w:szCs w:val="21"/>
        </w:rPr>
        <w:t>Also</w:t>
      </w:r>
      <w:proofErr w:type="gramEnd"/>
      <w:r w:rsidR="002D3526" w:rsidRPr="008E6933">
        <w:rPr>
          <w:rFonts w:ascii="Calibri" w:hAnsi="Calibri" w:cs="AdvOT987ad488"/>
          <w:sz w:val="21"/>
          <w:szCs w:val="21"/>
        </w:rPr>
        <w:t xml:space="preserve">, while the role of professional associations for investors, banking, insurances, pension funds or accounting is indicated where </w:t>
      </w:r>
      <w:r w:rsidR="007C2984" w:rsidRPr="008E6933">
        <w:rPr>
          <w:rFonts w:ascii="Calibri" w:hAnsi="Calibri" w:cs="AdvOT987ad488"/>
          <w:sz w:val="21"/>
          <w:szCs w:val="21"/>
        </w:rPr>
        <w:t>this role is deemed to be</w:t>
      </w:r>
      <w:r w:rsidR="002D3526" w:rsidRPr="008E6933">
        <w:rPr>
          <w:rFonts w:ascii="Calibri" w:hAnsi="Calibri" w:cs="AdvOT987ad488"/>
          <w:sz w:val="21"/>
          <w:szCs w:val="21"/>
        </w:rPr>
        <w:t xml:space="preserve"> most relevant, these bodies can play a relevant role </w:t>
      </w:r>
      <w:r w:rsidR="00990393" w:rsidRPr="008E6933">
        <w:rPr>
          <w:rFonts w:ascii="Calibri" w:hAnsi="Calibri" w:cs="AdvOT987ad488"/>
          <w:sz w:val="21"/>
          <w:szCs w:val="21"/>
        </w:rPr>
        <w:t xml:space="preserve">in </w:t>
      </w:r>
      <w:r w:rsidR="002D3526" w:rsidRPr="008E6933">
        <w:rPr>
          <w:rFonts w:ascii="Calibri" w:hAnsi="Calibri" w:cs="AdvOT987ad488"/>
          <w:sz w:val="21"/>
          <w:szCs w:val="21"/>
        </w:rPr>
        <w:t>the implementation of all proposed solutions (e.g. via lobb</w:t>
      </w:r>
      <w:r w:rsidR="00067337" w:rsidRPr="008E6933">
        <w:rPr>
          <w:rFonts w:ascii="Calibri" w:hAnsi="Calibri" w:cs="AdvOT987ad488"/>
          <w:sz w:val="21"/>
          <w:szCs w:val="21"/>
        </w:rPr>
        <w:t>y</w:t>
      </w:r>
      <w:r w:rsidR="002D3526" w:rsidRPr="008E6933">
        <w:rPr>
          <w:rFonts w:ascii="Calibri" w:hAnsi="Calibri" w:cs="AdvOT987ad488"/>
          <w:sz w:val="21"/>
          <w:szCs w:val="21"/>
        </w:rPr>
        <w:t xml:space="preserve">ing, provision of tailored information briefs etc.). </w:t>
      </w:r>
    </w:p>
    <w:p w14:paraId="6109C87C" w14:textId="065D8EDF" w:rsidR="002A3357" w:rsidRPr="008E6933" w:rsidRDefault="006E7C7A" w:rsidP="00E90A57">
      <w:pPr>
        <w:pStyle w:val="Caption"/>
        <w:keepNext/>
        <w:spacing w:before="240"/>
        <w:rPr>
          <w:color w:val="auto"/>
        </w:rPr>
      </w:pPr>
      <w:r w:rsidRPr="008E6933">
        <w:rPr>
          <w:color w:val="auto"/>
        </w:rPr>
        <w:t xml:space="preserve">Table </w:t>
      </w:r>
      <w:r w:rsidR="00606B0C" w:rsidRPr="008E6933">
        <w:rPr>
          <w:color w:val="auto"/>
        </w:rPr>
        <w:t>3</w:t>
      </w:r>
      <w:r w:rsidRPr="008E6933">
        <w:rPr>
          <w:color w:val="auto"/>
        </w:rPr>
        <w:t>: A set of possible solutions for each barrier topic</w:t>
      </w:r>
    </w:p>
    <w:tbl>
      <w:tblPr>
        <w:tblStyle w:val="TableGrid"/>
        <w:tblW w:w="11199" w:type="dxa"/>
        <w:tblInd w:w="-1139" w:type="dxa"/>
        <w:tblLayout w:type="fixed"/>
        <w:tblLook w:val="04A0" w:firstRow="1" w:lastRow="0" w:firstColumn="1" w:lastColumn="0" w:noHBand="0" w:noVBand="1"/>
      </w:tblPr>
      <w:tblGrid>
        <w:gridCol w:w="567"/>
        <w:gridCol w:w="3969"/>
        <w:gridCol w:w="2977"/>
        <w:gridCol w:w="3686"/>
      </w:tblGrid>
      <w:tr w:rsidR="00C3788D" w:rsidRPr="00137660" w14:paraId="048DD55B" w14:textId="77777777" w:rsidTr="003E223D">
        <w:trPr>
          <w:trHeight w:val="399"/>
        </w:trPr>
        <w:tc>
          <w:tcPr>
            <w:tcW w:w="567" w:type="dxa"/>
            <w:shd w:val="clear" w:color="auto" w:fill="8496B0" w:themeFill="text2" w:themeFillTint="99"/>
            <w:vAlign w:val="center"/>
          </w:tcPr>
          <w:p w14:paraId="282E9BCF" w14:textId="77777777" w:rsidR="00C3788D" w:rsidRPr="00137660" w:rsidRDefault="00C3788D" w:rsidP="003E223D">
            <w:pPr>
              <w:jc w:val="center"/>
              <w:rPr>
                <w:rFonts w:ascii="Calibri" w:eastAsia="Times New Roman" w:hAnsi="Calibri" w:cs="Calibri"/>
                <w:b/>
                <w:sz w:val="14"/>
                <w:szCs w:val="14"/>
                <w:lang w:eastAsia="en-GB"/>
              </w:rPr>
            </w:pPr>
            <w:r>
              <w:rPr>
                <w:rFonts w:ascii="Calibri" w:eastAsia="Times New Roman" w:hAnsi="Calibri" w:cs="Calibri"/>
                <w:b/>
                <w:sz w:val="14"/>
                <w:szCs w:val="14"/>
                <w:lang w:eastAsia="en-GB"/>
              </w:rPr>
              <w:t xml:space="preserve">Topic </w:t>
            </w:r>
            <w:proofErr w:type="spellStart"/>
            <w:r>
              <w:rPr>
                <w:rFonts w:ascii="Calibri" w:eastAsia="Times New Roman" w:hAnsi="Calibri" w:cs="Calibri"/>
                <w:b/>
                <w:sz w:val="14"/>
                <w:szCs w:val="14"/>
                <w:lang w:eastAsia="en-GB"/>
              </w:rPr>
              <w:t>Nr</w:t>
            </w:r>
            <w:proofErr w:type="spellEnd"/>
            <w:r>
              <w:rPr>
                <w:rFonts w:ascii="Calibri" w:eastAsia="Times New Roman" w:hAnsi="Calibri" w:cs="Calibri"/>
                <w:b/>
                <w:sz w:val="14"/>
                <w:szCs w:val="14"/>
                <w:lang w:eastAsia="en-GB"/>
              </w:rPr>
              <w:t>.</w:t>
            </w:r>
          </w:p>
        </w:tc>
        <w:tc>
          <w:tcPr>
            <w:tcW w:w="3969" w:type="dxa"/>
            <w:shd w:val="clear" w:color="auto" w:fill="8496B0" w:themeFill="text2" w:themeFillTint="99"/>
            <w:vAlign w:val="center"/>
          </w:tcPr>
          <w:p w14:paraId="1F1C11CB" w14:textId="77777777" w:rsidR="00C3788D" w:rsidRPr="00137660" w:rsidRDefault="00C3788D" w:rsidP="003E223D">
            <w:pPr>
              <w:jc w:val="center"/>
              <w:rPr>
                <w:rFonts w:ascii="Calibri" w:eastAsia="Times New Roman" w:hAnsi="Calibri" w:cs="Calibri"/>
                <w:b/>
                <w:sz w:val="14"/>
                <w:szCs w:val="14"/>
                <w:lang w:eastAsia="en-GB"/>
              </w:rPr>
            </w:pPr>
            <w:r w:rsidRPr="00137660">
              <w:rPr>
                <w:rFonts w:ascii="Calibri" w:eastAsia="Times New Roman" w:hAnsi="Calibri" w:cs="Calibri"/>
                <w:b/>
                <w:sz w:val="14"/>
                <w:szCs w:val="14"/>
                <w:lang w:eastAsia="en-GB"/>
              </w:rPr>
              <w:t>Possible solution</w:t>
            </w:r>
            <w:r>
              <w:rPr>
                <w:rFonts w:ascii="Calibri" w:eastAsia="Times New Roman" w:hAnsi="Calibri" w:cs="Calibri"/>
                <w:b/>
                <w:sz w:val="14"/>
                <w:szCs w:val="14"/>
                <w:lang w:eastAsia="en-GB"/>
              </w:rPr>
              <w:t>s</w:t>
            </w:r>
          </w:p>
        </w:tc>
        <w:tc>
          <w:tcPr>
            <w:tcW w:w="2977" w:type="dxa"/>
            <w:shd w:val="clear" w:color="auto" w:fill="8496B0" w:themeFill="text2" w:themeFillTint="99"/>
            <w:vAlign w:val="center"/>
          </w:tcPr>
          <w:p w14:paraId="12E35810" w14:textId="77777777" w:rsidR="00C3788D" w:rsidRPr="00862EB7" w:rsidRDefault="00C3788D" w:rsidP="003E223D">
            <w:pPr>
              <w:jc w:val="center"/>
              <w:rPr>
                <w:rFonts w:ascii="Calibri" w:eastAsia="Times New Roman" w:hAnsi="Calibri" w:cs="Calibri"/>
                <w:b/>
                <w:sz w:val="14"/>
                <w:szCs w:val="14"/>
                <w:lang w:eastAsia="en-GB"/>
              </w:rPr>
            </w:pPr>
            <w:r w:rsidRPr="004D3F60">
              <w:rPr>
                <w:rFonts w:ascii="Calibri" w:eastAsia="Times New Roman" w:hAnsi="Calibri" w:cs="Calibri"/>
                <w:b/>
                <w:sz w:val="14"/>
                <w:szCs w:val="14"/>
                <w:lang w:eastAsia="en-GB"/>
              </w:rPr>
              <w:t>Enforcement body</w:t>
            </w:r>
          </w:p>
        </w:tc>
        <w:tc>
          <w:tcPr>
            <w:tcW w:w="3686" w:type="dxa"/>
            <w:shd w:val="clear" w:color="auto" w:fill="8496B0" w:themeFill="text2" w:themeFillTint="99"/>
            <w:vAlign w:val="center"/>
          </w:tcPr>
          <w:p w14:paraId="36B623F2" w14:textId="77777777" w:rsidR="00C3788D" w:rsidRPr="00137660" w:rsidRDefault="00C3788D" w:rsidP="003E223D">
            <w:pPr>
              <w:jc w:val="center"/>
              <w:rPr>
                <w:rFonts w:ascii="Calibri" w:eastAsia="Times New Roman" w:hAnsi="Calibri" w:cs="Calibri"/>
                <w:b/>
                <w:sz w:val="14"/>
                <w:szCs w:val="14"/>
                <w:lang w:eastAsia="en-GB"/>
              </w:rPr>
            </w:pPr>
            <w:r>
              <w:rPr>
                <w:rFonts w:ascii="Calibri" w:eastAsia="Times New Roman" w:hAnsi="Calibri" w:cs="Calibri"/>
                <w:b/>
                <w:sz w:val="14"/>
                <w:szCs w:val="14"/>
                <w:lang w:eastAsia="en-GB"/>
              </w:rPr>
              <w:t>Selected r</w:t>
            </w:r>
            <w:r w:rsidRPr="00137660">
              <w:rPr>
                <w:rFonts w:ascii="Calibri" w:eastAsia="Times New Roman" w:hAnsi="Calibri" w:cs="Calibri"/>
                <w:b/>
                <w:sz w:val="14"/>
                <w:szCs w:val="14"/>
                <w:lang w:eastAsia="en-GB"/>
              </w:rPr>
              <w:t>eferences for further information</w:t>
            </w:r>
          </w:p>
        </w:tc>
      </w:tr>
      <w:tr w:rsidR="00C3788D" w:rsidRPr="00E54D85" w14:paraId="0774A055" w14:textId="77777777" w:rsidTr="003E223D">
        <w:trPr>
          <w:trHeight w:val="184"/>
        </w:trPr>
        <w:tc>
          <w:tcPr>
            <w:tcW w:w="567" w:type="dxa"/>
            <w:vAlign w:val="center"/>
          </w:tcPr>
          <w:p w14:paraId="503EC0C0"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1</w:t>
            </w:r>
          </w:p>
        </w:tc>
        <w:tc>
          <w:tcPr>
            <w:tcW w:w="3969" w:type="dxa"/>
          </w:tcPr>
          <w:p w14:paraId="1275648A" w14:textId="77777777" w:rsidR="00C3788D" w:rsidRPr="0039047F" w:rsidRDefault="00C3788D" w:rsidP="00EC3985">
            <w:pPr>
              <w:pStyle w:val="ListParagraph"/>
              <w:numPr>
                <w:ilvl w:val="0"/>
                <w:numId w:val="15"/>
              </w:numPr>
              <w:rPr>
                <w:rFonts w:ascii="Calibri" w:eastAsia="Times New Roman" w:hAnsi="Calibri" w:cs="Calibri"/>
                <w:sz w:val="14"/>
                <w:szCs w:val="14"/>
                <w:lang w:eastAsia="en-GB"/>
              </w:rPr>
            </w:pPr>
            <w:r w:rsidRPr="0039047F">
              <w:rPr>
                <w:rFonts w:ascii="Calibri" w:eastAsia="Times New Roman" w:hAnsi="Calibri" w:cs="Calibri"/>
                <w:sz w:val="14"/>
                <w:szCs w:val="14"/>
                <w:lang w:eastAsia="en-GB"/>
              </w:rPr>
              <w:t>Transparent, clear, consistent and long-term (i.e. in line with infrastructure investment timelines) electricity market regulations</w:t>
            </w:r>
          </w:p>
        </w:tc>
        <w:tc>
          <w:tcPr>
            <w:tcW w:w="2977" w:type="dxa"/>
          </w:tcPr>
          <w:p w14:paraId="3C9EACFE" w14:textId="77777777" w:rsidR="00C3788D" w:rsidRPr="00B53A08" w:rsidRDefault="00C3788D" w:rsidP="003E223D">
            <w:pPr>
              <w:pStyle w:val="Heading3"/>
              <w:shd w:val="clear" w:color="auto" w:fill="FFFFFF"/>
              <w:spacing w:before="0"/>
              <w:outlineLvl w:val="2"/>
              <w:rPr>
                <w:rFonts w:ascii="Calibri" w:eastAsia="Times New Roman" w:hAnsi="Calibri" w:cs="Times New Roman"/>
                <w:i w:val="0"/>
                <w:color w:val="222222"/>
                <w:sz w:val="14"/>
                <w:szCs w:val="14"/>
                <w:shd w:val="clear" w:color="auto" w:fill="FFFFFF"/>
                <w:lang w:val="en-US" w:eastAsia="de-DE"/>
              </w:rPr>
            </w:pPr>
            <w:r>
              <w:rPr>
                <w:rFonts w:ascii="Calibri" w:eastAsia="Times New Roman" w:hAnsi="Calibri" w:cs="Times New Roman"/>
                <w:bCs/>
                <w:i w:val="0"/>
                <w:color w:val="222222"/>
                <w:sz w:val="14"/>
                <w:szCs w:val="14"/>
                <w:shd w:val="clear" w:color="auto" w:fill="FFFFFF"/>
                <w:lang w:val="en-US" w:eastAsia="de-DE"/>
              </w:rPr>
              <w:t xml:space="preserve">Gas and Electricity Markets </w:t>
            </w:r>
            <w:r w:rsidRPr="00B53A08">
              <w:rPr>
                <w:rFonts w:ascii="Calibri" w:eastAsia="Times New Roman" w:hAnsi="Calibri" w:cs="Times New Roman"/>
                <w:bCs/>
                <w:i w:val="0"/>
                <w:color w:val="222222"/>
                <w:sz w:val="14"/>
                <w:szCs w:val="14"/>
                <w:shd w:val="clear" w:color="auto" w:fill="FFFFFF"/>
                <w:lang w:val="en-US" w:eastAsia="de-DE"/>
              </w:rPr>
              <w:t>Authority</w:t>
            </w:r>
            <w:r w:rsidRPr="00B53A08">
              <w:rPr>
                <w:rFonts w:ascii="Calibri" w:eastAsia="Times New Roman" w:hAnsi="Calibri" w:cs="Times New Roman"/>
                <w:i w:val="0"/>
                <w:color w:val="222222"/>
                <w:sz w:val="14"/>
                <w:szCs w:val="14"/>
                <w:shd w:val="clear" w:color="auto" w:fill="FFFFFF"/>
                <w:lang w:val="en-US" w:eastAsia="de-DE"/>
              </w:rPr>
              <w:t> (</w:t>
            </w:r>
            <w:r w:rsidRPr="00B53A08">
              <w:rPr>
                <w:rFonts w:ascii="Calibri" w:eastAsia="Times New Roman" w:hAnsi="Calibri" w:cs="Times New Roman"/>
                <w:bCs/>
                <w:i w:val="0"/>
                <w:color w:val="222222"/>
                <w:sz w:val="14"/>
                <w:szCs w:val="14"/>
                <w:shd w:val="clear" w:color="auto" w:fill="FFFFFF"/>
                <w:lang w:val="en-US" w:eastAsia="de-DE"/>
              </w:rPr>
              <w:t>GEMA</w:t>
            </w:r>
            <w:r w:rsidRPr="00B53A08">
              <w:rPr>
                <w:rFonts w:ascii="Calibri" w:eastAsia="Times New Roman" w:hAnsi="Calibri" w:cs="Times New Roman"/>
                <w:i w:val="0"/>
                <w:color w:val="222222"/>
                <w:sz w:val="14"/>
                <w:szCs w:val="14"/>
                <w:shd w:val="clear" w:color="auto" w:fill="FFFFFF"/>
                <w:lang w:val="en-US" w:eastAsia="de-DE"/>
              </w:rPr>
              <w:t>)</w:t>
            </w:r>
          </w:p>
        </w:tc>
        <w:tc>
          <w:tcPr>
            <w:tcW w:w="3686" w:type="dxa"/>
          </w:tcPr>
          <w:p w14:paraId="2E5F6238" w14:textId="77777777" w:rsidR="00C3788D" w:rsidRDefault="00C3788D" w:rsidP="003E223D">
            <w:pPr>
              <w:rPr>
                <w:rFonts w:eastAsia="Times New Roman" w:cstheme="minorHAnsi"/>
                <w:b/>
                <w:sz w:val="14"/>
                <w:szCs w:val="14"/>
                <w:lang w:eastAsia="en-GB"/>
              </w:rPr>
            </w:pPr>
            <w:r>
              <w:rPr>
                <w:rFonts w:eastAsia="Times New Roman" w:cstheme="minorHAnsi"/>
                <w:b/>
                <w:sz w:val="14"/>
                <w:szCs w:val="14"/>
                <w:lang w:eastAsia="en-GB"/>
              </w:rPr>
              <w:t xml:space="preserve">Electricity market regulations: </w:t>
            </w:r>
          </w:p>
          <w:p w14:paraId="1C47BEEF" w14:textId="77777777" w:rsidR="00C3788D" w:rsidRPr="00E54D85" w:rsidRDefault="00C3788D" w:rsidP="00EC3985">
            <w:pPr>
              <w:pStyle w:val="ListParagraph"/>
              <w:numPr>
                <w:ilvl w:val="0"/>
                <w:numId w:val="15"/>
              </w:numPr>
              <w:rPr>
                <w:rFonts w:ascii="Calibri" w:eastAsia="Times New Roman" w:hAnsi="Calibri" w:cs="Calibri"/>
                <w:sz w:val="14"/>
                <w:szCs w:val="14"/>
                <w:lang w:val="de-CH" w:eastAsia="en-GB"/>
              </w:rPr>
            </w:pPr>
            <w:r w:rsidRPr="00E54D85">
              <w:rPr>
                <w:rFonts w:ascii="Calibri" w:eastAsia="Times New Roman" w:hAnsi="Calibri" w:cs="Calibri"/>
                <w:sz w:val="14"/>
                <w:szCs w:val="14"/>
                <w:lang w:val="de-CH" w:eastAsia="en-GB"/>
              </w:rPr>
              <w:t xml:space="preserve">Lüthi &amp; Prässler (2011); Polzin et al. (2015); </w:t>
            </w:r>
            <w:r w:rsidRPr="00E54D85">
              <w:rPr>
                <w:rFonts w:ascii="Calibri" w:hAnsi="Calibri" w:cs="Calibri"/>
                <w:color w:val="222222"/>
                <w:sz w:val="14"/>
                <w:szCs w:val="14"/>
                <w:lang w:val="de-CH"/>
              </w:rPr>
              <w:t>Ländner et al. (2019)</w:t>
            </w:r>
          </w:p>
        </w:tc>
      </w:tr>
      <w:tr w:rsidR="00C3788D" w:rsidRPr="00137660" w14:paraId="3867533A" w14:textId="77777777" w:rsidTr="003E223D">
        <w:trPr>
          <w:trHeight w:val="184"/>
        </w:trPr>
        <w:tc>
          <w:tcPr>
            <w:tcW w:w="567" w:type="dxa"/>
            <w:vAlign w:val="center"/>
          </w:tcPr>
          <w:p w14:paraId="203797A0"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2</w:t>
            </w:r>
          </w:p>
        </w:tc>
        <w:tc>
          <w:tcPr>
            <w:tcW w:w="3969" w:type="dxa"/>
          </w:tcPr>
          <w:p w14:paraId="0FC09830" w14:textId="77777777" w:rsidR="00C3788D" w:rsidRPr="00010649" w:rsidRDefault="00C3788D" w:rsidP="00EC3985">
            <w:pPr>
              <w:pStyle w:val="ListParagraph"/>
              <w:numPr>
                <w:ilvl w:val="0"/>
                <w:numId w:val="15"/>
              </w:numPr>
              <w:rPr>
                <w:rFonts w:ascii="Calibri" w:eastAsia="Times New Roman" w:hAnsi="Calibri" w:cs="Calibri"/>
                <w:sz w:val="14"/>
                <w:szCs w:val="14"/>
                <w:lang w:eastAsia="en-GB"/>
              </w:rPr>
            </w:pPr>
            <w:r>
              <w:rPr>
                <w:rFonts w:ascii="Calibri" w:eastAsia="Times New Roman" w:hAnsi="Calibri" w:cs="Calibri"/>
                <w:sz w:val="14"/>
                <w:szCs w:val="14"/>
                <w:lang w:eastAsia="en-GB"/>
              </w:rPr>
              <w:t>Development and establishment of a t</w:t>
            </w:r>
            <w:r w:rsidRPr="00D27574">
              <w:rPr>
                <w:rFonts w:ascii="Calibri" w:eastAsia="Times New Roman" w:hAnsi="Calibri" w:cs="Calibri"/>
                <w:sz w:val="14"/>
                <w:szCs w:val="14"/>
                <w:lang w:eastAsia="en-GB"/>
              </w:rPr>
              <w:t>ransparent, clear, consistent and long-term (i.e. in line with infrastructure investment timelines) policy framework, direction and vision</w:t>
            </w:r>
          </w:p>
          <w:p w14:paraId="6A9B32B7" w14:textId="77777777" w:rsidR="00C3788D" w:rsidRPr="00010649" w:rsidRDefault="00C3788D" w:rsidP="00EC3985">
            <w:pPr>
              <w:pStyle w:val="ListParagraph"/>
              <w:numPr>
                <w:ilvl w:val="0"/>
                <w:numId w:val="15"/>
              </w:numPr>
              <w:rPr>
                <w:rFonts w:ascii="Calibri" w:eastAsia="Times New Roman" w:hAnsi="Calibri" w:cs="Calibri"/>
                <w:sz w:val="14"/>
                <w:szCs w:val="14"/>
                <w:lang w:eastAsia="en-GB"/>
              </w:rPr>
            </w:pPr>
            <w:r w:rsidRPr="00010649">
              <w:rPr>
                <w:rFonts w:eastAsia="Times New Roman"/>
                <w:sz w:val="14"/>
                <w:szCs w:val="14"/>
              </w:rPr>
              <w:t>Establish a national infrastructure strategy and road</w:t>
            </w:r>
            <w:r>
              <w:rPr>
                <w:rFonts w:eastAsia="Times New Roman"/>
                <w:sz w:val="14"/>
                <w:szCs w:val="14"/>
              </w:rPr>
              <w:t xml:space="preserve"> map with project pipeline. This strategy</w:t>
            </w:r>
            <w:r w:rsidRPr="00010649">
              <w:rPr>
                <w:rFonts w:eastAsia="Times New Roman"/>
                <w:sz w:val="14"/>
                <w:szCs w:val="14"/>
              </w:rPr>
              <w:t xml:space="preserve"> </w:t>
            </w:r>
            <w:r>
              <w:rPr>
                <w:rFonts w:eastAsia="Times New Roman"/>
                <w:sz w:val="14"/>
                <w:szCs w:val="14"/>
              </w:rPr>
              <w:t xml:space="preserve">should indicate timing, capacity needs, the </w:t>
            </w:r>
            <w:r w:rsidRPr="00010649">
              <w:rPr>
                <w:rFonts w:eastAsia="Times New Roman"/>
                <w:sz w:val="14"/>
                <w:szCs w:val="14"/>
              </w:rPr>
              <w:t>location for new assets</w:t>
            </w:r>
            <w:r>
              <w:rPr>
                <w:rFonts w:eastAsia="Times New Roman"/>
                <w:sz w:val="14"/>
                <w:szCs w:val="14"/>
              </w:rPr>
              <w:t xml:space="preserve">, </w:t>
            </w:r>
            <w:r w:rsidRPr="00010649">
              <w:rPr>
                <w:rFonts w:eastAsia="Times New Roman"/>
                <w:sz w:val="14"/>
                <w:szCs w:val="14"/>
              </w:rPr>
              <w:t>the duratio</w:t>
            </w:r>
            <w:r>
              <w:rPr>
                <w:rFonts w:eastAsia="Times New Roman"/>
                <w:sz w:val="14"/>
                <w:szCs w:val="14"/>
              </w:rPr>
              <w:t>n and level of support policies</w:t>
            </w:r>
            <w:r w:rsidRPr="00010649">
              <w:rPr>
                <w:rFonts w:eastAsia="Times New Roman"/>
                <w:sz w:val="14"/>
                <w:szCs w:val="14"/>
              </w:rPr>
              <w:t xml:space="preserve"> and technology</w:t>
            </w:r>
            <w:r>
              <w:rPr>
                <w:rFonts w:eastAsia="Times New Roman"/>
                <w:sz w:val="14"/>
                <w:szCs w:val="14"/>
              </w:rPr>
              <w:t xml:space="preserve"> </w:t>
            </w:r>
            <w:r w:rsidRPr="00010649">
              <w:rPr>
                <w:rFonts w:eastAsia="Times New Roman"/>
                <w:sz w:val="14"/>
                <w:szCs w:val="14"/>
              </w:rPr>
              <w:t>specific considerations</w:t>
            </w:r>
            <w:r>
              <w:rPr>
                <w:rStyle w:val="FootnoteReference"/>
                <w:rFonts w:ascii="Calibri" w:eastAsia="Times New Roman" w:hAnsi="Calibri" w:cs="Calibri"/>
                <w:sz w:val="14"/>
                <w:szCs w:val="14"/>
                <w:lang w:eastAsia="en-GB"/>
              </w:rPr>
              <w:footnoteReference w:id="14"/>
            </w:r>
          </w:p>
          <w:p w14:paraId="5EF5890B" w14:textId="77777777" w:rsidR="00C3788D" w:rsidRPr="001D047C" w:rsidRDefault="00C3788D" w:rsidP="00EC3985">
            <w:pPr>
              <w:pStyle w:val="ListParagraph"/>
              <w:numPr>
                <w:ilvl w:val="0"/>
                <w:numId w:val="15"/>
              </w:numPr>
              <w:rPr>
                <w:rFonts w:ascii="Calibri" w:eastAsia="Times New Roman" w:hAnsi="Calibri" w:cs="Calibri"/>
                <w:sz w:val="14"/>
                <w:szCs w:val="14"/>
                <w:lang w:eastAsia="en-GB"/>
              </w:rPr>
            </w:pPr>
            <w:r w:rsidRPr="00010649">
              <w:rPr>
                <w:rFonts w:ascii="Calibri" w:eastAsia="Times New Roman" w:hAnsi="Calibri" w:cs="Calibri"/>
                <w:sz w:val="14"/>
                <w:szCs w:val="14"/>
                <w:lang w:eastAsia="en-GB"/>
              </w:rPr>
              <w:t>Conduct public opinion campaigning, lobbying and coalition building</w:t>
            </w:r>
          </w:p>
        </w:tc>
        <w:tc>
          <w:tcPr>
            <w:tcW w:w="2977" w:type="dxa"/>
          </w:tcPr>
          <w:p w14:paraId="0C9760C9" w14:textId="77777777" w:rsidR="00C3788D" w:rsidRPr="002D3526" w:rsidRDefault="00C3788D" w:rsidP="003E223D">
            <w:pPr>
              <w:rPr>
                <w:rFonts w:ascii="Calibri" w:eastAsia="Times New Roman" w:hAnsi="Calibri" w:cs="Calibri"/>
                <w:sz w:val="14"/>
                <w:szCs w:val="14"/>
                <w:lang w:eastAsia="en-GB"/>
              </w:rPr>
            </w:pPr>
            <w:r w:rsidRPr="002D3526">
              <w:rPr>
                <w:rFonts w:ascii="Calibri" w:eastAsia="Times New Roman" w:hAnsi="Calibri" w:cs="Calibri"/>
                <w:sz w:val="14"/>
                <w:szCs w:val="14"/>
                <w:lang w:eastAsia="en-GB"/>
              </w:rPr>
              <w:t>Amendment of the policy framework: UK Government and relevant sub-departments (e.g. Department for Business, Energy &amp; Industrial Strategy)</w:t>
            </w:r>
          </w:p>
          <w:p w14:paraId="2668C72D" w14:textId="77777777" w:rsidR="00C3788D" w:rsidRPr="002D3526" w:rsidRDefault="00C3788D" w:rsidP="003E223D">
            <w:pPr>
              <w:rPr>
                <w:rFonts w:ascii="Calibri" w:eastAsia="Times New Roman" w:hAnsi="Calibri" w:cs="Calibri"/>
                <w:sz w:val="14"/>
                <w:szCs w:val="14"/>
                <w:lang w:eastAsia="en-GB"/>
              </w:rPr>
            </w:pPr>
          </w:p>
          <w:p w14:paraId="1CADE01E" w14:textId="77777777" w:rsidR="00C3788D" w:rsidRPr="002D3526" w:rsidRDefault="00C3788D" w:rsidP="003E223D">
            <w:pPr>
              <w:rPr>
                <w:rFonts w:ascii="Calibri" w:eastAsia="Times New Roman" w:hAnsi="Calibri" w:cs="Calibri"/>
                <w:sz w:val="14"/>
                <w:szCs w:val="14"/>
                <w:lang w:eastAsia="en-GB"/>
              </w:rPr>
            </w:pPr>
            <w:r w:rsidRPr="002D3526">
              <w:rPr>
                <w:rFonts w:ascii="Calibri" w:eastAsia="Times New Roman" w:hAnsi="Calibri" w:cs="Calibri"/>
                <w:sz w:val="14"/>
                <w:szCs w:val="14"/>
                <w:lang w:eastAsia="en-GB"/>
              </w:rPr>
              <w:t>Information provision</w:t>
            </w:r>
            <w:r>
              <w:rPr>
                <w:rFonts w:ascii="Calibri" w:eastAsia="Times New Roman" w:hAnsi="Calibri" w:cs="Calibri"/>
                <w:sz w:val="14"/>
                <w:szCs w:val="14"/>
                <w:lang w:eastAsia="en-GB"/>
              </w:rPr>
              <w:t xml:space="preserve"> to society and other stakeholders</w:t>
            </w:r>
            <w:r w:rsidRPr="002D3526">
              <w:rPr>
                <w:rFonts w:ascii="Calibri" w:eastAsia="Times New Roman" w:hAnsi="Calibri" w:cs="Calibri"/>
                <w:sz w:val="14"/>
                <w:szCs w:val="14"/>
                <w:lang w:eastAsia="en-GB"/>
              </w:rPr>
              <w:t xml:space="preserve">: </w:t>
            </w:r>
            <w:r>
              <w:rPr>
                <w:rFonts w:ascii="Calibri" w:eastAsia="Times New Roman" w:hAnsi="Calibri" w:cs="Calibri"/>
                <w:sz w:val="14"/>
                <w:szCs w:val="14"/>
                <w:lang w:eastAsia="en-GB"/>
              </w:rPr>
              <w:t>e</w:t>
            </w:r>
            <w:r w:rsidRPr="002D3526">
              <w:rPr>
                <w:rFonts w:ascii="Calibri" w:eastAsia="Times New Roman" w:hAnsi="Calibri" w:cs="Calibri"/>
                <w:sz w:val="14"/>
                <w:szCs w:val="14"/>
                <w:lang w:eastAsia="en-GB"/>
              </w:rPr>
              <w:t>ducational charities, NGO’s or Schools/Universities (e.g. Curriculum amendments)</w:t>
            </w:r>
          </w:p>
        </w:tc>
        <w:tc>
          <w:tcPr>
            <w:tcW w:w="3686" w:type="dxa"/>
          </w:tcPr>
          <w:p w14:paraId="557B9F69" w14:textId="77777777" w:rsidR="00C3788D" w:rsidRPr="002D3526" w:rsidRDefault="00C3788D" w:rsidP="003E223D">
            <w:pPr>
              <w:rPr>
                <w:rFonts w:ascii="Calibri" w:eastAsia="Times New Roman" w:hAnsi="Calibri" w:cs="Calibri"/>
                <w:b/>
                <w:sz w:val="14"/>
                <w:szCs w:val="14"/>
                <w:lang w:eastAsia="en-GB"/>
              </w:rPr>
            </w:pPr>
            <w:r w:rsidRPr="002D3526">
              <w:rPr>
                <w:rFonts w:ascii="Calibri" w:eastAsia="Times New Roman" w:hAnsi="Calibri" w:cs="Calibri"/>
                <w:b/>
                <w:sz w:val="14"/>
                <w:szCs w:val="14"/>
                <w:lang w:eastAsia="en-GB"/>
              </w:rPr>
              <w:t>Consistent long-term policy framework and direction:</w:t>
            </w:r>
          </w:p>
          <w:p w14:paraId="029F680C" w14:textId="77777777" w:rsidR="00C3788D" w:rsidRPr="002D3526" w:rsidRDefault="00C3788D" w:rsidP="00EC3985">
            <w:pPr>
              <w:pStyle w:val="ListParagraph"/>
              <w:numPr>
                <w:ilvl w:val="0"/>
                <w:numId w:val="13"/>
              </w:numPr>
              <w:rPr>
                <w:rFonts w:ascii="Calibri" w:eastAsia="Times New Roman" w:hAnsi="Calibri" w:cs="Calibri"/>
                <w:sz w:val="14"/>
                <w:szCs w:val="14"/>
                <w:lang w:eastAsia="en-GB"/>
              </w:rPr>
            </w:pPr>
            <w:r w:rsidRPr="002D3526">
              <w:rPr>
                <w:rFonts w:ascii="Calibri" w:eastAsia="Times New Roman" w:hAnsi="Calibri" w:cs="Calibri"/>
                <w:sz w:val="14"/>
                <w:szCs w:val="14"/>
                <w:lang w:eastAsia="en-GB"/>
              </w:rPr>
              <w:t xml:space="preserve">Hamilton (2009); IIGCC </w:t>
            </w:r>
            <w:r>
              <w:rPr>
                <w:rFonts w:ascii="Calibri" w:eastAsia="Times New Roman" w:hAnsi="Calibri" w:cs="Calibri"/>
                <w:sz w:val="14"/>
                <w:szCs w:val="14"/>
                <w:lang w:eastAsia="en-GB"/>
              </w:rPr>
              <w:t xml:space="preserve">et al. </w:t>
            </w:r>
            <w:r w:rsidRPr="002D3526">
              <w:rPr>
                <w:rFonts w:ascii="Calibri" w:eastAsia="Times New Roman" w:hAnsi="Calibri" w:cs="Calibri"/>
                <w:sz w:val="14"/>
                <w:szCs w:val="14"/>
                <w:lang w:eastAsia="en-GB"/>
              </w:rPr>
              <w:t xml:space="preserve">(2011); </w:t>
            </w:r>
            <w:r w:rsidRPr="00633C2A">
              <w:rPr>
                <w:rFonts w:ascii="Calibri" w:eastAsia="Times New Roman" w:hAnsi="Calibri" w:cs="Calibri"/>
                <w:sz w:val="14"/>
                <w:szCs w:val="14"/>
                <w:lang w:eastAsia="en-GB"/>
              </w:rPr>
              <w:t xml:space="preserve">OECD (2012; 2015; 2017); House of Commons (2016); </w:t>
            </w:r>
            <w:proofErr w:type="spellStart"/>
            <w:r w:rsidRPr="00633C2A">
              <w:rPr>
                <w:rFonts w:ascii="Calibri" w:eastAsia="Times New Roman" w:hAnsi="Calibri" w:cs="Calibri"/>
                <w:sz w:val="14"/>
                <w:szCs w:val="14"/>
                <w:lang w:eastAsia="en-GB"/>
              </w:rPr>
              <w:t>L</w:t>
            </w:r>
            <w:r w:rsidRPr="00633C2A">
              <w:rPr>
                <w:rFonts w:ascii="Calibri" w:hAnsi="Calibri" w:cs="Calibri"/>
                <w:color w:val="222222"/>
                <w:sz w:val="14"/>
                <w:szCs w:val="14"/>
              </w:rPr>
              <w:t>ü</w:t>
            </w:r>
            <w:r w:rsidRPr="00633C2A">
              <w:rPr>
                <w:rFonts w:ascii="Calibri" w:eastAsia="Times New Roman" w:hAnsi="Calibri" w:cs="Calibri"/>
                <w:sz w:val="14"/>
                <w:szCs w:val="14"/>
                <w:lang w:eastAsia="en-GB"/>
              </w:rPr>
              <w:t>thi</w:t>
            </w:r>
            <w:proofErr w:type="spellEnd"/>
            <w:r w:rsidRPr="00633C2A">
              <w:rPr>
                <w:rFonts w:ascii="Calibri" w:eastAsia="Times New Roman" w:hAnsi="Calibri" w:cs="Calibri"/>
                <w:sz w:val="14"/>
                <w:szCs w:val="14"/>
                <w:lang w:eastAsia="en-GB"/>
              </w:rPr>
              <w:t xml:space="preserve"> &amp;</w:t>
            </w:r>
            <w:r w:rsidRPr="002D3526">
              <w:rPr>
                <w:rFonts w:ascii="Calibri" w:eastAsia="Times New Roman" w:hAnsi="Calibri" w:cs="Calibri"/>
                <w:sz w:val="14"/>
                <w:szCs w:val="14"/>
                <w:lang w:eastAsia="en-GB"/>
              </w:rPr>
              <w:t xml:space="preserve"> </w:t>
            </w:r>
            <w:proofErr w:type="spellStart"/>
            <w:r w:rsidRPr="002D3526">
              <w:rPr>
                <w:rFonts w:ascii="Calibri" w:eastAsia="Times New Roman" w:hAnsi="Calibri" w:cs="Calibri"/>
                <w:sz w:val="14"/>
                <w:szCs w:val="14"/>
                <w:lang w:eastAsia="en-GB"/>
              </w:rPr>
              <w:t>W</w:t>
            </w:r>
            <w:r w:rsidRPr="002D3526">
              <w:rPr>
                <w:rFonts w:ascii="Calibri" w:hAnsi="Calibri" w:cs="Calibri"/>
                <w:color w:val="222222"/>
                <w:sz w:val="14"/>
                <w:szCs w:val="14"/>
              </w:rPr>
              <w:t>ü</w:t>
            </w:r>
            <w:r w:rsidRPr="002D3526">
              <w:rPr>
                <w:rFonts w:ascii="Calibri" w:eastAsia="Times New Roman" w:hAnsi="Calibri" w:cs="Calibri"/>
                <w:sz w:val="14"/>
                <w:szCs w:val="14"/>
                <w:lang w:eastAsia="en-GB"/>
              </w:rPr>
              <w:t>stenhagen</w:t>
            </w:r>
            <w:proofErr w:type="spellEnd"/>
            <w:r w:rsidRPr="002D3526">
              <w:rPr>
                <w:rFonts w:ascii="Calibri" w:eastAsia="Times New Roman" w:hAnsi="Calibri" w:cs="Calibri"/>
                <w:sz w:val="14"/>
                <w:szCs w:val="14"/>
                <w:lang w:eastAsia="en-GB"/>
              </w:rPr>
              <w:t xml:space="preserve"> (2012); Jones (2012; 2015); Vogt-</w:t>
            </w:r>
            <w:proofErr w:type="spellStart"/>
            <w:r w:rsidRPr="002D3526">
              <w:rPr>
                <w:rFonts w:ascii="Calibri" w:eastAsia="Times New Roman" w:hAnsi="Calibri" w:cs="Calibri"/>
                <w:sz w:val="14"/>
                <w:szCs w:val="14"/>
                <w:lang w:eastAsia="en-GB"/>
              </w:rPr>
              <w:t>Schilb</w:t>
            </w:r>
            <w:proofErr w:type="spellEnd"/>
            <w:r w:rsidRPr="002D3526">
              <w:rPr>
                <w:rFonts w:ascii="Calibri" w:eastAsia="Times New Roman" w:hAnsi="Calibri" w:cs="Calibri"/>
                <w:sz w:val="14"/>
                <w:szCs w:val="14"/>
                <w:lang w:eastAsia="en-GB"/>
              </w:rPr>
              <w:t xml:space="preserve"> &amp; </w:t>
            </w:r>
            <w:proofErr w:type="spellStart"/>
            <w:r w:rsidRPr="002D3526">
              <w:rPr>
                <w:rFonts w:ascii="Calibri" w:eastAsia="Times New Roman" w:hAnsi="Calibri" w:cs="Calibri"/>
                <w:sz w:val="14"/>
                <w:szCs w:val="14"/>
                <w:lang w:eastAsia="en-GB"/>
              </w:rPr>
              <w:t>Halegatte</w:t>
            </w:r>
            <w:proofErr w:type="spellEnd"/>
            <w:r w:rsidRPr="002D3526">
              <w:rPr>
                <w:rFonts w:ascii="Calibri" w:eastAsia="Times New Roman" w:hAnsi="Calibri" w:cs="Calibri"/>
                <w:sz w:val="14"/>
                <w:szCs w:val="14"/>
                <w:lang w:eastAsia="en-GB"/>
              </w:rPr>
              <w:t xml:space="preserve"> (2017); </w:t>
            </w:r>
            <w:proofErr w:type="spellStart"/>
            <w:r w:rsidRPr="002D3526">
              <w:rPr>
                <w:rFonts w:ascii="Calibri" w:eastAsia="Times New Roman" w:hAnsi="Calibri" w:cs="Calibri"/>
                <w:sz w:val="14"/>
                <w:szCs w:val="14"/>
                <w:lang w:eastAsia="en-GB"/>
              </w:rPr>
              <w:t>Bellantuono</w:t>
            </w:r>
            <w:proofErr w:type="spellEnd"/>
            <w:r w:rsidRPr="002D3526">
              <w:rPr>
                <w:rFonts w:ascii="Calibri" w:eastAsia="Times New Roman" w:hAnsi="Calibri" w:cs="Calibri"/>
                <w:sz w:val="14"/>
                <w:szCs w:val="14"/>
                <w:lang w:eastAsia="en-GB"/>
              </w:rPr>
              <w:t xml:space="preserve"> (2017)  </w:t>
            </w:r>
          </w:p>
        </w:tc>
      </w:tr>
      <w:tr w:rsidR="00C3788D" w:rsidRPr="009E5331" w14:paraId="156D9A3E" w14:textId="77777777" w:rsidTr="003E223D">
        <w:trPr>
          <w:trHeight w:val="173"/>
        </w:trPr>
        <w:tc>
          <w:tcPr>
            <w:tcW w:w="567" w:type="dxa"/>
            <w:vAlign w:val="center"/>
          </w:tcPr>
          <w:p w14:paraId="6EF09AC2"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3</w:t>
            </w:r>
          </w:p>
        </w:tc>
        <w:tc>
          <w:tcPr>
            <w:tcW w:w="3969" w:type="dxa"/>
          </w:tcPr>
          <w:p w14:paraId="1F6DE849" w14:textId="77777777" w:rsidR="00C3788D" w:rsidRPr="0039047F" w:rsidRDefault="00C3788D" w:rsidP="00EC3985">
            <w:pPr>
              <w:pStyle w:val="ListParagraph"/>
              <w:numPr>
                <w:ilvl w:val="0"/>
                <w:numId w:val="15"/>
              </w:numPr>
              <w:rPr>
                <w:rFonts w:eastAsia="Times New Roman" w:cstheme="minorHAnsi"/>
                <w:sz w:val="14"/>
                <w:szCs w:val="14"/>
                <w:lang w:eastAsia="en-GB"/>
              </w:rPr>
            </w:pPr>
            <w:r w:rsidRPr="0039047F">
              <w:rPr>
                <w:rFonts w:eastAsia="Times New Roman" w:cstheme="minorHAnsi"/>
                <w:sz w:val="14"/>
                <w:szCs w:val="14"/>
                <w:lang w:eastAsia="en-GB"/>
              </w:rPr>
              <w:t>Removal of incentives for the production or use of fossil fuels or gas (e.g. in form of tax breaks</w:t>
            </w:r>
            <w:r>
              <w:rPr>
                <w:rFonts w:eastAsia="Times New Roman" w:cstheme="minorHAnsi"/>
                <w:sz w:val="14"/>
                <w:szCs w:val="14"/>
                <w:lang w:eastAsia="en-GB"/>
              </w:rPr>
              <w:t>; reduced VAT rates on electricity and gas</w:t>
            </w:r>
            <w:r w:rsidRPr="0039047F">
              <w:rPr>
                <w:rFonts w:eastAsia="Times New Roman" w:cstheme="minorHAnsi"/>
                <w:sz w:val="14"/>
                <w:szCs w:val="14"/>
                <w:lang w:eastAsia="en-GB"/>
              </w:rPr>
              <w:t>)</w:t>
            </w:r>
          </w:p>
          <w:p w14:paraId="5674E9E5" w14:textId="77777777" w:rsidR="00C3788D" w:rsidRPr="0039047F" w:rsidRDefault="00C3788D" w:rsidP="00EC3985">
            <w:pPr>
              <w:pStyle w:val="ListParagraph"/>
              <w:numPr>
                <w:ilvl w:val="0"/>
                <w:numId w:val="15"/>
              </w:numPr>
              <w:rPr>
                <w:rFonts w:eastAsia="Times New Roman" w:cstheme="minorHAnsi"/>
                <w:sz w:val="14"/>
                <w:szCs w:val="14"/>
                <w:lang w:eastAsia="en-GB"/>
              </w:rPr>
            </w:pPr>
            <w:r w:rsidRPr="0039047F">
              <w:rPr>
                <w:rFonts w:eastAsia="Times New Roman" w:cstheme="minorHAnsi"/>
                <w:sz w:val="14"/>
                <w:szCs w:val="14"/>
                <w:lang w:eastAsia="en-GB"/>
              </w:rPr>
              <w:t xml:space="preserve">Pricing of carbon emission via a carbon tax or a cap-and-trade system </w:t>
            </w:r>
            <w:r>
              <w:rPr>
                <w:rFonts w:eastAsia="Times New Roman" w:cstheme="minorHAnsi"/>
                <w:sz w:val="14"/>
                <w:szCs w:val="14"/>
                <w:lang w:eastAsia="en-GB"/>
              </w:rPr>
              <w:t xml:space="preserve">and thus </w:t>
            </w:r>
            <w:r w:rsidRPr="0039047F">
              <w:rPr>
                <w:rFonts w:eastAsia="Times New Roman" w:cstheme="minorHAnsi"/>
                <w:sz w:val="14"/>
                <w:szCs w:val="14"/>
                <w:lang w:eastAsia="en-GB"/>
              </w:rPr>
              <w:t>integrating the social costs of carbon emissions and correcting for the market failure</w:t>
            </w:r>
            <w:r>
              <w:rPr>
                <w:rFonts w:eastAsia="Times New Roman" w:cstheme="minorHAnsi"/>
                <w:sz w:val="14"/>
                <w:szCs w:val="14"/>
                <w:lang w:eastAsia="en-GB"/>
              </w:rPr>
              <w:t xml:space="preserve"> of the otherwise unpriced negative externalities of carbon emissions</w:t>
            </w:r>
          </w:p>
        </w:tc>
        <w:tc>
          <w:tcPr>
            <w:tcW w:w="2977" w:type="dxa"/>
          </w:tcPr>
          <w:p w14:paraId="5E3DEAEE" w14:textId="77777777" w:rsidR="00C3788D" w:rsidRPr="003B6D0D" w:rsidRDefault="00C3788D" w:rsidP="003E223D">
            <w:pPr>
              <w:rPr>
                <w:rFonts w:cstheme="minorHAnsi"/>
                <w:iCs/>
                <w:color w:val="000000"/>
                <w:sz w:val="14"/>
                <w:szCs w:val="14"/>
              </w:rPr>
            </w:pPr>
            <w:r w:rsidRPr="003B6D0D">
              <w:rPr>
                <w:rFonts w:eastAsia="Times New Roman" w:cstheme="minorHAnsi"/>
                <w:sz w:val="14"/>
                <w:szCs w:val="14"/>
                <w:lang w:eastAsia="en-GB"/>
              </w:rPr>
              <w:t xml:space="preserve">UK Government and </w:t>
            </w:r>
            <w:r>
              <w:rPr>
                <w:rFonts w:eastAsia="Times New Roman" w:cstheme="minorHAnsi"/>
                <w:sz w:val="14"/>
                <w:szCs w:val="14"/>
                <w:lang w:eastAsia="en-GB"/>
              </w:rPr>
              <w:t xml:space="preserve">relevant </w:t>
            </w:r>
            <w:r w:rsidRPr="003B6D0D">
              <w:rPr>
                <w:rFonts w:eastAsia="Times New Roman" w:cstheme="minorHAnsi"/>
                <w:sz w:val="14"/>
                <w:szCs w:val="14"/>
                <w:lang w:eastAsia="en-GB"/>
              </w:rPr>
              <w:t xml:space="preserve">sub-departments </w:t>
            </w:r>
          </w:p>
        </w:tc>
        <w:tc>
          <w:tcPr>
            <w:tcW w:w="3686" w:type="dxa"/>
          </w:tcPr>
          <w:p w14:paraId="086A8627" w14:textId="77777777" w:rsidR="00C3788D" w:rsidRPr="003B6D0D" w:rsidRDefault="00C3788D" w:rsidP="003E223D">
            <w:pPr>
              <w:rPr>
                <w:rFonts w:eastAsia="Times New Roman" w:cstheme="minorHAnsi"/>
                <w:sz w:val="14"/>
                <w:szCs w:val="14"/>
                <w:lang w:eastAsia="en-GB"/>
              </w:rPr>
            </w:pPr>
            <w:r>
              <w:rPr>
                <w:rFonts w:eastAsia="Times New Roman" w:cstheme="minorHAnsi"/>
                <w:b/>
                <w:sz w:val="14"/>
                <w:szCs w:val="14"/>
                <w:lang w:eastAsia="en-GB"/>
              </w:rPr>
              <w:t>R</w:t>
            </w:r>
            <w:r w:rsidRPr="003B6D0D">
              <w:rPr>
                <w:rFonts w:eastAsia="Times New Roman" w:cstheme="minorHAnsi"/>
                <w:b/>
                <w:sz w:val="14"/>
                <w:szCs w:val="14"/>
                <w:lang w:eastAsia="en-GB"/>
              </w:rPr>
              <w:t>emoval of ‘perverse’ incentives</w:t>
            </w:r>
            <w:r>
              <w:rPr>
                <w:rFonts w:eastAsia="Times New Roman" w:cstheme="minorHAnsi"/>
                <w:sz w:val="14"/>
                <w:szCs w:val="14"/>
                <w:lang w:eastAsia="en-GB"/>
              </w:rPr>
              <w:t xml:space="preserve">: </w:t>
            </w:r>
          </w:p>
          <w:p w14:paraId="79A949E6" w14:textId="77777777" w:rsidR="00C3788D" w:rsidRPr="004D3F60" w:rsidRDefault="00C3788D" w:rsidP="00EC3985">
            <w:pPr>
              <w:pStyle w:val="ListParagraph"/>
              <w:numPr>
                <w:ilvl w:val="0"/>
                <w:numId w:val="21"/>
              </w:numPr>
              <w:rPr>
                <w:rFonts w:eastAsia="Times New Roman" w:cstheme="minorHAnsi"/>
                <w:sz w:val="14"/>
                <w:szCs w:val="14"/>
                <w:lang w:val="de-CH" w:eastAsia="en-GB"/>
              </w:rPr>
            </w:pPr>
            <w:r w:rsidRPr="004D3F60">
              <w:rPr>
                <w:rFonts w:cstheme="minorHAnsi"/>
                <w:iCs/>
                <w:color w:val="000000"/>
                <w:sz w:val="14"/>
                <w:szCs w:val="14"/>
                <w:lang w:val="de-CH"/>
              </w:rPr>
              <w:t xml:space="preserve">Kaminker et al. (2013); </w:t>
            </w:r>
            <w:r w:rsidRPr="004D3F60">
              <w:rPr>
                <w:rFonts w:cstheme="minorHAnsi"/>
                <w:color w:val="000000"/>
                <w:sz w:val="14"/>
                <w:szCs w:val="14"/>
                <w:lang w:val="de-CH"/>
              </w:rPr>
              <w:t xml:space="preserve">Rentschler &amp; </w:t>
            </w:r>
            <w:r w:rsidRPr="00B11F3C">
              <w:rPr>
                <w:rFonts w:ascii="Calibri" w:hAnsi="Calibri" w:cs="Calibri"/>
                <w:color w:val="222222"/>
                <w:sz w:val="14"/>
                <w:szCs w:val="14"/>
                <w:lang w:val="de-CH"/>
              </w:rPr>
              <w:t>Bazilian</w:t>
            </w:r>
            <w:r w:rsidRPr="004D3F60">
              <w:rPr>
                <w:rFonts w:cstheme="minorHAnsi"/>
                <w:color w:val="000000"/>
                <w:sz w:val="14"/>
                <w:szCs w:val="14"/>
                <w:lang w:val="de-CH"/>
              </w:rPr>
              <w:t xml:space="preserve"> (2017)</w:t>
            </w:r>
            <w:r>
              <w:rPr>
                <w:rFonts w:cstheme="minorHAnsi"/>
                <w:color w:val="000000"/>
                <w:sz w:val="14"/>
                <w:szCs w:val="14"/>
                <w:lang w:val="de-CH"/>
              </w:rPr>
              <w:t xml:space="preserve">; </w:t>
            </w:r>
            <w:r w:rsidRPr="004D3F60">
              <w:rPr>
                <w:rFonts w:cstheme="minorHAnsi"/>
                <w:color w:val="000000"/>
                <w:sz w:val="14"/>
                <w:szCs w:val="14"/>
                <w:lang w:val="de-CH"/>
              </w:rPr>
              <w:t>Hoffert (2010); Monasterolo &amp; Raberto (2019)</w:t>
            </w:r>
          </w:p>
          <w:p w14:paraId="6E85048C" w14:textId="77777777" w:rsidR="00C3788D" w:rsidRPr="004D3F60" w:rsidRDefault="00C3788D" w:rsidP="003E223D">
            <w:pPr>
              <w:rPr>
                <w:rFonts w:cstheme="minorHAnsi"/>
                <w:color w:val="000000"/>
                <w:sz w:val="14"/>
                <w:szCs w:val="14"/>
                <w:lang w:val="de-CH"/>
              </w:rPr>
            </w:pPr>
          </w:p>
          <w:p w14:paraId="000C62C7" w14:textId="77777777" w:rsidR="00C3788D" w:rsidRPr="00A94E23" w:rsidRDefault="00C3788D" w:rsidP="003E223D">
            <w:pPr>
              <w:rPr>
                <w:rFonts w:cstheme="minorHAnsi"/>
                <w:b/>
                <w:color w:val="000000"/>
                <w:sz w:val="14"/>
                <w:szCs w:val="14"/>
                <w:lang w:val="de-CH"/>
              </w:rPr>
            </w:pPr>
            <w:r w:rsidRPr="00A94E23">
              <w:rPr>
                <w:rFonts w:cstheme="minorHAnsi"/>
                <w:b/>
                <w:color w:val="000000"/>
                <w:sz w:val="14"/>
                <w:szCs w:val="14"/>
                <w:lang w:val="de-CH"/>
              </w:rPr>
              <w:t xml:space="preserve">Carbon pricing: </w:t>
            </w:r>
          </w:p>
          <w:p w14:paraId="76361FC4" w14:textId="77777777" w:rsidR="00C3788D" w:rsidRPr="009E5331" w:rsidRDefault="00C3788D" w:rsidP="00EC3985">
            <w:pPr>
              <w:pStyle w:val="ListParagraph"/>
              <w:numPr>
                <w:ilvl w:val="0"/>
                <w:numId w:val="14"/>
              </w:numPr>
              <w:rPr>
                <w:rFonts w:cstheme="minorHAnsi"/>
                <w:color w:val="000000"/>
                <w:sz w:val="14"/>
                <w:szCs w:val="14"/>
              </w:rPr>
            </w:pPr>
            <w:r w:rsidRPr="00567759">
              <w:rPr>
                <w:rFonts w:cstheme="minorHAnsi"/>
                <w:color w:val="000000"/>
                <w:sz w:val="14"/>
                <w:szCs w:val="14"/>
                <w:lang w:val="de-CH"/>
              </w:rPr>
              <w:t xml:space="preserve">Bowen (2011); Ellerman &amp; Buchner (2008); Weitzman (2014); Nordhaus (2013); Stiglitz et al. </w:t>
            </w:r>
            <w:r>
              <w:rPr>
                <w:rFonts w:cstheme="minorHAnsi"/>
                <w:color w:val="000000"/>
                <w:sz w:val="14"/>
                <w:szCs w:val="14"/>
              </w:rPr>
              <w:t>(2017</w:t>
            </w:r>
          </w:p>
        </w:tc>
      </w:tr>
      <w:tr w:rsidR="00C3788D" w:rsidRPr="00137660" w14:paraId="1174FC0A" w14:textId="77777777" w:rsidTr="003E223D">
        <w:trPr>
          <w:trHeight w:val="173"/>
        </w:trPr>
        <w:tc>
          <w:tcPr>
            <w:tcW w:w="567" w:type="dxa"/>
            <w:vAlign w:val="center"/>
          </w:tcPr>
          <w:p w14:paraId="28C2FD57" w14:textId="77777777" w:rsidR="00C3788D" w:rsidRPr="00137660" w:rsidRDefault="00C3788D" w:rsidP="003E223D">
            <w:pPr>
              <w:jc w:val="center"/>
              <w:rPr>
                <w:rFonts w:ascii="Calibri" w:eastAsia="Times New Roman" w:hAnsi="Calibri" w:cs="Calibri"/>
                <w:sz w:val="14"/>
                <w:szCs w:val="14"/>
                <w:lang w:eastAsia="en-GB"/>
              </w:rPr>
            </w:pPr>
            <w:r>
              <w:rPr>
                <w:rFonts w:ascii="Calibri" w:eastAsia="Times New Roman" w:hAnsi="Calibri" w:cs="Calibri"/>
                <w:sz w:val="14"/>
                <w:szCs w:val="14"/>
                <w:lang w:eastAsia="en-GB"/>
              </w:rPr>
              <w:lastRenderedPageBreak/>
              <w:t>4</w:t>
            </w:r>
          </w:p>
        </w:tc>
        <w:tc>
          <w:tcPr>
            <w:tcW w:w="3969" w:type="dxa"/>
          </w:tcPr>
          <w:p w14:paraId="5B7DAAA7" w14:textId="77777777" w:rsidR="00C3788D" w:rsidRDefault="00C3788D" w:rsidP="00EC3985">
            <w:pPr>
              <w:pStyle w:val="ListParagraph"/>
              <w:numPr>
                <w:ilvl w:val="0"/>
                <w:numId w:val="24"/>
              </w:numPr>
              <w:rPr>
                <w:rFonts w:ascii="Calibri" w:eastAsia="Times New Roman" w:hAnsi="Calibri" w:cs="Calibri"/>
                <w:sz w:val="14"/>
                <w:szCs w:val="14"/>
                <w:lang w:eastAsia="en-GB"/>
              </w:rPr>
            </w:pPr>
            <w:r w:rsidRPr="00471D87">
              <w:rPr>
                <w:rFonts w:ascii="Calibri" w:eastAsia="Times New Roman" w:hAnsi="Calibri" w:cs="Calibri"/>
                <w:sz w:val="14"/>
                <w:szCs w:val="14"/>
                <w:lang w:eastAsia="en-GB"/>
              </w:rPr>
              <w:t>Amendments of insurance, pension funds and banking regulations</w:t>
            </w:r>
            <w:r>
              <w:rPr>
                <w:rStyle w:val="FootnoteReference"/>
                <w:rFonts w:ascii="Calibri" w:eastAsia="Times New Roman" w:hAnsi="Calibri" w:cs="Calibri"/>
                <w:sz w:val="14"/>
                <w:szCs w:val="14"/>
                <w:lang w:eastAsia="en-GB"/>
              </w:rPr>
              <w:footnoteReference w:id="15"/>
            </w:r>
            <w:r w:rsidRPr="00471D87">
              <w:rPr>
                <w:rFonts w:ascii="Calibri" w:eastAsia="Times New Roman" w:hAnsi="Calibri" w:cs="Calibri"/>
                <w:sz w:val="14"/>
                <w:szCs w:val="14"/>
                <w:lang w:eastAsia="en-GB"/>
              </w:rPr>
              <w:t xml:space="preserve">  (e.g. </w:t>
            </w:r>
            <w:r>
              <w:rPr>
                <w:rFonts w:ascii="Calibri" w:eastAsia="Times New Roman" w:hAnsi="Calibri" w:cs="Calibri"/>
                <w:sz w:val="14"/>
                <w:szCs w:val="14"/>
                <w:lang w:eastAsia="en-GB"/>
              </w:rPr>
              <w:t>Introduction of</w:t>
            </w:r>
            <w:r w:rsidRPr="00471D87">
              <w:rPr>
                <w:rFonts w:ascii="Calibri" w:eastAsia="Times New Roman" w:hAnsi="Calibri" w:cs="Calibri"/>
                <w:sz w:val="14"/>
                <w:szCs w:val="14"/>
                <w:lang w:eastAsia="en-GB"/>
              </w:rPr>
              <w:t xml:space="preserve"> prudential requirements in favour of </w:t>
            </w:r>
            <w:r>
              <w:rPr>
                <w:rFonts w:ascii="Calibri" w:eastAsia="Times New Roman" w:hAnsi="Calibri" w:cs="Calibri"/>
                <w:sz w:val="14"/>
                <w:szCs w:val="14"/>
                <w:lang w:eastAsia="en-GB"/>
              </w:rPr>
              <w:t xml:space="preserve">green </w:t>
            </w:r>
            <w:r w:rsidRPr="00471D87">
              <w:rPr>
                <w:rFonts w:ascii="Calibri" w:eastAsia="Times New Roman" w:hAnsi="Calibri" w:cs="Calibri"/>
                <w:sz w:val="14"/>
                <w:szCs w:val="14"/>
                <w:lang w:eastAsia="en-GB"/>
              </w:rPr>
              <w:t>infrastructure investments</w:t>
            </w:r>
            <w:r>
              <w:rPr>
                <w:rFonts w:ascii="Calibri" w:eastAsia="Times New Roman" w:hAnsi="Calibri" w:cs="Calibri"/>
                <w:sz w:val="14"/>
                <w:szCs w:val="14"/>
                <w:lang w:eastAsia="en-GB"/>
              </w:rPr>
              <w:t>, correction disincentives in the investment chain towards short-termism</w:t>
            </w:r>
            <w:r w:rsidRPr="00471D87">
              <w:rPr>
                <w:rFonts w:ascii="Calibri" w:eastAsia="Times New Roman" w:hAnsi="Calibri" w:cs="Calibri"/>
                <w:sz w:val="14"/>
                <w:szCs w:val="14"/>
                <w:lang w:eastAsia="en-GB"/>
              </w:rPr>
              <w:t>)</w:t>
            </w:r>
            <w:r>
              <w:rPr>
                <w:rFonts w:ascii="Calibri" w:eastAsia="Times New Roman" w:hAnsi="Calibri" w:cs="Calibri"/>
                <w:sz w:val="14"/>
                <w:szCs w:val="14"/>
                <w:lang w:eastAsia="en-GB"/>
              </w:rPr>
              <w:t xml:space="preserve"> </w:t>
            </w:r>
          </w:p>
          <w:p w14:paraId="7F089D69" w14:textId="77777777" w:rsidR="00C3788D" w:rsidRPr="00AF26F7" w:rsidRDefault="00C3788D" w:rsidP="00EC3985">
            <w:pPr>
              <w:pStyle w:val="ListParagraph"/>
              <w:numPr>
                <w:ilvl w:val="0"/>
                <w:numId w:val="24"/>
              </w:numPr>
              <w:rPr>
                <w:rFonts w:ascii="Calibri" w:eastAsia="Times New Roman" w:hAnsi="Calibri" w:cs="Calibri"/>
                <w:sz w:val="14"/>
                <w:szCs w:val="14"/>
                <w:lang w:eastAsia="en-GB"/>
              </w:rPr>
            </w:pPr>
            <w:r w:rsidRPr="00471D87">
              <w:rPr>
                <w:rFonts w:ascii="Calibri" w:eastAsia="Times New Roman" w:hAnsi="Calibri" w:cs="Calibri"/>
                <w:sz w:val="14"/>
                <w:szCs w:val="14"/>
                <w:lang w:eastAsia="en-GB"/>
              </w:rPr>
              <w:t xml:space="preserve">Application of a wider </w:t>
            </w:r>
            <w:r>
              <w:rPr>
                <w:rFonts w:ascii="Calibri" w:eastAsia="Times New Roman" w:hAnsi="Calibri" w:cs="Calibri"/>
                <w:sz w:val="14"/>
                <w:szCs w:val="14"/>
                <w:lang w:eastAsia="en-GB"/>
              </w:rPr>
              <w:t xml:space="preserve">(internationally harmonised) </w:t>
            </w:r>
            <w:r w:rsidRPr="00471D87">
              <w:rPr>
                <w:rFonts w:ascii="Calibri" w:eastAsia="Times New Roman" w:hAnsi="Calibri" w:cs="Calibri"/>
                <w:sz w:val="14"/>
                <w:szCs w:val="14"/>
                <w:lang w:eastAsia="en-GB"/>
              </w:rPr>
              <w:t xml:space="preserve">definition </w:t>
            </w:r>
            <w:r>
              <w:rPr>
                <w:rFonts w:ascii="Calibri" w:eastAsia="Times New Roman" w:hAnsi="Calibri" w:cs="Calibri"/>
                <w:sz w:val="14"/>
                <w:szCs w:val="14"/>
                <w:lang w:eastAsia="en-GB"/>
              </w:rPr>
              <w:t>of</w:t>
            </w:r>
            <w:r w:rsidRPr="00471D87">
              <w:rPr>
                <w:rFonts w:ascii="Calibri" w:eastAsia="Times New Roman" w:hAnsi="Calibri" w:cs="Calibri"/>
                <w:sz w:val="14"/>
                <w:szCs w:val="14"/>
                <w:lang w:eastAsia="en-GB"/>
              </w:rPr>
              <w:t xml:space="preserve"> ‘fiduciary duty’</w:t>
            </w:r>
            <w:r w:rsidRPr="00471D87">
              <w:rPr>
                <w:rStyle w:val="FootnoteReference"/>
                <w:rFonts w:ascii="Calibri" w:eastAsia="Times New Roman" w:hAnsi="Calibri" w:cs="Calibri"/>
                <w:sz w:val="14"/>
                <w:szCs w:val="14"/>
                <w:lang w:eastAsia="en-GB"/>
              </w:rPr>
              <w:footnoteReference w:id="16"/>
            </w:r>
            <w:r>
              <w:rPr>
                <w:rFonts w:ascii="Calibri" w:hAnsi="Calibri" w:cs="Calibri"/>
                <w:sz w:val="14"/>
                <w:szCs w:val="14"/>
              </w:rPr>
              <w:t xml:space="preserve">. In particular, </w:t>
            </w:r>
            <w:r>
              <w:rPr>
                <w:rFonts w:ascii="Calibri" w:eastAsia="Times New Roman" w:hAnsi="Calibri" w:cs="Calibri"/>
                <w:sz w:val="14"/>
                <w:szCs w:val="14"/>
                <w:lang w:eastAsia="en-GB"/>
              </w:rPr>
              <w:t>include in this definition the duty</w:t>
            </w:r>
            <w:r w:rsidRPr="00085770">
              <w:rPr>
                <w:rFonts w:ascii="Calibri" w:eastAsia="Times New Roman" w:hAnsi="Calibri" w:cs="Calibri"/>
                <w:sz w:val="14"/>
                <w:szCs w:val="14"/>
                <w:lang w:eastAsia="en-GB"/>
              </w:rPr>
              <w:t xml:space="preserve"> to </w:t>
            </w:r>
            <w:r>
              <w:rPr>
                <w:rFonts w:ascii="Calibri" w:eastAsia="Times New Roman" w:hAnsi="Calibri" w:cs="Calibri"/>
                <w:sz w:val="14"/>
                <w:szCs w:val="14"/>
                <w:lang w:eastAsia="en-GB"/>
              </w:rPr>
              <w:t>consider</w:t>
            </w:r>
            <w:r w:rsidRPr="00085770">
              <w:rPr>
                <w:rFonts w:ascii="Calibri" w:eastAsia="Times New Roman" w:hAnsi="Calibri" w:cs="Calibri"/>
                <w:sz w:val="14"/>
                <w:szCs w:val="14"/>
                <w:lang w:eastAsia="en-GB"/>
              </w:rPr>
              <w:t xml:space="preserve"> ESG </w:t>
            </w:r>
            <w:r>
              <w:rPr>
                <w:rFonts w:ascii="Calibri" w:eastAsia="Times New Roman" w:hAnsi="Calibri" w:cs="Calibri"/>
                <w:sz w:val="14"/>
                <w:szCs w:val="14"/>
                <w:lang w:eastAsia="en-GB"/>
              </w:rPr>
              <w:t>values, climate related (long-term) risks and long-term returns of principals</w:t>
            </w:r>
          </w:p>
          <w:p w14:paraId="088BAFB2" w14:textId="77777777" w:rsidR="00C3788D" w:rsidRPr="00AF26F7" w:rsidRDefault="00C3788D" w:rsidP="00EC3985">
            <w:pPr>
              <w:pStyle w:val="ListParagraph"/>
              <w:numPr>
                <w:ilvl w:val="0"/>
                <w:numId w:val="23"/>
              </w:numPr>
              <w:rPr>
                <w:rFonts w:ascii="Calibri" w:eastAsia="Times New Roman" w:hAnsi="Calibri" w:cs="Calibri"/>
                <w:sz w:val="14"/>
                <w:szCs w:val="14"/>
                <w:lang w:eastAsia="en-GB"/>
              </w:rPr>
            </w:pPr>
            <w:r w:rsidRPr="00AF26F7">
              <w:rPr>
                <w:rFonts w:ascii="Calibri" w:hAnsi="Calibri" w:cs="Calibri"/>
                <w:sz w:val="14"/>
                <w:szCs w:val="14"/>
              </w:rPr>
              <w:t>Realign</w:t>
            </w:r>
            <w:r>
              <w:rPr>
                <w:rFonts w:ascii="Calibri" w:hAnsi="Calibri" w:cs="Calibri"/>
                <w:sz w:val="14"/>
                <w:szCs w:val="14"/>
              </w:rPr>
              <w:t>ment of</w:t>
            </w:r>
            <w:r w:rsidRPr="00AF26F7">
              <w:rPr>
                <w:rFonts w:ascii="Calibri" w:hAnsi="Calibri" w:cs="Calibri"/>
                <w:sz w:val="14"/>
                <w:szCs w:val="14"/>
              </w:rPr>
              <w:t xml:space="preserve"> reward incentives in the financial industry by better relating remuneration to long-term sustainable performance of investments</w:t>
            </w:r>
            <w:r>
              <w:rPr>
                <w:rFonts w:ascii="Calibri" w:hAnsi="Calibri" w:cs="Calibri"/>
                <w:sz w:val="14"/>
                <w:szCs w:val="14"/>
              </w:rPr>
              <w:t xml:space="preserve"> and change current investor practices towards sustainable long-term investment practices</w:t>
            </w:r>
          </w:p>
          <w:p w14:paraId="71DFFE87" w14:textId="77777777" w:rsidR="00C3788D" w:rsidRPr="00684DFA" w:rsidRDefault="00C3788D" w:rsidP="00EC3985">
            <w:pPr>
              <w:pStyle w:val="ListParagraph"/>
              <w:numPr>
                <w:ilvl w:val="0"/>
                <w:numId w:val="23"/>
              </w:numPr>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Issuance of more </w:t>
            </w:r>
            <w:r w:rsidRPr="00684DFA">
              <w:rPr>
                <w:rFonts w:ascii="Calibri" w:eastAsia="Times New Roman" w:hAnsi="Calibri" w:cs="Calibri"/>
                <w:sz w:val="14"/>
                <w:szCs w:val="14"/>
                <w:lang w:eastAsia="en-GB"/>
              </w:rPr>
              <w:t>Green bonds</w:t>
            </w:r>
            <w:r w:rsidRPr="00684DFA">
              <w:rPr>
                <w:rStyle w:val="FootnoteReference"/>
                <w:rFonts w:ascii="Calibri" w:eastAsia="Times New Roman" w:hAnsi="Calibri" w:cs="Calibri"/>
                <w:sz w:val="14"/>
                <w:szCs w:val="14"/>
                <w:lang w:eastAsia="en-GB"/>
              </w:rPr>
              <w:footnoteReference w:id="17"/>
            </w:r>
            <w:r w:rsidRPr="00684DFA">
              <w:rPr>
                <w:rFonts w:ascii="Calibri" w:eastAsia="Times New Roman" w:hAnsi="Calibri" w:cs="Calibri"/>
                <w:sz w:val="14"/>
                <w:szCs w:val="14"/>
                <w:lang w:eastAsia="en-GB"/>
              </w:rPr>
              <w:t xml:space="preserve"> or other (new)</w:t>
            </w:r>
            <w:r>
              <w:rPr>
                <w:rFonts w:ascii="Calibri" w:eastAsia="Times New Roman" w:hAnsi="Calibri" w:cs="Calibri"/>
                <w:sz w:val="14"/>
                <w:szCs w:val="14"/>
                <w:lang w:eastAsia="en-GB"/>
              </w:rPr>
              <w:t xml:space="preserve"> sustainable</w:t>
            </w:r>
            <w:r w:rsidRPr="00684DFA">
              <w:rPr>
                <w:rFonts w:ascii="Calibri" w:eastAsia="Times New Roman" w:hAnsi="Calibri" w:cs="Calibri"/>
                <w:sz w:val="14"/>
                <w:szCs w:val="14"/>
                <w:lang w:eastAsia="en-GB"/>
              </w:rPr>
              <w:t xml:space="preserve"> </w:t>
            </w:r>
            <w:r>
              <w:rPr>
                <w:rFonts w:ascii="Calibri" w:eastAsia="Times New Roman" w:hAnsi="Calibri" w:cs="Calibri"/>
                <w:sz w:val="14"/>
                <w:szCs w:val="14"/>
                <w:lang w:eastAsia="en-GB"/>
              </w:rPr>
              <w:t>investment</w:t>
            </w:r>
            <w:r w:rsidRPr="00684DFA">
              <w:rPr>
                <w:rFonts w:ascii="Calibri" w:eastAsia="Times New Roman" w:hAnsi="Calibri" w:cs="Calibri"/>
                <w:sz w:val="14"/>
                <w:szCs w:val="14"/>
                <w:lang w:eastAsia="en-GB"/>
              </w:rPr>
              <w:t xml:space="preserve"> </w:t>
            </w:r>
            <w:r>
              <w:rPr>
                <w:rFonts w:ascii="Calibri" w:eastAsia="Times New Roman" w:hAnsi="Calibri" w:cs="Calibri"/>
                <w:sz w:val="14"/>
                <w:szCs w:val="14"/>
                <w:lang w:eastAsia="en-GB"/>
              </w:rPr>
              <w:t>vehicles</w:t>
            </w:r>
          </w:p>
          <w:p w14:paraId="39346A18" w14:textId="77777777" w:rsidR="00C3788D" w:rsidRDefault="00C3788D" w:rsidP="00EC3985">
            <w:pPr>
              <w:pStyle w:val="ListParagraph"/>
              <w:numPr>
                <w:ilvl w:val="0"/>
                <w:numId w:val="23"/>
              </w:numPr>
              <w:rPr>
                <w:rFonts w:ascii="Calibri" w:eastAsia="Times New Roman" w:hAnsi="Calibri" w:cs="Calibri"/>
                <w:sz w:val="14"/>
                <w:szCs w:val="14"/>
                <w:lang w:eastAsia="en-GB"/>
              </w:rPr>
            </w:pPr>
            <w:r w:rsidRPr="00684DFA">
              <w:rPr>
                <w:rFonts w:ascii="Calibri" w:eastAsia="Times New Roman" w:hAnsi="Calibri" w:cs="Calibri"/>
                <w:sz w:val="14"/>
                <w:szCs w:val="14"/>
                <w:lang w:eastAsia="en-GB"/>
              </w:rPr>
              <w:t>Direct investments</w:t>
            </w:r>
            <w:r>
              <w:rPr>
                <w:rFonts w:ascii="Calibri" w:eastAsia="Times New Roman" w:hAnsi="Calibri" w:cs="Calibri"/>
                <w:sz w:val="14"/>
                <w:szCs w:val="14"/>
                <w:lang w:eastAsia="en-GB"/>
              </w:rPr>
              <w:t>, issuance of green loans or introduction of other de-risking policies by the government or Investment Banks</w:t>
            </w:r>
          </w:p>
          <w:p w14:paraId="2AD6E7AC" w14:textId="77777777" w:rsidR="00C3788D" w:rsidRPr="00CC3427" w:rsidRDefault="00C3788D" w:rsidP="00EC3985">
            <w:pPr>
              <w:pStyle w:val="ListParagraph"/>
              <w:numPr>
                <w:ilvl w:val="0"/>
                <w:numId w:val="23"/>
              </w:numPr>
              <w:rPr>
                <w:rFonts w:ascii="Calibri" w:eastAsia="Times New Roman" w:hAnsi="Calibri" w:cs="Calibri"/>
                <w:sz w:val="14"/>
                <w:szCs w:val="14"/>
                <w:lang w:eastAsia="en-GB"/>
              </w:rPr>
            </w:pPr>
            <w:r w:rsidRPr="00890ED9">
              <w:rPr>
                <w:rFonts w:ascii="Calibri" w:eastAsia="Times New Roman" w:hAnsi="Calibri" w:cs="Calibri"/>
                <w:sz w:val="14"/>
                <w:szCs w:val="14"/>
                <w:lang w:eastAsia="en-GB"/>
              </w:rPr>
              <w:t>Green quantitative easing</w:t>
            </w:r>
          </w:p>
        </w:tc>
        <w:tc>
          <w:tcPr>
            <w:tcW w:w="2977" w:type="dxa"/>
          </w:tcPr>
          <w:p w14:paraId="118279DE" w14:textId="77777777" w:rsidR="00C3788D" w:rsidRPr="004D3ADE" w:rsidRDefault="00C3788D" w:rsidP="003E223D">
            <w:pPr>
              <w:rPr>
                <w:rFonts w:ascii="Calibri" w:eastAsia="Times New Roman" w:hAnsi="Calibri" w:cs="Calibri"/>
                <w:sz w:val="14"/>
                <w:szCs w:val="14"/>
                <w:lang w:eastAsia="en-GB"/>
              </w:rPr>
            </w:pPr>
            <w:r w:rsidRPr="004D3ADE">
              <w:rPr>
                <w:rFonts w:ascii="Calibri" w:eastAsia="Times New Roman" w:hAnsi="Calibri" w:cs="Calibri"/>
                <w:sz w:val="14"/>
                <w:szCs w:val="14"/>
                <w:lang w:eastAsia="en-GB"/>
              </w:rPr>
              <w:t>Changes in regulations</w:t>
            </w:r>
            <w:r>
              <w:rPr>
                <w:rFonts w:ascii="Calibri" w:eastAsia="Times New Roman" w:hAnsi="Calibri" w:cs="Calibri"/>
                <w:sz w:val="14"/>
                <w:szCs w:val="14"/>
                <w:lang w:eastAsia="en-GB"/>
              </w:rPr>
              <w:t xml:space="preserve"> and the definition of fiduciary duty</w:t>
            </w:r>
            <w:r w:rsidRPr="004D3ADE">
              <w:rPr>
                <w:rFonts w:ascii="Calibri" w:eastAsia="Times New Roman" w:hAnsi="Calibri" w:cs="Calibri"/>
                <w:sz w:val="14"/>
                <w:szCs w:val="14"/>
                <w:lang w:eastAsia="en-GB"/>
              </w:rPr>
              <w:t>:</w:t>
            </w:r>
          </w:p>
          <w:p w14:paraId="5589FEF5" w14:textId="77777777" w:rsidR="00C3788D" w:rsidRPr="00122F1C" w:rsidRDefault="00C3788D" w:rsidP="00EC3985">
            <w:pPr>
              <w:pStyle w:val="ListParagraph"/>
              <w:numPr>
                <w:ilvl w:val="0"/>
                <w:numId w:val="28"/>
              </w:numPr>
              <w:ind w:left="360"/>
              <w:rPr>
                <w:rFonts w:ascii="Calibri" w:eastAsia="Times New Roman" w:hAnsi="Calibri" w:cs="Calibri"/>
                <w:sz w:val="14"/>
                <w:szCs w:val="14"/>
                <w:lang w:eastAsia="en-GB"/>
              </w:rPr>
            </w:pPr>
            <w:r w:rsidRPr="004D3ADE">
              <w:rPr>
                <w:rFonts w:ascii="Calibri" w:eastAsia="Times New Roman" w:hAnsi="Calibri" w:cs="Calibri"/>
                <w:sz w:val="14"/>
                <w:szCs w:val="14"/>
                <w:lang w:eastAsia="en-GB"/>
              </w:rPr>
              <w:t xml:space="preserve">Pension funds: </w:t>
            </w:r>
            <w:r w:rsidRPr="00122F1C">
              <w:rPr>
                <w:rFonts w:ascii="Calibri" w:eastAsia="Times New Roman" w:hAnsi="Calibri" w:cs="Calibri"/>
                <w:sz w:val="14"/>
                <w:szCs w:val="14"/>
                <w:lang w:eastAsia="en-GB"/>
              </w:rPr>
              <w:t>UK government, Pensions Regulator and Financial conduct Authority (FCA), relevant international bodies</w:t>
            </w:r>
          </w:p>
          <w:p w14:paraId="2A06D785" w14:textId="77777777" w:rsidR="00C3788D" w:rsidRPr="00122F1C" w:rsidRDefault="00C3788D" w:rsidP="00EC3985">
            <w:pPr>
              <w:pStyle w:val="ListParagraph"/>
              <w:numPr>
                <w:ilvl w:val="0"/>
                <w:numId w:val="28"/>
              </w:numPr>
              <w:ind w:left="360"/>
              <w:rPr>
                <w:rFonts w:ascii="Calibri" w:eastAsia="Times New Roman" w:hAnsi="Calibri" w:cs="Calibri"/>
                <w:sz w:val="14"/>
                <w:szCs w:val="14"/>
                <w:lang w:eastAsia="en-GB"/>
              </w:rPr>
            </w:pPr>
            <w:r w:rsidRPr="004D3ADE">
              <w:rPr>
                <w:rFonts w:ascii="Calibri" w:eastAsia="Times New Roman" w:hAnsi="Calibri" w:cs="Calibri"/>
                <w:sz w:val="14"/>
                <w:szCs w:val="14"/>
                <w:lang w:eastAsia="en-GB"/>
              </w:rPr>
              <w:t xml:space="preserve">Insurance: </w:t>
            </w:r>
            <w:r w:rsidRPr="00122F1C">
              <w:rPr>
                <w:rFonts w:ascii="Calibri" w:eastAsia="Times New Roman" w:hAnsi="Calibri" w:cs="Calibri"/>
                <w:sz w:val="14"/>
                <w:szCs w:val="14"/>
                <w:lang w:eastAsia="en-GB"/>
              </w:rPr>
              <w:t>UK government, Prudential Regulation Authority (PRA), FCA and relevant international bodies</w:t>
            </w:r>
          </w:p>
          <w:p w14:paraId="6386CCFA" w14:textId="77777777" w:rsidR="00C3788D" w:rsidRPr="004D3ADE" w:rsidRDefault="00C3788D" w:rsidP="00EC3985">
            <w:pPr>
              <w:pStyle w:val="ListParagraph"/>
              <w:numPr>
                <w:ilvl w:val="0"/>
                <w:numId w:val="28"/>
              </w:numPr>
              <w:ind w:left="360"/>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Accounting: </w:t>
            </w:r>
            <w:r w:rsidRPr="004D3ADE">
              <w:rPr>
                <w:rFonts w:ascii="Calibri" w:eastAsia="Times New Roman" w:hAnsi="Calibri" w:cs="Calibri"/>
                <w:sz w:val="14"/>
                <w:szCs w:val="14"/>
                <w:lang w:eastAsia="en-GB"/>
              </w:rPr>
              <w:t xml:space="preserve">Regulatory authorities and supervision for Accounting (IASB) </w:t>
            </w:r>
          </w:p>
          <w:p w14:paraId="45726D7C" w14:textId="77777777" w:rsidR="00C3788D" w:rsidRPr="00122F1C" w:rsidRDefault="00C3788D" w:rsidP="00EC3985">
            <w:pPr>
              <w:pStyle w:val="ListParagraph"/>
              <w:numPr>
                <w:ilvl w:val="0"/>
                <w:numId w:val="28"/>
              </w:numPr>
              <w:ind w:left="360"/>
              <w:rPr>
                <w:rFonts w:ascii="Calibri" w:eastAsia="Times New Roman" w:hAnsi="Calibri" w:cs="Calibri"/>
                <w:sz w:val="14"/>
                <w:szCs w:val="14"/>
                <w:lang w:eastAsia="en-GB"/>
              </w:rPr>
            </w:pPr>
            <w:r w:rsidRPr="004D3ADE">
              <w:rPr>
                <w:rFonts w:ascii="Calibri" w:eastAsia="Times New Roman" w:hAnsi="Calibri" w:cs="Calibri"/>
                <w:sz w:val="14"/>
                <w:szCs w:val="14"/>
                <w:lang w:eastAsia="en-GB"/>
              </w:rPr>
              <w:t xml:space="preserve">Banks: </w:t>
            </w:r>
            <w:r w:rsidRPr="00122F1C">
              <w:rPr>
                <w:rFonts w:ascii="Calibri" w:eastAsia="Times New Roman" w:hAnsi="Calibri" w:cs="Calibri"/>
                <w:sz w:val="14"/>
                <w:szCs w:val="14"/>
                <w:lang w:eastAsia="en-GB"/>
              </w:rPr>
              <w:t>UK government (Treasury), PRA, FCA</w:t>
            </w:r>
            <w:r w:rsidRPr="00122F1C">
              <w:rPr>
                <w:rFonts w:ascii="Calibri" w:hAnsi="Calibri" w:cs="Calibri"/>
                <w:sz w:val="14"/>
                <w:szCs w:val="14"/>
              </w:rPr>
              <w:t xml:space="preserve">, Bank of England (BoE), </w:t>
            </w:r>
            <w:r w:rsidRPr="00122F1C">
              <w:rPr>
                <w:rFonts w:ascii="Calibri" w:hAnsi="Calibri"/>
                <w:sz w:val="14"/>
                <w:szCs w:val="14"/>
              </w:rPr>
              <w:t xml:space="preserve">European Banking Authority, international bodies, </w:t>
            </w:r>
            <w:r w:rsidRPr="00122F1C">
              <w:rPr>
                <w:rFonts w:ascii="Calibri" w:hAnsi="Calibri" w:cs="AdvOT987ad488"/>
                <w:sz w:val="14"/>
                <w:szCs w:val="14"/>
              </w:rPr>
              <w:t xml:space="preserve">IMF </w:t>
            </w:r>
          </w:p>
          <w:p w14:paraId="51DEFFA5" w14:textId="77777777" w:rsidR="00C3788D" w:rsidRPr="004D3ADE" w:rsidRDefault="00C3788D" w:rsidP="003E223D">
            <w:pPr>
              <w:rPr>
                <w:rFonts w:ascii="Calibri" w:hAnsi="Calibri"/>
                <w:sz w:val="14"/>
                <w:szCs w:val="14"/>
              </w:rPr>
            </w:pPr>
          </w:p>
          <w:p w14:paraId="73022F5C" w14:textId="77777777" w:rsidR="00C3788D" w:rsidRPr="004D3ADE" w:rsidRDefault="00C3788D" w:rsidP="003E223D">
            <w:pPr>
              <w:rPr>
                <w:rFonts w:ascii="Calibri" w:eastAsia="Times New Roman" w:hAnsi="Calibri" w:cs="Calibri"/>
                <w:sz w:val="14"/>
                <w:szCs w:val="14"/>
                <w:lang w:eastAsia="en-GB"/>
              </w:rPr>
            </w:pPr>
            <w:r w:rsidRPr="004D3ADE">
              <w:rPr>
                <w:rFonts w:ascii="Calibri" w:eastAsia="Times New Roman" w:hAnsi="Calibri" w:cs="Calibri"/>
                <w:sz w:val="14"/>
                <w:szCs w:val="14"/>
                <w:lang w:eastAsia="en-GB"/>
              </w:rPr>
              <w:t xml:space="preserve">Changes in investment </w:t>
            </w:r>
            <w:r>
              <w:rPr>
                <w:rFonts w:ascii="Calibri" w:eastAsia="Times New Roman" w:hAnsi="Calibri" w:cs="Calibri"/>
                <w:sz w:val="14"/>
                <w:szCs w:val="14"/>
                <w:lang w:eastAsia="en-GB"/>
              </w:rPr>
              <w:t>practice</w:t>
            </w:r>
            <w:r w:rsidRPr="004D3ADE">
              <w:rPr>
                <w:rFonts w:ascii="Calibri" w:eastAsia="Times New Roman" w:hAnsi="Calibri" w:cs="Calibri"/>
                <w:sz w:val="14"/>
                <w:szCs w:val="14"/>
                <w:lang w:eastAsia="en-GB"/>
              </w:rPr>
              <w:t xml:space="preserve"> on voluntarily basis:</w:t>
            </w:r>
            <w:r>
              <w:rPr>
                <w:rFonts w:ascii="Calibri" w:eastAsia="Times New Roman" w:hAnsi="Calibri" w:cs="Calibri"/>
                <w:sz w:val="14"/>
                <w:szCs w:val="14"/>
                <w:lang w:eastAsia="en-GB"/>
              </w:rPr>
              <w:t xml:space="preserve"> Professional associations, </w:t>
            </w:r>
            <w:r w:rsidRPr="004D3ADE">
              <w:rPr>
                <w:rFonts w:ascii="Calibri" w:eastAsia="Times New Roman" w:hAnsi="Calibri" w:cs="Calibri"/>
                <w:sz w:val="14"/>
                <w:szCs w:val="14"/>
                <w:lang w:eastAsia="en-GB"/>
              </w:rPr>
              <w:t>Investors and financial intermediaries (e.g. asset managers)</w:t>
            </w:r>
          </w:p>
          <w:p w14:paraId="35DFD522" w14:textId="77777777" w:rsidR="00C3788D" w:rsidRDefault="00C3788D" w:rsidP="003E223D">
            <w:pPr>
              <w:rPr>
                <w:rFonts w:ascii="Calibri" w:hAnsi="Calibri"/>
                <w:sz w:val="14"/>
                <w:szCs w:val="14"/>
              </w:rPr>
            </w:pPr>
          </w:p>
          <w:p w14:paraId="670044CD" w14:textId="77777777" w:rsidR="00C3788D" w:rsidRPr="00C70880" w:rsidRDefault="00C3788D" w:rsidP="003E223D">
            <w:pPr>
              <w:rPr>
                <w:rFonts w:eastAsia="Times New Roman"/>
                <w:sz w:val="14"/>
                <w:szCs w:val="14"/>
              </w:rPr>
            </w:pPr>
            <w:r w:rsidRPr="004D3ADE">
              <w:rPr>
                <w:rFonts w:ascii="Calibri" w:hAnsi="Calibri"/>
                <w:sz w:val="14"/>
                <w:szCs w:val="14"/>
              </w:rPr>
              <w:t>Issuance of gr</w:t>
            </w:r>
            <w:r>
              <w:rPr>
                <w:rFonts w:ascii="Calibri" w:hAnsi="Calibri"/>
                <w:sz w:val="14"/>
                <w:szCs w:val="14"/>
              </w:rPr>
              <w:t xml:space="preserve">een bonds: </w:t>
            </w:r>
            <w:r w:rsidRPr="004D3ADE">
              <w:rPr>
                <w:rFonts w:ascii="Calibri" w:hAnsi="Calibri"/>
                <w:sz w:val="14"/>
                <w:szCs w:val="14"/>
              </w:rPr>
              <w:t>UK government, (commercial) banks</w:t>
            </w:r>
            <w:r>
              <w:rPr>
                <w:rFonts w:ascii="Calibri" w:hAnsi="Calibri"/>
                <w:sz w:val="14"/>
                <w:szCs w:val="14"/>
              </w:rPr>
              <w:t>, BoE</w:t>
            </w:r>
            <w:r>
              <w:rPr>
                <w:rFonts w:eastAsia="Times New Roman"/>
                <w:sz w:val="14"/>
                <w:szCs w:val="14"/>
              </w:rPr>
              <w:t xml:space="preserve">; Energy utility sector, </w:t>
            </w:r>
            <w:r w:rsidRPr="00C70880">
              <w:rPr>
                <w:rFonts w:eastAsia="Times New Roman"/>
                <w:sz w:val="14"/>
                <w:szCs w:val="14"/>
              </w:rPr>
              <w:t>Financ</w:t>
            </w:r>
            <w:r>
              <w:rPr>
                <w:rFonts w:eastAsia="Times New Roman"/>
                <w:sz w:val="14"/>
                <w:szCs w:val="14"/>
              </w:rPr>
              <w:t xml:space="preserve">ial sector and other corporates, investment banks (e.g. </w:t>
            </w:r>
            <w:r w:rsidRPr="00C70880">
              <w:rPr>
                <w:rFonts w:eastAsia="Times New Roman"/>
                <w:sz w:val="14"/>
                <w:szCs w:val="14"/>
              </w:rPr>
              <w:t>EIB</w:t>
            </w:r>
            <w:r>
              <w:rPr>
                <w:rFonts w:eastAsia="Times New Roman"/>
                <w:sz w:val="14"/>
                <w:szCs w:val="14"/>
              </w:rPr>
              <w:t>)</w:t>
            </w:r>
          </w:p>
          <w:p w14:paraId="105C694E" w14:textId="77777777" w:rsidR="00C3788D" w:rsidRPr="004D3ADE" w:rsidRDefault="00C3788D" w:rsidP="003E223D">
            <w:pPr>
              <w:rPr>
                <w:rFonts w:ascii="Calibri" w:hAnsi="Calibri"/>
                <w:sz w:val="14"/>
                <w:szCs w:val="14"/>
              </w:rPr>
            </w:pPr>
          </w:p>
          <w:p w14:paraId="4440A057" w14:textId="77777777" w:rsidR="00C3788D" w:rsidRDefault="00C3788D" w:rsidP="003E223D">
            <w:pPr>
              <w:rPr>
                <w:rFonts w:eastAsia="Times New Roman"/>
              </w:rPr>
            </w:pPr>
            <w:r>
              <w:rPr>
                <w:rFonts w:ascii="Calibri" w:hAnsi="Calibri"/>
                <w:sz w:val="14"/>
                <w:szCs w:val="14"/>
              </w:rPr>
              <w:t xml:space="preserve">Introduction of green loans, re-risking policies or co-investments: UK Government, </w:t>
            </w:r>
            <w:r w:rsidRPr="004D3ADE">
              <w:rPr>
                <w:rFonts w:ascii="Calibri" w:hAnsi="Calibri"/>
                <w:sz w:val="14"/>
                <w:szCs w:val="14"/>
              </w:rPr>
              <w:t>Green Investment Banks</w:t>
            </w:r>
            <w:r>
              <w:rPr>
                <w:rFonts w:ascii="Calibri" w:hAnsi="Calibri"/>
                <w:sz w:val="14"/>
                <w:szCs w:val="14"/>
              </w:rPr>
              <w:t xml:space="preserve"> </w:t>
            </w:r>
          </w:p>
          <w:p w14:paraId="7E53FC9F" w14:textId="77777777" w:rsidR="00C3788D" w:rsidRDefault="00C3788D" w:rsidP="003E223D">
            <w:pPr>
              <w:rPr>
                <w:rFonts w:ascii="Calibri" w:hAnsi="Calibri"/>
                <w:sz w:val="14"/>
                <w:szCs w:val="14"/>
              </w:rPr>
            </w:pPr>
          </w:p>
          <w:p w14:paraId="770F69DA" w14:textId="77777777" w:rsidR="00C3788D" w:rsidRPr="006B5942" w:rsidRDefault="00C3788D" w:rsidP="003E223D">
            <w:pPr>
              <w:rPr>
                <w:rFonts w:ascii="Calibri" w:hAnsi="Calibri"/>
                <w:sz w:val="14"/>
                <w:szCs w:val="14"/>
              </w:rPr>
            </w:pPr>
            <w:r>
              <w:rPr>
                <w:rFonts w:ascii="Calibri" w:hAnsi="Calibri"/>
                <w:sz w:val="14"/>
                <w:szCs w:val="14"/>
              </w:rPr>
              <w:t>Quantitative easing: BoE</w:t>
            </w:r>
          </w:p>
        </w:tc>
        <w:tc>
          <w:tcPr>
            <w:tcW w:w="3686" w:type="dxa"/>
          </w:tcPr>
          <w:p w14:paraId="255CC768" w14:textId="77777777" w:rsidR="00C3788D" w:rsidRPr="00B15A1A" w:rsidRDefault="00C3788D" w:rsidP="003E223D">
            <w:pPr>
              <w:rPr>
                <w:rFonts w:ascii="Calibri" w:eastAsia="Times New Roman" w:hAnsi="Calibri" w:cs="Calibri"/>
                <w:b/>
                <w:sz w:val="14"/>
                <w:szCs w:val="14"/>
                <w:lang w:eastAsia="en-GB"/>
              </w:rPr>
            </w:pPr>
            <w:r>
              <w:rPr>
                <w:rFonts w:ascii="Calibri" w:eastAsia="Times New Roman" w:hAnsi="Calibri" w:cs="Calibri"/>
                <w:b/>
                <w:sz w:val="14"/>
                <w:szCs w:val="14"/>
                <w:lang w:eastAsia="en-GB"/>
              </w:rPr>
              <w:t>Changes in the pension funds and</w:t>
            </w:r>
            <w:r w:rsidRPr="00B15A1A">
              <w:rPr>
                <w:rFonts w:ascii="Calibri" w:eastAsia="Times New Roman" w:hAnsi="Calibri" w:cs="Calibri"/>
                <w:b/>
                <w:sz w:val="14"/>
                <w:szCs w:val="14"/>
                <w:lang w:eastAsia="en-GB"/>
              </w:rPr>
              <w:t xml:space="preserve"> insurances regulations</w:t>
            </w:r>
            <w:r>
              <w:rPr>
                <w:rFonts w:ascii="Calibri" w:eastAsia="Times New Roman" w:hAnsi="Calibri" w:cs="Calibri"/>
                <w:b/>
                <w:sz w:val="14"/>
                <w:szCs w:val="14"/>
                <w:lang w:eastAsia="en-GB"/>
              </w:rPr>
              <w:t xml:space="preserve">, </w:t>
            </w:r>
            <w:r w:rsidRPr="00B15A1A">
              <w:rPr>
                <w:rFonts w:ascii="Calibri" w:eastAsia="Times New Roman" w:hAnsi="Calibri" w:cs="Calibri"/>
                <w:b/>
                <w:sz w:val="14"/>
                <w:szCs w:val="14"/>
                <w:lang w:eastAsia="en-GB"/>
              </w:rPr>
              <w:t>the application of a wider definition of fiduciary duty</w:t>
            </w:r>
            <w:r>
              <w:rPr>
                <w:rFonts w:ascii="Calibri" w:eastAsia="Times New Roman" w:hAnsi="Calibri" w:cs="Calibri"/>
                <w:b/>
                <w:sz w:val="14"/>
                <w:szCs w:val="14"/>
                <w:lang w:eastAsia="en-GB"/>
              </w:rPr>
              <w:t xml:space="preserve"> and changes in remuneration incentives in the financial system</w:t>
            </w:r>
            <w:r w:rsidRPr="00B15A1A">
              <w:rPr>
                <w:rFonts w:ascii="Calibri" w:eastAsia="Times New Roman" w:hAnsi="Calibri" w:cs="Calibri"/>
                <w:sz w:val="14"/>
                <w:szCs w:val="14"/>
                <w:lang w:eastAsia="en-GB"/>
              </w:rPr>
              <w:t xml:space="preserve">: </w:t>
            </w:r>
          </w:p>
          <w:p w14:paraId="735ABA51" w14:textId="77777777" w:rsidR="00C3788D" w:rsidRPr="00200330" w:rsidRDefault="00C3788D" w:rsidP="00EC3985">
            <w:pPr>
              <w:pStyle w:val="ListParagraph"/>
              <w:numPr>
                <w:ilvl w:val="0"/>
                <w:numId w:val="30"/>
              </w:numPr>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UNEP FI (2005); </w:t>
            </w:r>
            <w:r w:rsidRPr="00B15A1A">
              <w:rPr>
                <w:rFonts w:ascii="Calibri" w:eastAsia="Times New Roman" w:hAnsi="Calibri" w:cs="Calibri"/>
                <w:sz w:val="14"/>
                <w:szCs w:val="14"/>
                <w:lang w:eastAsia="en-GB"/>
              </w:rPr>
              <w:t>Kay (2012)</w:t>
            </w:r>
            <w:r>
              <w:rPr>
                <w:rFonts w:ascii="Calibri" w:eastAsia="Times New Roman" w:hAnsi="Calibri" w:cs="Calibri"/>
                <w:sz w:val="14"/>
                <w:szCs w:val="14"/>
                <w:lang w:eastAsia="en-GB"/>
              </w:rPr>
              <w:t xml:space="preserve">; </w:t>
            </w:r>
            <w:r w:rsidRPr="00E25CEC">
              <w:rPr>
                <w:rFonts w:ascii="Calibri" w:eastAsia="Times New Roman" w:hAnsi="Calibri" w:cs="Calibri"/>
                <w:sz w:val="14"/>
                <w:szCs w:val="14"/>
                <w:lang w:eastAsia="en-GB"/>
              </w:rPr>
              <w:t xml:space="preserve">UNPRI (2015); </w:t>
            </w:r>
            <w:r w:rsidRPr="00E25CEC">
              <w:rPr>
                <w:rFonts w:ascii="Calibri" w:hAnsi="Calibri" w:cs="Calibri"/>
                <w:color w:val="222222"/>
                <w:sz w:val="14"/>
                <w:szCs w:val="14"/>
              </w:rPr>
              <w:t>Sullivan (2015)</w:t>
            </w:r>
            <w:r>
              <w:rPr>
                <w:rFonts w:ascii="Calibri" w:hAnsi="Calibri" w:cs="Calibri"/>
                <w:color w:val="222222"/>
                <w:sz w:val="14"/>
                <w:szCs w:val="14"/>
              </w:rPr>
              <w:t xml:space="preserve">; </w:t>
            </w:r>
            <w:r w:rsidRPr="00E25CEC">
              <w:rPr>
                <w:rFonts w:ascii="Calibri" w:hAnsi="Calibri" w:cs="Calibri"/>
                <w:color w:val="222222"/>
                <w:sz w:val="14"/>
                <w:szCs w:val="14"/>
              </w:rPr>
              <w:t>Louche et al. (2019)</w:t>
            </w:r>
            <w:r>
              <w:rPr>
                <w:rFonts w:ascii="Calibri" w:hAnsi="Calibri" w:cs="Calibri"/>
                <w:color w:val="222222"/>
                <w:sz w:val="14"/>
                <w:szCs w:val="14"/>
              </w:rPr>
              <w:t xml:space="preserve">; </w:t>
            </w:r>
            <w:r w:rsidRPr="00200330">
              <w:rPr>
                <w:rFonts w:ascii="Calibri" w:eastAsia="Times New Roman" w:hAnsi="Calibri" w:cs="Calibri"/>
                <w:sz w:val="14"/>
                <w:szCs w:val="14"/>
                <w:lang w:eastAsia="en-GB"/>
              </w:rPr>
              <w:t>Pfeifer &amp; Sullivan (2008)</w:t>
            </w:r>
          </w:p>
          <w:p w14:paraId="7AAAB7F3" w14:textId="77777777" w:rsidR="00C3788D" w:rsidRDefault="00C3788D" w:rsidP="003E223D">
            <w:pPr>
              <w:rPr>
                <w:rFonts w:ascii="Calibri" w:eastAsia="Times New Roman" w:hAnsi="Calibri" w:cs="Calibri"/>
                <w:sz w:val="14"/>
                <w:szCs w:val="14"/>
                <w:lang w:eastAsia="en-GB"/>
              </w:rPr>
            </w:pPr>
          </w:p>
          <w:p w14:paraId="025FCF4E" w14:textId="77777777" w:rsidR="00C3788D" w:rsidRDefault="00C3788D" w:rsidP="003E223D">
            <w:pPr>
              <w:rPr>
                <w:rFonts w:ascii="Calibri" w:eastAsia="Times New Roman" w:hAnsi="Calibri" w:cs="Calibri"/>
                <w:sz w:val="14"/>
                <w:szCs w:val="14"/>
                <w:lang w:eastAsia="en-GB"/>
              </w:rPr>
            </w:pPr>
            <w:r w:rsidRPr="006D1020">
              <w:rPr>
                <w:rFonts w:ascii="Calibri" w:eastAsia="Times New Roman" w:hAnsi="Calibri" w:cs="Calibri"/>
                <w:b/>
                <w:sz w:val="14"/>
                <w:szCs w:val="14"/>
                <w:lang w:eastAsia="en-GB"/>
              </w:rPr>
              <w:t>Shareholder engagement</w:t>
            </w:r>
            <w:r w:rsidRPr="006D1020">
              <w:rPr>
                <w:rFonts w:ascii="Calibri" w:eastAsia="Times New Roman" w:hAnsi="Calibri" w:cs="Calibri"/>
                <w:sz w:val="14"/>
                <w:szCs w:val="14"/>
                <w:lang w:eastAsia="en-GB"/>
              </w:rPr>
              <w:t xml:space="preserve">: </w:t>
            </w:r>
          </w:p>
          <w:p w14:paraId="30A097B6" w14:textId="77777777" w:rsidR="00C3788D" w:rsidRPr="00E54D85" w:rsidRDefault="00C3788D" w:rsidP="00EC3985">
            <w:pPr>
              <w:pStyle w:val="ListParagraph"/>
              <w:numPr>
                <w:ilvl w:val="0"/>
                <w:numId w:val="30"/>
              </w:numPr>
              <w:rPr>
                <w:rFonts w:ascii="Calibri" w:eastAsia="Times New Roman" w:hAnsi="Calibri" w:cs="Calibri"/>
                <w:sz w:val="14"/>
                <w:szCs w:val="14"/>
                <w:lang w:eastAsia="en-GB"/>
              </w:rPr>
            </w:pPr>
            <w:r w:rsidRPr="00E54D85">
              <w:rPr>
                <w:rFonts w:ascii="Calibri" w:eastAsia="Times New Roman" w:hAnsi="Calibri" w:cs="Calibri"/>
                <w:sz w:val="14"/>
                <w:szCs w:val="14"/>
                <w:lang w:eastAsia="en-GB"/>
              </w:rPr>
              <w:t>Louche et al. (2019); Goodman et al. (2014)</w:t>
            </w:r>
          </w:p>
          <w:p w14:paraId="1BE8F9B0" w14:textId="77777777" w:rsidR="00C3788D" w:rsidRDefault="00C3788D" w:rsidP="003E223D">
            <w:pPr>
              <w:rPr>
                <w:rFonts w:ascii="Calibri" w:eastAsia="Times New Roman" w:hAnsi="Calibri" w:cs="Calibri"/>
                <w:b/>
                <w:sz w:val="14"/>
                <w:szCs w:val="14"/>
                <w:lang w:eastAsia="en-GB"/>
              </w:rPr>
            </w:pPr>
          </w:p>
          <w:p w14:paraId="53BF93E0" w14:textId="77777777" w:rsidR="00C3788D" w:rsidRPr="00FC6C97" w:rsidRDefault="00C3788D" w:rsidP="003E223D">
            <w:pPr>
              <w:rPr>
                <w:rFonts w:ascii="Calibri" w:eastAsia="Times New Roman" w:hAnsi="Calibri" w:cs="Calibri"/>
                <w:b/>
                <w:sz w:val="14"/>
                <w:szCs w:val="14"/>
                <w:lang w:eastAsia="en-GB"/>
              </w:rPr>
            </w:pPr>
            <w:r>
              <w:rPr>
                <w:rFonts w:ascii="Calibri" w:eastAsia="Times New Roman" w:hAnsi="Calibri" w:cs="Calibri"/>
                <w:b/>
                <w:sz w:val="14"/>
                <w:szCs w:val="14"/>
                <w:lang w:eastAsia="en-GB"/>
              </w:rPr>
              <w:t xml:space="preserve">Banking and </w:t>
            </w:r>
            <w:r w:rsidRPr="00FC6C97">
              <w:rPr>
                <w:rFonts w:ascii="Calibri" w:eastAsia="Times New Roman" w:hAnsi="Calibri" w:cs="Calibri"/>
                <w:b/>
                <w:sz w:val="14"/>
                <w:szCs w:val="14"/>
                <w:lang w:eastAsia="en-GB"/>
              </w:rPr>
              <w:t xml:space="preserve">macro-prudential regulations: </w:t>
            </w:r>
          </w:p>
          <w:p w14:paraId="7798E864" w14:textId="77777777" w:rsidR="00C3788D" w:rsidRPr="00E25CEC" w:rsidRDefault="00C3788D" w:rsidP="00EC3985">
            <w:pPr>
              <w:pStyle w:val="ListParagraph"/>
              <w:numPr>
                <w:ilvl w:val="0"/>
                <w:numId w:val="17"/>
              </w:numPr>
              <w:rPr>
                <w:rFonts w:ascii="Calibri" w:eastAsia="Times New Roman" w:hAnsi="Calibri" w:cs="Calibri"/>
                <w:sz w:val="14"/>
                <w:szCs w:val="14"/>
                <w:lang w:eastAsia="en-GB"/>
              </w:rPr>
            </w:pPr>
            <w:proofErr w:type="spellStart"/>
            <w:r>
              <w:rPr>
                <w:rFonts w:ascii="Calibri" w:eastAsia="Times New Roman" w:hAnsi="Calibri" w:cs="Calibri"/>
                <w:sz w:val="14"/>
                <w:szCs w:val="14"/>
                <w:lang w:eastAsia="en-GB"/>
              </w:rPr>
              <w:t>D’Orazio</w:t>
            </w:r>
            <w:proofErr w:type="spellEnd"/>
            <w:r>
              <w:rPr>
                <w:rFonts w:ascii="Calibri" w:eastAsia="Times New Roman" w:hAnsi="Calibri" w:cs="Calibri"/>
                <w:sz w:val="14"/>
                <w:szCs w:val="14"/>
                <w:lang w:eastAsia="en-GB"/>
              </w:rPr>
              <w:t xml:space="preserve"> &amp; </w:t>
            </w:r>
            <w:proofErr w:type="spellStart"/>
            <w:r>
              <w:rPr>
                <w:rFonts w:ascii="Calibri" w:eastAsia="Times New Roman" w:hAnsi="Calibri" w:cs="Calibri"/>
                <w:sz w:val="14"/>
                <w:szCs w:val="14"/>
                <w:lang w:eastAsia="en-GB"/>
              </w:rPr>
              <w:t>Popoyan</w:t>
            </w:r>
            <w:proofErr w:type="spellEnd"/>
            <w:r>
              <w:rPr>
                <w:rFonts w:ascii="Calibri" w:eastAsia="Times New Roman" w:hAnsi="Calibri" w:cs="Calibri"/>
                <w:sz w:val="14"/>
                <w:szCs w:val="14"/>
                <w:lang w:eastAsia="en-GB"/>
              </w:rPr>
              <w:t xml:space="preserve"> (2019) &amp; Campiglio (2016); </w:t>
            </w:r>
            <w:r w:rsidRPr="00E25CEC">
              <w:rPr>
                <w:rFonts w:ascii="Calibri" w:eastAsia="Times New Roman" w:hAnsi="Calibri" w:cs="Calibri"/>
                <w:sz w:val="14"/>
                <w:szCs w:val="14"/>
                <w:lang w:eastAsia="en-GB"/>
              </w:rPr>
              <w:t>Van Lerven &amp; Ryan-Collins (2018)</w:t>
            </w:r>
            <w:r>
              <w:rPr>
                <w:rFonts w:ascii="Calibri" w:eastAsia="Times New Roman" w:hAnsi="Calibri" w:cs="Calibri"/>
                <w:sz w:val="14"/>
                <w:szCs w:val="14"/>
                <w:lang w:eastAsia="en-GB"/>
              </w:rPr>
              <w:t xml:space="preserve">; </w:t>
            </w:r>
            <w:r w:rsidRPr="00E25CEC">
              <w:rPr>
                <w:rFonts w:ascii="Calibri" w:hAnsi="Calibri" w:cs="Calibri"/>
                <w:color w:val="222222"/>
                <w:sz w:val="14"/>
                <w:szCs w:val="14"/>
              </w:rPr>
              <w:t>Campiglio et al. (2017</w:t>
            </w:r>
            <w:r>
              <w:rPr>
                <w:rFonts w:ascii="Calibri" w:hAnsi="Calibri" w:cs="Calibri"/>
                <w:color w:val="222222"/>
                <w:sz w:val="14"/>
                <w:szCs w:val="14"/>
              </w:rPr>
              <w:t xml:space="preserve">); </w:t>
            </w:r>
            <w:r w:rsidRPr="00E25CEC">
              <w:rPr>
                <w:rFonts w:ascii="Calibri" w:eastAsia="Times New Roman" w:hAnsi="Calibri" w:cs="Calibri"/>
                <w:sz w:val="14"/>
                <w:szCs w:val="14"/>
                <w:lang w:eastAsia="en-GB"/>
              </w:rPr>
              <w:t>Alexander (2014)</w:t>
            </w:r>
          </w:p>
          <w:p w14:paraId="4018335F" w14:textId="77777777" w:rsidR="00C3788D" w:rsidRPr="00FC6C97" w:rsidRDefault="00C3788D" w:rsidP="003E223D">
            <w:pPr>
              <w:pStyle w:val="ListParagraph"/>
              <w:ind w:left="360"/>
              <w:rPr>
                <w:rFonts w:ascii="Calibri" w:eastAsia="Times New Roman" w:hAnsi="Calibri" w:cs="Calibri"/>
                <w:sz w:val="14"/>
                <w:szCs w:val="14"/>
                <w:lang w:eastAsia="en-GB"/>
              </w:rPr>
            </w:pPr>
          </w:p>
          <w:p w14:paraId="7B77A4D7" w14:textId="77777777" w:rsidR="00C3788D" w:rsidRPr="00B15A1A" w:rsidRDefault="00C3788D" w:rsidP="003E223D">
            <w:pPr>
              <w:rPr>
                <w:rFonts w:ascii="Calibri" w:eastAsia="Times New Roman" w:hAnsi="Calibri" w:cs="Calibri"/>
                <w:b/>
                <w:sz w:val="14"/>
                <w:szCs w:val="14"/>
                <w:lang w:eastAsia="en-GB"/>
              </w:rPr>
            </w:pPr>
            <w:r w:rsidRPr="00B15A1A">
              <w:rPr>
                <w:rFonts w:ascii="Calibri" w:eastAsia="Times New Roman" w:hAnsi="Calibri" w:cs="Calibri"/>
                <w:b/>
                <w:sz w:val="14"/>
                <w:szCs w:val="14"/>
                <w:lang w:eastAsia="en-GB"/>
              </w:rPr>
              <w:t>Green bonds</w:t>
            </w:r>
            <w:r>
              <w:rPr>
                <w:rFonts w:ascii="Calibri" w:eastAsia="Times New Roman" w:hAnsi="Calibri" w:cs="Calibri"/>
                <w:b/>
                <w:sz w:val="14"/>
                <w:szCs w:val="14"/>
                <w:lang w:eastAsia="en-GB"/>
              </w:rPr>
              <w:t xml:space="preserve"> and new financial vehicles</w:t>
            </w:r>
            <w:r w:rsidRPr="00B15A1A">
              <w:rPr>
                <w:rFonts w:ascii="Calibri" w:eastAsia="Times New Roman" w:hAnsi="Calibri" w:cs="Calibri"/>
                <w:b/>
                <w:sz w:val="14"/>
                <w:szCs w:val="14"/>
                <w:lang w:eastAsia="en-GB"/>
              </w:rPr>
              <w:t xml:space="preserve">: </w:t>
            </w:r>
          </w:p>
          <w:p w14:paraId="37FBCA6F" w14:textId="77777777" w:rsidR="00C3788D" w:rsidRPr="00E96BFB" w:rsidRDefault="00C3788D" w:rsidP="00EC3985">
            <w:pPr>
              <w:pStyle w:val="ListParagraph"/>
              <w:numPr>
                <w:ilvl w:val="0"/>
                <w:numId w:val="16"/>
              </w:numPr>
              <w:rPr>
                <w:rFonts w:eastAsia="Times New Roman" w:cstheme="minorHAnsi"/>
                <w:sz w:val="14"/>
                <w:szCs w:val="14"/>
                <w:lang w:eastAsia="en-GB"/>
              </w:rPr>
            </w:pPr>
            <w:r w:rsidRPr="00E96BFB">
              <w:rPr>
                <w:rStyle w:val="Hyperlink"/>
                <w:rFonts w:eastAsia="Times New Roman" w:cstheme="minorHAnsi"/>
                <w:sz w:val="14"/>
                <w:szCs w:val="14"/>
                <w:lang w:eastAsia="en-GB"/>
              </w:rPr>
              <w:t xml:space="preserve">Climate Bonds Initiative </w:t>
            </w:r>
            <w:r>
              <w:rPr>
                <w:rStyle w:val="Hyperlink"/>
                <w:rFonts w:eastAsia="Times New Roman" w:cstheme="minorHAnsi"/>
                <w:sz w:val="14"/>
                <w:szCs w:val="14"/>
                <w:lang w:eastAsia="en-GB"/>
              </w:rPr>
              <w:t xml:space="preserve">(CBI) </w:t>
            </w:r>
            <w:r w:rsidRPr="00E96BFB">
              <w:rPr>
                <w:rStyle w:val="Hyperlink"/>
                <w:rFonts w:eastAsia="Times New Roman" w:cstheme="minorHAnsi"/>
                <w:sz w:val="14"/>
                <w:szCs w:val="14"/>
                <w:lang w:eastAsia="en-GB"/>
              </w:rPr>
              <w:t xml:space="preserve">(2018); </w:t>
            </w:r>
            <w:proofErr w:type="spellStart"/>
            <w:r w:rsidRPr="00E96BFB">
              <w:rPr>
                <w:rFonts w:eastAsia="Times New Roman" w:cstheme="minorHAnsi"/>
                <w:sz w:val="14"/>
                <w:szCs w:val="14"/>
                <w:lang w:eastAsia="en-GB"/>
              </w:rPr>
              <w:t>Reichelt</w:t>
            </w:r>
            <w:proofErr w:type="spellEnd"/>
            <w:r w:rsidRPr="00E96BFB">
              <w:rPr>
                <w:rFonts w:eastAsia="Times New Roman" w:cstheme="minorHAnsi"/>
                <w:sz w:val="14"/>
                <w:szCs w:val="14"/>
                <w:lang w:eastAsia="en-GB"/>
              </w:rPr>
              <w:t xml:space="preserve"> (2010); </w:t>
            </w:r>
            <w:r w:rsidRPr="00E96BFB">
              <w:rPr>
                <w:rFonts w:cstheme="minorHAnsi"/>
                <w:sz w:val="14"/>
                <w:szCs w:val="14"/>
              </w:rPr>
              <w:t xml:space="preserve">Della Croce &amp; </w:t>
            </w:r>
            <w:proofErr w:type="spellStart"/>
            <w:r w:rsidRPr="00E96BFB">
              <w:rPr>
                <w:rFonts w:cstheme="minorHAnsi"/>
                <w:sz w:val="14"/>
                <w:szCs w:val="14"/>
              </w:rPr>
              <w:t>Yermo</w:t>
            </w:r>
            <w:proofErr w:type="spellEnd"/>
            <w:r w:rsidRPr="00E96BFB">
              <w:rPr>
                <w:rFonts w:cstheme="minorHAnsi"/>
                <w:sz w:val="14"/>
                <w:szCs w:val="14"/>
              </w:rPr>
              <w:t xml:space="preserve"> (2013); Ehlers &amp; Packer (2017); </w:t>
            </w:r>
            <w:proofErr w:type="spellStart"/>
            <w:r w:rsidRPr="00E96BFB">
              <w:rPr>
                <w:rFonts w:cstheme="minorHAnsi"/>
                <w:sz w:val="14"/>
                <w:szCs w:val="14"/>
              </w:rPr>
              <w:t>Berensmann</w:t>
            </w:r>
            <w:proofErr w:type="spellEnd"/>
            <w:r w:rsidRPr="00E96BFB">
              <w:rPr>
                <w:rFonts w:cstheme="minorHAnsi"/>
                <w:sz w:val="14"/>
                <w:szCs w:val="14"/>
              </w:rPr>
              <w:t xml:space="preserve"> et al. (2018); Lee &amp; </w:t>
            </w:r>
            <w:proofErr w:type="spellStart"/>
            <w:r w:rsidRPr="00E96BFB">
              <w:rPr>
                <w:rFonts w:cstheme="minorHAnsi"/>
                <w:sz w:val="14"/>
                <w:szCs w:val="14"/>
              </w:rPr>
              <w:t>Zhong</w:t>
            </w:r>
            <w:proofErr w:type="spellEnd"/>
            <w:r w:rsidRPr="00E96BFB">
              <w:rPr>
                <w:rFonts w:cstheme="minorHAnsi"/>
                <w:sz w:val="14"/>
                <w:szCs w:val="14"/>
              </w:rPr>
              <w:t xml:space="preserve"> (2015); OECD (</w:t>
            </w:r>
            <w:r w:rsidRPr="00A9685F">
              <w:rPr>
                <w:rFonts w:ascii="Calibri" w:hAnsi="Calibri" w:cs="Calibri"/>
                <w:sz w:val="14"/>
                <w:szCs w:val="14"/>
              </w:rPr>
              <w:t xml:space="preserve">2017); </w:t>
            </w:r>
            <w:proofErr w:type="spellStart"/>
            <w:r w:rsidRPr="00A9685F">
              <w:rPr>
                <w:rFonts w:ascii="Calibri" w:hAnsi="Calibri" w:cs="Calibri"/>
                <w:color w:val="222222"/>
                <w:sz w:val="14"/>
                <w:szCs w:val="14"/>
              </w:rPr>
              <w:t>McInerney</w:t>
            </w:r>
            <w:proofErr w:type="spellEnd"/>
            <w:r w:rsidRPr="00A9685F">
              <w:rPr>
                <w:rFonts w:ascii="Calibri" w:hAnsi="Calibri" w:cs="Calibri"/>
                <w:color w:val="222222"/>
                <w:sz w:val="14"/>
                <w:szCs w:val="14"/>
              </w:rPr>
              <w:t xml:space="preserve"> &amp; Bunn (2019); </w:t>
            </w:r>
            <w:proofErr w:type="spellStart"/>
            <w:r w:rsidRPr="00A9685F">
              <w:rPr>
                <w:rFonts w:ascii="Calibri" w:hAnsi="Calibri" w:cs="Calibri"/>
                <w:color w:val="222222"/>
                <w:sz w:val="14"/>
                <w:szCs w:val="14"/>
              </w:rPr>
              <w:t>Agliardi</w:t>
            </w:r>
            <w:proofErr w:type="spellEnd"/>
            <w:r w:rsidRPr="00A9685F">
              <w:rPr>
                <w:rFonts w:ascii="Calibri" w:hAnsi="Calibri" w:cs="Calibri"/>
                <w:color w:val="222222"/>
                <w:sz w:val="14"/>
                <w:szCs w:val="14"/>
              </w:rPr>
              <w:t xml:space="preserve"> &amp; </w:t>
            </w:r>
            <w:proofErr w:type="spellStart"/>
            <w:r w:rsidRPr="00A9685F">
              <w:rPr>
                <w:rFonts w:ascii="Calibri" w:hAnsi="Calibri" w:cs="Calibri"/>
                <w:color w:val="222222"/>
                <w:sz w:val="14"/>
                <w:szCs w:val="14"/>
              </w:rPr>
              <w:t>Agliardi</w:t>
            </w:r>
            <w:proofErr w:type="spellEnd"/>
            <w:r w:rsidRPr="00A9685F">
              <w:rPr>
                <w:rFonts w:ascii="Calibri" w:hAnsi="Calibri" w:cs="Calibri"/>
                <w:color w:val="222222"/>
                <w:sz w:val="14"/>
                <w:szCs w:val="14"/>
              </w:rPr>
              <w:t xml:space="preserve"> (2019</w:t>
            </w:r>
            <w:r>
              <w:rPr>
                <w:rFonts w:ascii="Calibri" w:hAnsi="Calibri" w:cs="Calibri"/>
                <w:color w:val="222222"/>
                <w:sz w:val="14"/>
                <w:szCs w:val="14"/>
              </w:rPr>
              <w:t xml:space="preserve">); </w:t>
            </w:r>
            <w:proofErr w:type="spellStart"/>
            <w:r>
              <w:rPr>
                <w:rFonts w:ascii="Calibri" w:hAnsi="Calibri" w:cs="Calibri"/>
                <w:color w:val="222222"/>
                <w:sz w:val="14"/>
                <w:szCs w:val="14"/>
              </w:rPr>
              <w:t>Barua</w:t>
            </w:r>
            <w:proofErr w:type="spellEnd"/>
            <w:r>
              <w:rPr>
                <w:rFonts w:ascii="Calibri" w:hAnsi="Calibri" w:cs="Calibri"/>
                <w:color w:val="222222"/>
                <w:sz w:val="14"/>
                <w:szCs w:val="14"/>
              </w:rPr>
              <w:t xml:space="preserve"> &amp; Chiesa (2019)</w:t>
            </w:r>
          </w:p>
          <w:p w14:paraId="5191E7C1" w14:textId="77777777" w:rsidR="00C3788D" w:rsidRPr="00902B98" w:rsidRDefault="00C3788D" w:rsidP="003E223D">
            <w:pPr>
              <w:pStyle w:val="ListParagraph"/>
              <w:ind w:left="360"/>
              <w:rPr>
                <w:rFonts w:cstheme="minorHAnsi"/>
                <w:color w:val="222222"/>
                <w:sz w:val="14"/>
                <w:szCs w:val="14"/>
              </w:rPr>
            </w:pPr>
          </w:p>
          <w:p w14:paraId="6574B260" w14:textId="77777777" w:rsidR="00C3788D" w:rsidRDefault="00C3788D" w:rsidP="003E223D">
            <w:pPr>
              <w:rPr>
                <w:rFonts w:cstheme="minorHAnsi"/>
                <w:b/>
                <w:color w:val="222222"/>
                <w:sz w:val="14"/>
                <w:szCs w:val="14"/>
              </w:rPr>
            </w:pPr>
            <w:r>
              <w:rPr>
                <w:rFonts w:cstheme="minorHAnsi"/>
                <w:b/>
                <w:color w:val="222222"/>
                <w:sz w:val="14"/>
                <w:szCs w:val="14"/>
              </w:rPr>
              <w:t xml:space="preserve">Role of the Government: </w:t>
            </w:r>
          </w:p>
          <w:p w14:paraId="48EBEFDB" w14:textId="77777777" w:rsidR="00C3788D" w:rsidRPr="007A4014" w:rsidRDefault="00C3788D" w:rsidP="00EC3985">
            <w:pPr>
              <w:pStyle w:val="ListParagraph"/>
              <w:numPr>
                <w:ilvl w:val="0"/>
                <w:numId w:val="16"/>
              </w:numPr>
              <w:rPr>
                <w:rFonts w:cstheme="minorHAnsi"/>
                <w:color w:val="222222"/>
                <w:sz w:val="14"/>
                <w:szCs w:val="14"/>
              </w:rPr>
            </w:pPr>
            <w:r>
              <w:rPr>
                <w:rFonts w:cstheme="minorHAnsi"/>
                <w:color w:val="222222"/>
                <w:sz w:val="14"/>
                <w:szCs w:val="14"/>
              </w:rPr>
              <w:t xml:space="preserve">Jones (2012); </w:t>
            </w:r>
            <w:proofErr w:type="spellStart"/>
            <w:r w:rsidRPr="00A43675">
              <w:rPr>
                <w:rFonts w:cstheme="minorHAnsi"/>
                <w:color w:val="222222"/>
                <w:sz w:val="14"/>
                <w:szCs w:val="14"/>
              </w:rPr>
              <w:t>Aglietta</w:t>
            </w:r>
            <w:proofErr w:type="spellEnd"/>
            <w:r>
              <w:rPr>
                <w:rFonts w:cstheme="minorHAnsi"/>
                <w:color w:val="222222"/>
                <w:sz w:val="14"/>
                <w:szCs w:val="14"/>
              </w:rPr>
              <w:t xml:space="preserve"> &amp; </w:t>
            </w:r>
            <w:proofErr w:type="spellStart"/>
            <w:r w:rsidRPr="00A43675">
              <w:rPr>
                <w:rFonts w:cstheme="minorHAnsi"/>
                <w:color w:val="222222"/>
                <w:sz w:val="14"/>
                <w:szCs w:val="14"/>
              </w:rPr>
              <w:t>Espagne</w:t>
            </w:r>
            <w:proofErr w:type="spellEnd"/>
            <w:r w:rsidRPr="00A43675">
              <w:rPr>
                <w:rFonts w:cstheme="minorHAnsi"/>
                <w:color w:val="222222"/>
                <w:sz w:val="14"/>
                <w:szCs w:val="14"/>
              </w:rPr>
              <w:t xml:space="preserve"> (2016)</w:t>
            </w:r>
          </w:p>
          <w:p w14:paraId="1E5D7C60" w14:textId="77777777" w:rsidR="00C3788D" w:rsidRPr="007A4014" w:rsidRDefault="00C3788D" w:rsidP="003E223D">
            <w:pPr>
              <w:rPr>
                <w:rFonts w:cstheme="minorHAnsi"/>
                <w:b/>
                <w:color w:val="222222"/>
                <w:sz w:val="14"/>
                <w:szCs w:val="14"/>
              </w:rPr>
            </w:pPr>
          </w:p>
          <w:p w14:paraId="03794439" w14:textId="77777777" w:rsidR="00C3788D" w:rsidRDefault="00C3788D" w:rsidP="003E223D">
            <w:pPr>
              <w:rPr>
                <w:rFonts w:cstheme="minorHAnsi"/>
                <w:b/>
                <w:color w:val="222222"/>
                <w:sz w:val="14"/>
                <w:szCs w:val="14"/>
              </w:rPr>
            </w:pPr>
            <w:r>
              <w:rPr>
                <w:rFonts w:cstheme="minorHAnsi"/>
                <w:b/>
                <w:color w:val="222222"/>
                <w:sz w:val="14"/>
                <w:szCs w:val="14"/>
              </w:rPr>
              <w:t xml:space="preserve">Roles of Green Investment banks </w:t>
            </w:r>
          </w:p>
          <w:p w14:paraId="5E3AEDE9" w14:textId="77777777" w:rsidR="00C3788D" w:rsidRPr="003F63F6" w:rsidRDefault="00C3788D" w:rsidP="00EC3985">
            <w:pPr>
              <w:pStyle w:val="ListParagraph"/>
              <w:numPr>
                <w:ilvl w:val="0"/>
                <w:numId w:val="16"/>
              </w:numPr>
              <w:rPr>
                <w:rFonts w:ascii="Calibri" w:eastAsia="Times New Roman" w:hAnsi="Calibri" w:cs="Calibri"/>
                <w:sz w:val="14"/>
                <w:szCs w:val="14"/>
                <w:lang w:val="de-CH" w:eastAsia="en-GB"/>
              </w:rPr>
            </w:pPr>
            <w:r w:rsidRPr="003F63F6">
              <w:rPr>
                <w:rFonts w:ascii="Calibri" w:eastAsia="Times New Roman" w:hAnsi="Calibri" w:cs="Calibri"/>
                <w:color w:val="222222"/>
                <w:sz w:val="14"/>
                <w:szCs w:val="14"/>
                <w:shd w:val="clear" w:color="auto" w:fill="FFFFFF"/>
                <w:lang w:val="de-CH" w:eastAsia="de-DE"/>
              </w:rPr>
              <w:t xml:space="preserve">Geddes et al. (2018); </w:t>
            </w:r>
            <w:r w:rsidRPr="003F63F6">
              <w:rPr>
                <w:rFonts w:ascii="Calibri" w:hAnsi="Calibri" w:cs="Calibri"/>
                <w:color w:val="222222"/>
                <w:sz w:val="14"/>
                <w:szCs w:val="14"/>
                <w:lang w:val="de-CH"/>
              </w:rPr>
              <w:t>McInerney &amp; Bunn (2019)</w:t>
            </w:r>
          </w:p>
          <w:p w14:paraId="15C5EE1F" w14:textId="77777777" w:rsidR="00C3788D" w:rsidRPr="003F63F6" w:rsidRDefault="00C3788D" w:rsidP="003E223D">
            <w:pPr>
              <w:rPr>
                <w:rFonts w:ascii="Calibri" w:eastAsia="Times New Roman" w:hAnsi="Calibri" w:cs="Calibri"/>
                <w:sz w:val="14"/>
                <w:szCs w:val="14"/>
                <w:lang w:val="de-CH" w:eastAsia="en-GB"/>
              </w:rPr>
            </w:pPr>
          </w:p>
          <w:p w14:paraId="654CD302" w14:textId="77777777" w:rsidR="00C3788D" w:rsidRPr="00C2203F" w:rsidRDefault="00C3788D" w:rsidP="003E223D">
            <w:pPr>
              <w:rPr>
                <w:rFonts w:ascii="Calibri" w:eastAsia="Times New Roman" w:hAnsi="Calibri" w:cs="Calibri"/>
                <w:b/>
                <w:sz w:val="14"/>
                <w:szCs w:val="14"/>
                <w:lang w:eastAsia="en-GB"/>
              </w:rPr>
            </w:pPr>
            <w:r w:rsidRPr="00C2203F">
              <w:rPr>
                <w:rFonts w:ascii="Calibri" w:eastAsia="Times New Roman" w:hAnsi="Calibri" w:cs="Calibri"/>
                <w:b/>
                <w:sz w:val="14"/>
                <w:szCs w:val="14"/>
                <w:lang w:eastAsia="en-GB"/>
              </w:rPr>
              <w:t xml:space="preserve">Green quantitative easing: </w:t>
            </w:r>
          </w:p>
          <w:p w14:paraId="4F47D2F6" w14:textId="77777777" w:rsidR="00C3788D" w:rsidRPr="002A7666" w:rsidRDefault="00C3788D" w:rsidP="00EC3985">
            <w:pPr>
              <w:pStyle w:val="ListParagraph"/>
              <w:numPr>
                <w:ilvl w:val="0"/>
                <w:numId w:val="17"/>
              </w:numPr>
              <w:rPr>
                <w:rFonts w:ascii="Calibri" w:eastAsia="Times New Roman" w:hAnsi="Calibri" w:cs="Calibri"/>
                <w:sz w:val="14"/>
                <w:szCs w:val="14"/>
                <w:lang w:eastAsia="en-GB"/>
              </w:rPr>
            </w:pPr>
            <w:r w:rsidRPr="007A4014">
              <w:rPr>
                <w:rFonts w:ascii="Calibri" w:hAnsi="Calibri" w:cs="Calibri"/>
                <w:color w:val="222222"/>
                <w:sz w:val="14"/>
                <w:szCs w:val="14"/>
                <w:lang w:val="de-CH"/>
              </w:rPr>
              <w:t>Matikainen</w:t>
            </w:r>
            <w:r w:rsidRPr="007A4014">
              <w:rPr>
                <w:rFonts w:ascii="Calibri" w:eastAsia="Times New Roman" w:hAnsi="Calibri" w:cs="Calibri"/>
                <w:sz w:val="14"/>
                <w:szCs w:val="14"/>
                <w:lang w:val="de-CH" w:eastAsia="en-GB"/>
              </w:rPr>
              <w:t xml:space="preserve"> et al. (2017); </w:t>
            </w:r>
            <w:r w:rsidRPr="007A4014">
              <w:rPr>
                <w:rFonts w:ascii="Calibri" w:hAnsi="Calibri" w:cs="Calibri"/>
                <w:color w:val="222222"/>
                <w:sz w:val="14"/>
                <w:szCs w:val="14"/>
                <w:lang w:val="de-CH"/>
              </w:rPr>
              <w:t xml:space="preserve">Dafermos et al. </w:t>
            </w:r>
            <w:r w:rsidRPr="002A7666">
              <w:rPr>
                <w:rFonts w:ascii="Calibri" w:hAnsi="Calibri" w:cs="Calibri"/>
                <w:color w:val="222222"/>
                <w:sz w:val="14"/>
                <w:szCs w:val="14"/>
              </w:rPr>
              <w:t>(2018)</w:t>
            </w:r>
            <w:r>
              <w:rPr>
                <w:rFonts w:ascii="Calibri" w:hAnsi="Calibri" w:cs="Calibri"/>
                <w:color w:val="222222"/>
                <w:sz w:val="14"/>
                <w:szCs w:val="14"/>
              </w:rPr>
              <w:t xml:space="preserve">; </w:t>
            </w:r>
            <w:r w:rsidRPr="002A7666">
              <w:rPr>
                <w:rFonts w:ascii="Calibri" w:hAnsi="Calibri" w:cs="Calibri"/>
                <w:color w:val="222222"/>
                <w:sz w:val="14"/>
                <w:szCs w:val="14"/>
              </w:rPr>
              <w:t>Campiglio et al. (2017)</w:t>
            </w:r>
          </w:p>
        </w:tc>
      </w:tr>
      <w:tr w:rsidR="00C3788D" w:rsidRPr="005E6ABA" w14:paraId="5D7F31CB" w14:textId="77777777" w:rsidTr="003E223D">
        <w:trPr>
          <w:trHeight w:val="173"/>
        </w:trPr>
        <w:tc>
          <w:tcPr>
            <w:tcW w:w="567" w:type="dxa"/>
            <w:vAlign w:val="center"/>
          </w:tcPr>
          <w:p w14:paraId="4FF5C8D9"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5</w:t>
            </w:r>
          </w:p>
        </w:tc>
        <w:tc>
          <w:tcPr>
            <w:tcW w:w="3969" w:type="dxa"/>
          </w:tcPr>
          <w:p w14:paraId="23271609" w14:textId="77777777" w:rsidR="00C3788D" w:rsidRPr="00EC73C0" w:rsidRDefault="00C3788D" w:rsidP="00EC3985">
            <w:pPr>
              <w:pStyle w:val="ListParagraph"/>
              <w:numPr>
                <w:ilvl w:val="0"/>
                <w:numId w:val="17"/>
              </w:numPr>
              <w:autoSpaceDE w:val="0"/>
              <w:autoSpaceDN w:val="0"/>
              <w:adjustRightInd w:val="0"/>
              <w:rPr>
                <w:rFonts w:ascii="Calibri" w:eastAsia="Times New Roman" w:hAnsi="Calibri" w:cs="Calibri"/>
                <w:sz w:val="14"/>
                <w:szCs w:val="14"/>
                <w:lang w:eastAsia="en-GB"/>
              </w:rPr>
            </w:pPr>
            <w:r w:rsidRPr="00EC73C0">
              <w:rPr>
                <w:rFonts w:ascii="Calibri" w:eastAsia="Times New Roman" w:hAnsi="Calibri" w:cs="Calibri"/>
                <w:sz w:val="14"/>
                <w:szCs w:val="14"/>
                <w:lang w:eastAsia="en-GB"/>
              </w:rPr>
              <w:t>More high-quality and standardised (and thus comparable) evidence and disclosure on the actual returns or defaults and other risks of RET investments  in order to make a robust, quantitative case for investors and rating agencies</w:t>
            </w:r>
          </w:p>
          <w:p w14:paraId="2D850BA5" w14:textId="77777777" w:rsidR="00C3788D" w:rsidRPr="00EC73C0" w:rsidRDefault="00C3788D" w:rsidP="00EC3985">
            <w:pPr>
              <w:pStyle w:val="ListParagraph"/>
              <w:numPr>
                <w:ilvl w:val="0"/>
                <w:numId w:val="17"/>
              </w:numPr>
              <w:autoSpaceDE w:val="0"/>
              <w:autoSpaceDN w:val="0"/>
              <w:adjustRightInd w:val="0"/>
              <w:rPr>
                <w:rFonts w:ascii="Calibri" w:eastAsia="Times New Roman" w:hAnsi="Calibri" w:cs="Calibri"/>
                <w:sz w:val="14"/>
                <w:szCs w:val="14"/>
                <w:lang w:eastAsia="en-GB"/>
              </w:rPr>
            </w:pPr>
            <w:r w:rsidRPr="00EC73C0">
              <w:rPr>
                <w:rFonts w:ascii="Calibri" w:hAnsi="Calibri" w:cs="AdvOT987ad488"/>
                <w:sz w:val="14"/>
                <w:szCs w:val="14"/>
              </w:rPr>
              <w:t xml:space="preserve">Provision of </w:t>
            </w:r>
            <w:r>
              <w:rPr>
                <w:rFonts w:ascii="Calibri" w:hAnsi="Calibri" w:cs="AdvOT987ad488"/>
                <w:sz w:val="14"/>
                <w:szCs w:val="14"/>
              </w:rPr>
              <w:t xml:space="preserve">standardised </w:t>
            </w:r>
            <w:r w:rsidRPr="00EC73C0">
              <w:rPr>
                <w:rFonts w:ascii="Calibri" w:hAnsi="Calibri" w:cs="AdvOT987ad488"/>
                <w:sz w:val="14"/>
                <w:szCs w:val="14"/>
              </w:rPr>
              <w:t xml:space="preserve">sustainable </w:t>
            </w:r>
            <w:r>
              <w:rPr>
                <w:rFonts w:ascii="Calibri" w:hAnsi="Calibri" w:cs="AdvOT987ad488"/>
                <w:sz w:val="14"/>
                <w:szCs w:val="14"/>
              </w:rPr>
              <w:t>indexes</w:t>
            </w:r>
            <w:r w:rsidRPr="00EC73C0">
              <w:rPr>
                <w:rFonts w:ascii="Calibri" w:hAnsi="Calibri" w:cs="AdvOT987ad488"/>
                <w:sz w:val="14"/>
                <w:szCs w:val="14"/>
              </w:rPr>
              <w:t xml:space="preserve"> for asset managers to invest against</w:t>
            </w:r>
          </w:p>
          <w:p w14:paraId="641C9181" w14:textId="77777777" w:rsidR="00C3788D" w:rsidRPr="00E565BF" w:rsidRDefault="00C3788D" w:rsidP="00EC3985">
            <w:pPr>
              <w:pStyle w:val="ListParagraph"/>
              <w:numPr>
                <w:ilvl w:val="0"/>
                <w:numId w:val="17"/>
              </w:numPr>
              <w:autoSpaceDE w:val="0"/>
              <w:autoSpaceDN w:val="0"/>
              <w:adjustRightInd w:val="0"/>
              <w:rPr>
                <w:rFonts w:ascii="Calibri" w:eastAsia="Times New Roman" w:hAnsi="Calibri" w:cs="Calibri"/>
                <w:sz w:val="14"/>
                <w:szCs w:val="14"/>
                <w:lang w:eastAsia="en-GB"/>
              </w:rPr>
            </w:pPr>
            <w:r w:rsidRPr="00EC73C0">
              <w:rPr>
                <w:rFonts w:ascii="Calibri" w:eastAsia="Times New Roman" w:hAnsi="Calibri" w:cs="Calibri"/>
                <w:sz w:val="14"/>
                <w:szCs w:val="14"/>
                <w:lang w:eastAsia="en-GB"/>
              </w:rPr>
              <w:t>Direct government interventions: (</w:t>
            </w:r>
            <w:proofErr w:type="spellStart"/>
            <w:r w:rsidRPr="00EC73C0">
              <w:rPr>
                <w:rFonts w:ascii="Calibri" w:eastAsia="Times New Roman" w:hAnsi="Calibri" w:cs="Calibri"/>
                <w:sz w:val="14"/>
                <w:szCs w:val="14"/>
                <w:lang w:eastAsia="en-GB"/>
              </w:rPr>
              <w:t>i</w:t>
            </w:r>
            <w:proofErr w:type="spellEnd"/>
            <w:r w:rsidRPr="00EC73C0">
              <w:rPr>
                <w:rFonts w:ascii="Calibri" w:eastAsia="Times New Roman" w:hAnsi="Calibri" w:cs="Calibri"/>
                <w:sz w:val="14"/>
                <w:szCs w:val="14"/>
                <w:lang w:eastAsia="en-GB"/>
              </w:rPr>
              <w:t>) de-risking of RET investment (incl. de-risking of technology risk, development risk and pricing risk) via government guarantees</w:t>
            </w:r>
            <w:r w:rsidRPr="00EC73C0">
              <w:rPr>
                <w:rStyle w:val="FootnoteReference"/>
                <w:rFonts w:ascii="Calibri" w:eastAsia="Times New Roman" w:hAnsi="Calibri" w:cs="Calibri"/>
                <w:sz w:val="14"/>
                <w:szCs w:val="14"/>
                <w:lang w:eastAsia="en-GB"/>
              </w:rPr>
              <w:footnoteReference w:id="18"/>
            </w:r>
            <w:r>
              <w:rPr>
                <w:rFonts w:ascii="Calibri" w:eastAsia="Times New Roman" w:hAnsi="Calibri" w:cs="Calibri"/>
                <w:sz w:val="14"/>
                <w:szCs w:val="14"/>
                <w:lang w:eastAsia="en-GB"/>
              </w:rPr>
              <w:t xml:space="preserve">, provision of </w:t>
            </w:r>
            <w:r w:rsidRPr="00E565BF">
              <w:rPr>
                <w:rFonts w:ascii="Calibri" w:eastAsia="Times New Roman" w:hAnsi="Calibri" w:cs="Calibri"/>
                <w:sz w:val="14"/>
                <w:szCs w:val="14"/>
                <w:lang w:eastAsia="en-GB"/>
              </w:rPr>
              <w:t>insurances against potential risk losses</w:t>
            </w:r>
            <w:r>
              <w:rPr>
                <w:rFonts w:ascii="Calibri" w:eastAsia="Times New Roman" w:hAnsi="Calibri" w:cs="Calibri"/>
                <w:sz w:val="14"/>
                <w:szCs w:val="14"/>
                <w:lang w:eastAsia="en-GB"/>
              </w:rPr>
              <w:t xml:space="preserve"> or low-interest loans</w:t>
            </w:r>
            <w:r w:rsidRPr="00E565BF">
              <w:rPr>
                <w:rFonts w:ascii="Calibri" w:eastAsia="Times New Roman" w:hAnsi="Calibri" w:cs="Calibri"/>
                <w:sz w:val="14"/>
                <w:szCs w:val="14"/>
                <w:lang w:eastAsia="en-GB"/>
              </w:rPr>
              <w:t xml:space="preserve">; (ii) the UK Governments </w:t>
            </w:r>
            <w:r>
              <w:rPr>
                <w:rFonts w:ascii="Calibri" w:eastAsia="Times New Roman" w:hAnsi="Calibri" w:cs="Calibri"/>
                <w:sz w:val="14"/>
                <w:szCs w:val="14"/>
                <w:lang w:eastAsia="en-GB"/>
              </w:rPr>
              <w:t>could</w:t>
            </w:r>
            <w:r w:rsidRPr="00E565BF">
              <w:rPr>
                <w:rFonts w:ascii="Calibri" w:eastAsia="Times New Roman" w:hAnsi="Calibri" w:cs="Calibri"/>
                <w:sz w:val="14"/>
                <w:szCs w:val="14"/>
                <w:lang w:eastAsia="en-GB"/>
              </w:rPr>
              <w:t xml:space="preserve"> directly leverage increased private capital inflow by providing seed capital or concessional finance for large investment structures such as public-private partnership fund structures</w:t>
            </w:r>
          </w:p>
        </w:tc>
        <w:tc>
          <w:tcPr>
            <w:tcW w:w="2977" w:type="dxa"/>
          </w:tcPr>
          <w:p w14:paraId="3706F687" w14:textId="77777777" w:rsidR="00C3788D" w:rsidRPr="00EC73C0" w:rsidRDefault="00C3788D" w:rsidP="003E223D">
            <w:pPr>
              <w:rPr>
                <w:rFonts w:ascii="Calibri" w:eastAsia="Times New Roman" w:hAnsi="Calibri" w:cs="Calibri"/>
                <w:sz w:val="14"/>
                <w:szCs w:val="14"/>
                <w:lang w:eastAsia="en-GB"/>
              </w:rPr>
            </w:pPr>
            <w:r w:rsidRPr="00E44CE6">
              <w:rPr>
                <w:rFonts w:ascii="Calibri" w:eastAsia="Times New Roman" w:hAnsi="Calibri" w:cs="Calibri"/>
                <w:sz w:val="14"/>
                <w:szCs w:val="14"/>
                <w:lang w:eastAsia="en-GB"/>
              </w:rPr>
              <w:t>Information provision:</w:t>
            </w:r>
            <w:r w:rsidRPr="00EC73C0">
              <w:rPr>
                <w:rFonts w:ascii="Calibri" w:eastAsia="Times New Roman" w:hAnsi="Calibri" w:cs="Calibri"/>
                <w:sz w:val="14"/>
                <w:szCs w:val="14"/>
                <w:lang w:eastAsia="en-GB"/>
              </w:rPr>
              <w:t xml:space="preserve"> </w:t>
            </w:r>
          </w:p>
          <w:p w14:paraId="212C6BC4" w14:textId="77777777" w:rsidR="00C3788D" w:rsidRPr="00EC73C0"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Professional associations, various initiatives (e.g. CBI)</w:t>
            </w:r>
          </w:p>
          <w:p w14:paraId="402F060F" w14:textId="77777777" w:rsidR="00C3788D" w:rsidRPr="00EC73C0" w:rsidRDefault="00C3788D" w:rsidP="003E223D">
            <w:pPr>
              <w:rPr>
                <w:rFonts w:ascii="Calibri" w:eastAsia="Times New Roman" w:hAnsi="Calibri" w:cs="Calibri"/>
                <w:sz w:val="14"/>
                <w:szCs w:val="14"/>
                <w:lang w:eastAsia="en-GB"/>
              </w:rPr>
            </w:pPr>
          </w:p>
          <w:p w14:paraId="67084EB4" w14:textId="77777777" w:rsidR="00C3788D" w:rsidRPr="00EC73C0" w:rsidRDefault="00C3788D" w:rsidP="003E223D">
            <w:pPr>
              <w:autoSpaceDE w:val="0"/>
              <w:autoSpaceDN w:val="0"/>
              <w:adjustRightInd w:val="0"/>
              <w:rPr>
                <w:rFonts w:ascii="Calibri" w:eastAsia="Times New Roman" w:hAnsi="Calibri" w:cs="Calibri"/>
                <w:sz w:val="14"/>
                <w:szCs w:val="14"/>
                <w:lang w:eastAsia="en-GB"/>
              </w:rPr>
            </w:pPr>
            <w:r w:rsidRPr="00EC73C0">
              <w:rPr>
                <w:rFonts w:ascii="Calibri" w:hAnsi="Calibri" w:cs="AdvOT987ad488"/>
                <w:sz w:val="14"/>
                <w:szCs w:val="14"/>
              </w:rPr>
              <w:t>Provision of sustainable benchmarks for asset managers to invest against: index providers</w:t>
            </w:r>
            <w:r>
              <w:rPr>
                <w:rFonts w:ascii="Calibri" w:hAnsi="Calibri" w:cs="AdvOT987ad488"/>
                <w:sz w:val="14"/>
                <w:szCs w:val="14"/>
              </w:rPr>
              <w:t>, credit rating agencies, various voluntary initiatives (e.g. CBI)</w:t>
            </w:r>
          </w:p>
          <w:p w14:paraId="44C046C0" w14:textId="77777777" w:rsidR="00C3788D" w:rsidRPr="00EC73C0" w:rsidRDefault="00C3788D" w:rsidP="003E223D">
            <w:pPr>
              <w:rPr>
                <w:rFonts w:ascii="Calibri" w:eastAsia="Times New Roman" w:hAnsi="Calibri" w:cs="Calibri"/>
                <w:sz w:val="14"/>
                <w:szCs w:val="14"/>
                <w:lang w:eastAsia="en-GB"/>
              </w:rPr>
            </w:pPr>
          </w:p>
          <w:p w14:paraId="1F671B27" w14:textId="77777777" w:rsidR="00C3788D" w:rsidRPr="00EC73C0" w:rsidRDefault="00C3788D" w:rsidP="003E223D">
            <w:pPr>
              <w:rPr>
                <w:rFonts w:ascii="Calibri" w:eastAsia="Times New Roman" w:hAnsi="Calibri" w:cs="Calibri"/>
                <w:sz w:val="14"/>
                <w:szCs w:val="14"/>
                <w:lang w:eastAsia="en-GB"/>
              </w:rPr>
            </w:pPr>
            <w:r w:rsidRPr="00EC73C0">
              <w:rPr>
                <w:rFonts w:ascii="Calibri" w:eastAsia="Times New Roman" w:hAnsi="Calibri" w:cs="Calibri"/>
                <w:sz w:val="14"/>
                <w:szCs w:val="14"/>
                <w:lang w:eastAsia="en-GB"/>
              </w:rPr>
              <w:t>De-risking intervention or other policy intervention: UK Government, Green Investment bank</w:t>
            </w:r>
            <w:r>
              <w:rPr>
                <w:rFonts w:ascii="Calibri" w:eastAsia="Times New Roman" w:hAnsi="Calibri" w:cs="Calibri"/>
                <w:sz w:val="14"/>
                <w:szCs w:val="14"/>
                <w:lang w:eastAsia="en-GB"/>
              </w:rPr>
              <w:t xml:space="preserve"> or European  Central </w:t>
            </w:r>
          </w:p>
          <w:p w14:paraId="5189741E" w14:textId="77777777" w:rsidR="00C3788D" w:rsidRPr="00EC73C0" w:rsidRDefault="00C3788D" w:rsidP="003E223D">
            <w:pPr>
              <w:rPr>
                <w:rFonts w:ascii="Calibri" w:eastAsia="Times New Roman" w:hAnsi="Calibri" w:cs="Calibri"/>
                <w:sz w:val="14"/>
                <w:szCs w:val="14"/>
                <w:lang w:eastAsia="en-GB"/>
              </w:rPr>
            </w:pPr>
          </w:p>
        </w:tc>
        <w:tc>
          <w:tcPr>
            <w:tcW w:w="3686" w:type="dxa"/>
          </w:tcPr>
          <w:p w14:paraId="213891A5" w14:textId="77777777" w:rsidR="00C3788D" w:rsidRDefault="00C3788D" w:rsidP="003E223D">
            <w:pPr>
              <w:rPr>
                <w:rFonts w:ascii="Calibri" w:eastAsia="Times New Roman" w:hAnsi="Calibri" w:cs="Calibri"/>
                <w:b/>
                <w:sz w:val="14"/>
                <w:szCs w:val="14"/>
                <w:lang w:eastAsia="en-GB"/>
              </w:rPr>
            </w:pPr>
            <w:r>
              <w:rPr>
                <w:rFonts w:ascii="Calibri" w:eastAsia="Times New Roman" w:hAnsi="Calibri" w:cs="Calibri"/>
                <w:b/>
                <w:sz w:val="14"/>
                <w:szCs w:val="14"/>
                <w:lang w:eastAsia="en-GB"/>
              </w:rPr>
              <w:t xml:space="preserve">Sustainable indexes: </w:t>
            </w:r>
          </w:p>
          <w:p w14:paraId="12382C41" w14:textId="77777777" w:rsidR="00C3788D" w:rsidRPr="00FF4780" w:rsidRDefault="00C3788D" w:rsidP="00EC3985">
            <w:pPr>
              <w:pStyle w:val="ListParagraph"/>
              <w:numPr>
                <w:ilvl w:val="0"/>
                <w:numId w:val="29"/>
              </w:numPr>
              <w:rPr>
                <w:rFonts w:ascii="Calibri" w:eastAsia="Times New Roman" w:hAnsi="Calibri" w:cs="Calibri"/>
                <w:b/>
                <w:sz w:val="14"/>
                <w:szCs w:val="14"/>
                <w:lang w:val="de-CH" w:eastAsia="en-GB"/>
              </w:rPr>
            </w:pPr>
            <w:r w:rsidRPr="00FF4780">
              <w:rPr>
                <w:rFonts w:ascii="Calibri" w:hAnsi="Calibri" w:cs="Calibri"/>
                <w:color w:val="222222"/>
                <w:sz w:val="14"/>
                <w:szCs w:val="14"/>
                <w:lang w:val="de-CH"/>
              </w:rPr>
              <w:t>López et al. (2007); Escrig-Olmedo et al. (2010); Berry &amp; Junkus (2010); Pagano et al. (2018); Rezec &amp; Scholtens (2017</w:t>
            </w:r>
          </w:p>
          <w:p w14:paraId="10066DC4" w14:textId="77777777" w:rsidR="00C3788D" w:rsidRPr="00FA0892" w:rsidRDefault="00C3788D" w:rsidP="00EC3985">
            <w:pPr>
              <w:pStyle w:val="ListParagraph"/>
              <w:numPr>
                <w:ilvl w:val="0"/>
                <w:numId w:val="29"/>
              </w:numPr>
              <w:rPr>
                <w:rFonts w:ascii="Calibri" w:eastAsia="Times New Roman" w:hAnsi="Calibri" w:cs="Calibri"/>
                <w:b/>
                <w:sz w:val="14"/>
                <w:szCs w:val="14"/>
                <w:lang w:eastAsia="en-GB"/>
              </w:rPr>
            </w:pPr>
            <w:r w:rsidRPr="00FA0892">
              <w:rPr>
                <w:rFonts w:ascii="Calibri" w:eastAsia="Times New Roman" w:hAnsi="Calibri" w:cs="Calibri"/>
                <w:sz w:val="14"/>
                <w:szCs w:val="14"/>
                <w:lang w:eastAsia="en-GB"/>
              </w:rPr>
              <w:t xml:space="preserve">Example: </w:t>
            </w:r>
            <w:r w:rsidRPr="00FA0892">
              <w:rPr>
                <w:rFonts w:ascii="Calibri" w:hAnsi="Calibri" w:cs="Calibri"/>
                <w:sz w:val="14"/>
                <w:szCs w:val="14"/>
              </w:rPr>
              <w:t>The S&amp;P 500 ESG Index aligns investment objectives with ESG values</w:t>
            </w:r>
          </w:p>
          <w:p w14:paraId="61ADBBDD" w14:textId="77777777" w:rsidR="00C3788D" w:rsidRDefault="00C3788D" w:rsidP="003E223D">
            <w:pPr>
              <w:rPr>
                <w:rFonts w:ascii="Calibri" w:eastAsia="Times New Roman" w:hAnsi="Calibri" w:cs="Calibri"/>
                <w:b/>
                <w:sz w:val="14"/>
                <w:szCs w:val="14"/>
                <w:lang w:eastAsia="en-GB"/>
              </w:rPr>
            </w:pPr>
          </w:p>
          <w:p w14:paraId="610CE7F2" w14:textId="77777777" w:rsidR="00C3788D" w:rsidRDefault="00C3788D" w:rsidP="003E223D">
            <w:pPr>
              <w:rPr>
                <w:rFonts w:ascii="Calibri" w:eastAsia="Times New Roman" w:hAnsi="Calibri" w:cs="Calibri"/>
                <w:sz w:val="14"/>
                <w:szCs w:val="14"/>
                <w:lang w:eastAsia="en-GB"/>
              </w:rPr>
            </w:pPr>
            <w:r w:rsidRPr="00D9018F">
              <w:rPr>
                <w:rFonts w:ascii="Calibri" w:eastAsia="Times New Roman" w:hAnsi="Calibri" w:cs="Calibri"/>
                <w:b/>
                <w:sz w:val="14"/>
                <w:szCs w:val="14"/>
                <w:lang w:eastAsia="en-GB"/>
              </w:rPr>
              <w:t>De-risking and direct investments by the UK government or Green investment banks:</w:t>
            </w:r>
            <w:r>
              <w:rPr>
                <w:rFonts w:ascii="Calibri" w:eastAsia="Times New Roman" w:hAnsi="Calibri" w:cs="Calibri"/>
                <w:sz w:val="14"/>
                <w:szCs w:val="14"/>
                <w:lang w:eastAsia="en-GB"/>
              </w:rPr>
              <w:t xml:space="preserve">  </w:t>
            </w:r>
          </w:p>
          <w:p w14:paraId="472B26E0" w14:textId="77777777" w:rsidR="00C3788D" w:rsidRPr="00567759" w:rsidRDefault="00C3788D" w:rsidP="00EC3985">
            <w:pPr>
              <w:pStyle w:val="ListParagraph"/>
              <w:numPr>
                <w:ilvl w:val="0"/>
                <w:numId w:val="22"/>
              </w:numPr>
              <w:rPr>
                <w:rFonts w:ascii="Calibri" w:eastAsia="Times New Roman" w:hAnsi="Calibri" w:cs="Calibri"/>
                <w:sz w:val="14"/>
                <w:szCs w:val="14"/>
                <w:lang w:val="de-CH" w:eastAsia="en-GB"/>
              </w:rPr>
            </w:pPr>
            <w:r w:rsidRPr="00567759">
              <w:rPr>
                <w:rFonts w:ascii="Calibri" w:eastAsia="Times New Roman" w:hAnsi="Calibri" w:cs="Calibri"/>
                <w:sz w:val="14"/>
                <w:szCs w:val="14"/>
                <w:lang w:val="de-CH" w:eastAsia="en-GB"/>
              </w:rPr>
              <w:t xml:space="preserve">Jones (2012); Geddes et al. (2018); </w:t>
            </w:r>
            <w:r w:rsidRPr="00567759">
              <w:rPr>
                <w:rFonts w:ascii="Calibri" w:hAnsi="Calibri" w:cs="Calibri"/>
                <w:color w:val="222222"/>
                <w:sz w:val="14"/>
                <w:szCs w:val="14"/>
                <w:lang w:val="de-CH"/>
              </w:rPr>
              <w:t>Steckel &amp; Jakob (2018)</w:t>
            </w:r>
          </w:p>
        </w:tc>
      </w:tr>
      <w:tr w:rsidR="00C3788D" w:rsidRPr="00137660" w14:paraId="38BC8724" w14:textId="77777777" w:rsidTr="003E223D">
        <w:trPr>
          <w:trHeight w:val="173"/>
        </w:trPr>
        <w:tc>
          <w:tcPr>
            <w:tcW w:w="567" w:type="dxa"/>
            <w:vAlign w:val="center"/>
          </w:tcPr>
          <w:p w14:paraId="73A63174"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6</w:t>
            </w:r>
          </w:p>
        </w:tc>
        <w:tc>
          <w:tcPr>
            <w:tcW w:w="3969" w:type="dxa"/>
          </w:tcPr>
          <w:p w14:paraId="49C420E2" w14:textId="77777777" w:rsidR="00C3788D" w:rsidRPr="004340D6" w:rsidRDefault="00C3788D" w:rsidP="00EC3985">
            <w:pPr>
              <w:pStyle w:val="ListParagraph"/>
              <w:numPr>
                <w:ilvl w:val="0"/>
                <w:numId w:val="25"/>
              </w:numPr>
              <w:rPr>
                <w:rFonts w:ascii="Calibri" w:eastAsia="Times New Roman" w:hAnsi="Calibri" w:cs="Calibri"/>
                <w:sz w:val="14"/>
                <w:szCs w:val="14"/>
                <w:lang w:eastAsia="en-GB"/>
              </w:rPr>
            </w:pPr>
            <w:r w:rsidRPr="004340D6">
              <w:rPr>
                <w:rFonts w:ascii="Calibri" w:eastAsia="Times New Roman" w:hAnsi="Calibri" w:cs="Calibri"/>
                <w:sz w:val="14"/>
                <w:szCs w:val="14"/>
                <w:lang w:eastAsia="en-GB"/>
              </w:rPr>
              <w:t xml:space="preserve">As more data becomes available it should be possible to attribute ratings to all RET </w:t>
            </w:r>
          </w:p>
          <w:p w14:paraId="042E4DC1" w14:textId="77777777" w:rsidR="00C3788D" w:rsidRPr="004340D6" w:rsidRDefault="00C3788D" w:rsidP="00EC3985">
            <w:pPr>
              <w:pStyle w:val="ListParagraph"/>
              <w:numPr>
                <w:ilvl w:val="0"/>
                <w:numId w:val="25"/>
              </w:numPr>
              <w:rPr>
                <w:rFonts w:ascii="Calibri" w:eastAsia="Times New Roman" w:hAnsi="Calibri" w:cs="Calibri"/>
                <w:sz w:val="14"/>
                <w:szCs w:val="14"/>
                <w:lang w:eastAsia="en-GB"/>
              </w:rPr>
            </w:pPr>
            <w:r w:rsidRPr="004340D6">
              <w:rPr>
                <w:rFonts w:ascii="Calibri" w:eastAsia="Times New Roman" w:hAnsi="Calibri" w:cs="Calibri"/>
                <w:sz w:val="14"/>
                <w:szCs w:val="14"/>
                <w:lang w:eastAsia="en-GB"/>
              </w:rPr>
              <w:t>Investment grade policy in general will help to improve the rating of RET investments</w:t>
            </w:r>
          </w:p>
        </w:tc>
        <w:tc>
          <w:tcPr>
            <w:tcW w:w="2977" w:type="dxa"/>
          </w:tcPr>
          <w:p w14:paraId="7F699BCF" w14:textId="77777777" w:rsidR="00C3788D" w:rsidRPr="005624C8" w:rsidRDefault="00C3788D" w:rsidP="003E223D">
            <w:pPr>
              <w:rPr>
                <w:rFonts w:ascii="Calibri" w:eastAsia="Times New Roman" w:hAnsi="Calibri" w:cs="Calibri"/>
                <w:sz w:val="14"/>
                <w:szCs w:val="14"/>
                <w:lang w:eastAsia="en-GB"/>
              </w:rPr>
            </w:pPr>
            <w:r w:rsidRPr="005624C8">
              <w:rPr>
                <w:rFonts w:ascii="Calibri" w:eastAsia="Times New Roman" w:hAnsi="Calibri" w:cs="Calibri"/>
                <w:sz w:val="14"/>
                <w:szCs w:val="14"/>
                <w:lang w:eastAsia="en-GB"/>
              </w:rPr>
              <w:t>UK Government; Green Investment Banks</w:t>
            </w:r>
          </w:p>
        </w:tc>
        <w:tc>
          <w:tcPr>
            <w:tcW w:w="3686" w:type="dxa"/>
          </w:tcPr>
          <w:p w14:paraId="118B44F8" w14:textId="77777777" w:rsidR="00C3788D" w:rsidRPr="00A04FE2" w:rsidRDefault="00C3788D" w:rsidP="003E223D">
            <w:pPr>
              <w:rPr>
                <w:rFonts w:ascii="Calibri" w:eastAsia="Times New Roman" w:hAnsi="Calibri" w:cs="Calibri"/>
                <w:b/>
                <w:sz w:val="14"/>
                <w:szCs w:val="14"/>
                <w:lang w:eastAsia="en-GB"/>
              </w:rPr>
            </w:pPr>
            <w:r w:rsidRPr="00A04FE2">
              <w:rPr>
                <w:rFonts w:ascii="Calibri" w:eastAsia="Times New Roman" w:hAnsi="Calibri" w:cs="Calibri"/>
                <w:b/>
                <w:sz w:val="14"/>
                <w:szCs w:val="14"/>
                <w:lang w:eastAsia="en-GB"/>
              </w:rPr>
              <w:t xml:space="preserve">Investment grade policy: </w:t>
            </w:r>
          </w:p>
          <w:p w14:paraId="26E19FCF" w14:textId="77777777" w:rsidR="00C3788D" w:rsidRPr="00A94E23" w:rsidRDefault="00C3788D" w:rsidP="00EC3985">
            <w:pPr>
              <w:pStyle w:val="ListParagraph"/>
              <w:numPr>
                <w:ilvl w:val="0"/>
                <w:numId w:val="18"/>
              </w:numPr>
              <w:rPr>
                <w:rFonts w:ascii="Calibri" w:eastAsia="Times New Roman" w:hAnsi="Calibri" w:cs="Calibri"/>
                <w:sz w:val="14"/>
                <w:szCs w:val="14"/>
                <w:lang w:eastAsia="en-GB"/>
              </w:rPr>
            </w:pPr>
            <w:r w:rsidRPr="004340D6">
              <w:rPr>
                <w:rFonts w:ascii="Calibri" w:eastAsia="Times New Roman" w:hAnsi="Calibri" w:cs="Calibri"/>
                <w:sz w:val="14"/>
                <w:szCs w:val="14"/>
                <w:lang w:eastAsia="en-GB"/>
              </w:rPr>
              <w:t>Hamilton (2009)</w:t>
            </w:r>
            <w:r>
              <w:rPr>
                <w:rFonts w:ascii="Calibri" w:eastAsia="Times New Roman" w:hAnsi="Calibri" w:cs="Calibri"/>
                <w:sz w:val="14"/>
                <w:szCs w:val="14"/>
                <w:lang w:eastAsia="en-GB"/>
              </w:rPr>
              <w:t xml:space="preserve">; </w:t>
            </w:r>
            <w:r w:rsidRPr="00A94E23">
              <w:rPr>
                <w:rFonts w:ascii="Calibri" w:eastAsia="Times New Roman" w:hAnsi="Calibri" w:cs="Calibri"/>
                <w:sz w:val="14"/>
                <w:szCs w:val="14"/>
                <w:lang w:eastAsia="en-GB"/>
              </w:rPr>
              <w:t>Jones (2012)</w:t>
            </w:r>
          </w:p>
        </w:tc>
      </w:tr>
      <w:tr w:rsidR="00C3788D" w:rsidRPr="00137660" w14:paraId="06FF83C7" w14:textId="77777777" w:rsidTr="003E223D">
        <w:trPr>
          <w:trHeight w:val="173"/>
        </w:trPr>
        <w:tc>
          <w:tcPr>
            <w:tcW w:w="567" w:type="dxa"/>
            <w:vAlign w:val="center"/>
          </w:tcPr>
          <w:p w14:paraId="339939BC"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7</w:t>
            </w:r>
          </w:p>
        </w:tc>
        <w:tc>
          <w:tcPr>
            <w:tcW w:w="3969" w:type="dxa"/>
          </w:tcPr>
          <w:p w14:paraId="1848A9FB" w14:textId="77777777" w:rsidR="00C3788D" w:rsidRPr="00137660" w:rsidRDefault="00C3788D" w:rsidP="00EC3985">
            <w:pPr>
              <w:pStyle w:val="ListParagraph"/>
              <w:numPr>
                <w:ilvl w:val="0"/>
                <w:numId w:val="26"/>
              </w:numP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Training of skilled RET advisors for investors</w:t>
            </w:r>
          </w:p>
          <w:p w14:paraId="36ADBD01" w14:textId="77777777" w:rsidR="00C3788D" w:rsidRPr="00137660" w:rsidRDefault="00C3788D" w:rsidP="00EC3985">
            <w:pPr>
              <w:pStyle w:val="ListParagraph"/>
              <w:numPr>
                <w:ilvl w:val="0"/>
                <w:numId w:val="26"/>
              </w:numPr>
              <w:rPr>
                <w:rFonts w:ascii="Calibri" w:eastAsia="Times New Roman" w:hAnsi="Calibri" w:cs="Calibri"/>
                <w:sz w:val="14"/>
                <w:szCs w:val="14"/>
                <w:lang w:eastAsia="en-GB"/>
              </w:rPr>
            </w:pPr>
            <w:r>
              <w:rPr>
                <w:rFonts w:ascii="Calibri" w:eastAsia="Times New Roman" w:hAnsi="Calibri" w:cs="Calibri"/>
                <w:sz w:val="14"/>
                <w:szCs w:val="14"/>
                <w:lang w:eastAsia="en-GB"/>
              </w:rPr>
              <w:t>As more data becomes available on RET technology</w:t>
            </w:r>
            <w:r w:rsidRPr="00137660">
              <w:rPr>
                <w:rFonts w:ascii="Calibri" w:eastAsia="Times New Roman" w:hAnsi="Calibri" w:cs="Calibri"/>
                <w:sz w:val="14"/>
                <w:szCs w:val="14"/>
                <w:lang w:eastAsia="en-GB"/>
              </w:rPr>
              <w:t>, th</w:t>
            </w:r>
            <w:r>
              <w:rPr>
                <w:rFonts w:ascii="Calibri" w:eastAsia="Times New Roman" w:hAnsi="Calibri" w:cs="Calibri"/>
                <w:sz w:val="14"/>
                <w:szCs w:val="14"/>
                <w:lang w:eastAsia="en-GB"/>
              </w:rPr>
              <w:t>is barrier will also be reduced (risks will be better known)</w:t>
            </w:r>
          </w:p>
        </w:tc>
        <w:tc>
          <w:tcPr>
            <w:tcW w:w="2977" w:type="dxa"/>
          </w:tcPr>
          <w:p w14:paraId="42389965" w14:textId="77777777" w:rsidR="00C3788D" w:rsidRPr="005624C8" w:rsidRDefault="00C3788D" w:rsidP="003E223D">
            <w:pPr>
              <w:rPr>
                <w:rFonts w:ascii="Calibri" w:eastAsia="Times New Roman" w:hAnsi="Calibri" w:cs="Calibri"/>
                <w:sz w:val="14"/>
                <w:szCs w:val="14"/>
                <w:lang w:eastAsia="en-GB"/>
              </w:rPr>
            </w:pPr>
            <w:r w:rsidRPr="005624C8">
              <w:rPr>
                <w:rFonts w:ascii="Calibri" w:eastAsia="Times New Roman" w:hAnsi="Calibri" w:cs="Calibri"/>
                <w:sz w:val="14"/>
                <w:szCs w:val="14"/>
                <w:lang w:eastAsia="en-GB"/>
              </w:rPr>
              <w:t>Independent institutions / UK government</w:t>
            </w:r>
          </w:p>
        </w:tc>
        <w:tc>
          <w:tcPr>
            <w:tcW w:w="3686" w:type="dxa"/>
          </w:tcPr>
          <w:p w14:paraId="10617CDA" w14:textId="77777777" w:rsidR="00C3788D" w:rsidRPr="00CB5284" w:rsidRDefault="00C3788D" w:rsidP="003E223D">
            <w:pPr>
              <w:rPr>
                <w:rFonts w:ascii="Calibri" w:eastAsia="Times New Roman" w:hAnsi="Calibri" w:cs="Calibri"/>
                <w:sz w:val="14"/>
                <w:szCs w:val="14"/>
                <w:lang w:eastAsia="en-GB"/>
              </w:rPr>
            </w:pPr>
          </w:p>
        </w:tc>
      </w:tr>
      <w:tr w:rsidR="00C3788D" w:rsidRPr="00137660" w14:paraId="1201C08C" w14:textId="77777777" w:rsidTr="003E223D">
        <w:trPr>
          <w:trHeight w:val="173"/>
        </w:trPr>
        <w:tc>
          <w:tcPr>
            <w:tcW w:w="567" w:type="dxa"/>
            <w:vAlign w:val="center"/>
          </w:tcPr>
          <w:p w14:paraId="136F0ED6" w14:textId="77777777" w:rsidR="00C3788D" w:rsidRPr="00E820AD" w:rsidRDefault="00C3788D" w:rsidP="003E223D">
            <w:pPr>
              <w:jc w:val="center"/>
              <w:rPr>
                <w:rFonts w:ascii="Calibri" w:eastAsia="Times New Roman" w:hAnsi="Calibri" w:cs="Calibri"/>
                <w:sz w:val="14"/>
                <w:szCs w:val="14"/>
                <w:lang w:eastAsia="en-GB"/>
              </w:rPr>
            </w:pPr>
            <w:r w:rsidRPr="00E820AD">
              <w:rPr>
                <w:rFonts w:ascii="Calibri" w:eastAsia="Times New Roman" w:hAnsi="Calibri" w:cs="Calibri"/>
                <w:sz w:val="14"/>
                <w:szCs w:val="14"/>
                <w:lang w:eastAsia="en-GB"/>
              </w:rPr>
              <w:t>8</w:t>
            </w:r>
          </w:p>
        </w:tc>
        <w:tc>
          <w:tcPr>
            <w:tcW w:w="3969" w:type="dxa"/>
          </w:tcPr>
          <w:p w14:paraId="2698DB4B" w14:textId="77777777" w:rsidR="00C3788D" w:rsidRDefault="00C3788D" w:rsidP="00EC3985">
            <w:pPr>
              <w:pStyle w:val="ListParagraph"/>
              <w:numPr>
                <w:ilvl w:val="0"/>
                <w:numId w:val="26"/>
              </w:numPr>
              <w:rPr>
                <w:rFonts w:ascii="Calibri" w:eastAsia="Times New Roman" w:hAnsi="Calibri" w:cs="Calibri"/>
                <w:sz w:val="14"/>
                <w:szCs w:val="14"/>
                <w:lang w:eastAsia="en-GB"/>
              </w:rPr>
            </w:pPr>
            <w:r w:rsidRPr="00E820AD">
              <w:rPr>
                <w:rFonts w:ascii="Calibri" w:eastAsia="Times New Roman" w:hAnsi="Calibri" w:cs="Calibri"/>
                <w:sz w:val="14"/>
                <w:szCs w:val="14"/>
                <w:lang w:eastAsia="en-GB"/>
              </w:rPr>
              <w:t xml:space="preserve">Strengthen the implementation standardised metrics on climate related risks, ESG values and </w:t>
            </w:r>
            <w:r>
              <w:rPr>
                <w:rFonts w:ascii="Calibri" w:eastAsia="Times New Roman" w:hAnsi="Calibri" w:cs="Calibri"/>
                <w:sz w:val="14"/>
                <w:szCs w:val="14"/>
                <w:lang w:eastAsia="en-GB"/>
              </w:rPr>
              <w:t xml:space="preserve">other </w:t>
            </w:r>
            <w:r w:rsidRPr="00E820AD">
              <w:rPr>
                <w:rFonts w:ascii="Calibri" w:eastAsia="Times New Roman" w:hAnsi="Calibri" w:cs="Calibri"/>
                <w:sz w:val="14"/>
                <w:szCs w:val="14"/>
                <w:lang w:eastAsia="en-GB"/>
              </w:rPr>
              <w:t>metrics which can be used for financial decision making</w:t>
            </w:r>
            <w:r>
              <w:rPr>
                <w:rFonts w:ascii="Calibri" w:eastAsia="Times New Roman" w:hAnsi="Calibri" w:cs="Calibri"/>
                <w:sz w:val="14"/>
                <w:szCs w:val="14"/>
                <w:lang w:eastAsia="en-GB"/>
              </w:rPr>
              <w:t xml:space="preserve"> and </w:t>
            </w:r>
            <w:r w:rsidRPr="00740C0D">
              <w:rPr>
                <w:rFonts w:ascii="Calibri" w:eastAsia="Times New Roman" w:hAnsi="Calibri" w:cs="Calibri"/>
                <w:sz w:val="14"/>
                <w:szCs w:val="14"/>
                <w:lang w:eastAsia="en-GB"/>
              </w:rPr>
              <w:t>that help investors to align their investments with the two degree target</w:t>
            </w:r>
            <w:r w:rsidRPr="00593519">
              <w:rPr>
                <w:rStyle w:val="FootnoteReference"/>
                <w:rFonts w:ascii="Calibri" w:hAnsi="Calibri" w:cs="Calibri"/>
                <w:sz w:val="14"/>
                <w:szCs w:val="14"/>
              </w:rPr>
              <w:footnoteReference w:id="19"/>
            </w:r>
          </w:p>
          <w:p w14:paraId="5121A4E3" w14:textId="77777777" w:rsidR="00C3788D" w:rsidRPr="00740C0D" w:rsidRDefault="00C3788D" w:rsidP="00EC3985">
            <w:pPr>
              <w:pStyle w:val="ListParagraph"/>
              <w:numPr>
                <w:ilvl w:val="0"/>
                <w:numId w:val="26"/>
              </w:numPr>
              <w:rPr>
                <w:rFonts w:ascii="Calibri" w:eastAsia="Times New Roman" w:hAnsi="Calibri" w:cs="Calibri"/>
                <w:sz w:val="14"/>
                <w:szCs w:val="14"/>
                <w:lang w:eastAsia="en-GB"/>
              </w:rPr>
            </w:pPr>
            <w:r>
              <w:rPr>
                <w:rFonts w:ascii="Calibri" w:eastAsia="Times New Roman" w:hAnsi="Calibri" w:cs="Calibri"/>
                <w:sz w:val="14"/>
                <w:szCs w:val="14"/>
                <w:lang w:eastAsia="en-GB"/>
              </w:rPr>
              <w:t>Tracking of brown investments</w:t>
            </w:r>
            <w:r>
              <w:rPr>
                <w:rStyle w:val="FootnoteReference"/>
                <w:rFonts w:ascii="Calibri" w:eastAsia="Times New Roman" w:hAnsi="Calibri" w:cs="Calibri"/>
                <w:sz w:val="14"/>
                <w:szCs w:val="14"/>
                <w:lang w:eastAsia="en-GB"/>
              </w:rPr>
              <w:footnoteReference w:id="20"/>
            </w:r>
          </w:p>
          <w:p w14:paraId="12BF6DBD" w14:textId="77777777" w:rsidR="00C3788D" w:rsidRDefault="00C3788D" w:rsidP="00EC3985">
            <w:pPr>
              <w:pStyle w:val="ListParagraph"/>
              <w:numPr>
                <w:ilvl w:val="0"/>
                <w:numId w:val="26"/>
              </w:numPr>
              <w:rPr>
                <w:rFonts w:ascii="Calibri" w:eastAsia="Times New Roman" w:hAnsi="Calibri" w:cs="Calibri"/>
                <w:sz w:val="14"/>
                <w:szCs w:val="14"/>
                <w:lang w:eastAsia="en-GB"/>
              </w:rPr>
            </w:pPr>
            <w:r>
              <w:rPr>
                <w:rFonts w:ascii="Calibri" w:eastAsia="Times New Roman" w:hAnsi="Calibri" w:cs="Calibri"/>
                <w:sz w:val="14"/>
                <w:szCs w:val="14"/>
                <w:lang w:eastAsia="en-GB"/>
              </w:rPr>
              <w:t>Amendments in</w:t>
            </w:r>
            <w:r w:rsidRPr="00E820AD">
              <w:rPr>
                <w:rFonts w:ascii="Calibri" w:eastAsia="Times New Roman" w:hAnsi="Calibri" w:cs="Calibri"/>
                <w:sz w:val="14"/>
                <w:szCs w:val="14"/>
                <w:lang w:eastAsia="en-GB"/>
              </w:rPr>
              <w:t xml:space="preserve"> regulations of Pension</w:t>
            </w:r>
            <w:r>
              <w:rPr>
                <w:rFonts w:ascii="Calibri" w:eastAsia="Times New Roman" w:hAnsi="Calibri" w:cs="Calibri"/>
                <w:sz w:val="14"/>
                <w:szCs w:val="14"/>
                <w:lang w:eastAsia="en-GB"/>
              </w:rPr>
              <w:t xml:space="preserve"> </w:t>
            </w:r>
            <w:r w:rsidRPr="00E820AD">
              <w:rPr>
                <w:rFonts w:ascii="Calibri" w:eastAsia="Times New Roman" w:hAnsi="Calibri" w:cs="Calibri"/>
                <w:sz w:val="14"/>
                <w:szCs w:val="14"/>
                <w:lang w:eastAsia="en-GB"/>
              </w:rPr>
              <w:t xml:space="preserve">funds, insurances and banks as such that they </w:t>
            </w:r>
            <w:r>
              <w:rPr>
                <w:rFonts w:ascii="Calibri" w:eastAsia="Times New Roman" w:hAnsi="Calibri" w:cs="Calibri"/>
                <w:sz w:val="14"/>
                <w:szCs w:val="14"/>
                <w:lang w:eastAsia="en-GB"/>
              </w:rPr>
              <w:t>obligated</w:t>
            </w:r>
            <w:r w:rsidRPr="00E820AD">
              <w:rPr>
                <w:rFonts w:ascii="Calibri" w:eastAsia="Times New Roman" w:hAnsi="Calibri" w:cs="Calibri"/>
                <w:sz w:val="14"/>
                <w:szCs w:val="14"/>
                <w:lang w:eastAsia="en-GB"/>
              </w:rPr>
              <w:t xml:space="preserve"> to consider (long-term) climate </w:t>
            </w:r>
            <w:r w:rsidRPr="00C83E69">
              <w:rPr>
                <w:rFonts w:ascii="Calibri" w:eastAsia="Times New Roman" w:hAnsi="Calibri" w:cs="Calibri"/>
                <w:sz w:val="14"/>
                <w:szCs w:val="14"/>
                <w:lang w:eastAsia="en-GB"/>
              </w:rPr>
              <w:t xml:space="preserve">change risks in investment decision making and/or establish </w:t>
            </w:r>
            <w:r w:rsidRPr="00C83E69">
              <w:rPr>
                <w:sz w:val="14"/>
                <w:szCs w:val="14"/>
              </w:rPr>
              <w:t>green finance requirements and frameworks for investing and lending</w:t>
            </w:r>
          </w:p>
          <w:p w14:paraId="54E193E5" w14:textId="77777777" w:rsidR="00C3788D" w:rsidRPr="00786793" w:rsidRDefault="00C3788D" w:rsidP="00EC3985">
            <w:pPr>
              <w:pStyle w:val="ListParagraph"/>
              <w:numPr>
                <w:ilvl w:val="0"/>
                <w:numId w:val="26"/>
              </w:numPr>
              <w:rPr>
                <w:rFonts w:ascii="Calibri" w:eastAsia="Times New Roman" w:hAnsi="Calibri" w:cs="Calibri"/>
                <w:sz w:val="14"/>
                <w:szCs w:val="14"/>
                <w:lang w:eastAsia="en-GB"/>
              </w:rPr>
            </w:pPr>
            <w:r w:rsidRPr="00BC53BF">
              <w:rPr>
                <w:rFonts w:ascii="Calibri" w:eastAsia="Times New Roman" w:hAnsi="Calibri" w:cs="Calibri"/>
                <w:sz w:val="14"/>
                <w:szCs w:val="14"/>
                <w:lang w:eastAsia="en-GB"/>
              </w:rPr>
              <w:t xml:space="preserve">Sustainability disclosure </w:t>
            </w:r>
            <w:r w:rsidRPr="00786793">
              <w:rPr>
                <w:rFonts w:ascii="Calibri" w:eastAsia="Times New Roman" w:hAnsi="Calibri" w:cs="Calibri"/>
                <w:sz w:val="14"/>
                <w:szCs w:val="14"/>
                <w:lang w:eastAsia="en-GB"/>
              </w:rPr>
              <w:t>criteria in listing requirements on stock exchanges</w:t>
            </w:r>
          </w:p>
          <w:p w14:paraId="6CF3A6C8" w14:textId="77777777" w:rsidR="00C3788D" w:rsidRPr="00786793" w:rsidRDefault="00C3788D" w:rsidP="00EC3985">
            <w:pPr>
              <w:pStyle w:val="ListParagraph"/>
              <w:numPr>
                <w:ilvl w:val="0"/>
                <w:numId w:val="26"/>
              </w:numPr>
              <w:rPr>
                <w:rFonts w:ascii="Calibri" w:eastAsia="Times New Roman" w:hAnsi="Calibri" w:cs="Calibri"/>
                <w:sz w:val="14"/>
                <w:szCs w:val="14"/>
                <w:lang w:eastAsia="en-GB"/>
              </w:rPr>
            </w:pPr>
            <w:r w:rsidRPr="00786793">
              <w:rPr>
                <w:rFonts w:ascii="Calibri" w:hAnsi="Calibri" w:cs="AdvOT987ad488"/>
                <w:sz w:val="14"/>
                <w:szCs w:val="14"/>
              </w:rPr>
              <w:lastRenderedPageBreak/>
              <w:t xml:space="preserve">Credit rating agencies should </w:t>
            </w:r>
            <w:r>
              <w:rPr>
                <w:rFonts w:ascii="Calibri" w:hAnsi="Calibri" w:cs="AdvOT987ad488"/>
                <w:sz w:val="14"/>
                <w:szCs w:val="14"/>
              </w:rPr>
              <w:t>continue to account for</w:t>
            </w:r>
            <w:r w:rsidRPr="00786793">
              <w:rPr>
                <w:rFonts w:ascii="Calibri" w:hAnsi="Calibri" w:cs="AdvOT987ad488"/>
                <w:sz w:val="14"/>
                <w:szCs w:val="14"/>
              </w:rPr>
              <w:t xml:space="preserve"> climate related risks </w:t>
            </w:r>
            <w:r>
              <w:rPr>
                <w:rFonts w:ascii="Calibri" w:hAnsi="Calibri" w:cs="AdvOT987ad488"/>
                <w:sz w:val="14"/>
                <w:szCs w:val="14"/>
              </w:rPr>
              <w:t>in their ratings</w:t>
            </w:r>
            <w:r w:rsidRPr="00786793">
              <w:rPr>
                <w:rFonts w:ascii="Calibri" w:hAnsi="Calibri" w:cs="AdvOT987ad488"/>
                <w:sz w:val="14"/>
                <w:szCs w:val="14"/>
              </w:rPr>
              <w:t xml:space="preserve"> and </w:t>
            </w:r>
            <w:r>
              <w:rPr>
                <w:rFonts w:ascii="Calibri" w:hAnsi="Calibri" w:cs="AdvOT987ad488"/>
                <w:sz w:val="14"/>
                <w:szCs w:val="14"/>
              </w:rPr>
              <w:t>adjust</w:t>
            </w:r>
            <w:r w:rsidRPr="00786793">
              <w:rPr>
                <w:rFonts w:ascii="Calibri" w:hAnsi="Calibri" w:cs="AdvOT987ad488"/>
                <w:sz w:val="14"/>
                <w:szCs w:val="14"/>
              </w:rPr>
              <w:t xml:space="preserve"> their rating methodologies if required</w:t>
            </w:r>
          </w:p>
          <w:p w14:paraId="5A524AC1" w14:textId="77777777" w:rsidR="00C3788D" w:rsidRPr="00AB5055" w:rsidRDefault="00C3788D" w:rsidP="00EC3985">
            <w:pPr>
              <w:pStyle w:val="ListParagraph"/>
              <w:numPr>
                <w:ilvl w:val="0"/>
                <w:numId w:val="26"/>
              </w:numPr>
              <w:rPr>
                <w:rFonts w:ascii="Calibri" w:eastAsia="Times New Roman" w:hAnsi="Calibri" w:cs="Calibri"/>
                <w:sz w:val="14"/>
                <w:szCs w:val="14"/>
                <w:lang w:eastAsia="en-GB"/>
              </w:rPr>
            </w:pPr>
            <w:r w:rsidRPr="00AB5055">
              <w:rPr>
                <w:rFonts w:ascii="Calibri" w:eastAsia="Times New Roman" w:hAnsi="Calibri" w:cs="Calibri"/>
                <w:sz w:val="14"/>
                <w:szCs w:val="14"/>
                <w:lang w:eastAsia="en-GB"/>
              </w:rPr>
              <w:t>Central banks should legislate and measure financial stability</w:t>
            </w:r>
            <w:r w:rsidRPr="00AB5055">
              <w:rPr>
                <w:rStyle w:val="FootnoteReference"/>
                <w:rFonts w:ascii="Calibri" w:eastAsia="Times New Roman" w:hAnsi="Calibri" w:cs="Calibri"/>
                <w:sz w:val="14"/>
                <w:szCs w:val="14"/>
                <w:lang w:eastAsia="en-GB"/>
              </w:rPr>
              <w:footnoteReference w:id="21"/>
            </w:r>
            <w:r w:rsidRPr="00AB5055">
              <w:rPr>
                <w:rFonts w:ascii="Calibri" w:eastAsia="Times New Roman" w:hAnsi="Calibri" w:cs="Calibri"/>
                <w:sz w:val="14"/>
                <w:szCs w:val="14"/>
                <w:lang w:eastAsia="en-GB"/>
              </w:rPr>
              <w:t>. In particular, they should assess financial effects of climate related risks on the financial system and ensure financial systems stability. This also involves coordination among central banks and authorities and to track financial flows globally</w:t>
            </w:r>
          </w:p>
          <w:p w14:paraId="220AB0F2" w14:textId="77777777" w:rsidR="00C3788D" w:rsidRPr="00161C73" w:rsidRDefault="00C3788D" w:rsidP="00EC3985">
            <w:pPr>
              <w:pStyle w:val="ListParagraph"/>
              <w:numPr>
                <w:ilvl w:val="0"/>
                <w:numId w:val="26"/>
              </w:numPr>
              <w:rPr>
                <w:sz w:val="14"/>
                <w:szCs w:val="14"/>
              </w:rPr>
            </w:pPr>
            <w:r w:rsidRPr="00AB5055">
              <w:rPr>
                <w:sz w:val="14"/>
                <w:szCs w:val="14"/>
              </w:rPr>
              <w:t xml:space="preserve">Lobbying and production of research, guides and policy papers that assist investors and financial intermediaries (voluntarily) consider climate change risks and ESG values in investing, and to conduct investment in line with the two-degree initiative </w:t>
            </w:r>
          </w:p>
        </w:tc>
        <w:tc>
          <w:tcPr>
            <w:tcW w:w="2977" w:type="dxa"/>
          </w:tcPr>
          <w:p w14:paraId="0F32FDCC" w14:textId="77777777" w:rsidR="00C3788D" w:rsidRDefault="00C3788D" w:rsidP="003E223D">
            <w:pPr>
              <w:autoSpaceDE w:val="0"/>
              <w:autoSpaceDN w:val="0"/>
              <w:adjustRightInd w:val="0"/>
              <w:rPr>
                <w:rFonts w:ascii="Calibri" w:hAnsi="Calibri" w:cs="AdvOT987ad488"/>
                <w:sz w:val="14"/>
                <w:szCs w:val="14"/>
              </w:rPr>
            </w:pPr>
            <w:r>
              <w:rPr>
                <w:rFonts w:ascii="Calibri" w:hAnsi="Calibri" w:cs="AdvOT987ad488"/>
                <w:sz w:val="14"/>
                <w:szCs w:val="14"/>
              </w:rPr>
              <w:lastRenderedPageBreak/>
              <w:t>Voluntary Green/Brown Disclosure Standards</w:t>
            </w:r>
            <w:r w:rsidRPr="00786793">
              <w:rPr>
                <w:rFonts w:ascii="Calibri" w:hAnsi="Calibri" w:cs="AdvOT987ad488"/>
                <w:sz w:val="14"/>
                <w:szCs w:val="14"/>
              </w:rPr>
              <w:t xml:space="preserve">: </w:t>
            </w:r>
            <w:r>
              <w:rPr>
                <w:rFonts w:ascii="Calibri" w:hAnsi="Calibri" w:cs="AdvOT987ad488"/>
                <w:sz w:val="14"/>
                <w:szCs w:val="14"/>
              </w:rPr>
              <w:t>Voluntary initiatives (e.g. two-</w:t>
            </w:r>
            <w:r w:rsidRPr="00786793">
              <w:rPr>
                <w:rFonts w:ascii="Calibri" w:hAnsi="Calibri" w:cs="AdvOT987ad488"/>
                <w:sz w:val="14"/>
                <w:szCs w:val="14"/>
              </w:rPr>
              <w:t>degrees investing initiative</w:t>
            </w:r>
            <w:r>
              <w:rPr>
                <w:rFonts w:ascii="Calibri" w:hAnsi="Calibri" w:cs="AdvOT987ad488"/>
                <w:sz w:val="14"/>
                <w:szCs w:val="14"/>
              </w:rPr>
              <w:t>, CPI, Carbon Disclosure Project (CDP</w:t>
            </w:r>
            <w:r>
              <w:rPr>
                <w:rStyle w:val="FootnoteReference"/>
                <w:rFonts w:ascii="Calibri" w:hAnsi="Calibri" w:cs="AdvOT987ad488"/>
                <w:sz w:val="14"/>
                <w:szCs w:val="14"/>
              </w:rPr>
              <w:footnoteReference w:id="22"/>
            </w:r>
            <w:r>
              <w:rPr>
                <w:rFonts w:ascii="Calibri" w:hAnsi="Calibri" w:cs="AdvOT987ad488"/>
                <w:sz w:val="14"/>
                <w:szCs w:val="14"/>
              </w:rPr>
              <w:t>), Global Reporting initiative</w:t>
            </w:r>
            <w:r w:rsidRPr="001A2B74">
              <w:rPr>
                <w:rStyle w:val="FootnoteReference"/>
                <w:rFonts w:ascii="Calibri" w:hAnsi="Calibri" w:cs="AdvOT987ad488"/>
                <w:sz w:val="14"/>
                <w:szCs w:val="14"/>
              </w:rPr>
              <w:footnoteReference w:id="23"/>
            </w:r>
            <w:r w:rsidRPr="001A2B74">
              <w:rPr>
                <w:rFonts w:ascii="Calibri" w:hAnsi="Calibri" w:cs="AdvOT987ad488"/>
                <w:sz w:val="14"/>
                <w:szCs w:val="14"/>
              </w:rPr>
              <w:t xml:space="preserve">, </w:t>
            </w:r>
            <w:hyperlink r:id="rId14" w:history="1">
              <w:r w:rsidRPr="00E96BFB">
                <w:rPr>
                  <w:rStyle w:val="Hyperlink"/>
                  <w:sz w:val="14"/>
                  <w:szCs w:val="14"/>
                </w:rPr>
                <w:t>Network for Greening the Financial System</w:t>
              </w:r>
            </w:hyperlink>
            <w:r w:rsidRPr="001A2B74">
              <w:rPr>
                <w:rFonts w:ascii="Calibri" w:hAnsi="Calibri"/>
                <w:sz w:val="14"/>
                <w:szCs w:val="14"/>
              </w:rPr>
              <w:t xml:space="preserve"> (NGFS)</w:t>
            </w:r>
            <w:r w:rsidRPr="001A2B74">
              <w:rPr>
                <w:rFonts w:ascii="Calibri" w:hAnsi="Calibri" w:cs="AdvOT987ad488"/>
                <w:sz w:val="14"/>
                <w:szCs w:val="14"/>
              </w:rPr>
              <w:t xml:space="preserve"> etc.), </w:t>
            </w:r>
            <w:r w:rsidRPr="00786793">
              <w:rPr>
                <w:rFonts w:ascii="Calibri" w:hAnsi="Calibri" w:cs="AdvOT987ad488"/>
                <w:sz w:val="14"/>
                <w:szCs w:val="14"/>
              </w:rPr>
              <w:t>European Commission as funding provider</w:t>
            </w:r>
            <w:r>
              <w:rPr>
                <w:rFonts w:ascii="Calibri" w:hAnsi="Calibri" w:cs="AdvOT987ad488"/>
                <w:sz w:val="14"/>
                <w:szCs w:val="14"/>
              </w:rPr>
              <w:t xml:space="preserve"> (see also the European Technical Expert Group on Sustainable Finance)</w:t>
            </w:r>
          </w:p>
          <w:p w14:paraId="323F3255" w14:textId="77777777" w:rsidR="00C3788D" w:rsidRDefault="00C3788D" w:rsidP="003E223D">
            <w:pPr>
              <w:autoSpaceDE w:val="0"/>
              <w:autoSpaceDN w:val="0"/>
              <w:adjustRightInd w:val="0"/>
              <w:rPr>
                <w:rFonts w:ascii="Calibri" w:hAnsi="Calibri" w:cs="AdvOT987ad488"/>
                <w:sz w:val="14"/>
                <w:szCs w:val="14"/>
              </w:rPr>
            </w:pPr>
          </w:p>
          <w:p w14:paraId="3D7ABBB3" w14:textId="77777777" w:rsidR="00C3788D" w:rsidRPr="00786793" w:rsidRDefault="00C3788D" w:rsidP="003E223D">
            <w:pPr>
              <w:autoSpaceDE w:val="0"/>
              <w:autoSpaceDN w:val="0"/>
              <w:adjustRightInd w:val="0"/>
              <w:rPr>
                <w:rFonts w:ascii="Calibri" w:hAnsi="Calibri" w:cs="AdvOT987ad488"/>
                <w:sz w:val="14"/>
                <w:szCs w:val="14"/>
              </w:rPr>
            </w:pPr>
            <w:r>
              <w:rPr>
                <w:rFonts w:ascii="Calibri" w:hAnsi="Calibri" w:cs="AdvOT987ad488"/>
                <w:sz w:val="14"/>
                <w:szCs w:val="14"/>
              </w:rPr>
              <w:t xml:space="preserve">Mandatory Green/Brown Disclosure Standards: this would require changes in regulation, see topic 4. </w:t>
            </w:r>
          </w:p>
          <w:p w14:paraId="287F8D2F" w14:textId="77777777" w:rsidR="00C3788D" w:rsidRDefault="00C3788D" w:rsidP="003E223D">
            <w:pPr>
              <w:autoSpaceDE w:val="0"/>
              <w:autoSpaceDN w:val="0"/>
              <w:adjustRightInd w:val="0"/>
              <w:rPr>
                <w:rFonts w:ascii="Calibri" w:hAnsi="Calibri" w:cs="AdvOT987ad488"/>
                <w:sz w:val="14"/>
                <w:szCs w:val="14"/>
              </w:rPr>
            </w:pPr>
          </w:p>
          <w:p w14:paraId="4057FEAB" w14:textId="77777777" w:rsidR="00C3788D" w:rsidRDefault="00C3788D" w:rsidP="003E223D">
            <w:pPr>
              <w:autoSpaceDE w:val="0"/>
              <w:autoSpaceDN w:val="0"/>
              <w:adjustRightInd w:val="0"/>
              <w:rPr>
                <w:rFonts w:ascii="Calibri" w:hAnsi="Calibri" w:cs="AdvOT987ad488"/>
                <w:sz w:val="14"/>
                <w:szCs w:val="14"/>
              </w:rPr>
            </w:pPr>
            <w:r>
              <w:rPr>
                <w:rFonts w:ascii="Calibri" w:hAnsi="Calibri" w:cs="AdvOT987ad488"/>
                <w:sz w:val="14"/>
                <w:szCs w:val="14"/>
              </w:rPr>
              <w:lastRenderedPageBreak/>
              <w:t xml:space="preserve">Disclosure rules on stock exchanges: </w:t>
            </w:r>
            <w:r w:rsidRPr="00786793">
              <w:rPr>
                <w:rFonts w:ascii="Calibri" w:hAnsi="Calibri" w:cs="AdvOT987ad488"/>
                <w:sz w:val="14"/>
                <w:szCs w:val="14"/>
              </w:rPr>
              <w:t>Market exchanges responsible for listing rules and information disclosure rules</w:t>
            </w:r>
          </w:p>
          <w:p w14:paraId="0AD1C19D" w14:textId="77777777" w:rsidR="00C3788D" w:rsidRDefault="00C3788D" w:rsidP="003E223D">
            <w:pPr>
              <w:autoSpaceDE w:val="0"/>
              <w:autoSpaceDN w:val="0"/>
              <w:adjustRightInd w:val="0"/>
              <w:rPr>
                <w:rFonts w:ascii="Calibri" w:hAnsi="Calibri" w:cs="AdvOT987ad488"/>
                <w:sz w:val="14"/>
                <w:szCs w:val="14"/>
              </w:rPr>
            </w:pPr>
          </w:p>
          <w:p w14:paraId="2BFD4F32" w14:textId="77777777" w:rsidR="00C3788D" w:rsidRPr="00786793" w:rsidRDefault="00C3788D" w:rsidP="003E223D">
            <w:pPr>
              <w:autoSpaceDE w:val="0"/>
              <w:autoSpaceDN w:val="0"/>
              <w:adjustRightInd w:val="0"/>
              <w:rPr>
                <w:rFonts w:ascii="Calibri" w:hAnsi="Calibri" w:cs="AdvOT987ad488"/>
                <w:sz w:val="14"/>
                <w:szCs w:val="14"/>
              </w:rPr>
            </w:pPr>
            <w:r>
              <w:rPr>
                <w:rFonts w:ascii="Calibri" w:hAnsi="Calibri" w:cs="AdvOT987ad488"/>
                <w:sz w:val="14"/>
                <w:szCs w:val="14"/>
              </w:rPr>
              <w:t>Amendment in rating methodology: Credit rating agencies</w:t>
            </w:r>
          </w:p>
          <w:p w14:paraId="2FD3FC9E" w14:textId="77777777" w:rsidR="00C3788D" w:rsidRPr="00786793" w:rsidRDefault="00C3788D" w:rsidP="003E223D">
            <w:pPr>
              <w:autoSpaceDE w:val="0"/>
              <w:autoSpaceDN w:val="0"/>
              <w:adjustRightInd w:val="0"/>
              <w:rPr>
                <w:rFonts w:ascii="Calibri" w:hAnsi="Calibri" w:cs="AdvOT987ad488"/>
                <w:sz w:val="14"/>
                <w:szCs w:val="14"/>
              </w:rPr>
            </w:pPr>
          </w:p>
          <w:p w14:paraId="728F0FDD" w14:textId="77777777" w:rsidR="00C3788D" w:rsidRDefault="00C3788D" w:rsidP="003E223D">
            <w:pPr>
              <w:autoSpaceDE w:val="0"/>
              <w:autoSpaceDN w:val="0"/>
              <w:adjustRightInd w:val="0"/>
              <w:rPr>
                <w:rFonts w:ascii="Calibri" w:hAnsi="Calibri" w:cs="AdvOT987ad488"/>
                <w:sz w:val="14"/>
                <w:szCs w:val="14"/>
              </w:rPr>
            </w:pPr>
            <w:r w:rsidRPr="00786793">
              <w:rPr>
                <w:rFonts w:ascii="Calibri" w:hAnsi="Calibri" w:cs="AdvOT987ad488"/>
                <w:sz w:val="14"/>
                <w:szCs w:val="14"/>
              </w:rPr>
              <w:t>Introduction of mandatory clima</w:t>
            </w:r>
            <w:r>
              <w:rPr>
                <w:rFonts w:ascii="Calibri" w:hAnsi="Calibri" w:cs="AdvOT987ad488"/>
                <w:sz w:val="14"/>
                <w:szCs w:val="14"/>
              </w:rPr>
              <w:t xml:space="preserve">te stress testing: Government, </w:t>
            </w:r>
            <w:r w:rsidRPr="00786793">
              <w:rPr>
                <w:rFonts w:ascii="Calibri" w:hAnsi="Calibri" w:cs="AdvOT987ad488"/>
                <w:sz w:val="14"/>
                <w:szCs w:val="14"/>
              </w:rPr>
              <w:t>central banks, the European Systemic Risk Board (ESRB) advisory scientific committee, international financial stability board (FSB); Bank for international Settlement (BIS)</w:t>
            </w:r>
          </w:p>
          <w:p w14:paraId="756082A6" w14:textId="77777777" w:rsidR="00C3788D" w:rsidRDefault="00C3788D" w:rsidP="003E223D">
            <w:pPr>
              <w:autoSpaceDE w:val="0"/>
              <w:autoSpaceDN w:val="0"/>
              <w:adjustRightInd w:val="0"/>
              <w:rPr>
                <w:rFonts w:ascii="Calibri" w:hAnsi="Calibri" w:cs="AdvOT987ad488"/>
                <w:sz w:val="14"/>
                <w:szCs w:val="14"/>
              </w:rPr>
            </w:pPr>
          </w:p>
          <w:p w14:paraId="128113C4" w14:textId="77777777" w:rsidR="00C3788D" w:rsidRPr="00786793" w:rsidRDefault="00C3788D" w:rsidP="003E223D">
            <w:pPr>
              <w:autoSpaceDE w:val="0"/>
              <w:autoSpaceDN w:val="0"/>
              <w:adjustRightInd w:val="0"/>
              <w:rPr>
                <w:rFonts w:ascii="Calibri" w:hAnsi="Calibri" w:cs="AdvOT987ad488"/>
                <w:color w:val="FF0000"/>
                <w:sz w:val="14"/>
                <w:szCs w:val="14"/>
              </w:rPr>
            </w:pPr>
            <w:r>
              <w:rPr>
                <w:rFonts w:ascii="Calibri" w:hAnsi="Calibri" w:cs="AdvOT987ad488"/>
                <w:sz w:val="14"/>
                <w:szCs w:val="14"/>
              </w:rPr>
              <w:t>Lobbying and production of information helpful for the voluntarily inclusion of ESG criteria: professional associations of investors, banking sector, auditors and actuaries; NGO or other research institutes</w:t>
            </w:r>
          </w:p>
        </w:tc>
        <w:tc>
          <w:tcPr>
            <w:tcW w:w="3686" w:type="dxa"/>
          </w:tcPr>
          <w:p w14:paraId="7CE00A9C" w14:textId="77777777" w:rsidR="00C3788D" w:rsidRPr="004F09C4" w:rsidRDefault="00C3788D" w:rsidP="003E223D">
            <w:pPr>
              <w:autoSpaceDE w:val="0"/>
              <w:autoSpaceDN w:val="0"/>
              <w:adjustRightInd w:val="0"/>
              <w:rPr>
                <w:rFonts w:ascii="Calibri" w:hAnsi="Calibri" w:cs="Calibri"/>
                <w:b/>
                <w:sz w:val="14"/>
                <w:szCs w:val="14"/>
              </w:rPr>
            </w:pPr>
            <w:r>
              <w:rPr>
                <w:rFonts w:ascii="Calibri" w:hAnsi="Calibri" w:cs="Calibri"/>
                <w:b/>
                <w:sz w:val="14"/>
                <w:szCs w:val="14"/>
              </w:rPr>
              <w:lastRenderedPageBreak/>
              <w:t>Standardised c</w:t>
            </w:r>
            <w:r w:rsidRPr="004F09C4">
              <w:rPr>
                <w:rFonts w:ascii="Calibri" w:hAnsi="Calibri" w:cs="Calibri"/>
                <w:b/>
                <w:sz w:val="14"/>
                <w:szCs w:val="14"/>
              </w:rPr>
              <w:t>lima</w:t>
            </w:r>
            <w:r>
              <w:rPr>
                <w:rFonts w:ascii="Calibri" w:hAnsi="Calibri" w:cs="Calibri"/>
                <w:b/>
                <w:sz w:val="14"/>
                <w:szCs w:val="14"/>
              </w:rPr>
              <w:t>te-Related Financial Disclosure</w:t>
            </w:r>
            <w:r>
              <w:rPr>
                <w:rStyle w:val="FootnoteReference"/>
                <w:rFonts w:ascii="Calibri" w:hAnsi="Calibri" w:cs="Calibri"/>
                <w:b/>
                <w:sz w:val="14"/>
                <w:szCs w:val="14"/>
              </w:rPr>
              <w:footnoteReference w:id="24"/>
            </w:r>
            <w:r w:rsidRPr="004F09C4">
              <w:rPr>
                <w:rFonts w:ascii="Calibri" w:hAnsi="Calibri" w:cs="Calibri"/>
                <w:b/>
                <w:sz w:val="14"/>
                <w:szCs w:val="14"/>
              </w:rPr>
              <w:t xml:space="preserve">: </w:t>
            </w:r>
          </w:p>
          <w:p w14:paraId="3A03FCA8" w14:textId="77777777" w:rsidR="00C3788D" w:rsidRPr="00361882" w:rsidRDefault="00C3788D" w:rsidP="00EC3985">
            <w:pPr>
              <w:pStyle w:val="ListParagraph"/>
              <w:numPr>
                <w:ilvl w:val="0"/>
                <w:numId w:val="19"/>
              </w:numPr>
              <w:autoSpaceDE w:val="0"/>
              <w:autoSpaceDN w:val="0"/>
              <w:adjustRightInd w:val="0"/>
              <w:rPr>
                <w:rFonts w:ascii="Calibri" w:hAnsi="Calibri" w:cs="Calibri"/>
                <w:sz w:val="14"/>
                <w:szCs w:val="14"/>
              </w:rPr>
            </w:pPr>
            <w:r>
              <w:rPr>
                <w:rFonts w:ascii="Calibri" w:hAnsi="Calibri" w:cs="Calibri"/>
                <w:sz w:val="14"/>
                <w:szCs w:val="14"/>
              </w:rPr>
              <w:t xml:space="preserve">Financial Stability Board (FSB) (2015); </w:t>
            </w:r>
            <w:r w:rsidRPr="00361882">
              <w:rPr>
                <w:rFonts w:ascii="Calibri" w:hAnsi="Calibri" w:cs="Calibri"/>
                <w:color w:val="372F32"/>
                <w:sz w:val="14"/>
                <w:szCs w:val="14"/>
              </w:rPr>
              <w:t>Task Force on Climate-Related Financial Disclosures</w:t>
            </w:r>
            <w:r>
              <w:rPr>
                <w:rFonts w:ascii="Calibri" w:hAnsi="Calibri" w:cs="Calibri"/>
                <w:color w:val="372F32"/>
                <w:sz w:val="14"/>
                <w:szCs w:val="14"/>
              </w:rPr>
              <w:t xml:space="preserve"> (TCFD)</w:t>
            </w:r>
            <w:r w:rsidRPr="00361882">
              <w:rPr>
                <w:rFonts w:ascii="Calibri" w:hAnsi="Calibri" w:cs="Calibri"/>
                <w:color w:val="372F32"/>
                <w:sz w:val="14"/>
                <w:szCs w:val="14"/>
              </w:rPr>
              <w:t xml:space="preserve"> (2017</w:t>
            </w:r>
            <w:r>
              <w:rPr>
                <w:rFonts w:ascii="Calibri" w:hAnsi="Calibri" w:cs="Calibri"/>
                <w:color w:val="372F32"/>
                <w:sz w:val="14"/>
                <w:szCs w:val="14"/>
              </w:rPr>
              <w:t>; 2018)</w:t>
            </w:r>
            <w:r>
              <w:rPr>
                <w:rStyle w:val="FootnoteReference"/>
                <w:rFonts w:ascii="Calibri" w:hAnsi="Calibri" w:cs="Calibri"/>
                <w:color w:val="372F32"/>
                <w:sz w:val="14"/>
                <w:szCs w:val="14"/>
              </w:rPr>
              <w:footnoteReference w:id="25"/>
            </w:r>
            <w:r>
              <w:rPr>
                <w:rFonts w:ascii="Calibri" w:hAnsi="Calibri" w:cs="Calibri"/>
                <w:color w:val="372F32"/>
                <w:sz w:val="14"/>
                <w:szCs w:val="14"/>
              </w:rPr>
              <w:t>; two-degrees investing initiative (2019); Millar et al. (2018)</w:t>
            </w:r>
          </w:p>
          <w:p w14:paraId="460087C8" w14:textId="77777777" w:rsidR="00C3788D" w:rsidRDefault="00C3788D" w:rsidP="003E223D">
            <w:pPr>
              <w:autoSpaceDE w:val="0"/>
              <w:autoSpaceDN w:val="0"/>
              <w:adjustRightInd w:val="0"/>
              <w:rPr>
                <w:rFonts w:ascii="Calibri" w:hAnsi="Calibri" w:cs="Calibri"/>
                <w:b/>
                <w:sz w:val="14"/>
                <w:szCs w:val="14"/>
              </w:rPr>
            </w:pPr>
          </w:p>
          <w:p w14:paraId="1D65D9D4" w14:textId="77777777" w:rsidR="00C3788D" w:rsidRPr="00E820AD" w:rsidRDefault="00C3788D" w:rsidP="003E223D">
            <w:pPr>
              <w:autoSpaceDE w:val="0"/>
              <w:autoSpaceDN w:val="0"/>
              <w:adjustRightInd w:val="0"/>
              <w:rPr>
                <w:rFonts w:ascii="Calibri" w:hAnsi="Calibri" w:cs="Calibri"/>
                <w:b/>
                <w:sz w:val="14"/>
                <w:szCs w:val="14"/>
              </w:rPr>
            </w:pPr>
            <w:r>
              <w:rPr>
                <w:rFonts w:ascii="Calibri" w:hAnsi="Calibri" w:cs="Calibri"/>
                <w:b/>
                <w:sz w:val="14"/>
                <w:szCs w:val="14"/>
              </w:rPr>
              <w:t>Standardised d</w:t>
            </w:r>
            <w:r w:rsidRPr="00E820AD">
              <w:rPr>
                <w:rFonts w:ascii="Calibri" w:hAnsi="Calibri" w:cs="Calibri"/>
                <w:b/>
                <w:sz w:val="14"/>
                <w:szCs w:val="14"/>
              </w:rPr>
              <w:t xml:space="preserve">ata and </w:t>
            </w:r>
            <w:r>
              <w:rPr>
                <w:rFonts w:ascii="Calibri" w:hAnsi="Calibri" w:cs="Calibri"/>
                <w:b/>
                <w:sz w:val="14"/>
                <w:szCs w:val="14"/>
              </w:rPr>
              <w:t>metrics</w:t>
            </w:r>
            <w:r w:rsidRPr="00E820AD">
              <w:rPr>
                <w:rFonts w:ascii="Calibri" w:hAnsi="Calibri" w:cs="Calibri"/>
                <w:b/>
                <w:sz w:val="14"/>
                <w:szCs w:val="14"/>
              </w:rPr>
              <w:t xml:space="preserve"> on ESG values or indexes: </w:t>
            </w:r>
          </w:p>
          <w:p w14:paraId="67624925" w14:textId="77777777" w:rsidR="00C3788D" w:rsidRPr="00067B16" w:rsidRDefault="00C3788D" w:rsidP="00EC3985">
            <w:pPr>
              <w:pStyle w:val="ListParagraph"/>
              <w:numPr>
                <w:ilvl w:val="0"/>
                <w:numId w:val="19"/>
              </w:numPr>
              <w:rPr>
                <w:rFonts w:ascii="Calibri" w:hAnsi="Calibri" w:cs="Calibri"/>
                <w:color w:val="222222"/>
                <w:sz w:val="14"/>
                <w:szCs w:val="14"/>
              </w:rPr>
            </w:pPr>
            <w:proofErr w:type="spellStart"/>
            <w:r w:rsidRPr="00067B16">
              <w:rPr>
                <w:rFonts w:ascii="Calibri" w:hAnsi="Calibri" w:cs="Calibri"/>
                <w:sz w:val="14"/>
                <w:szCs w:val="14"/>
              </w:rPr>
              <w:t>Thomä</w:t>
            </w:r>
            <w:proofErr w:type="spellEnd"/>
            <w:r w:rsidRPr="00067B16">
              <w:rPr>
                <w:rFonts w:ascii="Calibri" w:hAnsi="Calibri" w:cs="Calibri"/>
                <w:sz w:val="14"/>
                <w:szCs w:val="14"/>
              </w:rPr>
              <w:t xml:space="preserve">  &amp; </w:t>
            </w:r>
            <w:proofErr w:type="spellStart"/>
            <w:r w:rsidRPr="00067B16">
              <w:rPr>
                <w:rFonts w:ascii="Calibri" w:hAnsi="Calibri" w:cs="Calibri"/>
                <w:sz w:val="14"/>
                <w:szCs w:val="14"/>
              </w:rPr>
              <w:t>Chenet</w:t>
            </w:r>
            <w:proofErr w:type="spellEnd"/>
            <w:r w:rsidRPr="00067B16">
              <w:rPr>
                <w:rFonts w:ascii="Calibri" w:hAnsi="Calibri" w:cs="Calibri"/>
                <w:sz w:val="14"/>
                <w:szCs w:val="14"/>
              </w:rPr>
              <w:t xml:space="preserve"> (2017); Meltzer (2016);</w:t>
            </w:r>
            <w:r w:rsidRPr="00067B16">
              <w:rPr>
                <w:rFonts w:ascii="Calibri" w:hAnsi="Calibri" w:cs="Calibri"/>
                <w:color w:val="372F32"/>
                <w:sz w:val="14"/>
                <w:szCs w:val="14"/>
              </w:rPr>
              <w:t xml:space="preserve"> two-degrees investing initiative (2019); </w:t>
            </w:r>
            <w:proofErr w:type="spellStart"/>
            <w:r w:rsidRPr="00067B16">
              <w:rPr>
                <w:rFonts w:ascii="Calibri" w:hAnsi="Calibri" w:cs="Calibri"/>
                <w:color w:val="222222"/>
                <w:sz w:val="14"/>
                <w:szCs w:val="14"/>
              </w:rPr>
              <w:t>Cubas‐Díaz</w:t>
            </w:r>
            <w:proofErr w:type="spellEnd"/>
            <w:r w:rsidRPr="00067B16">
              <w:rPr>
                <w:rFonts w:ascii="Calibri" w:hAnsi="Calibri" w:cs="Calibri"/>
                <w:color w:val="222222"/>
                <w:sz w:val="14"/>
                <w:szCs w:val="14"/>
              </w:rPr>
              <w:t xml:space="preserve"> &amp; </w:t>
            </w:r>
            <w:proofErr w:type="spellStart"/>
            <w:r w:rsidRPr="00067B16">
              <w:rPr>
                <w:rFonts w:ascii="Calibri" w:hAnsi="Calibri" w:cs="Calibri"/>
                <w:color w:val="222222"/>
                <w:sz w:val="14"/>
                <w:szCs w:val="14"/>
              </w:rPr>
              <w:t>Martínez</w:t>
            </w:r>
            <w:proofErr w:type="spellEnd"/>
            <w:r w:rsidRPr="00067B16">
              <w:rPr>
                <w:rFonts w:ascii="Calibri" w:hAnsi="Calibri" w:cs="Calibri"/>
                <w:color w:val="222222"/>
                <w:sz w:val="14"/>
                <w:szCs w:val="14"/>
              </w:rPr>
              <w:t xml:space="preserve"> </w:t>
            </w:r>
            <w:proofErr w:type="spellStart"/>
            <w:r w:rsidRPr="00067B16">
              <w:rPr>
                <w:rFonts w:ascii="Calibri" w:hAnsi="Calibri" w:cs="Calibri"/>
                <w:color w:val="222222"/>
                <w:sz w:val="14"/>
                <w:szCs w:val="14"/>
              </w:rPr>
              <w:t>Sedano</w:t>
            </w:r>
            <w:proofErr w:type="spellEnd"/>
            <w:r w:rsidRPr="00067B16">
              <w:rPr>
                <w:rFonts w:ascii="Calibri" w:hAnsi="Calibri" w:cs="Calibri"/>
                <w:color w:val="222222"/>
                <w:sz w:val="14"/>
                <w:szCs w:val="14"/>
              </w:rPr>
              <w:t xml:space="preserve"> (2018); </w:t>
            </w:r>
            <w:proofErr w:type="spellStart"/>
            <w:r w:rsidRPr="00067B16">
              <w:rPr>
                <w:rFonts w:ascii="Calibri" w:hAnsi="Calibri" w:cs="Calibri"/>
                <w:color w:val="222222"/>
                <w:sz w:val="14"/>
                <w:szCs w:val="14"/>
              </w:rPr>
              <w:t>Fifka</w:t>
            </w:r>
            <w:proofErr w:type="spellEnd"/>
            <w:r w:rsidRPr="00067B16">
              <w:rPr>
                <w:rFonts w:ascii="Calibri" w:hAnsi="Calibri" w:cs="Calibri"/>
                <w:color w:val="222222"/>
                <w:sz w:val="14"/>
                <w:szCs w:val="14"/>
              </w:rPr>
              <w:t xml:space="preserve"> &amp; Drabble (2012)</w:t>
            </w:r>
          </w:p>
          <w:p w14:paraId="409CF3F2" w14:textId="77777777" w:rsidR="00C3788D" w:rsidRPr="00200330" w:rsidRDefault="00C3788D" w:rsidP="00EC3985">
            <w:pPr>
              <w:pStyle w:val="ListParagraph"/>
              <w:numPr>
                <w:ilvl w:val="0"/>
                <w:numId w:val="19"/>
              </w:numPr>
              <w:autoSpaceDE w:val="0"/>
              <w:autoSpaceDN w:val="0"/>
              <w:adjustRightInd w:val="0"/>
              <w:rPr>
                <w:rFonts w:ascii="Calibri" w:hAnsi="Calibri" w:cs="Calibri"/>
                <w:b/>
                <w:sz w:val="14"/>
                <w:szCs w:val="14"/>
              </w:rPr>
            </w:pPr>
            <w:r w:rsidRPr="00740C0D">
              <w:rPr>
                <w:rFonts w:ascii="Calibri" w:eastAsia="Times New Roman" w:hAnsi="Calibri" w:cs="Calibri"/>
                <w:sz w:val="14"/>
                <w:szCs w:val="14"/>
                <w:lang w:eastAsia="en-GB"/>
              </w:rPr>
              <w:lastRenderedPageBreak/>
              <w:t xml:space="preserve">Example: </w:t>
            </w:r>
            <w:r w:rsidRPr="00740C0D">
              <w:rPr>
                <w:rFonts w:ascii="Calibri" w:hAnsi="Calibri" w:cs="Calibri"/>
                <w:sz w:val="14"/>
                <w:szCs w:val="14"/>
              </w:rPr>
              <w:t>The S&amp;P 500 ESG Index aligns investment objectives with ESG values</w:t>
            </w:r>
            <w:r w:rsidRPr="00E820AD">
              <w:rPr>
                <w:rStyle w:val="FootnoteReference"/>
                <w:rFonts w:ascii="Calibri" w:hAnsi="Calibri" w:cs="Calibri"/>
                <w:sz w:val="14"/>
                <w:szCs w:val="14"/>
              </w:rPr>
              <w:footnoteReference w:id="26"/>
            </w:r>
            <w:r>
              <w:rPr>
                <w:rFonts w:ascii="Calibri" w:hAnsi="Calibri" w:cs="Calibri"/>
                <w:sz w:val="14"/>
                <w:szCs w:val="14"/>
              </w:rPr>
              <w:t xml:space="preserve"> or see also </w:t>
            </w:r>
            <w:r w:rsidRPr="00200330">
              <w:rPr>
                <w:rFonts w:ascii="Calibri" w:hAnsi="Calibri" w:cs="Calibri"/>
                <w:sz w:val="14"/>
                <w:szCs w:val="14"/>
              </w:rPr>
              <w:t>S&amp;P Global Clean Energy Index.</w:t>
            </w:r>
          </w:p>
          <w:p w14:paraId="60476D25" w14:textId="77777777" w:rsidR="00C3788D" w:rsidRPr="00200330" w:rsidRDefault="00C3788D" w:rsidP="003E223D">
            <w:pPr>
              <w:pStyle w:val="ListParagraph"/>
              <w:autoSpaceDE w:val="0"/>
              <w:autoSpaceDN w:val="0"/>
              <w:adjustRightInd w:val="0"/>
              <w:ind w:left="360"/>
              <w:rPr>
                <w:rFonts w:ascii="Calibri" w:hAnsi="Calibri" w:cs="Calibri"/>
                <w:b/>
                <w:sz w:val="14"/>
                <w:szCs w:val="14"/>
              </w:rPr>
            </w:pPr>
          </w:p>
          <w:p w14:paraId="2F33034D" w14:textId="77777777" w:rsidR="00C3788D" w:rsidRDefault="00C3788D" w:rsidP="003E223D">
            <w:pPr>
              <w:autoSpaceDE w:val="0"/>
              <w:autoSpaceDN w:val="0"/>
              <w:adjustRightInd w:val="0"/>
              <w:rPr>
                <w:rFonts w:ascii="Calibri" w:hAnsi="Calibri" w:cs="Calibri"/>
                <w:b/>
                <w:sz w:val="14"/>
                <w:szCs w:val="14"/>
              </w:rPr>
            </w:pPr>
            <w:r>
              <w:rPr>
                <w:rFonts w:ascii="Calibri" w:hAnsi="Calibri" w:cs="Calibri"/>
                <w:b/>
                <w:sz w:val="14"/>
                <w:szCs w:val="14"/>
              </w:rPr>
              <w:t xml:space="preserve">Standardised data and metrics on brown investments: </w:t>
            </w:r>
          </w:p>
          <w:p w14:paraId="5312792A" w14:textId="77777777" w:rsidR="00C3788D" w:rsidRPr="00593519" w:rsidRDefault="00C3788D" w:rsidP="00EC3985">
            <w:pPr>
              <w:pStyle w:val="ListParagraph"/>
              <w:numPr>
                <w:ilvl w:val="0"/>
                <w:numId w:val="31"/>
              </w:numPr>
              <w:autoSpaceDE w:val="0"/>
              <w:autoSpaceDN w:val="0"/>
              <w:adjustRightInd w:val="0"/>
              <w:rPr>
                <w:rFonts w:ascii="Calibri" w:hAnsi="Calibri" w:cs="Calibri"/>
                <w:sz w:val="14"/>
                <w:szCs w:val="14"/>
              </w:rPr>
            </w:pPr>
            <w:proofErr w:type="spellStart"/>
            <w:r w:rsidRPr="00593519">
              <w:rPr>
                <w:rFonts w:ascii="Calibri" w:hAnsi="Calibri" w:cs="Calibri"/>
                <w:sz w:val="14"/>
                <w:szCs w:val="14"/>
              </w:rPr>
              <w:t>Bodnar</w:t>
            </w:r>
            <w:proofErr w:type="spellEnd"/>
            <w:r w:rsidRPr="00593519">
              <w:rPr>
                <w:rFonts w:ascii="Calibri" w:hAnsi="Calibri" w:cs="Calibri"/>
                <w:sz w:val="14"/>
                <w:szCs w:val="14"/>
              </w:rPr>
              <w:t xml:space="preserve"> et al. (2017); Robins (2018)</w:t>
            </w:r>
          </w:p>
          <w:p w14:paraId="06BF1215" w14:textId="77777777" w:rsidR="00C3788D" w:rsidRDefault="00C3788D" w:rsidP="003E223D">
            <w:pPr>
              <w:autoSpaceDE w:val="0"/>
              <w:autoSpaceDN w:val="0"/>
              <w:adjustRightInd w:val="0"/>
              <w:rPr>
                <w:rFonts w:ascii="Calibri" w:hAnsi="Calibri" w:cs="Calibri"/>
                <w:b/>
                <w:sz w:val="14"/>
                <w:szCs w:val="14"/>
              </w:rPr>
            </w:pPr>
          </w:p>
          <w:p w14:paraId="6B257097" w14:textId="77777777" w:rsidR="00C3788D" w:rsidRPr="00E820AD" w:rsidRDefault="00C3788D" w:rsidP="003E223D">
            <w:pPr>
              <w:autoSpaceDE w:val="0"/>
              <w:autoSpaceDN w:val="0"/>
              <w:adjustRightInd w:val="0"/>
              <w:rPr>
                <w:rFonts w:ascii="Calibri" w:hAnsi="Calibri" w:cs="Calibri"/>
                <w:sz w:val="14"/>
                <w:szCs w:val="14"/>
              </w:rPr>
            </w:pPr>
            <w:r w:rsidRPr="00E820AD">
              <w:rPr>
                <w:rFonts w:ascii="Calibri" w:hAnsi="Calibri" w:cs="Calibri"/>
                <w:b/>
                <w:sz w:val="14"/>
                <w:szCs w:val="14"/>
              </w:rPr>
              <w:t xml:space="preserve">Systemic risks of stranded carbon assets on the financial system: </w:t>
            </w:r>
          </w:p>
          <w:p w14:paraId="165D3D34" w14:textId="77777777" w:rsidR="00C3788D" w:rsidRPr="005208D5" w:rsidRDefault="00C3788D" w:rsidP="00EC3985">
            <w:pPr>
              <w:pStyle w:val="ListParagraph"/>
              <w:numPr>
                <w:ilvl w:val="0"/>
                <w:numId w:val="19"/>
              </w:numPr>
              <w:autoSpaceDE w:val="0"/>
              <w:autoSpaceDN w:val="0"/>
              <w:adjustRightInd w:val="0"/>
              <w:rPr>
                <w:rFonts w:ascii="Calibri" w:hAnsi="Calibri" w:cs="Calibri"/>
                <w:sz w:val="14"/>
                <w:szCs w:val="14"/>
              </w:rPr>
            </w:pPr>
            <w:proofErr w:type="spellStart"/>
            <w:r w:rsidRPr="00E820AD">
              <w:rPr>
                <w:rFonts w:ascii="Calibri" w:hAnsi="Calibri" w:cs="Calibri"/>
                <w:sz w:val="14"/>
                <w:szCs w:val="14"/>
              </w:rPr>
              <w:t>Battiston</w:t>
            </w:r>
            <w:proofErr w:type="spellEnd"/>
            <w:r w:rsidRPr="00E820AD">
              <w:rPr>
                <w:rFonts w:ascii="Calibri" w:hAnsi="Calibri" w:cs="Calibri"/>
                <w:sz w:val="14"/>
                <w:szCs w:val="14"/>
              </w:rPr>
              <w:t xml:space="preserve"> et al. (2017); </w:t>
            </w:r>
            <w:proofErr w:type="spellStart"/>
            <w:r w:rsidRPr="00E820AD">
              <w:rPr>
                <w:rFonts w:ascii="Calibri" w:hAnsi="Calibri" w:cs="Calibri"/>
                <w:sz w:val="14"/>
                <w:szCs w:val="14"/>
              </w:rPr>
              <w:t>Battiston</w:t>
            </w:r>
            <w:proofErr w:type="spellEnd"/>
            <w:r w:rsidRPr="00E820AD">
              <w:rPr>
                <w:rFonts w:ascii="Calibri" w:hAnsi="Calibri" w:cs="Calibri"/>
                <w:sz w:val="14"/>
                <w:szCs w:val="14"/>
              </w:rPr>
              <w:t xml:space="preserve"> &amp; Martinez-Jaramillo (2018); </w:t>
            </w:r>
            <w:proofErr w:type="spellStart"/>
            <w:r w:rsidRPr="00E820AD">
              <w:rPr>
                <w:rFonts w:ascii="Calibri" w:hAnsi="Calibri" w:cs="Calibri"/>
                <w:sz w:val="14"/>
                <w:szCs w:val="14"/>
              </w:rPr>
              <w:t>Volg</w:t>
            </w:r>
            <w:proofErr w:type="spellEnd"/>
            <w:r w:rsidRPr="00E820AD">
              <w:rPr>
                <w:rFonts w:ascii="Calibri" w:hAnsi="Calibri" w:cs="Calibri"/>
                <w:sz w:val="14"/>
                <w:szCs w:val="14"/>
              </w:rPr>
              <w:t xml:space="preserve"> (2017); Monasterolo et al. (2017); Smets et al. (2014); </w:t>
            </w:r>
            <w:r>
              <w:rPr>
                <w:rFonts w:ascii="Calibri" w:hAnsi="Calibri" w:cs="Calibri"/>
                <w:sz w:val="14"/>
                <w:szCs w:val="14"/>
              </w:rPr>
              <w:t>Carney (2015; 2019)</w:t>
            </w:r>
          </w:p>
        </w:tc>
      </w:tr>
      <w:tr w:rsidR="00C3788D" w:rsidRPr="007C2C35" w14:paraId="4DBC49C9" w14:textId="77777777" w:rsidTr="003E223D">
        <w:trPr>
          <w:trHeight w:val="184"/>
        </w:trPr>
        <w:tc>
          <w:tcPr>
            <w:tcW w:w="567" w:type="dxa"/>
            <w:vAlign w:val="center"/>
          </w:tcPr>
          <w:p w14:paraId="6844675D"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lastRenderedPageBreak/>
              <w:t>9</w:t>
            </w:r>
          </w:p>
        </w:tc>
        <w:tc>
          <w:tcPr>
            <w:tcW w:w="3969" w:type="dxa"/>
          </w:tcPr>
          <w:p w14:paraId="233E56F2" w14:textId="77777777" w:rsidR="00C3788D" w:rsidRPr="007C2C35" w:rsidRDefault="00C3788D" w:rsidP="00EC3985">
            <w:pPr>
              <w:pStyle w:val="ListParagraph"/>
              <w:numPr>
                <w:ilvl w:val="0"/>
                <w:numId w:val="10"/>
              </w:numPr>
              <w:rPr>
                <w:rFonts w:ascii="Calibri" w:eastAsia="Times New Roman" w:hAnsi="Calibri" w:cs="Calibri"/>
                <w:sz w:val="14"/>
                <w:szCs w:val="14"/>
                <w:lang w:eastAsia="en-GB"/>
              </w:rPr>
            </w:pPr>
            <w:r w:rsidRPr="007C2C35">
              <w:rPr>
                <w:rFonts w:eastAsia="Times New Roman"/>
                <w:sz w:val="14"/>
                <w:szCs w:val="14"/>
              </w:rPr>
              <w:t>Creation and support of facilities focused on improving the “bankability” of projects through preparation and selection and support initiatives</w:t>
            </w:r>
          </w:p>
          <w:p w14:paraId="299A3491" w14:textId="77777777" w:rsidR="00C3788D" w:rsidRPr="007C2C35" w:rsidRDefault="00C3788D" w:rsidP="00EC3985">
            <w:pPr>
              <w:pStyle w:val="ListParagraph"/>
              <w:numPr>
                <w:ilvl w:val="0"/>
                <w:numId w:val="10"/>
              </w:numPr>
              <w:rPr>
                <w:rFonts w:ascii="Calibri" w:eastAsia="Times New Roman" w:hAnsi="Calibri" w:cs="Calibri"/>
                <w:sz w:val="14"/>
                <w:szCs w:val="14"/>
                <w:lang w:eastAsia="en-GB"/>
              </w:rPr>
            </w:pPr>
            <w:r w:rsidRPr="007C2C35">
              <w:rPr>
                <w:rFonts w:eastAsia="Times New Roman"/>
                <w:sz w:val="14"/>
                <w:szCs w:val="14"/>
              </w:rPr>
              <w:t>Facilitation of the partnership between the various actors along the project finance chain, thus also improving the transparency of b</w:t>
            </w:r>
            <w:r>
              <w:rPr>
                <w:rFonts w:eastAsia="Times New Roman"/>
                <w:sz w:val="14"/>
                <w:szCs w:val="14"/>
              </w:rPr>
              <w:t>ankable infrastructure projects</w:t>
            </w:r>
          </w:p>
          <w:p w14:paraId="1BDF706D" w14:textId="77777777" w:rsidR="00C3788D" w:rsidRPr="00AB5055" w:rsidRDefault="00C3788D" w:rsidP="00EC3985">
            <w:pPr>
              <w:pStyle w:val="ListParagraph"/>
              <w:numPr>
                <w:ilvl w:val="0"/>
                <w:numId w:val="10"/>
              </w:numPr>
              <w:rPr>
                <w:rFonts w:ascii="Calibri" w:eastAsia="Times New Roman" w:hAnsi="Calibri" w:cs="Calibri"/>
                <w:sz w:val="14"/>
                <w:szCs w:val="14"/>
                <w:lang w:eastAsia="en-GB"/>
              </w:rPr>
            </w:pPr>
            <w:r w:rsidRPr="007C2C35">
              <w:rPr>
                <w:rFonts w:ascii="Calibri" w:eastAsia="Times New Roman" w:hAnsi="Calibri" w:cs="Calibri"/>
                <w:sz w:val="14"/>
                <w:szCs w:val="14"/>
                <w:lang w:eastAsia="en-GB"/>
              </w:rPr>
              <w:t>Creation of financial products (for renewable energy infrastructure) that are appropriate for institutional investors</w:t>
            </w:r>
          </w:p>
        </w:tc>
        <w:tc>
          <w:tcPr>
            <w:tcW w:w="2977" w:type="dxa"/>
          </w:tcPr>
          <w:p w14:paraId="65E8BF97" w14:textId="77777777" w:rsidR="00C3788D" w:rsidRPr="007C2C35" w:rsidRDefault="00C3788D" w:rsidP="003E223D">
            <w:pPr>
              <w:rPr>
                <w:rFonts w:ascii="Calibri" w:eastAsia="Times New Roman" w:hAnsi="Calibri" w:cs="Calibri"/>
                <w:sz w:val="14"/>
                <w:szCs w:val="14"/>
                <w:lang w:eastAsia="en-GB"/>
              </w:rPr>
            </w:pPr>
            <w:r w:rsidRPr="007C2C35">
              <w:rPr>
                <w:rFonts w:ascii="Calibri" w:eastAsia="Times New Roman" w:hAnsi="Calibri" w:cs="Calibri"/>
                <w:sz w:val="14"/>
                <w:szCs w:val="14"/>
                <w:lang w:eastAsia="en-GB"/>
              </w:rPr>
              <w:t>Coordination: UK Government or government-linked institutions, new facilities designed for coordination</w:t>
            </w:r>
          </w:p>
          <w:p w14:paraId="2D0AF453" w14:textId="77777777" w:rsidR="00C3788D" w:rsidRPr="007C2C35" w:rsidRDefault="00C3788D" w:rsidP="003E223D">
            <w:pPr>
              <w:rPr>
                <w:rFonts w:ascii="Calibri" w:eastAsia="Times New Roman" w:hAnsi="Calibri" w:cs="Calibri"/>
                <w:sz w:val="14"/>
                <w:szCs w:val="14"/>
                <w:lang w:eastAsia="en-GB"/>
              </w:rPr>
            </w:pPr>
          </w:p>
          <w:p w14:paraId="184BE048" w14:textId="77777777" w:rsidR="00C3788D" w:rsidRPr="007C2C35" w:rsidRDefault="00C3788D" w:rsidP="003E223D">
            <w:pPr>
              <w:rPr>
                <w:rFonts w:ascii="Calibri" w:eastAsia="Times New Roman" w:hAnsi="Calibri" w:cs="Calibri"/>
                <w:sz w:val="14"/>
                <w:szCs w:val="14"/>
                <w:lang w:eastAsia="en-GB"/>
              </w:rPr>
            </w:pPr>
            <w:r w:rsidRPr="007C2C35">
              <w:rPr>
                <w:rFonts w:ascii="Calibri" w:eastAsia="Times New Roman" w:hAnsi="Calibri" w:cs="Calibri"/>
                <w:sz w:val="14"/>
                <w:szCs w:val="14"/>
                <w:lang w:eastAsia="en-GB"/>
              </w:rPr>
              <w:t>See above (green bonds)</w:t>
            </w:r>
          </w:p>
        </w:tc>
        <w:tc>
          <w:tcPr>
            <w:tcW w:w="3686" w:type="dxa"/>
          </w:tcPr>
          <w:p w14:paraId="31E7F29D" w14:textId="77777777" w:rsidR="00C3788D" w:rsidRDefault="00C3788D" w:rsidP="003E223D">
            <w:pPr>
              <w:rPr>
                <w:rFonts w:ascii="Calibri" w:eastAsia="Times New Roman" w:hAnsi="Calibri" w:cs="Calibri"/>
                <w:b/>
                <w:sz w:val="14"/>
                <w:szCs w:val="14"/>
                <w:lang w:eastAsia="en-GB"/>
              </w:rPr>
            </w:pPr>
            <w:r w:rsidRPr="007C2C35">
              <w:rPr>
                <w:rFonts w:ascii="Calibri" w:eastAsia="Times New Roman" w:hAnsi="Calibri" w:cs="Calibri"/>
                <w:b/>
                <w:sz w:val="14"/>
                <w:szCs w:val="14"/>
                <w:lang w:eastAsia="en-GB"/>
              </w:rPr>
              <w:t>Support of a transparency and coordination of bankable projects:</w:t>
            </w:r>
          </w:p>
          <w:p w14:paraId="2A533D50" w14:textId="77777777" w:rsidR="00C3788D" w:rsidRPr="00AB5055" w:rsidRDefault="00C3788D" w:rsidP="00EC3985">
            <w:pPr>
              <w:pStyle w:val="ListParagraph"/>
              <w:numPr>
                <w:ilvl w:val="0"/>
                <w:numId w:val="32"/>
              </w:numPr>
              <w:rPr>
                <w:rFonts w:ascii="Calibri" w:eastAsia="Times New Roman" w:hAnsi="Calibri" w:cs="Calibri"/>
                <w:b/>
                <w:sz w:val="14"/>
                <w:szCs w:val="14"/>
                <w:lang w:val="de-CH" w:eastAsia="en-GB"/>
              </w:rPr>
            </w:pPr>
            <w:r w:rsidRPr="00AB5055">
              <w:rPr>
                <w:sz w:val="14"/>
                <w:szCs w:val="14"/>
                <w:lang w:val="de-CH"/>
              </w:rPr>
              <w:t>Bielenberg et al. (2016)</w:t>
            </w:r>
            <w:r w:rsidRPr="00AB5055">
              <w:rPr>
                <w:rFonts w:ascii="Calibri" w:eastAsia="Times New Roman" w:hAnsi="Calibri" w:cs="Calibri"/>
                <w:b/>
                <w:sz w:val="14"/>
                <w:szCs w:val="14"/>
                <w:lang w:val="de-CH" w:eastAsia="en-GB"/>
              </w:rPr>
              <w:t xml:space="preserve">; </w:t>
            </w:r>
            <w:r w:rsidRPr="00AB5055">
              <w:rPr>
                <w:sz w:val="14"/>
                <w:szCs w:val="14"/>
                <w:lang w:val="de-CH"/>
              </w:rPr>
              <w:t>Kaminker et al. (2013)</w:t>
            </w:r>
          </w:p>
          <w:p w14:paraId="5663FC74" w14:textId="77777777" w:rsidR="00C3788D" w:rsidRPr="007C2C35" w:rsidRDefault="00C3788D" w:rsidP="003E223D">
            <w:pPr>
              <w:rPr>
                <w:sz w:val="14"/>
                <w:szCs w:val="14"/>
                <w:lang w:val="de-CH"/>
              </w:rPr>
            </w:pPr>
          </w:p>
          <w:p w14:paraId="54D8D88A" w14:textId="77777777" w:rsidR="00C3788D" w:rsidRPr="007C2C35" w:rsidRDefault="00C3788D" w:rsidP="003E223D">
            <w:pPr>
              <w:rPr>
                <w:rFonts w:ascii="Calibri" w:eastAsia="Times New Roman" w:hAnsi="Calibri" w:cs="Calibri"/>
                <w:sz w:val="14"/>
                <w:szCs w:val="14"/>
                <w:lang w:eastAsia="en-GB"/>
              </w:rPr>
            </w:pPr>
            <w:r w:rsidRPr="007C2C35">
              <w:rPr>
                <w:rFonts w:ascii="Calibri" w:eastAsia="Times New Roman" w:hAnsi="Calibri" w:cs="Calibri"/>
                <w:sz w:val="14"/>
                <w:szCs w:val="14"/>
                <w:lang w:eastAsia="en-GB"/>
              </w:rPr>
              <w:t>See above (green bonds)</w:t>
            </w:r>
          </w:p>
          <w:p w14:paraId="1DF7FD47" w14:textId="77777777" w:rsidR="00C3788D" w:rsidRPr="007C2C35" w:rsidRDefault="00C3788D" w:rsidP="003E223D">
            <w:pPr>
              <w:rPr>
                <w:rFonts w:ascii="Calibri" w:eastAsia="Times New Roman" w:hAnsi="Calibri" w:cs="Calibri"/>
                <w:sz w:val="14"/>
                <w:szCs w:val="14"/>
                <w:lang w:val="de-CH" w:eastAsia="en-GB"/>
              </w:rPr>
            </w:pPr>
          </w:p>
        </w:tc>
      </w:tr>
      <w:tr w:rsidR="00C3788D" w:rsidRPr="00137660" w14:paraId="32775201" w14:textId="77777777" w:rsidTr="003E223D">
        <w:trPr>
          <w:trHeight w:val="173"/>
        </w:trPr>
        <w:tc>
          <w:tcPr>
            <w:tcW w:w="567" w:type="dxa"/>
            <w:vAlign w:val="center"/>
          </w:tcPr>
          <w:p w14:paraId="4B677850"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10</w:t>
            </w:r>
          </w:p>
        </w:tc>
        <w:tc>
          <w:tcPr>
            <w:tcW w:w="3969" w:type="dxa"/>
          </w:tcPr>
          <w:p w14:paraId="5B7F7C2A" w14:textId="77777777" w:rsidR="00C3788D" w:rsidRPr="00137660" w:rsidRDefault="00C3788D" w:rsidP="00EC3985">
            <w:pPr>
              <w:pStyle w:val="ListParagraph"/>
              <w:numPr>
                <w:ilvl w:val="0"/>
                <w:numId w:val="11"/>
              </w:numPr>
              <w:rPr>
                <w:rFonts w:ascii="Calibri" w:eastAsia="Times New Roman" w:hAnsi="Calibri" w:cs="Calibri"/>
                <w:sz w:val="14"/>
                <w:szCs w:val="14"/>
                <w:lang w:eastAsia="en-GB"/>
              </w:rPr>
            </w:pPr>
            <w:r>
              <w:rPr>
                <w:rFonts w:ascii="Calibri" w:eastAsia="Times New Roman" w:hAnsi="Calibri" w:cs="Calibri"/>
                <w:sz w:val="14"/>
                <w:szCs w:val="14"/>
                <w:lang w:eastAsia="en-GB"/>
              </w:rPr>
              <w:t>Creation</w:t>
            </w:r>
            <w:r w:rsidRPr="00137660">
              <w:rPr>
                <w:rFonts w:ascii="Calibri" w:eastAsia="Times New Roman" w:hAnsi="Calibri" w:cs="Calibri"/>
                <w:sz w:val="14"/>
                <w:szCs w:val="14"/>
                <w:lang w:eastAsia="en-GB"/>
              </w:rPr>
              <w:t xml:space="preserve"> of appropriate financial products for RET infrastructure investments (e.g. </w:t>
            </w:r>
            <w:r>
              <w:rPr>
                <w:rFonts w:ascii="Calibri" w:eastAsia="Times New Roman" w:hAnsi="Calibri" w:cs="Calibri"/>
                <w:sz w:val="14"/>
                <w:szCs w:val="14"/>
                <w:lang w:eastAsia="en-GB"/>
              </w:rPr>
              <w:t xml:space="preserve">further issuance of </w:t>
            </w:r>
            <w:r w:rsidRPr="00137660">
              <w:rPr>
                <w:rFonts w:ascii="Calibri" w:eastAsia="Times New Roman" w:hAnsi="Calibri" w:cs="Calibri"/>
                <w:sz w:val="14"/>
                <w:szCs w:val="14"/>
                <w:lang w:eastAsia="en-GB"/>
              </w:rPr>
              <w:t>green bonds</w:t>
            </w:r>
            <w:r>
              <w:rPr>
                <w:rFonts w:ascii="Calibri" w:eastAsia="Times New Roman" w:hAnsi="Calibri" w:cs="Calibri"/>
                <w:sz w:val="14"/>
                <w:szCs w:val="14"/>
                <w:lang w:eastAsia="en-GB"/>
              </w:rPr>
              <w:t>; establishment of new instruments</w:t>
            </w:r>
            <w:r w:rsidRPr="00137660">
              <w:rPr>
                <w:rFonts w:ascii="Calibri" w:eastAsia="Times New Roman" w:hAnsi="Calibri" w:cs="Calibri"/>
                <w:sz w:val="14"/>
                <w:szCs w:val="14"/>
                <w:lang w:eastAsia="en-GB"/>
              </w:rPr>
              <w:t>)</w:t>
            </w:r>
          </w:p>
        </w:tc>
        <w:tc>
          <w:tcPr>
            <w:tcW w:w="2977" w:type="dxa"/>
          </w:tcPr>
          <w:p w14:paraId="44CB2EB3" w14:textId="77777777" w:rsidR="00C3788D" w:rsidRPr="004866D8"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See above (green bonds)</w:t>
            </w:r>
          </w:p>
        </w:tc>
        <w:tc>
          <w:tcPr>
            <w:tcW w:w="3686" w:type="dxa"/>
          </w:tcPr>
          <w:p w14:paraId="41CB61E4" w14:textId="77777777" w:rsidR="00C3788D" w:rsidRPr="004866D8"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See above (green bonds)</w:t>
            </w:r>
          </w:p>
        </w:tc>
      </w:tr>
      <w:tr w:rsidR="00C3788D" w:rsidRPr="00137660" w14:paraId="3058E37D" w14:textId="77777777" w:rsidTr="003E223D">
        <w:trPr>
          <w:trHeight w:val="184"/>
        </w:trPr>
        <w:tc>
          <w:tcPr>
            <w:tcW w:w="567" w:type="dxa"/>
            <w:vAlign w:val="center"/>
          </w:tcPr>
          <w:p w14:paraId="2691B29A"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11</w:t>
            </w:r>
          </w:p>
        </w:tc>
        <w:tc>
          <w:tcPr>
            <w:tcW w:w="3969" w:type="dxa"/>
          </w:tcPr>
          <w:p w14:paraId="3E7D874D" w14:textId="77777777" w:rsidR="00C3788D" w:rsidRPr="00E44CE6" w:rsidRDefault="00C3788D" w:rsidP="00EC3985">
            <w:pPr>
              <w:pStyle w:val="ListParagraph"/>
              <w:numPr>
                <w:ilvl w:val="0"/>
                <w:numId w:val="12"/>
              </w:numPr>
              <w:rPr>
                <w:rFonts w:ascii="Calibri" w:eastAsia="Times New Roman" w:hAnsi="Calibri" w:cs="Calibri"/>
                <w:sz w:val="14"/>
                <w:szCs w:val="14"/>
                <w:lang w:eastAsia="en-GB"/>
              </w:rPr>
            </w:pPr>
            <w:r>
              <w:rPr>
                <w:rFonts w:ascii="Calibri" w:eastAsia="Times New Roman" w:hAnsi="Calibri" w:cs="Calibri"/>
                <w:sz w:val="14"/>
                <w:szCs w:val="14"/>
                <w:lang w:eastAsia="en-GB"/>
              </w:rPr>
              <w:t>Reduction of</w:t>
            </w:r>
            <w:r w:rsidRPr="00137660">
              <w:rPr>
                <w:rFonts w:ascii="Calibri" w:eastAsia="Times New Roman" w:hAnsi="Calibri" w:cs="Calibri"/>
                <w:sz w:val="14"/>
                <w:szCs w:val="14"/>
                <w:lang w:eastAsia="en-GB"/>
              </w:rPr>
              <w:t xml:space="preserve"> fees and transactions costs for RET infrastructure investments</w:t>
            </w:r>
            <w:r>
              <w:rPr>
                <w:rFonts w:ascii="Calibri" w:eastAsia="Times New Roman" w:hAnsi="Calibri" w:cs="Calibri"/>
                <w:sz w:val="14"/>
                <w:szCs w:val="14"/>
                <w:lang w:eastAsia="en-GB"/>
              </w:rPr>
              <w:t xml:space="preserve"> (e.g. by  a further standardisation of contracts, further aggregation and knowledge-sharing)</w:t>
            </w:r>
          </w:p>
        </w:tc>
        <w:tc>
          <w:tcPr>
            <w:tcW w:w="2977" w:type="dxa"/>
          </w:tcPr>
          <w:p w14:paraId="70BC6824" w14:textId="77777777" w:rsidR="00C3788D" w:rsidRPr="00137660"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Financial system intermediaries</w:t>
            </w:r>
          </w:p>
        </w:tc>
        <w:tc>
          <w:tcPr>
            <w:tcW w:w="3686" w:type="dxa"/>
          </w:tcPr>
          <w:p w14:paraId="06F41EC0" w14:textId="77777777" w:rsidR="00C3788D"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OECD (2017)</w:t>
            </w:r>
          </w:p>
          <w:p w14:paraId="5E4C4DFE" w14:textId="77777777" w:rsidR="00C3788D" w:rsidRPr="00137660" w:rsidRDefault="00C3788D" w:rsidP="003E223D">
            <w:pPr>
              <w:rPr>
                <w:rFonts w:ascii="Calibri" w:eastAsia="Times New Roman" w:hAnsi="Calibri" w:cs="Calibri"/>
                <w:sz w:val="14"/>
                <w:szCs w:val="14"/>
                <w:lang w:eastAsia="en-GB"/>
              </w:rPr>
            </w:pPr>
          </w:p>
        </w:tc>
      </w:tr>
      <w:tr w:rsidR="00C3788D" w:rsidRPr="00137660" w14:paraId="1E8186DA" w14:textId="77777777" w:rsidTr="003E223D">
        <w:trPr>
          <w:trHeight w:val="173"/>
        </w:trPr>
        <w:tc>
          <w:tcPr>
            <w:tcW w:w="567" w:type="dxa"/>
            <w:vAlign w:val="center"/>
          </w:tcPr>
          <w:p w14:paraId="5D1C008F"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12</w:t>
            </w:r>
          </w:p>
        </w:tc>
        <w:tc>
          <w:tcPr>
            <w:tcW w:w="3969" w:type="dxa"/>
          </w:tcPr>
          <w:p w14:paraId="164E5919" w14:textId="77777777" w:rsidR="00C3788D" w:rsidRDefault="00C3788D" w:rsidP="00EC3985">
            <w:pPr>
              <w:pStyle w:val="ListParagraph"/>
              <w:numPr>
                <w:ilvl w:val="0"/>
                <w:numId w:val="12"/>
              </w:numP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Government funded training for technical advisors</w:t>
            </w:r>
            <w:r>
              <w:rPr>
                <w:rFonts w:ascii="Calibri" w:eastAsia="Times New Roman" w:hAnsi="Calibri" w:cs="Calibri"/>
                <w:sz w:val="14"/>
                <w:szCs w:val="14"/>
                <w:lang w:eastAsia="en-GB"/>
              </w:rPr>
              <w:t>/consultants</w:t>
            </w:r>
            <w:r w:rsidRPr="00137660">
              <w:rPr>
                <w:rFonts w:ascii="Calibri" w:eastAsia="Times New Roman" w:hAnsi="Calibri" w:cs="Calibri"/>
                <w:sz w:val="14"/>
                <w:szCs w:val="14"/>
                <w:lang w:eastAsia="en-GB"/>
              </w:rPr>
              <w:t xml:space="preserve"> for RET </w:t>
            </w:r>
            <w:r>
              <w:rPr>
                <w:rFonts w:ascii="Calibri" w:eastAsia="Times New Roman" w:hAnsi="Calibri" w:cs="Calibri"/>
                <w:sz w:val="14"/>
                <w:szCs w:val="14"/>
                <w:lang w:eastAsia="en-GB"/>
              </w:rPr>
              <w:t xml:space="preserve">infrastructure </w:t>
            </w:r>
            <w:r w:rsidRPr="00137660">
              <w:rPr>
                <w:rFonts w:ascii="Calibri" w:eastAsia="Times New Roman" w:hAnsi="Calibri" w:cs="Calibri"/>
                <w:sz w:val="14"/>
                <w:szCs w:val="14"/>
                <w:lang w:eastAsia="en-GB"/>
              </w:rPr>
              <w:t xml:space="preserve">investments </w:t>
            </w:r>
          </w:p>
          <w:p w14:paraId="56BCE42E" w14:textId="77777777" w:rsidR="00C3788D" w:rsidRPr="004866D8" w:rsidRDefault="00C3788D" w:rsidP="00EC3985">
            <w:pPr>
              <w:pStyle w:val="ListParagraph"/>
              <w:numPr>
                <w:ilvl w:val="0"/>
                <w:numId w:val="12"/>
              </w:numPr>
              <w:rPr>
                <w:rFonts w:ascii="Calibri" w:eastAsia="Times New Roman" w:hAnsi="Calibri" w:cs="Calibri"/>
                <w:sz w:val="14"/>
                <w:szCs w:val="14"/>
                <w:lang w:eastAsia="en-GB"/>
              </w:rPr>
            </w:pPr>
            <w:r>
              <w:rPr>
                <w:rFonts w:ascii="Calibri" w:eastAsia="Times New Roman" w:hAnsi="Calibri" w:cs="Calibri"/>
                <w:sz w:val="14"/>
                <w:szCs w:val="14"/>
                <w:lang w:eastAsia="en-GB"/>
              </w:rPr>
              <w:t>Mandatory training units in sustainable investments for CFA curriculum</w:t>
            </w:r>
          </w:p>
        </w:tc>
        <w:tc>
          <w:tcPr>
            <w:tcW w:w="2977" w:type="dxa"/>
          </w:tcPr>
          <w:p w14:paraId="278A9938" w14:textId="77777777" w:rsidR="00C3788D" w:rsidRPr="00137660"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Green technical training: UK Government, Chartered Financial Analysts) </w:t>
            </w:r>
            <w:r w:rsidRPr="007B45D7">
              <w:rPr>
                <w:rFonts w:ascii="Calibri" w:eastAsia="Times New Roman" w:hAnsi="Calibri" w:cs="Calibri"/>
                <w:sz w:val="14"/>
                <w:szCs w:val="14"/>
                <w:lang w:eastAsia="en-GB"/>
              </w:rPr>
              <w:t>CFA institute</w:t>
            </w:r>
          </w:p>
        </w:tc>
        <w:tc>
          <w:tcPr>
            <w:tcW w:w="3686" w:type="dxa"/>
          </w:tcPr>
          <w:p w14:paraId="0B24D163" w14:textId="77777777" w:rsidR="00C3788D" w:rsidRPr="004866D8" w:rsidRDefault="00C3788D" w:rsidP="003E223D">
            <w:pPr>
              <w:autoSpaceDE w:val="0"/>
              <w:autoSpaceDN w:val="0"/>
              <w:adjustRightInd w:val="0"/>
              <w:rPr>
                <w:rFonts w:ascii="Calibri" w:hAnsi="Calibri" w:cs="Calibri"/>
                <w:sz w:val="14"/>
                <w:szCs w:val="14"/>
              </w:rPr>
            </w:pPr>
          </w:p>
        </w:tc>
      </w:tr>
      <w:tr w:rsidR="00C3788D" w:rsidRPr="00137660" w14:paraId="0D272F38" w14:textId="77777777" w:rsidTr="003E223D">
        <w:trPr>
          <w:trHeight w:val="184"/>
        </w:trPr>
        <w:tc>
          <w:tcPr>
            <w:tcW w:w="567" w:type="dxa"/>
            <w:vAlign w:val="center"/>
          </w:tcPr>
          <w:p w14:paraId="6A1F2266"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13</w:t>
            </w:r>
          </w:p>
        </w:tc>
        <w:tc>
          <w:tcPr>
            <w:tcW w:w="3969" w:type="dxa"/>
          </w:tcPr>
          <w:p w14:paraId="47778EA7" w14:textId="77777777" w:rsidR="00C3788D" w:rsidRPr="001D047C" w:rsidRDefault="00C3788D" w:rsidP="00EC3985">
            <w:pPr>
              <w:pStyle w:val="ListParagraph"/>
              <w:numPr>
                <w:ilvl w:val="0"/>
                <w:numId w:val="12"/>
              </w:numPr>
              <w:rPr>
                <w:rFonts w:ascii="Calibri" w:eastAsia="Times New Roman" w:hAnsi="Calibri" w:cs="Calibri"/>
                <w:sz w:val="14"/>
                <w:szCs w:val="14"/>
                <w:lang w:eastAsia="en-GB"/>
              </w:rPr>
            </w:pPr>
            <w:r>
              <w:rPr>
                <w:rFonts w:ascii="Calibri" w:eastAsia="Times New Roman" w:hAnsi="Calibri" w:cs="Calibri"/>
                <w:sz w:val="14"/>
                <w:szCs w:val="14"/>
                <w:lang w:eastAsia="en-GB"/>
              </w:rPr>
              <w:t>Public opinion campaigning. In particular, p</w:t>
            </w:r>
            <w:r w:rsidRPr="001D047C">
              <w:rPr>
                <w:rFonts w:ascii="Calibri" w:eastAsia="Times New Roman" w:hAnsi="Calibri" w:cs="Calibri"/>
                <w:sz w:val="14"/>
                <w:szCs w:val="14"/>
                <w:lang w:eastAsia="en-GB"/>
              </w:rPr>
              <w:t xml:space="preserve">rovision of </w:t>
            </w:r>
            <w:r>
              <w:rPr>
                <w:rFonts w:ascii="Calibri" w:eastAsia="Times New Roman" w:hAnsi="Calibri" w:cs="Calibri"/>
                <w:sz w:val="14"/>
                <w:szCs w:val="14"/>
                <w:lang w:eastAsia="en-GB"/>
              </w:rPr>
              <w:t xml:space="preserve">education and </w:t>
            </w:r>
            <w:r w:rsidRPr="001D047C">
              <w:rPr>
                <w:rFonts w:ascii="Calibri" w:eastAsia="Times New Roman" w:hAnsi="Calibri" w:cs="Calibri"/>
                <w:sz w:val="14"/>
                <w:szCs w:val="14"/>
                <w:lang w:eastAsia="en-GB"/>
              </w:rPr>
              <w:t xml:space="preserve">information on climate change </w:t>
            </w:r>
            <w:r>
              <w:rPr>
                <w:rFonts w:ascii="Calibri" w:eastAsia="Times New Roman" w:hAnsi="Calibri" w:cs="Calibri"/>
                <w:sz w:val="14"/>
                <w:szCs w:val="14"/>
                <w:lang w:eastAsia="en-GB"/>
              </w:rPr>
              <w:t xml:space="preserve">implications </w:t>
            </w:r>
            <w:r w:rsidRPr="001D047C">
              <w:rPr>
                <w:rFonts w:ascii="Calibri" w:eastAsia="Times New Roman" w:hAnsi="Calibri" w:cs="Calibri"/>
                <w:sz w:val="14"/>
                <w:szCs w:val="14"/>
                <w:lang w:eastAsia="en-GB"/>
              </w:rPr>
              <w:t>and benefits of RET technology</w:t>
            </w:r>
          </w:p>
          <w:p w14:paraId="50A87036" w14:textId="77777777" w:rsidR="00C3788D" w:rsidRPr="00137660" w:rsidRDefault="00C3788D" w:rsidP="00EC3985">
            <w:pPr>
              <w:pStyle w:val="ListParagraph"/>
              <w:numPr>
                <w:ilvl w:val="0"/>
                <w:numId w:val="12"/>
              </w:numPr>
              <w:rPr>
                <w:rFonts w:ascii="Calibri" w:eastAsia="Times New Roman" w:hAnsi="Calibri" w:cs="Calibri"/>
                <w:sz w:val="14"/>
                <w:szCs w:val="14"/>
                <w:lang w:eastAsia="en-GB"/>
              </w:rPr>
            </w:pPr>
            <w:r>
              <w:rPr>
                <w:rFonts w:ascii="Calibri" w:eastAsia="Times New Roman" w:hAnsi="Calibri" w:cs="Calibri"/>
                <w:sz w:val="14"/>
                <w:szCs w:val="14"/>
                <w:lang w:eastAsia="en-GB"/>
              </w:rPr>
              <w:t>Assurance</w:t>
            </w:r>
            <w:r w:rsidRPr="00137660">
              <w:rPr>
                <w:rFonts w:ascii="Calibri" w:eastAsia="Times New Roman" w:hAnsi="Calibri" w:cs="Calibri"/>
                <w:sz w:val="14"/>
                <w:szCs w:val="14"/>
                <w:lang w:eastAsia="en-GB"/>
              </w:rPr>
              <w:t xml:space="preserve"> that potential additional costs of RET infrastructure are shared in a fair way across the society </w:t>
            </w:r>
            <w:r>
              <w:rPr>
                <w:rFonts w:ascii="Calibri" w:eastAsia="Times New Roman" w:hAnsi="Calibri" w:cs="Calibri"/>
                <w:sz w:val="14"/>
                <w:szCs w:val="14"/>
                <w:lang w:eastAsia="en-GB"/>
              </w:rPr>
              <w:t>and that adverse indirect policy impacts are mitigated (if not avoidable)</w:t>
            </w:r>
          </w:p>
          <w:p w14:paraId="68E5B5C2" w14:textId="77777777" w:rsidR="00C3788D" w:rsidRPr="00137660" w:rsidRDefault="00C3788D" w:rsidP="00EC3985">
            <w:pPr>
              <w:pStyle w:val="ListParagraph"/>
              <w:numPr>
                <w:ilvl w:val="0"/>
                <w:numId w:val="12"/>
              </w:numPr>
              <w:rPr>
                <w:rFonts w:ascii="Calibri" w:eastAsia="Times New Roman" w:hAnsi="Calibri" w:cs="Calibri"/>
                <w:sz w:val="14"/>
                <w:szCs w:val="14"/>
                <w:lang w:eastAsia="en-GB"/>
              </w:rPr>
            </w:pPr>
            <w:r>
              <w:rPr>
                <w:rFonts w:ascii="Calibri" w:eastAsia="Times New Roman" w:hAnsi="Calibri" w:cs="Calibri"/>
                <w:sz w:val="14"/>
                <w:szCs w:val="14"/>
                <w:lang w:eastAsia="en-GB"/>
              </w:rPr>
              <w:t>Assessing and minimisation of</w:t>
            </w:r>
            <w:r w:rsidRPr="00137660">
              <w:rPr>
                <w:rFonts w:ascii="Calibri" w:eastAsia="Times New Roman" w:hAnsi="Calibri" w:cs="Calibri"/>
                <w:sz w:val="14"/>
                <w:szCs w:val="14"/>
                <w:lang w:eastAsia="en-GB"/>
              </w:rPr>
              <w:t xml:space="preserve"> RET infrastructure </w:t>
            </w:r>
            <w:r>
              <w:rPr>
                <w:rFonts w:ascii="Calibri" w:eastAsia="Times New Roman" w:hAnsi="Calibri" w:cs="Calibri"/>
                <w:sz w:val="14"/>
                <w:szCs w:val="14"/>
                <w:lang w:eastAsia="en-GB"/>
              </w:rPr>
              <w:t>impact on</w:t>
            </w:r>
            <w:r w:rsidRPr="00137660">
              <w:rPr>
                <w:rFonts w:ascii="Calibri" w:eastAsia="Times New Roman" w:hAnsi="Calibri" w:cs="Calibri"/>
                <w:sz w:val="14"/>
                <w:szCs w:val="14"/>
                <w:lang w:eastAsia="en-GB"/>
              </w:rPr>
              <w:t xml:space="preserve"> ecological biodiversity (e.g. destruction of </w:t>
            </w:r>
            <w:r>
              <w:rPr>
                <w:rFonts w:ascii="Calibri" w:eastAsia="Times New Roman" w:hAnsi="Calibri" w:cs="Calibri"/>
                <w:sz w:val="14"/>
                <w:szCs w:val="14"/>
                <w:lang w:eastAsia="en-GB"/>
              </w:rPr>
              <w:t>ecosystems by wind mills</w:t>
            </w:r>
            <w:r w:rsidRPr="00137660">
              <w:rPr>
                <w:rFonts w:ascii="Calibri" w:eastAsia="Times New Roman" w:hAnsi="Calibri" w:cs="Calibri"/>
                <w:sz w:val="14"/>
                <w:szCs w:val="14"/>
                <w:lang w:eastAsia="en-GB"/>
              </w:rPr>
              <w:t>)</w:t>
            </w:r>
          </w:p>
          <w:p w14:paraId="4F7AD421" w14:textId="77777777" w:rsidR="00C3788D" w:rsidRPr="00137660" w:rsidRDefault="00C3788D" w:rsidP="00EC3985">
            <w:pPr>
              <w:pStyle w:val="ListParagraph"/>
              <w:numPr>
                <w:ilvl w:val="0"/>
                <w:numId w:val="12"/>
              </w:numPr>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Increase the sustainability of the supply chain of RET technology </w:t>
            </w:r>
            <w:r w:rsidRPr="00137660">
              <w:rPr>
                <w:rFonts w:ascii="Calibri" w:eastAsia="Times New Roman" w:hAnsi="Calibri" w:cs="Calibri"/>
                <w:sz w:val="14"/>
                <w:szCs w:val="14"/>
                <w:lang w:eastAsia="en-GB"/>
              </w:rPr>
              <w:t>sustainable (e.g. production of m</w:t>
            </w:r>
            <w:r>
              <w:rPr>
                <w:rFonts w:ascii="Calibri" w:eastAsia="Times New Roman" w:hAnsi="Calibri" w:cs="Calibri"/>
                <w:sz w:val="14"/>
                <w:szCs w:val="14"/>
                <w:lang w:eastAsia="en-GB"/>
              </w:rPr>
              <w:t>aterial, transport of imported production inputs/products). If necessary, funding into research of new possibilities should be increased</w:t>
            </w:r>
          </w:p>
        </w:tc>
        <w:tc>
          <w:tcPr>
            <w:tcW w:w="2977" w:type="dxa"/>
          </w:tcPr>
          <w:p w14:paraId="3628CB1C" w14:textId="77777777" w:rsidR="00C3788D" w:rsidRPr="00137660"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UK Government, educational institutions or NGO’s</w:t>
            </w:r>
          </w:p>
        </w:tc>
        <w:tc>
          <w:tcPr>
            <w:tcW w:w="3686" w:type="dxa"/>
          </w:tcPr>
          <w:p w14:paraId="5604B1D5" w14:textId="77777777" w:rsidR="00C3788D" w:rsidRPr="00137660" w:rsidRDefault="00C3788D" w:rsidP="003E223D">
            <w:pPr>
              <w:rPr>
                <w:rFonts w:ascii="Calibri" w:eastAsia="Times New Roman" w:hAnsi="Calibri" w:cs="Calibri"/>
                <w:sz w:val="14"/>
                <w:szCs w:val="14"/>
                <w:lang w:eastAsia="en-GB"/>
              </w:rPr>
            </w:pPr>
          </w:p>
        </w:tc>
      </w:tr>
      <w:tr w:rsidR="00C3788D" w:rsidRPr="00137660" w14:paraId="6CB19600" w14:textId="77777777" w:rsidTr="003E223D">
        <w:trPr>
          <w:trHeight w:val="706"/>
        </w:trPr>
        <w:tc>
          <w:tcPr>
            <w:tcW w:w="567" w:type="dxa"/>
            <w:vAlign w:val="center"/>
          </w:tcPr>
          <w:p w14:paraId="334B2DF8" w14:textId="77777777" w:rsidR="00C3788D" w:rsidRPr="00137660" w:rsidRDefault="00C3788D" w:rsidP="003E223D">
            <w:pPr>
              <w:jc w:val="center"/>
              <w:rPr>
                <w:rFonts w:ascii="Calibri" w:eastAsia="Times New Roman" w:hAnsi="Calibri" w:cs="Calibri"/>
                <w:sz w:val="14"/>
                <w:szCs w:val="14"/>
                <w:lang w:eastAsia="en-GB"/>
              </w:rPr>
            </w:pPr>
            <w:r>
              <w:rPr>
                <w:rFonts w:ascii="Calibri" w:eastAsia="Times New Roman" w:hAnsi="Calibri" w:cs="Calibri"/>
                <w:sz w:val="14"/>
                <w:szCs w:val="14"/>
                <w:lang w:eastAsia="en-GB"/>
              </w:rPr>
              <w:t>14</w:t>
            </w:r>
          </w:p>
        </w:tc>
        <w:tc>
          <w:tcPr>
            <w:tcW w:w="3969" w:type="dxa"/>
          </w:tcPr>
          <w:p w14:paraId="662F4687" w14:textId="77777777" w:rsidR="00C3788D" w:rsidRDefault="00C3788D" w:rsidP="00EC3985">
            <w:pPr>
              <w:pStyle w:val="ListParagraph"/>
              <w:numPr>
                <w:ilvl w:val="0"/>
                <w:numId w:val="27"/>
              </w:numP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 xml:space="preserve">Market shaping policies </w:t>
            </w:r>
            <w:r>
              <w:rPr>
                <w:rFonts w:ascii="Calibri" w:eastAsia="Times New Roman" w:hAnsi="Calibri" w:cs="Calibri"/>
                <w:sz w:val="14"/>
                <w:szCs w:val="14"/>
                <w:lang w:eastAsia="en-GB"/>
              </w:rPr>
              <w:t>and avoidance of incentives for fossil fuel investments (e.g. tax rebates)</w:t>
            </w:r>
          </w:p>
          <w:p w14:paraId="3EB1952A" w14:textId="77777777" w:rsidR="00C3788D" w:rsidRDefault="00C3788D" w:rsidP="00EC3985">
            <w:pPr>
              <w:pStyle w:val="ListParagraph"/>
              <w:numPr>
                <w:ilvl w:val="0"/>
                <w:numId w:val="27"/>
              </w:numPr>
              <w:rPr>
                <w:rFonts w:ascii="Calibri" w:eastAsia="Times New Roman" w:hAnsi="Calibri" w:cs="Calibri"/>
                <w:sz w:val="14"/>
                <w:szCs w:val="14"/>
                <w:lang w:eastAsia="en-GB"/>
              </w:rPr>
            </w:pPr>
            <w:r>
              <w:rPr>
                <w:rFonts w:ascii="Calibri" w:eastAsia="Times New Roman" w:hAnsi="Calibri" w:cs="Calibri"/>
                <w:sz w:val="14"/>
                <w:szCs w:val="14"/>
                <w:lang w:eastAsia="en-GB"/>
              </w:rPr>
              <w:t>Changes in banking, insurance and pension regulations</w:t>
            </w:r>
          </w:p>
          <w:p w14:paraId="3DB44A38" w14:textId="77777777" w:rsidR="00C3788D" w:rsidRPr="0057687A" w:rsidRDefault="00C3788D" w:rsidP="00EC3985">
            <w:pPr>
              <w:pStyle w:val="ListParagraph"/>
              <w:numPr>
                <w:ilvl w:val="0"/>
                <w:numId w:val="27"/>
              </w:numPr>
              <w:rPr>
                <w:rFonts w:ascii="Calibri" w:eastAsia="Times New Roman" w:hAnsi="Calibri" w:cs="Calibri"/>
                <w:sz w:val="14"/>
                <w:szCs w:val="14"/>
                <w:lang w:eastAsia="en-GB"/>
              </w:rPr>
            </w:pPr>
            <w:r>
              <w:rPr>
                <w:rFonts w:ascii="Calibri" w:eastAsia="Times New Roman" w:hAnsi="Calibri" w:cs="Calibri"/>
                <w:sz w:val="14"/>
                <w:szCs w:val="14"/>
                <w:lang w:eastAsia="en-GB"/>
              </w:rPr>
              <w:t>All of the above mentioned solutions in a combination</w:t>
            </w:r>
          </w:p>
        </w:tc>
        <w:tc>
          <w:tcPr>
            <w:tcW w:w="2977" w:type="dxa"/>
          </w:tcPr>
          <w:p w14:paraId="489017A4" w14:textId="77777777" w:rsidR="00C3788D" w:rsidRPr="0057687A" w:rsidRDefault="00C3788D" w:rsidP="003E223D">
            <w:pPr>
              <w:autoSpaceDE w:val="0"/>
              <w:autoSpaceDN w:val="0"/>
              <w:adjustRightInd w:val="0"/>
              <w:rPr>
                <w:rFonts w:cstheme="minorHAnsi"/>
                <w:sz w:val="14"/>
                <w:szCs w:val="14"/>
              </w:rPr>
            </w:pPr>
            <w:r w:rsidRPr="0057687A">
              <w:rPr>
                <w:rFonts w:cstheme="minorHAnsi"/>
                <w:sz w:val="14"/>
                <w:szCs w:val="14"/>
              </w:rPr>
              <w:t>UK Government, Green Investment bank, BoE and all other relevant regulatory authorities involved</w:t>
            </w:r>
          </w:p>
        </w:tc>
        <w:tc>
          <w:tcPr>
            <w:tcW w:w="3686" w:type="dxa"/>
          </w:tcPr>
          <w:p w14:paraId="5AE7CB7D" w14:textId="77777777" w:rsidR="00C3788D" w:rsidRPr="0057687A" w:rsidRDefault="00C3788D" w:rsidP="003E223D">
            <w:pPr>
              <w:autoSpaceDE w:val="0"/>
              <w:autoSpaceDN w:val="0"/>
              <w:adjustRightInd w:val="0"/>
              <w:rPr>
                <w:rFonts w:ascii="Calibri" w:hAnsi="Calibri" w:cs="Calibri"/>
                <w:b/>
                <w:color w:val="222222"/>
                <w:sz w:val="14"/>
                <w:szCs w:val="14"/>
              </w:rPr>
            </w:pPr>
            <w:r>
              <w:rPr>
                <w:rFonts w:ascii="Calibri" w:hAnsi="Calibri" w:cs="Calibri"/>
                <w:b/>
                <w:color w:val="222222"/>
                <w:sz w:val="14"/>
                <w:szCs w:val="14"/>
              </w:rPr>
              <w:t>M</w:t>
            </w:r>
            <w:r w:rsidRPr="0057687A">
              <w:rPr>
                <w:rFonts w:ascii="Calibri" w:hAnsi="Calibri" w:cs="Calibri"/>
                <w:b/>
                <w:color w:val="222222"/>
                <w:sz w:val="14"/>
                <w:szCs w:val="14"/>
              </w:rPr>
              <w:t xml:space="preserve">arket-shaping policies: </w:t>
            </w:r>
          </w:p>
          <w:p w14:paraId="09765D3F" w14:textId="77777777" w:rsidR="00C3788D" w:rsidRPr="0057687A" w:rsidRDefault="00C3788D" w:rsidP="00EC3985">
            <w:pPr>
              <w:pStyle w:val="ListParagraph"/>
              <w:numPr>
                <w:ilvl w:val="0"/>
                <w:numId w:val="20"/>
              </w:numPr>
              <w:autoSpaceDE w:val="0"/>
              <w:autoSpaceDN w:val="0"/>
              <w:adjustRightInd w:val="0"/>
              <w:rPr>
                <w:rFonts w:ascii="Calibri" w:eastAsia="Times New Roman" w:hAnsi="Calibri" w:cs="Calibri"/>
                <w:sz w:val="14"/>
                <w:szCs w:val="14"/>
                <w:lang w:eastAsia="en-GB"/>
              </w:rPr>
            </w:pPr>
            <w:proofErr w:type="spellStart"/>
            <w:r>
              <w:rPr>
                <w:rFonts w:ascii="Calibri" w:hAnsi="Calibri" w:cs="Calibri"/>
                <w:color w:val="222222"/>
                <w:sz w:val="14"/>
                <w:szCs w:val="14"/>
              </w:rPr>
              <w:t>Mazzucato</w:t>
            </w:r>
            <w:proofErr w:type="spellEnd"/>
            <w:r>
              <w:rPr>
                <w:rFonts w:ascii="Calibri" w:hAnsi="Calibri" w:cs="Calibri"/>
                <w:color w:val="222222"/>
                <w:sz w:val="14"/>
                <w:szCs w:val="14"/>
              </w:rPr>
              <w:t xml:space="preserve"> (2016</w:t>
            </w:r>
            <w:r w:rsidRPr="0057687A">
              <w:rPr>
                <w:rFonts w:ascii="Calibri" w:hAnsi="Calibri" w:cs="Calibri"/>
                <w:color w:val="222222"/>
                <w:sz w:val="14"/>
                <w:szCs w:val="14"/>
              </w:rPr>
              <w:t>)</w:t>
            </w:r>
            <w:r>
              <w:rPr>
                <w:rFonts w:ascii="Calibri" w:hAnsi="Calibri" w:cs="Calibri"/>
                <w:color w:val="222222"/>
                <w:sz w:val="14"/>
                <w:szCs w:val="14"/>
              </w:rPr>
              <w:t xml:space="preserve">; </w:t>
            </w:r>
            <w:proofErr w:type="spellStart"/>
            <w:r w:rsidRPr="0057687A">
              <w:rPr>
                <w:rFonts w:ascii="Calibri" w:hAnsi="Calibri" w:cs="Calibri"/>
                <w:color w:val="222222"/>
                <w:sz w:val="14"/>
                <w:szCs w:val="14"/>
              </w:rPr>
              <w:t>Mazzucato</w:t>
            </w:r>
            <w:proofErr w:type="spellEnd"/>
            <w:r>
              <w:rPr>
                <w:rFonts w:ascii="Calibri" w:hAnsi="Calibri" w:cs="Calibri"/>
                <w:color w:val="222222"/>
                <w:sz w:val="14"/>
                <w:szCs w:val="14"/>
              </w:rPr>
              <w:t xml:space="preserve"> &amp; </w:t>
            </w:r>
            <w:proofErr w:type="spellStart"/>
            <w:r>
              <w:rPr>
                <w:rFonts w:ascii="Calibri" w:hAnsi="Calibri" w:cs="Calibri"/>
                <w:color w:val="222222"/>
                <w:sz w:val="14"/>
                <w:szCs w:val="14"/>
              </w:rPr>
              <w:t>Penna</w:t>
            </w:r>
            <w:proofErr w:type="spellEnd"/>
            <w:r>
              <w:rPr>
                <w:rFonts w:ascii="Calibri" w:hAnsi="Calibri" w:cs="Calibri"/>
                <w:color w:val="222222"/>
                <w:sz w:val="14"/>
                <w:szCs w:val="14"/>
              </w:rPr>
              <w:t xml:space="preserve"> (2016)</w:t>
            </w:r>
          </w:p>
          <w:p w14:paraId="1CE3DD68" w14:textId="77777777" w:rsidR="00C3788D" w:rsidRPr="00137660" w:rsidRDefault="00C3788D" w:rsidP="003E223D">
            <w:pPr>
              <w:rPr>
                <w:rFonts w:ascii="Calibri" w:eastAsia="Times New Roman" w:hAnsi="Calibri" w:cs="Calibri"/>
                <w:sz w:val="14"/>
                <w:szCs w:val="14"/>
                <w:lang w:eastAsia="en-GB"/>
              </w:rPr>
            </w:pPr>
          </w:p>
        </w:tc>
      </w:tr>
      <w:tr w:rsidR="00C3788D" w:rsidRPr="00137660" w14:paraId="22444F79" w14:textId="77777777" w:rsidTr="003E223D">
        <w:trPr>
          <w:trHeight w:val="173"/>
        </w:trPr>
        <w:tc>
          <w:tcPr>
            <w:tcW w:w="567" w:type="dxa"/>
            <w:vAlign w:val="center"/>
          </w:tcPr>
          <w:p w14:paraId="73D4792E" w14:textId="77777777" w:rsidR="00C3788D" w:rsidRPr="00137660" w:rsidRDefault="00C3788D" w:rsidP="003E223D">
            <w:pPr>
              <w:jc w:val="center"/>
              <w:rPr>
                <w:rFonts w:ascii="Calibri" w:eastAsia="Times New Roman" w:hAnsi="Calibri" w:cs="Calibri"/>
                <w:sz w:val="14"/>
                <w:szCs w:val="14"/>
                <w:lang w:eastAsia="en-GB"/>
              </w:rPr>
            </w:pPr>
            <w:r w:rsidRPr="00137660">
              <w:rPr>
                <w:rFonts w:ascii="Calibri" w:eastAsia="Times New Roman" w:hAnsi="Calibri" w:cs="Calibri"/>
                <w:sz w:val="14"/>
                <w:szCs w:val="14"/>
                <w:lang w:eastAsia="en-GB"/>
              </w:rPr>
              <w:t>15</w:t>
            </w:r>
          </w:p>
        </w:tc>
        <w:tc>
          <w:tcPr>
            <w:tcW w:w="3969" w:type="dxa"/>
          </w:tcPr>
          <w:p w14:paraId="3939CB3A" w14:textId="77777777" w:rsidR="00C3788D" w:rsidRPr="00137660" w:rsidRDefault="00C3788D" w:rsidP="00EC3985">
            <w:pPr>
              <w:pStyle w:val="ListParagraph"/>
              <w:numPr>
                <w:ilvl w:val="0"/>
                <w:numId w:val="27"/>
              </w:numPr>
              <w:rPr>
                <w:rFonts w:ascii="Calibri" w:eastAsia="Times New Roman" w:hAnsi="Calibri" w:cs="Calibri"/>
                <w:sz w:val="14"/>
                <w:szCs w:val="14"/>
                <w:lang w:eastAsia="en-GB"/>
              </w:rPr>
            </w:pPr>
            <w:r>
              <w:rPr>
                <w:rFonts w:ascii="Calibri" w:eastAsia="Times New Roman" w:hAnsi="Calibri" w:cs="Calibri"/>
                <w:sz w:val="14"/>
                <w:szCs w:val="14"/>
                <w:lang w:eastAsia="en-GB"/>
              </w:rPr>
              <w:t>All of the above mentioned solutions</w:t>
            </w:r>
          </w:p>
        </w:tc>
        <w:tc>
          <w:tcPr>
            <w:tcW w:w="2977" w:type="dxa"/>
          </w:tcPr>
          <w:p w14:paraId="79365119" w14:textId="77777777" w:rsidR="00C3788D" w:rsidRPr="00137660"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All of the above</w:t>
            </w:r>
          </w:p>
        </w:tc>
        <w:tc>
          <w:tcPr>
            <w:tcW w:w="3686" w:type="dxa"/>
          </w:tcPr>
          <w:p w14:paraId="33D234E7" w14:textId="77777777" w:rsidR="00C3788D" w:rsidRPr="00137660" w:rsidRDefault="00C3788D" w:rsidP="003E223D">
            <w:pPr>
              <w:rPr>
                <w:rFonts w:ascii="Calibri" w:eastAsia="Times New Roman" w:hAnsi="Calibri" w:cs="Calibri"/>
                <w:sz w:val="14"/>
                <w:szCs w:val="14"/>
                <w:lang w:eastAsia="en-GB"/>
              </w:rPr>
            </w:pPr>
            <w:r>
              <w:rPr>
                <w:rFonts w:ascii="Calibri" w:eastAsia="Times New Roman" w:hAnsi="Calibri" w:cs="Calibri"/>
                <w:sz w:val="14"/>
                <w:szCs w:val="14"/>
                <w:lang w:eastAsia="en-GB"/>
              </w:rPr>
              <w:t>All of the above</w:t>
            </w:r>
          </w:p>
        </w:tc>
      </w:tr>
    </w:tbl>
    <w:p w14:paraId="31A9885C" w14:textId="77777777" w:rsidR="00C3788D" w:rsidRDefault="00C3788D" w:rsidP="00C3788D">
      <w:pPr>
        <w:rPr>
          <w:rFonts w:ascii="Calibri" w:hAnsi="Calibri" w:cs="Calibri"/>
          <w:sz w:val="21"/>
          <w:szCs w:val="21"/>
        </w:rPr>
      </w:pPr>
    </w:p>
    <w:p w14:paraId="4FE0FC20" w14:textId="77777777" w:rsidR="00C3788D" w:rsidRPr="003850CE" w:rsidRDefault="00C3788D" w:rsidP="00C3788D">
      <w:pPr>
        <w:spacing w:after="0" w:line="240" w:lineRule="auto"/>
        <w:rPr>
          <w:sz w:val="14"/>
          <w:szCs w:val="14"/>
        </w:rPr>
      </w:pPr>
      <w:r w:rsidRPr="003850CE">
        <w:rPr>
          <w:sz w:val="14"/>
          <w:szCs w:val="14"/>
        </w:rPr>
        <w:t xml:space="preserve">Legend: </w:t>
      </w:r>
    </w:p>
    <w:p w14:paraId="05353524" w14:textId="77777777" w:rsidR="00C3788D" w:rsidRPr="003850CE" w:rsidRDefault="00C3788D" w:rsidP="00C3788D">
      <w:pPr>
        <w:spacing w:after="0" w:line="240" w:lineRule="auto"/>
        <w:rPr>
          <w:sz w:val="14"/>
          <w:szCs w:val="14"/>
        </w:rPr>
      </w:pPr>
    </w:p>
    <w:p w14:paraId="65444D90" w14:textId="77777777" w:rsidR="00C3788D" w:rsidRPr="003850CE" w:rsidRDefault="00C3788D" w:rsidP="00C3788D">
      <w:pPr>
        <w:spacing w:after="0" w:line="240" w:lineRule="auto"/>
        <w:rPr>
          <w:sz w:val="14"/>
          <w:szCs w:val="14"/>
        </w:rPr>
      </w:pPr>
      <w:proofErr w:type="spellStart"/>
      <w:r w:rsidRPr="003850CE">
        <w:rPr>
          <w:sz w:val="14"/>
          <w:szCs w:val="14"/>
        </w:rPr>
        <w:t>Nr</w:t>
      </w:r>
      <w:proofErr w:type="spellEnd"/>
      <w:r w:rsidRPr="003850CE">
        <w:rPr>
          <w:sz w:val="14"/>
          <w:szCs w:val="14"/>
        </w:rPr>
        <w:t xml:space="preserve"> 1. = ‘</w:t>
      </w:r>
      <w:r w:rsidRPr="003850CE">
        <w:rPr>
          <w:rFonts w:ascii="Calibri" w:hAnsi="Calibri" w:cs="Calibri"/>
          <w:sz w:val="14"/>
          <w:szCs w:val="14"/>
        </w:rPr>
        <w:t>Complex and long administration processes mainly due to electricity market regulations</w:t>
      </w:r>
      <w:r w:rsidRPr="003850CE">
        <w:rPr>
          <w:sz w:val="14"/>
          <w:szCs w:val="14"/>
        </w:rPr>
        <w:t xml:space="preserve"> ‘, </w:t>
      </w:r>
    </w:p>
    <w:p w14:paraId="086082F4" w14:textId="77777777" w:rsidR="00C3788D" w:rsidRPr="003850CE" w:rsidRDefault="00C3788D" w:rsidP="00C3788D">
      <w:pPr>
        <w:spacing w:after="0" w:line="240" w:lineRule="auto"/>
        <w:rPr>
          <w:rFonts w:ascii="Calibri" w:hAnsi="Calibri" w:cs="Calibri"/>
          <w:sz w:val="14"/>
          <w:szCs w:val="14"/>
        </w:rPr>
      </w:pPr>
      <w:proofErr w:type="spellStart"/>
      <w:r w:rsidRPr="003850CE">
        <w:rPr>
          <w:sz w:val="14"/>
          <w:szCs w:val="14"/>
        </w:rPr>
        <w:t>Nr</w:t>
      </w:r>
      <w:proofErr w:type="spellEnd"/>
      <w:r w:rsidRPr="003850CE">
        <w:rPr>
          <w:sz w:val="14"/>
          <w:szCs w:val="14"/>
        </w:rPr>
        <w:t>. 2 = ‘</w:t>
      </w:r>
      <w:r w:rsidRPr="003850CE">
        <w:rPr>
          <w:rFonts w:ascii="Calibri" w:hAnsi="Calibri" w:cs="Calibri"/>
          <w:sz w:val="14"/>
          <w:szCs w:val="14"/>
        </w:rPr>
        <w:t xml:space="preserve">Lack of a stable climate change policy frameworks and policy direction’, </w:t>
      </w:r>
    </w:p>
    <w:p w14:paraId="798C84DB"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hAnsi="Calibri" w:cs="Calibri"/>
          <w:sz w:val="14"/>
          <w:szCs w:val="14"/>
        </w:rPr>
        <w:t>Nr</w:t>
      </w:r>
      <w:proofErr w:type="spellEnd"/>
      <w:r w:rsidRPr="003850CE">
        <w:rPr>
          <w:rFonts w:ascii="Calibri" w:hAnsi="Calibri" w:cs="Calibri"/>
          <w:sz w:val="14"/>
          <w:szCs w:val="14"/>
        </w:rPr>
        <w:t>. 3 = ‘</w:t>
      </w:r>
      <w:r w:rsidRPr="003850CE">
        <w:rPr>
          <w:rFonts w:ascii="Calibri" w:eastAsia="Times New Roman" w:hAnsi="Calibri" w:cs="Calibri"/>
          <w:color w:val="000000"/>
          <w:sz w:val="14"/>
          <w:szCs w:val="14"/>
          <w:lang w:eastAsia="en-GB"/>
        </w:rPr>
        <w:t xml:space="preserve">Policies are in favour of 'brown' energy-‘, </w:t>
      </w:r>
    </w:p>
    <w:p w14:paraId="1ED1CAEF"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xml:space="preserve">. 4 = ‘Constraints on decision making within investor companies’, </w:t>
      </w:r>
    </w:p>
    <w:p w14:paraId="7162F296"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5 = ‘Perceptions that returns of renewable infrastructure investments are too low and require high initial capital investment’,</w:t>
      </w:r>
    </w:p>
    <w:p w14:paraId="7C01546F"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xml:space="preserve">. 6 = ‘Requirement that projects need a certain credit rating so that it is possible to invest’, </w:t>
      </w:r>
    </w:p>
    <w:p w14:paraId="5A110E8C"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7 = ‘Technology-risk associated with uncertain technologies’,</w:t>
      </w:r>
    </w:p>
    <w:p w14:paraId="5B68042C"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8 = ‘</w:t>
      </w:r>
      <w:r w:rsidRPr="003850CE">
        <w:rPr>
          <w:rFonts w:ascii="Calibri" w:eastAsia="Times New Roman" w:hAnsi="Calibri" w:cs="Calibri"/>
          <w:sz w:val="14"/>
          <w:szCs w:val="14"/>
          <w:lang w:eastAsia="en-GB"/>
        </w:rPr>
        <w:t xml:space="preserve">Disclosure on climate related risks and integrating them into financial decision-making </w:t>
      </w:r>
      <w:r w:rsidRPr="003850CE">
        <w:rPr>
          <w:rFonts w:ascii="Calibri" w:eastAsia="Times New Roman" w:hAnsi="Calibri" w:cs="Calibri"/>
          <w:sz w:val="14"/>
          <w:szCs w:val="14"/>
        </w:rPr>
        <w:t>/ Lack of standardised ESG-data’</w:t>
      </w:r>
      <w:r w:rsidRPr="003850CE">
        <w:rPr>
          <w:rFonts w:ascii="Calibri" w:eastAsia="Times New Roman" w:hAnsi="Calibri" w:cs="Calibri"/>
          <w:color w:val="000000"/>
          <w:sz w:val="14"/>
          <w:szCs w:val="14"/>
          <w:lang w:eastAsia="en-GB"/>
        </w:rPr>
        <w:t xml:space="preserve">, </w:t>
      </w:r>
    </w:p>
    <w:p w14:paraId="4074FABB"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xml:space="preserve">. 9 = ‘Limited projects with acceptable risk-return profiles; lack of liquidity in markets’, </w:t>
      </w:r>
    </w:p>
    <w:p w14:paraId="62C39D3E"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xml:space="preserve">. 10 = ‘Lack of suitable financial vehicles/financial instruments’, </w:t>
      </w:r>
    </w:p>
    <w:p w14:paraId="05742E0A"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xml:space="preserve">. 11 = ‘High transaction costs or fees’, </w:t>
      </w:r>
    </w:p>
    <w:p w14:paraId="5516F94B"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xml:space="preserve">. 12 = ‘Lack of knowledge/technical advice on green infrastructure investment’, </w:t>
      </w:r>
    </w:p>
    <w:p w14:paraId="6D668CE8"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13 = ‘</w:t>
      </w:r>
      <w:r w:rsidRPr="003850CE">
        <w:rPr>
          <w:rFonts w:ascii="Calibri" w:hAnsi="Calibri" w:cs="Calibri"/>
          <w:sz w:val="14"/>
          <w:szCs w:val="14"/>
        </w:rPr>
        <w:t>Attitudes of the public, resistance of society’</w:t>
      </w:r>
      <w:r w:rsidRPr="003850CE">
        <w:rPr>
          <w:rFonts w:ascii="Calibri" w:eastAsia="Times New Roman" w:hAnsi="Calibri" w:cs="Calibri"/>
          <w:color w:val="000000"/>
          <w:sz w:val="14"/>
          <w:szCs w:val="14"/>
          <w:lang w:eastAsia="en-GB"/>
        </w:rPr>
        <w:t xml:space="preserve">, </w:t>
      </w:r>
    </w:p>
    <w:p w14:paraId="1238983F" w14:textId="77777777" w:rsidR="00C3788D" w:rsidRPr="003850CE" w:rsidRDefault="00C3788D" w:rsidP="00C3788D">
      <w:pPr>
        <w:spacing w:after="0" w:line="240" w:lineRule="auto"/>
        <w:rPr>
          <w:rFonts w:ascii="Calibri" w:eastAsia="Times New Roman" w:hAnsi="Calibri" w:cs="Calibri"/>
          <w:color w:val="000000"/>
          <w:sz w:val="14"/>
          <w:szCs w:val="14"/>
          <w:lang w:eastAsia="en-GB"/>
        </w:rPr>
      </w:pPr>
      <w:proofErr w:type="spellStart"/>
      <w:r w:rsidRPr="003850CE">
        <w:rPr>
          <w:rFonts w:ascii="Calibri" w:eastAsia="Times New Roman" w:hAnsi="Calibri" w:cs="Calibri"/>
          <w:color w:val="000000"/>
          <w:sz w:val="14"/>
          <w:szCs w:val="14"/>
          <w:lang w:eastAsia="en-GB"/>
        </w:rPr>
        <w:lastRenderedPageBreak/>
        <w:t>Nr</w:t>
      </w:r>
      <w:proofErr w:type="spellEnd"/>
      <w:r w:rsidRPr="003850CE">
        <w:rPr>
          <w:rFonts w:ascii="Calibri" w:eastAsia="Times New Roman" w:hAnsi="Calibri" w:cs="Calibri"/>
          <w:color w:val="000000"/>
          <w:sz w:val="14"/>
          <w:szCs w:val="14"/>
          <w:lang w:eastAsia="en-GB"/>
        </w:rPr>
        <w:t>. 14 = ‘</w:t>
      </w:r>
      <w:r w:rsidRPr="003850CE">
        <w:rPr>
          <w:rFonts w:ascii="Calibri" w:hAnsi="Calibri" w:cs="Calibri"/>
          <w:sz w:val="14"/>
          <w:szCs w:val="14"/>
        </w:rPr>
        <w:t>Path-dependency or lock-in’ and</w:t>
      </w:r>
    </w:p>
    <w:p w14:paraId="20355506" w14:textId="77777777" w:rsidR="00C3788D" w:rsidRPr="003850CE" w:rsidRDefault="00C3788D" w:rsidP="00C3788D">
      <w:pPr>
        <w:spacing w:after="0" w:line="240" w:lineRule="auto"/>
        <w:rPr>
          <w:sz w:val="14"/>
          <w:szCs w:val="14"/>
        </w:rPr>
      </w:pPr>
      <w:proofErr w:type="spellStart"/>
      <w:r w:rsidRPr="003850CE">
        <w:rPr>
          <w:rFonts w:ascii="Calibri" w:eastAsia="Times New Roman" w:hAnsi="Calibri" w:cs="Calibri"/>
          <w:color w:val="000000"/>
          <w:sz w:val="14"/>
          <w:szCs w:val="14"/>
          <w:lang w:eastAsia="en-GB"/>
        </w:rPr>
        <w:t>Nr</w:t>
      </w:r>
      <w:proofErr w:type="spellEnd"/>
      <w:r w:rsidRPr="003850CE">
        <w:rPr>
          <w:rFonts w:ascii="Calibri" w:eastAsia="Times New Roman" w:hAnsi="Calibri" w:cs="Calibri"/>
          <w:color w:val="000000"/>
          <w:sz w:val="14"/>
          <w:szCs w:val="14"/>
          <w:lang w:eastAsia="en-GB"/>
        </w:rPr>
        <w:t>. 15 = ‘Other barriers’</w:t>
      </w:r>
    </w:p>
    <w:p w14:paraId="002D967F" w14:textId="77777777" w:rsidR="00C3788D" w:rsidRDefault="00C3788D" w:rsidP="00ED11FA">
      <w:pPr>
        <w:spacing w:line="276" w:lineRule="auto"/>
        <w:rPr>
          <w:rFonts w:ascii="Calibri" w:hAnsi="Calibri" w:cs="Calibri"/>
          <w:sz w:val="21"/>
          <w:szCs w:val="21"/>
        </w:rPr>
      </w:pPr>
    </w:p>
    <w:p w14:paraId="2C439872" w14:textId="6846D385" w:rsidR="00214BC1" w:rsidRDefault="008E6933" w:rsidP="00ED11FA">
      <w:pPr>
        <w:spacing w:line="276" w:lineRule="auto"/>
        <w:rPr>
          <w:rFonts w:eastAsia="Times New Roman"/>
          <w:sz w:val="21"/>
          <w:szCs w:val="21"/>
        </w:rPr>
      </w:pPr>
      <w:r w:rsidRPr="008E6933">
        <w:rPr>
          <w:rFonts w:ascii="Calibri" w:hAnsi="Calibri" w:cs="Calibri"/>
          <w:sz w:val="21"/>
          <w:szCs w:val="21"/>
        </w:rPr>
        <w:t>With regard to the call for a</w:t>
      </w:r>
      <w:r w:rsidR="00C16815">
        <w:rPr>
          <w:rFonts w:ascii="Calibri" w:hAnsi="Calibri" w:cs="Calibri"/>
          <w:sz w:val="21"/>
          <w:szCs w:val="21"/>
        </w:rPr>
        <w:t>n</w:t>
      </w:r>
      <w:r w:rsidRPr="008E6933">
        <w:rPr>
          <w:rFonts w:ascii="Calibri" w:hAnsi="Calibri" w:cs="Calibri"/>
          <w:sz w:val="21"/>
          <w:szCs w:val="21"/>
        </w:rPr>
        <w:t xml:space="preserve"> </w:t>
      </w:r>
      <w:r w:rsidR="00C16815">
        <w:rPr>
          <w:rFonts w:ascii="Calibri" w:hAnsi="Calibri" w:cs="Calibri"/>
          <w:sz w:val="21"/>
          <w:szCs w:val="21"/>
        </w:rPr>
        <w:t>immediate</w:t>
      </w:r>
      <w:r w:rsidRPr="008E6933">
        <w:rPr>
          <w:rFonts w:ascii="Calibri" w:hAnsi="Calibri" w:cs="Calibri"/>
          <w:sz w:val="21"/>
          <w:szCs w:val="21"/>
        </w:rPr>
        <w:t xml:space="preserve"> </w:t>
      </w:r>
      <w:r w:rsidR="00E90A57">
        <w:rPr>
          <w:rFonts w:ascii="Calibri" w:hAnsi="Calibri" w:cs="Calibri"/>
          <w:sz w:val="21"/>
          <w:szCs w:val="21"/>
        </w:rPr>
        <w:t>policy response</w:t>
      </w:r>
      <w:r w:rsidRPr="008E6933">
        <w:rPr>
          <w:rFonts w:ascii="Calibri" w:hAnsi="Calibri" w:cs="Calibri"/>
          <w:sz w:val="21"/>
          <w:szCs w:val="21"/>
        </w:rPr>
        <w:t>, w</w:t>
      </w:r>
      <w:r w:rsidR="005E4163" w:rsidRPr="008E6933">
        <w:rPr>
          <w:rFonts w:ascii="Calibri" w:hAnsi="Calibri" w:cs="Calibri"/>
          <w:sz w:val="21"/>
          <w:szCs w:val="21"/>
        </w:rPr>
        <w:t xml:space="preserve">e </w:t>
      </w:r>
      <w:r w:rsidRPr="008E6933">
        <w:rPr>
          <w:rFonts w:ascii="Calibri" w:hAnsi="Calibri" w:cs="Calibri"/>
          <w:sz w:val="21"/>
          <w:szCs w:val="21"/>
        </w:rPr>
        <w:t xml:space="preserve">propose </w:t>
      </w:r>
      <w:r w:rsidR="005E4163" w:rsidRPr="008E6933">
        <w:rPr>
          <w:rFonts w:ascii="Calibri" w:hAnsi="Calibri" w:cs="Calibri"/>
          <w:sz w:val="21"/>
          <w:szCs w:val="21"/>
        </w:rPr>
        <w:t>t</w:t>
      </w:r>
      <w:r w:rsidR="004C1B82" w:rsidRPr="008E6933">
        <w:rPr>
          <w:rFonts w:ascii="Calibri" w:hAnsi="Calibri" w:cs="Calibri"/>
          <w:sz w:val="21"/>
          <w:szCs w:val="21"/>
        </w:rPr>
        <w:t xml:space="preserve">he </w:t>
      </w:r>
      <w:r w:rsidR="000E107C" w:rsidRPr="008E6933">
        <w:rPr>
          <w:rFonts w:ascii="Calibri" w:hAnsi="Calibri" w:cs="Calibri"/>
          <w:sz w:val="21"/>
          <w:szCs w:val="21"/>
        </w:rPr>
        <w:t xml:space="preserve">increased </w:t>
      </w:r>
      <w:r w:rsidR="004C1B82" w:rsidRPr="008E6933">
        <w:rPr>
          <w:rFonts w:ascii="Calibri" w:hAnsi="Calibri" w:cs="Calibri"/>
          <w:sz w:val="21"/>
          <w:szCs w:val="21"/>
        </w:rPr>
        <w:t xml:space="preserve">issuance of </w:t>
      </w:r>
      <w:r w:rsidR="005E4163" w:rsidRPr="008E6933">
        <w:rPr>
          <w:rFonts w:ascii="Calibri" w:hAnsi="Calibri" w:cs="Calibri"/>
          <w:sz w:val="21"/>
          <w:szCs w:val="21"/>
        </w:rPr>
        <w:t xml:space="preserve">green bonds (or </w:t>
      </w:r>
      <w:r w:rsidR="00C83E69" w:rsidRPr="008E6933">
        <w:rPr>
          <w:rFonts w:ascii="Calibri" w:hAnsi="Calibri" w:cs="Calibri"/>
          <w:sz w:val="21"/>
          <w:szCs w:val="21"/>
        </w:rPr>
        <w:t xml:space="preserve">the development of </w:t>
      </w:r>
      <w:r w:rsidR="006C6E29" w:rsidRPr="008E6933">
        <w:rPr>
          <w:rFonts w:ascii="Calibri" w:hAnsi="Calibri" w:cs="Calibri"/>
          <w:sz w:val="21"/>
          <w:szCs w:val="21"/>
        </w:rPr>
        <w:t>other</w:t>
      </w:r>
      <w:r w:rsidR="00E73881" w:rsidRPr="008E6933">
        <w:rPr>
          <w:rFonts w:ascii="Calibri" w:hAnsi="Calibri" w:cs="Calibri"/>
          <w:sz w:val="21"/>
          <w:szCs w:val="21"/>
        </w:rPr>
        <w:t>,</w:t>
      </w:r>
      <w:r w:rsidR="006C6E29" w:rsidRPr="008E6933">
        <w:rPr>
          <w:rFonts w:ascii="Calibri" w:hAnsi="Calibri" w:cs="Calibri"/>
          <w:sz w:val="21"/>
          <w:szCs w:val="21"/>
        </w:rPr>
        <w:t xml:space="preserve"> </w:t>
      </w:r>
      <w:r w:rsidR="009907C2" w:rsidRPr="008E6933">
        <w:rPr>
          <w:rFonts w:ascii="Calibri" w:hAnsi="Calibri" w:cs="Calibri"/>
          <w:sz w:val="21"/>
          <w:szCs w:val="21"/>
        </w:rPr>
        <w:t>equity-based</w:t>
      </w:r>
      <w:r w:rsidR="00E73881" w:rsidRPr="008E6933">
        <w:rPr>
          <w:rFonts w:ascii="Calibri" w:hAnsi="Calibri" w:cs="Calibri"/>
          <w:sz w:val="21"/>
          <w:szCs w:val="21"/>
        </w:rPr>
        <w:t>,</w:t>
      </w:r>
      <w:r w:rsidR="005E4163" w:rsidRPr="008E6933">
        <w:rPr>
          <w:rFonts w:ascii="Calibri" w:hAnsi="Calibri" w:cs="Calibri"/>
          <w:sz w:val="21"/>
          <w:szCs w:val="21"/>
        </w:rPr>
        <w:t xml:space="preserve"> </w:t>
      </w:r>
      <w:r w:rsidR="002B1A96" w:rsidRPr="008E6933">
        <w:rPr>
          <w:rFonts w:ascii="Calibri" w:hAnsi="Calibri" w:cs="Calibri"/>
          <w:sz w:val="21"/>
          <w:szCs w:val="21"/>
        </w:rPr>
        <w:t>investment</w:t>
      </w:r>
      <w:r w:rsidR="005E4163" w:rsidRPr="008E6933">
        <w:rPr>
          <w:rFonts w:ascii="Calibri" w:hAnsi="Calibri" w:cs="Calibri"/>
          <w:sz w:val="21"/>
          <w:szCs w:val="21"/>
        </w:rPr>
        <w:t xml:space="preserve"> vehicles</w:t>
      </w:r>
      <w:r w:rsidR="00E73881" w:rsidRPr="008E6933">
        <w:rPr>
          <w:rFonts w:ascii="Calibri" w:hAnsi="Calibri" w:cs="Calibri"/>
          <w:sz w:val="21"/>
          <w:szCs w:val="21"/>
        </w:rPr>
        <w:t>)</w:t>
      </w:r>
      <w:r w:rsidR="002B1A96" w:rsidRPr="008E6933">
        <w:rPr>
          <w:rFonts w:ascii="Calibri" w:hAnsi="Calibri" w:cs="Calibri"/>
          <w:sz w:val="21"/>
          <w:szCs w:val="21"/>
        </w:rPr>
        <w:t xml:space="preserve"> for renewable energy projects</w:t>
      </w:r>
      <w:r w:rsidR="00BD4823" w:rsidRPr="008E6933">
        <w:rPr>
          <w:rFonts w:ascii="Calibri" w:hAnsi="Calibri" w:cs="Calibri"/>
          <w:sz w:val="21"/>
          <w:szCs w:val="21"/>
        </w:rPr>
        <w:t xml:space="preserve"> (</w:t>
      </w:r>
      <w:proofErr w:type="gramStart"/>
      <w:r w:rsidR="00C83E69" w:rsidRPr="008E6933">
        <w:rPr>
          <w:rFonts w:ascii="Calibri" w:hAnsi="Calibri" w:cs="Calibri"/>
          <w:sz w:val="21"/>
          <w:szCs w:val="21"/>
        </w:rPr>
        <w:t>e.g</w:t>
      </w:r>
      <w:proofErr w:type="gramEnd"/>
      <w:r w:rsidR="00C83E69" w:rsidRPr="008E6933">
        <w:rPr>
          <w:rFonts w:ascii="Calibri" w:hAnsi="Calibri" w:cs="Calibri"/>
          <w:sz w:val="21"/>
          <w:szCs w:val="21"/>
        </w:rPr>
        <w:t xml:space="preserve">. </w:t>
      </w:r>
      <w:r w:rsidR="009104CD" w:rsidRPr="008E6933">
        <w:rPr>
          <w:rFonts w:ascii="Calibri" w:hAnsi="Calibri" w:cs="Calibri"/>
          <w:sz w:val="21"/>
          <w:szCs w:val="21"/>
        </w:rPr>
        <w:t xml:space="preserve">CPI, </w:t>
      </w:r>
      <w:r w:rsidR="00BD4823" w:rsidRPr="008E6933">
        <w:rPr>
          <w:rFonts w:ascii="Calibri" w:hAnsi="Calibri" w:cs="Calibri"/>
          <w:sz w:val="21"/>
          <w:szCs w:val="21"/>
        </w:rPr>
        <w:t xml:space="preserve">2016; </w:t>
      </w:r>
      <w:r w:rsidR="009104CD" w:rsidRPr="008E6933">
        <w:rPr>
          <w:rFonts w:ascii="Calibri" w:hAnsi="Calibri" w:cs="Calibri"/>
          <w:sz w:val="21"/>
          <w:szCs w:val="21"/>
        </w:rPr>
        <w:t>2017</w:t>
      </w:r>
      <w:r w:rsidR="005E4163" w:rsidRPr="008E6933">
        <w:rPr>
          <w:rFonts w:ascii="Calibri" w:hAnsi="Calibri" w:cs="Calibri"/>
          <w:sz w:val="21"/>
          <w:szCs w:val="21"/>
        </w:rPr>
        <w:t>)</w:t>
      </w:r>
      <w:r w:rsidR="004C1B82" w:rsidRPr="008E6933">
        <w:rPr>
          <w:rFonts w:ascii="Calibri" w:hAnsi="Calibri" w:cs="Calibri"/>
          <w:sz w:val="21"/>
          <w:szCs w:val="21"/>
        </w:rPr>
        <w:t xml:space="preserve"> </w:t>
      </w:r>
      <w:r w:rsidR="005E4163" w:rsidRPr="008E6933">
        <w:rPr>
          <w:rFonts w:ascii="Calibri" w:hAnsi="Calibri" w:cs="Calibri"/>
          <w:sz w:val="21"/>
          <w:szCs w:val="21"/>
        </w:rPr>
        <w:t>as a</w:t>
      </w:r>
      <w:r w:rsidR="00E90A57">
        <w:rPr>
          <w:rFonts w:ascii="Calibri" w:hAnsi="Calibri" w:cs="Calibri"/>
          <w:sz w:val="21"/>
          <w:szCs w:val="21"/>
        </w:rPr>
        <w:t xml:space="preserve"> </w:t>
      </w:r>
      <w:r w:rsidR="004C1B82" w:rsidRPr="008E6933">
        <w:rPr>
          <w:rFonts w:ascii="Calibri" w:hAnsi="Calibri" w:cs="Calibri"/>
          <w:sz w:val="21"/>
          <w:szCs w:val="21"/>
        </w:rPr>
        <w:t xml:space="preserve">promising </w:t>
      </w:r>
      <w:r w:rsidR="00FD360A" w:rsidRPr="008E6933">
        <w:rPr>
          <w:rFonts w:ascii="Calibri" w:hAnsi="Calibri" w:cs="Calibri"/>
          <w:sz w:val="21"/>
          <w:szCs w:val="21"/>
        </w:rPr>
        <w:t>near</w:t>
      </w:r>
      <w:r w:rsidR="0007548B" w:rsidRPr="008E6933">
        <w:rPr>
          <w:rFonts w:ascii="Calibri" w:hAnsi="Calibri" w:cs="Calibri"/>
          <w:sz w:val="21"/>
          <w:szCs w:val="21"/>
        </w:rPr>
        <w:t xml:space="preserve">-term </w:t>
      </w:r>
      <w:r w:rsidR="005E4163" w:rsidRPr="008E6933">
        <w:rPr>
          <w:rFonts w:ascii="Calibri" w:hAnsi="Calibri" w:cs="Calibri"/>
          <w:sz w:val="21"/>
          <w:szCs w:val="21"/>
        </w:rPr>
        <w:t xml:space="preserve">solution </w:t>
      </w:r>
      <w:r w:rsidR="005A4887" w:rsidRPr="008E6933">
        <w:rPr>
          <w:rFonts w:eastAsia="Times New Roman"/>
          <w:sz w:val="21"/>
          <w:szCs w:val="21"/>
        </w:rPr>
        <w:t>(</w:t>
      </w:r>
      <w:r w:rsidR="009907C2" w:rsidRPr="008E6933">
        <w:rPr>
          <w:rFonts w:eastAsia="Times New Roman"/>
          <w:sz w:val="21"/>
          <w:szCs w:val="21"/>
        </w:rPr>
        <w:t xml:space="preserve">see also </w:t>
      </w:r>
      <w:r w:rsidR="005A4887" w:rsidRPr="008E6933">
        <w:rPr>
          <w:rFonts w:eastAsia="Times New Roman"/>
          <w:sz w:val="21"/>
          <w:szCs w:val="21"/>
        </w:rPr>
        <w:t>OECD, 2017</w:t>
      </w:r>
      <w:r w:rsidR="00EA64C0" w:rsidRPr="008E6933">
        <w:rPr>
          <w:rFonts w:eastAsia="Times New Roman"/>
          <w:sz w:val="21"/>
          <w:szCs w:val="21"/>
        </w:rPr>
        <w:t xml:space="preserve">; </w:t>
      </w:r>
      <w:proofErr w:type="spellStart"/>
      <w:r w:rsidR="00EA64C0" w:rsidRPr="008E6933">
        <w:rPr>
          <w:rFonts w:ascii="Calibri" w:hAnsi="Calibri" w:cs="Calibri"/>
          <w:sz w:val="21"/>
          <w:szCs w:val="21"/>
        </w:rPr>
        <w:t>McInerney</w:t>
      </w:r>
      <w:proofErr w:type="spellEnd"/>
      <w:r w:rsidR="00EA64C0" w:rsidRPr="008E6933">
        <w:rPr>
          <w:rFonts w:ascii="Calibri" w:hAnsi="Calibri" w:cs="Calibri"/>
          <w:sz w:val="21"/>
          <w:szCs w:val="21"/>
        </w:rPr>
        <w:t xml:space="preserve"> &amp; Bunn, 2019</w:t>
      </w:r>
      <w:r w:rsidR="00DB4766" w:rsidRPr="008E6933">
        <w:rPr>
          <w:rFonts w:ascii="Calibri" w:hAnsi="Calibri" w:cs="Calibri"/>
          <w:sz w:val="21"/>
          <w:szCs w:val="21"/>
        </w:rPr>
        <w:t xml:space="preserve">; Chiesa &amp; </w:t>
      </w:r>
      <w:proofErr w:type="spellStart"/>
      <w:r w:rsidR="00DB4766" w:rsidRPr="008E6933">
        <w:rPr>
          <w:rFonts w:ascii="Calibri" w:hAnsi="Calibri" w:cs="Calibri"/>
          <w:sz w:val="21"/>
          <w:szCs w:val="21"/>
        </w:rPr>
        <w:t>Barua</w:t>
      </w:r>
      <w:proofErr w:type="spellEnd"/>
      <w:r w:rsidR="00DB4766" w:rsidRPr="008E6933">
        <w:rPr>
          <w:rFonts w:ascii="Calibri" w:hAnsi="Calibri" w:cs="Calibri"/>
          <w:sz w:val="21"/>
          <w:szCs w:val="21"/>
        </w:rPr>
        <w:t>, 2019</w:t>
      </w:r>
      <w:r w:rsidR="00C72770" w:rsidRPr="008E6933">
        <w:rPr>
          <w:rFonts w:ascii="Calibri" w:hAnsi="Calibri" w:cs="Calibri"/>
          <w:sz w:val="21"/>
          <w:szCs w:val="21"/>
        </w:rPr>
        <w:t xml:space="preserve">; </w:t>
      </w:r>
      <w:proofErr w:type="spellStart"/>
      <w:r w:rsidR="00C72770" w:rsidRPr="008E6933">
        <w:rPr>
          <w:rFonts w:ascii="Calibri" w:hAnsi="Calibri" w:cs="Calibri"/>
          <w:sz w:val="21"/>
          <w:szCs w:val="21"/>
        </w:rPr>
        <w:t>Agliardi</w:t>
      </w:r>
      <w:proofErr w:type="spellEnd"/>
      <w:r w:rsidR="00C72770" w:rsidRPr="008E6933">
        <w:rPr>
          <w:rFonts w:ascii="Calibri" w:hAnsi="Calibri" w:cs="Calibri"/>
          <w:sz w:val="21"/>
          <w:szCs w:val="21"/>
        </w:rPr>
        <w:t xml:space="preserve"> &amp; </w:t>
      </w:r>
      <w:proofErr w:type="spellStart"/>
      <w:r w:rsidR="00C72770" w:rsidRPr="008E6933">
        <w:rPr>
          <w:rFonts w:ascii="Calibri" w:hAnsi="Calibri" w:cs="Calibri"/>
          <w:sz w:val="21"/>
          <w:szCs w:val="21"/>
        </w:rPr>
        <w:t>Agliardi</w:t>
      </w:r>
      <w:proofErr w:type="spellEnd"/>
      <w:r w:rsidR="00C72770" w:rsidRPr="008E6933">
        <w:rPr>
          <w:rFonts w:ascii="Calibri" w:hAnsi="Calibri" w:cs="Calibri"/>
          <w:sz w:val="21"/>
          <w:szCs w:val="21"/>
        </w:rPr>
        <w:t>, 2019</w:t>
      </w:r>
      <w:r w:rsidR="005A4887" w:rsidRPr="008E6933">
        <w:rPr>
          <w:rFonts w:ascii="Calibri" w:eastAsia="Times New Roman" w:hAnsi="Calibri" w:cs="Calibri"/>
          <w:sz w:val="21"/>
          <w:szCs w:val="21"/>
        </w:rPr>
        <w:t>)</w:t>
      </w:r>
      <w:r w:rsidR="009907C2" w:rsidRPr="008E6933">
        <w:rPr>
          <w:rStyle w:val="FootnoteReference"/>
          <w:rFonts w:ascii="Calibri" w:hAnsi="Calibri" w:cs="Calibri"/>
          <w:sz w:val="21"/>
          <w:szCs w:val="21"/>
        </w:rPr>
        <w:footnoteReference w:id="27"/>
      </w:r>
      <w:r w:rsidR="005A4887" w:rsidRPr="008E6933">
        <w:rPr>
          <w:rFonts w:eastAsia="Times New Roman"/>
          <w:sz w:val="21"/>
          <w:szCs w:val="21"/>
        </w:rPr>
        <w:t xml:space="preserve">. </w:t>
      </w:r>
      <w:r w:rsidR="00214BC1">
        <w:rPr>
          <w:rFonts w:eastAsia="Times New Roman"/>
          <w:sz w:val="21"/>
          <w:szCs w:val="21"/>
        </w:rPr>
        <w:t xml:space="preserve">However, while our suggestion </w:t>
      </w:r>
      <w:proofErr w:type="gramStart"/>
      <w:r w:rsidR="00214BC1">
        <w:rPr>
          <w:rFonts w:eastAsia="Times New Roman"/>
          <w:sz w:val="21"/>
          <w:szCs w:val="21"/>
        </w:rPr>
        <w:t>is based</w:t>
      </w:r>
      <w:proofErr w:type="gramEnd"/>
      <w:r w:rsidR="00214BC1">
        <w:rPr>
          <w:rFonts w:eastAsia="Times New Roman"/>
          <w:sz w:val="21"/>
          <w:szCs w:val="21"/>
        </w:rPr>
        <w:t xml:space="preserve"> on the considerations introduced next, we underline that </w:t>
      </w:r>
      <w:r w:rsidR="00E90A57">
        <w:rPr>
          <w:rFonts w:eastAsia="Times New Roman"/>
          <w:sz w:val="21"/>
          <w:szCs w:val="21"/>
        </w:rPr>
        <w:t>additional</w:t>
      </w:r>
      <w:r w:rsidR="00214BC1">
        <w:rPr>
          <w:rFonts w:eastAsia="Times New Roman"/>
          <w:sz w:val="21"/>
          <w:szCs w:val="21"/>
        </w:rPr>
        <w:t xml:space="preserve"> </w:t>
      </w:r>
      <w:r w:rsidR="00E90A57">
        <w:rPr>
          <w:rFonts w:eastAsia="Times New Roman"/>
          <w:sz w:val="21"/>
          <w:szCs w:val="21"/>
        </w:rPr>
        <w:t>research</w:t>
      </w:r>
      <w:r w:rsidR="00214BC1">
        <w:rPr>
          <w:rFonts w:eastAsia="Times New Roman"/>
          <w:sz w:val="21"/>
          <w:szCs w:val="21"/>
        </w:rPr>
        <w:t xml:space="preserve"> </w:t>
      </w:r>
      <w:r w:rsidR="00E90A57">
        <w:rPr>
          <w:rFonts w:eastAsia="Times New Roman"/>
          <w:sz w:val="21"/>
          <w:szCs w:val="21"/>
        </w:rPr>
        <w:t>is</w:t>
      </w:r>
      <w:r w:rsidR="00214BC1">
        <w:rPr>
          <w:rFonts w:eastAsia="Times New Roman"/>
          <w:sz w:val="21"/>
          <w:szCs w:val="21"/>
        </w:rPr>
        <w:t xml:space="preserve"> </w:t>
      </w:r>
      <w:r w:rsidR="00E90A57">
        <w:rPr>
          <w:rFonts w:eastAsia="Times New Roman"/>
          <w:sz w:val="21"/>
          <w:szCs w:val="21"/>
        </w:rPr>
        <w:t xml:space="preserve">required to investigate alternatives </w:t>
      </w:r>
      <w:r w:rsidR="00214BC1">
        <w:rPr>
          <w:rFonts w:eastAsia="Times New Roman"/>
          <w:sz w:val="21"/>
          <w:szCs w:val="21"/>
        </w:rPr>
        <w:t xml:space="preserve">and potential adverse impacts </w:t>
      </w:r>
      <w:r w:rsidR="00E90A57">
        <w:rPr>
          <w:rFonts w:eastAsia="Times New Roman"/>
          <w:sz w:val="21"/>
          <w:szCs w:val="21"/>
        </w:rPr>
        <w:t>of</w:t>
      </w:r>
      <w:r w:rsidR="00214BC1">
        <w:rPr>
          <w:rFonts w:eastAsia="Times New Roman"/>
          <w:sz w:val="21"/>
          <w:szCs w:val="21"/>
        </w:rPr>
        <w:t xml:space="preserve"> this </w:t>
      </w:r>
      <w:r w:rsidR="00E90A57">
        <w:rPr>
          <w:rFonts w:eastAsia="Times New Roman"/>
          <w:sz w:val="21"/>
          <w:szCs w:val="21"/>
        </w:rPr>
        <w:t>solution</w:t>
      </w:r>
      <w:r w:rsidR="00077985">
        <w:rPr>
          <w:rFonts w:eastAsia="Times New Roman"/>
          <w:sz w:val="21"/>
          <w:szCs w:val="21"/>
        </w:rPr>
        <w:t xml:space="preserve">. </w:t>
      </w:r>
    </w:p>
    <w:p w14:paraId="32CE1FC9" w14:textId="1DA9186B" w:rsidR="001D19D6" w:rsidRPr="008E6933" w:rsidRDefault="00214BC1" w:rsidP="00ED11FA">
      <w:pPr>
        <w:spacing w:line="276" w:lineRule="auto"/>
        <w:rPr>
          <w:rFonts w:ascii="Calibri" w:hAnsi="Calibri" w:cs="Calibri"/>
          <w:sz w:val="21"/>
          <w:szCs w:val="21"/>
        </w:rPr>
      </w:pPr>
      <w:r>
        <w:rPr>
          <w:rFonts w:ascii="Calibri" w:hAnsi="Calibri" w:cs="Calibri"/>
          <w:sz w:val="21"/>
          <w:szCs w:val="21"/>
        </w:rPr>
        <w:t xml:space="preserve">We consider the increased issuance of green </w:t>
      </w:r>
      <w:r w:rsidR="00B21192">
        <w:rPr>
          <w:rFonts w:ascii="Calibri" w:hAnsi="Calibri" w:cs="Calibri"/>
          <w:sz w:val="21"/>
          <w:szCs w:val="21"/>
        </w:rPr>
        <w:t>bonds</w:t>
      </w:r>
      <w:r>
        <w:rPr>
          <w:rFonts w:ascii="Calibri" w:hAnsi="Calibri" w:cs="Calibri"/>
          <w:sz w:val="21"/>
          <w:szCs w:val="21"/>
        </w:rPr>
        <w:t xml:space="preserve"> as a relevant short-term solution as</w:t>
      </w:r>
      <w:r w:rsidR="006B33B8" w:rsidRPr="008E6933">
        <w:rPr>
          <w:rFonts w:ascii="Calibri" w:hAnsi="Calibri" w:cs="Calibri"/>
          <w:sz w:val="21"/>
          <w:szCs w:val="21"/>
        </w:rPr>
        <w:t xml:space="preserve"> </w:t>
      </w:r>
      <w:r w:rsidR="00E90A57">
        <w:rPr>
          <w:rFonts w:ascii="Calibri" w:hAnsi="Calibri" w:cs="Calibri"/>
          <w:sz w:val="21"/>
          <w:szCs w:val="21"/>
        </w:rPr>
        <w:t>it</w:t>
      </w:r>
      <w:r>
        <w:rPr>
          <w:rFonts w:ascii="Calibri" w:hAnsi="Calibri" w:cs="Calibri"/>
          <w:sz w:val="21"/>
          <w:szCs w:val="21"/>
        </w:rPr>
        <w:t xml:space="preserve"> </w:t>
      </w:r>
      <w:r w:rsidR="00AE0B07" w:rsidRPr="008E6933">
        <w:rPr>
          <w:rFonts w:ascii="Calibri" w:hAnsi="Calibri" w:cs="Calibri"/>
          <w:sz w:val="21"/>
          <w:szCs w:val="21"/>
        </w:rPr>
        <w:t>addresses</w:t>
      </w:r>
      <w:r w:rsidR="008E6933" w:rsidRPr="008E6933">
        <w:rPr>
          <w:rFonts w:ascii="Calibri" w:hAnsi="Calibri" w:cs="Calibri"/>
          <w:sz w:val="21"/>
          <w:szCs w:val="21"/>
        </w:rPr>
        <w:t xml:space="preserve"> (at least to some extent)</w:t>
      </w:r>
      <w:r w:rsidR="00BD4823" w:rsidRPr="008E6933">
        <w:rPr>
          <w:rFonts w:ascii="Calibri" w:hAnsi="Calibri" w:cs="Calibri"/>
          <w:sz w:val="21"/>
          <w:szCs w:val="21"/>
        </w:rPr>
        <w:t xml:space="preserve"> various barriers topics, including the most important barriers</w:t>
      </w:r>
      <w:r w:rsidR="001D19D6" w:rsidRPr="008E6933">
        <w:rPr>
          <w:rFonts w:ascii="Calibri" w:hAnsi="Calibri" w:cs="Calibri"/>
          <w:sz w:val="21"/>
          <w:szCs w:val="21"/>
        </w:rPr>
        <w:t xml:space="preserve">, at the same time. In addition, </w:t>
      </w:r>
      <w:r w:rsidR="009B29DB" w:rsidRPr="008E6933">
        <w:rPr>
          <w:rFonts w:ascii="Calibri" w:hAnsi="Calibri" w:cs="Calibri"/>
          <w:sz w:val="21"/>
          <w:szCs w:val="21"/>
        </w:rPr>
        <w:t xml:space="preserve">the issuance of </w:t>
      </w:r>
      <w:r w:rsidR="001D19D6" w:rsidRPr="008E6933">
        <w:rPr>
          <w:rFonts w:ascii="Calibri" w:hAnsi="Calibri" w:cs="Calibri"/>
          <w:sz w:val="21"/>
          <w:szCs w:val="21"/>
        </w:rPr>
        <w:t>green bonds do</w:t>
      </w:r>
      <w:r w:rsidR="00D45709" w:rsidRPr="008E6933">
        <w:rPr>
          <w:rFonts w:ascii="Calibri" w:hAnsi="Calibri" w:cs="Calibri"/>
          <w:sz w:val="21"/>
          <w:szCs w:val="21"/>
        </w:rPr>
        <w:t>es</w:t>
      </w:r>
      <w:r w:rsidR="001D19D6" w:rsidRPr="008E6933">
        <w:rPr>
          <w:rFonts w:ascii="Calibri" w:hAnsi="Calibri" w:cs="Calibri"/>
          <w:sz w:val="21"/>
          <w:szCs w:val="21"/>
        </w:rPr>
        <w:t xml:space="preserve"> not </w:t>
      </w:r>
      <w:r w:rsidR="00067337" w:rsidRPr="008E6933">
        <w:rPr>
          <w:rFonts w:ascii="Calibri" w:hAnsi="Calibri" w:cs="Calibri"/>
          <w:sz w:val="21"/>
          <w:szCs w:val="21"/>
        </w:rPr>
        <w:t>imply</w:t>
      </w:r>
      <w:r w:rsidR="001D19D6" w:rsidRPr="008E6933">
        <w:rPr>
          <w:rFonts w:ascii="Calibri" w:hAnsi="Calibri" w:cs="Calibri"/>
          <w:sz w:val="21"/>
          <w:szCs w:val="21"/>
        </w:rPr>
        <w:t xml:space="preserve"> that the government</w:t>
      </w:r>
      <w:r w:rsidR="00067337" w:rsidRPr="008E6933">
        <w:rPr>
          <w:rFonts w:ascii="Calibri" w:hAnsi="Calibri" w:cs="Calibri"/>
          <w:sz w:val="21"/>
          <w:szCs w:val="21"/>
        </w:rPr>
        <w:t xml:space="preserve"> needs to</w:t>
      </w:r>
      <w:r w:rsidR="001D19D6" w:rsidRPr="008E6933">
        <w:rPr>
          <w:rFonts w:ascii="Calibri" w:hAnsi="Calibri" w:cs="Calibri"/>
          <w:sz w:val="21"/>
          <w:szCs w:val="21"/>
        </w:rPr>
        <w:t xml:space="preserve"> introduce further financial incentives, which would add</w:t>
      </w:r>
      <w:r w:rsidR="009B29DB" w:rsidRPr="008E6933">
        <w:rPr>
          <w:rFonts w:ascii="Calibri" w:hAnsi="Calibri" w:cs="Calibri"/>
          <w:sz w:val="21"/>
          <w:szCs w:val="21"/>
        </w:rPr>
        <w:t xml:space="preserve"> to</w:t>
      </w:r>
      <w:r w:rsidR="001D19D6" w:rsidRPr="008E6933">
        <w:rPr>
          <w:rFonts w:ascii="Calibri" w:hAnsi="Calibri" w:cs="Calibri"/>
          <w:sz w:val="21"/>
          <w:szCs w:val="21"/>
        </w:rPr>
        <w:t xml:space="preserve"> the direct cost of </w:t>
      </w:r>
      <w:r w:rsidR="009B29DB" w:rsidRPr="008E6933">
        <w:rPr>
          <w:rFonts w:ascii="Calibri" w:hAnsi="Calibri" w:cs="Calibri"/>
          <w:sz w:val="21"/>
          <w:szCs w:val="21"/>
        </w:rPr>
        <w:t>a</w:t>
      </w:r>
      <w:r w:rsidR="001D19D6" w:rsidRPr="008E6933">
        <w:rPr>
          <w:rFonts w:ascii="Calibri" w:hAnsi="Calibri" w:cs="Calibri"/>
          <w:sz w:val="21"/>
          <w:szCs w:val="21"/>
        </w:rPr>
        <w:t xml:space="preserve"> green </w:t>
      </w:r>
      <w:r w:rsidR="009B29DB" w:rsidRPr="008E6933">
        <w:rPr>
          <w:rFonts w:ascii="Calibri" w:hAnsi="Calibri" w:cs="Calibri"/>
          <w:sz w:val="21"/>
          <w:szCs w:val="21"/>
        </w:rPr>
        <w:t xml:space="preserve">energy </w:t>
      </w:r>
      <w:r w:rsidR="001D19D6" w:rsidRPr="008E6933">
        <w:rPr>
          <w:rFonts w:ascii="Calibri" w:hAnsi="Calibri" w:cs="Calibri"/>
          <w:sz w:val="21"/>
          <w:szCs w:val="21"/>
        </w:rPr>
        <w:t>transition</w:t>
      </w:r>
      <w:r w:rsidR="00067337" w:rsidRPr="008E6933">
        <w:rPr>
          <w:rFonts w:ascii="Calibri" w:hAnsi="Calibri" w:cs="Calibri"/>
          <w:sz w:val="21"/>
          <w:szCs w:val="21"/>
        </w:rPr>
        <w:t xml:space="preserve">. Finally, </w:t>
      </w:r>
      <w:r>
        <w:rPr>
          <w:rFonts w:ascii="Calibri" w:hAnsi="Calibri" w:cs="Calibri"/>
          <w:sz w:val="21"/>
          <w:szCs w:val="21"/>
        </w:rPr>
        <w:t>it seems realistic that an</w:t>
      </w:r>
      <w:r w:rsidRPr="008E6933">
        <w:rPr>
          <w:rFonts w:ascii="Calibri" w:hAnsi="Calibri" w:cs="Calibri"/>
          <w:sz w:val="21"/>
          <w:szCs w:val="21"/>
        </w:rPr>
        <w:t xml:space="preserve"> </w:t>
      </w:r>
      <w:r w:rsidR="00067337" w:rsidRPr="008E6933">
        <w:rPr>
          <w:rFonts w:ascii="Calibri" w:hAnsi="Calibri" w:cs="Calibri"/>
          <w:sz w:val="21"/>
          <w:szCs w:val="21"/>
        </w:rPr>
        <w:t>increase in the issuance of green bonds</w:t>
      </w:r>
      <w:r w:rsidR="00B21192">
        <w:rPr>
          <w:rFonts w:ascii="Calibri" w:hAnsi="Calibri" w:cs="Calibri"/>
          <w:sz w:val="21"/>
          <w:szCs w:val="21"/>
        </w:rPr>
        <w:t>,</w:t>
      </w:r>
      <w:r w:rsidR="00067337" w:rsidRPr="008E6933">
        <w:rPr>
          <w:rFonts w:ascii="Calibri" w:hAnsi="Calibri" w:cs="Calibri"/>
          <w:sz w:val="21"/>
          <w:szCs w:val="21"/>
        </w:rPr>
        <w:t xml:space="preserve"> or other </w:t>
      </w:r>
      <w:r w:rsidR="00B21192">
        <w:rPr>
          <w:rFonts w:ascii="Calibri" w:hAnsi="Calibri" w:cs="Calibri"/>
          <w:sz w:val="21"/>
          <w:szCs w:val="21"/>
        </w:rPr>
        <w:t xml:space="preserve">green </w:t>
      </w:r>
      <w:r w:rsidR="00067337" w:rsidRPr="008E6933">
        <w:rPr>
          <w:rFonts w:ascii="Calibri" w:hAnsi="Calibri" w:cs="Calibri"/>
          <w:sz w:val="21"/>
          <w:szCs w:val="21"/>
        </w:rPr>
        <w:t>investment vehicles</w:t>
      </w:r>
      <w:r w:rsidR="00B21192">
        <w:rPr>
          <w:rFonts w:ascii="Calibri" w:hAnsi="Calibri" w:cs="Calibri"/>
          <w:sz w:val="21"/>
          <w:szCs w:val="21"/>
        </w:rPr>
        <w:t>,</w:t>
      </w:r>
      <w:r w:rsidR="004D00B4" w:rsidRPr="008E6933">
        <w:rPr>
          <w:rFonts w:ascii="Calibri" w:hAnsi="Calibri" w:cs="Calibri"/>
          <w:sz w:val="21"/>
          <w:szCs w:val="21"/>
        </w:rPr>
        <w:t xml:space="preserve"> </w:t>
      </w:r>
      <w:proofErr w:type="gramStart"/>
      <w:r w:rsidR="00D45709" w:rsidRPr="008E6933">
        <w:rPr>
          <w:rFonts w:ascii="Calibri" w:hAnsi="Calibri" w:cs="Calibri"/>
          <w:sz w:val="21"/>
          <w:szCs w:val="21"/>
        </w:rPr>
        <w:t>can</w:t>
      </w:r>
      <w:r>
        <w:rPr>
          <w:rFonts w:ascii="Calibri" w:hAnsi="Calibri" w:cs="Calibri"/>
          <w:sz w:val="21"/>
          <w:szCs w:val="21"/>
        </w:rPr>
        <w:t xml:space="preserve"> </w:t>
      </w:r>
      <w:r w:rsidR="00E90A57">
        <w:rPr>
          <w:rFonts w:ascii="Calibri" w:hAnsi="Calibri" w:cs="Calibri"/>
          <w:sz w:val="21"/>
          <w:szCs w:val="21"/>
        </w:rPr>
        <w:t xml:space="preserve">actually </w:t>
      </w:r>
      <w:r w:rsidR="00D45709" w:rsidRPr="008E6933">
        <w:rPr>
          <w:rFonts w:ascii="Calibri" w:hAnsi="Calibri" w:cs="Calibri"/>
          <w:sz w:val="21"/>
          <w:szCs w:val="21"/>
        </w:rPr>
        <w:t>be implemented</w:t>
      </w:r>
      <w:proofErr w:type="gramEnd"/>
      <w:r w:rsidR="00D45709" w:rsidRPr="008E6933">
        <w:rPr>
          <w:rFonts w:ascii="Calibri" w:hAnsi="Calibri" w:cs="Calibri"/>
          <w:sz w:val="21"/>
          <w:szCs w:val="21"/>
        </w:rPr>
        <w:t xml:space="preserve"> in a relatively short time horizon. </w:t>
      </w:r>
      <w:r w:rsidR="00077985">
        <w:rPr>
          <w:rFonts w:ascii="Calibri" w:hAnsi="Calibri" w:cs="Calibri"/>
          <w:sz w:val="21"/>
          <w:szCs w:val="21"/>
        </w:rPr>
        <w:t xml:space="preserve">This is because this solution </w:t>
      </w:r>
      <w:r w:rsidR="001D0113">
        <w:rPr>
          <w:rFonts w:ascii="Calibri" w:hAnsi="Calibri" w:cs="Calibri"/>
          <w:sz w:val="21"/>
          <w:szCs w:val="21"/>
        </w:rPr>
        <w:t xml:space="preserve">is compatible with the current investment culture and </w:t>
      </w:r>
      <w:r w:rsidR="00CB0646">
        <w:rPr>
          <w:rFonts w:ascii="Calibri" w:hAnsi="Calibri" w:cs="Calibri"/>
          <w:sz w:val="21"/>
          <w:szCs w:val="21"/>
        </w:rPr>
        <w:t>does</w:t>
      </w:r>
      <w:r w:rsidR="001D0113">
        <w:rPr>
          <w:rFonts w:ascii="Calibri" w:hAnsi="Calibri" w:cs="Calibri"/>
          <w:sz w:val="21"/>
          <w:szCs w:val="21"/>
        </w:rPr>
        <w:t xml:space="preserve"> not</w:t>
      </w:r>
      <w:r w:rsidR="00077985">
        <w:rPr>
          <w:rFonts w:ascii="Calibri" w:hAnsi="Calibri" w:cs="Calibri"/>
          <w:sz w:val="21"/>
          <w:szCs w:val="21"/>
        </w:rPr>
        <w:t xml:space="preserve"> require any major regulatory changes</w:t>
      </w:r>
      <w:r w:rsidR="00CB0646">
        <w:rPr>
          <w:rFonts w:ascii="Calibri" w:hAnsi="Calibri" w:cs="Calibri"/>
          <w:sz w:val="21"/>
          <w:szCs w:val="21"/>
        </w:rPr>
        <w:t xml:space="preserve">. </w:t>
      </w:r>
    </w:p>
    <w:p w14:paraId="58FD361E" w14:textId="7B1A716C" w:rsidR="00ED11FA" w:rsidRPr="008E6933" w:rsidRDefault="00D45709" w:rsidP="00C72770">
      <w:pPr>
        <w:spacing w:line="276" w:lineRule="auto"/>
        <w:rPr>
          <w:rFonts w:ascii="Calibri" w:hAnsi="Calibri" w:cs="Calibri"/>
          <w:sz w:val="21"/>
          <w:szCs w:val="21"/>
        </w:rPr>
      </w:pPr>
      <w:r w:rsidRPr="008E6933">
        <w:rPr>
          <w:rFonts w:ascii="Calibri" w:hAnsi="Calibri" w:cs="Calibri"/>
          <w:sz w:val="21"/>
          <w:szCs w:val="21"/>
        </w:rPr>
        <w:t xml:space="preserve">In the following, we describe how green bonds contribute to solve the most important green investment barrier topics. </w:t>
      </w:r>
      <w:r w:rsidR="00B778AE" w:rsidRPr="008E6933">
        <w:rPr>
          <w:rFonts w:ascii="Calibri" w:hAnsi="Calibri" w:cs="Calibri"/>
          <w:sz w:val="21"/>
          <w:szCs w:val="21"/>
        </w:rPr>
        <w:t xml:space="preserve">However, this description holds for other green investment vehicles, </w:t>
      </w:r>
      <w:proofErr w:type="gramStart"/>
      <w:r w:rsidR="00B778AE" w:rsidRPr="008E6933">
        <w:rPr>
          <w:rFonts w:ascii="Calibri" w:hAnsi="Calibri" w:cs="Calibri"/>
          <w:sz w:val="21"/>
          <w:szCs w:val="21"/>
        </w:rPr>
        <w:t>to a large extent</w:t>
      </w:r>
      <w:proofErr w:type="gramEnd"/>
      <w:r w:rsidR="00B778AE" w:rsidRPr="008E6933">
        <w:rPr>
          <w:rFonts w:ascii="Calibri" w:hAnsi="Calibri" w:cs="Calibri"/>
          <w:sz w:val="21"/>
          <w:szCs w:val="21"/>
        </w:rPr>
        <w:t xml:space="preserve">, as well. </w:t>
      </w:r>
      <w:r w:rsidR="00BD4823" w:rsidRPr="008E6933">
        <w:rPr>
          <w:rFonts w:ascii="Calibri" w:hAnsi="Calibri" w:cs="Calibri"/>
          <w:sz w:val="21"/>
          <w:szCs w:val="21"/>
        </w:rPr>
        <w:t>First</w:t>
      </w:r>
      <w:r w:rsidR="00732E83" w:rsidRPr="008E6933">
        <w:rPr>
          <w:rFonts w:ascii="Calibri" w:hAnsi="Calibri" w:cs="Calibri"/>
          <w:sz w:val="21"/>
          <w:szCs w:val="21"/>
        </w:rPr>
        <w:t>ly</w:t>
      </w:r>
      <w:r w:rsidR="007C7585" w:rsidRPr="008E6933">
        <w:rPr>
          <w:rFonts w:ascii="Calibri" w:hAnsi="Calibri" w:cs="Calibri"/>
          <w:sz w:val="21"/>
          <w:szCs w:val="21"/>
        </w:rPr>
        <w:t xml:space="preserve">, </w:t>
      </w:r>
      <w:r w:rsidR="004A670F" w:rsidRPr="008E6933">
        <w:rPr>
          <w:rFonts w:ascii="Calibri" w:hAnsi="Calibri" w:cs="Calibri"/>
          <w:sz w:val="21"/>
          <w:szCs w:val="21"/>
        </w:rPr>
        <w:t>an</w:t>
      </w:r>
      <w:r w:rsidR="007C7585" w:rsidRPr="008E6933">
        <w:rPr>
          <w:rFonts w:ascii="Calibri" w:hAnsi="Calibri" w:cs="Calibri"/>
          <w:sz w:val="21"/>
          <w:szCs w:val="21"/>
        </w:rPr>
        <w:t xml:space="preserve"> </w:t>
      </w:r>
      <w:r w:rsidR="00B778AE" w:rsidRPr="008E6933">
        <w:rPr>
          <w:rFonts w:ascii="Calibri" w:hAnsi="Calibri" w:cs="Calibri"/>
          <w:sz w:val="21"/>
          <w:szCs w:val="21"/>
        </w:rPr>
        <w:t>expansion in the issuance of</w:t>
      </w:r>
      <w:r w:rsidR="007C7585" w:rsidRPr="008E6933">
        <w:rPr>
          <w:rFonts w:ascii="Calibri" w:hAnsi="Calibri" w:cs="Calibri"/>
          <w:sz w:val="21"/>
          <w:szCs w:val="21"/>
        </w:rPr>
        <w:t xml:space="preserve"> green bonds </w:t>
      </w:r>
      <w:r w:rsidR="00B778AE" w:rsidRPr="008E6933">
        <w:rPr>
          <w:rFonts w:ascii="Calibri" w:hAnsi="Calibri" w:cs="Calibri"/>
          <w:sz w:val="21"/>
          <w:szCs w:val="21"/>
        </w:rPr>
        <w:t>does not</w:t>
      </w:r>
      <w:r w:rsidR="007C7585" w:rsidRPr="008E6933">
        <w:rPr>
          <w:rFonts w:ascii="Calibri" w:hAnsi="Calibri" w:cs="Calibri"/>
          <w:sz w:val="21"/>
          <w:szCs w:val="21"/>
        </w:rPr>
        <w:t xml:space="preserve"> </w:t>
      </w:r>
      <w:r w:rsidR="00B778AE" w:rsidRPr="008E6933">
        <w:rPr>
          <w:rFonts w:ascii="Calibri" w:hAnsi="Calibri" w:cs="Calibri"/>
          <w:sz w:val="21"/>
          <w:szCs w:val="21"/>
        </w:rPr>
        <w:t xml:space="preserve">directly </w:t>
      </w:r>
      <w:r w:rsidR="007C7585" w:rsidRPr="008E6933">
        <w:rPr>
          <w:rFonts w:ascii="Calibri" w:hAnsi="Calibri" w:cs="Calibri"/>
          <w:sz w:val="21"/>
          <w:szCs w:val="21"/>
        </w:rPr>
        <w:t xml:space="preserve">tackle the lack of a consistent </w:t>
      </w:r>
      <w:r w:rsidR="00C374B5" w:rsidRPr="008E6933">
        <w:rPr>
          <w:rFonts w:ascii="Calibri" w:hAnsi="Calibri" w:cs="Calibri"/>
          <w:sz w:val="21"/>
          <w:szCs w:val="21"/>
        </w:rPr>
        <w:t xml:space="preserve">and long-term policy framework and </w:t>
      </w:r>
      <w:r w:rsidR="00067337" w:rsidRPr="008E6933">
        <w:rPr>
          <w:rFonts w:ascii="Calibri" w:hAnsi="Calibri" w:cs="Calibri"/>
          <w:sz w:val="21"/>
          <w:szCs w:val="21"/>
        </w:rPr>
        <w:t xml:space="preserve">the </w:t>
      </w:r>
      <w:r w:rsidR="00C374B5" w:rsidRPr="008E6933">
        <w:rPr>
          <w:rFonts w:ascii="Calibri" w:hAnsi="Calibri" w:cs="Calibri"/>
          <w:sz w:val="21"/>
          <w:szCs w:val="21"/>
        </w:rPr>
        <w:t xml:space="preserve">perceived risks of </w:t>
      </w:r>
      <w:r w:rsidR="00ED11FA" w:rsidRPr="008E6933">
        <w:rPr>
          <w:rFonts w:ascii="Calibri" w:hAnsi="Calibri" w:cs="Calibri"/>
          <w:sz w:val="21"/>
          <w:szCs w:val="21"/>
        </w:rPr>
        <w:t xml:space="preserve">investors related to </w:t>
      </w:r>
      <w:r w:rsidR="00067337" w:rsidRPr="008E6933">
        <w:rPr>
          <w:rFonts w:ascii="Calibri" w:hAnsi="Calibri" w:cs="Calibri"/>
          <w:sz w:val="21"/>
          <w:szCs w:val="21"/>
        </w:rPr>
        <w:t>the lack of a clear policy direction</w:t>
      </w:r>
      <w:r w:rsidR="00C374B5" w:rsidRPr="008E6933">
        <w:rPr>
          <w:rFonts w:ascii="Calibri" w:hAnsi="Calibri" w:cs="Calibri"/>
          <w:sz w:val="21"/>
          <w:szCs w:val="21"/>
        </w:rPr>
        <w:t>. H</w:t>
      </w:r>
      <w:r w:rsidR="007C7585" w:rsidRPr="008E6933">
        <w:rPr>
          <w:rFonts w:ascii="Calibri" w:hAnsi="Calibri" w:cs="Calibri"/>
          <w:sz w:val="21"/>
          <w:szCs w:val="21"/>
        </w:rPr>
        <w:t>owever,</w:t>
      </w:r>
      <w:r w:rsidR="00C374B5" w:rsidRPr="008E6933">
        <w:rPr>
          <w:rFonts w:ascii="Calibri" w:hAnsi="Calibri" w:cs="Calibri"/>
          <w:sz w:val="21"/>
          <w:szCs w:val="21"/>
        </w:rPr>
        <w:t xml:space="preserve"> </w:t>
      </w:r>
      <w:r w:rsidR="00B778AE" w:rsidRPr="008E6933">
        <w:rPr>
          <w:rFonts w:ascii="Calibri" w:hAnsi="Calibri" w:cs="Calibri"/>
          <w:sz w:val="21"/>
          <w:szCs w:val="21"/>
        </w:rPr>
        <w:t>investors might nevertheless consider investing</w:t>
      </w:r>
      <w:r w:rsidR="007C7585" w:rsidRPr="008E6933">
        <w:rPr>
          <w:rFonts w:ascii="Calibri" w:hAnsi="Calibri" w:cs="Calibri"/>
          <w:sz w:val="21"/>
          <w:szCs w:val="21"/>
        </w:rPr>
        <w:t xml:space="preserve"> in </w:t>
      </w:r>
      <w:r w:rsidR="00C374B5" w:rsidRPr="008E6933">
        <w:rPr>
          <w:rFonts w:ascii="Calibri" w:hAnsi="Calibri" w:cs="Calibri"/>
          <w:sz w:val="21"/>
          <w:szCs w:val="21"/>
        </w:rPr>
        <w:t xml:space="preserve">green </w:t>
      </w:r>
      <w:r w:rsidR="007C7585" w:rsidRPr="008E6933">
        <w:rPr>
          <w:rFonts w:ascii="Calibri" w:hAnsi="Calibri" w:cs="Calibri"/>
          <w:sz w:val="21"/>
          <w:szCs w:val="21"/>
        </w:rPr>
        <w:t>bonds</w:t>
      </w:r>
      <w:r w:rsidR="00067337" w:rsidRPr="008E6933">
        <w:rPr>
          <w:rFonts w:ascii="Calibri" w:hAnsi="Calibri" w:cs="Calibri"/>
          <w:sz w:val="21"/>
          <w:szCs w:val="21"/>
        </w:rPr>
        <w:t xml:space="preserve"> </w:t>
      </w:r>
      <w:r w:rsidR="007C7585" w:rsidRPr="008E6933">
        <w:rPr>
          <w:rFonts w:ascii="Calibri" w:hAnsi="Calibri" w:cs="Calibri"/>
          <w:sz w:val="21"/>
          <w:szCs w:val="21"/>
        </w:rPr>
        <w:t xml:space="preserve">as they can sell </w:t>
      </w:r>
      <w:r w:rsidR="00B778AE" w:rsidRPr="008E6933">
        <w:rPr>
          <w:rFonts w:ascii="Calibri" w:hAnsi="Calibri" w:cs="Calibri"/>
          <w:sz w:val="21"/>
          <w:szCs w:val="21"/>
        </w:rPr>
        <w:t xml:space="preserve">these </w:t>
      </w:r>
      <w:r w:rsidR="00067337" w:rsidRPr="008E6933">
        <w:rPr>
          <w:rFonts w:ascii="Calibri" w:hAnsi="Calibri" w:cs="Calibri"/>
          <w:sz w:val="21"/>
          <w:szCs w:val="21"/>
        </w:rPr>
        <w:t>bonds</w:t>
      </w:r>
      <w:r w:rsidR="007C7585" w:rsidRPr="008E6933">
        <w:rPr>
          <w:rFonts w:ascii="Calibri" w:hAnsi="Calibri" w:cs="Calibri"/>
          <w:sz w:val="21"/>
          <w:szCs w:val="21"/>
        </w:rPr>
        <w:t xml:space="preserve"> if </w:t>
      </w:r>
      <w:r w:rsidR="00067337" w:rsidRPr="008E6933">
        <w:rPr>
          <w:rFonts w:ascii="Calibri" w:hAnsi="Calibri" w:cs="Calibri"/>
          <w:sz w:val="21"/>
          <w:szCs w:val="21"/>
        </w:rPr>
        <w:t>they wish</w:t>
      </w:r>
      <w:r w:rsidR="003F3E42" w:rsidRPr="008E6933">
        <w:rPr>
          <w:rFonts w:ascii="Calibri" w:hAnsi="Calibri" w:cs="Calibri"/>
          <w:sz w:val="21"/>
          <w:szCs w:val="21"/>
        </w:rPr>
        <w:t xml:space="preserve"> (given there is enough liquidity in the bonds market) as opposed to investments in energy infrastructure directly</w:t>
      </w:r>
      <w:r w:rsidR="007C7585" w:rsidRPr="008E6933">
        <w:rPr>
          <w:rFonts w:ascii="Calibri" w:hAnsi="Calibri" w:cs="Calibri"/>
          <w:sz w:val="21"/>
          <w:szCs w:val="21"/>
        </w:rPr>
        <w:t xml:space="preserve">. </w:t>
      </w:r>
      <w:r w:rsidR="00F14DBA" w:rsidRPr="008E6933">
        <w:rPr>
          <w:rFonts w:ascii="Calibri" w:hAnsi="Calibri" w:cs="Calibri"/>
          <w:sz w:val="21"/>
          <w:szCs w:val="21"/>
        </w:rPr>
        <w:t>Secondly</w:t>
      </w:r>
      <w:r w:rsidR="00AE6157" w:rsidRPr="008E6933">
        <w:rPr>
          <w:rFonts w:ascii="Calibri" w:hAnsi="Calibri" w:cs="Calibri"/>
          <w:sz w:val="21"/>
          <w:szCs w:val="21"/>
        </w:rPr>
        <w:t xml:space="preserve">, </w:t>
      </w:r>
      <w:r w:rsidR="00732E83" w:rsidRPr="008E6933">
        <w:rPr>
          <w:rFonts w:ascii="Calibri" w:hAnsi="Calibri" w:cs="Calibri"/>
          <w:sz w:val="21"/>
          <w:szCs w:val="21"/>
        </w:rPr>
        <w:t>t</w:t>
      </w:r>
      <w:r w:rsidR="00AE6157" w:rsidRPr="008E6933">
        <w:rPr>
          <w:rFonts w:ascii="Calibri" w:hAnsi="Calibri" w:cs="Calibri"/>
          <w:sz w:val="21"/>
          <w:szCs w:val="21"/>
        </w:rPr>
        <w:t>he introduction of green bonds</w:t>
      </w:r>
      <w:r w:rsidR="00D27574" w:rsidRPr="008E6933">
        <w:rPr>
          <w:rFonts w:ascii="Calibri" w:hAnsi="Calibri" w:cs="Calibri"/>
          <w:sz w:val="21"/>
          <w:szCs w:val="21"/>
        </w:rPr>
        <w:t xml:space="preserve"> does not</w:t>
      </w:r>
      <w:r w:rsidR="005C32D6" w:rsidRPr="008E6933">
        <w:rPr>
          <w:rFonts w:ascii="Calibri" w:hAnsi="Calibri" w:cs="Calibri"/>
          <w:sz w:val="21"/>
          <w:szCs w:val="21"/>
        </w:rPr>
        <w:t xml:space="preserve"> directly</w:t>
      </w:r>
      <w:r w:rsidR="00D27574" w:rsidRPr="008E6933">
        <w:rPr>
          <w:rFonts w:ascii="Calibri" w:hAnsi="Calibri" w:cs="Calibri"/>
          <w:sz w:val="21"/>
          <w:szCs w:val="21"/>
        </w:rPr>
        <w:t xml:space="preserve"> tackle the barrier</w:t>
      </w:r>
      <w:r w:rsidR="0005422D" w:rsidRPr="008E6933">
        <w:rPr>
          <w:rFonts w:ascii="Calibri" w:hAnsi="Calibri" w:cs="Calibri"/>
          <w:sz w:val="21"/>
          <w:szCs w:val="21"/>
        </w:rPr>
        <w:t>s</w:t>
      </w:r>
      <w:r w:rsidR="00D27574" w:rsidRPr="008E6933">
        <w:rPr>
          <w:rFonts w:ascii="Calibri" w:hAnsi="Calibri" w:cs="Calibri"/>
          <w:sz w:val="21"/>
          <w:szCs w:val="21"/>
        </w:rPr>
        <w:t xml:space="preserve"> related to short-</w:t>
      </w:r>
      <w:proofErr w:type="spellStart"/>
      <w:r w:rsidR="00D27574" w:rsidRPr="008E6933">
        <w:rPr>
          <w:rFonts w:ascii="Calibri" w:hAnsi="Calibri" w:cs="Calibri"/>
          <w:sz w:val="21"/>
          <w:szCs w:val="21"/>
        </w:rPr>
        <w:t>terminism</w:t>
      </w:r>
      <w:proofErr w:type="spellEnd"/>
      <w:r w:rsidR="00D27574" w:rsidRPr="008E6933">
        <w:rPr>
          <w:rFonts w:ascii="Calibri" w:hAnsi="Calibri" w:cs="Calibri"/>
          <w:sz w:val="21"/>
          <w:szCs w:val="21"/>
        </w:rPr>
        <w:t xml:space="preserve"> in the financial system</w:t>
      </w:r>
      <w:r w:rsidR="00ED11FA" w:rsidRPr="008E6933">
        <w:rPr>
          <w:rFonts w:ascii="Calibri" w:hAnsi="Calibri" w:cs="Calibri"/>
          <w:sz w:val="21"/>
          <w:szCs w:val="21"/>
        </w:rPr>
        <w:t xml:space="preserve"> neither</w:t>
      </w:r>
      <w:r w:rsidR="00732E83" w:rsidRPr="008E6933">
        <w:rPr>
          <w:rFonts w:ascii="Calibri" w:hAnsi="Calibri" w:cs="Calibri"/>
          <w:sz w:val="21"/>
          <w:szCs w:val="21"/>
        </w:rPr>
        <w:t xml:space="preserve">. However, </w:t>
      </w:r>
      <w:r w:rsidR="00B778AE" w:rsidRPr="008E6933">
        <w:rPr>
          <w:rFonts w:ascii="Calibri" w:hAnsi="Calibri" w:cs="Calibri"/>
          <w:sz w:val="21"/>
          <w:szCs w:val="21"/>
        </w:rPr>
        <w:t>green bonds seem</w:t>
      </w:r>
      <w:r w:rsidR="00732E83" w:rsidRPr="008E6933">
        <w:rPr>
          <w:rFonts w:ascii="Calibri" w:hAnsi="Calibri" w:cs="Calibri"/>
          <w:sz w:val="21"/>
          <w:szCs w:val="21"/>
        </w:rPr>
        <w:t xml:space="preserve"> nevertheless a promising instrument from this perspective if structured accordingly to investors’ (short-term) risk-return preferences</w:t>
      </w:r>
      <w:r w:rsidR="00C72770" w:rsidRPr="008E6933">
        <w:rPr>
          <w:rFonts w:ascii="Calibri" w:hAnsi="Calibri" w:cs="Calibri"/>
          <w:sz w:val="21"/>
          <w:szCs w:val="21"/>
        </w:rPr>
        <w:t xml:space="preserve"> or combined with governmental tax-based incentives</w:t>
      </w:r>
      <w:r w:rsidR="00732E83" w:rsidRPr="008E6933">
        <w:rPr>
          <w:rFonts w:ascii="Calibri" w:hAnsi="Calibri" w:cs="Calibri"/>
          <w:sz w:val="21"/>
          <w:szCs w:val="21"/>
        </w:rPr>
        <w:t xml:space="preserve"> </w:t>
      </w:r>
      <w:r w:rsidR="00B778AE" w:rsidRPr="008E6933">
        <w:rPr>
          <w:rFonts w:ascii="Calibri" w:hAnsi="Calibri" w:cs="Calibri"/>
          <w:sz w:val="21"/>
          <w:szCs w:val="21"/>
        </w:rPr>
        <w:t xml:space="preserve">as bonds </w:t>
      </w:r>
      <w:r w:rsidR="0007548B" w:rsidRPr="008E6933">
        <w:rPr>
          <w:rFonts w:ascii="Calibri" w:hAnsi="Calibri" w:cs="Calibri"/>
          <w:sz w:val="21"/>
          <w:szCs w:val="21"/>
        </w:rPr>
        <w:t>are already familiar to investors</w:t>
      </w:r>
      <w:r w:rsidR="00B70114" w:rsidRPr="008E6933">
        <w:rPr>
          <w:rStyle w:val="FootnoteReference"/>
          <w:rFonts w:ascii="Calibri" w:hAnsi="Calibri" w:cs="Calibri"/>
          <w:sz w:val="21"/>
          <w:szCs w:val="21"/>
        </w:rPr>
        <w:footnoteReference w:id="28"/>
      </w:r>
      <w:r w:rsidR="0007548B" w:rsidRPr="008E6933">
        <w:rPr>
          <w:rFonts w:ascii="Calibri" w:hAnsi="Calibri" w:cs="Calibri"/>
          <w:sz w:val="21"/>
          <w:szCs w:val="21"/>
        </w:rPr>
        <w:t>, including to institutional investors who are already dominant players in traded equity and bond markets</w:t>
      </w:r>
      <w:r w:rsidR="00956E96" w:rsidRPr="008E6933">
        <w:rPr>
          <w:rStyle w:val="FootnoteReference"/>
          <w:rFonts w:ascii="Calibri" w:hAnsi="Calibri" w:cs="Calibri"/>
          <w:sz w:val="21"/>
          <w:szCs w:val="21"/>
        </w:rPr>
        <w:footnoteReference w:id="29"/>
      </w:r>
      <w:r w:rsidR="00732E83" w:rsidRPr="008E6933">
        <w:rPr>
          <w:rFonts w:ascii="Calibri" w:hAnsi="Calibri" w:cs="Calibri"/>
          <w:sz w:val="21"/>
          <w:szCs w:val="21"/>
        </w:rPr>
        <w:t xml:space="preserve"> </w:t>
      </w:r>
      <w:r w:rsidR="00AE6157" w:rsidRPr="008E6933">
        <w:rPr>
          <w:rFonts w:ascii="Calibri" w:hAnsi="Calibri" w:cs="Calibri"/>
          <w:sz w:val="21"/>
          <w:szCs w:val="21"/>
        </w:rPr>
        <w:t>(CPI, 2016</w:t>
      </w:r>
      <w:r w:rsidR="00A318C9" w:rsidRPr="008E6933">
        <w:rPr>
          <w:rFonts w:ascii="Calibri" w:hAnsi="Calibri" w:cs="Calibri"/>
          <w:sz w:val="21"/>
          <w:szCs w:val="21"/>
        </w:rPr>
        <w:t>; 2017</w:t>
      </w:r>
      <w:r w:rsidR="003378F6" w:rsidRPr="008E6933">
        <w:rPr>
          <w:rFonts w:ascii="Calibri" w:hAnsi="Calibri" w:cs="Calibri"/>
          <w:sz w:val="21"/>
          <w:szCs w:val="21"/>
        </w:rPr>
        <w:t xml:space="preserve">; </w:t>
      </w:r>
      <w:proofErr w:type="spellStart"/>
      <w:r w:rsidR="003378F6" w:rsidRPr="008E6933">
        <w:rPr>
          <w:rFonts w:ascii="Calibri" w:hAnsi="Calibri" w:cs="Calibri"/>
          <w:sz w:val="21"/>
          <w:szCs w:val="21"/>
        </w:rPr>
        <w:t>Granoff</w:t>
      </w:r>
      <w:proofErr w:type="spellEnd"/>
      <w:r w:rsidR="003378F6" w:rsidRPr="008E6933">
        <w:rPr>
          <w:rFonts w:ascii="Calibri" w:hAnsi="Calibri" w:cs="Calibri"/>
          <w:sz w:val="21"/>
          <w:szCs w:val="21"/>
        </w:rPr>
        <w:t xml:space="preserve"> et al., 2016</w:t>
      </w:r>
      <w:r w:rsidR="0007548B" w:rsidRPr="008E6933">
        <w:rPr>
          <w:rFonts w:ascii="Calibri" w:hAnsi="Calibri" w:cs="Calibri"/>
          <w:sz w:val="21"/>
          <w:szCs w:val="21"/>
        </w:rPr>
        <w:t>; Blyth et al., 2015</w:t>
      </w:r>
      <w:r w:rsidR="00AE6157" w:rsidRPr="008E6933">
        <w:rPr>
          <w:rFonts w:ascii="Calibri" w:hAnsi="Calibri" w:cs="Calibri"/>
          <w:sz w:val="21"/>
          <w:szCs w:val="21"/>
        </w:rPr>
        <w:t xml:space="preserve">). </w:t>
      </w:r>
      <w:r w:rsidR="004D00B4" w:rsidRPr="008E6933">
        <w:rPr>
          <w:rFonts w:ascii="Calibri" w:hAnsi="Calibri" w:cs="Calibri"/>
          <w:sz w:val="21"/>
          <w:szCs w:val="21"/>
        </w:rPr>
        <w:t>In addition</w:t>
      </w:r>
      <w:r w:rsidR="007C7585" w:rsidRPr="008E6933">
        <w:rPr>
          <w:rFonts w:ascii="Calibri" w:hAnsi="Calibri" w:cs="Calibri"/>
          <w:sz w:val="21"/>
          <w:szCs w:val="21"/>
        </w:rPr>
        <w:t xml:space="preserve">, the </w:t>
      </w:r>
      <w:r w:rsidR="00B778AE" w:rsidRPr="008E6933">
        <w:rPr>
          <w:rFonts w:ascii="Calibri" w:hAnsi="Calibri" w:cs="Calibri"/>
          <w:sz w:val="21"/>
          <w:szCs w:val="21"/>
        </w:rPr>
        <w:t>improved</w:t>
      </w:r>
      <w:r w:rsidR="00067337" w:rsidRPr="008E6933">
        <w:rPr>
          <w:rFonts w:ascii="Calibri" w:hAnsi="Calibri" w:cs="Calibri"/>
          <w:sz w:val="21"/>
          <w:szCs w:val="21"/>
        </w:rPr>
        <w:t xml:space="preserve"> </w:t>
      </w:r>
      <w:r w:rsidR="007C7585" w:rsidRPr="008E6933">
        <w:rPr>
          <w:rFonts w:ascii="Calibri" w:hAnsi="Calibri" w:cs="Calibri"/>
          <w:sz w:val="21"/>
          <w:szCs w:val="21"/>
        </w:rPr>
        <w:t>availability of green bonds, or other green financial vehicles, increases liquidity in the market as investors can sell their bonds</w:t>
      </w:r>
      <w:r w:rsidR="00ED11FA" w:rsidRPr="008E6933">
        <w:rPr>
          <w:rFonts w:ascii="Calibri" w:hAnsi="Calibri" w:cs="Calibri"/>
          <w:sz w:val="21"/>
          <w:szCs w:val="21"/>
        </w:rPr>
        <w:t xml:space="preserve"> or shares</w:t>
      </w:r>
      <w:r w:rsidR="007C7585" w:rsidRPr="008E6933">
        <w:rPr>
          <w:rFonts w:ascii="Calibri" w:hAnsi="Calibri" w:cs="Calibri"/>
          <w:sz w:val="21"/>
          <w:szCs w:val="21"/>
        </w:rPr>
        <w:t xml:space="preserve"> when they wish to do so (</w:t>
      </w:r>
      <w:r w:rsidR="007C7585" w:rsidRPr="008E6933">
        <w:rPr>
          <w:sz w:val="21"/>
          <w:szCs w:val="21"/>
        </w:rPr>
        <w:t>Meltzer, 2016; CPI, 2016).</w:t>
      </w:r>
      <w:r w:rsidR="00B778AE" w:rsidRPr="008E6933">
        <w:rPr>
          <w:rFonts w:ascii="Calibri" w:hAnsi="Calibri" w:cs="Calibri"/>
          <w:sz w:val="21"/>
          <w:szCs w:val="21"/>
        </w:rPr>
        <w:t xml:space="preserve"> This is required in the case of</w:t>
      </w:r>
      <w:r w:rsidR="00ED11FA" w:rsidRPr="008E6933">
        <w:rPr>
          <w:rFonts w:ascii="Calibri" w:hAnsi="Calibri" w:cs="Calibri"/>
          <w:sz w:val="21"/>
          <w:szCs w:val="21"/>
        </w:rPr>
        <w:t xml:space="preserve"> institutional investors </w:t>
      </w:r>
      <w:r w:rsidR="007C7585" w:rsidRPr="008E6933">
        <w:rPr>
          <w:rFonts w:ascii="Calibri" w:hAnsi="Calibri" w:cs="Calibri"/>
          <w:sz w:val="21"/>
          <w:szCs w:val="21"/>
        </w:rPr>
        <w:t xml:space="preserve">as </w:t>
      </w:r>
      <w:r w:rsidRPr="008E6933">
        <w:rPr>
          <w:rFonts w:ascii="Calibri" w:hAnsi="Calibri" w:cs="Calibri"/>
          <w:sz w:val="21"/>
          <w:szCs w:val="21"/>
        </w:rPr>
        <w:t xml:space="preserve">they </w:t>
      </w:r>
      <w:proofErr w:type="gramStart"/>
      <w:r w:rsidR="00ED11FA" w:rsidRPr="008E6933">
        <w:rPr>
          <w:rFonts w:ascii="Calibri" w:hAnsi="Calibri" w:cs="Calibri"/>
          <w:sz w:val="21"/>
          <w:szCs w:val="21"/>
        </w:rPr>
        <w:t>are regulated</w:t>
      </w:r>
      <w:proofErr w:type="gramEnd"/>
      <w:r w:rsidR="00ED11FA" w:rsidRPr="008E6933">
        <w:rPr>
          <w:rFonts w:ascii="Calibri" w:hAnsi="Calibri" w:cs="Calibri"/>
          <w:sz w:val="21"/>
          <w:szCs w:val="21"/>
        </w:rPr>
        <w:t xml:space="preserve"> through mandates that </w:t>
      </w:r>
      <w:r w:rsidR="00B778AE" w:rsidRPr="008E6933">
        <w:rPr>
          <w:rFonts w:ascii="Calibri" w:hAnsi="Calibri" w:cs="Calibri"/>
          <w:sz w:val="21"/>
          <w:szCs w:val="21"/>
        </w:rPr>
        <w:t>restrict</w:t>
      </w:r>
      <w:r w:rsidR="00ED11FA" w:rsidRPr="008E6933">
        <w:rPr>
          <w:rFonts w:ascii="Calibri" w:hAnsi="Calibri" w:cs="Calibri"/>
          <w:sz w:val="21"/>
          <w:szCs w:val="21"/>
        </w:rPr>
        <w:t xml:space="preserve"> </w:t>
      </w:r>
      <w:r w:rsidR="00B778AE" w:rsidRPr="008E6933">
        <w:rPr>
          <w:rFonts w:ascii="Calibri" w:hAnsi="Calibri" w:cs="Calibri"/>
          <w:sz w:val="21"/>
          <w:szCs w:val="21"/>
        </w:rPr>
        <w:t>investments into</w:t>
      </w:r>
      <w:r w:rsidR="00ED11FA" w:rsidRPr="008E6933">
        <w:rPr>
          <w:rFonts w:ascii="Calibri" w:hAnsi="Calibri" w:cs="Calibri"/>
          <w:sz w:val="21"/>
          <w:szCs w:val="21"/>
        </w:rPr>
        <w:t xml:space="preserve"> (renewable energy) infrastructure</w:t>
      </w:r>
      <w:r w:rsidR="00B778AE" w:rsidRPr="008E6933">
        <w:rPr>
          <w:rFonts w:ascii="Calibri" w:hAnsi="Calibri" w:cs="Calibri"/>
          <w:sz w:val="21"/>
          <w:szCs w:val="21"/>
        </w:rPr>
        <w:t xml:space="preserve"> or long-term investments in general</w:t>
      </w:r>
      <w:r w:rsidR="00ED11FA" w:rsidRPr="008E6933">
        <w:rPr>
          <w:rFonts w:ascii="Calibri" w:hAnsi="Calibri" w:cs="Calibri"/>
          <w:sz w:val="21"/>
          <w:szCs w:val="21"/>
        </w:rPr>
        <w:t xml:space="preserve">. Further, pension funds typically </w:t>
      </w:r>
      <w:r w:rsidR="007C7585" w:rsidRPr="008E6933">
        <w:rPr>
          <w:rFonts w:ascii="Calibri" w:hAnsi="Calibri" w:cs="Calibri"/>
          <w:sz w:val="21"/>
          <w:szCs w:val="21"/>
        </w:rPr>
        <w:t>apply asset-liability management and insurance companies have ongoing payment obligations to policyholders</w:t>
      </w:r>
      <w:r w:rsidRPr="008E6933">
        <w:rPr>
          <w:rFonts w:ascii="Calibri" w:hAnsi="Calibri" w:cs="Calibri"/>
          <w:sz w:val="21"/>
          <w:szCs w:val="21"/>
        </w:rPr>
        <w:t>, making it mandatory for them to invest, to a large extent, in liquid assets</w:t>
      </w:r>
      <w:r w:rsidR="004D00B4" w:rsidRPr="008E6933">
        <w:rPr>
          <w:rFonts w:ascii="Calibri" w:hAnsi="Calibri" w:cs="Calibri"/>
          <w:sz w:val="21"/>
          <w:szCs w:val="21"/>
        </w:rPr>
        <w:t xml:space="preserve">, such as for example green bonds. </w:t>
      </w:r>
      <w:r w:rsidR="009B0D73">
        <w:rPr>
          <w:rFonts w:ascii="Calibri" w:hAnsi="Calibri" w:cs="Calibri"/>
          <w:sz w:val="21"/>
          <w:szCs w:val="21"/>
        </w:rPr>
        <w:t>F</w:t>
      </w:r>
      <w:r w:rsidR="00DB4766" w:rsidRPr="008E6933">
        <w:rPr>
          <w:rFonts w:ascii="Calibri" w:hAnsi="Calibri" w:cs="Calibri"/>
          <w:sz w:val="21"/>
          <w:szCs w:val="21"/>
        </w:rPr>
        <w:t xml:space="preserve">inancial vehicles also help to address the lack of bankable projects and pipelines as they can aggregate several energy projects and thus make them attractive to the preferences of institutional or other private investors (see </w:t>
      </w:r>
      <w:proofErr w:type="spellStart"/>
      <w:r w:rsidR="00DB4766" w:rsidRPr="008E6933">
        <w:rPr>
          <w:rFonts w:ascii="Calibri" w:hAnsi="Calibri" w:cs="Calibri"/>
          <w:sz w:val="21"/>
          <w:szCs w:val="21"/>
        </w:rPr>
        <w:t>Mielke</w:t>
      </w:r>
      <w:proofErr w:type="spellEnd"/>
      <w:r w:rsidR="00DB4766" w:rsidRPr="008E6933">
        <w:rPr>
          <w:rFonts w:ascii="Calibri" w:hAnsi="Calibri" w:cs="Calibri"/>
          <w:sz w:val="21"/>
          <w:szCs w:val="21"/>
        </w:rPr>
        <w:t xml:space="preserve">, 2019). </w:t>
      </w:r>
    </w:p>
    <w:p w14:paraId="51BD837D" w14:textId="5A71522A" w:rsidR="00214BC1" w:rsidRPr="00077985" w:rsidRDefault="00E90A57" w:rsidP="00214BC1">
      <w:pPr>
        <w:spacing w:line="276" w:lineRule="auto"/>
        <w:rPr>
          <w:sz w:val="21"/>
          <w:szCs w:val="21"/>
        </w:rPr>
      </w:pPr>
      <w:r>
        <w:rPr>
          <w:rFonts w:ascii="Calibri" w:hAnsi="Calibri" w:cs="Calibri"/>
          <w:sz w:val="21"/>
          <w:szCs w:val="21"/>
        </w:rPr>
        <w:t xml:space="preserve">Overall, </w:t>
      </w:r>
      <w:r w:rsidR="00D84976" w:rsidRPr="008E6933">
        <w:rPr>
          <w:sz w:val="21"/>
          <w:szCs w:val="21"/>
        </w:rPr>
        <w:t>CBI (2018) estimates that the issuance of green bonds could</w:t>
      </w:r>
      <w:r w:rsidR="008F3BDD" w:rsidRPr="008E6933">
        <w:rPr>
          <w:sz w:val="21"/>
          <w:szCs w:val="21"/>
        </w:rPr>
        <w:t xml:space="preserve"> access up to USD </w:t>
      </w:r>
      <w:r w:rsidR="00D84976" w:rsidRPr="008E6933">
        <w:rPr>
          <w:sz w:val="21"/>
          <w:szCs w:val="21"/>
        </w:rPr>
        <w:t xml:space="preserve">100 </w:t>
      </w:r>
      <w:proofErr w:type="spellStart"/>
      <w:r w:rsidR="00DE0724" w:rsidRPr="008E6933">
        <w:rPr>
          <w:sz w:val="21"/>
          <w:szCs w:val="21"/>
        </w:rPr>
        <w:t>tn</w:t>
      </w:r>
      <w:proofErr w:type="spellEnd"/>
      <w:r w:rsidR="00D84976" w:rsidRPr="008E6933">
        <w:rPr>
          <w:sz w:val="21"/>
          <w:szCs w:val="21"/>
        </w:rPr>
        <w:t xml:space="preserve"> of patient private capital managed by global insti</w:t>
      </w:r>
      <w:r w:rsidR="00BB371F" w:rsidRPr="008E6933">
        <w:rPr>
          <w:sz w:val="21"/>
          <w:szCs w:val="21"/>
        </w:rPr>
        <w:t xml:space="preserve">tutional fixed-income investors. </w:t>
      </w:r>
      <w:r>
        <w:rPr>
          <w:sz w:val="21"/>
          <w:szCs w:val="21"/>
        </w:rPr>
        <w:t xml:space="preserve">However, </w:t>
      </w:r>
      <w:r>
        <w:rPr>
          <w:rFonts w:ascii="Calibri" w:hAnsi="Calibri" w:cs="Calibri"/>
          <w:sz w:val="21"/>
          <w:szCs w:val="21"/>
        </w:rPr>
        <w:t>a</w:t>
      </w:r>
      <w:r w:rsidR="00214BC1" w:rsidRPr="00214BC1">
        <w:rPr>
          <w:rFonts w:ascii="Calibri" w:hAnsi="Calibri" w:cs="Calibri"/>
          <w:sz w:val="21"/>
          <w:szCs w:val="21"/>
        </w:rPr>
        <w:t xml:space="preserve"> currently existing </w:t>
      </w:r>
      <w:r w:rsidR="00214BC1" w:rsidRPr="00214BC1">
        <w:rPr>
          <w:rFonts w:ascii="Calibri" w:hAnsi="Calibri" w:cs="Calibri"/>
          <w:sz w:val="21"/>
          <w:szCs w:val="21"/>
        </w:rPr>
        <w:lastRenderedPageBreak/>
        <w:t xml:space="preserve">barrier towards the long-term growth of green bonds is the lack of a set of standardised metrics (defining “green”) and mandatory standards for green bonds issuers (OECD, 2017; Bloomberg, 2017). </w:t>
      </w:r>
      <w:r w:rsidR="00DD02C5">
        <w:rPr>
          <w:rFonts w:ascii="Calibri" w:hAnsi="Calibri" w:cs="Calibri"/>
          <w:sz w:val="21"/>
          <w:szCs w:val="21"/>
        </w:rPr>
        <w:t>This barrier could be addressed by a</w:t>
      </w:r>
      <w:r w:rsidR="00214BC1" w:rsidRPr="00214BC1">
        <w:rPr>
          <w:rFonts w:ascii="Calibri" w:hAnsi="Calibri" w:cs="Calibri"/>
          <w:sz w:val="21"/>
          <w:szCs w:val="21"/>
        </w:rPr>
        <w:t xml:space="preserve"> standardisation of mandatory requirement</w:t>
      </w:r>
      <w:r w:rsidR="00DD02C5">
        <w:rPr>
          <w:rFonts w:ascii="Calibri" w:hAnsi="Calibri" w:cs="Calibri"/>
          <w:sz w:val="21"/>
          <w:szCs w:val="21"/>
        </w:rPr>
        <w:t>s</w:t>
      </w:r>
      <w:r w:rsidR="00214BC1" w:rsidRPr="00214BC1">
        <w:rPr>
          <w:rFonts w:ascii="Calibri" w:hAnsi="Calibri" w:cs="Calibri"/>
          <w:sz w:val="21"/>
          <w:szCs w:val="21"/>
        </w:rPr>
        <w:t xml:space="preserve"> by government involvement and collective action taken by the G20 (Meltzer, 2016; OECD, 2017). This agreement would </w:t>
      </w:r>
      <w:r w:rsidR="00DD02C5">
        <w:rPr>
          <w:rFonts w:ascii="Calibri" w:hAnsi="Calibri" w:cs="Calibri"/>
          <w:sz w:val="21"/>
          <w:szCs w:val="21"/>
        </w:rPr>
        <w:t>in addition</w:t>
      </w:r>
      <w:r w:rsidR="00214BC1" w:rsidRPr="00214BC1">
        <w:rPr>
          <w:rFonts w:ascii="Calibri" w:hAnsi="Calibri" w:cs="Calibri"/>
          <w:sz w:val="21"/>
          <w:szCs w:val="21"/>
        </w:rPr>
        <w:t xml:space="preserve"> decrease the cost of green bonds verification (OECD, 2017)</w:t>
      </w:r>
      <w:r w:rsidR="007A4E8F">
        <w:rPr>
          <w:rFonts w:ascii="Calibri" w:hAnsi="Calibri" w:cs="Calibri"/>
          <w:sz w:val="21"/>
          <w:szCs w:val="21"/>
        </w:rPr>
        <w:t xml:space="preserve"> as well as support the further expansion of other policies over time</w:t>
      </w:r>
      <w:r w:rsidR="00214BC1" w:rsidRPr="00214BC1">
        <w:rPr>
          <w:rFonts w:ascii="Calibri" w:hAnsi="Calibri" w:cs="Calibri"/>
          <w:sz w:val="21"/>
          <w:szCs w:val="21"/>
        </w:rPr>
        <w:t xml:space="preserve">. </w:t>
      </w:r>
    </w:p>
    <w:p w14:paraId="415027AD" w14:textId="442C7A18" w:rsidR="00012A94" w:rsidRPr="008B2B15" w:rsidRDefault="007A4E8F" w:rsidP="00D07A09">
      <w:pPr>
        <w:autoSpaceDE w:val="0"/>
        <w:autoSpaceDN w:val="0"/>
        <w:adjustRightInd w:val="0"/>
        <w:spacing w:after="0" w:line="276" w:lineRule="auto"/>
        <w:rPr>
          <w:rFonts w:ascii="Times New Roman" w:hAnsi="Times New Roman" w:cs="Times New Roman"/>
          <w:sz w:val="21"/>
          <w:szCs w:val="21"/>
        </w:rPr>
      </w:pPr>
      <w:proofErr w:type="gramStart"/>
      <w:r>
        <w:rPr>
          <w:rFonts w:ascii="Calibri" w:hAnsi="Calibri" w:cs="Calibri"/>
          <w:sz w:val="21"/>
          <w:szCs w:val="21"/>
        </w:rPr>
        <w:t>I</w:t>
      </w:r>
      <w:r w:rsidR="00E90A57">
        <w:rPr>
          <w:rFonts w:ascii="Calibri" w:hAnsi="Calibri" w:cs="Calibri"/>
          <w:sz w:val="21"/>
          <w:szCs w:val="21"/>
        </w:rPr>
        <w:t xml:space="preserve">t is important to consider that </w:t>
      </w:r>
      <w:r w:rsidR="00996B6D" w:rsidRPr="008E6933">
        <w:rPr>
          <w:rFonts w:ascii="Calibri" w:hAnsi="Calibri" w:cs="Calibri"/>
          <w:sz w:val="21"/>
          <w:szCs w:val="21"/>
        </w:rPr>
        <w:t>u</w:t>
      </w:r>
      <w:r w:rsidR="005353D9" w:rsidRPr="008E6933">
        <w:rPr>
          <w:rFonts w:ascii="Calibri" w:hAnsi="Calibri" w:cs="Calibri"/>
          <w:sz w:val="21"/>
          <w:szCs w:val="21"/>
        </w:rPr>
        <w:t>ltimately</w:t>
      </w:r>
      <w:r w:rsidR="00602AB1" w:rsidRPr="008E6933">
        <w:rPr>
          <w:rFonts w:ascii="Calibri" w:hAnsi="Calibri" w:cs="Calibri"/>
          <w:sz w:val="21"/>
          <w:szCs w:val="21"/>
        </w:rPr>
        <w:t xml:space="preserve">, </w:t>
      </w:r>
      <w:r w:rsidR="005353D9" w:rsidRPr="008E6933">
        <w:rPr>
          <w:rFonts w:ascii="Calibri" w:hAnsi="Calibri" w:cs="Calibri"/>
          <w:sz w:val="21"/>
          <w:szCs w:val="21"/>
        </w:rPr>
        <w:t>when</w:t>
      </w:r>
      <w:r w:rsidR="00BF7D42" w:rsidRPr="008E6933">
        <w:rPr>
          <w:rFonts w:ascii="Calibri" w:hAnsi="Calibri" w:cs="Calibri"/>
          <w:sz w:val="21"/>
          <w:szCs w:val="21"/>
        </w:rPr>
        <w:t xml:space="preserve"> a majority of barriers, including</w:t>
      </w:r>
      <w:r w:rsidR="00FA64AA" w:rsidRPr="008E6933">
        <w:rPr>
          <w:rFonts w:ascii="Calibri" w:hAnsi="Calibri" w:cs="Calibri"/>
          <w:sz w:val="21"/>
          <w:szCs w:val="21"/>
        </w:rPr>
        <w:t>,</w:t>
      </w:r>
      <w:r w:rsidR="00BF7D42" w:rsidRPr="008E6933">
        <w:rPr>
          <w:rFonts w:ascii="Calibri" w:hAnsi="Calibri" w:cs="Calibri"/>
          <w:sz w:val="21"/>
          <w:szCs w:val="21"/>
        </w:rPr>
        <w:t xml:space="preserve"> but not limited to</w:t>
      </w:r>
      <w:r w:rsidR="00FA64AA" w:rsidRPr="008E6933">
        <w:rPr>
          <w:rFonts w:ascii="Calibri" w:hAnsi="Calibri" w:cs="Calibri"/>
          <w:sz w:val="21"/>
          <w:szCs w:val="21"/>
        </w:rPr>
        <w:t>,</w:t>
      </w:r>
      <w:r w:rsidR="00BF7D42" w:rsidRPr="008E6933">
        <w:rPr>
          <w:rFonts w:ascii="Calibri" w:hAnsi="Calibri" w:cs="Calibri"/>
          <w:sz w:val="21"/>
          <w:szCs w:val="21"/>
        </w:rPr>
        <w:t xml:space="preserve"> </w:t>
      </w:r>
      <w:r w:rsidR="00602AB1" w:rsidRPr="008E6933">
        <w:rPr>
          <w:rFonts w:ascii="Calibri" w:hAnsi="Calibri" w:cs="Calibri"/>
          <w:sz w:val="21"/>
          <w:szCs w:val="21"/>
        </w:rPr>
        <w:t xml:space="preserve">perceptions of </w:t>
      </w:r>
      <w:r w:rsidR="005353D9" w:rsidRPr="008E6933">
        <w:rPr>
          <w:rFonts w:ascii="Calibri" w:hAnsi="Calibri" w:cs="Calibri"/>
          <w:sz w:val="21"/>
          <w:szCs w:val="21"/>
        </w:rPr>
        <w:t xml:space="preserve">high </w:t>
      </w:r>
      <w:r w:rsidR="00602AB1" w:rsidRPr="008E6933">
        <w:rPr>
          <w:rFonts w:ascii="Calibri" w:hAnsi="Calibri" w:cs="Calibri"/>
          <w:sz w:val="21"/>
          <w:szCs w:val="21"/>
        </w:rPr>
        <w:t>renewable technology</w:t>
      </w:r>
      <w:r w:rsidR="00FA64AA" w:rsidRPr="008E6933">
        <w:rPr>
          <w:rFonts w:ascii="Calibri" w:hAnsi="Calibri" w:cs="Calibri"/>
          <w:sz w:val="21"/>
          <w:szCs w:val="21"/>
        </w:rPr>
        <w:t xml:space="preserve"> risks</w:t>
      </w:r>
      <w:r w:rsidR="00602AB1" w:rsidRPr="008E6933">
        <w:rPr>
          <w:rFonts w:ascii="Calibri" w:hAnsi="Calibri" w:cs="Calibri"/>
          <w:sz w:val="21"/>
          <w:szCs w:val="21"/>
        </w:rPr>
        <w:t xml:space="preserve">, lack of appropriate investor advice, </w:t>
      </w:r>
      <w:r w:rsidR="00BF7D42" w:rsidRPr="008E6933">
        <w:rPr>
          <w:rFonts w:ascii="Calibri" w:hAnsi="Calibri" w:cs="Calibri"/>
          <w:sz w:val="21"/>
          <w:szCs w:val="21"/>
        </w:rPr>
        <w:t xml:space="preserve">high short-term </w:t>
      </w:r>
      <w:r w:rsidR="00602AB1" w:rsidRPr="008E6933">
        <w:rPr>
          <w:rFonts w:ascii="Calibri" w:hAnsi="Calibri" w:cs="Calibri"/>
          <w:sz w:val="21"/>
          <w:szCs w:val="21"/>
        </w:rPr>
        <w:t>benchmark</w:t>
      </w:r>
      <w:r w:rsidR="00BF7D42" w:rsidRPr="008E6933">
        <w:rPr>
          <w:rFonts w:ascii="Calibri" w:hAnsi="Calibri" w:cs="Calibri"/>
          <w:sz w:val="21"/>
          <w:szCs w:val="21"/>
        </w:rPr>
        <w:t xml:space="preserve"> returns</w:t>
      </w:r>
      <w:r w:rsidR="00FA64AA" w:rsidRPr="008E6933">
        <w:rPr>
          <w:rFonts w:ascii="Calibri" w:hAnsi="Calibri" w:cs="Calibri"/>
          <w:sz w:val="21"/>
          <w:szCs w:val="21"/>
        </w:rPr>
        <w:t xml:space="preserve"> or payback periods, </w:t>
      </w:r>
      <w:r w:rsidR="00BF7D42" w:rsidRPr="008E6933">
        <w:rPr>
          <w:rFonts w:ascii="Calibri" w:hAnsi="Calibri" w:cs="Calibri"/>
          <w:sz w:val="21"/>
          <w:szCs w:val="21"/>
        </w:rPr>
        <w:t>short-term investment practices</w:t>
      </w:r>
      <w:r w:rsidR="00602AB1" w:rsidRPr="008E6933">
        <w:rPr>
          <w:rFonts w:ascii="Calibri" w:hAnsi="Calibri" w:cs="Calibri"/>
          <w:sz w:val="21"/>
          <w:szCs w:val="21"/>
        </w:rPr>
        <w:t xml:space="preserve">, </w:t>
      </w:r>
      <w:r w:rsidR="00BF7D42" w:rsidRPr="008E6933">
        <w:rPr>
          <w:rFonts w:ascii="Calibri" w:hAnsi="Calibri" w:cs="Calibri"/>
          <w:sz w:val="21"/>
          <w:szCs w:val="21"/>
        </w:rPr>
        <w:t>non-inclusion</w:t>
      </w:r>
      <w:r w:rsidR="00602AB1" w:rsidRPr="008E6933">
        <w:rPr>
          <w:rFonts w:ascii="Calibri" w:hAnsi="Calibri" w:cs="Calibri"/>
          <w:sz w:val="21"/>
          <w:szCs w:val="21"/>
        </w:rPr>
        <w:t xml:space="preserve"> </w:t>
      </w:r>
      <w:r w:rsidR="00BF7D42" w:rsidRPr="008E6933">
        <w:rPr>
          <w:rFonts w:ascii="Calibri" w:hAnsi="Calibri" w:cs="Calibri"/>
          <w:sz w:val="21"/>
          <w:szCs w:val="21"/>
        </w:rPr>
        <w:t>of</w:t>
      </w:r>
      <w:r w:rsidR="00602AB1" w:rsidRPr="008E6933">
        <w:rPr>
          <w:rFonts w:ascii="Calibri" w:hAnsi="Calibri" w:cs="Calibri"/>
          <w:sz w:val="21"/>
          <w:szCs w:val="21"/>
        </w:rPr>
        <w:t xml:space="preserve"> climate-related risks and ESG values</w:t>
      </w:r>
      <w:r w:rsidR="00BF7D42" w:rsidRPr="008E6933">
        <w:rPr>
          <w:rFonts w:ascii="Calibri" w:hAnsi="Calibri" w:cs="Calibri"/>
          <w:sz w:val="21"/>
          <w:szCs w:val="21"/>
        </w:rPr>
        <w:t xml:space="preserve"> in investment decisions </w:t>
      </w:r>
      <w:r w:rsidR="00602AB1" w:rsidRPr="008E6933">
        <w:rPr>
          <w:rFonts w:ascii="Calibri" w:hAnsi="Calibri" w:cs="Calibri"/>
          <w:sz w:val="21"/>
          <w:szCs w:val="21"/>
        </w:rPr>
        <w:t xml:space="preserve">or </w:t>
      </w:r>
      <w:r w:rsidR="00BF7D42" w:rsidRPr="008E6933">
        <w:rPr>
          <w:rFonts w:ascii="Calibri" w:hAnsi="Calibri" w:cs="Calibri"/>
          <w:sz w:val="21"/>
          <w:szCs w:val="21"/>
        </w:rPr>
        <w:t>an inconsistent policy framework</w:t>
      </w:r>
      <w:r w:rsidR="00FA64AA" w:rsidRPr="008E6933">
        <w:rPr>
          <w:rFonts w:ascii="Calibri" w:hAnsi="Calibri" w:cs="Calibri"/>
          <w:sz w:val="21"/>
          <w:szCs w:val="21"/>
        </w:rPr>
        <w:t>,</w:t>
      </w:r>
      <w:r w:rsidR="00BF7D42" w:rsidRPr="008E6933">
        <w:rPr>
          <w:rFonts w:ascii="Calibri" w:hAnsi="Calibri" w:cs="Calibri"/>
          <w:sz w:val="21"/>
          <w:szCs w:val="21"/>
        </w:rPr>
        <w:t xml:space="preserve"> </w:t>
      </w:r>
      <w:r w:rsidR="004A670F" w:rsidRPr="008E6933">
        <w:rPr>
          <w:rFonts w:ascii="Calibri" w:hAnsi="Calibri" w:cs="Calibri"/>
          <w:sz w:val="21"/>
          <w:szCs w:val="21"/>
        </w:rPr>
        <w:t xml:space="preserve">still </w:t>
      </w:r>
      <w:r w:rsidR="00BF7D42" w:rsidRPr="008E6933">
        <w:rPr>
          <w:rFonts w:ascii="Calibri" w:hAnsi="Calibri" w:cs="Calibri"/>
          <w:sz w:val="21"/>
          <w:szCs w:val="21"/>
        </w:rPr>
        <w:t xml:space="preserve">exist and are not </w:t>
      </w:r>
      <w:r w:rsidR="004A670F" w:rsidRPr="008E6933">
        <w:rPr>
          <w:rFonts w:ascii="Calibri" w:hAnsi="Calibri" w:cs="Calibri"/>
          <w:sz w:val="21"/>
          <w:szCs w:val="21"/>
        </w:rPr>
        <w:t>addressed</w:t>
      </w:r>
      <w:r w:rsidR="00BF7D42" w:rsidRPr="008E6933">
        <w:rPr>
          <w:rFonts w:ascii="Calibri" w:hAnsi="Calibri" w:cs="Calibri"/>
          <w:sz w:val="21"/>
          <w:szCs w:val="21"/>
        </w:rPr>
        <w:t xml:space="preserve"> directly, </w:t>
      </w:r>
      <w:r w:rsidR="00602AB1" w:rsidRPr="008E6933">
        <w:rPr>
          <w:rFonts w:ascii="Calibri" w:hAnsi="Calibri" w:cs="Calibri"/>
          <w:sz w:val="21"/>
          <w:szCs w:val="21"/>
        </w:rPr>
        <w:t xml:space="preserve">required returns </w:t>
      </w:r>
      <w:r w:rsidR="00BF7D42" w:rsidRPr="008E6933">
        <w:rPr>
          <w:rFonts w:ascii="Calibri" w:hAnsi="Calibri" w:cs="Calibri"/>
          <w:sz w:val="21"/>
          <w:szCs w:val="21"/>
        </w:rPr>
        <w:t>of green bonds</w:t>
      </w:r>
      <w:r>
        <w:rPr>
          <w:rFonts w:ascii="Calibri" w:hAnsi="Calibri" w:cs="Calibri"/>
          <w:sz w:val="21"/>
          <w:szCs w:val="21"/>
        </w:rPr>
        <w:t>,</w:t>
      </w:r>
      <w:r w:rsidR="00BF7D42" w:rsidRPr="008E6933">
        <w:rPr>
          <w:rFonts w:ascii="Calibri" w:hAnsi="Calibri" w:cs="Calibri"/>
          <w:sz w:val="21"/>
          <w:szCs w:val="21"/>
        </w:rPr>
        <w:t xml:space="preserve"> or </w:t>
      </w:r>
      <w:r w:rsidR="0094585B" w:rsidRPr="008E6933">
        <w:rPr>
          <w:rFonts w:ascii="Calibri" w:hAnsi="Calibri" w:cs="Calibri"/>
          <w:sz w:val="21"/>
          <w:szCs w:val="21"/>
        </w:rPr>
        <w:t xml:space="preserve">of </w:t>
      </w:r>
      <w:r w:rsidR="00BF7D42" w:rsidRPr="008E6933">
        <w:rPr>
          <w:rFonts w:ascii="Calibri" w:hAnsi="Calibri" w:cs="Calibri"/>
          <w:sz w:val="21"/>
          <w:szCs w:val="21"/>
        </w:rPr>
        <w:t xml:space="preserve">other </w:t>
      </w:r>
      <w:r w:rsidR="00996B6D" w:rsidRPr="008E6933">
        <w:rPr>
          <w:rFonts w:ascii="Calibri" w:hAnsi="Calibri" w:cs="Calibri"/>
          <w:sz w:val="21"/>
          <w:szCs w:val="21"/>
        </w:rPr>
        <w:t>green investment vehicles</w:t>
      </w:r>
      <w:r>
        <w:rPr>
          <w:rFonts w:ascii="Calibri" w:hAnsi="Calibri" w:cs="Calibri"/>
          <w:sz w:val="21"/>
          <w:szCs w:val="21"/>
        </w:rPr>
        <w:t>,</w:t>
      </w:r>
      <w:r w:rsidR="00996B6D" w:rsidRPr="008E6933">
        <w:rPr>
          <w:rFonts w:ascii="Calibri" w:hAnsi="Calibri" w:cs="Calibri"/>
          <w:sz w:val="21"/>
          <w:szCs w:val="21"/>
        </w:rPr>
        <w:t xml:space="preserve"> </w:t>
      </w:r>
      <w:r w:rsidR="00BB371F" w:rsidRPr="008E6933">
        <w:rPr>
          <w:rFonts w:ascii="Calibri" w:hAnsi="Calibri" w:cs="Calibri"/>
          <w:sz w:val="21"/>
          <w:szCs w:val="21"/>
        </w:rPr>
        <w:t>will be higher as compared to a</w:t>
      </w:r>
      <w:r w:rsidR="005F476A" w:rsidRPr="008E6933">
        <w:rPr>
          <w:rFonts w:ascii="Calibri" w:hAnsi="Calibri" w:cs="Calibri"/>
          <w:sz w:val="21"/>
          <w:szCs w:val="21"/>
        </w:rPr>
        <w:t xml:space="preserve"> situation</w:t>
      </w:r>
      <w:r w:rsidR="00BF7D42" w:rsidRPr="008E6933">
        <w:rPr>
          <w:rFonts w:ascii="Calibri" w:hAnsi="Calibri" w:cs="Calibri"/>
          <w:sz w:val="21"/>
          <w:szCs w:val="21"/>
        </w:rPr>
        <w:t xml:space="preserve"> </w:t>
      </w:r>
      <w:r w:rsidR="00BB371F" w:rsidRPr="008E6933">
        <w:rPr>
          <w:rFonts w:ascii="Calibri" w:hAnsi="Calibri" w:cs="Calibri"/>
          <w:sz w:val="21"/>
          <w:szCs w:val="21"/>
        </w:rPr>
        <w:t>where</w:t>
      </w:r>
      <w:r w:rsidR="00BF7D42" w:rsidRPr="008E6933">
        <w:rPr>
          <w:rFonts w:ascii="Calibri" w:hAnsi="Calibri" w:cs="Calibri"/>
          <w:sz w:val="21"/>
          <w:szCs w:val="21"/>
        </w:rPr>
        <w:t xml:space="preserve"> </w:t>
      </w:r>
      <w:r w:rsidR="00996B6D" w:rsidRPr="008E6933">
        <w:rPr>
          <w:rFonts w:ascii="Calibri" w:hAnsi="Calibri" w:cs="Calibri"/>
          <w:sz w:val="21"/>
          <w:szCs w:val="21"/>
        </w:rPr>
        <w:t xml:space="preserve">several </w:t>
      </w:r>
      <w:r w:rsidR="00BF7D42" w:rsidRPr="008E6933">
        <w:rPr>
          <w:rFonts w:ascii="Calibri" w:hAnsi="Calibri" w:cs="Calibri"/>
          <w:sz w:val="21"/>
          <w:szCs w:val="21"/>
        </w:rPr>
        <w:t xml:space="preserve">solutions </w:t>
      </w:r>
      <w:r w:rsidR="00996B6D" w:rsidRPr="008E6933">
        <w:rPr>
          <w:rFonts w:ascii="Calibri" w:hAnsi="Calibri" w:cs="Calibri"/>
          <w:sz w:val="21"/>
          <w:szCs w:val="21"/>
        </w:rPr>
        <w:t>address a majority of barriers directly</w:t>
      </w:r>
      <w:r w:rsidR="00BF7D42" w:rsidRPr="008E6933">
        <w:rPr>
          <w:rFonts w:ascii="Calibri" w:hAnsi="Calibri" w:cs="Calibri"/>
          <w:sz w:val="21"/>
          <w:szCs w:val="21"/>
        </w:rPr>
        <w:t>.</w:t>
      </w:r>
      <w:proofErr w:type="gramEnd"/>
      <w:r w:rsidR="00BF7D42" w:rsidRPr="008E6933">
        <w:rPr>
          <w:rFonts w:ascii="Calibri" w:hAnsi="Calibri" w:cs="Calibri"/>
          <w:sz w:val="21"/>
          <w:szCs w:val="21"/>
        </w:rPr>
        <w:t xml:space="preserve"> </w:t>
      </w:r>
      <w:r w:rsidR="003F3E42" w:rsidRPr="008E6933">
        <w:rPr>
          <w:rFonts w:ascii="Calibri" w:hAnsi="Calibri" w:cs="Calibri"/>
          <w:sz w:val="21"/>
          <w:szCs w:val="21"/>
        </w:rPr>
        <w:t xml:space="preserve">CCC (2015) states that </w:t>
      </w:r>
      <w:r w:rsidR="003F3E42" w:rsidRPr="008E6933">
        <w:t xml:space="preserve">the cost of renewable generation options are sensitive to the required return of investment. If required returns </w:t>
      </w:r>
      <w:r w:rsidR="0094585B" w:rsidRPr="008E6933">
        <w:t xml:space="preserve">would be 1 % lower by 2020, procured low-carbon projects would save around £ 1 </w:t>
      </w:r>
      <w:proofErr w:type="spellStart"/>
      <w:r w:rsidR="0094585B" w:rsidRPr="008E6933">
        <w:t>bn</w:t>
      </w:r>
      <w:proofErr w:type="spellEnd"/>
      <w:r w:rsidR="0094585B" w:rsidRPr="008E6933">
        <w:t xml:space="preserve"> per year </w:t>
      </w:r>
      <w:r w:rsidR="00DE5C79" w:rsidRPr="008E6933">
        <w:t xml:space="preserve">from 2020 </w:t>
      </w:r>
      <w:r w:rsidR="0094585B" w:rsidRPr="008E6933">
        <w:t xml:space="preserve">until 2030 (CCC, 2015). </w:t>
      </w:r>
      <w:r w:rsidR="008B4A5F" w:rsidRPr="008E6933">
        <w:rPr>
          <w:rFonts w:ascii="Calibri" w:hAnsi="Calibri" w:cs="Calibri"/>
          <w:sz w:val="21"/>
          <w:szCs w:val="21"/>
        </w:rPr>
        <w:t xml:space="preserve">This is </w:t>
      </w:r>
      <w:r w:rsidR="00D07A09">
        <w:rPr>
          <w:rFonts w:ascii="Calibri" w:hAnsi="Calibri" w:cs="Calibri"/>
          <w:sz w:val="21"/>
          <w:szCs w:val="21"/>
        </w:rPr>
        <w:t>another important reason why</w:t>
      </w:r>
      <w:r w:rsidR="008B4A5F" w:rsidRPr="008E6933">
        <w:rPr>
          <w:rFonts w:ascii="Calibri" w:hAnsi="Calibri" w:cs="Calibri"/>
          <w:sz w:val="21"/>
          <w:szCs w:val="21"/>
        </w:rPr>
        <w:t xml:space="preserve"> we </w:t>
      </w:r>
      <w:r w:rsidR="00D07A09">
        <w:rPr>
          <w:rFonts w:ascii="Calibri" w:hAnsi="Calibri" w:cs="Calibri"/>
          <w:sz w:val="21"/>
          <w:szCs w:val="21"/>
        </w:rPr>
        <w:t>argue</w:t>
      </w:r>
      <w:r w:rsidR="00D07A09" w:rsidRPr="008E6933">
        <w:rPr>
          <w:rFonts w:ascii="Calibri" w:hAnsi="Calibri" w:cs="Calibri"/>
          <w:sz w:val="21"/>
          <w:szCs w:val="21"/>
        </w:rPr>
        <w:t xml:space="preserve"> </w:t>
      </w:r>
      <w:r w:rsidR="008B4A5F" w:rsidRPr="008E6933">
        <w:rPr>
          <w:rFonts w:ascii="Calibri" w:hAnsi="Calibri" w:cs="Calibri"/>
          <w:sz w:val="21"/>
          <w:szCs w:val="21"/>
        </w:rPr>
        <w:t xml:space="preserve">in the longer-term </w:t>
      </w:r>
      <w:r w:rsidR="00D07A09">
        <w:rPr>
          <w:rFonts w:ascii="Calibri" w:hAnsi="Calibri" w:cs="Calibri"/>
          <w:sz w:val="21"/>
          <w:szCs w:val="21"/>
        </w:rPr>
        <w:t xml:space="preserve">for </w:t>
      </w:r>
      <w:r w:rsidR="00BB371F" w:rsidRPr="008E6933">
        <w:rPr>
          <w:rFonts w:ascii="Calibri" w:hAnsi="Calibri" w:cs="Calibri"/>
          <w:sz w:val="21"/>
          <w:szCs w:val="21"/>
        </w:rPr>
        <w:t>the adoption of</w:t>
      </w:r>
      <w:r w:rsidR="008B4A5F" w:rsidRPr="008E6933">
        <w:rPr>
          <w:rFonts w:ascii="Calibri" w:hAnsi="Calibri" w:cs="Calibri"/>
          <w:sz w:val="21"/>
          <w:szCs w:val="21"/>
        </w:rPr>
        <w:t xml:space="preserve"> </w:t>
      </w:r>
      <w:r w:rsidR="00D07A09">
        <w:rPr>
          <w:rFonts w:ascii="Calibri" w:hAnsi="Calibri" w:cs="Calibri"/>
          <w:sz w:val="21"/>
          <w:szCs w:val="21"/>
        </w:rPr>
        <w:t xml:space="preserve">a </w:t>
      </w:r>
      <w:r w:rsidR="008B4A5F" w:rsidRPr="008E6933">
        <w:rPr>
          <w:rFonts w:ascii="Calibri" w:hAnsi="Calibri" w:cs="Calibri"/>
          <w:sz w:val="21"/>
          <w:szCs w:val="21"/>
        </w:rPr>
        <w:t xml:space="preserve">systems perspective </w:t>
      </w:r>
      <w:r w:rsidR="00BB371F" w:rsidRPr="008E6933">
        <w:rPr>
          <w:rFonts w:ascii="Calibri" w:hAnsi="Calibri" w:cs="Calibri"/>
          <w:sz w:val="21"/>
          <w:szCs w:val="21"/>
        </w:rPr>
        <w:t>for the investigation of</w:t>
      </w:r>
      <w:r w:rsidR="008B4A5F" w:rsidRPr="008E6933">
        <w:rPr>
          <w:rFonts w:ascii="Calibri" w:hAnsi="Calibri" w:cs="Calibri"/>
          <w:sz w:val="21"/>
          <w:szCs w:val="21"/>
        </w:rPr>
        <w:t xml:space="preserve"> what combinations of solutions would be the most effective to solve this policy c</w:t>
      </w:r>
      <w:r w:rsidR="00FE5AAE" w:rsidRPr="008E6933">
        <w:rPr>
          <w:rFonts w:ascii="Calibri" w:hAnsi="Calibri" w:cs="Calibri"/>
          <w:sz w:val="21"/>
          <w:szCs w:val="21"/>
        </w:rPr>
        <w:t xml:space="preserve">hallenge </w:t>
      </w:r>
      <w:r w:rsidR="00D07A09">
        <w:rPr>
          <w:rFonts w:ascii="Calibri" w:hAnsi="Calibri" w:cs="Calibri"/>
          <w:sz w:val="21"/>
          <w:szCs w:val="21"/>
        </w:rPr>
        <w:t xml:space="preserve">in a holistic way; </w:t>
      </w:r>
      <w:r w:rsidR="00FE5AAE" w:rsidRPr="008E6933">
        <w:rPr>
          <w:rFonts w:ascii="Calibri" w:hAnsi="Calibri" w:cs="Calibri"/>
          <w:sz w:val="21"/>
          <w:szCs w:val="21"/>
        </w:rPr>
        <w:t xml:space="preserve">rather than increase </w:t>
      </w:r>
      <w:r w:rsidR="00BB371F" w:rsidRPr="008E6933">
        <w:rPr>
          <w:rFonts w:ascii="Calibri" w:hAnsi="Calibri" w:cs="Calibri"/>
          <w:sz w:val="21"/>
          <w:szCs w:val="21"/>
        </w:rPr>
        <w:t xml:space="preserve">in </w:t>
      </w:r>
      <w:r w:rsidR="00FE5AAE" w:rsidRPr="008E6933">
        <w:rPr>
          <w:rFonts w:ascii="Calibri" w:hAnsi="Calibri" w:cs="Calibri"/>
          <w:sz w:val="21"/>
          <w:szCs w:val="21"/>
        </w:rPr>
        <w:t xml:space="preserve">the issuance of green bonds as a single </w:t>
      </w:r>
      <w:r w:rsidR="00D07A09">
        <w:rPr>
          <w:rFonts w:ascii="Calibri" w:hAnsi="Calibri" w:cs="Calibri"/>
          <w:sz w:val="21"/>
          <w:szCs w:val="21"/>
        </w:rPr>
        <w:t xml:space="preserve">long-term </w:t>
      </w:r>
      <w:r w:rsidR="00FE5AAE" w:rsidRPr="008E6933">
        <w:rPr>
          <w:rFonts w:ascii="Calibri" w:hAnsi="Calibri" w:cs="Calibri"/>
          <w:sz w:val="21"/>
          <w:szCs w:val="21"/>
        </w:rPr>
        <w:t xml:space="preserve">policy solution. </w:t>
      </w:r>
    </w:p>
    <w:p w14:paraId="63B32F59" w14:textId="7954B14C" w:rsidR="007D5EE2" w:rsidRPr="008B2B15" w:rsidRDefault="00E31437" w:rsidP="00D07A09">
      <w:pPr>
        <w:spacing w:before="240" w:after="0" w:line="276" w:lineRule="auto"/>
        <w:rPr>
          <w:rFonts w:ascii="Calibri" w:hAnsi="Calibri"/>
          <w:b/>
          <w:i/>
          <w:iCs/>
          <w:sz w:val="18"/>
          <w:szCs w:val="18"/>
        </w:rPr>
      </w:pPr>
      <w:r>
        <w:rPr>
          <w:b/>
        </w:rPr>
        <w:t>4</w:t>
      </w:r>
      <w:r w:rsidR="00906DC3" w:rsidRPr="008B2B15">
        <w:rPr>
          <w:b/>
        </w:rPr>
        <w:t xml:space="preserve">. </w:t>
      </w:r>
      <w:r w:rsidR="00655D18" w:rsidRPr="008B2B15">
        <w:rPr>
          <w:b/>
        </w:rPr>
        <w:t>Conclusions</w:t>
      </w:r>
      <w:r w:rsidR="00EF58E5" w:rsidRPr="008B2B15">
        <w:rPr>
          <w:b/>
        </w:rPr>
        <w:t xml:space="preserve"> </w:t>
      </w:r>
    </w:p>
    <w:p w14:paraId="08954DAF" w14:textId="7CF77045" w:rsidR="001F12D5" w:rsidRPr="008B2B15" w:rsidRDefault="00036200" w:rsidP="00FF6D9E">
      <w:pPr>
        <w:spacing w:before="240" w:after="0" w:line="276" w:lineRule="auto"/>
        <w:rPr>
          <w:rFonts w:ascii="Calibri" w:hAnsi="Calibri" w:cs="Calibri"/>
          <w:sz w:val="21"/>
          <w:szCs w:val="21"/>
        </w:rPr>
      </w:pPr>
      <w:r w:rsidRPr="008B2B15">
        <w:rPr>
          <w:rFonts w:ascii="Calibri" w:hAnsi="Calibri" w:cs="Calibri"/>
          <w:sz w:val="21"/>
          <w:szCs w:val="21"/>
        </w:rPr>
        <w:t xml:space="preserve">Drawing on our findings from an evaluation of key policy reports </w:t>
      </w:r>
      <w:r w:rsidR="007F4112" w:rsidRPr="008B2B15">
        <w:rPr>
          <w:rFonts w:ascii="Calibri" w:hAnsi="Calibri" w:cs="Calibri"/>
          <w:sz w:val="21"/>
          <w:szCs w:val="21"/>
        </w:rPr>
        <w:t xml:space="preserve">presented in Hafner </w:t>
      </w:r>
      <w:r w:rsidR="005E15F7">
        <w:rPr>
          <w:rFonts w:ascii="Calibri" w:hAnsi="Calibri" w:cs="Calibri"/>
          <w:sz w:val="21"/>
          <w:szCs w:val="21"/>
        </w:rPr>
        <w:t xml:space="preserve">et al. (2019), </w:t>
      </w:r>
      <w:r w:rsidRPr="008B2B15">
        <w:rPr>
          <w:rFonts w:ascii="Calibri" w:hAnsi="Calibri" w:cs="Calibri"/>
          <w:sz w:val="21"/>
          <w:szCs w:val="21"/>
        </w:rPr>
        <w:t>a systematic academic literature review</w:t>
      </w:r>
      <w:r w:rsidR="005E15F7">
        <w:rPr>
          <w:rFonts w:ascii="Calibri" w:hAnsi="Calibri" w:cs="Calibri"/>
          <w:sz w:val="21"/>
          <w:szCs w:val="21"/>
        </w:rPr>
        <w:t xml:space="preserve"> and </w:t>
      </w:r>
      <w:r w:rsidR="005E15F7" w:rsidRPr="008B2B15">
        <w:rPr>
          <w:rFonts w:ascii="Calibri" w:hAnsi="Calibri" w:cs="Calibri"/>
          <w:sz w:val="21"/>
          <w:szCs w:val="21"/>
        </w:rPr>
        <w:t>17 interviews with financial investors, advisors or acknowledged experts in this area,</w:t>
      </w:r>
      <w:r w:rsidRPr="008B2B15">
        <w:rPr>
          <w:rFonts w:ascii="Calibri" w:hAnsi="Calibri" w:cs="Calibri"/>
          <w:sz w:val="21"/>
          <w:szCs w:val="21"/>
        </w:rPr>
        <w:t xml:space="preserve"> our study has the following two</w:t>
      </w:r>
      <w:r w:rsidR="000A357A" w:rsidRPr="008B2B15">
        <w:rPr>
          <w:rFonts w:ascii="Calibri" w:hAnsi="Calibri" w:cs="Calibri"/>
          <w:sz w:val="21"/>
          <w:szCs w:val="21"/>
        </w:rPr>
        <w:t xml:space="preserve"> main</w:t>
      </w:r>
      <w:r w:rsidRPr="008B2B15">
        <w:rPr>
          <w:rFonts w:ascii="Calibri" w:hAnsi="Calibri" w:cs="Calibri"/>
          <w:sz w:val="21"/>
          <w:szCs w:val="21"/>
        </w:rPr>
        <w:t xml:space="preserve"> findings</w:t>
      </w:r>
      <w:r w:rsidR="007A2501" w:rsidRPr="008B2B15">
        <w:rPr>
          <w:rFonts w:ascii="Calibri" w:hAnsi="Calibri" w:cs="Calibri"/>
          <w:sz w:val="21"/>
          <w:szCs w:val="21"/>
        </w:rPr>
        <w:t xml:space="preserve">. </w:t>
      </w:r>
    </w:p>
    <w:p w14:paraId="06383A1A" w14:textId="6D322ADB" w:rsidR="00D07A09" w:rsidRPr="008B2B15" w:rsidRDefault="00D07A09" w:rsidP="003A2BD6">
      <w:pPr>
        <w:spacing w:before="240" w:line="276" w:lineRule="auto"/>
        <w:rPr>
          <w:rFonts w:ascii="Calibri" w:hAnsi="Calibri" w:cs="Calibri"/>
          <w:sz w:val="21"/>
          <w:szCs w:val="21"/>
        </w:rPr>
      </w:pPr>
      <w:r>
        <w:rPr>
          <w:rFonts w:ascii="Calibri" w:hAnsi="Calibri" w:cs="Calibri"/>
          <w:sz w:val="21"/>
          <w:szCs w:val="21"/>
        </w:rPr>
        <w:t>Firstly</w:t>
      </w:r>
      <w:r w:rsidRPr="008B2B15">
        <w:rPr>
          <w:rFonts w:ascii="Calibri" w:hAnsi="Calibri" w:cs="Calibri"/>
          <w:sz w:val="21"/>
          <w:szCs w:val="21"/>
        </w:rPr>
        <w:t xml:space="preserve">, our study shows that </w:t>
      </w:r>
      <w:r>
        <w:rPr>
          <w:rFonts w:ascii="Calibri" w:hAnsi="Calibri" w:cs="Calibri"/>
          <w:sz w:val="21"/>
          <w:szCs w:val="21"/>
        </w:rPr>
        <w:t>the identified</w:t>
      </w:r>
      <w:r w:rsidRPr="008B2B15">
        <w:rPr>
          <w:rFonts w:ascii="Calibri" w:hAnsi="Calibri" w:cs="Calibri"/>
          <w:sz w:val="21"/>
          <w:szCs w:val="21"/>
        </w:rPr>
        <w:t xml:space="preserve"> green investment barriers form a complex system </w:t>
      </w:r>
      <w:r>
        <w:rPr>
          <w:rFonts w:ascii="Calibri" w:hAnsi="Calibri" w:cs="Calibri"/>
          <w:sz w:val="21"/>
          <w:szCs w:val="21"/>
        </w:rPr>
        <w:t xml:space="preserve">of interrelated </w:t>
      </w:r>
      <w:proofErr w:type="gramStart"/>
      <w:r>
        <w:rPr>
          <w:rFonts w:ascii="Calibri" w:hAnsi="Calibri" w:cs="Calibri"/>
          <w:sz w:val="21"/>
          <w:szCs w:val="21"/>
        </w:rPr>
        <w:t>barriers which</w:t>
      </w:r>
      <w:proofErr w:type="gramEnd"/>
      <w:r>
        <w:rPr>
          <w:rFonts w:ascii="Calibri" w:hAnsi="Calibri" w:cs="Calibri"/>
          <w:sz w:val="21"/>
          <w:szCs w:val="21"/>
        </w:rPr>
        <w:t xml:space="preserve"> is </w:t>
      </w:r>
      <w:r w:rsidRPr="008B2B15">
        <w:rPr>
          <w:rFonts w:ascii="Calibri" w:hAnsi="Calibri" w:cs="Calibri"/>
          <w:sz w:val="21"/>
          <w:szCs w:val="21"/>
        </w:rPr>
        <w:t>characterised by path-dependency, loc</w:t>
      </w:r>
      <w:r>
        <w:rPr>
          <w:rFonts w:ascii="Calibri" w:hAnsi="Calibri" w:cs="Calibri"/>
          <w:sz w:val="21"/>
          <w:szCs w:val="21"/>
        </w:rPr>
        <w:t xml:space="preserve">k-in, delays and non-linearity, </w:t>
      </w:r>
      <w:r w:rsidRPr="008B2B15">
        <w:rPr>
          <w:rFonts w:ascii="Calibri" w:hAnsi="Calibri" w:cs="Calibri"/>
          <w:sz w:val="21"/>
          <w:szCs w:val="21"/>
        </w:rPr>
        <w:t xml:space="preserve">deterring the green finance gap from closing. </w:t>
      </w:r>
      <w:r>
        <w:rPr>
          <w:rFonts w:ascii="Calibri" w:hAnsi="Calibri" w:cs="Calibri"/>
          <w:sz w:val="21"/>
          <w:szCs w:val="21"/>
        </w:rPr>
        <w:t>The</w:t>
      </w:r>
      <w:r w:rsidRPr="008B2B15">
        <w:rPr>
          <w:rFonts w:ascii="Calibri" w:hAnsi="Calibri" w:cs="Calibri"/>
          <w:sz w:val="21"/>
          <w:szCs w:val="21"/>
        </w:rPr>
        <w:t xml:space="preserve"> different </w:t>
      </w:r>
      <w:r>
        <w:rPr>
          <w:rFonts w:ascii="Calibri" w:hAnsi="Calibri" w:cs="Calibri"/>
          <w:sz w:val="21"/>
          <w:szCs w:val="21"/>
        </w:rPr>
        <w:t xml:space="preserve">investment </w:t>
      </w:r>
      <w:r w:rsidRPr="008B2B15">
        <w:rPr>
          <w:rFonts w:ascii="Calibri" w:hAnsi="Calibri" w:cs="Calibri"/>
          <w:sz w:val="21"/>
          <w:szCs w:val="21"/>
        </w:rPr>
        <w:t>barriers origin</w:t>
      </w:r>
      <w:r w:rsidR="00C30AD8">
        <w:rPr>
          <w:rFonts w:ascii="Calibri" w:hAnsi="Calibri" w:cs="Calibri"/>
          <w:sz w:val="21"/>
          <w:szCs w:val="21"/>
        </w:rPr>
        <w:t>ate</w:t>
      </w:r>
      <w:r w:rsidRPr="008B2B15">
        <w:rPr>
          <w:rFonts w:ascii="Calibri" w:hAnsi="Calibri" w:cs="Calibri"/>
          <w:sz w:val="21"/>
          <w:szCs w:val="21"/>
        </w:rPr>
        <w:t xml:space="preserve"> from multiple interrelated subsystems, including but not limited to the electricity market, the institutional settings or financial markets, which adds complexity. Based on this </w:t>
      </w:r>
      <w:r>
        <w:rPr>
          <w:rFonts w:ascii="Calibri" w:hAnsi="Calibri" w:cs="Calibri"/>
          <w:sz w:val="21"/>
          <w:szCs w:val="21"/>
        </w:rPr>
        <w:t>first</w:t>
      </w:r>
      <w:r w:rsidRPr="008B2B15">
        <w:rPr>
          <w:rFonts w:ascii="Calibri" w:hAnsi="Calibri" w:cs="Calibri"/>
          <w:sz w:val="21"/>
          <w:szCs w:val="21"/>
        </w:rPr>
        <w:t xml:space="preserve"> finding, we recommend the adoption of a systems approach as analytical framework for the investigation of this policy challenge and in particular for the </w:t>
      </w:r>
      <w:r w:rsidRPr="00D07A09">
        <w:rPr>
          <w:rFonts w:ascii="Calibri" w:hAnsi="Calibri" w:cs="Calibri"/>
          <w:sz w:val="21"/>
          <w:szCs w:val="21"/>
        </w:rPr>
        <w:t>identification of key l</w:t>
      </w:r>
      <w:r w:rsidR="00C30AD8">
        <w:rPr>
          <w:rFonts w:ascii="Calibri" w:hAnsi="Calibri" w:cs="Calibri"/>
          <w:sz w:val="21"/>
          <w:szCs w:val="21"/>
        </w:rPr>
        <w:t>e</w:t>
      </w:r>
      <w:r w:rsidRPr="00D07A09">
        <w:rPr>
          <w:rFonts w:ascii="Calibri" w:hAnsi="Calibri" w:cs="Calibri"/>
          <w:sz w:val="21"/>
          <w:szCs w:val="21"/>
        </w:rPr>
        <w:t>v</w:t>
      </w:r>
      <w:r w:rsidR="00C30AD8">
        <w:rPr>
          <w:rFonts w:ascii="Calibri" w:hAnsi="Calibri" w:cs="Calibri"/>
          <w:sz w:val="21"/>
          <w:szCs w:val="21"/>
        </w:rPr>
        <w:t>er</w:t>
      </w:r>
      <w:r w:rsidRPr="00D07A09">
        <w:rPr>
          <w:rFonts w:ascii="Calibri" w:hAnsi="Calibri" w:cs="Calibri"/>
          <w:sz w:val="21"/>
          <w:szCs w:val="21"/>
        </w:rPr>
        <w:t xml:space="preserve">age-points for a more effective policy intervention in the longer term. </w:t>
      </w:r>
      <w:r w:rsidR="000456EF">
        <w:rPr>
          <w:rFonts w:ascii="Calibri" w:hAnsi="Calibri" w:cs="Calibri"/>
          <w:sz w:val="21"/>
          <w:szCs w:val="21"/>
        </w:rPr>
        <w:t>In the background of the urgency to mitigate the considered policy challenge, we suggest the implementation of a near-term solution</w:t>
      </w:r>
      <w:r w:rsidR="00E80951">
        <w:rPr>
          <w:rFonts w:ascii="Calibri" w:hAnsi="Calibri" w:cs="Calibri"/>
          <w:sz w:val="21"/>
          <w:szCs w:val="21"/>
        </w:rPr>
        <w:t xml:space="preserve"> while preparing an effective and systematic long-term intervention based on a systems approach</w:t>
      </w:r>
      <w:r w:rsidR="000456EF">
        <w:rPr>
          <w:rFonts w:ascii="Calibri" w:hAnsi="Calibri" w:cs="Calibri"/>
          <w:sz w:val="21"/>
          <w:szCs w:val="21"/>
        </w:rPr>
        <w:t xml:space="preserve">. </w:t>
      </w:r>
      <w:r w:rsidRPr="008B2B15">
        <w:rPr>
          <w:rFonts w:ascii="Calibri" w:hAnsi="Calibri" w:cs="Calibri"/>
          <w:sz w:val="21"/>
          <w:szCs w:val="21"/>
        </w:rPr>
        <w:t xml:space="preserve">A systems approach would further support policymakers to better understand linkages with other (cross-sectorial) policy objectives, and thus to consider in a systematic way potential adverse indirect impacts or co-benefits of policies. Finally, from a theoretical perspective, we argue that the adoption of a systems or complexity </w:t>
      </w:r>
      <w:r w:rsidR="000456EF">
        <w:rPr>
          <w:rFonts w:ascii="Calibri" w:hAnsi="Calibri" w:cs="Calibri"/>
          <w:sz w:val="21"/>
          <w:szCs w:val="21"/>
        </w:rPr>
        <w:t>perspective as analytical underpinning</w:t>
      </w:r>
      <w:r w:rsidRPr="008B2B15">
        <w:rPr>
          <w:rFonts w:ascii="Calibri" w:hAnsi="Calibri" w:cs="Calibri"/>
          <w:sz w:val="21"/>
          <w:szCs w:val="21"/>
        </w:rPr>
        <w:t xml:space="preserve"> </w:t>
      </w:r>
      <w:r w:rsidR="000456EF">
        <w:rPr>
          <w:rFonts w:ascii="Calibri" w:hAnsi="Calibri" w:cs="Calibri"/>
          <w:sz w:val="21"/>
          <w:szCs w:val="21"/>
        </w:rPr>
        <w:t>would allow</w:t>
      </w:r>
      <w:r w:rsidRPr="008B2B15">
        <w:rPr>
          <w:rFonts w:ascii="Calibri" w:hAnsi="Calibri" w:cs="Calibri"/>
          <w:sz w:val="21"/>
          <w:szCs w:val="21"/>
        </w:rPr>
        <w:t xml:space="preserve"> </w:t>
      </w:r>
      <w:r w:rsidR="00C30AD8">
        <w:rPr>
          <w:rFonts w:ascii="Calibri" w:hAnsi="Calibri" w:cs="Calibri"/>
          <w:sz w:val="21"/>
          <w:szCs w:val="21"/>
        </w:rPr>
        <w:t>the</w:t>
      </w:r>
      <w:r w:rsidRPr="008B2B15">
        <w:rPr>
          <w:rFonts w:ascii="Calibri" w:hAnsi="Calibri" w:cs="Calibri"/>
          <w:sz w:val="21"/>
          <w:szCs w:val="21"/>
        </w:rPr>
        <w:t xml:space="preserve"> consider</w:t>
      </w:r>
      <w:r w:rsidR="00C30AD8">
        <w:rPr>
          <w:rFonts w:ascii="Calibri" w:hAnsi="Calibri" w:cs="Calibri"/>
          <w:sz w:val="21"/>
          <w:szCs w:val="21"/>
        </w:rPr>
        <w:t>ation of</w:t>
      </w:r>
      <w:r w:rsidRPr="008B2B15">
        <w:rPr>
          <w:rFonts w:ascii="Calibri" w:hAnsi="Calibri" w:cs="Calibri"/>
          <w:sz w:val="21"/>
          <w:szCs w:val="21"/>
        </w:rPr>
        <w:t xml:space="preserve"> </w:t>
      </w:r>
      <w:r w:rsidR="000456EF">
        <w:rPr>
          <w:rFonts w:ascii="Calibri" w:hAnsi="Calibri" w:cs="Calibri"/>
          <w:sz w:val="21"/>
          <w:szCs w:val="21"/>
        </w:rPr>
        <w:t xml:space="preserve">dynamic </w:t>
      </w:r>
      <w:r w:rsidRPr="008B2B15">
        <w:rPr>
          <w:rFonts w:ascii="Calibri" w:hAnsi="Calibri" w:cs="Calibri"/>
          <w:sz w:val="21"/>
          <w:szCs w:val="21"/>
        </w:rPr>
        <w:t xml:space="preserve">non-marginal </w:t>
      </w:r>
      <w:r w:rsidR="000456EF">
        <w:rPr>
          <w:rFonts w:ascii="Calibri" w:hAnsi="Calibri" w:cs="Calibri"/>
          <w:sz w:val="21"/>
          <w:szCs w:val="21"/>
        </w:rPr>
        <w:t xml:space="preserve">and non-linear </w:t>
      </w:r>
      <w:r w:rsidRPr="008B2B15">
        <w:rPr>
          <w:rFonts w:ascii="Calibri" w:hAnsi="Calibri" w:cs="Calibri"/>
          <w:sz w:val="21"/>
          <w:szCs w:val="21"/>
        </w:rPr>
        <w:t xml:space="preserve">changes and policy instruments beyond price incentives, such as changes in regulations or market-shaping policy approaches in general. This </w:t>
      </w:r>
      <w:r w:rsidR="00C30AD8">
        <w:rPr>
          <w:rFonts w:ascii="Calibri" w:hAnsi="Calibri" w:cs="Calibri"/>
          <w:sz w:val="21"/>
          <w:szCs w:val="21"/>
        </w:rPr>
        <w:t>will</w:t>
      </w:r>
      <w:r w:rsidRPr="008B2B15">
        <w:rPr>
          <w:rFonts w:ascii="Calibri" w:hAnsi="Calibri" w:cs="Calibri"/>
          <w:sz w:val="21"/>
          <w:szCs w:val="21"/>
        </w:rPr>
        <w:t xml:space="preserve"> be required </w:t>
      </w:r>
      <w:r w:rsidRPr="008B2B15">
        <w:rPr>
          <w:rFonts w:ascii="Calibri" w:hAnsi="Calibri"/>
          <w:iCs/>
          <w:sz w:val="21"/>
          <w:szCs w:val="21"/>
        </w:rPr>
        <w:t xml:space="preserve">to scale-up investments into renewable energy infrastructure at necessary scale and pace. </w:t>
      </w:r>
    </w:p>
    <w:p w14:paraId="248AAE92" w14:textId="4122B4DC" w:rsidR="00036200" w:rsidRPr="008B2B15" w:rsidRDefault="00D07A09" w:rsidP="00036200">
      <w:pPr>
        <w:spacing w:after="0" w:line="276" w:lineRule="auto"/>
        <w:rPr>
          <w:rFonts w:ascii="Calibri" w:hAnsi="Calibri" w:cs="Calibri"/>
          <w:sz w:val="21"/>
          <w:szCs w:val="21"/>
        </w:rPr>
      </w:pPr>
      <w:r>
        <w:rPr>
          <w:rFonts w:ascii="Calibri" w:hAnsi="Calibri" w:cs="Calibri"/>
          <w:sz w:val="21"/>
          <w:szCs w:val="21"/>
        </w:rPr>
        <w:t>Secondly</w:t>
      </w:r>
      <w:r w:rsidR="00036200" w:rsidRPr="008B2B15">
        <w:rPr>
          <w:rFonts w:ascii="Calibri" w:hAnsi="Calibri" w:cs="Calibri"/>
          <w:sz w:val="21"/>
          <w:szCs w:val="21"/>
        </w:rPr>
        <w:t xml:space="preserve">, we </w:t>
      </w:r>
      <w:r w:rsidR="001F12D5" w:rsidRPr="008B2B15">
        <w:rPr>
          <w:rFonts w:ascii="Calibri" w:hAnsi="Calibri" w:cs="Calibri"/>
          <w:sz w:val="21"/>
          <w:szCs w:val="21"/>
        </w:rPr>
        <w:t>identify</w:t>
      </w:r>
      <w:r w:rsidR="00036200" w:rsidRPr="008B2B15">
        <w:rPr>
          <w:rFonts w:ascii="Calibri" w:hAnsi="Calibri" w:cs="Calibri"/>
          <w:sz w:val="21"/>
          <w:szCs w:val="21"/>
        </w:rPr>
        <w:t xml:space="preserve"> policy uncertainty and short-termism in the financial system </w:t>
      </w:r>
      <w:r w:rsidR="001F12D5" w:rsidRPr="008B2B15">
        <w:rPr>
          <w:rFonts w:ascii="Calibri" w:hAnsi="Calibri" w:cs="Calibri"/>
          <w:sz w:val="21"/>
          <w:szCs w:val="21"/>
        </w:rPr>
        <w:t>as</w:t>
      </w:r>
      <w:r w:rsidR="00036200" w:rsidRPr="008B2B15">
        <w:rPr>
          <w:rFonts w:ascii="Calibri" w:hAnsi="Calibri" w:cs="Calibri"/>
          <w:sz w:val="21"/>
          <w:szCs w:val="21"/>
        </w:rPr>
        <w:t xml:space="preserve"> the two most important green investment barriers</w:t>
      </w:r>
      <w:r w:rsidR="00B86EEC" w:rsidRPr="008B2B15">
        <w:rPr>
          <w:rFonts w:ascii="Calibri" w:hAnsi="Calibri" w:cs="Calibri"/>
          <w:sz w:val="21"/>
          <w:szCs w:val="21"/>
        </w:rPr>
        <w:t xml:space="preserve">. </w:t>
      </w:r>
      <w:r w:rsidR="00036200" w:rsidRPr="008B2B15">
        <w:rPr>
          <w:rFonts w:ascii="Calibri" w:hAnsi="Calibri" w:cs="Calibri"/>
          <w:sz w:val="21"/>
          <w:szCs w:val="21"/>
        </w:rPr>
        <w:t xml:space="preserve">We </w:t>
      </w:r>
      <w:r w:rsidR="00F66584" w:rsidRPr="008B2B15">
        <w:rPr>
          <w:rFonts w:ascii="Calibri" w:hAnsi="Calibri" w:cs="Calibri"/>
          <w:sz w:val="21"/>
          <w:szCs w:val="21"/>
        </w:rPr>
        <w:t>propose</w:t>
      </w:r>
      <w:r w:rsidR="00036200" w:rsidRPr="008B2B15">
        <w:rPr>
          <w:rFonts w:ascii="Calibri" w:hAnsi="Calibri" w:cs="Calibri"/>
          <w:sz w:val="21"/>
          <w:szCs w:val="21"/>
        </w:rPr>
        <w:t xml:space="preserve"> </w:t>
      </w:r>
      <w:r w:rsidR="00B86EEC" w:rsidRPr="008B2B15">
        <w:rPr>
          <w:rFonts w:ascii="Calibri" w:hAnsi="Calibri" w:cs="Calibri"/>
          <w:sz w:val="21"/>
          <w:szCs w:val="21"/>
        </w:rPr>
        <w:t>the development</w:t>
      </w:r>
      <w:r w:rsidR="0075178D" w:rsidRPr="008B2B15">
        <w:rPr>
          <w:rFonts w:ascii="Calibri" w:hAnsi="Calibri" w:cs="Calibri"/>
          <w:sz w:val="21"/>
          <w:szCs w:val="21"/>
        </w:rPr>
        <w:t xml:space="preserve"> or expansion</w:t>
      </w:r>
      <w:r w:rsidR="00B86EEC" w:rsidRPr="008B2B15">
        <w:rPr>
          <w:rFonts w:ascii="Calibri" w:hAnsi="Calibri" w:cs="Calibri"/>
          <w:sz w:val="21"/>
          <w:szCs w:val="21"/>
        </w:rPr>
        <w:t xml:space="preserve"> of mature, yet innovative green financing mechanisms (e.g. </w:t>
      </w:r>
      <w:r w:rsidR="00036200" w:rsidRPr="008B2B15">
        <w:rPr>
          <w:rFonts w:ascii="Calibri" w:hAnsi="Calibri" w:cs="Calibri"/>
          <w:sz w:val="21"/>
          <w:szCs w:val="21"/>
        </w:rPr>
        <w:t>green bonds</w:t>
      </w:r>
      <w:r w:rsidR="00B86EEC" w:rsidRPr="008B2B15">
        <w:rPr>
          <w:rFonts w:ascii="Calibri" w:hAnsi="Calibri" w:cs="Calibri"/>
          <w:sz w:val="21"/>
          <w:szCs w:val="21"/>
        </w:rPr>
        <w:t>)</w:t>
      </w:r>
      <w:r w:rsidR="00036200" w:rsidRPr="008B2B15">
        <w:rPr>
          <w:rFonts w:ascii="Calibri" w:hAnsi="Calibri" w:cs="Calibri"/>
          <w:sz w:val="21"/>
          <w:szCs w:val="21"/>
        </w:rPr>
        <w:t xml:space="preserve"> </w:t>
      </w:r>
      <w:r w:rsidR="00F66584" w:rsidRPr="008B2B15">
        <w:rPr>
          <w:rFonts w:ascii="Calibri" w:hAnsi="Calibri" w:cs="Calibri"/>
          <w:sz w:val="21"/>
          <w:szCs w:val="21"/>
        </w:rPr>
        <w:t>as</w:t>
      </w:r>
      <w:r w:rsidR="00036200" w:rsidRPr="008B2B15">
        <w:rPr>
          <w:rFonts w:ascii="Calibri" w:hAnsi="Calibri" w:cs="Calibri"/>
          <w:sz w:val="21"/>
          <w:szCs w:val="21"/>
        </w:rPr>
        <w:t xml:space="preserve"> an effective </w:t>
      </w:r>
      <w:r w:rsidR="00B86EEC" w:rsidRPr="008B2B15">
        <w:rPr>
          <w:rFonts w:ascii="Calibri" w:hAnsi="Calibri" w:cs="Calibri"/>
          <w:sz w:val="21"/>
          <w:szCs w:val="21"/>
        </w:rPr>
        <w:t>solution</w:t>
      </w:r>
      <w:r w:rsidR="00036200" w:rsidRPr="008B2B15">
        <w:rPr>
          <w:rFonts w:ascii="Calibri" w:hAnsi="Calibri" w:cs="Calibri"/>
          <w:sz w:val="21"/>
          <w:szCs w:val="21"/>
        </w:rPr>
        <w:t xml:space="preserve"> to increase green finance, t</w:t>
      </w:r>
      <w:r w:rsidR="001F12D5" w:rsidRPr="008B2B15">
        <w:rPr>
          <w:rFonts w:ascii="Calibri" w:hAnsi="Calibri" w:cs="Calibri"/>
          <w:sz w:val="21"/>
          <w:szCs w:val="21"/>
        </w:rPr>
        <w:t>o some extent, in the near-term. This solution would</w:t>
      </w:r>
      <w:r w:rsidR="00036200" w:rsidRPr="008B2B15">
        <w:rPr>
          <w:rFonts w:ascii="Calibri" w:hAnsi="Calibri" w:cs="Calibri"/>
          <w:sz w:val="21"/>
          <w:szCs w:val="21"/>
        </w:rPr>
        <w:t xml:space="preserve"> </w:t>
      </w:r>
      <w:r w:rsidR="001F12D5" w:rsidRPr="008B2B15">
        <w:rPr>
          <w:rFonts w:ascii="Calibri" w:hAnsi="Calibri" w:cs="Calibri"/>
          <w:sz w:val="21"/>
          <w:szCs w:val="21"/>
        </w:rPr>
        <w:t>address or circumvent</w:t>
      </w:r>
      <w:r w:rsidR="00036200" w:rsidRPr="008B2B15">
        <w:rPr>
          <w:rFonts w:ascii="Calibri" w:hAnsi="Calibri" w:cs="Calibri"/>
          <w:sz w:val="21"/>
          <w:szCs w:val="21"/>
        </w:rPr>
        <w:t xml:space="preserve"> the most important </w:t>
      </w:r>
      <w:r w:rsidR="00036200" w:rsidRPr="008B2B15">
        <w:rPr>
          <w:rFonts w:ascii="Calibri" w:hAnsi="Calibri" w:cs="Calibri"/>
          <w:sz w:val="21"/>
          <w:szCs w:val="21"/>
        </w:rPr>
        <w:lastRenderedPageBreak/>
        <w:t xml:space="preserve">identified green investment barriers. </w:t>
      </w:r>
      <w:r w:rsidR="00F66584" w:rsidRPr="008B2B15">
        <w:rPr>
          <w:rFonts w:ascii="Calibri" w:hAnsi="Calibri" w:cs="Calibri"/>
          <w:sz w:val="21"/>
          <w:szCs w:val="21"/>
        </w:rPr>
        <w:t xml:space="preserve">In addition, </w:t>
      </w:r>
      <w:r w:rsidR="00B86EEC" w:rsidRPr="008B2B15">
        <w:rPr>
          <w:rFonts w:ascii="Calibri" w:hAnsi="Calibri" w:cs="Calibri"/>
          <w:sz w:val="21"/>
          <w:szCs w:val="21"/>
        </w:rPr>
        <w:t>this approach</w:t>
      </w:r>
      <w:r w:rsidR="00F66584" w:rsidRPr="008B2B15">
        <w:rPr>
          <w:rFonts w:ascii="Calibri" w:hAnsi="Calibri" w:cs="Calibri"/>
          <w:sz w:val="21"/>
          <w:szCs w:val="21"/>
        </w:rPr>
        <w:t xml:space="preserve"> would not require the government to introduce further financial </w:t>
      </w:r>
      <w:proofErr w:type="gramStart"/>
      <w:r w:rsidR="00F66584" w:rsidRPr="008B2B15">
        <w:rPr>
          <w:rFonts w:ascii="Calibri" w:hAnsi="Calibri" w:cs="Calibri"/>
          <w:sz w:val="21"/>
          <w:szCs w:val="21"/>
        </w:rPr>
        <w:t>incentives which</w:t>
      </w:r>
      <w:proofErr w:type="gramEnd"/>
      <w:r w:rsidR="00F66584" w:rsidRPr="008B2B15">
        <w:rPr>
          <w:rFonts w:ascii="Calibri" w:hAnsi="Calibri" w:cs="Calibri"/>
          <w:sz w:val="21"/>
          <w:szCs w:val="21"/>
        </w:rPr>
        <w:t xml:space="preserve"> would add to the financial costs of a green transition. </w:t>
      </w:r>
      <w:r w:rsidR="004E0A15">
        <w:rPr>
          <w:rFonts w:ascii="Calibri" w:hAnsi="Calibri" w:cs="Calibri"/>
          <w:sz w:val="21"/>
          <w:szCs w:val="21"/>
        </w:rPr>
        <w:t xml:space="preserve">However, we </w:t>
      </w:r>
      <w:r w:rsidR="00E77B27">
        <w:rPr>
          <w:rFonts w:ascii="Calibri" w:hAnsi="Calibri" w:cs="Calibri"/>
          <w:sz w:val="21"/>
          <w:szCs w:val="21"/>
        </w:rPr>
        <w:t>underline</w:t>
      </w:r>
      <w:r w:rsidR="004E0A15">
        <w:rPr>
          <w:rFonts w:ascii="Calibri" w:hAnsi="Calibri" w:cs="Calibri"/>
          <w:sz w:val="21"/>
          <w:szCs w:val="21"/>
        </w:rPr>
        <w:t xml:space="preserve"> that this response </w:t>
      </w:r>
      <w:proofErr w:type="gramStart"/>
      <w:r w:rsidR="004E0A15">
        <w:rPr>
          <w:rFonts w:ascii="Calibri" w:hAnsi="Calibri" w:cs="Calibri"/>
          <w:sz w:val="21"/>
          <w:szCs w:val="21"/>
        </w:rPr>
        <w:t>will not in itself be</w:t>
      </w:r>
      <w:proofErr w:type="gramEnd"/>
      <w:r w:rsidR="004E0A15">
        <w:rPr>
          <w:rFonts w:ascii="Calibri" w:hAnsi="Calibri" w:cs="Calibri"/>
          <w:sz w:val="21"/>
          <w:szCs w:val="21"/>
        </w:rPr>
        <w:t xml:space="preserve"> sufficient to tackle the green finance gap. </w:t>
      </w:r>
    </w:p>
    <w:p w14:paraId="13F2A09E" w14:textId="11C3E9A0" w:rsidR="001F12D5" w:rsidRPr="008B2B15" w:rsidRDefault="00072799" w:rsidP="003A2BD6">
      <w:pPr>
        <w:spacing w:before="240" w:line="276" w:lineRule="auto"/>
        <w:rPr>
          <w:rFonts w:ascii="Calibri" w:hAnsi="Calibri" w:cs="Calibri"/>
          <w:sz w:val="21"/>
          <w:szCs w:val="21"/>
        </w:rPr>
      </w:pPr>
      <w:r w:rsidRPr="008B2B15">
        <w:rPr>
          <w:rFonts w:ascii="Calibri" w:hAnsi="Calibri" w:cs="Calibri"/>
          <w:sz w:val="21"/>
          <w:szCs w:val="21"/>
        </w:rPr>
        <w:t>A</w:t>
      </w:r>
      <w:r w:rsidR="0053464C" w:rsidRPr="008B2B15">
        <w:rPr>
          <w:rFonts w:ascii="Calibri" w:hAnsi="Calibri" w:cs="Calibri"/>
          <w:sz w:val="21"/>
          <w:szCs w:val="21"/>
        </w:rPr>
        <w:t xml:space="preserve"> general challenge of the adoption of a systems approach is balanc</w:t>
      </w:r>
      <w:r w:rsidR="00DE498F">
        <w:rPr>
          <w:rFonts w:ascii="Calibri" w:hAnsi="Calibri" w:cs="Calibri"/>
          <w:sz w:val="21"/>
          <w:szCs w:val="21"/>
        </w:rPr>
        <w:t>ing</w:t>
      </w:r>
      <w:r w:rsidR="0053464C" w:rsidRPr="008B2B15">
        <w:rPr>
          <w:rFonts w:ascii="Calibri" w:hAnsi="Calibri" w:cs="Calibri"/>
          <w:sz w:val="21"/>
          <w:szCs w:val="21"/>
        </w:rPr>
        <w:t xml:space="preserve"> different trade-offs between (cross-sectorial) </w:t>
      </w:r>
      <w:proofErr w:type="gramStart"/>
      <w:r w:rsidR="0053464C" w:rsidRPr="008B2B15">
        <w:rPr>
          <w:rFonts w:ascii="Calibri" w:hAnsi="Calibri" w:cs="Calibri"/>
          <w:sz w:val="21"/>
          <w:szCs w:val="21"/>
        </w:rPr>
        <w:t>policy</w:t>
      </w:r>
      <w:proofErr w:type="gramEnd"/>
      <w:r w:rsidR="0053464C" w:rsidRPr="008B2B15">
        <w:rPr>
          <w:rFonts w:ascii="Calibri" w:hAnsi="Calibri" w:cs="Calibri"/>
          <w:sz w:val="21"/>
          <w:szCs w:val="21"/>
        </w:rPr>
        <w:t xml:space="preserve"> objectives and diverting interests of various stakeholders. Therefore, c</w:t>
      </w:r>
      <w:r w:rsidR="00036200" w:rsidRPr="008B2B15">
        <w:rPr>
          <w:rFonts w:ascii="Calibri" w:hAnsi="Calibri" w:cs="Calibri"/>
          <w:sz w:val="21"/>
          <w:szCs w:val="21"/>
        </w:rPr>
        <w:t xml:space="preserve">areful planning, efficient communication and multi-level (regional-national) coordination between government departments and other (international) actors, including the wider society, will be required for policy implementation based on a systems approach. We suggest further research to investigate what tools and institutional settings would support systematic planning and goal-oriented multi-stakeholder engagement, at all stages of policymaking. </w:t>
      </w:r>
    </w:p>
    <w:p w14:paraId="68F8C2DF" w14:textId="6DE559E2" w:rsidR="005D3760" w:rsidRDefault="00072799" w:rsidP="00D7335E">
      <w:pPr>
        <w:spacing w:after="0" w:line="276" w:lineRule="auto"/>
        <w:rPr>
          <w:rFonts w:ascii="Calibri" w:hAnsi="Calibri" w:cs="Calibri"/>
          <w:sz w:val="21"/>
          <w:szCs w:val="21"/>
        </w:rPr>
      </w:pPr>
      <w:r w:rsidRPr="008B2B15">
        <w:rPr>
          <w:rFonts w:ascii="Calibri" w:hAnsi="Calibri" w:cs="Calibri"/>
          <w:sz w:val="21"/>
          <w:szCs w:val="21"/>
        </w:rPr>
        <w:t xml:space="preserve">Finally, our study does not investigate how different green investment barriers are </w:t>
      </w:r>
      <w:r w:rsidR="00F66584" w:rsidRPr="008B2B15">
        <w:rPr>
          <w:rFonts w:ascii="Calibri" w:hAnsi="Calibri" w:cs="Calibri"/>
          <w:sz w:val="21"/>
          <w:szCs w:val="21"/>
        </w:rPr>
        <w:t>inter</w:t>
      </w:r>
      <w:r w:rsidRPr="008B2B15">
        <w:rPr>
          <w:rFonts w:ascii="Calibri" w:hAnsi="Calibri" w:cs="Calibri"/>
          <w:sz w:val="21"/>
          <w:szCs w:val="21"/>
        </w:rPr>
        <w:t>linked</w:t>
      </w:r>
      <w:r w:rsidR="00F66584" w:rsidRPr="008B2B15">
        <w:rPr>
          <w:rFonts w:ascii="Calibri" w:hAnsi="Calibri" w:cs="Calibri"/>
          <w:sz w:val="21"/>
          <w:szCs w:val="21"/>
        </w:rPr>
        <w:t xml:space="preserve"> exactly</w:t>
      </w:r>
      <w:r w:rsidRPr="008B2B15">
        <w:rPr>
          <w:rFonts w:ascii="Calibri" w:hAnsi="Calibri" w:cs="Calibri"/>
          <w:sz w:val="21"/>
          <w:szCs w:val="21"/>
        </w:rPr>
        <w:t xml:space="preserve">, </w:t>
      </w:r>
      <w:r w:rsidR="00CB0646">
        <w:rPr>
          <w:rFonts w:ascii="Calibri" w:hAnsi="Calibri" w:cs="Calibri"/>
          <w:sz w:val="21"/>
          <w:szCs w:val="21"/>
        </w:rPr>
        <w:t xml:space="preserve"> how</w:t>
      </w:r>
      <w:r w:rsidR="009522F5">
        <w:rPr>
          <w:rFonts w:ascii="Calibri" w:hAnsi="Calibri" w:cs="Calibri"/>
          <w:sz w:val="21"/>
          <w:szCs w:val="21"/>
        </w:rPr>
        <w:t xml:space="preserve"> </w:t>
      </w:r>
      <w:r w:rsidR="00CB0646">
        <w:rPr>
          <w:rFonts w:ascii="Calibri" w:hAnsi="Calibri" w:cs="Calibri"/>
          <w:sz w:val="21"/>
          <w:szCs w:val="21"/>
        </w:rPr>
        <w:t xml:space="preserve">and what </w:t>
      </w:r>
      <w:r w:rsidR="009522F5">
        <w:rPr>
          <w:rFonts w:ascii="Calibri" w:hAnsi="Calibri" w:cs="Calibri"/>
          <w:sz w:val="21"/>
          <w:szCs w:val="21"/>
        </w:rPr>
        <w:t>policy intervention</w:t>
      </w:r>
      <w:r w:rsidR="00CB0646">
        <w:rPr>
          <w:rFonts w:ascii="Calibri" w:hAnsi="Calibri" w:cs="Calibri"/>
          <w:sz w:val="21"/>
          <w:szCs w:val="21"/>
        </w:rPr>
        <w:t>s</w:t>
      </w:r>
      <w:r w:rsidR="009522F5">
        <w:rPr>
          <w:rFonts w:ascii="Calibri" w:hAnsi="Calibri" w:cs="Calibri"/>
          <w:sz w:val="21"/>
          <w:szCs w:val="21"/>
        </w:rPr>
        <w:t xml:space="preserve"> based on a systems perspective</w:t>
      </w:r>
      <w:r w:rsidR="00CB0646">
        <w:rPr>
          <w:rFonts w:ascii="Calibri" w:hAnsi="Calibri" w:cs="Calibri"/>
          <w:sz w:val="21"/>
          <w:szCs w:val="21"/>
        </w:rPr>
        <w:t xml:space="preserve"> should be applied</w:t>
      </w:r>
      <w:r w:rsidRPr="008B2B15">
        <w:rPr>
          <w:rFonts w:ascii="Calibri" w:hAnsi="Calibri" w:cs="Calibri"/>
          <w:sz w:val="21"/>
          <w:szCs w:val="21"/>
        </w:rPr>
        <w:t xml:space="preserve"> and how much finance would flow into renewable energy infrastructure when different </w:t>
      </w:r>
      <w:r w:rsidR="00CB0646">
        <w:rPr>
          <w:rFonts w:ascii="Calibri" w:hAnsi="Calibri" w:cs="Calibri"/>
          <w:sz w:val="21"/>
          <w:szCs w:val="21"/>
        </w:rPr>
        <w:t xml:space="preserve">‘linear’ </w:t>
      </w:r>
      <w:r w:rsidRPr="008B2B15">
        <w:rPr>
          <w:rFonts w:ascii="Calibri" w:hAnsi="Calibri" w:cs="Calibri"/>
          <w:sz w:val="21"/>
          <w:szCs w:val="21"/>
        </w:rPr>
        <w:t xml:space="preserve">solutions </w:t>
      </w:r>
      <w:r w:rsidR="00CB0646">
        <w:rPr>
          <w:rFonts w:ascii="Calibri" w:hAnsi="Calibri" w:cs="Calibri"/>
          <w:sz w:val="21"/>
          <w:szCs w:val="21"/>
        </w:rPr>
        <w:t xml:space="preserve">or systematic policy interventions </w:t>
      </w:r>
      <w:r w:rsidRPr="008B2B15">
        <w:rPr>
          <w:rFonts w:ascii="Calibri" w:hAnsi="Calibri" w:cs="Calibri"/>
          <w:sz w:val="21"/>
          <w:szCs w:val="21"/>
        </w:rPr>
        <w:t xml:space="preserve">would be introduced. Therefore, future research should clarify the underlying </w:t>
      </w:r>
      <w:r w:rsidR="00CB0646">
        <w:rPr>
          <w:rFonts w:ascii="Calibri" w:hAnsi="Calibri" w:cs="Calibri"/>
          <w:sz w:val="21"/>
          <w:szCs w:val="21"/>
        </w:rPr>
        <w:t xml:space="preserve">complexity of the green finance gap </w:t>
      </w:r>
      <w:r w:rsidRPr="008B2B15">
        <w:rPr>
          <w:rFonts w:ascii="Calibri" w:hAnsi="Calibri" w:cs="Calibri"/>
          <w:sz w:val="21"/>
          <w:szCs w:val="21"/>
        </w:rPr>
        <w:t xml:space="preserve">for </w:t>
      </w:r>
      <w:r w:rsidR="00CB0646">
        <w:rPr>
          <w:rFonts w:ascii="Calibri" w:hAnsi="Calibri" w:cs="Calibri"/>
          <w:sz w:val="21"/>
          <w:szCs w:val="21"/>
        </w:rPr>
        <w:t>different</w:t>
      </w:r>
      <w:r w:rsidR="00CB0646" w:rsidRPr="008B2B15">
        <w:rPr>
          <w:rFonts w:ascii="Calibri" w:hAnsi="Calibri" w:cs="Calibri"/>
          <w:sz w:val="21"/>
          <w:szCs w:val="21"/>
        </w:rPr>
        <w:t xml:space="preserve"> </w:t>
      </w:r>
      <w:r w:rsidRPr="008B2B15">
        <w:rPr>
          <w:rFonts w:ascii="Calibri" w:hAnsi="Calibri" w:cs="Calibri"/>
          <w:sz w:val="21"/>
          <w:szCs w:val="21"/>
        </w:rPr>
        <w:t>type</w:t>
      </w:r>
      <w:r w:rsidR="00CB0646">
        <w:rPr>
          <w:rFonts w:ascii="Calibri" w:hAnsi="Calibri" w:cs="Calibri"/>
          <w:sz w:val="21"/>
          <w:szCs w:val="21"/>
        </w:rPr>
        <w:t>s</w:t>
      </w:r>
      <w:r w:rsidRPr="008B2B15">
        <w:rPr>
          <w:rFonts w:ascii="Calibri" w:hAnsi="Calibri" w:cs="Calibri"/>
          <w:sz w:val="21"/>
          <w:szCs w:val="21"/>
        </w:rPr>
        <w:t xml:space="preserve"> of investor</w:t>
      </w:r>
      <w:r w:rsidR="00CB0646">
        <w:rPr>
          <w:rFonts w:ascii="Calibri" w:hAnsi="Calibri" w:cs="Calibri"/>
          <w:sz w:val="21"/>
          <w:szCs w:val="21"/>
        </w:rPr>
        <w:t>s</w:t>
      </w:r>
      <w:r w:rsidRPr="008B2B15">
        <w:rPr>
          <w:rFonts w:ascii="Calibri" w:hAnsi="Calibri" w:cs="Calibri"/>
          <w:sz w:val="21"/>
          <w:szCs w:val="21"/>
        </w:rPr>
        <w:t xml:space="preserve"> (</w:t>
      </w:r>
      <w:r w:rsidR="007A2501" w:rsidRPr="008B2B15">
        <w:rPr>
          <w:rFonts w:ascii="Calibri" w:hAnsi="Calibri" w:cs="Calibri"/>
          <w:sz w:val="21"/>
          <w:szCs w:val="21"/>
        </w:rPr>
        <w:t xml:space="preserve">e.g. </w:t>
      </w:r>
      <w:r w:rsidRPr="008B2B15">
        <w:rPr>
          <w:rFonts w:ascii="Calibri" w:hAnsi="Calibri" w:cs="Calibri"/>
          <w:sz w:val="21"/>
          <w:szCs w:val="21"/>
        </w:rPr>
        <w:t>pension funds, ins</w:t>
      </w:r>
      <w:r w:rsidR="007A2501" w:rsidRPr="008B2B15">
        <w:rPr>
          <w:rFonts w:ascii="Calibri" w:hAnsi="Calibri" w:cs="Calibri"/>
          <w:sz w:val="21"/>
          <w:szCs w:val="21"/>
        </w:rPr>
        <w:t>urances, sovereign wealth funds</w:t>
      </w:r>
      <w:r w:rsidRPr="008B2B15">
        <w:rPr>
          <w:rFonts w:ascii="Calibri" w:hAnsi="Calibri" w:cs="Calibri"/>
          <w:sz w:val="21"/>
          <w:szCs w:val="21"/>
        </w:rPr>
        <w:t xml:space="preserve">). This </w:t>
      </w:r>
      <w:proofErr w:type="gramStart"/>
      <w:r w:rsidRPr="008B2B15">
        <w:rPr>
          <w:rFonts w:ascii="Calibri" w:hAnsi="Calibri" w:cs="Calibri"/>
          <w:sz w:val="21"/>
          <w:szCs w:val="21"/>
        </w:rPr>
        <w:t>could be achieved</w:t>
      </w:r>
      <w:proofErr w:type="gramEnd"/>
      <w:r w:rsidRPr="008B2B15">
        <w:rPr>
          <w:rFonts w:ascii="Calibri" w:hAnsi="Calibri" w:cs="Calibri"/>
          <w:sz w:val="21"/>
          <w:szCs w:val="21"/>
        </w:rPr>
        <w:t xml:space="preserve"> for example by conducting multi-stakeholder participatory (conceptual) syst</w:t>
      </w:r>
      <w:r w:rsidR="00F77D54" w:rsidRPr="008B2B15">
        <w:rPr>
          <w:rFonts w:ascii="Calibri" w:hAnsi="Calibri" w:cs="Calibri"/>
          <w:sz w:val="21"/>
          <w:szCs w:val="21"/>
        </w:rPr>
        <w:t xml:space="preserve">ems modelling building sessions. </w:t>
      </w:r>
      <w:r w:rsidRPr="008B2B15">
        <w:rPr>
          <w:rFonts w:ascii="Calibri" w:hAnsi="Calibri" w:cs="Calibri"/>
          <w:sz w:val="21"/>
          <w:szCs w:val="21"/>
        </w:rPr>
        <w:t xml:space="preserve">We also recommend future research to investigate in more detail potential undesired and desired side effects of </w:t>
      </w:r>
      <w:r w:rsidR="009522F5">
        <w:rPr>
          <w:rFonts w:ascii="Calibri" w:hAnsi="Calibri" w:cs="Calibri"/>
          <w:sz w:val="21"/>
          <w:szCs w:val="21"/>
        </w:rPr>
        <w:t xml:space="preserve">systematic </w:t>
      </w:r>
      <w:r w:rsidRPr="008B2B15">
        <w:rPr>
          <w:rFonts w:ascii="Calibri" w:hAnsi="Calibri" w:cs="Calibri"/>
          <w:sz w:val="21"/>
          <w:szCs w:val="21"/>
        </w:rPr>
        <w:t xml:space="preserve">policy intervention to close the green finance gap. </w:t>
      </w:r>
    </w:p>
    <w:p w14:paraId="39BA15BA" w14:textId="77777777" w:rsidR="005D3760" w:rsidRPr="005D3760" w:rsidRDefault="005D3760" w:rsidP="005D3760">
      <w:pPr>
        <w:pStyle w:val="Heading2"/>
        <w:spacing w:before="225" w:line="339" w:lineRule="atLeast"/>
        <w:rPr>
          <w:rFonts w:ascii="Calibri" w:hAnsi="Calibri" w:cs="Calibri"/>
          <w:color w:val="000000"/>
          <w:sz w:val="21"/>
          <w:szCs w:val="21"/>
        </w:rPr>
      </w:pPr>
      <w:r w:rsidRPr="005D3760">
        <w:rPr>
          <w:rFonts w:ascii="Calibri" w:hAnsi="Calibri" w:cs="Calibri"/>
          <w:color w:val="000000"/>
          <w:sz w:val="21"/>
          <w:szCs w:val="21"/>
        </w:rPr>
        <w:t>Funding</w:t>
      </w:r>
    </w:p>
    <w:p w14:paraId="32E05CA9" w14:textId="5499CB35" w:rsidR="005D3760" w:rsidRPr="005D3760" w:rsidRDefault="005D3760" w:rsidP="005D3760">
      <w:pPr>
        <w:ind w:firstLine="484"/>
        <w:rPr>
          <w:rFonts w:ascii="Calibri" w:hAnsi="Calibri" w:cs="Calibri"/>
          <w:sz w:val="21"/>
          <w:szCs w:val="21"/>
        </w:rPr>
      </w:pPr>
      <w:r w:rsidRPr="005D3760">
        <w:rPr>
          <w:rFonts w:ascii="Calibri" w:hAnsi="Calibri" w:cs="Calibri"/>
          <w:sz w:val="21"/>
          <w:szCs w:val="21"/>
        </w:rPr>
        <w:t>The financial support of the Economic and Social Research Council for the Centre for the Understanding of Sustainable Prosperity (CUSP) (ESRC grant no: ES/M010163/1) is gratefully acknowledged.</w:t>
      </w:r>
      <w:r w:rsidR="00B74202">
        <w:rPr>
          <w:rFonts w:ascii="Calibri" w:hAnsi="Calibri" w:cs="Calibri"/>
          <w:sz w:val="21"/>
          <w:szCs w:val="21"/>
        </w:rPr>
        <w:t xml:space="preserve"> </w:t>
      </w:r>
    </w:p>
    <w:p w14:paraId="25CF71DA" w14:textId="64D19E47" w:rsidR="003E140E" w:rsidRDefault="003E140E" w:rsidP="003E140E">
      <w:pPr>
        <w:pStyle w:val="Heading2"/>
        <w:spacing w:before="225" w:line="339" w:lineRule="atLeast"/>
        <w:rPr>
          <w:rFonts w:ascii="Calibri" w:hAnsi="Calibri" w:cs="Calibri"/>
          <w:color w:val="000000"/>
          <w:sz w:val="21"/>
          <w:szCs w:val="21"/>
        </w:rPr>
      </w:pPr>
      <w:r>
        <w:rPr>
          <w:rFonts w:ascii="Calibri" w:hAnsi="Calibri" w:cs="Calibri"/>
          <w:color w:val="000000"/>
          <w:sz w:val="21"/>
          <w:szCs w:val="21"/>
        </w:rPr>
        <w:t>Acknowledgements</w:t>
      </w:r>
    </w:p>
    <w:p w14:paraId="58B1FA56" w14:textId="4FA2648D" w:rsidR="003E140E" w:rsidRPr="006A0CDD" w:rsidRDefault="003E140E" w:rsidP="006A0CDD">
      <w:pPr>
        <w:ind w:firstLine="720"/>
      </w:pPr>
      <w:r>
        <w:t xml:space="preserve">We thank two anonymous reviewers for the helpful comments. </w:t>
      </w:r>
    </w:p>
    <w:p w14:paraId="644F7BEF" w14:textId="77777777" w:rsidR="005D3760" w:rsidRPr="005D3760" w:rsidRDefault="005D3760" w:rsidP="005D3760">
      <w:pPr>
        <w:pStyle w:val="Heading2"/>
        <w:spacing w:before="225" w:line="339" w:lineRule="atLeast"/>
        <w:rPr>
          <w:rFonts w:ascii="Calibri" w:hAnsi="Calibri" w:cs="Calibri"/>
          <w:color w:val="000000"/>
          <w:sz w:val="21"/>
          <w:szCs w:val="21"/>
        </w:rPr>
      </w:pPr>
      <w:r w:rsidRPr="005D3760">
        <w:rPr>
          <w:rFonts w:ascii="Calibri" w:hAnsi="Calibri" w:cs="Calibri"/>
          <w:color w:val="000000"/>
          <w:sz w:val="21"/>
          <w:szCs w:val="21"/>
        </w:rPr>
        <w:t>Conflicts of Interest</w:t>
      </w:r>
    </w:p>
    <w:p w14:paraId="03D1EC2A" w14:textId="45D294B9" w:rsidR="00D7335E" w:rsidRPr="005D3760" w:rsidRDefault="005D3760" w:rsidP="005D3760">
      <w:pPr>
        <w:ind w:firstLine="484"/>
        <w:rPr>
          <w:rFonts w:ascii="Times New Roman" w:hAnsi="Times New Roman" w:cs="Times New Roman"/>
          <w:sz w:val="24"/>
          <w:szCs w:val="24"/>
        </w:rPr>
      </w:pPr>
      <w:r w:rsidRPr="005D3760">
        <w:rPr>
          <w:rFonts w:ascii="Calibri" w:hAnsi="Calibri" w:cs="Calibri"/>
          <w:sz w:val="21"/>
          <w:szCs w:val="21"/>
        </w:rPr>
        <w:t>The authors declare no conflict of interest.</w:t>
      </w:r>
      <w:r w:rsidR="00D7335E">
        <w:rPr>
          <w:rFonts w:ascii="Calibri" w:hAnsi="Calibri" w:cs="Calibri"/>
          <w:b/>
          <w:sz w:val="21"/>
          <w:szCs w:val="21"/>
        </w:rPr>
        <w:br w:type="page"/>
      </w:r>
    </w:p>
    <w:p w14:paraId="3DA7BEEE" w14:textId="7BE7B9DA" w:rsidR="00431638" w:rsidRPr="003F4FF4" w:rsidRDefault="00431638" w:rsidP="00D7335E">
      <w:pPr>
        <w:suppressLineNumbers/>
        <w:spacing w:line="276" w:lineRule="auto"/>
        <w:ind w:left="720" w:hanging="720"/>
        <w:rPr>
          <w:rFonts w:ascii="Calibri" w:hAnsi="Calibri" w:cs="Calibri"/>
          <w:b/>
          <w:sz w:val="21"/>
          <w:szCs w:val="21"/>
        </w:rPr>
      </w:pPr>
      <w:r w:rsidRPr="003F4FF4">
        <w:rPr>
          <w:rFonts w:ascii="Calibri" w:hAnsi="Calibri" w:cs="Calibri"/>
          <w:b/>
          <w:sz w:val="21"/>
          <w:szCs w:val="21"/>
        </w:rPr>
        <w:lastRenderedPageBreak/>
        <w:t>References</w:t>
      </w:r>
    </w:p>
    <w:p w14:paraId="6754747E"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Agliardi</w:t>
      </w:r>
      <w:proofErr w:type="spellEnd"/>
      <w:r w:rsidRPr="003F4FF4">
        <w:rPr>
          <w:rFonts w:ascii="Calibri" w:hAnsi="Calibri" w:cs="Calibri"/>
          <w:sz w:val="21"/>
          <w:szCs w:val="21"/>
        </w:rPr>
        <w:t xml:space="preserve">, E., &amp; </w:t>
      </w:r>
      <w:proofErr w:type="spellStart"/>
      <w:r w:rsidRPr="003F4FF4">
        <w:rPr>
          <w:rFonts w:ascii="Calibri" w:hAnsi="Calibri" w:cs="Calibri"/>
          <w:sz w:val="21"/>
          <w:szCs w:val="21"/>
        </w:rPr>
        <w:t>Agliardi</w:t>
      </w:r>
      <w:proofErr w:type="spellEnd"/>
      <w:r w:rsidRPr="003F4FF4">
        <w:rPr>
          <w:rFonts w:ascii="Calibri" w:hAnsi="Calibri" w:cs="Calibri"/>
          <w:sz w:val="21"/>
          <w:szCs w:val="21"/>
        </w:rPr>
        <w:t xml:space="preserve">, R. (2019). Financing </w:t>
      </w:r>
      <w:proofErr w:type="gramStart"/>
      <w:r w:rsidRPr="003F4FF4">
        <w:rPr>
          <w:rFonts w:ascii="Calibri" w:hAnsi="Calibri" w:cs="Calibri"/>
          <w:sz w:val="21"/>
          <w:szCs w:val="21"/>
        </w:rPr>
        <w:t>environmentally-sustainable</w:t>
      </w:r>
      <w:proofErr w:type="gramEnd"/>
      <w:r w:rsidRPr="003F4FF4">
        <w:rPr>
          <w:rFonts w:ascii="Calibri" w:hAnsi="Calibri" w:cs="Calibri"/>
          <w:sz w:val="21"/>
          <w:szCs w:val="21"/>
        </w:rPr>
        <w:t xml:space="preserve"> projects with green bonds. </w:t>
      </w:r>
      <w:r w:rsidRPr="003F4FF4">
        <w:rPr>
          <w:rFonts w:ascii="Calibri" w:hAnsi="Calibri" w:cs="Calibri"/>
          <w:i/>
          <w:iCs/>
          <w:sz w:val="21"/>
          <w:szCs w:val="21"/>
        </w:rPr>
        <w:t>Environment and Development Economics</w:t>
      </w:r>
      <w:r w:rsidRPr="003F4FF4">
        <w:rPr>
          <w:rFonts w:ascii="Calibri" w:hAnsi="Calibri" w:cs="Calibri"/>
          <w:sz w:val="21"/>
          <w:szCs w:val="21"/>
        </w:rPr>
        <w:t>, 1-16.</w:t>
      </w:r>
    </w:p>
    <w:p w14:paraId="2E060348"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shd w:val="clear" w:color="auto" w:fill="FFFFFF"/>
        </w:rPr>
      </w:pPr>
      <w:proofErr w:type="spellStart"/>
      <w:r w:rsidRPr="003F4FF4">
        <w:rPr>
          <w:rFonts w:ascii="Calibri" w:hAnsi="Calibri" w:cs="Calibri"/>
          <w:sz w:val="21"/>
          <w:szCs w:val="21"/>
        </w:rPr>
        <w:t>Aglietta</w:t>
      </w:r>
      <w:proofErr w:type="spellEnd"/>
      <w:r w:rsidRPr="003F4FF4">
        <w:rPr>
          <w:rFonts w:ascii="Calibri" w:hAnsi="Calibri" w:cs="Calibri"/>
          <w:sz w:val="21"/>
          <w:szCs w:val="21"/>
        </w:rPr>
        <w:t xml:space="preserve">, M., &amp; </w:t>
      </w:r>
      <w:proofErr w:type="spellStart"/>
      <w:r w:rsidRPr="003F4FF4">
        <w:rPr>
          <w:rFonts w:ascii="Calibri" w:hAnsi="Calibri" w:cs="Calibri"/>
          <w:sz w:val="21"/>
          <w:szCs w:val="21"/>
        </w:rPr>
        <w:t>Espagne</w:t>
      </w:r>
      <w:proofErr w:type="spellEnd"/>
      <w:r w:rsidRPr="003F4FF4">
        <w:rPr>
          <w:rFonts w:ascii="Calibri" w:hAnsi="Calibri" w:cs="Calibri"/>
          <w:sz w:val="21"/>
          <w:szCs w:val="21"/>
        </w:rPr>
        <w:t xml:space="preserve">, E. (2016). </w:t>
      </w:r>
      <w:r w:rsidRPr="003F4FF4">
        <w:rPr>
          <w:rFonts w:ascii="Calibri" w:hAnsi="Calibri" w:cs="Calibri"/>
          <w:i/>
          <w:iCs/>
          <w:sz w:val="21"/>
          <w:szCs w:val="21"/>
        </w:rPr>
        <w:t xml:space="preserve">Financing energy and low-carbon investment in Europe: public guarantee and the ECB. </w:t>
      </w:r>
      <w:r w:rsidRPr="003F4FF4">
        <w:rPr>
          <w:rFonts w:ascii="Calibri" w:hAnsi="Calibri" w:cs="Calibri"/>
          <w:iCs/>
          <w:sz w:val="21"/>
          <w:szCs w:val="21"/>
        </w:rPr>
        <w:t>CEPII Policy Brief</w:t>
      </w:r>
      <w:r w:rsidRPr="003F4FF4">
        <w:rPr>
          <w:rFonts w:ascii="Calibri" w:hAnsi="Calibri" w:cs="Calibri"/>
          <w:sz w:val="21"/>
          <w:szCs w:val="21"/>
          <w:shd w:val="clear" w:color="auto" w:fill="FFFFFF"/>
        </w:rPr>
        <w:t xml:space="preserve"> 2015-06, CEPII research </w:t>
      </w:r>
      <w:proofErr w:type="spellStart"/>
      <w:r w:rsidRPr="003F4FF4">
        <w:rPr>
          <w:rFonts w:ascii="Calibri" w:hAnsi="Calibri" w:cs="Calibri"/>
          <w:sz w:val="21"/>
          <w:szCs w:val="21"/>
          <w:shd w:val="clear" w:color="auto" w:fill="FFFFFF"/>
        </w:rPr>
        <w:t>center</w:t>
      </w:r>
      <w:proofErr w:type="spellEnd"/>
      <w:r w:rsidRPr="003F4FF4">
        <w:rPr>
          <w:rFonts w:ascii="Calibri" w:hAnsi="Calibri" w:cs="Calibri"/>
          <w:sz w:val="21"/>
          <w:szCs w:val="21"/>
          <w:shd w:val="clear" w:color="auto" w:fill="FFFFFF"/>
        </w:rPr>
        <w:t xml:space="preserve">. </w:t>
      </w:r>
    </w:p>
    <w:p w14:paraId="37B89E26"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Alexander, K. (2014</w:t>
      </w:r>
      <w:r w:rsidRPr="003F4FF4">
        <w:rPr>
          <w:rFonts w:ascii="Calibri" w:hAnsi="Calibri" w:cs="Calibri"/>
          <w:i/>
          <w:sz w:val="21"/>
          <w:szCs w:val="21"/>
        </w:rPr>
        <w:t>). Stability and Sustainability in Banking Reform: are environmental risks missing in Basel III</w:t>
      </w:r>
      <w:r w:rsidRPr="003F4FF4">
        <w:rPr>
          <w:rFonts w:ascii="Calibri" w:hAnsi="Calibri" w:cs="Calibri"/>
          <w:sz w:val="21"/>
          <w:szCs w:val="21"/>
        </w:rPr>
        <w:t xml:space="preserve">. </w:t>
      </w:r>
      <w:r w:rsidRPr="003F4FF4">
        <w:rPr>
          <w:rFonts w:ascii="Calibri" w:hAnsi="Calibri" w:cs="Calibri"/>
          <w:i/>
          <w:iCs/>
          <w:sz w:val="21"/>
          <w:szCs w:val="21"/>
        </w:rPr>
        <w:t xml:space="preserve">CISL &amp; UNEPFI: </w:t>
      </w:r>
      <w:r w:rsidRPr="003F4FF4">
        <w:rPr>
          <w:rFonts w:ascii="Calibri" w:hAnsi="Calibri" w:cs="Calibri"/>
          <w:iCs/>
          <w:sz w:val="21"/>
          <w:szCs w:val="21"/>
        </w:rPr>
        <w:t>Cambridge and Geneva</w:t>
      </w:r>
      <w:r w:rsidRPr="003F4FF4">
        <w:rPr>
          <w:rFonts w:ascii="Calibri" w:hAnsi="Calibri" w:cs="Calibri"/>
          <w:sz w:val="21"/>
          <w:szCs w:val="21"/>
        </w:rPr>
        <w:t xml:space="preserve">. </w:t>
      </w:r>
    </w:p>
    <w:p w14:paraId="4097EC19" w14:textId="77777777" w:rsidR="00431638" w:rsidRPr="003F4FF4" w:rsidRDefault="00431638" w:rsidP="00D7335E">
      <w:pPr>
        <w:pStyle w:val="MDPI71References"/>
        <w:numPr>
          <w:ilvl w:val="0"/>
          <w:numId w:val="0"/>
        </w:numPr>
        <w:suppressLineNumbers/>
        <w:spacing w:after="160" w:line="276" w:lineRule="auto"/>
        <w:ind w:left="720" w:hanging="720"/>
        <w:rPr>
          <w:rFonts w:ascii="Calibri" w:hAnsi="Calibri" w:cs="Calibri"/>
          <w:color w:val="auto"/>
          <w:sz w:val="21"/>
          <w:szCs w:val="21"/>
        </w:rPr>
      </w:pPr>
      <w:proofErr w:type="spellStart"/>
      <w:r w:rsidRPr="003F4FF4">
        <w:rPr>
          <w:rFonts w:ascii="Calibri" w:hAnsi="Calibri" w:cs="Calibri"/>
          <w:color w:val="auto"/>
          <w:sz w:val="21"/>
          <w:szCs w:val="21"/>
        </w:rPr>
        <w:t>Aldersgate</w:t>
      </w:r>
      <w:proofErr w:type="spellEnd"/>
      <w:r w:rsidRPr="003F4FF4">
        <w:rPr>
          <w:rFonts w:ascii="Calibri" w:hAnsi="Calibri" w:cs="Calibri"/>
          <w:color w:val="auto"/>
          <w:sz w:val="21"/>
          <w:szCs w:val="21"/>
        </w:rPr>
        <w:t xml:space="preserve"> Group (2018). </w:t>
      </w:r>
      <w:r w:rsidRPr="003F4FF4">
        <w:rPr>
          <w:rFonts w:ascii="Calibri" w:hAnsi="Calibri" w:cs="Calibri"/>
          <w:i/>
          <w:color w:val="auto"/>
          <w:sz w:val="21"/>
          <w:szCs w:val="21"/>
        </w:rPr>
        <w:t>Towards the new normal: How to increase investments in the UK’s green infrastructure?</w:t>
      </w:r>
      <w:r w:rsidRPr="003F4FF4">
        <w:rPr>
          <w:rFonts w:ascii="Calibri" w:hAnsi="Calibri" w:cs="Calibri"/>
          <w:color w:val="auto"/>
          <w:sz w:val="21"/>
          <w:szCs w:val="21"/>
        </w:rPr>
        <w:t xml:space="preserve"> Available at: </w:t>
      </w:r>
      <w:hyperlink r:id="rId15" w:history="1">
        <w:r w:rsidRPr="003F4FF4">
          <w:rPr>
            <w:rStyle w:val="Hyperlink"/>
            <w:rFonts w:ascii="Calibri" w:hAnsi="Calibri" w:cs="Calibri"/>
            <w:color w:val="auto"/>
            <w:sz w:val="21"/>
            <w:szCs w:val="21"/>
          </w:rPr>
          <w:t>http://www.aldersgategroup.org.uk/events/towards-the-new-normal-how-to-increase-investment-in-the-uk-s-green-infrastructure</w:t>
        </w:r>
      </w:hyperlink>
      <w:r w:rsidRPr="003F4FF4">
        <w:rPr>
          <w:rFonts w:ascii="Calibri" w:hAnsi="Calibri" w:cs="Calibri"/>
          <w:color w:val="auto"/>
          <w:sz w:val="21"/>
          <w:szCs w:val="21"/>
        </w:rPr>
        <w:t xml:space="preserve"> (Accessed 10.05.2018).</w:t>
      </w:r>
    </w:p>
    <w:p w14:paraId="1F496230"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color w:val="222222"/>
          <w:sz w:val="21"/>
          <w:szCs w:val="21"/>
          <w:lang w:val="de-CH"/>
        </w:rPr>
        <w:t xml:space="preserve">Antunes, P., Santos, R., &amp; Videira, N. (2006). </w:t>
      </w:r>
      <w:r w:rsidRPr="003F4FF4">
        <w:rPr>
          <w:rFonts w:ascii="Calibri" w:hAnsi="Calibri" w:cs="Calibri"/>
          <w:color w:val="222222"/>
          <w:sz w:val="21"/>
          <w:szCs w:val="21"/>
        </w:rPr>
        <w:t xml:space="preserve">Participatory decision making for sustainable development—the use of mediated modelling techniques. </w:t>
      </w:r>
      <w:r w:rsidRPr="003F4FF4">
        <w:rPr>
          <w:rFonts w:ascii="Calibri" w:hAnsi="Calibri" w:cs="Calibri"/>
          <w:i/>
          <w:iCs/>
          <w:color w:val="222222"/>
          <w:sz w:val="21"/>
          <w:szCs w:val="21"/>
        </w:rPr>
        <w:t>Land use policy</w:t>
      </w:r>
      <w:r w:rsidRPr="003F4FF4">
        <w:rPr>
          <w:rFonts w:ascii="Calibri" w:hAnsi="Calibri" w:cs="Calibri"/>
          <w:color w:val="222222"/>
          <w:sz w:val="21"/>
          <w:szCs w:val="21"/>
        </w:rPr>
        <w:t xml:space="preserve">, </w:t>
      </w:r>
      <w:r w:rsidRPr="003F4FF4">
        <w:rPr>
          <w:rFonts w:ascii="Calibri" w:hAnsi="Calibri" w:cs="Calibri"/>
          <w:i/>
          <w:iCs/>
          <w:color w:val="222222"/>
          <w:sz w:val="21"/>
          <w:szCs w:val="21"/>
        </w:rPr>
        <w:t>23</w:t>
      </w:r>
      <w:r w:rsidRPr="003F4FF4">
        <w:rPr>
          <w:rFonts w:ascii="Calibri" w:hAnsi="Calibri" w:cs="Calibri"/>
          <w:color w:val="222222"/>
          <w:sz w:val="21"/>
          <w:szCs w:val="21"/>
        </w:rPr>
        <w:t>(1), 44-52.</w:t>
      </w:r>
      <w:r w:rsidRPr="003F4FF4">
        <w:rPr>
          <w:rFonts w:ascii="Calibri" w:hAnsi="Calibri" w:cs="Calibri"/>
          <w:sz w:val="21"/>
          <w:szCs w:val="21"/>
        </w:rPr>
        <w:t xml:space="preserve"> </w:t>
      </w:r>
    </w:p>
    <w:p w14:paraId="5D487C84"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Arnold, R. D., &amp; Wade, J. P. (2015). A definition of systems </w:t>
      </w:r>
      <w:proofErr w:type="gramStart"/>
      <w:r w:rsidRPr="003F4FF4">
        <w:rPr>
          <w:rFonts w:ascii="Calibri" w:hAnsi="Calibri" w:cs="Calibri"/>
          <w:sz w:val="21"/>
          <w:szCs w:val="21"/>
        </w:rPr>
        <w:t>thinking:</w:t>
      </w:r>
      <w:proofErr w:type="gramEnd"/>
      <w:r w:rsidRPr="003F4FF4">
        <w:rPr>
          <w:rFonts w:ascii="Calibri" w:hAnsi="Calibri" w:cs="Calibri"/>
          <w:sz w:val="21"/>
          <w:szCs w:val="21"/>
        </w:rPr>
        <w:t xml:space="preserve"> a systems approach. </w:t>
      </w:r>
      <w:r w:rsidRPr="003F4FF4">
        <w:rPr>
          <w:rFonts w:ascii="Calibri" w:hAnsi="Calibri" w:cs="Calibri"/>
          <w:i/>
          <w:iCs/>
          <w:sz w:val="21"/>
          <w:szCs w:val="21"/>
        </w:rPr>
        <w:t>Procedia Computer Science</w:t>
      </w:r>
      <w:r w:rsidRPr="003F4FF4">
        <w:rPr>
          <w:rFonts w:ascii="Calibri" w:hAnsi="Calibri" w:cs="Calibri"/>
          <w:sz w:val="21"/>
          <w:szCs w:val="21"/>
        </w:rPr>
        <w:t xml:space="preserve">, </w:t>
      </w:r>
      <w:r w:rsidRPr="003F4FF4">
        <w:rPr>
          <w:rFonts w:ascii="Calibri" w:hAnsi="Calibri" w:cs="Calibri"/>
          <w:i/>
          <w:iCs/>
          <w:sz w:val="21"/>
          <w:szCs w:val="21"/>
        </w:rPr>
        <w:t>44</w:t>
      </w:r>
      <w:r w:rsidRPr="003F4FF4">
        <w:rPr>
          <w:rFonts w:ascii="Calibri" w:hAnsi="Calibri" w:cs="Calibri"/>
          <w:sz w:val="21"/>
          <w:szCs w:val="21"/>
        </w:rPr>
        <w:t xml:space="preserve">, 669-678. </w:t>
      </w:r>
    </w:p>
    <w:p w14:paraId="40DDACD1"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Barbosa, L., </w:t>
      </w:r>
      <w:proofErr w:type="spellStart"/>
      <w:r w:rsidRPr="003F4FF4">
        <w:rPr>
          <w:rFonts w:ascii="Calibri" w:hAnsi="Calibri" w:cs="Calibri"/>
          <w:sz w:val="21"/>
          <w:szCs w:val="21"/>
        </w:rPr>
        <w:t>Ferrão</w:t>
      </w:r>
      <w:proofErr w:type="spellEnd"/>
      <w:r w:rsidRPr="003F4FF4">
        <w:rPr>
          <w:rFonts w:ascii="Calibri" w:hAnsi="Calibri" w:cs="Calibri"/>
          <w:sz w:val="21"/>
          <w:szCs w:val="21"/>
        </w:rPr>
        <w:t xml:space="preserve">, P., Rodrigues, A., &amp; </w:t>
      </w:r>
      <w:proofErr w:type="spellStart"/>
      <w:r w:rsidRPr="003F4FF4">
        <w:rPr>
          <w:rFonts w:ascii="Calibri" w:hAnsi="Calibri" w:cs="Calibri"/>
          <w:sz w:val="21"/>
          <w:szCs w:val="21"/>
        </w:rPr>
        <w:t>Sardinha</w:t>
      </w:r>
      <w:proofErr w:type="spellEnd"/>
      <w:r w:rsidRPr="003F4FF4">
        <w:rPr>
          <w:rFonts w:ascii="Calibri" w:hAnsi="Calibri" w:cs="Calibri"/>
          <w:sz w:val="21"/>
          <w:szCs w:val="21"/>
        </w:rPr>
        <w:t xml:space="preserve">, A. (2018). Feed-in tariffs with minimum price guarantees and regulatory uncertainty. </w:t>
      </w:r>
      <w:r w:rsidRPr="003F4FF4">
        <w:rPr>
          <w:rFonts w:ascii="Calibri" w:hAnsi="Calibri" w:cs="Calibri"/>
          <w:i/>
          <w:iCs/>
          <w:sz w:val="21"/>
          <w:szCs w:val="21"/>
        </w:rPr>
        <w:t>Energy Economics</w:t>
      </w:r>
      <w:r w:rsidRPr="003F4FF4">
        <w:rPr>
          <w:rFonts w:ascii="Calibri" w:hAnsi="Calibri" w:cs="Calibri"/>
          <w:sz w:val="21"/>
          <w:szCs w:val="21"/>
        </w:rPr>
        <w:t xml:space="preserve">, </w:t>
      </w:r>
      <w:r w:rsidRPr="003F4FF4">
        <w:rPr>
          <w:rFonts w:ascii="Calibri" w:hAnsi="Calibri" w:cs="Calibri"/>
          <w:i/>
          <w:iCs/>
          <w:sz w:val="21"/>
          <w:szCs w:val="21"/>
        </w:rPr>
        <w:t>72</w:t>
      </w:r>
      <w:r w:rsidRPr="003F4FF4">
        <w:rPr>
          <w:rFonts w:ascii="Calibri" w:hAnsi="Calibri" w:cs="Calibri"/>
          <w:sz w:val="21"/>
          <w:szCs w:val="21"/>
        </w:rPr>
        <w:t>, 517-541.</w:t>
      </w:r>
    </w:p>
    <w:p w14:paraId="133BB81A"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Barradale</w:t>
      </w:r>
      <w:proofErr w:type="spellEnd"/>
      <w:r w:rsidRPr="003F4FF4">
        <w:rPr>
          <w:rFonts w:ascii="Calibri" w:hAnsi="Calibri" w:cs="Calibri"/>
          <w:sz w:val="21"/>
          <w:szCs w:val="21"/>
        </w:rPr>
        <w:t xml:space="preserve">, M. J. (2010). Impact of public policy uncertainty on renewable energy investment: Wind power and the production tax credit.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38</w:t>
      </w:r>
      <w:r w:rsidRPr="003F4FF4">
        <w:rPr>
          <w:rFonts w:ascii="Calibri" w:hAnsi="Calibri" w:cs="Calibri"/>
          <w:sz w:val="21"/>
          <w:szCs w:val="21"/>
        </w:rPr>
        <w:t>(12), 7698-7709.</w:t>
      </w:r>
    </w:p>
    <w:p w14:paraId="75127FAE" w14:textId="77777777" w:rsidR="00431638" w:rsidRPr="00122020" w:rsidRDefault="00431638" w:rsidP="00D7335E">
      <w:pPr>
        <w:suppressLineNumbers/>
        <w:ind w:left="720" w:hanging="720"/>
        <w:rPr>
          <w:rFonts w:ascii="Calibri" w:hAnsi="Calibri" w:cs="Calibri"/>
          <w:color w:val="222222"/>
          <w:sz w:val="21"/>
          <w:szCs w:val="21"/>
        </w:rPr>
      </w:pPr>
      <w:proofErr w:type="spellStart"/>
      <w:r w:rsidRPr="00122020">
        <w:rPr>
          <w:rFonts w:ascii="Calibri" w:hAnsi="Calibri" w:cs="Calibri"/>
          <w:color w:val="222222"/>
          <w:sz w:val="21"/>
          <w:szCs w:val="21"/>
        </w:rPr>
        <w:t>Barua</w:t>
      </w:r>
      <w:proofErr w:type="spellEnd"/>
      <w:r w:rsidRPr="00122020">
        <w:rPr>
          <w:rFonts w:ascii="Calibri" w:hAnsi="Calibri" w:cs="Calibri"/>
          <w:color w:val="222222"/>
          <w:sz w:val="21"/>
          <w:szCs w:val="21"/>
        </w:rPr>
        <w:t>, S., &amp; Chiesa, M. (2019). Sustainable financing practices through green bonds: What affects the funding size</w:t>
      </w:r>
      <w:proofErr w:type="gramStart"/>
      <w:r w:rsidRPr="00122020">
        <w:rPr>
          <w:rFonts w:ascii="Calibri" w:hAnsi="Calibri" w:cs="Calibri"/>
          <w:color w:val="222222"/>
          <w:sz w:val="21"/>
          <w:szCs w:val="21"/>
        </w:rPr>
        <w:t>?.</w:t>
      </w:r>
      <w:proofErr w:type="gramEnd"/>
      <w:r w:rsidRPr="00122020">
        <w:rPr>
          <w:rFonts w:ascii="Calibri" w:hAnsi="Calibri" w:cs="Calibri"/>
          <w:color w:val="222222"/>
          <w:sz w:val="21"/>
          <w:szCs w:val="21"/>
        </w:rPr>
        <w:t xml:space="preserve"> </w:t>
      </w:r>
      <w:r w:rsidRPr="00122020">
        <w:rPr>
          <w:rFonts w:ascii="Calibri" w:hAnsi="Calibri" w:cs="Calibri"/>
          <w:i/>
          <w:iCs/>
          <w:color w:val="222222"/>
          <w:sz w:val="21"/>
          <w:szCs w:val="21"/>
        </w:rPr>
        <w:t>Business Strategy and the Environment</w:t>
      </w:r>
      <w:r w:rsidRPr="00122020">
        <w:rPr>
          <w:rFonts w:ascii="Calibri" w:hAnsi="Calibri" w:cs="Calibri"/>
          <w:color w:val="222222"/>
          <w:sz w:val="21"/>
          <w:szCs w:val="21"/>
        </w:rPr>
        <w:t>.</w:t>
      </w:r>
    </w:p>
    <w:p w14:paraId="61B925ED"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Batten, S., R. </w:t>
      </w:r>
      <w:proofErr w:type="spellStart"/>
      <w:r w:rsidRPr="003F4FF4">
        <w:rPr>
          <w:rFonts w:ascii="Calibri" w:hAnsi="Calibri" w:cs="Calibri"/>
          <w:sz w:val="21"/>
          <w:szCs w:val="21"/>
        </w:rPr>
        <w:t>Sowerbutts</w:t>
      </w:r>
      <w:proofErr w:type="spellEnd"/>
      <w:r w:rsidRPr="003F4FF4">
        <w:rPr>
          <w:rFonts w:ascii="Calibri" w:hAnsi="Calibri" w:cs="Calibri"/>
          <w:sz w:val="21"/>
          <w:szCs w:val="21"/>
        </w:rPr>
        <w:t xml:space="preserve">, and M. Tanaka (2016). </w:t>
      </w:r>
      <w:proofErr w:type="gramStart"/>
      <w:r w:rsidRPr="003F4FF4">
        <w:rPr>
          <w:rFonts w:ascii="Calibri" w:hAnsi="Calibri" w:cs="Calibri"/>
          <w:sz w:val="21"/>
          <w:szCs w:val="21"/>
        </w:rPr>
        <w:t>Let’s</w:t>
      </w:r>
      <w:proofErr w:type="gramEnd"/>
      <w:r w:rsidRPr="003F4FF4">
        <w:rPr>
          <w:rFonts w:ascii="Calibri" w:hAnsi="Calibri" w:cs="Calibri"/>
          <w:sz w:val="21"/>
          <w:szCs w:val="21"/>
        </w:rPr>
        <w:t xml:space="preserve"> talk about the weather: the impact of climate change on central banks. </w:t>
      </w:r>
      <w:r w:rsidRPr="003F4FF4">
        <w:rPr>
          <w:rFonts w:ascii="Calibri" w:hAnsi="Calibri" w:cs="Calibri"/>
          <w:i/>
          <w:sz w:val="21"/>
          <w:szCs w:val="21"/>
        </w:rPr>
        <w:t>Technical report</w:t>
      </w:r>
      <w:r w:rsidRPr="003F4FF4">
        <w:rPr>
          <w:rFonts w:ascii="Calibri" w:hAnsi="Calibri" w:cs="Calibri"/>
          <w:sz w:val="21"/>
          <w:szCs w:val="21"/>
        </w:rPr>
        <w:t xml:space="preserve">, Bank of England. </w:t>
      </w:r>
    </w:p>
    <w:p w14:paraId="16F0EEB6"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9522F5">
        <w:rPr>
          <w:rFonts w:ascii="Calibri" w:hAnsi="Calibri" w:cs="Calibri"/>
          <w:sz w:val="21"/>
          <w:szCs w:val="21"/>
        </w:rPr>
        <w:t>Battiston</w:t>
      </w:r>
      <w:proofErr w:type="spellEnd"/>
      <w:r w:rsidRPr="009522F5">
        <w:rPr>
          <w:rFonts w:ascii="Calibri" w:hAnsi="Calibri" w:cs="Calibri"/>
          <w:sz w:val="21"/>
          <w:szCs w:val="21"/>
        </w:rPr>
        <w:t xml:space="preserve">, S., Mandel, A., Monasterolo, I., </w:t>
      </w:r>
      <w:proofErr w:type="spellStart"/>
      <w:r w:rsidRPr="009522F5">
        <w:rPr>
          <w:rFonts w:ascii="Calibri" w:hAnsi="Calibri" w:cs="Calibri"/>
          <w:sz w:val="21"/>
          <w:szCs w:val="21"/>
        </w:rPr>
        <w:t>Schütze</w:t>
      </w:r>
      <w:proofErr w:type="spellEnd"/>
      <w:r w:rsidRPr="009522F5">
        <w:rPr>
          <w:rFonts w:ascii="Calibri" w:hAnsi="Calibri" w:cs="Calibri"/>
          <w:sz w:val="21"/>
          <w:szCs w:val="21"/>
        </w:rPr>
        <w:t xml:space="preserve">, F., &amp; </w:t>
      </w:r>
      <w:proofErr w:type="spellStart"/>
      <w:r w:rsidRPr="009522F5">
        <w:rPr>
          <w:rFonts w:ascii="Calibri" w:hAnsi="Calibri" w:cs="Calibri"/>
          <w:sz w:val="21"/>
          <w:szCs w:val="21"/>
        </w:rPr>
        <w:t>Visentin</w:t>
      </w:r>
      <w:proofErr w:type="spellEnd"/>
      <w:r w:rsidRPr="009522F5">
        <w:rPr>
          <w:rFonts w:ascii="Calibri" w:hAnsi="Calibri" w:cs="Calibri"/>
          <w:sz w:val="21"/>
          <w:szCs w:val="21"/>
        </w:rPr>
        <w:t xml:space="preserve">, G. (2017). </w:t>
      </w:r>
      <w:r w:rsidRPr="003F4FF4">
        <w:rPr>
          <w:rFonts w:ascii="Calibri" w:hAnsi="Calibri" w:cs="Calibri"/>
          <w:sz w:val="21"/>
          <w:szCs w:val="21"/>
        </w:rPr>
        <w:t xml:space="preserve">A climate </w:t>
      </w:r>
      <w:proofErr w:type="gramStart"/>
      <w:r w:rsidRPr="003F4FF4">
        <w:rPr>
          <w:rFonts w:ascii="Calibri" w:hAnsi="Calibri" w:cs="Calibri"/>
          <w:sz w:val="21"/>
          <w:szCs w:val="21"/>
        </w:rPr>
        <w:t>stress-test</w:t>
      </w:r>
      <w:proofErr w:type="gramEnd"/>
      <w:r w:rsidRPr="003F4FF4">
        <w:rPr>
          <w:rFonts w:ascii="Calibri" w:hAnsi="Calibri" w:cs="Calibri"/>
          <w:sz w:val="21"/>
          <w:szCs w:val="21"/>
        </w:rPr>
        <w:t xml:space="preserve"> of the financial system. </w:t>
      </w:r>
      <w:r w:rsidRPr="003F4FF4">
        <w:rPr>
          <w:rFonts w:ascii="Calibri" w:hAnsi="Calibri" w:cs="Calibri"/>
          <w:i/>
          <w:iCs/>
          <w:sz w:val="21"/>
          <w:szCs w:val="21"/>
        </w:rPr>
        <w:t>Nature Climate Change</w:t>
      </w:r>
      <w:r w:rsidRPr="003F4FF4">
        <w:rPr>
          <w:rFonts w:ascii="Calibri" w:hAnsi="Calibri" w:cs="Calibri"/>
          <w:sz w:val="21"/>
          <w:szCs w:val="21"/>
        </w:rPr>
        <w:t xml:space="preserve">, </w:t>
      </w:r>
      <w:r w:rsidRPr="003F4FF4">
        <w:rPr>
          <w:rFonts w:ascii="Calibri" w:hAnsi="Calibri" w:cs="Calibri"/>
          <w:i/>
          <w:iCs/>
          <w:sz w:val="21"/>
          <w:szCs w:val="21"/>
        </w:rPr>
        <w:t>7</w:t>
      </w:r>
      <w:r w:rsidRPr="003F4FF4">
        <w:rPr>
          <w:rFonts w:ascii="Calibri" w:hAnsi="Calibri" w:cs="Calibri"/>
          <w:sz w:val="21"/>
          <w:szCs w:val="21"/>
        </w:rPr>
        <w:t xml:space="preserve">(4), 283. </w:t>
      </w:r>
    </w:p>
    <w:p w14:paraId="34026807"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i/>
          <w:sz w:val="21"/>
          <w:szCs w:val="21"/>
        </w:rPr>
      </w:pPr>
      <w:proofErr w:type="spellStart"/>
      <w:r w:rsidRPr="003F4FF4">
        <w:rPr>
          <w:rFonts w:ascii="Calibri" w:hAnsi="Calibri" w:cs="Calibri"/>
          <w:sz w:val="21"/>
          <w:szCs w:val="21"/>
        </w:rPr>
        <w:t>Battiston</w:t>
      </w:r>
      <w:proofErr w:type="spellEnd"/>
      <w:r w:rsidRPr="003F4FF4">
        <w:rPr>
          <w:rFonts w:ascii="Calibri" w:hAnsi="Calibri" w:cs="Calibri"/>
          <w:sz w:val="21"/>
          <w:szCs w:val="21"/>
        </w:rPr>
        <w:t>, S., &amp; Martinez-Jaramillo, S. (2018). Financial networks and stress testing: Challenges and new research avenues for systemic risk analysis and financial stability implications</w:t>
      </w:r>
      <w:r w:rsidRPr="003F4FF4">
        <w:rPr>
          <w:rFonts w:ascii="Calibri" w:hAnsi="Calibri" w:cs="Calibri"/>
          <w:i/>
          <w:sz w:val="21"/>
          <w:szCs w:val="21"/>
        </w:rPr>
        <w:t>. Journal of Financial Stability, 35(1), 6-16.</w:t>
      </w:r>
      <w:r w:rsidRPr="003F4FF4">
        <w:rPr>
          <w:rFonts w:ascii="Calibri" w:hAnsi="Calibri" w:cs="Calibri"/>
          <w:sz w:val="21"/>
          <w:szCs w:val="21"/>
        </w:rPr>
        <w:t xml:space="preserve"> </w:t>
      </w:r>
    </w:p>
    <w:p w14:paraId="4111B486" w14:textId="5510245B" w:rsidR="004C0273" w:rsidRPr="00D00543" w:rsidRDefault="004C0273" w:rsidP="00D7335E">
      <w:pPr>
        <w:widowControl w:val="0"/>
        <w:suppressLineNumbers/>
        <w:autoSpaceDE w:val="0"/>
        <w:autoSpaceDN w:val="0"/>
        <w:adjustRightInd w:val="0"/>
        <w:spacing w:line="276" w:lineRule="auto"/>
        <w:ind w:left="720" w:hanging="720"/>
        <w:rPr>
          <w:rFonts w:ascii="Calibri" w:hAnsi="Calibri" w:cs="Calibri"/>
          <w:color w:val="000000"/>
          <w:sz w:val="21"/>
          <w:szCs w:val="21"/>
        </w:rPr>
      </w:pPr>
      <w:r w:rsidRPr="00D00543">
        <w:rPr>
          <w:rFonts w:ascii="Calibri" w:hAnsi="Calibri" w:cs="Calibri"/>
          <w:color w:val="000000"/>
          <w:sz w:val="21"/>
          <w:szCs w:val="21"/>
        </w:rPr>
        <w:t xml:space="preserve">BBC (2019). </w:t>
      </w:r>
      <w:r w:rsidRPr="00D00543">
        <w:rPr>
          <w:rFonts w:ascii="Calibri" w:hAnsi="Calibri" w:cs="Calibri"/>
          <w:i/>
          <w:color w:val="000000"/>
          <w:sz w:val="21"/>
          <w:szCs w:val="21"/>
        </w:rPr>
        <w:t>UK Parliament declares climate change emergency</w:t>
      </w:r>
      <w:r w:rsidRPr="00D00543">
        <w:rPr>
          <w:rFonts w:ascii="Calibri" w:hAnsi="Calibri" w:cs="Calibri"/>
          <w:color w:val="000000"/>
          <w:sz w:val="21"/>
          <w:szCs w:val="21"/>
        </w:rPr>
        <w:t xml:space="preserve">. Available at: </w:t>
      </w:r>
      <w:hyperlink r:id="rId16" w:tgtFrame="_blank" w:history="1">
        <w:r w:rsidRPr="00D00543">
          <w:rPr>
            <w:rStyle w:val="Hyperlink"/>
            <w:rFonts w:ascii="Calibri" w:hAnsi="Calibri" w:cs="Calibri"/>
            <w:sz w:val="21"/>
            <w:szCs w:val="21"/>
          </w:rPr>
          <w:t>https://www.bbc.com/news/uk-politics-48126677</w:t>
        </w:r>
      </w:hyperlink>
      <w:r w:rsidRPr="00D00543">
        <w:rPr>
          <w:rFonts w:ascii="Calibri" w:hAnsi="Calibri" w:cs="Calibri"/>
          <w:color w:val="000000"/>
          <w:sz w:val="21"/>
          <w:szCs w:val="21"/>
        </w:rPr>
        <w:t xml:space="preserve"> (Accessed 20.08.2019). </w:t>
      </w:r>
    </w:p>
    <w:p w14:paraId="5B5D98F3" w14:textId="47DB3F21"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Bellantuono</w:t>
      </w:r>
      <w:proofErr w:type="spellEnd"/>
      <w:r w:rsidRPr="003F4FF4">
        <w:rPr>
          <w:rFonts w:ascii="Calibri" w:hAnsi="Calibri" w:cs="Calibri"/>
          <w:sz w:val="21"/>
          <w:szCs w:val="21"/>
        </w:rPr>
        <w:t xml:space="preserve">, G. (2017). The misguided quest for regulatory stability in the renewable energy sector. </w:t>
      </w:r>
      <w:r w:rsidRPr="003F4FF4">
        <w:rPr>
          <w:rFonts w:ascii="Calibri" w:hAnsi="Calibri" w:cs="Calibri"/>
          <w:i/>
          <w:iCs/>
          <w:sz w:val="21"/>
          <w:szCs w:val="21"/>
        </w:rPr>
        <w:t>The Journal of World Energy Law &amp; Business</w:t>
      </w:r>
      <w:r w:rsidRPr="003F4FF4">
        <w:rPr>
          <w:rFonts w:ascii="Calibri" w:hAnsi="Calibri" w:cs="Calibri"/>
          <w:sz w:val="21"/>
          <w:szCs w:val="21"/>
        </w:rPr>
        <w:t xml:space="preserve">, </w:t>
      </w:r>
      <w:r w:rsidRPr="003F4FF4">
        <w:rPr>
          <w:rFonts w:ascii="Calibri" w:hAnsi="Calibri" w:cs="Calibri"/>
          <w:i/>
          <w:iCs/>
          <w:sz w:val="21"/>
          <w:szCs w:val="21"/>
        </w:rPr>
        <w:t>10</w:t>
      </w:r>
      <w:r w:rsidRPr="003F4FF4">
        <w:rPr>
          <w:rFonts w:ascii="Calibri" w:hAnsi="Calibri" w:cs="Calibri"/>
          <w:sz w:val="21"/>
          <w:szCs w:val="21"/>
        </w:rPr>
        <w:t>(4), 274-292.</w:t>
      </w:r>
    </w:p>
    <w:p w14:paraId="30C19C43"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Berensmann</w:t>
      </w:r>
      <w:proofErr w:type="spellEnd"/>
      <w:r w:rsidRPr="003F4FF4">
        <w:rPr>
          <w:rFonts w:ascii="Calibri" w:hAnsi="Calibri" w:cs="Calibri"/>
          <w:sz w:val="21"/>
          <w:szCs w:val="21"/>
        </w:rPr>
        <w:t xml:space="preserve">, K., </w:t>
      </w:r>
      <w:proofErr w:type="spellStart"/>
      <w:r w:rsidRPr="003F4FF4">
        <w:rPr>
          <w:rFonts w:ascii="Calibri" w:hAnsi="Calibri" w:cs="Calibri"/>
          <w:sz w:val="21"/>
          <w:szCs w:val="21"/>
        </w:rPr>
        <w:t>Dafe</w:t>
      </w:r>
      <w:proofErr w:type="spellEnd"/>
      <w:r w:rsidRPr="003F4FF4">
        <w:rPr>
          <w:rFonts w:ascii="Calibri" w:hAnsi="Calibri" w:cs="Calibri"/>
          <w:sz w:val="21"/>
          <w:szCs w:val="21"/>
        </w:rPr>
        <w:t xml:space="preserve">, F., &amp; </w:t>
      </w:r>
      <w:proofErr w:type="spellStart"/>
      <w:r w:rsidRPr="003F4FF4">
        <w:rPr>
          <w:rFonts w:ascii="Calibri" w:hAnsi="Calibri" w:cs="Calibri"/>
          <w:sz w:val="21"/>
          <w:szCs w:val="21"/>
        </w:rPr>
        <w:t>Lindenberg</w:t>
      </w:r>
      <w:proofErr w:type="spellEnd"/>
      <w:r w:rsidRPr="003F4FF4">
        <w:rPr>
          <w:rFonts w:ascii="Calibri" w:hAnsi="Calibri" w:cs="Calibri"/>
          <w:sz w:val="21"/>
          <w:szCs w:val="21"/>
        </w:rPr>
        <w:t xml:space="preserve">, N. (2018). 15. Demystifying green bonds. </w:t>
      </w:r>
      <w:r w:rsidRPr="003F4FF4">
        <w:rPr>
          <w:rFonts w:ascii="Calibri" w:hAnsi="Calibri" w:cs="Calibri"/>
          <w:i/>
          <w:iCs/>
          <w:sz w:val="21"/>
          <w:szCs w:val="21"/>
        </w:rPr>
        <w:t>Research Handbook of Investing in the Triple Bottom Line</w:t>
      </w:r>
      <w:r w:rsidRPr="003F4FF4">
        <w:rPr>
          <w:rFonts w:ascii="Calibri" w:hAnsi="Calibri" w:cs="Calibri"/>
          <w:sz w:val="21"/>
          <w:szCs w:val="21"/>
        </w:rPr>
        <w:t>, 333.</w:t>
      </w:r>
    </w:p>
    <w:p w14:paraId="0E948518"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lang w:val="de-CH"/>
        </w:rPr>
        <w:t xml:space="preserve">Bergsten, A., Jiren, T. S., Leventon, J., Dorresteijn, I., Schultner, J., &amp; Fischer, J. (2019). </w:t>
      </w:r>
      <w:r w:rsidRPr="003F4FF4">
        <w:rPr>
          <w:rFonts w:ascii="Calibri" w:hAnsi="Calibri" w:cs="Calibri"/>
          <w:sz w:val="21"/>
          <w:szCs w:val="21"/>
        </w:rPr>
        <w:t xml:space="preserve">Identifying governance gaps among interlinked sustainability challenges. </w:t>
      </w:r>
      <w:r w:rsidRPr="003F4FF4">
        <w:rPr>
          <w:rFonts w:ascii="Calibri" w:hAnsi="Calibri" w:cs="Calibri"/>
          <w:i/>
          <w:iCs/>
          <w:sz w:val="21"/>
          <w:szCs w:val="21"/>
        </w:rPr>
        <w:t>Environmental Science &amp; Policy</w:t>
      </w:r>
      <w:r w:rsidRPr="003F4FF4">
        <w:rPr>
          <w:rFonts w:ascii="Calibri" w:hAnsi="Calibri" w:cs="Calibri"/>
          <w:sz w:val="21"/>
          <w:szCs w:val="21"/>
        </w:rPr>
        <w:t xml:space="preserve">, </w:t>
      </w:r>
      <w:r w:rsidRPr="003F4FF4">
        <w:rPr>
          <w:rFonts w:ascii="Calibri" w:hAnsi="Calibri" w:cs="Calibri"/>
          <w:i/>
          <w:iCs/>
          <w:sz w:val="21"/>
          <w:szCs w:val="21"/>
        </w:rPr>
        <w:t>91</w:t>
      </w:r>
      <w:r w:rsidRPr="003F4FF4">
        <w:rPr>
          <w:rFonts w:ascii="Calibri" w:hAnsi="Calibri" w:cs="Calibri"/>
          <w:sz w:val="21"/>
          <w:szCs w:val="21"/>
        </w:rPr>
        <w:t>, 27-38.</w:t>
      </w:r>
    </w:p>
    <w:p w14:paraId="72C29985"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Berry, T. C., &amp; </w:t>
      </w:r>
      <w:proofErr w:type="spellStart"/>
      <w:r w:rsidRPr="003F4FF4">
        <w:rPr>
          <w:rFonts w:ascii="Calibri" w:hAnsi="Calibri" w:cs="Calibri"/>
          <w:sz w:val="21"/>
          <w:szCs w:val="21"/>
        </w:rPr>
        <w:t>Junkus</w:t>
      </w:r>
      <w:proofErr w:type="spellEnd"/>
      <w:r w:rsidRPr="003F4FF4">
        <w:rPr>
          <w:rFonts w:ascii="Calibri" w:hAnsi="Calibri" w:cs="Calibri"/>
          <w:sz w:val="21"/>
          <w:szCs w:val="21"/>
        </w:rPr>
        <w:t xml:space="preserve">, J. C. (2013). Socially responsible investing: An investor perspective. </w:t>
      </w:r>
      <w:r w:rsidRPr="003F4FF4">
        <w:rPr>
          <w:rFonts w:ascii="Calibri" w:hAnsi="Calibri" w:cs="Calibri"/>
          <w:i/>
          <w:iCs/>
          <w:sz w:val="21"/>
          <w:szCs w:val="21"/>
        </w:rPr>
        <w:t>Journal of business ethics</w:t>
      </w:r>
      <w:r w:rsidRPr="003F4FF4">
        <w:rPr>
          <w:rFonts w:ascii="Calibri" w:hAnsi="Calibri" w:cs="Calibri"/>
          <w:sz w:val="21"/>
          <w:szCs w:val="21"/>
        </w:rPr>
        <w:t xml:space="preserve">, </w:t>
      </w:r>
      <w:r w:rsidRPr="003F4FF4">
        <w:rPr>
          <w:rFonts w:ascii="Calibri" w:hAnsi="Calibri" w:cs="Calibri"/>
          <w:i/>
          <w:iCs/>
          <w:sz w:val="21"/>
          <w:szCs w:val="21"/>
        </w:rPr>
        <w:t>112</w:t>
      </w:r>
      <w:r w:rsidRPr="003F4FF4">
        <w:rPr>
          <w:rFonts w:ascii="Calibri" w:hAnsi="Calibri" w:cs="Calibri"/>
          <w:sz w:val="21"/>
          <w:szCs w:val="21"/>
        </w:rPr>
        <w:t xml:space="preserve">(4), 707-720. </w:t>
      </w:r>
    </w:p>
    <w:p w14:paraId="2E887F2D"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r w:rsidRPr="003F4FF4">
        <w:rPr>
          <w:rFonts w:ascii="Calibri" w:hAnsi="Calibri" w:cs="Calibri"/>
          <w:sz w:val="21"/>
          <w:szCs w:val="21"/>
        </w:rPr>
        <w:lastRenderedPageBreak/>
        <w:t xml:space="preserve">Bhattacharya, S., Gupta, A., </w:t>
      </w:r>
      <w:proofErr w:type="spellStart"/>
      <w:r w:rsidRPr="003F4FF4">
        <w:rPr>
          <w:rFonts w:ascii="Calibri" w:hAnsi="Calibri" w:cs="Calibri"/>
          <w:sz w:val="21"/>
          <w:szCs w:val="21"/>
        </w:rPr>
        <w:t>Kar</w:t>
      </w:r>
      <w:proofErr w:type="spellEnd"/>
      <w:r w:rsidRPr="003F4FF4">
        <w:rPr>
          <w:rFonts w:ascii="Calibri" w:hAnsi="Calibri" w:cs="Calibri"/>
          <w:sz w:val="21"/>
          <w:szCs w:val="21"/>
        </w:rPr>
        <w:t xml:space="preserve">, K., &amp; </w:t>
      </w:r>
      <w:proofErr w:type="spellStart"/>
      <w:r w:rsidRPr="003F4FF4">
        <w:rPr>
          <w:rFonts w:ascii="Calibri" w:hAnsi="Calibri" w:cs="Calibri"/>
          <w:sz w:val="21"/>
          <w:szCs w:val="21"/>
        </w:rPr>
        <w:t>Owusu</w:t>
      </w:r>
      <w:proofErr w:type="spellEnd"/>
      <w:r w:rsidRPr="003F4FF4">
        <w:rPr>
          <w:rFonts w:ascii="Calibri" w:hAnsi="Calibri" w:cs="Calibri"/>
          <w:sz w:val="21"/>
          <w:szCs w:val="21"/>
        </w:rPr>
        <w:t xml:space="preserve">, A. (2015, November). Hedging strategies for risk reduction through weather derivatives in renewable energy markets. In </w:t>
      </w:r>
      <w:r w:rsidRPr="003F4FF4">
        <w:rPr>
          <w:rFonts w:ascii="Calibri" w:hAnsi="Calibri" w:cs="Calibri"/>
          <w:i/>
          <w:iCs/>
          <w:sz w:val="21"/>
          <w:szCs w:val="21"/>
        </w:rPr>
        <w:t>2015 International Conference on Renewable Energy Research and Applications (ICRERA)</w:t>
      </w:r>
      <w:r w:rsidRPr="003F4FF4">
        <w:rPr>
          <w:rFonts w:ascii="Calibri" w:hAnsi="Calibri" w:cs="Calibri"/>
          <w:sz w:val="21"/>
          <w:szCs w:val="21"/>
        </w:rPr>
        <w:t xml:space="preserve"> (pp. 1190-1195). IEEE.</w:t>
      </w:r>
    </w:p>
    <w:p w14:paraId="45839E90"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Bielenberg</w:t>
      </w:r>
      <w:proofErr w:type="spellEnd"/>
      <w:r w:rsidRPr="003F4FF4">
        <w:rPr>
          <w:rFonts w:ascii="Calibri" w:hAnsi="Calibri" w:cs="Calibri"/>
          <w:sz w:val="21"/>
          <w:szCs w:val="21"/>
        </w:rPr>
        <w:t xml:space="preserve">, A., </w:t>
      </w:r>
      <w:proofErr w:type="spellStart"/>
      <w:r w:rsidRPr="003F4FF4">
        <w:rPr>
          <w:rFonts w:ascii="Calibri" w:hAnsi="Calibri" w:cs="Calibri"/>
          <w:sz w:val="21"/>
          <w:szCs w:val="21"/>
        </w:rPr>
        <w:t>Kerlin</w:t>
      </w:r>
      <w:proofErr w:type="spellEnd"/>
      <w:r w:rsidRPr="003F4FF4">
        <w:rPr>
          <w:rFonts w:ascii="Calibri" w:hAnsi="Calibri" w:cs="Calibri"/>
          <w:sz w:val="21"/>
          <w:szCs w:val="21"/>
        </w:rPr>
        <w:t xml:space="preserve">, M., Oppenheim, J., &amp; Roberts, M. (2016). Financing change: How to mobilize private-sector financing for sustainable infrastructure. </w:t>
      </w:r>
      <w:r w:rsidRPr="003F4FF4">
        <w:rPr>
          <w:rFonts w:ascii="Calibri" w:hAnsi="Calibri" w:cs="Calibri"/>
          <w:i/>
          <w:iCs/>
          <w:sz w:val="21"/>
          <w:szCs w:val="21"/>
        </w:rPr>
        <w:t xml:space="preserve">McKinsey </w:t>
      </w:r>
      <w:proofErr w:type="spellStart"/>
      <w:r w:rsidRPr="003F4FF4">
        <w:rPr>
          <w:rFonts w:ascii="Calibri" w:hAnsi="Calibri" w:cs="Calibri"/>
          <w:i/>
          <w:iCs/>
          <w:sz w:val="21"/>
          <w:szCs w:val="21"/>
        </w:rPr>
        <w:t>Center</w:t>
      </w:r>
      <w:proofErr w:type="spellEnd"/>
      <w:r w:rsidRPr="003F4FF4">
        <w:rPr>
          <w:rFonts w:ascii="Calibri" w:hAnsi="Calibri" w:cs="Calibri"/>
          <w:i/>
          <w:iCs/>
          <w:sz w:val="21"/>
          <w:szCs w:val="21"/>
        </w:rPr>
        <w:t xml:space="preserve"> for Business and Environment</w:t>
      </w:r>
      <w:r w:rsidRPr="003F4FF4">
        <w:rPr>
          <w:rFonts w:ascii="Calibri" w:hAnsi="Calibri" w:cs="Calibri"/>
          <w:sz w:val="21"/>
          <w:szCs w:val="21"/>
        </w:rPr>
        <w:t>.</w:t>
      </w:r>
    </w:p>
    <w:p w14:paraId="6566E383"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Bodnar</w:t>
      </w:r>
      <w:proofErr w:type="spellEnd"/>
      <w:r w:rsidRPr="003F4FF4">
        <w:rPr>
          <w:rFonts w:ascii="Calibri" w:hAnsi="Calibri" w:cs="Calibri"/>
          <w:sz w:val="21"/>
          <w:szCs w:val="21"/>
        </w:rPr>
        <w:t xml:space="preserve"> P., </w:t>
      </w:r>
      <w:proofErr w:type="spellStart"/>
      <w:r w:rsidRPr="003F4FF4">
        <w:rPr>
          <w:rFonts w:ascii="Calibri" w:hAnsi="Calibri" w:cs="Calibri"/>
          <w:sz w:val="21"/>
          <w:szCs w:val="21"/>
        </w:rPr>
        <w:t>Ott</w:t>
      </w:r>
      <w:proofErr w:type="spellEnd"/>
      <w:r w:rsidRPr="003F4FF4">
        <w:rPr>
          <w:rFonts w:ascii="Calibri" w:hAnsi="Calibri" w:cs="Calibri"/>
          <w:sz w:val="21"/>
          <w:szCs w:val="21"/>
        </w:rPr>
        <w:t xml:space="preserve"> C., </w:t>
      </w:r>
      <w:proofErr w:type="spellStart"/>
      <w:r w:rsidRPr="003F4FF4">
        <w:rPr>
          <w:rFonts w:ascii="Calibri" w:hAnsi="Calibri" w:cs="Calibri"/>
          <w:sz w:val="21"/>
          <w:szCs w:val="21"/>
        </w:rPr>
        <w:t>Thwaites</w:t>
      </w:r>
      <w:proofErr w:type="spellEnd"/>
      <w:r w:rsidRPr="003F4FF4">
        <w:rPr>
          <w:rFonts w:ascii="Calibri" w:hAnsi="Calibri" w:cs="Calibri"/>
          <w:sz w:val="21"/>
          <w:szCs w:val="21"/>
        </w:rPr>
        <w:t xml:space="preserve"> J., De </w:t>
      </w:r>
      <w:proofErr w:type="spellStart"/>
      <w:r w:rsidRPr="003F4FF4">
        <w:rPr>
          <w:rFonts w:ascii="Calibri" w:hAnsi="Calibri" w:cs="Calibri"/>
          <w:sz w:val="21"/>
          <w:szCs w:val="21"/>
        </w:rPr>
        <w:t>Marez</w:t>
      </w:r>
      <w:proofErr w:type="spellEnd"/>
      <w:r w:rsidRPr="003F4FF4">
        <w:rPr>
          <w:rFonts w:ascii="Calibri" w:hAnsi="Calibri" w:cs="Calibri"/>
          <w:sz w:val="21"/>
          <w:szCs w:val="21"/>
        </w:rPr>
        <w:t xml:space="preserve"> L., </w:t>
      </w:r>
      <w:proofErr w:type="spellStart"/>
      <w:r w:rsidRPr="003F4FF4">
        <w:rPr>
          <w:rFonts w:ascii="Calibri" w:hAnsi="Calibri" w:cs="Calibri"/>
          <w:sz w:val="21"/>
          <w:szCs w:val="21"/>
        </w:rPr>
        <w:t>Kretschmer</w:t>
      </w:r>
      <w:proofErr w:type="spellEnd"/>
      <w:r w:rsidRPr="003F4FF4">
        <w:rPr>
          <w:rFonts w:ascii="Calibri" w:hAnsi="Calibri" w:cs="Calibri"/>
          <w:sz w:val="21"/>
          <w:szCs w:val="21"/>
        </w:rPr>
        <w:t xml:space="preserve"> B. (2017). </w:t>
      </w:r>
      <w:r w:rsidRPr="003F4FF4">
        <w:rPr>
          <w:rFonts w:ascii="Calibri" w:hAnsi="Calibri" w:cs="Calibri"/>
          <w:i/>
          <w:sz w:val="21"/>
          <w:szCs w:val="21"/>
        </w:rPr>
        <w:t>Net Climate Finance: Reconciling the clean and dirty sides of the finance ledger</w:t>
      </w:r>
      <w:r w:rsidRPr="003F4FF4">
        <w:rPr>
          <w:rFonts w:ascii="Calibri" w:hAnsi="Calibri" w:cs="Calibri"/>
          <w:sz w:val="21"/>
          <w:szCs w:val="21"/>
        </w:rPr>
        <w:t xml:space="preserve">. Available at: </w:t>
      </w:r>
      <w:hyperlink r:id="rId17" w:history="1">
        <w:r w:rsidRPr="003F4FF4">
          <w:rPr>
            <w:rStyle w:val="Hyperlink"/>
            <w:rFonts w:ascii="Calibri" w:hAnsi="Calibri" w:cs="Calibri"/>
            <w:sz w:val="21"/>
            <w:szCs w:val="21"/>
          </w:rPr>
          <w:t>https://rmi.org/wp-content/uploads/2017/07/RMI_Net_Climate_Finance_Discussion_Paper_2017-1.pdf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3732F354"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Boie</w:t>
      </w:r>
      <w:proofErr w:type="spellEnd"/>
      <w:r w:rsidRPr="003F4FF4">
        <w:rPr>
          <w:rFonts w:ascii="Calibri" w:hAnsi="Calibri" w:cs="Calibri"/>
          <w:sz w:val="21"/>
          <w:szCs w:val="21"/>
        </w:rPr>
        <w:t xml:space="preserve">, I., Held, A., &amp; </w:t>
      </w:r>
      <w:proofErr w:type="spellStart"/>
      <w:r w:rsidRPr="003F4FF4">
        <w:rPr>
          <w:rFonts w:ascii="Calibri" w:hAnsi="Calibri" w:cs="Calibri"/>
          <w:sz w:val="21"/>
          <w:szCs w:val="21"/>
        </w:rPr>
        <w:t>Ragwitz</w:t>
      </w:r>
      <w:proofErr w:type="spellEnd"/>
      <w:r w:rsidRPr="003F4FF4">
        <w:rPr>
          <w:rFonts w:ascii="Calibri" w:hAnsi="Calibri" w:cs="Calibri"/>
          <w:sz w:val="21"/>
          <w:szCs w:val="21"/>
        </w:rPr>
        <w:t xml:space="preserve">, M. (2014). Barriers and drivers framing the diffusion of renewable energy technologies. In </w:t>
      </w:r>
      <w:r w:rsidRPr="003F4FF4">
        <w:rPr>
          <w:rFonts w:ascii="Calibri" w:hAnsi="Calibri" w:cs="Calibri"/>
          <w:i/>
          <w:iCs/>
          <w:sz w:val="21"/>
          <w:szCs w:val="21"/>
        </w:rPr>
        <w:t xml:space="preserve">renewables in the EU: policy performance, drivers and barriers. </w:t>
      </w:r>
      <w:proofErr w:type="gramStart"/>
      <w:r w:rsidRPr="003F4FF4">
        <w:rPr>
          <w:rFonts w:ascii="Calibri" w:hAnsi="Calibri" w:cs="Calibri"/>
          <w:i/>
          <w:iCs/>
          <w:sz w:val="21"/>
          <w:szCs w:val="21"/>
        </w:rPr>
        <w:t>1st</w:t>
      </w:r>
      <w:proofErr w:type="gramEnd"/>
      <w:r w:rsidRPr="003F4FF4">
        <w:rPr>
          <w:rFonts w:ascii="Calibri" w:hAnsi="Calibri" w:cs="Calibri"/>
          <w:i/>
          <w:iCs/>
          <w:sz w:val="21"/>
          <w:szCs w:val="21"/>
        </w:rPr>
        <w:t xml:space="preserve"> DIACORE-CEPS Policy Workshop</w:t>
      </w:r>
      <w:r w:rsidRPr="003F4FF4">
        <w:rPr>
          <w:rFonts w:ascii="Calibri" w:hAnsi="Calibri" w:cs="Calibri"/>
          <w:sz w:val="21"/>
          <w:szCs w:val="21"/>
        </w:rPr>
        <w:t>.</w:t>
      </w:r>
    </w:p>
    <w:p w14:paraId="38ADB615"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Bolton, R., &amp; </w:t>
      </w:r>
      <w:proofErr w:type="spellStart"/>
      <w:r w:rsidRPr="003F4FF4">
        <w:rPr>
          <w:rFonts w:ascii="Calibri" w:hAnsi="Calibri" w:cs="Calibri"/>
          <w:sz w:val="21"/>
          <w:szCs w:val="21"/>
        </w:rPr>
        <w:t>Foxon</w:t>
      </w:r>
      <w:proofErr w:type="spellEnd"/>
      <w:r w:rsidRPr="003F4FF4">
        <w:rPr>
          <w:rFonts w:ascii="Calibri" w:hAnsi="Calibri" w:cs="Calibri"/>
          <w:sz w:val="21"/>
          <w:szCs w:val="21"/>
        </w:rPr>
        <w:t xml:space="preserve">, T. J. (2015). A socio-technical perspective on low carbon investment challenges–insights for UK energy policy. </w:t>
      </w:r>
      <w:r w:rsidRPr="003F4FF4">
        <w:rPr>
          <w:rFonts w:ascii="Calibri" w:hAnsi="Calibri" w:cs="Calibri"/>
          <w:i/>
          <w:iCs/>
          <w:sz w:val="21"/>
          <w:szCs w:val="21"/>
        </w:rPr>
        <w:t>Environmental innovation and societal transitions</w:t>
      </w:r>
      <w:r w:rsidRPr="003F4FF4">
        <w:rPr>
          <w:rFonts w:ascii="Calibri" w:hAnsi="Calibri" w:cs="Calibri"/>
          <w:sz w:val="21"/>
          <w:szCs w:val="21"/>
        </w:rPr>
        <w:t xml:space="preserve">, </w:t>
      </w:r>
      <w:r w:rsidRPr="003F4FF4">
        <w:rPr>
          <w:rFonts w:ascii="Calibri" w:hAnsi="Calibri" w:cs="Calibri"/>
          <w:i/>
          <w:iCs/>
          <w:sz w:val="21"/>
          <w:szCs w:val="21"/>
        </w:rPr>
        <w:t>14</w:t>
      </w:r>
      <w:r w:rsidRPr="003F4FF4">
        <w:rPr>
          <w:rFonts w:ascii="Calibri" w:hAnsi="Calibri" w:cs="Calibri"/>
          <w:sz w:val="21"/>
          <w:szCs w:val="21"/>
        </w:rPr>
        <w:t>, 165-181.</w:t>
      </w:r>
    </w:p>
    <w:p w14:paraId="7B2F11ED"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Bolton, R., </w:t>
      </w:r>
      <w:proofErr w:type="spellStart"/>
      <w:r w:rsidRPr="003F4FF4">
        <w:rPr>
          <w:rFonts w:ascii="Calibri" w:hAnsi="Calibri" w:cs="Calibri"/>
          <w:sz w:val="21"/>
          <w:szCs w:val="21"/>
        </w:rPr>
        <w:t>Foxon</w:t>
      </w:r>
      <w:proofErr w:type="spellEnd"/>
      <w:r w:rsidRPr="003F4FF4">
        <w:rPr>
          <w:rFonts w:ascii="Calibri" w:hAnsi="Calibri" w:cs="Calibri"/>
          <w:sz w:val="21"/>
          <w:szCs w:val="21"/>
        </w:rPr>
        <w:t xml:space="preserve">, T. J., &amp; Hall, S. (2016). Energy transitions and uncertainty: Creating low carbon investment opportunities in the UK electricity sector. </w:t>
      </w:r>
      <w:r w:rsidRPr="003F4FF4">
        <w:rPr>
          <w:rFonts w:ascii="Calibri" w:hAnsi="Calibri" w:cs="Calibri"/>
          <w:i/>
          <w:iCs/>
          <w:sz w:val="21"/>
          <w:szCs w:val="21"/>
        </w:rPr>
        <w:t>Environment and Planning C: Government and Policy</w:t>
      </w:r>
      <w:r w:rsidRPr="003F4FF4">
        <w:rPr>
          <w:rFonts w:ascii="Calibri" w:hAnsi="Calibri" w:cs="Calibri"/>
          <w:sz w:val="21"/>
          <w:szCs w:val="21"/>
        </w:rPr>
        <w:t xml:space="preserve">, </w:t>
      </w:r>
      <w:r w:rsidRPr="003F4FF4">
        <w:rPr>
          <w:rFonts w:ascii="Calibri" w:hAnsi="Calibri" w:cs="Calibri"/>
          <w:i/>
          <w:iCs/>
          <w:sz w:val="21"/>
          <w:szCs w:val="21"/>
        </w:rPr>
        <w:t>34</w:t>
      </w:r>
      <w:r w:rsidRPr="003F4FF4">
        <w:rPr>
          <w:rFonts w:ascii="Calibri" w:hAnsi="Calibri" w:cs="Calibri"/>
          <w:sz w:val="21"/>
          <w:szCs w:val="21"/>
        </w:rPr>
        <w:t>(8), 1387-1403.</w:t>
      </w:r>
    </w:p>
    <w:p w14:paraId="57CFAA2E"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Boute</w:t>
      </w:r>
      <w:proofErr w:type="spellEnd"/>
      <w:r w:rsidRPr="003F4FF4">
        <w:rPr>
          <w:rFonts w:ascii="Calibri" w:hAnsi="Calibri" w:cs="Calibri"/>
          <w:sz w:val="21"/>
          <w:szCs w:val="21"/>
        </w:rPr>
        <w:t xml:space="preserve">, A. (2012). The quest for regulatory stability in the EU energy market: an analysis through the prism of legal certainty. </w:t>
      </w:r>
      <w:r w:rsidRPr="003F4FF4">
        <w:rPr>
          <w:rFonts w:ascii="Calibri" w:hAnsi="Calibri" w:cs="Calibri"/>
          <w:i/>
          <w:iCs/>
          <w:sz w:val="21"/>
          <w:szCs w:val="21"/>
        </w:rPr>
        <w:t>European Law Review</w:t>
      </w:r>
      <w:r w:rsidRPr="003F4FF4">
        <w:rPr>
          <w:rFonts w:ascii="Calibri" w:hAnsi="Calibri" w:cs="Calibri"/>
          <w:sz w:val="21"/>
          <w:szCs w:val="21"/>
        </w:rPr>
        <w:t xml:space="preserve">, </w:t>
      </w:r>
      <w:r w:rsidRPr="003F4FF4">
        <w:rPr>
          <w:rFonts w:ascii="Calibri" w:hAnsi="Calibri" w:cs="Calibri"/>
          <w:i/>
          <w:iCs/>
          <w:sz w:val="21"/>
          <w:szCs w:val="21"/>
        </w:rPr>
        <w:t>37</w:t>
      </w:r>
      <w:r w:rsidRPr="003F4FF4">
        <w:rPr>
          <w:rFonts w:ascii="Calibri" w:hAnsi="Calibri" w:cs="Calibri"/>
          <w:sz w:val="21"/>
          <w:szCs w:val="21"/>
        </w:rPr>
        <w:t>, 675-692.</w:t>
      </w:r>
    </w:p>
    <w:p w14:paraId="54C094EE"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Bowen, A. (2011). The case for carbon pricing. </w:t>
      </w:r>
      <w:r w:rsidRPr="003F4FF4">
        <w:rPr>
          <w:rFonts w:ascii="Calibri" w:hAnsi="Calibri" w:cs="Calibri"/>
          <w:i/>
          <w:iCs/>
          <w:sz w:val="21"/>
          <w:szCs w:val="21"/>
        </w:rPr>
        <w:t>Policy Brief, Grantham Research</w:t>
      </w:r>
      <w:r w:rsidRPr="003F4FF4">
        <w:rPr>
          <w:rFonts w:ascii="Calibri" w:hAnsi="Calibri" w:cs="Calibri"/>
          <w:sz w:val="21"/>
          <w:szCs w:val="21"/>
        </w:rPr>
        <w:t>.</w:t>
      </w:r>
    </w:p>
    <w:p w14:paraId="7B1E4FB7"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Bowen, A., &amp; </w:t>
      </w:r>
      <w:proofErr w:type="spellStart"/>
      <w:r w:rsidRPr="003F4FF4">
        <w:rPr>
          <w:rFonts w:ascii="Calibri" w:hAnsi="Calibri" w:cs="Calibri"/>
          <w:sz w:val="21"/>
          <w:szCs w:val="21"/>
        </w:rPr>
        <w:t>Rydge</w:t>
      </w:r>
      <w:proofErr w:type="spellEnd"/>
      <w:r w:rsidRPr="003F4FF4">
        <w:rPr>
          <w:rFonts w:ascii="Calibri" w:hAnsi="Calibri" w:cs="Calibri"/>
          <w:sz w:val="21"/>
          <w:szCs w:val="21"/>
        </w:rPr>
        <w:t xml:space="preserve">, J. (2011). Climate-change policy in the United Kingdom. </w:t>
      </w:r>
      <w:r w:rsidRPr="003F4FF4">
        <w:rPr>
          <w:rFonts w:ascii="Calibri" w:hAnsi="Calibri" w:cs="Calibri"/>
          <w:i/>
          <w:iCs/>
          <w:sz w:val="21"/>
          <w:szCs w:val="21"/>
        </w:rPr>
        <w:t>OECD Economic Department Working Papers</w:t>
      </w:r>
      <w:r w:rsidRPr="003F4FF4">
        <w:rPr>
          <w:rFonts w:ascii="Calibri" w:hAnsi="Calibri" w:cs="Calibri"/>
          <w:sz w:val="21"/>
          <w:szCs w:val="21"/>
        </w:rPr>
        <w:t xml:space="preserve">, (886), 0_1. </w:t>
      </w:r>
    </w:p>
    <w:p w14:paraId="54E516D7"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Bloomberg (2017). The $123 Billion Question Hanging over Renewable Energy. Available at: https://www.bloomberg.com/news/articles/2017-06-22/greenbond-mania-spurs-demand-to-back-up-climate-saving-promises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06.05.2019). </w:t>
      </w:r>
    </w:p>
    <w:p w14:paraId="73AA1D94"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Blyth, W., McCarthy, R., &amp; Gross, R. (2015). Financing the UK power sector: Is the money available</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87</w:t>
      </w:r>
      <w:r w:rsidRPr="003F4FF4">
        <w:rPr>
          <w:rFonts w:ascii="Calibri" w:hAnsi="Calibri" w:cs="Calibri"/>
          <w:sz w:val="21"/>
          <w:szCs w:val="21"/>
        </w:rPr>
        <w:t>, 607-622.</w:t>
      </w:r>
    </w:p>
    <w:p w14:paraId="603DB10C"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Breitschopf</w:t>
      </w:r>
      <w:proofErr w:type="spellEnd"/>
      <w:r w:rsidRPr="003F4FF4">
        <w:rPr>
          <w:rFonts w:ascii="Calibri" w:hAnsi="Calibri" w:cs="Calibri"/>
          <w:sz w:val="21"/>
          <w:szCs w:val="21"/>
        </w:rPr>
        <w:t xml:space="preserve">, B., &amp; </w:t>
      </w:r>
      <w:proofErr w:type="spellStart"/>
      <w:r w:rsidRPr="003F4FF4">
        <w:rPr>
          <w:rFonts w:ascii="Calibri" w:hAnsi="Calibri" w:cs="Calibri"/>
          <w:sz w:val="21"/>
          <w:szCs w:val="21"/>
        </w:rPr>
        <w:t>Pudlik</w:t>
      </w:r>
      <w:proofErr w:type="spellEnd"/>
      <w:r w:rsidRPr="003F4FF4">
        <w:rPr>
          <w:rFonts w:ascii="Calibri" w:hAnsi="Calibri" w:cs="Calibri"/>
          <w:sz w:val="21"/>
          <w:szCs w:val="21"/>
        </w:rPr>
        <w:t>, M. (2013). Basel III and Solvency II: Are the risk margins for investments in PV and wind adequate</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Energy &amp; Environment</w:t>
      </w:r>
      <w:r w:rsidRPr="003F4FF4">
        <w:rPr>
          <w:rFonts w:ascii="Calibri" w:hAnsi="Calibri" w:cs="Calibri"/>
          <w:sz w:val="21"/>
          <w:szCs w:val="21"/>
        </w:rPr>
        <w:t xml:space="preserve">, </w:t>
      </w:r>
      <w:r w:rsidRPr="003F4FF4">
        <w:rPr>
          <w:rFonts w:ascii="Calibri" w:hAnsi="Calibri" w:cs="Calibri"/>
          <w:i/>
          <w:iCs/>
          <w:sz w:val="21"/>
          <w:szCs w:val="21"/>
        </w:rPr>
        <w:t>24</w:t>
      </w:r>
      <w:r w:rsidRPr="003F4FF4">
        <w:rPr>
          <w:rFonts w:ascii="Calibri" w:hAnsi="Calibri" w:cs="Calibri"/>
          <w:sz w:val="21"/>
          <w:szCs w:val="21"/>
        </w:rPr>
        <w:t>(1-2), 171-194.</w:t>
      </w:r>
    </w:p>
    <w:p w14:paraId="39BE03FC"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British Banking Association (2015) Financing the UK's infrastructure needs. Available at: </w:t>
      </w:r>
      <w:hyperlink r:id="rId18" w:anchor=".WxEPpmaWwdU">
        <w:r w:rsidRPr="003F4FF4">
          <w:rPr>
            <w:rStyle w:val="Hyperlink"/>
            <w:rFonts w:ascii="Calibri" w:eastAsia="Calibri" w:hAnsi="Calibri" w:cs="Calibri"/>
            <w:sz w:val="21"/>
            <w:szCs w:val="21"/>
          </w:rPr>
          <w:t>https://www.bba.org.uk/news/reports/financing-the-uks-infrastructure-needs/#.WxEPpmaWwdU</w:t>
        </w:r>
      </w:hyperlink>
      <w:r w:rsidRPr="003F4FF4">
        <w:rPr>
          <w:rFonts w:ascii="Calibri" w:eastAsia="Calibri" w:hAnsi="Calibri" w:cs="Calibri"/>
          <w:sz w:val="21"/>
          <w:szCs w:val="21"/>
        </w:rPr>
        <w:t xml:space="preserve"> (Accessed 01.05.2019).</w:t>
      </w:r>
    </w:p>
    <w:p w14:paraId="49ABA03B"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Bryman</w:t>
      </w:r>
      <w:proofErr w:type="spellEnd"/>
      <w:r w:rsidRPr="003F4FF4">
        <w:rPr>
          <w:rFonts w:ascii="Calibri" w:hAnsi="Calibri" w:cs="Calibri"/>
          <w:sz w:val="21"/>
          <w:szCs w:val="21"/>
        </w:rPr>
        <w:t xml:space="preserve">, A. (2008). </w:t>
      </w:r>
      <w:r w:rsidRPr="003F4FF4">
        <w:rPr>
          <w:rFonts w:ascii="Calibri" w:hAnsi="Calibri" w:cs="Calibri"/>
          <w:i/>
          <w:sz w:val="21"/>
          <w:szCs w:val="21"/>
        </w:rPr>
        <w:t>Social Research Methods</w:t>
      </w:r>
      <w:r w:rsidRPr="003F4FF4">
        <w:rPr>
          <w:rFonts w:ascii="Calibri" w:hAnsi="Calibri" w:cs="Calibri"/>
          <w:sz w:val="21"/>
          <w:szCs w:val="21"/>
        </w:rPr>
        <w:t xml:space="preserve">. Oxford University Press: Oxford, UK. </w:t>
      </w:r>
    </w:p>
    <w:p w14:paraId="582ECE6D" w14:textId="77777777" w:rsidR="00431638" w:rsidRPr="003F4FF4" w:rsidRDefault="00431638" w:rsidP="00D7335E">
      <w:pPr>
        <w:pStyle w:val="FootnoteText"/>
        <w:suppressLineNumbers/>
        <w:spacing w:after="160" w:line="276" w:lineRule="auto"/>
        <w:ind w:left="720" w:hanging="720"/>
        <w:rPr>
          <w:rFonts w:ascii="Calibri" w:hAnsi="Calibri" w:cs="Calibri"/>
          <w:sz w:val="21"/>
          <w:szCs w:val="21"/>
        </w:rPr>
      </w:pPr>
      <w:r w:rsidRPr="003F4FF4">
        <w:rPr>
          <w:rFonts w:ascii="Calibri" w:hAnsi="Calibri" w:cs="Calibri"/>
          <w:sz w:val="21"/>
          <w:szCs w:val="21"/>
        </w:rPr>
        <w:t xml:space="preserve">Bucher, R., Jeffrey, H., </w:t>
      </w:r>
      <w:proofErr w:type="spellStart"/>
      <w:r w:rsidRPr="003F4FF4">
        <w:rPr>
          <w:rFonts w:ascii="Calibri" w:hAnsi="Calibri" w:cs="Calibri"/>
          <w:sz w:val="21"/>
          <w:szCs w:val="21"/>
        </w:rPr>
        <w:t>Bryden</w:t>
      </w:r>
      <w:proofErr w:type="spellEnd"/>
      <w:r w:rsidRPr="003F4FF4">
        <w:rPr>
          <w:rFonts w:ascii="Calibri" w:hAnsi="Calibri" w:cs="Calibri"/>
          <w:sz w:val="21"/>
          <w:szCs w:val="21"/>
        </w:rPr>
        <w:t xml:space="preserve">, I. G., &amp; Harrison, G. P. (2016). Creation of investor confidence: The top-level drivers for reaching maturity in marine energy. </w:t>
      </w:r>
      <w:r w:rsidRPr="003F4FF4">
        <w:rPr>
          <w:rFonts w:ascii="Calibri" w:hAnsi="Calibri" w:cs="Calibri"/>
          <w:i/>
          <w:iCs/>
          <w:sz w:val="21"/>
          <w:szCs w:val="21"/>
        </w:rPr>
        <w:t>Renewable energy</w:t>
      </w:r>
      <w:r w:rsidRPr="003F4FF4">
        <w:rPr>
          <w:rFonts w:ascii="Calibri" w:hAnsi="Calibri" w:cs="Calibri"/>
          <w:sz w:val="21"/>
          <w:szCs w:val="21"/>
        </w:rPr>
        <w:t xml:space="preserve">, </w:t>
      </w:r>
      <w:r w:rsidRPr="003F4FF4">
        <w:rPr>
          <w:rFonts w:ascii="Calibri" w:hAnsi="Calibri" w:cs="Calibri"/>
          <w:i/>
          <w:iCs/>
          <w:sz w:val="21"/>
          <w:szCs w:val="21"/>
        </w:rPr>
        <w:t>88</w:t>
      </w:r>
      <w:r w:rsidRPr="003F4FF4">
        <w:rPr>
          <w:rFonts w:ascii="Calibri" w:hAnsi="Calibri" w:cs="Calibri"/>
          <w:sz w:val="21"/>
          <w:szCs w:val="21"/>
        </w:rPr>
        <w:t>, 120-129.</w:t>
      </w:r>
    </w:p>
    <w:p w14:paraId="16B20105" w14:textId="77777777" w:rsidR="00431638" w:rsidRPr="003F4FF4" w:rsidRDefault="00431638" w:rsidP="00D7335E">
      <w:pPr>
        <w:pStyle w:val="FootnoteText"/>
        <w:suppressLineNumbers/>
        <w:spacing w:after="160" w:line="276" w:lineRule="auto"/>
        <w:ind w:left="720" w:hanging="720"/>
        <w:rPr>
          <w:rFonts w:ascii="Calibri" w:hAnsi="Calibri" w:cs="Calibri"/>
          <w:sz w:val="21"/>
          <w:szCs w:val="21"/>
        </w:rPr>
      </w:pPr>
      <w:r w:rsidRPr="003F4FF4">
        <w:rPr>
          <w:rFonts w:ascii="Calibri" w:hAnsi="Calibri" w:cs="Calibri"/>
          <w:sz w:val="21"/>
          <w:szCs w:val="21"/>
        </w:rPr>
        <w:t xml:space="preserve">Byrnes, L., Brown, C., Foster, J., &amp; Wagner, L. D. (2013). Australian renewable energy policy: Barriers and challenges. </w:t>
      </w:r>
      <w:r w:rsidRPr="003F4FF4">
        <w:rPr>
          <w:rFonts w:ascii="Calibri" w:hAnsi="Calibri" w:cs="Calibri"/>
          <w:i/>
          <w:iCs/>
          <w:sz w:val="21"/>
          <w:szCs w:val="21"/>
        </w:rPr>
        <w:t>Renewable Energy</w:t>
      </w:r>
      <w:r w:rsidRPr="003F4FF4">
        <w:rPr>
          <w:rFonts w:ascii="Calibri" w:hAnsi="Calibri" w:cs="Calibri"/>
          <w:sz w:val="21"/>
          <w:szCs w:val="21"/>
        </w:rPr>
        <w:t xml:space="preserve">, </w:t>
      </w:r>
      <w:r w:rsidRPr="003F4FF4">
        <w:rPr>
          <w:rFonts w:ascii="Calibri" w:hAnsi="Calibri" w:cs="Calibri"/>
          <w:i/>
          <w:iCs/>
          <w:sz w:val="21"/>
          <w:szCs w:val="21"/>
        </w:rPr>
        <w:t>60</w:t>
      </w:r>
      <w:r w:rsidRPr="003F4FF4">
        <w:rPr>
          <w:rFonts w:ascii="Calibri" w:hAnsi="Calibri" w:cs="Calibri"/>
          <w:sz w:val="21"/>
          <w:szCs w:val="21"/>
        </w:rPr>
        <w:t>, 711-721.</w:t>
      </w:r>
    </w:p>
    <w:p w14:paraId="45DDD2FD" w14:textId="77777777" w:rsidR="00431638" w:rsidRPr="003F4FF4" w:rsidRDefault="00431638" w:rsidP="00D7335E">
      <w:pPr>
        <w:pStyle w:val="FootnoteText"/>
        <w:suppressLineNumbers/>
        <w:spacing w:after="160" w:line="276" w:lineRule="auto"/>
        <w:ind w:left="720" w:hanging="720"/>
        <w:rPr>
          <w:rFonts w:ascii="Calibri" w:hAnsi="Calibri" w:cs="Calibri"/>
          <w:sz w:val="21"/>
          <w:szCs w:val="21"/>
        </w:rPr>
      </w:pPr>
      <w:r w:rsidRPr="003F4FF4">
        <w:rPr>
          <w:rFonts w:ascii="Calibri" w:hAnsi="Calibri" w:cs="Calibri"/>
          <w:sz w:val="21"/>
          <w:szCs w:val="21"/>
        </w:rPr>
        <w:lastRenderedPageBreak/>
        <w:t xml:space="preserve">Caldecott, B. (2017). Introduction to special issue: stranded assets and the environment. Journal of Sustainable Finance &amp; Investment 7(1), 1–13. </w:t>
      </w:r>
    </w:p>
    <w:p w14:paraId="69F41A43"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Caldecott, B., Tilbury, J., &amp; Carey, C. (2014). Stranded assets and scenarios. Smith School of Enterprise and the Environment. Available at: </w:t>
      </w:r>
      <w:hyperlink r:id="rId19" w:history="1">
        <w:r w:rsidRPr="003F4FF4">
          <w:rPr>
            <w:rStyle w:val="Hyperlink"/>
            <w:rFonts w:ascii="Calibri" w:hAnsi="Calibri" w:cs="Calibri"/>
            <w:sz w:val="21"/>
            <w:szCs w:val="21"/>
          </w:rPr>
          <w:t>https://ora.ox.ac.uk/objects/uuid:e2328230-deac-4976-b270-4d97566f43c9</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01.05.2019). </w:t>
      </w:r>
    </w:p>
    <w:p w14:paraId="54A05AD3"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Campiglio, E. (2016). Beyond carbon pricing: The role of banking and monetary policy in financing the transition to a low-carbon economy. </w:t>
      </w:r>
      <w:r w:rsidRPr="003F4FF4">
        <w:rPr>
          <w:rFonts w:ascii="Calibri" w:hAnsi="Calibri" w:cs="Calibri"/>
          <w:i/>
          <w:iCs/>
          <w:sz w:val="21"/>
          <w:szCs w:val="21"/>
        </w:rPr>
        <w:t>Ecological Economics</w:t>
      </w:r>
      <w:r w:rsidRPr="003F4FF4">
        <w:rPr>
          <w:rFonts w:ascii="Calibri" w:hAnsi="Calibri" w:cs="Calibri"/>
          <w:sz w:val="21"/>
          <w:szCs w:val="21"/>
        </w:rPr>
        <w:t xml:space="preserve">, </w:t>
      </w:r>
      <w:r w:rsidRPr="003F4FF4">
        <w:rPr>
          <w:rFonts w:ascii="Calibri" w:hAnsi="Calibri" w:cs="Calibri"/>
          <w:i/>
          <w:iCs/>
          <w:sz w:val="21"/>
          <w:szCs w:val="21"/>
        </w:rPr>
        <w:t>121</w:t>
      </w:r>
      <w:r w:rsidRPr="003F4FF4">
        <w:rPr>
          <w:rFonts w:ascii="Calibri" w:hAnsi="Calibri" w:cs="Calibri"/>
          <w:sz w:val="21"/>
          <w:szCs w:val="21"/>
        </w:rPr>
        <w:t>, 220-230.</w:t>
      </w:r>
    </w:p>
    <w:p w14:paraId="26C92C5E"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Campiglio, E., Godin, A., Kemp-Benedict, E., &amp; </w:t>
      </w:r>
      <w:proofErr w:type="spellStart"/>
      <w:r w:rsidRPr="003F4FF4">
        <w:rPr>
          <w:rFonts w:ascii="Calibri" w:hAnsi="Calibri" w:cs="Calibri"/>
          <w:sz w:val="21"/>
          <w:szCs w:val="21"/>
        </w:rPr>
        <w:t>Matikainen</w:t>
      </w:r>
      <w:proofErr w:type="spellEnd"/>
      <w:r w:rsidRPr="003F4FF4">
        <w:rPr>
          <w:rFonts w:ascii="Calibri" w:hAnsi="Calibri" w:cs="Calibri"/>
          <w:sz w:val="21"/>
          <w:szCs w:val="21"/>
        </w:rPr>
        <w:t xml:space="preserve">, S. (2017). The tightening links between financial systems and the low-carbon transition. In </w:t>
      </w:r>
      <w:r w:rsidRPr="003F4FF4">
        <w:rPr>
          <w:rFonts w:ascii="Calibri" w:hAnsi="Calibri" w:cs="Calibri"/>
          <w:i/>
          <w:iCs/>
          <w:sz w:val="21"/>
          <w:szCs w:val="21"/>
        </w:rPr>
        <w:t>Economic Policies since the Global Financial Crisis</w:t>
      </w:r>
      <w:r w:rsidRPr="003F4FF4">
        <w:rPr>
          <w:rFonts w:ascii="Calibri" w:hAnsi="Calibri" w:cs="Calibri"/>
          <w:sz w:val="21"/>
          <w:szCs w:val="21"/>
        </w:rPr>
        <w:t xml:space="preserve"> (pp. 313-356). Palgrave Macmillan: Cham.</w:t>
      </w:r>
    </w:p>
    <w:p w14:paraId="0EB7D237"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Carbon Brief (2017). </w:t>
      </w:r>
      <w:r w:rsidRPr="003F4FF4">
        <w:rPr>
          <w:rFonts w:ascii="Calibri" w:hAnsi="Calibri" w:cs="Calibri"/>
          <w:i/>
          <w:sz w:val="21"/>
          <w:szCs w:val="21"/>
        </w:rPr>
        <w:t>Explainer: The challenge of defining fossil fuel subsidies</w:t>
      </w:r>
      <w:r w:rsidRPr="003F4FF4">
        <w:rPr>
          <w:rFonts w:ascii="Calibri" w:hAnsi="Calibri" w:cs="Calibri"/>
          <w:sz w:val="21"/>
          <w:szCs w:val="21"/>
        </w:rPr>
        <w:t xml:space="preserve">. Available at: </w:t>
      </w:r>
      <w:hyperlink r:id="rId20" w:history="1">
        <w:r w:rsidRPr="003F4FF4">
          <w:rPr>
            <w:rStyle w:val="Hyperlink"/>
            <w:rFonts w:ascii="Calibri" w:hAnsi="Calibri" w:cs="Calibri"/>
            <w:sz w:val="21"/>
            <w:szCs w:val="21"/>
          </w:rPr>
          <w:t>https://www.carbonbrief.org/explainer-the-challenge-of-defining-fossil-fuel-subsidies</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15.04.2019). </w:t>
      </w:r>
    </w:p>
    <w:p w14:paraId="3D084712"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pacing w:val="3"/>
          <w:sz w:val="21"/>
          <w:szCs w:val="21"/>
        </w:rPr>
      </w:pPr>
      <w:r w:rsidRPr="003F4FF4">
        <w:rPr>
          <w:rFonts w:ascii="Calibri" w:hAnsi="Calibri" w:cs="Calibri"/>
          <w:spacing w:val="3"/>
          <w:sz w:val="21"/>
          <w:szCs w:val="21"/>
        </w:rPr>
        <w:t xml:space="preserve">Carbon Tracker &amp; Grantham Institute (LSE) (2013). </w:t>
      </w:r>
      <w:proofErr w:type="spellStart"/>
      <w:r w:rsidRPr="003F4FF4">
        <w:rPr>
          <w:rFonts w:ascii="Calibri" w:hAnsi="Calibri" w:cs="Calibri"/>
          <w:i/>
          <w:iCs/>
          <w:spacing w:val="3"/>
          <w:sz w:val="21"/>
          <w:szCs w:val="21"/>
        </w:rPr>
        <w:t>Unburnable</w:t>
      </w:r>
      <w:proofErr w:type="spellEnd"/>
      <w:r w:rsidRPr="003F4FF4">
        <w:rPr>
          <w:rFonts w:ascii="Calibri" w:hAnsi="Calibri" w:cs="Calibri"/>
          <w:i/>
          <w:iCs/>
          <w:spacing w:val="3"/>
          <w:sz w:val="21"/>
          <w:szCs w:val="21"/>
        </w:rPr>
        <w:t xml:space="preserve"> Carbon 2013: Wasted Capital and Stranded Assets</w:t>
      </w:r>
      <w:r w:rsidRPr="003F4FF4">
        <w:rPr>
          <w:rFonts w:ascii="Calibri" w:hAnsi="Calibri" w:cs="Calibri"/>
          <w:spacing w:val="3"/>
          <w:sz w:val="21"/>
          <w:szCs w:val="21"/>
        </w:rPr>
        <w:t>. Available at</w:t>
      </w:r>
      <w:r w:rsidRPr="003F4FF4">
        <w:rPr>
          <w:rFonts w:ascii="Calibri" w:hAnsi="Calibri" w:cs="Calibri"/>
          <w:sz w:val="21"/>
          <w:szCs w:val="21"/>
        </w:rPr>
        <w:t xml:space="preserve"> </w:t>
      </w:r>
      <w:hyperlink r:id="rId21" w:history="1">
        <w:r w:rsidRPr="003F4FF4">
          <w:rPr>
            <w:rStyle w:val="Hyperlink"/>
            <w:rFonts w:ascii="Calibri" w:hAnsi="Calibri" w:cs="Calibri"/>
            <w:spacing w:val="3"/>
            <w:sz w:val="21"/>
            <w:szCs w:val="21"/>
          </w:rPr>
          <w:t>http://carbontracker.live.kiln.digital/Unburnable-Carbon-2-Web-Version.pdf</w:t>
        </w:r>
      </w:hyperlink>
      <w:r w:rsidRPr="003F4FF4">
        <w:rPr>
          <w:rFonts w:ascii="Calibri" w:hAnsi="Calibri" w:cs="Calibri"/>
          <w:spacing w:val="3"/>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pacing w:val="3"/>
          <w:sz w:val="21"/>
          <w:szCs w:val="21"/>
        </w:rPr>
        <w:t xml:space="preserve">02.05.2019). </w:t>
      </w:r>
    </w:p>
    <w:p w14:paraId="019B5522"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Carney, M. (2015). </w:t>
      </w:r>
      <w:r w:rsidRPr="003F4FF4">
        <w:rPr>
          <w:rFonts w:ascii="Calibri" w:hAnsi="Calibri" w:cs="Calibri"/>
          <w:i/>
          <w:sz w:val="21"/>
          <w:szCs w:val="21"/>
        </w:rPr>
        <w:t>Breaking the tragedy of the horizon - climate change and ﬁnancial stability</w:t>
      </w:r>
      <w:r w:rsidRPr="003F4FF4">
        <w:rPr>
          <w:rFonts w:ascii="Calibri" w:hAnsi="Calibri" w:cs="Calibri"/>
          <w:sz w:val="21"/>
          <w:szCs w:val="21"/>
        </w:rPr>
        <w:t xml:space="preserve">. Bank of England speech. Available at: </w:t>
      </w:r>
      <w:hyperlink r:id="rId22" w:history="1">
        <w:r w:rsidRPr="003F4FF4">
          <w:rPr>
            <w:rStyle w:val="Hyperlink"/>
            <w:rFonts w:ascii="Calibri" w:hAnsi="Calibri" w:cs="Calibri"/>
            <w:sz w:val="21"/>
            <w:szCs w:val="21"/>
          </w:rPr>
          <w:t>https://www.bis.org/review/r151009a.pdf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3F1DB9CA"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Carney, M. (2018). </w:t>
      </w:r>
      <w:r w:rsidRPr="003F4FF4">
        <w:rPr>
          <w:rFonts w:ascii="Calibri" w:hAnsi="Calibri" w:cs="Calibri"/>
          <w:i/>
          <w:sz w:val="21"/>
          <w:szCs w:val="21"/>
        </w:rPr>
        <w:t>A transition in thinking and action. Bank of England speech</w:t>
      </w:r>
      <w:r w:rsidRPr="003F4FF4">
        <w:rPr>
          <w:rFonts w:ascii="Calibri" w:hAnsi="Calibri" w:cs="Calibri"/>
          <w:sz w:val="21"/>
          <w:szCs w:val="21"/>
        </w:rPr>
        <w:t xml:space="preserve">. Available at: </w:t>
      </w:r>
      <w:hyperlink r:id="rId23" w:history="1">
        <w:r w:rsidRPr="003F4FF4">
          <w:rPr>
            <w:rStyle w:val="Hyperlink"/>
            <w:rFonts w:ascii="Calibri" w:hAnsi="Calibri" w:cs="Calibri"/>
            <w:sz w:val="21"/>
            <w:szCs w:val="21"/>
          </w:rPr>
          <w:t>https://www.bankofengland.co.uk/speech/2018/mark-carney-speech-at-international-climate-risk-conference-for-supervisors</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01.05.2019). </w:t>
      </w:r>
    </w:p>
    <w:p w14:paraId="726D5C50"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Carney, M. (2019). </w:t>
      </w:r>
      <w:r w:rsidRPr="003F4FF4">
        <w:rPr>
          <w:rFonts w:ascii="Calibri" w:hAnsi="Calibri" w:cs="Calibri"/>
          <w:i/>
          <w:sz w:val="21"/>
          <w:szCs w:val="21"/>
        </w:rPr>
        <w:t xml:space="preserve">A New horizon. </w:t>
      </w:r>
      <w:r w:rsidRPr="003F4FF4">
        <w:rPr>
          <w:rFonts w:ascii="Calibri" w:hAnsi="Calibri" w:cs="Calibri"/>
          <w:sz w:val="21"/>
          <w:szCs w:val="21"/>
        </w:rPr>
        <w:t xml:space="preserve">Bank of England speech. Available at: </w:t>
      </w:r>
      <w:hyperlink r:id="rId24" w:history="1">
        <w:r w:rsidRPr="003F4FF4">
          <w:rPr>
            <w:rStyle w:val="Hyperlink"/>
            <w:rFonts w:ascii="Calibri" w:hAnsi="Calibri" w:cs="Calibri"/>
            <w:sz w:val="21"/>
            <w:szCs w:val="21"/>
          </w:rPr>
          <w:t>https://www.bis.org/review/r190322a.htm</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01.05.2019). </w:t>
      </w:r>
    </w:p>
    <w:p w14:paraId="687B5DE0"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Chassot</w:t>
      </w:r>
      <w:proofErr w:type="spellEnd"/>
      <w:r w:rsidRPr="003F4FF4">
        <w:rPr>
          <w:rFonts w:ascii="Calibri" w:hAnsi="Calibri" w:cs="Calibri"/>
          <w:sz w:val="21"/>
          <w:szCs w:val="21"/>
        </w:rPr>
        <w:t xml:space="preserve">, S., </w:t>
      </w:r>
      <w:proofErr w:type="spellStart"/>
      <w:r w:rsidRPr="003F4FF4">
        <w:rPr>
          <w:rFonts w:ascii="Calibri" w:hAnsi="Calibri" w:cs="Calibri"/>
          <w:sz w:val="21"/>
          <w:szCs w:val="21"/>
        </w:rPr>
        <w:t>Hampl</w:t>
      </w:r>
      <w:proofErr w:type="spellEnd"/>
      <w:r w:rsidRPr="003F4FF4">
        <w:rPr>
          <w:rFonts w:ascii="Calibri" w:hAnsi="Calibri" w:cs="Calibri"/>
          <w:sz w:val="21"/>
          <w:szCs w:val="21"/>
        </w:rPr>
        <w:t xml:space="preserve">, N., &amp; </w:t>
      </w:r>
      <w:proofErr w:type="spellStart"/>
      <w:r w:rsidRPr="003F4FF4">
        <w:rPr>
          <w:rFonts w:ascii="Calibri" w:hAnsi="Calibri" w:cs="Calibri"/>
          <w:sz w:val="21"/>
          <w:szCs w:val="21"/>
        </w:rPr>
        <w:t>Wüstenhagen</w:t>
      </w:r>
      <w:proofErr w:type="spellEnd"/>
      <w:r w:rsidRPr="003F4FF4">
        <w:rPr>
          <w:rFonts w:ascii="Calibri" w:hAnsi="Calibri" w:cs="Calibri"/>
          <w:sz w:val="21"/>
          <w:szCs w:val="21"/>
        </w:rPr>
        <w:t xml:space="preserve">, R. (2014). When energy policy meets free-market capitalists: the moderating influence of worldviews on risk perception and renewable energy investment decisions. </w:t>
      </w:r>
      <w:r w:rsidRPr="003F4FF4">
        <w:rPr>
          <w:rFonts w:ascii="Calibri" w:hAnsi="Calibri" w:cs="Calibri"/>
          <w:i/>
          <w:iCs/>
          <w:sz w:val="21"/>
          <w:szCs w:val="21"/>
        </w:rPr>
        <w:t>Energy Research &amp; Social Science</w:t>
      </w:r>
      <w:r w:rsidRPr="003F4FF4">
        <w:rPr>
          <w:rFonts w:ascii="Calibri" w:hAnsi="Calibri" w:cs="Calibri"/>
          <w:sz w:val="21"/>
          <w:szCs w:val="21"/>
        </w:rPr>
        <w:t xml:space="preserve">, </w:t>
      </w:r>
      <w:r w:rsidRPr="003F4FF4">
        <w:rPr>
          <w:rFonts w:ascii="Calibri" w:hAnsi="Calibri" w:cs="Calibri"/>
          <w:i/>
          <w:iCs/>
          <w:sz w:val="21"/>
          <w:szCs w:val="21"/>
        </w:rPr>
        <w:t>3</w:t>
      </w:r>
      <w:r w:rsidRPr="003F4FF4">
        <w:rPr>
          <w:rFonts w:ascii="Calibri" w:hAnsi="Calibri" w:cs="Calibri"/>
          <w:sz w:val="21"/>
          <w:szCs w:val="21"/>
        </w:rPr>
        <w:t>, 143-151.</w:t>
      </w:r>
    </w:p>
    <w:p w14:paraId="5FCD3B1B"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Chen, L., &amp; </w:t>
      </w:r>
      <w:proofErr w:type="spellStart"/>
      <w:r w:rsidRPr="003F4FF4">
        <w:rPr>
          <w:rFonts w:ascii="Calibri" w:hAnsi="Calibri" w:cs="Calibri"/>
          <w:sz w:val="21"/>
          <w:szCs w:val="21"/>
        </w:rPr>
        <w:t>Kettunen</w:t>
      </w:r>
      <w:proofErr w:type="spellEnd"/>
      <w:r w:rsidRPr="003F4FF4">
        <w:rPr>
          <w:rFonts w:ascii="Calibri" w:hAnsi="Calibri" w:cs="Calibri"/>
          <w:sz w:val="21"/>
          <w:szCs w:val="21"/>
        </w:rPr>
        <w:t>, J. (2017). Is certainty in carbon policy better than uncertainty</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European Journal of Operational Research</w:t>
      </w:r>
      <w:r w:rsidRPr="003F4FF4">
        <w:rPr>
          <w:rFonts w:ascii="Calibri" w:hAnsi="Calibri" w:cs="Calibri"/>
          <w:sz w:val="21"/>
          <w:szCs w:val="21"/>
        </w:rPr>
        <w:t xml:space="preserve">, </w:t>
      </w:r>
      <w:r w:rsidRPr="003F4FF4">
        <w:rPr>
          <w:rFonts w:ascii="Calibri" w:hAnsi="Calibri" w:cs="Calibri"/>
          <w:i/>
          <w:iCs/>
          <w:sz w:val="21"/>
          <w:szCs w:val="21"/>
        </w:rPr>
        <w:t>258</w:t>
      </w:r>
      <w:r w:rsidRPr="003F4FF4">
        <w:rPr>
          <w:rFonts w:ascii="Calibri" w:hAnsi="Calibri" w:cs="Calibri"/>
          <w:sz w:val="21"/>
          <w:szCs w:val="21"/>
        </w:rPr>
        <w:t>(1), 230-243.</w:t>
      </w:r>
    </w:p>
    <w:p w14:paraId="5F6167C1"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Chiesa, M., &amp; </w:t>
      </w:r>
      <w:proofErr w:type="spellStart"/>
      <w:r w:rsidRPr="003F4FF4">
        <w:rPr>
          <w:rFonts w:ascii="Calibri" w:hAnsi="Calibri" w:cs="Calibri"/>
          <w:sz w:val="21"/>
          <w:szCs w:val="21"/>
        </w:rPr>
        <w:t>Barua</w:t>
      </w:r>
      <w:proofErr w:type="spellEnd"/>
      <w:r w:rsidRPr="003F4FF4">
        <w:rPr>
          <w:rFonts w:ascii="Calibri" w:hAnsi="Calibri" w:cs="Calibri"/>
          <w:sz w:val="21"/>
          <w:szCs w:val="21"/>
        </w:rPr>
        <w:t xml:space="preserve">, S. (2019). The surge of impact borrowing: the magnitude and determinants of green bond supply and its heterogeneity across markets. </w:t>
      </w:r>
      <w:r w:rsidRPr="003F4FF4">
        <w:rPr>
          <w:rFonts w:ascii="Calibri" w:hAnsi="Calibri" w:cs="Calibri"/>
          <w:i/>
          <w:iCs/>
          <w:sz w:val="21"/>
          <w:szCs w:val="21"/>
        </w:rPr>
        <w:t>Journal of Sustainable Finance &amp; Investment</w:t>
      </w:r>
      <w:r w:rsidRPr="003F4FF4">
        <w:rPr>
          <w:rFonts w:ascii="Calibri" w:hAnsi="Calibri" w:cs="Calibri"/>
          <w:sz w:val="21"/>
          <w:szCs w:val="21"/>
        </w:rPr>
        <w:t xml:space="preserve">, </w:t>
      </w:r>
      <w:r w:rsidRPr="003F4FF4">
        <w:rPr>
          <w:rFonts w:ascii="Calibri" w:hAnsi="Calibri" w:cs="Calibri"/>
          <w:i/>
          <w:iCs/>
          <w:sz w:val="21"/>
          <w:szCs w:val="21"/>
        </w:rPr>
        <w:t>9</w:t>
      </w:r>
      <w:r w:rsidRPr="003F4FF4">
        <w:rPr>
          <w:rFonts w:ascii="Calibri" w:hAnsi="Calibri" w:cs="Calibri"/>
          <w:sz w:val="21"/>
          <w:szCs w:val="21"/>
        </w:rPr>
        <w:t>(2), 138-161.</w:t>
      </w:r>
    </w:p>
    <w:p w14:paraId="36D63500"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Committee on Climate Change (CCC) (2013). </w:t>
      </w:r>
      <w:r w:rsidRPr="003F4FF4">
        <w:rPr>
          <w:rFonts w:ascii="Calibri" w:hAnsi="Calibri" w:cs="Calibri"/>
          <w:i/>
          <w:sz w:val="21"/>
          <w:szCs w:val="21"/>
        </w:rPr>
        <w:t>Next Steps on Electricity Market Reform – Securing the Benefits of Low- Carbon Investment. Committee on Climate Change</w:t>
      </w:r>
      <w:r w:rsidRPr="003F4FF4">
        <w:rPr>
          <w:rFonts w:ascii="Calibri" w:hAnsi="Calibri" w:cs="Calibri"/>
          <w:sz w:val="21"/>
          <w:szCs w:val="21"/>
        </w:rPr>
        <w:t xml:space="preserve">. </w:t>
      </w:r>
      <w:hyperlink r:id="rId25" w:history="1">
        <w:r w:rsidRPr="003F4FF4">
          <w:rPr>
            <w:rStyle w:val="Hyperlink"/>
            <w:rFonts w:ascii="Calibri" w:hAnsi="Calibri" w:cs="Calibri"/>
            <w:sz w:val="21"/>
            <w:szCs w:val="21"/>
          </w:rPr>
          <w:t>https://www.theccc.org.uk/wp-content/uploads/2013/05/1720_EMR_report_web.pdf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01.05.2019). </w:t>
      </w:r>
    </w:p>
    <w:p w14:paraId="52BC0B54"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Committee on Climate Change (CCC) (2015). </w:t>
      </w:r>
      <w:r w:rsidRPr="003F4FF4">
        <w:rPr>
          <w:rFonts w:ascii="Calibri" w:hAnsi="Calibri" w:cs="Calibri"/>
          <w:i/>
          <w:sz w:val="21"/>
          <w:szCs w:val="21"/>
        </w:rPr>
        <w:t>Power sector scenarios for the fifth carbon budget</w:t>
      </w:r>
      <w:r w:rsidRPr="003F4FF4">
        <w:rPr>
          <w:rFonts w:ascii="Calibri" w:hAnsi="Calibri" w:cs="Calibri"/>
          <w:sz w:val="21"/>
          <w:szCs w:val="21"/>
        </w:rPr>
        <w:t xml:space="preserve">. Available at: </w:t>
      </w:r>
      <w:hyperlink r:id="rId26" w:history="1">
        <w:r w:rsidRPr="003F4FF4">
          <w:rPr>
            <w:rStyle w:val="Hyperlink"/>
            <w:rFonts w:ascii="Calibri" w:hAnsi="Calibri" w:cs="Calibri"/>
            <w:sz w:val="21"/>
            <w:szCs w:val="21"/>
          </w:rPr>
          <w:t>https://www.theccc.org.uk/publication/power-sector-scenarios-for-the-fifth-carbon-budget/</w:t>
        </w:r>
      </w:hyperlink>
      <w:r w:rsidRPr="003F4FF4">
        <w:rPr>
          <w:rStyle w:val="Hyperlink"/>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Style w:val="Hyperlink"/>
          <w:rFonts w:ascii="Calibri" w:hAnsi="Calibri" w:cs="Calibri"/>
          <w:sz w:val="21"/>
          <w:szCs w:val="21"/>
        </w:rPr>
        <w:t xml:space="preserve">18.03.2019). </w:t>
      </w:r>
    </w:p>
    <w:p w14:paraId="130B768D"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Committee on Climate Change (CCC) (2016). </w:t>
      </w:r>
      <w:r w:rsidRPr="003F4FF4">
        <w:rPr>
          <w:rFonts w:ascii="Calibri" w:hAnsi="Calibri" w:cs="Calibri"/>
          <w:i/>
          <w:sz w:val="21"/>
          <w:szCs w:val="21"/>
        </w:rPr>
        <w:t xml:space="preserve">Meeting Carbon Budgets - 2016 Progress Report to </w:t>
      </w:r>
      <w:r w:rsidRPr="003F4FF4">
        <w:rPr>
          <w:rFonts w:ascii="Calibri" w:hAnsi="Calibri" w:cs="Calibri"/>
          <w:i/>
          <w:sz w:val="21"/>
          <w:szCs w:val="21"/>
        </w:rPr>
        <w:lastRenderedPageBreak/>
        <w:t>Parliament</w:t>
      </w:r>
      <w:r w:rsidRPr="003F4FF4">
        <w:rPr>
          <w:rFonts w:ascii="Calibri" w:hAnsi="Calibri" w:cs="Calibri"/>
          <w:sz w:val="21"/>
          <w:szCs w:val="21"/>
        </w:rPr>
        <w:t xml:space="preserve">. Available at: </w:t>
      </w:r>
      <w:hyperlink r:id="rId27" w:history="1">
        <w:r w:rsidRPr="003F4FF4">
          <w:rPr>
            <w:rStyle w:val="Hyperlink"/>
            <w:rFonts w:ascii="Calibri" w:hAnsi="Calibri" w:cs="Calibri"/>
            <w:sz w:val="21"/>
            <w:szCs w:val="21"/>
          </w:rPr>
          <w:t>https://www.gov.uk/government/uploads/system/uploads/attachment_data/file/47613/3702-the-carbon-plan-delivering-our-low-carbon-future.pdf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07.04.2019).</w:t>
      </w:r>
    </w:p>
    <w:p w14:paraId="39CFBB51"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Committee on Climate Change (CCC) (2017). </w:t>
      </w:r>
      <w:r w:rsidRPr="003F4FF4">
        <w:rPr>
          <w:rFonts w:ascii="Calibri" w:hAnsi="Calibri" w:cs="Calibri"/>
          <w:i/>
          <w:sz w:val="21"/>
          <w:szCs w:val="21"/>
        </w:rPr>
        <w:t>The infrastructure needs of a low-carbon economy prepared for climate change</w:t>
      </w:r>
      <w:r w:rsidRPr="003F4FF4">
        <w:rPr>
          <w:rFonts w:ascii="Calibri" w:hAnsi="Calibri" w:cs="Calibri"/>
          <w:sz w:val="21"/>
          <w:szCs w:val="21"/>
        </w:rPr>
        <w:t xml:space="preserve">. Briefing note. Available at: </w:t>
      </w:r>
      <w:hyperlink r:id="rId28" w:history="1">
        <w:r w:rsidRPr="003F4FF4">
          <w:rPr>
            <w:rStyle w:val="Hyperlink"/>
            <w:rFonts w:ascii="Calibri" w:hAnsi="Calibri" w:cs="Calibri"/>
            <w:sz w:val="21"/>
            <w:szCs w:val="21"/>
          </w:rPr>
          <w:t>https://www.theccc.org.uk/wp-content/uploads/2017/03/The-infrastructure-needs-of-a-low-carbon-economy-Committee-on-Climate-Change-March-2017.pdf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01.05.2019). </w:t>
      </w:r>
    </w:p>
    <w:p w14:paraId="7151DFD3"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Committee on Climate Change (CCC) (2018). </w:t>
      </w:r>
      <w:r w:rsidRPr="003F4FF4">
        <w:rPr>
          <w:rFonts w:ascii="Calibri" w:hAnsi="Calibri" w:cs="Calibri"/>
          <w:i/>
          <w:sz w:val="21"/>
          <w:szCs w:val="21"/>
        </w:rPr>
        <w:t>Reducing UK emissions - 2018 Progress Report to Parliament</w:t>
      </w:r>
      <w:r w:rsidRPr="003F4FF4">
        <w:rPr>
          <w:rFonts w:ascii="Calibri" w:hAnsi="Calibri" w:cs="Calibri"/>
          <w:sz w:val="21"/>
          <w:szCs w:val="21"/>
        </w:rPr>
        <w:t xml:space="preserve">. Available at: </w:t>
      </w:r>
      <w:hyperlink r:id="rId29" w:history="1">
        <w:r w:rsidRPr="003F4FF4">
          <w:rPr>
            <w:rStyle w:val="Hyperlink"/>
            <w:rFonts w:ascii="Calibri" w:hAnsi="Calibri" w:cs="Calibri"/>
            <w:sz w:val="21"/>
            <w:szCs w:val="21"/>
          </w:rPr>
          <w:t>https://www.theccc.org.uk/publication/reducing-uk-emissions-2018-progress-report-to-parliament/</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18.03.2019). </w:t>
      </w:r>
    </w:p>
    <w:p w14:paraId="6D0493D7"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Committee on Climate Change (CCC) (2019). Net Zero – The UK’s contribution to stopping global warming. Available at: </w:t>
      </w:r>
      <w:hyperlink r:id="rId30" w:history="1">
        <w:r w:rsidRPr="003F4FF4">
          <w:rPr>
            <w:rStyle w:val="Hyperlink"/>
            <w:rFonts w:ascii="Calibri" w:hAnsi="Calibri" w:cs="Calibri"/>
            <w:sz w:val="21"/>
            <w:szCs w:val="21"/>
          </w:rPr>
          <w:t>https://www.theccc.org.uk/publication/net-zero-the-uks-contribution-to-stopping-global-warming/</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14.05.2019). </w:t>
      </w:r>
    </w:p>
    <w:p w14:paraId="63A8986A"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Climate Bonds Initiative (CBI) (2018). </w:t>
      </w:r>
      <w:r w:rsidRPr="003F4FF4">
        <w:rPr>
          <w:rFonts w:ascii="Calibri" w:hAnsi="Calibri" w:cs="Calibri"/>
          <w:i/>
          <w:sz w:val="21"/>
          <w:szCs w:val="21"/>
        </w:rPr>
        <w:t>Bonds and Climate Change: The State of the Market 2018</w:t>
      </w:r>
      <w:r w:rsidRPr="003F4FF4">
        <w:rPr>
          <w:rFonts w:ascii="Calibri" w:hAnsi="Calibri" w:cs="Calibri"/>
          <w:sz w:val="21"/>
          <w:szCs w:val="21"/>
        </w:rPr>
        <w:t xml:space="preserve">. Available at: </w:t>
      </w:r>
      <w:hyperlink r:id="rId31" w:history="1">
        <w:r w:rsidRPr="003F4FF4">
          <w:rPr>
            <w:rStyle w:val="Hyperlink"/>
            <w:rFonts w:ascii="Calibri" w:hAnsi="Calibri" w:cs="Calibri"/>
            <w:sz w:val="21"/>
            <w:szCs w:val="21"/>
          </w:rPr>
          <w:t>https://www.climatebonds.net/resources/reports/bonds-and-climate-change-state-market-2018</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30.04.2019). </w:t>
      </w:r>
    </w:p>
    <w:p w14:paraId="55EBF758"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Climate Policy Initiative (CPI) (2013) </w:t>
      </w:r>
      <w:proofErr w:type="gramStart"/>
      <w:r w:rsidRPr="003F4FF4">
        <w:rPr>
          <w:rFonts w:ascii="Calibri" w:eastAsia="Calibri" w:hAnsi="Calibri" w:cs="Calibri"/>
          <w:sz w:val="21"/>
          <w:szCs w:val="21"/>
        </w:rPr>
        <w:t>The</w:t>
      </w:r>
      <w:proofErr w:type="gramEnd"/>
      <w:r w:rsidRPr="003F4FF4">
        <w:rPr>
          <w:rFonts w:ascii="Calibri" w:eastAsia="Calibri" w:hAnsi="Calibri" w:cs="Calibri"/>
          <w:sz w:val="21"/>
          <w:szCs w:val="21"/>
        </w:rPr>
        <w:t xml:space="preserve"> challenge of Institutional Investment in Renewable Energy. Available at: </w:t>
      </w:r>
      <w:hyperlink r:id="rId32">
        <w:r w:rsidRPr="003F4FF4">
          <w:rPr>
            <w:rStyle w:val="Hyperlink"/>
            <w:rFonts w:ascii="Calibri" w:eastAsia="Calibri" w:hAnsi="Calibri" w:cs="Calibri"/>
            <w:sz w:val="21"/>
            <w:szCs w:val="21"/>
          </w:rPr>
          <w:t>https://climatepolicyinitiative.org/publication/the-challenge-of-institutional-investment-in-renewable-energy/</w:t>
        </w:r>
      </w:hyperlink>
      <w:r w:rsidRPr="003F4FF4">
        <w:rPr>
          <w:rFonts w:ascii="Calibri" w:eastAsia="Calibri" w:hAnsi="Calibri" w:cs="Calibri"/>
          <w:sz w:val="21"/>
          <w:szCs w:val="21"/>
        </w:rPr>
        <w:t xml:space="preserve"> (Accessed 15.05.2019).</w:t>
      </w:r>
    </w:p>
    <w:p w14:paraId="587CC6D4"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Climate Policy Initiative (CPI) (2016). </w:t>
      </w:r>
      <w:r w:rsidRPr="003F4FF4">
        <w:rPr>
          <w:rFonts w:ascii="Calibri" w:hAnsi="Calibri" w:cs="Calibri"/>
          <w:i/>
          <w:sz w:val="21"/>
          <w:szCs w:val="21"/>
        </w:rPr>
        <w:t xml:space="preserve">Beyond </w:t>
      </w:r>
      <w:proofErr w:type="spellStart"/>
      <w:r w:rsidRPr="003F4FF4">
        <w:rPr>
          <w:rFonts w:ascii="Calibri" w:hAnsi="Calibri" w:cs="Calibri"/>
          <w:i/>
          <w:sz w:val="21"/>
          <w:szCs w:val="21"/>
        </w:rPr>
        <w:t>YieldCos</w:t>
      </w:r>
      <w:proofErr w:type="spellEnd"/>
      <w:r w:rsidRPr="003F4FF4">
        <w:rPr>
          <w:rFonts w:ascii="Calibri" w:hAnsi="Calibri" w:cs="Calibri"/>
          <w:sz w:val="21"/>
          <w:szCs w:val="21"/>
        </w:rPr>
        <w:t xml:space="preserve">. Available at: </w:t>
      </w:r>
      <w:hyperlink r:id="rId33" w:history="1">
        <w:r w:rsidRPr="003F4FF4">
          <w:rPr>
            <w:rStyle w:val="Hyperlink"/>
            <w:rFonts w:ascii="Calibri" w:hAnsi="Calibri" w:cs="Calibri"/>
            <w:sz w:val="21"/>
            <w:szCs w:val="21"/>
          </w:rPr>
          <w:t>https://climatepolicyinitiative.org/wp-content/uploads/2016/06/Beyond-YieldCos-1.pdf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01.05.2019). </w:t>
      </w:r>
    </w:p>
    <w:p w14:paraId="45E4A761"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noProof/>
          <w:sz w:val="21"/>
          <w:szCs w:val="21"/>
        </w:rPr>
      </w:pPr>
      <w:r w:rsidRPr="003F4FF4">
        <w:rPr>
          <w:rFonts w:ascii="Calibri" w:hAnsi="Calibri" w:cs="Calibri"/>
          <w:sz w:val="21"/>
          <w:szCs w:val="21"/>
        </w:rPr>
        <w:t xml:space="preserve">Climate Policy Initiative (CPI) (2017). </w:t>
      </w:r>
      <w:r w:rsidRPr="003F4FF4">
        <w:rPr>
          <w:rFonts w:ascii="Calibri" w:hAnsi="Calibri" w:cs="Calibri"/>
          <w:i/>
          <w:sz w:val="21"/>
          <w:szCs w:val="21"/>
        </w:rPr>
        <w:t>Mobilising low-cost institutional investment in renewable energy. Major barriers and solutions to overcome them</w:t>
      </w:r>
      <w:r w:rsidRPr="003F4FF4">
        <w:rPr>
          <w:rFonts w:ascii="Calibri" w:hAnsi="Calibri" w:cs="Calibri"/>
          <w:sz w:val="21"/>
          <w:szCs w:val="21"/>
        </w:rPr>
        <w:t xml:space="preserve">. Available at: </w:t>
      </w:r>
      <w:hyperlink r:id="rId34" w:history="1">
        <w:r w:rsidRPr="003F4FF4">
          <w:rPr>
            <w:rStyle w:val="Hyperlink"/>
            <w:rFonts w:ascii="Calibri" w:hAnsi="Calibri" w:cs="Calibri"/>
            <w:noProof/>
            <w:sz w:val="21"/>
            <w:szCs w:val="21"/>
          </w:rPr>
          <w:t>https://climatepolicyinitiative.org/wp-content/uploads/2017/08/August-2017-CPI-Energy-Finance-CEIT-Barriers-report-final.pdf</w:t>
        </w:r>
      </w:hyperlink>
      <w:r w:rsidRPr="003F4FF4">
        <w:rPr>
          <w:rFonts w:ascii="Calibri" w:hAnsi="Calibri" w:cs="Calibri"/>
          <w:noProof/>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noProof/>
          <w:sz w:val="21"/>
          <w:szCs w:val="21"/>
        </w:rPr>
        <w:t xml:space="preserve">21.04.2019). </w:t>
      </w:r>
    </w:p>
    <w:p w14:paraId="6FF61172"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Climate Policy Initiative (CPI) (2018). </w:t>
      </w:r>
      <w:r w:rsidRPr="003F4FF4">
        <w:rPr>
          <w:rFonts w:ascii="Calibri" w:hAnsi="Calibri" w:cs="Calibri"/>
          <w:i/>
          <w:sz w:val="21"/>
          <w:szCs w:val="21"/>
        </w:rPr>
        <w:t>Supporting the Momentum of Paris: A Systems Approach to Accelerating Climate Finance</w:t>
      </w:r>
      <w:r w:rsidRPr="003F4FF4">
        <w:rPr>
          <w:rFonts w:ascii="Calibri" w:hAnsi="Calibri" w:cs="Calibri"/>
          <w:sz w:val="21"/>
          <w:szCs w:val="21"/>
        </w:rPr>
        <w:t xml:space="preserve">. Available at: </w:t>
      </w:r>
      <w:hyperlink r:id="rId35" w:history="1">
        <w:r w:rsidRPr="003F4FF4">
          <w:rPr>
            <w:rStyle w:val="Hyperlink"/>
            <w:rFonts w:ascii="Calibri" w:hAnsi="Calibri" w:cs="Calibri"/>
            <w:sz w:val="21"/>
            <w:szCs w:val="21"/>
          </w:rPr>
          <w:t>https://climatepolicyinitiative.org/wp-content/uploads/2018/03/Systems_Approach_to_Climate_Finance-Methods_Approaches.pdf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21.04.2019). </w:t>
      </w:r>
    </w:p>
    <w:p w14:paraId="4E08411E" w14:textId="77777777" w:rsidR="00431638" w:rsidRPr="00820649" w:rsidRDefault="00431638" w:rsidP="00D7335E">
      <w:pPr>
        <w:suppressLineNumbers/>
        <w:rPr>
          <w:rFonts w:ascii="Calibri" w:hAnsi="Calibri" w:cs="Calibri"/>
          <w:color w:val="222222"/>
          <w:sz w:val="21"/>
          <w:szCs w:val="21"/>
        </w:rPr>
      </w:pPr>
      <w:proofErr w:type="spellStart"/>
      <w:r w:rsidRPr="00820649">
        <w:rPr>
          <w:rFonts w:ascii="Calibri" w:hAnsi="Calibri" w:cs="Calibri"/>
          <w:color w:val="222222"/>
          <w:sz w:val="21"/>
          <w:szCs w:val="21"/>
        </w:rPr>
        <w:t>Cubas‐Díaz</w:t>
      </w:r>
      <w:proofErr w:type="spellEnd"/>
      <w:r w:rsidRPr="00820649">
        <w:rPr>
          <w:rFonts w:ascii="Calibri" w:hAnsi="Calibri" w:cs="Calibri"/>
          <w:color w:val="222222"/>
          <w:sz w:val="21"/>
          <w:szCs w:val="21"/>
        </w:rPr>
        <w:t xml:space="preserve">, M., &amp; </w:t>
      </w:r>
      <w:proofErr w:type="spellStart"/>
      <w:r w:rsidRPr="00820649">
        <w:rPr>
          <w:rFonts w:ascii="Calibri" w:hAnsi="Calibri" w:cs="Calibri"/>
          <w:color w:val="222222"/>
          <w:sz w:val="21"/>
          <w:szCs w:val="21"/>
        </w:rPr>
        <w:t>Martínez</w:t>
      </w:r>
      <w:proofErr w:type="spellEnd"/>
      <w:r w:rsidRPr="00820649">
        <w:rPr>
          <w:rFonts w:ascii="Calibri" w:hAnsi="Calibri" w:cs="Calibri"/>
          <w:color w:val="222222"/>
          <w:sz w:val="21"/>
          <w:szCs w:val="21"/>
        </w:rPr>
        <w:t xml:space="preserve"> </w:t>
      </w:r>
      <w:proofErr w:type="spellStart"/>
      <w:r w:rsidRPr="00820649">
        <w:rPr>
          <w:rFonts w:ascii="Calibri" w:hAnsi="Calibri" w:cs="Calibri"/>
          <w:color w:val="222222"/>
          <w:sz w:val="21"/>
          <w:szCs w:val="21"/>
        </w:rPr>
        <w:t>Sedano</w:t>
      </w:r>
      <w:proofErr w:type="spellEnd"/>
      <w:r w:rsidRPr="00820649">
        <w:rPr>
          <w:rFonts w:ascii="Calibri" w:hAnsi="Calibri" w:cs="Calibri"/>
          <w:color w:val="222222"/>
          <w:sz w:val="21"/>
          <w:szCs w:val="21"/>
        </w:rPr>
        <w:t xml:space="preserve">, M. Á. (2018). Measures for sustainable investment decisions and business strategy–A triple bottom line approach. </w:t>
      </w:r>
      <w:r w:rsidRPr="00820649">
        <w:rPr>
          <w:rFonts w:ascii="Calibri" w:hAnsi="Calibri" w:cs="Calibri"/>
          <w:i/>
          <w:iCs/>
          <w:color w:val="222222"/>
          <w:sz w:val="21"/>
          <w:szCs w:val="21"/>
        </w:rPr>
        <w:t>Business Strategy and the Environment</w:t>
      </w:r>
      <w:r w:rsidRPr="00820649">
        <w:rPr>
          <w:rFonts w:ascii="Calibri" w:hAnsi="Calibri" w:cs="Calibri"/>
          <w:color w:val="222222"/>
          <w:sz w:val="21"/>
          <w:szCs w:val="21"/>
        </w:rPr>
        <w:t xml:space="preserve">, </w:t>
      </w:r>
      <w:r w:rsidRPr="00820649">
        <w:rPr>
          <w:rFonts w:ascii="Calibri" w:hAnsi="Calibri" w:cs="Calibri"/>
          <w:i/>
          <w:iCs/>
          <w:color w:val="222222"/>
          <w:sz w:val="21"/>
          <w:szCs w:val="21"/>
        </w:rPr>
        <w:t>27</w:t>
      </w:r>
      <w:r w:rsidRPr="00820649">
        <w:rPr>
          <w:rFonts w:ascii="Calibri" w:hAnsi="Calibri" w:cs="Calibri"/>
          <w:color w:val="222222"/>
          <w:sz w:val="21"/>
          <w:szCs w:val="21"/>
        </w:rPr>
        <w:t>(1), 16-38.</w:t>
      </w:r>
    </w:p>
    <w:p w14:paraId="2DB6FBBC"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820649">
        <w:rPr>
          <w:rFonts w:ascii="Calibri" w:hAnsi="Calibri" w:cs="Calibri"/>
          <w:sz w:val="21"/>
          <w:szCs w:val="21"/>
        </w:rPr>
        <w:t>Dafermos</w:t>
      </w:r>
      <w:proofErr w:type="spellEnd"/>
      <w:r w:rsidRPr="00820649">
        <w:rPr>
          <w:rFonts w:ascii="Calibri" w:hAnsi="Calibri" w:cs="Calibri"/>
          <w:sz w:val="21"/>
          <w:szCs w:val="21"/>
        </w:rPr>
        <w:t xml:space="preserve">, Y., </w:t>
      </w:r>
      <w:proofErr w:type="spellStart"/>
      <w:r w:rsidRPr="00820649">
        <w:rPr>
          <w:rFonts w:ascii="Calibri" w:hAnsi="Calibri" w:cs="Calibri"/>
          <w:sz w:val="21"/>
          <w:szCs w:val="21"/>
        </w:rPr>
        <w:t>Nikolaidi</w:t>
      </w:r>
      <w:proofErr w:type="spellEnd"/>
      <w:r w:rsidRPr="00820649">
        <w:rPr>
          <w:rFonts w:ascii="Calibri" w:hAnsi="Calibri" w:cs="Calibri"/>
          <w:sz w:val="21"/>
          <w:szCs w:val="21"/>
        </w:rPr>
        <w:t xml:space="preserve">, M., &amp; </w:t>
      </w:r>
      <w:proofErr w:type="spellStart"/>
      <w:r w:rsidRPr="00820649">
        <w:rPr>
          <w:rFonts w:ascii="Calibri" w:hAnsi="Calibri" w:cs="Calibri"/>
          <w:sz w:val="21"/>
          <w:szCs w:val="21"/>
        </w:rPr>
        <w:t>Galanis</w:t>
      </w:r>
      <w:proofErr w:type="spellEnd"/>
      <w:r w:rsidRPr="00820649">
        <w:rPr>
          <w:rFonts w:ascii="Calibri" w:hAnsi="Calibri" w:cs="Calibri"/>
          <w:sz w:val="21"/>
          <w:szCs w:val="21"/>
        </w:rPr>
        <w:t xml:space="preserve">, G. (2018). </w:t>
      </w:r>
      <w:r w:rsidRPr="003F4FF4">
        <w:rPr>
          <w:rFonts w:ascii="Calibri" w:hAnsi="Calibri" w:cs="Calibri"/>
          <w:sz w:val="21"/>
          <w:szCs w:val="21"/>
        </w:rPr>
        <w:t xml:space="preserve">Climate change, financial stability and monetary policy. </w:t>
      </w:r>
      <w:r w:rsidRPr="003F4FF4">
        <w:rPr>
          <w:rFonts w:ascii="Calibri" w:hAnsi="Calibri" w:cs="Calibri"/>
          <w:i/>
          <w:iCs/>
          <w:sz w:val="21"/>
          <w:szCs w:val="21"/>
        </w:rPr>
        <w:t>Ecological Economics</w:t>
      </w:r>
      <w:r w:rsidRPr="003F4FF4">
        <w:rPr>
          <w:rFonts w:ascii="Calibri" w:hAnsi="Calibri" w:cs="Calibri"/>
          <w:sz w:val="21"/>
          <w:szCs w:val="21"/>
        </w:rPr>
        <w:t xml:space="preserve">, </w:t>
      </w:r>
      <w:r w:rsidRPr="003F4FF4">
        <w:rPr>
          <w:rFonts w:ascii="Calibri" w:hAnsi="Calibri" w:cs="Calibri"/>
          <w:i/>
          <w:iCs/>
          <w:sz w:val="21"/>
          <w:szCs w:val="21"/>
        </w:rPr>
        <w:t>152</w:t>
      </w:r>
      <w:r w:rsidRPr="003F4FF4">
        <w:rPr>
          <w:rFonts w:ascii="Calibri" w:hAnsi="Calibri" w:cs="Calibri"/>
          <w:sz w:val="21"/>
          <w:szCs w:val="21"/>
        </w:rPr>
        <w:t>, 219-234.</w:t>
      </w:r>
    </w:p>
    <w:p w14:paraId="5FE41AFC"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Dalby, P. A., </w:t>
      </w:r>
      <w:proofErr w:type="spellStart"/>
      <w:r w:rsidRPr="003F4FF4">
        <w:rPr>
          <w:rFonts w:ascii="Calibri" w:hAnsi="Calibri" w:cs="Calibri"/>
          <w:sz w:val="21"/>
          <w:szCs w:val="21"/>
        </w:rPr>
        <w:t>Gillerhaugen</w:t>
      </w:r>
      <w:proofErr w:type="spellEnd"/>
      <w:r w:rsidRPr="003F4FF4">
        <w:rPr>
          <w:rFonts w:ascii="Calibri" w:hAnsi="Calibri" w:cs="Calibri"/>
          <w:sz w:val="21"/>
          <w:szCs w:val="21"/>
        </w:rPr>
        <w:t xml:space="preserve">, G. R., </w:t>
      </w:r>
      <w:proofErr w:type="spellStart"/>
      <w:r w:rsidRPr="003F4FF4">
        <w:rPr>
          <w:rFonts w:ascii="Calibri" w:hAnsi="Calibri" w:cs="Calibri"/>
          <w:sz w:val="21"/>
          <w:szCs w:val="21"/>
        </w:rPr>
        <w:t>Hagspiel</w:t>
      </w:r>
      <w:proofErr w:type="spellEnd"/>
      <w:r w:rsidRPr="003F4FF4">
        <w:rPr>
          <w:rFonts w:ascii="Calibri" w:hAnsi="Calibri" w:cs="Calibri"/>
          <w:sz w:val="21"/>
          <w:szCs w:val="21"/>
        </w:rPr>
        <w:t xml:space="preserve">, V., </w:t>
      </w:r>
      <w:proofErr w:type="spellStart"/>
      <w:r w:rsidRPr="003F4FF4">
        <w:rPr>
          <w:rFonts w:ascii="Calibri" w:hAnsi="Calibri" w:cs="Calibri"/>
          <w:sz w:val="21"/>
          <w:szCs w:val="21"/>
        </w:rPr>
        <w:t>Leth</w:t>
      </w:r>
      <w:proofErr w:type="spellEnd"/>
      <w:r w:rsidRPr="003F4FF4">
        <w:rPr>
          <w:rFonts w:ascii="Calibri" w:hAnsi="Calibri" w:cs="Calibri"/>
          <w:sz w:val="21"/>
          <w:szCs w:val="21"/>
        </w:rPr>
        <w:t xml:space="preserve">-Olsen, T., &amp; </w:t>
      </w:r>
      <w:proofErr w:type="spellStart"/>
      <w:r w:rsidRPr="003F4FF4">
        <w:rPr>
          <w:rFonts w:ascii="Calibri" w:hAnsi="Calibri" w:cs="Calibri"/>
          <w:sz w:val="21"/>
          <w:szCs w:val="21"/>
        </w:rPr>
        <w:t>Thijssen</w:t>
      </w:r>
      <w:proofErr w:type="spellEnd"/>
      <w:r w:rsidRPr="003F4FF4">
        <w:rPr>
          <w:rFonts w:ascii="Calibri" w:hAnsi="Calibri" w:cs="Calibri"/>
          <w:sz w:val="21"/>
          <w:szCs w:val="21"/>
        </w:rPr>
        <w:t xml:space="preserve">, J. J. (2018). Green investment under policy uncertainty and Bayesian learning. </w:t>
      </w:r>
      <w:r w:rsidRPr="003F4FF4">
        <w:rPr>
          <w:rFonts w:ascii="Calibri" w:hAnsi="Calibri" w:cs="Calibri"/>
          <w:i/>
          <w:iCs/>
          <w:sz w:val="21"/>
          <w:szCs w:val="21"/>
        </w:rPr>
        <w:t>Energy</w:t>
      </w:r>
      <w:r w:rsidRPr="003F4FF4">
        <w:rPr>
          <w:rFonts w:ascii="Calibri" w:hAnsi="Calibri" w:cs="Calibri"/>
          <w:sz w:val="21"/>
          <w:szCs w:val="21"/>
        </w:rPr>
        <w:t xml:space="preserve">, </w:t>
      </w:r>
      <w:r w:rsidRPr="003F4FF4">
        <w:rPr>
          <w:rFonts w:ascii="Calibri" w:hAnsi="Calibri" w:cs="Calibri"/>
          <w:i/>
          <w:iCs/>
          <w:sz w:val="21"/>
          <w:szCs w:val="21"/>
        </w:rPr>
        <w:t>161</w:t>
      </w:r>
      <w:r w:rsidRPr="003F4FF4">
        <w:rPr>
          <w:rFonts w:ascii="Calibri" w:hAnsi="Calibri" w:cs="Calibri"/>
          <w:sz w:val="21"/>
          <w:szCs w:val="21"/>
        </w:rPr>
        <w:t>, 1262-1281.</w:t>
      </w:r>
    </w:p>
    <w:p w14:paraId="4CEC1E85"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Della Croce, R. &amp; J. </w:t>
      </w:r>
      <w:proofErr w:type="spellStart"/>
      <w:r w:rsidRPr="003F4FF4">
        <w:rPr>
          <w:rFonts w:ascii="Calibri" w:hAnsi="Calibri" w:cs="Calibri"/>
          <w:sz w:val="21"/>
          <w:szCs w:val="21"/>
        </w:rPr>
        <w:t>Yermo</w:t>
      </w:r>
      <w:proofErr w:type="spellEnd"/>
      <w:r w:rsidRPr="003F4FF4">
        <w:rPr>
          <w:rFonts w:ascii="Calibri" w:hAnsi="Calibri" w:cs="Calibri"/>
          <w:sz w:val="21"/>
          <w:szCs w:val="21"/>
        </w:rPr>
        <w:t xml:space="preserve"> (2013). Institutional Investors and Infrastructure Financing. </w:t>
      </w:r>
      <w:r w:rsidRPr="003F4FF4">
        <w:rPr>
          <w:rFonts w:ascii="Calibri" w:hAnsi="Calibri" w:cs="Calibri"/>
          <w:i/>
          <w:iCs/>
          <w:sz w:val="21"/>
          <w:szCs w:val="21"/>
        </w:rPr>
        <w:t>OECD Working Papers on Finance, Insurance and Private Pensions</w:t>
      </w:r>
      <w:r w:rsidRPr="003F4FF4">
        <w:rPr>
          <w:rFonts w:ascii="Calibri" w:hAnsi="Calibri" w:cs="Calibri"/>
          <w:sz w:val="21"/>
          <w:szCs w:val="21"/>
        </w:rPr>
        <w:t xml:space="preserve">, No. 36. OECD Publishing: Paris, </w:t>
      </w:r>
      <w:hyperlink r:id="rId36" w:history="1">
        <w:r w:rsidRPr="003F4FF4">
          <w:rPr>
            <w:rStyle w:val="Hyperlink"/>
            <w:rFonts w:ascii="Calibri" w:hAnsi="Calibri" w:cs="Calibri"/>
            <w:sz w:val="21"/>
            <w:szCs w:val="21"/>
          </w:rPr>
          <w:t>https://doi.org/10.1787/5k3wh99xgc33-en</w:t>
        </w:r>
      </w:hyperlink>
      <w:r w:rsidRPr="003F4FF4">
        <w:rPr>
          <w:rFonts w:ascii="Calibri" w:hAnsi="Calibri" w:cs="Calibri"/>
          <w:sz w:val="21"/>
          <w:szCs w:val="21"/>
        </w:rPr>
        <w:t xml:space="preserve">. </w:t>
      </w:r>
    </w:p>
    <w:p w14:paraId="195BC084"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Del Rio, P. (2011). Analysing future trends of renewable electricity in the EU in a low-carbon context. </w:t>
      </w:r>
      <w:r w:rsidRPr="003F4FF4">
        <w:rPr>
          <w:rFonts w:ascii="Calibri" w:hAnsi="Calibri" w:cs="Calibri"/>
          <w:i/>
          <w:iCs/>
          <w:sz w:val="21"/>
          <w:szCs w:val="21"/>
        </w:rPr>
        <w:t>Renewable and Sustainable Energy Reviews</w:t>
      </w:r>
      <w:r w:rsidRPr="003F4FF4">
        <w:rPr>
          <w:rFonts w:ascii="Calibri" w:hAnsi="Calibri" w:cs="Calibri"/>
          <w:sz w:val="21"/>
          <w:szCs w:val="21"/>
        </w:rPr>
        <w:t xml:space="preserve">, </w:t>
      </w:r>
      <w:r w:rsidRPr="003F4FF4">
        <w:rPr>
          <w:rFonts w:ascii="Calibri" w:hAnsi="Calibri" w:cs="Calibri"/>
          <w:i/>
          <w:iCs/>
          <w:sz w:val="21"/>
          <w:szCs w:val="21"/>
        </w:rPr>
        <w:t>15</w:t>
      </w:r>
      <w:r w:rsidRPr="003F4FF4">
        <w:rPr>
          <w:rFonts w:ascii="Calibri" w:hAnsi="Calibri" w:cs="Calibri"/>
          <w:sz w:val="21"/>
          <w:szCs w:val="21"/>
        </w:rPr>
        <w:t>(5), 2520-2533.</w:t>
      </w:r>
    </w:p>
    <w:p w14:paraId="6FF54684"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lastRenderedPageBreak/>
        <w:t xml:space="preserve">Del Río, P., &amp; </w:t>
      </w:r>
      <w:proofErr w:type="spellStart"/>
      <w:r w:rsidRPr="003F4FF4">
        <w:rPr>
          <w:rFonts w:ascii="Calibri" w:hAnsi="Calibri" w:cs="Calibri"/>
          <w:sz w:val="21"/>
          <w:szCs w:val="21"/>
        </w:rPr>
        <w:t>Tarancón</w:t>
      </w:r>
      <w:proofErr w:type="spellEnd"/>
      <w:r w:rsidRPr="003F4FF4">
        <w:rPr>
          <w:rFonts w:ascii="Calibri" w:hAnsi="Calibri" w:cs="Calibri"/>
          <w:sz w:val="21"/>
          <w:szCs w:val="21"/>
        </w:rPr>
        <w:t xml:space="preserve">, M. Á. (2012). Analysing the determinants of on-shore wind capacity additions in the EU: An econometric study. </w:t>
      </w:r>
      <w:r w:rsidRPr="003F4FF4">
        <w:rPr>
          <w:rFonts w:ascii="Calibri" w:hAnsi="Calibri" w:cs="Calibri"/>
          <w:i/>
          <w:iCs/>
          <w:sz w:val="21"/>
          <w:szCs w:val="21"/>
        </w:rPr>
        <w:t>Applied Energy</w:t>
      </w:r>
      <w:r w:rsidRPr="003F4FF4">
        <w:rPr>
          <w:rFonts w:ascii="Calibri" w:hAnsi="Calibri" w:cs="Calibri"/>
          <w:sz w:val="21"/>
          <w:szCs w:val="21"/>
        </w:rPr>
        <w:t xml:space="preserve">, </w:t>
      </w:r>
      <w:r w:rsidRPr="003F4FF4">
        <w:rPr>
          <w:rFonts w:ascii="Calibri" w:hAnsi="Calibri" w:cs="Calibri"/>
          <w:i/>
          <w:iCs/>
          <w:sz w:val="21"/>
          <w:szCs w:val="21"/>
        </w:rPr>
        <w:t>95</w:t>
      </w:r>
      <w:r w:rsidRPr="003F4FF4">
        <w:rPr>
          <w:rFonts w:ascii="Calibri" w:hAnsi="Calibri" w:cs="Calibri"/>
          <w:sz w:val="21"/>
          <w:szCs w:val="21"/>
        </w:rPr>
        <w:t>, 12-21.</w:t>
      </w:r>
    </w:p>
    <w:p w14:paraId="2F9F297E"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Del Río, P., </w:t>
      </w:r>
      <w:proofErr w:type="spellStart"/>
      <w:r w:rsidRPr="003F4FF4">
        <w:rPr>
          <w:rFonts w:ascii="Calibri" w:hAnsi="Calibri" w:cs="Calibri"/>
          <w:sz w:val="21"/>
          <w:szCs w:val="21"/>
        </w:rPr>
        <w:t>Tarancón</w:t>
      </w:r>
      <w:proofErr w:type="spellEnd"/>
      <w:r w:rsidRPr="003F4FF4">
        <w:rPr>
          <w:rFonts w:ascii="Calibri" w:hAnsi="Calibri" w:cs="Calibri"/>
          <w:sz w:val="21"/>
          <w:szCs w:val="21"/>
        </w:rPr>
        <w:t xml:space="preserve">, M. A., &amp; </w:t>
      </w:r>
      <w:proofErr w:type="spellStart"/>
      <w:r w:rsidRPr="003F4FF4">
        <w:rPr>
          <w:rFonts w:ascii="Calibri" w:hAnsi="Calibri" w:cs="Calibri"/>
          <w:sz w:val="21"/>
          <w:szCs w:val="21"/>
        </w:rPr>
        <w:t>Peñasco</w:t>
      </w:r>
      <w:proofErr w:type="spellEnd"/>
      <w:r w:rsidRPr="003F4FF4">
        <w:rPr>
          <w:rFonts w:ascii="Calibri" w:hAnsi="Calibri" w:cs="Calibri"/>
          <w:sz w:val="21"/>
          <w:szCs w:val="21"/>
        </w:rPr>
        <w:t xml:space="preserve">, C. (2014). The determinants of support levels for wind energy in the European Union. An econometric study. </w:t>
      </w:r>
      <w:r w:rsidRPr="003F4FF4">
        <w:rPr>
          <w:rFonts w:ascii="Calibri" w:hAnsi="Calibri" w:cs="Calibri"/>
          <w:i/>
          <w:iCs/>
          <w:sz w:val="21"/>
          <w:szCs w:val="21"/>
        </w:rPr>
        <w:t>Mitigation and adaptation strategies for global change</w:t>
      </w:r>
      <w:r w:rsidRPr="003F4FF4">
        <w:rPr>
          <w:rFonts w:ascii="Calibri" w:hAnsi="Calibri" w:cs="Calibri"/>
          <w:sz w:val="21"/>
          <w:szCs w:val="21"/>
        </w:rPr>
        <w:t xml:space="preserve">, </w:t>
      </w:r>
      <w:r w:rsidRPr="003F4FF4">
        <w:rPr>
          <w:rFonts w:ascii="Calibri" w:hAnsi="Calibri" w:cs="Calibri"/>
          <w:i/>
          <w:iCs/>
          <w:sz w:val="21"/>
          <w:szCs w:val="21"/>
        </w:rPr>
        <w:t>19</w:t>
      </w:r>
      <w:r w:rsidRPr="003F4FF4">
        <w:rPr>
          <w:rFonts w:ascii="Calibri" w:hAnsi="Calibri" w:cs="Calibri"/>
          <w:sz w:val="21"/>
          <w:szCs w:val="21"/>
        </w:rPr>
        <w:t>(4), 391-410.</w:t>
      </w:r>
    </w:p>
    <w:p w14:paraId="0807A436"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Department for Business, Energy &amp; Industrial Strategy (BEIS) (2018). </w:t>
      </w:r>
      <w:r w:rsidRPr="003F4FF4">
        <w:rPr>
          <w:rFonts w:ascii="Calibri" w:hAnsi="Calibri" w:cs="Calibri"/>
          <w:i/>
          <w:sz w:val="21"/>
          <w:szCs w:val="21"/>
        </w:rPr>
        <w:t>UK energy statistics: statistical press release – December 2018</w:t>
      </w:r>
      <w:r w:rsidRPr="003F4FF4">
        <w:rPr>
          <w:rFonts w:ascii="Calibri" w:hAnsi="Calibri" w:cs="Calibri"/>
          <w:sz w:val="21"/>
          <w:szCs w:val="21"/>
        </w:rPr>
        <w:t xml:space="preserve">. Available at: </w:t>
      </w:r>
      <w:hyperlink r:id="rId37" w:history="1">
        <w:r w:rsidRPr="003F4FF4">
          <w:rPr>
            <w:rStyle w:val="Hyperlink"/>
            <w:rFonts w:ascii="Calibri" w:hAnsi="Calibri" w:cs="Calibri"/>
            <w:sz w:val="21"/>
            <w:szCs w:val="21"/>
          </w:rPr>
          <w:t>https://www.gov.uk/government/collections/energy-trends</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18.03.2019). </w:t>
      </w:r>
    </w:p>
    <w:p w14:paraId="28337280"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Department of Energy &amp; Climate Chance (DECC) (2014). </w:t>
      </w:r>
      <w:r w:rsidRPr="003F4FF4">
        <w:rPr>
          <w:rFonts w:ascii="Calibri" w:hAnsi="Calibri" w:cs="Calibri"/>
          <w:i/>
          <w:sz w:val="21"/>
          <w:szCs w:val="21"/>
        </w:rPr>
        <w:t>Energy Investment Report April 2014</w:t>
      </w:r>
      <w:r w:rsidRPr="003F4FF4">
        <w:rPr>
          <w:rFonts w:ascii="Calibri" w:hAnsi="Calibri" w:cs="Calibri"/>
          <w:sz w:val="21"/>
          <w:szCs w:val="21"/>
        </w:rPr>
        <w:t xml:space="preserve">. Available at: </w:t>
      </w:r>
      <w:hyperlink r:id="rId38" w:history="1">
        <w:r w:rsidRPr="003F4FF4">
          <w:rPr>
            <w:rStyle w:val="Hyperlink"/>
            <w:rFonts w:ascii="Calibri" w:hAnsi="Calibri" w:cs="Calibri"/>
            <w:sz w:val="21"/>
            <w:szCs w:val="21"/>
          </w:rPr>
          <w:t>https://www.gov.uk/government/publications/energy-investment-report-april-2014</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19.04.2019). </w:t>
      </w:r>
    </w:p>
    <w:p w14:paraId="58BC6BE5"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Department of Energy and Climate Change (DECC) (2015). Freedom of information request. FOI 2015/15308. </w:t>
      </w:r>
      <w:r w:rsidRPr="003F4FF4">
        <w:rPr>
          <w:rFonts w:ascii="Calibri" w:hAnsi="Calibri" w:cs="Calibri"/>
          <w:i/>
          <w:sz w:val="21"/>
          <w:szCs w:val="21"/>
        </w:rPr>
        <w:t>Correspondence</w:t>
      </w:r>
      <w:r w:rsidRPr="003F4FF4">
        <w:rPr>
          <w:rFonts w:ascii="Calibri" w:hAnsi="Calibri" w:cs="Calibri"/>
          <w:sz w:val="21"/>
          <w:szCs w:val="21"/>
        </w:rPr>
        <w:t xml:space="preserve">. Available at: </w:t>
      </w:r>
      <w:hyperlink r:id="rId39" w:history="1">
        <w:r w:rsidRPr="003F4FF4">
          <w:rPr>
            <w:rStyle w:val="Hyperlink"/>
            <w:rFonts w:ascii="Calibri" w:hAnsi="Calibri" w:cs="Calibri"/>
            <w:sz w:val="21"/>
            <w:szCs w:val="21"/>
          </w:rPr>
          <w:t>https://assets.publishing.service.gov.uk/government/uploads/system/uploads/attachment_data/file/455512/FOI_2015_15038_PUB.pdf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05.04.2019)</w:t>
      </w:r>
    </w:p>
    <w:p w14:paraId="4F841066"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D’Orazio</w:t>
      </w:r>
      <w:proofErr w:type="spellEnd"/>
      <w:r w:rsidRPr="003F4FF4">
        <w:rPr>
          <w:rFonts w:ascii="Calibri" w:hAnsi="Calibri" w:cs="Calibri"/>
          <w:sz w:val="21"/>
          <w:szCs w:val="21"/>
        </w:rPr>
        <w:t xml:space="preserve">, P., &amp; </w:t>
      </w:r>
      <w:proofErr w:type="spellStart"/>
      <w:r w:rsidRPr="003F4FF4">
        <w:rPr>
          <w:rFonts w:ascii="Calibri" w:hAnsi="Calibri" w:cs="Calibri"/>
          <w:sz w:val="21"/>
          <w:szCs w:val="21"/>
        </w:rPr>
        <w:t>Popoyan</w:t>
      </w:r>
      <w:proofErr w:type="spellEnd"/>
      <w:r w:rsidRPr="003F4FF4">
        <w:rPr>
          <w:rFonts w:ascii="Calibri" w:hAnsi="Calibri" w:cs="Calibri"/>
          <w:sz w:val="21"/>
          <w:szCs w:val="21"/>
        </w:rPr>
        <w:t xml:space="preserve">, L. (2019). Fostering green investments and tackling climate-related financial risks: which role for </w:t>
      </w:r>
      <w:proofErr w:type="spellStart"/>
      <w:r w:rsidRPr="003F4FF4">
        <w:rPr>
          <w:rFonts w:ascii="Calibri" w:hAnsi="Calibri" w:cs="Calibri"/>
          <w:sz w:val="21"/>
          <w:szCs w:val="21"/>
        </w:rPr>
        <w:t>macroprudential</w:t>
      </w:r>
      <w:proofErr w:type="spellEnd"/>
      <w:r w:rsidRPr="003F4FF4">
        <w:rPr>
          <w:rFonts w:ascii="Calibri" w:hAnsi="Calibri" w:cs="Calibri"/>
          <w:sz w:val="21"/>
          <w:szCs w:val="21"/>
        </w:rPr>
        <w:t xml:space="preserve"> policies</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Ecological Economics</w:t>
      </w:r>
      <w:r w:rsidRPr="003F4FF4">
        <w:rPr>
          <w:rFonts w:ascii="Calibri" w:hAnsi="Calibri" w:cs="Calibri"/>
          <w:sz w:val="21"/>
          <w:szCs w:val="21"/>
        </w:rPr>
        <w:t xml:space="preserve">, </w:t>
      </w:r>
      <w:r w:rsidRPr="003F4FF4">
        <w:rPr>
          <w:rFonts w:ascii="Calibri" w:hAnsi="Calibri" w:cs="Calibri"/>
          <w:i/>
          <w:iCs/>
          <w:sz w:val="21"/>
          <w:szCs w:val="21"/>
        </w:rPr>
        <w:t>160</w:t>
      </w:r>
      <w:r w:rsidRPr="003F4FF4">
        <w:rPr>
          <w:rFonts w:ascii="Calibri" w:hAnsi="Calibri" w:cs="Calibri"/>
          <w:sz w:val="21"/>
          <w:szCs w:val="21"/>
        </w:rPr>
        <w:t xml:space="preserve">, 25-37. </w:t>
      </w:r>
    </w:p>
    <w:p w14:paraId="1875FB97"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E3G (2016) A Sustainable Finance Plan for the European Union. Available at: </w:t>
      </w:r>
      <w:hyperlink r:id="rId40">
        <w:r w:rsidRPr="003F4FF4">
          <w:rPr>
            <w:rStyle w:val="Hyperlink"/>
            <w:rFonts w:ascii="Calibri" w:eastAsia="Calibri" w:hAnsi="Calibri" w:cs="Calibri"/>
            <w:sz w:val="21"/>
            <w:szCs w:val="21"/>
          </w:rPr>
          <w:t>https://www.e3g.org/docs/A_Sustainable_Finance_Plan_for_the_EU.pdf</w:t>
        </w:r>
      </w:hyperlink>
      <w:r w:rsidRPr="003F4FF4">
        <w:rPr>
          <w:rFonts w:ascii="Calibri" w:eastAsia="Calibri" w:hAnsi="Calibri" w:cs="Calibri"/>
          <w:sz w:val="21"/>
          <w:szCs w:val="21"/>
        </w:rPr>
        <w:t xml:space="preserve"> (Accessed 19.05.2019). </w:t>
      </w:r>
    </w:p>
    <w:p w14:paraId="01417DD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Ehlers, T., &amp; Packer, F. (2017). Green bond finance and certification. </w:t>
      </w:r>
      <w:r w:rsidRPr="003F4FF4">
        <w:rPr>
          <w:rFonts w:ascii="Calibri" w:hAnsi="Calibri" w:cs="Calibri"/>
          <w:i/>
          <w:iCs/>
          <w:sz w:val="21"/>
          <w:szCs w:val="21"/>
        </w:rPr>
        <w:t>BIS Quarterly Review September</w:t>
      </w:r>
      <w:r w:rsidRPr="003F4FF4">
        <w:rPr>
          <w:rFonts w:ascii="Calibri" w:hAnsi="Calibri" w:cs="Calibri"/>
          <w:sz w:val="21"/>
          <w:szCs w:val="21"/>
        </w:rPr>
        <w:t xml:space="preserve">. </w:t>
      </w:r>
    </w:p>
    <w:p w14:paraId="48864EF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Ellerman</w:t>
      </w:r>
      <w:proofErr w:type="spellEnd"/>
      <w:r w:rsidRPr="003F4FF4">
        <w:rPr>
          <w:rFonts w:ascii="Calibri" w:hAnsi="Calibri" w:cs="Calibri"/>
          <w:sz w:val="21"/>
          <w:szCs w:val="21"/>
        </w:rPr>
        <w:t xml:space="preserve">, A. D., &amp; Buchner, B. K. (2008). Over-allocation or abatement? A preliminary analysis of the EU ETS based on the 2005–06 emissions data. </w:t>
      </w:r>
      <w:r w:rsidRPr="003F4FF4">
        <w:rPr>
          <w:rFonts w:ascii="Calibri" w:hAnsi="Calibri" w:cs="Calibri"/>
          <w:i/>
          <w:iCs/>
          <w:sz w:val="21"/>
          <w:szCs w:val="21"/>
        </w:rPr>
        <w:t>Environmental and Resource Economics</w:t>
      </w:r>
      <w:r w:rsidRPr="003F4FF4">
        <w:rPr>
          <w:rFonts w:ascii="Calibri" w:hAnsi="Calibri" w:cs="Calibri"/>
          <w:sz w:val="21"/>
          <w:szCs w:val="21"/>
        </w:rPr>
        <w:t xml:space="preserve">, </w:t>
      </w:r>
      <w:r w:rsidRPr="003F4FF4">
        <w:rPr>
          <w:rFonts w:ascii="Calibri" w:hAnsi="Calibri" w:cs="Calibri"/>
          <w:i/>
          <w:iCs/>
          <w:sz w:val="21"/>
          <w:szCs w:val="21"/>
        </w:rPr>
        <w:t>41</w:t>
      </w:r>
      <w:r w:rsidRPr="003F4FF4">
        <w:rPr>
          <w:rFonts w:ascii="Calibri" w:hAnsi="Calibri" w:cs="Calibri"/>
          <w:sz w:val="21"/>
          <w:szCs w:val="21"/>
        </w:rPr>
        <w:t>(2), 267-287.</w:t>
      </w:r>
    </w:p>
    <w:p w14:paraId="63913998"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Erickson, P., </w:t>
      </w:r>
      <w:proofErr w:type="spellStart"/>
      <w:r w:rsidRPr="003F4FF4">
        <w:rPr>
          <w:rFonts w:ascii="Calibri" w:hAnsi="Calibri" w:cs="Calibri"/>
          <w:sz w:val="21"/>
          <w:szCs w:val="21"/>
        </w:rPr>
        <w:t>Kartha</w:t>
      </w:r>
      <w:proofErr w:type="spellEnd"/>
      <w:r w:rsidRPr="003F4FF4">
        <w:rPr>
          <w:rFonts w:ascii="Calibri" w:hAnsi="Calibri" w:cs="Calibri"/>
          <w:sz w:val="21"/>
          <w:szCs w:val="21"/>
        </w:rPr>
        <w:t xml:space="preserve">, S., Lazarus, M., &amp; Tempest, K. (2015). Assessing carbon lock-in. </w:t>
      </w:r>
      <w:r w:rsidRPr="003F4FF4">
        <w:rPr>
          <w:rFonts w:ascii="Calibri" w:hAnsi="Calibri" w:cs="Calibri"/>
          <w:i/>
          <w:iCs/>
          <w:sz w:val="21"/>
          <w:szCs w:val="21"/>
        </w:rPr>
        <w:t>Environmental Research Letters</w:t>
      </w:r>
      <w:r w:rsidRPr="003F4FF4">
        <w:rPr>
          <w:rFonts w:ascii="Calibri" w:hAnsi="Calibri" w:cs="Calibri"/>
          <w:sz w:val="21"/>
          <w:szCs w:val="21"/>
        </w:rPr>
        <w:t xml:space="preserve">, </w:t>
      </w:r>
      <w:r w:rsidRPr="003F4FF4">
        <w:rPr>
          <w:rFonts w:ascii="Calibri" w:hAnsi="Calibri" w:cs="Calibri"/>
          <w:i/>
          <w:iCs/>
          <w:sz w:val="21"/>
          <w:szCs w:val="21"/>
        </w:rPr>
        <w:t>10</w:t>
      </w:r>
      <w:r w:rsidRPr="003F4FF4">
        <w:rPr>
          <w:rFonts w:ascii="Calibri" w:hAnsi="Calibri" w:cs="Calibri"/>
          <w:sz w:val="21"/>
          <w:szCs w:val="21"/>
        </w:rPr>
        <w:t xml:space="preserve">(8), </w:t>
      </w:r>
      <w:proofErr w:type="gramStart"/>
      <w:r w:rsidRPr="003F4FF4">
        <w:rPr>
          <w:rFonts w:ascii="Calibri" w:hAnsi="Calibri" w:cs="Calibri"/>
          <w:sz w:val="21"/>
          <w:szCs w:val="21"/>
        </w:rPr>
        <w:t>084023</w:t>
      </w:r>
      <w:proofErr w:type="gramEnd"/>
      <w:r w:rsidRPr="003F4FF4">
        <w:rPr>
          <w:rFonts w:ascii="Calibri" w:hAnsi="Calibri" w:cs="Calibri"/>
          <w:sz w:val="21"/>
          <w:szCs w:val="21"/>
        </w:rPr>
        <w:t>.</w:t>
      </w:r>
    </w:p>
    <w:p w14:paraId="555B60EC"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Eryilmaz</w:t>
      </w:r>
      <w:proofErr w:type="spellEnd"/>
      <w:r w:rsidRPr="003F4FF4">
        <w:rPr>
          <w:rFonts w:ascii="Calibri" w:hAnsi="Calibri" w:cs="Calibri"/>
          <w:sz w:val="21"/>
          <w:szCs w:val="21"/>
        </w:rPr>
        <w:t xml:space="preserve">, D., &amp; </w:t>
      </w:r>
      <w:proofErr w:type="spellStart"/>
      <w:r w:rsidRPr="003F4FF4">
        <w:rPr>
          <w:rFonts w:ascii="Calibri" w:hAnsi="Calibri" w:cs="Calibri"/>
          <w:sz w:val="21"/>
          <w:szCs w:val="21"/>
        </w:rPr>
        <w:t>Homans</w:t>
      </w:r>
      <w:proofErr w:type="spellEnd"/>
      <w:r w:rsidRPr="003F4FF4">
        <w:rPr>
          <w:rFonts w:ascii="Calibri" w:hAnsi="Calibri" w:cs="Calibri"/>
          <w:sz w:val="21"/>
          <w:szCs w:val="21"/>
        </w:rPr>
        <w:t>, F. R. (2016). How does uncertainty in renewable energy policy affect decisions to invest in wind energy</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The Electricity Journal</w:t>
      </w:r>
      <w:r w:rsidRPr="003F4FF4">
        <w:rPr>
          <w:rFonts w:ascii="Calibri" w:hAnsi="Calibri" w:cs="Calibri"/>
          <w:sz w:val="21"/>
          <w:szCs w:val="21"/>
        </w:rPr>
        <w:t xml:space="preserve">, </w:t>
      </w:r>
      <w:r w:rsidRPr="003F4FF4">
        <w:rPr>
          <w:rFonts w:ascii="Calibri" w:hAnsi="Calibri" w:cs="Calibri"/>
          <w:i/>
          <w:iCs/>
          <w:sz w:val="21"/>
          <w:szCs w:val="21"/>
        </w:rPr>
        <w:t>29</w:t>
      </w:r>
      <w:r w:rsidRPr="003F4FF4">
        <w:rPr>
          <w:rFonts w:ascii="Calibri" w:hAnsi="Calibri" w:cs="Calibri"/>
          <w:sz w:val="21"/>
          <w:szCs w:val="21"/>
        </w:rPr>
        <w:t>(3), 64-71.</w:t>
      </w:r>
    </w:p>
    <w:p w14:paraId="2DA21C5F"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eastAsia="Times New Roman" w:hAnsi="Calibri" w:cs="Calibri"/>
          <w:sz w:val="21"/>
          <w:szCs w:val="21"/>
        </w:rPr>
      </w:pPr>
      <w:r w:rsidRPr="003F4FF4">
        <w:rPr>
          <w:rFonts w:ascii="Calibri" w:hAnsi="Calibri" w:cs="Calibri"/>
          <w:sz w:val="21"/>
          <w:szCs w:val="21"/>
        </w:rPr>
        <w:t xml:space="preserve">Ernst &amp; Young (2010). Capitalising the Green Investment Bank. Key issues and next steps. Available at: </w:t>
      </w:r>
      <w:hyperlink r:id="rId41" w:history="1">
        <w:r w:rsidRPr="003F4FF4">
          <w:rPr>
            <w:rStyle w:val="Hyperlink"/>
            <w:rFonts w:ascii="Calibri" w:hAnsi="Calibri" w:cs="Calibri"/>
            <w:sz w:val="21"/>
            <w:szCs w:val="21"/>
          </w:rPr>
          <w:t>https://www.e3g.org/docs/capitalisingthegreeninvestmentbank.pdf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01.05.2019)</w:t>
      </w:r>
    </w:p>
    <w:p w14:paraId="3F272BCC" w14:textId="77777777" w:rsidR="00431638" w:rsidRPr="003F4FF4" w:rsidRDefault="00431638" w:rsidP="00D7335E">
      <w:pPr>
        <w:suppressLineNumbers/>
        <w:spacing w:line="276" w:lineRule="auto"/>
        <w:ind w:left="720" w:hanging="720"/>
        <w:rPr>
          <w:rFonts w:ascii="Calibri" w:eastAsia="Times New Roman" w:hAnsi="Calibri" w:cs="Calibri"/>
          <w:sz w:val="21"/>
          <w:szCs w:val="21"/>
        </w:rPr>
      </w:pPr>
      <w:proofErr w:type="spellStart"/>
      <w:r w:rsidRPr="003F4FF4">
        <w:rPr>
          <w:rFonts w:ascii="Calibri" w:eastAsia="Times New Roman" w:hAnsi="Calibri" w:cs="Calibri"/>
          <w:sz w:val="21"/>
          <w:szCs w:val="21"/>
          <w:shd w:val="clear" w:color="auto" w:fill="FFFFFF"/>
        </w:rPr>
        <w:t>Escrig-Olmedo</w:t>
      </w:r>
      <w:proofErr w:type="spellEnd"/>
      <w:r w:rsidRPr="003F4FF4">
        <w:rPr>
          <w:rFonts w:ascii="Calibri" w:eastAsia="Times New Roman" w:hAnsi="Calibri" w:cs="Calibri"/>
          <w:sz w:val="21"/>
          <w:szCs w:val="21"/>
          <w:shd w:val="clear" w:color="auto" w:fill="FFFFFF"/>
        </w:rPr>
        <w:t>, E., Muñoz-Torres, M. J., &amp; Fernandez-</w:t>
      </w:r>
      <w:proofErr w:type="spellStart"/>
      <w:r w:rsidRPr="003F4FF4">
        <w:rPr>
          <w:rFonts w:ascii="Calibri" w:eastAsia="Times New Roman" w:hAnsi="Calibri" w:cs="Calibri"/>
          <w:sz w:val="21"/>
          <w:szCs w:val="21"/>
          <w:shd w:val="clear" w:color="auto" w:fill="FFFFFF"/>
        </w:rPr>
        <w:t>Izquierdo</w:t>
      </w:r>
      <w:proofErr w:type="spellEnd"/>
      <w:r w:rsidRPr="003F4FF4">
        <w:rPr>
          <w:rFonts w:ascii="Calibri" w:eastAsia="Times New Roman" w:hAnsi="Calibri" w:cs="Calibri"/>
          <w:sz w:val="21"/>
          <w:szCs w:val="21"/>
          <w:shd w:val="clear" w:color="auto" w:fill="FFFFFF"/>
        </w:rPr>
        <w:t>, M. A. (2010). Socially responsible investing: sustainability indices, ESG rating and information provider agencies. </w:t>
      </w:r>
      <w:r w:rsidRPr="003F4FF4">
        <w:rPr>
          <w:rFonts w:ascii="Calibri" w:hAnsi="Calibri" w:cs="Calibri"/>
          <w:i/>
          <w:iCs/>
          <w:sz w:val="21"/>
          <w:szCs w:val="21"/>
        </w:rPr>
        <w:t>International journal of sustainable economy</w:t>
      </w:r>
      <w:r w:rsidRPr="003F4FF4">
        <w:rPr>
          <w:rFonts w:ascii="Calibri" w:hAnsi="Calibri" w:cs="Calibri"/>
          <w:sz w:val="21"/>
          <w:szCs w:val="21"/>
        </w:rPr>
        <w:t>, </w:t>
      </w:r>
      <w:r w:rsidRPr="003F4FF4">
        <w:rPr>
          <w:rFonts w:ascii="Calibri" w:hAnsi="Calibri" w:cs="Calibri"/>
          <w:i/>
          <w:iCs/>
          <w:sz w:val="21"/>
          <w:szCs w:val="21"/>
        </w:rPr>
        <w:t>2</w:t>
      </w:r>
      <w:r w:rsidRPr="003F4FF4">
        <w:rPr>
          <w:rFonts w:ascii="Calibri" w:hAnsi="Calibri" w:cs="Calibri"/>
          <w:sz w:val="21"/>
          <w:szCs w:val="21"/>
        </w:rPr>
        <w:t>(4), 442-461.</w:t>
      </w:r>
    </w:p>
    <w:p w14:paraId="5CC80F4B"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EU High Level Expert Group </w:t>
      </w:r>
      <w:proofErr w:type="gramStart"/>
      <w:r w:rsidRPr="003F4FF4">
        <w:rPr>
          <w:rFonts w:ascii="Calibri" w:eastAsia="Calibri" w:hAnsi="Calibri" w:cs="Calibri"/>
          <w:sz w:val="21"/>
          <w:szCs w:val="21"/>
        </w:rPr>
        <w:t>On</w:t>
      </w:r>
      <w:proofErr w:type="gramEnd"/>
      <w:r w:rsidRPr="003F4FF4">
        <w:rPr>
          <w:rFonts w:ascii="Calibri" w:eastAsia="Calibri" w:hAnsi="Calibri" w:cs="Calibri"/>
          <w:sz w:val="21"/>
          <w:szCs w:val="21"/>
        </w:rPr>
        <w:t xml:space="preserve"> Sustainable Finance. (2018) Financing a Sustainable European Economy. Available at: </w:t>
      </w:r>
      <w:hyperlink r:id="rId42">
        <w:r w:rsidRPr="003F4FF4">
          <w:rPr>
            <w:rStyle w:val="Hyperlink"/>
            <w:rFonts w:ascii="Calibri" w:eastAsia="Calibri" w:hAnsi="Calibri" w:cs="Calibri"/>
            <w:sz w:val="21"/>
            <w:szCs w:val="21"/>
          </w:rPr>
          <w:t>https://ec.europa.eu/info/sites/info/files/180131-sustainable-finance-final-report_en.pdf</w:t>
        </w:r>
      </w:hyperlink>
      <w:r w:rsidRPr="003F4FF4">
        <w:rPr>
          <w:rFonts w:ascii="Calibri" w:eastAsia="Calibri" w:hAnsi="Calibri" w:cs="Calibri"/>
          <w:sz w:val="21"/>
          <w:szCs w:val="21"/>
        </w:rPr>
        <w:t xml:space="preserve"> (Accessed 15.05.2019).</w:t>
      </w:r>
    </w:p>
    <w:p w14:paraId="01FF9674" w14:textId="77777777" w:rsidR="00431638" w:rsidRPr="003F4FF4" w:rsidRDefault="00431638" w:rsidP="00D7335E">
      <w:pPr>
        <w:suppressLineNumbers/>
        <w:ind w:left="720" w:hanging="720"/>
        <w:rPr>
          <w:rFonts w:ascii="Calibri" w:hAnsi="Calibri" w:cs="Calibri"/>
          <w:sz w:val="21"/>
          <w:szCs w:val="21"/>
          <w:lang w:val="en-US"/>
        </w:rPr>
      </w:pPr>
      <w:r w:rsidRPr="003F4FF4">
        <w:rPr>
          <w:rFonts w:ascii="Calibri" w:hAnsi="Calibri" w:cs="Calibri"/>
          <w:sz w:val="21"/>
          <w:szCs w:val="21"/>
          <w:lang w:val="en-US"/>
        </w:rPr>
        <w:t xml:space="preserve">European Commission (2017). Financing Sustainability. Triggering Investments for the Clean Economy. Available at: </w:t>
      </w:r>
      <w:hyperlink r:id="rId43" w:history="1">
        <w:r w:rsidRPr="003F4FF4">
          <w:rPr>
            <w:rStyle w:val="Hyperlink"/>
            <w:rFonts w:ascii="Calibri" w:hAnsi="Calibri" w:cs="Calibri"/>
            <w:sz w:val="21"/>
            <w:szCs w:val="21"/>
            <w:lang w:val="en-US"/>
          </w:rPr>
          <w:t>https://ec.europa.eu/epsc/publications/strategic-notes/financing-sustainability_en</w:t>
        </w:r>
      </w:hyperlink>
      <w:r w:rsidRPr="003F4FF4">
        <w:rPr>
          <w:rFonts w:ascii="Calibri" w:hAnsi="Calibri" w:cs="Calibri"/>
          <w:sz w:val="21"/>
          <w:szCs w:val="21"/>
          <w:lang w:val="en-US"/>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lang w:val="en-US"/>
        </w:rPr>
        <w:t>10.05.2019)</w:t>
      </w:r>
    </w:p>
    <w:p w14:paraId="453B8A53"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lastRenderedPageBreak/>
        <w:t xml:space="preserve">European Commission (EC) (2019). </w:t>
      </w:r>
      <w:r w:rsidRPr="003F4FF4">
        <w:rPr>
          <w:rFonts w:ascii="Calibri" w:hAnsi="Calibri" w:cs="Calibri"/>
          <w:i/>
          <w:sz w:val="21"/>
          <w:szCs w:val="21"/>
        </w:rPr>
        <w:t>Reflection Paper. Towards a sustainable Europe by 2030</w:t>
      </w:r>
      <w:r w:rsidRPr="003F4FF4">
        <w:rPr>
          <w:rFonts w:ascii="Calibri" w:hAnsi="Calibri" w:cs="Calibri"/>
          <w:sz w:val="21"/>
          <w:szCs w:val="21"/>
        </w:rPr>
        <w:t xml:space="preserve">. Available at: </w:t>
      </w:r>
      <w:hyperlink r:id="rId44" w:history="1">
        <w:r w:rsidRPr="003F4FF4">
          <w:rPr>
            <w:rStyle w:val="Hyperlink"/>
            <w:rFonts w:ascii="Calibri" w:hAnsi="Calibri" w:cs="Calibri"/>
            <w:sz w:val="21"/>
            <w:szCs w:val="21"/>
          </w:rPr>
          <w:t>https://ec.europa.eu/commission/sites/beta-political/files/rp_sustainable_europe_30-01_en_web.pdf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30.04.2019). </w:t>
      </w:r>
    </w:p>
    <w:p w14:paraId="1836761D" w14:textId="77777777" w:rsidR="00431638" w:rsidRPr="003F4FF4" w:rsidRDefault="00431638" w:rsidP="00D7335E">
      <w:pPr>
        <w:suppressLineNumbers/>
        <w:ind w:left="720" w:hanging="720"/>
        <w:rPr>
          <w:rFonts w:ascii="Calibri" w:hAnsi="Calibri" w:cs="Calibri"/>
          <w:sz w:val="21"/>
          <w:szCs w:val="21"/>
          <w:lang w:val="en-US"/>
        </w:rPr>
      </w:pPr>
      <w:r w:rsidRPr="003F4FF4">
        <w:rPr>
          <w:rFonts w:ascii="Calibri" w:hAnsi="Calibri" w:cs="Calibri"/>
          <w:sz w:val="21"/>
          <w:szCs w:val="21"/>
        </w:rPr>
        <w:t xml:space="preserve">EY (2016). Climate change. The investment perspective. Available at: </w:t>
      </w:r>
      <w:hyperlink r:id="rId45" w:history="1">
        <w:r w:rsidRPr="003F4FF4">
          <w:rPr>
            <w:rStyle w:val="Hyperlink"/>
            <w:rFonts w:ascii="Calibri" w:hAnsi="Calibri" w:cs="Calibri"/>
            <w:sz w:val="21"/>
            <w:szCs w:val="21"/>
            <w:lang w:val="en-US"/>
          </w:rPr>
          <w:t>http://www.ey.com/gl/en/industries/financial-services/fso-insights-climate-change-the-investment-perspective</w:t>
        </w:r>
      </w:hyperlink>
      <w:r w:rsidRPr="003F4FF4">
        <w:rPr>
          <w:rFonts w:ascii="Calibri" w:hAnsi="Calibri" w:cs="Calibri"/>
          <w:sz w:val="21"/>
          <w:szCs w:val="21"/>
          <w:lang w:val="en-US"/>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lang w:val="en-US"/>
        </w:rPr>
        <w:t>10.05.2019)</w:t>
      </w:r>
    </w:p>
    <w:p w14:paraId="7C5DE67C"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Fan, L., Hobbs, B. F., &amp; Norman, C. S. (2010). Risk aversion and CO2 regulatory uncertainty in power generation investment: Policy and </w:t>
      </w:r>
      <w:proofErr w:type="spellStart"/>
      <w:r w:rsidRPr="003F4FF4">
        <w:rPr>
          <w:rFonts w:ascii="Calibri" w:hAnsi="Calibri" w:cs="Calibri"/>
          <w:sz w:val="21"/>
          <w:szCs w:val="21"/>
        </w:rPr>
        <w:t>modeling</w:t>
      </w:r>
      <w:proofErr w:type="spellEnd"/>
      <w:r w:rsidRPr="003F4FF4">
        <w:rPr>
          <w:rFonts w:ascii="Calibri" w:hAnsi="Calibri" w:cs="Calibri"/>
          <w:sz w:val="21"/>
          <w:szCs w:val="21"/>
        </w:rPr>
        <w:t xml:space="preserve"> implications. </w:t>
      </w:r>
      <w:r w:rsidRPr="003F4FF4">
        <w:rPr>
          <w:rFonts w:ascii="Calibri" w:hAnsi="Calibri" w:cs="Calibri"/>
          <w:i/>
          <w:iCs/>
          <w:sz w:val="21"/>
          <w:szCs w:val="21"/>
        </w:rPr>
        <w:t>Journal of Environmental Economics and Management</w:t>
      </w:r>
      <w:r w:rsidRPr="003F4FF4">
        <w:rPr>
          <w:rFonts w:ascii="Calibri" w:hAnsi="Calibri" w:cs="Calibri"/>
          <w:sz w:val="21"/>
          <w:szCs w:val="21"/>
        </w:rPr>
        <w:t xml:space="preserve">, </w:t>
      </w:r>
      <w:r w:rsidRPr="003F4FF4">
        <w:rPr>
          <w:rFonts w:ascii="Calibri" w:hAnsi="Calibri" w:cs="Calibri"/>
          <w:i/>
          <w:iCs/>
          <w:sz w:val="21"/>
          <w:szCs w:val="21"/>
        </w:rPr>
        <w:t>60</w:t>
      </w:r>
      <w:r w:rsidRPr="003F4FF4">
        <w:rPr>
          <w:rFonts w:ascii="Calibri" w:hAnsi="Calibri" w:cs="Calibri"/>
          <w:sz w:val="21"/>
          <w:szCs w:val="21"/>
        </w:rPr>
        <w:t>(3), 193-208.</w:t>
      </w:r>
    </w:p>
    <w:p w14:paraId="39602CD7" w14:textId="77777777" w:rsidR="00431638" w:rsidRPr="00820649" w:rsidRDefault="00431638" w:rsidP="00D7335E">
      <w:pPr>
        <w:suppressLineNumbers/>
        <w:ind w:left="720" w:hanging="720"/>
        <w:rPr>
          <w:rFonts w:ascii="Calibri" w:hAnsi="Calibri" w:cs="Calibri"/>
          <w:color w:val="222222"/>
          <w:sz w:val="21"/>
          <w:szCs w:val="21"/>
        </w:rPr>
      </w:pPr>
      <w:proofErr w:type="spellStart"/>
      <w:r w:rsidRPr="00820649">
        <w:rPr>
          <w:rFonts w:ascii="Calibri" w:hAnsi="Calibri" w:cs="Calibri"/>
          <w:color w:val="222222"/>
          <w:sz w:val="21"/>
          <w:szCs w:val="21"/>
        </w:rPr>
        <w:t>Fifka</w:t>
      </w:r>
      <w:proofErr w:type="spellEnd"/>
      <w:r w:rsidRPr="00820649">
        <w:rPr>
          <w:rFonts w:ascii="Calibri" w:hAnsi="Calibri" w:cs="Calibri"/>
          <w:color w:val="222222"/>
          <w:sz w:val="21"/>
          <w:szCs w:val="21"/>
        </w:rPr>
        <w:t xml:space="preserve">, M. S., &amp; Drabble, M. (2012). Focus and standardization of sustainability reporting–a comparative study of the United Kingdom and Finland. </w:t>
      </w:r>
      <w:r w:rsidRPr="00820649">
        <w:rPr>
          <w:rFonts w:ascii="Calibri" w:hAnsi="Calibri" w:cs="Calibri"/>
          <w:i/>
          <w:iCs/>
          <w:color w:val="222222"/>
          <w:sz w:val="21"/>
          <w:szCs w:val="21"/>
        </w:rPr>
        <w:t>Business Strategy and the Environment</w:t>
      </w:r>
      <w:r w:rsidRPr="00820649">
        <w:rPr>
          <w:rFonts w:ascii="Calibri" w:hAnsi="Calibri" w:cs="Calibri"/>
          <w:color w:val="222222"/>
          <w:sz w:val="21"/>
          <w:szCs w:val="21"/>
        </w:rPr>
        <w:t xml:space="preserve">, </w:t>
      </w:r>
      <w:r w:rsidRPr="00820649">
        <w:rPr>
          <w:rFonts w:ascii="Calibri" w:hAnsi="Calibri" w:cs="Calibri"/>
          <w:i/>
          <w:iCs/>
          <w:color w:val="222222"/>
          <w:sz w:val="21"/>
          <w:szCs w:val="21"/>
        </w:rPr>
        <w:t>21</w:t>
      </w:r>
      <w:r w:rsidRPr="00820649">
        <w:rPr>
          <w:rFonts w:ascii="Calibri" w:hAnsi="Calibri" w:cs="Calibri"/>
          <w:color w:val="222222"/>
          <w:sz w:val="21"/>
          <w:szCs w:val="21"/>
        </w:rPr>
        <w:t>(7), 455-474.</w:t>
      </w:r>
    </w:p>
    <w:p w14:paraId="39A50F72"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Financial Stability Board (FSB) (2015). </w:t>
      </w:r>
      <w:r w:rsidRPr="003F4FF4">
        <w:rPr>
          <w:rFonts w:ascii="Calibri" w:hAnsi="Calibri" w:cs="Calibri"/>
          <w:i/>
          <w:sz w:val="21"/>
          <w:szCs w:val="21"/>
        </w:rPr>
        <w:t>Disclosure task force on climate-related risk</w:t>
      </w:r>
      <w:r w:rsidRPr="003F4FF4">
        <w:rPr>
          <w:rFonts w:ascii="Calibri" w:hAnsi="Calibri" w:cs="Calibri"/>
          <w:sz w:val="21"/>
          <w:szCs w:val="21"/>
        </w:rPr>
        <w:t xml:space="preserve">. Available at: </w:t>
      </w:r>
      <w:hyperlink r:id="rId46" w:history="1">
        <w:r w:rsidRPr="003F4FF4">
          <w:rPr>
            <w:rStyle w:val="Hyperlink"/>
            <w:rFonts w:ascii="Calibri" w:hAnsi="Calibri" w:cs="Calibri"/>
            <w:sz w:val="21"/>
            <w:szCs w:val="21"/>
          </w:rPr>
          <w:t>www.fsb.org/2015/11/disclosure-task-force-on-climate-related-risks-2/</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28.04.2019). </w:t>
      </w:r>
    </w:p>
    <w:p w14:paraId="37B7092D" w14:textId="77777777" w:rsidR="004C0273" w:rsidRDefault="004C0273" w:rsidP="00D7335E">
      <w:pPr>
        <w:suppressLineNumbers/>
        <w:autoSpaceDE w:val="0"/>
        <w:autoSpaceDN w:val="0"/>
        <w:adjustRightInd w:val="0"/>
        <w:spacing w:line="276" w:lineRule="auto"/>
        <w:ind w:left="720" w:hanging="720"/>
        <w:rPr>
          <w:color w:val="000000"/>
          <w:sz w:val="21"/>
          <w:szCs w:val="21"/>
        </w:rPr>
      </w:pPr>
      <w:r>
        <w:rPr>
          <w:color w:val="000000"/>
          <w:sz w:val="21"/>
          <w:szCs w:val="21"/>
        </w:rPr>
        <w:t xml:space="preserve">Forbes (2019). </w:t>
      </w:r>
      <w:r>
        <w:rPr>
          <w:i/>
          <w:iCs/>
          <w:color w:val="000000"/>
          <w:sz w:val="21"/>
          <w:szCs w:val="21"/>
        </w:rPr>
        <w:t>What Can Extinction Rebellion Teach Us About Behaviour Change?</w:t>
      </w:r>
      <w:r>
        <w:rPr>
          <w:color w:val="000000"/>
          <w:sz w:val="21"/>
          <w:szCs w:val="21"/>
        </w:rPr>
        <w:t xml:space="preserve"> Published on 30.04.2019. Available at: </w:t>
      </w:r>
      <w:hyperlink r:id="rId47" w:tgtFrame="_blank" w:history="1">
        <w:r>
          <w:rPr>
            <w:rStyle w:val="Hyperlink"/>
            <w:color w:val="0563C1"/>
            <w:sz w:val="21"/>
            <w:szCs w:val="21"/>
          </w:rPr>
          <w:t>https://www.forbes.com/sites/karencorreiadasilva/2019/04/30/what-can-extinction-rebellion-teach-us-about-behaviour-change/#5d8dca667c45</w:t>
        </w:r>
      </w:hyperlink>
      <w:r>
        <w:rPr>
          <w:color w:val="000000"/>
          <w:sz w:val="21"/>
          <w:szCs w:val="21"/>
        </w:rPr>
        <w:t xml:space="preserve"> (01.05.2019)</w:t>
      </w:r>
    </w:p>
    <w:p w14:paraId="0C4E4C01" w14:textId="19AA5CCE"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Forrester, J. W. (1994). System dynamics, systems thinking, and soft OR. </w:t>
      </w:r>
      <w:r w:rsidRPr="003F4FF4">
        <w:rPr>
          <w:rFonts w:ascii="Calibri" w:hAnsi="Calibri" w:cs="Calibri"/>
          <w:i/>
          <w:iCs/>
          <w:sz w:val="21"/>
          <w:szCs w:val="21"/>
        </w:rPr>
        <w:t>System dynamics review</w:t>
      </w:r>
      <w:r w:rsidRPr="003F4FF4">
        <w:rPr>
          <w:rFonts w:ascii="Calibri" w:hAnsi="Calibri" w:cs="Calibri"/>
          <w:sz w:val="21"/>
          <w:szCs w:val="21"/>
        </w:rPr>
        <w:t xml:space="preserve">, </w:t>
      </w:r>
      <w:r w:rsidRPr="003F4FF4">
        <w:rPr>
          <w:rFonts w:ascii="Calibri" w:hAnsi="Calibri" w:cs="Calibri"/>
          <w:i/>
          <w:iCs/>
          <w:sz w:val="21"/>
          <w:szCs w:val="21"/>
        </w:rPr>
        <w:t>10</w:t>
      </w:r>
      <w:r w:rsidRPr="003F4FF4">
        <w:rPr>
          <w:rFonts w:ascii="Calibri" w:hAnsi="Calibri" w:cs="Calibri"/>
          <w:sz w:val="21"/>
          <w:szCs w:val="21"/>
        </w:rPr>
        <w:t>(2‐3), 245-256.</w:t>
      </w:r>
    </w:p>
    <w:p w14:paraId="32C66FB2"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Fragkos</w:t>
      </w:r>
      <w:proofErr w:type="spellEnd"/>
      <w:r w:rsidRPr="003F4FF4">
        <w:rPr>
          <w:rFonts w:ascii="Calibri" w:hAnsi="Calibri" w:cs="Calibri"/>
          <w:sz w:val="21"/>
          <w:szCs w:val="21"/>
        </w:rPr>
        <w:t xml:space="preserve">, P., &amp; </w:t>
      </w:r>
      <w:proofErr w:type="spellStart"/>
      <w:r w:rsidRPr="003F4FF4">
        <w:rPr>
          <w:rFonts w:ascii="Calibri" w:hAnsi="Calibri" w:cs="Calibri"/>
          <w:sz w:val="21"/>
          <w:szCs w:val="21"/>
        </w:rPr>
        <w:t>Kouvaritakis</w:t>
      </w:r>
      <w:proofErr w:type="spellEnd"/>
      <w:r w:rsidRPr="003F4FF4">
        <w:rPr>
          <w:rFonts w:ascii="Calibri" w:hAnsi="Calibri" w:cs="Calibri"/>
          <w:sz w:val="21"/>
          <w:szCs w:val="21"/>
        </w:rPr>
        <w:t xml:space="preserve">, N. (2018). Investments in Power Generation </w:t>
      </w:r>
      <w:proofErr w:type="gramStart"/>
      <w:r w:rsidRPr="003F4FF4">
        <w:rPr>
          <w:rFonts w:ascii="Calibri" w:hAnsi="Calibri" w:cs="Calibri"/>
          <w:sz w:val="21"/>
          <w:szCs w:val="21"/>
        </w:rPr>
        <w:t>Under</w:t>
      </w:r>
      <w:proofErr w:type="gramEnd"/>
      <w:r w:rsidRPr="003F4FF4">
        <w:rPr>
          <w:rFonts w:ascii="Calibri" w:hAnsi="Calibri" w:cs="Calibri"/>
          <w:sz w:val="21"/>
          <w:szCs w:val="21"/>
        </w:rPr>
        <w:t xml:space="preserve"> Uncertainty—a MIP Specification and Large-Scale Application for EU. </w:t>
      </w:r>
      <w:r w:rsidRPr="003F4FF4">
        <w:rPr>
          <w:rFonts w:ascii="Calibri" w:hAnsi="Calibri" w:cs="Calibri"/>
          <w:i/>
          <w:iCs/>
          <w:sz w:val="21"/>
          <w:szCs w:val="21"/>
        </w:rPr>
        <w:t xml:space="preserve">Environmental </w:t>
      </w:r>
      <w:proofErr w:type="spellStart"/>
      <w:r w:rsidRPr="003F4FF4">
        <w:rPr>
          <w:rFonts w:ascii="Calibri" w:hAnsi="Calibri" w:cs="Calibri"/>
          <w:i/>
          <w:iCs/>
          <w:sz w:val="21"/>
          <w:szCs w:val="21"/>
        </w:rPr>
        <w:t>Modeling</w:t>
      </w:r>
      <w:proofErr w:type="spellEnd"/>
      <w:r w:rsidRPr="003F4FF4">
        <w:rPr>
          <w:rFonts w:ascii="Calibri" w:hAnsi="Calibri" w:cs="Calibri"/>
          <w:i/>
          <w:iCs/>
          <w:sz w:val="21"/>
          <w:szCs w:val="21"/>
        </w:rPr>
        <w:t xml:space="preserve"> &amp; Assessment</w:t>
      </w:r>
      <w:r w:rsidRPr="003F4FF4">
        <w:rPr>
          <w:rFonts w:ascii="Calibri" w:hAnsi="Calibri" w:cs="Calibri"/>
          <w:sz w:val="21"/>
          <w:szCs w:val="21"/>
        </w:rPr>
        <w:t xml:space="preserve">, </w:t>
      </w:r>
      <w:r w:rsidRPr="003F4FF4">
        <w:rPr>
          <w:rFonts w:ascii="Calibri" w:hAnsi="Calibri" w:cs="Calibri"/>
          <w:i/>
          <w:iCs/>
          <w:sz w:val="21"/>
          <w:szCs w:val="21"/>
        </w:rPr>
        <w:t>23</w:t>
      </w:r>
      <w:r w:rsidRPr="003F4FF4">
        <w:rPr>
          <w:rFonts w:ascii="Calibri" w:hAnsi="Calibri" w:cs="Calibri"/>
          <w:sz w:val="21"/>
          <w:szCs w:val="21"/>
        </w:rPr>
        <w:t>(5), 511-527.</w:t>
      </w:r>
    </w:p>
    <w:p w14:paraId="01B7D563"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Fuss, S., </w:t>
      </w:r>
      <w:proofErr w:type="spellStart"/>
      <w:r w:rsidRPr="003F4FF4">
        <w:rPr>
          <w:rFonts w:ascii="Calibri" w:hAnsi="Calibri" w:cs="Calibri"/>
          <w:sz w:val="21"/>
          <w:szCs w:val="21"/>
        </w:rPr>
        <w:t>Szolgayová</w:t>
      </w:r>
      <w:proofErr w:type="spellEnd"/>
      <w:r w:rsidRPr="003F4FF4">
        <w:rPr>
          <w:rFonts w:ascii="Calibri" w:hAnsi="Calibri" w:cs="Calibri"/>
          <w:sz w:val="21"/>
          <w:szCs w:val="21"/>
        </w:rPr>
        <w:t xml:space="preserve">, J., </w:t>
      </w:r>
      <w:proofErr w:type="spellStart"/>
      <w:r w:rsidRPr="003F4FF4">
        <w:rPr>
          <w:rFonts w:ascii="Calibri" w:hAnsi="Calibri" w:cs="Calibri"/>
          <w:sz w:val="21"/>
          <w:szCs w:val="21"/>
        </w:rPr>
        <w:t>Khabarov</w:t>
      </w:r>
      <w:proofErr w:type="spellEnd"/>
      <w:r w:rsidRPr="003F4FF4">
        <w:rPr>
          <w:rFonts w:ascii="Calibri" w:hAnsi="Calibri" w:cs="Calibri"/>
          <w:sz w:val="21"/>
          <w:szCs w:val="21"/>
        </w:rPr>
        <w:t xml:space="preserve">, N., &amp; </w:t>
      </w:r>
      <w:proofErr w:type="spellStart"/>
      <w:r w:rsidRPr="003F4FF4">
        <w:rPr>
          <w:rFonts w:ascii="Calibri" w:hAnsi="Calibri" w:cs="Calibri"/>
          <w:sz w:val="21"/>
          <w:szCs w:val="21"/>
        </w:rPr>
        <w:t>Obersteiner</w:t>
      </w:r>
      <w:proofErr w:type="spellEnd"/>
      <w:r w:rsidRPr="003F4FF4">
        <w:rPr>
          <w:rFonts w:ascii="Calibri" w:hAnsi="Calibri" w:cs="Calibri"/>
          <w:sz w:val="21"/>
          <w:szCs w:val="21"/>
        </w:rPr>
        <w:t xml:space="preserve">, M. (2012). Renewables and climate change mitigation: Irreversible energy investment under uncertainty and portfolio effects.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40</w:t>
      </w:r>
      <w:r w:rsidRPr="003F4FF4">
        <w:rPr>
          <w:rFonts w:ascii="Calibri" w:hAnsi="Calibri" w:cs="Calibri"/>
          <w:sz w:val="21"/>
          <w:szCs w:val="21"/>
        </w:rPr>
        <w:t>, 59-68.</w:t>
      </w:r>
    </w:p>
    <w:p w14:paraId="0481E2A7"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G20 Green Finance Study Group (2016) G20 Green Finance Synthesis Report. Available at: </w:t>
      </w:r>
      <w:hyperlink r:id="rId48">
        <w:r w:rsidRPr="003F4FF4">
          <w:rPr>
            <w:rStyle w:val="Hyperlink"/>
            <w:rFonts w:ascii="Calibri" w:eastAsia="Calibri" w:hAnsi="Calibri" w:cs="Calibri"/>
            <w:sz w:val="21"/>
            <w:szCs w:val="21"/>
          </w:rPr>
          <w:t>http://unepinquiry.org/g20greenfinancerepositoryeng/</w:t>
        </w:r>
      </w:hyperlink>
      <w:r w:rsidRPr="003F4FF4">
        <w:rPr>
          <w:rFonts w:ascii="Calibri" w:eastAsia="Calibri" w:hAnsi="Calibri" w:cs="Calibri"/>
          <w:sz w:val="21"/>
          <w:szCs w:val="21"/>
        </w:rPr>
        <w:t xml:space="preserve"> (Accessed 05.06.2018).</w:t>
      </w:r>
    </w:p>
    <w:p w14:paraId="05E0D02E"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Gatzert</w:t>
      </w:r>
      <w:proofErr w:type="spellEnd"/>
      <w:r w:rsidRPr="003F4FF4">
        <w:rPr>
          <w:rFonts w:ascii="Calibri" w:hAnsi="Calibri" w:cs="Calibri"/>
          <w:sz w:val="21"/>
          <w:szCs w:val="21"/>
        </w:rPr>
        <w:t xml:space="preserve">, N., &amp; </w:t>
      </w:r>
      <w:proofErr w:type="spellStart"/>
      <w:r w:rsidRPr="003F4FF4">
        <w:rPr>
          <w:rFonts w:ascii="Calibri" w:hAnsi="Calibri" w:cs="Calibri"/>
          <w:sz w:val="21"/>
          <w:szCs w:val="21"/>
        </w:rPr>
        <w:t>Kosub</w:t>
      </w:r>
      <w:proofErr w:type="spellEnd"/>
      <w:r w:rsidRPr="003F4FF4">
        <w:rPr>
          <w:rFonts w:ascii="Calibri" w:hAnsi="Calibri" w:cs="Calibri"/>
          <w:sz w:val="21"/>
          <w:szCs w:val="21"/>
        </w:rPr>
        <w:t xml:space="preserve">, T. (2016). Risks and risk management of renewable energy projects: The case of onshore and offshore wind parks. </w:t>
      </w:r>
      <w:r w:rsidRPr="003F4FF4">
        <w:rPr>
          <w:rFonts w:ascii="Calibri" w:hAnsi="Calibri" w:cs="Calibri"/>
          <w:i/>
          <w:iCs/>
          <w:sz w:val="21"/>
          <w:szCs w:val="21"/>
        </w:rPr>
        <w:t>Renewable and Sustainable Energy Reviews</w:t>
      </w:r>
      <w:r w:rsidRPr="003F4FF4">
        <w:rPr>
          <w:rFonts w:ascii="Calibri" w:hAnsi="Calibri" w:cs="Calibri"/>
          <w:sz w:val="21"/>
          <w:szCs w:val="21"/>
        </w:rPr>
        <w:t xml:space="preserve">, </w:t>
      </w:r>
      <w:r w:rsidRPr="003F4FF4">
        <w:rPr>
          <w:rFonts w:ascii="Calibri" w:hAnsi="Calibri" w:cs="Calibri"/>
          <w:i/>
          <w:iCs/>
          <w:sz w:val="21"/>
          <w:szCs w:val="21"/>
        </w:rPr>
        <w:t>60</w:t>
      </w:r>
      <w:r w:rsidRPr="003F4FF4">
        <w:rPr>
          <w:rFonts w:ascii="Calibri" w:hAnsi="Calibri" w:cs="Calibri"/>
          <w:sz w:val="21"/>
          <w:szCs w:val="21"/>
        </w:rPr>
        <w:t>, 982-998.</w:t>
      </w:r>
    </w:p>
    <w:p w14:paraId="1C9F1EF7"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6A0CDD">
        <w:rPr>
          <w:rFonts w:ascii="Calibri" w:hAnsi="Calibri" w:cs="Calibri"/>
          <w:sz w:val="21"/>
          <w:szCs w:val="21"/>
        </w:rPr>
        <w:t>Gatzert</w:t>
      </w:r>
      <w:proofErr w:type="spellEnd"/>
      <w:r w:rsidRPr="006A0CDD">
        <w:rPr>
          <w:rFonts w:ascii="Calibri" w:hAnsi="Calibri" w:cs="Calibri"/>
          <w:sz w:val="21"/>
          <w:szCs w:val="21"/>
        </w:rPr>
        <w:t xml:space="preserve">, N., &amp; </w:t>
      </w:r>
      <w:proofErr w:type="spellStart"/>
      <w:r w:rsidRPr="006A0CDD">
        <w:rPr>
          <w:rFonts w:ascii="Calibri" w:hAnsi="Calibri" w:cs="Calibri"/>
          <w:sz w:val="21"/>
          <w:szCs w:val="21"/>
        </w:rPr>
        <w:t>Kosub</w:t>
      </w:r>
      <w:proofErr w:type="spellEnd"/>
      <w:r w:rsidRPr="006A0CDD">
        <w:rPr>
          <w:rFonts w:ascii="Calibri" w:hAnsi="Calibri" w:cs="Calibri"/>
          <w:sz w:val="21"/>
          <w:szCs w:val="21"/>
        </w:rPr>
        <w:t xml:space="preserve">, T. (2017a). </w:t>
      </w:r>
      <w:r w:rsidRPr="003F4FF4">
        <w:rPr>
          <w:rFonts w:ascii="Calibri" w:hAnsi="Calibri" w:cs="Calibri"/>
          <w:sz w:val="21"/>
          <w:szCs w:val="21"/>
        </w:rPr>
        <w:t xml:space="preserve">The Impact of European Initiatives on the Treatment of Insurers’ Infrastructure Investments </w:t>
      </w:r>
      <w:proofErr w:type="gramStart"/>
      <w:r w:rsidRPr="003F4FF4">
        <w:rPr>
          <w:rFonts w:ascii="Calibri" w:hAnsi="Calibri" w:cs="Calibri"/>
          <w:sz w:val="21"/>
          <w:szCs w:val="21"/>
        </w:rPr>
        <w:t>Under</w:t>
      </w:r>
      <w:proofErr w:type="gramEnd"/>
      <w:r w:rsidRPr="003F4FF4">
        <w:rPr>
          <w:rFonts w:ascii="Calibri" w:hAnsi="Calibri" w:cs="Calibri"/>
          <w:sz w:val="21"/>
          <w:szCs w:val="21"/>
        </w:rPr>
        <w:t xml:space="preserve"> Solvency II. </w:t>
      </w:r>
      <w:r w:rsidRPr="003F4FF4">
        <w:rPr>
          <w:rFonts w:ascii="Calibri" w:hAnsi="Calibri" w:cs="Calibri"/>
          <w:i/>
          <w:iCs/>
          <w:sz w:val="21"/>
          <w:szCs w:val="21"/>
        </w:rPr>
        <w:t>The Geneva Papers on Risk and Insurance-Issues and Practice</w:t>
      </w:r>
      <w:r w:rsidRPr="003F4FF4">
        <w:rPr>
          <w:rFonts w:ascii="Calibri" w:hAnsi="Calibri" w:cs="Calibri"/>
          <w:sz w:val="21"/>
          <w:szCs w:val="21"/>
        </w:rPr>
        <w:t xml:space="preserve">, </w:t>
      </w:r>
      <w:r w:rsidRPr="003F4FF4">
        <w:rPr>
          <w:rFonts w:ascii="Calibri" w:hAnsi="Calibri" w:cs="Calibri"/>
          <w:i/>
          <w:iCs/>
          <w:sz w:val="21"/>
          <w:szCs w:val="21"/>
        </w:rPr>
        <w:t>42</w:t>
      </w:r>
      <w:r w:rsidRPr="003F4FF4">
        <w:rPr>
          <w:rFonts w:ascii="Calibri" w:hAnsi="Calibri" w:cs="Calibri"/>
          <w:sz w:val="21"/>
          <w:szCs w:val="21"/>
        </w:rPr>
        <w:t>(4), 708-731.</w:t>
      </w:r>
    </w:p>
    <w:p w14:paraId="1F739F09"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lang w:val="de-CH"/>
        </w:rPr>
        <w:t xml:space="preserve">Gatzert, N., &amp; Kosub, T. (2017b). </w:t>
      </w:r>
      <w:r w:rsidRPr="003F4FF4">
        <w:rPr>
          <w:rFonts w:ascii="Calibri" w:hAnsi="Calibri" w:cs="Calibri"/>
          <w:sz w:val="21"/>
          <w:szCs w:val="21"/>
        </w:rPr>
        <w:t xml:space="preserve">Determinants of policy risks of renewable energy investments. </w:t>
      </w:r>
      <w:r w:rsidRPr="003F4FF4">
        <w:rPr>
          <w:rFonts w:ascii="Calibri" w:hAnsi="Calibri" w:cs="Calibri"/>
          <w:i/>
          <w:iCs/>
          <w:sz w:val="21"/>
          <w:szCs w:val="21"/>
        </w:rPr>
        <w:t>International Journal of Energy Sector Management</w:t>
      </w:r>
      <w:r w:rsidRPr="003F4FF4">
        <w:rPr>
          <w:rFonts w:ascii="Calibri" w:hAnsi="Calibri" w:cs="Calibri"/>
          <w:sz w:val="21"/>
          <w:szCs w:val="21"/>
        </w:rPr>
        <w:t xml:space="preserve">, </w:t>
      </w:r>
      <w:r w:rsidRPr="003F4FF4">
        <w:rPr>
          <w:rFonts w:ascii="Calibri" w:hAnsi="Calibri" w:cs="Calibri"/>
          <w:i/>
          <w:iCs/>
          <w:sz w:val="21"/>
          <w:szCs w:val="21"/>
        </w:rPr>
        <w:t>11</w:t>
      </w:r>
      <w:r w:rsidRPr="003F4FF4">
        <w:rPr>
          <w:rFonts w:ascii="Calibri" w:hAnsi="Calibri" w:cs="Calibri"/>
          <w:sz w:val="21"/>
          <w:szCs w:val="21"/>
        </w:rPr>
        <w:t>(1), 28-45.</w:t>
      </w:r>
    </w:p>
    <w:p w14:paraId="31A8DCC9"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Gatzert</w:t>
      </w:r>
      <w:proofErr w:type="spellEnd"/>
      <w:r w:rsidRPr="003F4FF4">
        <w:rPr>
          <w:rFonts w:ascii="Calibri" w:hAnsi="Calibri" w:cs="Calibri"/>
          <w:sz w:val="21"/>
          <w:szCs w:val="21"/>
        </w:rPr>
        <w:t xml:space="preserve">, N., &amp; </w:t>
      </w:r>
      <w:proofErr w:type="spellStart"/>
      <w:r w:rsidRPr="003F4FF4">
        <w:rPr>
          <w:rFonts w:ascii="Calibri" w:hAnsi="Calibri" w:cs="Calibri"/>
          <w:sz w:val="21"/>
          <w:szCs w:val="21"/>
        </w:rPr>
        <w:t>Vogl</w:t>
      </w:r>
      <w:proofErr w:type="spellEnd"/>
      <w:r w:rsidRPr="003F4FF4">
        <w:rPr>
          <w:rFonts w:ascii="Calibri" w:hAnsi="Calibri" w:cs="Calibri"/>
          <w:sz w:val="21"/>
          <w:szCs w:val="21"/>
        </w:rPr>
        <w:t xml:space="preserve">, N. (2016). Evaluating investments in renewable energy under policy risks.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95</w:t>
      </w:r>
      <w:r w:rsidRPr="003F4FF4">
        <w:rPr>
          <w:rFonts w:ascii="Calibri" w:hAnsi="Calibri" w:cs="Calibri"/>
          <w:sz w:val="21"/>
          <w:szCs w:val="21"/>
        </w:rPr>
        <w:t>, 238-252.</w:t>
      </w:r>
    </w:p>
    <w:p w14:paraId="362ACD8F"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Geddes, A., Schmidt, T. S., &amp; Steffen, B. (2018). The multiple roles of state investment banks in low-carbon energy finance: An analysis of Australia, the UK and Germany.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115</w:t>
      </w:r>
      <w:r w:rsidRPr="003F4FF4">
        <w:rPr>
          <w:rFonts w:ascii="Calibri" w:hAnsi="Calibri" w:cs="Calibri"/>
          <w:sz w:val="21"/>
          <w:szCs w:val="21"/>
        </w:rPr>
        <w:t>, 158-170.</w:t>
      </w:r>
    </w:p>
    <w:p w14:paraId="231CA5D1"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lastRenderedPageBreak/>
        <w:t xml:space="preserve">Global Infrastructure Hub &amp; Oxford economics (2017). Global infrastructure Outlook. Infrastructure investment needs 50 countries, 7 regions to 2014. Available at: </w:t>
      </w:r>
      <w:hyperlink r:id="rId49" w:history="1">
        <w:r w:rsidRPr="003F4FF4">
          <w:rPr>
            <w:rStyle w:val="Hyperlink"/>
            <w:rFonts w:ascii="Calibri" w:hAnsi="Calibri" w:cs="Calibri"/>
            <w:sz w:val="21"/>
            <w:szCs w:val="21"/>
          </w:rPr>
          <w:t>https://outlook.gihub.org/</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03.05.2019). </w:t>
      </w:r>
    </w:p>
    <w:p w14:paraId="1D12059D"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González, J. S., &amp; </w:t>
      </w:r>
      <w:proofErr w:type="spellStart"/>
      <w:r w:rsidRPr="003F4FF4">
        <w:rPr>
          <w:rFonts w:ascii="Calibri" w:hAnsi="Calibri" w:cs="Calibri"/>
          <w:sz w:val="21"/>
          <w:szCs w:val="21"/>
        </w:rPr>
        <w:t>Lacal-Arántegui</w:t>
      </w:r>
      <w:proofErr w:type="spellEnd"/>
      <w:r w:rsidRPr="003F4FF4">
        <w:rPr>
          <w:rFonts w:ascii="Calibri" w:hAnsi="Calibri" w:cs="Calibri"/>
          <w:sz w:val="21"/>
          <w:szCs w:val="21"/>
        </w:rPr>
        <w:t xml:space="preserve">, R. (2016). A review of regulatory framework for wind energy in European Union countries: current state and expected developments. </w:t>
      </w:r>
      <w:r w:rsidRPr="003F4FF4">
        <w:rPr>
          <w:rFonts w:ascii="Calibri" w:hAnsi="Calibri" w:cs="Calibri"/>
          <w:i/>
          <w:iCs/>
          <w:sz w:val="21"/>
          <w:szCs w:val="21"/>
        </w:rPr>
        <w:t>Renewable and Sustainable Energy Reviews</w:t>
      </w:r>
      <w:r w:rsidRPr="003F4FF4">
        <w:rPr>
          <w:rFonts w:ascii="Calibri" w:hAnsi="Calibri" w:cs="Calibri"/>
          <w:sz w:val="21"/>
          <w:szCs w:val="21"/>
        </w:rPr>
        <w:t xml:space="preserve">, </w:t>
      </w:r>
      <w:r w:rsidRPr="003F4FF4">
        <w:rPr>
          <w:rFonts w:ascii="Calibri" w:hAnsi="Calibri" w:cs="Calibri"/>
          <w:i/>
          <w:iCs/>
          <w:sz w:val="21"/>
          <w:szCs w:val="21"/>
        </w:rPr>
        <w:t>56</w:t>
      </w:r>
      <w:r w:rsidRPr="003F4FF4">
        <w:rPr>
          <w:rFonts w:ascii="Calibri" w:hAnsi="Calibri" w:cs="Calibri"/>
          <w:sz w:val="21"/>
          <w:szCs w:val="21"/>
        </w:rPr>
        <w:t>, 588-602.</w:t>
      </w:r>
    </w:p>
    <w:p w14:paraId="576E24D6" w14:textId="77777777" w:rsidR="00431638" w:rsidRPr="003F4FF4" w:rsidRDefault="00431638" w:rsidP="00D7335E">
      <w:pPr>
        <w:suppressLineNumbers/>
        <w:ind w:left="720" w:hanging="720"/>
        <w:rPr>
          <w:rFonts w:ascii="Calibri" w:hAnsi="Calibri" w:cs="Calibri"/>
          <w:sz w:val="21"/>
          <w:szCs w:val="21"/>
        </w:rPr>
      </w:pPr>
      <w:r w:rsidRPr="003F4FF4">
        <w:rPr>
          <w:rFonts w:ascii="Calibri" w:eastAsia="Calibri" w:hAnsi="Calibri" w:cs="Calibri"/>
          <w:sz w:val="21"/>
          <w:szCs w:val="21"/>
          <w:lang w:val="en-US"/>
        </w:rPr>
        <w:t xml:space="preserve">Green Finance Initiative (2017a). The Renewable Energy Infrastructure Investment Opportunity for UK Pension Funds. Available at: </w:t>
      </w:r>
      <w:hyperlink r:id="rId50">
        <w:r w:rsidRPr="003F4FF4">
          <w:rPr>
            <w:rStyle w:val="Hyperlink"/>
            <w:rFonts w:ascii="Calibri" w:eastAsia="Calibri" w:hAnsi="Calibri" w:cs="Calibri"/>
            <w:sz w:val="21"/>
            <w:szCs w:val="21"/>
            <w:lang w:val="en-US"/>
          </w:rPr>
          <w:t>http://greenfinanceinitiative.org/wp-content/uploads/2017/11/Final-Report-14.11.2017.pdf</w:t>
        </w:r>
      </w:hyperlink>
      <w:r w:rsidRPr="003F4FF4">
        <w:rPr>
          <w:rFonts w:ascii="Calibri" w:eastAsia="Calibri" w:hAnsi="Calibri" w:cs="Calibri"/>
          <w:sz w:val="21"/>
          <w:szCs w:val="21"/>
          <w:lang w:val="en-US"/>
        </w:rPr>
        <w:t xml:space="preserve"> (</w:t>
      </w:r>
      <w:r w:rsidRPr="003F4FF4">
        <w:rPr>
          <w:rFonts w:ascii="Calibri" w:eastAsia="Calibri" w:hAnsi="Calibri" w:cs="Calibri"/>
          <w:sz w:val="21"/>
          <w:szCs w:val="21"/>
        </w:rPr>
        <w:t xml:space="preserve">Accessed </w:t>
      </w:r>
      <w:r w:rsidRPr="003F4FF4">
        <w:rPr>
          <w:rFonts w:ascii="Calibri" w:eastAsia="Calibri" w:hAnsi="Calibri" w:cs="Calibri"/>
          <w:sz w:val="21"/>
          <w:szCs w:val="21"/>
          <w:lang w:val="en-US"/>
        </w:rPr>
        <w:t>14.05.2019).</w:t>
      </w:r>
    </w:p>
    <w:p w14:paraId="3788068D" w14:textId="77777777" w:rsidR="00431638" w:rsidRPr="003F4FF4" w:rsidRDefault="00431638" w:rsidP="00D7335E">
      <w:pPr>
        <w:suppressLineNumbers/>
        <w:ind w:left="720" w:hanging="720"/>
        <w:rPr>
          <w:rFonts w:ascii="Calibri" w:hAnsi="Calibri" w:cs="Calibri"/>
          <w:sz w:val="21"/>
          <w:szCs w:val="21"/>
          <w:lang w:val="en-US"/>
        </w:rPr>
      </w:pPr>
      <w:r w:rsidRPr="003F4FF4">
        <w:rPr>
          <w:rFonts w:ascii="Calibri" w:hAnsi="Calibri" w:cs="Calibri"/>
          <w:sz w:val="21"/>
          <w:szCs w:val="21"/>
          <w:lang w:val="en-US"/>
        </w:rPr>
        <w:t xml:space="preserve">Green Finance Initiative (2017b). Fifteen Steps to Green Finance. Available at: </w:t>
      </w:r>
      <w:hyperlink r:id="rId51">
        <w:r w:rsidRPr="003F4FF4">
          <w:rPr>
            <w:rStyle w:val="Hyperlink"/>
            <w:rFonts w:ascii="Calibri" w:hAnsi="Calibri" w:cs="Calibri"/>
            <w:sz w:val="21"/>
            <w:szCs w:val="21"/>
            <w:lang w:val="en-US"/>
          </w:rPr>
          <w:t>http://greenfinanceinitiative.org/fifteen-steps-to-green-finance/</w:t>
        </w:r>
      </w:hyperlink>
      <w:r w:rsidRPr="003F4FF4">
        <w:rPr>
          <w:rFonts w:ascii="Calibri" w:hAnsi="Calibri" w:cs="Calibri"/>
          <w:sz w:val="21"/>
          <w:szCs w:val="21"/>
          <w:lang w:val="en-US"/>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lang w:val="en-US"/>
        </w:rPr>
        <w:t xml:space="preserve">10.05.2019). </w:t>
      </w:r>
    </w:p>
    <w:p w14:paraId="78701CC5" w14:textId="77777777" w:rsidR="00431638" w:rsidRPr="003F4FF4" w:rsidRDefault="00431638" w:rsidP="00D7335E">
      <w:pPr>
        <w:suppressLineNumbers/>
        <w:ind w:left="720" w:hanging="720"/>
        <w:rPr>
          <w:rFonts w:ascii="Calibri" w:hAnsi="Calibri" w:cs="Calibri"/>
          <w:sz w:val="21"/>
          <w:szCs w:val="21"/>
        </w:rPr>
      </w:pPr>
      <w:r w:rsidRPr="003F4FF4">
        <w:rPr>
          <w:rFonts w:ascii="Calibri" w:hAnsi="Calibri" w:cs="Calibri"/>
          <w:sz w:val="21"/>
          <w:szCs w:val="21"/>
        </w:rPr>
        <w:t xml:space="preserve">Green Finance Taskforce (2018). Accelerating Green Finance. Available at: </w:t>
      </w:r>
      <w:hyperlink r:id="rId52">
        <w:r w:rsidRPr="003F4FF4">
          <w:rPr>
            <w:rStyle w:val="Hyperlink"/>
            <w:rFonts w:ascii="Calibri" w:eastAsia="Calibri" w:hAnsi="Calibri" w:cs="Calibri"/>
            <w:sz w:val="21"/>
            <w:szCs w:val="21"/>
          </w:rPr>
          <w:t>https://www.gov.uk/government/publications/accelerating-green-finance-green-finance-taskforce-report</w:t>
        </w:r>
      </w:hyperlink>
      <w:r w:rsidRPr="003F4FF4">
        <w:rPr>
          <w:rFonts w:ascii="Calibri" w:eastAsia="Calibri" w:hAnsi="Calibri" w:cs="Calibri"/>
          <w:sz w:val="21"/>
          <w:szCs w:val="21"/>
        </w:rPr>
        <w:t xml:space="preserve"> (Accessed 14.05.2019).</w:t>
      </w:r>
    </w:p>
    <w:p w14:paraId="000CB1B3" w14:textId="77777777" w:rsidR="00431638" w:rsidRPr="003F4FF4" w:rsidRDefault="00431638" w:rsidP="00D7335E">
      <w:pPr>
        <w:suppressLineNumbers/>
        <w:ind w:left="720" w:hanging="720"/>
        <w:rPr>
          <w:rFonts w:ascii="Calibri" w:hAnsi="Calibri" w:cs="Calibri"/>
          <w:sz w:val="21"/>
          <w:szCs w:val="21"/>
          <w:lang w:val="en-US"/>
        </w:rPr>
      </w:pPr>
      <w:r w:rsidRPr="003F4FF4">
        <w:rPr>
          <w:rFonts w:ascii="Calibri" w:hAnsi="Calibri" w:cs="Calibri"/>
          <w:sz w:val="21"/>
          <w:szCs w:val="21"/>
          <w:lang w:val="en-US"/>
        </w:rPr>
        <w:t xml:space="preserve">Green Investment Bank Commission (2010) </w:t>
      </w:r>
      <w:r w:rsidRPr="003F4FF4">
        <w:rPr>
          <w:rFonts w:ascii="Calibri" w:eastAsia="Calibri" w:hAnsi="Calibri" w:cs="Calibri"/>
          <w:sz w:val="21"/>
          <w:szCs w:val="21"/>
          <w:lang w:val="en-US"/>
        </w:rPr>
        <w:t xml:space="preserve">Unlocking investment to deliver Britain's low carbon future. Available at: </w:t>
      </w:r>
      <w:hyperlink r:id="rId53">
        <w:r w:rsidRPr="003F4FF4">
          <w:rPr>
            <w:rStyle w:val="Hyperlink"/>
            <w:rFonts w:ascii="Calibri" w:eastAsia="Calibri" w:hAnsi="Calibri" w:cs="Calibri"/>
            <w:sz w:val="21"/>
            <w:szCs w:val="21"/>
            <w:lang w:val="en-US"/>
          </w:rPr>
          <w:t>https://www.e3g.org/docs/Unlocking_investment_to_deliver_Britains_low_carbon_future_-_Green_Investment_Bank_Commission_Report_June_2010.pdf</w:t>
        </w:r>
      </w:hyperlink>
      <w:r w:rsidRPr="003F4FF4">
        <w:rPr>
          <w:rFonts w:ascii="Calibri" w:eastAsia="Calibri" w:hAnsi="Calibri" w:cs="Calibri"/>
          <w:sz w:val="21"/>
          <w:szCs w:val="21"/>
          <w:lang w:val="en-US"/>
        </w:rPr>
        <w:t xml:space="preserve"> (</w:t>
      </w:r>
      <w:r w:rsidRPr="003F4FF4">
        <w:rPr>
          <w:rFonts w:ascii="Calibri" w:eastAsia="Calibri" w:hAnsi="Calibri" w:cs="Calibri"/>
          <w:sz w:val="21"/>
          <w:szCs w:val="21"/>
        </w:rPr>
        <w:t xml:space="preserve">Accessed </w:t>
      </w:r>
      <w:r w:rsidRPr="003F4FF4">
        <w:rPr>
          <w:rFonts w:ascii="Calibri" w:eastAsia="Calibri" w:hAnsi="Calibri" w:cs="Calibri"/>
          <w:sz w:val="21"/>
          <w:szCs w:val="21"/>
          <w:lang w:val="en-US"/>
        </w:rPr>
        <w:t>15.05.2019).</w:t>
      </w:r>
    </w:p>
    <w:p w14:paraId="0209C486"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GREEN-WIN (2017) Financing the Low-Carbon Transition: Current Landscape and Future Direction. Available at: </w:t>
      </w:r>
      <w:hyperlink r:id="rId54" w:history="1">
        <w:r w:rsidRPr="003F4FF4">
          <w:rPr>
            <w:rStyle w:val="Hyperlink"/>
            <w:rFonts w:ascii="Calibri" w:eastAsia="Calibri" w:hAnsi="Calibri" w:cs="Calibri"/>
            <w:sz w:val="21"/>
            <w:szCs w:val="21"/>
          </w:rPr>
          <w:t>https://www.green-win-project.eu/resource/financing-low-carbon-transition-current-landscape-and-future-direction-0</w:t>
        </w:r>
      </w:hyperlink>
      <w:r w:rsidRPr="003F4FF4">
        <w:rPr>
          <w:rFonts w:ascii="Calibri" w:eastAsia="Calibri" w:hAnsi="Calibri" w:cs="Calibri"/>
          <w:sz w:val="21"/>
          <w:szCs w:val="21"/>
        </w:rPr>
        <w:t xml:space="preserve"> (Accessed 20.05.2019).</w:t>
      </w:r>
    </w:p>
    <w:p w14:paraId="4BC4E767"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Goodman, J., Louche, C., </w:t>
      </w:r>
      <w:proofErr w:type="spellStart"/>
      <w:r w:rsidRPr="003F4FF4">
        <w:rPr>
          <w:rFonts w:ascii="Calibri" w:hAnsi="Calibri" w:cs="Calibri"/>
          <w:sz w:val="21"/>
          <w:szCs w:val="21"/>
        </w:rPr>
        <w:t>Cranenburgh</w:t>
      </w:r>
      <w:proofErr w:type="spellEnd"/>
      <w:r w:rsidRPr="003F4FF4">
        <w:rPr>
          <w:rFonts w:ascii="Calibri" w:hAnsi="Calibri" w:cs="Calibri"/>
          <w:sz w:val="21"/>
          <w:szCs w:val="21"/>
        </w:rPr>
        <w:t xml:space="preserve">, K., &amp; Arenas, D. (2014). Social shareholder engagement: The dynamics of voice and exit. </w:t>
      </w:r>
      <w:r w:rsidRPr="003F4FF4">
        <w:rPr>
          <w:rFonts w:ascii="Calibri" w:hAnsi="Calibri" w:cs="Calibri"/>
          <w:i/>
          <w:iCs/>
          <w:sz w:val="21"/>
          <w:szCs w:val="21"/>
        </w:rPr>
        <w:t>Journal of Business Ethics</w:t>
      </w:r>
      <w:r w:rsidRPr="003F4FF4">
        <w:rPr>
          <w:rFonts w:ascii="Calibri" w:hAnsi="Calibri" w:cs="Calibri"/>
          <w:sz w:val="21"/>
          <w:szCs w:val="21"/>
        </w:rPr>
        <w:t xml:space="preserve">, </w:t>
      </w:r>
      <w:r w:rsidRPr="003F4FF4">
        <w:rPr>
          <w:rFonts w:ascii="Calibri" w:hAnsi="Calibri" w:cs="Calibri"/>
          <w:i/>
          <w:iCs/>
          <w:sz w:val="21"/>
          <w:szCs w:val="21"/>
        </w:rPr>
        <w:t>125</w:t>
      </w:r>
      <w:r w:rsidRPr="003F4FF4">
        <w:rPr>
          <w:rFonts w:ascii="Calibri" w:hAnsi="Calibri" w:cs="Calibri"/>
          <w:sz w:val="21"/>
          <w:szCs w:val="21"/>
        </w:rPr>
        <w:t>, 193-210.</w:t>
      </w:r>
    </w:p>
    <w:p w14:paraId="5BEE2DAE"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Granoff</w:t>
      </w:r>
      <w:proofErr w:type="spellEnd"/>
      <w:r w:rsidRPr="003F4FF4">
        <w:rPr>
          <w:rFonts w:ascii="Calibri" w:hAnsi="Calibri" w:cs="Calibri"/>
          <w:sz w:val="21"/>
          <w:szCs w:val="21"/>
        </w:rPr>
        <w:t xml:space="preserve">, I., Hogarth, J. R., &amp; Miller, A. (2016). Nested barriers to low-carbon infrastructure investment. </w:t>
      </w:r>
      <w:r w:rsidRPr="003F4FF4">
        <w:rPr>
          <w:rFonts w:ascii="Calibri" w:hAnsi="Calibri" w:cs="Calibri"/>
          <w:i/>
          <w:iCs/>
          <w:sz w:val="21"/>
          <w:szCs w:val="21"/>
        </w:rPr>
        <w:t>Nature Climate Change</w:t>
      </w:r>
      <w:r w:rsidRPr="003F4FF4">
        <w:rPr>
          <w:rFonts w:ascii="Calibri" w:hAnsi="Calibri" w:cs="Calibri"/>
          <w:sz w:val="21"/>
          <w:szCs w:val="21"/>
        </w:rPr>
        <w:t xml:space="preserve">, </w:t>
      </w:r>
      <w:r w:rsidRPr="003F4FF4">
        <w:rPr>
          <w:rFonts w:ascii="Calibri" w:hAnsi="Calibri" w:cs="Calibri"/>
          <w:i/>
          <w:iCs/>
          <w:sz w:val="21"/>
          <w:szCs w:val="21"/>
        </w:rPr>
        <w:t>6</w:t>
      </w:r>
      <w:r w:rsidRPr="003F4FF4">
        <w:rPr>
          <w:rFonts w:ascii="Calibri" w:hAnsi="Calibri" w:cs="Calibri"/>
          <w:sz w:val="21"/>
          <w:szCs w:val="21"/>
        </w:rPr>
        <w:t>(12), 1065.</w:t>
      </w:r>
    </w:p>
    <w:p w14:paraId="5B5B5CFA"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Groot, J., </w:t>
      </w:r>
      <w:proofErr w:type="spellStart"/>
      <w:r w:rsidRPr="003F4FF4">
        <w:rPr>
          <w:rFonts w:ascii="Calibri" w:hAnsi="Calibri" w:cs="Calibri"/>
          <w:sz w:val="21"/>
          <w:szCs w:val="21"/>
        </w:rPr>
        <w:t>Richstein</w:t>
      </w:r>
      <w:proofErr w:type="spellEnd"/>
      <w:r w:rsidRPr="003F4FF4">
        <w:rPr>
          <w:rFonts w:ascii="Calibri" w:hAnsi="Calibri" w:cs="Calibri"/>
          <w:sz w:val="21"/>
          <w:szCs w:val="21"/>
        </w:rPr>
        <w:t xml:space="preserve">, J. C., &amp; De </w:t>
      </w:r>
      <w:proofErr w:type="spellStart"/>
      <w:r w:rsidRPr="003F4FF4">
        <w:rPr>
          <w:rFonts w:ascii="Calibri" w:hAnsi="Calibri" w:cs="Calibri"/>
          <w:sz w:val="21"/>
          <w:szCs w:val="21"/>
        </w:rPr>
        <w:t>Vries</w:t>
      </w:r>
      <w:proofErr w:type="spellEnd"/>
      <w:r w:rsidRPr="003F4FF4">
        <w:rPr>
          <w:rFonts w:ascii="Calibri" w:hAnsi="Calibri" w:cs="Calibri"/>
          <w:sz w:val="21"/>
          <w:szCs w:val="21"/>
        </w:rPr>
        <w:t xml:space="preserve">, L. J. (2013). Understanding power plant investment decision processes. In </w:t>
      </w:r>
      <w:r w:rsidRPr="003F4FF4">
        <w:rPr>
          <w:rFonts w:ascii="Calibri" w:hAnsi="Calibri" w:cs="Calibri"/>
          <w:i/>
          <w:iCs/>
          <w:sz w:val="21"/>
          <w:szCs w:val="21"/>
        </w:rPr>
        <w:t>13th IAEE European Energy Conference, Dusseldorf, Germany, 18-21 August 2013</w:t>
      </w:r>
      <w:r w:rsidRPr="003F4FF4">
        <w:rPr>
          <w:rFonts w:ascii="Calibri" w:hAnsi="Calibri" w:cs="Calibri"/>
          <w:sz w:val="21"/>
          <w:szCs w:val="21"/>
        </w:rPr>
        <w:t>.</w:t>
      </w:r>
    </w:p>
    <w:p w14:paraId="5B0ACAD2"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Gross, R., Blyth, W., &amp; </w:t>
      </w:r>
      <w:proofErr w:type="spellStart"/>
      <w:r w:rsidRPr="003F4FF4">
        <w:rPr>
          <w:rFonts w:ascii="Calibri" w:hAnsi="Calibri" w:cs="Calibri"/>
          <w:sz w:val="21"/>
          <w:szCs w:val="21"/>
        </w:rPr>
        <w:t>Heptonstall</w:t>
      </w:r>
      <w:proofErr w:type="spellEnd"/>
      <w:r w:rsidRPr="003F4FF4">
        <w:rPr>
          <w:rFonts w:ascii="Calibri" w:hAnsi="Calibri" w:cs="Calibri"/>
          <w:sz w:val="21"/>
          <w:szCs w:val="21"/>
        </w:rPr>
        <w:t xml:space="preserve">, P. (2010). Risks, revenues and investment in electricity generation: Why policy needs to look beyond costs. </w:t>
      </w:r>
      <w:r w:rsidRPr="003F4FF4">
        <w:rPr>
          <w:rFonts w:ascii="Calibri" w:hAnsi="Calibri" w:cs="Calibri"/>
          <w:i/>
          <w:iCs/>
          <w:sz w:val="21"/>
          <w:szCs w:val="21"/>
        </w:rPr>
        <w:t>Energy Economics</w:t>
      </w:r>
      <w:r w:rsidRPr="003F4FF4">
        <w:rPr>
          <w:rFonts w:ascii="Calibri" w:hAnsi="Calibri" w:cs="Calibri"/>
          <w:sz w:val="21"/>
          <w:szCs w:val="21"/>
        </w:rPr>
        <w:t xml:space="preserve">, </w:t>
      </w:r>
      <w:r w:rsidRPr="003F4FF4">
        <w:rPr>
          <w:rFonts w:ascii="Calibri" w:hAnsi="Calibri" w:cs="Calibri"/>
          <w:i/>
          <w:iCs/>
          <w:sz w:val="21"/>
          <w:szCs w:val="21"/>
        </w:rPr>
        <w:t>32</w:t>
      </w:r>
      <w:r w:rsidRPr="003F4FF4">
        <w:rPr>
          <w:rFonts w:ascii="Calibri" w:hAnsi="Calibri" w:cs="Calibri"/>
          <w:sz w:val="21"/>
          <w:szCs w:val="21"/>
        </w:rPr>
        <w:t>(4), 796-804.</w:t>
      </w:r>
    </w:p>
    <w:p w14:paraId="4813B8A0"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Grüning</w:t>
      </w:r>
      <w:proofErr w:type="spellEnd"/>
      <w:r w:rsidRPr="003F4FF4">
        <w:rPr>
          <w:rFonts w:ascii="Calibri" w:hAnsi="Calibri" w:cs="Calibri"/>
          <w:sz w:val="21"/>
          <w:szCs w:val="21"/>
        </w:rPr>
        <w:t xml:space="preserve">, C., &amp; </w:t>
      </w:r>
      <w:proofErr w:type="spellStart"/>
      <w:r w:rsidRPr="003F4FF4">
        <w:rPr>
          <w:rFonts w:ascii="Calibri" w:hAnsi="Calibri" w:cs="Calibri"/>
          <w:sz w:val="21"/>
          <w:szCs w:val="21"/>
        </w:rPr>
        <w:t>Moslener</w:t>
      </w:r>
      <w:proofErr w:type="spellEnd"/>
      <w:r w:rsidRPr="003F4FF4">
        <w:rPr>
          <w:rFonts w:ascii="Calibri" w:hAnsi="Calibri" w:cs="Calibri"/>
          <w:sz w:val="21"/>
          <w:szCs w:val="21"/>
        </w:rPr>
        <w:t xml:space="preserve">, U. (2016). </w:t>
      </w:r>
      <w:proofErr w:type="spellStart"/>
      <w:r w:rsidRPr="003F4FF4">
        <w:rPr>
          <w:rFonts w:ascii="Calibri" w:hAnsi="Calibri" w:cs="Calibri"/>
          <w:sz w:val="21"/>
          <w:szCs w:val="21"/>
        </w:rPr>
        <w:t>Tackeling</w:t>
      </w:r>
      <w:proofErr w:type="spellEnd"/>
      <w:r w:rsidRPr="003F4FF4">
        <w:rPr>
          <w:rFonts w:ascii="Calibri" w:hAnsi="Calibri" w:cs="Calibri"/>
          <w:sz w:val="21"/>
          <w:szCs w:val="21"/>
        </w:rPr>
        <w:t xml:space="preserve"> the barriers to Climate Friendly Investment. Available at: </w:t>
      </w:r>
      <w:hyperlink r:id="rId55" w:history="1">
        <w:r w:rsidRPr="003F4FF4">
          <w:rPr>
            <w:rStyle w:val="Hyperlink"/>
            <w:rFonts w:ascii="Calibri" w:hAnsi="Calibri" w:cs="Calibri"/>
            <w:sz w:val="21"/>
            <w:szCs w:val="21"/>
          </w:rPr>
          <w:t>https://refubium.fu-berlin.de/handle/fub188/18116</w:t>
        </w:r>
      </w:hyperlink>
      <w:r w:rsidRPr="003F4FF4">
        <w:rPr>
          <w:rFonts w:ascii="Calibri" w:hAnsi="Calibri" w:cs="Calibri"/>
          <w:sz w:val="21"/>
          <w:szCs w:val="21"/>
        </w:rPr>
        <w:t xml:space="preserve"> (04.05.2019). </w:t>
      </w:r>
    </w:p>
    <w:p w14:paraId="5B692939" w14:textId="28707392" w:rsidR="00431638" w:rsidRPr="003F4FF4" w:rsidRDefault="0016562A"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16562A">
        <w:rPr>
          <w:rFonts w:ascii="Calibri" w:hAnsi="Calibri" w:cs="Calibri"/>
          <w:color w:val="222222"/>
          <w:sz w:val="21"/>
          <w:szCs w:val="21"/>
        </w:rPr>
        <w:t xml:space="preserve">Hafner, S., James, O., &amp; Jones, A. (2019). A Scoping Review of Barriers to Investment in Climate Change Solutions. </w:t>
      </w:r>
      <w:r w:rsidRPr="0016562A">
        <w:rPr>
          <w:rFonts w:ascii="Calibri" w:hAnsi="Calibri" w:cs="Calibri"/>
          <w:i/>
          <w:iCs/>
          <w:color w:val="222222"/>
          <w:sz w:val="21"/>
          <w:szCs w:val="21"/>
        </w:rPr>
        <w:t>Sustainability</w:t>
      </w:r>
      <w:r w:rsidRPr="0016562A">
        <w:rPr>
          <w:rFonts w:ascii="Calibri" w:hAnsi="Calibri" w:cs="Calibri"/>
          <w:color w:val="222222"/>
          <w:sz w:val="21"/>
          <w:szCs w:val="21"/>
        </w:rPr>
        <w:t xml:space="preserve">, </w:t>
      </w:r>
      <w:r w:rsidRPr="0016562A">
        <w:rPr>
          <w:rFonts w:ascii="Calibri" w:hAnsi="Calibri" w:cs="Calibri"/>
          <w:i/>
          <w:iCs/>
          <w:color w:val="222222"/>
          <w:sz w:val="21"/>
          <w:szCs w:val="21"/>
        </w:rPr>
        <w:t>11</w:t>
      </w:r>
      <w:r w:rsidRPr="0016562A">
        <w:rPr>
          <w:rFonts w:ascii="Calibri" w:hAnsi="Calibri" w:cs="Calibri"/>
          <w:color w:val="222222"/>
          <w:sz w:val="21"/>
          <w:szCs w:val="21"/>
        </w:rPr>
        <w:t>(11), 3201</w:t>
      </w:r>
      <w:r>
        <w:rPr>
          <w:rFonts w:ascii="Arial" w:hAnsi="Arial" w:cs="Arial"/>
          <w:color w:val="222222"/>
          <w:sz w:val="20"/>
          <w:szCs w:val="20"/>
        </w:rPr>
        <w:t>.</w:t>
      </w:r>
      <w:r w:rsidR="00431638" w:rsidRPr="003F4FF4">
        <w:rPr>
          <w:rFonts w:ascii="Calibri" w:hAnsi="Calibri" w:cs="Calibri"/>
          <w:sz w:val="21"/>
          <w:szCs w:val="21"/>
        </w:rPr>
        <w:t xml:space="preserve">Hamilton, K. (2009). </w:t>
      </w:r>
      <w:r w:rsidR="00431638" w:rsidRPr="003F4FF4">
        <w:rPr>
          <w:rFonts w:ascii="Calibri" w:hAnsi="Calibri" w:cs="Calibri"/>
          <w:i/>
          <w:sz w:val="21"/>
          <w:szCs w:val="21"/>
        </w:rPr>
        <w:t>Unlocking Finance for Clean Energy: the Need for ‘Investment Grade’ Polic</w:t>
      </w:r>
      <w:r w:rsidR="00431638" w:rsidRPr="003F4FF4">
        <w:rPr>
          <w:rFonts w:ascii="Calibri" w:hAnsi="Calibri" w:cs="Calibri"/>
          <w:sz w:val="21"/>
          <w:szCs w:val="21"/>
        </w:rPr>
        <w:t xml:space="preserve">y. Available at: </w:t>
      </w:r>
      <w:hyperlink r:id="rId56" w:history="1">
        <w:r w:rsidR="00431638" w:rsidRPr="003F4FF4">
          <w:rPr>
            <w:rStyle w:val="Hyperlink"/>
            <w:rFonts w:ascii="Calibri" w:hAnsi="Calibri" w:cs="Calibri"/>
            <w:sz w:val="21"/>
            <w:szCs w:val="21"/>
          </w:rPr>
          <w:t>https://www.chathamhouse.org/sites/default/files/public/Research/Energy,%20Environment%20and%20Development/1209pp_hamilton.pdf</w:t>
        </w:r>
      </w:hyperlink>
      <w:r w:rsidR="00431638" w:rsidRPr="003F4FF4">
        <w:rPr>
          <w:rFonts w:ascii="Calibri" w:hAnsi="Calibri" w:cs="Calibri"/>
          <w:sz w:val="21"/>
          <w:szCs w:val="21"/>
        </w:rPr>
        <w:t xml:space="preserve"> (</w:t>
      </w:r>
      <w:r w:rsidR="00431638" w:rsidRPr="003F4FF4">
        <w:rPr>
          <w:rFonts w:ascii="Calibri" w:eastAsia="Calibri" w:hAnsi="Calibri" w:cs="Calibri"/>
          <w:sz w:val="21"/>
          <w:szCs w:val="21"/>
        </w:rPr>
        <w:t xml:space="preserve">Accessed </w:t>
      </w:r>
      <w:r w:rsidR="00431638" w:rsidRPr="003F4FF4">
        <w:rPr>
          <w:rFonts w:ascii="Calibri" w:hAnsi="Calibri" w:cs="Calibri"/>
          <w:sz w:val="21"/>
          <w:szCs w:val="21"/>
        </w:rPr>
        <w:t xml:space="preserve">03.04.2019). </w:t>
      </w:r>
    </w:p>
    <w:p w14:paraId="6C5F5469"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Hall, S., </w:t>
      </w:r>
      <w:proofErr w:type="spellStart"/>
      <w:r w:rsidRPr="003F4FF4">
        <w:rPr>
          <w:rFonts w:ascii="Calibri" w:hAnsi="Calibri" w:cs="Calibri"/>
          <w:sz w:val="21"/>
          <w:szCs w:val="21"/>
        </w:rPr>
        <w:t>Foxon</w:t>
      </w:r>
      <w:proofErr w:type="spellEnd"/>
      <w:r w:rsidRPr="003F4FF4">
        <w:rPr>
          <w:rFonts w:ascii="Calibri" w:hAnsi="Calibri" w:cs="Calibri"/>
          <w:sz w:val="21"/>
          <w:szCs w:val="21"/>
        </w:rPr>
        <w:t xml:space="preserve">, T. J., &amp; Bolton, R. (2017). Investing in low-carbon transitions: energy finance as an adaptive market. </w:t>
      </w:r>
      <w:r w:rsidRPr="003F4FF4">
        <w:rPr>
          <w:rFonts w:ascii="Calibri" w:hAnsi="Calibri" w:cs="Calibri"/>
          <w:i/>
          <w:iCs/>
          <w:sz w:val="21"/>
          <w:szCs w:val="21"/>
        </w:rPr>
        <w:t>Climate policy</w:t>
      </w:r>
      <w:r w:rsidRPr="003F4FF4">
        <w:rPr>
          <w:rFonts w:ascii="Calibri" w:hAnsi="Calibri" w:cs="Calibri"/>
          <w:sz w:val="21"/>
          <w:szCs w:val="21"/>
        </w:rPr>
        <w:t xml:space="preserve">, </w:t>
      </w:r>
      <w:r w:rsidRPr="003F4FF4">
        <w:rPr>
          <w:rFonts w:ascii="Calibri" w:hAnsi="Calibri" w:cs="Calibri"/>
          <w:i/>
          <w:iCs/>
          <w:sz w:val="21"/>
          <w:szCs w:val="21"/>
        </w:rPr>
        <w:t>17</w:t>
      </w:r>
      <w:r w:rsidRPr="003F4FF4">
        <w:rPr>
          <w:rFonts w:ascii="Calibri" w:hAnsi="Calibri" w:cs="Calibri"/>
          <w:sz w:val="21"/>
          <w:szCs w:val="21"/>
        </w:rPr>
        <w:t>(3), 280-298.</w:t>
      </w:r>
    </w:p>
    <w:p w14:paraId="20361EC8"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Hall, S., </w:t>
      </w:r>
      <w:proofErr w:type="spellStart"/>
      <w:r w:rsidRPr="003F4FF4">
        <w:rPr>
          <w:rFonts w:ascii="Calibri" w:hAnsi="Calibri" w:cs="Calibri"/>
          <w:sz w:val="21"/>
          <w:szCs w:val="21"/>
        </w:rPr>
        <w:t>Roelich</w:t>
      </w:r>
      <w:proofErr w:type="spellEnd"/>
      <w:r w:rsidRPr="003F4FF4">
        <w:rPr>
          <w:rFonts w:ascii="Calibri" w:hAnsi="Calibri" w:cs="Calibri"/>
          <w:sz w:val="21"/>
          <w:szCs w:val="21"/>
        </w:rPr>
        <w:t xml:space="preserve">, K. E., Davis, M. E., &amp; </w:t>
      </w:r>
      <w:proofErr w:type="spellStart"/>
      <w:r w:rsidRPr="003F4FF4">
        <w:rPr>
          <w:rFonts w:ascii="Calibri" w:hAnsi="Calibri" w:cs="Calibri"/>
          <w:sz w:val="21"/>
          <w:szCs w:val="21"/>
        </w:rPr>
        <w:t>Holstenkamp</w:t>
      </w:r>
      <w:proofErr w:type="spellEnd"/>
      <w:r w:rsidRPr="003F4FF4">
        <w:rPr>
          <w:rFonts w:ascii="Calibri" w:hAnsi="Calibri" w:cs="Calibri"/>
          <w:sz w:val="21"/>
          <w:szCs w:val="21"/>
        </w:rPr>
        <w:t xml:space="preserve">, L. (2018). Finance and justice in low-carbon energy transitions. </w:t>
      </w:r>
      <w:r w:rsidRPr="003F4FF4">
        <w:rPr>
          <w:rFonts w:ascii="Calibri" w:hAnsi="Calibri" w:cs="Calibri"/>
          <w:i/>
          <w:iCs/>
          <w:sz w:val="21"/>
          <w:szCs w:val="21"/>
        </w:rPr>
        <w:t>Applied energy</w:t>
      </w:r>
      <w:r w:rsidRPr="003F4FF4">
        <w:rPr>
          <w:rFonts w:ascii="Calibri" w:hAnsi="Calibri" w:cs="Calibri"/>
          <w:sz w:val="21"/>
          <w:szCs w:val="21"/>
        </w:rPr>
        <w:t xml:space="preserve">, </w:t>
      </w:r>
      <w:r w:rsidRPr="003F4FF4">
        <w:rPr>
          <w:rFonts w:ascii="Calibri" w:hAnsi="Calibri" w:cs="Calibri"/>
          <w:i/>
          <w:iCs/>
          <w:sz w:val="21"/>
          <w:szCs w:val="21"/>
        </w:rPr>
        <w:t>222</w:t>
      </w:r>
      <w:r w:rsidRPr="003F4FF4">
        <w:rPr>
          <w:rFonts w:ascii="Calibri" w:hAnsi="Calibri" w:cs="Calibri"/>
          <w:sz w:val="21"/>
          <w:szCs w:val="21"/>
        </w:rPr>
        <w:t>, 772-780.</w:t>
      </w:r>
    </w:p>
    <w:p w14:paraId="5747A204"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lastRenderedPageBreak/>
        <w:t>Hampl</w:t>
      </w:r>
      <w:proofErr w:type="spellEnd"/>
      <w:r w:rsidRPr="003F4FF4">
        <w:rPr>
          <w:rFonts w:ascii="Calibri" w:hAnsi="Calibri" w:cs="Calibri"/>
          <w:sz w:val="21"/>
          <w:szCs w:val="21"/>
        </w:rPr>
        <w:t xml:space="preserve">, N., &amp; </w:t>
      </w:r>
      <w:proofErr w:type="spellStart"/>
      <w:r w:rsidRPr="003F4FF4">
        <w:rPr>
          <w:rFonts w:ascii="Calibri" w:hAnsi="Calibri" w:cs="Calibri"/>
          <w:sz w:val="21"/>
          <w:szCs w:val="21"/>
        </w:rPr>
        <w:t>Wustenhagen</w:t>
      </w:r>
      <w:proofErr w:type="spellEnd"/>
      <w:r w:rsidRPr="003F4FF4">
        <w:rPr>
          <w:rFonts w:ascii="Calibri" w:hAnsi="Calibri" w:cs="Calibri"/>
          <w:sz w:val="21"/>
          <w:szCs w:val="21"/>
        </w:rPr>
        <w:t xml:space="preserve">, R. (2013). Management of investor acceptance in wind power megaprojects: a conceptual perspective. </w:t>
      </w:r>
      <w:r w:rsidRPr="003F4FF4">
        <w:rPr>
          <w:rFonts w:ascii="Calibri" w:hAnsi="Calibri" w:cs="Calibri"/>
          <w:i/>
          <w:iCs/>
          <w:sz w:val="21"/>
          <w:szCs w:val="21"/>
        </w:rPr>
        <w:t>Organization, technology &amp; management in construction: an international journal</w:t>
      </w:r>
      <w:r w:rsidRPr="003F4FF4">
        <w:rPr>
          <w:rFonts w:ascii="Calibri" w:hAnsi="Calibri" w:cs="Calibri"/>
          <w:sz w:val="21"/>
          <w:szCs w:val="21"/>
        </w:rPr>
        <w:t xml:space="preserve">, </w:t>
      </w:r>
      <w:proofErr w:type="gramStart"/>
      <w:r w:rsidRPr="003F4FF4">
        <w:rPr>
          <w:rFonts w:ascii="Calibri" w:hAnsi="Calibri" w:cs="Calibri"/>
          <w:i/>
          <w:iCs/>
          <w:sz w:val="21"/>
          <w:szCs w:val="21"/>
        </w:rPr>
        <w:t>4</w:t>
      </w:r>
      <w:r w:rsidRPr="003F4FF4">
        <w:rPr>
          <w:rFonts w:ascii="Calibri" w:hAnsi="Calibri" w:cs="Calibri"/>
          <w:sz w:val="21"/>
          <w:szCs w:val="21"/>
        </w:rPr>
        <w:t>(</w:t>
      </w:r>
      <w:proofErr w:type="gramEnd"/>
      <w:r w:rsidRPr="003F4FF4">
        <w:rPr>
          <w:rFonts w:ascii="Calibri" w:hAnsi="Calibri" w:cs="Calibri"/>
          <w:sz w:val="21"/>
          <w:szCs w:val="21"/>
        </w:rPr>
        <w:t>Special Issue), 0-0.</w:t>
      </w:r>
    </w:p>
    <w:p w14:paraId="721F589B"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HM Government (2005). </w:t>
      </w:r>
      <w:r w:rsidRPr="003F4FF4">
        <w:rPr>
          <w:rFonts w:ascii="Calibri" w:hAnsi="Calibri" w:cs="Calibri"/>
          <w:i/>
          <w:sz w:val="21"/>
          <w:szCs w:val="21"/>
        </w:rPr>
        <w:t>Securing the future. Delivering UK sustainable development strategy</w:t>
      </w:r>
      <w:r w:rsidRPr="003F4FF4">
        <w:rPr>
          <w:rFonts w:ascii="Calibri" w:hAnsi="Calibri" w:cs="Calibri"/>
          <w:sz w:val="21"/>
          <w:szCs w:val="21"/>
        </w:rPr>
        <w:t xml:space="preserve">. Available at: </w:t>
      </w:r>
      <w:hyperlink r:id="rId57" w:history="1">
        <w:r w:rsidRPr="003F4FF4">
          <w:rPr>
            <w:rStyle w:val="Hyperlink"/>
            <w:rFonts w:ascii="Calibri" w:hAnsi="Calibri" w:cs="Calibri"/>
            <w:sz w:val="21"/>
            <w:szCs w:val="21"/>
          </w:rPr>
          <w:t>https://www.gov.uk/government/publications/securing-the-future-delivering-uk-sustainable-development-strategy</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30.04.2019). </w:t>
      </w:r>
    </w:p>
    <w:p w14:paraId="37971464"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HM Government (2011). </w:t>
      </w:r>
      <w:r w:rsidRPr="003F4FF4">
        <w:rPr>
          <w:rFonts w:ascii="Calibri" w:hAnsi="Calibri" w:cs="Calibri"/>
          <w:i/>
          <w:sz w:val="21"/>
          <w:szCs w:val="21"/>
        </w:rPr>
        <w:t>The Carbon Plan: Delivering our low carbon future</w:t>
      </w:r>
      <w:r w:rsidRPr="003F4FF4">
        <w:rPr>
          <w:rFonts w:ascii="Calibri" w:hAnsi="Calibri" w:cs="Calibri"/>
          <w:sz w:val="21"/>
          <w:szCs w:val="21"/>
        </w:rPr>
        <w:t>. Available at: https://www.gov.uk/government/publications/the-carbon-plan-reducing-greenhouse-gas-emissions--2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04.07.2018). </w:t>
      </w:r>
    </w:p>
    <w:p w14:paraId="39F61154"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HM Government (2017). </w:t>
      </w:r>
      <w:r w:rsidRPr="003F4FF4">
        <w:rPr>
          <w:rFonts w:ascii="Calibri" w:hAnsi="Calibri" w:cs="Calibri"/>
          <w:i/>
          <w:sz w:val="21"/>
          <w:szCs w:val="21"/>
        </w:rPr>
        <w:t>The Clean Growth Strategy. Leading the way to a low carbon future</w:t>
      </w:r>
      <w:r w:rsidRPr="003F4FF4">
        <w:rPr>
          <w:rFonts w:ascii="Calibri" w:hAnsi="Calibri" w:cs="Calibri"/>
          <w:sz w:val="21"/>
          <w:szCs w:val="21"/>
        </w:rPr>
        <w:t>. Available at: https://www.gov.uk/government/ publications/clean-growth-strategy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18.03.2019). </w:t>
      </w:r>
    </w:p>
    <w:p w14:paraId="3003848E"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Hoffert</w:t>
      </w:r>
      <w:proofErr w:type="spellEnd"/>
      <w:r w:rsidRPr="003F4FF4">
        <w:rPr>
          <w:rFonts w:ascii="Calibri" w:hAnsi="Calibri" w:cs="Calibri"/>
          <w:sz w:val="21"/>
          <w:szCs w:val="21"/>
        </w:rPr>
        <w:t>, M. I. (2010). Farewell to fossil fuels</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Science</w:t>
      </w:r>
      <w:r w:rsidRPr="003F4FF4">
        <w:rPr>
          <w:rFonts w:ascii="Calibri" w:hAnsi="Calibri" w:cs="Calibri"/>
          <w:sz w:val="21"/>
          <w:szCs w:val="21"/>
        </w:rPr>
        <w:t xml:space="preserve">, </w:t>
      </w:r>
      <w:r w:rsidRPr="003F4FF4">
        <w:rPr>
          <w:rFonts w:ascii="Calibri" w:hAnsi="Calibri" w:cs="Calibri"/>
          <w:i/>
          <w:iCs/>
          <w:sz w:val="21"/>
          <w:szCs w:val="21"/>
        </w:rPr>
        <w:t>329</w:t>
      </w:r>
      <w:r w:rsidRPr="003F4FF4">
        <w:rPr>
          <w:rFonts w:ascii="Calibri" w:hAnsi="Calibri" w:cs="Calibri"/>
          <w:sz w:val="21"/>
          <w:szCs w:val="21"/>
        </w:rPr>
        <w:t>(5997), 1292-1294.</w:t>
      </w:r>
    </w:p>
    <w:p w14:paraId="1201088A"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Holburn</w:t>
      </w:r>
      <w:proofErr w:type="spellEnd"/>
      <w:r w:rsidRPr="003F4FF4">
        <w:rPr>
          <w:rFonts w:ascii="Calibri" w:hAnsi="Calibri" w:cs="Calibri"/>
          <w:sz w:val="21"/>
          <w:szCs w:val="21"/>
        </w:rPr>
        <w:t xml:space="preserve">, G., </w:t>
      </w:r>
      <w:proofErr w:type="spellStart"/>
      <w:r w:rsidRPr="003F4FF4">
        <w:rPr>
          <w:rFonts w:ascii="Calibri" w:hAnsi="Calibri" w:cs="Calibri"/>
          <w:sz w:val="21"/>
          <w:szCs w:val="21"/>
        </w:rPr>
        <w:t>Lui</w:t>
      </w:r>
      <w:proofErr w:type="spellEnd"/>
      <w:r w:rsidRPr="003F4FF4">
        <w:rPr>
          <w:rFonts w:ascii="Calibri" w:hAnsi="Calibri" w:cs="Calibri"/>
          <w:sz w:val="21"/>
          <w:szCs w:val="21"/>
        </w:rPr>
        <w:t xml:space="preserve">, K., &amp; </w:t>
      </w:r>
      <w:proofErr w:type="spellStart"/>
      <w:r w:rsidRPr="003F4FF4">
        <w:rPr>
          <w:rFonts w:ascii="Calibri" w:hAnsi="Calibri" w:cs="Calibri"/>
          <w:sz w:val="21"/>
          <w:szCs w:val="21"/>
        </w:rPr>
        <w:t>Morand</w:t>
      </w:r>
      <w:proofErr w:type="spellEnd"/>
      <w:r w:rsidRPr="003F4FF4">
        <w:rPr>
          <w:rFonts w:ascii="Calibri" w:hAnsi="Calibri" w:cs="Calibri"/>
          <w:sz w:val="21"/>
          <w:szCs w:val="21"/>
        </w:rPr>
        <w:t xml:space="preserve">, C. (2010). Policy risk and private investment in Ontario's wind power sector. </w:t>
      </w:r>
      <w:r w:rsidRPr="003F4FF4">
        <w:rPr>
          <w:rFonts w:ascii="Calibri" w:hAnsi="Calibri" w:cs="Calibri"/>
          <w:i/>
          <w:iCs/>
          <w:sz w:val="21"/>
          <w:szCs w:val="21"/>
        </w:rPr>
        <w:t>Canadian Public Policy</w:t>
      </w:r>
      <w:r w:rsidRPr="003F4FF4">
        <w:rPr>
          <w:rFonts w:ascii="Calibri" w:hAnsi="Calibri" w:cs="Calibri"/>
          <w:sz w:val="21"/>
          <w:szCs w:val="21"/>
        </w:rPr>
        <w:t xml:space="preserve">, </w:t>
      </w:r>
      <w:r w:rsidRPr="003F4FF4">
        <w:rPr>
          <w:rFonts w:ascii="Calibri" w:hAnsi="Calibri" w:cs="Calibri"/>
          <w:i/>
          <w:iCs/>
          <w:sz w:val="21"/>
          <w:szCs w:val="21"/>
        </w:rPr>
        <w:t>36</w:t>
      </w:r>
      <w:r w:rsidRPr="003F4FF4">
        <w:rPr>
          <w:rFonts w:ascii="Calibri" w:hAnsi="Calibri" w:cs="Calibri"/>
          <w:sz w:val="21"/>
          <w:szCs w:val="21"/>
        </w:rPr>
        <w:t xml:space="preserve">(4), 465-486. </w:t>
      </w:r>
    </w:p>
    <w:p w14:paraId="4CB15E83"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Holtz, G., </w:t>
      </w:r>
      <w:proofErr w:type="spellStart"/>
      <w:r w:rsidRPr="003F4FF4">
        <w:rPr>
          <w:rFonts w:ascii="Calibri" w:hAnsi="Calibri" w:cs="Calibri"/>
          <w:sz w:val="21"/>
          <w:szCs w:val="21"/>
        </w:rPr>
        <w:t>Alkemade</w:t>
      </w:r>
      <w:proofErr w:type="spellEnd"/>
      <w:r w:rsidRPr="003F4FF4">
        <w:rPr>
          <w:rFonts w:ascii="Calibri" w:hAnsi="Calibri" w:cs="Calibri"/>
          <w:sz w:val="21"/>
          <w:szCs w:val="21"/>
        </w:rPr>
        <w:t xml:space="preserve">, F., De </w:t>
      </w:r>
      <w:proofErr w:type="spellStart"/>
      <w:r w:rsidRPr="003F4FF4">
        <w:rPr>
          <w:rFonts w:ascii="Calibri" w:hAnsi="Calibri" w:cs="Calibri"/>
          <w:sz w:val="21"/>
          <w:szCs w:val="21"/>
        </w:rPr>
        <w:t>Haan</w:t>
      </w:r>
      <w:proofErr w:type="spellEnd"/>
      <w:r w:rsidRPr="003F4FF4">
        <w:rPr>
          <w:rFonts w:ascii="Calibri" w:hAnsi="Calibri" w:cs="Calibri"/>
          <w:sz w:val="21"/>
          <w:szCs w:val="21"/>
        </w:rPr>
        <w:t xml:space="preserve">, F., </w:t>
      </w:r>
      <w:proofErr w:type="spellStart"/>
      <w:r w:rsidRPr="003F4FF4">
        <w:rPr>
          <w:rFonts w:ascii="Calibri" w:hAnsi="Calibri" w:cs="Calibri"/>
          <w:sz w:val="21"/>
          <w:szCs w:val="21"/>
        </w:rPr>
        <w:t>Köhler</w:t>
      </w:r>
      <w:proofErr w:type="spellEnd"/>
      <w:r w:rsidRPr="003F4FF4">
        <w:rPr>
          <w:rFonts w:ascii="Calibri" w:hAnsi="Calibri" w:cs="Calibri"/>
          <w:sz w:val="21"/>
          <w:szCs w:val="21"/>
        </w:rPr>
        <w:t xml:space="preserve">, J., </w:t>
      </w:r>
      <w:proofErr w:type="spellStart"/>
      <w:r w:rsidRPr="003F4FF4">
        <w:rPr>
          <w:rFonts w:ascii="Calibri" w:hAnsi="Calibri" w:cs="Calibri"/>
          <w:sz w:val="21"/>
          <w:szCs w:val="21"/>
        </w:rPr>
        <w:t>Trutnevyte</w:t>
      </w:r>
      <w:proofErr w:type="spellEnd"/>
      <w:r w:rsidRPr="003F4FF4">
        <w:rPr>
          <w:rFonts w:ascii="Calibri" w:hAnsi="Calibri" w:cs="Calibri"/>
          <w:sz w:val="21"/>
          <w:szCs w:val="21"/>
        </w:rPr>
        <w:t xml:space="preserve">, E., </w:t>
      </w:r>
      <w:proofErr w:type="spellStart"/>
      <w:r w:rsidRPr="003F4FF4">
        <w:rPr>
          <w:rFonts w:ascii="Calibri" w:hAnsi="Calibri" w:cs="Calibri"/>
          <w:sz w:val="21"/>
          <w:szCs w:val="21"/>
        </w:rPr>
        <w:t>Luthe</w:t>
      </w:r>
      <w:proofErr w:type="spellEnd"/>
      <w:r w:rsidRPr="003F4FF4">
        <w:rPr>
          <w:rFonts w:ascii="Calibri" w:hAnsi="Calibri" w:cs="Calibri"/>
          <w:sz w:val="21"/>
          <w:szCs w:val="21"/>
        </w:rPr>
        <w:t xml:space="preserve">, T., </w:t>
      </w:r>
      <w:proofErr w:type="spellStart"/>
      <w:r w:rsidRPr="003F4FF4">
        <w:rPr>
          <w:rFonts w:ascii="Calibri" w:hAnsi="Calibri" w:cs="Calibri"/>
          <w:sz w:val="21"/>
          <w:szCs w:val="21"/>
        </w:rPr>
        <w:t>Halbe</w:t>
      </w:r>
      <w:proofErr w:type="spellEnd"/>
      <w:r w:rsidRPr="003F4FF4">
        <w:rPr>
          <w:rFonts w:ascii="Calibri" w:hAnsi="Calibri" w:cs="Calibri"/>
          <w:sz w:val="21"/>
          <w:szCs w:val="21"/>
        </w:rPr>
        <w:t xml:space="preserve">, J., </w:t>
      </w:r>
      <w:proofErr w:type="spellStart"/>
      <w:r w:rsidRPr="003F4FF4">
        <w:rPr>
          <w:rFonts w:ascii="Calibri" w:hAnsi="Calibri" w:cs="Calibri"/>
          <w:sz w:val="21"/>
          <w:szCs w:val="21"/>
        </w:rPr>
        <w:t>Papachristos</w:t>
      </w:r>
      <w:proofErr w:type="spellEnd"/>
      <w:r w:rsidRPr="003F4FF4">
        <w:rPr>
          <w:rFonts w:ascii="Calibri" w:hAnsi="Calibri" w:cs="Calibri"/>
          <w:sz w:val="21"/>
          <w:szCs w:val="21"/>
        </w:rPr>
        <w:t xml:space="preserve">, G., </w:t>
      </w:r>
      <w:proofErr w:type="spellStart"/>
      <w:r w:rsidRPr="003F4FF4">
        <w:rPr>
          <w:rFonts w:ascii="Calibri" w:hAnsi="Calibri" w:cs="Calibri"/>
          <w:sz w:val="21"/>
          <w:szCs w:val="21"/>
        </w:rPr>
        <w:t>Chappin</w:t>
      </w:r>
      <w:proofErr w:type="spellEnd"/>
      <w:r w:rsidRPr="003F4FF4">
        <w:rPr>
          <w:rFonts w:ascii="Calibri" w:hAnsi="Calibri" w:cs="Calibri"/>
          <w:sz w:val="21"/>
          <w:szCs w:val="21"/>
        </w:rPr>
        <w:t xml:space="preserve">, E., </w:t>
      </w:r>
      <w:proofErr w:type="spellStart"/>
      <w:r w:rsidRPr="003F4FF4">
        <w:rPr>
          <w:rFonts w:ascii="Calibri" w:hAnsi="Calibri" w:cs="Calibri"/>
          <w:sz w:val="21"/>
          <w:szCs w:val="21"/>
        </w:rPr>
        <w:t>Kwakkel</w:t>
      </w:r>
      <w:proofErr w:type="spellEnd"/>
      <w:r w:rsidRPr="003F4FF4">
        <w:rPr>
          <w:rFonts w:ascii="Calibri" w:hAnsi="Calibri" w:cs="Calibri"/>
          <w:sz w:val="21"/>
          <w:szCs w:val="21"/>
        </w:rPr>
        <w:t xml:space="preserve">, J. and </w:t>
      </w:r>
      <w:proofErr w:type="spellStart"/>
      <w:r w:rsidRPr="003F4FF4">
        <w:rPr>
          <w:rFonts w:ascii="Calibri" w:hAnsi="Calibri" w:cs="Calibri"/>
          <w:sz w:val="21"/>
          <w:szCs w:val="21"/>
        </w:rPr>
        <w:t>Ruutu</w:t>
      </w:r>
      <w:proofErr w:type="spellEnd"/>
      <w:r w:rsidRPr="003F4FF4">
        <w:rPr>
          <w:rFonts w:ascii="Calibri" w:hAnsi="Calibri" w:cs="Calibri"/>
          <w:sz w:val="21"/>
          <w:szCs w:val="21"/>
        </w:rPr>
        <w:t xml:space="preserve">, S. (2015). Prospects of modelling societal transitions: Position paper of an emerging community. </w:t>
      </w:r>
      <w:r w:rsidRPr="003F4FF4">
        <w:rPr>
          <w:rFonts w:ascii="Calibri" w:hAnsi="Calibri" w:cs="Calibri"/>
          <w:i/>
          <w:iCs/>
          <w:sz w:val="21"/>
          <w:szCs w:val="21"/>
        </w:rPr>
        <w:t>Environmental Innovation and Societal Transitions</w:t>
      </w:r>
      <w:r w:rsidRPr="003F4FF4">
        <w:rPr>
          <w:rFonts w:ascii="Calibri" w:hAnsi="Calibri" w:cs="Calibri"/>
          <w:sz w:val="21"/>
          <w:szCs w:val="21"/>
        </w:rPr>
        <w:t xml:space="preserve">, </w:t>
      </w:r>
      <w:r w:rsidRPr="003F4FF4">
        <w:rPr>
          <w:rFonts w:ascii="Calibri" w:hAnsi="Calibri" w:cs="Calibri"/>
          <w:i/>
          <w:iCs/>
          <w:sz w:val="21"/>
          <w:szCs w:val="21"/>
        </w:rPr>
        <w:t>17</w:t>
      </w:r>
      <w:r w:rsidRPr="003F4FF4">
        <w:rPr>
          <w:rFonts w:ascii="Calibri" w:hAnsi="Calibri" w:cs="Calibri"/>
          <w:sz w:val="21"/>
          <w:szCs w:val="21"/>
        </w:rPr>
        <w:t>, 41-58.</w:t>
      </w:r>
    </w:p>
    <w:p w14:paraId="4B83B343" w14:textId="77777777" w:rsidR="00431638" w:rsidRPr="003F4FF4" w:rsidRDefault="00431638" w:rsidP="00D7335E">
      <w:pPr>
        <w:pStyle w:val="CommentText"/>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House of Commons &amp; Energy and Climate Change Committee (2016). </w:t>
      </w:r>
      <w:r w:rsidRPr="003F4FF4">
        <w:rPr>
          <w:rFonts w:ascii="Calibri" w:hAnsi="Calibri" w:cs="Calibri"/>
          <w:i/>
          <w:sz w:val="21"/>
          <w:szCs w:val="21"/>
        </w:rPr>
        <w:t>Investor confidence in the UK energy sector</w:t>
      </w:r>
      <w:r w:rsidRPr="003F4FF4">
        <w:rPr>
          <w:rFonts w:ascii="Calibri" w:hAnsi="Calibri" w:cs="Calibri"/>
          <w:sz w:val="21"/>
          <w:szCs w:val="21"/>
        </w:rPr>
        <w:t xml:space="preserve">. Third Report of Session 2015 – 16. Available at: </w:t>
      </w:r>
      <w:hyperlink r:id="rId58" w:history="1">
        <w:r w:rsidRPr="003F4FF4">
          <w:rPr>
            <w:rStyle w:val="Hyperlink"/>
            <w:rFonts w:ascii="Calibri" w:hAnsi="Calibri" w:cs="Calibri"/>
            <w:sz w:val="21"/>
            <w:szCs w:val="21"/>
          </w:rPr>
          <w:t>https://publications.parliament.uk/pa/cm201516/cmselect/cmenergy/542/542.pdf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15.04.2019)</w:t>
      </w:r>
    </w:p>
    <w:p w14:paraId="1680EBDB"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Hu, J., </w:t>
      </w:r>
      <w:proofErr w:type="spellStart"/>
      <w:r w:rsidRPr="003F4FF4">
        <w:rPr>
          <w:rFonts w:ascii="Calibri" w:hAnsi="Calibri" w:cs="Calibri"/>
          <w:sz w:val="21"/>
          <w:szCs w:val="21"/>
        </w:rPr>
        <w:t>Harmsen</w:t>
      </w:r>
      <w:proofErr w:type="spellEnd"/>
      <w:r w:rsidRPr="003F4FF4">
        <w:rPr>
          <w:rFonts w:ascii="Calibri" w:hAnsi="Calibri" w:cs="Calibri"/>
          <w:sz w:val="21"/>
          <w:szCs w:val="21"/>
        </w:rPr>
        <w:t xml:space="preserve">, R., </w:t>
      </w:r>
      <w:proofErr w:type="spellStart"/>
      <w:r w:rsidRPr="003F4FF4">
        <w:rPr>
          <w:rFonts w:ascii="Calibri" w:hAnsi="Calibri" w:cs="Calibri"/>
          <w:sz w:val="21"/>
          <w:szCs w:val="21"/>
        </w:rPr>
        <w:t>Crijns-Graus</w:t>
      </w:r>
      <w:proofErr w:type="spellEnd"/>
      <w:r w:rsidRPr="003F4FF4">
        <w:rPr>
          <w:rFonts w:ascii="Calibri" w:hAnsi="Calibri" w:cs="Calibri"/>
          <w:sz w:val="21"/>
          <w:szCs w:val="21"/>
        </w:rPr>
        <w:t xml:space="preserve">, W., &amp; Worrell, E. (2018). Barriers to investment in utility-scale variable renewable electricity (VRE) generation projects. </w:t>
      </w:r>
      <w:r w:rsidRPr="003F4FF4">
        <w:rPr>
          <w:rFonts w:ascii="Calibri" w:hAnsi="Calibri" w:cs="Calibri"/>
          <w:i/>
          <w:iCs/>
          <w:sz w:val="21"/>
          <w:szCs w:val="21"/>
        </w:rPr>
        <w:t>Renewable Energy</w:t>
      </w:r>
      <w:r w:rsidRPr="003F4FF4">
        <w:rPr>
          <w:rFonts w:ascii="Calibri" w:hAnsi="Calibri" w:cs="Calibri"/>
          <w:sz w:val="21"/>
          <w:szCs w:val="21"/>
        </w:rPr>
        <w:t xml:space="preserve">, </w:t>
      </w:r>
      <w:r w:rsidRPr="003F4FF4">
        <w:rPr>
          <w:rFonts w:ascii="Calibri" w:hAnsi="Calibri" w:cs="Calibri"/>
          <w:i/>
          <w:iCs/>
          <w:sz w:val="21"/>
          <w:szCs w:val="21"/>
        </w:rPr>
        <w:t>121</w:t>
      </w:r>
      <w:r w:rsidRPr="003F4FF4">
        <w:rPr>
          <w:rFonts w:ascii="Calibri" w:hAnsi="Calibri" w:cs="Calibri"/>
          <w:sz w:val="21"/>
          <w:szCs w:val="21"/>
        </w:rPr>
        <w:t>, 730-744.</w:t>
      </w:r>
    </w:p>
    <w:p w14:paraId="6AE4F437"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IFC (2013). Mobilizing Public and Private Funds for Inclusive Green Growth Investment in Developing Countries. Available at: </w:t>
      </w:r>
      <w:hyperlink r:id="rId59">
        <w:r w:rsidRPr="003F4FF4">
          <w:rPr>
            <w:rStyle w:val="Hyperlink"/>
            <w:rFonts w:ascii="Calibri" w:eastAsia="Calibri" w:hAnsi="Calibri" w:cs="Calibri"/>
            <w:sz w:val="21"/>
            <w:szCs w:val="21"/>
          </w:rPr>
          <w:t>https://openknowledge.worldbank.org/handle/10986/26450</w:t>
        </w:r>
      </w:hyperlink>
      <w:r w:rsidRPr="003F4FF4">
        <w:rPr>
          <w:rFonts w:ascii="Calibri" w:eastAsia="Calibri" w:hAnsi="Calibri" w:cs="Calibri"/>
          <w:sz w:val="21"/>
          <w:szCs w:val="21"/>
        </w:rPr>
        <w:t xml:space="preserve"> (Accessed 14.05.2019).</w:t>
      </w:r>
    </w:p>
    <w:p w14:paraId="6C79E301" w14:textId="77777777" w:rsidR="00431638" w:rsidRPr="003F4FF4" w:rsidRDefault="00431638" w:rsidP="00D7335E">
      <w:pPr>
        <w:pStyle w:val="MDPI71References"/>
        <w:numPr>
          <w:ilvl w:val="0"/>
          <w:numId w:val="0"/>
        </w:numPr>
        <w:suppressLineNumbers/>
        <w:spacing w:after="160" w:line="276" w:lineRule="auto"/>
        <w:ind w:left="720" w:hanging="720"/>
        <w:rPr>
          <w:rFonts w:ascii="Calibri" w:hAnsi="Calibri" w:cs="Calibri"/>
          <w:color w:val="auto"/>
          <w:sz w:val="21"/>
          <w:szCs w:val="21"/>
        </w:rPr>
      </w:pPr>
      <w:r w:rsidRPr="003F4FF4">
        <w:rPr>
          <w:rFonts w:ascii="Calibri" w:hAnsi="Calibri" w:cs="Calibri"/>
          <w:color w:val="auto"/>
          <w:sz w:val="21"/>
          <w:szCs w:val="21"/>
        </w:rPr>
        <w:t xml:space="preserve">IIGCC, INCR, IGCC &amp; UNEP-FI (2011). Investment-grade climate change policy: financing the transition to the low-carbon economy. Available at: </w:t>
      </w:r>
      <w:hyperlink r:id="rId60" w:history="1">
        <w:r w:rsidRPr="003F4FF4">
          <w:rPr>
            <w:rStyle w:val="Hyperlink"/>
            <w:rFonts w:ascii="Calibri" w:hAnsi="Calibri" w:cs="Calibri"/>
            <w:color w:val="auto"/>
            <w:sz w:val="21"/>
            <w:szCs w:val="21"/>
          </w:rPr>
          <w:t>http://www.iigcc.org/publications/publication/proin-scelerisque-suscipit-rhoncus</w:t>
        </w:r>
      </w:hyperlink>
      <w:r w:rsidRPr="003F4FF4">
        <w:rPr>
          <w:rFonts w:ascii="Calibri" w:hAnsi="Calibri" w:cs="Calibri"/>
          <w:color w:val="auto"/>
          <w:sz w:val="21"/>
          <w:szCs w:val="21"/>
        </w:rPr>
        <w:t xml:space="preserve"> (</w:t>
      </w:r>
      <w:r w:rsidRPr="003F4FF4">
        <w:rPr>
          <w:rFonts w:ascii="Calibri" w:eastAsia="Calibri" w:hAnsi="Calibri" w:cs="Calibri"/>
          <w:color w:val="auto"/>
          <w:sz w:val="21"/>
          <w:szCs w:val="21"/>
        </w:rPr>
        <w:t xml:space="preserve">Accessed </w:t>
      </w:r>
      <w:r w:rsidRPr="003F4FF4">
        <w:rPr>
          <w:rFonts w:ascii="Calibri" w:hAnsi="Calibri" w:cs="Calibri"/>
          <w:color w:val="auto"/>
          <w:sz w:val="21"/>
          <w:szCs w:val="21"/>
        </w:rPr>
        <w:t>10.05.2019).</w:t>
      </w:r>
    </w:p>
    <w:p w14:paraId="1B06957A"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Institutional Investors Group on Climate Change (2015) Achieving the Investment Plan for Europe's £315 billion ambition: 12 fixes. Available at: </w:t>
      </w:r>
      <w:hyperlink r:id="rId61">
        <w:r w:rsidRPr="003F4FF4">
          <w:rPr>
            <w:rStyle w:val="Hyperlink"/>
            <w:rFonts w:ascii="Calibri" w:eastAsia="Calibri" w:hAnsi="Calibri" w:cs="Calibri"/>
            <w:sz w:val="21"/>
            <w:szCs w:val="21"/>
          </w:rPr>
          <w:t>http://www.iigcc.org/files/publication-files/Achieving_EUs_%E2%82%AC315bn_ambition.PDF</w:t>
        </w:r>
      </w:hyperlink>
      <w:r w:rsidRPr="003F4FF4">
        <w:rPr>
          <w:rFonts w:ascii="Calibri" w:eastAsia="Calibri" w:hAnsi="Calibri" w:cs="Calibri"/>
          <w:sz w:val="21"/>
          <w:szCs w:val="21"/>
        </w:rPr>
        <w:t xml:space="preserve"> (Accessed 20.05.2019).</w:t>
      </w:r>
    </w:p>
    <w:p w14:paraId="66A12363"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International Centre for Trade and Sustainable Development (2015). Breaking down the barriers to clean energy trade and investment. Available at: </w:t>
      </w:r>
      <w:hyperlink r:id="rId62">
        <w:r w:rsidRPr="003F4FF4">
          <w:rPr>
            <w:rStyle w:val="Hyperlink"/>
            <w:rFonts w:ascii="Calibri" w:eastAsia="Calibri" w:hAnsi="Calibri" w:cs="Calibri"/>
            <w:sz w:val="21"/>
            <w:szCs w:val="21"/>
          </w:rPr>
          <w:t>https://www.ictsd.org/bridges-news/biores/news/breaking-down-the-barriers-to-clean-energy-trade-and-investment</w:t>
        </w:r>
      </w:hyperlink>
      <w:r w:rsidRPr="003F4FF4">
        <w:rPr>
          <w:rFonts w:ascii="Calibri" w:eastAsia="Calibri" w:hAnsi="Calibri" w:cs="Calibri"/>
          <w:sz w:val="21"/>
          <w:szCs w:val="21"/>
        </w:rPr>
        <w:t xml:space="preserve"> (Accessed 14.05.2019).</w:t>
      </w:r>
    </w:p>
    <w:p w14:paraId="4ED78466" w14:textId="77777777" w:rsidR="00431638" w:rsidRPr="003F4FF4" w:rsidRDefault="00431638" w:rsidP="00D7335E">
      <w:pPr>
        <w:suppressLineNumbers/>
        <w:ind w:left="720" w:hanging="720"/>
        <w:rPr>
          <w:rFonts w:ascii="Calibri" w:hAnsi="Calibri" w:cs="Calibri"/>
          <w:sz w:val="21"/>
          <w:szCs w:val="21"/>
        </w:rPr>
      </w:pPr>
      <w:r w:rsidRPr="003F4FF4">
        <w:rPr>
          <w:rFonts w:ascii="Calibri" w:eastAsia="Calibri" w:hAnsi="Calibri" w:cs="Calibri"/>
          <w:sz w:val="21"/>
          <w:szCs w:val="21"/>
        </w:rPr>
        <w:t xml:space="preserve">International Energy Agency (2007) Climate Policy Uncertainty and Investment Risk. Available at: </w:t>
      </w:r>
      <w:hyperlink r:id="rId63">
        <w:r w:rsidRPr="003F4FF4">
          <w:rPr>
            <w:rStyle w:val="Hyperlink"/>
            <w:rFonts w:ascii="Calibri" w:eastAsia="Calibri" w:hAnsi="Calibri" w:cs="Calibri"/>
            <w:sz w:val="21"/>
            <w:szCs w:val="21"/>
          </w:rPr>
          <w:t>https://www.iea.org/publications/freepublications/publication/Climate_Policy_Uncertainty.pdf</w:t>
        </w:r>
      </w:hyperlink>
      <w:r w:rsidRPr="003F4FF4">
        <w:rPr>
          <w:rFonts w:ascii="Calibri" w:eastAsia="Calibri" w:hAnsi="Calibri" w:cs="Calibri"/>
          <w:sz w:val="21"/>
          <w:szCs w:val="21"/>
        </w:rPr>
        <w:t xml:space="preserve"> (Accessed 06.05.2019).</w:t>
      </w:r>
    </w:p>
    <w:p w14:paraId="3CFF2B6D"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lastRenderedPageBreak/>
        <w:t xml:space="preserve">International Monetary Fund (IMF) (2015). </w:t>
      </w:r>
      <w:r w:rsidRPr="003F4FF4">
        <w:rPr>
          <w:rFonts w:ascii="Calibri" w:hAnsi="Calibri" w:cs="Calibri"/>
          <w:i/>
          <w:sz w:val="21"/>
          <w:szCs w:val="21"/>
        </w:rPr>
        <w:t>How Large Are Global Energy Subsidies?</w:t>
      </w:r>
      <w:r w:rsidRPr="003F4FF4">
        <w:rPr>
          <w:rFonts w:ascii="Calibri" w:hAnsi="Calibri" w:cs="Calibri"/>
          <w:sz w:val="21"/>
          <w:szCs w:val="21"/>
        </w:rPr>
        <w:t xml:space="preserve"> Available at: </w:t>
      </w:r>
      <w:hyperlink r:id="rId64" w:history="1">
        <w:r w:rsidRPr="003F4FF4">
          <w:rPr>
            <w:rStyle w:val="Hyperlink"/>
            <w:rFonts w:ascii="Calibri" w:hAnsi="Calibri" w:cs="Calibri"/>
            <w:sz w:val="21"/>
            <w:szCs w:val="21"/>
          </w:rPr>
          <w:t>https://www.imf.org/external/pubs/ft/wp/2015/wp15105.pdf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15.04.2019)</w:t>
      </w:r>
    </w:p>
    <w:p w14:paraId="2431BD6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eastAsia="Times New Roman" w:hAnsi="Calibri" w:cs="Calibri"/>
          <w:sz w:val="21"/>
          <w:szCs w:val="21"/>
        </w:rPr>
      </w:pPr>
      <w:r w:rsidRPr="003F4FF4">
        <w:rPr>
          <w:rFonts w:ascii="Calibri" w:hAnsi="Calibri" w:cs="Calibri"/>
          <w:sz w:val="21"/>
          <w:szCs w:val="21"/>
        </w:rPr>
        <w:t xml:space="preserve">Irena (2016). </w:t>
      </w:r>
      <w:r w:rsidRPr="003F4FF4">
        <w:rPr>
          <w:rFonts w:ascii="Calibri" w:hAnsi="Calibri" w:cs="Calibri"/>
          <w:i/>
          <w:sz w:val="21"/>
          <w:szCs w:val="21"/>
        </w:rPr>
        <w:t>Unlocking Renewable Energy investment: The Role of Risk Mitigation and structured Finance</w:t>
      </w:r>
      <w:r w:rsidRPr="003F4FF4">
        <w:rPr>
          <w:rFonts w:ascii="Calibri" w:hAnsi="Calibri" w:cs="Calibri"/>
          <w:sz w:val="21"/>
          <w:szCs w:val="21"/>
        </w:rPr>
        <w:t xml:space="preserve">. Available at: </w:t>
      </w:r>
      <w:hyperlink r:id="rId65" w:history="1">
        <w:r w:rsidRPr="003F4FF4">
          <w:rPr>
            <w:rFonts w:ascii="Calibri" w:hAnsi="Calibri" w:cs="Calibri"/>
            <w:sz w:val="21"/>
            <w:szCs w:val="21"/>
          </w:rPr>
          <w:t>https://www.irena.org/DocumentDownloads/Publications/IRENA_Risk_Mitigation_and_Structured_Finance_2016.pdf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03.03.2019) </w:t>
      </w:r>
    </w:p>
    <w:p w14:paraId="233CEDB8"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Ivanova</w:t>
      </w:r>
      <w:proofErr w:type="spellEnd"/>
      <w:r w:rsidRPr="003F4FF4">
        <w:rPr>
          <w:rFonts w:ascii="Calibri" w:hAnsi="Calibri" w:cs="Calibri"/>
          <w:sz w:val="21"/>
          <w:szCs w:val="21"/>
        </w:rPr>
        <w:t xml:space="preserve">, A., </w:t>
      </w:r>
      <w:proofErr w:type="spellStart"/>
      <w:r w:rsidRPr="003F4FF4">
        <w:rPr>
          <w:rFonts w:ascii="Calibri" w:hAnsi="Calibri" w:cs="Calibri"/>
          <w:sz w:val="21"/>
          <w:szCs w:val="21"/>
        </w:rPr>
        <w:t>Gamez</w:t>
      </w:r>
      <w:proofErr w:type="spellEnd"/>
      <w:r w:rsidRPr="003F4FF4">
        <w:rPr>
          <w:rFonts w:ascii="Calibri" w:hAnsi="Calibri" w:cs="Calibri"/>
          <w:sz w:val="21"/>
          <w:szCs w:val="21"/>
        </w:rPr>
        <w:t xml:space="preserve">, A., &amp; Angeles, M. (2011). Financing sources and policies for renewable energies. </w:t>
      </w:r>
      <w:r w:rsidRPr="003F4FF4">
        <w:rPr>
          <w:rFonts w:ascii="Calibri" w:hAnsi="Calibri" w:cs="Calibri"/>
          <w:i/>
          <w:iCs/>
          <w:sz w:val="21"/>
          <w:szCs w:val="21"/>
        </w:rPr>
        <w:t>WIT Transactions on Ecology and the Environment</w:t>
      </w:r>
      <w:r w:rsidRPr="003F4FF4">
        <w:rPr>
          <w:rFonts w:ascii="Calibri" w:hAnsi="Calibri" w:cs="Calibri"/>
          <w:sz w:val="21"/>
          <w:szCs w:val="21"/>
        </w:rPr>
        <w:t xml:space="preserve">, </w:t>
      </w:r>
      <w:r w:rsidRPr="003F4FF4">
        <w:rPr>
          <w:rFonts w:ascii="Calibri" w:hAnsi="Calibri" w:cs="Calibri"/>
          <w:i/>
          <w:iCs/>
          <w:sz w:val="21"/>
          <w:szCs w:val="21"/>
        </w:rPr>
        <w:t>150</w:t>
      </w:r>
      <w:r w:rsidRPr="003F4FF4">
        <w:rPr>
          <w:rFonts w:ascii="Calibri" w:hAnsi="Calibri" w:cs="Calibri"/>
          <w:sz w:val="21"/>
          <w:szCs w:val="21"/>
        </w:rPr>
        <w:t>, 847-857.</w:t>
      </w:r>
    </w:p>
    <w:p w14:paraId="73786DA1"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Jacobsson</w:t>
      </w:r>
      <w:proofErr w:type="spellEnd"/>
      <w:r w:rsidRPr="003F4FF4">
        <w:rPr>
          <w:rFonts w:ascii="Calibri" w:hAnsi="Calibri" w:cs="Calibri"/>
          <w:sz w:val="21"/>
          <w:szCs w:val="21"/>
        </w:rPr>
        <w:t xml:space="preserve">, R., &amp; </w:t>
      </w:r>
      <w:proofErr w:type="spellStart"/>
      <w:r w:rsidRPr="003F4FF4">
        <w:rPr>
          <w:rFonts w:ascii="Calibri" w:hAnsi="Calibri" w:cs="Calibri"/>
          <w:sz w:val="21"/>
          <w:szCs w:val="21"/>
        </w:rPr>
        <w:t>Jacobsson</w:t>
      </w:r>
      <w:proofErr w:type="spellEnd"/>
      <w:r w:rsidRPr="003F4FF4">
        <w:rPr>
          <w:rFonts w:ascii="Calibri" w:hAnsi="Calibri" w:cs="Calibri"/>
          <w:sz w:val="21"/>
          <w:szCs w:val="21"/>
        </w:rPr>
        <w:t>, S. (2012). The emerging funding gap for the European Energy Sector—Will the financial sector deliver</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Environmental Innovation and Societal Transitions</w:t>
      </w:r>
      <w:r w:rsidRPr="003F4FF4">
        <w:rPr>
          <w:rFonts w:ascii="Calibri" w:hAnsi="Calibri" w:cs="Calibri"/>
          <w:sz w:val="21"/>
          <w:szCs w:val="21"/>
        </w:rPr>
        <w:t xml:space="preserve">, </w:t>
      </w:r>
      <w:r w:rsidRPr="003F4FF4">
        <w:rPr>
          <w:rFonts w:ascii="Calibri" w:hAnsi="Calibri" w:cs="Calibri"/>
          <w:i/>
          <w:iCs/>
          <w:sz w:val="21"/>
          <w:szCs w:val="21"/>
        </w:rPr>
        <w:t>5</w:t>
      </w:r>
      <w:r w:rsidRPr="003F4FF4">
        <w:rPr>
          <w:rFonts w:ascii="Calibri" w:hAnsi="Calibri" w:cs="Calibri"/>
          <w:sz w:val="21"/>
          <w:szCs w:val="21"/>
        </w:rPr>
        <w:t>, 49-59.</w:t>
      </w:r>
    </w:p>
    <w:p w14:paraId="6E12A5C2"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Jami, A. A., &amp; Walsh, P. R. (2014). The role of public participation in identifying stakeholder synergies in </w:t>
      </w:r>
      <w:proofErr w:type="gramStart"/>
      <w:r w:rsidRPr="003F4FF4">
        <w:rPr>
          <w:rFonts w:ascii="Calibri" w:hAnsi="Calibri" w:cs="Calibri"/>
          <w:sz w:val="21"/>
          <w:szCs w:val="21"/>
        </w:rPr>
        <w:t>wind power project development</w:t>
      </w:r>
      <w:proofErr w:type="gramEnd"/>
      <w:r w:rsidRPr="003F4FF4">
        <w:rPr>
          <w:rFonts w:ascii="Calibri" w:hAnsi="Calibri" w:cs="Calibri"/>
          <w:sz w:val="21"/>
          <w:szCs w:val="21"/>
        </w:rPr>
        <w:t xml:space="preserve">: The case study of Ontario, Canada. </w:t>
      </w:r>
      <w:r w:rsidRPr="003F4FF4">
        <w:rPr>
          <w:rFonts w:ascii="Calibri" w:hAnsi="Calibri" w:cs="Calibri"/>
          <w:i/>
          <w:iCs/>
          <w:sz w:val="21"/>
          <w:szCs w:val="21"/>
        </w:rPr>
        <w:t>Renewable Energy</w:t>
      </w:r>
      <w:r w:rsidRPr="003F4FF4">
        <w:rPr>
          <w:rFonts w:ascii="Calibri" w:hAnsi="Calibri" w:cs="Calibri"/>
          <w:sz w:val="21"/>
          <w:szCs w:val="21"/>
        </w:rPr>
        <w:t xml:space="preserve">, </w:t>
      </w:r>
      <w:r w:rsidRPr="003F4FF4">
        <w:rPr>
          <w:rFonts w:ascii="Calibri" w:hAnsi="Calibri" w:cs="Calibri"/>
          <w:i/>
          <w:iCs/>
          <w:sz w:val="21"/>
          <w:szCs w:val="21"/>
        </w:rPr>
        <w:t>68</w:t>
      </w:r>
      <w:r w:rsidRPr="003F4FF4">
        <w:rPr>
          <w:rFonts w:ascii="Calibri" w:hAnsi="Calibri" w:cs="Calibri"/>
          <w:sz w:val="21"/>
          <w:szCs w:val="21"/>
        </w:rPr>
        <w:t>, 194-202.</w:t>
      </w:r>
    </w:p>
    <w:p w14:paraId="5C6DEF72"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Jones, A. W. (2012). </w:t>
      </w:r>
      <w:r w:rsidRPr="003F4FF4">
        <w:rPr>
          <w:rFonts w:ascii="Calibri" w:hAnsi="Calibri" w:cs="Calibri"/>
          <w:i/>
          <w:sz w:val="21"/>
          <w:szCs w:val="21"/>
        </w:rPr>
        <w:t>Principles for investment grade policy and projects. Report produced for the Capital Markets Climate Initiative (CMCI).</w:t>
      </w:r>
      <w:r w:rsidRPr="003F4FF4">
        <w:rPr>
          <w:rFonts w:ascii="Calibri" w:hAnsi="Calibri" w:cs="Calibri"/>
          <w:sz w:val="21"/>
          <w:szCs w:val="21"/>
        </w:rPr>
        <w:t xml:space="preserve"> Available at: </w:t>
      </w:r>
      <w:hyperlink r:id="rId66" w:history="1">
        <w:r w:rsidRPr="003F4FF4">
          <w:rPr>
            <w:rStyle w:val="Hyperlink"/>
            <w:rFonts w:ascii="Calibri" w:hAnsi="Calibri" w:cs="Calibri"/>
            <w:sz w:val="21"/>
            <w:szCs w:val="21"/>
          </w:rPr>
          <w:t>https://www.gov.uk/government/publications/principles-for-investment-grade-policy-and-projects</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15.04.2019)</w:t>
      </w:r>
    </w:p>
    <w:p w14:paraId="0087DEE1"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Jones, A. W. (2015). Perceived barriers and policy solutions in clean energy infrastructure investment. </w:t>
      </w:r>
      <w:r w:rsidRPr="003F4FF4">
        <w:rPr>
          <w:rFonts w:ascii="Calibri" w:hAnsi="Calibri" w:cs="Calibri"/>
          <w:i/>
          <w:iCs/>
          <w:sz w:val="21"/>
          <w:szCs w:val="21"/>
        </w:rPr>
        <w:t>Journal of Cleaner Production</w:t>
      </w:r>
      <w:r w:rsidRPr="003F4FF4">
        <w:rPr>
          <w:rFonts w:ascii="Calibri" w:hAnsi="Calibri" w:cs="Calibri"/>
          <w:sz w:val="21"/>
          <w:szCs w:val="21"/>
        </w:rPr>
        <w:t xml:space="preserve">, </w:t>
      </w:r>
      <w:r w:rsidRPr="003F4FF4">
        <w:rPr>
          <w:rFonts w:ascii="Calibri" w:hAnsi="Calibri" w:cs="Calibri"/>
          <w:i/>
          <w:iCs/>
          <w:sz w:val="21"/>
          <w:szCs w:val="21"/>
        </w:rPr>
        <w:t>104</w:t>
      </w:r>
      <w:r w:rsidRPr="003F4FF4">
        <w:rPr>
          <w:rFonts w:ascii="Calibri" w:hAnsi="Calibri" w:cs="Calibri"/>
          <w:sz w:val="21"/>
          <w:szCs w:val="21"/>
        </w:rPr>
        <w:t xml:space="preserve">, 297-304. </w:t>
      </w:r>
    </w:p>
    <w:p w14:paraId="777E17E1"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Kaminker</w:t>
      </w:r>
      <w:proofErr w:type="spellEnd"/>
      <w:r w:rsidRPr="003F4FF4">
        <w:rPr>
          <w:rFonts w:ascii="Calibri" w:hAnsi="Calibri" w:cs="Calibri"/>
          <w:sz w:val="21"/>
          <w:szCs w:val="21"/>
        </w:rPr>
        <w:t xml:space="preserve">, C. and F. Stewart (2012). The Role of Institutional Investors in Financing Clean Energy. </w:t>
      </w:r>
      <w:r w:rsidRPr="003F4FF4">
        <w:rPr>
          <w:rFonts w:ascii="Calibri" w:hAnsi="Calibri" w:cs="Calibri"/>
          <w:i/>
          <w:iCs/>
          <w:sz w:val="21"/>
          <w:szCs w:val="21"/>
        </w:rPr>
        <w:t>OECD Working Papers on Finance, Insurance and Private Pensions</w:t>
      </w:r>
      <w:r w:rsidRPr="003F4FF4">
        <w:rPr>
          <w:rFonts w:ascii="Calibri" w:hAnsi="Calibri" w:cs="Calibri"/>
          <w:sz w:val="21"/>
          <w:szCs w:val="21"/>
        </w:rPr>
        <w:t xml:space="preserve">, No. 23. OECD Publishing, Paris, </w:t>
      </w:r>
      <w:hyperlink r:id="rId67" w:history="1">
        <w:r w:rsidRPr="003F4FF4">
          <w:rPr>
            <w:rStyle w:val="Hyperlink"/>
            <w:rFonts w:ascii="Calibri" w:hAnsi="Calibri" w:cs="Calibri"/>
            <w:sz w:val="21"/>
            <w:szCs w:val="21"/>
          </w:rPr>
          <w:t>https://doi.org/10.1787/5k9312v21l6f-en</w:t>
        </w:r>
      </w:hyperlink>
      <w:r w:rsidRPr="003F4FF4">
        <w:rPr>
          <w:rFonts w:ascii="Calibri" w:hAnsi="Calibri" w:cs="Calibri"/>
          <w:sz w:val="21"/>
          <w:szCs w:val="21"/>
        </w:rPr>
        <w:t xml:space="preserve">. </w:t>
      </w:r>
    </w:p>
    <w:p w14:paraId="3B671125"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Kaminker</w:t>
      </w:r>
      <w:proofErr w:type="spellEnd"/>
      <w:r w:rsidRPr="003F4FF4">
        <w:rPr>
          <w:rFonts w:ascii="Calibri" w:hAnsi="Calibri" w:cs="Calibri"/>
          <w:sz w:val="21"/>
          <w:szCs w:val="21"/>
        </w:rPr>
        <w:t xml:space="preserve">, C., </w:t>
      </w:r>
      <w:proofErr w:type="spellStart"/>
      <w:r w:rsidRPr="003F4FF4">
        <w:rPr>
          <w:rFonts w:ascii="Calibri" w:hAnsi="Calibri" w:cs="Calibri"/>
          <w:sz w:val="21"/>
          <w:szCs w:val="21"/>
        </w:rPr>
        <w:t>Kawanishi</w:t>
      </w:r>
      <w:proofErr w:type="spellEnd"/>
      <w:r w:rsidRPr="003F4FF4">
        <w:rPr>
          <w:rFonts w:ascii="Calibri" w:hAnsi="Calibri" w:cs="Calibri"/>
          <w:sz w:val="21"/>
          <w:szCs w:val="21"/>
        </w:rPr>
        <w:t xml:space="preserve">, O., Stewart, F., Caldecott, B., &amp; Howarth, N. (2013). Institutional Investors and Green Infrastructure Investments: Selected Case Studies. </w:t>
      </w:r>
      <w:r w:rsidRPr="003F4FF4">
        <w:rPr>
          <w:rFonts w:ascii="Calibri" w:hAnsi="Calibri" w:cs="Calibri"/>
          <w:i/>
          <w:iCs/>
          <w:sz w:val="21"/>
          <w:szCs w:val="21"/>
        </w:rPr>
        <w:t>OECD Working Papers on Finance, Insurance and Private Pensions</w:t>
      </w:r>
      <w:r w:rsidRPr="003F4FF4">
        <w:rPr>
          <w:rFonts w:ascii="Calibri" w:hAnsi="Calibri" w:cs="Calibri"/>
          <w:sz w:val="21"/>
          <w:szCs w:val="21"/>
        </w:rPr>
        <w:t xml:space="preserve">, No. 35. OECD Publishing: Paris, </w:t>
      </w:r>
      <w:hyperlink r:id="rId68" w:history="1">
        <w:r w:rsidRPr="003F4FF4">
          <w:rPr>
            <w:rStyle w:val="Hyperlink"/>
            <w:rFonts w:ascii="Calibri" w:hAnsi="Calibri" w:cs="Calibri"/>
            <w:sz w:val="21"/>
            <w:szCs w:val="21"/>
          </w:rPr>
          <w:t>https://doi.org/10.1787/5k3xr8k6jb0n-en</w:t>
        </w:r>
      </w:hyperlink>
      <w:r w:rsidRPr="003F4FF4">
        <w:rPr>
          <w:rFonts w:ascii="Calibri" w:hAnsi="Calibri" w:cs="Calibri"/>
          <w:sz w:val="21"/>
          <w:szCs w:val="21"/>
        </w:rPr>
        <w:t>.</w:t>
      </w:r>
    </w:p>
    <w:p w14:paraId="7C0987F0"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Kann</w:t>
      </w:r>
      <w:proofErr w:type="spellEnd"/>
      <w:r w:rsidRPr="003F4FF4">
        <w:rPr>
          <w:rFonts w:ascii="Calibri" w:hAnsi="Calibri" w:cs="Calibri"/>
          <w:sz w:val="21"/>
          <w:szCs w:val="21"/>
        </w:rPr>
        <w:t xml:space="preserve">, S. (2009). Overcoming barriers to wind project finance in Australia.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37</w:t>
      </w:r>
      <w:r w:rsidRPr="003F4FF4">
        <w:rPr>
          <w:rFonts w:ascii="Calibri" w:hAnsi="Calibri" w:cs="Calibri"/>
          <w:sz w:val="21"/>
          <w:szCs w:val="21"/>
        </w:rPr>
        <w:t>(8), 3139-3148.</w:t>
      </w:r>
    </w:p>
    <w:p w14:paraId="14B0F7A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Karltorp</w:t>
      </w:r>
      <w:proofErr w:type="spellEnd"/>
      <w:r w:rsidRPr="003F4FF4">
        <w:rPr>
          <w:rFonts w:ascii="Calibri" w:hAnsi="Calibri" w:cs="Calibri"/>
          <w:sz w:val="21"/>
          <w:szCs w:val="21"/>
        </w:rPr>
        <w:t>, K. (2016). Challenges in mobilising financial resources for renewable energy—</w:t>
      </w:r>
      <w:proofErr w:type="gramStart"/>
      <w:r w:rsidRPr="003F4FF4">
        <w:rPr>
          <w:rFonts w:ascii="Calibri" w:hAnsi="Calibri" w:cs="Calibri"/>
          <w:sz w:val="21"/>
          <w:szCs w:val="21"/>
        </w:rPr>
        <w:t>The</w:t>
      </w:r>
      <w:proofErr w:type="gramEnd"/>
      <w:r w:rsidRPr="003F4FF4">
        <w:rPr>
          <w:rFonts w:ascii="Calibri" w:hAnsi="Calibri" w:cs="Calibri"/>
          <w:sz w:val="21"/>
          <w:szCs w:val="21"/>
        </w:rPr>
        <w:t xml:space="preserve"> cases of biomass gasification and offshore wind power. </w:t>
      </w:r>
      <w:r w:rsidRPr="003F4FF4">
        <w:rPr>
          <w:rFonts w:ascii="Calibri" w:hAnsi="Calibri" w:cs="Calibri"/>
          <w:i/>
          <w:iCs/>
          <w:sz w:val="21"/>
          <w:szCs w:val="21"/>
        </w:rPr>
        <w:t>Environmental Innovation and Societal Transitions</w:t>
      </w:r>
      <w:r w:rsidRPr="003F4FF4">
        <w:rPr>
          <w:rFonts w:ascii="Calibri" w:hAnsi="Calibri" w:cs="Calibri"/>
          <w:sz w:val="21"/>
          <w:szCs w:val="21"/>
        </w:rPr>
        <w:t xml:space="preserve">, </w:t>
      </w:r>
      <w:r w:rsidRPr="003F4FF4">
        <w:rPr>
          <w:rFonts w:ascii="Calibri" w:hAnsi="Calibri" w:cs="Calibri"/>
          <w:i/>
          <w:iCs/>
          <w:sz w:val="21"/>
          <w:szCs w:val="21"/>
        </w:rPr>
        <w:t>19</w:t>
      </w:r>
      <w:r w:rsidRPr="003F4FF4">
        <w:rPr>
          <w:rFonts w:ascii="Calibri" w:hAnsi="Calibri" w:cs="Calibri"/>
          <w:sz w:val="21"/>
          <w:szCs w:val="21"/>
        </w:rPr>
        <w:t>, 96-110.</w:t>
      </w:r>
    </w:p>
    <w:p w14:paraId="641A7A7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Karneyeva</w:t>
      </w:r>
      <w:proofErr w:type="spellEnd"/>
      <w:r w:rsidRPr="003F4FF4">
        <w:rPr>
          <w:rFonts w:ascii="Calibri" w:hAnsi="Calibri" w:cs="Calibri"/>
          <w:sz w:val="21"/>
          <w:szCs w:val="21"/>
        </w:rPr>
        <w:t xml:space="preserve">, Y., &amp; </w:t>
      </w:r>
      <w:proofErr w:type="spellStart"/>
      <w:r w:rsidRPr="003F4FF4">
        <w:rPr>
          <w:rFonts w:ascii="Calibri" w:hAnsi="Calibri" w:cs="Calibri"/>
          <w:sz w:val="21"/>
          <w:szCs w:val="21"/>
        </w:rPr>
        <w:t>Wüstenhagen</w:t>
      </w:r>
      <w:proofErr w:type="spellEnd"/>
      <w:r w:rsidRPr="003F4FF4">
        <w:rPr>
          <w:rFonts w:ascii="Calibri" w:hAnsi="Calibri" w:cs="Calibri"/>
          <w:sz w:val="21"/>
          <w:szCs w:val="21"/>
        </w:rPr>
        <w:t xml:space="preserve">, R. (2017). Solar feed-in tariffs in a post-grid parity world: The role of risk, investor diversity and business models.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106</w:t>
      </w:r>
      <w:r w:rsidRPr="003F4FF4">
        <w:rPr>
          <w:rFonts w:ascii="Calibri" w:hAnsi="Calibri" w:cs="Calibri"/>
          <w:sz w:val="21"/>
          <w:szCs w:val="21"/>
        </w:rPr>
        <w:t>, 445-456.</w:t>
      </w:r>
    </w:p>
    <w:p w14:paraId="66DA1B06"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Kay (2012). </w:t>
      </w:r>
      <w:r w:rsidRPr="003F4FF4">
        <w:rPr>
          <w:rFonts w:ascii="Calibri" w:hAnsi="Calibri" w:cs="Calibri"/>
          <w:i/>
          <w:sz w:val="21"/>
          <w:szCs w:val="21"/>
        </w:rPr>
        <w:t>The Kay Review of UK equity Markets and Long-Term Decision Making. Interim Report</w:t>
      </w:r>
      <w:r w:rsidRPr="003F4FF4">
        <w:rPr>
          <w:rFonts w:ascii="Calibri" w:hAnsi="Calibri" w:cs="Calibri"/>
          <w:sz w:val="21"/>
          <w:szCs w:val="21"/>
        </w:rPr>
        <w:t xml:space="preserve">. Available at: </w:t>
      </w:r>
      <w:hyperlink r:id="rId69" w:history="1">
        <w:r w:rsidRPr="003F4FF4">
          <w:rPr>
            <w:rStyle w:val="Hyperlink"/>
            <w:rFonts w:ascii="Calibri" w:hAnsi="Calibri" w:cs="Calibri"/>
            <w:sz w:val="21"/>
            <w:szCs w:val="21"/>
          </w:rPr>
          <w:t>https://assets.publishing.service.gov.uk/government/uploads/system/uploads/attachment_data/file/31544/12-631-kay-review-of-equity-markets-interim-report.pdf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15.04.2019). </w:t>
      </w:r>
    </w:p>
    <w:p w14:paraId="584B9A8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Klessmann</w:t>
      </w:r>
      <w:proofErr w:type="spellEnd"/>
      <w:r w:rsidRPr="003F4FF4">
        <w:rPr>
          <w:rFonts w:ascii="Calibri" w:hAnsi="Calibri" w:cs="Calibri"/>
          <w:sz w:val="21"/>
          <w:szCs w:val="21"/>
        </w:rPr>
        <w:t xml:space="preserve">, C., Held, A., </w:t>
      </w:r>
      <w:proofErr w:type="spellStart"/>
      <w:r w:rsidRPr="003F4FF4">
        <w:rPr>
          <w:rFonts w:ascii="Calibri" w:hAnsi="Calibri" w:cs="Calibri"/>
          <w:sz w:val="21"/>
          <w:szCs w:val="21"/>
        </w:rPr>
        <w:t>Rathmann</w:t>
      </w:r>
      <w:proofErr w:type="spellEnd"/>
      <w:r w:rsidRPr="003F4FF4">
        <w:rPr>
          <w:rFonts w:ascii="Calibri" w:hAnsi="Calibri" w:cs="Calibri"/>
          <w:sz w:val="21"/>
          <w:szCs w:val="21"/>
        </w:rPr>
        <w:t xml:space="preserve">, M., &amp; </w:t>
      </w:r>
      <w:proofErr w:type="spellStart"/>
      <w:r w:rsidRPr="003F4FF4">
        <w:rPr>
          <w:rFonts w:ascii="Calibri" w:hAnsi="Calibri" w:cs="Calibri"/>
          <w:sz w:val="21"/>
          <w:szCs w:val="21"/>
        </w:rPr>
        <w:t>Ragwitz</w:t>
      </w:r>
      <w:proofErr w:type="spellEnd"/>
      <w:r w:rsidRPr="003F4FF4">
        <w:rPr>
          <w:rFonts w:ascii="Calibri" w:hAnsi="Calibri" w:cs="Calibri"/>
          <w:sz w:val="21"/>
          <w:szCs w:val="21"/>
        </w:rPr>
        <w:t>, M. (2011). Status and perspectives of renewable energy policy and deployment in the European Union—What is needed to reach the 2020 targets</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39</w:t>
      </w:r>
      <w:r w:rsidRPr="003F4FF4">
        <w:rPr>
          <w:rFonts w:ascii="Calibri" w:hAnsi="Calibri" w:cs="Calibri"/>
          <w:sz w:val="21"/>
          <w:szCs w:val="21"/>
        </w:rPr>
        <w:t>(12), 7637-7657.</w:t>
      </w:r>
    </w:p>
    <w:p w14:paraId="67753092"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lastRenderedPageBreak/>
        <w:t>Kopainsky</w:t>
      </w:r>
      <w:proofErr w:type="spellEnd"/>
      <w:r w:rsidRPr="003F4FF4">
        <w:rPr>
          <w:rFonts w:ascii="Calibri" w:hAnsi="Calibri" w:cs="Calibri"/>
          <w:sz w:val="21"/>
          <w:szCs w:val="21"/>
        </w:rPr>
        <w:t xml:space="preserve">, B., </w:t>
      </w:r>
      <w:proofErr w:type="spellStart"/>
      <w:r w:rsidRPr="003F4FF4">
        <w:rPr>
          <w:rFonts w:ascii="Calibri" w:hAnsi="Calibri" w:cs="Calibri"/>
          <w:sz w:val="21"/>
          <w:szCs w:val="21"/>
        </w:rPr>
        <w:t>Alessi</w:t>
      </w:r>
      <w:proofErr w:type="spellEnd"/>
      <w:r w:rsidRPr="003F4FF4">
        <w:rPr>
          <w:rFonts w:ascii="Calibri" w:hAnsi="Calibri" w:cs="Calibri"/>
          <w:sz w:val="21"/>
          <w:szCs w:val="21"/>
        </w:rPr>
        <w:t xml:space="preserve">, S.M., &amp; </w:t>
      </w:r>
      <w:proofErr w:type="spellStart"/>
      <w:r w:rsidRPr="003F4FF4">
        <w:rPr>
          <w:rFonts w:ascii="Calibri" w:hAnsi="Calibri" w:cs="Calibri"/>
          <w:sz w:val="21"/>
          <w:szCs w:val="21"/>
        </w:rPr>
        <w:t>Davidsen</w:t>
      </w:r>
      <w:proofErr w:type="spellEnd"/>
      <w:r w:rsidRPr="003F4FF4">
        <w:rPr>
          <w:rFonts w:ascii="Calibri" w:hAnsi="Calibri" w:cs="Calibri"/>
          <w:sz w:val="21"/>
          <w:szCs w:val="21"/>
        </w:rPr>
        <w:t xml:space="preserve">, P.I. (2011). Measuring Knowledge Acquisition in Dynamic Decision Making Tasks. In </w:t>
      </w:r>
      <w:r w:rsidRPr="003F4FF4">
        <w:rPr>
          <w:rStyle w:val="Emphasis"/>
          <w:rFonts w:ascii="Calibri" w:hAnsi="Calibri" w:cs="Calibri"/>
          <w:sz w:val="21"/>
          <w:szCs w:val="21"/>
        </w:rPr>
        <w:t>The 29th International Conference of the System Dynamics Society</w:t>
      </w:r>
      <w:r w:rsidRPr="003F4FF4">
        <w:rPr>
          <w:rFonts w:ascii="Calibri" w:hAnsi="Calibri" w:cs="Calibri"/>
          <w:sz w:val="21"/>
          <w:szCs w:val="21"/>
        </w:rPr>
        <w:t xml:space="preserve"> (pp. 1-31). Washington, DC.</w:t>
      </w:r>
    </w:p>
    <w:p w14:paraId="15D53BF7"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lang w:val="de-CH"/>
        </w:rPr>
      </w:pPr>
      <w:r w:rsidRPr="003F4FF4">
        <w:rPr>
          <w:rFonts w:ascii="Calibri" w:hAnsi="Calibri" w:cs="Calibri"/>
          <w:sz w:val="21"/>
          <w:szCs w:val="21"/>
        </w:rPr>
        <w:t xml:space="preserve">Lee, C. W., &amp; </w:t>
      </w:r>
      <w:proofErr w:type="spellStart"/>
      <w:r w:rsidRPr="003F4FF4">
        <w:rPr>
          <w:rFonts w:ascii="Calibri" w:hAnsi="Calibri" w:cs="Calibri"/>
          <w:sz w:val="21"/>
          <w:szCs w:val="21"/>
        </w:rPr>
        <w:t>Zhong</w:t>
      </w:r>
      <w:proofErr w:type="spellEnd"/>
      <w:r w:rsidRPr="003F4FF4">
        <w:rPr>
          <w:rFonts w:ascii="Calibri" w:hAnsi="Calibri" w:cs="Calibri"/>
          <w:sz w:val="21"/>
          <w:szCs w:val="21"/>
        </w:rPr>
        <w:t xml:space="preserve">, J. (2015). Financing and risk management of renewable energy projects with a hybrid bond. </w:t>
      </w:r>
      <w:r w:rsidRPr="003F4FF4">
        <w:rPr>
          <w:rFonts w:ascii="Calibri" w:hAnsi="Calibri" w:cs="Calibri"/>
          <w:i/>
          <w:iCs/>
          <w:sz w:val="21"/>
          <w:szCs w:val="21"/>
          <w:lang w:val="de-CH"/>
        </w:rPr>
        <w:t>Renewable Energy</w:t>
      </w:r>
      <w:r w:rsidRPr="003F4FF4">
        <w:rPr>
          <w:rFonts w:ascii="Calibri" w:hAnsi="Calibri" w:cs="Calibri"/>
          <w:sz w:val="21"/>
          <w:szCs w:val="21"/>
          <w:lang w:val="de-CH"/>
        </w:rPr>
        <w:t xml:space="preserve">, </w:t>
      </w:r>
      <w:r w:rsidRPr="003F4FF4">
        <w:rPr>
          <w:rFonts w:ascii="Calibri" w:hAnsi="Calibri" w:cs="Calibri"/>
          <w:i/>
          <w:iCs/>
          <w:sz w:val="21"/>
          <w:szCs w:val="21"/>
          <w:lang w:val="de-CH"/>
        </w:rPr>
        <w:t>75</w:t>
      </w:r>
      <w:r w:rsidRPr="003F4FF4">
        <w:rPr>
          <w:rFonts w:ascii="Calibri" w:hAnsi="Calibri" w:cs="Calibri"/>
          <w:sz w:val="21"/>
          <w:szCs w:val="21"/>
          <w:lang w:val="de-CH"/>
        </w:rPr>
        <w:t xml:space="preserve">, 779-787. </w:t>
      </w:r>
    </w:p>
    <w:p w14:paraId="306A2DED"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lang w:val="de-CH"/>
        </w:rPr>
        <w:t xml:space="preserve">Ländner, E. M., Märtz, A., Schöpf, M., &amp; Weibelzahl, M. (2019). </w:t>
      </w:r>
      <w:r w:rsidRPr="003F4FF4">
        <w:rPr>
          <w:rFonts w:ascii="Calibri" w:hAnsi="Calibri" w:cs="Calibri"/>
          <w:sz w:val="21"/>
          <w:szCs w:val="21"/>
        </w:rPr>
        <w:t xml:space="preserve">From energy legislation to investment determination: Shaping future electricity markets with different flexibility options.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129</w:t>
      </w:r>
      <w:r w:rsidRPr="003F4FF4">
        <w:rPr>
          <w:rFonts w:ascii="Calibri" w:hAnsi="Calibri" w:cs="Calibri"/>
          <w:sz w:val="21"/>
          <w:szCs w:val="21"/>
        </w:rPr>
        <w:t xml:space="preserve">, 1100-1110. </w:t>
      </w:r>
    </w:p>
    <w:p w14:paraId="7470A39A"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Louche, C., Busch, T., </w:t>
      </w:r>
      <w:proofErr w:type="spellStart"/>
      <w:r w:rsidRPr="003F4FF4">
        <w:rPr>
          <w:rFonts w:ascii="Calibri" w:hAnsi="Calibri" w:cs="Calibri"/>
          <w:sz w:val="21"/>
          <w:szCs w:val="21"/>
        </w:rPr>
        <w:t>Crifo</w:t>
      </w:r>
      <w:proofErr w:type="spellEnd"/>
      <w:r w:rsidRPr="003F4FF4">
        <w:rPr>
          <w:rFonts w:ascii="Calibri" w:hAnsi="Calibri" w:cs="Calibri"/>
          <w:sz w:val="21"/>
          <w:szCs w:val="21"/>
        </w:rPr>
        <w:t xml:space="preserve">, P., &amp; Marcus, A. (2019). Financial Markets and the Transition to a Low-Carbon Economy: Challenging the Dominant Logics. </w:t>
      </w:r>
      <w:r w:rsidRPr="003F4FF4">
        <w:rPr>
          <w:rFonts w:ascii="Calibri" w:hAnsi="Calibri" w:cs="Calibri"/>
          <w:i/>
          <w:iCs/>
          <w:sz w:val="21"/>
          <w:szCs w:val="21"/>
        </w:rPr>
        <w:t>Organization &amp; Environment</w:t>
      </w:r>
      <w:r w:rsidRPr="003F4FF4">
        <w:rPr>
          <w:rFonts w:ascii="Calibri" w:hAnsi="Calibri" w:cs="Calibri"/>
          <w:sz w:val="21"/>
          <w:szCs w:val="21"/>
        </w:rPr>
        <w:t xml:space="preserve">, </w:t>
      </w:r>
      <w:r w:rsidRPr="003F4FF4">
        <w:rPr>
          <w:rFonts w:ascii="Calibri" w:hAnsi="Calibri" w:cs="Calibri"/>
          <w:i/>
          <w:iCs/>
          <w:sz w:val="21"/>
          <w:szCs w:val="21"/>
        </w:rPr>
        <w:t>32</w:t>
      </w:r>
      <w:r w:rsidRPr="003F4FF4">
        <w:rPr>
          <w:rFonts w:ascii="Calibri" w:hAnsi="Calibri" w:cs="Calibri"/>
          <w:sz w:val="21"/>
          <w:szCs w:val="21"/>
        </w:rPr>
        <w:t>(1), 3-17.</w:t>
      </w:r>
    </w:p>
    <w:p w14:paraId="2041483A"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AB49B2">
        <w:rPr>
          <w:rFonts w:ascii="Calibri" w:hAnsi="Calibri" w:cs="Calibri"/>
          <w:sz w:val="21"/>
          <w:szCs w:val="21"/>
        </w:rPr>
        <w:t>Leete</w:t>
      </w:r>
      <w:proofErr w:type="spellEnd"/>
      <w:r w:rsidRPr="00AB49B2">
        <w:rPr>
          <w:rFonts w:ascii="Calibri" w:hAnsi="Calibri" w:cs="Calibri"/>
          <w:sz w:val="21"/>
          <w:szCs w:val="21"/>
        </w:rPr>
        <w:t xml:space="preserve">, S., Xu, J., &amp; Wheeler, D. (2013). </w:t>
      </w:r>
      <w:r w:rsidRPr="003F4FF4">
        <w:rPr>
          <w:rFonts w:ascii="Calibri" w:hAnsi="Calibri" w:cs="Calibri"/>
          <w:sz w:val="21"/>
          <w:szCs w:val="21"/>
        </w:rPr>
        <w:t xml:space="preserve">Investment barriers and incentives for marine renewable energy in the UK: An analysis of investor preferences.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60</w:t>
      </w:r>
      <w:r w:rsidRPr="003F4FF4">
        <w:rPr>
          <w:rFonts w:ascii="Calibri" w:hAnsi="Calibri" w:cs="Calibri"/>
          <w:sz w:val="21"/>
          <w:szCs w:val="21"/>
        </w:rPr>
        <w:t>, 866-875.</w:t>
      </w:r>
    </w:p>
    <w:p w14:paraId="037CA786"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Linnerud</w:t>
      </w:r>
      <w:proofErr w:type="spellEnd"/>
      <w:r w:rsidRPr="003F4FF4">
        <w:rPr>
          <w:rFonts w:ascii="Calibri" w:hAnsi="Calibri" w:cs="Calibri"/>
          <w:sz w:val="21"/>
          <w:szCs w:val="21"/>
        </w:rPr>
        <w:t xml:space="preserve">, K., </w:t>
      </w:r>
      <w:proofErr w:type="spellStart"/>
      <w:r w:rsidRPr="003F4FF4">
        <w:rPr>
          <w:rFonts w:ascii="Calibri" w:hAnsi="Calibri" w:cs="Calibri"/>
          <w:sz w:val="21"/>
          <w:szCs w:val="21"/>
        </w:rPr>
        <w:t>Andersson</w:t>
      </w:r>
      <w:proofErr w:type="spellEnd"/>
      <w:r w:rsidRPr="003F4FF4">
        <w:rPr>
          <w:rFonts w:ascii="Calibri" w:hAnsi="Calibri" w:cs="Calibri"/>
          <w:sz w:val="21"/>
          <w:szCs w:val="21"/>
        </w:rPr>
        <w:t xml:space="preserve">, A. M., &amp; </w:t>
      </w:r>
      <w:proofErr w:type="spellStart"/>
      <w:r w:rsidRPr="003F4FF4">
        <w:rPr>
          <w:rFonts w:ascii="Calibri" w:hAnsi="Calibri" w:cs="Calibri"/>
          <w:sz w:val="21"/>
          <w:szCs w:val="21"/>
        </w:rPr>
        <w:t>Fleten</w:t>
      </w:r>
      <w:proofErr w:type="spellEnd"/>
      <w:r w:rsidRPr="003F4FF4">
        <w:rPr>
          <w:rFonts w:ascii="Calibri" w:hAnsi="Calibri" w:cs="Calibri"/>
          <w:sz w:val="21"/>
          <w:szCs w:val="21"/>
        </w:rPr>
        <w:t xml:space="preserve">, S. E. (2014). Investment timing under uncertain renewable energy policy: an empirical study of small hydropower projects. </w:t>
      </w:r>
      <w:r w:rsidRPr="003F4FF4">
        <w:rPr>
          <w:rFonts w:ascii="Calibri" w:hAnsi="Calibri" w:cs="Calibri"/>
          <w:i/>
          <w:iCs/>
          <w:sz w:val="21"/>
          <w:szCs w:val="21"/>
        </w:rPr>
        <w:t>Energy</w:t>
      </w:r>
      <w:r w:rsidRPr="003F4FF4">
        <w:rPr>
          <w:rFonts w:ascii="Calibri" w:hAnsi="Calibri" w:cs="Calibri"/>
          <w:sz w:val="21"/>
          <w:szCs w:val="21"/>
        </w:rPr>
        <w:t xml:space="preserve">, </w:t>
      </w:r>
      <w:r w:rsidRPr="003F4FF4">
        <w:rPr>
          <w:rFonts w:ascii="Calibri" w:hAnsi="Calibri" w:cs="Calibri"/>
          <w:i/>
          <w:iCs/>
          <w:sz w:val="21"/>
          <w:szCs w:val="21"/>
        </w:rPr>
        <w:t>78</w:t>
      </w:r>
      <w:r w:rsidRPr="003F4FF4">
        <w:rPr>
          <w:rFonts w:ascii="Calibri" w:hAnsi="Calibri" w:cs="Calibri"/>
          <w:sz w:val="21"/>
          <w:szCs w:val="21"/>
        </w:rPr>
        <w:t xml:space="preserve">, 154-164. </w:t>
      </w:r>
    </w:p>
    <w:p w14:paraId="603379F9"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Linnerud</w:t>
      </w:r>
      <w:proofErr w:type="spellEnd"/>
      <w:r w:rsidRPr="003F4FF4">
        <w:rPr>
          <w:rFonts w:ascii="Calibri" w:hAnsi="Calibri" w:cs="Calibri"/>
          <w:sz w:val="21"/>
          <w:szCs w:val="21"/>
        </w:rPr>
        <w:t xml:space="preserve">, K., &amp; Holden, E. (2015). Investment barriers under a renewable-electricity support scheme: Differences across investor types. </w:t>
      </w:r>
      <w:r w:rsidRPr="003F4FF4">
        <w:rPr>
          <w:rFonts w:ascii="Calibri" w:hAnsi="Calibri" w:cs="Calibri"/>
          <w:i/>
          <w:iCs/>
          <w:sz w:val="21"/>
          <w:szCs w:val="21"/>
        </w:rPr>
        <w:t>Energy</w:t>
      </w:r>
      <w:r w:rsidRPr="003F4FF4">
        <w:rPr>
          <w:rFonts w:ascii="Calibri" w:hAnsi="Calibri" w:cs="Calibri"/>
          <w:sz w:val="21"/>
          <w:szCs w:val="21"/>
        </w:rPr>
        <w:t xml:space="preserve">, </w:t>
      </w:r>
      <w:r w:rsidRPr="003F4FF4">
        <w:rPr>
          <w:rFonts w:ascii="Calibri" w:hAnsi="Calibri" w:cs="Calibri"/>
          <w:i/>
          <w:iCs/>
          <w:sz w:val="21"/>
          <w:szCs w:val="21"/>
        </w:rPr>
        <w:t>87</w:t>
      </w:r>
      <w:r w:rsidRPr="003F4FF4">
        <w:rPr>
          <w:rFonts w:ascii="Calibri" w:hAnsi="Calibri" w:cs="Calibri"/>
          <w:sz w:val="21"/>
          <w:szCs w:val="21"/>
        </w:rPr>
        <w:t>, 699-709.</w:t>
      </w:r>
    </w:p>
    <w:p w14:paraId="31DB2B70"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Linnerud</w:t>
      </w:r>
      <w:proofErr w:type="spellEnd"/>
      <w:r w:rsidRPr="003F4FF4">
        <w:rPr>
          <w:rFonts w:ascii="Calibri" w:hAnsi="Calibri" w:cs="Calibri"/>
          <w:sz w:val="21"/>
          <w:szCs w:val="21"/>
        </w:rPr>
        <w:t xml:space="preserve">, K., &amp; </w:t>
      </w:r>
      <w:proofErr w:type="spellStart"/>
      <w:r w:rsidRPr="003F4FF4">
        <w:rPr>
          <w:rFonts w:ascii="Calibri" w:hAnsi="Calibri" w:cs="Calibri"/>
          <w:sz w:val="21"/>
          <w:szCs w:val="21"/>
        </w:rPr>
        <w:t>Simonsen</w:t>
      </w:r>
      <w:proofErr w:type="spellEnd"/>
      <w:r w:rsidRPr="003F4FF4">
        <w:rPr>
          <w:rFonts w:ascii="Calibri" w:hAnsi="Calibri" w:cs="Calibri"/>
          <w:sz w:val="21"/>
          <w:szCs w:val="21"/>
        </w:rPr>
        <w:t xml:space="preserve">, M. (2017). Swedish-Norwegian tradable green certificates: Scheme design flaws and perceived investment barriers.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106</w:t>
      </w:r>
      <w:r w:rsidRPr="003F4FF4">
        <w:rPr>
          <w:rFonts w:ascii="Calibri" w:hAnsi="Calibri" w:cs="Calibri"/>
          <w:sz w:val="21"/>
          <w:szCs w:val="21"/>
        </w:rPr>
        <w:t>, 560-578.</w:t>
      </w:r>
    </w:p>
    <w:p w14:paraId="401E2355"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López</w:t>
      </w:r>
      <w:proofErr w:type="spellEnd"/>
      <w:r w:rsidRPr="003F4FF4">
        <w:rPr>
          <w:rFonts w:ascii="Calibri" w:hAnsi="Calibri" w:cs="Calibri"/>
          <w:sz w:val="21"/>
          <w:szCs w:val="21"/>
        </w:rPr>
        <w:t xml:space="preserve">, M. V., Garcia, A., &amp; Rodriguez, L. (2007). Sustainable development and corporate performance: A study based on the Dow Jones sustainability index. </w:t>
      </w:r>
      <w:r w:rsidRPr="003F4FF4">
        <w:rPr>
          <w:rFonts w:ascii="Calibri" w:hAnsi="Calibri" w:cs="Calibri"/>
          <w:i/>
          <w:iCs/>
          <w:sz w:val="21"/>
          <w:szCs w:val="21"/>
        </w:rPr>
        <w:t>Journal of Business Ethics</w:t>
      </w:r>
      <w:r w:rsidRPr="003F4FF4">
        <w:rPr>
          <w:rFonts w:ascii="Calibri" w:hAnsi="Calibri" w:cs="Calibri"/>
          <w:sz w:val="21"/>
          <w:szCs w:val="21"/>
        </w:rPr>
        <w:t xml:space="preserve">, </w:t>
      </w:r>
      <w:r w:rsidRPr="003F4FF4">
        <w:rPr>
          <w:rFonts w:ascii="Calibri" w:hAnsi="Calibri" w:cs="Calibri"/>
          <w:i/>
          <w:iCs/>
          <w:sz w:val="21"/>
          <w:szCs w:val="21"/>
        </w:rPr>
        <w:t>75</w:t>
      </w:r>
      <w:r w:rsidRPr="003F4FF4">
        <w:rPr>
          <w:rFonts w:ascii="Calibri" w:hAnsi="Calibri" w:cs="Calibri"/>
          <w:sz w:val="21"/>
          <w:szCs w:val="21"/>
        </w:rPr>
        <w:t xml:space="preserve">(3), 285-300. </w:t>
      </w:r>
    </w:p>
    <w:p w14:paraId="5F3E3DD5"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Lozano, R., &amp; Reid, A. (2018). Socially responsible or reprehensible? Investors, electricity utility companies, and transformative change in Europe. </w:t>
      </w:r>
      <w:r w:rsidRPr="003F4FF4">
        <w:rPr>
          <w:rFonts w:ascii="Calibri" w:hAnsi="Calibri" w:cs="Calibri"/>
          <w:i/>
          <w:iCs/>
          <w:sz w:val="21"/>
          <w:szCs w:val="21"/>
        </w:rPr>
        <w:t>Energy Research &amp; Social Science</w:t>
      </w:r>
      <w:r w:rsidRPr="003F4FF4">
        <w:rPr>
          <w:rFonts w:ascii="Calibri" w:hAnsi="Calibri" w:cs="Calibri"/>
          <w:sz w:val="21"/>
          <w:szCs w:val="21"/>
        </w:rPr>
        <w:t xml:space="preserve">, </w:t>
      </w:r>
      <w:r w:rsidRPr="003F4FF4">
        <w:rPr>
          <w:rFonts w:ascii="Calibri" w:hAnsi="Calibri" w:cs="Calibri"/>
          <w:i/>
          <w:iCs/>
          <w:sz w:val="21"/>
          <w:szCs w:val="21"/>
        </w:rPr>
        <w:t>37</w:t>
      </w:r>
      <w:r w:rsidRPr="003F4FF4">
        <w:rPr>
          <w:rFonts w:ascii="Calibri" w:hAnsi="Calibri" w:cs="Calibri"/>
          <w:sz w:val="21"/>
          <w:szCs w:val="21"/>
        </w:rPr>
        <w:t>, 37-43.</w:t>
      </w:r>
    </w:p>
    <w:p w14:paraId="71D6F8E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Lüthi</w:t>
      </w:r>
      <w:proofErr w:type="spellEnd"/>
      <w:r w:rsidRPr="003F4FF4">
        <w:rPr>
          <w:rFonts w:ascii="Calibri" w:hAnsi="Calibri" w:cs="Calibri"/>
          <w:sz w:val="21"/>
          <w:szCs w:val="21"/>
        </w:rPr>
        <w:t xml:space="preserve">, S., &amp; </w:t>
      </w:r>
      <w:proofErr w:type="spellStart"/>
      <w:r w:rsidRPr="003F4FF4">
        <w:rPr>
          <w:rFonts w:ascii="Calibri" w:hAnsi="Calibri" w:cs="Calibri"/>
          <w:sz w:val="21"/>
          <w:szCs w:val="21"/>
        </w:rPr>
        <w:t>Prässler</w:t>
      </w:r>
      <w:proofErr w:type="spellEnd"/>
      <w:r w:rsidRPr="003F4FF4">
        <w:rPr>
          <w:rFonts w:ascii="Calibri" w:hAnsi="Calibri" w:cs="Calibri"/>
          <w:sz w:val="21"/>
          <w:szCs w:val="21"/>
        </w:rPr>
        <w:t xml:space="preserve">, T. (2011). </w:t>
      </w:r>
      <w:proofErr w:type="spellStart"/>
      <w:r w:rsidRPr="003F4FF4">
        <w:rPr>
          <w:rFonts w:ascii="Calibri" w:hAnsi="Calibri" w:cs="Calibri"/>
          <w:sz w:val="21"/>
          <w:szCs w:val="21"/>
        </w:rPr>
        <w:t>Analyzing</w:t>
      </w:r>
      <w:proofErr w:type="spellEnd"/>
      <w:r w:rsidRPr="003F4FF4">
        <w:rPr>
          <w:rFonts w:ascii="Calibri" w:hAnsi="Calibri" w:cs="Calibri"/>
          <w:sz w:val="21"/>
          <w:szCs w:val="21"/>
        </w:rPr>
        <w:t xml:space="preserve"> policy support instruments and regulatory risk factors for wind energy deployment—A developers' perspective.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39</w:t>
      </w:r>
      <w:r w:rsidRPr="003F4FF4">
        <w:rPr>
          <w:rFonts w:ascii="Calibri" w:hAnsi="Calibri" w:cs="Calibri"/>
          <w:sz w:val="21"/>
          <w:szCs w:val="21"/>
        </w:rPr>
        <w:t xml:space="preserve">(9), 4876-4892. </w:t>
      </w:r>
    </w:p>
    <w:p w14:paraId="5F18B985"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Lüthi</w:t>
      </w:r>
      <w:proofErr w:type="spellEnd"/>
      <w:r w:rsidRPr="003F4FF4">
        <w:rPr>
          <w:rFonts w:ascii="Calibri" w:hAnsi="Calibri" w:cs="Calibri"/>
          <w:sz w:val="21"/>
          <w:szCs w:val="21"/>
        </w:rPr>
        <w:t xml:space="preserve">, S., &amp; </w:t>
      </w:r>
      <w:proofErr w:type="spellStart"/>
      <w:r w:rsidRPr="003F4FF4">
        <w:rPr>
          <w:rFonts w:ascii="Calibri" w:hAnsi="Calibri" w:cs="Calibri"/>
          <w:sz w:val="21"/>
          <w:szCs w:val="21"/>
        </w:rPr>
        <w:t>Wüstenhagen</w:t>
      </w:r>
      <w:proofErr w:type="spellEnd"/>
      <w:r w:rsidRPr="003F4FF4">
        <w:rPr>
          <w:rFonts w:ascii="Calibri" w:hAnsi="Calibri" w:cs="Calibri"/>
          <w:sz w:val="21"/>
          <w:szCs w:val="21"/>
        </w:rPr>
        <w:t xml:space="preserve">, R. (2012). The price of policy risk—Empirical insights from choice experiments with European photovoltaic project developers. </w:t>
      </w:r>
      <w:r w:rsidRPr="003F4FF4">
        <w:rPr>
          <w:rFonts w:ascii="Calibri" w:hAnsi="Calibri" w:cs="Calibri"/>
          <w:i/>
          <w:iCs/>
          <w:sz w:val="21"/>
          <w:szCs w:val="21"/>
        </w:rPr>
        <w:t>Energy Economics</w:t>
      </w:r>
      <w:r w:rsidRPr="003F4FF4">
        <w:rPr>
          <w:rFonts w:ascii="Calibri" w:hAnsi="Calibri" w:cs="Calibri"/>
          <w:sz w:val="21"/>
          <w:szCs w:val="21"/>
        </w:rPr>
        <w:t xml:space="preserve">, </w:t>
      </w:r>
      <w:r w:rsidRPr="003F4FF4">
        <w:rPr>
          <w:rFonts w:ascii="Calibri" w:hAnsi="Calibri" w:cs="Calibri"/>
          <w:i/>
          <w:iCs/>
          <w:sz w:val="21"/>
          <w:szCs w:val="21"/>
        </w:rPr>
        <w:t>34</w:t>
      </w:r>
      <w:r w:rsidRPr="003F4FF4">
        <w:rPr>
          <w:rFonts w:ascii="Calibri" w:hAnsi="Calibri" w:cs="Calibri"/>
          <w:sz w:val="21"/>
          <w:szCs w:val="21"/>
        </w:rPr>
        <w:t>(4), 1001-1011.</w:t>
      </w:r>
    </w:p>
    <w:p w14:paraId="52921548" w14:textId="77777777" w:rsidR="00431638" w:rsidRPr="006A0CDD" w:rsidRDefault="00431638" w:rsidP="00D7335E">
      <w:pPr>
        <w:suppressLineNumbers/>
        <w:spacing w:line="276" w:lineRule="auto"/>
        <w:ind w:left="720" w:hanging="720"/>
        <w:rPr>
          <w:rFonts w:ascii="Calibri" w:eastAsia="Times New Roman" w:hAnsi="Calibri" w:cs="Calibri"/>
          <w:sz w:val="21"/>
          <w:szCs w:val="21"/>
        </w:rPr>
      </w:pPr>
      <w:proofErr w:type="spellStart"/>
      <w:r w:rsidRPr="003F4FF4">
        <w:rPr>
          <w:rFonts w:ascii="Calibri" w:eastAsia="Times New Roman" w:hAnsi="Calibri" w:cs="Calibri"/>
          <w:sz w:val="21"/>
          <w:szCs w:val="21"/>
          <w:shd w:val="clear" w:color="auto" w:fill="FFFFFF"/>
          <w:lang w:val="en-US"/>
        </w:rPr>
        <w:t>Mankiw</w:t>
      </w:r>
      <w:proofErr w:type="spellEnd"/>
      <w:r w:rsidRPr="003F4FF4">
        <w:rPr>
          <w:rFonts w:ascii="Calibri" w:eastAsia="Times New Roman" w:hAnsi="Calibri" w:cs="Calibri"/>
          <w:sz w:val="21"/>
          <w:szCs w:val="21"/>
          <w:shd w:val="clear" w:color="auto" w:fill="FFFFFF"/>
          <w:lang w:val="en-US"/>
        </w:rPr>
        <w:t>, G. (2013).</w:t>
      </w:r>
      <w:r w:rsidRPr="003F4FF4">
        <w:rPr>
          <w:rStyle w:val="apple-converted-space"/>
          <w:rFonts w:ascii="Calibri" w:eastAsia="Times New Roman" w:hAnsi="Calibri" w:cs="Calibri"/>
          <w:sz w:val="21"/>
          <w:szCs w:val="21"/>
          <w:shd w:val="clear" w:color="auto" w:fill="FFFFFF"/>
          <w:lang w:val="en-US"/>
        </w:rPr>
        <w:t> </w:t>
      </w:r>
      <w:r w:rsidRPr="003F4FF4">
        <w:rPr>
          <w:rFonts w:ascii="Calibri" w:eastAsia="Times New Roman" w:hAnsi="Calibri" w:cs="Calibri"/>
          <w:i/>
          <w:iCs/>
          <w:sz w:val="21"/>
          <w:szCs w:val="21"/>
          <w:lang w:val="en-US"/>
        </w:rPr>
        <w:t>Macroeconomics</w:t>
      </w:r>
      <w:r w:rsidRPr="003F4FF4">
        <w:rPr>
          <w:rFonts w:ascii="Calibri" w:eastAsia="Times New Roman" w:hAnsi="Calibri" w:cs="Calibri"/>
          <w:sz w:val="21"/>
          <w:szCs w:val="21"/>
          <w:shd w:val="clear" w:color="auto" w:fill="FFFFFF"/>
          <w:lang w:val="en-US"/>
        </w:rPr>
        <w:t xml:space="preserve">. </w:t>
      </w:r>
      <w:proofErr w:type="gramStart"/>
      <w:r w:rsidRPr="003F4FF4">
        <w:rPr>
          <w:rFonts w:ascii="Calibri" w:eastAsia="Times New Roman" w:hAnsi="Calibri" w:cs="Calibri"/>
          <w:sz w:val="21"/>
          <w:szCs w:val="21"/>
          <w:shd w:val="clear" w:color="auto" w:fill="FFFFFF"/>
          <w:lang w:val="en-US"/>
        </w:rPr>
        <w:t>8th</w:t>
      </w:r>
      <w:proofErr w:type="gramEnd"/>
      <w:r w:rsidRPr="003F4FF4">
        <w:rPr>
          <w:rFonts w:ascii="Calibri" w:eastAsia="Times New Roman" w:hAnsi="Calibri" w:cs="Calibri"/>
          <w:sz w:val="21"/>
          <w:szCs w:val="21"/>
          <w:shd w:val="clear" w:color="auto" w:fill="FFFFFF"/>
          <w:lang w:val="en-US"/>
        </w:rPr>
        <w:t xml:space="preserve"> ed. </w:t>
      </w:r>
      <w:proofErr w:type="spellStart"/>
      <w:r w:rsidRPr="006A0CDD">
        <w:rPr>
          <w:rFonts w:ascii="Calibri" w:eastAsia="Times New Roman" w:hAnsi="Calibri" w:cs="Calibri"/>
          <w:sz w:val="21"/>
          <w:szCs w:val="21"/>
          <w:shd w:val="clear" w:color="auto" w:fill="FFFFFF"/>
        </w:rPr>
        <w:t>Houndmills</w:t>
      </w:r>
      <w:proofErr w:type="spellEnd"/>
      <w:r w:rsidRPr="006A0CDD">
        <w:rPr>
          <w:rFonts w:ascii="Calibri" w:eastAsia="Times New Roman" w:hAnsi="Calibri" w:cs="Calibri"/>
          <w:sz w:val="21"/>
          <w:szCs w:val="21"/>
          <w:shd w:val="clear" w:color="auto" w:fill="FFFFFF"/>
        </w:rPr>
        <w:t xml:space="preserve">: Palgrave Macmillan. </w:t>
      </w:r>
    </w:p>
    <w:p w14:paraId="49474F8F"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lang w:val="de-CH"/>
        </w:rPr>
        <w:t xml:space="preserve">Markkanen, S., &amp; Anger-Kraavi, A. (2019). </w:t>
      </w:r>
      <w:r w:rsidRPr="003F4FF4">
        <w:rPr>
          <w:rFonts w:ascii="Calibri" w:hAnsi="Calibri" w:cs="Calibri"/>
          <w:sz w:val="21"/>
          <w:szCs w:val="21"/>
        </w:rPr>
        <w:t xml:space="preserve">Social impacts of climate change mitigation policies and their implications for inequality. </w:t>
      </w:r>
      <w:r w:rsidRPr="003F4FF4">
        <w:rPr>
          <w:rFonts w:ascii="Calibri" w:hAnsi="Calibri" w:cs="Calibri"/>
          <w:i/>
          <w:iCs/>
          <w:sz w:val="21"/>
          <w:szCs w:val="21"/>
        </w:rPr>
        <w:t>Climate Policy</w:t>
      </w:r>
      <w:r w:rsidRPr="003F4FF4">
        <w:rPr>
          <w:rFonts w:ascii="Calibri" w:hAnsi="Calibri" w:cs="Calibri"/>
          <w:sz w:val="21"/>
          <w:szCs w:val="21"/>
        </w:rPr>
        <w:t xml:space="preserve">, 1-18. </w:t>
      </w:r>
    </w:p>
    <w:p w14:paraId="4FC40A13"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Martin, N. J., &amp; Rice, J. L. (2012). Developing renewable energy supply in Queensland, Australia: A study of the barriers, targets, policies and actions. </w:t>
      </w:r>
      <w:r w:rsidRPr="003F4FF4">
        <w:rPr>
          <w:rFonts w:ascii="Calibri" w:hAnsi="Calibri" w:cs="Calibri"/>
          <w:i/>
          <w:iCs/>
          <w:sz w:val="21"/>
          <w:szCs w:val="21"/>
        </w:rPr>
        <w:t>Renewable Energy</w:t>
      </w:r>
      <w:r w:rsidRPr="003F4FF4">
        <w:rPr>
          <w:rFonts w:ascii="Calibri" w:hAnsi="Calibri" w:cs="Calibri"/>
          <w:sz w:val="21"/>
          <w:szCs w:val="21"/>
        </w:rPr>
        <w:t xml:space="preserve">, </w:t>
      </w:r>
      <w:r w:rsidRPr="003F4FF4">
        <w:rPr>
          <w:rFonts w:ascii="Calibri" w:hAnsi="Calibri" w:cs="Calibri"/>
          <w:i/>
          <w:iCs/>
          <w:sz w:val="21"/>
          <w:szCs w:val="21"/>
        </w:rPr>
        <w:t>44</w:t>
      </w:r>
      <w:r w:rsidRPr="003F4FF4">
        <w:rPr>
          <w:rFonts w:ascii="Calibri" w:hAnsi="Calibri" w:cs="Calibri"/>
          <w:sz w:val="21"/>
          <w:szCs w:val="21"/>
        </w:rPr>
        <w:t>, 119-127.</w:t>
      </w:r>
    </w:p>
    <w:p w14:paraId="2EC34EAC"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Masini</w:t>
      </w:r>
      <w:proofErr w:type="spellEnd"/>
      <w:r w:rsidRPr="003F4FF4">
        <w:rPr>
          <w:rFonts w:ascii="Calibri" w:hAnsi="Calibri" w:cs="Calibri"/>
          <w:sz w:val="21"/>
          <w:szCs w:val="21"/>
        </w:rPr>
        <w:t xml:space="preserve">, A., &amp; </w:t>
      </w:r>
      <w:proofErr w:type="spellStart"/>
      <w:r w:rsidRPr="003F4FF4">
        <w:rPr>
          <w:rFonts w:ascii="Calibri" w:hAnsi="Calibri" w:cs="Calibri"/>
          <w:sz w:val="21"/>
          <w:szCs w:val="21"/>
        </w:rPr>
        <w:t>Menichetti</w:t>
      </w:r>
      <w:proofErr w:type="spellEnd"/>
      <w:r w:rsidRPr="003F4FF4">
        <w:rPr>
          <w:rFonts w:ascii="Calibri" w:hAnsi="Calibri" w:cs="Calibri"/>
          <w:sz w:val="21"/>
          <w:szCs w:val="21"/>
        </w:rPr>
        <w:t xml:space="preserve">, E. (2012). The impact of behavioural factors in the renewable energy investment </w:t>
      </w:r>
      <w:proofErr w:type="gramStart"/>
      <w:r w:rsidRPr="003F4FF4">
        <w:rPr>
          <w:rFonts w:ascii="Calibri" w:hAnsi="Calibri" w:cs="Calibri"/>
          <w:sz w:val="21"/>
          <w:szCs w:val="21"/>
        </w:rPr>
        <w:t>decision making</w:t>
      </w:r>
      <w:proofErr w:type="gramEnd"/>
      <w:r w:rsidRPr="003F4FF4">
        <w:rPr>
          <w:rFonts w:ascii="Calibri" w:hAnsi="Calibri" w:cs="Calibri"/>
          <w:sz w:val="21"/>
          <w:szCs w:val="21"/>
        </w:rPr>
        <w:t xml:space="preserve"> process: Conceptual framework and empirical findings.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40</w:t>
      </w:r>
      <w:r w:rsidRPr="003F4FF4">
        <w:rPr>
          <w:rFonts w:ascii="Calibri" w:hAnsi="Calibri" w:cs="Calibri"/>
          <w:sz w:val="21"/>
          <w:szCs w:val="21"/>
        </w:rPr>
        <w:t>, 28-38.</w:t>
      </w:r>
    </w:p>
    <w:p w14:paraId="15ADF92C"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Masini</w:t>
      </w:r>
      <w:proofErr w:type="spellEnd"/>
      <w:r w:rsidRPr="003F4FF4">
        <w:rPr>
          <w:rFonts w:ascii="Calibri" w:hAnsi="Calibri" w:cs="Calibri"/>
          <w:sz w:val="21"/>
          <w:szCs w:val="21"/>
        </w:rPr>
        <w:t xml:space="preserve">, A., &amp; </w:t>
      </w:r>
      <w:proofErr w:type="spellStart"/>
      <w:r w:rsidRPr="003F4FF4">
        <w:rPr>
          <w:rFonts w:ascii="Calibri" w:hAnsi="Calibri" w:cs="Calibri"/>
          <w:sz w:val="21"/>
          <w:szCs w:val="21"/>
        </w:rPr>
        <w:t>Menichetti</w:t>
      </w:r>
      <w:proofErr w:type="spellEnd"/>
      <w:r w:rsidRPr="003F4FF4">
        <w:rPr>
          <w:rFonts w:ascii="Calibri" w:hAnsi="Calibri" w:cs="Calibri"/>
          <w:sz w:val="21"/>
          <w:szCs w:val="21"/>
        </w:rPr>
        <w:t xml:space="preserve">, E. (2013). Investment decisions in the renewable energy sector: An analysis of non-financial drivers. </w:t>
      </w:r>
      <w:r w:rsidRPr="003F4FF4">
        <w:rPr>
          <w:rFonts w:ascii="Calibri" w:hAnsi="Calibri" w:cs="Calibri"/>
          <w:i/>
          <w:iCs/>
          <w:sz w:val="21"/>
          <w:szCs w:val="21"/>
        </w:rPr>
        <w:t>Technological Forecasting and Social Change</w:t>
      </w:r>
      <w:r w:rsidRPr="003F4FF4">
        <w:rPr>
          <w:rFonts w:ascii="Calibri" w:hAnsi="Calibri" w:cs="Calibri"/>
          <w:sz w:val="21"/>
          <w:szCs w:val="21"/>
        </w:rPr>
        <w:t xml:space="preserve">, </w:t>
      </w:r>
      <w:r w:rsidRPr="003F4FF4">
        <w:rPr>
          <w:rFonts w:ascii="Calibri" w:hAnsi="Calibri" w:cs="Calibri"/>
          <w:i/>
          <w:iCs/>
          <w:sz w:val="21"/>
          <w:szCs w:val="21"/>
        </w:rPr>
        <w:t>80</w:t>
      </w:r>
      <w:r w:rsidRPr="003F4FF4">
        <w:rPr>
          <w:rFonts w:ascii="Calibri" w:hAnsi="Calibri" w:cs="Calibri"/>
          <w:sz w:val="21"/>
          <w:szCs w:val="21"/>
        </w:rPr>
        <w:t>(3), 510-524.</w:t>
      </w:r>
    </w:p>
    <w:p w14:paraId="4E3CDAE9"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lastRenderedPageBreak/>
        <w:t>Matikainen</w:t>
      </w:r>
      <w:proofErr w:type="spellEnd"/>
      <w:r w:rsidRPr="003F4FF4">
        <w:rPr>
          <w:rFonts w:ascii="Calibri" w:hAnsi="Calibri" w:cs="Calibri"/>
          <w:sz w:val="21"/>
          <w:szCs w:val="21"/>
        </w:rPr>
        <w:t xml:space="preserve">, S., Campiglio, E., &amp; </w:t>
      </w:r>
      <w:proofErr w:type="spellStart"/>
      <w:r w:rsidRPr="003F4FF4">
        <w:rPr>
          <w:rFonts w:ascii="Calibri" w:hAnsi="Calibri" w:cs="Calibri"/>
          <w:sz w:val="21"/>
          <w:szCs w:val="21"/>
        </w:rPr>
        <w:t>Zenghelis</w:t>
      </w:r>
      <w:proofErr w:type="spellEnd"/>
      <w:r w:rsidRPr="003F4FF4">
        <w:rPr>
          <w:rFonts w:ascii="Calibri" w:hAnsi="Calibri" w:cs="Calibri"/>
          <w:sz w:val="21"/>
          <w:szCs w:val="21"/>
        </w:rPr>
        <w:t xml:space="preserve">, D. (2017). The climate impact of quantitative easing. </w:t>
      </w:r>
      <w:r w:rsidRPr="003F4FF4">
        <w:rPr>
          <w:rFonts w:ascii="Calibri" w:hAnsi="Calibri" w:cs="Calibri"/>
          <w:i/>
          <w:iCs/>
          <w:sz w:val="21"/>
          <w:szCs w:val="21"/>
        </w:rPr>
        <w:t>Policy Paper, Grantham Research Institute on Climate Change and the Environment, London School of Economics and Political Science</w:t>
      </w:r>
      <w:r w:rsidRPr="003F4FF4">
        <w:rPr>
          <w:rFonts w:ascii="Calibri" w:hAnsi="Calibri" w:cs="Calibri"/>
          <w:sz w:val="21"/>
          <w:szCs w:val="21"/>
        </w:rPr>
        <w:t>.</w:t>
      </w:r>
    </w:p>
    <w:p w14:paraId="0FA6F2E4"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Mazzucato</w:t>
      </w:r>
      <w:proofErr w:type="spellEnd"/>
      <w:r w:rsidRPr="003F4FF4">
        <w:rPr>
          <w:rFonts w:ascii="Calibri" w:hAnsi="Calibri" w:cs="Calibri"/>
          <w:sz w:val="21"/>
          <w:szCs w:val="21"/>
        </w:rPr>
        <w:t xml:space="preserve">, M. (2016). From market fixing to </w:t>
      </w:r>
      <w:proofErr w:type="gramStart"/>
      <w:r w:rsidRPr="003F4FF4">
        <w:rPr>
          <w:rFonts w:ascii="Calibri" w:hAnsi="Calibri" w:cs="Calibri"/>
          <w:sz w:val="21"/>
          <w:szCs w:val="21"/>
        </w:rPr>
        <w:t>market-creating</w:t>
      </w:r>
      <w:proofErr w:type="gramEnd"/>
      <w:r w:rsidRPr="003F4FF4">
        <w:rPr>
          <w:rFonts w:ascii="Calibri" w:hAnsi="Calibri" w:cs="Calibri"/>
          <w:sz w:val="21"/>
          <w:szCs w:val="21"/>
        </w:rPr>
        <w:t xml:space="preserve">: a new framework for innovation policy. </w:t>
      </w:r>
      <w:r w:rsidRPr="003F4FF4">
        <w:rPr>
          <w:rFonts w:ascii="Calibri" w:hAnsi="Calibri" w:cs="Calibri"/>
          <w:i/>
          <w:iCs/>
          <w:sz w:val="21"/>
          <w:szCs w:val="21"/>
        </w:rPr>
        <w:t>Industry and Innovation</w:t>
      </w:r>
      <w:r w:rsidRPr="003F4FF4">
        <w:rPr>
          <w:rFonts w:ascii="Calibri" w:hAnsi="Calibri" w:cs="Calibri"/>
          <w:sz w:val="21"/>
          <w:szCs w:val="21"/>
        </w:rPr>
        <w:t xml:space="preserve">, </w:t>
      </w:r>
      <w:r w:rsidRPr="003F4FF4">
        <w:rPr>
          <w:rFonts w:ascii="Calibri" w:hAnsi="Calibri" w:cs="Calibri"/>
          <w:i/>
          <w:iCs/>
          <w:sz w:val="21"/>
          <w:szCs w:val="21"/>
        </w:rPr>
        <w:t>23</w:t>
      </w:r>
      <w:r w:rsidRPr="003F4FF4">
        <w:rPr>
          <w:rFonts w:ascii="Calibri" w:hAnsi="Calibri" w:cs="Calibri"/>
          <w:sz w:val="21"/>
          <w:szCs w:val="21"/>
        </w:rPr>
        <w:t xml:space="preserve">(2), 140-156. </w:t>
      </w:r>
    </w:p>
    <w:p w14:paraId="12C0CAEE"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proofErr w:type="spellStart"/>
      <w:r w:rsidRPr="003F4FF4">
        <w:rPr>
          <w:rFonts w:ascii="Calibri" w:hAnsi="Calibri" w:cs="Calibri"/>
          <w:sz w:val="21"/>
          <w:szCs w:val="21"/>
        </w:rPr>
        <w:t>Mazzucato</w:t>
      </w:r>
      <w:proofErr w:type="spellEnd"/>
      <w:r w:rsidRPr="003F4FF4">
        <w:rPr>
          <w:rFonts w:ascii="Calibri" w:hAnsi="Calibri" w:cs="Calibri"/>
          <w:sz w:val="21"/>
          <w:szCs w:val="21"/>
        </w:rPr>
        <w:t xml:space="preserve">, M., &amp; </w:t>
      </w:r>
      <w:proofErr w:type="spellStart"/>
      <w:r w:rsidRPr="003F4FF4">
        <w:rPr>
          <w:rFonts w:ascii="Calibri" w:hAnsi="Calibri" w:cs="Calibri"/>
          <w:sz w:val="21"/>
          <w:szCs w:val="21"/>
        </w:rPr>
        <w:t>Penna</w:t>
      </w:r>
      <w:proofErr w:type="spellEnd"/>
      <w:r w:rsidRPr="003F4FF4">
        <w:rPr>
          <w:rFonts w:ascii="Calibri" w:hAnsi="Calibri" w:cs="Calibri"/>
          <w:sz w:val="21"/>
          <w:szCs w:val="21"/>
        </w:rPr>
        <w:t xml:space="preserve">, C. C. (2016). Beyond market failures: The market creating and shaping roles of state investment banks. </w:t>
      </w:r>
      <w:r w:rsidRPr="003F4FF4">
        <w:rPr>
          <w:rFonts w:ascii="Calibri" w:hAnsi="Calibri" w:cs="Calibri"/>
          <w:i/>
          <w:iCs/>
          <w:sz w:val="21"/>
          <w:szCs w:val="21"/>
        </w:rPr>
        <w:t>Journal of Economic Policy Reform</w:t>
      </w:r>
      <w:r w:rsidRPr="003F4FF4">
        <w:rPr>
          <w:rFonts w:ascii="Calibri" w:hAnsi="Calibri" w:cs="Calibri"/>
          <w:sz w:val="21"/>
          <w:szCs w:val="21"/>
        </w:rPr>
        <w:t xml:space="preserve">, </w:t>
      </w:r>
      <w:r w:rsidRPr="003F4FF4">
        <w:rPr>
          <w:rFonts w:ascii="Calibri" w:hAnsi="Calibri" w:cs="Calibri"/>
          <w:i/>
          <w:iCs/>
          <w:sz w:val="21"/>
          <w:szCs w:val="21"/>
        </w:rPr>
        <w:t>19</w:t>
      </w:r>
      <w:r w:rsidRPr="003F4FF4">
        <w:rPr>
          <w:rFonts w:ascii="Calibri" w:hAnsi="Calibri" w:cs="Calibri"/>
          <w:sz w:val="21"/>
          <w:szCs w:val="21"/>
        </w:rPr>
        <w:t xml:space="preserve">(4), 305-326. </w:t>
      </w:r>
    </w:p>
    <w:p w14:paraId="0935C57C"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Mazzucato</w:t>
      </w:r>
      <w:proofErr w:type="spellEnd"/>
      <w:r w:rsidRPr="003F4FF4">
        <w:rPr>
          <w:rFonts w:ascii="Calibri" w:hAnsi="Calibri" w:cs="Calibri"/>
          <w:sz w:val="21"/>
          <w:szCs w:val="21"/>
        </w:rPr>
        <w:t xml:space="preserve">, M., &amp; </w:t>
      </w:r>
      <w:proofErr w:type="spellStart"/>
      <w:r w:rsidRPr="003F4FF4">
        <w:rPr>
          <w:rFonts w:ascii="Calibri" w:hAnsi="Calibri" w:cs="Calibri"/>
          <w:sz w:val="21"/>
          <w:szCs w:val="21"/>
        </w:rPr>
        <w:t>Semieniuk</w:t>
      </w:r>
      <w:proofErr w:type="spellEnd"/>
      <w:r w:rsidRPr="003F4FF4">
        <w:rPr>
          <w:rFonts w:ascii="Calibri" w:hAnsi="Calibri" w:cs="Calibri"/>
          <w:sz w:val="21"/>
          <w:szCs w:val="21"/>
        </w:rPr>
        <w:t xml:space="preserve">, G. (2018). Financing renewable energy: Who is financing what and why it matters. </w:t>
      </w:r>
      <w:r w:rsidRPr="003F4FF4">
        <w:rPr>
          <w:rFonts w:ascii="Calibri" w:hAnsi="Calibri" w:cs="Calibri"/>
          <w:i/>
          <w:iCs/>
          <w:sz w:val="21"/>
          <w:szCs w:val="21"/>
        </w:rPr>
        <w:t>Technological Forecasting and Social Change</w:t>
      </w:r>
      <w:r w:rsidRPr="003F4FF4">
        <w:rPr>
          <w:rFonts w:ascii="Calibri" w:hAnsi="Calibri" w:cs="Calibri"/>
          <w:sz w:val="21"/>
          <w:szCs w:val="21"/>
        </w:rPr>
        <w:t xml:space="preserve">, </w:t>
      </w:r>
      <w:r w:rsidRPr="003F4FF4">
        <w:rPr>
          <w:rFonts w:ascii="Calibri" w:hAnsi="Calibri" w:cs="Calibri"/>
          <w:i/>
          <w:iCs/>
          <w:sz w:val="21"/>
          <w:szCs w:val="21"/>
        </w:rPr>
        <w:t>127</w:t>
      </w:r>
      <w:r w:rsidRPr="003F4FF4">
        <w:rPr>
          <w:rFonts w:ascii="Calibri" w:hAnsi="Calibri" w:cs="Calibri"/>
          <w:sz w:val="21"/>
          <w:szCs w:val="21"/>
        </w:rPr>
        <w:t>, 8-22.</w:t>
      </w:r>
    </w:p>
    <w:p w14:paraId="6EE5E249"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McInerney</w:t>
      </w:r>
      <w:proofErr w:type="spellEnd"/>
      <w:r w:rsidRPr="003F4FF4">
        <w:rPr>
          <w:rFonts w:ascii="Calibri" w:hAnsi="Calibri" w:cs="Calibri"/>
          <w:sz w:val="21"/>
          <w:szCs w:val="21"/>
        </w:rPr>
        <w:t xml:space="preserve">, C., &amp; Bunn, D. W. (2019). Expansion of the investor base for the energy transition.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129</w:t>
      </w:r>
      <w:r w:rsidRPr="003F4FF4">
        <w:rPr>
          <w:rFonts w:ascii="Calibri" w:hAnsi="Calibri" w:cs="Calibri"/>
          <w:sz w:val="21"/>
          <w:szCs w:val="21"/>
        </w:rPr>
        <w:t>, 1240-1244.</w:t>
      </w:r>
    </w:p>
    <w:p w14:paraId="04270C39"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Meltzer, J. P. (2016). Financing low carbon, climate resilient infrastructure: the role of climate finance and green financial systems. </w:t>
      </w:r>
      <w:r w:rsidRPr="003F4FF4">
        <w:rPr>
          <w:rFonts w:ascii="Calibri" w:hAnsi="Calibri" w:cs="Calibri"/>
          <w:i/>
          <w:iCs/>
          <w:sz w:val="21"/>
          <w:szCs w:val="21"/>
        </w:rPr>
        <w:t>Climate Resilient Infrastructure: The Role of Climate Finance and Green Financial Systems (September 21, 2016)</w:t>
      </w:r>
      <w:r w:rsidRPr="003F4FF4">
        <w:rPr>
          <w:rFonts w:ascii="Calibri" w:hAnsi="Calibri" w:cs="Calibri"/>
          <w:sz w:val="21"/>
          <w:szCs w:val="21"/>
        </w:rPr>
        <w:t xml:space="preserve">. Available at SSRN: </w:t>
      </w:r>
      <w:hyperlink r:id="rId70" w:tgtFrame="_blank" w:history="1">
        <w:r w:rsidRPr="003F4FF4">
          <w:rPr>
            <w:rStyle w:val="Hyperlink"/>
            <w:rFonts w:ascii="Calibri" w:hAnsi="Calibri" w:cs="Calibri"/>
            <w:sz w:val="21"/>
            <w:szCs w:val="21"/>
          </w:rPr>
          <w:t>https://ssrn.com/abstract=2841918</w:t>
        </w:r>
      </w:hyperlink>
      <w:r w:rsidRPr="003F4FF4">
        <w:rPr>
          <w:rFonts w:ascii="Calibri" w:hAnsi="Calibri" w:cs="Calibri"/>
          <w:sz w:val="21"/>
          <w:szCs w:val="21"/>
        </w:rPr>
        <w:t xml:space="preserve"> or </w:t>
      </w:r>
      <w:r w:rsidRPr="003F4FF4">
        <w:rPr>
          <w:rStyle w:val="Hyperlink"/>
          <w:rFonts w:ascii="Calibri" w:hAnsi="Calibri" w:cs="Calibri"/>
          <w:sz w:val="21"/>
          <w:szCs w:val="21"/>
        </w:rPr>
        <w:t>http://dx.doi.org/10.2139/ssrn.2841918 (</w:t>
      </w:r>
      <w:r w:rsidRPr="003F4FF4">
        <w:rPr>
          <w:rStyle w:val="Hyperlink"/>
          <w:rFonts w:ascii="Calibri" w:eastAsia="Calibri" w:hAnsi="Calibri" w:cs="Calibri"/>
          <w:sz w:val="21"/>
          <w:szCs w:val="21"/>
        </w:rPr>
        <w:t xml:space="preserve">Accessed </w:t>
      </w:r>
      <w:r w:rsidRPr="003F4FF4">
        <w:rPr>
          <w:rStyle w:val="Hyperlink"/>
          <w:rFonts w:ascii="Calibri" w:eastAsia="Times New Roman" w:hAnsi="Calibri" w:cs="Calibri"/>
          <w:sz w:val="21"/>
          <w:szCs w:val="21"/>
          <w:lang w:eastAsia="en-GB"/>
        </w:rPr>
        <w:t>02.05.2019).</w:t>
      </w:r>
    </w:p>
    <w:p w14:paraId="690CAA5D"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Mercer (2015). Investing in a time of climate change. Available at: </w:t>
      </w:r>
      <w:hyperlink r:id="rId71">
        <w:r w:rsidRPr="003F4FF4">
          <w:rPr>
            <w:rStyle w:val="Hyperlink"/>
            <w:rFonts w:ascii="Calibri" w:eastAsia="Calibri" w:hAnsi="Calibri" w:cs="Calibri"/>
            <w:sz w:val="21"/>
            <w:szCs w:val="21"/>
          </w:rPr>
          <w:t>https://www.mercer.com/content/dam/mercer/attachments/global/investments/mercer-climate-change-report-2015.pdf</w:t>
        </w:r>
      </w:hyperlink>
      <w:r w:rsidRPr="003F4FF4">
        <w:rPr>
          <w:rFonts w:ascii="Calibri" w:eastAsia="Calibri" w:hAnsi="Calibri" w:cs="Calibri"/>
          <w:sz w:val="21"/>
          <w:szCs w:val="21"/>
        </w:rPr>
        <w:t xml:space="preserve"> (Accessed 14.05.2019).</w:t>
      </w:r>
    </w:p>
    <w:p w14:paraId="25F0B2D0" w14:textId="77777777" w:rsidR="00431638" w:rsidRPr="003F4FF4" w:rsidRDefault="00431638" w:rsidP="00D7335E">
      <w:pPr>
        <w:suppressLineNumbers/>
        <w:spacing w:line="276" w:lineRule="auto"/>
        <w:ind w:left="720" w:hanging="720"/>
        <w:rPr>
          <w:rFonts w:ascii="Calibri" w:eastAsia="Times New Roman" w:hAnsi="Calibri" w:cs="Calibri"/>
          <w:sz w:val="21"/>
          <w:szCs w:val="21"/>
          <w:lang w:eastAsia="en-GB"/>
        </w:rPr>
      </w:pPr>
      <w:r w:rsidRPr="003F4FF4">
        <w:rPr>
          <w:rFonts w:ascii="Calibri" w:eastAsia="Times New Roman" w:hAnsi="Calibri" w:cs="Calibri"/>
          <w:sz w:val="21"/>
          <w:szCs w:val="21"/>
          <w:lang w:eastAsia="en-GB"/>
        </w:rPr>
        <w:t xml:space="preserve">Mercer (2018). </w:t>
      </w:r>
      <w:r w:rsidRPr="003F4FF4">
        <w:rPr>
          <w:rFonts w:ascii="Calibri" w:eastAsia="Times New Roman" w:hAnsi="Calibri" w:cs="Calibri"/>
          <w:i/>
          <w:sz w:val="21"/>
          <w:szCs w:val="21"/>
          <w:lang w:eastAsia="en-GB"/>
        </w:rPr>
        <w:t>Asset Allocation Survey European Institutional Marketplace Overview 2018</w:t>
      </w:r>
      <w:r w:rsidRPr="003F4FF4">
        <w:rPr>
          <w:rFonts w:ascii="Calibri" w:eastAsia="Times New Roman" w:hAnsi="Calibri" w:cs="Calibri"/>
          <w:sz w:val="21"/>
          <w:szCs w:val="21"/>
          <w:lang w:eastAsia="en-GB"/>
        </w:rPr>
        <w:t xml:space="preserve">. Available at: </w:t>
      </w:r>
      <w:hyperlink r:id="rId72" w:history="1">
        <w:r w:rsidRPr="003F4FF4">
          <w:rPr>
            <w:rStyle w:val="Hyperlink"/>
            <w:rFonts w:ascii="Calibri" w:eastAsia="Times New Roman" w:hAnsi="Calibri" w:cs="Calibri"/>
            <w:sz w:val="21"/>
            <w:szCs w:val="21"/>
            <w:lang w:eastAsia="en-GB"/>
          </w:rPr>
          <w:t>https://www.uk.mercer.com/our-thinking/wealth/european-asset-allocation-report-2018.html</w:t>
        </w:r>
      </w:hyperlink>
      <w:r w:rsidRPr="003F4FF4">
        <w:rPr>
          <w:rFonts w:ascii="Calibri" w:eastAsia="Times New Roman" w:hAnsi="Calibri" w:cs="Calibri"/>
          <w:sz w:val="21"/>
          <w:szCs w:val="21"/>
          <w:lang w:eastAsia="en-GB"/>
        </w:rPr>
        <w:t xml:space="preserve"> (</w:t>
      </w:r>
      <w:r w:rsidRPr="003F4FF4">
        <w:rPr>
          <w:rFonts w:ascii="Calibri" w:eastAsia="Calibri" w:hAnsi="Calibri" w:cs="Calibri"/>
          <w:sz w:val="21"/>
          <w:szCs w:val="21"/>
        </w:rPr>
        <w:t xml:space="preserve">Accessed </w:t>
      </w:r>
      <w:r w:rsidRPr="003F4FF4">
        <w:rPr>
          <w:rFonts w:ascii="Calibri" w:eastAsia="Times New Roman" w:hAnsi="Calibri" w:cs="Calibri"/>
          <w:sz w:val="21"/>
          <w:szCs w:val="21"/>
          <w:lang w:eastAsia="en-GB"/>
        </w:rPr>
        <w:t xml:space="preserve">02.05.2019). </w:t>
      </w:r>
    </w:p>
    <w:p w14:paraId="1E08A729"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Mielke</w:t>
      </w:r>
      <w:proofErr w:type="spellEnd"/>
      <w:r w:rsidRPr="003F4FF4">
        <w:rPr>
          <w:rFonts w:ascii="Calibri" w:hAnsi="Calibri" w:cs="Calibri"/>
          <w:sz w:val="21"/>
          <w:szCs w:val="21"/>
        </w:rPr>
        <w:t xml:space="preserve">, J. (2019). Signals for 2° C: the influence of policies, market factors and civil society actions on investment decisions for green infrastructure. </w:t>
      </w:r>
      <w:r w:rsidRPr="003F4FF4">
        <w:rPr>
          <w:rFonts w:ascii="Calibri" w:hAnsi="Calibri" w:cs="Calibri"/>
          <w:i/>
          <w:iCs/>
          <w:sz w:val="21"/>
          <w:szCs w:val="21"/>
        </w:rPr>
        <w:t>Journal of Sustainable Finance &amp; Investment</w:t>
      </w:r>
      <w:r w:rsidRPr="003F4FF4">
        <w:rPr>
          <w:rFonts w:ascii="Calibri" w:hAnsi="Calibri" w:cs="Calibri"/>
          <w:sz w:val="21"/>
          <w:szCs w:val="21"/>
        </w:rPr>
        <w:t xml:space="preserve">, </w:t>
      </w:r>
      <w:r w:rsidRPr="003F4FF4">
        <w:rPr>
          <w:rFonts w:ascii="Calibri" w:hAnsi="Calibri" w:cs="Calibri"/>
          <w:i/>
          <w:iCs/>
          <w:sz w:val="21"/>
          <w:szCs w:val="21"/>
        </w:rPr>
        <w:t>9</w:t>
      </w:r>
      <w:r w:rsidRPr="003F4FF4">
        <w:rPr>
          <w:rFonts w:ascii="Calibri" w:hAnsi="Calibri" w:cs="Calibri"/>
          <w:sz w:val="21"/>
          <w:szCs w:val="21"/>
        </w:rPr>
        <w:t>(2), 87-115.</w:t>
      </w:r>
    </w:p>
    <w:p w14:paraId="4D01A251"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Millar, R. J., Hepburn, C., </w:t>
      </w:r>
      <w:proofErr w:type="spellStart"/>
      <w:r w:rsidRPr="003F4FF4">
        <w:rPr>
          <w:rFonts w:ascii="Calibri" w:hAnsi="Calibri" w:cs="Calibri"/>
          <w:sz w:val="21"/>
          <w:szCs w:val="21"/>
        </w:rPr>
        <w:t>Beddington</w:t>
      </w:r>
      <w:proofErr w:type="spellEnd"/>
      <w:r w:rsidRPr="003F4FF4">
        <w:rPr>
          <w:rFonts w:ascii="Calibri" w:hAnsi="Calibri" w:cs="Calibri"/>
          <w:sz w:val="21"/>
          <w:szCs w:val="21"/>
        </w:rPr>
        <w:t xml:space="preserve">, J., &amp; Allen, M. R. (2018). Principles to guide investment towards a stable climate. </w:t>
      </w:r>
      <w:r w:rsidRPr="003F4FF4">
        <w:rPr>
          <w:rFonts w:ascii="Calibri" w:hAnsi="Calibri" w:cs="Calibri"/>
          <w:i/>
          <w:iCs/>
          <w:sz w:val="21"/>
          <w:szCs w:val="21"/>
        </w:rPr>
        <w:t>Nature Climate Change</w:t>
      </w:r>
      <w:r w:rsidRPr="003F4FF4">
        <w:rPr>
          <w:rFonts w:ascii="Calibri" w:hAnsi="Calibri" w:cs="Calibri"/>
          <w:sz w:val="21"/>
          <w:szCs w:val="21"/>
        </w:rPr>
        <w:t xml:space="preserve">, </w:t>
      </w:r>
      <w:r w:rsidRPr="003F4FF4">
        <w:rPr>
          <w:rFonts w:ascii="Calibri" w:hAnsi="Calibri" w:cs="Calibri"/>
          <w:i/>
          <w:iCs/>
          <w:sz w:val="21"/>
          <w:szCs w:val="21"/>
        </w:rPr>
        <w:t>8</w:t>
      </w:r>
      <w:r w:rsidRPr="003F4FF4">
        <w:rPr>
          <w:rFonts w:ascii="Calibri" w:hAnsi="Calibri" w:cs="Calibri"/>
          <w:sz w:val="21"/>
          <w:szCs w:val="21"/>
        </w:rPr>
        <w:t>(1), 2.</w:t>
      </w:r>
    </w:p>
    <w:p w14:paraId="52BCCFC5"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Monasterolo, I., &amp; </w:t>
      </w:r>
      <w:proofErr w:type="spellStart"/>
      <w:r w:rsidRPr="003F4FF4">
        <w:rPr>
          <w:rFonts w:ascii="Calibri" w:hAnsi="Calibri" w:cs="Calibri"/>
          <w:sz w:val="21"/>
          <w:szCs w:val="21"/>
        </w:rPr>
        <w:t>Raberto</w:t>
      </w:r>
      <w:proofErr w:type="spellEnd"/>
      <w:r w:rsidRPr="003F4FF4">
        <w:rPr>
          <w:rFonts w:ascii="Calibri" w:hAnsi="Calibri" w:cs="Calibri"/>
          <w:sz w:val="21"/>
          <w:szCs w:val="21"/>
        </w:rPr>
        <w:t xml:space="preserve">, M. (2019). The impact of phasing out fossil fuel subsidies on the low-carbon transition.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124</w:t>
      </w:r>
      <w:r w:rsidRPr="003F4FF4">
        <w:rPr>
          <w:rFonts w:ascii="Calibri" w:hAnsi="Calibri" w:cs="Calibri"/>
          <w:sz w:val="21"/>
          <w:szCs w:val="21"/>
        </w:rPr>
        <w:t>, 355-370.</w:t>
      </w:r>
    </w:p>
    <w:p w14:paraId="307BAA4F"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Style w:val="personname"/>
          <w:rFonts w:ascii="Calibri" w:hAnsi="Calibri" w:cs="Calibri"/>
          <w:sz w:val="21"/>
          <w:szCs w:val="21"/>
        </w:rPr>
        <w:t>Nachmany</w:t>
      </w:r>
      <w:proofErr w:type="spellEnd"/>
      <w:r w:rsidRPr="003F4FF4">
        <w:rPr>
          <w:rStyle w:val="personname"/>
          <w:rFonts w:ascii="Calibri" w:hAnsi="Calibri" w:cs="Calibri"/>
          <w:sz w:val="21"/>
          <w:szCs w:val="21"/>
        </w:rPr>
        <w:t>, M.</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Frankhauser</w:t>
      </w:r>
      <w:proofErr w:type="spellEnd"/>
      <w:r w:rsidRPr="003F4FF4">
        <w:rPr>
          <w:rStyle w:val="personname"/>
          <w:rFonts w:ascii="Calibri" w:hAnsi="Calibri" w:cs="Calibri"/>
          <w:sz w:val="21"/>
          <w:szCs w:val="21"/>
        </w:rPr>
        <w:t>, S.</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Davidová</w:t>
      </w:r>
      <w:proofErr w:type="spellEnd"/>
      <w:r w:rsidRPr="003F4FF4">
        <w:rPr>
          <w:rStyle w:val="personname"/>
          <w:rFonts w:ascii="Calibri" w:hAnsi="Calibri" w:cs="Calibri"/>
          <w:sz w:val="21"/>
          <w:szCs w:val="21"/>
        </w:rPr>
        <w:t>, J.</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Kingsmill</w:t>
      </w:r>
      <w:proofErr w:type="spellEnd"/>
      <w:r w:rsidRPr="003F4FF4">
        <w:rPr>
          <w:rStyle w:val="personname"/>
          <w:rFonts w:ascii="Calibri" w:hAnsi="Calibri" w:cs="Calibri"/>
          <w:sz w:val="21"/>
          <w:szCs w:val="21"/>
        </w:rPr>
        <w:t>, N.</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Landesman</w:t>
      </w:r>
      <w:proofErr w:type="spellEnd"/>
      <w:r w:rsidRPr="003F4FF4">
        <w:rPr>
          <w:rStyle w:val="personname"/>
          <w:rFonts w:ascii="Calibri" w:hAnsi="Calibri" w:cs="Calibri"/>
          <w:sz w:val="21"/>
          <w:szCs w:val="21"/>
        </w:rPr>
        <w:t>, T.</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Roppongi</w:t>
      </w:r>
      <w:proofErr w:type="spellEnd"/>
      <w:r w:rsidRPr="003F4FF4">
        <w:rPr>
          <w:rStyle w:val="personname"/>
          <w:rFonts w:ascii="Calibri" w:hAnsi="Calibri" w:cs="Calibri"/>
          <w:sz w:val="21"/>
          <w:szCs w:val="21"/>
        </w:rPr>
        <w:t>, H.</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Schleifer</w:t>
      </w:r>
      <w:proofErr w:type="spellEnd"/>
      <w:r w:rsidRPr="003F4FF4">
        <w:rPr>
          <w:rStyle w:val="personname"/>
          <w:rFonts w:ascii="Calibri" w:hAnsi="Calibri" w:cs="Calibri"/>
          <w:sz w:val="21"/>
          <w:szCs w:val="21"/>
        </w:rPr>
        <w:t>, P.</w:t>
      </w:r>
      <w:r w:rsidRPr="003F4FF4">
        <w:rPr>
          <w:rFonts w:ascii="Calibri" w:hAnsi="Calibri" w:cs="Calibri"/>
          <w:sz w:val="21"/>
          <w:szCs w:val="21"/>
        </w:rPr>
        <w:t xml:space="preserve">, </w:t>
      </w:r>
      <w:proofErr w:type="spellStart"/>
      <w:r w:rsidRPr="003F4FF4">
        <w:rPr>
          <w:rStyle w:val="personname"/>
          <w:rFonts w:ascii="Calibri" w:hAnsi="Calibri" w:cs="Calibri"/>
          <w:sz w:val="21"/>
          <w:szCs w:val="21"/>
        </w:rPr>
        <w:t>Setzer</w:t>
      </w:r>
      <w:proofErr w:type="spellEnd"/>
      <w:r w:rsidRPr="003F4FF4">
        <w:rPr>
          <w:rStyle w:val="personname"/>
          <w:rFonts w:ascii="Calibri" w:hAnsi="Calibri" w:cs="Calibri"/>
          <w:sz w:val="21"/>
          <w:szCs w:val="21"/>
        </w:rPr>
        <w:t>, J.</w:t>
      </w:r>
      <w:r w:rsidRPr="003F4FF4">
        <w:rPr>
          <w:rFonts w:ascii="Calibri" w:hAnsi="Calibri" w:cs="Calibri"/>
          <w:sz w:val="21"/>
          <w:szCs w:val="21"/>
        </w:rPr>
        <w:t xml:space="preserve">, </w:t>
      </w:r>
      <w:r w:rsidRPr="003F4FF4">
        <w:rPr>
          <w:rStyle w:val="personname"/>
          <w:rFonts w:ascii="Calibri" w:hAnsi="Calibri" w:cs="Calibri"/>
          <w:sz w:val="21"/>
          <w:szCs w:val="21"/>
        </w:rPr>
        <w:t>Sharman, A</w:t>
      </w:r>
      <w:proofErr w:type="gramStart"/>
      <w:r w:rsidRPr="003F4FF4">
        <w:rPr>
          <w:rStyle w:val="personname"/>
          <w:rFonts w:ascii="Calibri" w:hAnsi="Calibri" w:cs="Calibri"/>
          <w:sz w:val="21"/>
          <w:szCs w:val="21"/>
        </w:rPr>
        <w:t>,</w:t>
      </w:r>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Style w:val="personname"/>
          <w:rFonts w:ascii="Calibri" w:hAnsi="Calibri" w:cs="Calibri"/>
          <w:sz w:val="21"/>
          <w:szCs w:val="21"/>
        </w:rPr>
        <w:t xml:space="preserve">Singleton, C. </w:t>
      </w:r>
      <w:proofErr w:type="spellStart"/>
      <w:r w:rsidRPr="003F4FF4">
        <w:rPr>
          <w:rStyle w:val="personname"/>
          <w:rFonts w:ascii="Calibri" w:hAnsi="Calibri" w:cs="Calibri"/>
          <w:sz w:val="21"/>
          <w:szCs w:val="21"/>
        </w:rPr>
        <w:t>Stolle</w:t>
      </w:r>
      <w:proofErr w:type="spellEnd"/>
      <w:r w:rsidRPr="003F4FF4">
        <w:rPr>
          <w:rFonts w:ascii="Calibri" w:hAnsi="Calibri" w:cs="Calibri"/>
          <w:sz w:val="21"/>
          <w:szCs w:val="21"/>
        </w:rPr>
        <w:t xml:space="preserve">, </w:t>
      </w:r>
      <w:r w:rsidRPr="003F4FF4">
        <w:rPr>
          <w:rStyle w:val="personname"/>
          <w:rFonts w:ascii="Calibri" w:hAnsi="Calibri" w:cs="Calibri"/>
          <w:sz w:val="21"/>
          <w:szCs w:val="21"/>
        </w:rPr>
        <w:t xml:space="preserve">S., </w:t>
      </w:r>
      <w:proofErr w:type="spellStart"/>
      <w:r w:rsidRPr="003F4FF4">
        <w:rPr>
          <w:rStyle w:val="personname"/>
          <w:rFonts w:ascii="Calibri" w:hAnsi="Calibri" w:cs="Calibri"/>
          <w:sz w:val="21"/>
          <w:szCs w:val="21"/>
        </w:rPr>
        <w:t>Jayaraj</w:t>
      </w:r>
      <w:proofErr w:type="spellEnd"/>
      <w:r w:rsidRPr="003F4FF4">
        <w:rPr>
          <w:rStyle w:val="personname"/>
          <w:rFonts w:ascii="Calibri" w:hAnsi="Calibri" w:cs="Calibri"/>
          <w:sz w:val="21"/>
          <w:szCs w:val="21"/>
        </w:rPr>
        <w:t>, T.</w:t>
      </w:r>
      <w:r w:rsidRPr="003F4FF4">
        <w:rPr>
          <w:rFonts w:ascii="Calibri" w:hAnsi="Calibri" w:cs="Calibri"/>
          <w:sz w:val="21"/>
          <w:szCs w:val="21"/>
        </w:rPr>
        <w:t xml:space="preserve"> and </w:t>
      </w:r>
      <w:r w:rsidRPr="003F4FF4">
        <w:rPr>
          <w:rStyle w:val="personname"/>
          <w:rFonts w:ascii="Calibri" w:hAnsi="Calibri" w:cs="Calibri"/>
          <w:sz w:val="21"/>
          <w:szCs w:val="21"/>
        </w:rPr>
        <w:t>Townshend, T.</w:t>
      </w:r>
      <w:r w:rsidRPr="003F4FF4">
        <w:rPr>
          <w:rFonts w:ascii="Calibri" w:hAnsi="Calibri" w:cs="Calibri"/>
          <w:sz w:val="21"/>
          <w:szCs w:val="21"/>
        </w:rPr>
        <w:t xml:space="preserve"> (2015). </w:t>
      </w:r>
      <w:r w:rsidRPr="003F4FF4">
        <w:rPr>
          <w:rStyle w:val="Emphasis"/>
          <w:rFonts w:ascii="Calibri" w:hAnsi="Calibri" w:cs="Calibri"/>
          <w:sz w:val="21"/>
          <w:szCs w:val="21"/>
        </w:rPr>
        <w:t>The 2015 Global Climate Legislation Study: a review of climate change legislation in 99 countries: summary for policy-makers.</w:t>
      </w:r>
      <w:r w:rsidRPr="003F4FF4">
        <w:rPr>
          <w:rFonts w:ascii="Calibri" w:hAnsi="Calibri" w:cs="Calibri"/>
          <w:sz w:val="21"/>
          <w:szCs w:val="21"/>
        </w:rPr>
        <w:t xml:space="preserve"> Grantham Research Institute on Climate Change and the Environment, GLOBE International, London, UK.</w:t>
      </w:r>
    </w:p>
    <w:p w14:paraId="13416834" w14:textId="77777777" w:rsidR="00431638" w:rsidRPr="003F4FF4" w:rsidRDefault="00431638" w:rsidP="00D7335E">
      <w:pPr>
        <w:widowControl w:val="0"/>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Nelson, T., Nelson, J., </w:t>
      </w:r>
      <w:proofErr w:type="spellStart"/>
      <w:r w:rsidRPr="003F4FF4">
        <w:rPr>
          <w:rFonts w:ascii="Calibri" w:hAnsi="Calibri" w:cs="Calibri"/>
          <w:sz w:val="21"/>
          <w:szCs w:val="21"/>
        </w:rPr>
        <w:t>Ariyaratnam</w:t>
      </w:r>
      <w:proofErr w:type="spellEnd"/>
      <w:r w:rsidRPr="003F4FF4">
        <w:rPr>
          <w:rFonts w:ascii="Calibri" w:hAnsi="Calibri" w:cs="Calibri"/>
          <w:sz w:val="21"/>
          <w:szCs w:val="21"/>
        </w:rPr>
        <w:t xml:space="preserve">, J., &amp; </w:t>
      </w:r>
      <w:proofErr w:type="spellStart"/>
      <w:r w:rsidRPr="003F4FF4">
        <w:rPr>
          <w:rFonts w:ascii="Calibri" w:hAnsi="Calibri" w:cs="Calibri"/>
          <w:sz w:val="21"/>
          <w:szCs w:val="21"/>
        </w:rPr>
        <w:t>Camroux</w:t>
      </w:r>
      <w:proofErr w:type="spellEnd"/>
      <w:r w:rsidRPr="003F4FF4">
        <w:rPr>
          <w:rFonts w:ascii="Calibri" w:hAnsi="Calibri" w:cs="Calibri"/>
          <w:sz w:val="21"/>
          <w:szCs w:val="21"/>
        </w:rPr>
        <w:t xml:space="preserve">, S. (2013). An analysis of Australia's </w:t>
      </w:r>
      <w:proofErr w:type="gramStart"/>
      <w:r w:rsidRPr="003F4FF4">
        <w:rPr>
          <w:rFonts w:ascii="Calibri" w:hAnsi="Calibri" w:cs="Calibri"/>
          <w:sz w:val="21"/>
          <w:szCs w:val="21"/>
        </w:rPr>
        <w:t>large scale</w:t>
      </w:r>
      <w:proofErr w:type="gramEnd"/>
      <w:r w:rsidRPr="003F4FF4">
        <w:rPr>
          <w:rFonts w:ascii="Calibri" w:hAnsi="Calibri" w:cs="Calibri"/>
          <w:sz w:val="21"/>
          <w:szCs w:val="21"/>
        </w:rPr>
        <w:t xml:space="preserve"> renewable energy target: Restoring market confidence.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62</w:t>
      </w:r>
      <w:r w:rsidRPr="003F4FF4">
        <w:rPr>
          <w:rFonts w:ascii="Calibri" w:hAnsi="Calibri" w:cs="Calibri"/>
          <w:sz w:val="21"/>
          <w:szCs w:val="21"/>
        </w:rPr>
        <w:t>, 386-400.</w:t>
      </w:r>
    </w:p>
    <w:p w14:paraId="4F473BA7" w14:textId="77777777" w:rsidR="00431638" w:rsidRPr="003F4FF4" w:rsidRDefault="00431638" w:rsidP="00D7335E">
      <w:pPr>
        <w:pStyle w:val="MDPI71References"/>
        <w:numPr>
          <w:ilvl w:val="0"/>
          <w:numId w:val="0"/>
        </w:numPr>
        <w:suppressLineNumbers/>
        <w:spacing w:after="160" w:line="276" w:lineRule="auto"/>
        <w:ind w:left="720" w:hanging="720"/>
        <w:rPr>
          <w:rFonts w:ascii="Calibri" w:hAnsi="Calibri" w:cs="Calibri"/>
          <w:color w:val="auto"/>
          <w:sz w:val="21"/>
          <w:szCs w:val="21"/>
        </w:rPr>
      </w:pPr>
      <w:r w:rsidRPr="003F4FF4">
        <w:rPr>
          <w:rFonts w:ascii="Calibri" w:hAnsi="Calibri" w:cs="Calibri"/>
          <w:color w:val="auto"/>
          <w:sz w:val="21"/>
          <w:szCs w:val="21"/>
        </w:rPr>
        <w:t xml:space="preserve">Nordhaus, W. D. (2013). </w:t>
      </w:r>
      <w:r w:rsidRPr="003F4FF4">
        <w:rPr>
          <w:rFonts w:ascii="Calibri" w:hAnsi="Calibri" w:cs="Calibri"/>
          <w:i/>
          <w:iCs/>
          <w:color w:val="auto"/>
          <w:sz w:val="21"/>
          <w:szCs w:val="21"/>
        </w:rPr>
        <w:t>The climate casino: Risk, uncertainty, and economics for a warming world</w:t>
      </w:r>
      <w:r w:rsidRPr="003F4FF4">
        <w:rPr>
          <w:rFonts w:ascii="Calibri" w:hAnsi="Calibri" w:cs="Calibri"/>
          <w:color w:val="auto"/>
          <w:sz w:val="21"/>
          <w:szCs w:val="21"/>
        </w:rPr>
        <w:t xml:space="preserve">. Yale University Press. </w:t>
      </w:r>
    </w:p>
    <w:p w14:paraId="7AC84850"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(2011) The Role of Pension Funds in Financing Green Growth Initiatives. Available at: </w:t>
      </w:r>
      <w:hyperlink r:id="rId73">
        <w:r w:rsidRPr="003F4FF4">
          <w:rPr>
            <w:rStyle w:val="Hyperlink"/>
            <w:rFonts w:ascii="Calibri" w:eastAsia="Calibri" w:hAnsi="Calibri" w:cs="Calibri"/>
            <w:sz w:val="21"/>
            <w:szCs w:val="21"/>
          </w:rPr>
          <w:t>http://www.oecd.org/finance/private-pensions/49016671.pdf</w:t>
        </w:r>
      </w:hyperlink>
      <w:r w:rsidRPr="003F4FF4">
        <w:rPr>
          <w:rFonts w:ascii="Calibri" w:eastAsia="Calibri" w:hAnsi="Calibri" w:cs="Calibri"/>
          <w:sz w:val="21"/>
          <w:szCs w:val="21"/>
        </w:rPr>
        <w:t xml:space="preserve"> (Accessed 12.04.2019).</w:t>
      </w:r>
    </w:p>
    <w:p w14:paraId="708B0C50"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lastRenderedPageBreak/>
        <w:t xml:space="preserve">Organisation for Economic Co-operation and Development (OECD) (2012) Towards a Green Investment Policy Framework: The Case of Low-Carbon, Climate-Resilient Infrastructure. Available at: </w:t>
      </w:r>
      <w:hyperlink r:id="rId74">
        <w:r w:rsidRPr="003F4FF4">
          <w:rPr>
            <w:rStyle w:val="Hyperlink"/>
            <w:rFonts w:ascii="Calibri" w:eastAsia="Calibri" w:hAnsi="Calibri" w:cs="Calibri"/>
            <w:sz w:val="21"/>
            <w:szCs w:val="21"/>
          </w:rPr>
          <w:t>https://www.oecd-ilibrary.org/content/paper/5k8zth7s6s6d-en</w:t>
        </w:r>
      </w:hyperlink>
      <w:r w:rsidRPr="003F4FF4">
        <w:rPr>
          <w:rFonts w:ascii="Calibri" w:eastAsia="Calibri" w:hAnsi="Calibri" w:cs="Calibri"/>
          <w:sz w:val="21"/>
          <w:szCs w:val="21"/>
        </w:rPr>
        <w:t xml:space="preserve"> (Accessed 19.05.2019).</w:t>
      </w:r>
    </w:p>
    <w:p w14:paraId="21643E98"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(2013a) Long-term investors and green infrastructure. Available at: </w:t>
      </w:r>
      <w:hyperlink r:id="rId75">
        <w:r w:rsidRPr="003F4FF4">
          <w:rPr>
            <w:rStyle w:val="Hyperlink"/>
            <w:rFonts w:ascii="Calibri" w:eastAsia="Calibri" w:hAnsi="Calibri" w:cs="Calibri"/>
            <w:sz w:val="21"/>
            <w:szCs w:val="21"/>
          </w:rPr>
          <w:t>http://www.oecd.org/env/cc/Investors%20in%20Green%20Infrastructure%20brochure%20(f)%20%5Blr%5D.pdf</w:t>
        </w:r>
      </w:hyperlink>
      <w:r w:rsidRPr="003F4FF4">
        <w:rPr>
          <w:rFonts w:ascii="Calibri" w:eastAsia="Calibri" w:hAnsi="Calibri" w:cs="Calibri"/>
          <w:sz w:val="21"/>
          <w:szCs w:val="21"/>
        </w:rPr>
        <w:t xml:space="preserve"> (Accessed 14.06.2018).</w:t>
      </w:r>
    </w:p>
    <w:p w14:paraId="1DC2057E"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(2013b) Institutional Investors and Green Infrastructure Investments. Available at: </w:t>
      </w:r>
      <w:hyperlink r:id="rId76">
        <w:r w:rsidRPr="003F4FF4">
          <w:rPr>
            <w:rStyle w:val="Hyperlink"/>
            <w:rFonts w:ascii="Calibri" w:eastAsia="Calibri" w:hAnsi="Calibri" w:cs="Calibri"/>
            <w:sz w:val="21"/>
            <w:szCs w:val="21"/>
          </w:rPr>
          <w:t>https://www.oecd-ilibrary.org/docserver/5k3xr8k6jb0n-en.pdf?expires=1529066539&amp;id=id&amp;accname=guest&amp;checksum=37EA0A186EA86CFEF8496874A8E14AFD</w:t>
        </w:r>
      </w:hyperlink>
      <w:r w:rsidRPr="003F4FF4">
        <w:rPr>
          <w:rFonts w:ascii="Calibri" w:eastAsia="Calibri" w:hAnsi="Calibri" w:cs="Calibri"/>
          <w:sz w:val="21"/>
          <w:szCs w:val="21"/>
        </w:rPr>
        <w:t xml:space="preserve"> (Accessed 13.06.2018).</w:t>
      </w:r>
    </w:p>
    <w:p w14:paraId="3759760F"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(2014). Public Financial Institutions and the Low-carbon Transitions: Five Case Studies on Low-carbon infrastructure and project investment, OECD Environment. Available at: </w:t>
      </w:r>
      <w:hyperlink r:id="rId77">
        <w:r w:rsidRPr="003F4FF4">
          <w:rPr>
            <w:rStyle w:val="Hyperlink"/>
            <w:rFonts w:ascii="Calibri" w:eastAsia="Calibri" w:hAnsi="Calibri" w:cs="Calibri"/>
            <w:sz w:val="21"/>
            <w:szCs w:val="21"/>
          </w:rPr>
          <w:t>http://dx.doi.org/10.1787/5jxt3rhpgn9t-en</w:t>
        </w:r>
      </w:hyperlink>
      <w:r w:rsidRPr="003F4FF4">
        <w:rPr>
          <w:rFonts w:ascii="Calibri" w:eastAsia="Calibri" w:hAnsi="Calibri" w:cs="Calibri"/>
          <w:sz w:val="21"/>
          <w:szCs w:val="21"/>
        </w:rPr>
        <w:t xml:space="preserve"> (Accessed 14.05.2018).</w:t>
      </w:r>
    </w:p>
    <w:p w14:paraId="7E12FBA1"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Organisation for Economic Co-operation and Development (OECD) (2015a). </w:t>
      </w:r>
      <w:r w:rsidRPr="003F4FF4">
        <w:rPr>
          <w:rFonts w:ascii="Calibri" w:hAnsi="Calibri" w:cs="Calibri"/>
          <w:i/>
          <w:iCs/>
          <w:sz w:val="21"/>
          <w:szCs w:val="21"/>
        </w:rPr>
        <w:t>Mapping Channels to Mobilise Institutional Investment in Sustainable Energy</w:t>
      </w:r>
      <w:r w:rsidRPr="003F4FF4">
        <w:rPr>
          <w:rFonts w:ascii="Calibri" w:hAnsi="Calibri" w:cs="Calibri"/>
          <w:sz w:val="21"/>
          <w:szCs w:val="21"/>
        </w:rPr>
        <w:t xml:space="preserve">, </w:t>
      </w:r>
      <w:r w:rsidRPr="003F4FF4">
        <w:rPr>
          <w:rFonts w:ascii="Calibri" w:hAnsi="Calibri" w:cs="Calibri"/>
          <w:i/>
          <w:sz w:val="21"/>
          <w:szCs w:val="21"/>
        </w:rPr>
        <w:t>Green Finance and Investment</w:t>
      </w:r>
      <w:r w:rsidRPr="003F4FF4">
        <w:rPr>
          <w:rFonts w:ascii="Calibri" w:hAnsi="Calibri" w:cs="Calibri"/>
          <w:sz w:val="21"/>
          <w:szCs w:val="21"/>
        </w:rPr>
        <w:t xml:space="preserve">. OECD Publishing, Paris, </w:t>
      </w:r>
      <w:hyperlink r:id="rId78" w:history="1">
        <w:r w:rsidRPr="003F4FF4">
          <w:rPr>
            <w:rStyle w:val="Hyperlink"/>
            <w:rFonts w:ascii="Calibri" w:hAnsi="Calibri" w:cs="Calibri"/>
            <w:sz w:val="21"/>
            <w:szCs w:val="21"/>
          </w:rPr>
          <w:t>https://doi.org/10.1787/9789264224582-en</w:t>
        </w:r>
      </w:hyperlink>
      <w:r w:rsidRPr="003F4FF4">
        <w:rPr>
          <w:rFonts w:ascii="Calibri" w:hAnsi="Calibri" w:cs="Calibri"/>
          <w:sz w:val="21"/>
          <w:szCs w:val="21"/>
        </w:rPr>
        <w:t>.</w:t>
      </w:r>
    </w:p>
    <w:p w14:paraId="394C5C0E"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(2015b) Mobilising private investment in clean-energy infrastructure. Available at: </w:t>
      </w:r>
      <w:hyperlink r:id="rId79">
        <w:r w:rsidRPr="003F4FF4">
          <w:rPr>
            <w:rStyle w:val="Hyperlink"/>
            <w:rFonts w:ascii="Calibri" w:eastAsia="Calibri" w:hAnsi="Calibri" w:cs="Calibri"/>
            <w:sz w:val="21"/>
            <w:szCs w:val="21"/>
          </w:rPr>
          <w:t>https://www.oecd.org/investment/investment-policy/Private-investment-in-clean-energy-infrastructure.pdf</w:t>
        </w:r>
      </w:hyperlink>
      <w:r w:rsidRPr="003F4FF4">
        <w:rPr>
          <w:rFonts w:ascii="Calibri" w:eastAsia="Calibri" w:hAnsi="Calibri" w:cs="Calibri"/>
          <w:sz w:val="21"/>
          <w:szCs w:val="21"/>
        </w:rPr>
        <w:t xml:space="preserve"> (Accessed 14.06.2018).</w:t>
      </w:r>
    </w:p>
    <w:p w14:paraId="417455A2"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(2015c) Overcoming Barriers to International Investment in Clean Energy. Available at: </w:t>
      </w:r>
      <w:hyperlink r:id="rId80">
        <w:r w:rsidRPr="003F4FF4">
          <w:rPr>
            <w:rStyle w:val="Hyperlink"/>
            <w:rFonts w:ascii="Calibri" w:eastAsia="Calibri" w:hAnsi="Calibri" w:cs="Calibri"/>
            <w:sz w:val="21"/>
            <w:szCs w:val="21"/>
          </w:rPr>
          <w:t>http://www.oecd.org/fr/publications/overcoming-barriers-to-international-investment-in-clean-energy-9789264227064-en.htm</w:t>
        </w:r>
      </w:hyperlink>
      <w:r w:rsidRPr="003F4FF4">
        <w:rPr>
          <w:rFonts w:ascii="Calibri" w:eastAsia="Calibri" w:hAnsi="Calibri" w:cs="Calibri"/>
          <w:sz w:val="21"/>
          <w:szCs w:val="21"/>
        </w:rPr>
        <w:t xml:space="preserve"> (Accessed 12.06.2018).</w:t>
      </w:r>
    </w:p>
    <w:p w14:paraId="27060BCF"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eastAsia="Times New Roman" w:hAnsi="Calibri" w:cs="Calibri"/>
          <w:sz w:val="21"/>
          <w:szCs w:val="21"/>
        </w:rPr>
      </w:pPr>
      <w:r w:rsidRPr="003F4FF4">
        <w:rPr>
          <w:rFonts w:ascii="Calibri" w:hAnsi="Calibri" w:cs="Calibri"/>
          <w:sz w:val="21"/>
          <w:szCs w:val="21"/>
        </w:rPr>
        <w:t>Organisation for Economic Co-operation and Development (OECD) (2016a). Fragmentation in clear energy investment and financing. Available at: http://www.oecd.org/investment/investment-policy/BFO-2016-Ch5-Green-Energy.pdf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04.07.2018). </w:t>
      </w:r>
    </w:p>
    <w:p w14:paraId="2DFFC384"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Organisation for Economic Co-operation and Development (OECD) (2016b) Progress Report on Approaches to Mobilising Institutional Investment for Green Infrastructure. Available at: </w:t>
      </w:r>
      <w:hyperlink r:id="rId81">
        <w:r w:rsidRPr="003F4FF4">
          <w:rPr>
            <w:rStyle w:val="Hyperlink"/>
            <w:rFonts w:ascii="Calibri" w:eastAsia="Calibri" w:hAnsi="Calibri" w:cs="Calibri"/>
            <w:sz w:val="21"/>
            <w:szCs w:val="21"/>
          </w:rPr>
          <w:t>http://unepinquiry.org/wp-content/uploads/2016/09/11_Progress_Report_on_Approaches_to_Mobilising_Institutional_Investment_for_Green_Infrastructure.pdf</w:t>
        </w:r>
      </w:hyperlink>
      <w:r w:rsidRPr="003F4FF4">
        <w:rPr>
          <w:rFonts w:ascii="Calibri" w:eastAsia="Calibri" w:hAnsi="Calibri" w:cs="Calibri"/>
          <w:sz w:val="21"/>
          <w:szCs w:val="21"/>
        </w:rPr>
        <w:t xml:space="preserve"> (Accessed 06.06.2018).</w:t>
      </w:r>
    </w:p>
    <w:p w14:paraId="47FC6516" w14:textId="77777777" w:rsidR="00431638" w:rsidRPr="003F4FF4" w:rsidRDefault="00431638" w:rsidP="00D7335E">
      <w:pPr>
        <w:suppressLineNumbers/>
        <w:spacing w:line="276" w:lineRule="auto"/>
        <w:ind w:left="720" w:hanging="720"/>
        <w:rPr>
          <w:rFonts w:ascii="Calibri" w:eastAsia="Times New Roman" w:hAnsi="Calibri" w:cs="Calibri"/>
          <w:sz w:val="21"/>
          <w:szCs w:val="21"/>
        </w:rPr>
      </w:pPr>
      <w:r w:rsidRPr="003F4FF4">
        <w:rPr>
          <w:rFonts w:ascii="Calibri" w:hAnsi="Calibri" w:cs="Calibri"/>
          <w:sz w:val="21"/>
          <w:szCs w:val="21"/>
        </w:rPr>
        <w:t>Organisation for Economic Co-operation and Development (</w:t>
      </w:r>
      <w:r w:rsidRPr="003F4FF4">
        <w:rPr>
          <w:rFonts w:ascii="Calibri" w:eastAsia="Times New Roman" w:hAnsi="Calibri" w:cs="Calibri"/>
          <w:sz w:val="21"/>
          <w:szCs w:val="21"/>
        </w:rPr>
        <w:t xml:space="preserve">OECD) (2017). </w:t>
      </w:r>
      <w:r w:rsidRPr="003F4FF4">
        <w:rPr>
          <w:rFonts w:ascii="Calibri" w:hAnsi="Calibri" w:cs="Calibri"/>
          <w:i/>
          <w:iCs/>
          <w:sz w:val="21"/>
          <w:szCs w:val="21"/>
        </w:rPr>
        <w:t>Mobilising Bond Markets for a Low-Carbon Transition</w:t>
      </w:r>
      <w:r w:rsidRPr="003F4FF4">
        <w:rPr>
          <w:rFonts w:ascii="Calibri" w:hAnsi="Calibri" w:cs="Calibri"/>
          <w:sz w:val="21"/>
          <w:szCs w:val="21"/>
        </w:rPr>
        <w:t xml:space="preserve">. </w:t>
      </w:r>
      <w:r w:rsidRPr="003F4FF4">
        <w:rPr>
          <w:rFonts w:ascii="Calibri" w:hAnsi="Calibri" w:cs="Calibri"/>
          <w:i/>
          <w:sz w:val="21"/>
          <w:szCs w:val="21"/>
        </w:rPr>
        <w:t>Green Finance and Investment</w:t>
      </w:r>
      <w:r w:rsidRPr="003F4FF4">
        <w:rPr>
          <w:rFonts w:ascii="Calibri" w:hAnsi="Calibri" w:cs="Calibri"/>
          <w:sz w:val="21"/>
          <w:szCs w:val="21"/>
        </w:rPr>
        <w:t>. OECD Publishing, Paris, </w:t>
      </w:r>
      <w:hyperlink r:id="rId82" w:history="1">
        <w:r w:rsidRPr="003F4FF4">
          <w:rPr>
            <w:rStyle w:val="Hyperlink"/>
            <w:rFonts w:ascii="Calibri" w:eastAsia="Times New Roman" w:hAnsi="Calibri" w:cs="Calibri"/>
            <w:sz w:val="21"/>
            <w:szCs w:val="21"/>
          </w:rPr>
          <w:t>https://doi.org/10.1787/9789264272323-en</w:t>
        </w:r>
      </w:hyperlink>
      <w:r w:rsidRPr="003F4FF4">
        <w:rPr>
          <w:rFonts w:ascii="Calibri" w:eastAsia="Times New Roman" w:hAnsi="Calibri" w:cs="Calibri"/>
          <w:sz w:val="21"/>
          <w:szCs w:val="21"/>
        </w:rPr>
        <w:t>.</w:t>
      </w:r>
    </w:p>
    <w:p w14:paraId="38BED76E"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Pagano, M. S., Sinclair, G., &amp; Yang, T. (2018). 18. Understanding ESG ratings and ESG indexes. </w:t>
      </w:r>
      <w:r w:rsidRPr="003F4FF4">
        <w:rPr>
          <w:rFonts w:ascii="Calibri" w:hAnsi="Calibri" w:cs="Calibri"/>
          <w:i/>
          <w:iCs/>
          <w:sz w:val="21"/>
          <w:szCs w:val="21"/>
        </w:rPr>
        <w:t>Research Handbook of Finance and Sustainability</w:t>
      </w:r>
      <w:r w:rsidRPr="003F4FF4">
        <w:rPr>
          <w:rFonts w:ascii="Calibri" w:hAnsi="Calibri" w:cs="Calibri"/>
          <w:sz w:val="21"/>
          <w:szCs w:val="21"/>
        </w:rPr>
        <w:t xml:space="preserve">, 339. </w:t>
      </w:r>
    </w:p>
    <w:p w14:paraId="0C5B7A05"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Pfeifer, S., &amp; Sullivan, R. (2008). Public policy, institutional investors and climate change: a UK </w:t>
      </w:r>
      <w:proofErr w:type="gramStart"/>
      <w:r w:rsidRPr="003F4FF4">
        <w:rPr>
          <w:rFonts w:ascii="Calibri" w:hAnsi="Calibri" w:cs="Calibri"/>
          <w:sz w:val="21"/>
          <w:szCs w:val="21"/>
        </w:rPr>
        <w:t>case-study</w:t>
      </w:r>
      <w:proofErr w:type="gramEnd"/>
      <w:r w:rsidRPr="003F4FF4">
        <w:rPr>
          <w:rFonts w:ascii="Calibri" w:hAnsi="Calibri" w:cs="Calibri"/>
          <w:sz w:val="21"/>
          <w:szCs w:val="21"/>
        </w:rPr>
        <w:t xml:space="preserve">. </w:t>
      </w:r>
      <w:r w:rsidRPr="003F4FF4">
        <w:rPr>
          <w:rFonts w:ascii="Calibri" w:hAnsi="Calibri" w:cs="Calibri"/>
          <w:i/>
          <w:iCs/>
          <w:sz w:val="21"/>
          <w:szCs w:val="21"/>
        </w:rPr>
        <w:t>Climatic Change</w:t>
      </w:r>
      <w:r w:rsidRPr="003F4FF4">
        <w:rPr>
          <w:rFonts w:ascii="Calibri" w:hAnsi="Calibri" w:cs="Calibri"/>
          <w:sz w:val="21"/>
          <w:szCs w:val="21"/>
        </w:rPr>
        <w:t xml:space="preserve">, </w:t>
      </w:r>
      <w:r w:rsidRPr="003F4FF4">
        <w:rPr>
          <w:rFonts w:ascii="Calibri" w:hAnsi="Calibri" w:cs="Calibri"/>
          <w:i/>
          <w:iCs/>
          <w:sz w:val="21"/>
          <w:szCs w:val="21"/>
        </w:rPr>
        <w:t>89</w:t>
      </w:r>
      <w:r w:rsidRPr="003F4FF4">
        <w:rPr>
          <w:rFonts w:ascii="Calibri" w:hAnsi="Calibri" w:cs="Calibri"/>
          <w:sz w:val="21"/>
          <w:szCs w:val="21"/>
        </w:rPr>
        <w:t>(3-4), 245-262.</w:t>
      </w:r>
    </w:p>
    <w:p w14:paraId="2C64CA3D"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lastRenderedPageBreak/>
        <w:t>Polzin</w:t>
      </w:r>
      <w:proofErr w:type="spellEnd"/>
      <w:r w:rsidRPr="003F4FF4">
        <w:rPr>
          <w:rFonts w:ascii="Calibri" w:hAnsi="Calibri" w:cs="Calibri"/>
          <w:sz w:val="21"/>
          <w:szCs w:val="21"/>
        </w:rPr>
        <w:t xml:space="preserve">, F. (2017). Mobilizing private finance for low-carbon innovation–A systematic review of barriers and solutions. </w:t>
      </w:r>
      <w:r w:rsidRPr="003F4FF4">
        <w:rPr>
          <w:rFonts w:ascii="Calibri" w:hAnsi="Calibri" w:cs="Calibri"/>
          <w:i/>
          <w:iCs/>
          <w:sz w:val="21"/>
          <w:szCs w:val="21"/>
        </w:rPr>
        <w:t>Renewable and Sustainable Energy Reviews</w:t>
      </w:r>
      <w:r w:rsidRPr="003F4FF4">
        <w:rPr>
          <w:rFonts w:ascii="Calibri" w:hAnsi="Calibri" w:cs="Calibri"/>
          <w:sz w:val="21"/>
          <w:szCs w:val="21"/>
        </w:rPr>
        <w:t xml:space="preserve">, </w:t>
      </w:r>
      <w:r w:rsidRPr="003F4FF4">
        <w:rPr>
          <w:rFonts w:ascii="Calibri" w:hAnsi="Calibri" w:cs="Calibri"/>
          <w:i/>
          <w:iCs/>
          <w:sz w:val="21"/>
          <w:szCs w:val="21"/>
        </w:rPr>
        <w:t>77</w:t>
      </w:r>
      <w:r w:rsidRPr="003F4FF4">
        <w:rPr>
          <w:rFonts w:ascii="Calibri" w:hAnsi="Calibri" w:cs="Calibri"/>
          <w:sz w:val="21"/>
          <w:szCs w:val="21"/>
        </w:rPr>
        <w:t>, 525-535.</w:t>
      </w:r>
    </w:p>
    <w:p w14:paraId="31AF5762"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Reichelt</w:t>
      </w:r>
      <w:proofErr w:type="spellEnd"/>
      <w:r w:rsidRPr="003F4FF4">
        <w:rPr>
          <w:rFonts w:ascii="Calibri" w:hAnsi="Calibri" w:cs="Calibri"/>
          <w:sz w:val="21"/>
          <w:szCs w:val="21"/>
        </w:rPr>
        <w:t xml:space="preserve">, H. (2010). Green bonds: a model to mobilise private capital to fund climate change mitigation and adaptation projects. </w:t>
      </w:r>
      <w:r w:rsidRPr="003F4FF4">
        <w:rPr>
          <w:rFonts w:ascii="Calibri" w:hAnsi="Calibri" w:cs="Calibri"/>
          <w:i/>
          <w:iCs/>
          <w:sz w:val="21"/>
          <w:szCs w:val="21"/>
        </w:rPr>
        <w:t xml:space="preserve">The </w:t>
      </w:r>
      <w:proofErr w:type="spellStart"/>
      <w:r w:rsidRPr="003F4FF4">
        <w:rPr>
          <w:rFonts w:ascii="Calibri" w:hAnsi="Calibri" w:cs="Calibri"/>
          <w:i/>
          <w:iCs/>
          <w:sz w:val="21"/>
          <w:szCs w:val="21"/>
        </w:rPr>
        <w:t>EuroMoney</w:t>
      </w:r>
      <w:proofErr w:type="spellEnd"/>
      <w:r w:rsidRPr="003F4FF4">
        <w:rPr>
          <w:rFonts w:ascii="Calibri" w:hAnsi="Calibri" w:cs="Calibri"/>
          <w:i/>
          <w:iCs/>
          <w:sz w:val="21"/>
          <w:szCs w:val="21"/>
        </w:rPr>
        <w:t xml:space="preserve"> Environmental Finance Handbook</w:t>
      </w:r>
      <w:r w:rsidRPr="003F4FF4">
        <w:rPr>
          <w:rFonts w:ascii="Calibri" w:hAnsi="Calibri" w:cs="Calibri"/>
          <w:sz w:val="21"/>
          <w:szCs w:val="21"/>
        </w:rPr>
        <w:t>, 1-7.</w:t>
      </w:r>
    </w:p>
    <w:p w14:paraId="2EB8208C"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Rentschler</w:t>
      </w:r>
      <w:proofErr w:type="spellEnd"/>
      <w:r w:rsidRPr="003F4FF4">
        <w:rPr>
          <w:rFonts w:ascii="Calibri" w:hAnsi="Calibri" w:cs="Calibri"/>
          <w:sz w:val="21"/>
          <w:szCs w:val="21"/>
        </w:rPr>
        <w:t xml:space="preserve">, J., &amp; </w:t>
      </w:r>
      <w:proofErr w:type="spellStart"/>
      <w:r w:rsidRPr="003F4FF4">
        <w:rPr>
          <w:rFonts w:ascii="Calibri" w:hAnsi="Calibri" w:cs="Calibri"/>
          <w:sz w:val="21"/>
          <w:szCs w:val="21"/>
        </w:rPr>
        <w:t>Bazilian</w:t>
      </w:r>
      <w:proofErr w:type="spellEnd"/>
      <w:r w:rsidRPr="003F4FF4">
        <w:rPr>
          <w:rFonts w:ascii="Calibri" w:hAnsi="Calibri" w:cs="Calibri"/>
          <w:sz w:val="21"/>
          <w:szCs w:val="21"/>
        </w:rPr>
        <w:t xml:space="preserve">, M. (2017). Reforming fossil fuel subsidies: drivers, barriers and the state of progress. </w:t>
      </w:r>
      <w:r w:rsidRPr="003F4FF4">
        <w:rPr>
          <w:rFonts w:ascii="Calibri" w:hAnsi="Calibri" w:cs="Calibri"/>
          <w:i/>
          <w:iCs/>
          <w:sz w:val="21"/>
          <w:szCs w:val="21"/>
        </w:rPr>
        <w:t>Climate Policy</w:t>
      </w:r>
      <w:r w:rsidRPr="003F4FF4">
        <w:rPr>
          <w:rFonts w:ascii="Calibri" w:hAnsi="Calibri" w:cs="Calibri"/>
          <w:sz w:val="21"/>
          <w:szCs w:val="21"/>
        </w:rPr>
        <w:t xml:space="preserve">, </w:t>
      </w:r>
      <w:r w:rsidRPr="003F4FF4">
        <w:rPr>
          <w:rFonts w:ascii="Calibri" w:hAnsi="Calibri" w:cs="Calibri"/>
          <w:i/>
          <w:iCs/>
          <w:sz w:val="21"/>
          <w:szCs w:val="21"/>
        </w:rPr>
        <w:t>17</w:t>
      </w:r>
      <w:r w:rsidRPr="003F4FF4">
        <w:rPr>
          <w:rFonts w:ascii="Calibri" w:hAnsi="Calibri" w:cs="Calibri"/>
          <w:sz w:val="21"/>
          <w:szCs w:val="21"/>
        </w:rPr>
        <w:t>(7), 891-914.</w:t>
      </w:r>
    </w:p>
    <w:p w14:paraId="68C55B72"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Rezec</w:t>
      </w:r>
      <w:proofErr w:type="spellEnd"/>
      <w:r w:rsidRPr="003F4FF4">
        <w:rPr>
          <w:rFonts w:ascii="Calibri" w:hAnsi="Calibri" w:cs="Calibri"/>
          <w:sz w:val="21"/>
          <w:szCs w:val="21"/>
        </w:rPr>
        <w:t xml:space="preserve">, M., &amp; </w:t>
      </w:r>
      <w:proofErr w:type="spellStart"/>
      <w:r w:rsidRPr="003F4FF4">
        <w:rPr>
          <w:rFonts w:ascii="Calibri" w:hAnsi="Calibri" w:cs="Calibri"/>
          <w:sz w:val="21"/>
          <w:szCs w:val="21"/>
        </w:rPr>
        <w:t>Scholtens</w:t>
      </w:r>
      <w:proofErr w:type="spellEnd"/>
      <w:r w:rsidRPr="003F4FF4">
        <w:rPr>
          <w:rFonts w:ascii="Calibri" w:hAnsi="Calibri" w:cs="Calibri"/>
          <w:sz w:val="21"/>
          <w:szCs w:val="21"/>
        </w:rPr>
        <w:t xml:space="preserve">, B. (2017). Financing energy transformation: The role of renewable energy equity indices. </w:t>
      </w:r>
      <w:r w:rsidRPr="003F4FF4">
        <w:rPr>
          <w:rFonts w:ascii="Calibri" w:hAnsi="Calibri" w:cs="Calibri"/>
          <w:i/>
          <w:iCs/>
          <w:sz w:val="21"/>
          <w:szCs w:val="21"/>
        </w:rPr>
        <w:t>International journal of green energy</w:t>
      </w:r>
      <w:r w:rsidRPr="003F4FF4">
        <w:rPr>
          <w:rFonts w:ascii="Calibri" w:hAnsi="Calibri" w:cs="Calibri"/>
          <w:sz w:val="21"/>
          <w:szCs w:val="21"/>
        </w:rPr>
        <w:t xml:space="preserve">, </w:t>
      </w:r>
      <w:r w:rsidRPr="003F4FF4">
        <w:rPr>
          <w:rFonts w:ascii="Calibri" w:hAnsi="Calibri" w:cs="Calibri"/>
          <w:i/>
          <w:iCs/>
          <w:sz w:val="21"/>
          <w:szCs w:val="21"/>
        </w:rPr>
        <w:t>14</w:t>
      </w:r>
      <w:r w:rsidRPr="003F4FF4">
        <w:rPr>
          <w:rFonts w:ascii="Calibri" w:hAnsi="Calibri" w:cs="Calibri"/>
          <w:sz w:val="21"/>
          <w:szCs w:val="21"/>
        </w:rPr>
        <w:t>(4), 368-378.</w:t>
      </w:r>
    </w:p>
    <w:p w14:paraId="76521447"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Richards, G., Noble, B., &amp; Belcher, K. (2012). Barriers to renewable energy development: A case study of large-scale wind energy in Saskatchewan, Canada.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42</w:t>
      </w:r>
      <w:r w:rsidRPr="003F4FF4">
        <w:rPr>
          <w:rFonts w:ascii="Calibri" w:hAnsi="Calibri" w:cs="Calibri"/>
          <w:sz w:val="21"/>
          <w:szCs w:val="21"/>
        </w:rPr>
        <w:t>, 691-698.</w:t>
      </w:r>
    </w:p>
    <w:p w14:paraId="45E0EF43"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Robins, N. (2018). </w:t>
      </w:r>
      <w:r w:rsidRPr="003F4FF4">
        <w:rPr>
          <w:rFonts w:ascii="Calibri" w:hAnsi="Calibri" w:cs="Calibri"/>
          <w:i/>
          <w:sz w:val="21"/>
          <w:szCs w:val="21"/>
        </w:rPr>
        <w:t>Making finance climate-consistent: how could the UK implement Article 2.1.c of the Paris Agreement</w:t>
      </w:r>
      <w:r w:rsidRPr="003F4FF4">
        <w:rPr>
          <w:rFonts w:ascii="Calibri" w:hAnsi="Calibri" w:cs="Calibri"/>
          <w:sz w:val="21"/>
          <w:szCs w:val="21"/>
        </w:rPr>
        <w:t>? London, LSE. Available at: http://www.lse.ac.uk/GranthamInstitute/ news/making-finance-climate-consistent-how-could-the-ukimplement-article-2-1-c-of-the-paris-agreement/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6147C6C3"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Romano, T., &amp; </w:t>
      </w:r>
      <w:proofErr w:type="spellStart"/>
      <w:r w:rsidRPr="003F4FF4">
        <w:rPr>
          <w:rFonts w:ascii="Calibri" w:hAnsi="Calibri" w:cs="Calibri"/>
          <w:sz w:val="21"/>
          <w:szCs w:val="21"/>
        </w:rPr>
        <w:t>Fumagalli</w:t>
      </w:r>
      <w:proofErr w:type="spellEnd"/>
      <w:r w:rsidRPr="003F4FF4">
        <w:rPr>
          <w:rFonts w:ascii="Calibri" w:hAnsi="Calibri" w:cs="Calibri"/>
          <w:sz w:val="21"/>
          <w:szCs w:val="21"/>
        </w:rPr>
        <w:t xml:space="preserve">, E. (2018). Greening the power generation sector: Understanding the role of uncertainty. </w:t>
      </w:r>
      <w:r w:rsidRPr="003F4FF4">
        <w:rPr>
          <w:rFonts w:ascii="Calibri" w:hAnsi="Calibri" w:cs="Calibri"/>
          <w:i/>
          <w:iCs/>
          <w:sz w:val="21"/>
          <w:szCs w:val="21"/>
        </w:rPr>
        <w:t>Renewable and Sustainable Energy Reviews</w:t>
      </w:r>
      <w:r w:rsidRPr="003F4FF4">
        <w:rPr>
          <w:rFonts w:ascii="Calibri" w:hAnsi="Calibri" w:cs="Calibri"/>
          <w:sz w:val="21"/>
          <w:szCs w:val="21"/>
        </w:rPr>
        <w:t xml:space="preserve">, </w:t>
      </w:r>
      <w:r w:rsidRPr="003F4FF4">
        <w:rPr>
          <w:rFonts w:ascii="Calibri" w:hAnsi="Calibri" w:cs="Calibri"/>
          <w:i/>
          <w:iCs/>
          <w:sz w:val="21"/>
          <w:szCs w:val="21"/>
        </w:rPr>
        <w:t>91</w:t>
      </w:r>
      <w:r w:rsidRPr="003F4FF4">
        <w:rPr>
          <w:rFonts w:ascii="Calibri" w:hAnsi="Calibri" w:cs="Calibri"/>
          <w:sz w:val="21"/>
          <w:szCs w:val="21"/>
        </w:rPr>
        <w:t>, 272-286.</w:t>
      </w:r>
    </w:p>
    <w:p w14:paraId="19A1167C"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Salm</w:t>
      </w:r>
      <w:proofErr w:type="spellEnd"/>
      <w:r w:rsidRPr="003F4FF4">
        <w:rPr>
          <w:rFonts w:ascii="Calibri" w:hAnsi="Calibri" w:cs="Calibri"/>
          <w:sz w:val="21"/>
          <w:szCs w:val="21"/>
        </w:rPr>
        <w:t xml:space="preserve">, S. (2018). The investor-specific price of renewable energy project risk–A choice experiment with incumbent utilities and institutional investors. </w:t>
      </w:r>
      <w:r w:rsidRPr="003F4FF4">
        <w:rPr>
          <w:rFonts w:ascii="Calibri" w:hAnsi="Calibri" w:cs="Calibri"/>
          <w:i/>
          <w:iCs/>
          <w:sz w:val="21"/>
          <w:szCs w:val="21"/>
        </w:rPr>
        <w:t>Renewable and Sustainable Energy Reviews</w:t>
      </w:r>
      <w:r w:rsidRPr="003F4FF4">
        <w:rPr>
          <w:rFonts w:ascii="Calibri" w:hAnsi="Calibri" w:cs="Calibri"/>
          <w:sz w:val="21"/>
          <w:szCs w:val="21"/>
        </w:rPr>
        <w:t xml:space="preserve">, </w:t>
      </w:r>
      <w:r w:rsidRPr="003F4FF4">
        <w:rPr>
          <w:rFonts w:ascii="Calibri" w:hAnsi="Calibri" w:cs="Calibri"/>
          <w:i/>
          <w:iCs/>
          <w:sz w:val="21"/>
          <w:szCs w:val="21"/>
        </w:rPr>
        <w:t>82</w:t>
      </w:r>
      <w:r w:rsidRPr="003F4FF4">
        <w:rPr>
          <w:rFonts w:ascii="Calibri" w:hAnsi="Calibri" w:cs="Calibri"/>
          <w:sz w:val="21"/>
          <w:szCs w:val="21"/>
        </w:rPr>
        <w:t xml:space="preserve">, 1364-1375. </w:t>
      </w:r>
    </w:p>
    <w:p w14:paraId="53E85F40" w14:textId="77777777" w:rsidR="00431638" w:rsidRPr="003F4FF4" w:rsidRDefault="00431638" w:rsidP="00D7335E">
      <w:pPr>
        <w:suppressLineNumbers/>
        <w:spacing w:line="276" w:lineRule="auto"/>
        <w:ind w:left="720" w:hanging="720"/>
        <w:rPr>
          <w:rFonts w:ascii="Calibri" w:hAnsi="Calibri" w:cs="Calibri"/>
          <w:sz w:val="21"/>
          <w:szCs w:val="21"/>
          <w:lang w:val="de-CH"/>
        </w:rPr>
      </w:pPr>
      <w:proofErr w:type="spellStart"/>
      <w:r w:rsidRPr="003F4FF4">
        <w:rPr>
          <w:rFonts w:ascii="Calibri" w:hAnsi="Calibri" w:cs="Calibri"/>
          <w:sz w:val="21"/>
          <w:szCs w:val="21"/>
        </w:rPr>
        <w:t>Salm</w:t>
      </w:r>
      <w:proofErr w:type="spellEnd"/>
      <w:r w:rsidRPr="003F4FF4">
        <w:rPr>
          <w:rFonts w:ascii="Calibri" w:hAnsi="Calibri" w:cs="Calibri"/>
          <w:sz w:val="21"/>
          <w:szCs w:val="21"/>
        </w:rPr>
        <w:t xml:space="preserve">, S., &amp; </w:t>
      </w:r>
      <w:proofErr w:type="spellStart"/>
      <w:r w:rsidRPr="003F4FF4">
        <w:rPr>
          <w:rFonts w:ascii="Calibri" w:hAnsi="Calibri" w:cs="Calibri"/>
          <w:sz w:val="21"/>
          <w:szCs w:val="21"/>
        </w:rPr>
        <w:t>Wüstenhagen</w:t>
      </w:r>
      <w:proofErr w:type="spellEnd"/>
      <w:r w:rsidRPr="003F4FF4">
        <w:rPr>
          <w:rFonts w:ascii="Calibri" w:hAnsi="Calibri" w:cs="Calibri"/>
          <w:sz w:val="21"/>
          <w:szCs w:val="21"/>
        </w:rPr>
        <w:t xml:space="preserve">, R. (2018). </w:t>
      </w:r>
      <w:proofErr w:type="gramStart"/>
      <w:r w:rsidRPr="003F4FF4">
        <w:rPr>
          <w:rFonts w:ascii="Calibri" w:hAnsi="Calibri" w:cs="Calibri"/>
          <w:i/>
          <w:iCs/>
          <w:sz w:val="21"/>
          <w:szCs w:val="21"/>
        </w:rPr>
        <w:t>Dream team or strange bedfellows?</w:t>
      </w:r>
      <w:proofErr w:type="gramEnd"/>
      <w:r w:rsidRPr="003F4FF4">
        <w:rPr>
          <w:rFonts w:ascii="Calibri" w:hAnsi="Calibri" w:cs="Calibri"/>
          <w:i/>
          <w:iCs/>
          <w:sz w:val="21"/>
          <w:szCs w:val="21"/>
        </w:rPr>
        <w:t xml:space="preserve"> Complementarities and differences between incumbent energy companies and institutional investors in Swiss hydropower. </w:t>
      </w:r>
      <w:r w:rsidRPr="003F4FF4">
        <w:rPr>
          <w:rFonts w:ascii="Calibri" w:hAnsi="Calibri" w:cs="Calibri"/>
          <w:i/>
          <w:iCs/>
          <w:sz w:val="21"/>
          <w:szCs w:val="21"/>
          <w:lang w:val="de-CH"/>
        </w:rPr>
        <w:t>Energy Policy, 121, 476–487.</w:t>
      </w:r>
      <w:r w:rsidRPr="003F4FF4">
        <w:rPr>
          <w:rFonts w:ascii="Calibri" w:hAnsi="Calibri" w:cs="Calibri"/>
          <w:sz w:val="21"/>
          <w:szCs w:val="21"/>
          <w:lang w:val="de-CH"/>
        </w:rPr>
        <w:t xml:space="preserve"> doi:10.1016/j.enpol.2018.04.046.</w:t>
      </w:r>
    </w:p>
    <w:p w14:paraId="149AE9AD"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lang w:val="de-CH"/>
        </w:rPr>
        <w:t xml:space="preserve">Scherer, L., Behrens, P., de Koning, A., Heijungs, R., Sprecher, B., &amp; Tukker, A. (2018). </w:t>
      </w:r>
      <w:r w:rsidRPr="003F4FF4">
        <w:rPr>
          <w:rFonts w:ascii="Calibri" w:hAnsi="Calibri" w:cs="Calibri"/>
          <w:sz w:val="21"/>
          <w:szCs w:val="21"/>
        </w:rPr>
        <w:t xml:space="preserve">Trade-offs between social and environmental Sustainable Development Goals. </w:t>
      </w:r>
      <w:r w:rsidRPr="003F4FF4">
        <w:rPr>
          <w:rFonts w:ascii="Calibri" w:hAnsi="Calibri" w:cs="Calibri"/>
          <w:i/>
          <w:iCs/>
          <w:sz w:val="21"/>
          <w:szCs w:val="21"/>
        </w:rPr>
        <w:t>Environmental science &amp; policy</w:t>
      </w:r>
      <w:r w:rsidRPr="003F4FF4">
        <w:rPr>
          <w:rFonts w:ascii="Calibri" w:hAnsi="Calibri" w:cs="Calibri"/>
          <w:sz w:val="21"/>
          <w:szCs w:val="21"/>
        </w:rPr>
        <w:t xml:space="preserve">, </w:t>
      </w:r>
      <w:r w:rsidRPr="003F4FF4">
        <w:rPr>
          <w:rFonts w:ascii="Calibri" w:hAnsi="Calibri" w:cs="Calibri"/>
          <w:i/>
          <w:iCs/>
          <w:sz w:val="21"/>
          <w:szCs w:val="21"/>
        </w:rPr>
        <w:t>90</w:t>
      </w:r>
      <w:r w:rsidRPr="003F4FF4">
        <w:rPr>
          <w:rFonts w:ascii="Calibri" w:hAnsi="Calibri" w:cs="Calibri"/>
          <w:sz w:val="21"/>
          <w:szCs w:val="21"/>
        </w:rPr>
        <w:t>, 65-72.</w:t>
      </w:r>
    </w:p>
    <w:p w14:paraId="16035A02"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Senge</w:t>
      </w:r>
      <w:proofErr w:type="spellEnd"/>
      <w:r w:rsidRPr="003F4FF4">
        <w:rPr>
          <w:rFonts w:ascii="Calibri" w:hAnsi="Calibri" w:cs="Calibri"/>
          <w:sz w:val="21"/>
          <w:szCs w:val="21"/>
        </w:rPr>
        <w:t xml:space="preserve">, P. (1990). </w:t>
      </w:r>
      <w:r w:rsidRPr="003F4FF4">
        <w:rPr>
          <w:rFonts w:ascii="Calibri" w:hAnsi="Calibri" w:cs="Calibri"/>
          <w:i/>
          <w:iCs/>
          <w:sz w:val="21"/>
          <w:szCs w:val="21"/>
        </w:rPr>
        <w:t>The Fifth Discipline, the Art and Practice of the Learning Organization</w:t>
      </w:r>
      <w:r w:rsidRPr="003F4FF4">
        <w:rPr>
          <w:rFonts w:ascii="Calibri" w:hAnsi="Calibri" w:cs="Calibri"/>
          <w:sz w:val="21"/>
          <w:szCs w:val="21"/>
        </w:rPr>
        <w:t xml:space="preserve">. New York, NY: Doubleday/Currency. </w:t>
      </w:r>
    </w:p>
    <w:p w14:paraId="19A0AF22"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Sick, N., </w:t>
      </w:r>
      <w:proofErr w:type="spellStart"/>
      <w:r w:rsidRPr="003F4FF4">
        <w:rPr>
          <w:rFonts w:ascii="Calibri" w:hAnsi="Calibri" w:cs="Calibri"/>
          <w:sz w:val="21"/>
          <w:szCs w:val="21"/>
        </w:rPr>
        <w:t>Golembiewski</w:t>
      </w:r>
      <w:proofErr w:type="spellEnd"/>
      <w:r w:rsidRPr="003F4FF4">
        <w:rPr>
          <w:rFonts w:ascii="Calibri" w:hAnsi="Calibri" w:cs="Calibri"/>
          <w:sz w:val="21"/>
          <w:szCs w:val="21"/>
        </w:rPr>
        <w:t xml:space="preserve">, B., &amp; </w:t>
      </w:r>
      <w:proofErr w:type="spellStart"/>
      <w:r w:rsidRPr="003F4FF4">
        <w:rPr>
          <w:rFonts w:ascii="Calibri" w:hAnsi="Calibri" w:cs="Calibri"/>
          <w:sz w:val="21"/>
          <w:szCs w:val="21"/>
        </w:rPr>
        <w:t>Leker</w:t>
      </w:r>
      <w:proofErr w:type="spellEnd"/>
      <w:r w:rsidRPr="003F4FF4">
        <w:rPr>
          <w:rFonts w:ascii="Calibri" w:hAnsi="Calibri" w:cs="Calibri"/>
          <w:sz w:val="21"/>
          <w:szCs w:val="21"/>
        </w:rPr>
        <w:t xml:space="preserve">, J. (2013). The influence of raw material prices on renewables diffusion. </w:t>
      </w:r>
      <w:r w:rsidRPr="003F4FF4">
        <w:rPr>
          <w:rFonts w:ascii="Calibri" w:hAnsi="Calibri" w:cs="Calibri"/>
          <w:i/>
          <w:iCs/>
          <w:sz w:val="21"/>
          <w:szCs w:val="21"/>
        </w:rPr>
        <w:t>Foresight</w:t>
      </w:r>
      <w:r w:rsidRPr="003F4FF4">
        <w:rPr>
          <w:rFonts w:ascii="Calibri" w:hAnsi="Calibri" w:cs="Calibri"/>
          <w:sz w:val="21"/>
          <w:szCs w:val="21"/>
        </w:rPr>
        <w:t xml:space="preserve">, </w:t>
      </w:r>
      <w:r w:rsidRPr="003F4FF4">
        <w:rPr>
          <w:rFonts w:ascii="Calibri" w:hAnsi="Calibri" w:cs="Calibri"/>
          <w:i/>
          <w:iCs/>
          <w:sz w:val="21"/>
          <w:szCs w:val="21"/>
        </w:rPr>
        <w:t>15</w:t>
      </w:r>
      <w:r w:rsidRPr="003F4FF4">
        <w:rPr>
          <w:rFonts w:ascii="Calibri" w:hAnsi="Calibri" w:cs="Calibri"/>
          <w:sz w:val="21"/>
          <w:szCs w:val="21"/>
        </w:rPr>
        <w:t>(6), 477-491.</w:t>
      </w:r>
    </w:p>
    <w:p w14:paraId="446B6BDD" w14:textId="77777777" w:rsidR="00431638" w:rsidRPr="003F4FF4" w:rsidRDefault="00431638" w:rsidP="00D7335E">
      <w:pPr>
        <w:suppressLineNumbers/>
        <w:spacing w:line="276" w:lineRule="auto"/>
        <w:ind w:left="720" w:hanging="720"/>
        <w:rPr>
          <w:rFonts w:ascii="Calibri" w:eastAsia="Times New Roman" w:hAnsi="Calibri" w:cs="Calibri"/>
          <w:sz w:val="21"/>
          <w:szCs w:val="21"/>
          <w:shd w:val="clear" w:color="auto" w:fill="FFFFFF"/>
          <w:lang w:val="en-US"/>
        </w:rPr>
      </w:pPr>
      <w:r w:rsidRPr="003F4FF4">
        <w:rPr>
          <w:rFonts w:ascii="Calibri" w:hAnsi="Calibri" w:cs="Calibri"/>
          <w:sz w:val="21"/>
          <w:szCs w:val="21"/>
        </w:rPr>
        <w:t xml:space="preserve">Simon, H. (1957). A </w:t>
      </w:r>
      <w:proofErr w:type="spellStart"/>
      <w:r w:rsidRPr="003F4FF4">
        <w:rPr>
          <w:rFonts w:ascii="Calibri" w:hAnsi="Calibri" w:cs="Calibri"/>
          <w:sz w:val="21"/>
          <w:szCs w:val="21"/>
        </w:rPr>
        <w:t>behavioral</w:t>
      </w:r>
      <w:proofErr w:type="spellEnd"/>
      <w:r w:rsidRPr="003F4FF4">
        <w:rPr>
          <w:rFonts w:ascii="Calibri" w:hAnsi="Calibri" w:cs="Calibri"/>
          <w:sz w:val="21"/>
          <w:szCs w:val="21"/>
        </w:rPr>
        <w:t xml:space="preserve"> model of rational choice. In: </w:t>
      </w:r>
      <w:r w:rsidRPr="003F4FF4">
        <w:rPr>
          <w:rFonts w:ascii="Calibri" w:hAnsi="Calibri" w:cs="Calibri"/>
          <w:i/>
          <w:sz w:val="21"/>
          <w:szCs w:val="21"/>
        </w:rPr>
        <w:t xml:space="preserve">Models of Man, Social and Rational: Mathematical Essays on Rational Human </w:t>
      </w:r>
      <w:proofErr w:type="spellStart"/>
      <w:r w:rsidRPr="003F4FF4">
        <w:rPr>
          <w:rFonts w:ascii="Calibri" w:hAnsi="Calibri" w:cs="Calibri"/>
          <w:i/>
          <w:sz w:val="21"/>
          <w:szCs w:val="21"/>
        </w:rPr>
        <w:t>Behavior</w:t>
      </w:r>
      <w:proofErr w:type="spellEnd"/>
      <w:r w:rsidRPr="003F4FF4">
        <w:rPr>
          <w:rFonts w:ascii="Calibri" w:hAnsi="Calibri" w:cs="Calibri"/>
          <w:i/>
          <w:sz w:val="21"/>
          <w:szCs w:val="21"/>
        </w:rPr>
        <w:t xml:space="preserve"> in a Social Setting. </w:t>
      </w:r>
      <w:r w:rsidRPr="003F4FF4">
        <w:rPr>
          <w:rFonts w:ascii="Calibri" w:hAnsi="Calibri" w:cs="Calibri"/>
          <w:sz w:val="21"/>
          <w:szCs w:val="21"/>
        </w:rPr>
        <w:t>Wiley: New York</w:t>
      </w:r>
      <w:r w:rsidRPr="003F4FF4">
        <w:rPr>
          <w:rFonts w:ascii="Calibri" w:hAnsi="Calibri" w:cs="Calibri"/>
          <w:i/>
          <w:sz w:val="21"/>
          <w:szCs w:val="21"/>
        </w:rPr>
        <w:t xml:space="preserve">. </w:t>
      </w:r>
    </w:p>
    <w:p w14:paraId="6815E62F"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Sisodia</w:t>
      </w:r>
      <w:proofErr w:type="spellEnd"/>
      <w:r w:rsidRPr="003F4FF4">
        <w:rPr>
          <w:rFonts w:ascii="Calibri" w:hAnsi="Calibri" w:cs="Calibri"/>
          <w:sz w:val="21"/>
          <w:szCs w:val="21"/>
        </w:rPr>
        <w:t xml:space="preserve">, G. S., </w:t>
      </w:r>
      <w:proofErr w:type="spellStart"/>
      <w:r w:rsidRPr="003F4FF4">
        <w:rPr>
          <w:rFonts w:ascii="Calibri" w:hAnsi="Calibri" w:cs="Calibri"/>
          <w:sz w:val="21"/>
          <w:szCs w:val="21"/>
        </w:rPr>
        <w:t>Soares</w:t>
      </w:r>
      <w:proofErr w:type="spellEnd"/>
      <w:r w:rsidRPr="003F4FF4">
        <w:rPr>
          <w:rFonts w:ascii="Calibri" w:hAnsi="Calibri" w:cs="Calibri"/>
          <w:sz w:val="21"/>
          <w:szCs w:val="21"/>
        </w:rPr>
        <w:t xml:space="preserve">, I., &amp; Ferreira, P. (2016). The effect of sample size on European Union’s renewable energy investment drivers. </w:t>
      </w:r>
      <w:r w:rsidRPr="003F4FF4">
        <w:rPr>
          <w:rFonts w:ascii="Calibri" w:hAnsi="Calibri" w:cs="Calibri"/>
          <w:i/>
          <w:iCs/>
          <w:sz w:val="21"/>
          <w:szCs w:val="21"/>
        </w:rPr>
        <w:t>Applied Economics</w:t>
      </w:r>
      <w:r w:rsidRPr="003F4FF4">
        <w:rPr>
          <w:rFonts w:ascii="Calibri" w:hAnsi="Calibri" w:cs="Calibri"/>
          <w:sz w:val="21"/>
          <w:szCs w:val="21"/>
        </w:rPr>
        <w:t xml:space="preserve">, </w:t>
      </w:r>
      <w:r w:rsidRPr="003F4FF4">
        <w:rPr>
          <w:rFonts w:ascii="Calibri" w:hAnsi="Calibri" w:cs="Calibri"/>
          <w:i/>
          <w:iCs/>
          <w:sz w:val="21"/>
          <w:szCs w:val="21"/>
        </w:rPr>
        <w:t>48</w:t>
      </w:r>
      <w:r w:rsidRPr="003F4FF4">
        <w:rPr>
          <w:rFonts w:ascii="Calibri" w:hAnsi="Calibri" w:cs="Calibri"/>
          <w:sz w:val="21"/>
          <w:szCs w:val="21"/>
        </w:rPr>
        <w:t>(53), 5129-5137.</w:t>
      </w:r>
    </w:p>
    <w:p w14:paraId="2B2C7E4E"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Smets, F. (2014). Financial stability and monetary policy: How closely interlinked</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International Journal of Central Banking</w:t>
      </w:r>
      <w:r w:rsidRPr="003F4FF4">
        <w:rPr>
          <w:rFonts w:ascii="Calibri" w:hAnsi="Calibri" w:cs="Calibri"/>
          <w:sz w:val="21"/>
          <w:szCs w:val="21"/>
        </w:rPr>
        <w:t xml:space="preserve">, </w:t>
      </w:r>
      <w:r w:rsidRPr="003F4FF4">
        <w:rPr>
          <w:rFonts w:ascii="Calibri" w:hAnsi="Calibri" w:cs="Calibri"/>
          <w:i/>
          <w:iCs/>
          <w:sz w:val="21"/>
          <w:szCs w:val="21"/>
        </w:rPr>
        <w:t>10</w:t>
      </w:r>
      <w:r w:rsidRPr="003F4FF4">
        <w:rPr>
          <w:rFonts w:ascii="Calibri" w:hAnsi="Calibri" w:cs="Calibri"/>
          <w:sz w:val="21"/>
          <w:szCs w:val="21"/>
        </w:rPr>
        <w:t>(2), 263-300.</w:t>
      </w:r>
    </w:p>
    <w:p w14:paraId="64F63905" w14:textId="77777777" w:rsidR="00431638" w:rsidRPr="003F4FF4" w:rsidRDefault="00431638" w:rsidP="00D7335E">
      <w:pPr>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hanging="720"/>
        <w:rPr>
          <w:rFonts w:ascii="Calibri" w:hAnsi="Calibri" w:cs="Calibri"/>
          <w:sz w:val="21"/>
          <w:szCs w:val="21"/>
        </w:rPr>
      </w:pPr>
      <w:r w:rsidRPr="003F4FF4">
        <w:rPr>
          <w:rFonts w:ascii="Calibri" w:hAnsi="Calibri" w:cs="Calibri"/>
          <w:sz w:val="21"/>
          <w:szCs w:val="21"/>
        </w:rPr>
        <w:t xml:space="preserve">Smith, R. (2013). UK Future Energy Scenarios–UK gas and electricity transmission. </w:t>
      </w:r>
      <w:r w:rsidRPr="003F4FF4">
        <w:rPr>
          <w:rFonts w:ascii="Calibri" w:hAnsi="Calibri" w:cs="Calibri"/>
          <w:i/>
          <w:iCs/>
          <w:sz w:val="21"/>
          <w:szCs w:val="21"/>
        </w:rPr>
        <w:t>National Grid UK White Paper</w:t>
      </w:r>
      <w:r w:rsidRPr="003F4FF4">
        <w:rPr>
          <w:rFonts w:ascii="Calibri" w:hAnsi="Calibri" w:cs="Calibri"/>
          <w:sz w:val="21"/>
          <w:szCs w:val="21"/>
        </w:rPr>
        <w:t xml:space="preserve">, </w:t>
      </w:r>
      <w:r w:rsidRPr="003F4FF4">
        <w:rPr>
          <w:rFonts w:ascii="Calibri" w:hAnsi="Calibri" w:cs="Calibri"/>
          <w:i/>
          <w:iCs/>
          <w:sz w:val="21"/>
          <w:szCs w:val="21"/>
        </w:rPr>
        <w:t>4</w:t>
      </w:r>
      <w:r w:rsidRPr="003F4FF4">
        <w:rPr>
          <w:rFonts w:ascii="Calibri" w:hAnsi="Calibri" w:cs="Calibri"/>
          <w:sz w:val="21"/>
          <w:szCs w:val="21"/>
        </w:rPr>
        <w:t>, 60-69.</w:t>
      </w:r>
    </w:p>
    <w:p w14:paraId="54F667FB"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lastRenderedPageBreak/>
        <w:t>Sovacool</w:t>
      </w:r>
      <w:proofErr w:type="spellEnd"/>
      <w:r w:rsidRPr="003F4FF4">
        <w:rPr>
          <w:rFonts w:ascii="Calibri" w:hAnsi="Calibri" w:cs="Calibri"/>
          <w:sz w:val="21"/>
          <w:szCs w:val="21"/>
        </w:rPr>
        <w:t xml:space="preserve">, B. K. (2009). Rejecting renewables: The socio-technical impediments to renewable electricity in the United States.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37</w:t>
      </w:r>
      <w:r w:rsidRPr="003F4FF4">
        <w:rPr>
          <w:rFonts w:ascii="Calibri" w:hAnsi="Calibri" w:cs="Calibri"/>
          <w:sz w:val="21"/>
          <w:szCs w:val="21"/>
        </w:rPr>
        <w:t>(11), 4500-4513.</w:t>
      </w:r>
    </w:p>
    <w:p w14:paraId="0BFFE8FF" w14:textId="77777777" w:rsidR="00431638" w:rsidRPr="003F4FF4" w:rsidRDefault="00431638" w:rsidP="00D7335E">
      <w:pPr>
        <w:suppressLineNumbers/>
        <w:spacing w:before="100" w:beforeAutospacing="1" w:line="276" w:lineRule="auto"/>
        <w:ind w:left="720" w:hanging="720"/>
        <w:rPr>
          <w:rFonts w:ascii="Calibri" w:hAnsi="Calibri" w:cs="Calibri"/>
          <w:sz w:val="21"/>
          <w:szCs w:val="21"/>
          <w:lang w:val="en-US" w:eastAsia="de-DE"/>
        </w:rPr>
      </w:pPr>
      <w:proofErr w:type="spellStart"/>
      <w:r w:rsidRPr="003F4FF4">
        <w:rPr>
          <w:rFonts w:ascii="Calibri" w:hAnsi="Calibri" w:cs="Calibri"/>
          <w:sz w:val="21"/>
          <w:szCs w:val="21"/>
          <w:lang w:val="en-US" w:eastAsia="de-DE"/>
        </w:rPr>
        <w:t>Sterman</w:t>
      </w:r>
      <w:proofErr w:type="spellEnd"/>
      <w:r w:rsidRPr="003F4FF4">
        <w:rPr>
          <w:rFonts w:ascii="Calibri" w:hAnsi="Calibri" w:cs="Calibri"/>
          <w:sz w:val="21"/>
          <w:szCs w:val="21"/>
          <w:lang w:val="en-US" w:eastAsia="de-DE"/>
        </w:rPr>
        <w:t xml:space="preserve">, J. (2000). Business Dynamics: Systems Thinking and Modeling for a Complex World, Irwin/McGraw-Hill, Boston.  </w:t>
      </w:r>
    </w:p>
    <w:p w14:paraId="739A25D2"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Stokes, L. C. (2013). The politics of renewable energy policies: The case of feed-in tariffs in Ontario, Canada.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56</w:t>
      </w:r>
      <w:r w:rsidRPr="003F4FF4">
        <w:rPr>
          <w:rFonts w:ascii="Calibri" w:hAnsi="Calibri" w:cs="Calibri"/>
          <w:sz w:val="21"/>
          <w:szCs w:val="21"/>
        </w:rPr>
        <w:t>, 490-500.</w:t>
      </w:r>
    </w:p>
    <w:p w14:paraId="7BA9E96A"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Stiglitz</w:t>
      </w:r>
      <w:proofErr w:type="spellEnd"/>
      <w:r w:rsidRPr="003F4FF4">
        <w:rPr>
          <w:rFonts w:ascii="Calibri" w:hAnsi="Calibri" w:cs="Calibri"/>
          <w:sz w:val="21"/>
          <w:szCs w:val="21"/>
        </w:rPr>
        <w:t xml:space="preserve">, J. E., N. Stern, M. </w:t>
      </w:r>
      <w:proofErr w:type="spellStart"/>
      <w:r w:rsidRPr="003F4FF4">
        <w:rPr>
          <w:rFonts w:ascii="Calibri" w:hAnsi="Calibri" w:cs="Calibri"/>
          <w:sz w:val="21"/>
          <w:szCs w:val="21"/>
        </w:rPr>
        <w:t>Duan</w:t>
      </w:r>
      <w:proofErr w:type="spellEnd"/>
      <w:r w:rsidRPr="003F4FF4">
        <w:rPr>
          <w:rFonts w:ascii="Calibri" w:hAnsi="Calibri" w:cs="Calibri"/>
          <w:sz w:val="21"/>
          <w:szCs w:val="21"/>
        </w:rPr>
        <w:t xml:space="preserve">, O. </w:t>
      </w:r>
      <w:proofErr w:type="spellStart"/>
      <w:r w:rsidRPr="003F4FF4">
        <w:rPr>
          <w:rFonts w:ascii="Calibri" w:hAnsi="Calibri" w:cs="Calibri"/>
          <w:sz w:val="21"/>
          <w:szCs w:val="21"/>
        </w:rPr>
        <w:t>Edenhofer</w:t>
      </w:r>
      <w:proofErr w:type="spellEnd"/>
      <w:r w:rsidRPr="003F4FF4">
        <w:rPr>
          <w:rFonts w:ascii="Calibri" w:hAnsi="Calibri" w:cs="Calibri"/>
          <w:sz w:val="21"/>
          <w:szCs w:val="21"/>
        </w:rPr>
        <w:t xml:space="preserve">, G. Giraud, G. Heal, E. La </w:t>
      </w:r>
      <w:proofErr w:type="spellStart"/>
      <w:r w:rsidRPr="003F4FF4">
        <w:rPr>
          <w:rFonts w:ascii="Calibri" w:hAnsi="Calibri" w:cs="Calibri"/>
          <w:sz w:val="21"/>
          <w:szCs w:val="21"/>
        </w:rPr>
        <w:t>Rovere</w:t>
      </w:r>
      <w:proofErr w:type="spellEnd"/>
      <w:r w:rsidRPr="003F4FF4">
        <w:rPr>
          <w:rFonts w:ascii="Calibri" w:hAnsi="Calibri" w:cs="Calibri"/>
          <w:sz w:val="21"/>
          <w:szCs w:val="21"/>
        </w:rPr>
        <w:t xml:space="preserve">, A. Morris, E. Moyer, M. </w:t>
      </w:r>
      <w:proofErr w:type="spellStart"/>
      <w:r w:rsidRPr="003F4FF4">
        <w:rPr>
          <w:rFonts w:ascii="Calibri" w:hAnsi="Calibri" w:cs="Calibri"/>
          <w:sz w:val="21"/>
          <w:szCs w:val="21"/>
        </w:rPr>
        <w:t>Pangestu</w:t>
      </w:r>
      <w:proofErr w:type="spellEnd"/>
      <w:r w:rsidRPr="003F4FF4">
        <w:rPr>
          <w:rFonts w:ascii="Calibri" w:hAnsi="Calibri" w:cs="Calibri"/>
          <w:sz w:val="21"/>
          <w:szCs w:val="21"/>
        </w:rPr>
        <w:t xml:space="preserve">, et al. (2017). </w:t>
      </w:r>
      <w:r w:rsidRPr="003F4FF4">
        <w:rPr>
          <w:rFonts w:ascii="Calibri" w:hAnsi="Calibri" w:cs="Calibri"/>
          <w:i/>
          <w:sz w:val="21"/>
          <w:szCs w:val="21"/>
        </w:rPr>
        <w:t>Report of the high-level commission on carbon prices</w:t>
      </w:r>
      <w:r w:rsidRPr="003F4FF4">
        <w:rPr>
          <w:rFonts w:ascii="Calibri" w:hAnsi="Calibri" w:cs="Calibri"/>
          <w:sz w:val="21"/>
          <w:szCs w:val="21"/>
        </w:rPr>
        <w:t>. Carbon Pricing Leadership Coalition 29.</w:t>
      </w:r>
    </w:p>
    <w:p w14:paraId="406C78BA"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lang w:val="de-CH"/>
        </w:rPr>
        <w:t xml:space="preserve">Steckel, J. C., &amp; Jakob, M. (2018). </w:t>
      </w:r>
      <w:r w:rsidRPr="003F4FF4">
        <w:rPr>
          <w:rFonts w:ascii="Calibri" w:hAnsi="Calibri" w:cs="Calibri"/>
          <w:sz w:val="21"/>
          <w:szCs w:val="21"/>
        </w:rPr>
        <w:t xml:space="preserve">The role of financing cost and de-risking strategies for clean energy investment. </w:t>
      </w:r>
      <w:r w:rsidRPr="003F4FF4">
        <w:rPr>
          <w:rFonts w:ascii="Calibri" w:hAnsi="Calibri" w:cs="Calibri"/>
          <w:i/>
          <w:iCs/>
          <w:sz w:val="21"/>
          <w:szCs w:val="21"/>
        </w:rPr>
        <w:t>International Economics</w:t>
      </w:r>
      <w:r w:rsidRPr="003F4FF4">
        <w:rPr>
          <w:rFonts w:ascii="Calibri" w:hAnsi="Calibri" w:cs="Calibri"/>
          <w:sz w:val="21"/>
          <w:szCs w:val="21"/>
        </w:rPr>
        <w:t xml:space="preserve">, </w:t>
      </w:r>
      <w:r w:rsidRPr="003F4FF4">
        <w:rPr>
          <w:rFonts w:ascii="Calibri" w:hAnsi="Calibri" w:cs="Calibri"/>
          <w:i/>
          <w:iCs/>
          <w:sz w:val="21"/>
          <w:szCs w:val="21"/>
        </w:rPr>
        <w:t>155</w:t>
      </w:r>
      <w:r w:rsidRPr="003F4FF4">
        <w:rPr>
          <w:rFonts w:ascii="Calibri" w:hAnsi="Calibri" w:cs="Calibri"/>
          <w:sz w:val="21"/>
          <w:szCs w:val="21"/>
        </w:rPr>
        <w:t>, 19-28.</w:t>
      </w:r>
    </w:p>
    <w:p w14:paraId="1C603CBB"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Sullivan, R. (2015). Fiduciary duty in the 21st century. Sullivan, Rory, Fiduciary Duty in the 21st Century (2015). Available at SSRN: </w:t>
      </w:r>
      <w:hyperlink r:id="rId83" w:tgtFrame="_blank" w:history="1">
        <w:r w:rsidRPr="003F4FF4">
          <w:rPr>
            <w:rStyle w:val="Hyperlink"/>
            <w:rFonts w:ascii="Calibri" w:hAnsi="Calibri" w:cs="Calibri"/>
            <w:sz w:val="21"/>
            <w:szCs w:val="21"/>
          </w:rPr>
          <w:t>https://ssrn.com/abstract=2724866</w:t>
        </w:r>
      </w:hyperlink>
      <w:r w:rsidRPr="003F4FF4">
        <w:rPr>
          <w:rFonts w:ascii="Calibri" w:hAnsi="Calibri" w:cs="Calibri"/>
          <w:sz w:val="21"/>
          <w:szCs w:val="21"/>
        </w:rPr>
        <w:t xml:space="preserve"> or </w:t>
      </w:r>
      <w:hyperlink r:id="rId84" w:history="1">
        <w:r w:rsidRPr="003F4FF4">
          <w:rPr>
            <w:rStyle w:val="Hyperlink"/>
            <w:rFonts w:ascii="Calibri" w:hAnsi="Calibri" w:cs="Calibri"/>
            <w:sz w:val="21"/>
            <w:szCs w:val="21"/>
          </w:rPr>
          <w:t>http://dx.doi.org/10.2139/ssrn.2724866</w:t>
        </w:r>
      </w:hyperlink>
      <w:r w:rsidRPr="003F4FF4">
        <w:rPr>
          <w:rFonts w:ascii="Calibri" w:hAnsi="Calibri" w:cs="Calibri"/>
          <w:sz w:val="21"/>
          <w:szCs w:val="21"/>
        </w:rPr>
        <w:t xml:space="preserve">. </w:t>
      </w:r>
    </w:p>
    <w:p w14:paraId="33069E83"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Sweeney, L. B., &amp; </w:t>
      </w:r>
      <w:proofErr w:type="spellStart"/>
      <w:r w:rsidRPr="003F4FF4">
        <w:rPr>
          <w:rFonts w:ascii="Calibri" w:hAnsi="Calibri" w:cs="Calibri"/>
          <w:sz w:val="21"/>
          <w:szCs w:val="21"/>
        </w:rPr>
        <w:t>Sterman</w:t>
      </w:r>
      <w:proofErr w:type="spellEnd"/>
      <w:r w:rsidRPr="003F4FF4">
        <w:rPr>
          <w:rFonts w:ascii="Calibri" w:hAnsi="Calibri" w:cs="Calibri"/>
          <w:sz w:val="21"/>
          <w:szCs w:val="21"/>
        </w:rPr>
        <w:t xml:space="preserve">, J. D. (2000). Bathtub dynamics: initial results of a systems thinking inventory. </w:t>
      </w:r>
      <w:r w:rsidRPr="003F4FF4">
        <w:rPr>
          <w:rFonts w:ascii="Calibri" w:hAnsi="Calibri" w:cs="Calibri"/>
          <w:i/>
          <w:iCs/>
          <w:sz w:val="21"/>
          <w:szCs w:val="21"/>
        </w:rPr>
        <w:t>System Dynamics Review</w:t>
      </w:r>
      <w:r w:rsidRPr="003F4FF4">
        <w:rPr>
          <w:rFonts w:ascii="Calibri" w:hAnsi="Calibri" w:cs="Calibri"/>
          <w:sz w:val="21"/>
          <w:szCs w:val="21"/>
        </w:rPr>
        <w:t xml:space="preserve">, </w:t>
      </w:r>
      <w:r w:rsidRPr="003F4FF4">
        <w:rPr>
          <w:rFonts w:ascii="Calibri" w:hAnsi="Calibri" w:cs="Calibri"/>
          <w:i/>
          <w:iCs/>
          <w:sz w:val="21"/>
          <w:szCs w:val="21"/>
        </w:rPr>
        <w:t>16</w:t>
      </w:r>
      <w:r w:rsidRPr="003F4FF4">
        <w:rPr>
          <w:rFonts w:ascii="Calibri" w:hAnsi="Calibri" w:cs="Calibri"/>
          <w:sz w:val="21"/>
          <w:szCs w:val="21"/>
        </w:rPr>
        <w:t>(4), 249–286. doi:10.1002/sdr.198.</w:t>
      </w:r>
    </w:p>
    <w:p w14:paraId="1FFBD37F"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Szolgayová</w:t>
      </w:r>
      <w:proofErr w:type="spellEnd"/>
      <w:r w:rsidRPr="003F4FF4">
        <w:rPr>
          <w:rFonts w:ascii="Calibri" w:hAnsi="Calibri" w:cs="Calibri"/>
          <w:sz w:val="21"/>
          <w:szCs w:val="21"/>
        </w:rPr>
        <w:t xml:space="preserve">, J., Fuss, S., </w:t>
      </w:r>
      <w:proofErr w:type="spellStart"/>
      <w:r w:rsidRPr="003F4FF4">
        <w:rPr>
          <w:rFonts w:ascii="Calibri" w:hAnsi="Calibri" w:cs="Calibri"/>
          <w:sz w:val="21"/>
          <w:szCs w:val="21"/>
        </w:rPr>
        <w:t>Khabarov</w:t>
      </w:r>
      <w:proofErr w:type="spellEnd"/>
      <w:r w:rsidRPr="003F4FF4">
        <w:rPr>
          <w:rFonts w:ascii="Calibri" w:hAnsi="Calibri" w:cs="Calibri"/>
          <w:sz w:val="21"/>
          <w:szCs w:val="21"/>
        </w:rPr>
        <w:t xml:space="preserve">, N., &amp; </w:t>
      </w:r>
      <w:proofErr w:type="spellStart"/>
      <w:r w:rsidRPr="003F4FF4">
        <w:rPr>
          <w:rFonts w:ascii="Calibri" w:hAnsi="Calibri" w:cs="Calibri"/>
          <w:sz w:val="21"/>
          <w:szCs w:val="21"/>
        </w:rPr>
        <w:t>Obersteiner</w:t>
      </w:r>
      <w:proofErr w:type="spellEnd"/>
      <w:r w:rsidRPr="003F4FF4">
        <w:rPr>
          <w:rFonts w:ascii="Calibri" w:hAnsi="Calibri" w:cs="Calibri"/>
          <w:sz w:val="21"/>
          <w:szCs w:val="21"/>
        </w:rPr>
        <w:t xml:space="preserve">, M. (2011). A dynamic </w:t>
      </w:r>
      <w:proofErr w:type="spellStart"/>
      <w:r w:rsidRPr="003F4FF4">
        <w:rPr>
          <w:rFonts w:ascii="Calibri" w:hAnsi="Calibri" w:cs="Calibri"/>
          <w:sz w:val="21"/>
          <w:szCs w:val="21"/>
        </w:rPr>
        <w:t>CVaR</w:t>
      </w:r>
      <w:proofErr w:type="spellEnd"/>
      <w:r w:rsidRPr="003F4FF4">
        <w:rPr>
          <w:rFonts w:ascii="Calibri" w:hAnsi="Calibri" w:cs="Calibri"/>
          <w:sz w:val="21"/>
          <w:szCs w:val="21"/>
        </w:rPr>
        <w:t xml:space="preserve">‐portfolio approach using real options: an application to energy investments. </w:t>
      </w:r>
      <w:r w:rsidRPr="003F4FF4">
        <w:rPr>
          <w:rFonts w:ascii="Calibri" w:hAnsi="Calibri" w:cs="Calibri"/>
          <w:i/>
          <w:iCs/>
          <w:sz w:val="21"/>
          <w:szCs w:val="21"/>
        </w:rPr>
        <w:t>European Transactions on Electrical Power</w:t>
      </w:r>
      <w:r w:rsidRPr="003F4FF4">
        <w:rPr>
          <w:rFonts w:ascii="Calibri" w:hAnsi="Calibri" w:cs="Calibri"/>
          <w:sz w:val="21"/>
          <w:szCs w:val="21"/>
        </w:rPr>
        <w:t xml:space="preserve">, </w:t>
      </w:r>
      <w:r w:rsidRPr="003F4FF4">
        <w:rPr>
          <w:rFonts w:ascii="Calibri" w:hAnsi="Calibri" w:cs="Calibri"/>
          <w:i/>
          <w:iCs/>
          <w:sz w:val="21"/>
          <w:szCs w:val="21"/>
        </w:rPr>
        <w:t>21</w:t>
      </w:r>
      <w:r w:rsidRPr="003F4FF4">
        <w:rPr>
          <w:rFonts w:ascii="Calibri" w:hAnsi="Calibri" w:cs="Calibri"/>
          <w:sz w:val="21"/>
          <w:szCs w:val="21"/>
        </w:rPr>
        <w:t>(6), 1825-1841.</w:t>
      </w:r>
    </w:p>
    <w:p w14:paraId="1AED62B1"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Task Force on Climate-related financial Disclosure (TCFD) (2017). Final Report: </w:t>
      </w:r>
      <w:r w:rsidRPr="003F4FF4">
        <w:rPr>
          <w:rFonts w:ascii="Calibri" w:hAnsi="Calibri" w:cs="Calibri"/>
          <w:i/>
          <w:sz w:val="21"/>
          <w:szCs w:val="21"/>
        </w:rPr>
        <w:t xml:space="preserve">Recommendations of the Task Force on Climate-related Financial Disclosures. </w:t>
      </w:r>
      <w:r w:rsidRPr="003F4FF4">
        <w:rPr>
          <w:rFonts w:ascii="Calibri" w:hAnsi="Calibri" w:cs="Calibri"/>
          <w:sz w:val="21"/>
          <w:szCs w:val="21"/>
        </w:rPr>
        <w:t xml:space="preserve">Available at: </w:t>
      </w:r>
      <w:hyperlink r:id="rId85" w:history="1">
        <w:r w:rsidRPr="003F4FF4">
          <w:rPr>
            <w:rStyle w:val="Hyperlink"/>
            <w:rFonts w:ascii="Calibri" w:hAnsi="Calibri" w:cs="Calibri"/>
            <w:sz w:val="21"/>
            <w:szCs w:val="21"/>
          </w:rPr>
          <w:t>https://www.fsb-tcfd.org/publications/final-recommendations-report/</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1FEFD294" w14:textId="77777777" w:rsidR="00431638" w:rsidRPr="004C0273"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Task Force on Climate-related financial Disclosure (TCFD) (2018). </w:t>
      </w:r>
      <w:r w:rsidRPr="003F4FF4">
        <w:rPr>
          <w:rFonts w:ascii="Calibri" w:hAnsi="Calibri" w:cs="Calibri"/>
          <w:i/>
          <w:sz w:val="21"/>
          <w:szCs w:val="21"/>
        </w:rPr>
        <w:t>2018 Status Report</w:t>
      </w:r>
      <w:r w:rsidRPr="003F4FF4">
        <w:rPr>
          <w:rFonts w:ascii="Calibri" w:hAnsi="Calibri" w:cs="Calibri"/>
          <w:sz w:val="21"/>
          <w:szCs w:val="21"/>
        </w:rPr>
        <w:t xml:space="preserve">. Available at: </w:t>
      </w:r>
      <w:hyperlink r:id="rId86" w:history="1">
        <w:r w:rsidRPr="004C0273">
          <w:rPr>
            <w:rStyle w:val="Hyperlink"/>
            <w:rFonts w:ascii="Calibri" w:hAnsi="Calibri" w:cs="Calibri"/>
            <w:sz w:val="21"/>
            <w:szCs w:val="21"/>
          </w:rPr>
          <w:t>https://www.fsb-tcfd.org/publications/tcfd-2018-status-report/</w:t>
        </w:r>
      </w:hyperlink>
      <w:r w:rsidRPr="004C0273">
        <w:rPr>
          <w:rFonts w:ascii="Calibri" w:hAnsi="Calibri" w:cs="Calibri"/>
          <w:sz w:val="21"/>
          <w:szCs w:val="21"/>
        </w:rPr>
        <w:t xml:space="preserve"> (</w:t>
      </w:r>
      <w:r w:rsidRPr="004C0273">
        <w:rPr>
          <w:rFonts w:ascii="Calibri" w:eastAsia="Calibri" w:hAnsi="Calibri" w:cs="Calibri"/>
          <w:sz w:val="21"/>
          <w:szCs w:val="21"/>
        </w:rPr>
        <w:t xml:space="preserve">Accessed </w:t>
      </w:r>
      <w:r w:rsidRPr="004C0273">
        <w:rPr>
          <w:rFonts w:ascii="Calibri" w:hAnsi="Calibri" w:cs="Calibri"/>
          <w:sz w:val="21"/>
          <w:szCs w:val="21"/>
        </w:rPr>
        <w:t xml:space="preserve">02.05.2019). </w:t>
      </w:r>
    </w:p>
    <w:p w14:paraId="244C3A64" w14:textId="77777777" w:rsidR="004C0273" w:rsidRPr="004C0273" w:rsidRDefault="004C0273" w:rsidP="00D7335E">
      <w:pPr>
        <w:suppressLineNumbers/>
        <w:autoSpaceDE w:val="0"/>
        <w:autoSpaceDN w:val="0"/>
        <w:adjustRightInd w:val="0"/>
        <w:spacing w:line="276" w:lineRule="auto"/>
        <w:ind w:left="720" w:hanging="720"/>
        <w:rPr>
          <w:rFonts w:ascii="Calibri" w:hAnsi="Calibri" w:cs="Calibri"/>
          <w:color w:val="000000"/>
          <w:sz w:val="21"/>
          <w:szCs w:val="21"/>
        </w:rPr>
      </w:pPr>
      <w:r w:rsidRPr="00D00543">
        <w:rPr>
          <w:color w:val="000000"/>
          <w:sz w:val="21"/>
          <w:szCs w:val="21"/>
        </w:rPr>
        <w:t xml:space="preserve">The </w:t>
      </w:r>
      <w:r w:rsidRPr="004C0273">
        <w:rPr>
          <w:rFonts w:ascii="Calibri" w:hAnsi="Calibri" w:cs="Calibri"/>
          <w:color w:val="000000"/>
          <w:sz w:val="21"/>
          <w:szCs w:val="21"/>
        </w:rPr>
        <w:t xml:space="preserve">Guardian (2019). </w:t>
      </w:r>
      <w:r w:rsidRPr="004C0273">
        <w:rPr>
          <w:rFonts w:ascii="Calibri" w:hAnsi="Calibri" w:cs="Calibri"/>
          <w:i/>
          <w:iCs/>
          <w:color w:val="000000"/>
          <w:sz w:val="21"/>
          <w:szCs w:val="21"/>
        </w:rPr>
        <w:t xml:space="preserve">Our school climate strikes have been a success and </w:t>
      </w:r>
      <w:proofErr w:type="gramStart"/>
      <w:r w:rsidRPr="004C0273">
        <w:rPr>
          <w:rFonts w:ascii="Calibri" w:hAnsi="Calibri" w:cs="Calibri"/>
          <w:i/>
          <w:iCs/>
          <w:color w:val="000000"/>
          <w:sz w:val="21"/>
          <w:szCs w:val="21"/>
        </w:rPr>
        <w:t>we’re</w:t>
      </w:r>
      <w:proofErr w:type="gramEnd"/>
      <w:r w:rsidRPr="004C0273">
        <w:rPr>
          <w:rFonts w:ascii="Calibri" w:hAnsi="Calibri" w:cs="Calibri"/>
          <w:i/>
          <w:iCs/>
          <w:color w:val="000000"/>
          <w:sz w:val="21"/>
          <w:szCs w:val="21"/>
        </w:rPr>
        <w:t xml:space="preserve"> only getting started</w:t>
      </w:r>
      <w:r w:rsidRPr="004C0273">
        <w:rPr>
          <w:rFonts w:ascii="Calibri" w:hAnsi="Calibri" w:cs="Calibri"/>
          <w:color w:val="000000"/>
          <w:sz w:val="21"/>
          <w:szCs w:val="21"/>
        </w:rPr>
        <w:t xml:space="preserve">. Published on 26.04.2019. Available at: </w:t>
      </w:r>
      <w:hyperlink r:id="rId87" w:tgtFrame="_blank" w:history="1">
        <w:r w:rsidRPr="004C0273">
          <w:rPr>
            <w:rStyle w:val="Hyperlink"/>
            <w:rFonts w:ascii="Calibri" w:hAnsi="Calibri" w:cs="Calibri"/>
            <w:color w:val="0563C1"/>
            <w:sz w:val="21"/>
            <w:szCs w:val="21"/>
          </w:rPr>
          <w:t>https://www.theguardian.com/commentisfree/2019/apr/26/school-climate-strikes-success-forced-uk-politicians-healthy-planet</w:t>
        </w:r>
      </w:hyperlink>
      <w:r w:rsidRPr="004C0273">
        <w:rPr>
          <w:rFonts w:ascii="Calibri" w:hAnsi="Calibri" w:cs="Calibri"/>
          <w:color w:val="000000"/>
          <w:sz w:val="21"/>
          <w:szCs w:val="21"/>
        </w:rPr>
        <w:t xml:space="preserve"> (01.05.2019)</w:t>
      </w:r>
    </w:p>
    <w:p w14:paraId="4E6E4D09" w14:textId="384403A2"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sz w:val="21"/>
          <w:szCs w:val="21"/>
        </w:rPr>
        <w:t>Thomä</w:t>
      </w:r>
      <w:proofErr w:type="spellEnd"/>
      <w:r w:rsidRPr="003F4FF4">
        <w:rPr>
          <w:rFonts w:ascii="Calibri" w:hAnsi="Calibri" w:cs="Calibri"/>
          <w:sz w:val="21"/>
          <w:szCs w:val="21"/>
        </w:rPr>
        <w:t xml:space="preserve">, J., &amp; </w:t>
      </w:r>
      <w:proofErr w:type="spellStart"/>
      <w:r w:rsidRPr="003F4FF4">
        <w:rPr>
          <w:rFonts w:ascii="Calibri" w:hAnsi="Calibri" w:cs="Calibri"/>
          <w:sz w:val="21"/>
          <w:szCs w:val="21"/>
        </w:rPr>
        <w:t>Chenet</w:t>
      </w:r>
      <w:proofErr w:type="spellEnd"/>
      <w:r w:rsidRPr="003F4FF4">
        <w:rPr>
          <w:rFonts w:ascii="Calibri" w:hAnsi="Calibri" w:cs="Calibri"/>
          <w:sz w:val="21"/>
          <w:szCs w:val="21"/>
        </w:rPr>
        <w:t xml:space="preserve">, H. (2017). Transition risks and market failure: A theoretical discourse on why financial models and economic agents may misprice risk related to the transition to a low-carbon economy. </w:t>
      </w:r>
      <w:r w:rsidRPr="003F4FF4">
        <w:rPr>
          <w:rFonts w:ascii="Calibri" w:hAnsi="Calibri" w:cs="Calibri"/>
          <w:i/>
          <w:iCs/>
          <w:sz w:val="21"/>
          <w:szCs w:val="21"/>
        </w:rPr>
        <w:t>Journal of Sustainable Finance &amp; Investment</w:t>
      </w:r>
      <w:r w:rsidRPr="003F4FF4">
        <w:rPr>
          <w:rFonts w:ascii="Calibri" w:hAnsi="Calibri" w:cs="Calibri"/>
          <w:sz w:val="21"/>
          <w:szCs w:val="21"/>
        </w:rPr>
        <w:t xml:space="preserve">, </w:t>
      </w:r>
      <w:r w:rsidRPr="003F4FF4">
        <w:rPr>
          <w:rFonts w:ascii="Calibri" w:hAnsi="Calibri" w:cs="Calibri"/>
          <w:i/>
          <w:iCs/>
          <w:sz w:val="21"/>
          <w:szCs w:val="21"/>
        </w:rPr>
        <w:t>7</w:t>
      </w:r>
      <w:r w:rsidRPr="003F4FF4">
        <w:rPr>
          <w:rFonts w:ascii="Calibri" w:hAnsi="Calibri" w:cs="Calibri"/>
          <w:sz w:val="21"/>
          <w:szCs w:val="21"/>
        </w:rPr>
        <w:t xml:space="preserve">(1), 82-98. </w:t>
      </w:r>
    </w:p>
    <w:p w14:paraId="788E20DE" w14:textId="77777777" w:rsidR="00431638" w:rsidRPr="003F4FF4" w:rsidRDefault="00431638" w:rsidP="00D7335E">
      <w:pPr>
        <w:suppressLineNumbers/>
        <w:spacing w:line="276" w:lineRule="auto"/>
        <w:ind w:left="720" w:hanging="720"/>
        <w:rPr>
          <w:rFonts w:ascii="Calibri" w:eastAsia="Times New Roman" w:hAnsi="Calibri" w:cs="Calibri"/>
          <w:sz w:val="21"/>
          <w:szCs w:val="21"/>
          <w:shd w:val="clear" w:color="auto" w:fill="FFFFFF"/>
          <w:lang w:val="en-US"/>
        </w:rPr>
      </w:pPr>
      <w:proofErr w:type="spellStart"/>
      <w:r w:rsidRPr="003F4FF4">
        <w:rPr>
          <w:rFonts w:ascii="Calibri" w:hAnsi="Calibri" w:cs="Calibri"/>
          <w:sz w:val="21"/>
          <w:szCs w:val="21"/>
        </w:rPr>
        <w:t>Tversky</w:t>
      </w:r>
      <w:proofErr w:type="spellEnd"/>
      <w:r w:rsidRPr="003F4FF4">
        <w:rPr>
          <w:rFonts w:ascii="Calibri" w:hAnsi="Calibri" w:cs="Calibri"/>
          <w:sz w:val="21"/>
          <w:szCs w:val="21"/>
        </w:rPr>
        <w:t xml:space="preserve">, A., &amp; </w:t>
      </w:r>
      <w:proofErr w:type="spellStart"/>
      <w:r w:rsidRPr="003F4FF4">
        <w:rPr>
          <w:rFonts w:ascii="Calibri" w:hAnsi="Calibri" w:cs="Calibri"/>
          <w:sz w:val="21"/>
          <w:szCs w:val="21"/>
        </w:rPr>
        <w:t>Kahneman</w:t>
      </w:r>
      <w:proofErr w:type="spellEnd"/>
      <w:r w:rsidRPr="003F4FF4">
        <w:rPr>
          <w:rFonts w:ascii="Calibri" w:hAnsi="Calibri" w:cs="Calibri"/>
          <w:sz w:val="21"/>
          <w:szCs w:val="21"/>
        </w:rPr>
        <w:t xml:space="preserve">, D. (1974). Judgement under uncertainty: heuristics and biases, science. </w:t>
      </w:r>
      <w:r w:rsidRPr="003F4FF4">
        <w:rPr>
          <w:rFonts w:ascii="Calibri" w:hAnsi="Calibri" w:cs="Calibri"/>
          <w:i/>
          <w:sz w:val="21"/>
          <w:szCs w:val="21"/>
        </w:rPr>
        <w:t>New Series 185 (4157)</w:t>
      </w:r>
      <w:r w:rsidRPr="003F4FF4">
        <w:rPr>
          <w:rFonts w:ascii="Calibri" w:hAnsi="Calibri" w:cs="Calibri"/>
          <w:sz w:val="21"/>
          <w:szCs w:val="21"/>
        </w:rPr>
        <w:t>, 1124–1131.</w:t>
      </w:r>
    </w:p>
    <w:p w14:paraId="7F8FD33D"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Two degree investing initiative (2019). Our Research. Available at: </w:t>
      </w:r>
      <w:hyperlink r:id="rId88" w:history="1">
        <w:r w:rsidRPr="003F4FF4">
          <w:rPr>
            <w:rStyle w:val="Hyperlink"/>
            <w:rFonts w:ascii="Calibri" w:hAnsi="Calibri" w:cs="Calibri"/>
            <w:sz w:val="21"/>
            <w:szCs w:val="21"/>
          </w:rPr>
          <w:t>https://2degrees-investing.org/</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4BA7CF42"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UK Government (2008). </w:t>
      </w:r>
      <w:r w:rsidRPr="003F4FF4">
        <w:rPr>
          <w:rFonts w:ascii="Calibri" w:hAnsi="Calibri" w:cs="Calibri"/>
          <w:i/>
          <w:sz w:val="21"/>
          <w:szCs w:val="21"/>
        </w:rPr>
        <w:t>Climate Change Act 2008</w:t>
      </w:r>
      <w:r w:rsidRPr="003F4FF4">
        <w:rPr>
          <w:rFonts w:ascii="Calibri" w:hAnsi="Calibri" w:cs="Calibri"/>
          <w:sz w:val="21"/>
          <w:szCs w:val="21"/>
        </w:rPr>
        <w:t xml:space="preserve">. Available at: </w:t>
      </w:r>
      <w:hyperlink r:id="rId89" w:history="1">
        <w:r w:rsidRPr="003F4FF4">
          <w:rPr>
            <w:rStyle w:val="Hyperlink"/>
            <w:rFonts w:ascii="Calibri" w:hAnsi="Calibri" w:cs="Calibri"/>
            <w:sz w:val="21"/>
            <w:szCs w:val="21"/>
          </w:rPr>
          <w:t>http://www.legislation.gov.uk/ukpga/2008/27/contents</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04.07.2018). </w:t>
      </w:r>
    </w:p>
    <w:p w14:paraId="7FC6F9CE"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lastRenderedPageBreak/>
        <w:t xml:space="preserve">UK Government (2017). </w:t>
      </w:r>
      <w:r w:rsidRPr="003F4FF4">
        <w:rPr>
          <w:rFonts w:ascii="Calibri" w:hAnsi="Calibri" w:cs="Calibri"/>
          <w:i/>
          <w:sz w:val="21"/>
          <w:szCs w:val="21"/>
        </w:rPr>
        <w:t>Guidance. UK guarantees Scheme</w:t>
      </w:r>
      <w:r w:rsidRPr="003F4FF4">
        <w:rPr>
          <w:rFonts w:ascii="Calibri" w:hAnsi="Calibri" w:cs="Calibri"/>
          <w:sz w:val="21"/>
          <w:szCs w:val="21"/>
        </w:rPr>
        <w:t xml:space="preserve">. Available at: </w:t>
      </w:r>
      <w:hyperlink r:id="rId90" w:history="1">
        <w:r w:rsidRPr="003F4FF4">
          <w:rPr>
            <w:rStyle w:val="Hyperlink"/>
            <w:rFonts w:ascii="Calibri" w:hAnsi="Calibri" w:cs="Calibri"/>
            <w:sz w:val="21"/>
            <w:szCs w:val="21"/>
          </w:rPr>
          <w:t>https://www.gov.uk/guidance/uk-guarantees-scheme</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04.04.2019). </w:t>
      </w:r>
    </w:p>
    <w:p w14:paraId="0F6A4415"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United Nations Framework Convention on Climate Change (UNFCCC) (2015). The Paris Agreement. Available at: </w:t>
      </w:r>
      <w:hyperlink r:id="rId91" w:history="1">
        <w:r w:rsidRPr="003F4FF4">
          <w:rPr>
            <w:rStyle w:val="Hyperlink"/>
            <w:rFonts w:ascii="Calibri" w:hAnsi="Calibri" w:cs="Calibri"/>
            <w:sz w:val="21"/>
            <w:szCs w:val="21"/>
          </w:rPr>
          <w:t>https://unfccc.int/process-and-meetings/the-paris-agreement/the-paris-agreement</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06.04.2019). </w:t>
      </w:r>
    </w:p>
    <w:p w14:paraId="7AC290FF"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United Nations Environment Programme – Finance Initiative (UNEP FI) (2005). </w:t>
      </w:r>
      <w:r w:rsidRPr="003F4FF4">
        <w:rPr>
          <w:rFonts w:ascii="Calibri" w:hAnsi="Calibri" w:cs="Calibri"/>
          <w:i/>
          <w:sz w:val="21"/>
          <w:szCs w:val="21"/>
        </w:rPr>
        <w:t>A legal framework for the integration of environmental, social and Governance Issues into Institutional Investment</w:t>
      </w:r>
      <w:r w:rsidRPr="003F4FF4">
        <w:rPr>
          <w:rFonts w:ascii="Calibri" w:hAnsi="Calibri" w:cs="Calibri"/>
          <w:sz w:val="21"/>
          <w:szCs w:val="21"/>
        </w:rPr>
        <w:t xml:space="preserve">. Available at: </w:t>
      </w:r>
      <w:hyperlink r:id="rId92" w:history="1">
        <w:r w:rsidRPr="003F4FF4">
          <w:rPr>
            <w:rStyle w:val="Hyperlink"/>
            <w:rFonts w:ascii="Calibri" w:hAnsi="Calibri" w:cs="Calibri"/>
            <w:sz w:val="21"/>
            <w:szCs w:val="21"/>
          </w:rPr>
          <w:t>https://www.unepfi.org/publications/investment-publications/a-legal-framework-for-the-integration-of-environmental-social-and-governance-issues-into-institutional-investment/</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15.04.2019)</w:t>
      </w:r>
    </w:p>
    <w:p w14:paraId="15418FC2"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United Nations Environment Programme (UNEP) (2015). The Financial System We Need: Aligning The Financial System With Sustainable Development. United Nations Environment Program. Available at: </w:t>
      </w:r>
      <w:hyperlink r:id="rId93" w:history="1">
        <w:r w:rsidRPr="003F4FF4">
          <w:rPr>
            <w:rStyle w:val="Hyperlink"/>
            <w:rFonts w:ascii="Calibri" w:hAnsi="Calibri" w:cs="Calibri"/>
            <w:sz w:val="21"/>
            <w:szCs w:val="21"/>
          </w:rPr>
          <w:t>http://unepinquiry.org/publication/inquiry-global-report-the-financial-system-we-need/</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0F34C88A"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United Nations Environment Programme (UNEP) (2017). On the role of central banks in enhancing green finance. Inquiry working paper 17/01. Available at: </w:t>
      </w:r>
      <w:hyperlink r:id="rId94" w:history="1">
        <w:r w:rsidRPr="003F4FF4">
          <w:rPr>
            <w:rStyle w:val="Hyperlink"/>
            <w:rFonts w:ascii="Calibri" w:hAnsi="Calibri" w:cs="Calibri"/>
            <w:sz w:val="21"/>
            <w:szCs w:val="21"/>
          </w:rPr>
          <w:t>https://eprints.soas.ac.uk/23817/1/On_the_Role_of_Central_Banks_in_Enhancing_Green_Finance(1).pdf</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02.05.2019). </w:t>
      </w:r>
    </w:p>
    <w:p w14:paraId="76FE1F69"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United Principles of Responsible Investment (UNPRI) (2015). </w:t>
      </w:r>
      <w:r w:rsidRPr="003F4FF4">
        <w:rPr>
          <w:rFonts w:ascii="Calibri" w:hAnsi="Calibri" w:cs="Calibri"/>
          <w:i/>
          <w:sz w:val="21"/>
          <w:szCs w:val="21"/>
        </w:rPr>
        <w:t>Fiduciary Duty in the 21th Century</w:t>
      </w:r>
      <w:r w:rsidRPr="003F4FF4">
        <w:rPr>
          <w:rFonts w:ascii="Calibri" w:hAnsi="Calibri" w:cs="Calibri"/>
          <w:sz w:val="21"/>
          <w:szCs w:val="21"/>
        </w:rPr>
        <w:t xml:space="preserve">. Available at: </w:t>
      </w:r>
      <w:hyperlink r:id="rId95" w:history="1">
        <w:r w:rsidRPr="003F4FF4">
          <w:rPr>
            <w:rStyle w:val="Hyperlink"/>
            <w:rFonts w:ascii="Calibri" w:hAnsi="Calibri" w:cs="Calibri"/>
            <w:sz w:val="21"/>
            <w:szCs w:val="21"/>
          </w:rPr>
          <w:t>https://www.fiduciaryduty21.org/publications.html#</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15.04.2019)</w:t>
      </w:r>
    </w:p>
    <w:p w14:paraId="0E07F1B7"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Urwin</w:t>
      </w:r>
      <w:proofErr w:type="spellEnd"/>
      <w:r w:rsidRPr="003F4FF4">
        <w:rPr>
          <w:rFonts w:ascii="Calibri" w:hAnsi="Calibri" w:cs="Calibri"/>
          <w:sz w:val="21"/>
          <w:szCs w:val="21"/>
        </w:rPr>
        <w:t xml:space="preserve">, R. (2014). Pension fund fiduciary duty and its impacts on sustainable investing. In J. Hawley, A. </w:t>
      </w:r>
      <w:proofErr w:type="spellStart"/>
      <w:r w:rsidRPr="003F4FF4">
        <w:rPr>
          <w:rFonts w:ascii="Calibri" w:hAnsi="Calibri" w:cs="Calibri"/>
          <w:sz w:val="21"/>
          <w:szCs w:val="21"/>
        </w:rPr>
        <w:t>Hoepner</w:t>
      </w:r>
      <w:proofErr w:type="spellEnd"/>
      <w:r w:rsidRPr="003F4FF4">
        <w:rPr>
          <w:rFonts w:ascii="Calibri" w:hAnsi="Calibri" w:cs="Calibri"/>
          <w:sz w:val="21"/>
          <w:szCs w:val="21"/>
        </w:rPr>
        <w:t xml:space="preserve">, K. Johnson, J. Sandberg, &amp; E. </w:t>
      </w:r>
      <w:proofErr w:type="spellStart"/>
      <w:r w:rsidRPr="003F4FF4">
        <w:rPr>
          <w:rFonts w:ascii="Calibri" w:hAnsi="Calibri" w:cs="Calibri"/>
          <w:sz w:val="21"/>
          <w:szCs w:val="21"/>
        </w:rPr>
        <w:t>Waitzer</w:t>
      </w:r>
      <w:proofErr w:type="spellEnd"/>
      <w:r w:rsidRPr="003F4FF4">
        <w:rPr>
          <w:rFonts w:ascii="Calibri" w:hAnsi="Calibri" w:cs="Calibri"/>
          <w:sz w:val="21"/>
          <w:szCs w:val="21"/>
        </w:rPr>
        <w:t xml:space="preserve"> (Eds.), </w:t>
      </w:r>
      <w:r w:rsidRPr="003F4FF4">
        <w:rPr>
          <w:rFonts w:ascii="Calibri" w:hAnsi="Calibri" w:cs="Calibri"/>
          <w:i/>
          <w:iCs/>
          <w:sz w:val="21"/>
          <w:szCs w:val="21"/>
          <w:bdr w:val="none" w:sz="0" w:space="0" w:color="auto" w:frame="1"/>
        </w:rPr>
        <w:t>Cambridge Handbook of Institutional Investment and Fiduciary Duty</w:t>
      </w:r>
      <w:r w:rsidRPr="003F4FF4">
        <w:rPr>
          <w:rFonts w:ascii="Calibri" w:hAnsi="Calibri" w:cs="Calibri"/>
          <w:sz w:val="21"/>
          <w:szCs w:val="21"/>
        </w:rPr>
        <w:t xml:space="preserve"> (pp. 277-286). Cambridge: Cambridge University Press. doi:10.1017/CBO9781139565516.026.</w:t>
      </w:r>
    </w:p>
    <w:p w14:paraId="61D0A29D" w14:textId="77777777" w:rsidR="00431638" w:rsidRPr="003F4FF4" w:rsidRDefault="00431638" w:rsidP="00D7335E">
      <w:pPr>
        <w:suppressLineNumbers/>
        <w:spacing w:line="276" w:lineRule="auto"/>
        <w:ind w:left="720" w:hanging="720"/>
        <w:rPr>
          <w:rFonts w:ascii="Calibri" w:hAnsi="Calibri" w:cs="Calibri"/>
          <w:sz w:val="21"/>
          <w:szCs w:val="21"/>
        </w:rPr>
      </w:pPr>
      <w:r w:rsidRPr="009522F5">
        <w:rPr>
          <w:rFonts w:ascii="Calibri" w:hAnsi="Calibri" w:cs="Calibri"/>
          <w:sz w:val="21"/>
          <w:szCs w:val="21"/>
        </w:rPr>
        <w:t xml:space="preserve">Van den Bergh, J.C.J.M., 2013. </w:t>
      </w:r>
      <w:r w:rsidRPr="003F4FF4">
        <w:rPr>
          <w:rFonts w:ascii="Calibri" w:hAnsi="Calibri" w:cs="Calibri"/>
          <w:sz w:val="21"/>
          <w:szCs w:val="21"/>
        </w:rPr>
        <w:t xml:space="preserve">Economic-financial crisis and sustainability transition: introduction to the special issue. </w:t>
      </w:r>
      <w:r w:rsidRPr="003F4FF4">
        <w:rPr>
          <w:rFonts w:ascii="Calibri" w:hAnsi="Calibri" w:cs="Calibri"/>
          <w:i/>
          <w:iCs/>
          <w:sz w:val="21"/>
          <w:szCs w:val="21"/>
        </w:rPr>
        <w:t>Environmental innovation and societal transitions</w:t>
      </w:r>
      <w:r w:rsidRPr="003F4FF4">
        <w:rPr>
          <w:rFonts w:ascii="Calibri" w:hAnsi="Calibri" w:cs="Calibri"/>
          <w:sz w:val="21"/>
          <w:szCs w:val="21"/>
        </w:rPr>
        <w:t xml:space="preserve">, </w:t>
      </w:r>
      <w:proofErr w:type="gramStart"/>
      <w:r w:rsidRPr="003F4FF4">
        <w:rPr>
          <w:rFonts w:ascii="Calibri" w:hAnsi="Calibri" w:cs="Calibri"/>
          <w:sz w:val="21"/>
          <w:szCs w:val="21"/>
        </w:rPr>
        <w:t>6</w:t>
      </w:r>
      <w:proofErr w:type="gramEnd"/>
      <w:r w:rsidRPr="003F4FF4">
        <w:rPr>
          <w:rFonts w:ascii="Calibri" w:hAnsi="Calibri" w:cs="Calibri"/>
          <w:sz w:val="21"/>
          <w:szCs w:val="21"/>
        </w:rPr>
        <w:t>, 1–8.</w:t>
      </w:r>
    </w:p>
    <w:p w14:paraId="1BFB5686"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Van den Bergh, J. C., </w:t>
      </w:r>
      <w:proofErr w:type="spellStart"/>
      <w:r w:rsidRPr="003F4FF4">
        <w:rPr>
          <w:rFonts w:ascii="Calibri" w:hAnsi="Calibri" w:cs="Calibri"/>
          <w:sz w:val="21"/>
          <w:szCs w:val="21"/>
        </w:rPr>
        <w:t>Truffer</w:t>
      </w:r>
      <w:proofErr w:type="spellEnd"/>
      <w:r w:rsidRPr="003F4FF4">
        <w:rPr>
          <w:rFonts w:ascii="Calibri" w:hAnsi="Calibri" w:cs="Calibri"/>
          <w:sz w:val="21"/>
          <w:szCs w:val="21"/>
        </w:rPr>
        <w:t xml:space="preserve">, B., &amp; </w:t>
      </w:r>
      <w:proofErr w:type="spellStart"/>
      <w:r w:rsidRPr="003F4FF4">
        <w:rPr>
          <w:rFonts w:ascii="Calibri" w:hAnsi="Calibri" w:cs="Calibri"/>
          <w:sz w:val="21"/>
          <w:szCs w:val="21"/>
        </w:rPr>
        <w:t>Kallis</w:t>
      </w:r>
      <w:proofErr w:type="spellEnd"/>
      <w:r w:rsidRPr="003F4FF4">
        <w:rPr>
          <w:rFonts w:ascii="Calibri" w:hAnsi="Calibri" w:cs="Calibri"/>
          <w:sz w:val="21"/>
          <w:szCs w:val="21"/>
        </w:rPr>
        <w:t xml:space="preserve">, G. (2011). Environmental innovation and societal transitions: Introduction and overview. </w:t>
      </w:r>
      <w:r w:rsidRPr="003F4FF4">
        <w:rPr>
          <w:rFonts w:ascii="Calibri" w:hAnsi="Calibri" w:cs="Calibri"/>
          <w:i/>
          <w:iCs/>
          <w:sz w:val="21"/>
          <w:szCs w:val="21"/>
        </w:rPr>
        <w:t>Environmental innovation and societal transitions</w:t>
      </w:r>
      <w:r w:rsidRPr="003F4FF4">
        <w:rPr>
          <w:rFonts w:ascii="Calibri" w:hAnsi="Calibri" w:cs="Calibri"/>
          <w:sz w:val="21"/>
          <w:szCs w:val="21"/>
        </w:rPr>
        <w:t xml:space="preserve">, </w:t>
      </w:r>
      <w:r w:rsidRPr="003F4FF4">
        <w:rPr>
          <w:rFonts w:ascii="Calibri" w:hAnsi="Calibri" w:cs="Calibri"/>
          <w:i/>
          <w:iCs/>
          <w:sz w:val="21"/>
          <w:szCs w:val="21"/>
        </w:rPr>
        <w:t>1</w:t>
      </w:r>
      <w:r w:rsidRPr="003F4FF4">
        <w:rPr>
          <w:rFonts w:ascii="Calibri" w:hAnsi="Calibri" w:cs="Calibri"/>
          <w:sz w:val="21"/>
          <w:szCs w:val="21"/>
        </w:rPr>
        <w:t>(1), 1-23.</w:t>
      </w:r>
    </w:p>
    <w:p w14:paraId="14332554"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Van Lerven, F. and J. Ryan-Collins (2018). </w:t>
      </w:r>
      <w:r w:rsidRPr="003F4FF4">
        <w:rPr>
          <w:rFonts w:ascii="Calibri" w:hAnsi="Calibri" w:cs="Calibri"/>
          <w:i/>
          <w:sz w:val="21"/>
          <w:szCs w:val="21"/>
        </w:rPr>
        <w:t>Adjusting banks’ capital requirements in line with sustainable ﬁnance objectives</w:t>
      </w:r>
      <w:r w:rsidRPr="003F4FF4">
        <w:rPr>
          <w:rFonts w:ascii="Calibri" w:hAnsi="Calibri" w:cs="Calibri"/>
          <w:sz w:val="21"/>
          <w:szCs w:val="21"/>
        </w:rPr>
        <w:t xml:space="preserve">. New Economics Foundation, Brieﬁng note.  </w:t>
      </w:r>
    </w:p>
    <w:p w14:paraId="092BC868"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proofErr w:type="spellStart"/>
      <w:r w:rsidRPr="003F4FF4">
        <w:rPr>
          <w:rFonts w:ascii="Calibri" w:hAnsi="Calibri" w:cs="Calibri"/>
          <w:color w:val="222222"/>
          <w:sz w:val="21"/>
          <w:szCs w:val="21"/>
        </w:rPr>
        <w:t>Videira</w:t>
      </w:r>
      <w:proofErr w:type="spellEnd"/>
      <w:r w:rsidRPr="003F4FF4">
        <w:rPr>
          <w:rFonts w:ascii="Calibri" w:hAnsi="Calibri" w:cs="Calibri"/>
          <w:color w:val="222222"/>
          <w:sz w:val="21"/>
          <w:szCs w:val="21"/>
        </w:rPr>
        <w:t xml:space="preserve">, N., </w:t>
      </w:r>
      <w:proofErr w:type="spellStart"/>
      <w:r w:rsidRPr="003F4FF4">
        <w:rPr>
          <w:rFonts w:ascii="Calibri" w:hAnsi="Calibri" w:cs="Calibri"/>
          <w:color w:val="222222"/>
          <w:sz w:val="21"/>
          <w:szCs w:val="21"/>
        </w:rPr>
        <w:t>Antunes</w:t>
      </w:r>
      <w:proofErr w:type="spellEnd"/>
      <w:r w:rsidRPr="003F4FF4">
        <w:rPr>
          <w:rFonts w:ascii="Calibri" w:hAnsi="Calibri" w:cs="Calibri"/>
          <w:color w:val="222222"/>
          <w:sz w:val="21"/>
          <w:szCs w:val="21"/>
        </w:rPr>
        <w:t xml:space="preserve">, P., Santos, R., &amp; Lopes, R. (2010). A participatory modelling approach to support integrated sustainability assessment processes. </w:t>
      </w:r>
      <w:r w:rsidRPr="003F4FF4">
        <w:rPr>
          <w:rFonts w:ascii="Calibri" w:hAnsi="Calibri" w:cs="Calibri"/>
          <w:i/>
          <w:iCs/>
          <w:color w:val="222222"/>
          <w:sz w:val="21"/>
          <w:szCs w:val="21"/>
        </w:rPr>
        <w:t xml:space="preserve">Systems Research and </w:t>
      </w:r>
      <w:proofErr w:type="spellStart"/>
      <w:r w:rsidRPr="003F4FF4">
        <w:rPr>
          <w:rFonts w:ascii="Calibri" w:hAnsi="Calibri" w:cs="Calibri"/>
          <w:i/>
          <w:iCs/>
          <w:color w:val="222222"/>
          <w:sz w:val="21"/>
          <w:szCs w:val="21"/>
        </w:rPr>
        <w:t>Behavioral</w:t>
      </w:r>
      <w:proofErr w:type="spellEnd"/>
      <w:r w:rsidRPr="003F4FF4">
        <w:rPr>
          <w:rFonts w:ascii="Calibri" w:hAnsi="Calibri" w:cs="Calibri"/>
          <w:i/>
          <w:iCs/>
          <w:color w:val="222222"/>
          <w:sz w:val="21"/>
          <w:szCs w:val="21"/>
        </w:rPr>
        <w:t xml:space="preserve"> Science</w:t>
      </w:r>
      <w:r w:rsidRPr="003F4FF4">
        <w:rPr>
          <w:rFonts w:ascii="Calibri" w:hAnsi="Calibri" w:cs="Calibri"/>
          <w:color w:val="222222"/>
          <w:sz w:val="21"/>
          <w:szCs w:val="21"/>
        </w:rPr>
        <w:t xml:space="preserve">, </w:t>
      </w:r>
      <w:r w:rsidRPr="003F4FF4">
        <w:rPr>
          <w:rFonts w:ascii="Calibri" w:hAnsi="Calibri" w:cs="Calibri"/>
          <w:i/>
          <w:iCs/>
          <w:color w:val="222222"/>
          <w:sz w:val="21"/>
          <w:szCs w:val="21"/>
        </w:rPr>
        <w:t>27</w:t>
      </w:r>
      <w:r w:rsidRPr="003F4FF4">
        <w:rPr>
          <w:rFonts w:ascii="Calibri" w:hAnsi="Calibri" w:cs="Calibri"/>
          <w:color w:val="222222"/>
          <w:sz w:val="21"/>
          <w:szCs w:val="21"/>
        </w:rPr>
        <w:t>(4), 446-460.</w:t>
      </w:r>
      <w:r w:rsidRPr="003F4FF4">
        <w:rPr>
          <w:rFonts w:ascii="Calibri" w:hAnsi="Calibri" w:cs="Calibri"/>
          <w:sz w:val="21"/>
          <w:szCs w:val="21"/>
        </w:rPr>
        <w:t xml:space="preserve"> </w:t>
      </w:r>
    </w:p>
    <w:p w14:paraId="6FB3FCCB" w14:textId="77777777" w:rsidR="00431638" w:rsidRPr="003F4FF4" w:rsidRDefault="00431638" w:rsidP="00D7335E">
      <w:pPr>
        <w:suppressLineNumbers/>
        <w:autoSpaceDE w:val="0"/>
        <w:autoSpaceDN w:val="0"/>
        <w:adjustRightInd w:val="0"/>
        <w:spacing w:line="276" w:lineRule="auto"/>
        <w:ind w:left="720" w:hanging="720"/>
        <w:rPr>
          <w:rFonts w:ascii="Calibri" w:hAnsi="Calibri" w:cs="Calibri"/>
          <w:sz w:val="21"/>
          <w:szCs w:val="21"/>
        </w:rPr>
      </w:pPr>
      <w:r w:rsidRPr="003F4FF4">
        <w:rPr>
          <w:rFonts w:ascii="Calibri" w:hAnsi="Calibri" w:cs="Calibri"/>
          <w:sz w:val="21"/>
          <w:szCs w:val="21"/>
        </w:rPr>
        <w:t xml:space="preserve">Vivid Economics (2012). Energy and the economy the 2030 outlook for UK businesses. </w:t>
      </w:r>
      <w:r w:rsidRPr="003F4FF4">
        <w:rPr>
          <w:rFonts w:ascii="Calibri" w:hAnsi="Calibri" w:cs="Calibri"/>
          <w:i/>
          <w:sz w:val="21"/>
          <w:szCs w:val="21"/>
        </w:rPr>
        <w:t xml:space="preserve">A London School of Economics Report Commissioned by RWE </w:t>
      </w:r>
      <w:proofErr w:type="spellStart"/>
      <w:r w:rsidRPr="003F4FF4">
        <w:rPr>
          <w:rFonts w:ascii="Calibri" w:hAnsi="Calibri" w:cs="Calibri"/>
          <w:i/>
          <w:sz w:val="21"/>
          <w:szCs w:val="21"/>
        </w:rPr>
        <w:t>NPower</w:t>
      </w:r>
      <w:proofErr w:type="spellEnd"/>
      <w:r w:rsidRPr="003F4FF4">
        <w:rPr>
          <w:rFonts w:ascii="Calibri" w:hAnsi="Calibri" w:cs="Calibri"/>
          <w:sz w:val="21"/>
          <w:szCs w:val="21"/>
        </w:rPr>
        <w:t xml:space="preserve">. Available at: </w:t>
      </w:r>
      <w:hyperlink r:id="rId96" w:history="1">
        <w:r w:rsidRPr="003F4FF4">
          <w:rPr>
            <w:rStyle w:val="Hyperlink"/>
            <w:rFonts w:ascii="Calibri" w:hAnsi="Calibri" w:cs="Calibri"/>
            <w:sz w:val="21"/>
            <w:szCs w:val="21"/>
          </w:rPr>
          <w:t>www.vivideconomics.com/publications/energy-and-the-economy-the-2030-outlook-for-uk-businesses</w:t>
        </w:r>
      </w:hyperlink>
      <w:r w:rsidRPr="003F4FF4">
        <w:rPr>
          <w:rFonts w:ascii="Calibri" w:hAnsi="Calibri" w:cs="Calibri"/>
          <w:sz w:val="21"/>
          <w:szCs w:val="21"/>
        </w:rPr>
        <w:t xml:space="preserve"> (</w:t>
      </w:r>
      <w:r w:rsidRPr="003F4FF4">
        <w:rPr>
          <w:rFonts w:ascii="Calibri" w:eastAsia="Calibri" w:hAnsi="Calibri" w:cs="Calibri"/>
          <w:sz w:val="21"/>
          <w:szCs w:val="21"/>
        </w:rPr>
        <w:t xml:space="preserve">Accessed </w:t>
      </w:r>
      <w:r w:rsidRPr="003F4FF4">
        <w:rPr>
          <w:rFonts w:ascii="Calibri" w:hAnsi="Calibri" w:cs="Calibri"/>
          <w:sz w:val="21"/>
          <w:szCs w:val="21"/>
        </w:rPr>
        <w:t xml:space="preserve">04.05.2019). </w:t>
      </w:r>
    </w:p>
    <w:p w14:paraId="66F5EEBB"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Vivid Economics (2014). Financing Green Growth. Available at: </w:t>
      </w:r>
      <w:hyperlink r:id="rId97">
        <w:r w:rsidRPr="003F4FF4">
          <w:rPr>
            <w:rStyle w:val="Hyperlink"/>
            <w:rFonts w:ascii="Calibri" w:eastAsia="Calibri" w:hAnsi="Calibri" w:cs="Calibri"/>
            <w:sz w:val="21"/>
            <w:szCs w:val="21"/>
          </w:rPr>
          <w:t>http://www.vivideconomics.com/publications/financing-green-growth</w:t>
        </w:r>
      </w:hyperlink>
      <w:r w:rsidRPr="003F4FF4">
        <w:rPr>
          <w:rFonts w:ascii="Calibri" w:eastAsia="Calibri" w:hAnsi="Calibri" w:cs="Calibri"/>
          <w:sz w:val="21"/>
          <w:szCs w:val="21"/>
        </w:rPr>
        <w:t xml:space="preserve"> (Accessed 14.05.2019).</w:t>
      </w:r>
    </w:p>
    <w:p w14:paraId="03D466DC"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lang w:val="de-CH"/>
        </w:rPr>
        <w:lastRenderedPageBreak/>
        <w:t xml:space="preserve">Vogt‐Schilb, A., &amp; Hallegatte, S. (2017). </w:t>
      </w:r>
      <w:r w:rsidRPr="003F4FF4">
        <w:rPr>
          <w:rFonts w:ascii="Calibri" w:hAnsi="Calibri" w:cs="Calibri"/>
          <w:sz w:val="21"/>
          <w:szCs w:val="21"/>
        </w:rPr>
        <w:t xml:space="preserve">Climate policies and nationally determined contributions: reconciling the needed ambition with the political economy. </w:t>
      </w:r>
      <w:r w:rsidRPr="003F4FF4">
        <w:rPr>
          <w:rFonts w:ascii="Calibri" w:hAnsi="Calibri" w:cs="Calibri"/>
          <w:i/>
          <w:iCs/>
          <w:sz w:val="21"/>
          <w:szCs w:val="21"/>
        </w:rPr>
        <w:t>Wiley Interdisciplinary Reviews: Energy and Environment</w:t>
      </w:r>
      <w:r w:rsidRPr="003F4FF4">
        <w:rPr>
          <w:rFonts w:ascii="Calibri" w:hAnsi="Calibri" w:cs="Calibri"/>
          <w:sz w:val="21"/>
          <w:szCs w:val="21"/>
        </w:rPr>
        <w:t xml:space="preserve">, </w:t>
      </w:r>
      <w:r w:rsidRPr="003F4FF4">
        <w:rPr>
          <w:rFonts w:ascii="Calibri" w:hAnsi="Calibri" w:cs="Calibri"/>
          <w:i/>
          <w:iCs/>
          <w:sz w:val="21"/>
          <w:szCs w:val="21"/>
        </w:rPr>
        <w:t>6</w:t>
      </w:r>
      <w:r w:rsidRPr="003F4FF4">
        <w:rPr>
          <w:rFonts w:ascii="Calibri" w:hAnsi="Calibri" w:cs="Calibri"/>
          <w:sz w:val="21"/>
          <w:szCs w:val="21"/>
        </w:rPr>
        <w:t>(6), e256.</w:t>
      </w:r>
    </w:p>
    <w:p w14:paraId="067AC11E"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Weitzman, M. L. (2014). Can negotiating a uniform carbon price help to internalize the global warming externality</w:t>
      </w:r>
      <w:proofErr w:type="gramStart"/>
      <w:r w:rsidRPr="003F4FF4">
        <w:rPr>
          <w:rFonts w:ascii="Calibri" w:hAnsi="Calibri" w:cs="Calibri"/>
          <w:sz w:val="21"/>
          <w:szCs w:val="21"/>
        </w:rPr>
        <w:t>?.</w:t>
      </w:r>
      <w:proofErr w:type="gramEnd"/>
      <w:r w:rsidRPr="003F4FF4">
        <w:rPr>
          <w:rFonts w:ascii="Calibri" w:hAnsi="Calibri" w:cs="Calibri"/>
          <w:sz w:val="21"/>
          <w:szCs w:val="21"/>
        </w:rPr>
        <w:t xml:space="preserve"> </w:t>
      </w:r>
      <w:r w:rsidRPr="003F4FF4">
        <w:rPr>
          <w:rFonts w:ascii="Calibri" w:hAnsi="Calibri" w:cs="Calibri"/>
          <w:i/>
          <w:iCs/>
          <w:sz w:val="21"/>
          <w:szCs w:val="21"/>
        </w:rPr>
        <w:t>Journal of the Association of Environmental and Resource Economists</w:t>
      </w:r>
      <w:r w:rsidRPr="003F4FF4">
        <w:rPr>
          <w:rFonts w:ascii="Calibri" w:hAnsi="Calibri" w:cs="Calibri"/>
          <w:sz w:val="21"/>
          <w:szCs w:val="21"/>
        </w:rPr>
        <w:t xml:space="preserve">, </w:t>
      </w:r>
      <w:r w:rsidRPr="003F4FF4">
        <w:rPr>
          <w:rFonts w:ascii="Calibri" w:hAnsi="Calibri" w:cs="Calibri"/>
          <w:i/>
          <w:iCs/>
          <w:sz w:val="21"/>
          <w:szCs w:val="21"/>
        </w:rPr>
        <w:t>1</w:t>
      </w:r>
      <w:r w:rsidRPr="003F4FF4">
        <w:rPr>
          <w:rFonts w:ascii="Calibri" w:hAnsi="Calibri" w:cs="Calibri"/>
          <w:sz w:val="21"/>
          <w:szCs w:val="21"/>
        </w:rPr>
        <w:t>(1/2), 29-49.</w:t>
      </w:r>
    </w:p>
    <w:p w14:paraId="2E4F6268" w14:textId="77777777" w:rsidR="00431638" w:rsidRPr="003F4FF4" w:rsidRDefault="00431638" w:rsidP="00D7335E">
      <w:pPr>
        <w:suppressLineNumbers/>
        <w:spacing w:line="276" w:lineRule="auto"/>
        <w:ind w:left="720" w:hanging="720"/>
        <w:rPr>
          <w:rFonts w:ascii="Calibri" w:hAnsi="Calibri" w:cs="Calibri"/>
          <w:sz w:val="21"/>
          <w:szCs w:val="21"/>
        </w:rPr>
      </w:pPr>
      <w:r w:rsidRPr="003F4FF4">
        <w:rPr>
          <w:rFonts w:ascii="Calibri" w:hAnsi="Calibri" w:cs="Calibri"/>
          <w:sz w:val="21"/>
          <w:szCs w:val="21"/>
        </w:rPr>
        <w:t xml:space="preserve">Wells, V., Greenwell, F., Covey, J., Rosenthal, H. E., Adcock, M., &amp; Gregory-Smith, D. (2013). An exploratory investigation of barriers and enablers affecting investment in renewable companies and technologies in the UK. </w:t>
      </w:r>
      <w:r w:rsidRPr="003F4FF4">
        <w:rPr>
          <w:rFonts w:ascii="Calibri" w:hAnsi="Calibri" w:cs="Calibri"/>
          <w:i/>
          <w:iCs/>
          <w:sz w:val="21"/>
          <w:szCs w:val="21"/>
        </w:rPr>
        <w:t>Interface focus</w:t>
      </w:r>
      <w:r w:rsidRPr="003F4FF4">
        <w:rPr>
          <w:rFonts w:ascii="Calibri" w:hAnsi="Calibri" w:cs="Calibri"/>
          <w:sz w:val="21"/>
          <w:szCs w:val="21"/>
        </w:rPr>
        <w:t xml:space="preserve">, </w:t>
      </w:r>
      <w:r w:rsidRPr="003F4FF4">
        <w:rPr>
          <w:rFonts w:ascii="Calibri" w:hAnsi="Calibri" w:cs="Calibri"/>
          <w:i/>
          <w:iCs/>
          <w:sz w:val="21"/>
          <w:szCs w:val="21"/>
        </w:rPr>
        <w:t>3</w:t>
      </w:r>
      <w:r w:rsidRPr="003F4FF4">
        <w:rPr>
          <w:rFonts w:ascii="Calibri" w:hAnsi="Calibri" w:cs="Calibri"/>
          <w:sz w:val="21"/>
          <w:szCs w:val="21"/>
        </w:rPr>
        <w:t>(1), 20120039.</w:t>
      </w:r>
    </w:p>
    <w:p w14:paraId="367F06B3" w14:textId="77777777" w:rsidR="00431638" w:rsidRPr="003F4FF4" w:rsidRDefault="00431638" w:rsidP="00D7335E">
      <w:pPr>
        <w:suppressLineNumbers/>
        <w:ind w:left="720" w:hanging="720"/>
        <w:rPr>
          <w:rFonts w:ascii="Calibri" w:eastAsia="Calibri" w:hAnsi="Calibri" w:cs="Calibri"/>
          <w:sz w:val="21"/>
          <w:szCs w:val="21"/>
        </w:rPr>
      </w:pPr>
      <w:r w:rsidRPr="003F4FF4">
        <w:rPr>
          <w:rFonts w:ascii="Calibri" w:eastAsia="Calibri" w:hAnsi="Calibri" w:cs="Calibri"/>
          <w:sz w:val="21"/>
          <w:szCs w:val="21"/>
        </w:rPr>
        <w:t xml:space="preserve">World Bank (2012). Green Infrastructure Finance. Available at: </w:t>
      </w:r>
      <w:r w:rsidRPr="003F4FF4">
        <w:rPr>
          <w:rStyle w:val="Hyperlink"/>
          <w:rFonts w:ascii="Calibri" w:eastAsia="Calibri" w:hAnsi="Calibri" w:cs="Calibri"/>
          <w:sz w:val="21"/>
          <w:szCs w:val="21"/>
        </w:rPr>
        <w:t xml:space="preserve">http://documents.worldbank.org/curated/en/247041468340183358/pdf/678630PUB0EPI0067902B09780821394885.pdf </w:t>
      </w:r>
      <w:r w:rsidRPr="003F4FF4">
        <w:rPr>
          <w:rFonts w:ascii="Calibri" w:eastAsia="Calibri" w:hAnsi="Calibri" w:cs="Calibri"/>
          <w:sz w:val="21"/>
          <w:szCs w:val="21"/>
        </w:rPr>
        <w:t>(Accessed 14.05.2019).</w:t>
      </w:r>
    </w:p>
    <w:p w14:paraId="4230CF7A"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Wüstenhagen</w:t>
      </w:r>
      <w:proofErr w:type="spellEnd"/>
      <w:r w:rsidRPr="003F4FF4">
        <w:rPr>
          <w:rFonts w:ascii="Calibri" w:hAnsi="Calibri" w:cs="Calibri"/>
          <w:sz w:val="21"/>
          <w:szCs w:val="21"/>
        </w:rPr>
        <w:t xml:space="preserve">, R., &amp; </w:t>
      </w:r>
      <w:proofErr w:type="spellStart"/>
      <w:r w:rsidRPr="003F4FF4">
        <w:rPr>
          <w:rFonts w:ascii="Calibri" w:hAnsi="Calibri" w:cs="Calibri"/>
          <w:sz w:val="21"/>
          <w:szCs w:val="21"/>
        </w:rPr>
        <w:t>Menichetti</w:t>
      </w:r>
      <w:proofErr w:type="spellEnd"/>
      <w:r w:rsidRPr="003F4FF4">
        <w:rPr>
          <w:rFonts w:ascii="Calibri" w:hAnsi="Calibri" w:cs="Calibri"/>
          <w:sz w:val="21"/>
          <w:szCs w:val="21"/>
        </w:rPr>
        <w:t xml:space="preserve">, E. (2012). Strategic choices for renewable energy investment: Conceptual framework and opportunities for further research. </w:t>
      </w:r>
      <w:r w:rsidRPr="003F4FF4">
        <w:rPr>
          <w:rFonts w:ascii="Calibri" w:hAnsi="Calibri" w:cs="Calibri"/>
          <w:i/>
          <w:iCs/>
          <w:sz w:val="21"/>
          <w:szCs w:val="21"/>
        </w:rPr>
        <w:t>Energy Policy</w:t>
      </w:r>
      <w:r w:rsidRPr="003F4FF4">
        <w:rPr>
          <w:rFonts w:ascii="Calibri" w:hAnsi="Calibri" w:cs="Calibri"/>
          <w:sz w:val="21"/>
          <w:szCs w:val="21"/>
        </w:rPr>
        <w:t xml:space="preserve">, </w:t>
      </w:r>
      <w:r w:rsidRPr="003F4FF4">
        <w:rPr>
          <w:rFonts w:ascii="Calibri" w:hAnsi="Calibri" w:cs="Calibri"/>
          <w:i/>
          <w:iCs/>
          <w:sz w:val="21"/>
          <w:szCs w:val="21"/>
        </w:rPr>
        <w:t>40</w:t>
      </w:r>
      <w:r w:rsidRPr="003F4FF4">
        <w:rPr>
          <w:rFonts w:ascii="Calibri" w:hAnsi="Calibri" w:cs="Calibri"/>
          <w:sz w:val="21"/>
          <w:szCs w:val="21"/>
        </w:rPr>
        <w:t>, 1-10.</w:t>
      </w:r>
    </w:p>
    <w:p w14:paraId="65945BFA" w14:textId="77777777" w:rsidR="00431638" w:rsidRPr="003F4FF4"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Zenghelis</w:t>
      </w:r>
      <w:proofErr w:type="spellEnd"/>
      <w:r w:rsidRPr="003F4FF4">
        <w:rPr>
          <w:rFonts w:ascii="Calibri" w:hAnsi="Calibri" w:cs="Calibri"/>
          <w:sz w:val="21"/>
          <w:szCs w:val="21"/>
        </w:rPr>
        <w:t xml:space="preserve">, D. (2014). In praise of a green stimulus. </w:t>
      </w:r>
      <w:r w:rsidRPr="003F4FF4">
        <w:rPr>
          <w:rFonts w:ascii="Calibri" w:hAnsi="Calibri" w:cs="Calibri"/>
          <w:i/>
          <w:iCs/>
          <w:sz w:val="21"/>
          <w:szCs w:val="21"/>
        </w:rPr>
        <w:t>Wiley Interdisciplinary Reviews: Climate Change</w:t>
      </w:r>
      <w:r w:rsidRPr="003F4FF4">
        <w:rPr>
          <w:rFonts w:ascii="Calibri" w:hAnsi="Calibri" w:cs="Calibri"/>
          <w:sz w:val="21"/>
          <w:szCs w:val="21"/>
        </w:rPr>
        <w:t xml:space="preserve">, </w:t>
      </w:r>
      <w:r w:rsidRPr="003F4FF4">
        <w:rPr>
          <w:rFonts w:ascii="Calibri" w:hAnsi="Calibri" w:cs="Calibri"/>
          <w:i/>
          <w:iCs/>
          <w:sz w:val="21"/>
          <w:szCs w:val="21"/>
        </w:rPr>
        <w:t>5</w:t>
      </w:r>
      <w:r w:rsidRPr="003F4FF4">
        <w:rPr>
          <w:rFonts w:ascii="Calibri" w:hAnsi="Calibri" w:cs="Calibri"/>
          <w:sz w:val="21"/>
          <w:szCs w:val="21"/>
        </w:rPr>
        <w:t xml:space="preserve">(1), 7-14.Zhong, M., &amp; </w:t>
      </w:r>
      <w:proofErr w:type="spellStart"/>
      <w:r w:rsidRPr="003F4FF4">
        <w:rPr>
          <w:rFonts w:ascii="Calibri" w:hAnsi="Calibri" w:cs="Calibri"/>
          <w:sz w:val="21"/>
          <w:szCs w:val="21"/>
        </w:rPr>
        <w:t>Bazilian</w:t>
      </w:r>
      <w:proofErr w:type="spellEnd"/>
      <w:r w:rsidRPr="003F4FF4">
        <w:rPr>
          <w:rFonts w:ascii="Calibri" w:hAnsi="Calibri" w:cs="Calibri"/>
          <w:sz w:val="21"/>
          <w:szCs w:val="21"/>
        </w:rPr>
        <w:t xml:space="preserve">, M. D. (2018). Contours of the energy transition: Investment by international oil and gas companies in renewable energy. </w:t>
      </w:r>
      <w:r w:rsidRPr="003F4FF4">
        <w:rPr>
          <w:rFonts w:ascii="Calibri" w:hAnsi="Calibri" w:cs="Calibri"/>
          <w:i/>
          <w:iCs/>
          <w:sz w:val="21"/>
          <w:szCs w:val="21"/>
        </w:rPr>
        <w:t>The Electricity Journal</w:t>
      </w:r>
      <w:r w:rsidRPr="003F4FF4">
        <w:rPr>
          <w:rFonts w:ascii="Calibri" w:hAnsi="Calibri" w:cs="Calibri"/>
          <w:sz w:val="21"/>
          <w:szCs w:val="21"/>
        </w:rPr>
        <w:t xml:space="preserve">, </w:t>
      </w:r>
      <w:r w:rsidRPr="003F4FF4">
        <w:rPr>
          <w:rFonts w:ascii="Calibri" w:hAnsi="Calibri" w:cs="Calibri"/>
          <w:i/>
          <w:iCs/>
          <w:sz w:val="21"/>
          <w:szCs w:val="21"/>
        </w:rPr>
        <w:t>31</w:t>
      </w:r>
      <w:r w:rsidRPr="003F4FF4">
        <w:rPr>
          <w:rFonts w:ascii="Calibri" w:hAnsi="Calibri" w:cs="Calibri"/>
          <w:sz w:val="21"/>
          <w:szCs w:val="21"/>
        </w:rPr>
        <w:t xml:space="preserve">(1), 82-91. </w:t>
      </w:r>
    </w:p>
    <w:p w14:paraId="5ED9B4F3" w14:textId="732664F1" w:rsidR="00431638" w:rsidRDefault="00431638" w:rsidP="00D7335E">
      <w:pPr>
        <w:suppressLineNumbers/>
        <w:spacing w:line="276" w:lineRule="auto"/>
        <w:ind w:left="720" w:hanging="720"/>
        <w:rPr>
          <w:rFonts w:ascii="Calibri" w:hAnsi="Calibri" w:cs="Calibri"/>
          <w:sz w:val="21"/>
          <w:szCs w:val="21"/>
        </w:rPr>
      </w:pPr>
      <w:proofErr w:type="spellStart"/>
      <w:r w:rsidRPr="003F4FF4">
        <w:rPr>
          <w:rFonts w:ascii="Calibri" w:hAnsi="Calibri" w:cs="Calibri"/>
          <w:sz w:val="21"/>
          <w:szCs w:val="21"/>
        </w:rPr>
        <w:t>Zhong</w:t>
      </w:r>
      <w:proofErr w:type="spellEnd"/>
      <w:r w:rsidRPr="003F4FF4">
        <w:rPr>
          <w:rFonts w:ascii="Calibri" w:hAnsi="Calibri" w:cs="Calibri"/>
          <w:sz w:val="21"/>
          <w:szCs w:val="21"/>
        </w:rPr>
        <w:t xml:space="preserve">, M., &amp; </w:t>
      </w:r>
      <w:proofErr w:type="spellStart"/>
      <w:r w:rsidRPr="003F4FF4">
        <w:rPr>
          <w:rFonts w:ascii="Calibri" w:hAnsi="Calibri" w:cs="Calibri"/>
          <w:sz w:val="21"/>
          <w:szCs w:val="21"/>
        </w:rPr>
        <w:t>Bazilian</w:t>
      </w:r>
      <w:proofErr w:type="spellEnd"/>
      <w:r w:rsidRPr="003F4FF4">
        <w:rPr>
          <w:rFonts w:ascii="Calibri" w:hAnsi="Calibri" w:cs="Calibri"/>
          <w:sz w:val="21"/>
          <w:szCs w:val="21"/>
        </w:rPr>
        <w:t xml:space="preserve">, M. D. (2018). Contours of the energy transition: Investment by international oil and gas companies in renewable energy. </w:t>
      </w:r>
      <w:r w:rsidRPr="003F4FF4">
        <w:rPr>
          <w:rFonts w:ascii="Calibri" w:hAnsi="Calibri" w:cs="Calibri"/>
          <w:i/>
          <w:iCs/>
          <w:sz w:val="21"/>
          <w:szCs w:val="21"/>
        </w:rPr>
        <w:t>The Electricity Journal</w:t>
      </w:r>
      <w:r w:rsidRPr="003F4FF4">
        <w:rPr>
          <w:rFonts w:ascii="Calibri" w:hAnsi="Calibri" w:cs="Calibri"/>
          <w:sz w:val="21"/>
          <w:szCs w:val="21"/>
        </w:rPr>
        <w:t xml:space="preserve">, </w:t>
      </w:r>
      <w:r w:rsidRPr="003F4FF4">
        <w:rPr>
          <w:rFonts w:ascii="Calibri" w:hAnsi="Calibri" w:cs="Calibri"/>
          <w:i/>
          <w:iCs/>
          <w:sz w:val="21"/>
          <w:szCs w:val="21"/>
        </w:rPr>
        <w:t>31</w:t>
      </w:r>
      <w:r w:rsidRPr="003F4FF4">
        <w:rPr>
          <w:rFonts w:ascii="Calibri" w:hAnsi="Calibri" w:cs="Calibri"/>
          <w:sz w:val="21"/>
          <w:szCs w:val="21"/>
        </w:rPr>
        <w:t>(1), 82-91.</w:t>
      </w:r>
    </w:p>
    <w:p w14:paraId="22FB6F6F" w14:textId="3B1CCAE2" w:rsidR="00431638" w:rsidRPr="00431638" w:rsidRDefault="00431638" w:rsidP="00D7335E">
      <w:pPr>
        <w:suppressLineNumbers/>
        <w:rPr>
          <w:rFonts w:ascii="Calibri" w:hAnsi="Calibri" w:cs="Calibri"/>
          <w:b/>
          <w:sz w:val="21"/>
          <w:szCs w:val="21"/>
        </w:rPr>
      </w:pPr>
      <w:r>
        <w:rPr>
          <w:rFonts w:ascii="Calibri" w:hAnsi="Calibri" w:cs="Calibri"/>
          <w:sz w:val="21"/>
          <w:szCs w:val="21"/>
        </w:rPr>
        <w:br w:type="page"/>
      </w:r>
      <w:r w:rsidRPr="00431638">
        <w:rPr>
          <w:rFonts w:ascii="Calibri" w:hAnsi="Calibri" w:cs="Calibri"/>
          <w:b/>
          <w:sz w:val="21"/>
          <w:szCs w:val="21"/>
        </w:rPr>
        <w:lastRenderedPageBreak/>
        <w:t>Appendix</w:t>
      </w:r>
    </w:p>
    <w:p w14:paraId="26D09BB2" w14:textId="77777777" w:rsidR="00EC3985" w:rsidRDefault="00EC3985" w:rsidP="00EC3985">
      <w:pPr>
        <w:pStyle w:val="Caption"/>
        <w:keepNext/>
        <w:spacing w:after="0"/>
      </w:pPr>
      <w:bookmarkStart w:id="0" w:name="_GoBack"/>
      <w:bookmarkEnd w:id="0"/>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a: Overview on reviewed policy reports in Hafner et al. (2019)</w:t>
      </w:r>
    </w:p>
    <w:tbl>
      <w:tblPr>
        <w:tblStyle w:val="TableGrid"/>
        <w:tblW w:w="9537" w:type="dxa"/>
        <w:tblInd w:w="-147" w:type="dxa"/>
        <w:tblLook w:val="04A0" w:firstRow="1" w:lastRow="0" w:firstColumn="1" w:lastColumn="0" w:noHBand="0" w:noVBand="1"/>
      </w:tblPr>
      <w:tblGrid>
        <w:gridCol w:w="1876"/>
        <w:gridCol w:w="1619"/>
        <w:gridCol w:w="6042"/>
      </w:tblGrid>
      <w:tr w:rsidR="00EC3985" w:rsidRPr="001E03B0" w14:paraId="7DD234ED" w14:textId="77777777" w:rsidTr="003E223D">
        <w:trPr>
          <w:trHeight w:val="134"/>
        </w:trPr>
        <w:tc>
          <w:tcPr>
            <w:tcW w:w="1876" w:type="dxa"/>
          </w:tcPr>
          <w:p w14:paraId="2BF1D1AF" w14:textId="77777777" w:rsidR="00EC3985" w:rsidRPr="001E03B0" w:rsidRDefault="00EC3985" w:rsidP="003E223D">
            <w:pPr>
              <w:jc w:val="center"/>
              <w:rPr>
                <w:rFonts w:ascii="Calibri" w:hAnsi="Calibri" w:cs="Calibri"/>
                <w:b/>
                <w:sz w:val="18"/>
                <w:szCs w:val="18"/>
              </w:rPr>
            </w:pPr>
            <w:r w:rsidRPr="001E03B0">
              <w:rPr>
                <w:rFonts w:ascii="Calibri" w:hAnsi="Calibri" w:cs="Calibri"/>
                <w:b/>
                <w:sz w:val="18"/>
                <w:szCs w:val="18"/>
              </w:rPr>
              <w:t>Author/Organisation</w:t>
            </w:r>
          </w:p>
        </w:tc>
        <w:tc>
          <w:tcPr>
            <w:tcW w:w="1619" w:type="dxa"/>
          </w:tcPr>
          <w:p w14:paraId="7705EE21" w14:textId="77777777" w:rsidR="00EC3985" w:rsidRPr="001E03B0" w:rsidRDefault="00EC3985" w:rsidP="003E223D">
            <w:pPr>
              <w:jc w:val="center"/>
              <w:rPr>
                <w:rFonts w:ascii="Calibri" w:hAnsi="Calibri" w:cs="Calibri"/>
                <w:b/>
                <w:sz w:val="18"/>
                <w:szCs w:val="18"/>
              </w:rPr>
            </w:pPr>
            <w:r w:rsidRPr="001E03B0">
              <w:rPr>
                <w:rFonts w:ascii="Calibri" w:hAnsi="Calibri" w:cs="Calibri"/>
                <w:b/>
                <w:sz w:val="18"/>
                <w:szCs w:val="18"/>
              </w:rPr>
              <w:t>Year of publication</w:t>
            </w:r>
          </w:p>
        </w:tc>
        <w:tc>
          <w:tcPr>
            <w:tcW w:w="6042" w:type="dxa"/>
          </w:tcPr>
          <w:p w14:paraId="398D53BC" w14:textId="77777777" w:rsidR="00EC3985" w:rsidRPr="001E03B0" w:rsidRDefault="00EC3985" w:rsidP="003E223D">
            <w:pPr>
              <w:jc w:val="center"/>
              <w:rPr>
                <w:rFonts w:ascii="Calibri" w:hAnsi="Calibri" w:cs="Calibri"/>
                <w:b/>
                <w:sz w:val="18"/>
                <w:szCs w:val="18"/>
              </w:rPr>
            </w:pPr>
            <w:r w:rsidRPr="001E03B0">
              <w:rPr>
                <w:rFonts w:ascii="Calibri" w:hAnsi="Calibri" w:cs="Calibri"/>
                <w:b/>
                <w:sz w:val="18"/>
                <w:szCs w:val="18"/>
              </w:rPr>
              <w:t>Title</w:t>
            </w:r>
          </w:p>
        </w:tc>
      </w:tr>
      <w:tr w:rsidR="00EC3985" w:rsidRPr="001E03B0" w14:paraId="74D88F93" w14:textId="77777777" w:rsidTr="003E223D">
        <w:trPr>
          <w:trHeight w:val="273"/>
        </w:trPr>
        <w:tc>
          <w:tcPr>
            <w:tcW w:w="1876" w:type="dxa"/>
          </w:tcPr>
          <w:p w14:paraId="04455BF1"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 xml:space="preserve">Aldersgate Group </w:t>
            </w:r>
          </w:p>
        </w:tc>
        <w:tc>
          <w:tcPr>
            <w:tcW w:w="1619" w:type="dxa"/>
          </w:tcPr>
          <w:p w14:paraId="73E4D921"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2018 </w:t>
            </w:r>
          </w:p>
        </w:tc>
        <w:tc>
          <w:tcPr>
            <w:tcW w:w="6042" w:type="dxa"/>
          </w:tcPr>
          <w:p w14:paraId="2D6ACA1D"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Towards the new normal: How to increase investments in the UK’s green infrastructure?</w:t>
            </w:r>
          </w:p>
        </w:tc>
      </w:tr>
      <w:tr w:rsidR="00EC3985" w:rsidRPr="001E03B0" w14:paraId="192F0D64" w14:textId="77777777" w:rsidTr="003E223D">
        <w:trPr>
          <w:trHeight w:val="273"/>
        </w:trPr>
        <w:tc>
          <w:tcPr>
            <w:tcW w:w="1876" w:type="dxa"/>
          </w:tcPr>
          <w:p w14:paraId="330900D3"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British Banking Association</w:t>
            </w:r>
          </w:p>
        </w:tc>
        <w:tc>
          <w:tcPr>
            <w:tcW w:w="1619" w:type="dxa"/>
          </w:tcPr>
          <w:p w14:paraId="7B717365"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2015 </w:t>
            </w:r>
          </w:p>
        </w:tc>
        <w:tc>
          <w:tcPr>
            <w:tcW w:w="6042" w:type="dxa"/>
          </w:tcPr>
          <w:p w14:paraId="4A64D43D"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Financing the UK's infrastructure needs</w:t>
            </w:r>
          </w:p>
        </w:tc>
      </w:tr>
      <w:tr w:rsidR="00EC3985" w:rsidRPr="001E03B0" w14:paraId="4902D0C9" w14:textId="77777777" w:rsidTr="003E223D">
        <w:trPr>
          <w:trHeight w:val="273"/>
        </w:trPr>
        <w:tc>
          <w:tcPr>
            <w:tcW w:w="1876" w:type="dxa"/>
          </w:tcPr>
          <w:p w14:paraId="3D217804"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 xml:space="preserve">Climate Policy Initiative </w:t>
            </w:r>
          </w:p>
        </w:tc>
        <w:tc>
          <w:tcPr>
            <w:tcW w:w="1619" w:type="dxa"/>
          </w:tcPr>
          <w:p w14:paraId="4805FE41"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2013 </w:t>
            </w:r>
          </w:p>
        </w:tc>
        <w:tc>
          <w:tcPr>
            <w:tcW w:w="6042" w:type="dxa"/>
          </w:tcPr>
          <w:p w14:paraId="28F7E46C"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The challenge of Institutional Investment in Renewable Energy</w:t>
            </w:r>
          </w:p>
        </w:tc>
      </w:tr>
      <w:tr w:rsidR="00EC3985" w:rsidRPr="001E03B0" w14:paraId="177377B2" w14:textId="77777777" w:rsidTr="003E223D">
        <w:trPr>
          <w:trHeight w:val="134"/>
        </w:trPr>
        <w:tc>
          <w:tcPr>
            <w:tcW w:w="1876" w:type="dxa"/>
          </w:tcPr>
          <w:p w14:paraId="0C1088CA"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E3G</w:t>
            </w:r>
          </w:p>
        </w:tc>
        <w:tc>
          <w:tcPr>
            <w:tcW w:w="1619" w:type="dxa"/>
          </w:tcPr>
          <w:p w14:paraId="715C51B8"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2016 </w:t>
            </w:r>
          </w:p>
        </w:tc>
        <w:tc>
          <w:tcPr>
            <w:tcW w:w="6042" w:type="dxa"/>
          </w:tcPr>
          <w:p w14:paraId="7DB803B7"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A Sustainable Finance Plan for the European Union</w:t>
            </w:r>
          </w:p>
        </w:tc>
      </w:tr>
      <w:tr w:rsidR="00EC3985" w:rsidRPr="001E03B0" w14:paraId="53C3EEBB" w14:textId="77777777" w:rsidTr="003E223D">
        <w:trPr>
          <w:trHeight w:val="413"/>
        </w:trPr>
        <w:tc>
          <w:tcPr>
            <w:tcW w:w="1876" w:type="dxa"/>
          </w:tcPr>
          <w:p w14:paraId="43C3B703"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EU High Level Expert Group On Sustainable Finance</w:t>
            </w:r>
          </w:p>
        </w:tc>
        <w:tc>
          <w:tcPr>
            <w:tcW w:w="1619" w:type="dxa"/>
          </w:tcPr>
          <w:p w14:paraId="4650D5A4"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2018 </w:t>
            </w:r>
          </w:p>
        </w:tc>
        <w:tc>
          <w:tcPr>
            <w:tcW w:w="6042" w:type="dxa"/>
          </w:tcPr>
          <w:p w14:paraId="2620CF78"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Financing a Sustainable European Economy</w:t>
            </w:r>
          </w:p>
        </w:tc>
      </w:tr>
      <w:tr w:rsidR="00EC3985" w:rsidRPr="001E03B0" w14:paraId="2EA34AC1" w14:textId="77777777" w:rsidTr="003E223D">
        <w:trPr>
          <w:trHeight w:val="268"/>
        </w:trPr>
        <w:tc>
          <w:tcPr>
            <w:tcW w:w="1876" w:type="dxa"/>
          </w:tcPr>
          <w:p w14:paraId="1EAA685B" w14:textId="77777777" w:rsidR="00EC3985" w:rsidRPr="001E03B0" w:rsidRDefault="00EC3985" w:rsidP="003E223D">
            <w:pPr>
              <w:rPr>
                <w:rFonts w:ascii="Calibri" w:eastAsia="Calibri" w:hAnsi="Calibri" w:cs="Calibri"/>
                <w:sz w:val="18"/>
                <w:szCs w:val="18"/>
              </w:rPr>
            </w:pPr>
            <w:r w:rsidRPr="001E03B0">
              <w:rPr>
                <w:rFonts w:ascii="Calibri" w:hAnsi="Calibri" w:cs="Calibri"/>
                <w:sz w:val="18"/>
                <w:szCs w:val="18"/>
              </w:rPr>
              <w:t>European Commission</w:t>
            </w:r>
          </w:p>
        </w:tc>
        <w:tc>
          <w:tcPr>
            <w:tcW w:w="1619" w:type="dxa"/>
          </w:tcPr>
          <w:p w14:paraId="0A723E88"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2017 </w:t>
            </w:r>
          </w:p>
        </w:tc>
        <w:tc>
          <w:tcPr>
            <w:tcW w:w="6042" w:type="dxa"/>
          </w:tcPr>
          <w:p w14:paraId="5BD5A838" w14:textId="77777777" w:rsidR="00EC3985" w:rsidRPr="001E03B0" w:rsidRDefault="00EC3985" w:rsidP="003E223D">
            <w:pPr>
              <w:rPr>
                <w:rFonts w:ascii="Calibri" w:eastAsia="Calibri" w:hAnsi="Calibri" w:cs="Calibri"/>
                <w:sz w:val="18"/>
                <w:szCs w:val="18"/>
              </w:rPr>
            </w:pPr>
            <w:r w:rsidRPr="001E03B0">
              <w:rPr>
                <w:rFonts w:ascii="Calibri" w:hAnsi="Calibri" w:cs="Calibri"/>
                <w:sz w:val="18"/>
                <w:szCs w:val="18"/>
              </w:rPr>
              <w:t>Financing Sustainability. Triggering Investments for the Clean Economy</w:t>
            </w:r>
          </w:p>
        </w:tc>
      </w:tr>
      <w:tr w:rsidR="00EC3985" w:rsidRPr="001E03B0" w14:paraId="3E90D594" w14:textId="77777777" w:rsidTr="003E223D">
        <w:trPr>
          <w:trHeight w:val="139"/>
        </w:trPr>
        <w:tc>
          <w:tcPr>
            <w:tcW w:w="1876" w:type="dxa"/>
          </w:tcPr>
          <w:p w14:paraId="4977A2DB"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EY</w:t>
            </w:r>
          </w:p>
        </w:tc>
        <w:tc>
          <w:tcPr>
            <w:tcW w:w="1619" w:type="dxa"/>
          </w:tcPr>
          <w:p w14:paraId="0DAF961C"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2016 </w:t>
            </w:r>
          </w:p>
        </w:tc>
        <w:tc>
          <w:tcPr>
            <w:tcW w:w="6042" w:type="dxa"/>
          </w:tcPr>
          <w:p w14:paraId="241E6EE4"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Climate change. The investment perspective</w:t>
            </w:r>
          </w:p>
        </w:tc>
      </w:tr>
      <w:tr w:rsidR="00EC3985" w:rsidRPr="001E03B0" w14:paraId="6B6B51A6" w14:textId="77777777" w:rsidTr="003E223D">
        <w:trPr>
          <w:trHeight w:val="134"/>
        </w:trPr>
        <w:tc>
          <w:tcPr>
            <w:tcW w:w="1876" w:type="dxa"/>
          </w:tcPr>
          <w:p w14:paraId="555E63CF"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 xml:space="preserve">G20 </w:t>
            </w:r>
          </w:p>
        </w:tc>
        <w:tc>
          <w:tcPr>
            <w:tcW w:w="1619" w:type="dxa"/>
          </w:tcPr>
          <w:p w14:paraId="2127DC42"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2016 </w:t>
            </w:r>
          </w:p>
        </w:tc>
        <w:tc>
          <w:tcPr>
            <w:tcW w:w="6042" w:type="dxa"/>
          </w:tcPr>
          <w:p w14:paraId="1139A493"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G20 Green Finance Synthesis Report</w:t>
            </w:r>
          </w:p>
        </w:tc>
      </w:tr>
      <w:tr w:rsidR="00EC3985" w:rsidRPr="001E03B0" w14:paraId="55A3330C" w14:textId="77777777" w:rsidTr="003E223D">
        <w:trPr>
          <w:trHeight w:val="273"/>
        </w:trPr>
        <w:tc>
          <w:tcPr>
            <w:tcW w:w="1876" w:type="dxa"/>
            <w:vMerge w:val="restart"/>
          </w:tcPr>
          <w:p w14:paraId="0F283AA1"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Green Finance Initiative</w:t>
            </w:r>
          </w:p>
          <w:p w14:paraId="155DE691" w14:textId="77777777" w:rsidR="00EC3985" w:rsidRPr="001E03B0" w:rsidRDefault="00EC3985" w:rsidP="003E223D">
            <w:pPr>
              <w:rPr>
                <w:rFonts w:ascii="Calibri" w:eastAsia="Calibri" w:hAnsi="Calibri" w:cs="Calibri"/>
                <w:sz w:val="18"/>
                <w:szCs w:val="18"/>
              </w:rPr>
            </w:pPr>
          </w:p>
        </w:tc>
        <w:tc>
          <w:tcPr>
            <w:tcW w:w="1619" w:type="dxa"/>
          </w:tcPr>
          <w:p w14:paraId="4E63055E"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2017</w:t>
            </w:r>
            <w:r>
              <w:rPr>
                <w:rFonts w:ascii="Calibri" w:hAnsi="Calibri" w:cs="Calibri"/>
                <w:sz w:val="18"/>
                <w:szCs w:val="18"/>
              </w:rPr>
              <w:t>a</w:t>
            </w:r>
            <w:r w:rsidRPr="001E03B0">
              <w:rPr>
                <w:rFonts w:ascii="Calibri" w:hAnsi="Calibri" w:cs="Calibri"/>
                <w:sz w:val="18"/>
                <w:szCs w:val="18"/>
              </w:rPr>
              <w:t xml:space="preserve"> </w:t>
            </w:r>
          </w:p>
        </w:tc>
        <w:tc>
          <w:tcPr>
            <w:tcW w:w="6042" w:type="dxa"/>
          </w:tcPr>
          <w:p w14:paraId="47D1C5EF"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The Renewable Energy Infrastructure Investment Opportunity for UK Pension Funds</w:t>
            </w:r>
          </w:p>
        </w:tc>
      </w:tr>
      <w:tr w:rsidR="00EC3985" w:rsidRPr="001E03B0" w14:paraId="779E6ACA" w14:textId="77777777" w:rsidTr="003E223D">
        <w:trPr>
          <w:trHeight w:val="139"/>
        </w:trPr>
        <w:tc>
          <w:tcPr>
            <w:tcW w:w="1876" w:type="dxa"/>
            <w:vMerge/>
          </w:tcPr>
          <w:p w14:paraId="70EA294D" w14:textId="77777777" w:rsidR="00EC3985" w:rsidRPr="001E03B0" w:rsidRDefault="00EC3985" w:rsidP="003E223D">
            <w:pPr>
              <w:rPr>
                <w:rFonts w:ascii="Calibri" w:eastAsia="Calibri" w:hAnsi="Calibri" w:cs="Calibri"/>
                <w:sz w:val="18"/>
                <w:szCs w:val="18"/>
              </w:rPr>
            </w:pPr>
          </w:p>
        </w:tc>
        <w:tc>
          <w:tcPr>
            <w:tcW w:w="1619" w:type="dxa"/>
          </w:tcPr>
          <w:p w14:paraId="623F55EC" w14:textId="77777777" w:rsidR="00EC3985" w:rsidRPr="001E03B0" w:rsidRDefault="00EC3985" w:rsidP="003E223D">
            <w:pPr>
              <w:rPr>
                <w:rFonts w:ascii="Calibri" w:hAnsi="Calibri" w:cs="Calibri"/>
                <w:sz w:val="18"/>
                <w:szCs w:val="18"/>
              </w:rPr>
            </w:pPr>
            <w:r>
              <w:rPr>
                <w:rFonts w:ascii="Calibri" w:hAnsi="Calibri" w:cs="Calibri"/>
                <w:sz w:val="18"/>
                <w:szCs w:val="18"/>
              </w:rPr>
              <w:t>2017b</w:t>
            </w:r>
          </w:p>
        </w:tc>
        <w:tc>
          <w:tcPr>
            <w:tcW w:w="6042" w:type="dxa"/>
          </w:tcPr>
          <w:p w14:paraId="32D02EC1" w14:textId="77777777" w:rsidR="00EC3985" w:rsidRPr="001E03B0" w:rsidRDefault="00EC3985" w:rsidP="003E223D">
            <w:pPr>
              <w:rPr>
                <w:rFonts w:ascii="Calibri" w:eastAsia="Calibri" w:hAnsi="Calibri" w:cs="Calibri"/>
                <w:sz w:val="18"/>
                <w:szCs w:val="18"/>
              </w:rPr>
            </w:pPr>
            <w:r w:rsidRPr="001E03B0">
              <w:rPr>
                <w:rFonts w:ascii="Calibri" w:hAnsi="Calibri" w:cs="Calibri"/>
                <w:sz w:val="18"/>
                <w:szCs w:val="18"/>
              </w:rPr>
              <w:t>Fifteen Steps to Green Finance</w:t>
            </w:r>
          </w:p>
        </w:tc>
      </w:tr>
      <w:tr w:rsidR="00EC3985" w:rsidRPr="001E03B0" w14:paraId="657C6F4A" w14:textId="77777777" w:rsidTr="003E223D">
        <w:trPr>
          <w:trHeight w:val="139"/>
        </w:trPr>
        <w:tc>
          <w:tcPr>
            <w:tcW w:w="1876" w:type="dxa"/>
          </w:tcPr>
          <w:p w14:paraId="1373CEEE"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Green Finance Taskforce</w:t>
            </w:r>
          </w:p>
        </w:tc>
        <w:tc>
          <w:tcPr>
            <w:tcW w:w="1619" w:type="dxa"/>
          </w:tcPr>
          <w:p w14:paraId="5CD64A90"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2018 </w:t>
            </w:r>
          </w:p>
        </w:tc>
        <w:tc>
          <w:tcPr>
            <w:tcW w:w="6042" w:type="dxa"/>
          </w:tcPr>
          <w:p w14:paraId="23F768CE"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Accelerating Green Finance</w:t>
            </w:r>
          </w:p>
        </w:tc>
      </w:tr>
      <w:tr w:rsidR="00EC3985" w:rsidRPr="001E03B0" w14:paraId="351EA933" w14:textId="77777777" w:rsidTr="003E223D">
        <w:trPr>
          <w:trHeight w:val="273"/>
        </w:trPr>
        <w:tc>
          <w:tcPr>
            <w:tcW w:w="1876" w:type="dxa"/>
          </w:tcPr>
          <w:p w14:paraId="71C65C85"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Green Investment Bank Commission</w:t>
            </w:r>
          </w:p>
        </w:tc>
        <w:tc>
          <w:tcPr>
            <w:tcW w:w="1619" w:type="dxa"/>
          </w:tcPr>
          <w:p w14:paraId="61D85712"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2010 </w:t>
            </w:r>
          </w:p>
        </w:tc>
        <w:tc>
          <w:tcPr>
            <w:tcW w:w="6042" w:type="dxa"/>
          </w:tcPr>
          <w:p w14:paraId="43913803"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Unlocking investment to deliver Britain's low carbon future</w:t>
            </w:r>
          </w:p>
        </w:tc>
      </w:tr>
      <w:tr w:rsidR="00EC3985" w:rsidRPr="001E03B0" w14:paraId="314A6ADA" w14:textId="77777777" w:rsidTr="003E223D">
        <w:trPr>
          <w:trHeight w:val="273"/>
        </w:trPr>
        <w:tc>
          <w:tcPr>
            <w:tcW w:w="1876" w:type="dxa"/>
          </w:tcPr>
          <w:p w14:paraId="744DE8C2"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 xml:space="preserve">GREEN-WIN </w:t>
            </w:r>
          </w:p>
        </w:tc>
        <w:tc>
          <w:tcPr>
            <w:tcW w:w="1619" w:type="dxa"/>
          </w:tcPr>
          <w:p w14:paraId="6BE75582"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2017 </w:t>
            </w:r>
          </w:p>
        </w:tc>
        <w:tc>
          <w:tcPr>
            <w:tcW w:w="6042" w:type="dxa"/>
          </w:tcPr>
          <w:p w14:paraId="24C83FF5"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Financing the Low-Carbon Transition: Current Landscape and Future Direction</w:t>
            </w:r>
          </w:p>
        </w:tc>
      </w:tr>
      <w:tr w:rsidR="00EC3985" w:rsidRPr="001E03B0" w14:paraId="5E53D5C3" w14:textId="77777777" w:rsidTr="003E223D">
        <w:trPr>
          <w:trHeight w:val="268"/>
        </w:trPr>
        <w:tc>
          <w:tcPr>
            <w:tcW w:w="1876" w:type="dxa"/>
          </w:tcPr>
          <w:p w14:paraId="0EF206AA"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IFC</w:t>
            </w:r>
          </w:p>
        </w:tc>
        <w:tc>
          <w:tcPr>
            <w:tcW w:w="1619" w:type="dxa"/>
          </w:tcPr>
          <w:p w14:paraId="75F65696"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2013 </w:t>
            </w:r>
          </w:p>
        </w:tc>
        <w:tc>
          <w:tcPr>
            <w:tcW w:w="6042" w:type="dxa"/>
          </w:tcPr>
          <w:p w14:paraId="0664A67E"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Mobilizing Public and Private Funds for Inclusive Green Growth Investment in Developing Countries</w:t>
            </w:r>
          </w:p>
        </w:tc>
      </w:tr>
      <w:tr w:rsidR="00EC3985" w:rsidRPr="001E03B0" w14:paraId="42282787" w14:textId="77777777" w:rsidTr="003E223D">
        <w:trPr>
          <w:trHeight w:val="273"/>
        </w:trPr>
        <w:tc>
          <w:tcPr>
            <w:tcW w:w="1876" w:type="dxa"/>
          </w:tcPr>
          <w:p w14:paraId="513C7733" w14:textId="77777777" w:rsidR="00EC3985" w:rsidRPr="001E03B0" w:rsidRDefault="00EC3985" w:rsidP="003E223D">
            <w:pPr>
              <w:rPr>
                <w:rFonts w:ascii="Calibri" w:eastAsia="Calibri" w:hAnsi="Calibri" w:cs="Calibri"/>
                <w:sz w:val="18"/>
                <w:szCs w:val="18"/>
              </w:rPr>
            </w:pPr>
            <w:r w:rsidRPr="001E03B0">
              <w:rPr>
                <w:rFonts w:ascii="Calibri" w:hAnsi="Calibri" w:cs="Calibri"/>
                <w:sz w:val="18"/>
                <w:szCs w:val="18"/>
              </w:rPr>
              <w:t xml:space="preserve">IIGCC, INCR, IGCC and UNEP-FI </w:t>
            </w:r>
          </w:p>
        </w:tc>
        <w:tc>
          <w:tcPr>
            <w:tcW w:w="1619" w:type="dxa"/>
          </w:tcPr>
          <w:p w14:paraId="17B5C5CF"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2011 </w:t>
            </w:r>
          </w:p>
        </w:tc>
        <w:tc>
          <w:tcPr>
            <w:tcW w:w="6042" w:type="dxa"/>
          </w:tcPr>
          <w:p w14:paraId="3372475A" w14:textId="77777777" w:rsidR="00EC3985" w:rsidRPr="001E03B0" w:rsidRDefault="00EC3985" w:rsidP="003E223D">
            <w:pPr>
              <w:rPr>
                <w:rFonts w:ascii="Calibri" w:eastAsia="Calibri" w:hAnsi="Calibri" w:cs="Calibri"/>
                <w:sz w:val="18"/>
                <w:szCs w:val="18"/>
              </w:rPr>
            </w:pPr>
            <w:r w:rsidRPr="001E03B0">
              <w:rPr>
                <w:rFonts w:ascii="Calibri" w:hAnsi="Calibri" w:cs="Calibri"/>
                <w:sz w:val="18"/>
                <w:szCs w:val="18"/>
              </w:rPr>
              <w:t>Investment-grade climate change policy: financing the transition to the low-carbon economy</w:t>
            </w:r>
          </w:p>
        </w:tc>
      </w:tr>
      <w:tr w:rsidR="00EC3985" w:rsidRPr="001E03B0" w14:paraId="28791C11" w14:textId="77777777" w:rsidTr="003E223D">
        <w:trPr>
          <w:trHeight w:val="408"/>
        </w:trPr>
        <w:tc>
          <w:tcPr>
            <w:tcW w:w="1876" w:type="dxa"/>
          </w:tcPr>
          <w:p w14:paraId="19814C19"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 xml:space="preserve">Institutional Investors Group on Climate Change </w:t>
            </w:r>
          </w:p>
        </w:tc>
        <w:tc>
          <w:tcPr>
            <w:tcW w:w="1619" w:type="dxa"/>
          </w:tcPr>
          <w:p w14:paraId="10511DB2"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2015 </w:t>
            </w:r>
          </w:p>
        </w:tc>
        <w:tc>
          <w:tcPr>
            <w:tcW w:w="6042" w:type="dxa"/>
          </w:tcPr>
          <w:p w14:paraId="12ECFB80" w14:textId="77777777" w:rsidR="00EC3985" w:rsidRPr="001E03B0" w:rsidRDefault="00EC3985" w:rsidP="003E223D">
            <w:pPr>
              <w:rPr>
                <w:rFonts w:ascii="Calibri" w:hAnsi="Calibri" w:cs="Calibri"/>
                <w:sz w:val="18"/>
                <w:szCs w:val="18"/>
              </w:rPr>
            </w:pPr>
            <w:r w:rsidRPr="001E03B0">
              <w:rPr>
                <w:rFonts w:ascii="Calibri" w:eastAsia="Calibri" w:hAnsi="Calibri" w:cs="Calibri"/>
                <w:sz w:val="18"/>
                <w:szCs w:val="18"/>
              </w:rPr>
              <w:t>Achieving the Investment Plan for Europe's £315 billion ambition: 12 fixes</w:t>
            </w:r>
          </w:p>
        </w:tc>
      </w:tr>
      <w:tr w:rsidR="00EC3985" w:rsidRPr="001E03B0" w14:paraId="423C4369" w14:textId="77777777" w:rsidTr="003E223D">
        <w:trPr>
          <w:trHeight w:val="413"/>
        </w:trPr>
        <w:tc>
          <w:tcPr>
            <w:tcW w:w="1876" w:type="dxa"/>
          </w:tcPr>
          <w:p w14:paraId="4936855A"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International Centre for Trade and Sustainable Development</w:t>
            </w:r>
          </w:p>
        </w:tc>
        <w:tc>
          <w:tcPr>
            <w:tcW w:w="1619" w:type="dxa"/>
          </w:tcPr>
          <w:p w14:paraId="4BA6AAFB"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2015 </w:t>
            </w:r>
          </w:p>
        </w:tc>
        <w:tc>
          <w:tcPr>
            <w:tcW w:w="6042" w:type="dxa"/>
          </w:tcPr>
          <w:p w14:paraId="53FA3E7E"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Breaking down the barriers to clean energy trade and investment</w:t>
            </w:r>
          </w:p>
        </w:tc>
      </w:tr>
      <w:tr w:rsidR="00EC3985" w:rsidRPr="001E03B0" w14:paraId="4B203BBB" w14:textId="77777777" w:rsidTr="003E223D">
        <w:trPr>
          <w:trHeight w:val="268"/>
        </w:trPr>
        <w:tc>
          <w:tcPr>
            <w:tcW w:w="1876" w:type="dxa"/>
          </w:tcPr>
          <w:p w14:paraId="1CF2F29B"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 xml:space="preserve">International Energy Agency </w:t>
            </w:r>
          </w:p>
        </w:tc>
        <w:tc>
          <w:tcPr>
            <w:tcW w:w="1619" w:type="dxa"/>
          </w:tcPr>
          <w:p w14:paraId="2F51E785"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 xml:space="preserve">2007 </w:t>
            </w:r>
          </w:p>
        </w:tc>
        <w:tc>
          <w:tcPr>
            <w:tcW w:w="6042" w:type="dxa"/>
          </w:tcPr>
          <w:p w14:paraId="742BB088"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Climate Policy Uncertainty and Investment Risk</w:t>
            </w:r>
          </w:p>
        </w:tc>
      </w:tr>
      <w:tr w:rsidR="00EC3985" w:rsidRPr="001E03B0" w14:paraId="0BE35B84" w14:textId="77777777" w:rsidTr="003E223D">
        <w:trPr>
          <w:trHeight w:val="273"/>
        </w:trPr>
        <w:tc>
          <w:tcPr>
            <w:tcW w:w="1876" w:type="dxa"/>
          </w:tcPr>
          <w:p w14:paraId="2EA0452F"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IRENA</w:t>
            </w:r>
          </w:p>
        </w:tc>
        <w:tc>
          <w:tcPr>
            <w:tcW w:w="1619" w:type="dxa"/>
          </w:tcPr>
          <w:p w14:paraId="558AE427" w14:textId="77777777" w:rsidR="00EC3985" w:rsidRPr="001E03B0" w:rsidRDefault="00EC3985" w:rsidP="003E223D">
            <w:pPr>
              <w:rPr>
                <w:rFonts w:ascii="Calibri" w:hAnsi="Calibri" w:cs="Calibri"/>
                <w:sz w:val="18"/>
                <w:szCs w:val="18"/>
              </w:rPr>
            </w:pPr>
            <w:r w:rsidRPr="001E03B0">
              <w:rPr>
                <w:rFonts w:ascii="Calibri" w:hAnsi="Calibri" w:cs="Calibri"/>
                <w:sz w:val="18"/>
                <w:szCs w:val="18"/>
              </w:rPr>
              <w:t>2016</w:t>
            </w:r>
            <w:r>
              <w:rPr>
                <w:rFonts w:ascii="Calibri" w:hAnsi="Calibri" w:cs="Calibri"/>
                <w:sz w:val="18"/>
                <w:szCs w:val="18"/>
              </w:rPr>
              <w:t xml:space="preserve"> </w:t>
            </w:r>
          </w:p>
        </w:tc>
        <w:tc>
          <w:tcPr>
            <w:tcW w:w="6042" w:type="dxa"/>
          </w:tcPr>
          <w:p w14:paraId="4C5FA254"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Unlocking Renewable Energy Investment: The Role of Risk Mitigation and Structured Finance</w:t>
            </w:r>
          </w:p>
        </w:tc>
      </w:tr>
      <w:tr w:rsidR="00EC3985" w:rsidRPr="001E03B0" w14:paraId="368F477E" w14:textId="77777777" w:rsidTr="003E223D">
        <w:trPr>
          <w:trHeight w:val="139"/>
        </w:trPr>
        <w:tc>
          <w:tcPr>
            <w:tcW w:w="1876" w:type="dxa"/>
          </w:tcPr>
          <w:p w14:paraId="2C3A991E"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Mercer</w:t>
            </w:r>
          </w:p>
        </w:tc>
        <w:tc>
          <w:tcPr>
            <w:tcW w:w="1619" w:type="dxa"/>
          </w:tcPr>
          <w:p w14:paraId="5F10D649"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2015 </w:t>
            </w:r>
          </w:p>
        </w:tc>
        <w:tc>
          <w:tcPr>
            <w:tcW w:w="6042" w:type="dxa"/>
          </w:tcPr>
          <w:p w14:paraId="23F985D0"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Investing in a time of climate change</w:t>
            </w:r>
          </w:p>
        </w:tc>
      </w:tr>
      <w:tr w:rsidR="00EC3985" w:rsidRPr="001E03B0" w14:paraId="5875DF5B" w14:textId="77777777" w:rsidTr="003E223D">
        <w:trPr>
          <w:trHeight w:val="273"/>
        </w:trPr>
        <w:tc>
          <w:tcPr>
            <w:tcW w:w="1876" w:type="dxa"/>
            <w:vMerge w:val="restart"/>
          </w:tcPr>
          <w:p w14:paraId="31B678D4"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Organisation for Economic Co-operation and Development (OECD)</w:t>
            </w:r>
          </w:p>
        </w:tc>
        <w:tc>
          <w:tcPr>
            <w:tcW w:w="1619" w:type="dxa"/>
          </w:tcPr>
          <w:p w14:paraId="40461E81"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2011 </w:t>
            </w:r>
          </w:p>
        </w:tc>
        <w:tc>
          <w:tcPr>
            <w:tcW w:w="6042" w:type="dxa"/>
          </w:tcPr>
          <w:p w14:paraId="5D0D0B43"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The Role of Pension Funds in Financing Green Growth Initiatives</w:t>
            </w:r>
          </w:p>
        </w:tc>
      </w:tr>
      <w:tr w:rsidR="00EC3985" w:rsidRPr="001E03B0" w14:paraId="41AF616F" w14:textId="77777777" w:rsidTr="003E223D">
        <w:trPr>
          <w:trHeight w:val="273"/>
        </w:trPr>
        <w:tc>
          <w:tcPr>
            <w:tcW w:w="1876" w:type="dxa"/>
            <w:vMerge/>
          </w:tcPr>
          <w:p w14:paraId="3D0693FB" w14:textId="77777777" w:rsidR="00EC3985" w:rsidRPr="001E03B0" w:rsidRDefault="00EC3985" w:rsidP="003E223D">
            <w:pPr>
              <w:rPr>
                <w:rFonts w:ascii="Calibri" w:eastAsia="Calibri" w:hAnsi="Calibri" w:cs="Calibri"/>
                <w:sz w:val="18"/>
                <w:szCs w:val="18"/>
              </w:rPr>
            </w:pPr>
          </w:p>
        </w:tc>
        <w:tc>
          <w:tcPr>
            <w:tcW w:w="1619" w:type="dxa"/>
          </w:tcPr>
          <w:p w14:paraId="4067C991"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2012 </w:t>
            </w:r>
          </w:p>
        </w:tc>
        <w:tc>
          <w:tcPr>
            <w:tcW w:w="6042" w:type="dxa"/>
          </w:tcPr>
          <w:p w14:paraId="68ACA128"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Towards a Green Investment Policy Framework: The Case of Low-Carbon, Climate-Resilient Infrastructure</w:t>
            </w:r>
          </w:p>
        </w:tc>
      </w:tr>
      <w:tr w:rsidR="00EC3985" w:rsidRPr="001E03B0" w14:paraId="3A59BB0D" w14:textId="77777777" w:rsidTr="003E223D">
        <w:trPr>
          <w:trHeight w:val="144"/>
        </w:trPr>
        <w:tc>
          <w:tcPr>
            <w:tcW w:w="1876" w:type="dxa"/>
            <w:vMerge/>
          </w:tcPr>
          <w:p w14:paraId="0039BA5E" w14:textId="77777777" w:rsidR="00EC3985" w:rsidRPr="001E03B0" w:rsidRDefault="00EC3985" w:rsidP="003E223D">
            <w:pPr>
              <w:rPr>
                <w:rFonts w:ascii="Calibri" w:eastAsia="Calibri" w:hAnsi="Calibri" w:cs="Calibri"/>
                <w:sz w:val="18"/>
                <w:szCs w:val="18"/>
              </w:rPr>
            </w:pPr>
          </w:p>
        </w:tc>
        <w:tc>
          <w:tcPr>
            <w:tcW w:w="1619" w:type="dxa"/>
          </w:tcPr>
          <w:p w14:paraId="41AF4FDC"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2013 </w:t>
            </w:r>
          </w:p>
        </w:tc>
        <w:tc>
          <w:tcPr>
            <w:tcW w:w="6042" w:type="dxa"/>
          </w:tcPr>
          <w:p w14:paraId="7D978F19"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Long-term investors and green infrastructure</w:t>
            </w:r>
          </w:p>
        </w:tc>
      </w:tr>
      <w:tr w:rsidR="00EC3985" w:rsidRPr="001E03B0" w14:paraId="276CA978" w14:textId="77777777" w:rsidTr="003E223D">
        <w:trPr>
          <w:trHeight w:val="279"/>
        </w:trPr>
        <w:tc>
          <w:tcPr>
            <w:tcW w:w="1876" w:type="dxa"/>
            <w:vMerge/>
          </w:tcPr>
          <w:p w14:paraId="1F69BD10" w14:textId="77777777" w:rsidR="00EC3985" w:rsidRPr="001E03B0" w:rsidRDefault="00EC3985" w:rsidP="003E223D">
            <w:pPr>
              <w:rPr>
                <w:rFonts w:ascii="Calibri" w:eastAsia="Calibri" w:hAnsi="Calibri" w:cs="Calibri"/>
                <w:sz w:val="18"/>
                <w:szCs w:val="18"/>
              </w:rPr>
            </w:pPr>
          </w:p>
        </w:tc>
        <w:tc>
          <w:tcPr>
            <w:tcW w:w="1619" w:type="dxa"/>
          </w:tcPr>
          <w:p w14:paraId="3686D266"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2013 </w:t>
            </w:r>
          </w:p>
        </w:tc>
        <w:tc>
          <w:tcPr>
            <w:tcW w:w="6042" w:type="dxa"/>
          </w:tcPr>
          <w:p w14:paraId="6D4266BF"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Institutional Investors and Green Infrastructure Investments</w:t>
            </w:r>
          </w:p>
        </w:tc>
      </w:tr>
      <w:tr w:rsidR="00EC3985" w:rsidRPr="001E03B0" w14:paraId="43B782AE" w14:textId="77777777" w:rsidTr="003E223D">
        <w:trPr>
          <w:trHeight w:val="413"/>
        </w:trPr>
        <w:tc>
          <w:tcPr>
            <w:tcW w:w="1876" w:type="dxa"/>
            <w:vMerge/>
          </w:tcPr>
          <w:p w14:paraId="0EAE32A5" w14:textId="77777777" w:rsidR="00EC3985" w:rsidRPr="001E03B0" w:rsidRDefault="00EC3985" w:rsidP="003E223D">
            <w:pPr>
              <w:rPr>
                <w:rFonts w:ascii="Calibri" w:eastAsia="Calibri" w:hAnsi="Calibri" w:cs="Calibri"/>
                <w:sz w:val="18"/>
                <w:szCs w:val="18"/>
              </w:rPr>
            </w:pPr>
          </w:p>
        </w:tc>
        <w:tc>
          <w:tcPr>
            <w:tcW w:w="1619" w:type="dxa"/>
          </w:tcPr>
          <w:p w14:paraId="4BD99372"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2014 </w:t>
            </w:r>
          </w:p>
        </w:tc>
        <w:tc>
          <w:tcPr>
            <w:tcW w:w="6042" w:type="dxa"/>
          </w:tcPr>
          <w:p w14:paraId="74FA5C65"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Public Financial Institutions and the Low-carbon Transitions: Five Case Studies on Low-carbon infrastructure and project investment</w:t>
            </w:r>
          </w:p>
        </w:tc>
      </w:tr>
      <w:tr w:rsidR="00EC3985" w:rsidRPr="001E03B0" w14:paraId="526AB940" w14:textId="77777777" w:rsidTr="003E223D">
        <w:trPr>
          <w:trHeight w:val="279"/>
        </w:trPr>
        <w:tc>
          <w:tcPr>
            <w:tcW w:w="1876" w:type="dxa"/>
            <w:vMerge/>
          </w:tcPr>
          <w:p w14:paraId="721D2DF1" w14:textId="77777777" w:rsidR="00EC3985" w:rsidRPr="001E03B0" w:rsidRDefault="00EC3985" w:rsidP="003E223D">
            <w:pPr>
              <w:rPr>
                <w:rFonts w:ascii="Calibri" w:eastAsia="Calibri" w:hAnsi="Calibri" w:cs="Calibri"/>
                <w:sz w:val="18"/>
                <w:szCs w:val="18"/>
              </w:rPr>
            </w:pPr>
          </w:p>
        </w:tc>
        <w:tc>
          <w:tcPr>
            <w:tcW w:w="1619" w:type="dxa"/>
          </w:tcPr>
          <w:p w14:paraId="6478637F" w14:textId="77777777" w:rsidR="00EC3985" w:rsidRPr="001E03B0" w:rsidRDefault="00EC3985" w:rsidP="003E223D">
            <w:pPr>
              <w:rPr>
                <w:rFonts w:ascii="Calibri" w:hAnsi="Calibri" w:cs="Calibri"/>
                <w:sz w:val="18"/>
                <w:szCs w:val="18"/>
              </w:rPr>
            </w:pPr>
            <w:r>
              <w:rPr>
                <w:rFonts w:ascii="Calibri" w:hAnsi="Calibri" w:cs="Calibri"/>
                <w:sz w:val="18"/>
                <w:szCs w:val="18"/>
              </w:rPr>
              <w:t>2015b</w:t>
            </w:r>
          </w:p>
        </w:tc>
        <w:tc>
          <w:tcPr>
            <w:tcW w:w="6042" w:type="dxa"/>
          </w:tcPr>
          <w:p w14:paraId="798DDD2B"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Mobilising private investment in clean-energy infrastructure</w:t>
            </w:r>
          </w:p>
        </w:tc>
      </w:tr>
      <w:tr w:rsidR="00EC3985" w:rsidRPr="001E03B0" w14:paraId="61E8AF9D" w14:textId="77777777" w:rsidTr="003E223D">
        <w:trPr>
          <w:trHeight w:val="279"/>
        </w:trPr>
        <w:tc>
          <w:tcPr>
            <w:tcW w:w="1876" w:type="dxa"/>
            <w:vMerge/>
          </w:tcPr>
          <w:p w14:paraId="6351A530" w14:textId="77777777" w:rsidR="00EC3985" w:rsidRPr="001E03B0" w:rsidRDefault="00EC3985" w:rsidP="003E223D">
            <w:pPr>
              <w:rPr>
                <w:rFonts w:ascii="Calibri" w:eastAsia="Calibri" w:hAnsi="Calibri" w:cs="Calibri"/>
                <w:sz w:val="18"/>
                <w:szCs w:val="18"/>
              </w:rPr>
            </w:pPr>
          </w:p>
        </w:tc>
        <w:tc>
          <w:tcPr>
            <w:tcW w:w="1619" w:type="dxa"/>
          </w:tcPr>
          <w:p w14:paraId="4E3B1394" w14:textId="77777777" w:rsidR="00EC3985" w:rsidRPr="001E03B0" w:rsidRDefault="00EC3985" w:rsidP="003E223D">
            <w:pPr>
              <w:rPr>
                <w:rFonts w:ascii="Calibri" w:hAnsi="Calibri" w:cs="Calibri"/>
                <w:sz w:val="18"/>
                <w:szCs w:val="18"/>
              </w:rPr>
            </w:pPr>
            <w:r>
              <w:rPr>
                <w:rFonts w:ascii="Calibri" w:hAnsi="Calibri" w:cs="Calibri"/>
                <w:sz w:val="18"/>
                <w:szCs w:val="18"/>
              </w:rPr>
              <w:t>2015c</w:t>
            </w:r>
          </w:p>
        </w:tc>
        <w:tc>
          <w:tcPr>
            <w:tcW w:w="6042" w:type="dxa"/>
          </w:tcPr>
          <w:p w14:paraId="4B6AF93E"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Overcoming Barriers to International Investment in Clean Energy</w:t>
            </w:r>
          </w:p>
        </w:tc>
      </w:tr>
      <w:tr w:rsidR="00EC3985" w:rsidRPr="001E03B0" w14:paraId="67A7CB37" w14:textId="77777777" w:rsidTr="003E223D">
        <w:trPr>
          <w:trHeight w:val="273"/>
        </w:trPr>
        <w:tc>
          <w:tcPr>
            <w:tcW w:w="1876" w:type="dxa"/>
            <w:vMerge/>
          </w:tcPr>
          <w:p w14:paraId="36A6100C" w14:textId="77777777" w:rsidR="00EC3985" w:rsidRPr="001E03B0" w:rsidRDefault="00EC3985" w:rsidP="003E223D">
            <w:pPr>
              <w:rPr>
                <w:rFonts w:ascii="Calibri" w:eastAsia="Calibri" w:hAnsi="Calibri" w:cs="Calibri"/>
                <w:sz w:val="18"/>
                <w:szCs w:val="18"/>
              </w:rPr>
            </w:pPr>
          </w:p>
        </w:tc>
        <w:tc>
          <w:tcPr>
            <w:tcW w:w="1619" w:type="dxa"/>
          </w:tcPr>
          <w:p w14:paraId="1BC2796C" w14:textId="77777777" w:rsidR="00EC3985" w:rsidRPr="001E03B0" w:rsidRDefault="00EC3985" w:rsidP="003E223D">
            <w:pPr>
              <w:rPr>
                <w:rFonts w:ascii="Calibri" w:hAnsi="Calibri" w:cs="Calibri"/>
                <w:sz w:val="18"/>
                <w:szCs w:val="18"/>
              </w:rPr>
            </w:pPr>
            <w:r>
              <w:rPr>
                <w:rFonts w:ascii="Calibri" w:hAnsi="Calibri" w:cs="Calibri"/>
                <w:sz w:val="18"/>
                <w:szCs w:val="18"/>
              </w:rPr>
              <w:t>2016b</w:t>
            </w:r>
          </w:p>
        </w:tc>
        <w:tc>
          <w:tcPr>
            <w:tcW w:w="6042" w:type="dxa"/>
          </w:tcPr>
          <w:p w14:paraId="0EB8EEA4"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Progress Report on Approaches to Mobilising Institutional Investment for Green Infrastructure</w:t>
            </w:r>
          </w:p>
        </w:tc>
      </w:tr>
      <w:tr w:rsidR="00EC3985" w:rsidRPr="001E03B0" w14:paraId="1AD549DF" w14:textId="77777777" w:rsidTr="003E223D">
        <w:trPr>
          <w:trHeight w:val="273"/>
        </w:trPr>
        <w:tc>
          <w:tcPr>
            <w:tcW w:w="1876" w:type="dxa"/>
          </w:tcPr>
          <w:p w14:paraId="2B2BDB51"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UNEP</w:t>
            </w:r>
          </w:p>
        </w:tc>
        <w:tc>
          <w:tcPr>
            <w:tcW w:w="1619" w:type="dxa"/>
          </w:tcPr>
          <w:p w14:paraId="4C898033"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2015 </w:t>
            </w:r>
          </w:p>
        </w:tc>
        <w:tc>
          <w:tcPr>
            <w:tcW w:w="6042" w:type="dxa"/>
          </w:tcPr>
          <w:p w14:paraId="52081332"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The financial System We Need: Aligning Financial System with Sustainable development</w:t>
            </w:r>
          </w:p>
        </w:tc>
      </w:tr>
      <w:tr w:rsidR="00EC3985" w:rsidRPr="001E03B0" w14:paraId="0E802206" w14:textId="77777777" w:rsidTr="003E223D">
        <w:trPr>
          <w:trHeight w:val="134"/>
        </w:trPr>
        <w:tc>
          <w:tcPr>
            <w:tcW w:w="1876" w:type="dxa"/>
          </w:tcPr>
          <w:p w14:paraId="037FA849"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Vivid Economics</w:t>
            </w:r>
          </w:p>
        </w:tc>
        <w:tc>
          <w:tcPr>
            <w:tcW w:w="1619" w:type="dxa"/>
          </w:tcPr>
          <w:p w14:paraId="5367BBCE" w14:textId="77777777" w:rsidR="00EC3985" w:rsidRPr="001E03B0" w:rsidRDefault="00EC3985" w:rsidP="003E223D">
            <w:pPr>
              <w:rPr>
                <w:rFonts w:ascii="Calibri" w:hAnsi="Calibri" w:cs="Calibri"/>
                <w:sz w:val="18"/>
                <w:szCs w:val="18"/>
              </w:rPr>
            </w:pPr>
            <w:r>
              <w:rPr>
                <w:rFonts w:ascii="Calibri" w:hAnsi="Calibri" w:cs="Calibri"/>
                <w:sz w:val="18"/>
                <w:szCs w:val="18"/>
              </w:rPr>
              <w:t xml:space="preserve">2014 </w:t>
            </w:r>
          </w:p>
        </w:tc>
        <w:tc>
          <w:tcPr>
            <w:tcW w:w="6042" w:type="dxa"/>
          </w:tcPr>
          <w:p w14:paraId="4D9CAC05"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Financing Green Growth</w:t>
            </w:r>
          </w:p>
        </w:tc>
      </w:tr>
      <w:tr w:rsidR="00EC3985" w:rsidRPr="001E03B0" w14:paraId="0E4764BE" w14:textId="77777777" w:rsidTr="003E223D">
        <w:trPr>
          <w:trHeight w:val="134"/>
        </w:trPr>
        <w:tc>
          <w:tcPr>
            <w:tcW w:w="1876" w:type="dxa"/>
          </w:tcPr>
          <w:p w14:paraId="64A5EA5D"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World Bank</w:t>
            </w:r>
          </w:p>
        </w:tc>
        <w:tc>
          <w:tcPr>
            <w:tcW w:w="1619" w:type="dxa"/>
          </w:tcPr>
          <w:p w14:paraId="4C1CD5BD" w14:textId="77777777" w:rsidR="00EC3985" w:rsidRPr="001E03B0" w:rsidRDefault="00EC3985" w:rsidP="003E223D">
            <w:pPr>
              <w:rPr>
                <w:rFonts w:ascii="Calibri" w:hAnsi="Calibri" w:cs="Calibri"/>
                <w:sz w:val="18"/>
                <w:szCs w:val="18"/>
              </w:rPr>
            </w:pPr>
            <w:r>
              <w:rPr>
                <w:rFonts w:ascii="Calibri" w:hAnsi="Calibri" w:cs="Calibri"/>
                <w:sz w:val="18"/>
                <w:szCs w:val="18"/>
              </w:rPr>
              <w:t>2012</w:t>
            </w:r>
          </w:p>
        </w:tc>
        <w:tc>
          <w:tcPr>
            <w:tcW w:w="6042" w:type="dxa"/>
          </w:tcPr>
          <w:p w14:paraId="09409957" w14:textId="77777777" w:rsidR="00EC3985" w:rsidRPr="001E03B0" w:rsidRDefault="00EC3985" w:rsidP="003E223D">
            <w:pPr>
              <w:rPr>
                <w:rFonts w:ascii="Calibri" w:eastAsia="Calibri" w:hAnsi="Calibri" w:cs="Calibri"/>
                <w:sz w:val="18"/>
                <w:szCs w:val="18"/>
              </w:rPr>
            </w:pPr>
            <w:r w:rsidRPr="001E03B0">
              <w:rPr>
                <w:rFonts w:ascii="Calibri" w:eastAsia="Calibri" w:hAnsi="Calibri" w:cs="Calibri"/>
                <w:sz w:val="18"/>
                <w:szCs w:val="18"/>
              </w:rPr>
              <w:t>Green Infrastructure Finance</w:t>
            </w:r>
          </w:p>
        </w:tc>
      </w:tr>
    </w:tbl>
    <w:p w14:paraId="63F08119" w14:textId="77777777" w:rsidR="00EC3985" w:rsidRDefault="00EC3985" w:rsidP="00EC3985">
      <w:pPr>
        <w:spacing w:before="240" w:after="0"/>
        <w:rPr>
          <w:i/>
          <w:sz w:val="18"/>
          <w:szCs w:val="18"/>
        </w:rPr>
      </w:pPr>
      <w:r>
        <w:rPr>
          <w:i/>
          <w:sz w:val="18"/>
          <w:szCs w:val="18"/>
        </w:rPr>
        <w:t>Source: Hafner et al. (2019) – reprinted with permission</w:t>
      </w:r>
    </w:p>
    <w:p w14:paraId="1C957F24" w14:textId="77777777" w:rsidR="00EC3985" w:rsidRPr="001E03B0" w:rsidRDefault="00EC3985" w:rsidP="00EC3985">
      <w:pPr>
        <w:sectPr w:rsidR="00EC3985" w:rsidRPr="001E03B0" w:rsidSect="001E03B0">
          <w:pgSz w:w="11906" w:h="16838"/>
          <w:pgMar w:top="1440" w:right="1440" w:bottom="1440" w:left="1440" w:header="708" w:footer="708" w:gutter="0"/>
          <w:cols w:space="708"/>
          <w:docGrid w:linePitch="360"/>
        </w:sectPr>
      </w:pPr>
    </w:p>
    <w:p w14:paraId="2E3B4080" w14:textId="77777777" w:rsidR="00EC3985" w:rsidRDefault="00EC3985" w:rsidP="00EC3985">
      <w:pPr>
        <w:pStyle w:val="Caption"/>
        <w:keepNext/>
        <w:spacing w:after="0"/>
      </w:pPr>
      <w:r>
        <w:lastRenderedPageBreak/>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Pr>
          <w:noProof/>
        </w:rPr>
        <w:t xml:space="preserve">a: </w:t>
      </w:r>
      <w:r>
        <w:t>Interview Sample (semi-structured interviews)</w:t>
      </w:r>
    </w:p>
    <w:tbl>
      <w:tblPr>
        <w:tblW w:w="156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
        <w:gridCol w:w="1782"/>
        <w:gridCol w:w="2101"/>
        <w:gridCol w:w="1662"/>
        <w:gridCol w:w="8988"/>
        <w:gridCol w:w="685"/>
      </w:tblGrid>
      <w:tr w:rsidR="00EC3985" w:rsidRPr="00C1704E" w14:paraId="0006E1FE" w14:textId="77777777" w:rsidTr="003E223D">
        <w:trPr>
          <w:trHeight w:val="30"/>
        </w:trPr>
        <w:tc>
          <w:tcPr>
            <w:tcW w:w="410" w:type="dxa"/>
            <w:shd w:val="clear" w:color="auto" w:fill="5B9BD5" w:themeFill="accent1"/>
          </w:tcPr>
          <w:p w14:paraId="32263FB9" w14:textId="77777777" w:rsidR="00EC3985" w:rsidRPr="002E100F" w:rsidRDefault="00EC3985" w:rsidP="003E223D">
            <w:pPr>
              <w:spacing w:after="0" w:line="240" w:lineRule="auto"/>
              <w:rPr>
                <w:rFonts w:ascii="Arial Narrow" w:eastAsia="Times New Roman" w:hAnsi="Arial Narrow" w:cs="Times New Roman"/>
                <w:b/>
                <w:bCs/>
                <w:color w:val="000000"/>
                <w:sz w:val="16"/>
                <w:szCs w:val="16"/>
                <w:lang w:eastAsia="de-DE"/>
              </w:rPr>
            </w:pPr>
            <w:proofErr w:type="spellStart"/>
            <w:r w:rsidRPr="002E100F">
              <w:rPr>
                <w:rFonts w:ascii="Arial Narrow" w:eastAsia="Times New Roman" w:hAnsi="Arial Narrow" w:cs="Times New Roman"/>
                <w:b/>
                <w:bCs/>
                <w:color w:val="000000"/>
                <w:sz w:val="16"/>
                <w:szCs w:val="16"/>
                <w:lang w:eastAsia="de-DE"/>
              </w:rPr>
              <w:t>Nr</w:t>
            </w:r>
            <w:proofErr w:type="spellEnd"/>
            <w:r w:rsidRPr="002E100F">
              <w:rPr>
                <w:rFonts w:ascii="Arial Narrow" w:eastAsia="Times New Roman" w:hAnsi="Arial Narrow" w:cs="Times New Roman"/>
                <w:b/>
                <w:bCs/>
                <w:color w:val="000000"/>
                <w:sz w:val="16"/>
                <w:szCs w:val="16"/>
                <w:lang w:eastAsia="de-DE"/>
              </w:rPr>
              <w:t xml:space="preserve">. </w:t>
            </w:r>
          </w:p>
        </w:tc>
        <w:tc>
          <w:tcPr>
            <w:tcW w:w="1782" w:type="dxa"/>
            <w:shd w:val="clear" w:color="auto" w:fill="5B9BD5" w:themeFill="accent1"/>
            <w:vAlign w:val="bottom"/>
            <w:hideMark/>
          </w:tcPr>
          <w:p w14:paraId="00677227" w14:textId="77777777" w:rsidR="00EC3985" w:rsidRPr="002E100F" w:rsidRDefault="00EC3985" w:rsidP="003E223D">
            <w:pPr>
              <w:spacing w:after="0" w:line="240" w:lineRule="auto"/>
              <w:rPr>
                <w:rFonts w:ascii="Arial Narrow" w:eastAsia="Times New Roman" w:hAnsi="Arial Narrow" w:cs="Times New Roman"/>
                <w:b/>
                <w:bCs/>
                <w:color w:val="000000"/>
                <w:sz w:val="16"/>
                <w:szCs w:val="16"/>
                <w:lang w:eastAsia="de-DE"/>
              </w:rPr>
            </w:pPr>
            <w:r w:rsidRPr="002E100F">
              <w:rPr>
                <w:rFonts w:ascii="Arial Narrow" w:eastAsia="Times New Roman" w:hAnsi="Arial Narrow" w:cs="Times New Roman"/>
                <w:b/>
                <w:bCs/>
                <w:color w:val="000000"/>
                <w:sz w:val="16"/>
                <w:szCs w:val="16"/>
                <w:lang w:eastAsia="de-DE"/>
              </w:rPr>
              <w:t>Type of institution</w:t>
            </w:r>
          </w:p>
        </w:tc>
        <w:tc>
          <w:tcPr>
            <w:tcW w:w="2101" w:type="dxa"/>
            <w:shd w:val="clear" w:color="auto" w:fill="5B9BD5" w:themeFill="accent1"/>
            <w:vAlign w:val="bottom"/>
            <w:hideMark/>
          </w:tcPr>
          <w:p w14:paraId="1B9302C2" w14:textId="77777777" w:rsidR="00EC3985" w:rsidRPr="002E100F" w:rsidRDefault="00EC3985" w:rsidP="003E223D">
            <w:pPr>
              <w:spacing w:after="0" w:line="240" w:lineRule="auto"/>
              <w:rPr>
                <w:rFonts w:ascii="Arial Narrow" w:eastAsia="Times New Roman" w:hAnsi="Arial Narrow" w:cs="Times New Roman"/>
                <w:b/>
                <w:bCs/>
                <w:color w:val="000000"/>
                <w:sz w:val="16"/>
                <w:szCs w:val="16"/>
                <w:lang w:eastAsia="de-DE"/>
              </w:rPr>
            </w:pPr>
            <w:r w:rsidRPr="002E100F">
              <w:rPr>
                <w:rFonts w:ascii="Arial Narrow" w:eastAsia="Times New Roman" w:hAnsi="Arial Narrow" w:cs="Times New Roman"/>
                <w:b/>
                <w:bCs/>
                <w:color w:val="000000"/>
                <w:sz w:val="16"/>
                <w:szCs w:val="16"/>
                <w:lang w:eastAsia="de-DE"/>
              </w:rPr>
              <w:t>Function</w:t>
            </w:r>
          </w:p>
        </w:tc>
        <w:tc>
          <w:tcPr>
            <w:tcW w:w="1662" w:type="dxa"/>
            <w:shd w:val="clear" w:color="auto" w:fill="5B9BD5" w:themeFill="accent1"/>
          </w:tcPr>
          <w:p w14:paraId="71DD95FB" w14:textId="77777777" w:rsidR="00EC3985" w:rsidRPr="002E100F" w:rsidRDefault="00EC3985" w:rsidP="003E223D">
            <w:pPr>
              <w:spacing w:after="0" w:line="240" w:lineRule="auto"/>
              <w:rPr>
                <w:rFonts w:ascii="Arial Narrow" w:eastAsia="Times New Roman" w:hAnsi="Arial Narrow" w:cs="Times New Roman"/>
                <w:b/>
                <w:bCs/>
                <w:color w:val="000000"/>
                <w:sz w:val="16"/>
                <w:szCs w:val="16"/>
                <w:lang w:eastAsia="de-DE"/>
              </w:rPr>
            </w:pPr>
            <w:r>
              <w:rPr>
                <w:rFonts w:ascii="Arial Narrow" w:eastAsia="Times New Roman" w:hAnsi="Arial Narrow" w:cs="Times New Roman"/>
                <w:b/>
                <w:bCs/>
                <w:color w:val="000000"/>
                <w:sz w:val="16"/>
                <w:szCs w:val="16"/>
                <w:lang w:eastAsia="de-DE"/>
              </w:rPr>
              <w:t>Information related to</w:t>
            </w:r>
          </w:p>
        </w:tc>
        <w:tc>
          <w:tcPr>
            <w:tcW w:w="8988" w:type="dxa"/>
            <w:shd w:val="clear" w:color="auto" w:fill="5B9BD5" w:themeFill="accent1"/>
            <w:vAlign w:val="bottom"/>
            <w:hideMark/>
          </w:tcPr>
          <w:p w14:paraId="5CCFADAD" w14:textId="77777777" w:rsidR="00EC3985" w:rsidRPr="002E100F" w:rsidRDefault="00EC3985" w:rsidP="003E223D">
            <w:pPr>
              <w:spacing w:after="0" w:line="240" w:lineRule="auto"/>
              <w:rPr>
                <w:rFonts w:ascii="Arial Narrow" w:eastAsia="Times New Roman" w:hAnsi="Arial Narrow" w:cs="Times New Roman"/>
                <w:b/>
                <w:bCs/>
                <w:color w:val="000000"/>
                <w:sz w:val="16"/>
                <w:szCs w:val="16"/>
                <w:lang w:eastAsia="de-DE"/>
              </w:rPr>
            </w:pPr>
            <w:r w:rsidRPr="002E100F">
              <w:rPr>
                <w:rFonts w:ascii="Arial Narrow" w:eastAsia="Times New Roman" w:hAnsi="Arial Narrow" w:cs="Times New Roman"/>
                <w:b/>
                <w:bCs/>
                <w:color w:val="000000"/>
                <w:sz w:val="16"/>
                <w:szCs w:val="16"/>
                <w:lang w:eastAsia="de-DE"/>
              </w:rPr>
              <w:t>Main experience</w:t>
            </w:r>
          </w:p>
        </w:tc>
        <w:tc>
          <w:tcPr>
            <w:tcW w:w="685" w:type="dxa"/>
            <w:shd w:val="clear" w:color="auto" w:fill="5B9BD5" w:themeFill="accent1"/>
            <w:vAlign w:val="bottom"/>
            <w:hideMark/>
          </w:tcPr>
          <w:p w14:paraId="2646AA7A" w14:textId="77777777" w:rsidR="00EC3985" w:rsidRPr="002E100F" w:rsidRDefault="00EC3985" w:rsidP="003E223D">
            <w:pPr>
              <w:spacing w:after="0" w:line="240" w:lineRule="auto"/>
              <w:rPr>
                <w:rFonts w:ascii="Arial Narrow" w:eastAsia="Times New Roman" w:hAnsi="Arial Narrow" w:cs="Times New Roman"/>
                <w:b/>
                <w:bCs/>
                <w:color w:val="000000"/>
                <w:sz w:val="16"/>
                <w:szCs w:val="16"/>
                <w:lang w:eastAsia="de-DE"/>
              </w:rPr>
            </w:pPr>
            <w:r w:rsidRPr="002E100F">
              <w:rPr>
                <w:rFonts w:ascii="Arial Narrow" w:eastAsia="Times New Roman" w:hAnsi="Arial Narrow" w:cs="Times New Roman"/>
                <w:b/>
                <w:bCs/>
                <w:color w:val="000000"/>
                <w:sz w:val="16"/>
                <w:szCs w:val="16"/>
                <w:lang w:eastAsia="de-DE"/>
              </w:rPr>
              <w:t>Date</w:t>
            </w:r>
          </w:p>
        </w:tc>
      </w:tr>
      <w:tr w:rsidR="00EC3985" w:rsidRPr="00C1704E" w14:paraId="48F23A6A" w14:textId="77777777" w:rsidTr="003E223D">
        <w:trPr>
          <w:trHeight w:val="11"/>
        </w:trPr>
        <w:tc>
          <w:tcPr>
            <w:tcW w:w="410" w:type="dxa"/>
            <w:shd w:val="clear" w:color="auto" w:fill="5B9BD5" w:themeFill="accent1"/>
            <w:vAlign w:val="center"/>
          </w:tcPr>
          <w:p w14:paraId="23186E52"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1</w:t>
            </w:r>
          </w:p>
        </w:tc>
        <w:tc>
          <w:tcPr>
            <w:tcW w:w="1782" w:type="dxa"/>
            <w:shd w:val="clear" w:color="auto" w:fill="auto"/>
            <w:vAlign w:val="center"/>
            <w:hideMark/>
          </w:tcPr>
          <w:p w14:paraId="7B4CF73C"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 xml:space="preserve">Private investor </w:t>
            </w:r>
          </w:p>
          <w:p w14:paraId="52B5B028"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organisation</w:t>
            </w:r>
          </w:p>
        </w:tc>
        <w:tc>
          <w:tcPr>
            <w:tcW w:w="2101" w:type="dxa"/>
            <w:shd w:val="clear" w:color="auto" w:fill="auto"/>
            <w:vAlign w:val="center"/>
            <w:hideMark/>
          </w:tcPr>
          <w:p w14:paraId="1F33D602"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Private investor</w:t>
            </w:r>
          </w:p>
        </w:tc>
        <w:tc>
          <w:tcPr>
            <w:tcW w:w="1662" w:type="dxa"/>
            <w:vAlign w:val="center"/>
          </w:tcPr>
          <w:p w14:paraId="22A5DEA6"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Retail investors</w:t>
            </w:r>
          </w:p>
        </w:tc>
        <w:tc>
          <w:tcPr>
            <w:tcW w:w="8988" w:type="dxa"/>
            <w:shd w:val="clear" w:color="auto" w:fill="auto"/>
            <w:vAlign w:val="center"/>
            <w:hideMark/>
          </w:tcPr>
          <w:p w14:paraId="505B4A90"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Advisor and actuary in the area of Life and g</w:t>
            </w:r>
            <w:r>
              <w:rPr>
                <w:rFonts w:ascii="Arial Narrow" w:eastAsia="Times New Roman" w:hAnsi="Arial Narrow" w:cs="Times New Roman"/>
                <w:color w:val="000000"/>
                <w:sz w:val="16"/>
                <w:szCs w:val="16"/>
                <w:lang w:eastAsia="de-DE"/>
              </w:rPr>
              <w:t>eneral insurances and pensions</w:t>
            </w:r>
          </w:p>
        </w:tc>
        <w:tc>
          <w:tcPr>
            <w:tcW w:w="685" w:type="dxa"/>
            <w:shd w:val="clear" w:color="auto" w:fill="auto"/>
            <w:vAlign w:val="center"/>
            <w:hideMark/>
          </w:tcPr>
          <w:p w14:paraId="5948625C"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Oct 17</w:t>
            </w:r>
          </w:p>
        </w:tc>
      </w:tr>
      <w:tr w:rsidR="00EC3985" w:rsidRPr="00C1704E" w14:paraId="4EE335D3" w14:textId="77777777" w:rsidTr="003E223D">
        <w:trPr>
          <w:trHeight w:val="11"/>
        </w:trPr>
        <w:tc>
          <w:tcPr>
            <w:tcW w:w="410" w:type="dxa"/>
            <w:shd w:val="clear" w:color="auto" w:fill="5B9BD5" w:themeFill="accent1"/>
            <w:vAlign w:val="center"/>
          </w:tcPr>
          <w:p w14:paraId="0FB7C9EE"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2</w:t>
            </w:r>
          </w:p>
        </w:tc>
        <w:tc>
          <w:tcPr>
            <w:tcW w:w="1782" w:type="dxa"/>
            <w:shd w:val="clear" w:color="auto" w:fill="auto"/>
            <w:vAlign w:val="center"/>
          </w:tcPr>
          <w:p w14:paraId="18CA65A3"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Private investor organisation</w:t>
            </w:r>
          </w:p>
        </w:tc>
        <w:tc>
          <w:tcPr>
            <w:tcW w:w="2101" w:type="dxa"/>
            <w:shd w:val="clear" w:color="auto" w:fill="auto"/>
            <w:vAlign w:val="center"/>
          </w:tcPr>
          <w:p w14:paraId="27A9DE35"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Private Investor</w:t>
            </w:r>
          </w:p>
        </w:tc>
        <w:tc>
          <w:tcPr>
            <w:tcW w:w="1662" w:type="dxa"/>
            <w:vAlign w:val="center"/>
          </w:tcPr>
          <w:p w14:paraId="3ABE4F60"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Retail investors</w:t>
            </w:r>
          </w:p>
        </w:tc>
        <w:tc>
          <w:tcPr>
            <w:tcW w:w="8988" w:type="dxa"/>
            <w:shd w:val="clear" w:color="auto" w:fill="auto"/>
            <w:vAlign w:val="center"/>
          </w:tcPr>
          <w:p w14:paraId="31F7F197"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Private investment, career in a FTSE100 company, trustee director of a corporate pension fund for 15 years</w:t>
            </w:r>
          </w:p>
        </w:tc>
        <w:tc>
          <w:tcPr>
            <w:tcW w:w="685" w:type="dxa"/>
            <w:shd w:val="clear" w:color="auto" w:fill="auto"/>
            <w:vAlign w:val="center"/>
          </w:tcPr>
          <w:p w14:paraId="0FFBEDEC"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Nov 17</w:t>
            </w:r>
          </w:p>
        </w:tc>
      </w:tr>
      <w:tr w:rsidR="00EC3985" w:rsidRPr="00C1704E" w14:paraId="201700EB" w14:textId="77777777" w:rsidTr="003E223D">
        <w:trPr>
          <w:trHeight w:val="11"/>
        </w:trPr>
        <w:tc>
          <w:tcPr>
            <w:tcW w:w="410" w:type="dxa"/>
            <w:shd w:val="clear" w:color="auto" w:fill="5B9BD5" w:themeFill="accent1"/>
            <w:vAlign w:val="center"/>
          </w:tcPr>
          <w:p w14:paraId="7D94B73D"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3</w:t>
            </w:r>
          </w:p>
        </w:tc>
        <w:tc>
          <w:tcPr>
            <w:tcW w:w="1782" w:type="dxa"/>
            <w:shd w:val="clear" w:color="auto" w:fill="auto"/>
            <w:vAlign w:val="center"/>
          </w:tcPr>
          <w:p w14:paraId="4D46AC53"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Private investor</w:t>
            </w:r>
          </w:p>
        </w:tc>
        <w:tc>
          <w:tcPr>
            <w:tcW w:w="2101" w:type="dxa"/>
            <w:shd w:val="clear" w:color="auto" w:fill="auto"/>
            <w:vAlign w:val="center"/>
          </w:tcPr>
          <w:p w14:paraId="2B4DCE16"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Private investor</w:t>
            </w:r>
          </w:p>
        </w:tc>
        <w:tc>
          <w:tcPr>
            <w:tcW w:w="1662" w:type="dxa"/>
            <w:vAlign w:val="center"/>
          </w:tcPr>
          <w:p w14:paraId="62E7E4FA"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Retail investors</w:t>
            </w:r>
          </w:p>
        </w:tc>
        <w:tc>
          <w:tcPr>
            <w:tcW w:w="8988" w:type="dxa"/>
            <w:shd w:val="clear" w:color="auto" w:fill="auto"/>
            <w:vAlign w:val="center"/>
          </w:tcPr>
          <w:p w14:paraId="7548337E"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Consultant</w:t>
            </w:r>
            <w:r>
              <w:rPr>
                <w:rFonts w:ascii="Arial Narrow" w:eastAsia="Times New Roman" w:hAnsi="Arial Narrow" w:cs="Times New Roman"/>
                <w:color w:val="000000"/>
                <w:sz w:val="16"/>
                <w:szCs w:val="16"/>
                <w:lang w:eastAsia="de-DE"/>
              </w:rPr>
              <w:t xml:space="preserve"> &amp; m</w:t>
            </w:r>
            <w:r w:rsidRPr="002E100F">
              <w:rPr>
                <w:rFonts w:ascii="Arial Narrow" w:eastAsia="Times New Roman" w:hAnsi="Arial Narrow" w:cs="Times New Roman"/>
                <w:color w:val="000000"/>
                <w:sz w:val="16"/>
                <w:szCs w:val="16"/>
                <w:lang w:eastAsia="de-DE"/>
              </w:rPr>
              <w:t>anaging director of different companies</w:t>
            </w:r>
          </w:p>
        </w:tc>
        <w:tc>
          <w:tcPr>
            <w:tcW w:w="685" w:type="dxa"/>
            <w:shd w:val="clear" w:color="auto" w:fill="auto"/>
            <w:vAlign w:val="center"/>
          </w:tcPr>
          <w:p w14:paraId="6DEC5F75"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Nov 17</w:t>
            </w:r>
          </w:p>
        </w:tc>
      </w:tr>
      <w:tr w:rsidR="00EC3985" w:rsidRPr="00C1704E" w14:paraId="3234797B" w14:textId="77777777" w:rsidTr="003E223D">
        <w:trPr>
          <w:trHeight w:val="181"/>
        </w:trPr>
        <w:tc>
          <w:tcPr>
            <w:tcW w:w="410" w:type="dxa"/>
            <w:shd w:val="clear" w:color="auto" w:fill="5B9BD5" w:themeFill="accent1"/>
            <w:vAlign w:val="center"/>
          </w:tcPr>
          <w:p w14:paraId="2D8B0320"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4</w:t>
            </w:r>
          </w:p>
        </w:tc>
        <w:tc>
          <w:tcPr>
            <w:tcW w:w="1782" w:type="dxa"/>
            <w:shd w:val="clear" w:color="auto" w:fill="auto"/>
            <w:vAlign w:val="center"/>
            <w:hideMark/>
          </w:tcPr>
          <w:p w14:paraId="4903AE9A"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Bank</w:t>
            </w:r>
          </w:p>
        </w:tc>
        <w:tc>
          <w:tcPr>
            <w:tcW w:w="2101" w:type="dxa"/>
            <w:shd w:val="clear" w:color="auto" w:fill="auto"/>
            <w:vAlign w:val="center"/>
            <w:hideMark/>
          </w:tcPr>
          <w:p w14:paraId="2D4E2AD4"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Global asset management</w:t>
            </w:r>
          </w:p>
        </w:tc>
        <w:tc>
          <w:tcPr>
            <w:tcW w:w="1662" w:type="dxa"/>
            <w:vAlign w:val="center"/>
          </w:tcPr>
          <w:p w14:paraId="2ACDDB89"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Banks, pension funds</w:t>
            </w:r>
          </w:p>
        </w:tc>
        <w:tc>
          <w:tcPr>
            <w:tcW w:w="8988" w:type="dxa"/>
            <w:shd w:val="clear" w:color="auto" w:fill="auto"/>
            <w:vAlign w:val="center"/>
            <w:hideMark/>
          </w:tcPr>
          <w:p w14:paraId="366BEC6A"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Portfolio management, global assets management, pension scheme man</w:t>
            </w:r>
            <w:r>
              <w:rPr>
                <w:rFonts w:ascii="Arial Narrow" w:eastAsia="Times New Roman" w:hAnsi="Arial Narrow" w:cs="Times New Roman"/>
                <w:color w:val="000000"/>
                <w:sz w:val="16"/>
                <w:szCs w:val="16"/>
                <w:lang w:eastAsia="de-DE"/>
              </w:rPr>
              <w:t>agement and financial markets, a</w:t>
            </w:r>
            <w:r w:rsidRPr="002E100F">
              <w:rPr>
                <w:rFonts w:ascii="Arial Narrow" w:eastAsia="Times New Roman" w:hAnsi="Arial Narrow" w:cs="Times New Roman"/>
                <w:color w:val="000000"/>
                <w:sz w:val="16"/>
                <w:szCs w:val="16"/>
                <w:lang w:eastAsia="de-DE"/>
              </w:rPr>
              <w:t xml:space="preserve">sset class expertise </w:t>
            </w:r>
            <w:r>
              <w:rPr>
                <w:rFonts w:ascii="Arial Narrow" w:eastAsia="Times New Roman" w:hAnsi="Arial Narrow" w:cs="Times New Roman"/>
                <w:color w:val="000000"/>
                <w:sz w:val="16"/>
                <w:szCs w:val="16"/>
                <w:lang w:eastAsia="de-DE"/>
              </w:rPr>
              <w:t>includes</w:t>
            </w:r>
            <w:r w:rsidRPr="002E100F">
              <w:rPr>
                <w:rFonts w:ascii="Arial Narrow" w:eastAsia="Times New Roman" w:hAnsi="Arial Narrow" w:cs="Times New Roman"/>
                <w:color w:val="000000"/>
                <w:sz w:val="16"/>
                <w:szCs w:val="16"/>
                <w:lang w:eastAsia="de-DE"/>
              </w:rPr>
              <w:t xml:space="preserve"> credit, equity and infrastructure as well as commodities alongside practical understanding of the associated derivative markets. </w:t>
            </w:r>
          </w:p>
        </w:tc>
        <w:tc>
          <w:tcPr>
            <w:tcW w:w="685" w:type="dxa"/>
            <w:shd w:val="clear" w:color="auto" w:fill="auto"/>
            <w:vAlign w:val="center"/>
            <w:hideMark/>
          </w:tcPr>
          <w:p w14:paraId="65596996"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Nov 17</w:t>
            </w:r>
          </w:p>
        </w:tc>
      </w:tr>
      <w:tr w:rsidR="00EC3985" w:rsidRPr="00C1704E" w14:paraId="074EB64E" w14:textId="77777777" w:rsidTr="003E223D">
        <w:trPr>
          <w:trHeight w:val="25"/>
        </w:trPr>
        <w:tc>
          <w:tcPr>
            <w:tcW w:w="410" w:type="dxa"/>
            <w:shd w:val="clear" w:color="auto" w:fill="5B9BD5" w:themeFill="accent1"/>
            <w:vAlign w:val="center"/>
          </w:tcPr>
          <w:p w14:paraId="2225434B"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5</w:t>
            </w:r>
          </w:p>
        </w:tc>
        <w:tc>
          <w:tcPr>
            <w:tcW w:w="1782" w:type="dxa"/>
            <w:shd w:val="clear" w:color="auto" w:fill="auto"/>
            <w:vAlign w:val="center"/>
            <w:hideMark/>
          </w:tcPr>
          <w:p w14:paraId="0A936566"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Responsi</w:t>
            </w:r>
            <w:r>
              <w:rPr>
                <w:rFonts w:ascii="Arial Narrow" w:eastAsia="Times New Roman" w:hAnsi="Arial Narrow" w:cs="Times New Roman"/>
                <w:color w:val="000000"/>
                <w:sz w:val="16"/>
                <w:szCs w:val="16"/>
                <w:lang w:eastAsia="de-DE"/>
              </w:rPr>
              <w:t>ble investment advisory firm &amp; r</w:t>
            </w:r>
            <w:r w:rsidRPr="002E100F">
              <w:rPr>
                <w:rFonts w:ascii="Arial Narrow" w:eastAsia="Times New Roman" w:hAnsi="Arial Narrow" w:cs="Times New Roman"/>
                <w:color w:val="000000"/>
                <w:sz w:val="16"/>
                <w:szCs w:val="16"/>
                <w:lang w:eastAsia="de-DE"/>
              </w:rPr>
              <w:t>esearch institution</w:t>
            </w:r>
          </w:p>
        </w:tc>
        <w:tc>
          <w:tcPr>
            <w:tcW w:w="2101" w:type="dxa"/>
            <w:shd w:val="clear" w:color="auto" w:fill="auto"/>
            <w:vAlign w:val="center"/>
            <w:hideMark/>
          </w:tcPr>
          <w:p w14:paraId="53A5A2AA"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Co-Founder and Director</w:t>
            </w:r>
            <w:r>
              <w:rPr>
                <w:rFonts w:ascii="Arial Narrow" w:eastAsia="Times New Roman" w:hAnsi="Arial Narrow" w:cs="Times New Roman"/>
                <w:color w:val="000000"/>
                <w:sz w:val="16"/>
                <w:szCs w:val="16"/>
                <w:lang w:eastAsia="de-DE"/>
              </w:rPr>
              <w:t>, advisor &amp; s</w:t>
            </w:r>
            <w:r w:rsidRPr="002E100F">
              <w:rPr>
                <w:rFonts w:ascii="Arial Narrow" w:eastAsia="Times New Roman" w:hAnsi="Arial Narrow" w:cs="Times New Roman"/>
                <w:color w:val="000000"/>
                <w:sz w:val="16"/>
                <w:szCs w:val="16"/>
                <w:lang w:eastAsia="de-DE"/>
              </w:rPr>
              <w:t>enior Research fellow</w:t>
            </w:r>
          </w:p>
        </w:tc>
        <w:tc>
          <w:tcPr>
            <w:tcW w:w="1662" w:type="dxa"/>
            <w:vAlign w:val="center"/>
          </w:tcPr>
          <w:p w14:paraId="145E3ED5" w14:textId="77777777" w:rsidR="00EC3985" w:rsidRPr="002E100F" w:rsidRDefault="00EC3985" w:rsidP="003E223D">
            <w:pPr>
              <w:widowControl w:val="0"/>
              <w:tabs>
                <w:tab w:val="left" w:pos="220"/>
                <w:tab w:val="left" w:pos="720"/>
              </w:tabs>
              <w:autoSpaceDE w:val="0"/>
              <w:autoSpaceDN w:val="0"/>
              <w:adjustRightInd w:val="0"/>
              <w:spacing w:line="240" w:lineRule="auto"/>
              <w:rPr>
                <w:rFonts w:ascii="Arial Narrow" w:hAnsi="Arial Narrow" w:cs="Book Antiqua"/>
                <w:color w:val="000000" w:themeColor="text1"/>
                <w:sz w:val="16"/>
                <w:szCs w:val="16"/>
              </w:rPr>
            </w:pPr>
            <w:r>
              <w:rPr>
                <w:rFonts w:ascii="Arial Narrow" w:hAnsi="Arial Narrow" w:cs="Book Antiqua"/>
                <w:color w:val="000000" w:themeColor="text1"/>
                <w:sz w:val="16"/>
                <w:szCs w:val="16"/>
              </w:rPr>
              <w:t>I</w:t>
            </w:r>
            <w:r w:rsidRPr="002E100F">
              <w:rPr>
                <w:rFonts w:ascii="Arial Narrow" w:hAnsi="Arial Narrow" w:cs="Book Antiqua"/>
                <w:color w:val="000000" w:themeColor="text1"/>
                <w:sz w:val="16"/>
                <w:szCs w:val="16"/>
              </w:rPr>
              <w:t xml:space="preserve">nstitutional investors, retail investors </w:t>
            </w:r>
          </w:p>
        </w:tc>
        <w:tc>
          <w:tcPr>
            <w:tcW w:w="8988" w:type="dxa"/>
            <w:shd w:val="clear" w:color="auto" w:fill="auto"/>
            <w:vAlign w:val="center"/>
            <w:hideMark/>
          </w:tcPr>
          <w:p w14:paraId="7E9D3A81"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Asset management, responsible investment, expertise in investment implications of climate change and ener</w:t>
            </w:r>
            <w:r>
              <w:rPr>
                <w:rFonts w:ascii="Arial Narrow" w:eastAsia="Times New Roman" w:hAnsi="Arial Narrow" w:cs="Times New Roman"/>
                <w:color w:val="000000"/>
                <w:sz w:val="16"/>
                <w:szCs w:val="16"/>
                <w:lang w:eastAsia="de-DE"/>
              </w:rPr>
              <w:t>gy issues. e</w:t>
            </w:r>
            <w:r w:rsidRPr="002E100F">
              <w:rPr>
                <w:rFonts w:ascii="Arial Narrow" w:eastAsia="Times New Roman" w:hAnsi="Arial Narrow" w:cs="Times New Roman"/>
                <w:color w:val="000000"/>
                <w:sz w:val="16"/>
                <w:szCs w:val="16"/>
                <w:lang w:eastAsia="de-DE"/>
              </w:rPr>
              <w:t>xtensive experi</w:t>
            </w:r>
            <w:r>
              <w:rPr>
                <w:rFonts w:ascii="Arial Narrow" w:eastAsia="Times New Roman" w:hAnsi="Arial Narrow" w:cs="Times New Roman"/>
                <w:color w:val="000000"/>
                <w:sz w:val="16"/>
                <w:szCs w:val="16"/>
                <w:lang w:eastAsia="de-DE"/>
              </w:rPr>
              <w:t xml:space="preserve">ence in working as a consultant &amp; </w:t>
            </w:r>
            <w:r w:rsidRPr="002E100F">
              <w:rPr>
                <w:rFonts w:ascii="Arial Narrow" w:eastAsia="Times New Roman" w:hAnsi="Arial Narrow" w:cs="Times New Roman"/>
                <w:color w:val="000000"/>
                <w:sz w:val="16"/>
                <w:szCs w:val="16"/>
                <w:lang w:eastAsia="de-DE"/>
              </w:rPr>
              <w:t xml:space="preserve">adviser on environmental finance, regulation and policy issues for various international bodies such as EBRD, OECD, World Economic Forum, UNEP and UNDP. </w:t>
            </w:r>
          </w:p>
        </w:tc>
        <w:tc>
          <w:tcPr>
            <w:tcW w:w="685" w:type="dxa"/>
            <w:shd w:val="clear" w:color="auto" w:fill="auto"/>
            <w:vAlign w:val="center"/>
            <w:hideMark/>
          </w:tcPr>
          <w:p w14:paraId="70DA71DA"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Nov 17</w:t>
            </w:r>
          </w:p>
        </w:tc>
      </w:tr>
      <w:tr w:rsidR="00EC3985" w:rsidRPr="00C1704E" w14:paraId="19EC4CD2" w14:textId="77777777" w:rsidTr="003E223D">
        <w:trPr>
          <w:trHeight w:val="178"/>
        </w:trPr>
        <w:tc>
          <w:tcPr>
            <w:tcW w:w="410" w:type="dxa"/>
            <w:shd w:val="clear" w:color="auto" w:fill="5B9BD5" w:themeFill="accent1"/>
            <w:vAlign w:val="center"/>
          </w:tcPr>
          <w:p w14:paraId="71B4766B"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6</w:t>
            </w:r>
          </w:p>
        </w:tc>
        <w:tc>
          <w:tcPr>
            <w:tcW w:w="1782" w:type="dxa"/>
            <w:shd w:val="clear" w:color="auto" w:fill="auto"/>
            <w:vAlign w:val="center"/>
            <w:hideMark/>
          </w:tcPr>
          <w:p w14:paraId="332FEDE5"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 xml:space="preserve">Private Policy Think Thank </w:t>
            </w:r>
          </w:p>
        </w:tc>
        <w:tc>
          <w:tcPr>
            <w:tcW w:w="2101" w:type="dxa"/>
            <w:shd w:val="clear" w:color="auto" w:fill="auto"/>
            <w:vAlign w:val="center"/>
            <w:hideMark/>
          </w:tcPr>
          <w:p w14:paraId="50C629F4"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Associate fellow</w:t>
            </w:r>
          </w:p>
        </w:tc>
        <w:tc>
          <w:tcPr>
            <w:tcW w:w="1662" w:type="dxa"/>
            <w:vAlign w:val="center"/>
          </w:tcPr>
          <w:p w14:paraId="5D446595"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Private investors</w:t>
            </w:r>
          </w:p>
        </w:tc>
        <w:tc>
          <w:tcPr>
            <w:tcW w:w="8988" w:type="dxa"/>
            <w:shd w:val="clear" w:color="auto" w:fill="auto"/>
            <w:vAlign w:val="center"/>
            <w:hideMark/>
          </w:tcPr>
          <w:p w14:paraId="23F9ED35"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Operates at the nexus of policy and finance, works on ‘investment grade’ policy conditions for investment, international climate a</w:t>
            </w:r>
            <w:r>
              <w:rPr>
                <w:rFonts w:ascii="Arial Narrow" w:eastAsia="Times New Roman" w:hAnsi="Arial Narrow" w:cs="Times New Roman"/>
                <w:color w:val="000000"/>
                <w:sz w:val="16"/>
                <w:szCs w:val="16"/>
                <w:lang w:eastAsia="de-DE"/>
              </w:rPr>
              <w:t>nd energy policy. Knowledge in e</w:t>
            </w:r>
            <w:r w:rsidRPr="002E100F">
              <w:rPr>
                <w:rFonts w:ascii="Arial Narrow" w:eastAsia="Times New Roman" w:hAnsi="Arial Narrow" w:cs="Times New Roman"/>
                <w:color w:val="000000"/>
                <w:sz w:val="16"/>
                <w:szCs w:val="16"/>
                <w:lang w:eastAsia="de-DE"/>
              </w:rPr>
              <w:t>nergy-finance</w:t>
            </w:r>
            <w:r>
              <w:rPr>
                <w:rFonts w:ascii="Arial Narrow" w:eastAsia="Times New Roman" w:hAnsi="Arial Narrow" w:cs="Times New Roman"/>
                <w:color w:val="000000"/>
                <w:sz w:val="16"/>
                <w:szCs w:val="16"/>
                <w:lang w:eastAsia="de-DE"/>
              </w:rPr>
              <w:t>, c</w:t>
            </w:r>
            <w:r w:rsidRPr="002E100F">
              <w:rPr>
                <w:rFonts w:ascii="Arial Narrow" w:eastAsia="Times New Roman" w:hAnsi="Arial Narrow" w:cs="Times New Roman"/>
                <w:color w:val="000000"/>
                <w:sz w:val="16"/>
                <w:szCs w:val="16"/>
                <w:lang w:eastAsia="de-DE"/>
              </w:rPr>
              <w:t>lean</w:t>
            </w:r>
            <w:r>
              <w:rPr>
                <w:rFonts w:ascii="Arial Narrow" w:eastAsia="Times New Roman" w:hAnsi="Arial Narrow" w:cs="Times New Roman"/>
                <w:color w:val="000000"/>
                <w:sz w:val="16"/>
                <w:szCs w:val="16"/>
                <w:lang w:eastAsia="de-DE"/>
              </w:rPr>
              <w:t xml:space="preserve"> energy investment and policy, and i</w:t>
            </w:r>
            <w:r w:rsidRPr="002E100F">
              <w:rPr>
                <w:rFonts w:ascii="Arial Narrow" w:eastAsia="Times New Roman" w:hAnsi="Arial Narrow" w:cs="Times New Roman"/>
                <w:color w:val="000000"/>
                <w:sz w:val="16"/>
                <w:szCs w:val="16"/>
                <w:lang w:eastAsia="de-DE"/>
              </w:rPr>
              <w:t xml:space="preserve">nternational climate policy (UNFCCC, Kyoto Protocol). Observer at UN talks. </w:t>
            </w:r>
          </w:p>
        </w:tc>
        <w:tc>
          <w:tcPr>
            <w:tcW w:w="685" w:type="dxa"/>
            <w:shd w:val="clear" w:color="auto" w:fill="auto"/>
            <w:vAlign w:val="center"/>
            <w:hideMark/>
          </w:tcPr>
          <w:p w14:paraId="460DC932"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Feb 18</w:t>
            </w:r>
          </w:p>
        </w:tc>
      </w:tr>
      <w:tr w:rsidR="00EC3985" w:rsidRPr="00C1704E" w14:paraId="2D939FFD" w14:textId="77777777" w:rsidTr="003E223D">
        <w:trPr>
          <w:trHeight w:val="12"/>
        </w:trPr>
        <w:tc>
          <w:tcPr>
            <w:tcW w:w="410" w:type="dxa"/>
            <w:shd w:val="clear" w:color="auto" w:fill="5B9BD5" w:themeFill="accent1"/>
            <w:vAlign w:val="center"/>
          </w:tcPr>
          <w:p w14:paraId="194BDCF9"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7</w:t>
            </w:r>
          </w:p>
        </w:tc>
        <w:tc>
          <w:tcPr>
            <w:tcW w:w="1782" w:type="dxa"/>
            <w:shd w:val="clear" w:color="auto" w:fill="auto"/>
            <w:vAlign w:val="center"/>
            <w:hideMark/>
          </w:tcPr>
          <w:p w14:paraId="0E68F747"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Charity &amp;</w:t>
            </w:r>
            <w:r w:rsidRPr="002E100F">
              <w:rPr>
                <w:rFonts w:ascii="Arial Narrow" w:eastAsia="Times New Roman" w:hAnsi="Arial Narrow" w:cs="Times New Roman"/>
                <w:color w:val="000000"/>
                <w:sz w:val="16"/>
                <w:szCs w:val="16"/>
                <w:lang w:eastAsia="de-DE"/>
              </w:rPr>
              <w:t xml:space="preserve"> </w:t>
            </w:r>
            <w:r>
              <w:rPr>
                <w:rFonts w:ascii="Arial Narrow" w:eastAsia="Times New Roman" w:hAnsi="Arial Narrow" w:cs="Times New Roman"/>
                <w:color w:val="000000"/>
                <w:sz w:val="16"/>
                <w:szCs w:val="16"/>
                <w:lang w:eastAsia="de-DE"/>
              </w:rPr>
              <w:t>independent</w:t>
            </w:r>
          </w:p>
        </w:tc>
        <w:tc>
          <w:tcPr>
            <w:tcW w:w="2101" w:type="dxa"/>
            <w:shd w:val="clear" w:color="auto" w:fill="auto"/>
            <w:vAlign w:val="center"/>
            <w:hideMark/>
          </w:tcPr>
          <w:p w14:paraId="6BE328D2"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Research</w:t>
            </w:r>
            <w:r>
              <w:rPr>
                <w:rFonts w:ascii="Arial Narrow" w:eastAsia="Times New Roman" w:hAnsi="Arial Narrow" w:cs="Times New Roman"/>
                <w:color w:val="000000"/>
                <w:sz w:val="16"/>
                <w:szCs w:val="16"/>
                <w:lang w:eastAsia="de-DE"/>
              </w:rPr>
              <w:t>er, author &amp; j</w:t>
            </w:r>
            <w:r w:rsidRPr="002E100F">
              <w:rPr>
                <w:rFonts w:ascii="Arial Narrow" w:eastAsia="Times New Roman" w:hAnsi="Arial Narrow" w:cs="Times New Roman"/>
                <w:color w:val="000000"/>
                <w:sz w:val="16"/>
                <w:szCs w:val="16"/>
                <w:lang w:eastAsia="de-DE"/>
              </w:rPr>
              <w:t xml:space="preserve">ournalist </w:t>
            </w:r>
          </w:p>
        </w:tc>
        <w:tc>
          <w:tcPr>
            <w:tcW w:w="1662" w:type="dxa"/>
            <w:vAlign w:val="center"/>
          </w:tcPr>
          <w:p w14:paraId="04A1EBD1"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Private investors</w:t>
            </w:r>
          </w:p>
        </w:tc>
        <w:tc>
          <w:tcPr>
            <w:tcW w:w="8988" w:type="dxa"/>
            <w:shd w:val="clear" w:color="auto" w:fill="auto"/>
            <w:vAlign w:val="center"/>
            <w:hideMark/>
          </w:tcPr>
          <w:p w14:paraId="52E05737"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Expertise in f</w:t>
            </w:r>
            <w:r w:rsidRPr="002E100F">
              <w:rPr>
                <w:rFonts w:ascii="Arial Narrow" w:eastAsia="Times New Roman" w:hAnsi="Arial Narrow" w:cs="Times New Roman"/>
                <w:color w:val="000000"/>
                <w:sz w:val="16"/>
                <w:szCs w:val="16"/>
                <w:lang w:eastAsia="de-DE"/>
              </w:rPr>
              <w:t xml:space="preserve">inancial </w:t>
            </w:r>
            <w:r>
              <w:rPr>
                <w:rFonts w:ascii="Arial Narrow" w:eastAsia="Times New Roman" w:hAnsi="Arial Narrow" w:cs="Times New Roman"/>
                <w:color w:val="000000"/>
                <w:sz w:val="16"/>
                <w:szCs w:val="16"/>
                <w:lang w:eastAsia="de-DE"/>
              </w:rPr>
              <w:t>markets</w:t>
            </w:r>
            <w:r w:rsidRPr="002E100F">
              <w:rPr>
                <w:rFonts w:ascii="Arial Narrow" w:eastAsia="Times New Roman" w:hAnsi="Arial Narrow" w:cs="Times New Roman"/>
                <w:color w:val="000000"/>
                <w:sz w:val="16"/>
                <w:szCs w:val="16"/>
                <w:lang w:eastAsia="de-DE"/>
              </w:rPr>
              <w:t>, hedge funds, commodity markets, economic aspects of climate change, and socially responsible banking</w:t>
            </w:r>
          </w:p>
        </w:tc>
        <w:tc>
          <w:tcPr>
            <w:tcW w:w="685" w:type="dxa"/>
            <w:shd w:val="clear" w:color="auto" w:fill="auto"/>
            <w:vAlign w:val="center"/>
            <w:hideMark/>
          </w:tcPr>
          <w:p w14:paraId="037EABDB"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Nov 17</w:t>
            </w:r>
          </w:p>
        </w:tc>
      </w:tr>
      <w:tr w:rsidR="00EC3985" w:rsidRPr="00C1704E" w14:paraId="3BBBF9BE" w14:textId="77777777" w:rsidTr="003E223D">
        <w:trPr>
          <w:trHeight w:val="4"/>
        </w:trPr>
        <w:tc>
          <w:tcPr>
            <w:tcW w:w="410" w:type="dxa"/>
            <w:shd w:val="clear" w:color="auto" w:fill="5B9BD5" w:themeFill="accent1"/>
            <w:vAlign w:val="center"/>
          </w:tcPr>
          <w:p w14:paraId="136D85EE" w14:textId="77777777" w:rsidR="00EC3985" w:rsidRPr="002E100F" w:rsidRDefault="00EC3985" w:rsidP="003E223D">
            <w:pPr>
              <w:spacing w:after="0" w:line="240" w:lineRule="auto"/>
              <w:rPr>
                <w:rFonts w:ascii="Arial Narrow" w:eastAsia="Times New Roman" w:hAnsi="Arial Narrow" w:cs="Times New Roman"/>
                <w:b/>
                <w:color w:val="000000"/>
                <w:sz w:val="16"/>
                <w:szCs w:val="16"/>
                <w:lang w:eastAsia="de-DE"/>
              </w:rPr>
            </w:pPr>
            <w:r w:rsidRPr="002E100F">
              <w:rPr>
                <w:rFonts w:ascii="Arial Narrow" w:eastAsia="Times New Roman" w:hAnsi="Arial Narrow" w:cs="Times New Roman"/>
                <w:b/>
                <w:color w:val="000000"/>
                <w:sz w:val="16"/>
                <w:szCs w:val="16"/>
                <w:lang w:eastAsia="de-DE"/>
              </w:rPr>
              <w:t>8</w:t>
            </w:r>
          </w:p>
        </w:tc>
        <w:tc>
          <w:tcPr>
            <w:tcW w:w="1782" w:type="dxa"/>
            <w:shd w:val="clear" w:color="auto" w:fill="auto"/>
            <w:vAlign w:val="center"/>
            <w:hideMark/>
          </w:tcPr>
          <w:p w14:paraId="6BB7A6D8"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Research Institute &amp;</w:t>
            </w:r>
            <w:r w:rsidRPr="002E100F">
              <w:rPr>
                <w:rFonts w:ascii="Arial Narrow" w:eastAsia="Times New Roman" w:hAnsi="Arial Narrow" w:cs="Times New Roman"/>
                <w:color w:val="000000"/>
                <w:sz w:val="16"/>
                <w:szCs w:val="16"/>
                <w:lang w:eastAsia="de-DE"/>
              </w:rPr>
              <w:t xml:space="preserve">Consultancy company </w:t>
            </w:r>
          </w:p>
        </w:tc>
        <w:tc>
          <w:tcPr>
            <w:tcW w:w="2101" w:type="dxa"/>
            <w:shd w:val="clear" w:color="auto" w:fill="auto"/>
            <w:vAlign w:val="center"/>
            <w:hideMark/>
          </w:tcPr>
          <w:p w14:paraId="7F888CD3"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Visiting research fellow, director &amp; m</w:t>
            </w:r>
            <w:r w:rsidRPr="002E100F">
              <w:rPr>
                <w:rFonts w:ascii="Arial Narrow" w:eastAsia="Times New Roman" w:hAnsi="Arial Narrow" w:cs="Times New Roman"/>
                <w:color w:val="000000"/>
                <w:sz w:val="16"/>
                <w:szCs w:val="16"/>
                <w:lang w:eastAsia="de-DE"/>
              </w:rPr>
              <w:t xml:space="preserve">anaging Director </w:t>
            </w:r>
          </w:p>
        </w:tc>
        <w:tc>
          <w:tcPr>
            <w:tcW w:w="1662" w:type="dxa"/>
            <w:vAlign w:val="center"/>
          </w:tcPr>
          <w:p w14:paraId="348F6B45"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Pension funds, private investors</w:t>
            </w:r>
          </w:p>
        </w:tc>
        <w:tc>
          <w:tcPr>
            <w:tcW w:w="8988" w:type="dxa"/>
            <w:shd w:val="clear" w:color="auto" w:fill="auto"/>
            <w:vAlign w:val="center"/>
            <w:hideMark/>
          </w:tcPr>
          <w:p w14:paraId="7D131034"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Actuarial advice, policy development and public-sector reform; design and implementation of administrative and legislative frameworks in the pension sector</w:t>
            </w:r>
          </w:p>
        </w:tc>
        <w:tc>
          <w:tcPr>
            <w:tcW w:w="685" w:type="dxa"/>
            <w:shd w:val="clear" w:color="auto" w:fill="auto"/>
            <w:vAlign w:val="center"/>
            <w:hideMark/>
          </w:tcPr>
          <w:p w14:paraId="5F61886F" w14:textId="77777777" w:rsidR="00EC3985" w:rsidRPr="002E100F" w:rsidRDefault="00EC3985" w:rsidP="003E223D">
            <w:pPr>
              <w:spacing w:after="0" w:line="240" w:lineRule="auto"/>
              <w:rPr>
                <w:rFonts w:ascii="Arial Narrow" w:eastAsia="Times New Roman" w:hAnsi="Arial Narrow" w:cs="Times New Roman"/>
                <w:color w:val="000000"/>
                <w:sz w:val="16"/>
                <w:szCs w:val="16"/>
                <w:lang w:eastAsia="de-DE"/>
              </w:rPr>
            </w:pPr>
            <w:r w:rsidRPr="002E100F">
              <w:rPr>
                <w:rFonts w:ascii="Arial Narrow" w:eastAsia="Times New Roman" w:hAnsi="Arial Narrow" w:cs="Times New Roman"/>
                <w:color w:val="000000"/>
                <w:sz w:val="16"/>
                <w:szCs w:val="16"/>
                <w:lang w:eastAsia="de-DE"/>
              </w:rPr>
              <w:t>Nov 17</w:t>
            </w:r>
          </w:p>
        </w:tc>
      </w:tr>
    </w:tbl>
    <w:p w14:paraId="3568CBAF" w14:textId="77777777" w:rsidR="00EC3985" w:rsidRPr="009B35C4" w:rsidRDefault="00EC3985" w:rsidP="00EC3985">
      <w:pPr>
        <w:pStyle w:val="Caption"/>
        <w:keepNext/>
        <w:rPr>
          <w:sz w:val="8"/>
          <w:szCs w:val="8"/>
        </w:rPr>
      </w:pPr>
    </w:p>
    <w:p w14:paraId="105AD45D" w14:textId="77777777" w:rsidR="00EC3985" w:rsidRDefault="00EC3985" w:rsidP="00EC3985">
      <w:pPr>
        <w:pStyle w:val="Caption"/>
        <w:keepNext/>
        <w:spacing w:after="0"/>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Pr>
          <w:noProof/>
        </w:rPr>
        <w:t xml:space="preserve">a: </w:t>
      </w:r>
      <w:r w:rsidRPr="000649DE">
        <w:t>Interview sample (structured interviews)</w:t>
      </w:r>
    </w:p>
    <w:tbl>
      <w:tblPr>
        <w:tblW w:w="560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1796"/>
        <w:gridCol w:w="2078"/>
        <w:gridCol w:w="1662"/>
        <w:gridCol w:w="9000"/>
        <w:gridCol w:w="692"/>
      </w:tblGrid>
      <w:tr w:rsidR="00EC3985" w:rsidRPr="007F021B" w14:paraId="0D825696" w14:textId="77777777" w:rsidTr="003E223D">
        <w:trPr>
          <w:trHeight w:val="119"/>
        </w:trPr>
        <w:tc>
          <w:tcPr>
            <w:tcW w:w="134"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791BAD2"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p>
        </w:tc>
        <w:tc>
          <w:tcPr>
            <w:tcW w:w="574"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CB8C541"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Type of institution/investor</w:t>
            </w:r>
          </w:p>
        </w:tc>
        <w:tc>
          <w:tcPr>
            <w:tcW w:w="664"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57744CF1"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Function</w:t>
            </w:r>
          </w:p>
        </w:tc>
        <w:tc>
          <w:tcPr>
            <w:tcW w:w="531"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3B89CFC"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Pr>
                <w:rFonts w:ascii="Arial Narrow" w:eastAsia="Times New Roman" w:hAnsi="Arial Narrow" w:cs="Times New Roman"/>
                <w:b/>
                <w:bCs/>
                <w:color w:val="000000"/>
                <w:sz w:val="16"/>
                <w:szCs w:val="16"/>
                <w:lang w:eastAsia="de-DE"/>
              </w:rPr>
              <w:t>Expertise related to</w:t>
            </w:r>
          </w:p>
        </w:tc>
        <w:tc>
          <w:tcPr>
            <w:tcW w:w="2876"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C6B2471"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Main experience</w:t>
            </w:r>
          </w:p>
        </w:tc>
        <w:tc>
          <w:tcPr>
            <w:tcW w:w="221" w:type="pct"/>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35620C65"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Date</w:t>
            </w:r>
          </w:p>
        </w:tc>
      </w:tr>
      <w:tr w:rsidR="00EC3985" w:rsidRPr="007F021B" w14:paraId="09A25989" w14:textId="77777777" w:rsidTr="003E223D">
        <w:trPr>
          <w:trHeight w:val="119"/>
        </w:trPr>
        <w:tc>
          <w:tcPr>
            <w:tcW w:w="134" w:type="pct"/>
            <w:shd w:val="clear" w:color="auto" w:fill="5B9BD5" w:themeFill="accent1"/>
            <w:vAlign w:val="center"/>
          </w:tcPr>
          <w:p w14:paraId="5C406E70"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9</w:t>
            </w:r>
          </w:p>
        </w:tc>
        <w:tc>
          <w:tcPr>
            <w:tcW w:w="574" w:type="pct"/>
            <w:shd w:val="clear" w:color="auto" w:fill="auto"/>
            <w:vAlign w:val="center"/>
            <w:hideMark/>
          </w:tcPr>
          <w:p w14:paraId="2ED9B680"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Asset management company</w:t>
            </w:r>
          </w:p>
        </w:tc>
        <w:tc>
          <w:tcPr>
            <w:tcW w:w="664" w:type="pct"/>
            <w:shd w:val="clear" w:color="auto" w:fill="auto"/>
            <w:vAlign w:val="center"/>
            <w:hideMark/>
          </w:tcPr>
          <w:p w14:paraId="713B10FB"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Head of Responsible Investment</w:t>
            </w:r>
          </w:p>
        </w:tc>
        <w:tc>
          <w:tcPr>
            <w:tcW w:w="531" w:type="pct"/>
            <w:shd w:val="clear" w:color="auto" w:fill="auto"/>
            <w:vAlign w:val="center"/>
          </w:tcPr>
          <w:p w14:paraId="02076E24"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Institutional investors</w:t>
            </w:r>
          </w:p>
        </w:tc>
        <w:tc>
          <w:tcPr>
            <w:tcW w:w="2876" w:type="pct"/>
            <w:shd w:val="clear" w:color="auto" w:fill="auto"/>
            <w:vAlign w:val="center"/>
            <w:hideMark/>
          </w:tcPr>
          <w:p w14:paraId="7218FF6A"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 xml:space="preserve">Experience in institutional investment and responsible investment; </w:t>
            </w:r>
            <w:r w:rsidRPr="007F021B">
              <w:rPr>
                <w:rFonts w:ascii="Arial Narrow" w:eastAsia="Times New Roman" w:hAnsi="Arial Narrow" w:cs="Times New Roman"/>
                <w:color w:val="000000"/>
                <w:sz w:val="16"/>
                <w:szCs w:val="16"/>
                <w:lang w:eastAsia="de-DE"/>
              </w:rPr>
              <w:t>member of several working groups and internationa</w:t>
            </w:r>
            <w:r>
              <w:rPr>
                <w:rFonts w:ascii="Arial Narrow" w:eastAsia="Times New Roman" w:hAnsi="Arial Narrow" w:cs="Times New Roman"/>
                <w:color w:val="000000"/>
                <w:sz w:val="16"/>
                <w:szCs w:val="16"/>
                <w:lang w:eastAsia="de-DE"/>
              </w:rPr>
              <w:t xml:space="preserve">l committees related to </w:t>
            </w:r>
            <w:r w:rsidRPr="007F021B">
              <w:rPr>
                <w:rFonts w:ascii="Arial Narrow" w:eastAsia="Times New Roman" w:hAnsi="Arial Narrow" w:cs="Times New Roman"/>
                <w:color w:val="000000"/>
                <w:sz w:val="16"/>
                <w:szCs w:val="16"/>
                <w:lang w:eastAsia="de-DE"/>
              </w:rPr>
              <w:t xml:space="preserve">ESG </w:t>
            </w:r>
            <w:r>
              <w:rPr>
                <w:rFonts w:ascii="Arial Narrow" w:eastAsia="Times New Roman" w:hAnsi="Arial Narrow" w:cs="Times New Roman"/>
                <w:color w:val="000000"/>
                <w:sz w:val="16"/>
                <w:szCs w:val="16"/>
                <w:lang w:eastAsia="de-DE"/>
              </w:rPr>
              <w:t>topics</w:t>
            </w:r>
          </w:p>
        </w:tc>
        <w:tc>
          <w:tcPr>
            <w:tcW w:w="221" w:type="pct"/>
            <w:shd w:val="clear" w:color="auto" w:fill="auto"/>
            <w:noWrap/>
            <w:vAlign w:val="center"/>
            <w:hideMark/>
          </w:tcPr>
          <w:p w14:paraId="440B8962"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Apr 18</w:t>
            </w:r>
          </w:p>
        </w:tc>
      </w:tr>
      <w:tr w:rsidR="00EC3985" w:rsidRPr="007F021B" w14:paraId="7105744B" w14:textId="77777777" w:rsidTr="003E223D">
        <w:trPr>
          <w:trHeight w:val="77"/>
        </w:trPr>
        <w:tc>
          <w:tcPr>
            <w:tcW w:w="134" w:type="pct"/>
            <w:shd w:val="clear" w:color="auto" w:fill="5B9BD5" w:themeFill="accent1"/>
            <w:vAlign w:val="center"/>
          </w:tcPr>
          <w:p w14:paraId="34518395"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10</w:t>
            </w:r>
          </w:p>
        </w:tc>
        <w:tc>
          <w:tcPr>
            <w:tcW w:w="574" w:type="pct"/>
            <w:shd w:val="clear" w:color="auto" w:fill="auto"/>
            <w:vAlign w:val="center"/>
            <w:hideMark/>
          </w:tcPr>
          <w:p w14:paraId="3631C86A" w14:textId="77777777" w:rsidR="00EC3985" w:rsidRPr="00F406DA" w:rsidRDefault="00EC3985" w:rsidP="003E223D">
            <w:pPr>
              <w:spacing w:after="0" w:line="240" w:lineRule="auto"/>
              <w:rPr>
                <w:rFonts w:ascii="Arial Narrow" w:eastAsia="Times New Roman" w:hAnsi="Arial Narrow" w:cs="Times New Roman"/>
                <w:color w:val="000000"/>
                <w:sz w:val="16"/>
                <w:szCs w:val="16"/>
                <w:lang w:eastAsia="de-DE"/>
              </w:rPr>
            </w:pPr>
            <w:r w:rsidRPr="00F406DA">
              <w:rPr>
                <w:rFonts w:ascii="Arial Narrow" w:eastAsia="Times New Roman" w:hAnsi="Arial Narrow" w:cs="Times New Roman"/>
                <w:color w:val="000000"/>
                <w:sz w:val="16"/>
                <w:szCs w:val="16"/>
                <w:lang w:eastAsia="de-DE"/>
              </w:rPr>
              <w:t>Investment company (or Asset management company?)</w:t>
            </w:r>
          </w:p>
        </w:tc>
        <w:tc>
          <w:tcPr>
            <w:tcW w:w="664" w:type="pct"/>
            <w:shd w:val="clear" w:color="auto" w:fill="auto"/>
            <w:vAlign w:val="center"/>
            <w:hideMark/>
          </w:tcPr>
          <w:p w14:paraId="2EE269D1" w14:textId="77777777" w:rsidR="00EC3985" w:rsidRPr="00F406DA" w:rsidRDefault="00EC3985" w:rsidP="003E223D">
            <w:pPr>
              <w:spacing w:after="0" w:line="240" w:lineRule="auto"/>
              <w:rPr>
                <w:rFonts w:ascii="Arial Narrow" w:eastAsia="Times New Roman" w:hAnsi="Arial Narrow" w:cs="Times New Roman"/>
                <w:color w:val="000000"/>
                <w:sz w:val="16"/>
                <w:szCs w:val="16"/>
                <w:lang w:eastAsia="de-DE"/>
              </w:rPr>
            </w:pPr>
            <w:r w:rsidRPr="00F406DA">
              <w:rPr>
                <w:rFonts w:ascii="Arial Narrow" w:eastAsia="Times New Roman" w:hAnsi="Arial Narrow" w:cs="Times New Roman"/>
                <w:color w:val="000000"/>
                <w:sz w:val="16"/>
                <w:szCs w:val="16"/>
                <w:lang w:eastAsia="de-DE"/>
              </w:rPr>
              <w:t>Investment Director</w:t>
            </w:r>
          </w:p>
        </w:tc>
        <w:tc>
          <w:tcPr>
            <w:tcW w:w="531" w:type="pct"/>
            <w:shd w:val="clear" w:color="auto" w:fill="auto"/>
            <w:vAlign w:val="center"/>
          </w:tcPr>
          <w:p w14:paraId="3F025290"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Institutional investor</w:t>
            </w:r>
            <w:r>
              <w:rPr>
                <w:rFonts w:ascii="Arial Narrow" w:eastAsia="Times New Roman" w:hAnsi="Arial Narrow" w:cs="Times New Roman"/>
                <w:color w:val="000000"/>
                <w:sz w:val="16"/>
                <w:szCs w:val="16"/>
                <w:lang w:eastAsia="de-DE"/>
              </w:rPr>
              <w:t>s</w:t>
            </w:r>
          </w:p>
        </w:tc>
        <w:tc>
          <w:tcPr>
            <w:tcW w:w="2876" w:type="pct"/>
            <w:shd w:val="clear" w:color="auto" w:fill="auto"/>
            <w:vAlign w:val="center"/>
            <w:hideMark/>
          </w:tcPr>
          <w:p w14:paraId="57263DC5"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Pensions consultancy, investment strat</w:t>
            </w:r>
            <w:r>
              <w:rPr>
                <w:rFonts w:ascii="Arial Narrow" w:eastAsia="Times New Roman" w:hAnsi="Arial Narrow" w:cs="Times New Roman"/>
                <w:color w:val="000000"/>
                <w:sz w:val="16"/>
                <w:szCs w:val="16"/>
                <w:lang w:eastAsia="de-DE"/>
              </w:rPr>
              <w:t xml:space="preserve">egy, asset liability modelling and </w:t>
            </w:r>
            <w:r w:rsidRPr="007F021B">
              <w:rPr>
                <w:rFonts w:ascii="Arial Narrow" w:eastAsia="Times New Roman" w:hAnsi="Arial Narrow" w:cs="Times New Roman"/>
                <w:color w:val="000000"/>
                <w:sz w:val="16"/>
                <w:szCs w:val="16"/>
                <w:lang w:eastAsia="de-DE"/>
              </w:rPr>
              <w:t>investment manager research</w:t>
            </w:r>
          </w:p>
        </w:tc>
        <w:tc>
          <w:tcPr>
            <w:tcW w:w="221" w:type="pct"/>
            <w:shd w:val="clear" w:color="auto" w:fill="auto"/>
            <w:noWrap/>
            <w:vAlign w:val="center"/>
            <w:hideMark/>
          </w:tcPr>
          <w:p w14:paraId="711C9823"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May 18</w:t>
            </w:r>
          </w:p>
        </w:tc>
      </w:tr>
      <w:tr w:rsidR="00EC3985" w:rsidRPr="007F021B" w14:paraId="737AC985" w14:textId="77777777" w:rsidTr="003E223D">
        <w:trPr>
          <w:trHeight w:val="93"/>
        </w:trPr>
        <w:tc>
          <w:tcPr>
            <w:tcW w:w="134" w:type="pct"/>
            <w:shd w:val="clear" w:color="auto" w:fill="5B9BD5" w:themeFill="accent1"/>
            <w:vAlign w:val="center"/>
          </w:tcPr>
          <w:p w14:paraId="794B4B91"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11</w:t>
            </w:r>
          </w:p>
        </w:tc>
        <w:tc>
          <w:tcPr>
            <w:tcW w:w="574" w:type="pct"/>
            <w:shd w:val="clear" w:color="auto" w:fill="auto"/>
            <w:vAlign w:val="center"/>
            <w:hideMark/>
          </w:tcPr>
          <w:p w14:paraId="589EF049" w14:textId="77777777" w:rsidR="00EC3985" w:rsidRPr="00F406DA" w:rsidRDefault="00EC3985" w:rsidP="003E223D">
            <w:pPr>
              <w:spacing w:after="0" w:line="240" w:lineRule="auto"/>
              <w:rPr>
                <w:rFonts w:ascii="Arial Narrow" w:eastAsia="Times New Roman" w:hAnsi="Arial Narrow" w:cs="Times New Roman"/>
                <w:color w:val="000000"/>
                <w:sz w:val="16"/>
                <w:szCs w:val="16"/>
                <w:lang w:eastAsia="de-DE"/>
              </w:rPr>
            </w:pPr>
            <w:r w:rsidRPr="00F406DA">
              <w:rPr>
                <w:rFonts w:ascii="Arial Narrow" w:eastAsia="Times New Roman" w:hAnsi="Arial Narrow" w:cs="Times New Roman"/>
                <w:color w:val="000000"/>
                <w:sz w:val="16"/>
                <w:szCs w:val="16"/>
                <w:lang w:eastAsia="de-DE"/>
              </w:rPr>
              <w:t>Research institute / Sustainable investment advisory firm</w:t>
            </w:r>
          </w:p>
        </w:tc>
        <w:tc>
          <w:tcPr>
            <w:tcW w:w="664" w:type="pct"/>
            <w:shd w:val="clear" w:color="auto" w:fill="auto"/>
            <w:vAlign w:val="center"/>
            <w:hideMark/>
          </w:tcPr>
          <w:p w14:paraId="64750F09" w14:textId="77777777" w:rsidR="00EC3985" w:rsidRPr="00F406DA" w:rsidRDefault="00EC3985" w:rsidP="003E223D">
            <w:pPr>
              <w:spacing w:after="0" w:line="240" w:lineRule="auto"/>
              <w:rPr>
                <w:rFonts w:ascii="Arial Narrow" w:eastAsia="Times New Roman" w:hAnsi="Arial Narrow" w:cs="Times New Roman"/>
                <w:color w:val="000000"/>
                <w:sz w:val="16"/>
                <w:szCs w:val="16"/>
                <w:lang w:eastAsia="de-DE"/>
              </w:rPr>
            </w:pPr>
            <w:r w:rsidRPr="00F406DA">
              <w:rPr>
                <w:rFonts w:ascii="Arial Narrow" w:eastAsia="Times New Roman" w:hAnsi="Arial Narrow" w:cs="Times New Roman"/>
                <w:color w:val="000000"/>
                <w:sz w:val="16"/>
                <w:szCs w:val="16"/>
                <w:lang w:eastAsia="de-DE"/>
              </w:rPr>
              <w:t>Sustainable Finance and Investment Executive / Institutional investor / senior advisor</w:t>
            </w:r>
            <w:r w:rsidRPr="00F406DA">
              <w:rPr>
                <w:rFonts w:ascii="Arial Narrow" w:eastAsia="Times New Roman" w:hAnsi="Arial Narrow" w:cs="Times New Roman"/>
                <w:color w:val="000000"/>
                <w:sz w:val="16"/>
                <w:szCs w:val="16"/>
                <w:lang w:eastAsia="de-DE"/>
              </w:rPr>
              <w:br w:type="page"/>
            </w:r>
          </w:p>
        </w:tc>
        <w:tc>
          <w:tcPr>
            <w:tcW w:w="531" w:type="pct"/>
            <w:vAlign w:val="center"/>
          </w:tcPr>
          <w:p w14:paraId="79CEC966"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Institutional investor</w:t>
            </w:r>
            <w:r>
              <w:rPr>
                <w:rFonts w:ascii="Arial Narrow" w:eastAsia="Times New Roman" w:hAnsi="Arial Narrow" w:cs="Times New Roman"/>
                <w:color w:val="000000"/>
                <w:sz w:val="16"/>
                <w:szCs w:val="16"/>
                <w:lang w:eastAsia="de-DE"/>
              </w:rPr>
              <w:t>s</w:t>
            </w:r>
          </w:p>
        </w:tc>
        <w:tc>
          <w:tcPr>
            <w:tcW w:w="2876" w:type="pct"/>
            <w:shd w:val="clear" w:color="auto" w:fill="auto"/>
            <w:vAlign w:val="center"/>
            <w:hideMark/>
          </w:tcPr>
          <w:p w14:paraId="0D1134EF"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Sustainable Finance and Investment Executive; over 30 years working in international banking and finance</w:t>
            </w:r>
          </w:p>
        </w:tc>
        <w:tc>
          <w:tcPr>
            <w:tcW w:w="221" w:type="pct"/>
            <w:shd w:val="clear" w:color="auto" w:fill="auto"/>
            <w:noWrap/>
            <w:vAlign w:val="center"/>
            <w:hideMark/>
          </w:tcPr>
          <w:p w14:paraId="6828776F"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May 18</w:t>
            </w:r>
          </w:p>
        </w:tc>
      </w:tr>
      <w:tr w:rsidR="00EC3985" w:rsidRPr="007F021B" w14:paraId="1EEDEAEC" w14:textId="77777777" w:rsidTr="003E223D">
        <w:trPr>
          <w:trHeight w:val="71"/>
        </w:trPr>
        <w:tc>
          <w:tcPr>
            <w:tcW w:w="134" w:type="pct"/>
            <w:shd w:val="clear" w:color="auto" w:fill="5B9BD5" w:themeFill="accent1"/>
            <w:vAlign w:val="center"/>
          </w:tcPr>
          <w:p w14:paraId="4891D83F"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12</w:t>
            </w:r>
          </w:p>
        </w:tc>
        <w:tc>
          <w:tcPr>
            <w:tcW w:w="574" w:type="pct"/>
            <w:shd w:val="clear" w:color="auto" w:fill="auto"/>
            <w:vAlign w:val="center"/>
            <w:hideMark/>
          </w:tcPr>
          <w:p w14:paraId="1E21B624"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 xml:space="preserve">Responsible investment advisory firm </w:t>
            </w:r>
          </w:p>
        </w:tc>
        <w:tc>
          <w:tcPr>
            <w:tcW w:w="664" w:type="pct"/>
            <w:shd w:val="clear" w:color="auto" w:fill="auto"/>
            <w:vAlign w:val="center"/>
            <w:hideMark/>
          </w:tcPr>
          <w:p w14:paraId="0E5540F9"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Founder/Director</w:t>
            </w:r>
          </w:p>
        </w:tc>
        <w:tc>
          <w:tcPr>
            <w:tcW w:w="531" w:type="pct"/>
            <w:vAlign w:val="center"/>
          </w:tcPr>
          <w:p w14:paraId="77AA4547"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Private investors</w:t>
            </w:r>
          </w:p>
        </w:tc>
        <w:tc>
          <w:tcPr>
            <w:tcW w:w="2876" w:type="pct"/>
            <w:shd w:val="clear" w:color="auto" w:fill="auto"/>
            <w:vAlign w:val="center"/>
            <w:hideMark/>
          </w:tcPr>
          <w:p w14:paraId="5A30B72B"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Responsible Investment, Actuarial work</w:t>
            </w:r>
          </w:p>
        </w:tc>
        <w:tc>
          <w:tcPr>
            <w:tcW w:w="221" w:type="pct"/>
            <w:shd w:val="clear" w:color="auto" w:fill="auto"/>
            <w:noWrap/>
            <w:vAlign w:val="center"/>
            <w:hideMark/>
          </w:tcPr>
          <w:p w14:paraId="19EFC890"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May 18</w:t>
            </w:r>
          </w:p>
        </w:tc>
      </w:tr>
      <w:tr w:rsidR="00EC3985" w:rsidRPr="007F021B" w14:paraId="007946FB" w14:textId="77777777" w:rsidTr="003E223D">
        <w:trPr>
          <w:trHeight w:val="149"/>
        </w:trPr>
        <w:tc>
          <w:tcPr>
            <w:tcW w:w="134" w:type="pct"/>
            <w:shd w:val="clear" w:color="auto" w:fill="5B9BD5" w:themeFill="accent1"/>
            <w:vAlign w:val="center"/>
          </w:tcPr>
          <w:p w14:paraId="285A1276"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13</w:t>
            </w:r>
          </w:p>
        </w:tc>
        <w:tc>
          <w:tcPr>
            <w:tcW w:w="574" w:type="pct"/>
            <w:shd w:val="clear" w:color="auto" w:fill="auto"/>
            <w:vAlign w:val="center"/>
            <w:hideMark/>
          </w:tcPr>
          <w:p w14:paraId="22831196"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 xml:space="preserve">Investment company </w:t>
            </w:r>
          </w:p>
        </w:tc>
        <w:tc>
          <w:tcPr>
            <w:tcW w:w="664" w:type="pct"/>
            <w:shd w:val="clear" w:color="auto" w:fill="auto"/>
            <w:vAlign w:val="center"/>
            <w:hideMark/>
          </w:tcPr>
          <w:p w14:paraId="19465D5E"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Advices Investors in unquoted sustainable businesses</w:t>
            </w:r>
          </w:p>
        </w:tc>
        <w:tc>
          <w:tcPr>
            <w:tcW w:w="531" w:type="pct"/>
            <w:vAlign w:val="center"/>
          </w:tcPr>
          <w:p w14:paraId="3B78A9A1"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Retail investors</w:t>
            </w:r>
          </w:p>
        </w:tc>
        <w:tc>
          <w:tcPr>
            <w:tcW w:w="2876" w:type="pct"/>
            <w:shd w:val="clear" w:color="auto" w:fill="auto"/>
            <w:vAlign w:val="center"/>
            <w:hideMark/>
          </w:tcPr>
          <w:p w14:paraId="1F104E19"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 xml:space="preserve">Sustainable Private Equity; Private Equity and Venture Capital Specialties: Sustainable Investments, Renewable Energy. Jim has 25 years’ experience in sustainable and clean technology, including 16 years’ private equity. </w:t>
            </w:r>
          </w:p>
        </w:tc>
        <w:tc>
          <w:tcPr>
            <w:tcW w:w="221" w:type="pct"/>
            <w:shd w:val="clear" w:color="auto" w:fill="auto"/>
            <w:noWrap/>
            <w:vAlign w:val="center"/>
            <w:hideMark/>
          </w:tcPr>
          <w:p w14:paraId="4F90C8EF"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May 18</w:t>
            </w:r>
          </w:p>
        </w:tc>
      </w:tr>
      <w:tr w:rsidR="00EC3985" w:rsidRPr="007F021B" w14:paraId="1BF9C2CE" w14:textId="77777777" w:rsidTr="003E223D">
        <w:trPr>
          <w:trHeight w:val="275"/>
        </w:trPr>
        <w:tc>
          <w:tcPr>
            <w:tcW w:w="134" w:type="pct"/>
            <w:shd w:val="clear" w:color="auto" w:fill="5B9BD5" w:themeFill="accent1"/>
            <w:vAlign w:val="center"/>
          </w:tcPr>
          <w:p w14:paraId="47A4A99B"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14</w:t>
            </w:r>
          </w:p>
        </w:tc>
        <w:tc>
          <w:tcPr>
            <w:tcW w:w="574" w:type="pct"/>
            <w:shd w:val="clear" w:color="auto" w:fill="auto"/>
            <w:vAlign w:val="center"/>
            <w:hideMark/>
          </w:tcPr>
          <w:p w14:paraId="130B6F69"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Research services business with expertise in sustainable investment, research and analytics.</w:t>
            </w:r>
            <w:r>
              <w:rPr>
                <w:rFonts w:ascii="Arial Narrow" w:eastAsia="Times New Roman" w:hAnsi="Arial Narrow" w:cs="Times New Roman"/>
                <w:color w:val="000000"/>
                <w:sz w:val="16"/>
                <w:szCs w:val="16"/>
                <w:lang w:eastAsia="de-DE"/>
              </w:rPr>
              <w:t xml:space="preserve"> </w:t>
            </w:r>
          </w:p>
        </w:tc>
        <w:tc>
          <w:tcPr>
            <w:tcW w:w="664" w:type="pct"/>
            <w:shd w:val="clear" w:color="auto" w:fill="auto"/>
            <w:vAlign w:val="center"/>
            <w:hideMark/>
          </w:tcPr>
          <w:p w14:paraId="38BDD4C1"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Managing director</w:t>
            </w:r>
          </w:p>
        </w:tc>
        <w:tc>
          <w:tcPr>
            <w:tcW w:w="531" w:type="pct"/>
            <w:vAlign w:val="center"/>
          </w:tcPr>
          <w:p w14:paraId="6597C022"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Private investors</w:t>
            </w:r>
          </w:p>
        </w:tc>
        <w:tc>
          <w:tcPr>
            <w:tcW w:w="2876" w:type="pct"/>
            <w:shd w:val="clear" w:color="auto" w:fill="auto"/>
            <w:vAlign w:val="center"/>
            <w:hideMark/>
          </w:tcPr>
          <w:p w14:paraId="09B2D842"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 xml:space="preserve">Investment management, institutional sales, research, business development and product management. </w:t>
            </w:r>
          </w:p>
        </w:tc>
        <w:tc>
          <w:tcPr>
            <w:tcW w:w="221" w:type="pct"/>
            <w:shd w:val="clear" w:color="auto" w:fill="auto"/>
            <w:noWrap/>
            <w:vAlign w:val="center"/>
            <w:hideMark/>
          </w:tcPr>
          <w:p w14:paraId="2D1F11C7"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Sep 18</w:t>
            </w:r>
          </w:p>
        </w:tc>
      </w:tr>
      <w:tr w:rsidR="00EC3985" w:rsidRPr="007F021B" w14:paraId="6231301C" w14:textId="77777777" w:rsidTr="003E223D">
        <w:trPr>
          <w:trHeight w:val="71"/>
        </w:trPr>
        <w:tc>
          <w:tcPr>
            <w:tcW w:w="134" w:type="pct"/>
            <w:shd w:val="clear" w:color="auto" w:fill="5B9BD5" w:themeFill="accent1"/>
            <w:vAlign w:val="center"/>
          </w:tcPr>
          <w:p w14:paraId="57B32590"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15</w:t>
            </w:r>
          </w:p>
        </w:tc>
        <w:tc>
          <w:tcPr>
            <w:tcW w:w="574" w:type="pct"/>
            <w:shd w:val="clear" w:color="auto" w:fill="auto"/>
            <w:vAlign w:val="center"/>
            <w:hideMark/>
          </w:tcPr>
          <w:p w14:paraId="0EB4DF28"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(Sustainable) investment management firm</w:t>
            </w:r>
          </w:p>
        </w:tc>
        <w:tc>
          <w:tcPr>
            <w:tcW w:w="664" w:type="pct"/>
            <w:shd w:val="clear" w:color="auto" w:fill="auto"/>
            <w:vAlign w:val="center"/>
            <w:hideMark/>
          </w:tcPr>
          <w:p w14:paraId="4BE1ACD7"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Head of SRI Policy</w:t>
            </w:r>
          </w:p>
        </w:tc>
        <w:tc>
          <w:tcPr>
            <w:tcW w:w="531" w:type="pct"/>
            <w:vAlign w:val="center"/>
          </w:tcPr>
          <w:p w14:paraId="2BB08D7F"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Private investors</w:t>
            </w:r>
          </w:p>
        </w:tc>
        <w:tc>
          <w:tcPr>
            <w:tcW w:w="2876" w:type="pct"/>
            <w:shd w:val="clear" w:color="auto" w:fill="auto"/>
            <w:vAlign w:val="center"/>
            <w:hideMark/>
          </w:tcPr>
          <w:p w14:paraId="2F310F5D"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Ethical finance and responsible investment</w:t>
            </w:r>
          </w:p>
        </w:tc>
        <w:tc>
          <w:tcPr>
            <w:tcW w:w="221" w:type="pct"/>
            <w:shd w:val="clear" w:color="auto" w:fill="auto"/>
            <w:noWrap/>
            <w:vAlign w:val="center"/>
            <w:hideMark/>
          </w:tcPr>
          <w:p w14:paraId="08272E8B"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Oct 18</w:t>
            </w:r>
          </w:p>
        </w:tc>
      </w:tr>
      <w:tr w:rsidR="00EC3985" w:rsidRPr="007F021B" w14:paraId="3946230F" w14:textId="77777777" w:rsidTr="003E223D">
        <w:trPr>
          <w:trHeight w:val="157"/>
        </w:trPr>
        <w:tc>
          <w:tcPr>
            <w:tcW w:w="134" w:type="pct"/>
            <w:shd w:val="clear" w:color="auto" w:fill="5B9BD5" w:themeFill="accent1"/>
            <w:vAlign w:val="center"/>
          </w:tcPr>
          <w:p w14:paraId="140F830F"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16</w:t>
            </w:r>
          </w:p>
        </w:tc>
        <w:tc>
          <w:tcPr>
            <w:tcW w:w="574" w:type="pct"/>
            <w:shd w:val="clear" w:color="auto" w:fill="auto"/>
            <w:vAlign w:val="center"/>
            <w:hideMark/>
          </w:tcPr>
          <w:p w14:paraId="3223849B"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Provider of UK workplace pensions</w:t>
            </w:r>
          </w:p>
        </w:tc>
        <w:tc>
          <w:tcPr>
            <w:tcW w:w="664" w:type="pct"/>
            <w:shd w:val="clear" w:color="auto" w:fill="auto"/>
            <w:noWrap/>
            <w:vAlign w:val="center"/>
            <w:hideMark/>
          </w:tcPr>
          <w:p w14:paraId="17A303F4"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 xml:space="preserve">Asset owner </w:t>
            </w:r>
          </w:p>
        </w:tc>
        <w:tc>
          <w:tcPr>
            <w:tcW w:w="531" w:type="pct"/>
            <w:vAlign w:val="center"/>
          </w:tcPr>
          <w:p w14:paraId="63DB72B8"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Pension funds</w:t>
            </w:r>
          </w:p>
        </w:tc>
        <w:tc>
          <w:tcPr>
            <w:tcW w:w="2876" w:type="pct"/>
            <w:shd w:val="clear" w:color="auto" w:fill="auto"/>
            <w:vAlign w:val="center"/>
            <w:hideMark/>
          </w:tcPr>
          <w:p w14:paraId="74CCD6D4"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Asset owner in p</w:t>
            </w:r>
            <w:r w:rsidRPr="007F021B">
              <w:rPr>
                <w:rFonts w:ascii="Arial Narrow" w:eastAsia="Times New Roman" w:hAnsi="Arial Narrow" w:cs="Times New Roman"/>
                <w:color w:val="000000"/>
                <w:sz w:val="16"/>
                <w:szCs w:val="16"/>
                <w:lang w:eastAsia="de-DE"/>
              </w:rPr>
              <w:t xml:space="preserve">ension fund investments; </w:t>
            </w:r>
            <w:r>
              <w:rPr>
                <w:rFonts w:ascii="Arial Narrow" w:eastAsia="Times New Roman" w:hAnsi="Arial Narrow" w:cs="Times New Roman"/>
                <w:color w:val="000000"/>
                <w:sz w:val="16"/>
                <w:szCs w:val="16"/>
                <w:lang w:eastAsia="de-DE"/>
              </w:rPr>
              <w:t>expertise in sustainable &amp; responsible Investment, climate c</w:t>
            </w:r>
            <w:r w:rsidRPr="007F021B">
              <w:rPr>
                <w:rFonts w:ascii="Arial Narrow" w:eastAsia="Times New Roman" w:hAnsi="Arial Narrow" w:cs="Times New Roman"/>
                <w:color w:val="000000"/>
                <w:sz w:val="16"/>
                <w:szCs w:val="16"/>
                <w:lang w:eastAsia="de-DE"/>
              </w:rPr>
              <w:t>hange and ESG.</w:t>
            </w:r>
          </w:p>
        </w:tc>
        <w:tc>
          <w:tcPr>
            <w:tcW w:w="221" w:type="pct"/>
            <w:shd w:val="clear" w:color="auto" w:fill="auto"/>
            <w:noWrap/>
            <w:vAlign w:val="center"/>
            <w:hideMark/>
          </w:tcPr>
          <w:p w14:paraId="715A88FC"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Oct 18</w:t>
            </w:r>
          </w:p>
        </w:tc>
      </w:tr>
      <w:tr w:rsidR="00EC3985" w:rsidRPr="007F021B" w14:paraId="4C2F491A" w14:textId="77777777" w:rsidTr="003E223D">
        <w:trPr>
          <w:trHeight w:val="24"/>
        </w:trPr>
        <w:tc>
          <w:tcPr>
            <w:tcW w:w="134" w:type="pct"/>
            <w:shd w:val="clear" w:color="auto" w:fill="5B9BD5" w:themeFill="accent1"/>
            <w:vAlign w:val="center"/>
          </w:tcPr>
          <w:p w14:paraId="52BBC57F" w14:textId="77777777" w:rsidR="00EC3985" w:rsidRPr="007F021B" w:rsidRDefault="00EC3985" w:rsidP="003E223D">
            <w:pPr>
              <w:spacing w:after="0" w:line="240" w:lineRule="auto"/>
              <w:rPr>
                <w:rFonts w:ascii="Arial Narrow" w:eastAsia="Times New Roman" w:hAnsi="Arial Narrow" w:cs="Times New Roman"/>
                <w:b/>
                <w:color w:val="000000"/>
                <w:sz w:val="16"/>
                <w:szCs w:val="16"/>
                <w:lang w:eastAsia="de-DE"/>
              </w:rPr>
            </w:pPr>
            <w:r w:rsidRPr="007F021B">
              <w:rPr>
                <w:rFonts w:ascii="Arial Narrow" w:eastAsia="Times New Roman" w:hAnsi="Arial Narrow" w:cs="Times New Roman"/>
                <w:b/>
                <w:color w:val="000000"/>
                <w:sz w:val="16"/>
                <w:szCs w:val="16"/>
                <w:lang w:eastAsia="de-DE"/>
              </w:rPr>
              <w:t>17</w:t>
            </w:r>
          </w:p>
        </w:tc>
        <w:tc>
          <w:tcPr>
            <w:tcW w:w="574" w:type="pct"/>
            <w:shd w:val="clear" w:color="auto" w:fill="auto"/>
            <w:vAlign w:val="center"/>
            <w:hideMark/>
          </w:tcPr>
          <w:p w14:paraId="08948B2E"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Research institute</w:t>
            </w:r>
          </w:p>
        </w:tc>
        <w:tc>
          <w:tcPr>
            <w:tcW w:w="664" w:type="pct"/>
            <w:shd w:val="clear" w:color="auto" w:fill="auto"/>
            <w:noWrap/>
            <w:vAlign w:val="center"/>
            <w:hideMark/>
          </w:tcPr>
          <w:p w14:paraId="45AC28B8"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 xml:space="preserve">Director </w:t>
            </w:r>
          </w:p>
        </w:tc>
        <w:tc>
          <w:tcPr>
            <w:tcW w:w="531" w:type="pct"/>
            <w:vAlign w:val="center"/>
          </w:tcPr>
          <w:p w14:paraId="78A2FFD8"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Pension funds</w:t>
            </w:r>
          </w:p>
        </w:tc>
        <w:tc>
          <w:tcPr>
            <w:tcW w:w="2876" w:type="pct"/>
            <w:shd w:val="clear" w:color="auto" w:fill="auto"/>
            <w:noWrap/>
            <w:vAlign w:val="center"/>
            <w:hideMark/>
          </w:tcPr>
          <w:p w14:paraId="203DFBFB"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Pr>
                <w:rFonts w:ascii="Arial Narrow" w:eastAsia="Times New Roman" w:hAnsi="Arial Narrow" w:cs="Times New Roman"/>
                <w:color w:val="000000"/>
                <w:sz w:val="16"/>
                <w:szCs w:val="16"/>
                <w:lang w:eastAsia="de-DE"/>
              </w:rPr>
              <w:t>Expert in pension fund investments and sustainable f</w:t>
            </w:r>
            <w:r w:rsidRPr="007F021B">
              <w:rPr>
                <w:rFonts w:ascii="Arial Narrow" w:eastAsia="Times New Roman" w:hAnsi="Arial Narrow" w:cs="Times New Roman"/>
                <w:color w:val="000000"/>
                <w:sz w:val="16"/>
                <w:szCs w:val="16"/>
                <w:lang w:eastAsia="de-DE"/>
              </w:rPr>
              <w:t>inance</w:t>
            </w:r>
          </w:p>
        </w:tc>
        <w:tc>
          <w:tcPr>
            <w:tcW w:w="221" w:type="pct"/>
            <w:shd w:val="clear" w:color="auto" w:fill="auto"/>
            <w:noWrap/>
            <w:vAlign w:val="center"/>
            <w:hideMark/>
          </w:tcPr>
          <w:p w14:paraId="04F87F10" w14:textId="77777777" w:rsidR="00EC3985" w:rsidRPr="007F021B" w:rsidRDefault="00EC3985" w:rsidP="003E223D">
            <w:pPr>
              <w:spacing w:after="0" w:line="240" w:lineRule="auto"/>
              <w:rPr>
                <w:rFonts w:ascii="Arial Narrow" w:eastAsia="Times New Roman" w:hAnsi="Arial Narrow" w:cs="Times New Roman"/>
                <w:color w:val="000000"/>
                <w:sz w:val="16"/>
                <w:szCs w:val="16"/>
                <w:lang w:eastAsia="de-DE"/>
              </w:rPr>
            </w:pPr>
            <w:r w:rsidRPr="007F021B">
              <w:rPr>
                <w:rFonts w:ascii="Arial Narrow" w:eastAsia="Times New Roman" w:hAnsi="Arial Narrow" w:cs="Times New Roman"/>
                <w:color w:val="000000"/>
                <w:sz w:val="16"/>
                <w:szCs w:val="16"/>
                <w:lang w:eastAsia="de-DE"/>
              </w:rPr>
              <w:t>Apr 18</w:t>
            </w:r>
          </w:p>
        </w:tc>
      </w:tr>
    </w:tbl>
    <w:p w14:paraId="4D143E71" w14:textId="77777777" w:rsidR="00EC3985" w:rsidRDefault="00EC3985" w:rsidP="00EC3985">
      <w:pPr>
        <w:pStyle w:val="Caption"/>
        <w:keepNext/>
        <w:spacing w:after="0"/>
      </w:pPr>
    </w:p>
    <w:p w14:paraId="1CAC4048" w14:textId="77777777" w:rsidR="00EC3985" w:rsidRDefault="00EC3985" w:rsidP="00EC3985">
      <w:pPr>
        <w:rPr>
          <w:color w:val="44546A" w:themeColor="text2"/>
          <w:sz w:val="18"/>
          <w:szCs w:val="18"/>
        </w:rPr>
      </w:pPr>
      <w:r>
        <w:br w:type="page"/>
      </w:r>
    </w:p>
    <w:p w14:paraId="172ACBB9" w14:textId="77777777" w:rsidR="00EC3985" w:rsidRDefault="00EC3985" w:rsidP="00EC3985">
      <w:pPr>
        <w:pStyle w:val="Caption"/>
        <w:keepNext/>
        <w:spacing w:after="0"/>
      </w:pPr>
      <w:r>
        <w:lastRenderedPageBreak/>
        <w:t xml:space="preserve">Table </w:t>
      </w:r>
      <w:r>
        <w:rPr>
          <w:noProof/>
        </w:rPr>
        <w:t>4</w:t>
      </w:r>
      <w:r>
        <w:t xml:space="preserve">a: </w:t>
      </w:r>
      <w:r w:rsidRPr="006774CE">
        <w:t xml:space="preserve">Summery of barriers reported in </w:t>
      </w:r>
      <w:r>
        <w:t xml:space="preserve">type </w:t>
      </w:r>
      <w:proofErr w:type="spellStart"/>
      <w:r>
        <w:t>i</w:t>
      </w:r>
      <w:proofErr w:type="spellEnd"/>
      <w:r>
        <w:t xml:space="preserve">) </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616"/>
        <w:gridCol w:w="5879"/>
        <w:gridCol w:w="1538"/>
        <w:gridCol w:w="1668"/>
      </w:tblGrid>
      <w:tr w:rsidR="00EC3985" w:rsidRPr="00791169" w14:paraId="297D29FA" w14:textId="77777777" w:rsidTr="003E223D">
        <w:trPr>
          <w:trHeight w:val="19"/>
          <w:jc w:val="center"/>
        </w:trPr>
        <w:tc>
          <w:tcPr>
            <w:tcW w:w="952" w:type="pct"/>
            <w:shd w:val="clear" w:color="000000" w:fill="1F4E78"/>
            <w:vAlign w:val="center"/>
            <w:hideMark/>
          </w:tcPr>
          <w:p w14:paraId="5FD62935" w14:textId="77777777" w:rsidR="00EC3985" w:rsidRPr="003D172C"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3D172C">
              <w:rPr>
                <w:rFonts w:ascii="Calibri" w:eastAsia="Times New Roman" w:hAnsi="Calibri" w:cs="Calibri"/>
                <w:b/>
                <w:bCs/>
                <w:color w:val="FFFFFF" w:themeColor="background1"/>
                <w:sz w:val="16"/>
                <w:szCs w:val="16"/>
                <w:lang w:eastAsia="en-GB"/>
              </w:rPr>
              <w:t>Study</w:t>
            </w:r>
          </w:p>
        </w:tc>
        <w:tc>
          <w:tcPr>
            <w:tcW w:w="905" w:type="pct"/>
            <w:shd w:val="clear" w:color="auto" w:fill="1F4E79" w:themeFill="accent1" w:themeFillShade="80"/>
            <w:vAlign w:val="center"/>
          </w:tcPr>
          <w:p w14:paraId="35F7CE84" w14:textId="77777777" w:rsidR="00EC3985" w:rsidRPr="003D172C" w:rsidRDefault="00EC3985" w:rsidP="003E223D">
            <w:pPr>
              <w:spacing w:after="0" w:line="240" w:lineRule="auto"/>
              <w:jc w:val="center"/>
              <w:rPr>
                <w:rFonts w:ascii="Calibri" w:hAnsi="Calibri" w:cs="Calibri"/>
                <w:b/>
                <w:bCs/>
                <w:color w:val="FFFFFF" w:themeColor="background1"/>
                <w:sz w:val="16"/>
                <w:szCs w:val="16"/>
              </w:rPr>
            </w:pPr>
            <w:r w:rsidRPr="003D172C">
              <w:rPr>
                <w:rFonts w:ascii="Calibri" w:hAnsi="Calibri" w:cs="Calibri"/>
                <w:b/>
                <w:bCs/>
                <w:color w:val="FFFFFF" w:themeColor="background1"/>
                <w:sz w:val="16"/>
                <w:szCs w:val="16"/>
              </w:rPr>
              <w:t>Barrier-topics</w:t>
            </w:r>
          </w:p>
        </w:tc>
        <w:tc>
          <w:tcPr>
            <w:tcW w:w="2034" w:type="pct"/>
            <w:shd w:val="clear" w:color="auto" w:fill="1F4E79" w:themeFill="accent1" w:themeFillShade="80"/>
            <w:vAlign w:val="center"/>
          </w:tcPr>
          <w:p w14:paraId="7EBA65E1" w14:textId="77777777" w:rsidR="00EC3985" w:rsidRPr="003D172C" w:rsidRDefault="00EC3985" w:rsidP="003E223D">
            <w:pPr>
              <w:spacing w:after="0" w:line="240" w:lineRule="auto"/>
              <w:jc w:val="center"/>
              <w:rPr>
                <w:rFonts w:ascii="Calibri" w:hAnsi="Calibri" w:cs="Calibri"/>
                <w:b/>
                <w:bCs/>
                <w:color w:val="FFFFFF" w:themeColor="background1"/>
                <w:sz w:val="16"/>
                <w:szCs w:val="16"/>
              </w:rPr>
            </w:pPr>
            <w:r w:rsidRPr="003D172C">
              <w:rPr>
                <w:rFonts w:ascii="Calibri" w:hAnsi="Calibri" w:cs="Calibri"/>
                <w:b/>
                <w:bCs/>
                <w:color w:val="FFFFFF" w:themeColor="background1"/>
                <w:sz w:val="16"/>
                <w:szCs w:val="16"/>
              </w:rPr>
              <w:t>Method</w:t>
            </w:r>
            <w:r>
              <w:rPr>
                <w:rFonts w:ascii="Calibri" w:hAnsi="Calibri" w:cs="Calibri"/>
                <w:b/>
                <w:bCs/>
                <w:color w:val="FFFFFF" w:themeColor="background1"/>
                <w:sz w:val="16"/>
                <w:szCs w:val="16"/>
              </w:rPr>
              <w:t xml:space="preserve"> </w:t>
            </w:r>
          </w:p>
        </w:tc>
        <w:tc>
          <w:tcPr>
            <w:tcW w:w="532" w:type="pct"/>
            <w:shd w:val="clear" w:color="auto" w:fill="1F4E79" w:themeFill="accent1" w:themeFillShade="80"/>
            <w:vAlign w:val="center"/>
          </w:tcPr>
          <w:p w14:paraId="4FE37754" w14:textId="77777777" w:rsidR="00EC3985" w:rsidRPr="003D172C" w:rsidRDefault="00EC3985" w:rsidP="003E223D">
            <w:pPr>
              <w:spacing w:after="0" w:line="240" w:lineRule="auto"/>
              <w:jc w:val="center"/>
              <w:rPr>
                <w:rFonts w:ascii="Calibri" w:hAnsi="Calibri" w:cs="Calibri"/>
                <w:b/>
                <w:bCs/>
                <w:color w:val="FFFFFF" w:themeColor="background1"/>
                <w:sz w:val="16"/>
                <w:szCs w:val="16"/>
              </w:rPr>
            </w:pPr>
            <w:r w:rsidRPr="003D172C">
              <w:rPr>
                <w:rFonts w:ascii="Calibri" w:hAnsi="Calibri" w:cs="Calibri"/>
                <w:b/>
                <w:bCs/>
                <w:color w:val="FFFFFF" w:themeColor="background1"/>
                <w:sz w:val="16"/>
                <w:szCs w:val="16"/>
              </w:rPr>
              <w:t>Investor type</w:t>
            </w:r>
          </w:p>
        </w:tc>
        <w:tc>
          <w:tcPr>
            <w:tcW w:w="577" w:type="pct"/>
            <w:shd w:val="clear" w:color="auto" w:fill="1F4E79" w:themeFill="accent1" w:themeFillShade="80"/>
            <w:vAlign w:val="center"/>
          </w:tcPr>
          <w:p w14:paraId="64659E77" w14:textId="77777777" w:rsidR="00EC3985" w:rsidRPr="003D172C" w:rsidRDefault="00EC3985" w:rsidP="003E223D">
            <w:pPr>
              <w:spacing w:after="0" w:line="240" w:lineRule="auto"/>
              <w:jc w:val="center"/>
              <w:rPr>
                <w:rFonts w:ascii="Calibri" w:hAnsi="Calibri" w:cs="Calibri"/>
                <w:b/>
                <w:bCs/>
                <w:color w:val="FFFFFF" w:themeColor="background1"/>
                <w:sz w:val="16"/>
                <w:szCs w:val="16"/>
              </w:rPr>
            </w:pPr>
            <w:r w:rsidRPr="003D172C">
              <w:rPr>
                <w:rFonts w:ascii="Calibri" w:hAnsi="Calibri" w:cs="Calibri"/>
                <w:b/>
                <w:bCs/>
                <w:color w:val="FFFFFF" w:themeColor="background1"/>
                <w:sz w:val="16"/>
                <w:szCs w:val="16"/>
              </w:rPr>
              <w:t>Technology and regional scope</w:t>
            </w:r>
          </w:p>
        </w:tc>
      </w:tr>
      <w:tr w:rsidR="00EC3985" w:rsidRPr="00791169" w14:paraId="61AED746" w14:textId="77777777" w:rsidTr="003E223D">
        <w:trPr>
          <w:trHeight w:val="19"/>
          <w:jc w:val="center"/>
        </w:trPr>
        <w:tc>
          <w:tcPr>
            <w:tcW w:w="952" w:type="pct"/>
            <w:shd w:val="clear" w:color="auto" w:fill="auto"/>
            <w:noWrap/>
            <w:hideMark/>
          </w:tcPr>
          <w:p w14:paraId="41C02121"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Bolton &amp; </w:t>
            </w:r>
            <w:proofErr w:type="spellStart"/>
            <w:r w:rsidRPr="00791169">
              <w:rPr>
                <w:rFonts w:ascii="Calibri" w:eastAsia="Times New Roman" w:hAnsi="Calibri" w:cs="Calibri"/>
                <w:sz w:val="18"/>
                <w:szCs w:val="18"/>
                <w:lang w:eastAsia="en-GB"/>
              </w:rPr>
              <w:t>Foxon</w:t>
            </w:r>
            <w:proofErr w:type="spellEnd"/>
            <w:r w:rsidRPr="00791169">
              <w:rPr>
                <w:rFonts w:ascii="Calibri" w:eastAsia="Times New Roman" w:hAnsi="Calibri" w:cs="Calibri"/>
                <w:sz w:val="18"/>
                <w:szCs w:val="18"/>
                <w:lang w:eastAsia="en-GB"/>
              </w:rPr>
              <w:t xml:space="preserve"> (2015)</w:t>
            </w:r>
          </w:p>
        </w:tc>
        <w:tc>
          <w:tcPr>
            <w:tcW w:w="905" w:type="pct"/>
          </w:tcPr>
          <w:p w14:paraId="02C3C981"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bCs/>
                <w:sz w:val="18"/>
                <w:szCs w:val="18"/>
              </w:rPr>
              <w:t>2</w:t>
            </w:r>
            <w:r w:rsidRPr="003D172C">
              <w:rPr>
                <w:rFonts w:ascii="Calibri" w:hAnsi="Calibri" w:cs="Calibri"/>
                <w:sz w:val="18"/>
                <w:szCs w:val="18"/>
              </w:rPr>
              <w:t>;7;13;14</w:t>
            </w:r>
          </w:p>
        </w:tc>
        <w:tc>
          <w:tcPr>
            <w:tcW w:w="2034" w:type="pct"/>
          </w:tcPr>
          <w:p w14:paraId="2C161D86" w14:textId="77777777" w:rsidR="00EC3985" w:rsidRPr="00791169" w:rsidRDefault="00EC3985" w:rsidP="003E223D">
            <w:pPr>
              <w:spacing w:after="0" w:line="240" w:lineRule="auto"/>
              <w:jc w:val="both"/>
              <w:rPr>
                <w:rFonts w:ascii="Calibri" w:hAnsi="Calibri" w:cs="Calibri"/>
                <w:sz w:val="18"/>
                <w:szCs w:val="18"/>
              </w:rPr>
            </w:pPr>
            <w:r>
              <w:rPr>
                <w:rFonts w:ascii="Calibri" w:hAnsi="Calibri" w:cs="Calibri"/>
                <w:sz w:val="18"/>
                <w:szCs w:val="18"/>
              </w:rPr>
              <w:t>The study applies a s</w:t>
            </w:r>
            <w:r w:rsidRPr="00791169">
              <w:rPr>
                <w:rFonts w:ascii="Calibri" w:hAnsi="Calibri" w:cs="Calibri"/>
                <w:sz w:val="18"/>
                <w:szCs w:val="18"/>
              </w:rPr>
              <w:t xml:space="preserve">ocio-technical system analysis </w:t>
            </w:r>
            <w:r>
              <w:rPr>
                <w:rFonts w:ascii="Calibri" w:hAnsi="Calibri" w:cs="Calibri"/>
                <w:sz w:val="18"/>
                <w:szCs w:val="18"/>
              </w:rPr>
              <w:t xml:space="preserve">that is </w:t>
            </w:r>
            <w:r w:rsidRPr="00791169">
              <w:rPr>
                <w:rFonts w:ascii="Calibri" w:hAnsi="Calibri" w:cs="Calibri"/>
                <w:sz w:val="18"/>
                <w:szCs w:val="18"/>
              </w:rPr>
              <w:t>based on:</w:t>
            </w:r>
          </w:p>
          <w:p w14:paraId="67777858" w14:textId="77777777" w:rsidR="00EC3985" w:rsidRDefault="00EC3985" w:rsidP="00EC3985">
            <w:pPr>
              <w:pStyle w:val="ListParagraph"/>
              <w:numPr>
                <w:ilvl w:val="0"/>
                <w:numId w:val="33"/>
              </w:numPr>
              <w:spacing w:after="0" w:line="240" w:lineRule="auto"/>
              <w:jc w:val="both"/>
              <w:rPr>
                <w:rFonts w:ascii="Calibri" w:hAnsi="Calibri" w:cs="Calibri"/>
                <w:sz w:val="18"/>
                <w:szCs w:val="18"/>
              </w:rPr>
            </w:pPr>
            <w:r w:rsidRPr="00082A71">
              <w:rPr>
                <w:rFonts w:ascii="Calibri" w:hAnsi="Calibri" w:cs="Calibri"/>
                <w:sz w:val="18"/>
                <w:szCs w:val="18"/>
              </w:rPr>
              <w:t xml:space="preserve">The main source is work conducted as part of the ‘Transition Pathways to a Low Carbon Economy’ research consortium </w:t>
            </w:r>
          </w:p>
          <w:p w14:paraId="6D50B091" w14:textId="77777777" w:rsidR="00EC3985" w:rsidRPr="00082A71" w:rsidRDefault="00EC3985" w:rsidP="00EC3985">
            <w:pPr>
              <w:pStyle w:val="ListParagraph"/>
              <w:numPr>
                <w:ilvl w:val="0"/>
                <w:numId w:val="33"/>
              </w:numPr>
              <w:spacing w:after="0" w:line="240" w:lineRule="auto"/>
              <w:jc w:val="both"/>
              <w:rPr>
                <w:rFonts w:ascii="Calibri" w:hAnsi="Calibri" w:cs="Calibri"/>
                <w:sz w:val="18"/>
                <w:szCs w:val="18"/>
              </w:rPr>
            </w:pPr>
            <w:r>
              <w:rPr>
                <w:rFonts w:ascii="Calibri" w:hAnsi="Calibri" w:cs="Calibri"/>
                <w:sz w:val="18"/>
                <w:szCs w:val="18"/>
              </w:rPr>
              <w:t>A q</w:t>
            </w:r>
            <w:r w:rsidRPr="00082A71">
              <w:rPr>
                <w:rFonts w:ascii="Calibri" w:hAnsi="Calibri" w:cs="Calibri"/>
                <w:sz w:val="18"/>
                <w:szCs w:val="18"/>
              </w:rPr>
              <w:t xml:space="preserve">ualitative analysis of key policy documents </w:t>
            </w:r>
          </w:p>
          <w:p w14:paraId="4B929A65" w14:textId="77777777" w:rsidR="00EC3985" w:rsidRPr="00791169" w:rsidRDefault="00EC3985" w:rsidP="00EC3985">
            <w:pPr>
              <w:pStyle w:val="ListParagraph"/>
              <w:numPr>
                <w:ilvl w:val="0"/>
                <w:numId w:val="33"/>
              </w:numPr>
              <w:spacing w:after="0" w:line="240" w:lineRule="auto"/>
              <w:jc w:val="both"/>
              <w:rPr>
                <w:rFonts w:ascii="Calibri" w:hAnsi="Calibri" w:cs="Calibri"/>
                <w:sz w:val="18"/>
                <w:szCs w:val="18"/>
              </w:rPr>
            </w:pPr>
            <w:r w:rsidRPr="00791169">
              <w:rPr>
                <w:rFonts w:ascii="Calibri" w:hAnsi="Calibri" w:cs="Calibri"/>
                <w:sz w:val="18"/>
                <w:szCs w:val="18"/>
              </w:rPr>
              <w:t xml:space="preserve">15 semi-structured interviews with stakeholders (e.g. developers) and financial </w:t>
            </w:r>
            <w:r>
              <w:rPr>
                <w:rFonts w:ascii="Calibri" w:hAnsi="Calibri" w:cs="Calibri"/>
                <w:sz w:val="18"/>
                <w:szCs w:val="18"/>
              </w:rPr>
              <w:t xml:space="preserve">experts and professionals (e.g. </w:t>
            </w:r>
            <w:r w:rsidRPr="00791169">
              <w:rPr>
                <w:rFonts w:ascii="Calibri" w:hAnsi="Calibri" w:cs="Calibri"/>
                <w:sz w:val="18"/>
                <w:szCs w:val="18"/>
              </w:rPr>
              <w:t>investment managers, institutional investors)</w:t>
            </w:r>
          </w:p>
        </w:tc>
        <w:tc>
          <w:tcPr>
            <w:tcW w:w="532" w:type="pct"/>
          </w:tcPr>
          <w:p w14:paraId="5239E7F0"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Institutional investors and energy developers</w:t>
            </w:r>
          </w:p>
        </w:tc>
        <w:tc>
          <w:tcPr>
            <w:tcW w:w="577" w:type="pct"/>
          </w:tcPr>
          <w:p w14:paraId="1283B476"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UK</w:t>
            </w:r>
          </w:p>
        </w:tc>
      </w:tr>
      <w:tr w:rsidR="00EC3985" w:rsidRPr="00791169" w14:paraId="2E0BF117" w14:textId="77777777" w:rsidTr="003E223D">
        <w:trPr>
          <w:trHeight w:val="19"/>
          <w:jc w:val="center"/>
        </w:trPr>
        <w:tc>
          <w:tcPr>
            <w:tcW w:w="952" w:type="pct"/>
            <w:shd w:val="clear" w:color="auto" w:fill="auto"/>
            <w:noWrap/>
          </w:tcPr>
          <w:p w14:paraId="0B85926B" w14:textId="77777777" w:rsidR="00EC3985" w:rsidRPr="00AA12A7" w:rsidRDefault="00EC3985" w:rsidP="003E223D">
            <w:pPr>
              <w:spacing w:after="0" w:line="240" w:lineRule="auto"/>
              <w:jc w:val="both"/>
              <w:rPr>
                <w:rFonts w:ascii="Calibri" w:eastAsia="Times New Roman" w:hAnsi="Calibri" w:cs="Calibri"/>
                <w:sz w:val="18"/>
                <w:szCs w:val="18"/>
                <w:highlight w:val="green"/>
                <w:lang w:eastAsia="en-GB"/>
              </w:rPr>
            </w:pPr>
            <w:r w:rsidRPr="00A06099">
              <w:rPr>
                <w:rFonts w:ascii="Calibri" w:eastAsia="Times New Roman" w:hAnsi="Calibri" w:cs="Calibri"/>
                <w:sz w:val="18"/>
                <w:szCs w:val="18"/>
                <w:lang w:eastAsia="en-GB"/>
              </w:rPr>
              <w:t>Blyth et al. (2015)</w:t>
            </w:r>
          </w:p>
        </w:tc>
        <w:tc>
          <w:tcPr>
            <w:tcW w:w="905" w:type="pct"/>
          </w:tcPr>
          <w:p w14:paraId="1E4EBB43" w14:textId="77777777" w:rsidR="00EC3985" w:rsidRPr="003D172C" w:rsidRDefault="00EC3985" w:rsidP="003E223D">
            <w:pPr>
              <w:spacing w:after="0" w:line="240" w:lineRule="auto"/>
              <w:rPr>
                <w:rFonts w:ascii="Calibri" w:hAnsi="Calibri" w:cs="Calibri"/>
                <w:bCs/>
                <w:sz w:val="18"/>
                <w:szCs w:val="18"/>
              </w:rPr>
            </w:pPr>
            <w:r w:rsidRPr="003D172C">
              <w:rPr>
                <w:rFonts w:ascii="Calibri" w:hAnsi="Calibri" w:cs="Calibri"/>
                <w:bCs/>
                <w:sz w:val="18"/>
                <w:szCs w:val="18"/>
              </w:rPr>
              <w:t>2;</w:t>
            </w:r>
            <w:r>
              <w:rPr>
                <w:rFonts w:ascii="Calibri" w:hAnsi="Calibri" w:cs="Calibri"/>
                <w:bCs/>
                <w:sz w:val="18"/>
                <w:szCs w:val="18"/>
              </w:rPr>
              <w:t>5;15</w:t>
            </w:r>
          </w:p>
        </w:tc>
        <w:tc>
          <w:tcPr>
            <w:tcW w:w="2034" w:type="pct"/>
          </w:tcPr>
          <w:p w14:paraId="4D72A925" w14:textId="77777777" w:rsidR="00EC3985" w:rsidRPr="00082A71" w:rsidRDefault="00EC3985" w:rsidP="003E223D">
            <w:pPr>
              <w:spacing w:after="0" w:line="240" w:lineRule="auto"/>
              <w:jc w:val="both"/>
              <w:rPr>
                <w:rFonts w:ascii="Calibri" w:hAnsi="Calibri" w:cs="Calibri"/>
                <w:sz w:val="18"/>
                <w:szCs w:val="18"/>
              </w:rPr>
            </w:pPr>
            <w:r>
              <w:rPr>
                <w:rFonts w:ascii="Calibri" w:hAnsi="Calibri" w:cs="Calibri"/>
                <w:sz w:val="18"/>
                <w:szCs w:val="18"/>
              </w:rPr>
              <w:t xml:space="preserve">The findings of this study are based on: </w:t>
            </w:r>
          </w:p>
          <w:p w14:paraId="42CFC5EF" w14:textId="77777777" w:rsidR="00EC3985" w:rsidRPr="009C2A20" w:rsidRDefault="00EC3985" w:rsidP="00EC3985">
            <w:pPr>
              <w:pStyle w:val="ListParagraph"/>
              <w:numPr>
                <w:ilvl w:val="0"/>
                <w:numId w:val="43"/>
              </w:numPr>
              <w:spacing w:after="0" w:line="240" w:lineRule="auto"/>
              <w:jc w:val="both"/>
              <w:rPr>
                <w:rFonts w:ascii="Calibri" w:hAnsi="Calibri" w:cs="Calibri"/>
                <w:sz w:val="18"/>
                <w:szCs w:val="18"/>
              </w:rPr>
              <w:pPrChange w:id="1" w:author="Jones, Aled" w:date="2019-11-18T13:33:00Z">
                <w:pPr>
                  <w:pStyle w:val="ListParagraph"/>
                  <w:numPr>
                    <w:numId w:val="54"/>
                  </w:numPr>
                  <w:tabs>
                    <w:tab w:val="num" w:pos="360"/>
                  </w:tabs>
                  <w:spacing w:after="0" w:line="240" w:lineRule="auto"/>
                  <w:ind w:left="360" w:hanging="360"/>
                  <w:jc w:val="both"/>
                </w:pPr>
              </w:pPrChange>
            </w:pPr>
            <w:r w:rsidRPr="009C2A20">
              <w:rPr>
                <w:rFonts w:ascii="Calibri" w:hAnsi="Calibri" w:cs="Calibri"/>
                <w:sz w:val="18"/>
                <w:szCs w:val="18"/>
              </w:rPr>
              <w:t>Semi-structured interview</w:t>
            </w:r>
            <w:r>
              <w:rPr>
                <w:rFonts w:ascii="Calibri" w:hAnsi="Calibri" w:cs="Calibri"/>
                <w:sz w:val="18"/>
                <w:szCs w:val="18"/>
              </w:rPr>
              <w:t>s</w:t>
            </w:r>
          </w:p>
          <w:p w14:paraId="37E94554" w14:textId="77777777" w:rsidR="00EC3985" w:rsidRPr="009C2A20" w:rsidRDefault="00EC3985" w:rsidP="00EC3985">
            <w:pPr>
              <w:pStyle w:val="ListParagraph"/>
              <w:numPr>
                <w:ilvl w:val="0"/>
                <w:numId w:val="43"/>
              </w:numPr>
              <w:spacing w:after="0" w:line="240" w:lineRule="auto"/>
              <w:jc w:val="both"/>
              <w:rPr>
                <w:rFonts w:ascii="Calibri" w:hAnsi="Calibri" w:cs="Calibri"/>
                <w:sz w:val="18"/>
                <w:szCs w:val="18"/>
              </w:rPr>
              <w:pPrChange w:id="2" w:author="Jones, Aled" w:date="2019-11-18T13:33:00Z">
                <w:pPr>
                  <w:pStyle w:val="ListParagraph"/>
                  <w:numPr>
                    <w:numId w:val="54"/>
                  </w:numPr>
                  <w:tabs>
                    <w:tab w:val="num" w:pos="360"/>
                  </w:tabs>
                  <w:spacing w:after="0" w:line="240" w:lineRule="auto"/>
                  <w:ind w:left="360" w:hanging="360"/>
                  <w:jc w:val="both"/>
                </w:pPr>
              </w:pPrChange>
            </w:pPr>
            <w:r>
              <w:rPr>
                <w:rFonts w:ascii="Calibri" w:hAnsi="Calibri" w:cs="Calibri"/>
                <w:sz w:val="18"/>
                <w:szCs w:val="18"/>
              </w:rPr>
              <w:t>A l</w:t>
            </w:r>
            <w:r w:rsidRPr="009C2A20">
              <w:rPr>
                <w:rFonts w:ascii="Calibri" w:hAnsi="Calibri" w:cs="Calibri"/>
                <w:sz w:val="18"/>
                <w:szCs w:val="18"/>
              </w:rPr>
              <w:t>iterature review</w:t>
            </w:r>
          </w:p>
          <w:p w14:paraId="0B1589C0" w14:textId="77777777" w:rsidR="00EC3985" w:rsidRPr="009C2A20" w:rsidRDefault="00EC3985" w:rsidP="00EC3985">
            <w:pPr>
              <w:pStyle w:val="ListParagraph"/>
              <w:numPr>
                <w:ilvl w:val="0"/>
                <w:numId w:val="43"/>
              </w:numPr>
              <w:spacing w:after="0" w:line="240" w:lineRule="auto"/>
              <w:jc w:val="both"/>
              <w:rPr>
                <w:rFonts w:ascii="Calibri" w:hAnsi="Calibri" w:cs="Calibri"/>
                <w:sz w:val="18"/>
                <w:szCs w:val="18"/>
              </w:rPr>
              <w:pPrChange w:id="3" w:author="Jones, Aled" w:date="2019-11-18T13:33:00Z">
                <w:pPr>
                  <w:pStyle w:val="ListParagraph"/>
                  <w:numPr>
                    <w:numId w:val="54"/>
                  </w:numPr>
                  <w:tabs>
                    <w:tab w:val="num" w:pos="360"/>
                  </w:tabs>
                  <w:spacing w:after="0" w:line="240" w:lineRule="auto"/>
                  <w:ind w:left="360" w:hanging="360"/>
                  <w:jc w:val="both"/>
                </w:pPr>
              </w:pPrChange>
            </w:pPr>
            <w:r>
              <w:rPr>
                <w:rFonts w:ascii="Calibri" w:hAnsi="Calibri" w:cs="Calibri"/>
                <w:sz w:val="18"/>
                <w:szCs w:val="18"/>
              </w:rPr>
              <w:t>An e</w:t>
            </w:r>
            <w:r w:rsidRPr="009C2A20">
              <w:rPr>
                <w:rFonts w:ascii="Calibri" w:hAnsi="Calibri" w:cs="Calibri"/>
                <w:sz w:val="18"/>
                <w:szCs w:val="18"/>
              </w:rPr>
              <w:t>valuation</w:t>
            </w:r>
            <w:r>
              <w:rPr>
                <w:rFonts w:ascii="Calibri" w:hAnsi="Calibri" w:cs="Calibri"/>
                <w:sz w:val="18"/>
                <w:szCs w:val="18"/>
              </w:rPr>
              <w:t xml:space="preserve"> of key policy reports</w:t>
            </w:r>
          </w:p>
        </w:tc>
        <w:tc>
          <w:tcPr>
            <w:tcW w:w="532" w:type="pct"/>
          </w:tcPr>
          <w:p w14:paraId="5452433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Private investors</w:t>
            </w:r>
          </w:p>
        </w:tc>
        <w:tc>
          <w:tcPr>
            <w:tcW w:w="577" w:type="pct"/>
          </w:tcPr>
          <w:p w14:paraId="72EAA013"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 / Global</w:t>
            </w:r>
          </w:p>
        </w:tc>
      </w:tr>
      <w:tr w:rsidR="00EC3985" w:rsidRPr="00791169" w14:paraId="62BEFB6E" w14:textId="77777777" w:rsidTr="003E223D">
        <w:trPr>
          <w:trHeight w:val="19"/>
          <w:jc w:val="center"/>
        </w:trPr>
        <w:tc>
          <w:tcPr>
            <w:tcW w:w="952" w:type="pct"/>
            <w:shd w:val="clear" w:color="auto" w:fill="auto"/>
            <w:noWrap/>
          </w:tcPr>
          <w:p w14:paraId="1B2CC052" w14:textId="77777777" w:rsidR="00EC3985" w:rsidRPr="00791169" w:rsidRDefault="00EC3985" w:rsidP="003E223D">
            <w:pPr>
              <w:spacing w:after="0" w:line="240" w:lineRule="auto"/>
              <w:rPr>
                <w:rFonts w:ascii="Calibri" w:eastAsia="Times New Roman" w:hAnsi="Calibri" w:cs="Calibri"/>
                <w:sz w:val="18"/>
                <w:szCs w:val="18"/>
                <w:highlight w:val="red"/>
                <w:lang w:eastAsia="en-GB"/>
              </w:rPr>
            </w:pPr>
            <w:r w:rsidRPr="00791169">
              <w:rPr>
                <w:rFonts w:ascii="Calibri" w:eastAsia="Times New Roman" w:hAnsi="Calibri" w:cs="Calibri"/>
                <w:sz w:val="18"/>
                <w:szCs w:val="18"/>
                <w:lang w:eastAsia="en-GB"/>
              </w:rPr>
              <w:t>Bolton et al. (2016)</w:t>
            </w:r>
          </w:p>
        </w:tc>
        <w:tc>
          <w:tcPr>
            <w:tcW w:w="905" w:type="pct"/>
          </w:tcPr>
          <w:p w14:paraId="1EDACFC6"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2;4.3;13 (only institutional investors: 2;4.3;7;12)</w:t>
            </w:r>
          </w:p>
        </w:tc>
        <w:tc>
          <w:tcPr>
            <w:tcW w:w="2034" w:type="pct"/>
          </w:tcPr>
          <w:p w14:paraId="4B61AB6E"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The primary source of </w:t>
            </w:r>
            <w:r>
              <w:rPr>
                <w:rFonts w:ascii="Calibri" w:hAnsi="Calibri" w:cs="Calibri"/>
                <w:sz w:val="18"/>
                <w:szCs w:val="18"/>
              </w:rPr>
              <w:t xml:space="preserve">this empirical study were </w:t>
            </w:r>
            <w:r w:rsidRPr="00791169">
              <w:rPr>
                <w:rFonts w:ascii="Calibri" w:hAnsi="Calibri" w:cs="Calibri"/>
                <w:sz w:val="18"/>
                <w:szCs w:val="18"/>
              </w:rPr>
              <w:t xml:space="preserve">15 in-depth semi-structured interviews with individuals in the investment and energy policy communities in the UK. All interviews </w:t>
            </w:r>
            <w:proofErr w:type="gramStart"/>
            <w:r w:rsidRPr="00791169">
              <w:rPr>
                <w:rFonts w:ascii="Calibri" w:hAnsi="Calibri" w:cs="Calibri"/>
                <w:sz w:val="18"/>
                <w:szCs w:val="18"/>
              </w:rPr>
              <w:t>were recorded, transcribed and manually coded according to key emerging themes</w:t>
            </w:r>
            <w:proofErr w:type="gramEnd"/>
            <w:r w:rsidRPr="00791169">
              <w:rPr>
                <w:rFonts w:ascii="Calibri" w:hAnsi="Calibri" w:cs="Calibri"/>
                <w:sz w:val="18"/>
                <w:szCs w:val="18"/>
              </w:rPr>
              <w:t>.</w:t>
            </w:r>
          </w:p>
        </w:tc>
        <w:tc>
          <w:tcPr>
            <w:tcW w:w="532" w:type="pct"/>
          </w:tcPr>
          <w:p w14:paraId="7CFA8641"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Energy developers and institutional investors</w:t>
            </w:r>
          </w:p>
        </w:tc>
        <w:tc>
          <w:tcPr>
            <w:tcW w:w="577" w:type="pct"/>
          </w:tcPr>
          <w:p w14:paraId="31FD7003" w14:textId="77777777" w:rsidR="00EC3985" w:rsidRPr="00791169" w:rsidRDefault="00EC3985" w:rsidP="003E223D">
            <w:pPr>
              <w:spacing w:after="0" w:line="240" w:lineRule="auto"/>
              <w:rPr>
                <w:rFonts w:ascii="Calibri" w:hAnsi="Calibri" w:cs="Calibri"/>
                <w:sz w:val="18"/>
                <w:szCs w:val="18"/>
                <w:highlight w:val="red"/>
              </w:rPr>
            </w:pPr>
            <w:r>
              <w:rPr>
                <w:rFonts w:ascii="Calibri" w:hAnsi="Calibri" w:cs="Calibri"/>
                <w:sz w:val="18"/>
                <w:szCs w:val="18"/>
              </w:rPr>
              <w:t>All renewables</w:t>
            </w:r>
            <w:r w:rsidRPr="00791169">
              <w:rPr>
                <w:rFonts w:ascii="Calibri" w:hAnsi="Calibri" w:cs="Calibri"/>
                <w:sz w:val="18"/>
                <w:szCs w:val="18"/>
              </w:rPr>
              <w:t xml:space="preserve"> / UK</w:t>
            </w:r>
          </w:p>
        </w:tc>
      </w:tr>
      <w:tr w:rsidR="00EC3985" w:rsidRPr="00791169" w14:paraId="7002188C" w14:textId="77777777" w:rsidTr="003E223D">
        <w:trPr>
          <w:trHeight w:val="19"/>
          <w:jc w:val="center"/>
        </w:trPr>
        <w:tc>
          <w:tcPr>
            <w:tcW w:w="952" w:type="pct"/>
            <w:shd w:val="clear" w:color="auto" w:fill="auto"/>
            <w:noWrap/>
          </w:tcPr>
          <w:p w14:paraId="53C08AB8" w14:textId="77777777" w:rsidR="00EC3985" w:rsidRPr="00791169" w:rsidRDefault="00EC3985" w:rsidP="003E223D">
            <w:pPr>
              <w:spacing w:after="0" w:line="240" w:lineRule="auto"/>
              <w:rPr>
                <w:rFonts w:ascii="Calibri" w:eastAsia="Times New Roman" w:hAnsi="Calibri" w:cs="Calibri"/>
                <w:sz w:val="18"/>
                <w:szCs w:val="18"/>
                <w:highlight w:val="red"/>
                <w:lang w:eastAsia="en-GB"/>
              </w:rPr>
            </w:pPr>
            <w:proofErr w:type="spellStart"/>
            <w:r w:rsidRPr="00791169">
              <w:rPr>
                <w:rFonts w:ascii="Calibri" w:eastAsia="Times New Roman" w:hAnsi="Calibri" w:cs="Calibri"/>
                <w:sz w:val="18"/>
                <w:szCs w:val="18"/>
                <w:lang w:eastAsia="en-GB"/>
              </w:rPr>
              <w:t>Boie</w:t>
            </w:r>
            <w:proofErr w:type="spellEnd"/>
            <w:r w:rsidRPr="00791169">
              <w:rPr>
                <w:rFonts w:ascii="Calibri" w:eastAsia="Times New Roman" w:hAnsi="Calibri" w:cs="Calibri"/>
                <w:sz w:val="18"/>
                <w:szCs w:val="18"/>
                <w:lang w:eastAsia="en-GB"/>
              </w:rPr>
              <w:t xml:space="preserve"> et al. (2014)</w:t>
            </w:r>
          </w:p>
        </w:tc>
        <w:tc>
          <w:tcPr>
            <w:tcW w:w="905" w:type="pct"/>
          </w:tcPr>
          <w:p w14:paraId="1C9693EE"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1;2;13</w:t>
            </w:r>
          </w:p>
        </w:tc>
        <w:tc>
          <w:tcPr>
            <w:tcW w:w="2034" w:type="pct"/>
          </w:tcPr>
          <w:p w14:paraId="57B5D831"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The study </w:t>
            </w:r>
            <w:r>
              <w:rPr>
                <w:rFonts w:ascii="Calibri" w:hAnsi="Calibri" w:cs="Calibri"/>
                <w:sz w:val="18"/>
                <w:szCs w:val="18"/>
              </w:rPr>
              <w:t>uses</w:t>
            </w:r>
            <w:r w:rsidRPr="00791169">
              <w:rPr>
                <w:rFonts w:ascii="Calibri" w:hAnsi="Calibri" w:cs="Calibri"/>
                <w:sz w:val="18"/>
                <w:szCs w:val="18"/>
              </w:rPr>
              <w:t xml:space="preserve"> data from a ‘weighting questionnaire with hierarchical structure’ (integrated in an online platform) and involving 140 submitted replies from RE project developers, generators and utilities, consultants in the energy sector, policy representatives and RE-research institutions. </w:t>
            </w:r>
          </w:p>
        </w:tc>
        <w:tc>
          <w:tcPr>
            <w:tcW w:w="532" w:type="pct"/>
          </w:tcPr>
          <w:p w14:paraId="7633BB9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Private investors</w:t>
            </w:r>
          </w:p>
        </w:tc>
        <w:tc>
          <w:tcPr>
            <w:tcW w:w="577" w:type="pct"/>
          </w:tcPr>
          <w:p w14:paraId="39B1AB36" w14:textId="77777777" w:rsidR="00EC3985" w:rsidRPr="00791169" w:rsidRDefault="00EC3985" w:rsidP="003E223D">
            <w:pPr>
              <w:spacing w:after="0" w:line="240" w:lineRule="auto"/>
              <w:rPr>
                <w:rFonts w:ascii="Calibri" w:hAnsi="Calibri" w:cs="Calibri"/>
                <w:sz w:val="18"/>
                <w:szCs w:val="18"/>
                <w:highlight w:val="red"/>
              </w:rPr>
            </w:pPr>
            <w:r>
              <w:rPr>
                <w:rFonts w:ascii="Calibri" w:hAnsi="Calibri" w:cs="Calibri"/>
                <w:sz w:val="18"/>
                <w:szCs w:val="18"/>
              </w:rPr>
              <w:t>All renewables</w:t>
            </w:r>
            <w:r w:rsidRPr="00791169">
              <w:rPr>
                <w:rFonts w:ascii="Calibri" w:hAnsi="Calibri" w:cs="Calibri"/>
                <w:sz w:val="18"/>
                <w:szCs w:val="18"/>
              </w:rPr>
              <w:t xml:space="preserve"> / US &amp; EU</w:t>
            </w:r>
          </w:p>
        </w:tc>
      </w:tr>
      <w:tr w:rsidR="00EC3985" w:rsidRPr="00791169" w14:paraId="60191B83"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1B749C36"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Byrnes et al. (2013)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63998614" w14:textId="77777777" w:rsidR="00EC3985" w:rsidRPr="003D172C" w:rsidRDefault="00EC3985" w:rsidP="003E223D">
            <w:pPr>
              <w:autoSpaceDE w:val="0"/>
              <w:autoSpaceDN w:val="0"/>
              <w:adjustRightInd w:val="0"/>
              <w:spacing w:after="0" w:line="240" w:lineRule="auto"/>
              <w:rPr>
                <w:rFonts w:ascii="Calibri" w:hAnsi="Calibri" w:cs="Calibri"/>
                <w:sz w:val="18"/>
                <w:szCs w:val="18"/>
              </w:rPr>
            </w:pPr>
            <w:r w:rsidRPr="003D172C">
              <w:rPr>
                <w:rFonts w:ascii="Calibri" w:eastAsia="Times New Roman" w:hAnsi="Calibri" w:cs="Calibri"/>
                <w:sz w:val="18"/>
                <w:szCs w:val="18"/>
                <w:lang w:eastAsia="en-GB"/>
              </w:rPr>
              <w:t>1;2;3 (lack of internalisation of carbon costs);7;12;15 (different priorities of different government levels</w:t>
            </w:r>
            <w:r w:rsidRPr="003D172C">
              <w:rPr>
                <w:rFonts w:ascii="Calibri" w:hAnsi="Calibri" w:cs="Calibri"/>
                <w:sz w:val="18"/>
                <w:szCs w:val="18"/>
              </w:rPr>
              <w:t>)</w:t>
            </w: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13B98B87" w14:textId="77777777" w:rsidR="00EC3985" w:rsidRPr="002B64EA" w:rsidRDefault="00EC3985" w:rsidP="003E223D">
            <w:pPr>
              <w:autoSpaceDE w:val="0"/>
              <w:autoSpaceDN w:val="0"/>
              <w:adjustRightInd w:val="0"/>
              <w:spacing w:after="0" w:line="240" w:lineRule="auto"/>
              <w:rPr>
                <w:rFonts w:ascii="Calibri" w:hAnsi="Calibri" w:cs="Calibri"/>
                <w:sz w:val="18"/>
                <w:szCs w:val="18"/>
              </w:rPr>
            </w:pPr>
            <w:r w:rsidRPr="002B64EA">
              <w:rPr>
                <w:rFonts w:ascii="Calibri" w:eastAsia="Times New Roman" w:hAnsi="Calibri" w:cs="Calibri"/>
                <w:sz w:val="18"/>
                <w:szCs w:val="18"/>
                <w:lang w:eastAsia="en-GB"/>
              </w:rPr>
              <w:t>Discussion and critical analysis of barriers (in particular related to the regulatory environment) faced by the energy industry based on Australia as a case study</w:t>
            </w:r>
            <w:r w:rsidRPr="002B64EA">
              <w:rPr>
                <w:rFonts w:ascii="Calibri" w:hAnsi="Calibri" w:cs="Calibri"/>
                <w:sz w:val="18"/>
                <w:szCs w:val="18"/>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02A80D9"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Energy developers or generators</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99DF7A0" w14:textId="77777777" w:rsidR="00EC3985" w:rsidRPr="002B64EA"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2B64EA">
              <w:rPr>
                <w:rFonts w:ascii="Calibri" w:eastAsia="Times New Roman" w:hAnsi="Calibri" w:cs="Calibri"/>
                <w:sz w:val="18"/>
                <w:szCs w:val="18"/>
                <w:lang w:eastAsia="en-GB"/>
              </w:rPr>
              <w:t xml:space="preserve"> / </w:t>
            </w:r>
          </w:p>
          <w:p w14:paraId="0C317318"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hAnsi="Calibri" w:cs="Calibri"/>
                <w:sz w:val="18"/>
                <w:szCs w:val="18"/>
              </w:rPr>
              <w:t>Australia</w:t>
            </w:r>
          </w:p>
        </w:tc>
      </w:tr>
      <w:tr w:rsidR="00EC3985" w:rsidRPr="00791169" w14:paraId="64B60CDC" w14:textId="77777777" w:rsidTr="003E223D">
        <w:trPr>
          <w:trHeight w:val="19"/>
          <w:jc w:val="center"/>
        </w:trPr>
        <w:tc>
          <w:tcPr>
            <w:tcW w:w="952" w:type="pct"/>
            <w:shd w:val="clear" w:color="auto" w:fill="auto"/>
            <w:noWrap/>
            <w:hideMark/>
          </w:tcPr>
          <w:p w14:paraId="3E41487B"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Bucher et al. (2016)</w:t>
            </w:r>
          </w:p>
        </w:tc>
        <w:tc>
          <w:tcPr>
            <w:tcW w:w="905" w:type="pct"/>
          </w:tcPr>
          <w:p w14:paraId="698672FE" w14:textId="77777777" w:rsidR="00EC3985" w:rsidRPr="006F1E33" w:rsidRDefault="00EC3985" w:rsidP="003E223D">
            <w:pPr>
              <w:spacing w:after="0" w:line="240" w:lineRule="auto"/>
              <w:rPr>
                <w:rFonts w:ascii="Calibri" w:hAnsi="Calibri" w:cs="Calibri"/>
                <w:sz w:val="18"/>
                <w:szCs w:val="18"/>
              </w:rPr>
            </w:pPr>
            <w:r w:rsidRPr="006F1E33">
              <w:rPr>
                <w:rFonts w:ascii="Calibri" w:hAnsi="Calibri" w:cs="Calibri"/>
                <w:sz w:val="18"/>
                <w:szCs w:val="18"/>
              </w:rPr>
              <w:t>7;12;15 (uncertainty of future revenues)</w:t>
            </w:r>
          </w:p>
        </w:tc>
        <w:tc>
          <w:tcPr>
            <w:tcW w:w="2034" w:type="pct"/>
          </w:tcPr>
          <w:p w14:paraId="65F67215"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The study applies s</w:t>
            </w:r>
            <w:r w:rsidRPr="00791169">
              <w:rPr>
                <w:rFonts w:ascii="Calibri" w:hAnsi="Calibri" w:cs="Calibri"/>
                <w:sz w:val="18"/>
                <w:szCs w:val="18"/>
              </w:rPr>
              <w:t xml:space="preserve">ystem dynamics modelling </w:t>
            </w:r>
            <w:r>
              <w:rPr>
                <w:rFonts w:ascii="Calibri" w:hAnsi="Calibri" w:cs="Calibri"/>
                <w:sz w:val="18"/>
                <w:szCs w:val="18"/>
              </w:rPr>
              <w:t xml:space="preserve">and the findings are based on: </w:t>
            </w:r>
          </w:p>
          <w:p w14:paraId="3A837A7A" w14:textId="77777777" w:rsidR="00EC3985" w:rsidRPr="00791169" w:rsidRDefault="00EC3985" w:rsidP="00EC3985">
            <w:pPr>
              <w:pStyle w:val="ListParagraph"/>
              <w:numPr>
                <w:ilvl w:val="0"/>
                <w:numId w:val="35"/>
              </w:numPr>
              <w:spacing w:after="0" w:line="240" w:lineRule="auto"/>
              <w:rPr>
                <w:rFonts w:ascii="Calibri" w:hAnsi="Calibri" w:cs="Calibri"/>
                <w:sz w:val="18"/>
                <w:szCs w:val="18"/>
              </w:rPr>
              <w:pPrChange w:id="4" w:author="Jones, Aled" w:date="2019-11-18T13:33:00Z">
                <w:pPr>
                  <w:pStyle w:val="ListParagraph"/>
                  <w:numPr>
                    <w:numId w:val="36"/>
                  </w:numPr>
                  <w:spacing w:after="0" w:line="240" w:lineRule="auto"/>
                  <w:ind w:left="360" w:hanging="360"/>
                </w:pPr>
              </w:pPrChange>
            </w:pPr>
            <w:r w:rsidRPr="00791169">
              <w:rPr>
                <w:rFonts w:ascii="Calibri" w:hAnsi="Calibri" w:cs="Calibri"/>
                <w:sz w:val="18"/>
                <w:szCs w:val="18"/>
              </w:rPr>
              <w:t>Insights gained in the literature</w:t>
            </w:r>
          </w:p>
          <w:p w14:paraId="60FE74E8" w14:textId="77777777" w:rsidR="00EC3985" w:rsidRPr="00791169" w:rsidRDefault="00EC3985" w:rsidP="00EC3985">
            <w:pPr>
              <w:pStyle w:val="ListParagraph"/>
              <w:numPr>
                <w:ilvl w:val="0"/>
                <w:numId w:val="35"/>
              </w:numPr>
              <w:spacing w:after="0" w:line="240" w:lineRule="auto"/>
              <w:rPr>
                <w:rFonts w:ascii="Calibri" w:hAnsi="Calibri" w:cs="Calibri"/>
                <w:sz w:val="18"/>
                <w:szCs w:val="18"/>
              </w:rPr>
              <w:pPrChange w:id="5" w:author="Jones, Aled" w:date="2019-11-18T13:33:00Z">
                <w:pPr>
                  <w:pStyle w:val="ListParagraph"/>
                  <w:numPr>
                    <w:numId w:val="36"/>
                  </w:numPr>
                  <w:spacing w:after="0" w:line="240" w:lineRule="auto"/>
                  <w:ind w:left="360" w:hanging="360"/>
                </w:pPr>
              </w:pPrChange>
            </w:pPr>
            <w:r w:rsidRPr="00791169">
              <w:rPr>
                <w:rFonts w:ascii="Calibri" w:hAnsi="Calibri" w:cs="Calibri"/>
                <w:sz w:val="18"/>
                <w:szCs w:val="18"/>
              </w:rPr>
              <w:t>Interviews with 44 managers, experts and specialists from 13 stakeholder groups</w:t>
            </w:r>
          </w:p>
        </w:tc>
        <w:tc>
          <w:tcPr>
            <w:tcW w:w="532" w:type="pct"/>
          </w:tcPr>
          <w:p w14:paraId="1CD7D947"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Institutional investors</w:t>
            </w:r>
          </w:p>
        </w:tc>
        <w:tc>
          <w:tcPr>
            <w:tcW w:w="577" w:type="pct"/>
          </w:tcPr>
          <w:p w14:paraId="1FB728F9"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Tidal energy / </w:t>
            </w:r>
            <w:r>
              <w:rPr>
                <w:rFonts w:ascii="Calibri" w:hAnsi="Calibri" w:cs="Calibri"/>
                <w:sz w:val="18"/>
                <w:szCs w:val="18"/>
              </w:rPr>
              <w:t>Global</w:t>
            </w:r>
          </w:p>
          <w:p w14:paraId="50ABAA6E" w14:textId="77777777" w:rsidR="00EC3985" w:rsidRPr="00791169" w:rsidRDefault="00EC3985" w:rsidP="003E223D">
            <w:pPr>
              <w:spacing w:after="0" w:line="240" w:lineRule="auto"/>
              <w:rPr>
                <w:rFonts w:ascii="Calibri" w:hAnsi="Calibri" w:cs="Calibri"/>
                <w:sz w:val="18"/>
                <w:szCs w:val="18"/>
              </w:rPr>
            </w:pPr>
          </w:p>
        </w:tc>
      </w:tr>
      <w:tr w:rsidR="00EC3985" w:rsidRPr="00791169" w14:paraId="7C9D54B6" w14:textId="77777777" w:rsidTr="003E223D">
        <w:trPr>
          <w:trHeight w:val="602"/>
          <w:jc w:val="center"/>
        </w:trPr>
        <w:tc>
          <w:tcPr>
            <w:tcW w:w="952" w:type="pct"/>
            <w:shd w:val="clear" w:color="auto" w:fill="auto"/>
            <w:noWrap/>
            <w:hideMark/>
          </w:tcPr>
          <w:p w14:paraId="37183807"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Chassot</w:t>
            </w:r>
            <w:proofErr w:type="spellEnd"/>
            <w:r w:rsidRPr="00791169">
              <w:rPr>
                <w:rFonts w:ascii="Calibri" w:eastAsia="Times New Roman" w:hAnsi="Calibri" w:cs="Calibri"/>
                <w:sz w:val="18"/>
                <w:szCs w:val="18"/>
                <w:lang w:eastAsia="en-GB"/>
              </w:rPr>
              <w:t xml:space="preserve"> et al. (2014)</w:t>
            </w:r>
          </w:p>
        </w:tc>
        <w:tc>
          <w:tcPr>
            <w:tcW w:w="905" w:type="pct"/>
          </w:tcPr>
          <w:p w14:paraId="372A31CB" w14:textId="77777777" w:rsidR="00EC3985" w:rsidRPr="003D172C" w:rsidRDefault="00EC3985" w:rsidP="003E223D">
            <w:pPr>
              <w:spacing w:after="0" w:line="240" w:lineRule="auto"/>
              <w:rPr>
                <w:rFonts w:ascii="Calibri" w:hAnsi="Calibri" w:cs="Calibri"/>
                <w:sz w:val="18"/>
                <w:szCs w:val="18"/>
              </w:rPr>
            </w:pPr>
            <w:r>
              <w:rPr>
                <w:rFonts w:ascii="Calibri" w:hAnsi="Calibri" w:cs="Calibri"/>
                <w:sz w:val="18"/>
                <w:szCs w:val="18"/>
              </w:rPr>
              <w:t>1;</w:t>
            </w:r>
            <w:r w:rsidRPr="003D172C">
              <w:rPr>
                <w:rFonts w:ascii="Calibri" w:hAnsi="Calibri" w:cs="Calibri"/>
                <w:sz w:val="18"/>
                <w:szCs w:val="18"/>
              </w:rPr>
              <w:t>2;15 (worldviews of investors)</w:t>
            </w:r>
          </w:p>
        </w:tc>
        <w:tc>
          <w:tcPr>
            <w:tcW w:w="2034" w:type="pct"/>
          </w:tcPr>
          <w:p w14:paraId="68C51CFF"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C</w:t>
            </w:r>
            <w:r w:rsidRPr="00791169">
              <w:rPr>
                <w:rFonts w:ascii="Calibri" w:hAnsi="Calibri" w:cs="Calibri"/>
                <w:sz w:val="18"/>
                <w:szCs w:val="18"/>
              </w:rPr>
              <w:t xml:space="preserve">hoice experiments with 29 venture capital investors </w:t>
            </w:r>
            <w:r>
              <w:rPr>
                <w:rFonts w:ascii="Calibri" w:hAnsi="Calibri" w:cs="Calibri"/>
                <w:sz w:val="18"/>
                <w:szCs w:val="18"/>
              </w:rPr>
              <w:t>from Europe and the United States, which conducted</w:t>
            </w:r>
            <w:r w:rsidRPr="00791169">
              <w:rPr>
                <w:rFonts w:ascii="Calibri" w:hAnsi="Calibri" w:cs="Calibri"/>
                <w:sz w:val="18"/>
                <w:szCs w:val="18"/>
              </w:rPr>
              <w:t xml:space="preserve"> 1064 investment decisions</w:t>
            </w:r>
            <w:r>
              <w:rPr>
                <w:rFonts w:ascii="Calibri" w:hAnsi="Calibri" w:cs="Calibri"/>
                <w:sz w:val="18"/>
                <w:szCs w:val="18"/>
              </w:rPr>
              <w:t xml:space="preserve">. </w:t>
            </w:r>
          </w:p>
        </w:tc>
        <w:tc>
          <w:tcPr>
            <w:tcW w:w="532" w:type="pct"/>
          </w:tcPr>
          <w:p w14:paraId="6CF6642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Venture capital investors </w:t>
            </w:r>
          </w:p>
        </w:tc>
        <w:tc>
          <w:tcPr>
            <w:tcW w:w="577" w:type="pct"/>
          </w:tcPr>
          <w:p w14:paraId="436E6173"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EU</w:t>
            </w:r>
            <w:r>
              <w:rPr>
                <w:rFonts w:ascii="Calibri" w:hAnsi="Calibri" w:cs="Calibri"/>
                <w:sz w:val="18"/>
                <w:szCs w:val="18"/>
              </w:rPr>
              <w:t xml:space="preserve"> </w:t>
            </w:r>
            <w:r w:rsidRPr="00791169">
              <w:rPr>
                <w:rFonts w:ascii="Calibri" w:hAnsi="Calibri" w:cs="Calibri"/>
                <w:sz w:val="18"/>
                <w:szCs w:val="18"/>
              </w:rPr>
              <w:t>&amp;</w:t>
            </w:r>
            <w:r>
              <w:rPr>
                <w:rFonts w:ascii="Calibri" w:hAnsi="Calibri" w:cs="Calibri"/>
                <w:sz w:val="18"/>
                <w:szCs w:val="18"/>
              </w:rPr>
              <w:t xml:space="preserve"> </w:t>
            </w:r>
            <w:r w:rsidRPr="00791169">
              <w:rPr>
                <w:rFonts w:ascii="Calibri" w:hAnsi="Calibri" w:cs="Calibri"/>
                <w:sz w:val="18"/>
                <w:szCs w:val="18"/>
              </w:rPr>
              <w:t>US</w:t>
            </w:r>
          </w:p>
        </w:tc>
      </w:tr>
      <w:tr w:rsidR="00EC3985" w:rsidRPr="00791169" w14:paraId="01ED2CBE" w14:textId="77777777" w:rsidTr="003E223D">
        <w:trPr>
          <w:trHeight w:val="19"/>
          <w:jc w:val="center"/>
        </w:trPr>
        <w:tc>
          <w:tcPr>
            <w:tcW w:w="952" w:type="pct"/>
            <w:shd w:val="clear" w:color="auto" w:fill="auto"/>
            <w:noWrap/>
          </w:tcPr>
          <w:p w14:paraId="3AC7C573"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Del Rio &amp; </w:t>
            </w:r>
            <w:proofErr w:type="spellStart"/>
            <w:r w:rsidRPr="00791169">
              <w:rPr>
                <w:rFonts w:ascii="Calibri" w:hAnsi="Calibri" w:cs="Calibri"/>
                <w:sz w:val="18"/>
                <w:szCs w:val="18"/>
              </w:rPr>
              <w:t>Tarancon</w:t>
            </w:r>
            <w:proofErr w:type="spellEnd"/>
            <w:r w:rsidRPr="00791169">
              <w:rPr>
                <w:rFonts w:ascii="Calibri" w:hAnsi="Calibri" w:cs="Calibri"/>
                <w:sz w:val="18"/>
                <w:szCs w:val="18"/>
              </w:rPr>
              <w:t xml:space="preserve"> (2012)</w:t>
            </w:r>
          </w:p>
        </w:tc>
        <w:tc>
          <w:tcPr>
            <w:tcW w:w="905" w:type="pct"/>
          </w:tcPr>
          <w:p w14:paraId="1CEEA605"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1;2</w:t>
            </w:r>
            <w:r>
              <w:rPr>
                <w:rFonts w:ascii="Calibri" w:hAnsi="Calibri" w:cs="Calibri"/>
                <w:sz w:val="18"/>
                <w:szCs w:val="18"/>
              </w:rPr>
              <w:t>;15</w:t>
            </w:r>
          </w:p>
        </w:tc>
        <w:tc>
          <w:tcPr>
            <w:tcW w:w="2034" w:type="pct"/>
          </w:tcPr>
          <w:p w14:paraId="0A63CE1C"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The findings in this study </w:t>
            </w:r>
            <w:proofErr w:type="gramStart"/>
            <w:r>
              <w:rPr>
                <w:rFonts w:ascii="Calibri" w:hAnsi="Calibri" w:cs="Calibri"/>
                <w:sz w:val="18"/>
                <w:szCs w:val="18"/>
              </w:rPr>
              <w:t>have been gained</w:t>
            </w:r>
            <w:proofErr w:type="gramEnd"/>
            <w:r>
              <w:rPr>
                <w:rFonts w:ascii="Calibri" w:hAnsi="Calibri" w:cs="Calibri"/>
                <w:sz w:val="18"/>
                <w:szCs w:val="18"/>
              </w:rPr>
              <w:t xml:space="preserve"> based on </w:t>
            </w:r>
            <w:r w:rsidRPr="00791169">
              <w:rPr>
                <w:rFonts w:ascii="Calibri" w:hAnsi="Calibri" w:cs="Calibri"/>
                <w:sz w:val="18"/>
                <w:szCs w:val="18"/>
              </w:rPr>
              <w:t xml:space="preserve">cross-section linear regressions with ordinary least squares. </w:t>
            </w:r>
            <w:proofErr w:type="gramStart"/>
            <w:r w:rsidRPr="00791169">
              <w:rPr>
                <w:rFonts w:ascii="Calibri" w:hAnsi="Calibri" w:cs="Calibri"/>
                <w:sz w:val="18"/>
                <w:szCs w:val="18"/>
              </w:rPr>
              <w:t xml:space="preserve">In the econometric model, capacity additions are explained </w:t>
            </w:r>
            <w:r>
              <w:rPr>
                <w:rFonts w:ascii="Calibri" w:hAnsi="Calibri" w:cs="Calibri"/>
                <w:sz w:val="18"/>
                <w:szCs w:val="18"/>
              </w:rPr>
              <w:t xml:space="preserve">according to several variables, including </w:t>
            </w:r>
            <w:r w:rsidRPr="00791169">
              <w:rPr>
                <w:rFonts w:ascii="Calibri" w:hAnsi="Calibri" w:cs="Calibri"/>
                <w:sz w:val="18"/>
                <w:szCs w:val="18"/>
              </w:rPr>
              <w:t xml:space="preserve">wind resource potentials, support levels, electricity generation costs, type of support scheme, administrative barriers, social support for wind electricity, the general investment climate in the country, electricity demand, the share </w:t>
            </w:r>
            <w:r w:rsidRPr="00791169">
              <w:rPr>
                <w:rFonts w:ascii="Calibri" w:hAnsi="Calibri" w:cs="Calibri"/>
                <w:sz w:val="18"/>
                <w:szCs w:val="18"/>
              </w:rPr>
              <w:lastRenderedPageBreak/>
              <w:t>of other low-carbon technologies, country area and whether there have been major or mino</w:t>
            </w:r>
            <w:r>
              <w:rPr>
                <w:rFonts w:ascii="Calibri" w:hAnsi="Calibri" w:cs="Calibri"/>
                <w:sz w:val="18"/>
                <w:szCs w:val="18"/>
              </w:rPr>
              <w:t>r changes in the support scheme</w:t>
            </w:r>
            <w:r w:rsidRPr="00791169">
              <w:rPr>
                <w:rFonts w:ascii="Calibri" w:hAnsi="Calibri" w:cs="Calibri"/>
                <w:sz w:val="18"/>
                <w:szCs w:val="18"/>
              </w:rPr>
              <w:t>.</w:t>
            </w:r>
            <w:proofErr w:type="gramEnd"/>
            <w:r w:rsidRPr="00791169">
              <w:rPr>
                <w:rFonts w:ascii="Calibri" w:hAnsi="Calibri" w:cs="Calibri"/>
                <w:sz w:val="18"/>
                <w:szCs w:val="18"/>
              </w:rPr>
              <w:t xml:space="preserve"> </w:t>
            </w:r>
          </w:p>
        </w:tc>
        <w:tc>
          <w:tcPr>
            <w:tcW w:w="532" w:type="pct"/>
          </w:tcPr>
          <w:p w14:paraId="31E6B5CE"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lastRenderedPageBreak/>
              <w:t>Not specified</w:t>
            </w:r>
          </w:p>
        </w:tc>
        <w:tc>
          <w:tcPr>
            <w:tcW w:w="577" w:type="pct"/>
          </w:tcPr>
          <w:p w14:paraId="7AD96B10"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Onshore wind / </w:t>
            </w:r>
            <w:r w:rsidRPr="00791169">
              <w:rPr>
                <w:rFonts w:ascii="Calibri" w:hAnsi="Calibri" w:cs="Calibri"/>
                <w:sz w:val="18"/>
                <w:szCs w:val="18"/>
              </w:rPr>
              <w:t>EU</w:t>
            </w:r>
          </w:p>
        </w:tc>
      </w:tr>
      <w:tr w:rsidR="00EC3985" w:rsidRPr="00791169" w14:paraId="3D98ADB1" w14:textId="77777777" w:rsidTr="003E223D">
        <w:trPr>
          <w:trHeight w:val="19"/>
          <w:jc w:val="center"/>
        </w:trPr>
        <w:tc>
          <w:tcPr>
            <w:tcW w:w="952" w:type="pct"/>
            <w:shd w:val="clear" w:color="auto" w:fill="auto"/>
            <w:noWrap/>
          </w:tcPr>
          <w:p w14:paraId="02DA261B" w14:textId="77777777" w:rsidR="00EC3985" w:rsidRPr="00791169" w:rsidRDefault="00EC3985" w:rsidP="003E223D">
            <w:pPr>
              <w:spacing w:after="0" w:line="240" w:lineRule="auto"/>
              <w:rPr>
                <w:rFonts w:ascii="Calibri" w:hAnsi="Calibri" w:cs="Calibri"/>
                <w:bCs/>
                <w:sz w:val="18"/>
                <w:szCs w:val="18"/>
              </w:rPr>
            </w:pPr>
            <w:r w:rsidRPr="00791169">
              <w:rPr>
                <w:rFonts w:ascii="Calibri" w:hAnsi="Calibri" w:cs="Calibri"/>
                <w:bCs/>
                <w:sz w:val="18"/>
                <w:szCs w:val="18"/>
              </w:rPr>
              <w:t>Del Rio (2011)</w:t>
            </w:r>
          </w:p>
        </w:tc>
        <w:tc>
          <w:tcPr>
            <w:tcW w:w="905" w:type="pct"/>
          </w:tcPr>
          <w:p w14:paraId="05F48C51"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1;4.1;15 (exhaustion of places with the best wind resources)</w:t>
            </w:r>
          </w:p>
        </w:tc>
        <w:tc>
          <w:tcPr>
            <w:tcW w:w="2034" w:type="pct"/>
          </w:tcPr>
          <w:p w14:paraId="11B7B3E0"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The study is based on the results of simulation models providing insights on </w:t>
            </w:r>
            <w:proofErr w:type="gramStart"/>
            <w:r w:rsidRPr="00791169">
              <w:rPr>
                <w:rFonts w:ascii="Calibri" w:hAnsi="Calibri" w:cs="Calibri"/>
                <w:sz w:val="18"/>
                <w:szCs w:val="18"/>
              </w:rPr>
              <w:t>future outlooks</w:t>
            </w:r>
            <w:proofErr w:type="gramEnd"/>
            <w:r w:rsidRPr="00791169">
              <w:rPr>
                <w:rFonts w:ascii="Calibri" w:hAnsi="Calibri" w:cs="Calibri"/>
                <w:sz w:val="18"/>
                <w:szCs w:val="18"/>
              </w:rPr>
              <w:t xml:space="preserve"> and complemented with an analysis of regulations and other drivers and barriers. </w:t>
            </w:r>
          </w:p>
        </w:tc>
        <w:tc>
          <w:tcPr>
            <w:tcW w:w="532" w:type="pct"/>
          </w:tcPr>
          <w:p w14:paraId="4F7C49EB"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Private investors</w:t>
            </w:r>
          </w:p>
        </w:tc>
        <w:tc>
          <w:tcPr>
            <w:tcW w:w="577" w:type="pct"/>
          </w:tcPr>
          <w:p w14:paraId="6E2C8935"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EU</w:t>
            </w:r>
          </w:p>
        </w:tc>
      </w:tr>
      <w:tr w:rsidR="00EC3985" w:rsidRPr="00791169" w14:paraId="095C074F" w14:textId="77777777" w:rsidTr="003E223D">
        <w:trPr>
          <w:trHeight w:val="19"/>
          <w:jc w:val="center"/>
        </w:trPr>
        <w:tc>
          <w:tcPr>
            <w:tcW w:w="952" w:type="pct"/>
            <w:shd w:val="clear" w:color="auto" w:fill="auto"/>
            <w:noWrap/>
          </w:tcPr>
          <w:p w14:paraId="254C2775" w14:textId="77777777" w:rsidR="00EC3985" w:rsidRPr="00791169" w:rsidRDefault="00EC3985" w:rsidP="003E223D">
            <w:pPr>
              <w:spacing w:after="0" w:line="240" w:lineRule="auto"/>
              <w:rPr>
                <w:rFonts w:ascii="Calibri" w:hAnsi="Calibri" w:cs="Calibri"/>
                <w:bCs/>
                <w:sz w:val="18"/>
                <w:szCs w:val="18"/>
              </w:rPr>
            </w:pPr>
            <w:r w:rsidRPr="00791169">
              <w:rPr>
                <w:rFonts w:ascii="Calibri" w:hAnsi="Calibri" w:cs="Calibri"/>
                <w:bCs/>
                <w:sz w:val="18"/>
                <w:szCs w:val="18"/>
              </w:rPr>
              <w:t>Del Rio et al. (2014)</w:t>
            </w:r>
          </w:p>
        </w:tc>
        <w:tc>
          <w:tcPr>
            <w:tcW w:w="905" w:type="pct"/>
          </w:tcPr>
          <w:p w14:paraId="75928A45"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1;2</w:t>
            </w:r>
            <w:r>
              <w:rPr>
                <w:rFonts w:ascii="Calibri" w:hAnsi="Calibri" w:cs="Calibri"/>
                <w:sz w:val="18"/>
                <w:szCs w:val="18"/>
              </w:rPr>
              <w:t>;15</w:t>
            </w:r>
          </w:p>
        </w:tc>
        <w:tc>
          <w:tcPr>
            <w:tcW w:w="2034" w:type="pct"/>
          </w:tcPr>
          <w:p w14:paraId="11CF5FF2" w14:textId="77777777" w:rsidR="00EC3985" w:rsidRPr="00791169" w:rsidRDefault="00EC3985" w:rsidP="003E223D">
            <w:pPr>
              <w:spacing w:after="0" w:line="240" w:lineRule="auto"/>
              <w:rPr>
                <w:rFonts w:ascii="Calibri" w:hAnsi="Calibri" w:cs="Calibri"/>
                <w:sz w:val="18"/>
                <w:szCs w:val="18"/>
              </w:rPr>
            </w:pPr>
            <w:proofErr w:type="gramStart"/>
            <w:r>
              <w:rPr>
                <w:rFonts w:ascii="Calibri" w:hAnsi="Calibri" w:cs="Calibri"/>
                <w:sz w:val="18"/>
                <w:szCs w:val="18"/>
              </w:rPr>
              <w:t>The results of this study are based on an e</w:t>
            </w:r>
            <w:r w:rsidRPr="00791169">
              <w:rPr>
                <w:rFonts w:ascii="Calibri" w:hAnsi="Calibri" w:cs="Calibri"/>
                <w:sz w:val="18"/>
                <w:szCs w:val="18"/>
              </w:rPr>
              <w:t xml:space="preserve">conometric model in which capacity additions are explained </w:t>
            </w:r>
            <w:r>
              <w:rPr>
                <w:rFonts w:ascii="Calibri" w:hAnsi="Calibri" w:cs="Calibri"/>
                <w:sz w:val="18"/>
                <w:szCs w:val="18"/>
              </w:rPr>
              <w:t xml:space="preserve">according to several variables, including the following: </w:t>
            </w:r>
            <w:r w:rsidRPr="00791169">
              <w:rPr>
                <w:rFonts w:ascii="Calibri" w:hAnsi="Calibri" w:cs="Calibri"/>
                <w:sz w:val="18"/>
                <w:szCs w:val="18"/>
              </w:rPr>
              <w:t>wind resource potentials, support levels, electricity generation costs, type of support scheme, administrative barriers, social support for wind electricity, the general investment climate in the country, electricity demand, the share of other low-carbon technologies, country area and whether there have been major or minor chan</w:t>
            </w:r>
            <w:r>
              <w:rPr>
                <w:rFonts w:ascii="Calibri" w:hAnsi="Calibri" w:cs="Calibri"/>
                <w:sz w:val="18"/>
                <w:szCs w:val="18"/>
              </w:rPr>
              <w:t>ges in the support scheme</w:t>
            </w:r>
            <w:r w:rsidRPr="00791169">
              <w:rPr>
                <w:rFonts w:ascii="Calibri" w:hAnsi="Calibri" w:cs="Calibri"/>
                <w:sz w:val="18"/>
                <w:szCs w:val="18"/>
              </w:rPr>
              <w:t>.</w:t>
            </w:r>
            <w:proofErr w:type="gramEnd"/>
            <w:r w:rsidRPr="00791169">
              <w:rPr>
                <w:rFonts w:ascii="Calibri" w:hAnsi="Calibri" w:cs="Calibri"/>
                <w:sz w:val="18"/>
                <w:szCs w:val="18"/>
              </w:rPr>
              <w:t xml:space="preserve"> </w:t>
            </w:r>
          </w:p>
        </w:tc>
        <w:tc>
          <w:tcPr>
            <w:tcW w:w="532" w:type="pct"/>
          </w:tcPr>
          <w:p w14:paraId="5BA08986"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Not specified</w:t>
            </w:r>
          </w:p>
        </w:tc>
        <w:tc>
          <w:tcPr>
            <w:tcW w:w="577" w:type="pct"/>
          </w:tcPr>
          <w:p w14:paraId="38C8C5E0"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Wind / EU</w:t>
            </w:r>
          </w:p>
        </w:tc>
      </w:tr>
      <w:tr w:rsidR="00EC3985" w:rsidRPr="00791169" w14:paraId="5B86A517" w14:textId="77777777" w:rsidTr="003E223D">
        <w:trPr>
          <w:trHeight w:val="19"/>
          <w:jc w:val="center"/>
        </w:trPr>
        <w:tc>
          <w:tcPr>
            <w:tcW w:w="952" w:type="pct"/>
            <w:shd w:val="clear" w:color="auto" w:fill="auto"/>
            <w:noWrap/>
          </w:tcPr>
          <w:p w14:paraId="2A910884" w14:textId="77777777" w:rsidR="00EC3985" w:rsidRPr="002B64EA" w:rsidRDefault="00EC3985" w:rsidP="003E223D">
            <w:pPr>
              <w:spacing w:after="0" w:line="240" w:lineRule="auto"/>
              <w:rPr>
                <w:rFonts w:ascii="Calibri" w:eastAsia="Times New Roman" w:hAnsi="Calibri" w:cs="Calibri"/>
                <w:sz w:val="18"/>
                <w:szCs w:val="18"/>
                <w:lang w:eastAsia="en-GB"/>
              </w:rPr>
            </w:pPr>
            <w:proofErr w:type="spellStart"/>
            <w:r w:rsidRPr="002B64EA">
              <w:rPr>
                <w:rFonts w:ascii="Calibri" w:eastAsia="Times New Roman" w:hAnsi="Calibri" w:cs="Calibri"/>
                <w:sz w:val="18"/>
                <w:szCs w:val="18"/>
                <w:lang w:eastAsia="en-GB"/>
              </w:rPr>
              <w:t>Gatzert</w:t>
            </w:r>
            <w:proofErr w:type="spellEnd"/>
            <w:r w:rsidRPr="002B64EA">
              <w:rPr>
                <w:rFonts w:ascii="Calibri" w:eastAsia="Times New Roman" w:hAnsi="Calibri" w:cs="Calibri"/>
                <w:sz w:val="18"/>
                <w:szCs w:val="18"/>
                <w:lang w:eastAsia="en-GB"/>
              </w:rPr>
              <w:t xml:space="preserve"> &amp; </w:t>
            </w:r>
            <w:proofErr w:type="spellStart"/>
            <w:r w:rsidRPr="002B64EA">
              <w:rPr>
                <w:rFonts w:ascii="Calibri" w:eastAsia="Times New Roman" w:hAnsi="Calibri" w:cs="Calibri"/>
                <w:sz w:val="18"/>
                <w:szCs w:val="18"/>
                <w:lang w:eastAsia="en-GB"/>
              </w:rPr>
              <w:t>Kosub</w:t>
            </w:r>
            <w:proofErr w:type="spellEnd"/>
            <w:r w:rsidRPr="002B64EA">
              <w:rPr>
                <w:rFonts w:ascii="Calibri" w:eastAsia="Times New Roman" w:hAnsi="Calibri" w:cs="Calibri"/>
                <w:sz w:val="18"/>
                <w:szCs w:val="18"/>
                <w:lang w:eastAsia="en-GB"/>
              </w:rPr>
              <w:t xml:space="preserve"> (2016)</w:t>
            </w:r>
          </w:p>
        </w:tc>
        <w:tc>
          <w:tcPr>
            <w:tcW w:w="905" w:type="pct"/>
          </w:tcPr>
          <w:p w14:paraId="190066E1"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bCs/>
                <w:sz w:val="18"/>
                <w:szCs w:val="18"/>
              </w:rPr>
              <w:t>2</w:t>
            </w:r>
            <w:r w:rsidRPr="003D172C">
              <w:rPr>
                <w:rFonts w:ascii="Calibri" w:hAnsi="Calibri" w:cs="Calibri"/>
                <w:sz w:val="18"/>
                <w:szCs w:val="18"/>
              </w:rPr>
              <w:t>;7;15 (weather-related uncertainty; financing risk)</w:t>
            </w:r>
          </w:p>
        </w:tc>
        <w:tc>
          <w:tcPr>
            <w:tcW w:w="2034" w:type="pct"/>
          </w:tcPr>
          <w:p w14:paraId="3F777EAF" w14:textId="77777777" w:rsidR="00EC3985" w:rsidRPr="00315CFA" w:rsidRDefault="00EC3985" w:rsidP="003E223D">
            <w:pPr>
              <w:spacing w:after="0" w:line="240" w:lineRule="auto"/>
              <w:rPr>
                <w:rFonts w:ascii="Calibri" w:hAnsi="Calibri" w:cs="Calibri"/>
                <w:sz w:val="18"/>
                <w:szCs w:val="18"/>
              </w:rPr>
            </w:pPr>
            <w:r>
              <w:rPr>
                <w:rFonts w:ascii="Calibri" w:hAnsi="Calibri" w:cs="Calibri"/>
                <w:sz w:val="18"/>
                <w:szCs w:val="18"/>
              </w:rPr>
              <w:t xml:space="preserve">The findings of this study have been obtained based on: </w:t>
            </w:r>
          </w:p>
          <w:p w14:paraId="6643DB36" w14:textId="77777777" w:rsidR="00EC3985" w:rsidRPr="002B64EA" w:rsidRDefault="00EC3985" w:rsidP="00EC3985">
            <w:pPr>
              <w:pStyle w:val="ListParagraph"/>
              <w:numPr>
                <w:ilvl w:val="0"/>
                <w:numId w:val="36"/>
              </w:numPr>
              <w:spacing w:after="0" w:line="240" w:lineRule="auto"/>
              <w:rPr>
                <w:rFonts w:ascii="Calibri" w:hAnsi="Calibri" w:cs="Calibri"/>
                <w:sz w:val="18"/>
                <w:szCs w:val="18"/>
              </w:rPr>
              <w:pPrChange w:id="6" w:author="Jones, Aled" w:date="2019-11-18T13:33:00Z">
                <w:pPr>
                  <w:pStyle w:val="ListParagraph"/>
                  <w:numPr>
                    <w:numId w:val="37"/>
                  </w:numPr>
                  <w:spacing w:after="0" w:line="240" w:lineRule="auto"/>
                  <w:ind w:left="360" w:hanging="360"/>
                </w:pPr>
              </w:pPrChange>
            </w:pPr>
            <w:r>
              <w:rPr>
                <w:rFonts w:ascii="Calibri" w:hAnsi="Calibri" w:cs="Calibri"/>
                <w:sz w:val="18"/>
                <w:szCs w:val="18"/>
              </w:rPr>
              <w:t>A r</w:t>
            </w:r>
            <w:r w:rsidRPr="002B64EA">
              <w:rPr>
                <w:rFonts w:ascii="Calibri" w:hAnsi="Calibri" w:cs="Calibri"/>
                <w:sz w:val="18"/>
                <w:szCs w:val="18"/>
              </w:rPr>
              <w:t>eview of the present a</w:t>
            </w:r>
            <w:r>
              <w:rPr>
                <w:rFonts w:ascii="Calibri" w:hAnsi="Calibri" w:cs="Calibri"/>
                <w:sz w:val="18"/>
                <w:szCs w:val="18"/>
              </w:rPr>
              <w:t>cademic and industry literature</w:t>
            </w:r>
          </w:p>
          <w:p w14:paraId="543D8613" w14:textId="77777777" w:rsidR="00EC3985" w:rsidRPr="002B64EA" w:rsidRDefault="00EC3985" w:rsidP="00EC3985">
            <w:pPr>
              <w:pStyle w:val="ListParagraph"/>
              <w:numPr>
                <w:ilvl w:val="0"/>
                <w:numId w:val="36"/>
              </w:numPr>
              <w:spacing w:after="0" w:line="240" w:lineRule="auto"/>
              <w:rPr>
                <w:rFonts w:ascii="Calibri" w:hAnsi="Calibri" w:cs="Calibri"/>
                <w:sz w:val="18"/>
                <w:szCs w:val="18"/>
              </w:rPr>
              <w:pPrChange w:id="7" w:author="Jones, Aled" w:date="2019-11-18T13:33:00Z">
                <w:pPr>
                  <w:pStyle w:val="ListParagraph"/>
                  <w:numPr>
                    <w:numId w:val="37"/>
                  </w:numPr>
                  <w:spacing w:after="0" w:line="240" w:lineRule="auto"/>
                  <w:ind w:left="360" w:hanging="360"/>
                </w:pPr>
              </w:pPrChange>
            </w:pPr>
            <w:r>
              <w:rPr>
                <w:rFonts w:ascii="Calibri" w:hAnsi="Calibri" w:cs="Calibri"/>
                <w:sz w:val="18"/>
                <w:szCs w:val="18"/>
              </w:rPr>
              <w:t>A r</w:t>
            </w:r>
            <w:r w:rsidRPr="002B64EA">
              <w:rPr>
                <w:rFonts w:ascii="Calibri" w:hAnsi="Calibri" w:cs="Calibri"/>
                <w:sz w:val="18"/>
                <w:szCs w:val="18"/>
              </w:rPr>
              <w:t>eview of 6 surveys (published via other institutions) with wind industry participants</w:t>
            </w:r>
          </w:p>
        </w:tc>
        <w:tc>
          <w:tcPr>
            <w:tcW w:w="532" w:type="pct"/>
          </w:tcPr>
          <w:p w14:paraId="574D707A"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 xml:space="preserve">Developers and industry representatives </w:t>
            </w:r>
          </w:p>
        </w:tc>
        <w:tc>
          <w:tcPr>
            <w:tcW w:w="577" w:type="pct"/>
          </w:tcPr>
          <w:p w14:paraId="50E0CF89"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Wind / EU</w:t>
            </w:r>
          </w:p>
        </w:tc>
      </w:tr>
      <w:tr w:rsidR="00EC3985" w:rsidRPr="00791169" w14:paraId="2BA93D71" w14:textId="77777777" w:rsidTr="003E223D">
        <w:trPr>
          <w:trHeight w:val="19"/>
          <w:jc w:val="center"/>
        </w:trPr>
        <w:tc>
          <w:tcPr>
            <w:tcW w:w="952" w:type="pct"/>
            <w:shd w:val="clear" w:color="auto" w:fill="auto"/>
            <w:noWrap/>
            <w:hideMark/>
          </w:tcPr>
          <w:p w14:paraId="577859E4"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Geddes et al. (2018)</w:t>
            </w:r>
          </w:p>
        </w:tc>
        <w:tc>
          <w:tcPr>
            <w:tcW w:w="905" w:type="pct"/>
          </w:tcPr>
          <w:p w14:paraId="3F1D674E"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2;4.1;6;7;12;15 (construction risks; non-standard engineering, procurement and construction (EPC) contracting structures)</w:t>
            </w:r>
          </w:p>
        </w:tc>
        <w:tc>
          <w:tcPr>
            <w:tcW w:w="2034" w:type="pct"/>
          </w:tcPr>
          <w:p w14:paraId="6610EF41" w14:textId="77777777" w:rsidR="00EC3985" w:rsidRPr="002F1B52" w:rsidRDefault="00EC3985" w:rsidP="003E223D">
            <w:pPr>
              <w:spacing w:after="0" w:line="240" w:lineRule="auto"/>
              <w:rPr>
                <w:rFonts w:ascii="Calibri" w:hAnsi="Calibri" w:cs="Calibri"/>
                <w:sz w:val="18"/>
                <w:szCs w:val="18"/>
              </w:rPr>
            </w:pPr>
            <w:r>
              <w:rPr>
                <w:rFonts w:ascii="Calibri" w:hAnsi="Calibri" w:cs="Calibri"/>
                <w:sz w:val="18"/>
                <w:szCs w:val="18"/>
              </w:rPr>
              <w:t xml:space="preserve">This study is based on: </w:t>
            </w:r>
          </w:p>
          <w:p w14:paraId="32B77B3D" w14:textId="77777777" w:rsidR="00EC3985" w:rsidRPr="00791169" w:rsidRDefault="00EC3985" w:rsidP="00EC3985">
            <w:pPr>
              <w:pStyle w:val="ListParagraph"/>
              <w:numPr>
                <w:ilvl w:val="0"/>
                <w:numId w:val="40"/>
              </w:numPr>
              <w:spacing w:after="0" w:line="240" w:lineRule="auto"/>
              <w:rPr>
                <w:rFonts w:ascii="Calibri" w:hAnsi="Calibri" w:cs="Calibri"/>
                <w:sz w:val="18"/>
                <w:szCs w:val="18"/>
              </w:rPr>
              <w:pPrChange w:id="8" w:author="Jones, Aled" w:date="2019-11-18T13:33:00Z">
                <w:pPr>
                  <w:pStyle w:val="ListParagraph"/>
                  <w:numPr>
                    <w:numId w:val="41"/>
                  </w:numPr>
                  <w:spacing w:after="0" w:line="240" w:lineRule="auto"/>
                  <w:ind w:left="360" w:hanging="360"/>
                </w:pPr>
              </w:pPrChange>
            </w:pPr>
            <w:r>
              <w:rPr>
                <w:rFonts w:ascii="Calibri" w:hAnsi="Calibri" w:cs="Calibri"/>
                <w:sz w:val="18"/>
                <w:szCs w:val="18"/>
              </w:rPr>
              <w:t>An e</w:t>
            </w:r>
            <w:r w:rsidRPr="00791169">
              <w:rPr>
                <w:rFonts w:ascii="Calibri" w:hAnsi="Calibri" w:cs="Calibri"/>
                <w:sz w:val="18"/>
                <w:szCs w:val="18"/>
              </w:rPr>
              <w:t xml:space="preserve">valuation of 52 in-depth semi-structured interviews with 56 interviewees (incl. ow-carbon energy project developers, equity and debt providers, bankers (SIBs and commercial banks) and industry experts) </w:t>
            </w:r>
          </w:p>
          <w:p w14:paraId="43FF98D8" w14:textId="77777777" w:rsidR="00EC3985" w:rsidRPr="00791169" w:rsidRDefault="00EC3985" w:rsidP="00EC3985">
            <w:pPr>
              <w:pStyle w:val="ListParagraph"/>
              <w:numPr>
                <w:ilvl w:val="0"/>
                <w:numId w:val="40"/>
              </w:numPr>
              <w:spacing w:after="0" w:line="240" w:lineRule="auto"/>
              <w:rPr>
                <w:rFonts w:ascii="Calibri" w:hAnsi="Calibri" w:cs="Calibri"/>
                <w:sz w:val="18"/>
                <w:szCs w:val="18"/>
              </w:rPr>
              <w:pPrChange w:id="9" w:author="Jones, Aled" w:date="2019-11-18T13:33:00Z">
                <w:pPr>
                  <w:pStyle w:val="ListParagraph"/>
                  <w:numPr>
                    <w:numId w:val="41"/>
                  </w:numPr>
                  <w:spacing w:after="0" w:line="240" w:lineRule="auto"/>
                  <w:ind w:left="360" w:hanging="360"/>
                </w:pPr>
              </w:pPrChange>
            </w:pPr>
            <w:r w:rsidRPr="00791169">
              <w:rPr>
                <w:rFonts w:ascii="Calibri" w:hAnsi="Calibri" w:cs="Calibri"/>
                <w:sz w:val="18"/>
                <w:szCs w:val="18"/>
              </w:rPr>
              <w:t>Key themes within the data set were identified via a qualitative content analysis</w:t>
            </w:r>
          </w:p>
        </w:tc>
        <w:tc>
          <w:tcPr>
            <w:tcW w:w="532" w:type="pct"/>
          </w:tcPr>
          <w:p w14:paraId="3F976D76"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Project developers, e</w:t>
            </w:r>
            <w:r>
              <w:rPr>
                <w:rFonts w:ascii="Calibri" w:hAnsi="Calibri" w:cs="Calibri"/>
                <w:sz w:val="18"/>
                <w:szCs w:val="18"/>
              </w:rPr>
              <w:t>quity and debt providers and banks</w:t>
            </w:r>
          </w:p>
        </w:tc>
        <w:tc>
          <w:tcPr>
            <w:tcW w:w="577" w:type="pct"/>
          </w:tcPr>
          <w:p w14:paraId="2F4F1D49"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w:t>
            </w:r>
          </w:p>
          <w:p w14:paraId="0923560F"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Australia, Germany &amp; </w:t>
            </w:r>
            <w:r w:rsidRPr="00791169">
              <w:rPr>
                <w:rFonts w:ascii="Calibri" w:hAnsi="Calibri" w:cs="Calibri"/>
                <w:sz w:val="18"/>
                <w:szCs w:val="18"/>
              </w:rPr>
              <w:t>UK</w:t>
            </w:r>
          </w:p>
        </w:tc>
      </w:tr>
      <w:tr w:rsidR="00EC3985" w:rsidRPr="00791169" w14:paraId="6433D5A8" w14:textId="77777777" w:rsidTr="003E223D">
        <w:trPr>
          <w:trHeight w:val="19"/>
          <w:jc w:val="center"/>
        </w:trPr>
        <w:tc>
          <w:tcPr>
            <w:tcW w:w="952" w:type="pct"/>
            <w:shd w:val="clear" w:color="auto" w:fill="auto"/>
            <w:noWrap/>
          </w:tcPr>
          <w:p w14:paraId="16A6D02D"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Gonz</w:t>
            </w:r>
            <w:r w:rsidRPr="002B64EA">
              <w:rPr>
                <w:rFonts w:ascii="Calibri" w:hAnsi="Calibri" w:cs="Calibri"/>
                <w:color w:val="222222"/>
                <w:sz w:val="21"/>
                <w:szCs w:val="21"/>
              </w:rPr>
              <w:t>á</w:t>
            </w:r>
            <w:r w:rsidRPr="002B64EA">
              <w:rPr>
                <w:rFonts w:ascii="Calibri" w:eastAsia="Times New Roman" w:hAnsi="Calibri" w:cs="Calibri"/>
                <w:sz w:val="18"/>
                <w:szCs w:val="18"/>
                <w:lang w:eastAsia="en-GB"/>
              </w:rPr>
              <w:t xml:space="preserve">lez &amp; </w:t>
            </w:r>
            <w:proofErr w:type="spellStart"/>
            <w:r w:rsidRPr="002B64EA">
              <w:rPr>
                <w:rFonts w:ascii="Calibri" w:eastAsia="Times New Roman" w:hAnsi="Calibri" w:cs="Calibri"/>
                <w:sz w:val="18"/>
                <w:szCs w:val="18"/>
                <w:lang w:eastAsia="en-GB"/>
              </w:rPr>
              <w:t>Lacal-Arantegui</w:t>
            </w:r>
            <w:proofErr w:type="spellEnd"/>
            <w:r w:rsidRPr="002B64EA">
              <w:rPr>
                <w:rFonts w:ascii="Calibri" w:eastAsia="Times New Roman" w:hAnsi="Calibri" w:cs="Calibri"/>
                <w:sz w:val="18"/>
                <w:szCs w:val="18"/>
                <w:lang w:eastAsia="en-GB"/>
              </w:rPr>
              <w:t xml:space="preserve"> (2016)</w:t>
            </w:r>
          </w:p>
        </w:tc>
        <w:tc>
          <w:tcPr>
            <w:tcW w:w="905" w:type="pct"/>
          </w:tcPr>
          <w:p w14:paraId="188D03B3" w14:textId="77777777" w:rsidR="00EC3985" w:rsidRPr="003D172C" w:rsidRDefault="00EC3985" w:rsidP="003E223D">
            <w:pPr>
              <w:spacing w:after="0" w:line="240" w:lineRule="auto"/>
              <w:rPr>
                <w:rFonts w:ascii="Calibri" w:eastAsia="Times New Roman" w:hAnsi="Calibri" w:cs="Calibri"/>
                <w:sz w:val="18"/>
                <w:szCs w:val="18"/>
                <w:lang w:eastAsia="en-GB"/>
              </w:rPr>
            </w:pPr>
            <w:r w:rsidRPr="003D172C">
              <w:rPr>
                <w:rFonts w:ascii="Calibri" w:eastAsia="Times New Roman" w:hAnsi="Calibri" w:cs="Calibri"/>
                <w:sz w:val="18"/>
                <w:szCs w:val="18"/>
                <w:lang w:eastAsia="en-GB"/>
              </w:rPr>
              <w:t>1;2;3;4;7;8;9;12;15 ( government budget allocation process; difficulties to accessing finance possibilities)</w:t>
            </w:r>
          </w:p>
        </w:tc>
        <w:tc>
          <w:tcPr>
            <w:tcW w:w="2034" w:type="pct"/>
          </w:tcPr>
          <w:p w14:paraId="74D3AA17" w14:textId="77777777" w:rsidR="00EC3985" w:rsidRPr="002B64EA"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This study undertakes a</w:t>
            </w:r>
            <w:r w:rsidRPr="002B64EA">
              <w:rPr>
                <w:rFonts w:ascii="Calibri" w:eastAsia="Times New Roman" w:hAnsi="Calibri" w:cs="Calibri"/>
                <w:sz w:val="18"/>
                <w:szCs w:val="18"/>
                <w:lang w:eastAsia="en-GB"/>
              </w:rPr>
              <w:t xml:space="preserve"> critical analysis of the barriers faced by the industry based on a </w:t>
            </w:r>
            <w:r w:rsidRPr="002B64EA">
              <w:rPr>
                <w:rFonts w:ascii="Calibri" w:hAnsi="Calibri" w:cs="Calibri"/>
                <w:sz w:val="18"/>
                <w:szCs w:val="18"/>
              </w:rPr>
              <w:t>review of regulatory framework for wind energy in</w:t>
            </w:r>
            <w:r>
              <w:rPr>
                <w:rFonts w:ascii="Calibri" w:hAnsi="Calibri" w:cs="Calibri"/>
                <w:sz w:val="18"/>
                <w:szCs w:val="18"/>
              </w:rPr>
              <w:t xml:space="preserve"> the</w:t>
            </w:r>
            <w:r w:rsidRPr="002B64EA">
              <w:rPr>
                <w:rFonts w:ascii="Calibri" w:hAnsi="Calibri" w:cs="Calibri"/>
                <w:sz w:val="18"/>
                <w:szCs w:val="18"/>
              </w:rPr>
              <w:t xml:space="preserve"> European Union. </w:t>
            </w:r>
          </w:p>
        </w:tc>
        <w:tc>
          <w:tcPr>
            <w:tcW w:w="532" w:type="pct"/>
          </w:tcPr>
          <w:p w14:paraId="773119CE"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Focus on energy developer and generators</w:t>
            </w:r>
          </w:p>
          <w:p w14:paraId="31B7F1F1"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 xml:space="preserve"> </w:t>
            </w:r>
          </w:p>
        </w:tc>
        <w:tc>
          <w:tcPr>
            <w:tcW w:w="577" w:type="pct"/>
          </w:tcPr>
          <w:p w14:paraId="78C978FF"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Wind energy / EU</w:t>
            </w:r>
          </w:p>
        </w:tc>
      </w:tr>
      <w:tr w:rsidR="00EC3985" w:rsidRPr="00791169" w14:paraId="60AA2274" w14:textId="77777777" w:rsidTr="003E223D">
        <w:trPr>
          <w:trHeight w:val="19"/>
          <w:jc w:val="center"/>
        </w:trPr>
        <w:tc>
          <w:tcPr>
            <w:tcW w:w="952" w:type="pct"/>
            <w:shd w:val="clear" w:color="auto" w:fill="auto"/>
            <w:noWrap/>
          </w:tcPr>
          <w:p w14:paraId="33987429"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Groot et al. (2013)</w:t>
            </w:r>
          </w:p>
        </w:tc>
        <w:tc>
          <w:tcPr>
            <w:tcW w:w="905" w:type="pct"/>
          </w:tcPr>
          <w:p w14:paraId="7AAD1279" w14:textId="77777777" w:rsidR="00EC3985" w:rsidRPr="003D172C" w:rsidRDefault="00EC3985" w:rsidP="003E223D">
            <w:pPr>
              <w:spacing w:after="0" w:line="240" w:lineRule="auto"/>
              <w:rPr>
                <w:rFonts w:ascii="Calibri" w:eastAsia="Times New Roman" w:hAnsi="Calibri" w:cs="Calibri"/>
                <w:sz w:val="18"/>
                <w:szCs w:val="18"/>
                <w:lang w:eastAsia="en-GB"/>
              </w:rPr>
            </w:pPr>
            <w:r w:rsidRPr="003D172C">
              <w:rPr>
                <w:rFonts w:ascii="Calibri" w:eastAsia="Times New Roman" w:hAnsi="Calibri" w:cs="Calibri"/>
                <w:sz w:val="18"/>
                <w:szCs w:val="18"/>
                <w:lang w:eastAsia="en-GB"/>
              </w:rPr>
              <w:t>2;4.1;5;7;15 (long construction times; strategic goals; need for healthy cash position; herd behaviour; permit approval risk)</w:t>
            </w:r>
          </w:p>
        </w:tc>
        <w:tc>
          <w:tcPr>
            <w:tcW w:w="2034" w:type="pct"/>
          </w:tcPr>
          <w:p w14:paraId="5CAA9408"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 xml:space="preserve">Empirical investigation of power plant investment decision-making processes based on nine semi-structured interviews with </w:t>
            </w:r>
            <w:proofErr w:type="gramStart"/>
            <w:r w:rsidRPr="002B64EA">
              <w:rPr>
                <w:rFonts w:ascii="Calibri" w:eastAsia="Times New Roman" w:hAnsi="Calibri" w:cs="Calibri"/>
                <w:sz w:val="18"/>
                <w:szCs w:val="18"/>
                <w:lang w:eastAsia="en-GB"/>
              </w:rPr>
              <w:t>power company investment analysts</w:t>
            </w:r>
            <w:proofErr w:type="gramEnd"/>
            <w:r w:rsidRPr="002B64EA">
              <w:rPr>
                <w:rFonts w:ascii="Calibri" w:eastAsia="Times New Roman" w:hAnsi="Calibri" w:cs="Calibri"/>
                <w:sz w:val="18"/>
                <w:szCs w:val="18"/>
                <w:lang w:eastAsia="en-GB"/>
              </w:rPr>
              <w:t xml:space="preserve"> and decision makers.</w:t>
            </w:r>
          </w:p>
        </w:tc>
        <w:tc>
          <w:tcPr>
            <w:tcW w:w="532" w:type="pct"/>
          </w:tcPr>
          <w:p w14:paraId="16FDDC49"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Power plants</w:t>
            </w:r>
          </w:p>
          <w:p w14:paraId="23F8AD25" w14:textId="77777777" w:rsidR="00EC3985" w:rsidRPr="002B64EA" w:rsidRDefault="00EC3985" w:rsidP="003E223D">
            <w:pPr>
              <w:spacing w:after="0" w:line="240" w:lineRule="auto"/>
              <w:rPr>
                <w:rFonts w:ascii="Calibri" w:eastAsia="Times New Roman" w:hAnsi="Calibri" w:cs="Calibri"/>
                <w:sz w:val="18"/>
                <w:szCs w:val="18"/>
                <w:lang w:eastAsia="en-GB"/>
              </w:rPr>
            </w:pPr>
          </w:p>
        </w:tc>
        <w:tc>
          <w:tcPr>
            <w:tcW w:w="577" w:type="pct"/>
          </w:tcPr>
          <w:p w14:paraId="16172901" w14:textId="77777777" w:rsidR="00EC3985" w:rsidRPr="002B64EA"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p>
          <w:p w14:paraId="118CC68F" w14:textId="77777777" w:rsidR="00EC3985" w:rsidRPr="002B64EA" w:rsidRDefault="00EC3985" w:rsidP="003E223D">
            <w:pPr>
              <w:spacing w:after="0" w:line="240" w:lineRule="auto"/>
              <w:rPr>
                <w:rFonts w:ascii="Calibri" w:eastAsia="Times New Roman" w:hAnsi="Calibri" w:cs="Calibri"/>
                <w:sz w:val="18"/>
                <w:szCs w:val="18"/>
                <w:lang w:eastAsia="en-GB"/>
              </w:rPr>
            </w:pPr>
            <w:r w:rsidRPr="002B64EA">
              <w:rPr>
                <w:rFonts w:ascii="Calibri" w:eastAsia="Times New Roman" w:hAnsi="Calibri" w:cs="Calibri"/>
                <w:sz w:val="18"/>
                <w:szCs w:val="18"/>
                <w:lang w:eastAsia="en-GB"/>
              </w:rPr>
              <w:t>/</w:t>
            </w:r>
            <w:r>
              <w:rPr>
                <w:rFonts w:ascii="Calibri" w:eastAsia="Times New Roman" w:hAnsi="Calibri" w:cs="Calibri"/>
                <w:sz w:val="18"/>
                <w:szCs w:val="18"/>
                <w:lang w:eastAsia="en-GB"/>
              </w:rPr>
              <w:t xml:space="preserve"> </w:t>
            </w:r>
            <w:r w:rsidRPr="002B64EA">
              <w:rPr>
                <w:rFonts w:ascii="Calibri" w:eastAsia="Times New Roman" w:hAnsi="Calibri" w:cs="Calibri"/>
                <w:sz w:val="18"/>
                <w:szCs w:val="18"/>
                <w:lang w:eastAsia="en-GB"/>
              </w:rPr>
              <w:t>Holland</w:t>
            </w:r>
          </w:p>
        </w:tc>
      </w:tr>
      <w:tr w:rsidR="00EC3985" w:rsidRPr="00791169" w14:paraId="6E547E2F" w14:textId="77777777" w:rsidTr="003E223D">
        <w:trPr>
          <w:trHeight w:val="19"/>
          <w:jc w:val="center"/>
        </w:trPr>
        <w:tc>
          <w:tcPr>
            <w:tcW w:w="952" w:type="pct"/>
            <w:shd w:val="clear" w:color="auto" w:fill="auto"/>
            <w:noWrap/>
          </w:tcPr>
          <w:p w14:paraId="79F8B96B"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Hall et al. (2017)</w:t>
            </w:r>
          </w:p>
        </w:tc>
        <w:tc>
          <w:tcPr>
            <w:tcW w:w="905" w:type="pct"/>
          </w:tcPr>
          <w:p w14:paraId="55EE32AF" w14:textId="77777777" w:rsidR="00EC3985" w:rsidRPr="003D172C" w:rsidRDefault="00EC3985" w:rsidP="003E223D">
            <w:pPr>
              <w:spacing w:after="0" w:line="240" w:lineRule="auto"/>
              <w:rPr>
                <w:rFonts w:ascii="Calibri" w:eastAsia="Times New Roman" w:hAnsi="Calibri" w:cs="Calibri"/>
                <w:sz w:val="18"/>
                <w:szCs w:val="18"/>
                <w:lang w:eastAsia="en-GB"/>
              </w:rPr>
            </w:pPr>
            <w:r w:rsidRPr="003D172C">
              <w:rPr>
                <w:rFonts w:ascii="Calibri" w:eastAsia="Times New Roman" w:hAnsi="Calibri" w:cs="Calibri"/>
                <w:sz w:val="18"/>
                <w:szCs w:val="18"/>
                <w:lang w:eastAsia="en-GB"/>
              </w:rPr>
              <w:t>4.2;9;12;15 (need to apply a different analytical framework)</w:t>
            </w:r>
          </w:p>
        </w:tc>
        <w:tc>
          <w:tcPr>
            <w:tcW w:w="2034" w:type="pct"/>
          </w:tcPr>
          <w:p w14:paraId="2E1B444F"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16 in-depth interviews</w:t>
            </w:r>
            <w:r>
              <w:rPr>
                <w:rFonts w:ascii="Calibri" w:eastAsia="Times New Roman" w:hAnsi="Calibri" w:cs="Calibri"/>
                <w:sz w:val="18"/>
                <w:szCs w:val="18"/>
                <w:lang w:eastAsia="en-GB"/>
              </w:rPr>
              <w:t xml:space="preserve"> across the RE investment chain. Interviewees included</w:t>
            </w:r>
            <w:r w:rsidRPr="00791169">
              <w:rPr>
                <w:rFonts w:ascii="Calibri" w:eastAsia="Times New Roman" w:hAnsi="Calibri" w:cs="Calibri"/>
                <w:sz w:val="18"/>
                <w:szCs w:val="18"/>
                <w:lang w:eastAsia="en-GB"/>
              </w:rPr>
              <w:t xml:space="preserve"> five institutional, RE investment professionals or fund managers, three utility executives, two independent RE project developers, two alternative RE finance providers, two public-sector policy professionals, and two institutional finance NGO representatives</w:t>
            </w:r>
            <w:r>
              <w:rPr>
                <w:rFonts w:ascii="Calibri" w:eastAsia="Times New Roman" w:hAnsi="Calibri" w:cs="Calibri"/>
                <w:sz w:val="18"/>
                <w:szCs w:val="18"/>
                <w:lang w:eastAsia="en-GB"/>
              </w:rPr>
              <w:t xml:space="preserve">. </w:t>
            </w:r>
          </w:p>
        </w:tc>
        <w:tc>
          <w:tcPr>
            <w:tcW w:w="532" w:type="pct"/>
          </w:tcPr>
          <w:p w14:paraId="67185148"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Focus on capital ma</w:t>
            </w:r>
            <w:r>
              <w:rPr>
                <w:rFonts w:ascii="Calibri" w:eastAsia="Times New Roman" w:hAnsi="Calibri" w:cs="Calibri"/>
                <w:sz w:val="18"/>
                <w:szCs w:val="18"/>
                <w:lang w:eastAsia="en-GB"/>
              </w:rPr>
              <w:t xml:space="preserve">rkets and financial </w:t>
            </w:r>
            <w:r w:rsidRPr="00791169">
              <w:rPr>
                <w:rFonts w:ascii="Calibri" w:eastAsia="Times New Roman" w:hAnsi="Calibri" w:cs="Calibri"/>
                <w:sz w:val="18"/>
                <w:szCs w:val="18"/>
                <w:lang w:eastAsia="en-GB"/>
              </w:rPr>
              <w:t xml:space="preserve">investors </w:t>
            </w:r>
          </w:p>
          <w:p w14:paraId="2AF3150B"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577" w:type="pct"/>
          </w:tcPr>
          <w:p w14:paraId="4A7B1153"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791169">
              <w:rPr>
                <w:rFonts w:ascii="Calibri" w:eastAsia="Times New Roman" w:hAnsi="Calibri" w:cs="Calibri"/>
                <w:sz w:val="18"/>
                <w:szCs w:val="18"/>
                <w:lang w:eastAsia="en-GB"/>
              </w:rPr>
              <w:t xml:space="preserve"> / UK</w:t>
            </w:r>
          </w:p>
        </w:tc>
      </w:tr>
      <w:tr w:rsidR="00EC3985" w:rsidRPr="00791169" w14:paraId="5B43B0AC" w14:textId="77777777" w:rsidTr="003E223D">
        <w:trPr>
          <w:trHeight w:val="19"/>
          <w:jc w:val="center"/>
        </w:trPr>
        <w:tc>
          <w:tcPr>
            <w:tcW w:w="952" w:type="pct"/>
            <w:shd w:val="clear" w:color="auto" w:fill="auto"/>
            <w:noWrap/>
          </w:tcPr>
          <w:p w14:paraId="3A79B388" w14:textId="77777777" w:rsidR="00EC3985" w:rsidRPr="00791169" w:rsidRDefault="00EC3985" w:rsidP="003E223D">
            <w:pPr>
              <w:spacing w:after="0" w:line="240" w:lineRule="auto"/>
              <w:rPr>
                <w:rFonts w:ascii="Calibri" w:hAnsi="Calibri" w:cs="Calibri"/>
                <w:bCs/>
                <w:sz w:val="18"/>
                <w:szCs w:val="18"/>
              </w:rPr>
            </w:pPr>
            <w:proofErr w:type="spellStart"/>
            <w:r>
              <w:rPr>
                <w:rFonts w:ascii="Calibri" w:hAnsi="Calibri" w:cs="Calibri"/>
                <w:bCs/>
                <w:sz w:val="18"/>
                <w:szCs w:val="18"/>
              </w:rPr>
              <w:t>Holb</w:t>
            </w:r>
            <w:r w:rsidRPr="00791169">
              <w:rPr>
                <w:rFonts w:ascii="Calibri" w:hAnsi="Calibri" w:cs="Calibri"/>
                <w:bCs/>
                <w:sz w:val="18"/>
                <w:szCs w:val="18"/>
              </w:rPr>
              <w:t>u</w:t>
            </w:r>
            <w:r>
              <w:rPr>
                <w:rFonts w:ascii="Calibri" w:hAnsi="Calibri" w:cs="Calibri"/>
                <w:bCs/>
                <w:sz w:val="18"/>
                <w:szCs w:val="18"/>
              </w:rPr>
              <w:t>r</w:t>
            </w:r>
            <w:r w:rsidRPr="00791169">
              <w:rPr>
                <w:rFonts w:ascii="Calibri" w:hAnsi="Calibri" w:cs="Calibri"/>
                <w:bCs/>
                <w:sz w:val="18"/>
                <w:szCs w:val="18"/>
              </w:rPr>
              <w:t>n</w:t>
            </w:r>
            <w:proofErr w:type="spellEnd"/>
            <w:r w:rsidRPr="00791169">
              <w:rPr>
                <w:rFonts w:ascii="Calibri" w:hAnsi="Calibri" w:cs="Calibri"/>
                <w:bCs/>
                <w:sz w:val="18"/>
                <w:szCs w:val="18"/>
              </w:rPr>
              <w:t xml:space="preserve"> et al. (2010)</w:t>
            </w:r>
          </w:p>
        </w:tc>
        <w:tc>
          <w:tcPr>
            <w:tcW w:w="905" w:type="pct"/>
          </w:tcPr>
          <w:p w14:paraId="69E935F4"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w:t>
            </w:r>
            <w:r w:rsidRPr="003D172C">
              <w:rPr>
                <w:rFonts w:ascii="Calibri" w:hAnsi="Calibri" w:cs="Calibri"/>
                <w:bCs/>
                <w:sz w:val="18"/>
                <w:szCs w:val="18"/>
              </w:rPr>
              <w:t>;2</w:t>
            </w:r>
            <w:r w:rsidRPr="003D172C">
              <w:rPr>
                <w:rFonts w:ascii="Calibri" w:hAnsi="Calibri" w:cs="Calibri"/>
                <w:sz w:val="18"/>
                <w:szCs w:val="18"/>
              </w:rPr>
              <w:t>;15 (natural wind conditions, lack of availability of transmission capacity for the foreseeable future)</w:t>
            </w:r>
          </w:p>
        </w:tc>
        <w:tc>
          <w:tcPr>
            <w:tcW w:w="2034" w:type="pct"/>
          </w:tcPr>
          <w:p w14:paraId="32C7D1C5"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Internet-based </w:t>
            </w:r>
            <w:r>
              <w:rPr>
                <w:rFonts w:ascii="Calibri" w:hAnsi="Calibri" w:cs="Calibri"/>
                <w:sz w:val="18"/>
                <w:szCs w:val="18"/>
              </w:rPr>
              <w:t xml:space="preserve">survey with 29 wind developers. </w:t>
            </w:r>
            <w:r w:rsidRPr="00791169">
              <w:rPr>
                <w:rFonts w:ascii="Calibri" w:hAnsi="Calibri" w:cs="Calibri"/>
                <w:sz w:val="18"/>
                <w:szCs w:val="18"/>
              </w:rPr>
              <w:t>The online survey included question</w:t>
            </w:r>
            <w:r>
              <w:rPr>
                <w:rFonts w:ascii="Calibri" w:hAnsi="Calibri" w:cs="Calibri"/>
                <w:sz w:val="18"/>
                <w:szCs w:val="18"/>
              </w:rPr>
              <w:t xml:space="preserve">s </w:t>
            </w:r>
            <w:proofErr w:type="gramStart"/>
            <w:r>
              <w:rPr>
                <w:rFonts w:ascii="Calibri" w:hAnsi="Calibri" w:cs="Calibri"/>
                <w:sz w:val="18"/>
                <w:szCs w:val="18"/>
              </w:rPr>
              <w:t xml:space="preserve">on developers’ perceptions on </w:t>
            </w:r>
            <w:r w:rsidRPr="00791169">
              <w:rPr>
                <w:rFonts w:ascii="Calibri" w:hAnsi="Calibri" w:cs="Calibri"/>
                <w:sz w:val="18"/>
                <w:szCs w:val="18"/>
              </w:rPr>
              <w:t>regulatory and operational environments f</w:t>
            </w:r>
            <w:r>
              <w:rPr>
                <w:rFonts w:ascii="Calibri" w:hAnsi="Calibri" w:cs="Calibri"/>
                <w:sz w:val="18"/>
                <w:szCs w:val="18"/>
              </w:rPr>
              <w:t>or the wind industry in Ontario</w:t>
            </w:r>
            <w:proofErr w:type="gramEnd"/>
            <w:r>
              <w:rPr>
                <w:rFonts w:ascii="Calibri" w:hAnsi="Calibri" w:cs="Calibri"/>
                <w:sz w:val="18"/>
                <w:szCs w:val="18"/>
              </w:rPr>
              <w:t xml:space="preserve">. </w:t>
            </w:r>
          </w:p>
        </w:tc>
        <w:tc>
          <w:tcPr>
            <w:tcW w:w="532" w:type="pct"/>
          </w:tcPr>
          <w:p w14:paraId="36C73D45"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Wind developers, w</w:t>
            </w:r>
            <w:r w:rsidRPr="00791169">
              <w:rPr>
                <w:rFonts w:ascii="Calibri" w:hAnsi="Calibri" w:cs="Calibri"/>
                <w:sz w:val="18"/>
                <w:szCs w:val="18"/>
              </w:rPr>
              <w:t>ind energy firms</w:t>
            </w:r>
          </w:p>
        </w:tc>
        <w:tc>
          <w:tcPr>
            <w:tcW w:w="577" w:type="pct"/>
          </w:tcPr>
          <w:p w14:paraId="14865D94"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Wind / </w:t>
            </w:r>
          </w:p>
          <w:p w14:paraId="01C0C49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Canada (Ontario) </w:t>
            </w:r>
          </w:p>
        </w:tc>
      </w:tr>
      <w:tr w:rsidR="00EC3985" w:rsidRPr="00791169" w14:paraId="00C9DC21" w14:textId="77777777" w:rsidTr="003E223D">
        <w:trPr>
          <w:trHeight w:val="19"/>
          <w:jc w:val="center"/>
        </w:trPr>
        <w:tc>
          <w:tcPr>
            <w:tcW w:w="952" w:type="pct"/>
            <w:shd w:val="clear" w:color="auto" w:fill="auto"/>
            <w:noWrap/>
            <w:hideMark/>
          </w:tcPr>
          <w:p w14:paraId="4EDD9712"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lastRenderedPageBreak/>
              <w:t>Jones (2015)</w:t>
            </w:r>
          </w:p>
        </w:tc>
        <w:tc>
          <w:tcPr>
            <w:tcW w:w="905" w:type="pct"/>
          </w:tcPr>
          <w:p w14:paraId="25F95D31"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2;6;8;9;13</w:t>
            </w:r>
          </w:p>
        </w:tc>
        <w:tc>
          <w:tcPr>
            <w:tcW w:w="2034" w:type="pct"/>
          </w:tcPr>
          <w:p w14:paraId="6A78D77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Delphi process with institutional investors, including: </w:t>
            </w:r>
          </w:p>
          <w:p w14:paraId="38F013E8" w14:textId="77777777" w:rsidR="00EC3985" w:rsidRPr="00791169" w:rsidRDefault="00EC3985" w:rsidP="00EC3985">
            <w:pPr>
              <w:pStyle w:val="ListParagraph"/>
              <w:numPr>
                <w:ilvl w:val="0"/>
                <w:numId w:val="37"/>
              </w:numPr>
              <w:spacing w:after="0" w:line="240" w:lineRule="auto"/>
              <w:rPr>
                <w:rFonts w:ascii="Calibri" w:hAnsi="Calibri" w:cs="Calibri"/>
                <w:sz w:val="18"/>
                <w:szCs w:val="18"/>
              </w:rPr>
              <w:pPrChange w:id="10" w:author="Jones, Aled" w:date="2019-11-18T13:33:00Z">
                <w:pPr>
                  <w:pStyle w:val="ListParagraph"/>
                  <w:numPr>
                    <w:numId w:val="38"/>
                  </w:numPr>
                  <w:spacing w:after="0" w:line="240" w:lineRule="auto"/>
                  <w:ind w:left="360" w:hanging="360"/>
                </w:pPr>
              </w:pPrChange>
            </w:pPr>
            <w:r w:rsidRPr="00791169">
              <w:rPr>
                <w:rFonts w:ascii="Calibri" w:hAnsi="Calibri" w:cs="Calibri"/>
                <w:sz w:val="18"/>
                <w:szCs w:val="18"/>
              </w:rPr>
              <w:t>Literature review</w:t>
            </w:r>
          </w:p>
          <w:p w14:paraId="6D386CEA" w14:textId="77777777" w:rsidR="00EC3985" w:rsidRPr="00791169" w:rsidRDefault="00EC3985" w:rsidP="00EC3985">
            <w:pPr>
              <w:pStyle w:val="ListParagraph"/>
              <w:numPr>
                <w:ilvl w:val="0"/>
                <w:numId w:val="37"/>
              </w:numPr>
              <w:spacing w:after="0" w:line="240" w:lineRule="auto"/>
              <w:rPr>
                <w:rFonts w:ascii="Calibri" w:hAnsi="Calibri" w:cs="Calibri"/>
                <w:sz w:val="18"/>
                <w:szCs w:val="18"/>
              </w:rPr>
              <w:pPrChange w:id="11" w:author="Jones, Aled" w:date="2019-11-18T13:33:00Z">
                <w:pPr>
                  <w:pStyle w:val="ListParagraph"/>
                  <w:numPr>
                    <w:numId w:val="38"/>
                  </w:numPr>
                  <w:spacing w:after="0" w:line="240" w:lineRule="auto"/>
                  <w:ind w:left="360" w:hanging="360"/>
                </w:pPr>
              </w:pPrChange>
            </w:pPr>
            <w:r w:rsidRPr="00791169">
              <w:rPr>
                <w:rFonts w:ascii="Calibri" w:hAnsi="Calibri" w:cs="Calibri"/>
                <w:sz w:val="18"/>
                <w:szCs w:val="18"/>
              </w:rPr>
              <w:t>Semi-structured interview with finance sector experts</w:t>
            </w:r>
          </w:p>
          <w:p w14:paraId="28B751B5" w14:textId="77777777" w:rsidR="00EC3985" w:rsidRPr="00791169" w:rsidRDefault="00EC3985" w:rsidP="00EC3985">
            <w:pPr>
              <w:pStyle w:val="ListParagraph"/>
              <w:numPr>
                <w:ilvl w:val="0"/>
                <w:numId w:val="37"/>
              </w:numPr>
              <w:spacing w:after="0" w:line="240" w:lineRule="auto"/>
              <w:rPr>
                <w:rFonts w:ascii="Calibri" w:hAnsi="Calibri" w:cs="Calibri"/>
                <w:sz w:val="18"/>
                <w:szCs w:val="18"/>
              </w:rPr>
              <w:pPrChange w:id="12" w:author="Jones, Aled" w:date="2019-11-18T13:33:00Z">
                <w:pPr>
                  <w:pStyle w:val="ListParagraph"/>
                  <w:numPr>
                    <w:numId w:val="38"/>
                  </w:numPr>
                  <w:spacing w:after="0" w:line="240" w:lineRule="auto"/>
                  <w:ind w:left="360" w:hanging="360"/>
                </w:pPr>
              </w:pPrChange>
            </w:pPr>
            <w:r w:rsidRPr="00791169">
              <w:rPr>
                <w:rFonts w:ascii="Calibri" w:hAnsi="Calibri" w:cs="Calibri"/>
                <w:sz w:val="18"/>
                <w:szCs w:val="18"/>
              </w:rPr>
              <w:t xml:space="preserve">Presentation of findings to workshops - with each including around 20 experts (e.g. asset management, pension funds, re-insurance, insurance, investment banking, Banking)- to refine arguments </w:t>
            </w:r>
          </w:p>
        </w:tc>
        <w:tc>
          <w:tcPr>
            <w:tcW w:w="532" w:type="pct"/>
          </w:tcPr>
          <w:p w14:paraId="1BC65A9B"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Institutional investors </w:t>
            </w:r>
          </w:p>
          <w:p w14:paraId="238EBB96" w14:textId="77777777" w:rsidR="00EC3985" w:rsidRPr="00791169" w:rsidRDefault="00EC3985" w:rsidP="003E223D">
            <w:pPr>
              <w:spacing w:after="0" w:line="240" w:lineRule="auto"/>
              <w:rPr>
                <w:rFonts w:ascii="Calibri" w:hAnsi="Calibri" w:cs="Calibri"/>
                <w:sz w:val="18"/>
                <w:szCs w:val="18"/>
              </w:rPr>
            </w:pPr>
          </w:p>
        </w:tc>
        <w:tc>
          <w:tcPr>
            <w:tcW w:w="577" w:type="pct"/>
          </w:tcPr>
          <w:p w14:paraId="35BF23B6"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Global</w:t>
            </w:r>
          </w:p>
        </w:tc>
      </w:tr>
      <w:tr w:rsidR="00EC3985" w:rsidRPr="00791169" w14:paraId="25C345B9" w14:textId="77777777" w:rsidTr="003E223D">
        <w:trPr>
          <w:trHeight w:val="19"/>
          <w:jc w:val="center"/>
        </w:trPr>
        <w:tc>
          <w:tcPr>
            <w:tcW w:w="952" w:type="pct"/>
            <w:shd w:val="clear" w:color="auto" w:fill="auto"/>
            <w:noWrap/>
          </w:tcPr>
          <w:p w14:paraId="5B0E9DC0" w14:textId="77777777" w:rsidR="00EC3985" w:rsidRPr="002B64EA" w:rsidRDefault="00EC3985" w:rsidP="003E223D">
            <w:pPr>
              <w:spacing w:after="0" w:line="240" w:lineRule="auto"/>
              <w:rPr>
                <w:rFonts w:ascii="Calibri" w:eastAsia="Times New Roman" w:hAnsi="Calibri" w:cs="Calibri"/>
                <w:sz w:val="18"/>
                <w:szCs w:val="18"/>
                <w:lang w:eastAsia="en-GB"/>
              </w:rPr>
            </w:pPr>
            <w:proofErr w:type="spellStart"/>
            <w:r w:rsidRPr="002B64EA">
              <w:rPr>
                <w:rFonts w:ascii="Calibri" w:eastAsia="Times New Roman" w:hAnsi="Calibri" w:cs="Calibri"/>
                <w:sz w:val="18"/>
                <w:szCs w:val="18"/>
                <w:lang w:eastAsia="en-GB"/>
              </w:rPr>
              <w:t>Kann</w:t>
            </w:r>
            <w:proofErr w:type="spellEnd"/>
            <w:r w:rsidRPr="002B64EA">
              <w:rPr>
                <w:rFonts w:ascii="Calibri" w:eastAsia="Times New Roman" w:hAnsi="Calibri" w:cs="Calibri"/>
                <w:sz w:val="18"/>
                <w:szCs w:val="18"/>
                <w:lang w:eastAsia="en-GB"/>
              </w:rPr>
              <w:t xml:space="preserve"> (2009)</w:t>
            </w:r>
          </w:p>
        </w:tc>
        <w:tc>
          <w:tcPr>
            <w:tcW w:w="905" w:type="pct"/>
          </w:tcPr>
          <w:p w14:paraId="5AC6BEB1"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bCs/>
                <w:sz w:val="18"/>
                <w:szCs w:val="18"/>
              </w:rPr>
              <w:t>2</w:t>
            </w:r>
            <w:r w:rsidRPr="003D172C">
              <w:rPr>
                <w:rFonts w:ascii="Calibri" w:hAnsi="Calibri" w:cs="Calibri"/>
                <w:sz w:val="18"/>
                <w:szCs w:val="18"/>
              </w:rPr>
              <w:t>;4.3;15 (semi-privatisation of the energy market)</w:t>
            </w:r>
          </w:p>
        </w:tc>
        <w:tc>
          <w:tcPr>
            <w:tcW w:w="2034" w:type="pct"/>
          </w:tcPr>
          <w:p w14:paraId="158E7FD8" w14:textId="77777777" w:rsidR="00EC3985" w:rsidRPr="002F1B52" w:rsidRDefault="00EC3985" w:rsidP="003E223D">
            <w:pPr>
              <w:spacing w:after="0" w:line="240" w:lineRule="auto"/>
              <w:rPr>
                <w:rFonts w:ascii="Calibri" w:hAnsi="Calibri" w:cs="Calibri"/>
                <w:sz w:val="18"/>
                <w:szCs w:val="18"/>
              </w:rPr>
            </w:pPr>
            <w:r>
              <w:rPr>
                <w:rFonts w:ascii="Calibri" w:hAnsi="Calibri" w:cs="Calibri"/>
                <w:sz w:val="18"/>
                <w:szCs w:val="18"/>
              </w:rPr>
              <w:t xml:space="preserve">The findings of this study are based on: </w:t>
            </w:r>
          </w:p>
          <w:p w14:paraId="16CB3865" w14:textId="77777777" w:rsidR="00EC3985" w:rsidRPr="002B64EA" w:rsidRDefault="00EC3985" w:rsidP="00EC3985">
            <w:pPr>
              <w:pStyle w:val="ListParagraph"/>
              <w:numPr>
                <w:ilvl w:val="0"/>
                <w:numId w:val="38"/>
              </w:numPr>
              <w:spacing w:after="0" w:line="240" w:lineRule="auto"/>
              <w:rPr>
                <w:rFonts w:ascii="Calibri" w:hAnsi="Calibri" w:cs="Calibri"/>
                <w:sz w:val="18"/>
                <w:szCs w:val="18"/>
              </w:rPr>
              <w:pPrChange w:id="13" w:author="Jones, Aled" w:date="2019-11-18T13:33:00Z">
                <w:pPr>
                  <w:pStyle w:val="ListParagraph"/>
                  <w:numPr>
                    <w:numId w:val="39"/>
                  </w:numPr>
                  <w:spacing w:after="0" w:line="240" w:lineRule="auto"/>
                  <w:ind w:left="360" w:hanging="360"/>
                </w:pPr>
              </w:pPrChange>
            </w:pPr>
            <w:r>
              <w:rPr>
                <w:rFonts w:ascii="Calibri" w:hAnsi="Calibri" w:cs="Calibri"/>
                <w:sz w:val="18"/>
                <w:szCs w:val="18"/>
              </w:rPr>
              <w:t>An e</w:t>
            </w:r>
            <w:r w:rsidRPr="002B64EA">
              <w:rPr>
                <w:rFonts w:ascii="Calibri" w:hAnsi="Calibri" w:cs="Calibri"/>
                <w:sz w:val="18"/>
                <w:szCs w:val="18"/>
              </w:rPr>
              <w:t xml:space="preserve">valuation of literature </w:t>
            </w:r>
          </w:p>
          <w:p w14:paraId="0D3F33A4" w14:textId="77777777" w:rsidR="00EC3985" w:rsidRPr="002B64EA" w:rsidRDefault="00EC3985" w:rsidP="00EC3985">
            <w:pPr>
              <w:pStyle w:val="ListParagraph"/>
              <w:numPr>
                <w:ilvl w:val="0"/>
                <w:numId w:val="38"/>
              </w:numPr>
              <w:spacing w:after="0" w:line="240" w:lineRule="auto"/>
              <w:rPr>
                <w:rFonts w:ascii="Calibri" w:hAnsi="Calibri" w:cs="Calibri"/>
                <w:sz w:val="18"/>
                <w:szCs w:val="18"/>
              </w:rPr>
              <w:pPrChange w:id="14" w:author="Jones, Aled" w:date="2019-11-18T13:33:00Z">
                <w:pPr>
                  <w:pStyle w:val="ListParagraph"/>
                  <w:numPr>
                    <w:numId w:val="39"/>
                  </w:numPr>
                  <w:spacing w:after="0" w:line="240" w:lineRule="auto"/>
                  <w:ind w:left="360" w:hanging="360"/>
                </w:pPr>
              </w:pPrChange>
            </w:pPr>
            <w:r w:rsidRPr="002B64EA">
              <w:rPr>
                <w:rFonts w:ascii="Calibri" w:hAnsi="Calibri" w:cs="Calibri"/>
                <w:sz w:val="18"/>
                <w:szCs w:val="18"/>
              </w:rPr>
              <w:t>21 stakeholder semi-structured interviews (incl. wind developers, electricity retailers, integrated utilities, financiers, government agencies, and energy consultancies)</w:t>
            </w:r>
          </w:p>
          <w:p w14:paraId="4CACCFDA" w14:textId="77777777" w:rsidR="00EC3985" w:rsidRPr="002B64EA" w:rsidRDefault="00EC3985" w:rsidP="00EC3985">
            <w:pPr>
              <w:pStyle w:val="ListParagraph"/>
              <w:numPr>
                <w:ilvl w:val="0"/>
                <w:numId w:val="38"/>
              </w:numPr>
              <w:spacing w:after="0" w:line="240" w:lineRule="auto"/>
              <w:rPr>
                <w:rFonts w:ascii="Calibri" w:hAnsi="Calibri" w:cs="Calibri"/>
                <w:sz w:val="18"/>
                <w:szCs w:val="18"/>
              </w:rPr>
              <w:pPrChange w:id="15" w:author="Jones, Aled" w:date="2019-11-18T13:33:00Z">
                <w:pPr>
                  <w:pStyle w:val="ListParagraph"/>
                  <w:numPr>
                    <w:numId w:val="39"/>
                  </w:numPr>
                  <w:spacing w:after="0" w:line="240" w:lineRule="auto"/>
                  <w:ind w:left="360" w:hanging="360"/>
                </w:pPr>
              </w:pPrChange>
            </w:pPr>
            <w:r w:rsidRPr="002B64EA">
              <w:rPr>
                <w:rFonts w:ascii="Calibri" w:hAnsi="Calibri" w:cs="Calibri"/>
                <w:sz w:val="18"/>
                <w:szCs w:val="18"/>
              </w:rPr>
              <w:t>All interviews were analysed using the framework of the grounded theory</w:t>
            </w:r>
          </w:p>
        </w:tc>
        <w:tc>
          <w:tcPr>
            <w:tcW w:w="532" w:type="pct"/>
          </w:tcPr>
          <w:p w14:paraId="1CAEBDA8" w14:textId="77777777" w:rsidR="00EC3985" w:rsidRPr="002B64EA" w:rsidRDefault="00EC3985" w:rsidP="003E223D">
            <w:pPr>
              <w:spacing w:after="0" w:line="240" w:lineRule="auto"/>
              <w:rPr>
                <w:rFonts w:ascii="Calibri" w:hAnsi="Calibri" w:cs="Calibri"/>
                <w:sz w:val="18"/>
                <w:szCs w:val="18"/>
              </w:rPr>
            </w:pPr>
            <w:r>
              <w:rPr>
                <w:rFonts w:ascii="Calibri" w:hAnsi="Calibri" w:cs="Calibri"/>
                <w:sz w:val="18"/>
                <w:szCs w:val="18"/>
              </w:rPr>
              <w:t>Wind developers, w</w:t>
            </w:r>
            <w:r w:rsidRPr="002B64EA">
              <w:rPr>
                <w:rFonts w:ascii="Calibri" w:hAnsi="Calibri" w:cs="Calibri"/>
                <w:sz w:val="18"/>
                <w:szCs w:val="18"/>
              </w:rPr>
              <w:t>ind energy firms</w:t>
            </w:r>
            <w:r>
              <w:rPr>
                <w:rFonts w:ascii="Calibri" w:hAnsi="Calibri" w:cs="Calibri"/>
                <w:sz w:val="18"/>
                <w:szCs w:val="18"/>
              </w:rPr>
              <w:t xml:space="preserve"> </w:t>
            </w:r>
          </w:p>
          <w:p w14:paraId="76AE993D" w14:textId="77777777" w:rsidR="00EC3985" w:rsidRPr="002B64EA" w:rsidRDefault="00EC3985" w:rsidP="003E223D">
            <w:pPr>
              <w:spacing w:after="0" w:line="240" w:lineRule="auto"/>
              <w:rPr>
                <w:rFonts w:ascii="Calibri" w:hAnsi="Calibri" w:cs="Calibri"/>
                <w:sz w:val="18"/>
                <w:szCs w:val="18"/>
              </w:rPr>
            </w:pPr>
          </w:p>
        </w:tc>
        <w:tc>
          <w:tcPr>
            <w:tcW w:w="577" w:type="pct"/>
          </w:tcPr>
          <w:p w14:paraId="2339B6BE"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 xml:space="preserve">Wind / </w:t>
            </w:r>
          </w:p>
          <w:p w14:paraId="78245AFB"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Australia</w:t>
            </w:r>
          </w:p>
        </w:tc>
      </w:tr>
      <w:tr w:rsidR="00EC3985" w:rsidRPr="00791169" w14:paraId="3A2CEACD" w14:textId="77777777" w:rsidTr="003E223D">
        <w:trPr>
          <w:trHeight w:val="19"/>
          <w:jc w:val="center"/>
        </w:trPr>
        <w:tc>
          <w:tcPr>
            <w:tcW w:w="952" w:type="pct"/>
            <w:shd w:val="clear" w:color="auto" w:fill="auto"/>
            <w:noWrap/>
            <w:hideMark/>
          </w:tcPr>
          <w:p w14:paraId="4F568B78"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Karltorp</w:t>
            </w:r>
            <w:proofErr w:type="spellEnd"/>
            <w:r w:rsidRPr="00791169">
              <w:rPr>
                <w:rFonts w:ascii="Calibri" w:eastAsia="Times New Roman" w:hAnsi="Calibri" w:cs="Calibri"/>
                <w:sz w:val="18"/>
                <w:szCs w:val="18"/>
                <w:lang w:eastAsia="en-GB"/>
              </w:rPr>
              <w:t xml:space="preserve"> (2016)</w:t>
            </w:r>
          </w:p>
        </w:tc>
        <w:tc>
          <w:tcPr>
            <w:tcW w:w="905" w:type="pct"/>
          </w:tcPr>
          <w:p w14:paraId="46315C73"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2;4.1;5;7;12</w:t>
            </w:r>
          </w:p>
        </w:tc>
        <w:tc>
          <w:tcPr>
            <w:tcW w:w="2034" w:type="pct"/>
          </w:tcPr>
          <w:p w14:paraId="6EB48A28"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The study applies</w:t>
            </w:r>
            <w:r w:rsidRPr="00791169">
              <w:rPr>
                <w:rFonts w:ascii="Calibri" w:hAnsi="Calibri" w:cs="Calibri"/>
                <w:sz w:val="18"/>
                <w:szCs w:val="18"/>
              </w:rPr>
              <w:t xml:space="preserve"> </w:t>
            </w:r>
            <w:r>
              <w:rPr>
                <w:rFonts w:ascii="Calibri" w:hAnsi="Calibri" w:cs="Calibri"/>
                <w:sz w:val="18"/>
                <w:szCs w:val="18"/>
              </w:rPr>
              <w:t>a</w:t>
            </w:r>
            <w:r w:rsidRPr="00791169">
              <w:rPr>
                <w:rFonts w:ascii="Calibri" w:hAnsi="Calibri" w:cs="Calibri"/>
                <w:sz w:val="18"/>
                <w:szCs w:val="18"/>
              </w:rPr>
              <w:t xml:space="preserve"> technological innovation system (TIS) framework</w:t>
            </w:r>
            <w:r>
              <w:rPr>
                <w:rFonts w:ascii="Calibri" w:hAnsi="Calibri" w:cs="Calibri"/>
                <w:sz w:val="18"/>
                <w:szCs w:val="18"/>
              </w:rPr>
              <w:t xml:space="preserve"> analysis</w:t>
            </w:r>
            <w:r w:rsidRPr="00791169">
              <w:rPr>
                <w:rFonts w:ascii="Calibri" w:hAnsi="Calibri" w:cs="Calibri"/>
                <w:sz w:val="18"/>
                <w:szCs w:val="18"/>
              </w:rPr>
              <w:t xml:space="preserve"> based on 22 semi-structured interviews with technology developers and </w:t>
            </w:r>
            <w:r>
              <w:rPr>
                <w:rFonts w:ascii="Calibri" w:hAnsi="Calibri" w:cs="Calibri"/>
                <w:sz w:val="18"/>
                <w:szCs w:val="18"/>
              </w:rPr>
              <w:t xml:space="preserve">actors in the financial sector, including </w:t>
            </w:r>
            <w:r w:rsidRPr="00791169">
              <w:rPr>
                <w:rFonts w:ascii="Calibri" w:hAnsi="Calibri" w:cs="Calibri"/>
                <w:sz w:val="18"/>
                <w:szCs w:val="18"/>
              </w:rPr>
              <w:t xml:space="preserve">commercial banks, institutional investors, private equity firms and a venture capital firm. </w:t>
            </w:r>
          </w:p>
        </w:tc>
        <w:tc>
          <w:tcPr>
            <w:tcW w:w="532" w:type="pct"/>
          </w:tcPr>
          <w:p w14:paraId="1F250D54"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Private investors, including v</w:t>
            </w:r>
            <w:r w:rsidRPr="00791169">
              <w:rPr>
                <w:rFonts w:ascii="Calibri" w:hAnsi="Calibri" w:cs="Calibri"/>
                <w:sz w:val="18"/>
                <w:szCs w:val="18"/>
              </w:rPr>
              <w:t>ent</w:t>
            </w:r>
            <w:r>
              <w:rPr>
                <w:rFonts w:ascii="Calibri" w:hAnsi="Calibri" w:cs="Calibri"/>
                <w:sz w:val="18"/>
                <w:szCs w:val="18"/>
              </w:rPr>
              <w:t>ure capital and private equity and institutional investors, and banks</w:t>
            </w:r>
          </w:p>
        </w:tc>
        <w:tc>
          <w:tcPr>
            <w:tcW w:w="577" w:type="pct"/>
          </w:tcPr>
          <w:p w14:paraId="6B7D1F76"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Biomass gasification </w:t>
            </w:r>
            <w:r>
              <w:rPr>
                <w:rFonts w:ascii="Calibri" w:hAnsi="Calibri" w:cs="Calibri"/>
                <w:sz w:val="18"/>
                <w:szCs w:val="18"/>
              </w:rPr>
              <w:t>&amp;</w:t>
            </w:r>
            <w:r w:rsidRPr="00791169">
              <w:rPr>
                <w:rFonts w:ascii="Calibri" w:hAnsi="Calibri" w:cs="Calibri"/>
                <w:sz w:val="18"/>
                <w:szCs w:val="18"/>
              </w:rPr>
              <w:t xml:space="preserve"> offshore wind /</w:t>
            </w:r>
            <w:r>
              <w:rPr>
                <w:rFonts w:ascii="Calibri" w:hAnsi="Calibri" w:cs="Calibri"/>
                <w:sz w:val="18"/>
                <w:szCs w:val="18"/>
              </w:rPr>
              <w:t xml:space="preserve"> </w:t>
            </w:r>
            <w:r w:rsidRPr="00791169">
              <w:rPr>
                <w:rFonts w:ascii="Calibri" w:hAnsi="Calibri" w:cs="Calibri"/>
                <w:sz w:val="18"/>
                <w:szCs w:val="18"/>
              </w:rPr>
              <w:t>EU</w:t>
            </w:r>
          </w:p>
        </w:tc>
      </w:tr>
      <w:tr w:rsidR="00EC3985" w:rsidRPr="00791169" w14:paraId="682F02D5" w14:textId="77777777" w:rsidTr="003E223D">
        <w:trPr>
          <w:trHeight w:val="19"/>
          <w:jc w:val="center"/>
        </w:trPr>
        <w:tc>
          <w:tcPr>
            <w:tcW w:w="952" w:type="pct"/>
            <w:shd w:val="clear" w:color="auto" w:fill="auto"/>
            <w:noWrap/>
            <w:hideMark/>
          </w:tcPr>
          <w:p w14:paraId="68389AE7"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Leete</w:t>
            </w:r>
            <w:proofErr w:type="spellEnd"/>
            <w:r w:rsidRPr="00791169">
              <w:rPr>
                <w:rFonts w:ascii="Calibri" w:eastAsia="Times New Roman" w:hAnsi="Calibri" w:cs="Calibri"/>
                <w:sz w:val="18"/>
                <w:szCs w:val="18"/>
                <w:lang w:eastAsia="en-GB"/>
              </w:rPr>
              <w:t xml:space="preserve"> et al. (2013)</w:t>
            </w:r>
          </w:p>
        </w:tc>
        <w:tc>
          <w:tcPr>
            <w:tcW w:w="905" w:type="pct"/>
          </w:tcPr>
          <w:p w14:paraId="5E9B875A"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2;4.1;7</w:t>
            </w:r>
          </w:p>
        </w:tc>
        <w:tc>
          <w:tcPr>
            <w:tcW w:w="2034" w:type="pct"/>
          </w:tcPr>
          <w:p w14:paraId="0FA47611" w14:textId="77777777" w:rsidR="00EC3985" w:rsidRPr="002F1B52" w:rsidRDefault="00EC3985" w:rsidP="003E223D">
            <w:pPr>
              <w:spacing w:after="0" w:line="240" w:lineRule="auto"/>
              <w:rPr>
                <w:rFonts w:ascii="Calibri" w:hAnsi="Calibri" w:cs="Calibri"/>
                <w:sz w:val="18"/>
                <w:szCs w:val="18"/>
              </w:rPr>
            </w:pPr>
            <w:r>
              <w:rPr>
                <w:rFonts w:ascii="Calibri" w:hAnsi="Calibri" w:cs="Calibri"/>
                <w:sz w:val="18"/>
                <w:szCs w:val="18"/>
              </w:rPr>
              <w:t xml:space="preserve">The findings of the study </w:t>
            </w:r>
            <w:proofErr w:type="gramStart"/>
            <w:r>
              <w:rPr>
                <w:rFonts w:ascii="Calibri" w:hAnsi="Calibri" w:cs="Calibri"/>
                <w:sz w:val="18"/>
                <w:szCs w:val="18"/>
              </w:rPr>
              <w:t>are based</w:t>
            </w:r>
            <w:proofErr w:type="gramEnd"/>
            <w:r>
              <w:rPr>
                <w:rFonts w:ascii="Calibri" w:hAnsi="Calibri" w:cs="Calibri"/>
                <w:sz w:val="18"/>
                <w:szCs w:val="18"/>
              </w:rPr>
              <w:t xml:space="preserve"> on a qualitative evaluation of </w:t>
            </w:r>
            <w:r w:rsidRPr="002F1B52">
              <w:rPr>
                <w:rFonts w:ascii="Calibri" w:hAnsi="Calibri" w:cs="Calibri"/>
                <w:sz w:val="18"/>
                <w:szCs w:val="18"/>
              </w:rPr>
              <w:t>12 in-depth interviews with Investment community, device developers and industry support</w:t>
            </w:r>
            <w:r>
              <w:rPr>
                <w:rFonts w:ascii="Calibri" w:hAnsi="Calibri" w:cs="Calibri"/>
                <w:sz w:val="18"/>
                <w:szCs w:val="18"/>
              </w:rPr>
              <w:t xml:space="preserve">. </w:t>
            </w:r>
          </w:p>
        </w:tc>
        <w:tc>
          <w:tcPr>
            <w:tcW w:w="532" w:type="pct"/>
          </w:tcPr>
          <w:p w14:paraId="33523302"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Private investors</w:t>
            </w:r>
          </w:p>
        </w:tc>
        <w:tc>
          <w:tcPr>
            <w:tcW w:w="577" w:type="pct"/>
          </w:tcPr>
          <w:p w14:paraId="737B9C7B"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Wave and tidal energy / UK</w:t>
            </w:r>
          </w:p>
        </w:tc>
      </w:tr>
      <w:tr w:rsidR="00EC3985" w:rsidRPr="00791169" w14:paraId="205FA9B5" w14:textId="77777777" w:rsidTr="003E223D">
        <w:trPr>
          <w:trHeight w:val="19"/>
          <w:jc w:val="center"/>
        </w:trPr>
        <w:tc>
          <w:tcPr>
            <w:tcW w:w="952" w:type="pct"/>
            <w:shd w:val="clear" w:color="auto" w:fill="auto"/>
            <w:noWrap/>
          </w:tcPr>
          <w:p w14:paraId="6E8C91CC" w14:textId="77777777" w:rsidR="00EC3985" w:rsidRPr="00791169" w:rsidRDefault="00EC3985" w:rsidP="003E223D">
            <w:pPr>
              <w:spacing w:after="0" w:line="240" w:lineRule="auto"/>
              <w:rPr>
                <w:rFonts w:ascii="Calibri" w:hAnsi="Calibri" w:cs="Calibri"/>
                <w:bCs/>
                <w:sz w:val="18"/>
                <w:szCs w:val="18"/>
              </w:rPr>
            </w:pPr>
            <w:proofErr w:type="spellStart"/>
            <w:r w:rsidRPr="00791169">
              <w:rPr>
                <w:rFonts w:ascii="Calibri" w:hAnsi="Calibri" w:cs="Calibri"/>
                <w:bCs/>
                <w:sz w:val="18"/>
                <w:szCs w:val="18"/>
              </w:rPr>
              <w:t>Linnerud</w:t>
            </w:r>
            <w:proofErr w:type="spellEnd"/>
            <w:r w:rsidRPr="00791169">
              <w:rPr>
                <w:rFonts w:ascii="Calibri" w:hAnsi="Calibri" w:cs="Calibri"/>
                <w:bCs/>
                <w:sz w:val="18"/>
                <w:szCs w:val="18"/>
              </w:rPr>
              <w:t xml:space="preserve"> &amp; Holden (2015)</w:t>
            </w:r>
          </w:p>
        </w:tc>
        <w:tc>
          <w:tcPr>
            <w:tcW w:w="905" w:type="pct"/>
          </w:tcPr>
          <w:p w14:paraId="21C238F2"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2;15 (lack of access to required transmission grid, to entrepreneurial and other services or to funding sources)</w:t>
            </w:r>
          </w:p>
        </w:tc>
        <w:tc>
          <w:tcPr>
            <w:tcW w:w="2034" w:type="pct"/>
            <w:vAlign w:val="bottom"/>
          </w:tcPr>
          <w:p w14:paraId="330F5CE1"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Regression based on a survey with 172 investors (which covers 446 planned hydropower projects in Norway). The survey included question on what type of barriers would prevent the projects from being realized and how likely it would be that different projects will be realized. </w:t>
            </w:r>
          </w:p>
        </w:tc>
        <w:tc>
          <w:tcPr>
            <w:tcW w:w="532" w:type="pct"/>
            <w:vAlign w:val="bottom"/>
          </w:tcPr>
          <w:p w14:paraId="6F6AE9B8"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(Experienced and unexperienced) project developers</w:t>
            </w:r>
          </w:p>
        </w:tc>
        <w:tc>
          <w:tcPr>
            <w:tcW w:w="577" w:type="pct"/>
          </w:tcPr>
          <w:p w14:paraId="73952AB5"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Hydropower / </w:t>
            </w:r>
          </w:p>
          <w:p w14:paraId="3C944D20"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Norway</w:t>
            </w:r>
          </w:p>
        </w:tc>
      </w:tr>
      <w:tr w:rsidR="00EC3985" w:rsidRPr="00791169" w14:paraId="6D0C2C17" w14:textId="77777777" w:rsidTr="003E223D">
        <w:trPr>
          <w:trHeight w:val="19"/>
          <w:jc w:val="center"/>
        </w:trPr>
        <w:tc>
          <w:tcPr>
            <w:tcW w:w="952" w:type="pct"/>
            <w:shd w:val="clear" w:color="auto" w:fill="auto"/>
            <w:noWrap/>
            <w:hideMark/>
          </w:tcPr>
          <w:p w14:paraId="10FE3982"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Lozano &amp; Reid (2018)</w:t>
            </w:r>
          </w:p>
        </w:tc>
        <w:tc>
          <w:tcPr>
            <w:tcW w:w="905" w:type="pct"/>
          </w:tcPr>
          <w:p w14:paraId="03F0DEE9"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2;15 (balancing supply-demand of energy)</w:t>
            </w:r>
          </w:p>
        </w:tc>
        <w:tc>
          <w:tcPr>
            <w:tcW w:w="2034" w:type="pct"/>
          </w:tcPr>
          <w:p w14:paraId="4AA44A57" w14:textId="77777777" w:rsidR="00EC3985" w:rsidRPr="002F1B52" w:rsidRDefault="00EC3985" w:rsidP="003E223D">
            <w:pPr>
              <w:spacing w:after="0" w:line="240" w:lineRule="auto"/>
              <w:rPr>
                <w:rFonts w:ascii="Calibri" w:hAnsi="Calibri" w:cs="Calibri"/>
                <w:sz w:val="18"/>
                <w:szCs w:val="18"/>
              </w:rPr>
            </w:pPr>
            <w:r>
              <w:rPr>
                <w:rFonts w:ascii="Calibri" w:hAnsi="Calibri" w:cs="Calibri"/>
                <w:sz w:val="18"/>
                <w:szCs w:val="18"/>
              </w:rPr>
              <w:t xml:space="preserve">The findings of this study are based on: </w:t>
            </w:r>
          </w:p>
          <w:p w14:paraId="1BC4C034" w14:textId="77777777" w:rsidR="00EC3985" w:rsidRPr="00791169" w:rsidRDefault="00EC3985" w:rsidP="00EC3985">
            <w:pPr>
              <w:pStyle w:val="ListParagraph"/>
              <w:numPr>
                <w:ilvl w:val="0"/>
                <w:numId w:val="39"/>
              </w:numPr>
              <w:spacing w:after="0" w:line="240" w:lineRule="auto"/>
              <w:rPr>
                <w:rFonts w:ascii="Calibri" w:hAnsi="Calibri" w:cs="Calibri"/>
                <w:sz w:val="18"/>
                <w:szCs w:val="18"/>
              </w:rPr>
              <w:pPrChange w:id="16" w:author="Jones, Aled" w:date="2019-11-18T13:33:00Z">
                <w:pPr>
                  <w:pStyle w:val="ListParagraph"/>
                  <w:numPr>
                    <w:numId w:val="40"/>
                  </w:numPr>
                  <w:spacing w:after="0" w:line="240" w:lineRule="auto"/>
                  <w:ind w:left="360" w:hanging="360"/>
                </w:pPr>
              </w:pPrChange>
            </w:pPr>
            <w:r>
              <w:rPr>
                <w:rFonts w:ascii="Calibri" w:hAnsi="Calibri" w:cs="Calibri"/>
                <w:sz w:val="18"/>
                <w:szCs w:val="18"/>
              </w:rPr>
              <w:t>An a</w:t>
            </w:r>
            <w:r w:rsidRPr="00791169">
              <w:rPr>
                <w:rFonts w:ascii="Calibri" w:hAnsi="Calibri" w:cs="Calibri"/>
                <w:sz w:val="18"/>
                <w:szCs w:val="18"/>
              </w:rPr>
              <w:t xml:space="preserve">nalysis of five semi-structured interviews with investors working at a major European asset manager company with over €250 Billion in assets under management and who have day-to-day involvement in the utilities sector. </w:t>
            </w:r>
          </w:p>
          <w:p w14:paraId="660E4123" w14:textId="77777777" w:rsidR="00EC3985" w:rsidRPr="00791169" w:rsidRDefault="00EC3985" w:rsidP="00EC3985">
            <w:pPr>
              <w:pStyle w:val="ListParagraph"/>
              <w:numPr>
                <w:ilvl w:val="0"/>
                <w:numId w:val="39"/>
              </w:numPr>
              <w:spacing w:after="0" w:line="240" w:lineRule="auto"/>
              <w:rPr>
                <w:rFonts w:ascii="Calibri" w:hAnsi="Calibri" w:cs="Calibri"/>
                <w:sz w:val="18"/>
                <w:szCs w:val="18"/>
              </w:rPr>
              <w:pPrChange w:id="17" w:author="Jones, Aled" w:date="2019-11-18T13:33:00Z">
                <w:pPr>
                  <w:pStyle w:val="ListParagraph"/>
                  <w:numPr>
                    <w:numId w:val="40"/>
                  </w:numPr>
                  <w:spacing w:after="0" w:line="240" w:lineRule="auto"/>
                  <w:ind w:left="360" w:hanging="360"/>
                </w:pPr>
              </w:pPrChange>
            </w:pPr>
            <w:r>
              <w:rPr>
                <w:rFonts w:ascii="Calibri" w:hAnsi="Calibri" w:cs="Calibri"/>
                <w:sz w:val="18"/>
                <w:szCs w:val="18"/>
              </w:rPr>
              <w:t>The d</w:t>
            </w:r>
            <w:r w:rsidRPr="00791169">
              <w:rPr>
                <w:rFonts w:ascii="Calibri" w:hAnsi="Calibri" w:cs="Calibri"/>
                <w:sz w:val="18"/>
                <w:szCs w:val="18"/>
              </w:rPr>
              <w:t xml:space="preserve">ata gathered through the interviews was analysed with Grounded Theory (GT). </w:t>
            </w:r>
          </w:p>
        </w:tc>
        <w:tc>
          <w:tcPr>
            <w:tcW w:w="532" w:type="pct"/>
          </w:tcPr>
          <w:p w14:paraId="4BE5C909"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Asset managers</w:t>
            </w:r>
          </w:p>
          <w:p w14:paraId="495E38A2" w14:textId="77777777" w:rsidR="00EC3985" w:rsidRPr="00791169" w:rsidRDefault="00EC3985" w:rsidP="003E223D">
            <w:pPr>
              <w:spacing w:after="0" w:line="240" w:lineRule="auto"/>
              <w:rPr>
                <w:rFonts w:ascii="Calibri" w:hAnsi="Calibri" w:cs="Calibri"/>
                <w:sz w:val="18"/>
                <w:szCs w:val="18"/>
              </w:rPr>
            </w:pPr>
          </w:p>
        </w:tc>
        <w:tc>
          <w:tcPr>
            <w:tcW w:w="577" w:type="pct"/>
          </w:tcPr>
          <w:p w14:paraId="3EAF7AF0"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All renewables / </w:t>
            </w:r>
            <w:r w:rsidRPr="00791169">
              <w:rPr>
                <w:rFonts w:ascii="Calibri" w:hAnsi="Calibri" w:cs="Calibri"/>
                <w:sz w:val="18"/>
                <w:szCs w:val="18"/>
              </w:rPr>
              <w:t>EU</w:t>
            </w:r>
          </w:p>
        </w:tc>
      </w:tr>
      <w:tr w:rsidR="00EC3985" w:rsidRPr="00791169" w14:paraId="700D3494" w14:textId="77777777" w:rsidTr="003E223D">
        <w:trPr>
          <w:trHeight w:val="19"/>
          <w:jc w:val="center"/>
        </w:trPr>
        <w:tc>
          <w:tcPr>
            <w:tcW w:w="952" w:type="pct"/>
            <w:shd w:val="clear" w:color="auto" w:fill="auto"/>
            <w:noWrap/>
          </w:tcPr>
          <w:p w14:paraId="07046592" w14:textId="77777777" w:rsidR="00EC3985" w:rsidRPr="002B64EA" w:rsidRDefault="00EC3985" w:rsidP="003E223D">
            <w:pPr>
              <w:spacing w:after="0" w:line="240" w:lineRule="auto"/>
              <w:rPr>
                <w:rFonts w:ascii="Calibri" w:eastAsia="Times New Roman" w:hAnsi="Calibri" w:cs="Calibri"/>
                <w:sz w:val="18"/>
                <w:szCs w:val="18"/>
                <w:lang w:eastAsia="en-GB"/>
              </w:rPr>
            </w:pPr>
            <w:proofErr w:type="spellStart"/>
            <w:r w:rsidRPr="002B64EA">
              <w:rPr>
                <w:rFonts w:ascii="Calibri" w:eastAsia="Times New Roman" w:hAnsi="Calibri" w:cs="Calibri"/>
                <w:sz w:val="18"/>
                <w:szCs w:val="18"/>
                <w:lang w:eastAsia="en-GB"/>
              </w:rPr>
              <w:t>Lüthi</w:t>
            </w:r>
            <w:proofErr w:type="spellEnd"/>
            <w:r w:rsidRPr="002B64EA">
              <w:rPr>
                <w:rFonts w:ascii="Calibri" w:eastAsia="Times New Roman" w:hAnsi="Calibri" w:cs="Calibri"/>
                <w:sz w:val="18"/>
                <w:szCs w:val="18"/>
                <w:lang w:eastAsia="en-GB"/>
              </w:rPr>
              <w:t xml:space="preserve"> &amp; </w:t>
            </w:r>
            <w:proofErr w:type="spellStart"/>
            <w:r w:rsidRPr="002B64EA">
              <w:rPr>
                <w:rFonts w:ascii="Calibri" w:eastAsia="Times New Roman" w:hAnsi="Calibri" w:cs="Calibri"/>
                <w:sz w:val="18"/>
                <w:szCs w:val="18"/>
                <w:lang w:eastAsia="en-GB"/>
              </w:rPr>
              <w:t>Prässler</w:t>
            </w:r>
            <w:proofErr w:type="spellEnd"/>
            <w:r w:rsidRPr="002B64EA">
              <w:rPr>
                <w:rFonts w:ascii="Calibri" w:eastAsia="Times New Roman" w:hAnsi="Calibri" w:cs="Calibri"/>
                <w:sz w:val="18"/>
                <w:szCs w:val="18"/>
                <w:lang w:eastAsia="en-GB"/>
              </w:rPr>
              <w:t xml:space="preserve"> (2011)</w:t>
            </w:r>
          </w:p>
        </w:tc>
        <w:tc>
          <w:tcPr>
            <w:tcW w:w="905" w:type="pct"/>
            <w:shd w:val="clear" w:color="auto" w:fill="auto"/>
          </w:tcPr>
          <w:p w14:paraId="4EB94537"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1;2;15 (lack of grid access and of access to credit; legal security, return level)</w:t>
            </w:r>
          </w:p>
        </w:tc>
        <w:tc>
          <w:tcPr>
            <w:tcW w:w="2034" w:type="pct"/>
            <w:shd w:val="clear" w:color="auto" w:fill="auto"/>
          </w:tcPr>
          <w:p w14:paraId="34A12B25"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 xml:space="preserve">The study builds up on existing literature and applies conjoint analysis as </w:t>
            </w:r>
            <w:r>
              <w:rPr>
                <w:rFonts w:ascii="Calibri" w:hAnsi="Calibri" w:cs="Calibri"/>
                <w:sz w:val="18"/>
                <w:szCs w:val="18"/>
              </w:rPr>
              <w:t xml:space="preserve">a </w:t>
            </w:r>
            <w:r w:rsidRPr="002B64EA">
              <w:rPr>
                <w:rFonts w:ascii="Calibri" w:hAnsi="Calibri" w:cs="Calibri"/>
                <w:sz w:val="18"/>
                <w:szCs w:val="18"/>
              </w:rPr>
              <w:t xml:space="preserve">scenario tool for estimating potential effects of specific policy measures based on dataset of 119 onshore wind energy developers' preferences. </w:t>
            </w:r>
          </w:p>
        </w:tc>
        <w:tc>
          <w:tcPr>
            <w:tcW w:w="532" w:type="pct"/>
            <w:shd w:val="clear" w:color="auto" w:fill="auto"/>
          </w:tcPr>
          <w:p w14:paraId="2600EDF4"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Project developers</w:t>
            </w:r>
          </w:p>
          <w:p w14:paraId="0CB5765F" w14:textId="77777777" w:rsidR="00EC3985" w:rsidRPr="002B64EA" w:rsidRDefault="00EC3985" w:rsidP="003E223D">
            <w:pPr>
              <w:spacing w:after="0" w:line="240" w:lineRule="auto"/>
              <w:rPr>
                <w:rFonts w:ascii="Calibri" w:hAnsi="Calibri" w:cs="Calibri"/>
                <w:sz w:val="18"/>
                <w:szCs w:val="18"/>
              </w:rPr>
            </w:pPr>
          </w:p>
        </w:tc>
        <w:tc>
          <w:tcPr>
            <w:tcW w:w="577" w:type="pct"/>
            <w:shd w:val="clear" w:color="auto" w:fill="auto"/>
          </w:tcPr>
          <w:p w14:paraId="288ACDFD"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Onshore wind / US &amp; EU</w:t>
            </w:r>
          </w:p>
        </w:tc>
      </w:tr>
      <w:tr w:rsidR="00EC3985" w:rsidRPr="00791169" w14:paraId="0D04FD89" w14:textId="77777777" w:rsidTr="003E223D">
        <w:trPr>
          <w:trHeight w:val="19"/>
          <w:jc w:val="center"/>
        </w:trPr>
        <w:tc>
          <w:tcPr>
            <w:tcW w:w="952" w:type="pct"/>
            <w:shd w:val="clear" w:color="auto" w:fill="auto"/>
            <w:noWrap/>
          </w:tcPr>
          <w:p w14:paraId="45A71185"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Masini</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Menichetti</w:t>
            </w:r>
            <w:proofErr w:type="spellEnd"/>
            <w:r w:rsidRPr="00791169">
              <w:rPr>
                <w:rFonts w:ascii="Calibri" w:eastAsia="Times New Roman" w:hAnsi="Calibri" w:cs="Calibri"/>
                <w:sz w:val="18"/>
                <w:szCs w:val="18"/>
                <w:lang w:eastAsia="en-GB"/>
              </w:rPr>
              <w:t xml:space="preserve"> (2012)</w:t>
            </w:r>
          </w:p>
        </w:tc>
        <w:tc>
          <w:tcPr>
            <w:tcW w:w="905" w:type="pct"/>
            <w:shd w:val="clear" w:color="auto" w:fill="auto"/>
          </w:tcPr>
          <w:p w14:paraId="3557E99E"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 xml:space="preserve">2;4.2 for venture and equity investors in particular);7;15 (time horizon of support level </w:t>
            </w:r>
            <w:r w:rsidRPr="003D172C">
              <w:rPr>
                <w:rFonts w:ascii="Calibri" w:hAnsi="Calibri" w:cs="Calibri"/>
                <w:sz w:val="18"/>
                <w:szCs w:val="18"/>
              </w:rPr>
              <w:lastRenderedPageBreak/>
              <w:t>and the support level of the policy is too low)</w:t>
            </w:r>
          </w:p>
        </w:tc>
        <w:tc>
          <w:tcPr>
            <w:tcW w:w="2034" w:type="pct"/>
          </w:tcPr>
          <w:p w14:paraId="08AA251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lastRenderedPageBreak/>
              <w:t xml:space="preserve">Estimation of an econometric model (using OLS regression and 2 stage least square (SLS) based on 93 questionnaires. Thereby, the RE share in the investment portfolio was used as the dependent variable and the confidence </w:t>
            </w:r>
            <w:r w:rsidRPr="00791169">
              <w:rPr>
                <w:rFonts w:ascii="Calibri" w:hAnsi="Calibri" w:cs="Calibri"/>
                <w:sz w:val="18"/>
                <w:szCs w:val="18"/>
              </w:rPr>
              <w:lastRenderedPageBreak/>
              <w:t>in market efficiency, the confidence in technology effectiveness, the technological risk attitude, the perceived importance of policy-type, the perceived importance of support level and the perceived importance of suppor</w:t>
            </w:r>
            <w:r>
              <w:rPr>
                <w:rFonts w:ascii="Calibri" w:hAnsi="Calibri" w:cs="Calibri"/>
                <w:sz w:val="18"/>
                <w:szCs w:val="18"/>
              </w:rPr>
              <w:t>t duration. The estimated model</w:t>
            </w:r>
            <w:r w:rsidRPr="00791169">
              <w:rPr>
                <w:rFonts w:ascii="Calibri" w:hAnsi="Calibri" w:cs="Calibri"/>
                <w:sz w:val="18"/>
                <w:szCs w:val="18"/>
              </w:rPr>
              <w:t xml:space="preserve"> also control the investor’s experience by the use of different dummy-variables. </w:t>
            </w:r>
          </w:p>
        </w:tc>
        <w:tc>
          <w:tcPr>
            <w:tcW w:w="532" w:type="pct"/>
          </w:tcPr>
          <w:p w14:paraId="025EDE1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lastRenderedPageBreak/>
              <w:t xml:space="preserve">Venture capital and private equity and </w:t>
            </w:r>
            <w:r w:rsidRPr="00791169">
              <w:rPr>
                <w:rFonts w:ascii="Calibri" w:hAnsi="Calibri" w:cs="Calibri"/>
                <w:sz w:val="18"/>
                <w:szCs w:val="18"/>
              </w:rPr>
              <w:lastRenderedPageBreak/>
              <w:t xml:space="preserve">investment funds, asset managers, </w:t>
            </w:r>
            <w:r>
              <w:rPr>
                <w:rFonts w:ascii="Calibri" w:hAnsi="Calibri" w:cs="Calibri"/>
                <w:sz w:val="18"/>
                <w:szCs w:val="18"/>
              </w:rPr>
              <w:t xml:space="preserve">commercial banks, </w:t>
            </w:r>
            <w:r w:rsidRPr="00791169">
              <w:rPr>
                <w:rFonts w:ascii="Calibri" w:hAnsi="Calibri" w:cs="Calibri"/>
                <w:sz w:val="18"/>
                <w:szCs w:val="18"/>
              </w:rPr>
              <w:t>project developer</w:t>
            </w:r>
            <w:r>
              <w:rPr>
                <w:rFonts w:ascii="Calibri" w:hAnsi="Calibri" w:cs="Calibri"/>
                <w:sz w:val="18"/>
                <w:szCs w:val="18"/>
              </w:rPr>
              <w:t xml:space="preserve">s </w:t>
            </w:r>
            <w:r w:rsidRPr="00791169">
              <w:rPr>
                <w:rFonts w:ascii="Calibri" w:hAnsi="Calibri" w:cs="Calibri"/>
                <w:sz w:val="18"/>
                <w:szCs w:val="18"/>
              </w:rPr>
              <w:t xml:space="preserve">and energy companies </w:t>
            </w:r>
          </w:p>
        </w:tc>
        <w:tc>
          <w:tcPr>
            <w:tcW w:w="577" w:type="pct"/>
          </w:tcPr>
          <w:p w14:paraId="0C7C0629"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lastRenderedPageBreak/>
              <w:t xml:space="preserve">All renewables / </w:t>
            </w:r>
            <w:r w:rsidRPr="00791169">
              <w:rPr>
                <w:rFonts w:ascii="Calibri" w:hAnsi="Calibri" w:cs="Calibri"/>
                <w:sz w:val="18"/>
                <w:szCs w:val="18"/>
              </w:rPr>
              <w:t>EU</w:t>
            </w:r>
          </w:p>
        </w:tc>
      </w:tr>
      <w:tr w:rsidR="00EC3985" w:rsidRPr="00791169" w14:paraId="59343904" w14:textId="77777777" w:rsidTr="003E223D">
        <w:trPr>
          <w:trHeight w:val="19"/>
          <w:jc w:val="center"/>
        </w:trPr>
        <w:tc>
          <w:tcPr>
            <w:tcW w:w="952" w:type="pct"/>
            <w:shd w:val="clear" w:color="auto" w:fill="auto"/>
            <w:noWrap/>
            <w:hideMark/>
          </w:tcPr>
          <w:p w14:paraId="137F2271"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Masini</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Menichetti</w:t>
            </w:r>
            <w:proofErr w:type="spellEnd"/>
            <w:r w:rsidRPr="00791169">
              <w:rPr>
                <w:rFonts w:ascii="Calibri" w:eastAsia="Times New Roman" w:hAnsi="Calibri" w:cs="Calibri"/>
                <w:sz w:val="18"/>
                <w:szCs w:val="18"/>
                <w:lang w:eastAsia="en-GB"/>
              </w:rPr>
              <w:t xml:space="preserve"> (2013)</w:t>
            </w:r>
          </w:p>
        </w:tc>
        <w:tc>
          <w:tcPr>
            <w:tcW w:w="905" w:type="pct"/>
            <w:shd w:val="clear" w:color="auto" w:fill="auto"/>
          </w:tcPr>
          <w:p w14:paraId="0F58FDAF"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2;4.2;7;12;15 (institutional and peer pressure; effectiveness of existing policies)</w:t>
            </w:r>
          </w:p>
        </w:tc>
        <w:tc>
          <w:tcPr>
            <w:tcW w:w="2034" w:type="pct"/>
          </w:tcPr>
          <w:p w14:paraId="6408CABC"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The study develops a </w:t>
            </w:r>
            <w:r w:rsidRPr="00791169">
              <w:rPr>
                <w:rFonts w:ascii="Calibri" w:hAnsi="Calibri" w:cs="Calibri"/>
                <w:sz w:val="18"/>
                <w:szCs w:val="18"/>
              </w:rPr>
              <w:t>conceptual framework based on:</w:t>
            </w:r>
            <w:r>
              <w:rPr>
                <w:rFonts w:ascii="Calibri" w:hAnsi="Calibri" w:cs="Calibri"/>
                <w:sz w:val="18"/>
                <w:szCs w:val="18"/>
              </w:rPr>
              <w:t xml:space="preserve"> </w:t>
            </w:r>
          </w:p>
          <w:p w14:paraId="405675EC" w14:textId="77777777" w:rsidR="00EC3985" w:rsidRPr="00791169" w:rsidRDefault="00EC3985" w:rsidP="00EC3985">
            <w:pPr>
              <w:pStyle w:val="ListParagraph"/>
              <w:numPr>
                <w:ilvl w:val="0"/>
                <w:numId w:val="41"/>
              </w:numPr>
              <w:spacing w:after="0" w:line="240" w:lineRule="auto"/>
              <w:rPr>
                <w:rFonts w:ascii="Calibri" w:hAnsi="Calibri" w:cs="Calibri"/>
                <w:sz w:val="18"/>
                <w:szCs w:val="18"/>
              </w:rPr>
              <w:pPrChange w:id="18" w:author="Jones, Aled" w:date="2019-11-18T13:33:00Z">
                <w:pPr>
                  <w:pStyle w:val="ListParagraph"/>
                  <w:numPr>
                    <w:numId w:val="42"/>
                  </w:numPr>
                  <w:spacing w:after="0" w:line="240" w:lineRule="auto"/>
                  <w:ind w:left="360" w:hanging="360"/>
                </w:pPr>
              </w:pPrChange>
            </w:pPr>
            <w:r>
              <w:rPr>
                <w:rFonts w:ascii="Calibri" w:hAnsi="Calibri" w:cs="Calibri"/>
                <w:sz w:val="18"/>
                <w:szCs w:val="18"/>
              </w:rPr>
              <w:t>A r</w:t>
            </w:r>
            <w:r w:rsidRPr="00791169">
              <w:rPr>
                <w:rFonts w:ascii="Calibri" w:hAnsi="Calibri" w:cs="Calibri"/>
                <w:sz w:val="18"/>
                <w:szCs w:val="18"/>
              </w:rPr>
              <w:t>eview of the literature</w:t>
            </w:r>
          </w:p>
          <w:p w14:paraId="4FF6C097" w14:textId="77777777" w:rsidR="00EC3985" w:rsidRPr="00791169" w:rsidRDefault="00EC3985" w:rsidP="00EC3985">
            <w:pPr>
              <w:pStyle w:val="ListParagraph"/>
              <w:numPr>
                <w:ilvl w:val="0"/>
                <w:numId w:val="41"/>
              </w:numPr>
              <w:spacing w:after="0" w:line="240" w:lineRule="auto"/>
              <w:rPr>
                <w:rFonts w:ascii="Calibri" w:hAnsi="Calibri" w:cs="Calibri"/>
                <w:sz w:val="18"/>
                <w:szCs w:val="18"/>
              </w:rPr>
              <w:pPrChange w:id="19" w:author="Jones, Aled" w:date="2019-11-18T13:33:00Z">
                <w:pPr>
                  <w:pStyle w:val="ListParagraph"/>
                  <w:numPr>
                    <w:numId w:val="42"/>
                  </w:numPr>
                  <w:spacing w:after="0" w:line="240" w:lineRule="auto"/>
                  <w:ind w:left="360" w:hanging="360"/>
                </w:pPr>
              </w:pPrChange>
            </w:pPr>
            <w:r w:rsidRPr="00791169">
              <w:rPr>
                <w:rFonts w:ascii="Calibri" w:hAnsi="Calibri" w:cs="Calibri"/>
                <w:sz w:val="18"/>
                <w:szCs w:val="18"/>
              </w:rPr>
              <w:t xml:space="preserve">Several interviews with experts </w:t>
            </w:r>
          </w:p>
          <w:p w14:paraId="4847433C" w14:textId="77777777" w:rsidR="00EC3985" w:rsidRDefault="00EC3985" w:rsidP="00EC3985">
            <w:pPr>
              <w:pStyle w:val="ListParagraph"/>
              <w:numPr>
                <w:ilvl w:val="0"/>
                <w:numId w:val="41"/>
              </w:numPr>
              <w:spacing w:after="0" w:line="240" w:lineRule="auto"/>
              <w:rPr>
                <w:rFonts w:ascii="Calibri" w:hAnsi="Calibri" w:cs="Calibri"/>
                <w:sz w:val="18"/>
                <w:szCs w:val="18"/>
              </w:rPr>
              <w:pPrChange w:id="20" w:author="Jones, Aled" w:date="2019-11-18T13:33:00Z">
                <w:pPr>
                  <w:pStyle w:val="ListParagraph"/>
                  <w:numPr>
                    <w:numId w:val="42"/>
                  </w:numPr>
                  <w:spacing w:after="0" w:line="240" w:lineRule="auto"/>
                  <w:ind w:left="360" w:hanging="360"/>
                </w:pPr>
              </w:pPrChange>
            </w:pPr>
            <w:r w:rsidRPr="00791169">
              <w:rPr>
                <w:rFonts w:ascii="Calibri" w:hAnsi="Calibri" w:cs="Calibri"/>
                <w:sz w:val="18"/>
                <w:szCs w:val="18"/>
              </w:rPr>
              <w:t>A web-based survey questionnaire (93 questionnaires were ultimately retained for the analysis)</w:t>
            </w:r>
          </w:p>
          <w:p w14:paraId="70EB4197" w14:textId="77777777" w:rsidR="00EC3985" w:rsidRDefault="00EC3985" w:rsidP="003E223D">
            <w:pPr>
              <w:spacing w:after="0" w:line="240" w:lineRule="auto"/>
              <w:rPr>
                <w:rFonts w:ascii="Calibri" w:hAnsi="Calibri" w:cs="Calibri"/>
                <w:sz w:val="18"/>
                <w:szCs w:val="18"/>
              </w:rPr>
            </w:pPr>
          </w:p>
          <w:p w14:paraId="0C40342C" w14:textId="77777777" w:rsidR="00EC3985" w:rsidRPr="00FC1D8A" w:rsidRDefault="00EC3985" w:rsidP="003E223D">
            <w:pPr>
              <w:spacing w:after="0" w:line="240" w:lineRule="auto"/>
              <w:rPr>
                <w:rFonts w:ascii="Calibri" w:hAnsi="Calibri" w:cs="Calibri"/>
                <w:sz w:val="18"/>
                <w:szCs w:val="18"/>
              </w:rPr>
            </w:pPr>
            <w:r>
              <w:rPr>
                <w:rFonts w:ascii="Calibri" w:hAnsi="Calibri" w:cs="Calibri"/>
                <w:sz w:val="18"/>
                <w:szCs w:val="18"/>
              </w:rPr>
              <w:t>The study also tests an</w:t>
            </w:r>
            <w:r w:rsidRPr="00FC1D8A">
              <w:rPr>
                <w:rFonts w:ascii="Calibri" w:hAnsi="Calibri" w:cs="Calibri"/>
                <w:sz w:val="18"/>
                <w:szCs w:val="18"/>
              </w:rPr>
              <w:t xml:space="preserve"> empirical model by operationa</w:t>
            </w:r>
            <w:r>
              <w:rPr>
                <w:rFonts w:ascii="Calibri" w:hAnsi="Calibri" w:cs="Calibri"/>
                <w:sz w:val="18"/>
                <w:szCs w:val="18"/>
              </w:rPr>
              <w:t xml:space="preserve">lization of the collected data. Thereby, the </w:t>
            </w:r>
            <w:r w:rsidRPr="00FC1D8A">
              <w:rPr>
                <w:rFonts w:ascii="Calibri" w:hAnsi="Calibri" w:cs="Calibri"/>
                <w:sz w:val="18"/>
                <w:szCs w:val="18"/>
              </w:rPr>
              <w:t>share of RE in the investment portfolio</w:t>
            </w:r>
            <w:r>
              <w:rPr>
                <w:rFonts w:ascii="Calibri" w:hAnsi="Calibri" w:cs="Calibri"/>
                <w:sz w:val="18"/>
                <w:szCs w:val="18"/>
              </w:rPr>
              <w:t xml:space="preserve"> is the dependent variable. </w:t>
            </w:r>
          </w:p>
        </w:tc>
        <w:tc>
          <w:tcPr>
            <w:tcW w:w="532" w:type="pct"/>
          </w:tcPr>
          <w:p w14:paraId="161E2845"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Venture Capitalists, Private Equity Funds, Asset Managers, Investment Funds, Commercial Banks and Energy Companies</w:t>
            </w:r>
            <w:r>
              <w:rPr>
                <w:rFonts w:ascii="Calibri" w:hAnsi="Calibri" w:cs="Calibri"/>
                <w:sz w:val="18"/>
                <w:szCs w:val="18"/>
              </w:rPr>
              <w:t xml:space="preserve"> </w:t>
            </w:r>
          </w:p>
        </w:tc>
        <w:tc>
          <w:tcPr>
            <w:tcW w:w="577" w:type="pct"/>
          </w:tcPr>
          <w:p w14:paraId="1DFB9FF5"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All renewables / </w:t>
            </w:r>
            <w:r w:rsidRPr="00791169">
              <w:rPr>
                <w:rFonts w:ascii="Calibri" w:hAnsi="Calibri" w:cs="Calibri"/>
                <w:sz w:val="18"/>
                <w:szCs w:val="18"/>
              </w:rPr>
              <w:t>EU</w:t>
            </w:r>
          </w:p>
        </w:tc>
      </w:tr>
      <w:tr w:rsidR="00EC3985" w:rsidRPr="00791169" w14:paraId="6AE34397" w14:textId="77777777" w:rsidTr="003E223D">
        <w:trPr>
          <w:trHeight w:val="19"/>
          <w:jc w:val="center"/>
        </w:trPr>
        <w:tc>
          <w:tcPr>
            <w:tcW w:w="952" w:type="pct"/>
            <w:shd w:val="clear" w:color="auto" w:fill="auto"/>
            <w:noWrap/>
          </w:tcPr>
          <w:p w14:paraId="437C4570" w14:textId="77777777" w:rsidR="00EC3985" w:rsidRPr="002B64EA" w:rsidRDefault="00EC3985" w:rsidP="003E223D">
            <w:pPr>
              <w:spacing w:after="0" w:line="240" w:lineRule="auto"/>
              <w:rPr>
                <w:rFonts w:ascii="Calibri" w:eastAsia="Times New Roman" w:hAnsi="Calibri" w:cs="Calibri"/>
                <w:sz w:val="18"/>
                <w:szCs w:val="18"/>
                <w:lang w:val="de-CH" w:eastAsia="en-GB"/>
              </w:rPr>
            </w:pPr>
            <w:r w:rsidRPr="002B64EA">
              <w:rPr>
                <w:rFonts w:ascii="Calibri" w:eastAsia="Times New Roman" w:hAnsi="Calibri" w:cs="Calibri"/>
                <w:sz w:val="18"/>
                <w:szCs w:val="18"/>
                <w:lang w:eastAsia="en-GB"/>
              </w:rPr>
              <w:t>Martin &amp; Rice (2012)</w:t>
            </w:r>
          </w:p>
        </w:tc>
        <w:tc>
          <w:tcPr>
            <w:tcW w:w="905" w:type="pct"/>
            <w:shd w:val="clear" w:color="auto" w:fill="auto"/>
          </w:tcPr>
          <w:p w14:paraId="1180C49D"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1;4.1;5;12;15 (lack of project finance availability, grit access or lack of other infrastructure; lack of skilled workforce; large availability of coal)</w:t>
            </w:r>
          </w:p>
        </w:tc>
        <w:tc>
          <w:tcPr>
            <w:tcW w:w="2034" w:type="pct"/>
            <w:shd w:val="clear" w:color="auto" w:fill="auto"/>
          </w:tcPr>
          <w:p w14:paraId="1403763B"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 xml:space="preserve">Application of stakeholder theory to investigate barriers to RE supply growth in Queensland (Australia) based on: </w:t>
            </w:r>
          </w:p>
          <w:p w14:paraId="63DB7BF0" w14:textId="77777777" w:rsidR="00EC3985" w:rsidRDefault="00EC3985" w:rsidP="00EC3985">
            <w:pPr>
              <w:pStyle w:val="ListParagraph"/>
              <w:numPr>
                <w:ilvl w:val="0"/>
                <w:numId w:val="42"/>
              </w:numPr>
              <w:spacing w:after="0" w:line="240" w:lineRule="auto"/>
              <w:rPr>
                <w:rFonts w:ascii="Calibri" w:hAnsi="Calibri" w:cs="Calibri"/>
                <w:sz w:val="18"/>
                <w:szCs w:val="18"/>
              </w:rPr>
              <w:pPrChange w:id="21" w:author="Jones, Aled" w:date="2019-11-18T13:33:00Z">
                <w:pPr>
                  <w:pStyle w:val="ListParagraph"/>
                  <w:numPr>
                    <w:numId w:val="46"/>
                  </w:numPr>
                  <w:tabs>
                    <w:tab w:val="num" w:pos="360"/>
                  </w:tabs>
                  <w:spacing w:after="0" w:line="240" w:lineRule="auto"/>
                  <w:ind w:left="360" w:hanging="360"/>
                </w:pPr>
              </w:pPrChange>
            </w:pPr>
            <w:r w:rsidRPr="002B64EA">
              <w:rPr>
                <w:rFonts w:ascii="Calibri" w:hAnsi="Calibri" w:cs="Calibri"/>
                <w:sz w:val="18"/>
                <w:szCs w:val="18"/>
              </w:rPr>
              <w:t xml:space="preserve">Data collected on from the Queensland government web pages that </w:t>
            </w:r>
            <w:proofErr w:type="gramStart"/>
            <w:r w:rsidRPr="002B64EA">
              <w:rPr>
                <w:rFonts w:ascii="Calibri" w:hAnsi="Calibri" w:cs="Calibri"/>
                <w:sz w:val="18"/>
                <w:szCs w:val="18"/>
              </w:rPr>
              <w:t>were established</w:t>
            </w:r>
            <w:proofErr w:type="gramEnd"/>
            <w:r w:rsidRPr="002B64EA">
              <w:rPr>
                <w:rFonts w:ascii="Calibri" w:hAnsi="Calibri" w:cs="Calibri"/>
                <w:sz w:val="18"/>
                <w:szCs w:val="18"/>
              </w:rPr>
              <w:t xml:space="preserve"> for the inquiry into ‘Growing Queensland’s Renewable Energy Electricity Sector’, conducted by the state’s Environment and Resources Committee</w:t>
            </w:r>
            <w:r>
              <w:rPr>
                <w:rFonts w:ascii="Calibri" w:hAnsi="Calibri" w:cs="Calibri"/>
                <w:sz w:val="18"/>
                <w:szCs w:val="18"/>
              </w:rPr>
              <w:t xml:space="preserve">. </w:t>
            </w:r>
          </w:p>
          <w:p w14:paraId="762EA377" w14:textId="77777777" w:rsidR="00EC3985" w:rsidRPr="00FC1D8A" w:rsidRDefault="00EC3985" w:rsidP="00EC3985">
            <w:pPr>
              <w:pStyle w:val="ListParagraph"/>
              <w:numPr>
                <w:ilvl w:val="0"/>
                <w:numId w:val="42"/>
              </w:numPr>
              <w:spacing w:after="0" w:line="240" w:lineRule="auto"/>
              <w:rPr>
                <w:rFonts w:ascii="Calibri" w:hAnsi="Calibri" w:cs="Calibri"/>
                <w:sz w:val="18"/>
                <w:szCs w:val="18"/>
              </w:rPr>
              <w:pPrChange w:id="22" w:author="Jones, Aled" w:date="2019-11-18T13:33:00Z">
                <w:pPr>
                  <w:pStyle w:val="ListParagraph"/>
                  <w:numPr>
                    <w:numId w:val="46"/>
                  </w:numPr>
                  <w:tabs>
                    <w:tab w:val="num" w:pos="360"/>
                  </w:tabs>
                  <w:spacing w:after="0" w:line="240" w:lineRule="auto"/>
                  <w:ind w:left="360" w:hanging="360"/>
                </w:pPr>
              </w:pPrChange>
            </w:pPr>
            <w:r w:rsidRPr="00FC1D8A">
              <w:rPr>
                <w:rFonts w:ascii="Calibri" w:hAnsi="Calibri" w:cs="Calibri"/>
                <w:sz w:val="18"/>
                <w:szCs w:val="18"/>
              </w:rPr>
              <w:t xml:space="preserve">The data was in form of written submissions by firms, stakeholder organizations, GOs and NGOs in the RE industry sector. </w:t>
            </w:r>
          </w:p>
        </w:tc>
        <w:tc>
          <w:tcPr>
            <w:tcW w:w="532" w:type="pct"/>
            <w:shd w:val="clear" w:color="auto" w:fill="auto"/>
          </w:tcPr>
          <w:p w14:paraId="7642010A" w14:textId="77777777" w:rsidR="00EC3985" w:rsidRPr="002B64EA" w:rsidRDefault="00EC3985" w:rsidP="003E223D">
            <w:pPr>
              <w:spacing w:after="0" w:line="240" w:lineRule="auto"/>
              <w:rPr>
                <w:rFonts w:ascii="Calibri" w:hAnsi="Calibri" w:cs="Calibri"/>
                <w:sz w:val="18"/>
                <w:szCs w:val="18"/>
              </w:rPr>
            </w:pPr>
            <w:r w:rsidRPr="002B64EA">
              <w:rPr>
                <w:rFonts w:ascii="Calibri" w:hAnsi="Calibri" w:cs="Calibri"/>
                <w:sz w:val="18"/>
                <w:szCs w:val="18"/>
              </w:rPr>
              <w:t>Project developers</w:t>
            </w:r>
          </w:p>
        </w:tc>
        <w:tc>
          <w:tcPr>
            <w:tcW w:w="577" w:type="pct"/>
            <w:shd w:val="clear" w:color="auto" w:fill="auto"/>
          </w:tcPr>
          <w:p w14:paraId="5D2EE3BA" w14:textId="77777777" w:rsidR="00EC3985" w:rsidRPr="002B64EA"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2B64EA">
              <w:rPr>
                <w:rFonts w:ascii="Calibri" w:hAnsi="Calibri" w:cs="Calibri"/>
                <w:sz w:val="18"/>
                <w:szCs w:val="18"/>
              </w:rPr>
              <w:t xml:space="preserve"> / Australia</w:t>
            </w:r>
          </w:p>
        </w:tc>
      </w:tr>
      <w:tr w:rsidR="00EC3985" w:rsidRPr="00791169" w14:paraId="67159F8D" w14:textId="77777777" w:rsidTr="003E223D">
        <w:trPr>
          <w:trHeight w:val="19"/>
          <w:jc w:val="center"/>
        </w:trPr>
        <w:tc>
          <w:tcPr>
            <w:tcW w:w="952" w:type="pct"/>
            <w:shd w:val="clear" w:color="auto" w:fill="auto"/>
            <w:noWrap/>
          </w:tcPr>
          <w:p w14:paraId="2BA4DCB6" w14:textId="77777777" w:rsidR="00EC3985" w:rsidRPr="006F1E33" w:rsidRDefault="00EC3985" w:rsidP="003E223D">
            <w:pPr>
              <w:spacing w:after="0" w:line="240" w:lineRule="auto"/>
              <w:rPr>
                <w:rFonts w:ascii="Calibri" w:eastAsia="Times New Roman" w:hAnsi="Calibri" w:cs="Calibri"/>
                <w:sz w:val="18"/>
                <w:szCs w:val="18"/>
                <w:lang w:eastAsia="en-GB"/>
              </w:rPr>
            </w:pPr>
            <w:proofErr w:type="spellStart"/>
            <w:r w:rsidRPr="006F1E33">
              <w:rPr>
                <w:rFonts w:ascii="Calibri" w:hAnsi="Calibri" w:cs="Calibri"/>
                <w:color w:val="000000" w:themeColor="text1"/>
                <w:sz w:val="18"/>
                <w:szCs w:val="18"/>
              </w:rPr>
              <w:t>Mielke</w:t>
            </w:r>
            <w:proofErr w:type="spellEnd"/>
            <w:r w:rsidRPr="006F1E33">
              <w:rPr>
                <w:rFonts w:ascii="Calibri" w:hAnsi="Calibri" w:cs="Calibri"/>
                <w:color w:val="000000" w:themeColor="text1"/>
                <w:sz w:val="18"/>
                <w:szCs w:val="18"/>
              </w:rPr>
              <w:t xml:space="preserve"> (2019)</w:t>
            </w:r>
          </w:p>
        </w:tc>
        <w:tc>
          <w:tcPr>
            <w:tcW w:w="905" w:type="pct"/>
            <w:shd w:val="clear" w:color="auto" w:fill="auto"/>
          </w:tcPr>
          <w:p w14:paraId="6EB3F879"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2;9</w:t>
            </w:r>
            <w:r>
              <w:rPr>
                <w:rFonts w:ascii="Calibri" w:hAnsi="Calibri" w:cs="Calibri"/>
                <w:sz w:val="18"/>
                <w:szCs w:val="18"/>
              </w:rPr>
              <w:t>;15</w:t>
            </w:r>
          </w:p>
        </w:tc>
        <w:tc>
          <w:tcPr>
            <w:tcW w:w="2034" w:type="pct"/>
            <w:shd w:val="clear" w:color="auto" w:fill="auto"/>
          </w:tcPr>
          <w:p w14:paraId="0950294E" w14:textId="77777777" w:rsidR="00EC3985" w:rsidRPr="002B64EA" w:rsidRDefault="00EC3985" w:rsidP="003E223D">
            <w:pPr>
              <w:spacing w:after="0" w:line="240" w:lineRule="auto"/>
              <w:rPr>
                <w:rFonts w:ascii="Calibri" w:hAnsi="Calibri" w:cs="Calibri"/>
                <w:sz w:val="18"/>
                <w:szCs w:val="18"/>
              </w:rPr>
            </w:pPr>
            <w:r>
              <w:rPr>
                <w:rFonts w:ascii="Calibri" w:hAnsi="Calibri" w:cs="Calibri"/>
                <w:sz w:val="18"/>
                <w:szCs w:val="18"/>
              </w:rPr>
              <w:t>Discussion with focus groups, including key stakeholders such as utilities, infrastructure companies, representatives from the financial sector as well as civil society</w:t>
            </w:r>
          </w:p>
        </w:tc>
        <w:tc>
          <w:tcPr>
            <w:tcW w:w="532" w:type="pct"/>
            <w:shd w:val="clear" w:color="auto" w:fill="auto"/>
          </w:tcPr>
          <w:p w14:paraId="634D45D0" w14:textId="77777777" w:rsidR="00EC3985" w:rsidRPr="002B64EA" w:rsidRDefault="00EC3985" w:rsidP="003E223D">
            <w:pPr>
              <w:spacing w:after="0" w:line="240" w:lineRule="auto"/>
              <w:rPr>
                <w:rFonts w:ascii="Calibri" w:hAnsi="Calibri" w:cs="Calibri"/>
                <w:sz w:val="18"/>
                <w:szCs w:val="18"/>
              </w:rPr>
            </w:pPr>
            <w:r>
              <w:rPr>
                <w:rFonts w:ascii="Calibri" w:hAnsi="Calibri" w:cs="Calibri"/>
                <w:sz w:val="18"/>
                <w:szCs w:val="18"/>
              </w:rPr>
              <w:t>Not specified</w:t>
            </w:r>
          </w:p>
        </w:tc>
        <w:tc>
          <w:tcPr>
            <w:tcW w:w="577" w:type="pct"/>
            <w:shd w:val="clear" w:color="auto" w:fill="auto"/>
          </w:tcPr>
          <w:p w14:paraId="267C2A69" w14:textId="77777777" w:rsidR="00EC3985" w:rsidRDefault="00EC3985" w:rsidP="003E223D">
            <w:pPr>
              <w:spacing w:after="0" w:line="240" w:lineRule="auto"/>
              <w:rPr>
                <w:rFonts w:ascii="Calibri" w:hAnsi="Calibri" w:cs="Calibri"/>
                <w:sz w:val="18"/>
                <w:szCs w:val="18"/>
              </w:rPr>
            </w:pPr>
            <w:r>
              <w:rPr>
                <w:rFonts w:ascii="Calibri" w:hAnsi="Calibri" w:cs="Calibri"/>
                <w:sz w:val="18"/>
                <w:szCs w:val="18"/>
              </w:rPr>
              <w:t>All renewables / EU</w:t>
            </w:r>
          </w:p>
          <w:p w14:paraId="0473BC90" w14:textId="77777777" w:rsidR="00EC3985" w:rsidRPr="002B64EA" w:rsidRDefault="00EC3985" w:rsidP="003E223D">
            <w:pPr>
              <w:spacing w:after="0" w:line="240" w:lineRule="auto"/>
              <w:rPr>
                <w:rFonts w:ascii="Calibri" w:hAnsi="Calibri" w:cs="Calibri"/>
                <w:sz w:val="18"/>
                <w:szCs w:val="18"/>
              </w:rPr>
            </w:pPr>
          </w:p>
        </w:tc>
      </w:tr>
      <w:tr w:rsidR="00EC3985" w:rsidRPr="00791169" w14:paraId="42602833"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4396C9C0"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Richards et al. (2012)</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AC6A950"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 (lack of political leadership);3;7;12;15 (disinterest from society)</w:t>
            </w: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025A1E62" w14:textId="77777777" w:rsidR="00EC3985" w:rsidRPr="00082A71" w:rsidRDefault="00EC3985" w:rsidP="003E223D">
            <w:pPr>
              <w:spacing w:after="0" w:line="240" w:lineRule="auto"/>
              <w:rPr>
                <w:rFonts w:ascii="Calibri" w:hAnsi="Calibri" w:cs="Calibri"/>
                <w:sz w:val="18"/>
                <w:szCs w:val="18"/>
              </w:rPr>
            </w:pPr>
            <w:r w:rsidRPr="00082A71">
              <w:rPr>
                <w:rFonts w:ascii="Calibri" w:hAnsi="Calibri" w:cs="Calibri"/>
                <w:sz w:val="18"/>
                <w:szCs w:val="18"/>
              </w:rPr>
              <w:t xml:space="preserve">Application of grounded based on 18 interviews (with government representatives, academic, environmental non-government organizations, corporates).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64C518B"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Private investors </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48E12753"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Wind energy / </w:t>
            </w:r>
          </w:p>
          <w:p w14:paraId="00AE863B"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Canada</w:t>
            </w:r>
          </w:p>
        </w:tc>
      </w:tr>
      <w:tr w:rsidR="00EC3985" w:rsidRPr="00791169" w14:paraId="0215EBF5"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7DF31127" w14:textId="77777777" w:rsidR="00EC3985" w:rsidRPr="00557C66" w:rsidRDefault="00EC3985" w:rsidP="003E223D">
            <w:pPr>
              <w:rPr>
                <w:rFonts w:ascii="Calibri" w:hAnsi="Calibri" w:cs="Calibri"/>
                <w:color w:val="000000"/>
                <w:sz w:val="18"/>
                <w:szCs w:val="18"/>
              </w:rPr>
            </w:pPr>
            <w:proofErr w:type="spellStart"/>
            <w:r w:rsidRPr="00557C66">
              <w:rPr>
                <w:rFonts w:ascii="Calibri" w:hAnsi="Calibri" w:cs="Calibri"/>
                <w:color w:val="000000"/>
                <w:sz w:val="18"/>
                <w:szCs w:val="18"/>
              </w:rPr>
              <w:t>Salm</w:t>
            </w:r>
            <w:proofErr w:type="spellEnd"/>
            <w:r w:rsidRPr="00557C66">
              <w:rPr>
                <w:rFonts w:ascii="Calibri" w:hAnsi="Calibri" w:cs="Calibri"/>
                <w:color w:val="000000"/>
                <w:sz w:val="18"/>
                <w:szCs w:val="18"/>
              </w:rPr>
              <w:t xml:space="preserve"> &amp; </w:t>
            </w:r>
            <w:proofErr w:type="spellStart"/>
            <w:r w:rsidRPr="00557C66">
              <w:rPr>
                <w:rFonts w:ascii="Calibri" w:hAnsi="Calibri" w:cs="Calibri"/>
                <w:color w:val="000000"/>
                <w:sz w:val="18"/>
                <w:szCs w:val="18"/>
              </w:rPr>
              <w:t>Wüstenhagen</w:t>
            </w:r>
            <w:proofErr w:type="spellEnd"/>
            <w:r w:rsidRPr="00557C66">
              <w:rPr>
                <w:rFonts w:ascii="Calibri" w:hAnsi="Calibri" w:cs="Calibri"/>
                <w:color w:val="000000"/>
                <w:sz w:val="18"/>
                <w:szCs w:val="18"/>
              </w:rPr>
              <w:t xml:space="preserve"> (2018)</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70E60EA9" w14:textId="77777777" w:rsidR="00EC3985" w:rsidRPr="003D172C" w:rsidRDefault="00EC3985" w:rsidP="003E223D">
            <w:pPr>
              <w:autoSpaceDE w:val="0"/>
              <w:autoSpaceDN w:val="0"/>
              <w:adjustRightInd w:val="0"/>
              <w:spacing w:after="0" w:line="240" w:lineRule="auto"/>
              <w:rPr>
                <w:rFonts w:ascii="Calibri" w:hAnsi="Calibri" w:cs="Calibri"/>
                <w:sz w:val="18"/>
                <w:szCs w:val="18"/>
              </w:rPr>
            </w:pPr>
            <w:r w:rsidRPr="003D172C">
              <w:rPr>
                <w:rFonts w:ascii="Calibri" w:hAnsi="Calibri" w:cs="Calibri"/>
                <w:color w:val="000000"/>
                <w:sz w:val="18"/>
                <w:szCs w:val="18"/>
              </w:rPr>
              <w:t xml:space="preserve">2;4;5;7;12;15 (e.g. </w:t>
            </w:r>
            <w:r w:rsidRPr="003D172C">
              <w:rPr>
                <w:rFonts w:ascii="Calibri" w:hAnsi="Calibri" w:cs="Calibri"/>
                <w:sz w:val="18"/>
                <w:szCs w:val="18"/>
              </w:rPr>
              <w:t>Most pension funds preferred investment</w:t>
            </w:r>
          </w:p>
          <w:p w14:paraId="44CD4F39" w14:textId="77777777" w:rsidR="00EC3985" w:rsidRPr="003D172C" w:rsidRDefault="00EC3985" w:rsidP="003E223D">
            <w:pPr>
              <w:autoSpaceDE w:val="0"/>
              <w:autoSpaceDN w:val="0"/>
              <w:adjustRightInd w:val="0"/>
              <w:spacing w:after="0" w:line="240" w:lineRule="auto"/>
              <w:rPr>
                <w:rFonts w:ascii="Calibri" w:hAnsi="Calibri" w:cs="Calibri"/>
                <w:color w:val="000000"/>
                <w:sz w:val="18"/>
                <w:szCs w:val="18"/>
              </w:rPr>
            </w:pPr>
            <w:r w:rsidRPr="003D172C">
              <w:rPr>
                <w:rFonts w:ascii="Calibri" w:hAnsi="Calibri" w:cs="Calibri"/>
                <w:sz w:val="18"/>
                <w:szCs w:val="18"/>
              </w:rPr>
              <w:t>volumes smaller than a typical large-scale hydro project)</w:t>
            </w:r>
          </w:p>
          <w:p w14:paraId="136511DB" w14:textId="77777777" w:rsidR="00EC3985" w:rsidRPr="003D172C" w:rsidRDefault="00EC3985" w:rsidP="003E223D">
            <w:pPr>
              <w:autoSpaceDE w:val="0"/>
              <w:autoSpaceDN w:val="0"/>
              <w:adjustRightInd w:val="0"/>
              <w:spacing w:after="0" w:line="240" w:lineRule="auto"/>
              <w:rPr>
                <w:rFonts w:ascii="Calibri" w:hAnsi="Calibri" w:cs="Calibri"/>
                <w:color w:val="000000"/>
                <w:sz w:val="18"/>
                <w:szCs w:val="18"/>
              </w:rPr>
            </w:pP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276AB15D" w14:textId="77777777" w:rsidR="00EC3985" w:rsidRPr="00557C66" w:rsidRDefault="00EC3985" w:rsidP="003E223D">
            <w:pPr>
              <w:autoSpaceDE w:val="0"/>
              <w:autoSpaceDN w:val="0"/>
              <w:adjustRightInd w:val="0"/>
              <w:spacing w:after="0" w:line="240" w:lineRule="auto"/>
              <w:rPr>
                <w:rFonts w:ascii="Calibri" w:hAnsi="Calibri" w:cs="Calibri"/>
                <w:sz w:val="18"/>
                <w:szCs w:val="18"/>
              </w:rPr>
            </w:pPr>
            <w:r>
              <w:rPr>
                <w:rFonts w:ascii="Calibri" w:hAnsi="Calibri" w:cs="Calibri"/>
                <w:sz w:val="18"/>
                <w:szCs w:val="18"/>
              </w:rPr>
              <w:t>C</w:t>
            </w:r>
            <w:r w:rsidRPr="00557C66">
              <w:rPr>
                <w:rFonts w:ascii="Calibri" w:hAnsi="Calibri" w:cs="Calibri"/>
                <w:sz w:val="18"/>
                <w:szCs w:val="18"/>
              </w:rPr>
              <w:t>hoice experiment with 53 investment professionals</w:t>
            </w:r>
            <w:r>
              <w:rPr>
                <w:rFonts w:ascii="Calibri" w:hAnsi="Calibri" w:cs="Calibri"/>
                <w:sz w:val="18"/>
                <w:szCs w:val="18"/>
              </w:rPr>
              <w:t xml:space="preserve"> </w:t>
            </w:r>
            <w:r w:rsidRPr="00557C66">
              <w:rPr>
                <w:rFonts w:ascii="Calibri" w:hAnsi="Calibri" w:cs="Calibri"/>
                <w:sz w:val="18"/>
                <w:szCs w:val="18"/>
              </w:rPr>
              <w:t>from incumbent firms</w:t>
            </w:r>
            <w:r>
              <w:rPr>
                <w:rFonts w:ascii="Calibri" w:hAnsi="Calibri" w:cs="Calibri"/>
                <w:sz w:val="18"/>
                <w:szCs w:val="18"/>
              </w:rPr>
              <w:t xml:space="preserve"> </w:t>
            </w:r>
            <w:r w:rsidRPr="00557C66">
              <w:rPr>
                <w:rFonts w:ascii="Calibri" w:hAnsi="Calibri" w:cs="Calibri"/>
                <w:sz w:val="18"/>
                <w:szCs w:val="18"/>
              </w:rPr>
              <w:t>an</w:t>
            </w:r>
            <w:r>
              <w:rPr>
                <w:rFonts w:ascii="Calibri" w:hAnsi="Calibri" w:cs="Calibri"/>
                <w:sz w:val="18"/>
                <w:szCs w:val="18"/>
              </w:rPr>
              <w:t xml:space="preserve">d pension funds in Switzerland, </w:t>
            </w:r>
            <w:r w:rsidRPr="00557C66">
              <w:rPr>
                <w:rFonts w:ascii="Calibri" w:hAnsi="Calibri" w:cs="Calibri"/>
                <w:sz w:val="18"/>
                <w:szCs w:val="18"/>
              </w:rPr>
              <w:t>conducting 1,129 experimental investm</w:t>
            </w:r>
            <w:r>
              <w:rPr>
                <w:rFonts w:ascii="Calibri" w:hAnsi="Calibri" w:cs="Calibri"/>
                <w:sz w:val="18"/>
                <w:szCs w:val="18"/>
              </w:rPr>
              <w:t xml:space="preserve">ent choices in total.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322F61B" w14:textId="77777777" w:rsidR="00EC3985" w:rsidRPr="00557C66" w:rsidRDefault="00EC3985" w:rsidP="003E223D">
            <w:pPr>
              <w:autoSpaceDE w:val="0"/>
              <w:autoSpaceDN w:val="0"/>
              <w:adjustRightInd w:val="0"/>
              <w:spacing w:after="0" w:line="240" w:lineRule="auto"/>
              <w:rPr>
                <w:rFonts w:ascii="Calibri" w:hAnsi="Calibri" w:cs="Calibri"/>
                <w:sz w:val="18"/>
                <w:szCs w:val="18"/>
              </w:rPr>
            </w:pPr>
            <w:r>
              <w:rPr>
                <w:rFonts w:ascii="Calibri" w:hAnsi="Calibri" w:cs="Calibri"/>
                <w:sz w:val="18"/>
                <w:szCs w:val="18"/>
              </w:rPr>
              <w:t>Pension funds</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F4841ED" w14:textId="77777777" w:rsidR="00EC3985" w:rsidRPr="00557C66" w:rsidRDefault="00EC3985" w:rsidP="003E223D">
            <w:pPr>
              <w:rPr>
                <w:rFonts w:ascii="Calibri" w:hAnsi="Calibri" w:cs="Calibri"/>
                <w:sz w:val="18"/>
                <w:szCs w:val="18"/>
              </w:rPr>
            </w:pPr>
            <w:r>
              <w:rPr>
                <w:rFonts w:ascii="Calibri" w:hAnsi="Calibri" w:cs="Calibri"/>
                <w:sz w:val="18"/>
                <w:szCs w:val="18"/>
              </w:rPr>
              <w:t>Hydropower / Switzerland</w:t>
            </w:r>
          </w:p>
        </w:tc>
      </w:tr>
      <w:tr w:rsidR="00EC3985" w:rsidRPr="00791169" w14:paraId="67B7A171"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1E09B4BA"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Sovacool</w:t>
            </w:r>
            <w:proofErr w:type="spellEnd"/>
            <w:r w:rsidRPr="00791169">
              <w:rPr>
                <w:rFonts w:ascii="Calibri" w:eastAsia="Times New Roman" w:hAnsi="Calibri" w:cs="Calibri"/>
                <w:sz w:val="18"/>
                <w:szCs w:val="18"/>
                <w:lang w:eastAsia="en-GB"/>
              </w:rPr>
              <w:t xml:space="preserve"> (2009) </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7567092E" w14:textId="77777777" w:rsidR="00EC3985" w:rsidRPr="003D172C" w:rsidRDefault="00EC3985" w:rsidP="003E223D">
            <w:pPr>
              <w:spacing w:after="0" w:line="240" w:lineRule="auto"/>
              <w:rPr>
                <w:rFonts w:ascii="Calibri" w:hAnsi="Calibri" w:cs="Calibri"/>
                <w:sz w:val="18"/>
                <w:szCs w:val="18"/>
              </w:rPr>
            </w:pPr>
            <w:r w:rsidRPr="003D172C">
              <w:rPr>
                <w:rFonts w:ascii="Calibri" w:hAnsi="Calibri" w:cs="Calibri"/>
                <w:sz w:val="18"/>
                <w:szCs w:val="18"/>
              </w:rPr>
              <w:t>2;4.1;12;13;14 (in terms of mental thinking)</w:t>
            </w: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0CD810BE" w14:textId="77777777" w:rsidR="00EC3985" w:rsidRDefault="00EC3985" w:rsidP="003E223D">
            <w:pPr>
              <w:spacing w:after="0" w:line="240" w:lineRule="auto"/>
              <w:rPr>
                <w:rFonts w:ascii="Calibri" w:hAnsi="Calibri" w:cs="Calibri"/>
                <w:sz w:val="18"/>
                <w:szCs w:val="18"/>
              </w:rPr>
            </w:pPr>
            <w:r>
              <w:rPr>
                <w:rFonts w:ascii="Calibri" w:hAnsi="Calibri" w:cs="Calibri"/>
                <w:sz w:val="18"/>
                <w:szCs w:val="18"/>
              </w:rPr>
              <w:t>The findings of this study are based on:</w:t>
            </w:r>
          </w:p>
          <w:p w14:paraId="5806F335" w14:textId="77777777" w:rsidR="00EC3985" w:rsidRDefault="00EC3985" w:rsidP="00EC3985">
            <w:pPr>
              <w:pStyle w:val="ListParagraph"/>
              <w:numPr>
                <w:ilvl w:val="0"/>
                <w:numId w:val="44"/>
              </w:numPr>
              <w:spacing w:after="0" w:line="240" w:lineRule="auto"/>
              <w:rPr>
                <w:rFonts w:ascii="Calibri" w:hAnsi="Calibri" w:cs="Calibri"/>
                <w:sz w:val="18"/>
                <w:szCs w:val="18"/>
              </w:rPr>
              <w:pPrChange w:id="23" w:author="Jones, Aled" w:date="2019-11-18T13:33:00Z">
                <w:pPr>
                  <w:pStyle w:val="ListParagraph"/>
                  <w:numPr>
                    <w:numId w:val="55"/>
                  </w:numPr>
                  <w:tabs>
                    <w:tab w:val="num" w:pos="360"/>
                  </w:tabs>
                  <w:spacing w:after="0" w:line="240" w:lineRule="auto"/>
                  <w:ind w:left="360" w:hanging="360"/>
                </w:pPr>
              </w:pPrChange>
            </w:pPr>
            <w:proofErr w:type="gramStart"/>
            <w:r w:rsidRPr="00FC1D8A">
              <w:rPr>
                <w:rFonts w:ascii="Calibri" w:hAnsi="Calibri" w:cs="Calibri"/>
                <w:sz w:val="18"/>
                <w:szCs w:val="18"/>
              </w:rPr>
              <w:t>181</w:t>
            </w:r>
            <w:proofErr w:type="gramEnd"/>
            <w:r w:rsidRPr="00FC1D8A">
              <w:rPr>
                <w:rFonts w:ascii="Calibri" w:hAnsi="Calibri" w:cs="Calibri"/>
                <w:sz w:val="18"/>
                <w:szCs w:val="18"/>
              </w:rPr>
              <w:t xml:space="preserve"> semi-structured research interviews at 93 institutions, which were selected to represent the diverse array of stakeholders in the electricity utility sector (including utilities and power providers, research institutes, </w:t>
            </w:r>
            <w:r w:rsidRPr="00FC1D8A">
              <w:rPr>
                <w:rFonts w:ascii="Calibri" w:hAnsi="Calibri" w:cs="Calibri"/>
                <w:sz w:val="18"/>
                <w:szCs w:val="18"/>
              </w:rPr>
              <w:lastRenderedPageBreak/>
              <w:t xml:space="preserve">regulatory agencies, manufacturers, interest groups, and consumer advocates). </w:t>
            </w:r>
          </w:p>
          <w:p w14:paraId="1DAD1C36" w14:textId="77777777" w:rsidR="00EC3985" w:rsidRPr="00FC1D8A" w:rsidRDefault="00EC3985" w:rsidP="00EC3985">
            <w:pPr>
              <w:pStyle w:val="ListParagraph"/>
              <w:numPr>
                <w:ilvl w:val="0"/>
                <w:numId w:val="44"/>
              </w:numPr>
              <w:spacing w:after="0" w:line="240" w:lineRule="auto"/>
              <w:rPr>
                <w:rFonts w:ascii="Calibri" w:hAnsi="Calibri" w:cs="Calibri"/>
                <w:sz w:val="18"/>
                <w:szCs w:val="18"/>
              </w:rPr>
              <w:pPrChange w:id="24" w:author="Jones, Aled" w:date="2019-11-18T13:33:00Z">
                <w:pPr>
                  <w:pStyle w:val="ListParagraph"/>
                  <w:numPr>
                    <w:numId w:val="55"/>
                  </w:numPr>
                  <w:tabs>
                    <w:tab w:val="num" w:pos="360"/>
                  </w:tabs>
                  <w:spacing w:after="0" w:line="240" w:lineRule="auto"/>
                  <w:ind w:left="360" w:hanging="360"/>
                </w:pPr>
              </w:pPrChange>
            </w:pPr>
            <w:r w:rsidRPr="00FC1D8A">
              <w:rPr>
                <w:rFonts w:ascii="Calibri" w:hAnsi="Calibri" w:cs="Calibri"/>
                <w:sz w:val="18"/>
                <w:szCs w:val="18"/>
              </w:rPr>
              <w:t xml:space="preserve">The author additionally spent seven months in two separate fellowships at the Oak Ridge National Laboratory; worked for four months as a Senior Research Fellow at the Virginia </w:t>
            </w:r>
            <w:proofErr w:type="spellStart"/>
            <w:r w:rsidRPr="00FC1D8A">
              <w:rPr>
                <w:rFonts w:ascii="Calibri" w:hAnsi="Calibri" w:cs="Calibri"/>
                <w:sz w:val="18"/>
                <w:szCs w:val="18"/>
              </w:rPr>
              <w:t>Center</w:t>
            </w:r>
            <w:proofErr w:type="spellEnd"/>
            <w:r w:rsidRPr="00FC1D8A">
              <w:rPr>
                <w:rFonts w:ascii="Calibri" w:hAnsi="Calibri" w:cs="Calibri"/>
                <w:sz w:val="18"/>
                <w:szCs w:val="18"/>
              </w:rPr>
              <w:t xml:space="preserve"> for Coal and Energy Research; and conducted on-site visits to ten renewable, conventional, and nuclear power plants.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52002E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lastRenderedPageBreak/>
              <w:t>Private investors</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081D50F6"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US</w:t>
            </w:r>
          </w:p>
        </w:tc>
      </w:tr>
      <w:tr w:rsidR="00EC3985" w:rsidRPr="00791169" w14:paraId="0BC1B6E0"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0AB94F1C"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St</w:t>
            </w:r>
            <w:r w:rsidRPr="00C94865">
              <w:rPr>
                <w:rFonts w:ascii="Calibri" w:eastAsia="Times New Roman" w:hAnsi="Calibri" w:cs="Calibri"/>
                <w:sz w:val="18"/>
                <w:szCs w:val="18"/>
                <w:lang w:eastAsia="en-GB"/>
              </w:rPr>
              <w:t>okes (2013)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21C9D99" w14:textId="77777777" w:rsidR="00EC3985" w:rsidRPr="00A06099" w:rsidRDefault="00EC3985" w:rsidP="003E223D">
            <w:pPr>
              <w:spacing w:after="0" w:line="240" w:lineRule="auto"/>
              <w:rPr>
                <w:rFonts w:ascii="Calibri" w:hAnsi="Calibri" w:cs="Calibri"/>
                <w:sz w:val="18"/>
                <w:szCs w:val="18"/>
              </w:rPr>
            </w:pPr>
            <w:r w:rsidRPr="00A06099">
              <w:rPr>
                <w:rFonts w:ascii="Calibri" w:hAnsi="Calibri" w:cs="Calibri"/>
                <w:sz w:val="18"/>
                <w:szCs w:val="18"/>
              </w:rPr>
              <w:t>2;13;15 (informational asymmetries on costs of RE production; conflicts over job creation and innovation)</w:t>
            </w: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1ED6A172" w14:textId="77777777" w:rsidR="00EC3985" w:rsidRPr="00082A71" w:rsidRDefault="00EC3985" w:rsidP="003E223D">
            <w:pPr>
              <w:spacing w:after="0" w:line="240" w:lineRule="auto"/>
              <w:rPr>
                <w:rFonts w:ascii="Calibri" w:hAnsi="Calibri" w:cs="Calibri"/>
                <w:sz w:val="18"/>
                <w:szCs w:val="18"/>
              </w:rPr>
            </w:pPr>
            <w:r w:rsidRPr="00082A71">
              <w:rPr>
                <w:rFonts w:ascii="Calibri" w:hAnsi="Calibri" w:cs="Calibri"/>
                <w:sz w:val="18"/>
                <w:szCs w:val="18"/>
              </w:rPr>
              <w:t xml:space="preserve">This paper presents a case study of Ontario's (Canada) feed-in tariff policies between 1997 and 2012.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AFC41FF"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Private investors</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A7CAB3B"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Canada</w:t>
            </w:r>
          </w:p>
        </w:tc>
      </w:tr>
      <w:tr w:rsidR="00EC3985" w:rsidRPr="00791169" w14:paraId="1359E038"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21916AF2"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Wells et al. (2013)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62C088E6" w14:textId="77777777" w:rsidR="00EC3985" w:rsidRPr="00791169" w:rsidRDefault="00EC3985" w:rsidP="003E223D">
            <w:pPr>
              <w:spacing w:after="0" w:line="240" w:lineRule="auto"/>
              <w:rPr>
                <w:rFonts w:ascii="Calibri" w:hAnsi="Calibri" w:cs="Calibri"/>
                <w:sz w:val="18"/>
                <w:szCs w:val="18"/>
              </w:rPr>
            </w:pPr>
            <w:r w:rsidRPr="00A06099">
              <w:rPr>
                <w:rFonts w:ascii="Calibri" w:hAnsi="Calibri" w:cs="Calibri"/>
                <w:sz w:val="18"/>
                <w:szCs w:val="18"/>
              </w:rPr>
              <w:t xml:space="preserve">2 (role of the government in general) </w:t>
            </w:r>
            <w:r w:rsidRPr="00791169">
              <w:rPr>
                <w:rFonts w:ascii="Calibri" w:hAnsi="Calibri" w:cs="Calibri"/>
                <w:sz w:val="18"/>
                <w:szCs w:val="18"/>
              </w:rPr>
              <w:t>;4.2 (and fiduciary duty);5;7;12;15 (investors personal values)</w:t>
            </w: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0F50C83C" w14:textId="77777777" w:rsidR="00EC3985" w:rsidRPr="00082A71" w:rsidRDefault="00EC3985" w:rsidP="003E223D">
            <w:pPr>
              <w:spacing w:after="0" w:line="240" w:lineRule="auto"/>
              <w:rPr>
                <w:rFonts w:ascii="Calibri" w:hAnsi="Calibri" w:cs="Calibri"/>
                <w:sz w:val="18"/>
                <w:szCs w:val="18"/>
              </w:rPr>
            </w:pPr>
            <w:r w:rsidRPr="00082A71">
              <w:rPr>
                <w:rFonts w:ascii="Calibri" w:hAnsi="Calibri" w:cs="Calibri"/>
                <w:sz w:val="18"/>
                <w:szCs w:val="18"/>
              </w:rPr>
              <w:t>Thematic analysis of 14 in-depth semi-structured interviews with representatives from renewable energy producers, banks and investment companies</w:t>
            </w:r>
            <w:r>
              <w:rPr>
                <w:rFonts w:ascii="Calibri" w:hAnsi="Calibri" w:cs="Calibri"/>
                <w:sz w:val="18"/>
                <w:szCs w:val="18"/>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91E4FC2"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Private investors</w:t>
            </w:r>
          </w:p>
          <w:p w14:paraId="0AE69488" w14:textId="77777777" w:rsidR="00EC3985" w:rsidRPr="00791169" w:rsidRDefault="00EC3985" w:rsidP="003E223D">
            <w:pPr>
              <w:spacing w:after="0" w:line="240" w:lineRule="auto"/>
              <w:rPr>
                <w:rFonts w:ascii="Calibri" w:hAnsi="Calibri" w:cs="Calibri"/>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4ADCCAB8"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 xml:space="preserve">All renewables / </w:t>
            </w:r>
            <w:r w:rsidRPr="00791169">
              <w:rPr>
                <w:rFonts w:ascii="Calibri" w:hAnsi="Calibri" w:cs="Calibri"/>
                <w:sz w:val="18"/>
                <w:szCs w:val="18"/>
              </w:rPr>
              <w:t>UK</w:t>
            </w:r>
          </w:p>
        </w:tc>
      </w:tr>
      <w:tr w:rsidR="00EC3985" w:rsidRPr="00791169" w14:paraId="7FA9587C" w14:textId="77777777" w:rsidTr="003E223D">
        <w:trPr>
          <w:trHeight w:val="19"/>
          <w:jc w:val="center"/>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79FB82FB"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Zhong</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Bazilian</w:t>
            </w:r>
            <w:proofErr w:type="spellEnd"/>
            <w:r w:rsidRPr="00791169">
              <w:rPr>
                <w:rFonts w:ascii="Calibri" w:eastAsia="Times New Roman" w:hAnsi="Calibri" w:cs="Calibri"/>
                <w:sz w:val="18"/>
                <w:szCs w:val="18"/>
                <w:lang w:eastAsia="en-GB"/>
              </w:rPr>
              <w:t xml:space="preserve"> (2018)</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40DCD1B1"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5;9;12</w:t>
            </w:r>
          </w:p>
        </w:tc>
        <w:tc>
          <w:tcPr>
            <w:tcW w:w="2034" w:type="pct"/>
            <w:tcBorders>
              <w:top w:val="single" w:sz="4" w:space="0" w:color="auto"/>
              <w:left w:val="single" w:sz="4" w:space="0" w:color="auto"/>
              <w:bottom w:val="single" w:sz="4" w:space="0" w:color="auto"/>
              <w:right w:val="single" w:sz="4" w:space="0" w:color="auto"/>
            </w:tcBorders>
            <w:shd w:val="clear" w:color="auto" w:fill="auto"/>
          </w:tcPr>
          <w:p w14:paraId="72654C8A"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 xml:space="preserve">Evaluation of ‘grey’ literature since the early 2000. This includes the evaluation of sources taken from IOCs’ press, releases, annual reports, and websites, public databases of venture capital funding, which are cross-referenced with news articles, media sources reporting investments, and SEC filings.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33630C9"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Oil and gas companies</w:t>
            </w:r>
          </w:p>
          <w:p w14:paraId="40FA632A" w14:textId="77777777" w:rsidR="00EC3985" w:rsidRPr="00791169" w:rsidRDefault="00EC3985" w:rsidP="003E223D">
            <w:pPr>
              <w:spacing w:after="0" w:line="240" w:lineRule="auto"/>
              <w:rPr>
                <w:rFonts w:ascii="Calibri" w:hAnsi="Calibri" w:cs="Calibri"/>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60BB1B6C" w14:textId="77777777" w:rsidR="00EC3985" w:rsidRPr="00791169" w:rsidRDefault="00EC3985" w:rsidP="003E223D">
            <w:pPr>
              <w:spacing w:after="0" w:line="240" w:lineRule="auto"/>
              <w:rPr>
                <w:rFonts w:ascii="Calibri" w:hAnsi="Calibri" w:cs="Calibri"/>
                <w:sz w:val="18"/>
                <w:szCs w:val="18"/>
              </w:rPr>
            </w:pPr>
            <w:r>
              <w:rPr>
                <w:rFonts w:ascii="Calibri" w:hAnsi="Calibri" w:cs="Calibri"/>
                <w:sz w:val="18"/>
                <w:szCs w:val="18"/>
              </w:rPr>
              <w:t>All renewables</w:t>
            </w:r>
            <w:r w:rsidRPr="00791169">
              <w:rPr>
                <w:rFonts w:ascii="Calibri" w:hAnsi="Calibri" w:cs="Calibri"/>
                <w:sz w:val="18"/>
                <w:szCs w:val="18"/>
              </w:rPr>
              <w:t xml:space="preserve"> / </w:t>
            </w:r>
          </w:p>
          <w:p w14:paraId="0517DDEC" w14:textId="77777777" w:rsidR="00EC3985" w:rsidRPr="00791169" w:rsidRDefault="00EC3985" w:rsidP="003E223D">
            <w:pPr>
              <w:spacing w:after="0" w:line="240" w:lineRule="auto"/>
              <w:rPr>
                <w:rFonts w:ascii="Calibri" w:hAnsi="Calibri" w:cs="Calibri"/>
                <w:sz w:val="18"/>
                <w:szCs w:val="18"/>
              </w:rPr>
            </w:pPr>
            <w:r w:rsidRPr="00791169">
              <w:rPr>
                <w:rFonts w:ascii="Calibri" w:hAnsi="Calibri" w:cs="Calibri"/>
                <w:sz w:val="18"/>
                <w:szCs w:val="18"/>
              </w:rPr>
              <w:t>Focus on EU &amp; US</w:t>
            </w:r>
          </w:p>
        </w:tc>
      </w:tr>
    </w:tbl>
    <w:p w14:paraId="1EB47E44" w14:textId="77777777" w:rsidR="00EC3985" w:rsidRPr="00B07962" w:rsidRDefault="00EC3985" w:rsidP="00EC3985">
      <w:pPr>
        <w:spacing w:after="0" w:line="240" w:lineRule="auto"/>
        <w:rPr>
          <w:rFonts w:ascii="Calibri" w:hAnsi="Calibri" w:cs="Calibri"/>
          <w:sz w:val="21"/>
          <w:szCs w:val="21"/>
        </w:rPr>
      </w:pPr>
    </w:p>
    <w:p w14:paraId="0D5CBBDE" w14:textId="77777777" w:rsidR="00EC3985" w:rsidRDefault="00EC3985" w:rsidP="00EC3985">
      <w:pPr>
        <w:pStyle w:val="Caption"/>
        <w:keepNext/>
        <w:spacing w:after="0"/>
      </w:pPr>
      <w:r>
        <w:t xml:space="preserve">Table </w:t>
      </w:r>
      <w:r>
        <w:rPr>
          <w:noProof/>
        </w:rPr>
        <w:t>5</w:t>
      </w:r>
      <w:r>
        <w:t xml:space="preserve">a: </w:t>
      </w:r>
      <w:r w:rsidRPr="00B5497C">
        <w:t xml:space="preserve">Summery of barriers reported in </w:t>
      </w:r>
      <w:r>
        <w:t xml:space="preserve">literature-based </w:t>
      </w:r>
      <w:r w:rsidRPr="00B5497C">
        <w:t xml:space="preserve">type </w:t>
      </w:r>
      <w:r>
        <w:t>i</w:t>
      </w:r>
      <w:r w:rsidRPr="00B5497C">
        <w:t>i)</w:t>
      </w:r>
      <w:r>
        <w:t xml:space="preserve"> studies</w:t>
      </w:r>
    </w:p>
    <w:tbl>
      <w:tblPr>
        <w:tblW w:w="518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547"/>
        <w:gridCol w:w="5916"/>
        <w:gridCol w:w="1457"/>
        <w:gridCol w:w="1700"/>
      </w:tblGrid>
      <w:tr w:rsidR="00EC3985" w:rsidRPr="00791169" w14:paraId="4D2F0B0F" w14:textId="77777777" w:rsidTr="003E223D">
        <w:trPr>
          <w:trHeight w:val="244"/>
        </w:trPr>
        <w:tc>
          <w:tcPr>
            <w:tcW w:w="981" w:type="pct"/>
            <w:shd w:val="clear" w:color="000000" w:fill="1F4E78"/>
            <w:hideMark/>
          </w:tcPr>
          <w:p w14:paraId="399FD9DD" w14:textId="77777777" w:rsidR="00EC3985" w:rsidRPr="003D172C"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3D172C">
              <w:rPr>
                <w:rFonts w:ascii="Calibri" w:eastAsia="Times New Roman" w:hAnsi="Calibri" w:cs="Calibri"/>
                <w:b/>
                <w:bCs/>
                <w:color w:val="FFFFFF" w:themeColor="background1"/>
                <w:sz w:val="16"/>
                <w:szCs w:val="16"/>
                <w:lang w:eastAsia="en-GB"/>
              </w:rPr>
              <w:t>Study</w:t>
            </w:r>
          </w:p>
        </w:tc>
        <w:tc>
          <w:tcPr>
            <w:tcW w:w="881" w:type="pct"/>
            <w:shd w:val="clear" w:color="000000" w:fill="1F4E79"/>
            <w:hideMark/>
          </w:tcPr>
          <w:p w14:paraId="4475BF30" w14:textId="77777777" w:rsidR="00EC3985" w:rsidRPr="003D172C"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3D172C">
              <w:rPr>
                <w:rFonts w:ascii="Calibri" w:eastAsia="Times New Roman" w:hAnsi="Calibri" w:cs="Calibri"/>
                <w:b/>
                <w:bCs/>
                <w:color w:val="FFFFFF" w:themeColor="background1"/>
                <w:sz w:val="16"/>
                <w:szCs w:val="16"/>
                <w:lang w:eastAsia="en-GB"/>
              </w:rPr>
              <w:t>Barrier-topic</w:t>
            </w:r>
          </w:p>
        </w:tc>
        <w:tc>
          <w:tcPr>
            <w:tcW w:w="2046" w:type="pct"/>
            <w:shd w:val="clear" w:color="000000" w:fill="1F4E79"/>
            <w:hideMark/>
          </w:tcPr>
          <w:p w14:paraId="74346E59" w14:textId="77777777" w:rsidR="00EC3985" w:rsidRPr="003D172C"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3D172C">
              <w:rPr>
                <w:rFonts w:ascii="Calibri" w:eastAsia="Times New Roman" w:hAnsi="Calibri" w:cs="Calibri"/>
                <w:b/>
                <w:bCs/>
                <w:color w:val="FFFFFF" w:themeColor="background1"/>
                <w:sz w:val="16"/>
                <w:szCs w:val="16"/>
                <w:lang w:eastAsia="en-GB"/>
              </w:rPr>
              <w:t>Method</w:t>
            </w:r>
          </w:p>
        </w:tc>
        <w:tc>
          <w:tcPr>
            <w:tcW w:w="504" w:type="pct"/>
            <w:shd w:val="clear" w:color="000000" w:fill="1F4E79"/>
            <w:hideMark/>
          </w:tcPr>
          <w:p w14:paraId="1A7A4B57" w14:textId="77777777" w:rsidR="00EC3985" w:rsidRPr="003D172C"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3D172C">
              <w:rPr>
                <w:rFonts w:ascii="Calibri" w:eastAsia="Times New Roman" w:hAnsi="Calibri" w:cs="Calibri"/>
                <w:b/>
                <w:bCs/>
                <w:color w:val="FFFFFF" w:themeColor="background1"/>
                <w:sz w:val="16"/>
                <w:szCs w:val="16"/>
                <w:lang w:eastAsia="en-GB"/>
              </w:rPr>
              <w:t>Investor-type</w:t>
            </w:r>
          </w:p>
        </w:tc>
        <w:tc>
          <w:tcPr>
            <w:tcW w:w="588" w:type="pct"/>
            <w:shd w:val="clear" w:color="000000" w:fill="1F4E79"/>
            <w:hideMark/>
          </w:tcPr>
          <w:p w14:paraId="60A8F795" w14:textId="77777777" w:rsidR="00EC3985" w:rsidRPr="003D172C"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3D172C">
              <w:rPr>
                <w:rFonts w:ascii="Calibri" w:hAnsi="Calibri" w:cs="Calibri"/>
                <w:b/>
                <w:bCs/>
                <w:color w:val="FFFFFF" w:themeColor="background1"/>
                <w:sz w:val="16"/>
                <w:szCs w:val="16"/>
              </w:rPr>
              <w:t>Technology and regional scope</w:t>
            </w:r>
          </w:p>
        </w:tc>
      </w:tr>
      <w:tr w:rsidR="00EC3985" w:rsidRPr="00791169" w14:paraId="75EB70D1" w14:textId="77777777" w:rsidTr="003E223D">
        <w:trPr>
          <w:trHeight w:val="244"/>
        </w:trPr>
        <w:tc>
          <w:tcPr>
            <w:tcW w:w="981" w:type="pct"/>
            <w:shd w:val="clear" w:color="auto" w:fill="auto"/>
            <w:noWrap/>
            <w:hideMark/>
          </w:tcPr>
          <w:p w14:paraId="20C828ED"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Gatzert</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Kosub</w:t>
            </w:r>
            <w:proofErr w:type="spellEnd"/>
            <w:r w:rsidRPr="00791169">
              <w:rPr>
                <w:rFonts w:ascii="Calibri" w:eastAsia="Times New Roman" w:hAnsi="Calibri" w:cs="Calibri"/>
                <w:sz w:val="18"/>
                <w:szCs w:val="18"/>
                <w:lang w:eastAsia="en-GB"/>
              </w:rPr>
              <w:t xml:space="preserve"> (2017</w:t>
            </w:r>
            <w:r>
              <w:rPr>
                <w:rFonts w:ascii="Calibri" w:eastAsia="Times New Roman" w:hAnsi="Calibri" w:cs="Calibri"/>
                <w:sz w:val="18"/>
                <w:szCs w:val="18"/>
                <w:lang w:eastAsia="en-GB"/>
              </w:rPr>
              <w:t>a</w:t>
            </w:r>
            <w:r w:rsidRPr="00791169">
              <w:rPr>
                <w:rFonts w:ascii="Calibri" w:eastAsia="Times New Roman" w:hAnsi="Calibri" w:cs="Calibri"/>
                <w:sz w:val="18"/>
                <w:szCs w:val="18"/>
                <w:lang w:eastAsia="en-GB"/>
              </w:rPr>
              <w:t>)</w:t>
            </w:r>
          </w:p>
          <w:p w14:paraId="39D6C3D8" w14:textId="77777777" w:rsidR="00EC3985" w:rsidRPr="00791169" w:rsidRDefault="00EC3985" w:rsidP="003E223D">
            <w:pPr>
              <w:spacing w:after="0" w:line="240" w:lineRule="auto"/>
              <w:rPr>
                <w:rFonts w:ascii="Calibri" w:eastAsia="Times New Roman" w:hAnsi="Calibri" w:cs="Calibri"/>
                <w:sz w:val="18"/>
                <w:szCs w:val="18"/>
                <w:lang w:eastAsia="en-GB"/>
              </w:rPr>
            </w:pPr>
          </w:p>
          <w:p w14:paraId="7F2414B3"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hideMark/>
          </w:tcPr>
          <w:p w14:paraId="263B1210"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4.2;6;9 (lack of project and lack of liquidity);10;12;15 (need for the adoption of a new theoretical framework)</w:t>
            </w:r>
          </w:p>
          <w:p w14:paraId="4330AD2E"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2046" w:type="pct"/>
            <w:shd w:val="clear" w:color="auto" w:fill="auto"/>
            <w:hideMark/>
          </w:tcPr>
          <w:p w14:paraId="3D708E7C"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hAnsi="Calibri" w:cs="Calibri"/>
                <w:sz w:val="18"/>
                <w:szCs w:val="18"/>
              </w:rPr>
              <w:t xml:space="preserve">Literature-based analysis of investment barriers into renewable energy infrastructure with focus on the insurance industry and Solvency II along with the impact of several European initiatives that are intended to reduce barriers, thereby also providing numerical examples regarding solvency capital requirements. </w:t>
            </w:r>
          </w:p>
        </w:tc>
        <w:tc>
          <w:tcPr>
            <w:tcW w:w="504" w:type="pct"/>
            <w:shd w:val="clear" w:color="auto" w:fill="auto"/>
            <w:hideMark/>
          </w:tcPr>
          <w:p w14:paraId="2216FD8C"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Insurances </w:t>
            </w:r>
          </w:p>
        </w:tc>
        <w:tc>
          <w:tcPr>
            <w:tcW w:w="588" w:type="pct"/>
            <w:shd w:val="clear" w:color="auto" w:fill="auto"/>
            <w:hideMark/>
          </w:tcPr>
          <w:p w14:paraId="670996CF"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791169">
              <w:rPr>
                <w:rFonts w:ascii="Calibri" w:eastAsia="Times New Roman" w:hAnsi="Calibri" w:cs="Calibri"/>
                <w:sz w:val="18"/>
                <w:szCs w:val="18"/>
                <w:lang w:eastAsia="en-GB"/>
              </w:rPr>
              <w:t xml:space="preserve"> / EU</w:t>
            </w:r>
          </w:p>
        </w:tc>
      </w:tr>
      <w:tr w:rsidR="00EC3985" w:rsidRPr="00791169" w14:paraId="520132A6" w14:textId="77777777" w:rsidTr="003E223D">
        <w:trPr>
          <w:trHeight w:val="244"/>
        </w:trPr>
        <w:tc>
          <w:tcPr>
            <w:tcW w:w="981" w:type="pct"/>
            <w:shd w:val="clear" w:color="auto" w:fill="auto"/>
            <w:noWrap/>
          </w:tcPr>
          <w:p w14:paraId="6453F829"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Granoff</w:t>
            </w:r>
            <w:proofErr w:type="spellEnd"/>
            <w:r w:rsidRPr="00791169">
              <w:rPr>
                <w:rFonts w:ascii="Calibri" w:eastAsia="Times New Roman" w:hAnsi="Calibri" w:cs="Calibri"/>
                <w:sz w:val="18"/>
                <w:szCs w:val="18"/>
                <w:lang w:eastAsia="en-GB"/>
              </w:rPr>
              <w:t xml:space="preserve"> et al. (2016)</w:t>
            </w:r>
          </w:p>
          <w:p w14:paraId="04642F04" w14:textId="77777777" w:rsidR="00EC3985" w:rsidRPr="00791169" w:rsidRDefault="00EC3985" w:rsidP="003E223D">
            <w:pPr>
              <w:spacing w:after="0" w:line="240" w:lineRule="auto"/>
              <w:rPr>
                <w:rFonts w:ascii="Calibri" w:eastAsia="Times New Roman" w:hAnsi="Calibri" w:cs="Calibri"/>
                <w:sz w:val="18"/>
                <w:szCs w:val="18"/>
                <w:lang w:eastAsia="en-GB"/>
              </w:rPr>
            </w:pPr>
          </w:p>
          <w:p w14:paraId="126C5212"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6095370E"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1;2;3;4.1;4.2;5;7;12;</w:t>
            </w:r>
            <w:r w:rsidRPr="00791169">
              <w:rPr>
                <w:rFonts w:ascii="Calibri" w:eastAsia="Times New Roman" w:hAnsi="Calibri" w:cs="Calibri"/>
                <w:sz w:val="18"/>
                <w:szCs w:val="18"/>
                <w:lang w:eastAsia="en-GB"/>
              </w:rPr>
              <w:t>13 (due to lack of information);14 (due to cultural values and invested capital); 15 (lack of skilled labour, supply chain bottle necks, vested interests and political lobbies)</w:t>
            </w:r>
          </w:p>
        </w:tc>
        <w:tc>
          <w:tcPr>
            <w:tcW w:w="2046" w:type="pct"/>
            <w:shd w:val="clear" w:color="auto" w:fill="auto"/>
          </w:tcPr>
          <w:p w14:paraId="576E0EF8"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Perspective </w:t>
            </w:r>
            <w:r w:rsidRPr="00791169">
              <w:rPr>
                <w:rFonts w:ascii="Calibri" w:eastAsia="Times New Roman" w:hAnsi="Calibri" w:cs="Calibri"/>
                <w:sz w:val="18"/>
                <w:szCs w:val="18"/>
                <w:lang w:eastAsia="en-GB"/>
              </w:rPr>
              <w:t xml:space="preserve">article </w:t>
            </w:r>
          </w:p>
        </w:tc>
        <w:tc>
          <w:tcPr>
            <w:tcW w:w="504" w:type="pct"/>
            <w:shd w:val="clear" w:color="auto" w:fill="auto"/>
          </w:tcPr>
          <w:p w14:paraId="344115BD"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Private </w:t>
            </w:r>
            <w:r>
              <w:rPr>
                <w:rFonts w:ascii="Calibri" w:eastAsia="Times New Roman" w:hAnsi="Calibri" w:cs="Calibri"/>
                <w:sz w:val="18"/>
                <w:szCs w:val="18"/>
                <w:lang w:eastAsia="en-GB"/>
              </w:rPr>
              <w:t>investors</w:t>
            </w:r>
          </w:p>
        </w:tc>
        <w:tc>
          <w:tcPr>
            <w:tcW w:w="588" w:type="pct"/>
            <w:shd w:val="clear" w:color="auto" w:fill="auto"/>
          </w:tcPr>
          <w:p w14:paraId="3FEBBEBD"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791169">
              <w:rPr>
                <w:rFonts w:ascii="Calibri" w:eastAsia="Times New Roman" w:hAnsi="Calibri" w:cs="Calibri"/>
                <w:sz w:val="18"/>
                <w:szCs w:val="18"/>
                <w:lang w:eastAsia="en-GB"/>
              </w:rPr>
              <w:t xml:space="preserve"> / Global </w:t>
            </w:r>
          </w:p>
        </w:tc>
      </w:tr>
      <w:tr w:rsidR="00EC3985" w:rsidRPr="00791169" w14:paraId="42A15285" w14:textId="77777777" w:rsidTr="003E223D">
        <w:trPr>
          <w:trHeight w:val="244"/>
        </w:trPr>
        <w:tc>
          <w:tcPr>
            <w:tcW w:w="981" w:type="pct"/>
            <w:shd w:val="clear" w:color="auto" w:fill="auto"/>
            <w:noWrap/>
          </w:tcPr>
          <w:p w14:paraId="1300E9EB"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Grüning</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Moslener</w:t>
            </w:r>
            <w:proofErr w:type="spellEnd"/>
            <w:r w:rsidRPr="00791169">
              <w:rPr>
                <w:rFonts w:ascii="Calibri" w:eastAsia="Times New Roman" w:hAnsi="Calibri" w:cs="Calibri"/>
                <w:sz w:val="18"/>
                <w:szCs w:val="18"/>
                <w:lang w:eastAsia="en-GB"/>
              </w:rPr>
              <w:t xml:space="preserve"> (2016)</w:t>
            </w:r>
          </w:p>
          <w:p w14:paraId="251A8728" w14:textId="77777777" w:rsidR="00EC3985" w:rsidRPr="00791169" w:rsidRDefault="00EC3985" w:rsidP="003E223D">
            <w:pPr>
              <w:spacing w:after="0" w:line="240" w:lineRule="auto"/>
              <w:rPr>
                <w:rFonts w:ascii="Calibri" w:eastAsia="Times New Roman" w:hAnsi="Calibri" w:cs="Calibri"/>
                <w:sz w:val="18"/>
                <w:szCs w:val="18"/>
                <w:lang w:eastAsia="en-GB"/>
              </w:rPr>
            </w:pPr>
          </w:p>
          <w:p w14:paraId="05BFD882"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2BE1B7F0"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2;4.1;7;8;9;10;12;15 (institutional barriers within finance institution, psychological, cultural and </w:t>
            </w:r>
            <w:r w:rsidRPr="00791169">
              <w:rPr>
                <w:rFonts w:ascii="Calibri" w:eastAsia="Times New Roman" w:hAnsi="Calibri" w:cs="Calibri"/>
                <w:sz w:val="18"/>
                <w:szCs w:val="18"/>
                <w:lang w:eastAsia="en-GB"/>
              </w:rPr>
              <w:lastRenderedPageBreak/>
              <w:t>behavioural barriers; technological barriers; lack of transmission infrastructure; lack of skills for operation and maintenance at the project side; lack of standards for renewable energy products)</w:t>
            </w:r>
          </w:p>
        </w:tc>
        <w:tc>
          <w:tcPr>
            <w:tcW w:w="2046" w:type="pct"/>
            <w:shd w:val="clear" w:color="auto" w:fill="auto"/>
          </w:tcPr>
          <w:p w14:paraId="0D5A3B52"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lastRenderedPageBreak/>
              <w:t>Literature overview</w:t>
            </w:r>
          </w:p>
        </w:tc>
        <w:tc>
          <w:tcPr>
            <w:tcW w:w="504" w:type="pct"/>
            <w:shd w:val="clear" w:color="auto" w:fill="auto"/>
          </w:tcPr>
          <w:p w14:paraId="59A2770E"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Private </w:t>
            </w:r>
            <w:r>
              <w:rPr>
                <w:rFonts w:ascii="Calibri" w:eastAsia="Times New Roman" w:hAnsi="Calibri" w:cs="Calibri"/>
                <w:sz w:val="18"/>
                <w:szCs w:val="18"/>
                <w:lang w:eastAsia="en-GB"/>
              </w:rPr>
              <w:t>investors</w:t>
            </w:r>
          </w:p>
        </w:tc>
        <w:tc>
          <w:tcPr>
            <w:tcW w:w="588" w:type="pct"/>
            <w:shd w:val="clear" w:color="auto" w:fill="auto"/>
          </w:tcPr>
          <w:p w14:paraId="48BE2BC0"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791169">
              <w:rPr>
                <w:rFonts w:ascii="Calibri" w:eastAsia="Times New Roman" w:hAnsi="Calibri" w:cs="Calibri"/>
                <w:sz w:val="18"/>
                <w:szCs w:val="18"/>
                <w:lang w:eastAsia="en-GB"/>
              </w:rPr>
              <w:t xml:space="preserve"> / Global</w:t>
            </w:r>
          </w:p>
        </w:tc>
      </w:tr>
      <w:tr w:rsidR="00EC3985" w:rsidRPr="00791169" w14:paraId="4B89FE59" w14:textId="77777777" w:rsidTr="003E223D">
        <w:trPr>
          <w:trHeight w:val="244"/>
        </w:trPr>
        <w:tc>
          <w:tcPr>
            <w:tcW w:w="981" w:type="pct"/>
            <w:shd w:val="clear" w:color="auto" w:fill="auto"/>
            <w:noWrap/>
          </w:tcPr>
          <w:p w14:paraId="41E79620"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Hampl</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Wustenhagen</w:t>
            </w:r>
            <w:proofErr w:type="spellEnd"/>
            <w:r w:rsidRPr="00791169">
              <w:rPr>
                <w:rFonts w:ascii="Calibri" w:eastAsia="Times New Roman" w:hAnsi="Calibri" w:cs="Calibri"/>
                <w:sz w:val="18"/>
                <w:szCs w:val="18"/>
                <w:lang w:eastAsia="en-GB"/>
              </w:rPr>
              <w:t xml:space="preserve"> (2013)</w:t>
            </w:r>
          </w:p>
          <w:p w14:paraId="6C773359" w14:textId="77777777" w:rsidR="00EC3985" w:rsidRPr="00791169" w:rsidRDefault="00EC3985" w:rsidP="003E223D">
            <w:pPr>
              <w:spacing w:after="0" w:line="240" w:lineRule="auto"/>
              <w:rPr>
                <w:rFonts w:ascii="Calibri" w:eastAsia="Times New Roman" w:hAnsi="Calibri" w:cs="Calibri"/>
                <w:sz w:val="18"/>
                <w:szCs w:val="18"/>
                <w:lang w:eastAsia="en-GB"/>
              </w:rPr>
            </w:pPr>
          </w:p>
          <w:p w14:paraId="33F9C27C"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0FA6F148"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2</w:t>
            </w:r>
            <w:proofErr w:type="gramStart"/>
            <w:r w:rsidRPr="00791169">
              <w:rPr>
                <w:rFonts w:ascii="Calibri" w:eastAsia="Times New Roman" w:hAnsi="Calibri" w:cs="Calibri"/>
                <w:sz w:val="18"/>
                <w:szCs w:val="18"/>
                <w:lang w:eastAsia="en-GB"/>
              </w:rPr>
              <w:t>;7</w:t>
            </w:r>
            <w:proofErr w:type="gramEnd"/>
            <w:r w:rsidRPr="00791169">
              <w:rPr>
                <w:rFonts w:ascii="Calibri" w:eastAsia="Times New Roman" w:hAnsi="Calibri" w:cs="Calibri"/>
                <w:sz w:val="18"/>
                <w:szCs w:val="18"/>
                <w:lang w:eastAsia="en-GB"/>
              </w:rPr>
              <w:t>;13;15 (completion risk; operation risk; supply risk; behavioural elements that impact perceptions: over-confidence, loss-aversion, anchoring, herd-behaviour and peer effects;)</w:t>
            </w:r>
          </w:p>
        </w:tc>
        <w:tc>
          <w:tcPr>
            <w:tcW w:w="2046" w:type="pct"/>
            <w:tcBorders>
              <w:right w:val="single" w:sz="4" w:space="0" w:color="auto"/>
            </w:tcBorders>
            <w:shd w:val="clear" w:color="auto" w:fill="auto"/>
          </w:tcPr>
          <w:p w14:paraId="12830FA8"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This paper develops a conceptual model of investor acceptance of wind power megaprojects and its management based on insights from literature on behavioural finance, social acceptance of wind power projects, megaproject management and stakeholder management.</w:t>
            </w:r>
          </w:p>
        </w:tc>
        <w:tc>
          <w:tcPr>
            <w:tcW w:w="504" w:type="pct"/>
            <w:shd w:val="clear" w:color="auto" w:fill="auto"/>
          </w:tcPr>
          <w:p w14:paraId="48FC51DC"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Private investors</w:t>
            </w:r>
          </w:p>
        </w:tc>
        <w:tc>
          <w:tcPr>
            <w:tcW w:w="588" w:type="pct"/>
            <w:tcBorders>
              <w:top w:val="single" w:sz="4" w:space="0" w:color="auto"/>
              <w:left w:val="single" w:sz="4" w:space="0" w:color="auto"/>
              <w:right w:val="single" w:sz="4" w:space="0" w:color="auto"/>
            </w:tcBorders>
            <w:shd w:val="clear" w:color="auto" w:fill="auto"/>
          </w:tcPr>
          <w:p w14:paraId="12DD36BF"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Wind power / G</w:t>
            </w:r>
            <w:r w:rsidRPr="00791169">
              <w:rPr>
                <w:rFonts w:ascii="Calibri" w:eastAsia="Times New Roman" w:hAnsi="Calibri" w:cs="Calibri"/>
                <w:sz w:val="18"/>
                <w:szCs w:val="18"/>
                <w:lang w:eastAsia="en-GB"/>
              </w:rPr>
              <w:t xml:space="preserve">lobal </w:t>
            </w:r>
          </w:p>
        </w:tc>
      </w:tr>
      <w:tr w:rsidR="00EC3985" w:rsidRPr="00791169" w14:paraId="6246EE28" w14:textId="77777777" w:rsidTr="003E223D">
        <w:trPr>
          <w:trHeight w:val="244"/>
        </w:trPr>
        <w:tc>
          <w:tcPr>
            <w:tcW w:w="981" w:type="pct"/>
            <w:tcBorders>
              <w:bottom w:val="single" w:sz="4" w:space="0" w:color="auto"/>
            </w:tcBorders>
            <w:shd w:val="clear" w:color="auto" w:fill="auto"/>
            <w:noWrap/>
          </w:tcPr>
          <w:p w14:paraId="07EF88AF"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Hu et al. (2018)</w:t>
            </w:r>
          </w:p>
          <w:p w14:paraId="0B5B47B7" w14:textId="77777777" w:rsidR="00EC3985" w:rsidRPr="00791169" w:rsidRDefault="00EC3985" w:rsidP="003E223D">
            <w:pPr>
              <w:spacing w:after="0" w:line="240" w:lineRule="auto"/>
              <w:rPr>
                <w:rFonts w:ascii="Calibri" w:eastAsia="Times New Roman" w:hAnsi="Calibri" w:cs="Calibri"/>
                <w:sz w:val="18"/>
                <w:szCs w:val="18"/>
                <w:lang w:eastAsia="en-GB"/>
              </w:rPr>
            </w:pPr>
          </w:p>
          <w:p w14:paraId="47DAFC6A"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tcBorders>
              <w:bottom w:val="single" w:sz="4" w:space="0" w:color="auto"/>
            </w:tcBorders>
            <w:shd w:val="clear" w:color="auto" w:fill="auto"/>
          </w:tcPr>
          <w:p w14:paraId="37124C8B"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4;5;6;15 (higher due diligence costs for small and medium projects)</w:t>
            </w:r>
          </w:p>
        </w:tc>
        <w:tc>
          <w:tcPr>
            <w:tcW w:w="2046" w:type="pct"/>
            <w:vMerge w:val="restart"/>
            <w:tcBorders>
              <w:bottom w:val="single" w:sz="4" w:space="0" w:color="auto"/>
            </w:tcBorders>
            <w:shd w:val="clear" w:color="auto" w:fill="auto"/>
          </w:tcPr>
          <w:p w14:paraId="540F48C3"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A survey of relevant literature based on a few targeted keywords, such as “investment decision-making”, “renewable energy” and “barrier”. A snowball method </w:t>
            </w:r>
            <w:proofErr w:type="gramStart"/>
            <w:r>
              <w:rPr>
                <w:rFonts w:ascii="Calibri" w:eastAsia="Times New Roman" w:hAnsi="Calibri" w:cs="Calibri"/>
                <w:sz w:val="18"/>
                <w:szCs w:val="18"/>
                <w:lang w:eastAsia="en-GB"/>
              </w:rPr>
              <w:t>was</w:t>
            </w:r>
            <w:r w:rsidRPr="00791169">
              <w:rPr>
                <w:rFonts w:ascii="Calibri" w:eastAsia="Times New Roman" w:hAnsi="Calibri" w:cs="Calibri"/>
                <w:sz w:val="18"/>
                <w:szCs w:val="18"/>
                <w:lang w:eastAsia="en-GB"/>
              </w:rPr>
              <w:t xml:space="preserve"> used</w:t>
            </w:r>
            <w:proofErr w:type="gramEnd"/>
            <w:r w:rsidRPr="00791169">
              <w:rPr>
                <w:rFonts w:ascii="Calibri" w:eastAsia="Times New Roman" w:hAnsi="Calibri" w:cs="Calibri"/>
                <w:sz w:val="18"/>
                <w:szCs w:val="18"/>
                <w:lang w:eastAsia="en-GB"/>
              </w:rPr>
              <w:t xml:space="preserve"> in addition to facilitate the literature survey process. A total number of 140 literature sources </w:t>
            </w:r>
            <w:proofErr w:type="gramStart"/>
            <w:r w:rsidRPr="00791169">
              <w:rPr>
                <w:rFonts w:ascii="Calibri" w:eastAsia="Times New Roman" w:hAnsi="Calibri" w:cs="Calibri"/>
                <w:sz w:val="18"/>
                <w:szCs w:val="18"/>
                <w:lang w:eastAsia="en-GB"/>
              </w:rPr>
              <w:t>were reviewed</w:t>
            </w:r>
            <w:proofErr w:type="gramEnd"/>
            <w:r w:rsidRPr="00791169">
              <w:rPr>
                <w:rFonts w:ascii="Calibri" w:eastAsia="Times New Roman" w:hAnsi="Calibri" w:cs="Calibri"/>
                <w:sz w:val="18"/>
                <w:szCs w:val="18"/>
                <w:lang w:eastAsia="en-GB"/>
              </w:rPr>
              <w:t xml:space="preserve">. </w:t>
            </w:r>
          </w:p>
        </w:tc>
        <w:tc>
          <w:tcPr>
            <w:tcW w:w="504" w:type="pct"/>
            <w:tcBorders>
              <w:bottom w:val="single" w:sz="4" w:space="0" w:color="auto"/>
            </w:tcBorders>
            <w:shd w:val="clear" w:color="auto" w:fill="auto"/>
          </w:tcPr>
          <w:p w14:paraId="696739A1" w14:textId="77777777" w:rsidR="00EC3985" w:rsidRPr="00791169" w:rsidRDefault="00EC3985" w:rsidP="003E223D">
            <w:pPr>
              <w:spacing w:after="0" w:line="240" w:lineRule="auto"/>
              <w:rPr>
                <w:rFonts w:ascii="Calibri" w:eastAsia="Times New Roman" w:hAnsi="Calibri" w:cs="Calibri"/>
                <w:sz w:val="18"/>
                <w:szCs w:val="18"/>
                <w:lang w:eastAsia="en-GB"/>
              </w:rPr>
            </w:pPr>
          </w:p>
          <w:p w14:paraId="381AB8B2"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Banks</w:t>
            </w:r>
          </w:p>
        </w:tc>
        <w:tc>
          <w:tcPr>
            <w:tcW w:w="588" w:type="pct"/>
            <w:vMerge w:val="restart"/>
            <w:tcBorders>
              <w:bottom w:val="single" w:sz="4" w:space="0" w:color="auto"/>
            </w:tcBorders>
            <w:shd w:val="clear" w:color="auto" w:fill="auto"/>
          </w:tcPr>
          <w:p w14:paraId="742C4B05"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 / G</w:t>
            </w:r>
            <w:r w:rsidRPr="00791169">
              <w:rPr>
                <w:rFonts w:ascii="Calibri" w:eastAsia="Times New Roman" w:hAnsi="Calibri" w:cs="Calibri"/>
                <w:sz w:val="18"/>
                <w:szCs w:val="18"/>
                <w:lang w:eastAsia="en-GB"/>
              </w:rPr>
              <w:t>lobal</w:t>
            </w:r>
          </w:p>
        </w:tc>
      </w:tr>
      <w:tr w:rsidR="00EC3985" w:rsidRPr="00791169" w14:paraId="5B74AF3E" w14:textId="77777777" w:rsidTr="003E223D">
        <w:trPr>
          <w:trHeight w:val="244"/>
        </w:trPr>
        <w:tc>
          <w:tcPr>
            <w:tcW w:w="981" w:type="pct"/>
            <w:tcBorders>
              <w:top w:val="single" w:sz="4" w:space="0" w:color="auto"/>
              <w:left w:val="single" w:sz="4" w:space="0" w:color="auto"/>
              <w:bottom w:val="single" w:sz="4" w:space="0" w:color="auto"/>
              <w:right w:val="single" w:sz="4" w:space="0" w:color="auto"/>
              <w:tr2bl w:val="nil"/>
            </w:tcBorders>
            <w:shd w:val="clear" w:color="auto" w:fill="auto"/>
            <w:noWrap/>
          </w:tcPr>
          <w:p w14:paraId="562B71BC"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Hu et al. (2018)</w:t>
            </w:r>
          </w:p>
          <w:p w14:paraId="5BB72724" w14:textId="77777777" w:rsidR="00EC3985" w:rsidRPr="00791169" w:rsidRDefault="00EC3985" w:rsidP="003E223D">
            <w:pPr>
              <w:spacing w:after="0" w:line="240" w:lineRule="auto"/>
              <w:rPr>
                <w:rFonts w:ascii="Calibri" w:eastAsia="Times New Roman" w:hAnsi="Calibri" w:cs="Calibri"/>
                <w:sz w:val="18"/>
                <w:szCs w:val="18"/>
                <w:lang w:eastAsia="en-GB"/>
              </w:rPr>
            </w:pPr>
          </w:p>
          <w:p w14:paraId="1C6574DC"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tcBorders>
              <w:top w:val="single" w:sz="4" w:space="0" w:color="auto"/>
              <w:left w:val="single" w:sz="4" w:space="0" w:color="auto"/>
              <w:bottom w:val="single" w:sz="4" w:space="0" w:color="auto"/>
              <w:right w:val="single" w:sz="4" w:space="0" w:color="auto"/>
              <w:tr2bl w:val="nil"/>
            </w:tcBorders>
            <w:shd w:val="clear" w:color="auto" w:fill="auto"/>
          </w:tcPr>
          <w:p w14:paraId="7B40DB28"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1;2;3 (low carbon price; subsidies for fossil fuels); 4.1; 5;6;7;12;13;14 (due to biased risk-perceptions or sunk costs in terms of invested capital/skills); 15 (</w:t>
            </w:r>
            <w:r w:rsidRPr="00791169">
              <w:rPr>
                <w:rFonts w:ascii="Calibri" w:hAnsi="Calibri" w:cs="Calibri"/>
                <w:sz w:val="18"/>
                <w:szCs w:val="18"/>
              </w:rPr>
              <w:t>lack of sustainable strategic value; worldview and culture of investors; misperception on Renewable energy infrastructure lifetime)</w:t>
            </w:r>
          </w:p>
        </w:tc>
        <w:tc>
          <w:tcPr>
            <w:tcW w:w="2046" w:type="pct"/>
            <w:vMerge/>
            <w:tcBorders>
              <w:top w:val="single" w:sz="4" w:space="0" w:color="auto"/>
              <w:left w:val="single" w:sz="4" w:space="0" w:color="auto"/>
              <w:bottom w:val="single" w:sz="4" w:space="0" w:color="auto"/>
              <w:right w:val="single" w:sz="4" w:space="0" w:color="auto"/>
              <w:tr2bl w:val="nil"/>
            </w:tcBorders>
            <w:shd w:val="clear" w:color="auto" w:fill="auto"/>
          </w:tcPr>
          <w:p w14:paraId="0224996D"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504" w:type="pct"/>
            <w:tcBorders>
              <w:top w:val="single" w:sz="4" w:space="0" w:color="auto"/>
              <w:left w:val="single" w:sz="4" w:space="0" w:color="auto"/>
              <w:bottom w:val="single" w:sz="4" w:space="0" w:color="auto"/>
              <w:right w:val="single" w:sz="4" w:space="0" w:color="auto"/>
              <w:tr2bl w:val="nil"/>
            </w:tcBorders>
            <w:shd w:val="clear" w:color="auto" w:fill="auto"/>
          </w:tcPr>
          <w:p w14:paraId="511EA2DE"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Energy developer</w:t>
            </w:r>
          </w:p>
          <w:p w14:paraId="1F5B084D"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588" w:type="pct"/>
            <w:vMerge/>
            <w:tcBorders>
              <w:top w:val="single" w:sz="4" w:space="0" w:color="auto"/>
              <w:left w:val="single" w:sz="4" w:space="0" w:color="auto"/>
              <w:bottom w:val="single" w:sz="4" w:space="0" w:color="auto"/>
              <w:right w:val="single" w:sz="4" w:space="0" w:color="auto"/>
              <w:tr2bl w:val="nil"/>
            </w:tcBorders>
            <w:shd w:val="clear" w:color="auto" w:fill="auto"/>
          </w:tcPr>
          <w:p w14:paraId="025A40CD" w14:textId="77777777" w:rsidR="00EC3985" w:rsidRPr="00791169" w:rsidRDefault="00EC3985" w:rsidP="003E223D">
            <w:pPr>
              <w:spacing w:after="0" w:line="240" w:lineRule="auto"/>
              <w:rPr>
                <w:rFonts w:ascii="Calibri" w:eastAsia="Times New Roman" w:hAnsi="Calibri" w:cs="Calibri"/>
                <w:sz w:val="18"/>
                <w:szCs w:val="18"/>
                <w:lang w:eastAsia="en-GB"/>
              </w:rPr>
            </w:pPr>
          </w:p>
        </w:tc>
      </w:tr>
      <w:tr w:rsidR="00EC3985" w:rsidRPr="00791169" w14:paraId="4BB7A53F" w14:textId="77777777" w:rsidTr="003E223D">
        <w:trPr>
          <w:trHeight w:val="244"/>
        </w:trPr>
        <w:tc>
          <w:tcPr>
            <w:tcW w:w="981" w:type="pct"/>
            <w:shd w:val="clear" w:color="auto" w:fill="auto"/>
            <w:noWrap/>
          </w:tcPr>
          <w:p w14:paraId="2673D543"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Ivanova</w:t>
            </w:r>
            <w:proofErr w:type="spellEnd"/>
            <w:r w:rsidRPr="00791169">
              <w:rPr>
                <w:rFonts w:ascii="Calibri" w:eastAsia="Times New Roman" w:hAnsi="Calibri" w:cs="Calibri"/>
                <w:sz w:val="18"/>
                <w:szCs w:val="18"/>
                <w:lang w:eastAsia="en-GB"/>
              </w:rPr>
              <w:t xml:space="preserve"> et al. (2011)</w:t>
            </w:r>
          </w:p>
          <w:p w14:paraId="44C93FDC" w14:textId="77777777" w:rsidR="00EC3985" w:rsidRPr="00791169" w:rsidRDefault="00EC3985" w:rsidP="003E223D">
            <w:pPr>
              <w:spacing w:after="0" w:line="240" w:lineRule="auto"/>
              <w:rPr>
                <w:rFonts w:ascii="Calibri" w:eastAsia="Times New Roman" w:hAnsi="Calibri" w:cs="Calibri"/>
                <w:sz w:val="18"/>
                <w:szCs w:val="18"/>
                <w:lang w:eastAsia="en-GB"/>
              </w:rPr>
            </w:pPr>
          </w:p>
          <w:p w14:paraId="77A3B090"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5DB975C1"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1;2;3;4.1;15 (lack of access to finance; insufficient support and incentives from the government; lack of RE skills; Import tariffs and technical barriers impede trade in renewables; technology standards are lacking for some RE technologies and fuels)</w:t>
            </w:r>
          </w:p>
        </w:tc>
        <w:tc>
          <w:tcPr>
            <w:tcW w:w="2046" w:type="pct"/>
            <w:shd w:val="clear" w:color="auto" w:fill="auto"/>
          </w:tcPr>
          <w:p w14:paraId="2EE74741"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Narrative literature review</w:t>
            </w:r>
          </w:p>
        </w:tc>
        <w:tc>
          <w:tcPr>
            <w:tcW w:w="504" w:type="pct"/>
            <w:shd w:val="clear" w:color="auto" w:fill="auto"/>
          </w:tcPr>
          <w:p w14:paraId="79A54FCB"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Focus on energy developer or generators </w:t>
            </w:r>
          </w:p>
          <w:p w14:paraId="55F30E03"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588" w:type="pct"/>
            <w:tcBorders>
              <w:top w:val="single" w:sz="4" w:space="0" w:color="auto"/>
            </w:tcBorders>
            <w:shd w:val="clear" w:color="auto" w:fill="auto"/>
          </w:tcPr>
          <w:p w14:paraId="686D7F40"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791169">
              <w:rPr>
                <w:rFonts w:ascii="Calibri" w:eastAsia="Times New Roman" w:hAnsi="Calibri" w:cs="Calibri"/>
                <w:sz w:val="18"/>
                <w:szCs w:val="18"/>
                <w:lang w:eastAsia="en-GB"/>
              </w:rPr>
              <w:t xml:space="preserve"> / Global</w:t>
            </w:r>
          </w:p>
        </w:tc>
      </w:tr>
      <w:tr w:rsidR="00EC3985" w:rsidRPr="00791169" w14:paraId="6FD1487B" w14:textId="77777777" w:rsidTr="003E223D">
        <w:trPr>
          <w:trHeight w:val="244"/>
        </w:trPr>
        <w:tc>
          <w:tcPr>
            <w:tcW w:w="981" w:type="pct"/>
            <w:shd w:val="clear" w:color="auto" w:fill="auto"/>
            <w:noWrap/>
          </w:tcPr>
          <w:p w14:paraId="5F4B4A69"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Jacobsson</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Jacobsson</w:t>
            </w:r>
            <w:proofErr w:type="spellEnd"/>
            <w:r w:rsidRPr="00791169">
              <w:rPr>
                <w:rFonts w:ascii="Calibri" w:eastAsia="Times New Roman" w:hAnsi="Calibri" w:cs="Calibri"/>
                <w:sz w:val="18"/>
                <w:szCs w:val="18"/>
                <w:lang w:eastAsia="en-GB"/>
              </w:rPr>
              <w:t xml:space="preserve"> (2012) </w:t>
            </w:r>
          </w:p>
          <w:p w14:paraId="667286E4" w14:textId="77777777" w:rsidR="00EC3985" w:rsidRPr="00791169" w:rsidRDefault="00EC3985" w:rsidP="003E223D">
            <w:pPr>
              <w:spacing w:after="0" w:line="240" w:lineRule="auto"/>
              <w:rPr>
                <w:rFonts w:ascii="Calibri" w:eastAsia="Times New Roman" w:hAnsi="Calibri" w:cs="Calibri"/>
                <w:sz w:val="18"/>
                <w:szCs w:val="18"/>
                <w:lang w:eastAsia="en-GB"/>
              </w:rPr>
            </w:pPr>
          </w:p>
          <w:p w14:paraId="52ADD67B"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720A1DF9"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2;4.2;5;7;10;15 (undergoing change in the business logic of the financial sector e.g. </w:t>
            </w:r>
            <w:r w:rsidRPr="00791169">
              <w:rPr>
                <w:rFonts w:ascii="Calibri" w:eastAsia="Times New Roman" w:hAnsi="Calibri" w:cs="Calibri"/>
                <w:sz w:val="18"/>
                <w:szCs w:val="18"/>
                <w:lang w:eastAsia="en-GB"/>
              </w:rPr>
              <w:lastRenderedPageBreak/>
              <w:t>increasing focus towards speculative and high-risk financial investments; very limited availability of debt provided by banks and also for an only limited duration)</w:t>
            </w:r>
          </w:p>
        </w:tc>
        <w:tc>
          <w:tcPr>
            <w:tcW w:w="2046" w:type="pct"/>
            <w:shd w:val="clear" w:color="auto" w:fill="auto"/>
          </w:tcPr>
          <w:p w14:paraId="092CCBE0" w14:textId="77777777" w:rsidR="00EC3985" w:rsidRPr="00791169" w:rsidRDefault="00EC3985" w:rsidP="003E223D">
            <w:pPr>
              <w:autoSpaceDE w:val="0"/>
              <w:autoSpaceDN w:val="0"/>
              <w:adjustRightInd w:val="0"/>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lastRenderedPageBreak/>
              <w:t>Narrative literature review and analysis of the current financial system</w:t>
            </w:r>
          </w:p>
        </w:tc>
        <w:tc>
          <w:tcPr>
            <w:tcW w:w="504" w:type="pct"/>
            <w:shd w:val="clear" w:color="auto" w:fill="auto"/>
          </w:tcPr>
          <w:p w14:paraId="169611F1"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Financial investors</w:t>
            </w:r>
          </w:p>
        </w:tc>
        <w:tc>
          <w:tcPr>
            <w:tcW w:w="588" w:type="pct"/>
            <w:tcBorders>
              <w:top w:val="single" w:sz="4" w:space="0" w:color="auto"/>
            </w:tcBorders>
            <w:shd w:val="clear" w:color="auto" w:fill="auto"/>
          </w:tcPr>
          <w:p w14:paraId="163AFB8F"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 / N</w:t>
            </w:r>
            <w:r w:rsidRPr="00791169">
              <w:rPr>
                <w:rFonts w:ascii="Calibri" w:eastAsia="Times New Roman" w:hAnsi="Calibri" w:cs="Calibri"/>
                <w:sz w:val="18"/>
                <w:szCs w:val="18"/>
                <w:lang w:eastAsia="en-GB"/>
              </w:rPr>
              <w:t>ot specified</w:t>
            </w:r>
          </w:p>
        </w:tc>
      </w:tr>
      <w:tr w:rsidR="00EC3985" w:rsidRPr="00791169" w14:paraId="6EFB0A46" w14:textId="77777777" w:rsidTr="003E223D">
        <w:trPr>
          <w:trHeight w:val="244"/>
        </w:trPr>
        <w:tc>
          <w:tcPr>
            <w:tcW w:w="981" w:type="pct"/>
            <w:shd w:val="clear" w:color="auto" w:fill="auto"/>
            <w:noWrap/>
          </w:tcPr>
          <w:p w14:paraId="4AD684FA"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Klessmann</w:t>
            </w:r>
            <w:proofErr w:type="spellEnd"/>
            <w:r w:rsidRPr="00791169">
              <w:rPr>
                <w:rFonts w:ascii="Calibri" w:eastAsia="Times New Roman" w:hAnsi="Calibri" w:cs="Calibri"/>
                <w:sz w:val="18"/>
                <w:szCs w:val="18"/>
                <w:lang w:eastAsia="en-GB"/>
              </w:rPr>
              <w:t xml:space="preserve"> et al. (2011)</w:t>
            </w:r>
          </w:p>
          <w:p w14:paraId="22B8530C" w14:textId="77777777" w:rsidR="00EC3985" w:rsidRPr="00791169" w:rsidRDefault="00EC3985" w:rsidP="003E223D">
            <w:pPr>
              <w:spacing w:after="0" w:line="240" w:lineRule="auto"/>
              <w:rPr>
                <w:rFonts w:ascii="Calibri" w:eastAsia="Times New Roman" w:hAnsi="Calibri" w:cs="Calibri"/>
                <w:sz w:val="18"/>
                <w:szCs w:val="18"/>
                <w:lang w:eastAsia="en-GB"/>
              </w:rPr>
            </w:pPr>
          </w:p>
          <w:p w14:paraId="1456C03D"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5F19A592" w14:textId="77777777" w:rsidR="00EC3985" w:rsidRPr="00791169" w:rsidRDefault="00EC3985" w:rsidP="003E223D">
            <w:pPr>
              <w:spacing w:after="0" w:line="240" w:lineRule="auto"/>
              <w:rPr>
                <w:rFonts w:ascii="Calibri" w:eastAsia="Times New Roman" w:hAnsi="Calibri" w:cs="Calibri"/>
                <w:sz w:val="18"/>
                <w:szCs w:val="18"/>
                <w:lang w:eastAsia="en-GB"/>
              </w:rPr>
            </w:pPr>
            <w:r w:rsidRPr="00120BD0">
              <w:rPr>
                <w:rFonts w:ascii="Calibri" w:eastAsia="Times New Roman" w:hAnsi="Calibri" w:cs="Calibri"/>
                <w:sz w:val="18"/>
                <w:szCs w:val="18"/>
                <w:lang w:eastAsia="en-GB"/>
              </w:rPr>
              <w:t>1;</w:t>
            </w:r>
            <w:r w:rsidRPr="00791169">
              <w:rPr>
                <w:rFonts w:ascii="Calibri" w:eastAsia="Times New Roman" w:hAnsi="Calibri" w:cs="Calibri"/>
                <w:sz w:val="18"/>
                <w:szCs w:val="18"/>
                <w:lang w:eastAsia="en-GB"/>
              </w:rPr>
              <w:t>2;4.1;5;7;12;1</w:t>
            </w:r>
            <w:r>
              <w:rPr>
                <w:rFonts w:ascii="Calibri" w:eastAsia="Times New Roman" w:hAnsi="Calibri" w:cs="Calibri"/>
                <w:sz w:val="18"/>
                <w:szCs w:val="18"/>
                <w:lang w:eastAsia="en-GB"/>
              </w:rPr>
              <w:t>3 (due to lack of information);</w:t>
            </w:r>
            <w:r w:rsidRPr="00791169">
              <w:rPr>
                <w:rFonts w:ascii="Calibri" w:eastAsia="Times New Roman" w:hAnsi="Calibri" w:cs="Calibri"/>
                <w:sz w:val="18"/>
                <w:szCs w:val="18"/>
                <w:lang w:eastAsia="en-GB"/>
              </w:rPr>
              <w:t>15 (cognitive barriers, cultural differences, , grid access, supply chain bottlenecks (e.g. lack of skilled labour; lack of production capacity), high power of other players in the power market)</w:t>
            </w:r>
          </w:p>
        </w:tc>
        <w:tc>
          <w:tcPr>
            <w:tcW w:w="2046" w:type="pct"/>
            <w:shd w:val="clear" w:color="auto" w:fill="auto"/>
          </w:tcPr>
          <w:p w14:paraId="75F1C1D4"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Literature review</w:t>
            </w:r>
          </w:p>
        </w:tc>
        <w:tc>
          <w:tcPr>
            <w:tcW w:w="504" w:type="pct"/>
            <w:shd w:val="clear" w:color="auto" w:fill="auto"/>
          </w:tcPr>
          <w:p w14:paraId="56A5E284"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Energy developer and generators </w:t>
            </w:r>
          </w:p>
        </w:tc>
        <w:tc>
          <w:tcPr>
            <w:tcW w:w="588" w:type="pct"/>
            <w:tcBorders>
              <w:top w:val="single" w:sz="4" w:space="0" w:color="auto"/>
            </w:tcBorders>
            <w:shd w:val="clear" w:color="auto" w:fill="auto"/>
          </w:tcPr>
          <w:p w14:paraId="34EFCF93"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w:t>
            </w:r>
            <w:r w:rsidRPr="00791169">
              <w:rPr>
                <w:rFonts w:ascii="Calibri" w:eastAsia="Times New Roman" w:hAnsi="Calibri" w:cs="Calibri"/>
                <w:sz w:val="18"/>
                <w:szCs w:val="18"/>
                <w:lang w:eastAsia="en-GB"/>
              </w:rPr>
              <w:t xml:space="preserve"> / EU</w:t>
            </w:r>
          </w:p>
        </w:tc>
      </w:tr>
      <w:tr w:rsidR="00EC3985" w:rsidRPr="00791169" w14:paraId="03D96521" w14:textId="77777777" w:rsidTr="003E223D">
        <w:trPr>
          <w:trHeight w:val="244"/>
        </w:trPr>
        <w:tc>
          <w:tcPr>
            <w:tcW w:w="981" w:type="pct"/>
            <w:shd w:val="clear" w:color="auto" w:fill="auto"/>
            <w:noWrap/>
          </w:tcPr>
          <w:p w14:paraId="2FC61166" w14:textId="77777777" w:rsidR="00EC3985" w:rsidRDefault="00EC3985" w:rsidP="003E223D">
            <w:pPr>
              <w:rPr>
                <w:rFonts w:ascii="Calibri" w:hAnsi="Calibri" w:cs="Calibri"/>
                <w:sz w:val="18"/>
                <w:szCs w:val="18"/>
              </w:rPr>
            </w:pPr>
            <w:r>
              <w:rPr>
                <w:rFonts w:ascii="Calibri" w:hAnsi="Calibri" w:cs="Calibri"/>
                <w:sz w:val="18"/>
                <w:szCs w:val="18"/>
              </w:rPr>
              <w:t>Louche et al. (2019)</w:t>
            </w:r>
          </w:p>
        </w:tc>
        <w:tc>
          <w:tcPr>
            <w:tcW w:w="881" w:type="pct"/>
            <w:shd w:val="clear" w:color="auto" w:fill="auto"/>
          </w:tcPr>
          <w:p w14:paraId="5C96342B" w14:textId="77777777" w:rsidR="00EC3985" w:rsidRDefault="00EC3985" w:rsidP="003E223D">
            <w:pPr>
              <w:rPr>
                <w:rFonts w:ascii="Calibri" w:hAnsi="Calibri" w:cs="Calibri"/>
                <w:sz w:val="18"/>
                <w:szCs w:val="18"/>
              </w:rPr>
            </w:pPr>
            <w:r>
              <w:rPr>
                <w:rFonts w:ascii="Calibri" w:hAnsi="Calibri" w:cs="Calibri"/>
                <w:sz w:val="18"/>
                <w:szCs w:val="18"/>
              </w:rPr>
              <w:t>4;8;15 (challenges related to forecast forward looking uncertainty (e.g. uncorrelated to past data) by traditional financial models; use of the efficient market hypothesis)</w:t>
            </w:r>
          </w:p>
        </w:tc>
        <w:tc>
          <w:tcPr>
            <w:tcW w:w="2046" w:type="pct"/>
            <w:shd w:val="clear" w:color="auto" w:fill="auto"/>
          </w:tcPr>
          <w:p w14:paraId="095C45B8" w14:textId="77777777" w:rsidR="00EC3985" w:rsidRDefault="00EC3985" w:rsidP="003E223D">
            <w:pPr>
              <w:rPr>
                <w:rFonts w:ascii="Calibri" w:hAnsi="Calibri" w:cs="Calibri"/>
                <w:sz w:val="18"/>
                <w:szCs w:val="18"/>
              </w:rPr>
            </w:pPr>
            <w:r>
              <w:rPr>
                <w:rFonts w:ascii="Calibri" w:hAnsi="Calibri" w:cs="Calibri"/>
                <w:sz w:val="18"/>
                <w:szCs w:val="18"/>
              </w:rPr>
              <w:t>Narrative literature review</w:t>
            </w:r>
          </w:p>
        </w:tc>
        <w:tc>
          <w:tcPr>
            <w:tcW w:w="504" w:type="pct"/>
            <w:shd w:val="clear" w:color="auto" w:fill="auto"/>
          </w:tcPr>
          <w:p w14:paraId="33EB4D21" w14:textId="77777777" w:rsidR="00EC3985" w:rsidRDefault="00EC3985" w:rsidP="003E223D">
            <w:pPr>
              <w:rPr>
                <w:rFonts w:ascii="Calibri" w:hAnsi="Calibri" w:cs="Calibri"/>
                <w:sz w:val="18"/>
                <w:szCs w:val="18"/>
              </w:rPr>
            </w:pPr>
            <w:r>
              <w:rPr>
                <w:rFonts w:ascii="Calibri" w:hAnsi="Calibri" w:cs="Calibri"/>
                <w:sz w:val="18"/>
                <w:szCs w:val="18"/>
              </w:rPr>
              <w:t>Private Investors</w:t>
            </w:r>
          </w:p>
        </w:tc>
        <w:tc>
          <w:tcPr>
            <w:tcW w:w="588" w:type="pct"/>
            <w:tcBorders>
              <w:top w:val="single" w:sz="4" w:space="0" w:color="auto"/>
            </w:tcBorders>
            <w:shd w:val="clear" w:color="auto" w:fill="auto"/>
          </w:tcPr>
          <w:p w14:paraId="64FAC80C" w14:textId="77777777" w:rsidR="00EC3985" w:rsidRDefault="00EC3985" w:rsidP="003E223D">
            <w:pPr>
              <w:rPr>
                <w:rFonts w:ascii="Calibri" w:hAnsi="Calibri" w:cs="Calibri"/>
                <w:sz w:val="18"/>
                <w:szCs w:val="18"/>
              </w:rPr>
            </w:pPr>
            <w:r>
              <w:rPr>
                <w:rFonts w:ascii="Calibri" w:hAnsi="Calibri" w:cs="Calibri"/>
                <w:sz w:val="18"/>
                <w:szCs w:val="18"/>
              </w:rPr>
              <w:t>All renewables / Global</w:t>
            </w:r>
          </w:p>
        </w:tc>
      </w:tr>
      <w:tr w:rsidR="00EC3985" w:rsidRPr="00791169" w14:paraId="4003A793" w14:textId="77777777" w:rsidTr="003E223D">
        <w:trPr>
          <w:trHeight w:val="244"/>
        </w:trPr>
        <w:tc>
          <w:tcPr>
            <w:tcW w:w="981" w:type="pct"/>
            <w:shd w:val="clear" w:color="auto" w:fill="auto"/>
            <w:noWrap/>
            <w:hideMark/>
          </w:tcPr>
          <w:p w14:paraId="460964A0"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sidRPr="00791169">
              <w:rPr>
                <w:rFonts w:ascii="Calibri" w:eastAsia="Times New Roman" w:hAnsi="Calibri" w:cs="Calibri"/>
                <w:sz w:val="18"/>
                <w:szCs w:val="18"/>
                <w:lang w:eastAsia="en-GB"/>
              </w:rPr>
              <w:t>Polzin</w:t>
            </w:r>
            <w:proofErr w:type="spellEnd"/>
            <w:r w:rsidRPr="00791169">
              <w:rPr>
                <w:rFonts w:ascii="Calibri" w:eastAsia="Times New Roman" w:hAnsi="Calibri" w:cs="Calibri"/>
                <w:sz w:val="18"/>
                <w:szCs w:val="18"/>
                <w:lang w:eastAsia="en-GB"/>
              </w:rPr>
              <w:t xml:space="preserve"> (2017)</w:t>
            </w:r>
          </w:p>
          <w:p w14:paraId="71662C75" w14:textId="77777777" w:rsidR="00EC3985" w:rsidRPr="00791169" w:rsidRDefault="00EC3985" w:rsidP="003E223D">
            <w:pPr>
              <w:spacing w:after="0" w:line="240" w:lineRule="auto"/>
              <w:rPr>
                <w:rFonts w:ascii="Calibri" w:eastAsia="Times New Roman" w:hAnsi="Calibri" w:cs="Calibri"/>
                <w:sz w:val="18"/>
                <w:szCs w:val="18"/>
                <w:lang w:eastAsia="en-GB"/>
              </w:rPr>
            </w:pPr>
          </w:p>
          <w:p w14:paraId="77C478A4"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hideMark/>
          </w:tcPr>
          <w:p w14:paraId="47551A66"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1;2;3;4;5;8;12;13;14</w:t>
            </w:r>
          </w:p>
        </w:tc>
        <w:tc>
          <w:tcPr>
            <w:tcW w:w="2046" w:type="pct"/>
            <w:shd w:val="clear" w:color="auto" w:fill="auto"/>
            <w:hideMark/>
          </w:tcPr>
          <w:p w14:paraId="26E28769" w14:textId="77777777" w:rsidR="00EC3985" w:rsidRPr="00791169" w:rsidRDefault="00EC3985" w:rsidP="003E223D">
            <w:pPr>
              <w:autoSpaceDE w:val="0"/>
              <w:autoSpaceDN w:val="0"/>
              <w:adjustRightInd w:val="0"/>
              <w:spacing w:after="0" w:line="240" w:lineRule="auto"/>
              <w:rPr>
                <w:rFonts w:ascii="Calibri" w:hAnsi="Calibri" w:cs="Calibri"/>
                <w:sz w:val="18"/>
                <w:szCs w:val="18"/>
              </w:rPr>
            </w:pPr>
            <w:r>
              <w:rPr>
                <w:rFonts w:ascii="Calibri" w:eastAsia="Times New Roman" w:hAnsi="Calibri" w:cs="Calibri"/>
                <w:sz w:val="18"/>
                <w:szCs w:val="18"/>
                <w:lang w:eastAsia="en-GB"/>
              </w:rPr>
              <w:t>Narrative literature review.</w:t>
            </w:r>
            <w:r>
              <w:rPr>
                <w:rFonts w:ascii="Calibri" w:hAnsi="Calibri" w:cs="Calibri"/>
                <w:sz w:val="18"/>
                <w:szCs w:val="18"/>
              </w:rPr>
              <w:t xml:space="preserve"> Reviewed </w:t>
            </w:r>
            <w:r w:rsidRPr="00791169">
              <w:rPr>
                <w:rFonts w:ascii="Calibri" w:hAnsi="Calibri" w:cs="Calibri"/>
                <w:sz w:val="18"/>
                <w:szCs w:val="18"/>
              </w:rPr>
              <w:t xml:space="preserve">articles </w:t>
            </w:r>
            <w:proofErr w:type="gramStart"/>
            <w:r w:rsidRPr="00791169">
              <w:rPr>
                <w:rFonts w:ascii="Calibri" w:hAnsi="Calibri" w:cs="Calibri"/>
                <w:sz w:val="18"/>
                <w:szCs w:val="18"/>
              </w:rPr>
              <w:t>were identified and classified,</w:t>
            </w:r>
            <w:proofErr w:type="gramEnd"/>
            <w:r w:rsidRPr="00791169">
              <w:rPr>
                <w:rFonts w:ascii="Calibri" w:hAnsi="Calibri" w:cs="Calibri"/>
                <w:sz w:val="18"/>
                <w:szCs w:val="18"/>
              </w:rPr>
              <w:t xml:space="preserve"> </w:t>
            </w:r>
            <w:r>
              <w:rPr>
                <w:rFonts w:ascii="Calibri" w:hAnsi="Calibri" w:cs="Calibri"/>
                <w:sz w:val="18"/>
                <w:szCs w:val="18"/>
              </w:rPr>
              <w:t xml:space="preserve">and </w:t>
            </w:r>
            <w:r w:rsidRPr="00791169">
              <w:rPr>
                <w:rFonts w:ascii="Calibri" w:hAnsi="Calibri" w:cs="Calibri"/>
                <w:sz w:val="18"/>
                <w:szCs w:val="18"/>
              </w:rPr>
              <w:t xml:space="preserve">the texts analysed and mapped into a theoretical framework. </w:t>
            </w:r>
          </w:p>
        </w:tc>
        <w:tc>
          <w:tcPr>
            <w:tcW w:w="504" w:type="pct"/>
            <w:shd w:val="clear" w:color="auto" w:fill="auto"/>
            <w:hideMark/>
          </w:tcPr>
          <w:p w14:paraId="5B717E24"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Mainly financial investors</w:t>
            </w:r>
          </w:p>
        </w:tc>
        <w:tc>
          <w:tcPr>
            <w:tcW w:w="588" w:type="pct"/>
            <w:tcBorders>
              <w:top w:val="single" w:sz="4" w:space="0" w:color="auto"/>
            </w:tcBorders>
            <w:shd w:val="clear" w:color="auto" w:fill="auto"/>
            <w:hideMark/>
          </w:tcPr>
          <w:p w14:paraId="2C01115B"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 / N</w:t>
            </w:r>
            <w:r w:rsidRPr="00791169">
              <w:rPr>
                <w:rFonts w:ascii="Calibri" w:eastAsia="Times New Roman" w:hAnsi="Calibri" w:cs="Calibri"/>
                <w:sz w:val="18"/>
                <w:szCs w:val="18"/>
                <w:lang w:eastAsia="en-GB"/>
              </w:rPr>
              <w:t>ot specified</w:t>
            </w:r>
          </w:p>
        </w:tc>
      </w:tr>
      <w:tr w:rsidR="00EC3985" w:rsidRPr="00791169" w14:paraId="3F6E9A15" w14:textId="77777777" w:rsidTr="003E223D">
        <w:trPr>
          <w:trHeight w:val="244"/>
        </w:trPr>
        <w:tc>
          <w:tcPr>
            <w:tcW w:w="981" w:type="pct"/>
            <w:shd w:val="clear" w:color="auto" w:fill="auto"/>
            <w:noWrap/>
          </w:tcPr>
          <w:p w14:paraId="6740923C"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Pr>
                <w:rFonts w:ascii="Calibri" w:eastAsia="Times New Roman" w:hAnsi="Calibri" w:cs="Calibri"/>
                <w:sz w:val="18"/>
                <w:szCs w:val="18"/>
                <w:lang w:eastAsia="en-GB"/>
              </w:rPr>
              <w:t>Wü</w:t>
            </w:r>
            <w:r w:rsidRPr="00791169">
              <w:rPr>
                <w:rFonts w:ascii="Calibri" w:eastAsia="Times New Roman" w:hAnsi="Calibri" w:cs="Calibri"/>
                <w:sz w:val="18"/>
                <w:szCs w:val="18"/>
                <w:lang w:eastAsia="en-GB"/>
              </w:rPr>
              <w:t>stenhagen</w:t>
            </w:r>
            <w:proofErr w:type="spellEnd"/>
            <w:r w:rsidRPr="00791169">
              <w:rPr>
                <w:rFonts w:ascii="Calibri" w:eastAsia="Times New Roman" w:hAnsi="Calibri" w:cs="Calibri"/>
                <w:sz w:val="18"/>
                <w:szCs w:val="18"/>
                <w:lang w:eastAsia="en-GB"/>
              </w:rPr>
              <w:t xml:space="preserve"> &amp; </w:t>
            </w:r>
            <w:proofErr w:type="spellStart"/>
            <w:r w:rsidRPr="00791169">
              <w:rPr>
                <w:rFonts w:ascii="Calibri" w:eastAsia="Times New Roman" w:hAnsi="Calibri" w:cs="Calibri"/>
                <w:sz w:val="18"/>
                <w:szCs w:val="18"/>
                <w:lang w:eastAsia="en-GB"/>
              </w:rPr>
              <w:t>Menichetti</w:t>
            </w:r>
            <w:proofErr w:type="spellEnd"/>
            <w:r w:rsidRPr="00791169">
              <w:rPr>
                <w:rFonts w:ascii="Calibri" w:eastAsia="Times New Roman" w:hAnsi="Calibri" w:cs="Calibri"/>
                <w:sz w:val="18"/>
                <w:szCs w:val="18"/>
                <w:lang w:eastAsia="en-GB"/>
              </w:rPr>
              <w:t xml:space="preserve"> (2012) </w:t>
            </w:r>
          </w:p>
          <w:p w14:paraId="3336EDDA" w14:textId="77777777" w:rsidR="00EC3985" w:rsidRPr="00791169" w:rsidRDefault="00EC3985" w:rsidP="003E223D">
            <w:pPr>
              <w:spacing w:after="0" w:line="240" w:lineRule="auto"/>
              <w:rPr>
                <w:rFonts w:ascii="Calibri" w:eastAsia="Times New Roman" w:hAnsi="Calibri" w:cs="Calibri"/>
                <w:sz w:val="18"/>
                <w:szCs w:val="18"/>
                <w:lang w:eastAsia="en-GB"/>
              </w:rPr>
            </w:pPr>
          </w:p>
          <w:p w14:paraId="5D4F86CE" w14:textId="77777777" w:rsidR="00EC3985" w:rsidRPr="00791169" w:rsidRDefault="00EC3985" w:rsidP="003E223D">
            <w:pPr>
              <w:spacing w:after="0" w:line="240" w:lineRule="auto"/>
              <w:rPr>
                <w:rFonts w:ascii="Calibri" w:eastAsia="Times New Roman" w:hAnsi="Calibri" w:cs="Calibri"/>
                <w:sz w:val="18"/>
                <w:szCs w:val="18"/>
                <w:lang w:eastAsia="en-GB"/>
              </w:rPr>
            </w:pPr>
          </w:p>
        </w:tc>
        <w:tc>
          <w:tcPr>
            <w:tcW w:w="881" w:type="pct"/>
            <w:shd w:val="clear" w:color="auto" w:fill="auto"/>
          </w:tcPr>
          <w:p w14:paraId="4EF37908"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2;3 (environmental externalities of non-renewable technologies are not always internalised in the policy framework); 5;12;13;14 (also due to vested interests and cognitive perceptions);15 (cognitive factors)</w:t>
            </w:r>
          </w:p>
        </w:tc>
        <w:tc>
          <w:tcPr>
            <w:tcW w:w="2046" w:type="pct"/>
            <w:shd w:val="clear" w:color="auto" w:fill="auto"/>
          </w:tcPr>
          <w:p w14:paraId="6D770CD5"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Introduction to a special issue</w:t>
            </w:r>
          </w:p>
        </w:tc>
        <w:tc>
          <w:tcPr>
            <w:tcW w:w="504" w:type="pct"/>
            <w:shd w:val="clear" w:color="auto" w:fill="auto"/>
          </w:tcPr>
          <w:p w14:paraId="0B343AEC"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Private investors </w:t>
            </w:r>
          </w:p>
        </w:tc>
        <w:tc>
          <w:tcPr>
            <w:tcW w:w="588" w:type="pct"/>
            <w:shd w:val="clear" w:color="auto" w:fill="auto"/>
          </w:tcPr>
          <w:p w14:paraId="6DC526CE" w14:textId="77777777" w:rsidR="00EC3985" w:rsidRPr="00791169" w:rsidRDefault="00EC3985" w:rsidP="003E223D">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All renewables / N</w:t>
            </w:r>
            <w:r w:rsidRPr="00791169">
              <w:rPr>
                <w:rFonts w:ascii="Calibri" w:eastAsia="Times New Roman" w:hAnsi="Calibri" w:cs="Calibri"/>
                <w:sz w:val="18"/>
                <w:szCs w:val="18"/>
                <w:lang w:eastAsia="en-GB"/>
              </w:rPr>
              <w:t>ot specified</w:t>
            </w:r>
          </w:p>
        </w:tc>
      </w:tr>
    </w:tbl>
    <w:p w14:paraId="1119EB2D" w14:textId="77777777" w:rsidR="00EC3985" w:rsidRDefault="00EC3985" w:rsidP="00EC3985">
      <w:pPr>
        <w:rPr>
          <w:i/>
          <w:iCs/>
          <w:color w:val="44546A" w:themeColor="text2"/>
          <w:sz w:val="18"/>
          <w:szCs w:val="18"/>
        </w:rPr>
      </w:pPr>
      <w:r>
        <w:br w:type="page"/>
      </w:r>
    </w:p>
    <w:p w14:paraId="2A5FE521" w14:textId="77777777" w:rsidR="00EC3985" w:rsidRPr="00C3795F" w:rsidRDefault="00EC3985" w:rsidP="00EC3985">
      <w:pPr>
        <w:pStyle w:val="Caption"/>
        <w:keepNext/>
        <w:spacing w:after="0"/>
      </w:pPr>
      <w:r w:rsidRPr="00C3795F">
        <w:lastRenderedPageBreak/>
        <w:t xml:space="preserve">Table </w:t>
      </w:r>
      <w:r>
        <w:rPr>
          <w:noProof/>
        </w:rPr>
        <w:t>6</w:t>
      </w:r>
      <w:r w:rsidRPr="00C3795F">
        <w:rPr>
          <w:noProof/>
        </w:rPr>
        <w:t>a</w:t>
      </w:r>
      <w:r w:rsidRPr="00C3795F">
        <w:t xml:space="preserve">: Summery of barriers reported in type iii) </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398"/>
        <w:gridCol w:w="5858"/>
        <w:gridCol w:w="1835"/>
        <w:gridCol w:w="1688"/>
      </w:tblGrid>
      <w:tr w:rsidR="00EC3985" w:rsidRPr="00C3795F" w14:paraId="172954DF" w14:textId="77777777" w:rsidTr="003E223D">
        <w:trPr>
          <w:trHeight w:val="280"/>
          <w:jc w:val="center"/>
        </w:trPr>
        <w:tc>
          <w:tcPr>
            <w:tcW w:w="980" w:type="pct"/>
            <w:tcBorders>
              <w:top w:val="nil"/>
              <w:left w:val="nil"/>
              <w:bottom w:val="nil"/>
              <w:right w:val="nil"/>
            </w:tcBorders>
            <w:shd w:val="clear" w:color="auto" w:fill="002060"/>
            <w:vAlign w:val="center"/>
          </w:tcPr>
          <w:p w14:paraId="3BE5FD47" w14:textId="77777777" w:rsidR="00EC3985" w:rsidRPr="00C3795F"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C3795F">
              <w:rPr>
                <w:rFonts w:ascii="Calibri" w:eastAsia="Times New Roman" w:hAnsi="Calibri" w:cs="Calibri"/>
                <w:b/>
                <w:bCs/>
                <w:color w:val="FFFFFF" w:themeColor="background1"/>
                <w:sz w:val="16"/>
                <w:szCs w:val="16"/>
                <w:lang w:eastAsia="en-GB"/>
              </w:rPr>
              <w:t>Study</w:t>
            </w:r>
          </w:p>
        </w:tc>
        <w:tc>
          <w:tcPr>
            <w:tcW w:w="883" w:type="pct"/>
            <w:tcBorders>
              <w:top w:val="nil"/>
              <w:left w:val="nil"/>
              <w:bottom w:val="nil"/>
              <w:right w:val="nil"/>
            </w:tcBorders>
            <w:shd w:val="clear" w:color="auto" w:fill="002060"/>
            <w:vAlign w:val="center"/>
          </w:tcPr>
          <w:p w14:paraId="013261EA" w14:textId="77777777" w:rsidR="00EC3985" w:rsidRPr="00C3795F" w:rsidRDefault="00EC3985" w:rsidP="003E223D">
            <w:pPr>
              <w:spacing w:after="0" w:line="240" w:lineRule="auto"/>
              <w:rPr>
                <w:rFonts w:ascii="Calibri" w:eastAsia="Times New Roman" w:hAnsi="Calibri" w:cs="Calibri"/>
                <w:b/>
                <w:bCs/>
                <w:color w:val="FFFFFF" w:themeColor="background1"/>
                <w:sz w:val="16"/>
                <w:szCs w:val="16"/>
                <w:lang w:eastAsia="en-GB"/>
              </w:rPr>
            </w:pPr>
            <w:r w:rsidRPr="00C3795F">
              <w:rPr>
                <w:rFonts w:ascii="Calibri" w:eastAsia="Times New Roman" w:hAnsi="Calibri" w:cs="Calibri"/>
                <w:b/>
                <w:bCs/>
                <w:color w:val="FFFFFF" w:themeColor="background1"/>
                <w:sz w:val="16"/>
                <w:szCs w:val="16"/>
                <w:lang w:eastAsia="en-GB"/>
              </w:rPr>
              <w:t>Barrier topic</w:t>
            </w:r>
          </w:p>
        </w:tc>
        <w:tc>
          <w:tcPr>
            <w:tcW w:w="2079" w:type="pct"/>
            <w:tcBorders>
              <w:top w:val="nil"/>
              <w:left w:val="nil"/>
              <w:bottom w:val="nil"/>
              <w:right w:val="nil"/>
            </w:tcBorders>
            <w:shd w:val="clear" w:color="auto" w:fill="002060"/>
            <w:vAlign w:val="center"/>
          </w:tcPr>
          <w:p w14:paraId="04E30EAD" w14:textId="77777777" w:rsidR="00EC3985" w:rsidRPr="00C3795F" w:rsidRDefault="00EC3985" w:rsidP="003E223D">
            <w:pPr>
              <w:spacing w:after="0" w:line="240" w:lineRule="auto"/>
              <w:jc w:val="center"/>
              <w:rPr>
                <w:rFonts w:ascii="Calibri" w:eastAsia="Times New Roman" w:hAnsi="Calibri" w:cs="Calibri"/>
                <w:b/>
                <w:bCs/>
                <w:color w:val="FFFFFF" w:themeColor="background1"/>
                <w:sz w:val="16"/>
                <w:szCs w:val="16"/>
                <w:lang w:eastAsia="en-GB"/>
              </w:rPr>
            </w:pPr>
            <w:r w:rsidRPr="00C3795F">
              <w:rPr>
                <w:rFonts w:ascii="Calibri" w:eastAsia="Times New Roman" w:hAnsi="Calibri" w:cs="Calibri"/>
                <w:b/>
                <w:bCs/>
                <w:color w:val="FFFFFF" w:themeColor="background1"/>
                <w:sz w:val="16"/>
                <w:szCs w:val="16"/>
                <w:lang w:eastAsia="en-GB"/>
              </w:rPr>
              <w:t>Method</w:t>
            </w:r>
          </w:p>
        </w:tc>
        <w:tc>
          <w:tcPr>
            <w:tcW w:w="421" w:type="pct"/>
            <w:tcBorders>
              <w:top w:val="nil"/>
              <w:left w:val="nil"/>
              <w:bottom w:val="nil"/>
              <w:right w:val="nil"/>
            </w:tcBorders>
            <w:shd w:val="clear" w:color="auto" w:fill="002060"/>
            <w:vAlign w:val="center"/>
          </w:tcPr>
          <w:p w14:paraId="15B6ACF6" w14:textId="77777777" w:rsidR="00EC3985" w:rsidRPr="00C3795F" w:rsidRDefault="00EC3985" w:rsidP="003E223D">
            <w:pPr>
              <w:jc w:val="center"/>
              <w:rPr>
                <w:rFonts w:ascii="Calibri" w:hAnsi="Calibri" w:cs="Calibri"/>
                <w:b/>
                <w:bCs/>
                <w:color w:val="FFFFFF" w:themeColor="background1"/>
                <w:sz w:val="16"/>
                <w:szCs w:val="16"/>
              </w:rPr>
            </w:pPr>
            <w:r w:rsidRPr="00C3795F">
              <w:rPr>
                <w:rFonts w:ascii="Calibri" w:hAnsi="Calibri" w:cs="Calibri"/>
                <w:b/>
                <w:bCs/>
                <w:color w:val="FFFFFF" w:themeColor="background1"/>
                <w:sz w:val="16"/>
                <w:szCs w:val="16"/>
              </w:rPr>
              <w:t>Investor type</w:t>
            </w:r>
          </w:p>
        </w:tc>
        <w:tc>
          <w:tcPr>
            <w:tcW w:w="637" w:type="pct"/>
            <w:tcBorders>
              <w:top w:val="nil"/>
              <w:left w:val="nil"/>
              <w:bottom w:val="nil"/>
              <w:right w:val="nil"/>
            </w:tcBorders>
            <w:shd w:val="clear" w:color="auto" w:fill="002060"/>
            <w:vAlign w:val="center"/>
          </w:tcPr>
          <w:p w14:paraId="1C161B7D" w14:textId="77777777" w:rsidR="00EC3985" w:rsidRPr="00C3795F" w:rsidRDefault="00EC3985" w:rsidP="003E223D">
            <w:pPr>
              <w:jc w:val="center"/>
              <w:rPr>
                <w:rFonts w:ascii="Calibri" w:hAnsi="Calibri" w:cs="Calibri"/>
                <w:b/>
                <w:bCs/>
                <w:color w:val="FFFFFF" w:themeColor="background1"/>
                <w:sz w:val="16"/>
                <w:szCs w:val="16"/>
              </w:rPr>
            </w:pPr>
            <w:r w:rsidRPr="00C3795F">
              <w:rPr>
                <w:rFonts w:ascii="Calibri" w:hAnsi="Calibri" w:cs="Calibri"/>
                <w:b/>
                <w:bCs/>
                <w:color w:val="FFFFFF" w:themeColor="background1"/>
                <w:sz w:val="16"/>
                <w:szCs w:val="16"/>
              </w:rPr>
              <w:t>Technology and regional scope</w:t>
            </w:r>
          </w:p>
        </w:tc>
      </w:tr>
      <w:tr w:rsidR="00EC3985" w:rsidRPr="00C3795F" w14:paraId="49485385" w14:textId="77777777" w:rsidTr="003E223D">
        <w:trPr>
          <w:trHeight w:val="222"/>
          <w:jc w:val="center"/>
        </w:trPr>
        <w:tc>
          <w:tcPr>
            <w:tcW w:w="980" w:type="pct"/>
            <w:tcBorders>
              <w:top w:val="nil"/>
            </w:tcBorders>
          </w:tcPr>
          <w:p w14:paraId="27A9BF7D"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Barbosa et al. (2018)</w:t>
            </w:r>
          </w:p>
        </w:tc>
        <w:tc>
          <w:tcPr>
            <w:tcW w:w="883" w:type="pct"/>
            <w:tcBorders>
              <w:top w:val="nil"/>
            </w:tcBorders>
          </w:tcPr>
          <w:p w14:paraId="3623D509"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2</w:t>
            </w:r>
          </w:p>
        </w:tc>
        <w:tc>
          <w:tcPr>
            <w:tcW w:w="2079" w:type="pct"/>
            <w:tcBorders>
              <w:top w:val="nil"/>
            </w:tcBorders>
          </w:tcPr>
          <w:p w14:paraId="17B07DB5" w14:textId="77777777" w:rsidR="00EC3985" w:rsidRPr="00C3795F" w:rsidRDefault="00EC3985" w:rsidP="003E223D">
            <w:pPr>
              <w:rPr>
                <w:rFonts w:ascii="Calibri" w:hAnsi="Calibri" w:cs="Calibri"/>
                <w:color w:val="FF0000"/>
                <w:sz w:val="18"/>
                <w:szCs w:val="18"/>
              </w:rPr>
            </w:pPr>
            <w:r w:rsidRPr="00C3795F">
              <w:rPr>
                <w:rFonts w:ascii="Calibri" w:hAnsi="Calibri" w:cs="Calibri"/>
                <w:sz w:val="18"/>
                <w:szCs w:val="18"/>
              </w:rPr>
              <w:t>Real options model</w:t>
            </w:r>
            <w:r>
              <w:rPr>
                <w:rFonts w:ascii="Calibri" w:hAnsi="Calibri" w:cs="Calibri"/>
                <w:sz w:val="18"/>
                <w:szCs w:val="18"/>
              </w:rPr>
              <w:t xml:space="preserve"> </w:t>
            </w:r>
          </w:p>
        </w:tc>
        <w:tc>
          <w:tcPr>
            <w:tcW w:w="421" w:type="pct"/>
            <w:tcBorders>
              <w:top w:val="nil"/>
            </w:tcBorders>
          </w:tcPr>
          <w:p w14:paraId="68D34E83"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Private investors</w:t>
            </w:r>
          </w:p>
        </w:tc>
        <w:tc>
          <w:tcPr>
            <w:tcW w:w="637" w:type="pct"/>
            <w:tcBorders>
              <w:top w:val="nil"/>
            </w:tcBorders>
          </w:tcPr>
          <w:p w14:paraId="0D77D58E" w14:textId="77777777" w:rsidR="00EC3985" w:rsidRPr="00C3795F" w:rsidRDefault="00EC3985" w:rsidP="003E223D">
            <w:pPr>
              <w:rPr>
                <w:rFonts w:ascii="Calibri" w:hAnsi="Calibri" w:cs="Calibri"/>
                <w:color w:val="000000"/>
                <w:sz w:val="18"/>
                <w:szCs w:val="18"/>
              </w:rPr>
            </w:pPr>
            <w:r>
              <w:rPr>
                <w:rFonts w:ascii="Calibri" w:hAnsi="Calibri" w:cs="Calibri"/>
                <w:color w:val="000000"/>
                <w:sz w:val="18"/>
                <w:szCs w:val="18"/>
              </w:rPr>
              <w:t xml:space="preserve">All renewables / </w:t>
            </w:r>
            <w:r w:rsidRPr="00C3795F">
              <w:rPr>
                <w:rFonts w:ascii="Calibri" w:hAnsi="Calibri" w:cs="Calibri"/>
                <w:color w:val="000000"/>
                <w:sz w:val="18"/>
                <w:szCs w:val="18"/>
              </w:rPr>
              <w:t>Not specified</w:t>
            </w:r>
          </w:p>
        </w:tc>
      </w:tr>
      <w:tr w:rsidR="00EC3985" w:rsidRPr="00C3795F" w14:paraId="796AB8D8" w14:textId="77777777" w:rsidTr="003E223D">
        <w:trPr>
          <w:trHeight w:val="222"/>
          <w:jc w:val="center"/>
        </w:trPr>
        <w:tc>
          <w:tcPr>
            <w:tcW w:w="980" w:type="pct"/>
          </w:tcPr>
          <w:p w14:paraId="76B8F239" w14:textId="77777777" w:rsidR="00EC3985" w:rsidRPr="00C3795F" w:rsidRDefault="00EC3985" w:rsidP="003E223D">
            <w:pPr>
              <w:rPr>
                <w:rFonts w:ascii="Calibri" w:hAnsi="Calibri" w:cs="Calibri"/>
                <w:sz w:val="18"/>
                <w:szCs w:val="18"/>
              </w:rPr>
            </w:pPr>
            <w:proofErr w:type="spellStart"/>
            <w:r w:rsidRPr="00C3795F">
              <w:rPr>
                <w:rFonts w:ascii="Calibri" w:hAnsi="Calibri" w:cs="Calibri"/>
                <w:sz w:val="18"/>
                <w:szCs w:val="18"/>
              </w:rPr>
              <w:t>Barradale</w:t>
            </w:r>
            <w:proofErr w:type="spellEnd"/>
            <w:r w:rsidRPr="00C3795F">
              <w:rPr>
                <w:rFonts w:ascii="Calibri" w:hAnsi="Calibri" w:cs="Calibri"/>
                <w:sz w:val="18"/>
                <w:szCs w:val="18"/>
              </w:rPr>
              <w:t xml:space="preserve"> (2010)</w:t>
            </w:r>
          </w:p>
        </w:tc>
        <w:tc>
          <w:tcPr>
            <w:tcW w:w="883" w:type="pct"/>
          </w:tcPr>
          <w:p w14:paraId="30317DE7"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2</w:t>
            </w:r>
          </w:p>
        </w:tc>
        <w:tc>
          <w:tcPr>
            <w:tcW w:w="2079" w:type="pct"/>
          </w:tcPr>
          <w:p w14:paraId="75B7D0DF" w14:textId="77777777" w:rsidR="00EC3985" w:rsidRPr="00C3795F" w:rsidRDefault="00EC3985" w:rsidP="003E223D">
            <w:pPr>
              <w:spacing w:after="0"/>
              <w:rPr>
                <w:rFonts w:ascii="Calibri" w:hAnsi="Calibri" w:cs="Calibri"/>
                <w:sz w:val="18"/>
                <w:szCs w:val="18"/>
              </w:rPr>
            </w:pPr>
            <w:r w:rsidRPr="00C3795F">
              <w:rPr>
                <w:rFonts w:ascii="Calibri" w:hAnsi="Calibri" w:cs="Calibri"/>
                <w:sz w:val="18"/>
                <w:szCs w:val="18"/>
              </w:rPr>
              <w:t>The study is based on an evaluation of:</w:t>
            </w:r>
            <w:r>
              <w:rPr>
                <w:rFonts w:ascii="Calibri" w:hAnsi="Calibri" w:cs="Calibri"/>
                <w:sz w:val="18"/>
                <w:szCs w:val="18"/>
              </w:rPr>
              <w:t xml:space="preserve"> </w:t>
            </w:r>
          </w:p>
          <w:p w14:paraId="27D4DF91" w14:textId="77777777" w:rsidR="00EC3985" w:rsidRPr="00C3795F" w:rsidRDefault="00EC3985" w:rsidP="00EC3985">
            <w:pPr>
              <w:pStyle w:val="ListParagraph"/>
              <w:numPr>
                <w:ilvl w:val="0"/>
                <w:numId w:val="34"/>
              </w:numPr>
              <w:rPr>
                <w:rFonts w:ascii="Calibri" w:hAnsi="Calibri" w:cs="Calibri"/>
                <w:sz w:val="18"/>
                <w:szCs w:val="18"/>
              </w:rPr>
              <w:pPrChange w:id="25" w:author="Jones, Aled" w:date="2019-11-18T13:33:00Z">
                <w:pPr>
                  <w:pStyle w:val="ListParagraph"/>
                  <w:numPr>
                    <w:numId w:val="35"/>
                  </w:numPr>
                  <w:ind w:left="360" w:hanging="360"/>
                </w:pPr>
              </w:pPrChange>
            </w:pPr>
            <w:r w:rsidRPr="00C3795F">
              <w:rPr>
                <w:rFonts w:ascii="Calibri" w:hAnsi="Calibri" w:cs="Calibri"/>
                <w:sz w:val="18"/>
                <w:szCs w:val="18"/>
              </w:rPr>
              <w:t>An online survey which includes 272 US energy professionals</w:t>
            </w:r>
          </w:p>
          <w:p w14:paraId="2C918E86" w14:textId="77777777" w:rsidR="00EC3985" w:rsidRPr="00C3795F" w:rsidRDefault="00EC3985" w:rsidP="00EC3985">
            <w:pPr>
              <w:pStyle w:val="ListParagraph"/>
              <w:numPr>
                <w:ilvl w:val="0"/>
                <w:numId w:val="34"/>
              </w:numPr>
              <w:rPr>
                <w:rFonts w:ascii="Calibri" w:hAnsi="Calibri" w:cs="Calibri"/>
                <w:sz w:val="18"/>
                <w:szCs w:val="18"/>
              </w:rPr>
              <w:pPrChange w:id="26" w:author="Jones, Aled" w:date="2019-11-18T13:33:00Z">
                <w:pPr>
                  <w:pStyle w:val="ListParagraph"/>
                  <w:numPr>
                    <w:numId w:val="35"/>
                  </w:numPr>
                  <w:ind w:left="360" w:hanging="360"/>
                </w:pPr>
              </w:pPrChange>
            </w:pPr>
            <w:r w:rsidRPr="00C3795F">
              <w:rPr>
                <w:rFonts w:ascii="Calibri" w:hAnsi="Calibri" w:cs="Calibri"/>
                <w:sz w:val="18"/>
                <w:szCs w:val="18"/>
              </w:rPr>
              <w:t>interviews with energy industry representatives</w:t>
            </w:r>
          </w:p>
        </w:tc>
        <w:tc>
          <w:tcPr>
            <w:tcW w:w="421" w:type="pct"/>
          </w:tcPr>
          <w:p w14:paraId="67158424"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Energy industry professionals</w:t>
            </w:r>
          </w:p>
        </w:tc>
        <w:tc>
          <w:tcPr>
            <w:tcW w:w="637" w:type="pct"/>
          </w:tcPr>
          <w:p w14:paraId="3F7B54A3" w14:textId="77777777" w:rsidR="00EC3985" w:rsidRPr="00C3795F" w:rsidRDefault="00EC3985" w:rsidP="003E223D">
            <w:pPr>
              <w:rPr>
                <w:rFonts w:ascii="Calibri" w:hAnsi="Calibri" w:cs="Calibri"/>
                <w:sz w:val="18"/>
                <w:szCs w:val="18"/>
              </w:rPr>
            </w:pPr>
            <w:r>
              <w:rPr>
                <w:rFonts w:ascii="Calibri" w:hAnsi="Calibri" w:cs="Calibri"/>
                <w:sz w:val="18"/>
                <w:szCs w:val="18"/>
              </w:rPr>
              <w:t xml:space="preserve">Wind / </w:t>
            </w:r>
            <w:r w:rsidRPr="00C3795F">
              <w:rPr>
                <w:rFonts w:ascii="Calibri" w:hAnsi="Calibri" w:cs="Calibri"/>
                <w:sz w:val="18"/>
                <w:szCs w:val="18"/>
              </w:rPr>
              <w:t>US</w:t>
            </w:r>
          </w:p>
        </w:tc>
      </w:tr>
      <w:tr w:rsidR="00EC3985" w:rsidRPr="00C3795F" w14:paraId="2470AE73" w14:textId="77777777" w:rsidTr="003E223D">
        <w:trPr>
          <w:trHeight w:val="222"/>
          <w:jc w:val="center"/>
        </w:trPr>
        <w:tc>
          <w:tcPr>
            <w:tcW w:w="980" w:type="pct"/>
          </w:tcPr>
          <w:p w14:paraId="0E422930"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Bhattacharya et al. (2015)</w:t>
            </w:r>
          </w:p>
        </w:tc>
        <w:tc>
          <w:tcPr>
            <w:tcW w:w="883" w:type="pct"/>
          </w:tcPr>
          <w:p w14:paraId="1B32CD83"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15 (weather risk)</w:t>
            </w:r>
          </w:p>
        </w:tc>
        <w:tc>
          <w:tcPr>
            <w:tcW w:w="2079" w:type="pct"/>
          </w:tcPr>
          <w:p w14:paraId="0702E17A"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Simulation m</w:t>
            </w:r>
            <w:r>
              <w:rPr>
                <w:rFonts w:ascii="Calibri" w:hAnsi="Calibri" w:cs="Calibri"/>
                <w:color w:val="000000"/>
                <w:sz w:val="18"/>
                <w:szCs w:val="18"/>
              </w:rPr>
              <w:t xml:space="preserve">odel applied to empirical data </w:t>
            </w:r>
          </w:p>
        </w:tc>
        <w:tc>
          <w:tcPr>
            <w:tcW w:w="421" w:type="pct"/>
          </w:tcPr>
          <w:p w14:paraId="1490B25B"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Private investors</w:t>
            </w:r>
          </w:p>
        </w:tc>
        <w:tc>
          <w:tcPr>
            <w:tcW w:w="637" w:type="pct"/>
          </w:tcPr>
          <w:p w14:paraId="0E1706E8"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All r</w:t>
            </w:r>
            <w:r>
              <w:rPr>
                <w:rFonts w:ascii="Calibri" w:hAnsi="Calibri" w:cs="Calibri"/>
                <w:color w:val="000000"/>
                <w:sz w:val="18"/>
                <w:szCs w:val="18"/>
              </w:rPr>
              <w:t xml:space="preserve">enewables / </w:t>
            </w:r>
            <w:r w:rsidRPr="00C3795F">
              <w:rPr>
                <w:rFonts w:ascii="Calibri" w:hAnsi="Calibri" w:cs="Calibri"/>
                <w:color w:val="000000"/>
                <w:sz w:val="18"/>
                <w:szCs w:val="18"/>
              </w:rPr>
              <w:t>US</w:t>
            </w:r>
          </w:p>
        </w:tc>
      </w:tr>
      <w:tr w:rsidR="00EC3985" w:rsidRPr="00C3795F" w14:paraId="3CB1EA42" w14:textId="77777777" w:rsidTr="003E223D">
        <w:trPr>
          <w:trHeight w:val="222"/>
          <w:jc w:val="center"/>
        </w:trPr>
        <w:tc>
          <w:tcPr>
            <w:tcW w:w="980" w:type="pct"/>
          </w:tcPr>
          <w:p w14:paraId="11E14626" w14:textId="77777777" w:rsidR="00EC3985" w:rsidRPr="00C3795F" w:rsidRDefault="00EC3985" w:rsidP="003E223D">
            <w:pPr>
              <w:rPr>
                <w:rFonts w:ascii="Calibri" w:hAnsi="Calibri" w:cs="Calibri"/>
                <w:sz w:val="18"/>
                <w:szCs w:val="18"/>
              </w:rPr>
            </w:pPr>
            <w:proofErr w:type="spellStart"/>
            <w:r w:rsidRPr="00C3795F">
              <w:rPr>
                <w:rFonts w:ascii="Calibri" w:hAnsi="Calibri" w:cs="Calibri"/>
                <w:sz w:val="18"/>
                <w:szCs w:val="18"/>
              </w:rPr>
              <w:t>Boute</w:t>
            </w:r>
            <w:proofErr w:type="spellEnd"/>
            <w:r w:rsidRPr="00C3795F">
              <w:rPr>
                <w:rFonts w:ascii="Calibri" w:hAnsi="Calibri" w:cs="Calibri"/>
                <w:sz w:val="18"/>
                <w:szCs w:val="18"/>
              </w:rPr>
              <w:t xml:space="preserve"> (2012)</w:t>
            </w:r>
          </w:p>
        </w:tc>
        <w:tc>
          <w:tcPr>
            <w:tcW w:w="883" w:type="pct"/>
          </w:tcPr>
          <w:p w14:paraId="0A4CE784"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2</w:t>
            </w:r>
          </w:p>
        </w:tc>
        <w:tc>
          <w:tcPr>
            <w:tcW w:w="2079" w:type="pct"/>
          </w:tcPr>
          <w:p w14:paraId="435A5FE9"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Narrative literature review and analysis of legal sources</w:t>
            </w:r>
          </w:p>
        </w:tc>
        <w:tc>
          <w:tcPr>
            <w:tcW w:w="421" w:type="pct"/>
          </w:tcPr>
          <w:p w14:paraId="7D1E46E1"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Private investors</w:t>
            </w:r>
          </w:p>
        </w:tc>
        <w:tc>
          <w:tcPr>
            <w:tcW w:w="637" w:type="pct"/>
          </w:tcPr>
          <w:p w14:paraId="0D9232C2" w14:textId="77777777" w:rsidR="00EC3985" w:rsidRPr="00FC1D8A" w:rsidRDefault="00EC3985" w:rsidP="003E223D">
            <w:pPr>
              <w:rPr>
                <w:rFonts w:ascii="Calibri" w:hAnsi="Calibri" w:cs="Calibri"/>
                <w:color w:val="000000"/>
                <w:sz w:val="18"/>
                <w:szCs w:val="18"/>
              </w:rPr>
            </w:pPr>
            <w:r>
              <w:rPr>
                <w:rFonts w:ascii="Calibri" w:hAnsi="Calibri" w:cs="Calibri"/>
                <w:color w:val="000000"/>
                <w:sz w:val="18"/>
                <w:szCs w:val="18"/>
              </w:rPr>
              <w:t xml:space="preserve">All renewables / </w:t>
            </w:r>
            <w:r w:rsidRPr="00C3795F">
              <w:rPr>
                <w:rFonts w:ascii="Calibri" w:hAnsi="Calibri" w:cs="Calibri"/>
                <w:sz w:val="18"/>
                <w:szCs w:val="18"/>
              </w:rPr>
              <w:t>EU</w:t>
            </w:r>
          </w:p>
        </w:tc>
      </w:tr>
      <w:tr w:rsidR="00EC3985" w:rsidRPr="00C3795F" w14:paraId="3BC4AB56" w14:textId="77777777" w:rsidTr="003E223D">
        <w:trPr>
          <w:trHeight w:val="222"/>
          <w:jc w:val="center"/>
        </w:trPr>
        <w:tc>
          <w:tcPr>
            <w:tcW w:w="980" w:type="pct"/>
          </w:tcPr>
          <w:p w14:paraId="1074BF25" w14:textId="77777777" w:rsidR="00EC3985" w:rsidRPr="00C3795F" w:rsidRDefault="00EC3985" w:rsidP="003E223D">
            <w:pPr>
              <w:rPr>
                <w:rFonts w:ascii="Calibri" w:hAnsi="Calibri" w:cs="Calibri"/>
                <w:sz w:val="18"/>
                <w:szCs w:val="18"/>
              </w:rPr>
            </w:pPr>
            <w:proofErr w:type="spellStart"/>
            <w:r w:rsidRPr="00C3795F">
              <w:rPr>
                <w:rFonts w:ascii="Calibri" w:hAnsi="Calibri" w:cs="Calibri"/>
                <w:sz w:val="18"/>
                <w:szCs w:val="18"/>
              </w:rPr>
              <w:t>Breitschopf</w:t>
            </w:r>
            <w:proofErr w:type="spellEnd"/>
            <w:r w:rsidRPr="00C3795F">
              <w:rPr>
                <w:rFonts w:ascii="Calibri" w:hAnsi="Calibri" w:cs="Calibri"/>
                <w:sz w:val="18"/>
                <w:szCs w:val="18"/>
              </w:rPr>
              <w:t xml:space="preserve"> &amp; </w:t>
            </w:r>
            <w:proofErr w:type="spellStart"/>
            <w:r w:rsidRPr="00C3795F">
              <w:rPr>
                <w:rFonts w:ascii="Calibri" w:hAnsi="Calibri" w:cs="Calibri"/>
                <w:sz w:val="18"/>
                <w:szCs w:val="18"/>
              </w:rPr>
              <w:t>Pudlik</w:t>
            </w:r>
            <w:proofErr w:type="spellEnd"/>
            <w:r w:rsidRPr="00C3795F">
              <w:rPr>
                <w:rFonts w:ascii="Calibri" w:hAnsi="Calibri" w:cs="Calibri"/>
                <w:sz w:val="18"/>
                <w:szCs w:val="18"/>
              </w:rPr>
              <w:t xml:space="preserve"> (2013)</w:t>
            </w:r>
          </w:p>
        </w:tc>
        <w:tc>
          <w:tcPr>
            <w:tcW w:w="883" w:type="pct"/>
          </w:tcPr>
          <w:p w14:paraId="69D5A7C2"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15 (perceived default risk of RE technology too high resulting in high risk requirements of Basel III and Solvency II increasing cost of capital) (for banks and institutional investors: stricter requirements when it comes to investment in RE infrastructure)</w:t>
            </w:r>
          </w:p>
        </w:tc>
        <w:tc>
          <w:tcPr>
            <w:tcW w:w="2079" w:type="pct"/>
          </w:tcPr>
          <w:p w14:paraId="4491BBF5"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 xml:space="preserve">The impact of Basel </w:t>
            </w:r>
            <w:r>
              <w:rPr>
                <w:rFonts w:ascii="Calibri" w:hAnsi="Calibri" w:cs="Calibri"/>
                <w:sz w:val="18"/>
                <w:szCs w:val="18"/>
              </w:rPr>
              <w:t xml:space="preserve">III </w:t>
            </w:r>
            <w:r w:rsidRPr="00C3795F">
              <w:rPr>
                <w:rFonts w:ascii="Calibri" w:hAnsi="Calibri" w:cs="Calibri"/>
                <w:sz w:val="18"/>
                <w:szCs w:val="18"/>
              </w:rPr>
              <w:t xml:space="preserve">on finance costs of PV in Germany </w:t>
            </w:r>
            <w:proofErr w:type="gramStart"/>
            <w:r w:rsidRPr="00C3795F">
              <w:rPr>
                <w:rFonts w:ascii="Calibri" w:hAnsi="Calibri" w:cs="Calibri"/>
                <w:sz w:val="18"/>
                <w:szCs w:val="18"/>
              </w:rPr>
              <w:t>is assessed and compared to the RE default risk ba</w:t>
            </w:r>
            <w:r>
              <w:rPr>
                <w:rFonts w:ascii="Calibri" w:hAnsi="Calibri" w:cs="Calibri"/>
                <w:sz w:val="18"/>
                <w:szCs w:val="18"/>
              </w:rPr>
              <w:t>sed on a simple cash-flow model</w:t>
            </w:r>
            <w:proofErr w:type="gramEnd"/>
            <w:r>
              <w:rPr>
                <w:rFonts w:ascii="Calibri" w:hAnsi="Calibri" w:cs="Calibri"/>
                <w:sz w:val="18"/>
                <w:szCs w:val="18"/>
              </w:rPr>
              <w:t xml:space="preserve">. </w:t>
            </w:r>
          </w:p>
        </w:tc>
        <w:tc>
          <w:tcPr>
            <w:tcW w:w="421" w:type="pct"/>
          </w:tcPr>
          <w:p w14:paraId="25E470DC"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Private investors</w:t>
            </w:r>
          </w:p>
        </w:tc>
        <w:tc>
          <w:tcPr>
            <w:tcW w:w="637" w:type="pct"/>
          </w:tcPr>
          <w:p w14:paraId="47CA6D01" w14:textId="77777777" w:rsidR="00EC3985" w:rsidRPr="00C3795F" w:rsidRDefault="00EC3985" w:rsidP="003E223D">
            <w:pPr>
              <w:rPr>
                <w:rFonts w:ascii="Calibri" w:hAnsi="Calibri" w:cs="Calibri"/>
                <w:sz w:val="18"/>
                <w:szCs w:val="18"/>
              </w:rPr>
            </w:pPr>
            <w:r>
              <w:rPr>
                <w:rFonts w:ascii="Calibri" w:hAnsi="Calibri" w:cs="Calibri"/>
                <w:sz w:val="18"/>
                <w:szCs w:val="18"/>
              </w:rPr>
              <w:t xml:space="preserve">PV &amp; wind / </w:t>
            </w:r>
            <w:r w:rsidRPr="00C3795F">
              <w:rPr>
                <w:rFonts w:ascii="Calibri" w:hAnsi="Calibri" w:cs="Calibri"/>
                <w:sz w:val="18"/>
                <w:szCs w:val="18"/>
              </w:rPr>
              <w:t>Germany</w:t>
            </w:r>
          </w:p>
        </w:tc>
      </w:tr>
      <w:tr w:rsidR="00EC3985" w:rsidRPr="00C3795F" w14:paraId="4CDC29E6" w14:textId="77777777" w:rsidTr="003E223D">
        <w:trPr>
          <w:trHeight w:val="222"/>
          <w:jc w:val="center"/>
        </w:trPr>
        <w:tc>
          <w:tcPr>
            <w:tcW w:w="980" w:type="pct"/>
          </w:tcPr>
          <w:p w14:paraId="02EDD245"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 xml:space="preserve">Chen &amp; </w:t>
            </w:r>
            <w:proofErr w:type="spellStart"/>
            <w:r w:rsidRPr="00C3795F">
              <w:rPr>
                <w:rFonts w:ascii="Calibri" w:hAnsi="Calibri" w:cs="Calibri"/>
                <w:sz w:val="18"/>
                <w:szCs w:val="18"/>
              </w:rPr>
              <w:t>Kettunen</w:t>
            </w:r>
            <w:proofErr w:type="spellEnd"/>
            <w:r w:rsidRPr="00C3795F">
              <w:rPr>
                <w:rFonts w:ascii="Calibri" w:hAnsi="Calibri" w:cs="Calibri"/>
                <w:sz w:val="18"/>
                <w:szCs w:val="18"/>
              </w:rPr>
              <w:t xml:space="preserve"> (2017)</w:t>
            </w:r>
          </w:p>
        </w:tc>
        <w:tc>
          <w:tcPr>
            <w:tcW w:w="883" w:type="pct"/>
          </w:tcPr>
          <w:p w14:paraId="78A8543D"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2</w:t>
            </w:r>
          </w:p>
        </w:tc>
        <w:tc>
          <w:tcPr>
            <w:tcW w:w="2079" w:type="pct"/>
          </w:tcPr>
          <w:p w14:paraId="6CB4AAAF"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Application of a game-theoretical model to historical data</w:t>
            </w:r>
          </w:p>
        </w:tc>
        <w:tc>
          <w:tcPr>
            <w:tcW w:w="421" w:type="pct"/>
          </w:tcPr>
          <w:p w14:paraId="6A04FC86"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Power generating firms</w:t>
            </w:r>
          </w:p>
        </w:tc>
        <w:tc>
          <w:tcPr>
            <w:tcW w:w="637" w:type="pct"/>
          </w:tcPr>
          <w:p w14:paraId="5C5891BF" w14:textId="77777777" w:rsidR="00EC3985" w:rsidRPr="00FC1D8A" w:rsidRDefault="00EC3985" w:rsidP="003E223D">
            <w:pPr>
              <w:rPr>
                <w:rFonts w:ascii="Calibri" w:hAnsi="Calibri" w:cs="Calibri"/>
                <w:color w:val="000000"/>
                <w:sz w:val="18"/>
                <w:szCs w:val="18"/>
              </w:rPr>
            </w:pPr>
            <w:r>
              <w:rPr>
                <w:rFonts w:ascii="Calibri" w:hAnsi="Calibri" w:cs="Calibri"/>
                <w:color w:val="000000"/>
                <w:sz w:val="18"/>
                <w:szCs w:val="18"/>
              </w:rPr>
              <w:t xml:space="preserve">All renewables / </w:t>
            </w:r>
            <w:r w:rsidRPr="00C3795F">
              <w:rPr>
                <w:rFonts w:ascii="Calibri" w:hAnsi="Calibri" w:cs="Calibri"/>
                <w:sz w:val="18"/>
                <w:szCs w:val="18"/>
              </w:rPr>
              <w:t>EU</w:t>
            </w:r>
          </w:p>
        </w:tc>
      </w:tr>
      <w:tr w:rsidR="00EC3985" w:rsidRPr="00C3795F" w14:paraId="1DC3155F" w14:textId="77777777" w:rsidTr="003E223D">
        <w:trPr>
          <w:trHeight w:val="222"/>
          <w:jc w:val="center"/>
        </w:trPr>
        <w:tc>
          <w:tcPr>
            <w:tcW w:w="980" w:type="pct"/>
          </w:tcPr>
          <w:p w14:paraId="35402A68"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Dalby et al. (2018)</w:t>
            </w:r>
          </w:p>
        </w:tc>
        <w:tc>
          <w:tcPr>
            <w:tcW w:w="883" w:type="pct"/>
          </w:tcPr>
          <w:p w14:paraId="79A7A70D"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2</w:t>
            </w:r>
          </w:p>
        </w:tc>
        <w:tc>
          <w:tcPr>
            <w:tcW w:w="2079" w:type="pct"/>
          </w:tcPr>
          <w:p w14:paraId="2FC0A4AB"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Real option modelling with a Bayesian learning framework</w:t>
            </w:r>
          </w:p>
        </w:tc>
        <w:tc>
          <w:tcPr>
            <w:tcW w:w="421" w:type="pct"/>
          </w:tcPr>
          <w:p w14:paraId="0C7A1335"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Private investors</w:t>
            </w:r>
          </w:p>
        </w:tc>
        <w:tc>
          <w:tcPr>
            <w:tcW w:w="637" w:type="pct"/>
          </w:tcPr>
          <w:p w14:paraId="423F9EFD" w14:textId="77777777" w:rsidR="00EC3985" w:rsidRPr="00C3795F" w:rsidRDefault="00EC3985" w:rsidP="003E223D">
            <w:pPr>
              <w:rPr>
                <w:rFonts w:ascii="Calibri" w:hAnsi="Calibri" w:cs="Calibri"/>
                <w:color w:val="000000"/>
                <w:sz w:val="18"/>
                <w:szCs w:val="18"/>
              </w:rPr>
            </w:pPr>
            <w:r>
              <w:rPr>
                <w:rFonts w:ascii="Calibri" w:hAnsi="Calibri" w:cs="Calibri"/>
                <w:color w:val="000000"/>
                <w:sz w:val="18"/>
                <w:szCs w:val="18"/>
              </w:rPr>
              <w:t xml:space="preserve">Wind / </w:t>
            </w:r>
            <w:r w:rsidRPr="00C3795F">
              <w:rPr>
                <w:rFonts w:ascii="Calibri" w:hAnsi="Calibri" w:cs="Calibri"/>
                <w:color w:val="000000"/>
                <w:sz w:val="18"/>
                <w:szCs w:val="18"/>
              </w:rPr>
              <w:t>EU</w:t>
            </w:r>
          </w:p>
        </w:tc>
      </w:tr>
      <w:tr w:rsidR="00EC3985" w:rsidRPr="00C3795F" w14:paraId="1081F223" w14:textId="77777777" w:rsidTr="003E223D">
        <w:trPr>
          <w:trHeight w:val="222"/>
          <w:jc w:val="center"/>
        </w:trPr>
        <w:tc>
          <w:tcPr>
            <w:tcW w:w="980" w:type="pct"/>
          </w:tcPr>
          <w:p w14:paraId="60179F99"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Erickson et al. (2015)</w:t>
            </w:r>
          </w:p>
        </w:tc>
        <w:tc>
          <w:tcPr>
            <w:tcW w:w="883" w:type="pct"/>
          </w:tcPr>
          <w:p w14:paraId="0552925E"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14 (due to political, market and social factors)</w:t>
            </w:r>
          </w:p>
        </w:tc>
        <w:tc>
          <w:tcPr>
            <w:tcW w:w="2079" w:type="pct"/>
          </w:tcPr>
          <w:p w14:paraId="4BC5D533" w14:textId="77777777" w:rsidR="00EC3985" w:rsidRPr="00C3795F" w:rsidRDefault="00EC3985" w:rsidP="003E223D">
            <w:pPr>
              <w:rPr>
                <w:rFonts w:ascii="Calibri" w:hAnsi="Calibri" w:cs="Calibri"/>
                <w:color w:val="FF0000"/>
                <w:sz w:val="18"/>
                <w:szCs w:val="18"/>
              </w:rPr>
            </w:pPr>
            <w:r w:rsidRPr="00C3795F">
              <w:rPr>
                <w:rFonts w:ascii="Calibri" w:hAnsi="Calibri" w:cs="Calibri"/>
                <w:sz w:val="18"/>
                <w:szCs w:val="18"/>
              </w:rPr>
              <w:t>Analysis of the carbon-lock in based on previous literature</w:t>
            </w:r>
          </w:p>
        </w:tc>
        <w:tc>
          <w:tcPr>
            <w:tcW w:w="421" w:type="pct"/>
          </w:tcPr>
          <w:p w14:paraId="7F90D014"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Private investors</w:t>
            </w:r>
          </w:p>
        </w:tc>
        <w:tc>
          <w:tcPr>
            <w:tcW w:w="637" w:type="pct"/>
          </w:tcPr>
          <w:p w14:paraId="718B8533" w14:textId="77777777" w:rsidR="00EC3985" w:rsidRPr="00C3795F" w:rsidRDefault="00EC3985" w:rsidP="003E223D">
            <w:pPr>
              <w:rPr>
                <w:rFonts w:ascii="Calibri" w:hAnsi="Calibri" w:cs="Calibri"/>
                <w:color w:val="000000"/>
                <w:sz w:val="18"/>
                <w:szCs w:val="18"/>
              </w:rPr>
            </w:pPr>
            <w:r>
              <w:rPr>
                <w:rFonts w:ascii="Calibri" w:hAnsi="Calibri" w:cs="Calibri"/>
                <w:color w:val="000000"/>
                <w:sz w:val="18"/>
                <w:szCs w:val="18"/>
              </w:rPr>
              <w:t xml:space="preserve">All renewables / </w:t>
            </w:r>
            <w:r w:rsidRPr="00C3795F">
              <w:rPr>
                <w:rFonts w:ascii="Calibri" w:hAnsi="Calibri" w:cs="Calibri"/>
                <w:color w:val="000000"/>
                <w:sz w:val="18"/>
                <w:szCs w:val="18"/>
              </w:rPr>
              <w:t>Global</w:t>
            </w:r>
          </w:p>
        </w:tc>
      </w:tr>
      <w:tr w:rsidR="00EC3985" w:rsidRPr="00C3795F" w14:paraId="42D53300" w14:textId="77777777" w:rsidTr="003E223D">
        <w:trPr>
          <w:trHeight w:val="222"/>
          <w:jc w:val="center"/>
        </w:trPr>
        <w:tc>
          <w:tcPr>
            <w:tcW w:w="980" w:type="pct"/>
          </w:tcPr>
          <w:p w14:paraId="6432DEE3" w14:textId="77777777" w:rsidR="00EC3985" w:rsidRPr="00C3795F" w:rsidRDefault="00EC3985" w:rsidP="003E223D">
            <w:pPr>
              <w:rPr>
                <w:rFonts w:ascii="Calibri" w:hAnsi="Calibri" w:cs="Calibri"/>
                <w:color w:val="000000"/>
                <w:sz w:val="18"/>
                <w:szCs w:val="18"/>
              </w:rPr>
            </w:pPr>
            <w:proofErr w:type="spellStart"/>
            <w:r w:rsidRPr="00C3795F">
              <w:rPr>
                <w:rFonts w:ascii="Calibri" w:hAnsi="Calibri" w:cs="Calibri"/>
                <w:color w:val="000000"/>
                <w:sz w:val="18"/>
                <w:szCs w:val="18"/>
              </w:rPr>
              <w:t>Eryilmaz</w:t>
            </w:r>
            <w:proofErr w:type="spellEnd"/>
            <w:r w:rsidRPr="00C3795F">
              <w:rPr>
                <w:rFonts w:ascii="Calibri" w:hAnsi="Calibri" w:cs="Calibri"/>
                <w:color w:val="000000"/>
                <w:sz w:val="18"/>
                <w:szCs w:val="18"/>
              </w:rPr>
              <w:t xml:space="preserve"> &amp; </w:t>
            </w:r>
            <w:proofErr w:type="spellStart"/>
            <w:r w:rsidRPr="00C3795F">
              <w:rPr>
                <w:rFonts w:ascii="Calibri" w:hAnsi="Calibri" w:cs="Calibri"/>
                <w:color w:val="000000"/>
                <w:sz w:val="18"/>
                <w:szCs w:val="18"/>
              </w:rPr>
              <w:t>Homans</w:t>
            </w:r>
            <w:proofErr w:type="spellEnd"/>
            <w:r w:rsidRPr="00C3795F">
              <w:rPr>
                <w:rFonts w:ascii="Calibri" w:hAnsi="Calibri" w:cs="Calibri"/>
                <w:color w:val="000000"/>
                <w:sz w:val="18"/>
                <w:szCs w:val="18"/>
              </w:rPr>
              <w:t xml:space="preserve"> (2015)</w:t>
            </w:r>
          </w:p>
        </w:tc>
        <w:tc>
          <w:tcPr>
            <w:tcW w:w="883" w:type="pct"/>
          </w:tcPr>
          <w:p w14:paraId="0E9D90D2"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2;15 (market risks)</w:t>
            </w:r>
          </w:p>
        </w:tc>
        <w:tc>
          <w:tcPr>
            <w:tcW w:w="2079" w:type="pct"/>
          </w:tcPr>
          <w:p w14:paraId="4DC98069"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Dynamic optimization model applied to empirical data</w:t>
            </w:r>
          </w:p>
        </w:tc>
        <w:tc>
          <w:tcPr>
            <w:tcW w:w="421" w:type="pct"/>
          </w:tcPr>
          <w:p w14:paraId="465017DB" w14:textId="77777777" w:rsidR="00EC3985" w:rsidRPr="00C3795F" w:rsidRDefault="00EC3985" w:rsidP="003E223D">
            <w:pPr>
              <w:rPr>
                <w:rFonts w:ascii="Calibri" w:hAnsi="Calibri" w:cs="Calibri"/>
                <w:sz w:val="18"/>
                <w:szCs w:val="18"/>
              </w:rPr>
            </w:pPr>
            <w:r w:rsidRPr="00C3795F">
              <w:rPr>
                <w:rFonts w:ascii="Calibri" w:hAnsi="Calibri" w:cs="Calibri"/>
                <w:sz w:val="18"/>
                <w:szCs w:val="18"/>
              </w:rPr>
              <w:t>Renewable electricity producers / private investors</w:t>
            </w:r>
          </w:p>
        </w:tc>
        <w:tc>
          <w:tcPr>
            <w:tcW w:w="637" w:type="pct"/>
          </w:tcPr>
          <w:p w14:paraId="09B012FD" w14:textId="77777777" w:rsidR="00EC3985" w:rsidRPr="00C3795F" w:rsidRDefault="00EC3985" w:rsidP="003E223D">
            <w:pPr>
              <w:rPr>
                <w:rFonts w:ascii="Calibri" w:hAnsi="Calibri" w:cs="Calibri"/>
                <w:color w:val="000000"/>
                <w:sz w:val="18"/>
                <w:szCs w:val="18"/>
              </w:rPr>
            </w:pPr>
            <w:r>
              <w:rPr>
                <w:rFonts w:ascii="Calibri" w:hAnsi="Calibri" w:cs="Calibri"/>
                <w:color w:val="000000"/>
                <w:sz w:val="18"/>
                <w:szCs w:val="18"/>
              </w:rPr>
              <w:t xml:space="preserve">Wind/ </w:t>
            </w:r>
            <w:r w:rsidRPr="00C3795F">
              <w:rPr>
                <w:rFonts w:ascii="Calibri" w:hAnsi="Calibri" w:cs="Calibri"/>
                <w:color w:val="000000"/>
                <w:sz w:val="18"/>
                <w:szCs w:val="18"/>
              </w:rPr>
              <w:t>US</w:t>
            </w:r>
          </w:p>
        </w:tc>
      </w:tr>
      <w:tr w:rsidR="00EC3985" w:rsidRPr="00FD1232" w14:paraId="42A3A8DB" w14:textId="77777777" w:rsidTr="003E223D">
        <w:trPr>
          <w:trHeight w:val="222"/>
          <w:jc w:val="center"/>
        </w:trPr>
        <w:tc>
          <w:tcPr>
            <w:tcW w:w="980" w:type="pct"/>
          </w:tcPr>
          <w:p w14:paraId="08125E98"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Fan et al. (2010)</w:t>
            </w:r>
          </w:p>
        </w:tc>
        <w:tc>
          <w:tcPr>
            <w:tcW w:w="883" w:type="pct"/>
          </w:tcPr>
          <w:p w14:paraId="43C3ADA8"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2</w:t>
            </w:r>
          </w:p>
        </w:tc>
        <w:tc>
          <w:tcPr>
            <w:tcW w:w="2079" w:type="pct"/>
          </w:tcPr>
          <w:p w14:paraId="44E9E7F6"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Theoretical simulation model (risk-adversity is simulated by assumption)</w:t>
            </w:r>
          </w:p>
        </w:tc>
        <w:tc>
          <w:tcPr>
            <w:tcW w:w="421" w:type="pct"/>
          </w:tcPr>
          <w:p w14:paraId="5C74B1B7" w14:textId="77777777" w:rsidR="00EC3985" w:rsidRPr="00C3795F" w:rsidRDefault="00EC3985" w:rsidP="003E223D">
            <w:pPr>
              <w:rPr>
                <w:rFonts w:ascii="Calibri" w:hAnsi="Calibri" w:cs="Calibri"/>
                <w:color w:val="000000"/>
                <w:sz w:val="18"/>
                <w:szCs w:val="18"/>
              </w:rPr>
            </w:pPr>
            <w:r w:rsidRPr="00C3795F">
              <w:rPr>
                <w:rFonts w:ascii="Calibri" w:hAnsi="Calibri" w:cs="Calibri"/>
                <w:color w:val="000000"/>
                <w:sz w:val="18"/>
                <w:szCs w:val="18"/>
              </w:rPr>
              <w:t>Private investors</w:t>
            </w:r>
          </w:p>
        </w:tc>
        <w:tc>
          <w:tcPr>
            <w:tcW w:w="637" w:type="pct"/>
          </w:tcPr>
          <w:p w14:paraId="03D2A229" w14:textId="77777777" w:rsidR="00EC3985" w:rsidRDefault="00EC3985" w:rsidP="003E223D">
            <w:pPr>
              <w:rPr>
                <w:rFonts w:ascii="Calibri" w:hAnsi="Calibri" w:cs="Calibri"/>
                <w:color w:val="000000"/>
                <w:sz w:val="18"/>
                <w:szCs w:val="18"/>
              </w:rPr>
            </w:pPr>
            <w:r w:rsidRPr="00C3795F">
              <w:rPr>
                <w:rFonts w:ascii="Calibri" w:hAnsi="Calibri" w:cs="Calibri"/>
                <w:color w:val="000000"/>
                <w:sz w:val="18"/>
                <w:szCs w:val="18"/>
              </w:rPr>
              <w:t>All renewables / US</w:t>
            </w:r>
          </w:p>
        </w:tc>
      </w:tr>
      <w:tr w:rsidR="00EC3985" w:rsidRPr="00FD1232" w14:paraId="7ECC4FFA" w14:textId="77777777" w:rsidTr="003E223D">
        <w:trPr>
          <w:trHeight w:val="222"/>
          <w:jc w:val="center"/>
        </w:trPr>
        <w:tc>
          <w:tcPr>
            <w:tcW w:w="980" w:type="pct"/>
          </w:tcPr>
          <w:p w14:paraId="1B91A89C" w14:textId="77777777" w:rsidR="00EC3985" w:rsidRDefault="00EC3985" w:rsidP="003E223D">
            <w:pPr>
              <w:rPr>
                <w:rFonts w:ascii="Calibri" w:hAnsi="Calibri" w:cs="Calibri"/>
                <w:color w:val="000000"/>
                <w:sz w:val="18"/>
                <w:szCs w:val="18"/>
              </w:rPr>
            </w:pPr>
            <w:proofErr w:type="spellStart"/>
            <w:r>
              <w:rPr>
                <w:rFonts w:ascii="Calibri" w:hAnsi="Calibri" w:cs="Calibri"/>
                <w:color w:val="000000"/>
                <w:sz w:val="18"/>
                <w:szCs w:val="18"/>
              </w:rPr>
              <w:lastRenderedPageBreak/>
              <w:t>Fragkos</w:t>
            </w:r>
            <w:proofErr w:type="spellEnd"/>
            <w:r>
              <w:rPr>
                <w:rFonts w:ascii="Calibri" w:hAnsi="Calibri" w:cs="Calibri"/>
                <w:color w:val="000000"/>
                <w:sz w:val="18"/>
                <w:szCs w:val="18"/>
              </w:rPr>
              <w:t xml:space="preserve"> &amp; </w:t>
            </w:r>
            <w:proofErr w:type="spellStart"/>
            <w:r>
              <w:rPr>
                <w:rFonts w:ascii="Calibri" w:hAnsi="Calibri" w:cs="Calibri"/>
                <w:color w:val="000000"/>
                <w:sz w:val="18"/>
                <w:szCs w:val="18"/>
              </w:rPr>
              <w:t>Kouvaritakis</w:t>
            </w:r>
            <w:proofErr w:type="spellEnd"/>
            <w:r>
              <w:rPr>
                <w:rFonts w:ascii="Calibri" w:hAnsi="Calibri" w:cs="Calibri"/>
                <w:color w:val="000000"/>
                <w:sz w:val="18"/>
                <w:szCs w:val="18"/>
              </w:rPr>
              <w:t xml:space="preserve"> (2018)</w:t>
            </w:r>
          </w:p>
        </w:tc>
        <w:tc>
          <w:tcPr>
            <w:tcW w:w="883" w:type="pct"/>
          </w:tcPr>
          <w:p w14:paraId="3DFE345A"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2;15 (diverse sources of uncertainties e.g. volatility in fuel and electricity prices)</w:t>
            </w:r>
          </w:p>
        </w:tc>
        <w:tc>
          <w:tcPr>
            <w:tcW w:w="2079" w:type="pct"/>
          </w:tcPr>
          <w:p w14:paraId="5C2B25B4"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 xml:space="preserve">Application of multi-objective stochastic modelling (PROMETHEUS and BARA model) designed to optimize budget allocation decisions. </w:t>
            </w:r>
          </w:p>
        </w:tc>
        <w:tc>
          <w:tcPr>
            <w:tcW w:w="421" w:type="pct"/>
          </w:tcPr>
          <w:p w14:paraId="7E524F64"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36BCA9D6"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All renewables / EU</w:t>
            </w:r>
          </w:p>
        </w:tc>
      </w:tr>
      <w:tr w:rsidR="00EC3985" w:rsidRPr="00FD1232" w14:paraId="6090F480" w14:textId="77777777" w:rsidTr="003E223D">
        <w:trPr>
          <w:trHeight w:val="222"/>
          <w:jc w:val="center"/>
        </w:trPr>
        <w:tc>
          <w:tcPr>
            <w:tcW w:w="980" w:type="pct"/>
          </w:tcPr>
          <w:p w14:paraId="7F2536D5" w14:textId="77777777" w:rsidR="00EC3985" w:rsidRDefault="00EC3985" w:rsidP="003E223D">
            <w:pPr>
              <w:rPr>
                <w:rFonts w:ascii="Calibri" w:hAnsi="Calibri" w:cs="Calibri"/>
                <w:color w:val="000000"/>
                <w:sz w:val="18"/>
                <w:szCs w:val="18"/>
              </w:rPr>
            </w:pPr>
            <w:proofErr w:type="spellStart"/>
            <w:r>
              <w:rPr>
                <w:rFonts w:ascii="Calibri" w:hAnsi="Calibri" w:cs="Calibri"/>
                <w:color w:val="000000"/>
                <w:sz w:val="18"/>
                <w:szCs w:val="18"/>
              </w:rPr>
              <w:t>Fragkos</w:t>
            </w:r>
            <w:proofErr w:type="spellEnd"/>
            <w:r>
              <w:rPr>
                <w:rFonts w:ascii="Calibri" w:hAnsi="Calibri" w:cs="Calibri"/>
                <w:color w:val="000000"/>
                <w:sz w:val="18"/>
                <w:szCs w:val="18"/>
              </w:rPr>
              <w:t xml:space="preserve"> &amp; </w:t>
            </w:r>
            <w:proofErr w:type="spellStart"/>
            <w:r>
              <w:rPr>
                <w:rFonts w:ascii="Calibri" w:hAnsi="Calibri" w:cs="Calibri"/>
                <w:color w:val="000000"/>
                <w:sz w:val="18"/>
                <w:szCs w:val="18"/>
              </w:rPr>
              <w:t>Kouvaritakis</w:t>
            </w:r>
            <w:proofErr w:type="spellEnd"/>
            <w:r>
              <w:rPr>
                <w:rFonts w:ascii="Calibri" w:hAnsi="Calibri" w:cs="Calibri"/>
                <w:color w:val="000000"/>
                <w:sz w:val="18"/>
                <w:szCs w:val="18"/>
              </w:rPr>
              <w:t xml:space="preserve"> (2018)</w:t>
            </w:r>
          </w:p>
        </w:tc>
        <w:tc>
          <w:tcPr>
            <w:tcW w:w="883" w:type="pct"/>
          </w:tcPr>
          <w:p w14:paraId="51B583E3"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2;15 (sources of uncertainty, especially with regard to volatility of fossil fuel and electricity prices, technological costs)</w:t>
            </w:r>
          </w:p>
        </w:tc>
        <w:tc>
          <w:tcPr>
            <w:tcW w:w="2079" w:type="pct"/>
          </w:tcPr>
          <w:p w14:paraId="3B9174B4"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 xml:space="preserve">Multi-objective stochastic model designed to optimize budget allocation decisions for power generation in the context of risk aversion taking into account several sources of uncertainty, especially with regard to volatility of fossil fuel and electricity prices, technological costs, and climate policy variability. </w:t>
            </w:r>
          </w:p>
        </w:tc>
        <w:tc>
          <w:tcPr>
            <w:tcW w:w="421" w:type="pct"/>
          </w:tcPr>
          <w:p w14:paraId="5637040B"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17A2EDFE"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All renewables / EU</w:t>
            </w:r>
          </w:p>
        </w:tc>
      </w:tr>
      <w:tr w:rsidR="00EC3985" w:rsidRPr="00FD1232" w14:paraId="65C68808" w14:textId="77777777" w:rsidTr="003E223D">
        <w:trPr>
          <w:trHeight w:val="222"/>
          <w:jc w:val="center"/>
        </w:trPr>
        <w:tc>
          <w:tcPr>
            <w:tcW w:w="980" w:type="pct"/>
          </w:tcPr>
          <w:p w14:paraId="3400BA6D" w14:textId="77777777" w:rsidR="00EC3985" w:rsidRDefault="00EC3985" w:rsidP="003E223D">
            <w:pPr>
              <w:rPr>
                <w:rFonts w:ascii="Calibri" w:hAnsi="Calibri" w:cs="Calibri"/>
                <w:sz w:val="18"/>
                <w:szCs w:val="18"/>
              </w:rPr>
            </w:pPr>
            <w:r>
              <w:rPr>
                <w:rFonts w:ascii="Calibri" w:hAnsi="Calibri" w:cs="Calibri"/>
                <w:sz w:val="18"/>
                <w:szCs w:val="18"/>
              </w:rPr>
              <w:t>Fuss et al. (2012)</w:t>
            </w:r>
          </w:p>
        </w:tc>
        <w:tc>
          <w:tcPr>
            <w:tcW w:w="883" w:type="pct"/>
          </w:tcPr>
          <w:p w14:paraId="1AFCBEF7" w14:textId="77777777" w:rsidR="00EC3985" w:rsidRDefault="00EC3985" w:rsidP="003E223D">
            <w:pPr>
              <w:rPr>
                <w:rFonts w:ascii="Calibri" w:hAnsi="Calibri" w:cs="Calibri"/>
                <w:sz w:val="18"/>
                <w:szCs w:val="18"/>
              </w:rPr>
            </w:pPr>
            <w:r>
              <w:rPr>
                <w:rFonts w:ascii="Calibri" w:hAnsi="Calibri" w:cs="Calibri"/>
                <w:sz w:val="18"/>
                <w:szCs w:val="18"/>
              </w:rPr>
              <w:t>15 (various sources of uncertainty incl. policy uncertainty)</w:t>
            </w:r>
          </w:p>
        </w:tc>
        <w:tc>
          <w:tcPr>
            <w:tcW w:w="2079" w:type="pct"/>
          </w:tcPr>
          <w:p w14:paraId="6D36DBA0" w14:textId="77777777" w:rsidR="00EC3985" w:rsidRDefault="00EC3985" w:rsidP="003E223D">
            <w:pPr>
              <w:rPr>
                <w:rFonts w:ascii="Calibri" w:hAnsi="Calibri" w:cs="Calibri"/>
                <w:sz w:val="18"/>
                <w:szCs w:val="18"/>
              </w:rPr>
            </w:pPr>
            <w:r>
              <w:rPr>
                <w:rFonts w:ascii="Calibri" w:hAnsi="Calibri" w:cs="Calibri"/>
                <w:sz w:val="18"/>
                <w:szCs w:val="18"/>
              </w:rPr>
              <w:t xml:space="preserve">Real options analysis applied to real data (GGI Scenario Database). </w:t>
            </w:r>
          </w:p>
        </w:tc>
        <w:tc>
          <w:tcPr>
            <w:tcW w:w="421" w:type="pct"/>
          </w:tcPr>
          <w:p w14:paraId="6C94776B" w14:textId="77777777" w:rsidR="00EC3985" w:rsidRDefault="00EC3985" w:rsidP="003E223D">
            <w:pPr>
              <w:rPr>
                <w:rFonts w:ascii="Calibri" w:hAnsi="Calibri" w:cs="Calibri"/>
                <w:sz w:val="18"/>
                <w:szCs w:val="18"/>
              </w:rPr>
            </w:pPr>
            <w:r>
              <w:rPr>
                <w:rFonts w:ascii="Calibri" w:hAnsi="Calibri" w:cs="Calibri"/>
                <w:sz w:val="18"/>
                <w:szCs w:val="18"/>
              </w:rPr>
              <w:t>Financial investors</w:t>
            </w:r>
          </w:p>
        </w:tc>
        <w:tc>
          <w:tcPr>
            <w:tcW w:w="637" w:type="pct"/>
          </w:tcPr>
          <w:p w14:paraId="16B62C19" w14:textId="77777777" w:rsidR="00EC3985" w:rsidRDefault="00EC3985" w:rsidP="003E223D">
            <w:pPr>
              <w:rPr>
                <w:rFonts w:ascii="Calibri" w:hAnsi="Calibri" w:cs="Calibri"/>
                <w:sz w:val="18"/>
                <w:szCs w:val="18"/>
              </w:rPr>
            </w:pPr>
            <w:r>
              <w:rPr>
                <w:rFonts w:ascii="Calibri" w:hAnsi="Calibri" w:cs="Calibri"/>
                <w:sz w:val="18"/>
                <w:szCs w:val="18"/>
              </w:rPr>
              <w:t>All renewables / Not specified</w:t>
            </w:r>
          </w:p>
        </w:tc>
      </w:tr>
      <w:tr w:rsidR="00EC3985" w:rsidRPr="00FD1232" w14:paraId="31E238BA" w14:textId="77777777" w:rsidTr="003E223D">
        <w:trPr>
          <w:trHeight w:val="222"/>
          <w:jc w:val="center"/>
        </w:trPr>
        <w:tc>
          <w:tcPr>
            <w:tcW w:w="980" w:type="pct"/>
          </w:tcPr>
          <w:p w14:paraId="0C5D89A7" w14:textId="77777777" w:rsidR="00EC3985" w:rsidRDefault="00EC3985" w:rsidP="003E223D">
            <w:pPr>
              <w:rPr>
                <w:rFonts w:ascii="Calibri" w:hAnsi="Calibri" w:cs="Calibri"/>
                <w:sz w:val="18"/>
                <w:szCs w:val="18"/>
              </w:rPr>
            </w:pPr>
            <w:proofErr w:type="spellStart"/>
            <w:r w:rsidRPr="00F8232C">
              <w:rPr>
                <w:rFonts w:ascii="Calibri" w:hAnsi="Calibri" w:cs="Calibri"/>
                <w:sz w:val="18"/>
                <w:szCs w:val="18"/>
              </w:rPr>
              <w:t>Gatzert</w:t>
            </w:r>
            <w:proofErr w:type="spellEnd"/>
            <w:r w:rsidRPr="00F8232C">
              <w:rPr>
                <w:rFonts w:ascii="Calibri" w:hAnsi="Calibri" w:cs="Calibri"/>
                <w:sz w:val="18"/>
                <w:szCs w:val="18"/>
              </w:rPr>
              <w:t xml:space="preserve"> &amp; </w:t>
            </w:r>
            <w:proofErr w:type="spellStart"/>
            <w:r w:rsidRPr="00F8232C">
              <w:rPr>
                <w:rFonts w:ascii="Calibri" w:hAnsi="Calibri" w:cs="Calibri"/>
                <w:sz w:val="18"/>
                <w:szCs w:val="18"/>
              </w:rPr>
              <w:t>Kosub</w:t>
            </w:r>
            <w:proofErr w:type="spellEnd"/>
            <w:r w:rsidRPr="00F8232C">
              <w:rPr>
                <w:rFonts w:ascii="Calibri" w:hAnsi="Calibri" w:cs="Calibri"/>
                <w:sz w:val="18"/>
                <w:szCs w:val="18"/>
              </w:rPr>
              <w:t xml:space="preserve"> (2017b)</w:t>
            </w:r>
          </w:p>
        </w:tc>
        <w:tc>
          <w:tcPr>
            <w:tcW w:w="883" w:type="pct"/>
          </w:tcPr>
          <w:p w14:paraId="7B7690F9" w14:textId="77777777" w:rsidR="00EC3985" w:rsidRDefault="00EC3985" w:rsidP="003E223D">
            <w:pPr>
              <w:rPr>
                <w:rFonts w:ascii="Calibri" w:hAnsi="Calibri" w:cs="Calibri"/>
                <w:sz w:val="18"/>
                <w:szCs w:val="18"/>
              </w:rPr>
            </w:pPr>
            <w:r>
              <w:rPr>
                <w:rFonts w:ascii="Calibri" w:hAnsi="Calibri" w:cs="Calibri"/>
                <w:sz w:val="18"/>
                <w:szCs w:val="18"/>
              </w:rPr>
              <w:t>2</w:t>
            </w:r>
          </w:p>
        </w:tc>
        <w:tc>
          <w:tcPr>
            <w:tcW w:w="2079" w:type="pct"/>
          </w:tcPr>
          <w:p w14:paraId="0EA4A156" w14:textId="77777777" w:rsidR="00EC3985" w:rsidRDefault="00EC3985" w:rsidP="003E223D">
            <w:pPr>
              <w:rPr>
                <w:rFonts w:ascii="Calibri" w:hAnsi="Calibri" w:cs="Calibri"/>
                <w:sz w:val="18"/>
                <w:szCs w:val="18"/>
              </w:rPr>
            </w:pPr>
            <w:r>
              <w:rPr>
                <w:rFonts w:ascii="Calibri" w:hAnsi="Calibri" w:cs="Calibri"/>
                <w:sz w:val="18"/>
                <w:szCs w:val="18"/>
              </w:rPr>
              <w:t xml:space="preserve">Drivers of policy uncertainty </w:t>
            </w:r>
            <w:proofErr w:type="gramStart"/>
            <w:r>
              <w:rPr>
                <w:rFonts w:ascii="Calibri" w:hAnsi="Calibri" w:cs="Calibri"/>
                <w:sz w:val="18"/>
                <w:szCs w:val="18"/>
              </w:rPr>
              <w:t>are investigated</w:t>
            </w:r>
            <w:proofErr w:type="gramEnd"/>
            <w:r>
              <w:rPr>
                <w:rFonts w:ascii="Calibri" w:hAnsi="Calibri" w:cs="Calibri"/>
                <w:sz w:val="18"/>
                <w:szCs w:val="18"/>
              </w:rPr>
              <w:t xml:space="preserve"> based on a narrative review of the academic literature and supported by industry studies regarding cases of support scheme cuts in Europe (from the end of 2010 until the end of 2013). </w:t>
            </w:r>
          </w:p>
        </w:tc>
        <w:tc>
          <w:tcPr>
            <w:tcW w:w="421" w:type="pct"/>
          </w:tcPr>
          <w:p w14:paraId="5CCE23E7" w14:textId="77777777" w:rsidR="00EC3985" w:rsidRDefault="00EC3985" w:rsidP="003E223D">
            <w:pPr>
              <w:rPr>
                <w:rFonts w:ascii="Calibri" w:hAnsi="Calibri" w:cs="Calibri"/>
                <w:sz w:val="18"/>
                <w:szCs w:val="18"/>
              </w:rPr>
            </w:pPr>
            <w:r>
              <w:rPr>
                <w:rFonts w:ascii="Calibri" w:hAnsi="Calibri" w:cs="Calibri"/>
                <w:sz w:val="18"/>
                <w:szCs w:val="18"/>
              </w:rPr>
              <w:t>Private investors</w:t>
            </w:r>
          </w:p>
        </w:tc>
        <w:tc>
          <w:tcPr>
            <w:tcW w:w="637" w:type="pct"/>
          </w:tcPr>
          <w:p w14:paraId="6B442F94" w14:textId="77777777" w:rsidR="00EC3985" w:rsidRDefault="00EC3985" w:rsidP="003E223D">
            <w:pPr>
              <w:rPr>
                <w:rFonts w:ascii="Calibri" w:hAnsi="Calibri" w:cs="Calibri"/>
                <w:sz w:val="18"/>
                <w:szCs w:val="18"/>
              </w:rPr>
            </w:pPr>
            <w:r>
              <w:rPr>
                <w:rFonts w:ascii="Calibri" w:hAnsi="Calibri" w:cs="Calibri"/>
                <w:sz w:val="18"/>
                <w:szCs w:val="18"/>
              </w:rPr>
              <w:t xml:space="preserve">All renewables / Not specified </w:t>
            </w:r>
          </w:p>
        </w:tc>
      </w:tr>
      <w:tr w:rsidR="00EC3985" w:rsidRPr="00FD1232" w14:paraId="144EFC46" w14:textId="77777777" w:rsidTr="003E223D">
        <w:trPr>
          <w:trHeight w:val="222"/>
          <w:jc w:val="center"/>
        </w:trPr>
        <w:tc>
          <w:tcPr>
            <w:tcW w:w="980" w:type="pct"/>
          </w:tcPr>
          <w:p w14:paraId="4EA70A11" w14:textId="77777777" w:rsidR="00EC3985" w:rsidRDefault="00EC3985" w:rsidP="003E223D">
            <w:pPr>
              <w:rPr>
                <w:rFonts w:ascii="Calibri" w:hAnsi="Calibri" w:cs="Calibri"/>
                <w:color w:val="000000"/>
                <w:sz w:val="18"/>
                <w:szCs w:val="18"/>
              </w:rPr>
            </w:pPr>
            <w:proofErr w:type="spellStart"/>
            <w:r>
              <w:rPr>
                <w:rFonts w:ascii="Calibri" w:hAnsi="Calibri" w:cs="Calibri"/>
                <w:color w:val="000000"/>
                <w:sz w:val="18"/>
                <w:szCs w:val="18"/>
              </w:rPr>
              <w:t>Gatzert</w:t>
            </w:r>
            <w:proofErr w:type="spellEnd"/>
            <w:r>
              <w:rPr>
                <w:rFonts w:ascii="Calibri" w:hAnsi="Calibri" w:cs="Calibri"/>
                <w:color w:val="000000"/>
                <w:sz w:val="18"/>
                <w:szCs w:val="18"/>
              </w:rPr>
              <w:t xml:space="preserve"> &amp; </w:t>
            </w:r>
            <w:proofErr w:type="spellStart"/>
            <w:r>
              <w:rPr>
                <w:rFonts w:ascii="Calibri" w:hAnsi="Calibri" w:cs="Calibri"/>
                <w:color w:val="000000"/>
                <w:sz w:val="18"/>
                <w:szCs w:val="18"/>
              </w:rPr>
              <w:t>Vogl</w:t>
            </w:r>
            <w:proofErr w:type="spellEnd"/>
            <w:r>
              <w:rPr>
                <w:rFonts w:ascii="Calibri" w:hAnsi="Calibri" w:cs="Calibri"/>
                <w:color w:val="000000"/>
                <w:sz w:val="18"/>
                <w:szCs w:val="18"/>
              </w:rPr>
              <w:t xml:space="preserve"> (2016)</w:t>
            </w:r>
          </w:p>
        </w:tc>
        <w:tc>
          <w:tcPr>
            <w:tcW w:w="883" w:type="pct"/>
          </w:tcPr>
          <w:p w14:paraId="793A077D"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2;15 (other sources of risks not specific to RET)</w:t>
            </w:r>
          </w:p>
        </w:tc>
        <w:tc>
          <w:tcPr>
            <w:tcW w:w="2079" w:type="pct"/>
          </w:tcPr>
          <w:p w14:paraId="423E3408"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The study</w:t>
            </w:r>
            <w:r w:rsidRPr="00C03258">
              <w:rPr>
                <w:rFonts w:ascii="Calibri" w:hAnsi="Calibri" w:cs="Calibri"/>
                <w:color w:val="000000"/>
                <w:sz w:val="18"/>
                <w:szCs w:val="18"/>
              </w:rPr>
              <w:t xml:space="preserve"> provide</w:t>
            </w:r>
            <w:r>
              <w:rPr>
                <w:rFonts w:ascii="Calibri" w:hAnsi="Calibri" w:cs="Calibri"/>
                <w:color w:val="000000"/>
                <w:sz w:val="18"/>
                <w:szCs w:val="18"/>
              </w:rPr>
              <w:t xml:space="preserve">s a stochastic model </w:t>
            </w:r>
            <w:r w:rsidRPr="00C03258">
              <w:rPr>
                <w:rFonts w:ascii="Calibri" w:hAnsi="Calibri" w:cs="Calibri"/>
                <w:color w:val="000000"/>
                <w:sz w:val="18"/>
                <w:szCs w:val="18"/>
              </w:rPr>
              <w:t>framework to quantify policy risks associated with renewable energy in</w:t>
            </w:r>
            <w:r>
              <w:rPr>
                <w:rFonts w:ascii="Calibri" w:hAnsi="Calibri" w:cs="Calibri"/>
                <w:color w:val="000000"/>
                <w:sz w:val="18"/>
                <w:szCs w:val="18"/>
              </w:rPr>
              <w:t xml:space="preserve">vestments (e.g. a retrospective </w:t>
            </w:r>
            <w:r w:rsidRPr="00C03258">
              <w:rPr>
                <w:rFonts w:ascii="Calibri" w:hAnsi="Calibri" w:cs="Calibri"/>
                <w:color w:val="000000"/>
                <w:sz w:val="18"/>
                <w:szCs w:val="18"/>
              </w:rPr>
              <w:t>reduction of a feed-in tariff), thereby also taking into account energy price ris</w:t>
            </w:r>
            <w:r>
              <w:rPr>
                <w:rFonts w:ascii="Calibri" w:hAnsi="Calibri" w:cs="Calibri"/>
                <w:color w:val="000000"/>
                <w:sz w:val="18"/>
                <w:szCs w:val="18"/>
              </w:rPr>
              <w:t xml:space="preserve">k, resource risk, and inflation </w:t>
            </w:r>
            <w:r w:rsidRPr="00C03258">
              <w:rPr>
                <w:rFonts w:ascii="Calibri" w:hAnsi="Calibri" w:cs="Calibri"/>
                <w:color w:val="000000"/>
                <w:sz w:val="18"/>
                <w:szCs w:val="18"/>
              </w:rPr>
              <w:t xml:space="preserve">risk. The model </w:t>
            </w:r>
            <w:proofErr w:type="gramStart"/>
            <w:r w:rsidRPr="00C03258">
              <w:rPr>
                <w:rFonts w:ascii="Calibri" w:hAnsi="Calibri" w:cs="Calibri"/>
                <w:color w:val="000000"/>
                <w:sz w:val="18"/>
                <w:szCs w:val="18"/>
              </w:rPr>
              <w:t>is illustrated</w:t>
            </w:r>
            <w:proofErr w:type="gramEnd"/>
            <w:r w:rsidRPr="00C03258">
              <w:rPr>
                <w:rFonts w:ascii="Calibri" w:hAnsi="Calibri" w:cs="Calibri"/>
                <w:color w:val="000000"/>
                <w:sz w:val="18"/>
                <w:szCs w:val="18"/>
              </w:rPr>
              <w:t xml:space="preserve"> by means of simulations and scenari</w:t>
            </w:r>
            <w:r>
              <w:rPr>
                <w:rFonts w:ascii="Calibri" w:hAnsi="Calibri" w:cs="Calibri"/>
                <w:color w:val="000000"/>
                <w:sz w:val="18"/>
                <w:szCs w:val="18"/>
              </w:rPr>
              <w:t xml:space="preserve">o analyses, and it makes use of </w:t>
            </w:r>
            <w:r w:rsidRPr="00C03258">
              <w:rPr>
                <w:rFonts w:ascii="Calibri" w:hAnsi="Calibri" w:cs="Calibri"/>
                <w:color w:val="000000"/>
                <w:sz w:val="18"/>
                <w:szCs w:val="18"/>
              </w:rPr>
              <w:t>expert estimates and fuzzy set theory for quantifying policy risks.</w:t>
            </w:r>
            <w:r>
              <w:rPr>
                <w:rFonts w:ascii="Calibri" w:hAnsi="Calibri" w:cs="Calibri"/>
                <w:color w:val="000000"/>
                <w:sz w:val="18"/>
                <w:szCs w:val="18"/>
              </w:rPr>
              <w:t xml:space="preserve"> </w:t>
            </w:r>
          </w:p>
        </w:tc>
        <w:tc>
          <w:tcPr>
            <w:tcW w:w="421" w:type="pct"/>
          </w:tcPr>
          <w:p w14:paraId="675EE6DA"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3ECB3221" w14:textId="77777777" w:rsidR="00EC3985" w:rsidRPr="00FC1D8A" w:rsidRDefault="00EC3985" w:rsidP="003E223D">
            <w:pPr>
              <w:rPr>
                <w:rFonts w:ascii="Calibri" w:hAnsi="Calibri" w:cs="Calibri"/>
                <w:sz w:val="18"/>
                <w:szCs w:val="18"/>
              </w:rPr>
            </w:pPr>
            <w:r w:rsidRPr="00D2032F">
              <w:rPr>
                <w:rFonts w:ascii="Calibri" w:hAnsi="Calibri" w:cs="Calibri"/>
                <w:sz w:val="18"/>
                <w:szCs w:val="18"/>
              </w:rPr>
              <w:t xml:space="preserve">Onshore wind </w:t>
            </w:r>
            <w:r>
              <w:rPr>
                <w:rFonts w:ascii="Calibri" w:hAnsi="Calibri" w:cs="Calibri"/>
                <w:sz w:val="18"/>
                <w:szCs w:val="18"/>
              </w:rPr>
              <w:t>/ Germany &amp; France</w:t>
            </w:r>
          </w:p>
        </w:tc>
      </w:tr>
      <w:tr w:rsidR="00EC3985" w:rsidRPr="00FD1232" w14:paraId="4F61D73B" w14:textId="77777777" w:rsidTr="003E223D">
        <w:trPr>
          <w:trHeight w:val="222"/>
          <w:jc w:val="center"/>
        </w:trPr>
        <w:tc>
          <w:tcPr>
            <w:tcW w:w="980" w:type="pct"/>
          </w:tcPr>
          <w:p w14:paraId="3530CC91"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Gross et al. (2010)</w:t>
            </w:r>
          </w:p>
        </w:tc>
        <w:tc>
          <w:tcPr>
            <w:tcW w:w="883" w:type="pct"/>
          </w:tcPr>
          <w:p w14:paraId="2C24A6ED"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15 (Revenue/price risk for different RE technologies)</w:t>
            </w:r>
          </w:p>
        </w:tc>
        <w:tc>
          <w:tcPr>
            <w:tcW w:w="2079" w:type="pct"/>
          </w:tcPr>
          <w:p w14:paraId="15249A2E"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 xml:space="preserve"> The study </w:t>
            </w:r>
            <w:proofErr w:type="gramStart"/>
            <w:r>
              <w:rPr>
                <w:rFonts w:ascii="Calibri" w:hAnsi="Calibri" w:cs="Calibri"/>
                <w:color w:val="000000"/>
                <w:sz w:val="18"/>
                <w:szCs w:val="18"/>
              </w:rPr>
              <w:t>is based</w:t>
            </w:r>
            <w:proofErr w:type="gramEnd"/>
            <w:r>
              <w:rPr>
                <w:rFonts w:ascii="Calibri" w:hAnsi="Calibri" w:cs="Calibri"/>
                <w:color w:val="000000"/>
                <w:sz w:val="18"/>
                <w:szCs w:val="18"/>
              </w:rPr>
              <w:t xml:space="preserve"> on </w:t>
            </w:r>
            <w:proofErr w:type="spellStart"/>
            <w:r>
              <w:rPr>
                <w:rFonts w:ascii="Calibri" w:hAnsi="Calibri" w:cs="Calibri"/>
                <w:color w:val="000000"/>
                <w:sz w:val="18"/>
                <w:szCs w:val="18"/>
              </w:rPr>
              <w:t>l</w:t>
            </w:r>
            <w:r w:rsidRPr="00C03258">
              <w:rPr>
                <w:rFonts w:ascii="Calibri" w:hAnsi="Calibri" w:cs="Calibri"/>
                <w:color w:val="000000"/>
                <w:sz w:val="18"/>
                <w:szCs w:val="18"/>
              </w:rPr>
              <w:t>evelised</w:t>
            </w:r>
            <w:proofErr w:type="spellEnd"/>
            <w:r w:rsidRPr="00C03258">
              <w:rPr>
                <w:rFonts w:ascii="Calibri" w:hAnsi="Calibri" w:cs="Calibri"/>
                <w:color w:val="000000"/>
                <w:sz w:val="18"/>
                <w:szCs w:val="18"/>
              </w:rPr>
              <w:t xml:space="preserve"> cost estimates</w:t>
            </w:r>
            <w:r>
              <w:rPr>
                <w:rFonts w:ascii="Calibri" w:hAnsi="Calibri" w:cs="Calibri"/>
                <w:color w:val="000000"/>
                <w:sz w:val="18"/>
                <w:szCs w:val="18"/>
              </w:rPr>
              <w:t xml:space="preserve"> by factoring in different risk categories. </w:t>
            </w:r>
          </w:p>
        </w:tc>
        <w:tc>
          <w:tcPr>
            <w:tcW w:w="421" w:type="pct"/>
          </w:tcPr>
          <w:p w14:paraId="383BA683"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636FB439"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All renewables</w:t>
            </w:r>
            <w:r w:rsidRPr="00C03258">
              <w:rPr>
                <w:rFonts w:ascii="Calibri" w:hAnsi="Calibri" w:cs="Calibri"/>
                <w:color w:val="000000"/>
                <w:sz w:val="18"/>
                <w:szCs w:val="18"/>
              </w:rPr>
              <w:t xml:space="preserve"> </w:t>
            </w:r>
            <w:r>
              <w:rPr>
                <w:rFonts w:ascii="Calibri" w:hAnsi="Calibri" w:cs="Calibri"/>
                <w:color w:val="000000"/>
                <w:sz w:val="18"/>
                <w:szCs w:val="18"/>
              </w:rPr>
              <w:t>/ UK</w:t>
            </w:r>
          </w:p>
        </w:tc>
      </w:tr>
      <w:tr w:rsidR="00EC3985" w:rsidRPr="00FD1232" w14:paraId="5F3CCC64" w14:textId="77777777" w:rsidTr="003E223D">
        <w:trPr>
          <w:trHeight w:val="222"/>
          <w:jc w:val="center"/>
        </w:trPr>
        <w:tc>
          <w:tcPr>
            <w:tcW w:w="980" w:type="pct"/>
          </w:tcPr>
          <w:p w14:paraId="778ADB2E" w14:textId="77777777" w:rsidR="00EC3985" w:rsidRDefault="00EC3985" w:rsidP="003E223D">
            <w:pPr>
              <w:rPr>
                <w:rFonts w:ascii="Calibri" w:hAnsi="Calibri" w:cs="Calibri"/>
                <w:sz w:val="18"/>
                <w:szCs w:val="18"/>
              </w:rPr>
            </w:pPr>
            <w:r>
              <w:rPr>
                <w:rFonts w:ascii="Calibri" w:hAnsi="Calibri" w:cs="Calibri"/>
                <w:sz w:val="18"/>
                <w:szCs w:val="18"/>
              </w:rPr>
              <w:t>Jami &amp; Walsh (2014)</w:t>
            </w:r>
          </w:p>
        </w:tc>
        <w:tc>
          <w:tcPr>
            <w:tcW w:w="883" w:type="pct"/>
          </w:tcPr>
          <w:p w14:paraId="2507715E" w14:textId="77777777" w:rsidR="00EC3985" w:rsidRDefault="00EC3985" w:rsidP="003E223D">
            <w:pPr>
              <w:rPr>
                <w:rFonts w:ascii="Calibri" w:hAnsi="Calibri" w:cs="Calibri"/>
                <w:sz w:val="18"/>
                <w:szCs w:val="18"/>
              </w:rPr>
            </w:pPr>
            <w:r>
              <w:rPr>
                <w:rFonts w:ascii="Calibri" w:hAnsi="Calibri" w:cs="Calibri"/>
                <w:sz w:val="18"/>
                <w:szCs w:val="18"/>
              </w:rPr>
              <w:t>15</w:t>
            </w:r>
          </w:p>
        </w:tc>
        <w:tc>
          <w:tcPr>
            <w:tcW w:w="2079" w:type="pct"/>
          </w:tcPr>
          <w:p w14:paraId="2994EE27" w14:textId="77777777" w:rsidR="00EC3985" w:rsidRDefault="00EC3985" w:rsidP="003E223D">
            <w:pPr>
              <w:rPr>
                <w:rFonts w:ascii="Calibri" w:hAnsi="Calibri" w:cs="Calibri"/>
                <w:sz w:val="18"/>
                <w:szCs w:val="18"/>
              </w:rPr>
            </w:pPr>
            <w:r>
              <w:rPr>
                <w:rFonts w:ascii="Calibri" w:hAnsi="Calibri" w:cs="Calibri"/>
                <w:sz w:val="18"/>
                <w:szCs w:val="18"/>
              </w:rPr>
              <w:t xml:space="preserve">The study </w:t>
            </w:r>
            <w:proofErr w:type="gramStart"/>
            <w:r>
              <w:rPr>
                <w:rFonts w:ascii="Calibri" w:hAnsi="Calibri" w:cs="Calibri"/>
                <w:sz w:val="18"/>
                <w:szCs w:val="18"/>
              </w:rPr>
              <w:t>is based</w:t>
            </w:r>
            <w:proofErr w:type="gramEnd"/>
            <w:r>
              <w:rPr>
                <w:rFonts w:ascii="Calibri" w:hAnsi="Calibri" w:cs="Calibri"/>
                <w:sz w:val="18"/>
                <w:szCs w:val="18"/>
              </w:rPr>
              <w:t xml:space="preserve"> on a case study of </w:t>
            </w:r>
            <w:r w:rsidRPr="00C973CA">
              <w:rPr>
                <w:rFonts w:ascii="Calibri" w:hAnsi="Calibri" w:cs="Calibri"/>
                <w:sz w:val="18"/>
                <w:szCs w:val="18"/>
              </w:rPr>
              <w:t>Ontario, Canad</w:t>
            </w:r>
            <w:r>
              <w:rPr>
                <w:rFonts w:ascii="Calibri" w:hAnsi="Calibri" w:cs="Calibri"/>
                <w:sz w:val="18"/>
                <w:szCs w:val="18"/>
              </w:rPr>
              <w:t xml:space="preserve">a. </w:t>
            </w:r>
          </w:p>
        </w:tc>
        <w:tc>
          <w:tcPr>
            <w:tcW w:w="421" w:type="pct"/>
          </w:tcPr>
          <w:p w14:paraId="51812130" w14:textId="77777777" w:rsidR="00EC3985" w:rsidRDefault="00EC3985" w:rsidP="003E223D">
            <w:pPr>
              <w:rPr>
                <w:rFonts w:ascii="Calibri" w:hAnsi="Calibri" w:cs="Calibri"/>
                <w:sz w:val="18"/>
                <w:szCs w:val="18"/>
              </w:rPr>
            </w:pPr>
            <w:r>
              <w:rPr>
                <w:rFonts w:ascii="Calibri" w:hAnsi="Calibri" w:cs="Calibri"/>
                <w:color w:val="000000"/>
                <w:sz w:val="18"/>
                <w:szCs w:val="18"/>
              </w:rPr>
              <w:t>Private investors</w:t>
            </w:r>
          </w:p>
        </w:tc>
        <w:tc>
          <w:tcPr>
            <w:tcW w:w="637" w:type="pct"/>
          </w:tcPr>
          <w:p w14:paraId="61E3122A" w14:textId="77777777" w:rsidR="00EC3985" w:rsidRDefault="00EC3985" w:rsidP="003E223D">
            <w:pPr>
              <w:rPr>
                <w:rFonts w:ascii="Calibri" w:hAnsi="Calibri" w:cs="Calibri"/>
                <w:sz w:val="18"/>
                <w:szCs w:val="18"/>
              </w:rPr>
            </w:pPr>
            <w:r>
              <w:rPr>
                <w:rFonts w:ascii="Calibri" w:hAnsi="Calibri" w:cs="Calibri"/>
                <w:sz w:val="18"/>
                <w:szCs w:val="18"/>
              </w:rPr>
              <w:t>All renewables</w:t>
            </w:r>
            <w:r w:rsidRPr="00C03258">
              <w:rPr>
                <w:rFonts w:ascii="Calibri" w:hAnsi="Calibri" w:cs="Calibri"/>
                <w:sz w:val="18"/>
                <w:szCs w:val="18"/>
              </w:rPr>
              <w:t xml:space="preserve"> </w:t>
            </w:r>
            <w:r>
              <w:rPr>
                <w:rFonts w:ascii="Calibri" w:hAnsi="Calibri" w:cs="Calibri"/>
                <w:sz w:val="18"/>
                <w:szCs w:val="18"/>
              </w:rPr>
              <w:t>/ Canada</w:t>
            </w:r>
          </w:p>
        </w:tc>
      </w:tr>
      <w:tr w:rsidR="00EC3985" w:rsidRPr="00FD1232" w14:paraId="15F957F9" w14:textId="77777777" w:rsidTr="003E223D">
        <w:trPr>
          <w:trHeight w:val="222"/>
          <w:jc w:val="center"/>
        </w:trPr>
        <w:tc>
          <w:tcPr>
            <w:tcW w:w="980" w:type="pct"/>
          </w:tcPr>
          <w:p w14:paraId="3A7A1130" w14:textId="77777777" w:rsidR="00EC3985" w:rsidRDefault="00EC3985" w:rsidP="003E223D">
            <w:pPr>
              <w:rPr>
                <w:rFonts w:ascii="Calibri" w:hAnsi="Calibri" w:cs="Calibri"/>
                <w:sz w:val="18"/>
                <w:szCs w:val="18"/>
              </w:rPr>
            </w:pPr>
            <w:proofErr w:type="spellStart"/>
            <w:r>
              <w:rPr>
                <w:rFonts w:ascii="Calibri" w:hAnsi="Calibri" w:cs="Calibri"/>
                <w:sz w:val="18"/>
                <w:szCs w:val="18"/>
              </w:rPr>
              <w:t>Karneyeva</w:t>
            </w:r>
            <w:proofErr w:type="spellEnd"/>
            <w:r>
              <w:rPr>
                <w:rFonts w:ascii="Calibri" w:hAnsi="Calibri" w:cs="Calibri"/>
                <w:sz w:val="18"/>
                <w:szCs w:val="18"/>
              </w:rPr>
              <w:t xml:space="preserve"> &amp; </w:t>
            </w:r>
            <w:proofErr w:type="spellStart"/>
            <w:r>
              <w:rPr>
                <w:rFonts w:ascii="Calibri" w:hAnsi="Calibri" w:cs="Calibri"/>
                <w:sz w:val="18"/>
                <w:szCs w:val="18"/>
              </w:rPr>
              <w:t>Wüstenhagen</w:t>
            </w:r>
            <w:proofErr w:type="spellEnd"/>
            <w:r>
              <w:rPr>
                <w:rFonts w:ascii="Calibri" w:hAnsi="Calibri" w:cs="Calibri"/>
                <w:sz w:val="18"/>
                <w:szCs w:val="18"/>
              </w:rPr>
              <w:t xml:space="preserve"> (2017)</w:t>
            </w:r>
          </w:p>
        </w:tc>
        <w:tc>
          <w:tcPr>
            <w:tcW w:w="883" w:type="pct"/>
          </w:tcPr>
          <w:p w14:paraId="77F237C0" w14:textId="77777777" w:rsidR="00EC3985" w:rsidRDefault="00EC3985" w:rsidP="003E223D">
            <w:pPr>
              <w:rPr>
                <w:rFonts w:ascii="Calibri" w:hAnsi="Calibri" w:cs="Calibri"/>
                <w:sz w:val="18"/>
                <w:szCs w:val="18"/>
              </w:rPr>
            </w:pPr>
            <w:r>
              <w:rPr>
                <w:rFonts w:ascii="Calibri" w:hAnsi="Calibri" w:cs="Calibri"/>
                <w:sz w:val="18"/>
                <w:szCs w:val="18"/>
              </w:rPr>
              <w:t>2</w:t>
            </w:r>
          </w:p>
        </w:tc>
        <w:tc>
          <w:tcPr>
            <w:tcW w:w="2079" w:type="pct"/>
          </w:tcPr>
          <w:p w14:paraId="2251AE5F" w14:textId="77777777" w:rsidR="00EC3985" w:rsidRDefault="00EC3985" w:rsidP="003E223D">
            <w:pPr>
              <w:rPr>
                <w:rFonts w:ascii="Calibri" w:hAnsi="Calibri" w:cs="Calibri"/>
                <w:sz w:val="18"/>
                <w:szCs w:val="18"/>
              </w:rPr>
            </w:pPr>
            <w:r>
              <w:rPr>
                <w:rFonts w:ascii="Calibri" w:hAnsi="Calibri" w:cs="Calibri"/>
                <w:sz w:val="18"/>
                <w:szCs w:val="18"/>
              </w:rPr>
              <w:t xml:space="preserve">The methodology of the study is a cross-case study analysis of three PV markets – Germany, Italy and Switzerland – to investigate the role of feed-in tariffs for the near- and post-grid parity stages of diffusion. The study also compares the investor landscape in the three countries, calculates profitability for different business models, and quantifies the policy risk affecting PV investors. </w:t>
            </w:r>
          </w:p>
        </w:tc>
        <w:tc>
          <w:tcPr>
            <w:tcW w:w="421" w:type="pct"/>
          </w:tcPr>
          <w:p w14:paraId="329B4276" w14:textId="77777777" w:rsidR="00EC3985" w:rsidRDefault="00EC3985" w:rsidP="003E223D">
            <w:pPr>
              <w:rPr>
                <w:rFonts w:ascii="Calibri" w:hAnsi="Calibri" w:cs="Calibri"/>
                <w:sz w:val="18"/>
                <w:szCs w:val="18"/>
              </w:rPr>
            </w:pPr>
            <w:r>
              <w:rPr>
                <w:rFonts w:ascii="Calibri" w:hAnsi="Calibri" w:cs="Calibri"/>
                <w:color w:val="000000"/>
                <w:sz w:val="18"/>
                <w:szCs w:val="18"/>
              </w:rPr>
              <w:t>Private investors</w:t>
            </w:r>
          </w:p>
        </w:tc>
        <w:tc>
          <w:tcPr>
            <w:tcW w:w="637" w:type="pct"/>
          </w:tcPr>
          <w:p w14:paraId="09517B71" w14:textId="77777777" w:rsidR="00EC3985" w:rsidRDefault="00EC3985" w:rsidP="003E223D">
            <w:pPr>
              <w:rPr>
                <w:rFonts w:ascii="Calibri" w:hAnsi="Calibri" w:cs="Calibri"/>
                <w:sz w:val="18"/>
                <w:szCs w:val="18"/>
              </w:rPr>
            </w:pPr>
            <w:r>
              <w:rPr>
                <w:rFonts w:ascii="Calibri" w:hAnsi="Calibri" w:cs="Calibri"/>
                <w:sz w:val="18"/>
                <w:szCs w:val="18"/>
              </w:rPr>
              <w:t>Solar / Germany, Italy &amp; Switzerland</w:t>
            </w:r>
          </w:p>
        </w:tc>
      </w:tr>
      <w:tr w:rsidR="00EC3985" w:rsidRPr="00FD1232" w14:paraId="2B853BB7" w14:textId="77777777" w:rsidTr="003E223D">
        <w:trPr>
          <w:trHeight w:val="222"/>
          <w:jc w:val="center"/>
        </w:trPr>
        <w:tc>
          <w:tcPr>
            <w:tcW w:w="980" w:type="pct"/>
          </w:tcPr>
          <w:p w14:paraId="19B0AE98" w14:textId="77777777" w:rsidR="00EC3985" w:rsidRPr="006F1E33" w:rsidRDefault="00EC3985" w:rsidP="003E223D">
            <w:pPr>
              <w:rPr>
                <w:rFonts w:ascii="Calibri" w:hAnsi="Calibri" w:cs="Calibri"/>
                <w:sz w:val="18"/>
                <w:szCs w:val="18"/>
              </w:rPr>
            </w:pPr>
            <w:r w:rsidRPr="006F1E33">
              <w:rPr>
                <w:rFonts w:ascii="Calibri" w:hAnsi="Calibri" w:cs="Calibri"/>
                <w:color w:val="222222"/>
                <w:sz w:val="18"/>
                <w:szCs w:val="18"/>
                <w:lang w:val="de-CH"/>
              </w:rPr>
              <w:t>Ländner et al. (2019)</w:t>
            </w:r>
          </w:p>
        </w:tc>
        <w:tc>
          <w:tcPr>
            <w:tcW w:w="883" w:type="pct"/>
          </w:tcPr>
          <w:p w14:paraId="2A26CD78" w14:textId="77777777" w:rsidR="00EC3985" w:rsidRDefault="00EC3985" w:rsidP="003E223D">
            <w:pPr>
              <w:rPr>
                <w:rFonts w:ascii="Calibri" w:hAnsi="Calibri" w:cs="Calibri"/>
                <w:sz w:val="18"/>
                <w:szCs w:val="18"/>
              </w:rPr>
            </w:pPr>
            <w:r>
              <w:rPr>
                <w:rFonts w:ascii="Calibri" w:hAnsi="Calibri" w:cs="Calibri"/>
                <w:sz w:val="18"/>
                <w:szCs w:val="18"/>
              </w:rPr>
              <w:t>1;2</w:t>
            </w:r>
          </w:p>
        </w:tc>
        <w:tc>
          <w:tcPr>
            <w:tcW w:w="2079" w:type="pct"/>
          </w:tcPr>
          <w:p w14:paraId="2DA53CAD" w14:textId="77777777" w:rsidR="00EC3985" w:rsidRPr="00955C0E" w:rsidRDefault="00EC3985" w:rsidP="003E223D">
            <w:pPr>
              <w:rPr>
                <w:rFonts w:ascii="Calibri" w:hAnsi="Calibri" w:cs="Calibri"/>
                <w:color w:val="000000" w:themeColor="text1"/>
                <w:sz w:val="18"/>
                <w:szCs w:val="18"/>
              </w:rPr>
            </w:pPr>
            <w:r w:rsidRPr="00955C0E">
              <w:rPr>
                <w:rFonts w:ascii="Calibri" w:eastAsia="CharisSIL" w:hAnsi="Calibri" w:cs="Calibri"/>
                <w:color w:val="000000" w:themeColor="text1"/>
                <w:sz w:val="18"/>
                <w:szCs w:val="18"/>
              </w:rPr>
              <w:t>Literature overview</w:t>
            </w:r>
          </w:p>
        </w:tc>
        <w:tc>
          <w:tcPr>
            <w:tcW w:w="421" w:type="pct"/>
          </w:tcPr>
          <w:p w14:paraId="371588A6"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Not specified</w:t>
            </w:r>
          </w:p>
        </w:tc>
        <w:tc>
          <w:tcPr>
            <w:tcW w:w="637" w:type="pct"/>
          </w:tcPr>
          <w:p w14:paraId="50280CF0" w14:textId="77777777" w:rsidR="00EC3985" w:rsidRDefault="00EC3985" w:rsidP="003E223D">
            <w:pPr>
              <w:rPr>
                <w:rFonts w:ascii="Calibri" w:hAnsi="Calibri" w:cs="Calibri"/>
                <w:sz w:val="18"/>
                <w:szCs w:val="18"/>
              </w:rPr>
            </w:pPr>
            <w:r>
              <w:rPr>
                <w:rFonts w:ascii="Calibri" w:hAnsi="Calibri" w:cs="Calibri"/>
                <w:sz w:val="18"/>
                <w:szCs w:val="18"/>
              </w:rPr>
              <w:t>All renewables / EU</w:t>
            </w:r>
          </w:p>
        </w:tc>
      </w:tr>
      <w:tr w:rsidR="00EC3985" w:rsidRPr="00FD1232" w14:paraId="54F03C34" w14:textId="77777777" w:rsidTr="003E223D">
        <w:trPr>
          <w:trHeight w:val="222"/>
          <w:jc w:val="center"/>
        </w:trPr>
        <w:tc>
          <w:tcPr>
            <w:tcW w:w="980" w:type="pct"/>
          </w:tcPr>
          <w:p w14:paraId="31509DDE" w14:textId="77777777" w:rsidR="00EC3985" w:rsidRPr="006F1E33" w:rsidRDefault="00EC3985" w:rsidP="003E223D">
            <w:pPr>
              <w:rPr>
                <w:rFonts w:ascii="Calibri" w:hAnsi="Calibri" w:cs="Calibri"/>
                <w:sz w:val="18"/>
                <w:szCs w:val="18"/>
              </w:rPr>
            </w:pPr>
            <w:proofErr w:type="spellStart"/>
            <w:r w:rsidRPr="006F1E33">
              <w:rPr>
                <w:rFonts w:ascii="Calibri" w:hAnsi="Calibri" w:cs="Calibri"/>
                <w:sz w:val="18"/>
                <w:szCs w:val="18"/>
              </w:rPr>
              <w:lastRenderedPageBreak/>
              <w:t>Linnerud</w:t>
            </w:r>
            <w:proofErr w:type="spellEnd"/>
            <w:r w:rsidRPr="006F1E33">
              <w:rPr>
                <w:rFonts w:ascii="Calibri" w:hAnsi="Calibri" w:cs="Calibri"/>
                <w:sz w:val="18"/>
                <w:szCs w:val="18"/>
              </w:rPr>
              <w:t xml:space="preserve"> &amp; </w:t>
            </w:r>
            <w:proofErr w:type="spellStart"/>
            <w:r w:rsidRPr="006F1E33">
              <w:rPr>
                <w:rFonts w:ascii="Calibri" w:hAnsi="Calibri" w:cs="Calibri"/>
                <w:sz w:val="18"/>
                <w:szCs w:val="18"/>
              </w:rPr>
              <w:t>Simonsen</w:t>
            </w:r>
            <w:proofErr w:type="spellEnd"/>
            <w:r w:rsidRPr="006F1E33">
              <w:rPr>
                <w:rFonts w:ascii="Calibri" w:hAnsi="Calibri" w:cs="Calibri"/>
                <w:sz w:val="18"/>
                <w:szCs w:val="18"/>
              </w:rPr>
              <w:t xml:space="preserve"> (2017)</w:t>
            </w:r>
          </w:p>
        </w:tc>
        <w:tc>
          <w:tcPr>
            <w:tcW w:w="883" w:type="pct"/>
          </w:tcPr>
          <w:p w14:paraId="7CC524F0" w14:textId="77777777" w:rsidR="00EC3985" w:rsidRDefault="00EC3985" w:rsidP="003E223D">
            <w:pPr>
              <w:rPr>
                <w:rFonts w:ascii="Calibri" w:hAnsi="Calibri" w:cs="Calibri"/>
                <w:sz w:val="18"/>
                <w:szCs w:val="18"/>
              </w:rPr>
            </w:pPr>
            <w:r>
              <w:rPr>
                <w:rFonts w:ascii="Calibri" w:hAnsi="Calibri" w:cs="Calibri"/>
                <w:sz w:val="18"/>
                <w:szCs w:val="18"/>
              </w:rPr>
              <w:t>2</w:t>
            </w:r>
          </w:p>
        </w:tc>
        <w:tc>
          <w:tcPr>
            <w:tcW w:w="2079" w:type="pct"/>
          </w:tcPr>
          <w:p w14:paraId="3226FC7B" w14:textId="77777777" w:rsidR="00EC3985" w:rsidRDefault="00EC3985" w:rsidP="003E223D">
            <w:pPr>
              <w:rPr>
                <w:rFonts w:ascii="Calibri" w:hAnsi="Calibri" w:cs="Calibri"/>
                <w:sz w:val="18"/>
                <w:szCs w:val="18"/>
              </w:rPr>
            </w:pPr>
            <w:r>
              <w:rPr>
                <w:rFonts w:ascii="Calibri" w:hAnsi="Calibri" w:cs="Calibri"/>
                <w:sz w:val="18"/>
                <w:szCs w:val="18"/>
              </w:rPr>
              <w:t xml:space="preserve">Real-option model based on interviews with 204 investors (project developers) covering 280 single hydropower projects with a total planned annual production of 8.2 </w:t>
            </w:r>
            <w:proofErr w:type="spellStart"/>
            <w:r>
              <w:rPr>
                <w:rFonts w:ascii="Calibri" w:hAnsi="Calibri" w:cs="Calibri"/>
                <w:sz w:val="18"/>
                <w:szCs w:val="18"/>
              </w:rPr>
              <w:t>TWh</w:t>
            </w:r>
            <w:proofErr w:type="spellEnd"/>
            <w:r>
              <w:rPr>
                <w:rFonts w:ascii="Calibri" w:hAnsi="Calibri" w:cs="Calibri"/>
                <w:sz w:val="18"/>
                <w:szCs w:val="18"/>
              </w:rPr>
              <w:t xml:space="preserve">. We apply econometric techniques on primary data collected in two surveys of Norwegian investors in hydropower, and we use real options theory to predict and interpret investors' responses. </w:t>
            </w:r>
          </w:p>
        </w:tc>
        <w:tc>
          <w:tcPr>
            <w:tcW w:w="421" w:type="pct"/>
          </w:tcPr>
          <w:p w14:paraId="1CB0C6BD" w14:textId="77777777" w:rsidR="00EC3985" w:rsidRDefault="00EC3985" w:rsidP="003E223D">
            <w:pPr>
              <w:rPr>
                <w:rFonts w:ascii="Calibri" w:hAnsi="Calibri" w:cs="Calibri"/>
                <w:sz w:val="18"/>
                <w:szCs w:val="18"/>
              </w:rPr>
            </w:pPr>
            <w:r>
              <w:rPr>
                <w:rFonts w:ascii="Calibri" w:hAnsi="Calibri" w:cs="Calibri"/>
                <w:sz w:val="18"/>
                <w:szCs w:val="18"/>
              </w:rPr>
              <w:t>Project developers</w:t>
            </w:r>
          </w:p>
        </w:tc>
        <w:tc>
          <w:tcPr>
            <w:tcW w:w="637" w:type="pct"/>
          </w:tcPr>
          <w:p w14:paraId="44C50226" w14:textId="77777777" w:rsidR="00EC3985" w:rsidRDefault="00EC3985" w:rsidP="003E223D">
            <w:pPr>
              <w:rPr>
                <w:rFonts w:ascii="Calibri" w:hAnsi="Calibri" w:cs="Calibri"/>
                <w:sz w:val="18"/>
                <w:szCs w:val="18"/>
              </w:rPr>
            </w:pPr>
            <w:r>
              <w:rPr>
                <w:rFonts w:ascii="Calibri" w:hAnsi="Calibri" w:cs="Calibri"/>
                <w:sz w:val="18"/>
                <w:szCs w:val="18"/>
              </w:rPr>
              <w:t>Hydropower / Norway</w:t>
            </w:r>
          </w:p>
        </w:tc>
      </w:tr>
      <w:tr w:rsidR="00EC3985" w:rsidRPr="00FD1232" w14:paraId="466251E6" w14:textId="77777777" w:rsidTr="003E223D">
        <w:trPr>
          <w:trHeight w:val="222"/>
          <w:jc w:val="center"/>
        </w:trPr>
        <w:tc>
          <w:tcPr>
            <w:tcW w:w="980" w:type="pct"/>
          </w:tcPr>
          <w:p w14:paraId="1F426CE9" w14:textId="77777777" w:rsidR="00EC3985" w:rsidRDefault="00EC3985" w:rsidP="003E223D">
            <w:pPr>
              <w:rPr>
                <w:rFonts w:ascii="Calibri" w:hAnsi="Calibri" w:cs="Calibri"/>
                <w:sz w:val="18"/>
                <w:szCs w:val="18"/>
              </w:rPr>
            </w:pPr>
            <w:proofErr w:type="spellStart"/>
            <w:r>
              <w:rPr>
                <w:rFonts w:ascii="Calibri" w:hAnsi="Calibri" w:cs="Calibri"/>
                <w:sz w:val="18"/>
                <w:szCs w:val="18"/>
              </w:rPr>
              <w:t>Linnerud</w:t>
            </w:r>
            <w:proofErr w:type="spellEnd"/>
            <w:r>
              <w:rPr>
                <w:rFonts w:ascii="Calibri" w:hAnsi="Calibri" w:cs="Calibri"/>
                <w:sz w:val="18"/>
                <w:szCs w:val="18"/>
              </w:rPr>
              <w:t xml:space="preserve"> et al. (2014)</w:t>
            </w:r>
          </w:p>
        </w:tc>
        <w:tc>
          <w:tcPr>
            <w:tcW w:w="883" w:type="pct"/>
          </w:tcPr>
          <w:p w14:paraId="5258EE33" w14:textId="77777777" w:rsidR="00EC3985" w:rsidRDefault="00EC3985" w:rsidP="003E223D">
            <w:pPr>
              <w:rPr>
                <w:rFonts w:ascii="Calibri" w:hAnsi="Calibri" w:cs="Calibri"/>
                <w:sz w:val="18"/>
                <w:szCs w:val="18"/>
              </w:rPr>
            </w:pPr>
            <w:r>
              <w:rPr>
                <w:rFonts w:ascii="Calibri" w:hAnsi="Calibri" w:cs="Calibri"/>
                <w:sz w:val="18"/>
                <w:szCs w:val="18"/>
              </w:rPr>
              <w:t>2</w:t>
            </w:r>
          </w:p>
        </w:tc>
        <w:tc>
          <w:tcPr>
            <w:tcW w:w="2079" w:type="pct"/>
          </w:tcPr>
          <w:p w14:paraId="38B70646" w14:textId="77777777" w:rsidR="00EC3985" w:rsidRDefault="00EC3985" w:rsidP="003E223D">
            <w:pPr>
              <w:rPr>
                <w:rFonts w:ascii="Calibri" w:hAnsi="Calibri" w:cs="Calibri"/>
                <w:sz w:val="18"/>
                <w:szCs w:val="18"/>
              </w:rPr>
            </w:pPr>
            <w:r>
              <w:rPr>
                <w:rFonts w:ascii="Calibri" w:hAnsi="Calibri" w:cs="Calibri"/>
                <w:sz w:val="18"/>
                <w:szCs w:val="18"/>
              </w:rPr>
              <w:t xml:space="preserve">Real options theory is tested based on panel data of 214 licenses to construct small hydropower plants. That is, it has been empirically tested whether the predictions for investment timing given by real options investment holds. Additionally, the authors interviewed the owners of 179 of the 214 licenses to determine the year of the investment decision, the expected investment outlay, capacity, and production level </w:t>
            </w:r>
            <w:proofErr w:type="gramStart"/>
            <w:r>
              <w:rPr>
                <w:rFonts w:ascii="Calibri" w:hAnsi="Calibri" w:cs="Calibri"/>
                <w:sz w:val="18"/>
                <w:szCs w:val="18"/>
              </w:rPr>
              <w:t>at this point in time</w:t>
            </w:r>
            <w:proofErr w:type="gramEnd"/>
            <w:r>
              <w:rPr>
                <w:rFonts w:ascii="Calibri" w:hAnsi="Calibri" w:cs="Calibri"/>
                <w:sz w:val="18"/>
                <w:szCs w:val="18"/>
              </w:rPr>
              <w:t xml:space="preserve"> and to check whether the investment was delayed for non-economic reasons not included in the regulator's database. </w:t>
            </w:r>
          </w:p>
        </w:tc>
        <w:tc>
          <w:tcPr>
            <w:tcW w:w="421" w:type="pct"/>
          </w:tcPr>
          <w:p w14:paraId="60788CE9" w14:textId="77777777" w:rsidR="00EC3985" w:rsidRDefault="00EC3985" w:rsidP="003E223D">
            <w:pPr>
              <w:rPr>
                <w:rFonts w:ascii="Calibri" w:hAnsi="Calibri" w:cs="Calibri"/>
                <w:sz w:val="18"/>
                <w:szCs w:val="18"/>
              </w:rPr>
            </w:pPr>
            <w:r>
              <w:rPr>
                <w:rFonts w:ascii="Calibri" w:hAnsi="Calibri" w:cs="Calibri"/>
                <w:sz w:val="18"/>
                <w:szCs w:val="18"/>
              </w:rPr>
              <w:t xml:space="preserve">Traditional utilities and other professional investors in the energy market </w:t>
            </w:r>
          </w:p>
        </w:tc>
        <w:tc>
          <w:tcPr>
            <w:tcW w:w="637" w:type="pct"/>
          </w:tcPr>
          <w:p w14:paraId="0BC2AC8D" w14:textId="77777777" w:rsidR="00EC3985" w:rsidRDefault="00EC3985" w:rsidP="003E223D">
            <w:pPr>
              <w:rPr>
                <w:rFonts w:ascii="Calibri" w:hAnsi="Calibri" w:cs="Calibri"/>
                <w:sz w:val="18"/>
                <w:szCs w:val="18"/>
              </w:rPr>
            </w:pPr>
            <w:r>
              <w:rPr>
                <w:rFonts w:ascii="Calibri" w:hAnsi="Calibri" w:cs="Calibri"/>
                <w:sz w:val="18"/>
                <w:szCs w:val="18"/>
              </w:rPr>
              <w:t>Hydropower / Norway</w:t>
            </w:r>
          </w:p>
        </w:tc>
      </w:tr>
      <w:tr w:rsidR="00EC3985" w:rsidRPr="00FD1232" w14:paraId="2F495C33" w14:textId="77777777" w:rsidTr="003E223D">
        <w:trPr>
          <w:trHeight w:val="222"/>
          <w:jc w:val="center"/>
        </w:trPr>
        <w:tc>
          <w:tcPr>
            <w:tcW w:w="980" w:type="pct"/>
          </w:tcPr>
          <w:p w14:paraId="44ECB2A1" w14:textId="77777777" w:rsidR="00EC3985" w:rsidRDefault="00EC3985" w:rsidP="003E223D">
            <w:pPr>
              <w:rPr>
                <w:rFonts w:ascii="Calibri" w:hAnsi="Calibri" w:cs="Calibri"/>
                <w:sz w:val="18"/>
                <w:szCs w:val="18"/>
              </w:rPr>
            </w:pPr>
            <w:proofErr w:type="spellStart"/>
            <w:r>
              <w:rPr>
                <w:rFonts w:ascii="Calibri" w:hAnsi="Calibri" w:cs="Calibri"/>
                <w:sz w:val="18"/>
                <w:szCs w:val="18"/>
              </w:rPr>
              <w:t>Mazzucato</w:t>
            </w:r>
            <w:proofErr w:type="spellEnd"/>
            <w:r>
              <w:rPr>
                <w:rFonts w:ascii="Calibri" w:hAnsi="Calibri" w:cs="Calibri"/>
                <w:sz w:val="18"/>
                <w:szCs w:val="18"/>
              </w:rPr>
              <w:t xml:space="preserve"> &amp; </w:t>
            </w:r>
            <w:proofErr w:type="spellStart"/>
            <w:r>
              <w:rPr>
                <w:rFonts w:ascii="Calibri" w:hAnsi="Calibri" w:cs="Calibri"/>
                <w:sz w:val="18"/>
                <w:szCs w:val="18"/>
              </w:rPr>
              <w:t>Semieniuk</w:t>
            </w:r>
            <w:proofErr w:type="spellEnd"/>
            <w:r>
              <w:rPr>
                <w:rFonts w:ascii="Calibri" w:hAnsi="Calibri" w:cs="Calibri"/>
                <w:sz w:val="18"/>
                <w:szCs w:val="18"/>
              </w:rPr>
              <w:t xml:space="preserve"> (2018)</w:t>
            </w:r>
          </w:p>
        </w:tc>
        <w:tc>
          <w:tcPr>
            <w:tcW w:w="883" w:type="pct"/>
          </w:tcPr>
          <w:p w14:paraId="478DAEAB" w14:textId="77777777" w:rsidR="00EC3985" w:rsidRDefault="00EC3985" w:rsidP="003E223D">
            <w:pPr>
              <w:rPr>
                <w:rFonts w:ascii="Calibri" w:hAnsi="Calibri" w:cs="Calibri"/>
                <w:sz w:val="18"/>
                <w:szCs w:val="18"/>
              </w:rPr>
            </w:pPr>
            <w:r>
              <w:rPr>
                <w:rFonts w:ascii="Calibri" w:hAnsi="Calibri" w:cs="Calibri"/>
                <w:sz w:val="18"/>
                <w:szCs w:val="18"/>
              </w:rPr>
              <w:t>7</w:t>
            </w:r>
          </w:p>
        </w:tc>
        <w:tc>
          <w:tcPr>
            <w:tcW w:w="2079" w:type="pct"/>
          </w:tcPr>
          <w:p w14:paraId="2172AA58" w14:textId="77777777" w:rsidR="00EC3985" w:rsidRDefault="00EC3985" w:rsidP="003E223D">
            <w:pPr>
              <w:rPr>
                <w:rFonts w:ascii="Calibri" w:hAnsi="Calibri" w:cs="Calibri"/>
                <w:sz w:val="18"/>
                <w:szCs w:val="18"/>
              </w:rPr>
            </w:pPr>
            <w:r>
              <w:rPr>
                <w:rFonts w:ascii="Calibri" w:hAnsi="Calibri" w:cs="Calibri"/>
                <w:sz w:val="18"/>
                <w:szCs w:val="18"/>
              </w:rPr>
              <w:t xml:space="preserve">The analysis </w:t>
            </w:r>
            <w:proofErr w:type="gramStart"/>
            <w:r>
              <w:rPr>
                <w:rFonts w:ascii="Calibri" w:hAnsi="Calibri" w:cs="Calibri"/>
                <w:sz w:val="18"/>
                <w:szCs w:val="18"/>
              </w:rPr>
              <w:t>is based</w:t>
            </w:r>
            <w:proofErr w:type="gramEnd"/>
            <w:r>
              <w:rPr>
                <w:rFonts w:ascii="Calibri" w:hAnsi="Calibri" w:cs="Calibri"/>
                <w:sz w:val="18"/>
                <w:szCs w:val="18"/>
              </w:rPr>
              <w:t xml:space="preserve"> on data from the BNEF database of deal-level global RE asset finance, from 2004 to 2014, as well as aggregate BNEF data on public banks. </w:t>
            </w:r>
          </w:p>
        </w:tc>
        <w:tc>
          <w:tcPr>
            <w:tcW w:w="421" w:type="pct"/>
          </w:tcPr>
          <w:p w14:paraId="46FDABBD" w14:textId="77777777" w:rsidR="00EC3985" w:rsidRDefault="00EC3985" w:rsidP="003E223D">
            <w:pPr>
              <w:rPr>
                <w:rFonts w:ascii="Calibri" w:hAnsi="Calibri" w:cs="Calibri"/>
                <w:sz w:val="18"/>
                <w:szCs w:val="18"/>
              </w:rPr>
            </w:pPr>
            <w:r>
              <w:rPr>
                <w:rFonts w:ascii="Calibri" w:hAnsi="Calibri" w:cs="Calibri"/>
                <w:sz w:val="18"/>
                <w:szCs w:val="18"/>
              </w:rPr>
              <w:t>Different investors are considered, including: energy firms, private utilities, commercial banks, institutional investors, charities/foundations, public investors (e.g. state banks)</w:t>
            </w:r>
          </w:p>
        </w:tc>
        <w:tc>
          <w:tcPr>
            <w:tcW w:w="637" w:type="pct"/>
          </w:tcPr>
          <w:p w14:paraId="0CB24D3A" w14:textId="77777777" w:rsidR="00EC3985" w:rsidRDefault="00EC3985" w:rsidP="003E223D">
            <w:pPr>
              <w:rPr>
                <w:rFonts w:ascii="Calibri" w:hAnsi="Calibri" w:cs="Calibri"/>
                <w:sz w:val="18"/>
                <w:szCs w:val="18"/>
              </w:rPr>
            </w:pPr>
            <w:r>
              <w:rPr>
                <w:rFonts w:ascii="Calibri" w:hAnsi="Calibri" w:cs="Calibri"/>
                <w:sz w:val="18"/>
                <w:szCs w:val="18"/>
              </w:rPr>
              <w:t>All renewables</w:t>
            </w:r>
            <w:r w:rsidRPr="00C03258">
              <w:rPr>
                <w:rFonts w:ascii="Calibri" w:hAnsi="Calibri" w:cs="Calibri"/>
                <w:sz w:val="18"/>
                <w:szCs w:val="18"/>
              </w:rPr>
              <w:t xml:space="preserve"> </w:t>
            </w:r>
            <w:r>
              <w:rPr>
                <w:rFonts w:ascii="Calibri" w:hAnsi="Calibri" w:cs="Calibri"/>
                <w:sz w:val="18"/>
                <w:szCs w:val="18"/>
              </w:rPr>
              <w:t>/ Global</w:t>
            </w:r>
          </w:p>
        </w:tc>
      </w:tr>
      <w:tr w:rsidR="00EC3985" w:rsidRPr="00FD1232" w14:paraId="68457F23" w14:textId="77777777" w:rsidTr="003E223D">
        <w:trPr>
          <w:trHeight w:val="222"/>
          <w:jc w:val="center"/>
        </w:trPr>
        <w:tc>
          <w:tcPr>
            <w:tcW w:w="980" w:type="pct"/>
          </w:tcPr>
          <w:p w14:paraId="2C62D7DC" w14:textId="77777777" w:rsidR="00EC3985" w:rsidRDefault="00EC3985" w:rsidP="003E223D">
            <w:pPr>
              <w:rPr>
                <w:rFonts w:ascii="Calibri" w:hAnsi="Calibri" w:cs="Calibri"/>
                <w:sz w:val="18"/>
                <w:szCs w:val="18"/>
              </w:rPr>
            </w:pPr>
            <w:r>
              <w:rPr>
                <w:rFonts w:ascii="Calibri" w:hAnsi="Calibri" w:cs="Calibri"/>
                <w:sz w:val="18"/>
                <w:szCs w:val="18"/>
              </w:rPr>
              <w:t>Nelson et al. (2013)</w:t>
            </w:r>
          </w:p>
        </w:tc>
        <w:tc>
          <w:tcPr>
            <w:tcW w:w="883" w:type="pct"/>
          </w:tcPr>
          <w:p w14:paraId="66FFE9C3" w14:textId="77777777" w:rsidR="00EC3985" w:rsidRDefault="00EC3985" w:rsidP="003E223D">
            <w:pPr>
              <w:rPr>
                <w:rFonts w:ascii="Calibri" w:hAnsi="Calibri" w:cs="Calibri"/>
                <w:sz w:val="18"/>
                <w:szCs w:val="18"/>
              </w:rPr>
            </w:pPr>
            <w:r>
              <w:rPr>
                <w:rFonts w:ascii="Calibri" w:hAnsi="Calibri" w:cs="Calibri"/>
                <w:sz w:val="18"/>
                <w:szCs w:val="18"/>
              </w:rPr>
              <w:t>2</w:t>
            </w:r>
          </w:p>
        </w:tc>
        <w:tc>
          <w:tcPr>
            <w:tcW w:w="2079" w:type="pct"/>
          </w:tcPr>
          <w:p w14:paraId="02B7CBB0" w14:textId="77777777" w:rsidR="00EC3985" w:rsidRDefault="00EC3985" w:rsidP="003E223D">
            <w:pPr>
              <w:rPr>
                <w:rFonts w:ascii="Calibri" w:hAnsi="Calibri" w:cs="Calibri"/>
                <w:sz w:val="18"/>
                <w:szCs w:val="18"/>
              </w:rPr>
            </w:pPr>
            <w:r>
              <w:rPr>
                <w:rFonts w:ascii="Calibri" w:hAnsi="Calibri" w:cs="Calibri"/>
                <w:sz w:val="18"/>
                <w:szCs w:val="18"/>
              </w:rPr>
              <w:t xml:space="preserve">The study </w:t>
            </w:r>
            <w:proofErr w:type="gramStart"/>
            <w:r>
              <w:rPr>
                <w:rFonts w:ascii="Calibri" w:hAnsi="Calibri" w:cs="Calibri"/>
                <w:sz w:val="18"/>
                <w:szCs w:val="18"/>
              </w:rPr>
              <w:t>is based</w:t>
            </w:r>
            <w:proofErr w:type="gramEnd"/>
            <w:r>
              <w:rPr>
                <w:rFonts w:ascii="Calibri" w:hAnsi="Calibri" w:cs="Calibri"/>
                <w:sz w:val="18"/>
                <w:szCs w:val="18"/>
              </w:rPr>
              <w:t xml:space="preserve"> on the evaluation of results of a survey of renewable electricity market participant views in relation to policy and pricing, and partial equilibrium analysis of electricity price impacts related to ongoing policy uncertainty. </w:t>
            </w:r>
          </w:p>
        </w:tc>
        <w:tc>
          <w:tcPr>
            <w:tcW w:w="421" w:type="pct"/>
          </w:tcPr>
          <w:p w14:paraId="600DDD5A" w14:textId="77777777" w:rsidR="00EC3985" w:rsidRDefault="00EC3985" w:rsidP="003E223D">
            <w:pPr>
              <w:rPr>
                <w:rFonts w:ascii="Calibri" w:hAnsi="Calibri" w:cs="Calibri"/>
                <w:sz w:val="18"/>
                <w:szCs w:val="18"/>
              </w:rPr>
            </w:pPr>
            <w:r>
              <w:rPr>
                <w:rFonts w:ascii="Calibri" w:hAnsi="Calibri" w:cs="Calibri"/>
                <w:sz w:val="18"/>
                <w:szCs w:val="18"/>
              </w:rPr>
              <w:t>Private investors</w:t>
            </w:r>
          </w:p>
        </w:tc>
        <w:tc>
          <w:tcPr>
            <w:tcW w:w="637" w:type="pct"/>
          </w:tcPr>
          <w:p w14:paraId="0EF1AB4E" w14:textId="77777777" w:rsidR="00EC3985" w:rsidRDefault="00EC3985" w:rsidP="003E223D">
            <w:pPr>
              <w:rPr>
                <w:rFonts w:ascii="Calibri" w:hAnsi="Calibri" w:cs="Calibri"/>
                <w:sz w:val="18"/>
                <w:szCs w:val="18"/>
              </w:rPr>
            </w:pPr>
            <w:r>
              <w:rPr>
                <w:rFonts w:ascii="Calibri" w:hAnsi="Calibri" w:cs="Calibri"/>
                <w:sz w:val="18"/>
                <w:szCs w:val="18"/>
              </w:rPr>
              <w:t>All renewables</w:t>
            </w:r>
            <w:r w:rsidRPr="00C03258">
              <w:rPr>
                <w:rFonts w:ascii="Calibri" w:hAnsi="Calibri" w:cs="Calibri"/>
                <w:sz w:val="18"/>
                <w:szCs w:val="18"/>
              </w:rPr>
              <w:t xml:space="preserve"> </w:t>
            </w:r>
            <w:r>
              <w:rPr>
                <w:rFonts w:ascii="Calibri" w:hAnsi="Calibri" w:cs="Calibri"/>
                <w:sz w:val="18"/>
                <w:szCs w:val="18"/>
              </w:rPr>
              <w:t>/ Australia</w:t>
            </w:r>
          </w:p>
        </w:tc>
      </w:tr>
      <w:tr w:rsidR="00EC3985" w:rsidRPr="00FD1232" w14:paraId="7BFD06FD" w14:textId="77777777" w:rsidTr="003E223D">
        <w:trPr>
          <w:trHeight w:val="222"/>
          <w:jc w:val="center"/>
        </w:trPr>
        <w:tc>
          <w:tcPr>
            <w:tcW w:w="980" w:type="pct"/>
          </w:tcPr>
          <w:p w14:paraId="4D2B5D92" w14:textId="77777777" w:rsidR="00EC3985" w:rsidRDefault="00EC3985" w:rsidP="003E223D">
            <w:pPr>
              <w:rPr>
                <w:rFonts w:ascii="Calibri" w:hAnsi="Calibri" w:cs="Calibri"/>
                <w:sz w:val="18"/>
                <w:szCs w:val="18"/>
              </w:rPr>
            </w:pPr>
            <w:proofErr w:type="spellStart"/>
            <w:r>
              <w:rPr>
                <w:rFonts w:ascii="Calibri" w:hAnsi="Calibri" w:cs="Calibri"/>
                <w:sz w:val="18"/>
                <w:szCs w:val="18"/>
              </w:rPr>
              <w:t>Rezec</w:t>
            </w:r>
            <w:proofErr w:type="spellEnd"/>
            <w:r>
              <w:rPr>
                <w:rFonts w:ascii="Calibri" w:hAnsi="Calibri" w:cs="Calibri"/>
                <w:sz w:val="18"/>
                <w:szCs w:val="18"/>
              </w:rPr>
              <w:t xml:space="preserve"> &amp; </w:t>
            </w:r>
            <w:proofErr w:type="spellStart"/>
            <w:r>
              <w:rPr>
                <w:rFonts w:ascii="Calibri" w:hAnsi="Calibri" w:cs="Calibri"/>
                <w:sz w:val="18"/>
                <w:szCs w:val="18"/>
              </w:rPr>
              <w:t>Scholtens</w:t>
            </w:r>
            <w:proofErr w:type="spellEnd"/>
            <w:r>
              <w:rPr>
                <w:rFonts w:ascii="Calibri" w:hAnsi="Calibri" w:cs="Calibri"/>
                <w:sz w:val="18"/>
                <w:szCs w:val="18"/>
              </w:rPr>
              <w:t xml:space="preserve"> (2017)</w:t>
            </w:r>
          </w:p>
        </w:tc>
        <w:tc>
          <w:tcPr>
            <w:tcW w:w="883" w:type="pct"/>
          </w:tcPr>
          <w:p w14:paraId="13B18D8C" w14:textId="77777777" w:rsidR="00EC3985" w:rsidRDefault="00EC3985" w:rsidP="003E223D">
            <w:pPr>
              <w:rPr>
                <w:rFonts w:ascii="Calibri" w:hAnsi="Calibri" w:cs="Calibri"/>
                <w:sz w:val="18"/>
                <w:szCs w:val="18"/>
              </w:rPr>
            </w:pPr>
            <w:r>
              <w:rPr>
                <w:rFonts w:ascii="Calibri" w:hAnsi="Calibri" w:cs="Calibri"/>
                <w:sz w:val="18"/>
                <w:szCs w:val="18"/>
              </w:rPr>
              <w:t>5</w:t>
            </w:r>
          </w:p>
        </w:tc>
        <w:tc>
          <w:tcPr>
            <w:tcW w:w="2079" w:type="pct"/>
          </w:tcPr>
          <w:p w14:paraId="1D8FEFBB" w14:textId="77777777" w:rsidR="00EC3985" w:rsidRDefault="00EC3985" w:rsidP="003E223D">
            <w:pPr>
              <w:rPr>
                <w:rFonts w:ascii="Calibri" w:hAnsi="Calibri" w:cs="Calibri"/>
                <w:sz w:val="18"/>
                <w:szCs w:val="18"/>
              </w:rPr>
            </w:pPr>
            <w:r>
              <w:rPr>
                <w:rFonts w:ascii="Calibri" w:hAnsi="Calibri" w:cs="Calibri"/>
                <w:sz w:val="18"/>
                <w:szCs w:val="18"/>
              </w:rPr>
              <w:t>Quantitative analysis and qualitative assessment of the risk and return characteristics of the international renewable energy equity markets</w:t>
            </w:r>
          </w:p>
        </w:tc>
        <w:tc>
          <w:tcPr>
            <w:tcW w:w="421" w:type="pct"/>
          </w:tcPr>
          <w:p w14:paraId="35EC916E" w14:textId="77777777" w:rsidR="00EC3985" w:rsidRDefault="00EC3985" w:rsidP="003E223D">
            <w:pPr>
              <w:rPr>
                <w:rFonts w:ascii="Calibri" w:hAnsi="Calibri" w:cs="Calibri"/>
                <w:sz w:val="18"/>
                <w:szCs w:val="18"/>
              </w:rPr>
            </w:pPr>
            <w:r>
              <w:rPr>
                <w:rFonts w:ascii="Calibri" w:hAnsi="Calibri" w:cs="Calibri"/>
                <w:sz w:val="18"/>
                <w:szCs w:val="18"/>
              </w:rPr>
              <w:t>Financial market investors-such as pension funds, insurance companies, and mutual funds</w:t>
            </w:r>
          </w:p>
        </w:tc>
        <w:tc>
          <w:tcPr>
            <w:tcW w:w="637" w:type="pct"/>
          </w:tcPr>
          <w:p w14:paraId="4F940127" w14:textId="77777777" w:rsidR="00EC3985" w:rsidRDefault="00EC3985" w:rsidP="003E223D">
            <w:pPr>
              <w:rPr>
                <w:rFonts w:ascii="Calibri" w:hAnsi="Calibri" w:cs="Calibri"/>
                <w:sz w:val="18"/>
                <w:szCs w:val="18"/>
              </w:rPr>
            </w:pPr>
            <w:r>
              <w:rPr>
                <w:rFonts w:ascii="Calibri" w:hAnsi="Calibri" w:cs="Calibri"/>
                <w:sz w:val="18"/>
                <w:szCs w:val="18"/>
              </w:rPr>
              <w:t>All renewables</w:t>
            </w:r>
            <w:r w:rsidRPr="00C03258">
              <w:rPr>
                <w:rFonts w:ascii="Calibri" w:hAnsi="Calibri" w:cs="Calibri"/>
                <w:sz w:val="18"/>
                <w:szCs w:val="18"/>
              </w:rPr>
              <w:t xml:space="preserve"> </w:t>
            </w:r>
            <w:r>
              <w:rPr>
                <w:rFonts w:ascii="Calibri" w:hAnsi="Calibri" w:cs="Calibri"/>
                <w:sz w:val="18"/>
                <w:szCs w:val="18"/>
              </w:rPr>
              <w:t>/ EU</w:t>
            </w:r>
          </w:p>
        </w:tc>
      </w:tr>
      <w:tr w:rsidR="00EC3985" w:rsidRPr="00FD1232" w14:paraId="5CB9A648" w14:textId="77777777" w:rsidTr="003E223D">
        <w:trPr>
          <w:trHeight w:val="222"/>
          <w:jc w:val="center"/>
        </w:trPr>
        <w:tc>
          <w:tcPr>
            <w:tcW w:w="980" w:type="pct"/>
          </w:tcPr>
          <w:p w14:paraId="3501FF3D"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 xml:space="preserve">Romano &amp; </w:t>
            </w:r>
            <w:proofErr w:type="spellStart"/>
            <w:r>
              <w:rPr>
                <w:rFonts w:ascii="Calibri" w:hAnsi="Calibri" w:cs="Calibri"/>
                <w:color w:val="000000"/>
                <w:sz w:val="18"/>
                <w:szCs w:val="18"/>
              </w:rPr>
              <w:t>Fumagalli</w:t>
            </w:r>
            <w:proofErr w:type="spellEnd"/>
            <w:r>
              <w:rPr>
                <w:rFonts w:ascii="Calibri" w:hAnsi="Calibri" w:cs="Calibri"/>
                <w:color w:val="000000"/>
                <w:sz w:val="18"/>
                <w:szCs w:val="18"/>
              </w:rPr>
              <w:t xml:space="preserve"> (2018)</w:t>
            </w:r>
          </w:p>
        </w:tc>
        <w:tc>
          <w:tcPr>
            <w:tcW w:w="883" w:type="pct"/>
          </w:tcPr>
          <w:p w14:paraId="28A98D38"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 xml:space="preserve">2;15 (diverse sources of uncertainties e.g. volatility in </w:t>
            </w:r>
            <w:r>
              <w:rPr>
                <w:rFonts w:ascii="Calibri" w:hAnsi="Calibri" w:cs="Calibri"/>
                <w:color w:val="000000"/>
                <w:sz w:val="18"/>
                <w:szCs w:val="18"/>
              </w:rPr>
              <w:lastRenderedPageBreak/>
              <w:t>fuel and electricity prices; investment costs)</w:t>
            </w:r>
          </w:p>
        </w:tc>
        <w:tc>
          <w:tcPr>
            <w:tcW w:w="2079" w:type="pct"/>
          </w:tcPr>
          <w:p w14:paraId="0B9B70D1"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lastRenderedPageBreak/>
              <w:t>Survey of studies in the academic literature on this topic</w:t>
            </w:r>
          </w:p>
        </w:tc>
        <w:tc>
          <w:tcPr>
            <w:tcW w:w="421" w:type="pct"/>
          </w:tcPr>
          <w:p w14:paraId="6543C2BD"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7392AB11" w14:textId="77777777" w:rsidR="00EC3985" w:rsidRPr="00FC1D8A" w:rsidRDefault="00EC3985" w:rsidP="003E223D">
            <w:pPr>
              <w:rPr>
                <w:rFonts w:ascii="Calibri" w:hAnsi="Calibri" w:cs="Calibri"/>
                <w:sz w:val="18"/>
                <w:szCs w:val="18"/>
              </w:rPr>
            </w:pPr>
            <w:r>
              <w:rPr>
                <w:rFonts w:ascii="Calibri" w:hAnsi="Calibri" w:cs="Calibri"/>
                <w:sz w:val="18"/>
                <w:szCs w:val="18"/>
              </w:rPr>
              <w:t>All renewables</w:t>
            </w:r>
            <w:r w:rsidRPr="00C03258">
              <w:rPr>
                <w:rFonts w:ascii="Calibri" w:hAnsi="Calibri" w:cs="Calibri"/>
                <w:sz w:val="18"/>
                <w:szCs w:val="18"/>
              </w:rPr>
              <w:t xml:space="preserve"> </w:t>
            </w:r>
            <w:r>
              <w:rPr>
                <w:rFonts w:ascii="Calibri" w:hAnsi="Calibri" w:cs="Calibri"/>
                <w:sz w:val="18"/>
                <w:szCs w:val="18"/>
              </w:rPr>
              <w:t xml:space="preserve">/ </w:t>
            </w:r>
            <w:r>
              <w:rPr>
                <w:rFonts w:ascii="Calibri" w:hAnsi="Calibri" w:cs="Calibri"/>
                <w:color w:val="000000"/>
                <w:sz w:val="18"/>
                <w:szCs w:val="18"/>
              </w:rPr>
              <w:t>EU</w:t>
            </w:r>
          </w:p>
        </w:tc>
      </w:tr>
      <w:tr w:rsidR="00EC3985" w:rsidRPr="00FD1232" w14:paraId="017BCD33" w14:textId="77777777" w:rsidTr="003E223D">
        <w:trPr>
          <w:trHeight w:val="222"/>
          <w:jc w:val="center"/>
        </w:trPr>
        <w:tc>
          <w:tcPr>
            <w:tcW w:w="980" w:type="pct"/>
          </w:tcPr>
          <w:p w14:paraId="592D02C7"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Sick et al. (2013)</w:t>
            </w:r>
          </w:p>
        </w:tc>
        <w:tc>
          <w:tcPr>
            <w:tcW w:w="883" w:type="pct"/>
          </w:tcPr>
          <w:p w14:paraId="2ED07857"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15 (Raw material prices)</w:t>
            </w:r>
          </w:p>
        </w:tc>
        <w:tc>
          <w:tcPr>
            <w:tcW w:w="2079" w:type="pct"/>
          </w:tcPr>
          <w:p w14:paraId="0EA5789A" w14:textId="77777777" w:rsidR="00EC3985" w:rsidRDefault="00EC3985" w:rsidP="003E223D">
            <w:pPr>
              <w:rPr>
                <w:rFonts w:ascii="Calibri" w:hAnsi="Calibri" w:cs="Calibri"/>
                <w:color w:val="000000"/>
                <w:sz w:val="18"/>
                <w:szCs w:val="18"/>
              </w:rPr>
            </w:pPr>
            <w:r w:rsidRPr="00D76463">
              <w:rPr>
                <w:rFonts w:ascii="Calibri" w:hAnsi="Calibri" w:cs="Calibri"/>
                <w:color w:val="000000"/>
                <w:sz w:val="18"/>
                <w:szCs w:val="18"/>
              </w:rPr>
              <w:t>The authors develop a regression model to test the influence of raw material prices on RET diffusion, using investments in RET capacities as indicators of diffusion, and crude oil and natural gas prices as well as public R&amp;D subsidies as main independent variables. The model is then applied to emerging RET (wind and solar power) for electricity generation in 18 OECD-countries.</w:t>
            </w:r>
            <w:r>
              <w:rPr>
                <w:rFonts w:ascii="Calibri" w:hAnsi="Calibri" w:cs="Calibri"/>
                <w:color w:val="000000"/>
                <w:sz w:val="18"/>
                <w:szCs w:val="18"/>
              </w:rPr>
              <w:t xml:space="preserve"> </w:t>
            </w:r>
          </w:p>
        </w:tc>
        <w:tc>
          <w:tcPr>
            <w:tcW w:w="421" w:type="pct"/>
          </w:tcPr>
          <w:p w14:paraId="7D105AFF"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777FEB89"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Solar &amp; wind / OECD</w:t>
            </w:r>
          </w:p>
        </w:tc>
      </w:tr>
      <w:tr w:rsidR="00EC3985" w:rsidRPr="00FD1232" w14:paraId="2F41B16E" w14:textId="77777777" w:rsidTr="003E223D">
        <w:trPr>
          <w:trHeight w:val="222"/>
          <w:jc w:val="center"/>
        </w:trPr>
        <w:tc>
          <w:tcPr>
            <w:tcW w:w="980" w:type="pct"/>
          </w:tcPr>
          <w:p w14:paraId="057BDCB2" w14:textId="77777777" w:rsidR="00EC3985" w:rsidRPr="006F1E33" w:rsidRDefault="00EC3985" w:rsidP="003E223D">
            <w:pPr>
              <w:rPr>
                <w:rFonts w:ascii="Calibri" w:hAnsi="Calibri" w:cs="Calibri"/>
                <w:color w:val="000000"/>
                <w:sz w:val="18"/>
                <w:szCs w:val="18"/>
              </w:rPr>
            </w:pPr>
            <w:proofErr w:type="spellStart"/>
            <w:r w:rsidRPr="006F1E33">
              <w:rPr>
                <w:rFonts w:ascii="Calibri" w:hAnsi="Calibri" w:cs="Calibri"/>
                <w:color w:val="000000"/>
                <w:sz w:val="18"/>
                <w:szCs w:val="18"/>
              </w:rPr>
              <w:t>Sisodia</w:t>
            </w:r>
            <w:proofErr w:type="spellEnd"/>
            <w:r w:rsidRPr="006F1E33">
              <w:rPr>
                <w:rFonts w:ascii="Calibri" w:hAnsi="Calibri" w:cs="Calibri"/>
                <w:color w:val="000000"/>
                <w:sz w:val="18"/>
                <w:szCs w:val="18"/>
              </w:rPr>
              <w:t xml:space="preserve"> et al. (2016)</w:t>
            </w:r>
          </w:p>
        </w:tc>
        <w:tc>
          <w:tcPr>
            <w:tcW w:w="883" w:type="pct"/>
          </w:tcPr>
          <w:p w14:paraId="7BCE50DC"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2</w:t>
            </w:r>
          </w:p>
        </w:tc>
        <w:tc>
          <w:tcPr>
            <w:tcW w:w="2079" w:type="pct"/>
          </w:tcPr>
          <w:p w14:paraId="3500F61A" w14:textId="77777777" w:rsidR="00EC3985" w:rsidRDefault="00EC3985" w:rsidP="003E223D">
            <w:pPr>
              <w:rPr>
                <w:rFonts w:ascii="Calibri" w:hAnsi="Calibri" w:cs="Calibri"/>
                <w:color w:val="000000"/>
                <w:sz w:val="18"/>
                <w:szCs w:val="18"/>
              </w:rPr>
            </w:pPr>
            <w:r w:rsidRPr="008C4E7B">
              <w:rPr>
                <w:rFonts w:ascii="Calibri" w:hAnsi="Calibri" w:cs="Calibri"/>
                <w:color w:val="000000"/>
                <w:sz w:val="18"/>
                <w:szCs w:val="18"/>
              </w:rPr>
              <w:t xml:space="preserve">The study used a random effect panel data modelling approach over the period 1995-2011 for studying the impact of the </w:t>
            </w:r>
            <w:proofErr w:type="spellStart"/>
            <w:r w:rsidRPr="008C4E7B">
              <w:rPr>
                <w:rFonts w:ascii="Calibri" w:hAnsi="Calibri" w:cs="Calibri"/>
                <w:color w:val="000000"/>
                <w:sz w:val="18"/>
                <w:szCs w:val="18"/>
              </w:rPr>
              <w:t>levelized</w:t>
            </w:r>
            <w:proofErr w:type="spellEnd"/>
            <w:r w:rsidRPr="008C4E7B">
              <w:rPr>
                <w:rFonts w:ascii="Calibri" w:hAnsi="Calibri" w:cs="Calibri"/>
                <w:color w:val="000000"/>
                <w:sz w:val="18"/>
                <w:szCs w:val="18"/>
              </w:rPr>
              <w:t xml:space="preserve"> cost, regulation perception, carbon emissions and climatic condition on wind and solar investments over the three samples</w:t>
            </w:r>
            <w:r>
              <w:rPr>
                <w:rFonts w:ascii="Calibri" w:hAnsi="Calibri" w:cs="Calibri"/>
                <w:color w:val="000000"/>
                <w:sz w:val="18"/>
                <w:szCs w:val="18"/>
              </w:rPr>
              <w:t xml:space="preserve">. </w:t>
            </w:r>
          </w:p>
        </w:tc>
        <w:tc>
          <w:tcPr>
            <w:tcW w:w="421" w:type="pct"/>
          </w:tcPr>
          <w:p w14:paraId="00EE0683"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Private investors</w:t>
            </w:r>
          </w:p>
        </w:tc>
        <w:tc>
          <w:tcPr>
            <w:tcW w:w="637" w:type="pct"/>
          </w:tcPr>
          <w:p w14:paraId="467C7282"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Solar &amp; wind / EU</w:t>
            </w:r>
          </w:p>
        </w:tc>
      </w:tr>
      <w:tr w:rsidR="00EC3985" w:rsidRPr="00FD1232" w14:paraId="36F82B51" w14:textId="77777777" w:rsidTr="003E223D">
        <w:trPr>
          <w:trHeight w:val="222"/>
          <w:jc w:val="center"/>
        </w:trPr>
        <w:tc>
          <w:tcPr>
            <w:tcW w:w="980" w:type="pct"/>
          </w:tcPr>
          <w:p w14:paraId="0640A3DA" w14:textId="77777777" w:rsidR="00EC3985" w:rsidRPr="006F1E33" w:rsidRDefault="00EC3985" w:rsidP="003E223D">
            <w:pPr>
              <w:rPr>
                <w:rFonts w:ascii="Calibri" w:hAnsi="Calibri" w:cs="Calibri"/>
                <w:color w:val="222222"/>
                <w:sz w:val="18"/>
                <w:szCs w:val="18"/>
              </w:rPr>
            </w:pPr>
            <w:proofErr w:type="spellStart"/>
            <w:r w:rsidRPr="006F1E33">
              <w:rPr>
                <w:rFonts w:ascii="Calibri" w:hAnsi="Calibri" w:cs="Calibri"/>
                <w:color w:val="222222"/>
                <w:sz w:val="18"/>
                <w:szCs w:val="18"/>
              </w:rPr>
              <w:t>Steckel</w:t>
            </w:r>
            <w:proofErr w:type="spellEnd"/>
            <w:r w:rsidRPr="006F1E33">
              <w:rPr>
                <w:rFonts w:ascii="Calibri" w:hAnsi="Calibri" w:cs="Calibri"/>
                <w:color w:val="222222"/>
                <w:sz w:val="18"/>
                <w:szCs w:val="18"/>
              </w:rPr>
              <w:t xml:space="preserve"> &amp; Jacob (2018)</w:t>
            </w:r>
          </w:p>
        </w:tc>
        <w:tc>
          <w:tcPr>
            <w:tcW w:w="883" w:type="pct"/>
          </w:tcPr>
          <w:p w14:paraId="78DAA255"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4</w:t>
            </w:r>
          </w:p>
        </w:tc>
        <w:tc>
          <w:tcPr>
            <w:tcW w:w="2079" w:type="pct"/>
          </w:tcPr>
          <w:p w14:paraId="7692834C"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Literature overview</w:t>
            </w:r>
          </w:p>
        </w:tc>
        <w:tc>
          <w:tcPr>
            <w:tcW w:w="421" w:type="pct"/>
          </w:tcPr>
          <w:p w14:paraId="6DC3F484" w14:textId="77777777" w:rsidR="00EC3985" w:rsidRDefault="00EC3985" w:rsidP="003E223D">
            <w:pPr>
              <w:rPr>
                <w:rFonts w:ascii="Calibri" w:hAnsi="Calibri" w:cs="Calibri"/>
                <w:sz w:val="18"/>
                <w:szCs w:val="18"/>
              </w:rPr>
            </w:pPr>
            <w:r>
              <w:rPr>
                <w:rFonts w:ascii="Calibri" w:hAnsi="Calibri" w:cs="Calibri"/>
                <w:sz w:val="18"/>
                <w:szCs w:val="18"/>
              </w:rPr>
              <w:t>Not specified</w:t>
            </w:r>
          </w:p>
        </w:tc>
        <w:tc>
          <w:tcPr>
            <w:tcW w:w="637" w:type="pct"/>
          </w:tcPr>
          <w:p w14:paraId="11885A2D" w14:textId="77777777" w:rsidR="00EC3985" w:rsidRPr="00FC1D8A" w:rsidRDefault="00EC3985" w:rsidP="003E223D">
            <w:pPr>
              <w:rPr>
                <w:rFonts w:ascii="Calibri" w:hAnsi="Calibri" w:cs="Calibri"/>
                <w:sz w:val="18"/>
                <w:szCs w:val="18"/>
              </w:rPr>
            </w:pPr>
            <w:r>
              <w:rPr>
                <w:rFonts w:ascii="Calibri" w:hAnsi="Calibri" w:cs="Calibri"/>
                <w:sz w:val="18"/>
                <w:szCs w:val="18"/>
              </w:rPr>
              <w:t xml:space="preserve">All renewables / </w:t>
            </w:r>
            <w:r w:rsidRPr="00557C66">
              <w:rPr>
                <w:rFonts w:ascii="Calibri" w:hAnsi="Calibri" w:cs="Calibri"/>
                <w:color w:val="000000"/>
                <w:sz w:val="18"/>
                <w:szCs w:val="18"/>
              </w:rPr>
              <w:t>Global</w:t>
            </w:r>
          </w:p>
        </w:tc>
      </w:tr>
      <w:tr w:rsidR="00EC3985" w:rsidRPr="00FD1232" w14:paraId="7BE6E72A" w14:textId="77777777" w:rsidTr="003E223D">
        <w:trPr>
          <w:trHeight w:val="60"/>
          <w:jc w:val="center"/>
        </w:trPr>
        <w:tc>
          <w:tcPr>
            <w:tcW w:w="980" w:type="pct"/>
          </w:tcPr>
          <w:p w14:paraId="69A29A64" w14:textId="77777777" w:rsidR="00EC3985" w:rsidRPr="006F1E33" w:rsidRDefault="00EC3985" w:rsidP="003E223D">
            <w:pPr>
              <w:rPr>
                <w:rFonts w:ascii="Calibri" w:hAnsi="Calibri" w:cs="Calibri"/>
                <w:color w:val="000000"/>
                <w:sz w:val="18"/>
                <w:szCs w:val="18"/>
              </w:rPr>
            </w:pPr>
            <w:proofErr w:type="spellStart"/>
            <w:r w:rsidRPr="006F1E33">
              <w:rPr>
                <w:rFonts w:ascii="Calibri" w:hAnsi="Calibri" w:cs="Calibri"/>
                <w:color w:val="222222"/>
                <w:sz w:val="18"/>
                <w:szCs w:val="18"/>
              </w:rPr>
              <w:t>Szolgayová</w:t>
            </w:r>
            <w:proofErr w:type="spellEnd"/>
            <w:r w:rsidRPr="006F1E33">
              <w:rPr>
                <w:rFonts w:ascii="Calibri" w:hAnsi="Calibri" w:cs="Calibri"/>
                <w:color w:val="000000"/>
                <w:sz w:val="18"/>
                <w:szCs w:val="18"/>
              </w:rPr>
              <w:t xml:space="preserve"> et al. (2011)</w:t>
            </w:r>
          </w:p>
        </w:tc>
        <w:tc>
          <w:tcPr>
            <w:tcW w:w="883" w:type="pct"/>
          </w:tcPr>
          <w:p w14:paraId="1E09D19C"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2</w:t>
            </w:r>
          </w:p>
        </w:tc>
        <w:tc>
          <w:tcPr>
            <w:tcW w:w="2079" w:type="pct"/>
          </w:tcPr>
          <w:p w14:paraId="79BB1AFF" w14:textId="77777777" w:rsidR="00EC3985" w:rsidRDefault="00EC3985" w:rsidP="003E223D">
            <w:pPr>
              <w:rPr>
                <w:rFonts w:ascii="Calibri" w:hAnsi="Calibri" w:cs="Calibri"/>
                <w:color w:val="000000"/>
                <w:sz w:val="18"/>
                <w:szCs w:val="18"/>
              </w:rPr>
            </w:pPr>
            <w:r>
              <w:rPr>
                <w:rFonts w:ascii="Calibri" w:hAnsi="Calibri" w:cs="Calibri"/>
                <w:color w:val="000000"/>
                <w:sz w:val="18"/>
                <w:szCs w:val="18"/>
              </w:rPr>
              <w:t>This study applies</w:t>
            </w:r>
            <w:r w:rsidRPr="008C4E7B">
              <w:rPr>
                <w:rFonts w:ascii="Calibri" w:hAnsi="Calibri" w:cs="Calibri"/>
                <w:color w:val="000000"/>
                <w:sz w:val="18"/>
                <w:szCs w:val="18"/>
              </w:rPr>
              <w:t xml:space="preserve"> a real options model, thus considering uncertainty and irreversibility at the plant level, and use</w:t>
            </w:r>
            <w:r>
              <w:rPr>
                <w:rFonts w:ascii="Calibri" w:hAnsi="Calibri" w:cs="Calibri"/>
                <w:color w:val="000000"/>
                <w:sz w:val="18"/>
                <w:szCs w:val="18"/>
              </w:rPr>
              <w:t>s</w:t>
            </w:r>
            <w:r w:rsidRPr="008C4E7B">
              <w:rPr>
                <w:rFonts w:ascii="Calibri" w:hAnsi="Calibri" w:cs="Calibri"/>
                <w:color w:val="000000"/>
                <w:sz w:val="18"/>
                <w:szCs w:val="18"/>
              </w:rPr>
              <w:t xml:space="preserve"> </w:t>
            </w:r>
            <w:r>
              <w:rPr>
                <w:rFonts w:ascii="Calibri" w:hAnsi="Calibri" w:cs="Calibri"/>
                <w:color w:val="000000"/>
                <w:sz w:val="18"/>
                <w:szCs w:val="18"/>
              </w:rPr>
              <w:t>the results</w:t>
            </w:r>
            <w:r w:rsidRPr="008C4E7B">
              <w:rPr>
                <w:rFonts w:ascii="Calibri" w:hAnsi="Calibri" w:cs="Calibri"/>
                <w:color w:val="000000"/>
                <w:sz w:val="18"/>
                <w:szCs w:val="18"/>
              </w:rPr>
              <w:t xml:space="preserve"> in a dynamic portfolio model, where the Conditional Value-at-Risk (</w:t>
            </w:r>
            <w:proofErr w:type="spellStart"/>
            <w:r w:rsidRPr="008C4E7B">
              <w:rPr>
                <w:rFonts w:ascii="Calibri" w:hAnsi="Calibri" w:cs="Calibri"/>
                <w:color w:val="000000"/>
                <w:sz w:val="18"/>
                <w:szCs w:val="18"/>
              </w:rPr>
              <w:t>CVaR</w:t>
            </w:r>
            <w:proofErr w:type="spellEnd"/>
            <w:r w:rsidRPr="008C4E7B">
              <w:rPr>
                <w:rFonts w:ascii="Calibri" w:hAnsi="Calibri" w:cs="Calibri"/>
                <w:color w:val="000000"/>
                <w:sz w:val="18"/>
                <w:szCs w:val="18"/>
              </w:rPr>
              <w:t>) is the risk measure.</w:t>
            </w:r>
            <w:r>
              <w:rPr>
                <w:rFonts w:ascii="Calibri" w:hAnsi="Calibri" w:cs="Calibri"/>
                <w:color w:val="000000"/>
                <w:sz w:val="18"/>
                <w:szCs w:val="18"/>
              </w:rPr>
              <w:t xml:space="preserve"> </w:t>
            </w:r>
          </w:p>
        </w:tc>
        <w:tc>
          <w:tcPr>
            <w:tcW w:w="421" w:type="pct"/>
          </w:tcPr>
          <w:p w14:paraId="1A0793DD" w14:textId="77777777" w:rsidR="00EC3985" w:rsidRDefault="00EC3985" w:rsidP="003E223D">
            <w:pPr>
              <w:rPr>
                <w:rFonts w:ascii="Calibri" w:hAnsi="Calibri" w:cs="Calibri"/>
                <w:sz w:val="18"/>
                <w:szCs w:val="18"/>
              </w:rPr>
            </w:pPr>
            <w:r>
              <w:rPr>
                <w:rFonts w:ascii="Calibri" w:hAnsi="Calibri" w:cs="Calibri"/>
                <w:sz w:val="18"/>
                <w:szCs w:val="18"/>
              </w:rPr>
              <w:t>Private investors</w:t>
            </w:r>
          </w:p>
        </w:tc>
        <w:tc>
          <w:tcPr>
            <w:tcW w:w="637" w:type="pct"/>
          </w:tcPr>
          <w:p w14:paraId="2FC03611" w14:textId="77777777" w:rsidR="00EC3985" w:rsidRPr="00FC1D8A" w:rsidRDefault="00EC3985" w:rsidP="003E223D">
            <w:pPr>
              <w:rPr>
                <w:rFonts w:ascii="Calibri" w:hAnsi="Calibri" w:cs="Calibri"/>
                <w:sz w:val="18"/>
                <w:szCs w:val="18"/>
              </w:rPr>
            </w:pPr>
            <w:r>
              <w:rPr>
                <w:rFonts w:ascii="Calibri" w:hAnsi="Calibri" w:cs="Calibri"/>
                <w:sz w:val="18"/>
                <w:szCs w:val="18"/>
              </w:rPr>
              <w:t>All renewables</w:t>
            </w:r>
            <w:r w:rsidRPr="00C03258">
              <w:rPr>
                <w:rFonts w:ascii="Calibri" w:hAnsi="Calibri" w:cs="Calibri"/>
                <w:sz w:val="18"/>
                <w:szCs w:val="18"/>
              </w:rPr>
              <w:t xml:space="preserve"> </w:t>
            </w:r>
            <w:r>
              <w:rPr>
                <w:rFonts w:ascii="Calibri" w:hAnsi="Calibri" w:cs="Calibri"/>
                <w:sz w:val="18"/>
                <w:szCs w:val="18"/>
              </w:rPr>
              <w:t xml:space="preserve">/ </w:t>
            </w:r>
            <w:r>
              <w:rPr>
                <w:rFonts w:ascii="Calibri" w:hAnsi="Calibri" w:cs="Calibri"/>
                <w:color w:val="000000"/>
                <w:sz w:val="18"/>
                <w:szCs w:val="18"/>
              </w:rPr>
              <w:t>Not specified</w:t>
            </w:r>
          </w:p>
        </w:tc>
      </w:tr>
      <w:tr w:rsidR="00EC3985" w:rsidRPr="00FD1232" w14:paraId="2B25888A" w14:textId="77777777" w:rsidTr="003E223D">
        <w:trPr>
          <w:trHeight w:val="222"/>
          <w:jc w:val="center"/>
        </w:trPr>
        <w:tc>
          <w:tcPr>
            <w:tcW w:w="980" w:type="pct"/>
          </w:tcPr>
          <w:p w14:paraId="643F30EA" w14:textId="77777777" w:rsidR="00EC3985" w:rsidRPr="006F1E33" w:rsidRDefault="00EC3985" w:rsidP="003E223D">
            <w:pPr>
              <w:rPr>
                <w:rFonts w:ascii="Calibri" w:hAnsi="Calibri" w:cs="Calibri"/>
                <w:color w:val="000000"/>
                <w:sz w:val="18"/>
                <w:szCs w:val="18"/>
              </w:rPr>
            </w:pPr>
            <w:proofErr w:type="spellStart"/>
            <w:r w:rsidRPr="006F1E33">
              <w:rPr>
                <w:rFonts w:ascii="Calibri" w:hAnsi="Calibri" w:cs="Calibri"/>
                <w:color w:val="000000"/>
                <w:sz w:val="18"/>
                <w:szCs w:val="18"/>
              </w:rPr>
              <w:t>Zenghelis</w:t>
            </w:r>
            <w:proofErr w:type="spellEnd"/>
            <w:r w:rsidRPr="006F1E33">
              <w:rPr>
                <w:rFonts w:ascii="Calibri" w:hAnsi="Calibri" w:cs="Calibri"/>
                <w:color w:val="000000"/>
                <w:sz w:val="18"/>
                <w:szCs w:val="18"/>
              </w:rPr>
              <w:t xml:space="preserve"> (2014)</w:t>
            </w:r>
          </w:p>
        </w:tc>
        <w:tc>
          <w:tcPr>
            <w:tcW w:w="883" w:type="pct"/>
          </w:tcPr>
          <w:p w14:paraId="6744682F" w14:textId="77777777" w:rsidR="00EC3985" w:rsidRPr="00557C66" w:rsidRDefault="00EC3985" w:rsidP="003E223D">
            <w:pPr>
              <w:rPr>
                <w:rFonts w:ascii="Calibri" w:hAnsi="Calibri" w:cs="Calibri"/>
                <w:color w:val="000000"/>
                <w:sz w:val="18"/>
                <w:szCs w:val="18"/>
              </w:rPr>
            </w:pPr>
            <w:r w:rsidRPr="00557C66">
              <w:rPr>
                <w:rFonts w:ascii="Calibri" w:hAnsi="Calibri" w:cs="Calibri"/>
                <w:color w:val="000000"/>
                <w:sz w:val="18"/>
                <w:szCs w:val="18"/>
              </w:rPr>
              <w:t>2</w:t>
            </w:r>
          </w:p>
        </w:tc>
        <w:tc>
          <w:tcPr>
            <w:tcW w:w="2079" w:type="pct"/>
          </w:tcPr>
          <w:p w14:paraId="465DB17C" w14:textId="77777777" w:rsidR="00EC3985" w:rsidRPr="00557C66" w:rsidRDefault="00EC3985" w:rsidP="003E223D">
            <w:pPr>
              <w:rPr>
                <w:rFonts w:ascii="Calibri" w:hAnsi="Calibri" w:cs="Calibri"/>
                <w:color w:val="000000"/>
                <w:sz w:val="18"/>
                <w:szCs w:val="18"/>
              </w:rPr>
            </w:pPr>
            <w:r w:rsidRPr="00557C66">
              <w:rPr>
                <w:rFonts w:ascii="Calibri" w:hAnsi="Calibri" w:cs="Calibri"/>
                <w:color w:val="000000"/>
                <w:sz w:val="18"/>
                <w:szCs w:val="18"/>
              </w:rPr>
              <w:t>Narrative literature review</w:t>
            </w:r>
          </w:p>
        </w:tc>
        <w:tc>
          <w:tcPr>
            <w:tcW w:w="421" w:type="pct"/>
          </w:tcPr>
          <w:p w14:paraId="136EB6CB" w14:textId="77777777" w:rsidR="00EC3985" w:rsidRPr="00557C66" w:rsidRDefault="00EC3985" w:rsidP="003E223D">
            <w:pPr>
              <w:rPr>
                <w:rFonts w:ascii="Calibri" w:hAnsi="Calibri" w:cs="Calibri"/>
                <w:sz w:val="18"/>
                <w:szCs w:val="18"/>
              </w:rPr>
            </w:pPr>
            <w:r w:rsidRPr="00557C66">
              <w:rPr>
                <w:rFonts w:ascii="Calibri" w:hAnsi="Calibri" w:cs="Calibri"/>
                <w:sz w:val="18"/>
                <w:szCs w:val="18"/>
              </w:rPr>
              <w:t>Private investors</w:t>
            </w:r>
          </w:p>
        </w:tc>
        <w:tc>
          <w:tcPr>
            <w:tcW w:w="637" w:type="pct"/>
          </w:tcPr>
          <w:p w14:paraId="19674DEF" w14:textId="77777777" w:rsidR="00EC3985" w:rsidRPr="00FC1D8A" w:rsidRDefault="00EC3985" w:rsidP="003E223D">
            <w:pPr>
              <w:rPr>
                <w:rFonts w:ascii="Calibri" w:hAnsi="Calibri" w:cs="Calibri"/>
                <w:sz w:val="18"/>
                <w:szCs w:val="18"/>
              </w:rPr>
            </w:pPr>
            <w:r>
              <w:rPr>
                <w:rFonts w:ascii="Calibri" w:hAnsi="Calibri" w:cs="Calibri"/>
                <w:sz w:val="18"/>
                <w:szCs w:val="18"/>
              </w:rPr>
              <w:t xml:space="preserve">All renewables / </w:t>
            </w:r>
            <w:r w:rsidRPr="00557C66">
              <w:rPr>
                <w:rFonts w:ascii="Calibri" w:hAnsi="Calibri" w:cs="Calibri"/>
                <w:color w:val="000000"/>
                <w:sz w:val="18"/>
                <w:szCs w:val="18"/>
              </w:rPr>
              <w:t>Global</w:t>
            </w:r>
          </w:p>
        </w:tc>
      </w:tr>
      <w:tr w:rsidR="00EC3985" w:rsidRPr="00FD1232" w14:paraId="72F62AAA" w14:textId="77777777" w:rsidTr="003E223D">
        <w:trPr>
          <w:trHeight w:val="222"/>
          <w:jc w:val="center"/>
        </w:trPr>
        <w:tc>
          <w:tcPr>
            <w:tcW w:w="980" w:type="pct"/>
          </w:tcPr>
          <w:p w14:paraId="59F3F13F" w14:textId="77777777" w:rsidR="00EC3985" w:rsidRPr="00557C66" w:rsidRDefault="00EC3985" w:rsidP="003E223D">
            <w:pPr>
              <w:rPr>
                <w:rFonts w:ascii="Calibri" w:hAnsi="Calibri" w:cs="Calibri"/>
                <w:color w:val="000000"/>
                <w:sz w:val="18"/>
                <w:szCs w:val="18"/>
              </w:rPr>
            </w:pPr>
            <w:r w:rsidRPr="00557C66">
              <w:rPr>
                <w:rFonts w:ascii="Calibri" w:hAnsi="Calibri" w:cs="Calibri"/>
                <w:color w:val="000000"/>
                <w:sz w:val="18"/>
                <w:szCs w:val="18"/>
              </w:rPr>
              <w:t xml:space="preserve">Romano &amp; </w:t>
            </w:r>
            <w:proofErr w:type="spellStart"/>
            <w:r w:rsidRPr="00557C66">
              <w:rPr>
                <w:rFonts w:ascii="Calibri" w:hAnsi="Calibri" w:cs="Calibri"/>
                <w:color w:val="000000"/>
                <w:sz w:val="18"/>
                <w:szCs w:val="18"/>
              </w:rPr>
              <w:t>Fumagalli</w:t>
            </w:r>
            <w:proofErr w:type="spellEnd"/>
            <w:r w:rsidRPr="00557C66">
              <w:rPr>
                <w:rFonts w:ascii="Calibri" w:hAnsi="Calibri" w:cs="Calibri"/>
                <w:color w:val="000000"/>
                <w:sz w:val="18"/>
                <w:szCs w:val="18"/>
              </w:rPr>
              <w:t>, E. (2018)</w:t>
            </w:r>
          </w:p>
        </w:tc>
        <w:tc>
          <w:tcPr>
            <w:tcW w:w="883" w:type="pct"/>
          </w:tcPr>
          <w:p w14:paraId="7E7AD2ED" w14:textId="77777777" w:rsidR="00EC3985" w:rsidRPr="00557C66" w:rsidRDefault="00EC3985" w:rsidP="003E223D">
            <w:pPr>
              <w:autoSpaceDE w:val="0"/>
              <w:autoSpaceDN w:val="0"/>
              <w:adjustRightInd w:val="0"/>
              <w:spacing w:after="0" w:line="240" w:lineRule="auto"/>
              <w:rPr>
                <w:rFonts w:ascii="Calibri" w:hAnsi="Calibri" w:cs="Calibri"/>
                <w:sz w:val="18"/>
                <w:szCs w:val="18"/>
              </w:rPr>
            </w:pPr>
            <w:r w:rsidRPr="00557C66">
              <w:rPr>
                <w:rFonts w:ascii="Calibri" w:hAnsi="Calibri" w:cs="Calibri"/>
                <w:color w:val="000000"/>
                <w:sz w:val="18"/>
                <w:szCs w:val="18"/>
              </w:rPr>
              <w:t>2</w:t>
            </w:r>
            <w:r>
              <w:rPr>
                <w:rFonts w:ascii="Calibri" w:hAnsi="Calibri" w:cs="Calibri"/>
                <w:sz w:val="18"/>
                <w:szCs w:val="18"/>
              </w:rPr>
              <w:t>;15 (</w:t>
            </w:r>
            <w:r w:rsidRPr="00557C66">
              <w:rPr>
                <w:rFonts w:ascii="Calibri" w:hAnsi="Calibri" w:cs="Calibri"/>
                <w:sz w:val="18"/>
                <w:szCs w:val="18"/>
              </w:rPr>
              <w:t>various sources of uncertainty)</w:t>
            </w:r>
          </w:p>
        </w:tc>
        <w:tc>
          <w:tcPr>
            <w:tcW w:w="2079" w:type="pct"/>
          </w:tcPr>
          <w:p w14:paraId="48FAD485" w14:textId="77777777" w:rsidR="00EC3985" w:rsidRPr="00557C66" w:rsidRDefault="00EC3985" w:rsidP="003E223D">
            <w:pPr>
              <w:autoSpaceDE w:val="0"/>
              <w:autoSpaceDN w:val="0"/>
              <w:adjustRightInd w:val="0"/>
              <w:spacing w:after="0" w:line="240" w:lineRule="auto"/>
              <w:rPr>
                <w:rFonts w:ascii="Calibri" w:hAnsi="Calibri" w:cs="Calibri"/>
                <w:color w:val="000000"/>
                <w:sz w:val="18"/>
                <w:szCs w:val="18"/>
              </w:rPr>
            </w:pPr>
            <w:r>
              <w:rPr>
                <w:rFonts w:ascii="Calibri" w:hAnsi="Calibri" w:cs="Calibri"/>
                <w:sz w:val="18"/>
                <w:szCs w:val="18"/>
              </w:rPr>
              <w:t>L</w:t>
            </w:r>
            <w:r w:rsidRPr="00557C66">
              <w:rPr>
                <w:rFonts w:ascii="Calibri" w:hAnsi="Calibri" w:cs="Calibri"/>
                <w:sz w:val="18"/>
                <w:szCs w:val="18"/>
              </w:rPr>
              <w:t>iterature review</w:t>
            </w:r>
            <w:r>
              <w:rPr>
                <w:rFonts w:ascii="Calibri" w:hAnsi="Calibri" w:cs="Calibri"/>
                <w:sz w:val="18"/>
                <w:szCs w:val="18"/>
              </w:rPr>
              <w:t xml:space="preserve"> on uncertainty as a barrier for investments</w:t>
            </w:r>
          </w:p>
          <w:p w14:paraId="59B7C70F" w14:textId="77777777" w:rsidR="00EC3985" w:rsidRPr="00557C66" w:rsidRDefault="00EC3985" w:rsidP="003E223D">
            <w:pPr>
              <w:rPr>
                <w:rFonts w:ascii="Calibri" w:hAnsi="Calibri" w:cs="Calibri"/>
                <w:color w:val="000000"/>
                <w:sz w:val="18"/>
                <w:szCs w:val="18"/>
              </w:rPr>
            </w:pPr>
          </w:p>
        </w:tc>
        <w:tc>
          <w:tcPr>
            <w:tcW w:w="421" w:type="pct"/>
          </w:tcPr>
          <w:p w14:paraId="7A5C74FE" w14:textId="77777777" w:rsidR="00EC3985" w:rsidRPr="00557C66" w:rsidRDefault="00EC3985" w:rsidP="003E223D">
            <w:pPr>
              <w:rPr>
                <w:rFonts w:ascii="Calibri" w:hAnsi="Calibri" w:cs="Calibri"/>
                <w:sz w:val="18"/>
                <w:szCs w:val="18"/>
              </w:rPr>
            </w:pPr>
            <w:r>
              <w:rPr>
                <w:rFonts w:ascii="Calibri" w:hAnsi="Calibri" w:cs="Calibri"/>
                <w:sz w:val="18"/>
                <w:szCs w:val="18"/>
              </w:rPr>
              <w:t>Private investors</w:t>
            </w:r>
          </w:p>
        </w:tc>
        <w:tc>
          <w:tcPr>
            <w:tcW w:w="637" w:type="pct"/>
          </w:tcPr>
          <w:p w14:paraId="48013FB7" w14:textId="77777777" w:rsidR="00EC3985" w:rsidRPr="00557C66" w:rsidRDefault="00EC3985" w:rsidP="003E223D">
            <w:pPr>
              <w:rPr>
                <w:rFonts w:ascii="Calibri" w:hAnsi="Calibri" w:cs="Calibri"/>
                <w:sz w:val="18"/>
                <w:szCs w:val="18"/>
              </w:rPr>
            </w:pPr>
            <w:r>
              <w:rPr>
                <w:rFonts w:ascii="Calibri" w:hAnsi="Calibri" w:cs="Calibri"/>
                <w:sz w:val="18"/>
                <w:szCs w:val="18"/>
              </w:rPr>
              <w:t xml:space="preserve">All renewables / IEA </w:t>
            </w:r>
            <w:r w:rsidRPr="00557C66">
              <w:rPr>
                <w:rFonts w:ascii="Calibri" w:hAnsi="Calibri" w:cs="Calibri"/>
                <w:sz w:val="18"/>
                <w:szCs w:val="18"/>
              </w:rPr>
              <w:t>(International Energy Agency) member countri</w:t>
            </w:r>
            <w:r>
              <w:rPr>
                <w:rFonts w:ascii="Calibri" w:hAnsi="Calibri" w:cs="Calibri"/>
                <w:sz w:val="18"/>
                <w:szCs w:val="18"/>
              </w:rPr>
              <w:t>es, plus China</w:t>
            </w:r>
          </w:p>
        </w:tc>
      </w:tr>
    </w:tbl>
    <w:p w14:paraId="68CFBE22" w14:textId="77777777" w:rsidR="00EC3985" w:rsidRPr="00663EDC" w:rsidRDefault="00EC3985" w:rsidP="00EC3985">
      <w:pPr>
        <w:sectPr w:rsidR="00EC3985" w:rsidRPr="00663EDC" w:rsidSect="001E03B0">
          <w:pgSz w:w="16838" w:h="11906" w:orient="landscape"/>
          <w:pgMar w:top="1440" w:right="1440" w:bottom="1440" w:left="1440" w:header="708" w:footer="708" w:gutter="0"/>
          <w:cols w:space="708"/>
          <w:docGrid w:linePitch="360"/>
        </w:sectPr>
      </w:pPr>
    </w:p>
    <w:p w14:paraId="04BDFA4B" w14:textId="77777777" w:rsidR="00EC3985" w:rsidRDefault="00EC3985" w:rsidP="00EC3985">
      <w:pPr>
        <w:pStyle w:val="Caption"/>
        <w:keepNext/>
        <w:spacing w:after="0"/>
      </w:pPr>
      <w:r>
        <w:lastRenderedPageBreak/>
        <w:t xml:space="preserve">Table </w:t>
      </w:r>
      <w:r>
        <w:rPr>
          <w:noProof/>
        </w:rPr>
        <w:t>7</w:t>
      </w:r>
      <w:r>
        <w:t>a: A detailed overview on the barrier topics reflected in the academic literature</w:t>
      </w:r>
    </w:p>
    <w:tbl>
      <w:tblPr>
        <w:tblW w:w="5148" w:type="pct"/>
        <w:tblInd w:w="-431" w:type="dxa"/>
        <w:tblLook w:val="04A0" w:firstRow="1" w:lastRow="0" w:firstColumn="1" w:lastColumn="0" w:noHBand="0" w:noVBand="1"/>
      </w:tblPr>
      <w:tblGrid>
        <w:gridCol w:w="441"/>
        <w:gridCol w:w="3429"/>
        <w:gridCol w:w="1439"/>
        <w:gridCol w:w="1437"/>
        <w:gridCol w:w="1338"/>
        <w:gridCol w:w="1199"/>
      </w:tblGrid>
      <w:tr w:rsidR="00EC3985" w:rsidRPr="00791169" w14:paraId="238AA08E" w14:textId="77777777" w:rsidTr="003E223D">
        <w:trPr>
          <w:trHeight w:val="7"/>
        </w:trPr>
        <w:tc>
          <w:tcPr>
            <w:tcW w:w="143" w:type="pct"/>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0737BDDB" w14:textId="77777777" w:rsidR="00EC3985" w:rsidRPr="00791169" w:rsidRDefault="00EC3985" w:rsidP="003E223D">
            <w:pPr>
              <w:spacing w:after="0" w:line="240" w:lineRule="auto"/>
              <w:rPr>
                <w:rFonts w:ascii="Calibri" w:eastAsia="Times New Roman" w:hAnsi="Calibri" w:cs="Calibri"/>
                <w:sz w:val="18"/>
                <w:szCs w:val="18"/>
                <w:lang w:eastAsia="en-GB"/>
              </w:rPr>
            </w:pPr>
            <w:proofErr w:type="spellStart"/>
            <w:r>
              <w:rPr>
                <w:rFonts w:ascii="Calibri" w:eastAsia="Times New Roman" w:hAnsi="Calibri" w:cs="Calibri"/>
                <w:sz w:val="18"/>
                <w:szCs w:val="18"/>
                <w:lang w:eastAsia="en-GB"/>
              </w:rPr>
              <w:t>Nr</w:t>
            </w:r>
            <w:proofErr w:type="spellEnd"/>
            <w:r w:rsidRPr="00791169">
              <w:rPr>
                <w:rFonts w:ascii="Calibri" w:eastAsia="Times New Roman" w:hAnsi="Calibri" w:cs="Calibri"/>
                <w:sz w:val="18"/>
                <w:szCs w:val="18"/>
                <w:lang w:eastAsia="en-GB"/>
              </w:rPr>
              <w:t xml:space="preserve">. </w:t>
            </w:r>
          </w:p>
        </w:tc>
        <w:tc>
          <w:tcPr>
            <w:tcW w:w="186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07B2D4A" w14:textId="77777777" w:rsidR="00EC3985" w:rsidRPr="009A260D" w:rsidRDefault="00EC3985" w:rsidP="003E223D">
            <w:pPr>
              <w:spacing w:after="0" w:line="240" w:lineRule="auto"/>
              <w:jc w:val="center"/>
              <w:rPr>
                <w:rFonts w:ascii="Calibri" w:eastAsia="Times New Roman" w:hAnsi="Calibri" w:cs="Calibri"/>
                <w:bCs/>
                <w:iCs/>
                <w:sz w:val="16"/>
                <w:szCs w:val="16"/>
                <w:lang w:eastAsia="en-GB"/>
              </w:rPr>
            </w:pPr>
            <w:r w:rsidRPr="009A260D">
              <w:rPr>
                <w:rFonts w:ascii="Calibri" w:eastAsia="Times New Roman" w:hAnsi="Calibri" w:cs="Calibri"/>
                <w:bCs/>
                <w:iCs/>
                <w:sz w:val="16"/>
                <w:szCs w:val="16"/>
                <w:lang w:eastAsia="en-GB"/>
              </w:rPr>
              <w:t>Barrier theme</w:t>
            </w:r>
          </w:p>
        </w:tc>
        <w:tc>
          <w:tcPr>
            <w:tcW w:w="794" w:type="pct"/>
            <w:tcBorders>
              <w:top w:val="single" w:sz="4" w:space="0" w:color="auto"/>
              <w:left w:val="nil"/>
              <w:bottom w:val="single" w:sz="4" w:space="0" w:color="auto"/>
              <w:right w:val="single" w:sz="4" w:space="0" w:color="auto"/>
            </w:tcBorders>
            <w:shd w:val="clear" w:color="000000" w:fill="AEAAAA"/>
            <w:vAlign w:val="center"/>
            <w:hideMark/>
          </w:tcPr>
          <w:p w14:paraId="1085223D" w14:textId="77777777" w:rsidR="00EC3985" w:rsidRPr="009A260D" w:rsidRDefault="00EC3985" w:rsidP="003E223D">
            <w:pPr>
              <w:spacing w:after="0" w:line="240" w:lineRule="auto"/>
              <w:jc w:val="center"/>
              <w:rPr>
                <w:rFonts w:ascii="Calibri" w:eastAsia="Times New Roman" w:hAnsi="Calibri" w:cs="Calibri"/>
                <w:sz w:val="16"/>
                <w:szCs w:val="16"/>
                <w:lang w:eastAsia="en-GB"/>
              </w:rPr>
            </w:pPr>
            <w:r w:rsidRPr="009A260D">
              <w:rPr>
                <w:rFonts w:ascii="Calibri" w:eastAsia="Times New Roman" w:hAnsi="Calibri" w:cs="Calibri"/>
                <w:sz w:val="16"/>
                <w:szCs w:val="16"/>
                <w:lang w:eastAsia="en-GB"/>
              </w:rPr>
              <w:t>Number of times cited in the papers of type (</w:t>
            </w:r>
            <w:proofErr w:type="spellStart"/>
            <w:r w:rsidRPr="009A260D">
              <w:rPr>
                <w:rFonts w:ascii="Calibri" w:eastAsia="Times New Roman" w:hAnsi="Calibri" w:cs="Calibri"/>
                <w:sz w:val="16"/>
                <w:szCs w:val="16"/>
                <w:lang w:eastAsia="en-GB"/>
              </w:rPr>
              <w:t>i</w:t>
            </w:r>
            <w:proofErr w:type="spellEnd"/>
            <w:r w:rsidRPr="009A260D">
              <w:rPr>
                <w:rFonts w:ascii="Calibri" w:eastAsia="Times New Roman" w:hAnsi="Calibri" w:cs="Calibri"/>
                <w:sz w:val="16"/>
                <w:szCs w:val="16"/>
                <w:lang w:eastAsia="en-GB"/>
              </w:rPr>
              <w:t>) and (ii) (incl. 42 studies)</w:t>
            </w:r>
          </w:p>
        </w:tc>
        <w:tc>
          <w:tcPr>
            <w:tcW w:w="793" w:type="pct"/>
            <w:tcBorders>
              <w:top w:val="single" w:sz="4" w:space="0" w:color="auto"/>
              <w:left w:val="nil"/>
              <w:bottom w:val="single" w:sz="4" w:space="0" w:color="auto"/>
              <w:right w:val="single" w:sz="4" w:space="0" w:color="auto"/>
            </w:tcBorders>
            <w:shd w:val="clear" w:color="000000" w:fill="AEAAAA"/>
            <w:vAlign w:val="center"/>
            <w:hideMark/>
          </w:tcPr>
          <w:p w14:paraId="5E7F3409" w14:textId="77777777" w:rsidR="00EC3985" w:rsidRPr="009A260D" w:rsidRDefault="00EC3985" w:rsidP="003E223D">
            <w:pPr>
              <w:spacing w:after="0" w:line="240" w:lineRule="auto"/>
              <w:jc w:val="center"/>
              <w:rPr>
                <w:rFonts w:ascii="Calibri" w:eastAsia="Times New Roman" w:hAnsi="Calibri" w:cs="Calibri"/>
                <w:sz w:val="16"/>
                <w:szCs w:val="16"/>
                <w:lang w:eastAsia="en-GB"/>
              </w:rPr>
            </w:pPr>
            <w:r w:rsidRPr="009A260D">
              <w:rPr>
                <w:rFonts w:ascii="Calibri" w:eastAsia="Times New Roman" w:hAnsi="Calibri" w:cs="Calibri"/>
                <w:sz w:val="16"/>
                <w:szCs w:val="16"/>
                <w:lang w:eastAsia="en-GB"/>
              </w:rPr>
              <w:t>Number of times cited in the papers of type (</w:t>
            </w:r>
            <w:proofErr w:type="spellStart"/>
            <w:r w:rsidRPr="009A260D">
              <w:rPr>
                <w:rFonts w:ascii="Calibri" w:eastAsia="Times New Roman" w:hAnsi="Calibri" w:cs="Calibri"/>
                <w:sz w:val="16"/>
                <w:szCs w:val="16"/>
                <w:lang w:eastAsia="en-GB"/>
              </w:rPr>
              <w:t>i</w:t>
            </w:r>
            <w:proofErr w:type="spellEnd"/>
            <w:r w:rsidRPr="009A260D">
              <w:rPr>
                <w:rFonts w:ascii="Calibri" w:eastAsia="Times New Roman" w:hAnsi="Calibri" w:cs="Calibri"/>
                <w:sz w:val="16"/>
                <w:szCs w:val="16"/>
                <w:lang w:eastAsia="en-GB"/>
              </w:rPr>
              <w:t xml:space="preserve">) and (ii) </w:t>
            </w:r>
            <w:r w:rsidRPr="009A260D">
              <w:rPr>
                <w:rFonts w:ascii="Calibri" w:eastAsia="Times New Roman" w:hAnsi="Calibri" w:cs="Calibri"/>
                <w:b/>
                <w:bCs/>
                <w:sz w:val="16"/>
                <w:szCs w:val="16"/>
                <w:lang w:eastAsia="en-GB"/>
              </w:rPr>
              <w:t>excl.</w:t>
            </w:r>
            <w:r w:rsidRPr="009A260D">
              <w:rPr>
                <w:rFonts w:ascii="Calibri" w:eastAsia="Times New Roman" w:hAnsi="Calibri" w:cs="Calibri"/>
                <w:sz w:val="16"/>
                <w:szCs w:val="16"/>
                <w:lang w:eastAsia="en-GB"/>
              </w:rPr>
              <w:t xml:space="preserve"> project developers or not specified (incl. 30 studies)</w:t>
            </w:r>
          </w:p>
        </w:tc>
        <w:tc>
          <w:tcPr>
            <w:tcW w:w="739" w:type="pct"/>
            <w:tcBorders>
              <w:top w:val="single" w:sz="4" w:space="0" w:color="auto"/>
              <w:left w:val="nil"/>
              <w:bottom w:val="single" w:sz="4" w:space="0" w:color="auto"/>
              <w:right w:val="single" w:sz="4" w:space="0" w:color="auto"/>
            </w:tcBorders>
            <w:shd w:val="clear" w:color="000000" w:fill="AEAAAA"/>
            <w:vAlign w:val="center"/>
            <w:hideMark/>
          </w:tcPr>
          <w:p w14:paraId="50FC1340" w14:textId="77777777" w:rsidR="00EC3985" w:rsidRPr="009A260D" w:rsidRDefault="00EC3985" w:rsidP="003E223D">
            <w:pPr>
              <w:spacing w:after="0" w:line="240" w:lineRule="auto"/>
              <w:jc w:val="center"/>
              <w:rPr>
                <w:rFonts w:ascii="Calibri" w:eastAsia="Times New Roman" w:hAnsi="Calibri" w:cs="Calibri"/>
                <w:sz w:val="16"/>
                <w:szCs w:val="16"/>
                <w:lang w:eastAsia="en-GB"/>
              </w:rPr>
            </w:pPr>
            <w:r w:rsidRPr="009A260D">
              <w:rPr>
                <w:rFonts w:ascii="Calibri" w:eastAsia="Times New Roman" w:hAnsi="Calibri" w:cs="Calibri"/>
                <w:sz w:val="16"/>
                <w:szCs w:val="16"/>
                <w:lang w:eastAsia="en-GB"/>
              </w:rPr>
              <w:t xml:space="preserve">Number of times cited in the papers of type (iii) </w:t>
            </w:r>
          </w:p>
        </w:tc>
        <w:tc>
          <w:tcPr>
            <w:tcW w:w="664" w:type="pct"/>
            <w:tcBorders>
              <w:top w:val="single" w:sz="4" w:space="0" w:color="auto"/>
              <w:left w:val="nil"/>
              <w:bottom w:val="single" w:sz="4" w:space="0" w:color="auto"/>
              <w:right w:val="single" w:sz="4" w:space="0" w:color="auto"/>
            </w:tcBorders>
            <w:shd w:val="clear" w:color="000000" w:fill="AEAAAA"/>
            <w:vAlign w:val="center"/>
            <w:hideMark/>
          </w:tcPr>
          <w:p w14:paraId="717B5577" w14:textId="77777777" w:rsidR="00EC3985" w:rsidRPr="009A260D" w:rsidRDefault="00EC3985" w:rsidP="003E223D">
            <w:pPr>
              <w:spacing w:after="0" w:line="240" w:lineRule="auto"/>
              <w:jc w:val="center"/>
              <w:rPr>
                <w:rFonts w:ascii="Calibri" w:eastAsia="Times New Roman" w:hAnsi="Calibri" w:cs="Calibri"/>
                <w:sz w:val="16"/>
                <w:szCs w:val="16"/>
                <w:lang w:eastAsia="en-GB"/>
              </w:rPr>
            </w:pPr>
            <w:r w:rsidRPr="009A260D">
              <w:rPr>
                <w:rFonts w:ascii="Calibri" w:eastAsia="Times New Roman" w:hAnsi="Calibri" w:cs="Calibri"/>
                <w:sz w:val="16"/>
                <w:szCs w:val="16"/>
                <w:lang w:eastAsia="en-GB"/>
              </w:rPr>
              <w:t>Number of times cited in total</w:t>
            </w:r>
          </w:p>
        </w:tc>
      </w:tr>
      <w:tr w:rsidR="00EC3985" w:rsidRPr="00791169" w14:paraId="6E50E81E" w14:textId="77777777" w:rsidTr="003E223D">
        <w:trPr>
          <w:trHeight w:val="7"/>
        </w:trPr>
        <w:tc>
          <w:tcPr>
            <w:tcW w:w="143"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183E37D6"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w:t>
            </w:r>
          </w:p>
        </w:tc>
        <w:tc>
          <w:tcPr>
            <w:tcW w:w="1866" w:type="pct"/>
            <w:tcBorders>
              <w:top w:val="single" w:sz="4" w:space="0" w:color="auto"/>
              <w:left w:val="nil"/>
              <w:bottom w:val="single" w:sz="4" w:space="0" w:color="auto"/>
              <w:right w:val="single" w:sz="4" w:space="0" w:color="auto"/>
            </w:tcBorders>
            <w:shd w:val="clear" w:color="auto" w:fill="auto"/>
            <w:vAlign w:val="center"/>
            <w:hideMark/>
          </w:tcPr>
          <w:p w14:paraId="25F0D4D3"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Complex and long administrative processes / regulation, grid regulation and transparent grid development; lack of compatibility with existing transmission and distribution networks</w:t>
            </w:r>
          </w:p>
        </w:tc>
        <w:tc>
          <w:tcPr>
            <w:tcW w:w="794" w:type="pct"/>
            <w:tcBorders>
              <w:top w:val="nil"/>
              <w:left w:val="nil"/>
              <w:bottom w:val="single" w:sz="4" w:space="0" w:color="auto"/>
              <w:right w:val="single" w:sz="4" w:space="0" w:color="auto"/>
            </w:tcBorders>
            <w:shd w:val="clear" w:color="auto" w:fill="auto"/>
            <w:noWrap/>
            <w:vAlign w:val="bottom"/>
            <w:hideMark/>
          </w:tcPr>
          <w:p w14:paraId="23217274"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15 (5</w:t>
            </w:r>
            <w:r w:rsidRPr="00791169">
              <w:rPr>
                <w:rFonts w:ascii="Calibri" w:eastAsia="Times New Roman" w:hAnsi="Calibri" w:cs="Calibri"/>
                <w:sz w:val="18"/>
                <w:szCs w:val="18"/>
                <w:lang w:eastAsia="en-GB"/>
              </w:rPr>
              <w:t>)</w:t>
            </w:r>
          </w:p>
        </w:tc>
        <w:tc>
          <w:tcPr>
            <w:tcW w:w="793" w:type="pct"/>
            <w:tcBorders>
              <w:top w:val="nil"/>
              <w:left w:val="nil"/>
              <w:bottom w:val="single" w:sz="4" w:space="0" w:color="auto"/>
              <w:right w:val="single" w:sz="4" w:space="0" w:color="auto"/>
            </w:tcBorders>
            <w:shd w:val="clear" w:color="auto" w:fill="auto"/>
            <w:noWrap/>
            <w:vAlign w:val="bottom"/>
            <w:hideMark/>
          </w:tcPr>
          <w:p w14:paraId="553090C6"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w:t>
            </w:r>
            <w:r w:rsidRPr="00791169">
              <w:rPr>
                <w:rFonts w:ascii="Calibri" w:eastAsia="Times New Roman" w:hAnsi="Calibri" w:cs="Calibri"/>
                <w:sz w:val="18"/>
                <w:szCs w:val="18"/>
                <w:lang w:eastAsia="en-GB"/>
              </w:rPr>
              <w:t xml:space="preserve"> (8)</w:t>
            </w:r>
          </w:p>
        </w:tc>
        <w:tc>
          <w:tcPr>
            <w:tcW w:w="739" w:type="pct"/>
            <w:tcBorders>
              <w:top w:val="nil"/>
              <w:left w:val="nil"/>
              <w:bottom w:val="single" w:sz="4" w:space="0" w:color="auto"/>
              <w:right w:val="single" w:sz="4" w:space="0" w:color="auto"/>
            </w:tcBorders>
            <w:shd w:val="clear" w:color="auto" w:fill="auto"/>
            <w:noWrap/>
            <w:vAlign w:val="bottom"/>
            <w:hideMark/>
          </w:tcPr>
          <w:p w14:paraId="432EE474"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w:t>
            </w:r>
          </w:p>
        </w:tc>
        <w:tc>
          <w:tcPr>
            <w:tcW w:w="664" w:type="pct"/>
            <w:tcBorders>
              <w:top w:val="nil"/>
              <w:left w:val="nil"/>
              <w:bottom w:val="single" w:sz="4" w:space="0" w:color="auto"/>
              <w:right w:val="single" w:sz="4" w:space="0" w:color="auto"/>
            </w:tcBorders>
            <w:shd w:val="clear" w:color="auto" w:fill="auto"/>
            <w:noWrap/>
            <w:vAlign w:val="bottom"/>
            <w:hideMark/>
          </w:tcPr>
          <w:p w14:paraId="78FF1EE3"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16 (5)</w:t>
            </w:r>
          </w:p>
        </w:tc>
      </w:tr>
      <w:tr w:rsidR="00EC3985" w:rsidRPr="00791169" w14:paraId="62E4551C"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30E5B844"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2</w:t>
            </w:r>
          </w:p>
        </w:tc>
        <w:tc>
          <w:tcPr>
            <w:tcW w:w="1866" w:type="pct"/>
            <w:tcBorders>
              <w:top w:val="nil"/>
              <w:left w:val="nil"/>
              <w:bottom w:val="single" w:sz="4" w:space="0" w:color="auto"/>
              <w:right w:val="single" w:sz="4" w:space="0" w:color="auto"/>
            </w:tcBorders>
            <w:shd w:val="clear" w:color="auto" w:fill="auto"/>
            <w:vAlign w:val="center"/>
            <w:hideMark/>
          </w:tcPr>
          <w:p w14:paraId="77DADBCC" w14:textId="77777777" w:rsidR="00EC3985" w:rsidRPr="002B64EA" w:rsidRDefault="00EC3985" w:rsidP="003E223D">
            <w:pPr>
              <w:spacing w:after="0" w:line="240" w:lineRule="auto"/>
              <w:jc w:val="both"/>
              <w:rPr>
                <w:rFonts w:ascii="Calibri" w:eastAsia="Times New Roman" w:hAnsi="Calibri" w:cs="Calibri"/>
                <w:sz w:val="18"/>
                <w:szCs w:val="18"/>
                <w:lang w:eastAsia="en-GB"/>
              </w:rPr>
            </w:pPr>
            <w:r w:rsidRPr="002B64EA">
              <w:rPr>
                <w:rFonts w:ascii="Calibri" w:hAnsi="Calibri" w:cs="Calibri"/>
                <w:sz w:val="18"/>
                <w:szCs w:val="18"/>
              </w:rPr>
              <w:t>Lack of a stable climate change policy frameworks and policy direction</w:t>
            </w:r>
          </w:p>
        </w:tc>
        <w:tc>
          <w:tcPr>
            <w:tcW w:w="794" w:type="pct"/>
            <w:tcBorders>
              <w:top w:val="nil"/>
              <w:left w:val="nil"/>
              <w:bottom w:val="single" w:sz="4" w:space="0" w:color="auto"/>
              <w:right w:val="single" w:sz="4" w:space="0" w:color="auto"/>
            </w:tcBorders>
            <w:shd w:val="clear" w:color="auto" w:fill="auto"/>
            <w:noWrap/>
            <w:vAlign w:val="bottom"/>
            <w:hideMark/>
          </w:tcPr>
          <w:p w14:paraId="222F0BCF"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37</w:t>
            </w:r>
            <w:r w:rsidRPr="00791169">
              <w:rPr>
                <w:rFonts w:ascii="Calibri" w:eastAsia="Times New Roman" w:hAnsi="Calibri" w:cs="Calibri"/>
                <w:sz w:val="18"/>
                <w:szCs w:val="18"/>
                <w:lang w:eastAsia="en-GB"/>
              </w:rPr>
              <w:t xml:space="preserve"> (1) </w:t>
            </w:r>
          </w:p>
        </w:tc>
        <w:tc>
          <w:tcPr>
            <w:tcW w:w="793" w:type="pct"/>
            <w:tcBorders>
              <w:top w:val="nil"/>
              <w:left w:val="nil"/>
              <w:bottom w:val="single" w:sz="4" w:space="0" w:color="auto"/>
              <w:right w:val="single" w:sz="4" w:space="0" w:color="auto"/>
            </w:tcBorders>
            <w:shd w:val="clear" w:color="auto" w:fill="auto"/>
            <w:noWrap/>
            <w:vAlign w:val="bottom"/>
            <w:hideMark/>
          </w:tcPr>
          <w:p w14:paraId="01E4D0DB"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23</w:t>
            </w:r>
            <w:r w:rsidRPr="00791169">
              <w:rPr>
                <w:rFonts w:ascii="Calibri" w:eastAsia="Times New Roman" w:hAnsi="Calibri" w:cs="Calibri"/>
                <w:sz w:val="18"/>
                <w:szCs w:val="18"/>
                <w:lang w:eastAsia="en-GB"/>
              </w:rPr>
              <w:t xml:space="preserve"> (1)</w:t>
            </w:r>
          </w:p>
        </w:tc>
        <w:tc>
          <w:tcPr>
            <w:tcW w:w="739" w:type="pct"/>
            <w:tcBorders>
              <w:top w:val="nil"/>
              <w:left w:val="nil"/>
              <w:bottom w:val="single" w:sz="4" w:space="0" w:color="auto"/>
              <w:right w:val="single" w:sz="4" w:space="0" w:color="auto"/>
            </w:tcBorders>
            <w:shd w:val="clear" w:color="auto" w:fill="auto"/>
            <w:noWrap/>
            <w:vAlign w:val="bottom"/>
            <w:hideMark/>
          </w:tcPr>
          <w:p w14:paraId="422D0E11"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21</w:t>
            </w:r>
          </w:p>
        </w:tc>
        <w:tc>
          <w:tcPr>
            <w:tcW w:w="664" w:type="pct"/>
            <w:tcBorders>
              <w:top w:val="nil"/>
              <w:left w:val="nil"/>
              <w:bottom w:val="single" w:sz="4" w:space="0" w:color="auto"/>
              <w:right w:val="single" w:sz="4" w:space="0" w:color="auto"/>
            </w:tcBorders>
            <w:shd w:val="clear" w:color="auto" w:fill="auto"/>
            <w:noWrap/>
            <w:vAlign w:val="bottom"/>
            <w:hideMark/>
          </w:tcPr>
          <w:p w14:paraId="558177F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58 (1)</w:t>
            </w:r>
          </w:p>
        </w:tc>
      </w:tr>
      <w:tr w:rsidR="00EC3985" w:rsidRPr="00791169" w14:paraId="7555E09E"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6CA2023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3</w:t>
            </w:r>
          </w:p>
        </w:tc>
        <w:tc>
          <w:tcPr>
            <w:tcW w:w="1866" w:type="pct"/>
            <w:tcBorders>
              <w:top w:val="nil"/>
              <w:left w:val="nil"/>
              <w:bottom w:val="single" w:sz="4" w:space="0" w:color="auto"/>
              <w:right w:val="single" w:sz="4" w:space="0" w:color="auto"/>
            </w:tcBorders>
            <w:shd w:val="clear" w:color="auto" w:fill="auto"/>
            <w:vAlign w:val="center"/>
            <w:hideMark/>
          </w:tcPr>
          <w:p w14:paraId="1E3BD92A"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Policies are in favour of 'brown' energy-infrastructure (e.g. fossil fuel subsidies; </w:t>
            </w:r>
            <w:r>
              <w:rPr>
                <w:rFonts w:ascii="Calibri" w:eastAsia="Times New Roman" w:hAnsi="Calibri" w:cs="Calibri"/>
                <w:sz w:val="18"/>
                <w:szCs w:val="18"/>
                <w:lang w:eastAsia="en-GB"/>
              </w:rPr>
              <w:t>limited pricing</w:t>
            </w:r>
            <w:r w:rsidRPr="00791169">
              <w:rPr>
                <w:rFonts w:ascii="Calibri" w:eastAsia="Times New Roman" w:hAnsi="Calibri" w:cs="Calibri"/>
                <w:sz w:val="18"/>
                <w:szCs w:val="18"/>
                <w:lang w:eastAsia="en-GB"/>
              </w:rPr>
              <w:t xml:space="preserve"> of carbon </w:t>
            </w:r>
            <w:r>
              <w:rPr>
                <w:rFonts w:ascii="Calibri" w:eastAsia="Times New Roman" w:hAnsi="Calibri" w:cs="Calibri"/>
                <w:sz w:val="18"/>
                <w:szCs w:val="18"/>
                <w:lang w:eastAsia="en-GB"/>
              </w:rPr>
              <w:t>emissions</w:t>
            </w:r>
            <w:r w:rsidRPr="00791169">
              <w:rPr>
                <w:rFonts w:ascii="Calibri" w:eastAsia="Times New Roman" w:hAnsi="Calibri" w:cs="Calibri"/>
                <w:sz w:val="18"/>
                <w:szCs w:val="18"/>
                <w:lang w:eastAsia="en-GB"/>
              </w:rPr>
              <w:t>)</w:t>
            </w:r>
          </w:p>
        </w:tc>
        <w:tc>
          <w:tcPr>
            <w:tcW w:w="794" w:type="pct"/>
            <w:tcBorders>
              <w:top w:val="nil"/>
              <w:left w:val="nil"/>
              <w:bottom w:val="single" w:sz="4" w:space="0" w:color="auto"/>
              <w:right w:val="single" w:sz="4" w:space="0" w:color="auto"/>
            </w:tcBorders>
            <w:shd w:val="clear" w:color="auto" w:fill="auto"/>
            <w:noWrap/>
            <w:vAlign w:val="bottom"/>
            <w:hideMark/>
          </w:tcPr>
          <w:p w14:paraId="7906EA5C"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w:t>
            </w:r>
            <w:r w:rsidRPr="00791169">
              <w:rPr>
                <w:rFonts w:ascii="Calibri" w:eastAsia="Times New Roman" w:hAnsi="Calibri" w:cs="Calibri"/>
                <w:sz w:val="18"/>
                <w:szCs w:val="18"/>
                <w:lang w:eastAsia="en-GB"/>
              </w:rPr>
              <w:t xml:space="preserve"> (8)</w:t>
            </w:r>
          </w:p>
        </w:tc>
        <w:tc>
          <w:tcPr>
            <w:tcW w:w="793" w:type="pct"/>
            <w:tcBorders>
              <w:top w:val="nil"/>
              <w:left w:val="nil"/>
              <w:bottom w:val="single" w:sz="4" w:space="0" w:color="auto"/>
              <w:right w:val="single" w:sz="4" w:space="0" w:color="auto"/>
            </w:tcBorders>
            <w:shd w:val="clear" w:color="auto" w:fill="auto"/>
            <w:noWrap/>
            <w:vAlign w:val="bottom"/>
            <w:hideMark/>
          </w:tcPr>
          <w:p w14:paraId="1959BDEA"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4</w:t>
            </w:r>
            <w:r w:rsidRPr="00791169">
              <w:rPr>
                <w:rFonts w:ascii="Calibri" w:eastAsia="Times New Roman" w:hAnsi="Calibri" w:cs="Calibri"/>
                <w:sz w:val="18"/>
                <w:szCs w:val="18"/>
                <w:lang w:eastAsia="en-GB"/>
              </w:rPr>
              <w:t xml:space="preserve"> (8)</w:t>
            </w:r>
          </w:p>
        </w:tc>
        <w:tc>
          <w:tcPr>
            <w:tcW w:w="739" w:type="pct"/>
            <w:tcBorders>
              <w:top w:val="nil"/>
              <w:left w:val="nil"/>
              <w:bottom w:val="single" w:sz="4" w:space="0" w:color="auto"/>
              <w:right w:val="single" w:sz="4" w:space="0" w:color="auto"/>
            </w:tcBorders>
            <w:shd w:val="clear" w:color="auto" w:fill="auto"/>
            <w:noWrap/>
            <w:vAlign w:val="bottom"/>
            <w:hideMark/>
          </w:tcPr>
          <w:p w14:paraId="22D7827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40B4DB82"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 (9)</w:t>
            </w:r>
          </w:p>
        </w:tc>
      </w:tr>
      <w:tr w:rsidR="00EC3985" w:rsidRPr="009A260D" w14:paraId="46AFC694"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7A96F7CB"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4</w:t>
            </w:r>
          </w:p>
        </w:tc>
        <w:tc>
          <w:tcPr>
            <w:tcW w:w="1866" w:type="pct"/>
            <w:tcBorders>
              <w:top w:val="nil"/>
              <w:left w:val="nil"/>
              <w:bottom w:val="single" w:sz="4" w:space="0" w:color="auto"/>
              <w:right w:val="single" w:sz="4" w:space="0" w:color="auto"/>
            </w:tcBorders>
            <w:shd w:val="clear" w:color="auto" w:fill="auto"/>
            <w:vAlign w:val="center"/>
            <w:hideMark/>
          </w:tcPr>
          <w:p w14:paraId="0CAD2441"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Constraints on decision making within investor companies</w:t>
            </w:r>
            <w:r>
              <w:rPr>
                <w:rFonts w:ascii="Calibri" w:eastAsia="Times New Roman" w:hAnsi="Calibri" w:cs="Calibri"/>
                <w:sz w:val="18"/>
                <w:szCs w:val="18"/>
                <w:lang w:eastAsia="en-GB"/>
              </w:rPr>
              <w:t xml:space="preserve"> </w:t>
            </w:r>
            <w:r w:rsidRPr="00791169">
              <w:rPr>
                <w:rFonts w:ascii="Calibri" w:eastAsia="Times New Roman" w:hAnsi="Calibri" w:cs="Calibri"/>
                <w:sz w:val="18"/>
                <w:szCs w:val="18"/>
                <w:lang w:eastAsia="en-GB"/>
              </w:rPr>
              <w:t>(4.1. high capital costs/long pay back periods; 4.2. short-term focus and 4.3. capital requirements due to solvency II or Basel III and also increased due to the financial crisis)</w:t>
            </w:r>
          </w:p>
        </w:tc>
        <w:tc>
          <w:tcPr>
            <w:tcW w:w="794" w:type="pct"/>
            <w:tcBorders>
              <w:top w:val="nil"/>
              <w:left w:val="nil"/>
              <w:bottom w:val="single" w:sz="4" w:space="0" w:color="auto"/>
              <w:right w:val="single" w:sz="4" w:space="0" w:color="auto"/>
            </w:tcBorders>
            <w:shd w:val="clear" w:color="auto" w:fill="auto"/>
            <w:noWrap/>
            <w:vAlign w:val="bottom"/>
            <w:hideMark/>
          </w:tcPr>
          <w:p w14:paraId="69548EAD"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24 (2) </w:t>
            </w:r>
          </w:p>
        </w:tc>
        <w:tc>
          <w:tcPr>
            <w:tcW w:w="793" w:type="pct"/>
            <w:tcBorders>
              <w:top w:val="nil"/>
              <w:left w:val="nil"/>
              <w:bottom w:val="single" w:sz="4" w:space="0" w:color="auto"/>
              <w:right w:val="single" w:sz="4" w:space="0" w:color="auto"/>
            </w:tcBorders>
            <w:shd w:val="clear" w:color="auto" w:fill="auto"/>
            <w:noWrap/>
            <w:vAlign w:val="bottom"/>
            <w:hideMark/>
          </w:tcPr>
          <w:p w14:paraId="6BF28479"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18</w:t>
            </w:r>
            <w:r w:rsidRPr="00791169">
              <w:rPr>
                <w:rFonts w:ascii="Calibri" w:eastAsia="Times New Roman" w:hAnsi="Calibri" w:cs="Calibri"/>
                <w:sz w:val="18"/>
                <w:szCs w:val="18"/>
                <w:lang w:eastAsia="en-GB"/>
              </w:rPr>
              <w:t xml:space="preserve"> (2)</w:t>
            </w:r>
          </w:p>
        </w:tc>
        <w:tc>
          <w:tcPr>
            <w:tcW w:w="739" w:type="pct"/>
            <w:tcBorders>
              <w:top w:val="nil"/>
              <w:left w:val="nil"/>
              <w:bottom w:val="single" w:sz="4" w:space="0" w:color="auto"/>
              <w:right w:val="single" w:sz="4" w:space="0" w:color="auto"/>
            </w:tcBorders>
            <w:shd w:val="clear" w:color="auto" w:fill="auto"/>
            <w:noWrap/>
            <w:vAlign w:val="bottom"/>
            <w:hideMark/>
          </w:tcPr>
          <w:p w14:paraId="51D0F8F0"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w:t>
            </w:r>
          </w:p>
        </w:tc>
        <w:tc>
          <w:tcPr>
            <w:tcW w:w="664" w:type="pct"/>
            <w:tcBorders>
              <w:top w:val="nil"/>
              <w:left w:val="nil"/>
              <w:bottom w:val="single" w:sz="4" w:space="0" w:color="auto"/>
              <w:right w:val="single" w:sz="4" w:space="0" w:color="auto"/>
            </w:tcBorders>
            <w:shd w:val="clear" w:color="auto" w:fill="auto"/>
            <w:noWrap/>
            <w:vAlign w:val="bottom"/>
            <w:hideMark/>
          </w:tcPr>
          <w:p w14:paraId="58EAE714" w14:textId="77777777" w:rsidR="00EC3985" w:rsidRPr="009A260D" w:rsidRDefault="00EC3985" w:rsidP="003E223D">
            <w:pPr>
              <w:spacing w:after="0" w:line="240" w:lineRule="auto"/>
              <w:jc w:val="right"/>
              <w:rPr>
                <w:rFonts w:ascii="Calibri" w:eastAsia="Times New Roman" w:hAnsi="Calibri" w:cs="Calibri"/>
                <w:sz w:val="18"/>
                <w:szCs w:val="18"/>
                <w:lang w:eastAsia="en-GB"/>
              </w:rPr>
            </w:pPr>
            <w:r w:rsidRPr="009A260D">
              <w:rPr>
                <w:rFonts w:ascii="Calibri" w:eastAsia="Times New Roman" w:hAnsi="Calibri" w:cs="Calibri"/>
                <w:sz w:val="18"/>
                <w:szCs w:val="18"/>
                <w:lang w:eastAsia="en-GB"/>
              </w:rPr>
              <w:t>25</w:t>
            </w:r>
            <w:r>
              <w:rPr>
                <w:rFonts w:ascii="Calibri" w:eastAsia="Times New Roman" w:hAnsi="Calibri" w:cs="Calibri"/>
                <w:sz w:val="18"/>
                <w:szCs w:val="18"/>
                <w:lang w:eastAsia="en-GB"/>
              </w:rPr>
              <w:t xml:space="preserve"> (2</w:t>
            </w:r>
            <w:r w:rsidRPr="009A260D">
              <w:rPr>
                <w:rFonts w:ascii="Calibri" w:eastAsia="Times New Roman" w:hAnsi="Calibri" w:cs="Calibri"/>
                <w:sz w:val="18"/>
                <w:szCs w:val="18"/>
                <w:lang w:eastAsia="en-GB"/>
              </w:rPr>
              <w:t>)</w:t>
            </w:r>
          </w:p>
        </w:tc>
      </w:tr>
      <w:tr w:rsidR="00EC3985" w:rsidRPr="00791169" w14:paraId="7164EE8B"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6061ED36"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5</w:t>
            </w:r>
          </w:p>
        </w:tc>
        <w:tc>
          <w:tcPr>
            <w:tcW w:w="1866" w:type="pct"/>
            <w:tcBorders>
              <w:top w:val="nil"/>
              <w:left w:val="nil"/>
              <w:bottom w:val="single" w:sz="4" w:space="0" w:color="auto"/>
              <w:right w:val="single" w:sz="4" w:space="0" w:color="auto"/>
            </w:tcBorders>
            <w:shd w:val="clear" w:color="auto" w:fill="auto"/>
            <w:vAlign w:val="center"/>
            <w:hideMark/>
          </w:tcPr>
          <w:p w14:paraId="27D61B77"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Perceptions that returns of renewable infrastructure investments are too low and require high initial capital investment</w:t>
            </w:r>
            <w:r>
              <w:rPr>
                <w:rFonts w:ascii="Calibri" w:eastAsia="Times New Roman" w:hAnsi="Calibri" w:cs="Calibri"/>
                <w:sz w:val="18"/>
                <w:szCs w:val="18"/>
                <w:lang w:eastAsia="en-GB"/>
              </w:rPr>
              <w:t xml:space="preserve"> </w:t>
            </w:r>
          </w:p>
        </w:tc>
        <w:tc>
          <w:tcPr>
            <w:tcW w:w="794" w:type="pct"/>
            <w:tcBorders>
              <w:top w:val="nil"/>
              <w:left w:val="nil"/>
              <w:bottom w:val="single" w:sz="4" w:space="0" w:color="auto"/>
              <w:right w:val="single" w:sz="4" w:space="0" w:color="auto"/>
            </w:tcBorders>
            <w:shd w:val="clear" w:color="auto" w:fill="auto"/>
            <w:noWrap/>
            <w:vAlign w:val="bottom"/>
            <w:hideMark/>
          </w:tcPr>
          <w:p w14:paraId="5BE87ED1"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13</w:t>
            </w:r>
            <w:r w:rsidRPr="00791169">
              <w:rPr>
                <w:rFonts w:ascii="Calibri" w:eastAsia="Times New Roman" w:hAnsi="Calibri" w:cs="Calibri"/>
                <w:sz w:val="18"/>
                <w:szCs w:val="18"/>
                <w:lang w:eastAsia="en-GB"/>
              </w:rPr>
              <w:t xml:space="preserve"> (6)</w:t>
            </w:r>
          </w:p>
        </w:tc>
        <w:tc>
          <w:tcPr>
            <w:tcW w:w="793" w:type="pct"/>
            <w:tcBorders>
              <w:top w:val="nil"/>
              <w:left w:val="nil"/>
              <w:bottom w:val="single" w:sz="4" w:space="0" w:color="auto"/>
              <w:right w:val="single" w:sz="4" w:space="0" w:color="auto"/>
            </w:tcBorders>
            <w:shd w:val="clear" w:color="auto" w:fill="auto"/>
            <w:noWrap/>
            <w:vAlign w:val="bottom"/>
            <w:hideMark/>
          </w:tcPr>
          <w:p w14:paraId="015608EC"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8 (5</w:t>
            </w:r>
            <w:r w:rsidRPr="00791169">
              <w:rPr>
                <w:rFonts w:ascii="Calibri" w:eastAsia="Times New Roman" w:hAnsi="Calibri" w:cs="Calibri"/>
                <w:sz w:val="18"/>
                <w:szCs w:val="18"/>
                <w:lang w:eastAsia="en-GB"/>
              </w:rPr>
              <w:t>)</w:t>
            </w:r>
          </w:p>
        </w:tc>
        <w:tc>
          <w:tcPr>
            <w:tcW w:w="739" w:type="pct"/>
            <w:tcBorders>
              <w:top w:val="nil"/>
              <w:left w:val="nil"/>
              <w:bottom w:val="single" w:sz="4" w:space="0" w:color="auto"/>
              <w:right w:val="single" w:sz="4" w:space="0" w:color="auto"/>
            </w:tcBorders>
            <w:shd w:val="clear" w:color="auto" w:fill="auto"/>
            <w:noWrap/>
            <w:vAlign w:val="bottom"/>
            <w:hideMark/>
          </w:tcPr>
          <w:p w14:paraId="5CA0F5E9"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w:t>
            </w:r>
          </w:p>
        </w:tc>
        <w:tc>
          <w:tcPr>
            <w:tcW w:w="664" w:type="pct"/>
            <w:tcBorders>
              <w:top w:val="nil"/>
              <w:left w:val="nil"/>
              <w:bottom w:val="single" w:sz="4" w:space="0" w:color="auto"/>
              <w:right w:val="single" w:sz="4" w:space="0" w:color="auto"/>
            </w:tcBorders>
            <w:shd w:val="clear" w:color="auto" w:fill="auto"/>
            <w:noWrap/>
            <w:vAlign w:val="bottom"/>
            <w:hideMark/>
          </w:tcPr>
          <w:p w14:paraId="2606E3FC"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14 (6)</w:t>
            </w:r>
          </w:p>
        </w:tc>
      </w:tr>
      <w:tr w:rsidR="00EC3985" w:rsidRPr="00791169" w14:paraId="09C5F529"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48204CF2"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6</w:t>
            </w:r>
          </w:p>
        </w:tc>
        <w:tc>
          <w:tcPr>
            <w:tcW w:w="1866" w:type="pct"/>
            <w:tcBorders>
              <w:top w:val="nil"/>
              <w:left w:val="nil"/>
              <w:bottom w:val="single" w:sz="4" w:space="0" w:color="auto"/>
              <w:right w:val="single" w:sz="4" w:space="0" w:color="auto"/>
            </w:tcBorders>
            <w:shd w:val="clear" w:color="auto" w:fill="auto"/>
            <w:vAlign w:val="center"/>
            <w:hideMark/>
          </w:tcPr>
          <w:p w14:paraId="1A34C2E6"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Requirement that projects need a certain credit rating so that it is possible to invest</w:t>
            </w:r>
          </w:p>
        </w:tc>
        <w:tc>
          <w:tcPr>
            <w:tcW w:w="794" w:type="pct"/>
            <w:tcBorders>
              <w:top w:val="nil"/>
              <w:left w:val="nil"/>
              <w:bottom w:val="single" w:sz="4" w:space="0" w:color="auto"/>
              <w:right w:val="single" w:sz="4" w:space="0" w:color="auto"/>
            </w:tcBorders>
            <w:shd w:val="clear" w:color="auto" w:fill="auto"/>
            <w:noWrap/>
            <w:vAlign w:val="bottom"/>
            <w:hideMark/>
          </w:tcPr>
          <w:p w14:paraId="7525A301"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5 (9)</w:t>
            </w:r>
          </w:p>
        </w:tc>
        <w:tc>
          <w:tcPr>
            <w:tcW w:w="793" w:type="pct"/>
            <w:tcBorders>
              <w:top w:val="nil"/>
              <w:left w:val="nil"/>
              <w:bottom w:val="single" w:sz="4" w:space="0" w:color="auto"/>
              <w:right w:val="single" w:sz="4" w:space="0" w:color="auto"/>
            </w:tcBorders>
            <w:shd w:val="clear" w:color="auto" w:fill="auto"/>
            <w:noWrap/>
            <w:vAlign w:val="bottom"/>
            <w:hideMark/>
          </w:tcPr>
          <w:p w14:paraId="3FEB5912"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4 (7)</w:t>
            </w:r>
          </w:p>
        </w:tc>
        <w:tc>
          <w:tcPr>
            <w:tcW w:w="739" w:type="pct"/>
            <w:tcBorders>
              <w:top w:val="nil"/>
              <w:left w:val="nil"/>
              <w:bottom w:val="single" w:sz="4" w:space="0" w:color="auto"/>
              <w:right w:val="single" w:sz="4" w:space="0" w:color="auto"/>
            </w:tcBorders>
            <w:shd w:val="clear" w:color="auto" w:fill="auto"/>
            <w:noWrap/>
            <w:vAlign w:val="bottom"/>
            <w:hideMark/>
          </w:tcPr>
          <w:p w14:paraId="42C4DD2F"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15661F2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5</w:t>
            </w:r>
            <w:r>
              <w:rPr>
                <w:rFonts w:ascii="Calibri" w:eastAsia="Times New Roman" w:hAnsi="Calibri" w:cs="Calibri"/>
                <w:sz w:val="18"/>
                <w:szCs w:val="18"/>
                <w:lang w:eastAsia="en-GB"/>
              </w:rPr>
              <w:t xml:space="preserve"> (10)</w:t>
            </w:r>
          </w:p>
        </w:tc>
      </w:tr>
      <w:tr w:rsidR="00EC3985" w:rsidRPr="00791169" w14:paraId="26E83E6B"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0A5ADF25"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7</w:t>
            </w:r>
          </w:p>
        </w:tc>
        <w:tc>
          <w:tcPr>
            <w:tcW w:w="1866" w:type="pct"/>
            <w:tcBorders>
              <w:top w:val="nil"/>
              <w:left w:val="nil"/>
              <w:bottom w:val="single" w:sz="4" w:space="0" w:color="auto"/>
              <w:right w:val="single" w:sz="4" w:space="0" w:color="auto"/>
            </w:tcBorders>
            <w:shd w:val="clear" w:color="auto" w:fill="auto"/>
            <w:vAlign w:val="center"/>
            <w:hideMark/>
          </w:tcPr>
          <w:p w14:paraId="5B2F3939"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Technology-risk associated with uncertain technologies </w:t>
            </w:r>
          </w:p>
        </w:tc>
        <w:tc>
          <w:tcPr>
            <w:tcW w:w="794" w:type="pct"/>
            <w:tcBorders>
              <w:top w:val="nil"/>
              <w:left w:val="nil"/>
              <w:bottom w:val="single" w:sz="4" w:space="0" w:color="auto"/>
              <w:right w:val="single" w:sz="4" w:space="0" w:color="auto"/>
            </w:tcBorders>
            <w:shd w:val="clear" w:color="auto" w:fill="auto"/>
            <w:noWrap/>
            <w:vAlign w:val="bottom"/>
            <w:hideMark/>
          </w:tcPr>
          <w:p w14:paraId="3DB3350C"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19 (4</w:t>
            </w:r>
            <w:r w:rsidRPr="00791169">
              <w:rPr>
                <w:rFonts w:ascii="Calibri" w:eastAsia="Times New Roman" w:hAnsi="Calibri" w:cs="Calibri"/>
                <w:sz w:val="18"/>
                <w:szCs w:val="18"/>
                <w:lang w:eastAsia="en-GB"/>
              </w:rPr>
              <w:t xml:space="preserve">) </w:t>
            </w:r>
          </w:p>
        </w:tc>
        <w:tc>
          <w:tcPr>
            <w:tcW w:w="793" w:type="pct"/>
            <w:tcBorders>
              <w:top w:val="nil"/>
              <w:left w:val="nil"/>
              <w:bottom w:val="single" w:sz="4" w:space="0" w:color="auto"/>
              <w:right w:val="single" w:sz="4" w:space="0" w:color="auto"/>
            </w:tcBorders>
            <w:shd w:val="clear" w:color="auto" w:fill="auto"/>
            <w:noWrap/>
            <w:vAlign w:val="bottom"/>
            <w:hideMark/>
          </w:tcPr>
          <w:p w14:paraId="1F06D212"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15</w:t>
            </w:r>
            <w:r w:rsidRPr="00791169">
              <w:rPr>
                <w:rFonts w:ascii="Calibri" w:eastAsia="Times New Roman" w:hAnsi="Calibri" w:cs="Calibri"/>
                <w:sz w:val="18"/>
                <w:szCs w:val="18"/>
                <w:lang w:eastAsia="en-GB"/>
              </w:rPr>
              <w:t xml:space="preserve"> (3)</w:t>
            </w:r>
          </w:p>
        </w:tc>
        <w:tc>
          <w:tcPr>
            <w:tcW w:w="739" w:type="pct"/>
            <w:tcBorders>
              <w:top w:val="nil"/>
              <w:left w:val="nil"/>
              <w:bottom w:val="single" w:sz="4" w:space="0" w:color="auto"/>
              <w:right w:val="single" w:sz="4" w:space="0" w:color="auto"/>
            </w:tcBorders>
            <w:shd w:val="clear" w:color="auto" w:fill="auto"/>
            <w:noWrap/>
            <w:vAlign w:val="bottom"/>
            <w:hideMark/>
          </w:tcPr>
          <w:p w14:paraId="63B5C5AB"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w:t>
            </w:r>
          </w:p>
        </w:tc>
        <w:tc>
          <w:tcPr>
            <w:tcW w:w="664" w:type="pct"/>
            <w:tcBorders>
              <w:top w:val="nil"/>
              <w:left w:val="nil"/>
              <w:bottom w:val="single" w:sz="4" w:space="0" w:color="auto"/>
              <w:right w:val="single" w:sz="4" w:space="0" w:color="auto"/>
            </w:tcBorders>
            <w:shd w:val="clear" w:color="auto" w:fill="auto"/>
            <w:noWrap/>
            <w:vAlign w:val="bottom"/>
            <w:hideMark/>
          </w:tcPr>
          <w:p w14:paraId="4F6D15C0"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20</w:t>
            </w:r>
            <w:r>
              <w:rPr>
                <w:rFonts w:ascii="Calibri" w:eastAsia="Times New Roman" w:hAnsi="Calibri" w:cs="Calibri"/>
                <w:sz w:val="18"/>
                <w:szCs w:val="18"/>
                <w:lang w:eastAsia="en-GB"/>
              </w:rPr>
              <w:t xml:space="preserve"> (4)</w:t>
            </w:r>
          </w:p>
        </w:tc>
      </w:tr>
      <w:tr w:rsidR="00EC3985" w:rsidRPr="00791169" w14:paraId="6186AA90"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36AF564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8</w:t>
            </w:r>
          </w:p>
        </w:tc>
        <w:tc>
          <w:tcPr>
            <w:tcW w:w="1866" w:type="pct"/>
            <w:tcBorders>
              <w:top w:val="nil"/>
              <w:left w:val="nil"/>
              <w:bottom w:val="single" w:sz="4" w:space="0" w:color="auto"/>
              <w:right w:val="single" w:sz="4" w:space="0" w:color="auto"/>
            </w:tcBorders>
            <w:shd w:val="clear" w:color="auto" w:fill="auto"/>
            <w:vAlign w:val="center"/>
            <w:hideMark/>
          </w:tcPr>
          <w:p w14:paraId="7F8DBF9A" w14:textId="77777777" w:rsidR="00EC3985" w:rsidRPr="000A1091" w:rsidRDefault="00EC3985" w:rsidP="003E223D">
            <w:pPr>
              <w:spacing w:line="240" w:lineRule="auto"/>
              <w:rPr>
                <w:rFonts w:ascii="Calibri" w:hAnsi="Calibri" w:cs="Calibri"/>
                <w:sz w:val="18"/>
                <w:szCs w:val="18"/>
              </w:rPr>
            </w:pPr>
            <w:r>
              <w:rPr>
                <w:rFonts w:ascii="Calibri" w:eastAsia="Times New Roman" w:hAnsi="Calibri" w:cs="Calibri"/>
                <w:sz w:val="18"/>
                <w:szCs w:val="18"/>
                <w:lang w:eastAsia="en-GB"/>
              </w:rPr>
              <w:t>Disclosure</w:t>
            </w:r>
            <w:r w:rsidRPr="00791169">
              <w:rPr>
                <w:rFonts w:ascii="Calibri" w:eastAsia="Times New Roman" w:hAnsi="Calibri" w:cs="Calibri"/>
                <w:sz w:val="18"/>
                <w:szCs w:val="18"/>
                <w:lang w:eastAsia="en-GB"/>
              </w:rPr>
              <w:t xml:space="preserve"> on climate related </w:t>
            </w:r>
            <w:r>
              <w:rPr>
                <w:rFonts w:ascii="Calibri" w:eastAsia="Times New Roman" w:hAnsi="Calibri" w:cs="Calibri"/>
                <w:sz w:val="18"/>
                <w:szCs w:val="18"/>
                <w:lang w:eastAsia="en-GB"/>
              </w:rPr>
              <w:t>risks</w:t>
            </w:r>
            <w:r w:rsidRPr="00791169">
              <w:rPr>
                <w:rFonts w:ascii="Calibri" w:eastAsia="Times New Roman" w:hAnsi="Calibri" w:cs="Calibri"/>
                <w:sz w:val="18"/>
                <w:szCs w:val="18"/>
                <w:lang w:eastAsia="en-GB"/>
              </w:rPr>
              <w:t xml:space="preserve"> </w:t>
            </w:r>
            <w:r>
              <w:rPr>
                <w:rFonts w:ascii="Calibri" w:eastAsia="Times New Roman" w:hAnsi="Calibri" w:cs="Calibri"/>
                <w:sz w:val="18"/>
                <w:szCs w:val="18"/>
                <w:lang w:eastAsia="en-GB"/>
              </w:rPr>
              <w:t xml:space="preserve">and integrating them </w:t>
            </w:r>
            <w:r w:rsidRPr="00791169">
              <w:rPr>
                <w:rFonts w:ascii="Calibri" w:eastAsia="Times New Roman" w:hAnsi="Calibri" w:cs="Calibri"/>
                <w:sz w:val="18"/>
                <w:szCs w:val="18"/>
                <w:lang w:eastAsia="en-GB"/>
              </w:rPr>
              <w:t>into financial decision-making</w:t>
            </w:r>
            <w:r>
              <w:rPr>
                <w:rFonts w:ascii="Calibri" w:eastAsia="Times New Roman" w:hAnsi="Calibri" w:cs="Calibri"/>
                <w:sz w:val="18"/>
                <w:szCs w:val="18"/>
                <w:lang w:eastAsia="en-GB"/>
              </w:rPr>
              <w:t xml:space="preserve"> </w:t>
            </w:r>
            <w:r>
              <w:rPr>
                <w:rFonts w:ascii="Calibri" w:eastAsia="Times New Roman" w:hAnsi="Calibri" w:cs="Calibri"/>
                <w:sz w:val="18"/>
                <w:szCs w:val="18"/>
              </w:rPr>
              <w:t xml:space="preserve">/ Lack of standardised ESG-data </w:t>
            </w:r>
          </w:p>
          <w:p w14:paraId="7BFC60AA" w14:textId="77777777" w:rsidR="00EC3985" w:rsidRPr="00791169" w:rsidRDefault="00EC3985" w:rsidP="003E223D">
            <w:pPr>
              <w:spacing w:after="0" w:line="240" w:lineRule="auto"/>
              <w:jc w:val="both"/>
              <w:rPr>
                <w:rFonts w:ascii="Calibri" w:eastAsia="Times New Roman" w:hAnsi="Calibri" w:cs="Calibri"/>
                <w:sz w:val="18"/>
                <w:szCs w:val="18"/>
                <w:lang w:eastAsia="en-GB"/>
              </w:rPr>
            </w:pPr>
          </w:p>
        </w:tc>
        <w:tc>
          <w:tcPr>
            <w:tcW w:w="794" w:type="pct"/>
            <w:tcBorders>
              <w:top w:val="nil"/>
              <w:left w:val="nil"/>
              <w:bottom w:val="single" w:sz="4" w:space="0" w:color="auto"/>
              <w:right w:val="single" w:sz="4" w:space="0" w:color="auto"/>
            </w:tcBorders>
            <w:shd w:val="clear" w:color="auto" w:fill="auto"/>
            <w:noWrap/>
            <w:vAlign w:val="bottom"/>
            <w:hideMark/>
          </w:tcPr>
          <w:p w14:paraId="1C15655A"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 (9</w:t>
            </w:r>
            <w:r w:rsidRPr="00791169">
              <w:rPr>
                <w:rFonts w:ascii="Calibri" w:eastAsia="Times New Roman" w:hAnsi="Calibri" w:cs="Calibri"/>
                <w:sz w:val="18"/>
                <w:szCs w:val="18"/>
                <w:lang w:eastAsia="en-GB"/>
              </w:rPr>
              <w:t xml:space="preserve">) </w:t>
            </w:r>
          </w:p>
        </w:tc>
        <w:tc>
          <w:tcPr>
            <w:tcW w:w="793" w:type="pct"/>
            <w:tcBorders>
              <w:top w:val="nil"/>
              <w:left w:val="nil"/>
              <w:bottom w:val="single" w:sz="4" w:space="0" w:color="auto"/>
              <w:right w:val="single" w:sz="4" w:space="0" w:color="auto"/>
            </w:tcBorders>
            <w:shd w:val="clear" w:color="auto" w:fill="auto"/>
            <w:noWrap/>
            <w:vAlign w:val="bottom"/>
            <w:hideMark/>
          </w:tcPr>
          <w:p w14:paraId="7BDDF074"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4 (7)</w:t>
            </w:r>
          </w:p>
        </w:tc>
        <w:tc>
          <w:tcPr>
            <w:tcW w:w="739" w:type="pct"/>
            <w:tcBorders>
              <w:top w:val="nil"/>
              <w:left w:val="nil"/>
              <w:bottom w:val="single" w:sz="4" w:space="0" w:color="auto"/>
              <w:right w:val="single" w:sz="4" w:space="0" w:color="auto"/>
            </w:tcBorders>
            <w:shd w:val="clear" w:color="auto" w:fill="auto"/>
            <w:noWrap/>
            <w:vAlign w:val="bottom"/>
            <w:hideMark/>
          </w:tcPr>
          <w:p w14:paraId="0C5E8C4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22383645"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5</w:t>
            </w:r>
            <w:r>
              <w:rPr>
                <w:rFonts w:ascii="Calibri" w:eastAsia="Times New Roman" w:hAnsi="Calibri" w:cs="Calibri"/>
                <w:sz w:val="18"/>
                <w:szCs w:val="18"/>
                <w:lang w:eastAsia="en-GB"/>
              </w:rPr>
              <w:t xml:space="preserve"> (10)</w:t>
            </w:r>
          </w:p>
        </w:tc>
      </w:tr>
      <w:tr w:rsidR="00EC3985" w:rsidRPr="00791169" w14:paraId="5E7832AD"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064A4AAE"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9</w:t>
            </w:r>
          </w:p>
        </w:tc>
        <w:tc>
          <w:tcPr>
            <w:tcW w:w="1866" w:type="pct"/>
            <w:tcBorders>
              <w:top w:val="nil"/>
              <w:left w:val="nil"/>
              <w:bottom w:val="single" w:sz="4" w:space="0" w:color="auto"/>
              <w:right w:val="single" w:sz="4" w:space="0" w:color="auto"/>
            </w:tcBorders>
            <w:shd w:val="clear" w:color="auto" w:fill="auto"/>
            <w:vAlign w:val="center"/>
            <w:hideMark/>
          </w:tcPr>
          <w:p w14:paraId="6B1FAC0E"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Limited projects with acceptable risk-return profiles; lack of liquidity in markets</w:t>
            </w:r>
          </w:p>
        </w:tc>
        <w:tc>
          <w:tcPr>
            <w:tcW w:w="794" w:type="pct"/>
            <w:tcBorders>
              <w:top w:val="nil"/>
              <w:left w:val="nil"/>
              <w:bottom w:val="single" w:sz="4" w:space="0" w:color="auto"/>
              <w:right w:val="single" w:sz="4" w:space="0" w:color="auto"/>
            </w:tcBorders>
            <w:shd w:val="clear" w:color="auto" w:fill="auto"/>
            <w:noWrap/>
            <w:vAlign w:val="bottom"/>
            <w:hideMark/>
          </w:tcPr>
          <w:p w14:paraId="391893CA"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BD4577">
              <w:rPr>
                <w:rFonts w:ascii="Calibri" w:eastAsia="Times New Roman" w:hAnsi="Calibri" w:cs="Calibri"/>
                <w:sz w:val="18"/>
                <w:szCs w:val="18"/>
                <w:lang w:eastAsia="en-GB"/>
              </w:rPr>
              <w:t>7 (8)</w:t>
            </w:r>
          </w:p>
        </w:tc>
        <w:tc>
          <w:tcPr>
            <w:tcW w:w="793" w:type="pct"/>
            <w:tcBorders>
              <w:top w:val="nil"/>
              <w:left w:val="nil"/>
              <w:bottom w:val="single" w:sz="4" w:space="0" w:color="auto"/>
              <w:right w:val="single" w:sz="4" w:space="0" w:color="auto"/>
            </w:tcBorders>
            <w:shd w:val="clear" w:color="auto" w:fill="auto"/>
            <w:noWrap/>
            <w:vAlign w:val="bottom"/>
            <w:hideMark/>
          </w:tcPr>
          <w:p w14:paraId="7EEA8C36"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 (6</w:t>
            </w:r>
            <w:r w:rsidRPr="00791169">
              <w:rPr>
                <w:rFonts w:ascii="Calibri" w:eastAsia="Times New Roman" w:hAnsi="Calibri" w:cs="Calibri"/>
                <w:sz w:val="18"/>
                <w:szCs w:val="18"/>
                <w:lang w:eastAsia="en-GB"/>
              </w:rPr>
              <w:t>)</w:t>
            </w:r>
          </w:p>
        </w:tc>
        <w:tc>
          <w:tcPr>
            <w:tcW w:w="739" w:type="pct"/>
            <w:tcBorders>
              <w:top w:val="nil"/>
              <w:left w:val="nil"/>
              <w:bottom w:val="single" w:sz="4" w:space="0" w:color="auto"/>
              <w:right w:val="single" w:sz="4" w:space="0" w:color="auto"/>
            </w:tcBorders>
            <w:shd w:val="clear" w:color="auto" w:fill="auto"/>
            <w:noWrap/>
            <w:vAlign w:val="bottom"/>
            <w:hideMark/>
          </w:tcPr>
          <w:p w14:paraId="07120009"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58981C0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 (9)</w:t>
            </w:r>
          </w:p>
        </w:tc>
      </w:tr>
      <w:tr w:rsidR="00EC3985" w:rsidRPr="00791169" w14:paraId="6D265F81"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443CF389"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10</w:t>
            </w:r>
          </w:p>
        </w:tc>
        <w:tc>
          <w:tcPr>
            <w:tcW w:w="1866" w:type="pct"/>
            <w:tcBorders>
              <w:top w:val="nil"/>
              <w:left w:val="nil"/>
              <w:bottom w:val="single" w:sz="4" w:space="0" w:color="auto"/>
              <w:right w:val="single" w:sz="4" w:space="0" w:color="auto"/>
            </w:tcBorders>
            <w:shd w:val="clear" w:color="auto" w:fill="auto"/>
            <w:vAlign w:val="center"/>
            <w:hideMark/>
          </w:tcPr>
          <w:p w14:paraId="71579CB1"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Lack of suitable financial vehicles/financial instruments </w:t>
            </w:r>
          </w:p>
        </w:tc>
        <w:tc>
          <w:tcPr>
            <w:tcW w:w="794" w:type="pct"/>
            <w:tcBorders>
              <w:top w:val="nil"/>
              <w:left w:val="nil"/>
              <w:bottom w:val="single" w:sz="4" w:space="0" w:color="auto"/>
              <w:right w:val="single" w:sz="4" w:space="0" w:color="auto"/>
            </w:tcBorders>
            <w:shd w:val="clear" w:color="auto" w:fill="auto"/>
            <w:noWrap/>
            <w:vAlign w:val="bottom"/>
            <w:hideMark/>
          </w:tcPr>
          <w:p w14:paraId="49232EE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 (10</w:t>
            </w:r>
            <w:r w:rsidRPr="00791169">
              <w:rPr>
                <w:rFonts w:ascii="Calibri" w:eastAsia="Times New Roman" w:hAnsi="Calibri" w:cs="Calibri"/>
                <w:sz w:val="18"/>
                <w:szCs w:val="18"/>
                <w:lang w:eastAsia="en-GB"/>
              </w:rPr>
              <w:t>)</w:t>
            </w:r>
          </w:p>
        </w:tc>
        <w:tc>
          <w:tcPr>
            <w:tcW w:w="793" w:type="pct"/>
            <w:tcBorders>
              <w:top w:val="nil"/>
              <w:left w:val="nil"/>
              <w:bottom w:val="single" w:sz="4" w:space="0" w:color="auto"/>
              <w:right w:val="single" w:sz="4" w:space="0" w:color="auto"/>
            </w:tcBorders>
            <w:shd w:val="clear" w:color="auto" w:fill="auto"/>
            <w:noWrap/>
            <w:vAlign w:val="bottom"/>
            <w:hideMark/>
          </w:tcPr>
          <w:p w14:paraId="65CB56D1"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3 (8)</w:t>
            </w:r>
          </w:p>
        </w:tc>
        <w:tc>
          <w:tcPr>
            <w:tcW w:w="739" w:type="pct"/>
            <w:tcBorders>
              <w:top w:val="nil"/>
              <w:left w:val="nil"/>
              <w:bottom w:val="single" w:sz="4" w:space="0" w:color="auto"/>
              <w:right w:val="single" w:sz="4" w:space="0" w:color="auto"/>
            </w:tcBorders>
            <w:shd w:val="clear" w:color="auto" w:fill="auto"/>
            <w:noWrap/>
            <w:vAlign w:val="bottom"/>
            <w:hideMark/>
          </w:tcPr>
          <w:p w14:paraId="44CE764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3F9C604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3</w:t>
            </w:r>
            <w:r>
              <w:rPr>
                <w:rFonts w:ascii="Calibri" w:eastAsia="Times New Roman" w:hAnsi="Calibri" w:cs="Calibri"/>
                <w:sz w:val="18"/>
                <w:szCs w:val="18"/>
                <w:lang w:eastAsia="en-GB"/>
              </w:rPr>
              <w:t xml:space="preserve"> (11)</w:t>
            </w:r>
          </w:p>
        </w:tc>
      </w:tr>
      <w:tr w:rsidR="00EC3985" w:rsidRPr="00791169" w14:paraId="0B8CB6EC"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742ABE4A"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11</w:t>
            </w:r>
          </w:p>
        </w:tc>
        <w:tc>
          <w:tcPr>
            <w:tcW w:w="1866" w:type="pct"/>
            <w:tcBorders>
              <w:top w:val="nil"/>
              <w:left w:val="nil"/>
              <w:bottom w:val="single" w:sz="4" w:space="0" w:color="auto"/>
              <w:right w:val="single" w:sz="4" w:space="0" w:color="auto"/>
            </w:tcBorders>
            <w:shd w:val="clear" w:color="auto" w:fill="auto"/>
            <w:vAlign w:val="center"/>
            <w:hideMark/>
          </w:tcPr>
          <w:p w14:paraId="26D3026A"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High transaction costs or fees </w:t>
            </w:r>
          </w:p>
        </w:tc>
        <w:tc>
          <w:tcPr>
            <w:tcW w:w="794" w:type="pct"/>
            <w:tcBorders>
              <w:top w:val="nil"/>
              <w:left w:val="nil"/>
              <w:bottom w:val="single" w:sz="4" w:space="0" w:color="auto"/>
              <w:right w:val="single" w:sz="4" w:space="0" w:color="auto"/>
            </w:tcBorders>
            <w:shd w:val="clear" w:color="auto" w:fill="auto"/>
            <w:noWrap/>
            <w:vAlign w:val="bottom"/>
            <w:hideMark/>
          </w:tcPr>
          <w:p w14:paraId="081054C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0 (11</w:t>
            </w:r>
            <w:r w:rsidRPr="00791169">
              <w:rPr>
                <w:rFonts w:ascii="Calibri" w:eastAsia="Times New Roman" w:hAnsi="Calibri" w:cs="Calibri"/>
                <w:sz w:val="18"/>
                <w:szCs w:val="18"/>
                <w:lang w:eastAsia="en-GB"/>
              </w:rPr>
              <w:t>)</w:t>
            </w:r>
          </w:p>
        </w:tc>
        <w:tc>
          <w:tcPr>
            <w:tcW w:w="793" w:type="pct"/>
            <w:tcBorders>
              <w:top w:val="nil"/>
              <w:left w:val="nil"/>
              <w:bottom w:val="single" w:sz="4" w:space="0" w:color="auto"/>
              <w:right w:val="single" w:sz="4" w:space="0" w:color="auto"/>
            </w:tcBorders>
            <w:shd w:val="clear" w:color="auto" w:fill="auto"/>
            <w:noWrap/>
            <w:vAlign w:val="bottom"/>
            <w:hideMark/>
          </w:tcPr>
          <w:p w14:paraId="75913FF0"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r>
              <w:rPr>
                <w:rFonts w:ascii="Calibri" w:eastAsia="Times New Roman" w:hAnsi="Calibri" w:cs="Calibri"/>
                <w:sz w:val="18"/>
                <w:szCs w:val="18"/>
                <w:lang w:eastAsia="en-GB"/>
              </w:rPr>
              <w:t xml:space="preserve"> (9)</w:t>
            </w:r>
          </w:p>
        </w:tc>
        <w:tc>
          <w:tcPr>
            <w:tcW w:w="739" w:type="pct"/>
            <w:tcBorders>
              <w:top w:val="nil"/>
              <w:left w:val="nil"/>
              <w:bottom w:val="single" w:sz="4" w:space="0" w:color="auto"/>
              <w:right w:val="single" w:sz="4" w:space="0" w:color="auto"/>
            </w:tcBorders>
            <w:shd w:val="clear" w:color="auto" w:fill="auto"/>
            <w:noWrap/>
            <w:vAlign w:val="bottom"/>
            <w:hideMark/>
          </w:tcPr>
          <w:p w14:paraId="604EDEBC"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4CC3B893"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r>
      <w:tr w:rsidR="00EC3985" w:rsidRPr="00791169" w14:paraId="2FC270BF"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30523535"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12</w:t>
            </w:r>
          </w:p>
        </w:tc>
        <w:tc>
          <w:tcPr>
            <w:tcW w:w="1866" w:type="pct"/>
            <w:tcBorders>
              <w:top w:val="nil"/>
              <w:left w:val="nil"/>
              <w:bottom w:val="single" w:sz="4" w:space="0" w:color="auto"/>
              <w:right w:val="single" w:sz="4" w:space="0" w:color="auto"/>
            </w:tcBorders>
            <w:shd w:val="clear" w:color="auto" w:fill="auto"/>
            <w:vAlign w:val="center"/>
            <w:hideMark/>
          </w:tcPr>
          <w:p w14:paraId="5CCFF1F1"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xml:space="preserve">Lack of knowledge/technical advice on green infrastructure investment </w:t>
            </w:r>
          </w:p>
        </w:tc>
        <w:tc>
          <w:tcPr>
            <w:tcW w:w="794" w:type="pct"/>
            <w:tcBorders>
              <w:top w:val="nil"/>
              <w:left w:val="nil"/>
              <w:bottom w:val="single" w:sz="4" w:space="0" w:color="auto"/>
              <w:right w:val="single" w:sz="4" w:space="0" w:color="auto"/>
            </w:tcBorders>
            <w:shd w:val="clear" w:color="auto" w:fill="auto"/>
            <w:noWrap/>
            <w:vAlign w:val="bottom"/>
            <w:hideMark/>
          </w:tcPr>
          <w:p w14:paraId="3081938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21 (3</w:t>
            </w:r>
            <w:r w:rsidRPr="00791169">
              <w:rPr>
                <w:rFonts w:ascii="Calibri" w:eastAsia="Times New Roman" w:hAnsi="Calibri" w:cs="Calibri"/>
                <w:sz w:val="18"/>
                <w:szCs w:val="18"/>
                <w:lang w:eastAsia="en-GB"/>
              </w:rPr>
              <w:t xml:space="preserve">) </w:t>
            </w:r>
          </w:p>
        </w:tc>
        <w:tc>
          <w:tcPr>
            <w:tcW w:w="793" w:type="pct"/>
            <w:tcBorders>
              <w:top w:val="nil"/>
              <w:left w:val="nil"/>
              <w:bottom w:val="single" w:sz="4" w:space="0" w:color="auto"/>
              <w:right w:val="single" w:sz="4" w:space="0" w:color="auto"/>
            </w:tcBorders>
            <w:shd w:val="clear" w:color="auto" w:fill="auto"/>
            <w:noWrap/>
            <w:vAlign w:val="bottom"/>
            <w:hideMark/>
          </w:tcPr>
          <w:p w14:paraId="760567E0"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15</w:t>
            </w:r>
            <w:r w:rsidRPr="00791169">
              <w:rPr>
                <w:rFonts w:ascii="Calibri" w:eastAsia="Times New Roman" w:hAnsi="Calibri" w:cs="Calibri"/>
                <w:sz w:val="18"/>
                <w:szCs w:val="18"/>
                <w:lang w:eastAsia="en-GB"/>
              </w:rPr>
              <w:t xml:space="preserve"> (3)</w:t>
            </w:r>
          </w:p>
        </w:tc>
        <w:tc>
          <w:tcPr>
            <w:tcW w:w="739" w:type="pct"/>
            <w:tcBorders>
              <w:top w:val="nil"/>
              <w:left w:val="nil"/>
              <w:bottom w:val="single" w:sz="4" w:space="0" w:color="auto"/>
              <w:right w:val="single" w:sz="4" w:space="0" w:color="auto"/>
            </w:tcBorders>
            <w:shd w:val="clear" w:color="auto" w:fill="auto"/>
            <w:noWrap/>
            <w:vAlign w:val="bottom"/>
            <w:hideMark/>
          </w:tcPr>
          <w:p w14:paraId="486EE14E"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60C63A96"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21 (3)</w:t>
            </w:r>
          </w:p>
        </w:tc>
      </w:tr>
      <w:tr w:rsidR="00EC3985" w:rsidRPr="00791169" w14:paraId="4B79B1B1"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516C2A93"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13</w:t>
            </w:r>
          </w:p>
        </w:tc>
        <w:tc>
          <w:tcPr>
            <w:tcW w:w="1866" w:type="pct"/>
            <w:tcBorders>
              <w:top w:val="nil"/>
              <w:left w:val="nil"/>
              <w:bottom w:val="single" w:sz="4" w:space="0" w:color="auto"/>
              <w:right w:val="single" w:sz="4" w:space="0" w:color="auto"/>
            </w:tcBorders>
            <w:shd w:val="clear" w:color="auto" w:fill="auto"/>
            <w:vAlign w:val="center"/>
            <w:hideMark/>
          </w:tcPr>
          <w:p w14:paraId="3DAA256A"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Attitudes of the public, resistance of society</w:t>
            </w:r>
          </w:p>
        </w:tc>
        <w:tc>
          <w:tcPr>
            <w:tcW w:w="794" w:type="pct"/>
            <w:tcBorders>
              <w:top w:val="nil"/>
              <w:left w:val="nil"/>
              <w:bottom w:val="single" w:sz="4" w:space="0" w:color="auto"/>
              <w:right w:val="single" w:sz="4" w:space="0" w:color="auto"/>
            </w:tcBorders>
            <w:shd w:val="clear" w:color="auto" w:fill="auto"/>
            <w:noWrap/>
            <w:vAlign w:val="bottom"/>
            <w:hideMark/>
          </w:tcPr>
          <w:p w14:paraId="436A2F72"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12</w:t>
            </w:r>
            <w:r w:rsidRPr="00791169">
              <w:rPr>
                <w:rFonts w:ascii="Calibri" w:eastAsia="Times New Roman" w:hAnsi="Calibri" w:cs="Calibri"/>
                <w:sz w:val="18"/>
                <w:szCs w:val="18"/>
                <w:lang w:eastAsia="en-GB"/>
              </w:rPr>
              <w:t xml:space="preserve"> (7)</w:t>
            </w:r>
          </w:p>
        </w:tc>
        <w:tc>
          <w:tcPr>
            <w:tcW w:w="793" w:type="pct"/>
            <w:tcBorders>
              <w:top w:val="nil"/>
              <w:left w:val="nil"/>
              <w:bottom w:val="single" w:sz="4" w:space="0" w:color="auto"/>
              <w:right w:val="single" w:sz="4" w:space="0" w:color="auto"/>
            </w:tcBorders>
            <w:shd w:val="clear" w:color="auto" w:fill="auto"/>
            <w:noWrap/>
            <w:vAlign w:val="bottom"/>
            <w:hideMark/>
          </w:tcPr>
          <w:p w14:paraId="5BAAFD62"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10 (4</w:t>
            </w:r>
            <w:r w:rsidRPr="00791169">
              <w:rPr>
                <w:rFonts w:ascii="Calibri" w:eastAsia="Times New Roman" w:hAnsi="Calibri" w:cs="Calibri"/>
                <w:sz w:val="18"/>
                <w:szCs w:val="18"/>
                <w:lang w:eastAsia="en-GB"/>
              </w:rPr>
              <w:t>)</w:t>
            </w:r>
          </w:p>
        </w:tc>
        <w:tc>
          <w:tcPr>
            <w:tcW w:w="739" w:type="pct"/>
            <w:tcBorders>
              <w:top w:val="nil"/>
              <w:left w:val="nil"/>
              <w:bottom w:val="single" w:sz="4" w:space="0" w:color="auto"/>
              <w:right w:val="single" w:sz="4" w:space="0" w:color="auto"/>
            </w:tcBorders>
            <w:shd w:val="clear" w:color="auto" w:fill="auto"/>
            <w:noWrap/>
            <w:vAlign w:val="bottom"/>
            <w:hideMark/>
          </w:tcPr>
          <w:p w14:paraId="49C771B1"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0</w:t>
            </w:r>
          </w:p>
        </w:tc>
        <w:tc>
          <w:tcPr>
            <w:tcW w:w="664" w:type="pct"/>
            <w:tcBorders>
              <w:top w:val="nil"/>
              <w:left w:val="nil"/>
              <w:bottom w:val="single" w:sz="4" w:space="0" w:color="auto"/>
              <w:right w:val="single" w:sz="4" w:space="0" w:color="auto"/>
            </w:tcBorders>
            <w:shd w:val="clear" w:color="auto" w:fill="auto"/>
            <w:noWrap/>
            <w:vAlign w:val="bottom"/>
            <w:hideMark/>
          </w:tcPr>
          <w:p w14:paraId="03616C05"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12 (7)</w:t>
            </w:r>
          </w:p>
        </w:tc>
      </w:tr>
      <w:tr w:rsidR="00EC3985" w:rsidRPr="00791169" w14:paraId="2279511A" w14:textId="77777777" w:rsidTr="003E223D">
        <w:trPr>
          <w:trHeight w:val="7"/>
        </w:trPr>
        <w:tc>
          <w:tcPr>
            <w:tcW w:w="143" w:type="pct"/>
            <w:tcBorders>
              <w:top w:val="nil"/>
              <w:left w:val="single" w:sz="4" w:space="0" w:color="auto"/>
              <w:bottom w:val="single" w:sz="4" w:space="0" w:color="auto"/>
              <w:right w:val="single" w:sz="4" w:space="0" w:color="auto"/>
            </w:tcBorders>
            <w:shd w:val="clear" w:color="000000" w:fill="8497B0"/>
            <w:vAlign w:val="bottom"/>
            <w:hideMark/>
          </w:tcPr>
          <w:p w14:paraId="16A29DC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14</w:t>
            </w:r>
          </w:p>
        </w:tc>
        <w:tc>
          <w:tcPr>
            <w:tcW w:w="1866" w:type="pct"/>
            <w:tcBorders>
              <w:top w:val="nil"/>
              <w:left w:val="nil"/>
              <w:bottom w:val="single" w:sz="4" w:space="0" w:color="auto"/>
              <w:right w:val="single" w:sz="4" w:space="0" w:color="auto"/>
            </w:tcBorders>
            <w:shd w:val="clear" w:color="auto" w:fill="auto"/>
            <w:vAlign w:val="center"/>
            <w:hideMark/>
          </w:tcPr>
          <w:p w14:paraId="778BCA42"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Path-dependency or lock-in (14.1 technological; 14.2. institutional)</w:t>
            </w:r>
          </w:p>
        </w:tc>
        <w:tc>
          <w:tcPr>
            <w:tcW w:w="794" w:type="pct"/>
            <w:tcBorders>
              <w:top w:val="nil"/>
              <w:left w:val="nil"/>
              <w:bottom w:val="single" w:sz="4" w:space="0" w:color="auto"/>
              <w:right w:val="single" w:sz="4" w:space="0" w:color="auto"/>
            </w:tcBorders>
            <w:shd w:val="clear" w:color="auto" w:fill="auto"/>
            <w:noWrap/>
            <w:vAlign w:val="bottom"/>
            <w:hideMark/>
          </w:tcPr>
          <w:p w14:paraId="48DB468E"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 (8</w:t>
            </w:r>
            <w:r w:rsidRPr="00791169">
              <w:rPr>
                <w:rFonts w:ascii="Calibri" w:eastAsia="Times New Roman" w:hAnsi="Calibri" w:cs="Calibri"/>
                <w:sz w:val="18"/>
                <w:szCs w:val="18"/>
                <w:lang w:eastAsia="en-GB"/>
              </w:rPr>
              <w:t>)</w:t>
            </w:r>
          </w:p>
        </w:tc>
        <w:tc>
          <w:tcPr>
            <w:tcW w:w="793" w:type="pct"/>
            <w:tcBorders>
              <w:top w:val="nil"/>
              <w:left w:val="nil"/>
              <w:bottom w:val="single" w:sz="4" w:space="0" w:color="auto"/>
              <w:right w:val="single" w:sz="4" w:space="0" w:color="auto"/>
            </w:tcBorders>
            <w:shd w:val="clear" w:color="auto" w:fill="auto"/>
            <w:noWrap/>
            <w:vAlign w:val="bottom"/>
            <w:hideMark/>
          </w:tcPr>
          <w:p w14:paraId="1F2E83BD"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5 (6)</w:t>
            </w:r>
          </w:p>
        </w:tc>
        <w:tc>
          <w:tcPr>
            <w:tcW w:w="739" w:type="pct"/>
            <w:tcBorders>
              <w:top w:val="nil"/>
              <w:left w:val="nil"/>
              <w:bottom w:val="single" w:sz="4" w:space="0" w:color="auto"/>
              <w:right w:val="single" w:sz="4" w:space="0" w:color="auto"/>
            </w:tcBorders>
            <w:shd w:val="clear" w:color="auto" w:fill="auto"/>
            <w:noWrap/>
            <w:vAlign w:val="bottom"/>
            <w:hideMark/>
          </w:tcPr>
          <w:p w14:paraId="5680AE71"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w:t>
            </w:r>
          </w:p>
        </w:tc>
        <w:tc>
          <w:tcPr>
            <w:tcW w:w="664" w:type="pct"/>
            <w:tcBorders>
              <w:top w:val="nil"/>
              <w:left w:val="nil"/>
              <w:bottom w:val="single" w:sz="4" w:space="0" w:color="auto"/>
              <w:right w:val="single" w:sz="4" w:space="0" w:color="auto"/>
            </w:tcBorders>
            <w:shd w:val="clear" w:color="auto" w:fill="auto"/>
            <w:noWrap/>
            <w:vAlign w:val="bottom"/>
            <w:hideMark/>
          </w:tcPr>
          <w:p w14:paraId="21B11B84"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8 (8)</w:t>
            </w:r>
          </w:p>
        </w:tc>
      </w:tr>
      <w:tr w:rsidR="00EC3985" w:rsidRPr="00791169" w14:paraId="7AE112AD" w14:textId="77777777" w:rsidTr="003E223D">
        <w:trPr>
          <w:trHeight w:val="7"/>
        </w:trPr>
        <w:tc>
          <w:tcPr>
            <w:tcW w:w="143" w:type="pct"/>
            <w:tcBorders>
              <w:top w:val="single" w:sz="4" w:space="0" w:color="auto"/>
              <w:left w:val="single" w:sz="4" w:space="0" w:color="auto"/>
              <w:bottom w:val="single" w:sz="4" w:space="0" w:color="auto"/>
              <w:right w:val="single" w:sz="4" w:space="0" w:color="auto"/>
            </w:tcBorders>
            <w:shd w:val="clear" w:color="000000" w:fill="8497B0"/>
            <w:vAlign w:val="bottom"/>
            <w:hideMark/>
          </w:tcPr>
          <w:p w14:paraId="23290420"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15</w:t>
            </w:r>
          </w:p>
        </w:tc>
        <w:tc>
          <w:tcPr>
            <w:tcW w:w="1866" w:type="pct"/>
            <w:tcBorders>
              <w:top w:val="nil"/>
              <w:left w:val="nil"/>
              <w:bottom w:val="single" w:sz="8" w:space="0" w:color="auto"/>
              <w:right w:val="single" w:sz="4" w:space="0" w:color="auto"/>
            </w:tcBorders>
            <w:shd w:val="clear" w:color="auto" w:fill="auto"/>
            <w:vAlign w:val="center"/>
            <w:hideMark/>
          </w:tcPr>
          <w:p w14:paraId="77900382" w14:textId="77777777" w:rsidR="00EC3985" w:rsidRPr="00791169" w:rsidRDefault="00EC3985" w:rsidP="003E223D">
            <w:pPr>
              <w:spacing w:after="0" w:line="240" w:lineRule="auto"/>
              <w:jc w:val="both"/>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Other barriers</w:t>
            </w:r>
          </w:p>
        </w:tc>
        <w:tc>
          <w:tcPr>
            <w:tcW w:w="794" w:type="pct"/>
            <w:tcBorders>
              <w:top w:val="nil"/>
              <w:left w:val="nil"/>
              <w:bottom w:val="single" w:sz="8" w:space="0" w:color="auto"/>
              <w:right w:val="single" w:sz="4" w:space="0" w:color="auto"/>
            </w:tcBorders>
            <w:shd w:val="clear" w:color="auto" w:fill="auto"/>
            <w:noWrap/>
            <w:vAlign w:val="bottom"/>
            <w:hideMark/>
          </w:tcPr>
          <w:p w14:paraId="6AE381CB"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35</w:t>
            </w:r>
          </w:p>
        </w:tc>
        <w:tc>
          <w:tcPr>
            <w:tcW w:w="793" w:type="pct"/>
            <w:tcBorders>
              <w:top w:val="nil"/>
              <w:left w:val="nil"/>
              <w:bottom w:val="single" w:sz="8" w:space="0" w:color="auto"/>
              <w:right w:val="single" w:sz="4" w:space="0" w:color="auto"/>
            </w:tcBorders>
            <w:shd w:val="clear" w:color="auto" w:fill="auto"/>
            <w:noWrap/>
            <w:vAlign w:val="bottom"/>
            <w:hideMark/>
          </w:tcPr>
          <w:p w14:paraId="34F7346B"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22</w:t>
            </w:r>
          </w:p>
        </w:tc>
        <w:tc>
          <w:tcPr>
            <w:tcW w:w="739" w:type="pct"/>
            <w:tcBorders>
              <w:top w:val="nil"/>
              <w:left w:val="nil"/>
              <w:bottom w:val="single" w:sz="8" w:space="0" w:color="auto"/>
              <w:right w:val="single" w:sz="4" w:space="0" w:color="auto"/>
            </w:tcBorders>
            <w:shd w:val="clear" w:color="auto" w:fill="auto"/>
            <w:noWrap/>
            <w:vAlign w:val="bottom"/>
            <w:hideMark/>
          </w:tcPr>
          <w:p w14:paraId="0AA2C777"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12</w:t>
            </w:r>
          </w:p>
        </w:tc>
        <w:tc>
          <w:tcPr>
            <w:tcW w:w="664" w:type="pct"/>
            <w:tcBorders>
              <w:top w:val="nil"/>
              <w:left w:val="nil"/>
              <w:bottom w:val="single" w:sz="8" w:space="0" w:color="auto"/>
              <w:right w:val="single" w:sz="4" w:space="0" w:color="auto"/>
            </w:tcBorders>
            <w:shd w:val="clear" w:color="auto" w:fill="auto"/>
            <w:noWrap/>
            <w:vAlign w:val="bottom"/>
            <w:hideMark/>
          </w:tcPr>
          <w:p w14:paraId="21CAC47F"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57</w:t>
            </w:r>
          </w:p>
        </w:tc>
      </w:tr>
      <w:tr w:rsidR="00EC3985" w:rsidRPr="002E2B8F" w14:paraId="1549EE30" w14:textId="77777777" w:rsidTr="003E223D">
        <w:trPr>
          <w:trHeight w:val="7"/>
        </w:trPr>
        <w:tc>
          <w:tcPr>
            <w:tcW w:w="143" w:type="pct"/>
            <w:tcBorders>
              <w:top w:val="single" w:sz="4" w:space="0" w:color="auto"/>
              <w:left w:val="nil"/>
              <w:right w:val="single" w:sz="8" w:space="0" w:color="auto"/>
            </w:tcBorders>
            <w:shd w:val="clear" w:color="auto" w:fill="auto"/>
            <w:noWrap/>
            <w:vAlign w:val="bottom"/>
            <w:hideMark/>
          </w:tcPr>
          <w:p w14:paraId="27966F2F"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 </w:t>
            </w:r>
          </w:p>
        </w:tc>
        <w:tc>
          <w:tcPr>
            <w:tcW w:w="186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342D1F" w14:textId="77777777" w:rsidR="00EC3985" w:rsidRPr="00791169" w:rsidRDefault="00EC3985" w:rsidP="003E223D">
            <w:pPr>
              <w:spacing w:after="0" w:line="240" w:lineRule="auto"/>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Total papers found</w:t>
            </w:r>
            <w:r>
              <w:rPr>
                <w:rFonts w:ascii="Calibri" w:eastAsia="Times New Roman" w:hAnsi="Calibri" w:cs="Calibri"/>
                <w:sz w:val="18"/>
                <w:szCs w:val="18"/>
                <w:lang w:eastAsia="en-GB"/>
              </w:rPr>
              <w:t xml:space="preserve"> in total</w:t>
            </w:r>
          </w:p>
        </w:tc>
        <w:tc>
          <w:tcPr>
            <w:tcW w:w="794" w:type="pct"/>
            <w:tcBorders>
              <w:top w:val="single" w:sz="8" w:space="0" w:color="auto"/>
              <w:left w:val="nil"/>
              <w:bottom w:val="single" w:sz="8" w:space="0" w:color="auto"/>
              <w:right w:val="single" w:sz="4" w:space="0" w:color="auto"/>
            </w:tcBorders>
            <w:shd w:val="clear" w:color="auto" w:fill="auto"/>
            <w:noWrap/>
            <w:vAlign w:val="bottom"/>
            <w:hideMark/>
          </w:tcPr>
          <w:p w14:paraId="59B3F04D"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43</w:t>
            </w:r>
          </w:p>
        </w:tc>
        <w:tc>
          <w:tcPr>
            <w:tcW w:w="793" w:type="pct"/>
            <w:tcBorders>
              <w:top w:val="single" w:sz="8" w:space="0" w:color="auto"/>
              <w:left w:val="nil"/>
              <w:bottom w:val="single" w:sz="8" w:space="0" w:color="auto"/>
              <w:right w:val="single" w:sz="4" w:space="0" w:color="auto"/>
            </w:tcBorders>
            <w:shd w:val="clear" w:color="auto" w:fill="auto"/>
            <w:noWrap/>
            <w:vAlign w:val="bottom"/>
            <w:hideMark/>
          </w:tcPr>
          <w:p w14:paraId="6716A55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28</w:t>
            </w:r>
          </w:p>
        </w:tc>
        <w:tc>
          <w:tcPr>
            <w:tcW w:w="739" w:type="pct"/>
            <w:tcBorders>
              <w:top w:val="single" w:sz="8" w:space="0" w:color="auto"/>
              <w:left w:val="nil"/>
              <w:bottom w:val="single" w:sz="8" w:space="0" w:color="auto"/>
              <w:right w:val="nil"/>
            </w:tcBorders>
            <w:shd w:val="clear" w:color="auto" w:fill="auto"/>
            <w:noWrap/>
            <w:vAlign w:val="bottom"/>
            <w:hideMark/>
          </w:tcPr>
          <w:p w14:paraId="6AD205F8" w14:textId="77777777" w:rsidR="00EC3985" w:rsidRPr="00791169" w:rsidRDefault="00EC3985" w:rsidP="003E223D">
            <w:pPr>
              <w:spacing w:after="0" w:line="240" w:lineRule="auto"/>
              <w:jc w:val="right"/>
              <w:rPr>
                <w:rFonts w:ascii="Calibri" w:eastAsia="Times New Roman" w:hAnsi="Calibri" w:cs="Calibri"/>
                <w:sz w:val="18"/>
                <w:szCs w:val="18"/>
                <w:lang w:eastAsia="en-GB"/>
              </w:rPr>
            </w:pPr>
            <w:r w:rsidRPr="00791169">
              <w:rPr>
                <w:rFonts w:ascii="Calibri" w:eastAsia="Times New Roman" w:hAnsi="Calibri" w:cs="Calibri"/>
                <w:sz w:val="18"/>
                <w:szCs w:val="18"/>
                <w:lang w:eastAsia="en-GB"/>
              </w:rPr>
              <w:t>28</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3BF59B" w14:textId="77777777" w:rsidR="00EC3985" w:rsidRPr="002E2B8F" w:rsidRDefault="00EC3985" w:rsidP="003E223D">
            <w:pPr>
              <w:spacing w:after="0" w:line="240" w:lineRule="auto"/>
              <w:jc w:val="right"/>
              <w:rPr>
                <w:rFonts w:ascii="Calibri" w:eastAsia="Times New Roman" w:hAnsi="Calibri" w:cs="Calibri"/>
                <w:bCs/>
                <w:sz w:val="18"/>
                <w:szCs w:val="18"/>
                <w:lang w:eastAsia="en-GB"/>
              </w:rPr>
            </w:pPr>
            <w:r w:rsidRPr="002E2B8F">
              <w:rPr>
                <w:rFonts w:ascii="Calibri" w:eastAsia="Times New Roman" w:hAnsi="Calibri" w:cs="Calibri"/>
                <w:bCs/>
                <w:sz w:val="18"/>
                <w:szCs w:val="18"/>
                <w:lang w:eastAsia="en-GB"/>
              </w:rPr>
              <w:t>71</w:t>
            </w:r>
          </w:p>
        </w:tc>
      </w:tr>
    </w:tbl>
    <w:p w14:paraId="504367BA" w14:textId="77777777" w:rsidR="00EC3985" w:rsidRDefault="00EC3985" w:rsidP="00EC3985"/>
    <w:p w14:paraId="05016153" w14:textId="77777777" w:rsidR="00EC3985" w:rsidRPr="00EC3985" w:rsidRDefault="00EC3985" w:rsidP="00EC3985"/>
    <w:sectPr w:rsidR="00EC3985" w:rsidRPr="00EC3985" w:rsidSect="00D7335E">
      <w:footerReference w:type="default" r:id="rId9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3AFE1" w16cid:durableId="217325D1"/>
  <w16cid:commentId w16cid:paraId="1307082A" w16cid:durableId="2173257F"/>
  <w16cid:commentId w16cid:paraId="4B3E484F" w16cid:durableId="2173266D"/>
  <w16cid:commentId w16cid:paraId="0FDFB137" w16cid:durableId="2173277F"/>
  <w16cid:commentId w16cid:paraId="5FAE25E2" w16cid:durableId="21732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A23B" w14:textId="77777777" w:rsidR="009522F5" w:rsidRDefault="009522F5" w:rsidP="00A30A15">
      <w:pPr>
        <w:spacing w:after="0" w:line="240" w:lineRule="auto"/>
      </w:pPr>
      <w:r>
        <w:separator/>
      </w:r>
    </w:p>
  </w:endnote>
  <w:endnote w:type="continuationSeparator" w:id="0">
    <w:p w14:paraId="4EA8F359" w14:textId="77777777" w:rsidR="009522F5" w:rsidRDefault="009522F5" w:rsidP="00A3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xus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dvOT987ad488">
    <w:altName w:val="Calibri"/>
    <w:panose1 w:val="00000000000000000000"/>
    <w:charset w:val="00"/>
    <w:family w:val="roman"/>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49666"/>
      <w:docPartObj>
        <w:docPartGallery w:val="Page Numbers (Bottom of Page)"/>
        <w:docPartUnique/>
      </w:docPartObj>
    </w:sdtPr>
    <w:sdtEndPr>
      <w:rPr>
        <w:noProof/>
      </w:rPr>
    </w:sdtEndPr>
    <w:sdtContent>
      <w:p w14:paraId="3304129A" w14:textId="0A8D2BB9" w:rsidR="009522F5" w:rsidRDefault="009522F5">
        <w:pPr>
          <w:pStyle w:val="Footer"/>
          <w:jc w:val="right"/>
        </w:pPr>
        <w:r>
          <w:fldChar w:fldCharType="begin"/>
        </w:r>
        <w:r>
          <w:instrText xml:space="preserve"> PAGE   \* MERGEFORMAT </w:instrText>
        </w:r>
        <w:r>
          <w:fldChar w:fldCharType="separate"/>
        </w:r>
        <w:r w:rsidR="00EC3985">
          <w:rPr>
            <w:noProof/>
          </w:rPr>
          <w:t>51</w:t>
        </w:r>
        <w:r>
          <w:rPr>
            <w:noProof/>
          </w:rPr>
          <w:fldChar w:fldCharType="end"/>
        </w:r>
      </w:p>
    </w:sdtContent>
  </w:sdt>
  <w:p w14:paraId="1977919D" w14:textId="77777777" w:rsidR="009522F5" w:rsidRDefault="009522F5">
    <w:pPr>
      <w:pStyle w:val="Footer"/>
    </w:pPr>
  </w:p>
  <w:p w14:paraId="580115C3" w14:textId="77777777" w:rsidR="009522F5" w:rsidRDefault="009522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EB9C" w14:textId="77777777" w:rsidR="009522F5" w:rsidRDefault="009522F5" w:rsidP="00A30A15">
      <w:pPr>
        <w:spacing w:after="0" w:line="240" w:lineRule="auto"/>
      </w:pPr>
      <w:r>
        <w:separator/>
      </w:r>
    </w:p>
  </w:footnote>
  <w:footnote w:type="continuationSeparator" w:id="0">
    <w:p w14:paraId="08087D96" w14:textId="77777777" w:rsidR="009522F5" w:rsidRDefault="009522F5" w:rsidP="00A30A15">
      <w:pPr>
        <w:spacing w:after="0" w:line="240" w:lineRule="auto"/>
      </w:pPr>
      <w:r>
        <w:continuationSeparator/>
      </w:r>
    </w:p>
  </w:footnote>
  <w:footnote w:id="1">
    <w:p w14:paraId="3778BC1A" w14:textId="66129900" w:rsidR="009522F5" w:rsidRPr="00F83801" w:rsidRDefault="009522F5">
      <w:pPr>
        <w:pStyle w:val="FootnoteText"/>
        <w:rPr>
          <w:sz w:val="16"/>
          <w:szCs w:val="16"/>
        </w:rPr>
      </w:pPr>
      <w:r w:rsidRPr="00F83801">
        <w:rPr>
          <w:rStyle w:val="FootnoteReference"/>
          <w:sz w:val="16"/>
          <w:szCs w:val="16"/>
        </w:rPr>
        <w:footnoteRef/>
      </w:r>
      <w:r>
        <w:rPr>
          <w:sz w:val="16"/>
          <w:szCs w:val="16"/>
        </w:rPr>
        <w:t xml:space="preserve"> </w:t>
      </w:r>
      <w:r w:rsidRPr="00F83801">
        <w:rPr>
          <w:sz w:val="16"/>
          <w:szCs w:val="16"/>
        </w:rPr>
        <w:t xml:space="preserve">Bolton &amp; </w:t>
      </w:r>
      <w:proofErr w:type="spellStart"/>
      <w:r w:rsidRPr="00F83801">
        <w:rPr>
          <w:sz w:val="16"/>
          <w:szCs w:val="16"/>
        </w:rPr>
        <w:t>Foxon</w:t>
      </w:r>
      <w:proofErr w:type="spellEnd"/>
      <w:r w:rsidRPr="00F83801">
        <w:rPr>
          <w:sz w:val="16"/>
          <w:szCs w:val="16"/>
        </w:rPr>
        <w:t xml:space="preserve"> (2015) investigate how socio-technical studies can inform policy debate in relation to low carbon investment challenges </w:t>
      </w:r>
      <w:r>
        <w:rPr>
          <w:sz w:val="16"/>
          <w:szCs w:val="16"/>
        </w:rPr>
        <w:t xml:space="preserve">in </w:t>
      </w:r>
      <w:r w:rsidRPr="00F83801">
        <w:rPr>
          <w:sz w:val="16"/>
          <w:szCs w:val="16"/>
        </w:rPr>
        <w:t>the UK electricity sector</w:t>
      </w:r>
      <w:r>
        <w:rPr>
          <w:sz w:val="16"/>
          <w:szCs w:val="16"/>
        </w:rPr>
        <w:t xml:space="preserve"> drawing on a set of conducted interviews</w:t>
      </w:r>
      <w:r w:rsidRPr="00F83801">
        <w:rPr>
          <w:sz w:val="16"/>
          <w:szCs w:val="16"/>
        </w:rPr>
        <w:t xml:space="preserve">. </w:t>
      </w:r>
      <w:r>
        <w:rPr>
          <w:sz w:val="16"/>
          <w:szCs w:val="16"/>
        </w:rPr>
        <w:t>That is</w:t>
      </w:r>
      <w:r w:rsidRPr="00F83801">
        <w:rPr>
          <w:sz w:val="16"/>
          <w:szCs w:val="16"/>
        </w:rPr>
        <w:t>, while their study focuses on understanding uncertainty, lock-in and support of low carbon finance</w:t>
      </w:r>
      <w:r>
        <w:rPr>
          <w:sz w:val="16"/>
          <w:szCs w:val="16"/>
        </w:rPr>
        <w:t xml:space="preserve"> ‘niches’ from a soci</w:t>
      </w:r>
      <w:r w:rsidRPr="00F83801">
        <w:rPr>
          <w:sz w:val="16"/>
          <w:szCs w:val="16"/>
        </w:rPr>
        <w:t xml:space="preserve">o-technical perspective, our study first investigates the most important barrier and </w:t>
      </w:r>
      <w:r>
        <w:rPr>
          <w:sz w:val="16"/>
          <w:szCs w:val="16"/>
        </w:rPr>
        <w:t>investigates in a second step the green finance policy challenge</w:t>
      </w:r>
      <w:r w:rsidRPr="00F83801">
        <w:rPr>
          <w:sz w:val="16"/>
          <w:szCs w:val="16"/>
        </w:rPr>
        <w:t xml:space="preserve"> </w:t>
      </w:r>
      <w:r>
        <w:rPr>
          <w:sz w:val="16"/>
          <w:szCs w:val="16"/>
        </w:rPr>
        <w:t xml:space="preserve">through the lenses of systems perspective. </w:t>
      </w:r>
    </w:p>
  </w:footnote>
  <w:footnote w:id="2">
    <w:p w14:paraId="14513F6A" w14:textId="77777777" w:rsidR="00C3788D" w:rsidRPr="00CE3844" w:rsidRDefault="00C3788D" w:rsidP="00C3788D">
      <w:pPr>
        <w:pStyle w:val="FootnoteText"/>
        <w:rPr>
          <w:rFonts w:ascii="Calibri" w:hAnsi="Calibri"/>
          <w:sz w:val="16"/>
          <w:szCs w:val="16"/>
        </w:rPr>
      </w:pPr>
      <w:r w:rsidRPr="00CE3844">
        <w:rPr>
          <w:rStyle w:val="FootnoteReference"/>
          <w:rFonts w:ascii="Calibri" w:hAnsi="Calibri"/>
          <w:sz w:val="16"/>
          <w:szCs w:val="16"/>
        </w:rPr>
        <w:footnoteRef/>
      </w:r>
      <w:r w:rsidRPr="00CE3844">
        <w:rPr>
          <w:rFonts w:ascii="Calibri" w:hAnsi="Calibri"/>
          <w:sz w:val="16"/>
          <w:szCs w:val="16"/>
        </w:rPr>
        <w:t xml:space="preserve"> See Notes</w:t>
      </w:r>
    </w:p>
  </w:footnote>
  <w:footnote w:id="3">
    <w:p w14:paraId="0BFA7DE5" w14:textId="77777777" w:rsidR="00C3788D" w:rsidRPr="004D3ADE" w:rsidRDefault="00C3788D" w:rsidP="00C3788D">
      <w:pPr>
        <w:pStyle w:val="FootnoteText"/>
        <w:rPr>
          <w:rFonts w:ascii="Calibri" w:hAnsi="Calibri" w:cs="Calibri"/>
          <w:sz w:val="16"/>
          <w:szCs w:val="16"/>
        </w:rPr>
      </w:pPr>
      <w:r w:rsidRPr="004D3ADE">
        <w:rPr>
          <w:rStyle w:val="FootnoteReference"/>
          <w:rFonts w:ascii="Calibri" w:hAnsi="Calibri" w:cs="Calibri"/>
          <w:sz w:val="16"/>
          <w:szCs w:val="16"/>
        </w:rPr>
        <w:footnoteRef/>
      </w:r>
      <w:r w:rsidRPr="004D3ADE">
        <w:rPr>
          <w:rFonts w:ascii="Calibri" w:hAnsi="Calibri" w:cs="Calibri"/>
          <w:sz w:val="16"/>
          <w:szCs w:val="16"/>
        </w:rPr>
        <w:t xml:space="preserve"> </w:t>
      </w:r>
      <w:r>
        <w:rPr>
          <w:rFonts w:ascii="Calibri" w:hAnsi="Calibri" w:cs="Calibri"/>
          <w:sz w:val="16"/>
          <w:szCs w:val="16"/>
        </w:rPr>
        <w:t>See Notes</w:t>
      </w:r>
    </w:p>
  </w:footnote>
  <w:footnote w:id="4">
    <w:p w14:paraId="23BC74C0" w14:textId="77777777" w:rsidR="00C3788D" w:rsidRPr="00890ED9" w:rsidRDefault="00C3788D" w:rsidP="00C3788D">
      <w:pPr>
        <w:spacing w:after="0" w:line="240" w:lineRule="auto"/>
        <w:rPr>
          <w:rFonts w:ascii="Calibri" w:hAnsi="Calibri" w:cs="Calibri"/>
          <w:sz w:val="16"/>
          <w:szCs w:val="16"/>
        </w:rPr>
      </w:pPr>
      <w:r w:rsidRPr="004D3ADE">
        <w:rPr>
          <w:rStyle w:val="FootnoteReference"/>
          <w:rFonts w:ascii="Calibri" w:hAnsi="Calibri"/>
          <w:sz w:val="16"/>
          <w:szCs w:val="16"/>
        </w:rPr>
        <w:footnoteRef/>
      </w:r>
      <w:r w:rsidRPr="004D3ADE">
        <w:rPr>
          <w:rFonts w:ascii="Calibri" w:hAnsi="Calibri"/>
          <w:sz w:val="16"/>
          <w:szCs w:val="16"/>
        </w:rPr>
        <w:t xml:space="preserve"> </w:t>
      </w:r>
      <w:r>
        <w:rPr>
          <w:rFonts w:ascii="Calibri" w:hAnsi="Calibri"/>
          <w:sz w:val="16"/>
          <w:szCs w:val="16"/>
        </w:rPr>
        <w:t>See Notes</w:t>
      </w:r>
    </w:p>
  </w:footnote>
  <w:footnote w:id="5">
    <w:p w14:paraId="0FD7AE93" w14:textId="77777777" w:rsidR="00C3788D" w:rsidRPr="008D686B" w:rsidRDefault="00C3788D" w:rsidP="00C3788D">
      <w:pPr>
        <w:pStyle w:val="FootnoteText"/>
        <w:rPr>
          <w:sz w:val="16"/>
          <w:szCs w:val="16"/>
        </w:rPr>
      </w:pPr>
      <w:r w:rsidRPr="008D686B">
        <w:rPr>
          <w:rStyle w:val="FootnoteReference"/>
          <w:sz w:val="16"/>
          <w:szCs w:val="16"/>
        </w:rPr>
        <w:footnoteRef/>
      </w:r>
      <w:r w:rsidRPr="008D686B">
        <w:rPr>
          <w:sz w:val="16"/>
          <w:szCs w:val="16"/>
        </w:rPr>
        <w:t xml:space="preserve"> </w:t>
      </w:r>
      <w:r>
        <w:rPr>
          <w:sz w:val="16"/>
          <w:szCs w:val="16"/>
        </w:rPr>
        <w:t>See Notes</w:t>
      </w:r>
    </w:p>
  </w:footnote>
  <w:footnote w:id="6">
    <w:p w14:paraId="6050FDCD" w14:textId="77777777" w:rsidR="00C3788D" w:rsidRDefault="00C3788D" w:rsidP="00C3788D">
      <w:pPr>
        <w:pStyle w:val="FootnoteText"/>
      </w:pPr>
      <w:r w:rsidRPr="008D686B">
        <w:rPr>
          <w:rStyle w:val="FootnoteReference"/>
          <w:sz w:val="16"/>
          <w:szCs w:val="16"/>
        </w:rPr>
        <w:footnoteRef/>
      </w:r>
      <w:r w:rsidRPr="008D686B">
        <w:rPr>
          <w:sz w:val="16"/>
          <w:szCs w:val="16"/>
        </w:rPr>
        <w:t xml:space="preserve"> For</w:t>
      </w:r>
      <w:r>
        <w:rPr>
          <w:sz w:val="16"/>
          <w:szCs w:val="16"/>
        </w:rPr>
        <w:t xml:space="preserve"> example, i</w:t>
      </w:r>
      <w:r w:rsidRPr="00CE3844">
        <w:rPr>
          <w:sz w:val="16"/>
          <w:szCs w:val="16"/>
        </w:rPr>
        <w:t xml:space="preserve">nstitutional investors </w:t>
      </w:r>
      <w:r>
        <w:rPr>
          <w:sz w:val="16"/>
          <w:szCs w:val="16"/>
        </w:rPr>
        <w:t>typically</w:t>
      </w:r>
      <w:r w:rsidRPr="00CE3844">
        <w:rPr>
          <w:sz w:val="16"/>
          <w:szCs w:val="16"/>
        </w:rPr>
        <w:t xml:space="preserve"> need to hold certain amount of low risk securities</w:t>
      </w:r>
      <w:r>
        <w:rPr>
          <w:sz w:val="16"/>
          <w:szCs w:val="16"/>
        </w:rPr>
        <w:t xml:space="preserve"> and</w:t>
      </w:r>
      <w:r w:rsidRPr="00CE3844">
        <w:rPr>
          <w:sz w:val="16"/>
          <w:szCs w:val="16"/>
        </w:rPr>
        <w:t xml:space="preserve"> </w:t>
      </w:r>
      <w:r>
        <w:rPr>
          <w:sz w:val="16"/>
          <w:szCs w:val="16"/>
        </w:rPr>
        <w:t>often</w:t>
      </w:r>
      <w:r w:rsidRPr="00CE3844">
        <w:rPr>
          <w:sz w:val="16"/>
          <w:szCs w:val="16"/>
        </w:rPr>
        <w:t xml:space="preserve"> require green bonds </w:t>
      </w:r>
      <w:r>
        <w:rPr>
          <w:sz w:val="16"/>
          <w:szCs w:val="16"/>
        </w:rPr>
        <w:t xml:space="preserve">to </w:t>
      </w:r>
      <w:r w:rsidRPr="00CE3844">
        <w:rPr>
          <w:sz w:val="16"/>
          <w:szCs w:val="16"/>
        </w:rPr>
        <w:t xml:space="preserve">be rated </w:t>
      </w:r>
      <w:r>
        <w:rPr>
          <w:sz w:val="16"/>
          <w:szCs w:val="16"/>
        </w:rPr>
        <w:t xml:space="preserve">as investment-grade bonds </w:t>
      </w:r>
      <w:r w:rsidRPr="00CE3844">
        <w:rPr>
          <w:sz w:val="16"/>
          <w:szCs w:val="16"/>
        </w:rPr>
        <w:t>by a credit rating (Meltzer, 2016)</w:t>
      </w:r>
      <w:r>
        <w:rPr>
          <w:sz w:val="16"/>
          <w:szCs w:val="16"/>
        </w:rPr>
        <w:t xml:space="preserve">. </w:t>
      </w:r>
    </w:p>
  </w:footnote>
  <w:footnote w:id="7">
    <w:p w14:paraId="1E25931B" w14:textId="77777777" w:rsidR="00C3788D" w:rsidRPr="003F2E59" w:rsidRDefault="00C3788D" w:rsidP="00C3788D">
      <w:pPr>
        <w:pStyle w:val="FootnoteText"/>
        <w:rPr>
          <w:sz w:val="16"/>
          <w:szCs w:val="16"/>
        </w:rPr>
      </w:pPr>
      <w:r w:rsidRPr="003F2E59">
        <w:rPr>
          <w:rStyle w:val="FootnoteReference"/>
          <w:sz w:val="16"/>
          <w:szCs w:val="16"/>
        </w:rPr>
        <w:footnoteRef/>
      </w:r>
      <w:r w:rsidRPr="003F2E59">
        <w:rPr>
          <w:sz w:val="16"/>
          <w:szCs w:val="16"/>
        </w:rPr>
        <w:t xml:space="preserve"> See Notes</w:t>
      </w:r>
    </w:p>
  </w:footnote>
  <w:footnote w:id="8">
    <w:p w14:paraId="228924B7" w14:textId="77777777" w:rsidR="00C3788D" w:rsidRPr="00F67BE3" w:rsidRDefault="00C3788D" w:rsidP="00C3788D">
      <w:pPr>
        <w:pStyle w:val="FootnoteText"/>
        <w:rPr>
          <w:sz w:val="16"/>
          <w:szCs w:val="16"/>
        </w:rPr>
      </w:pPr>
      <w:r w:rsidRPr="00B05BDA">
        <w:rPr>
          <w:rStyle w:val="FootnoteReference"/>
          <w:sz w:val="16"/>
          <w:szCs w:val="16"/>
        </w:rPr>
        <w:footnoteRef/>
      </w:r>
      <w:r w:rsidRPr="00B05BDA">
        <w:rPr>
          <w:sz w:val="16"/>
          <w:szCs w:val="16"/>
        </w:rPr>
        <w:t xml:space="preserve"> </w:t>
      </w:r>
      <w:r>
        <w:rPr>
          <w:rFonts w:ascii="Calibri" w:hAnsi="Calibri" w:cs="Calibri"/>
          <w:sz w:val="16"/>
          <w:szCs w:val="16"/>
        </w:rPr>
        <w:t>See Notes</w:t>
      </w:r>
    </w:p>
  </w:footnote>
  <w:footnote w:id="9">
    <w:p w14:paraId="025232E9" w14:textId="77777777" w:rsidR="00C3788D" w:rsidRPr="00F67BE3" w:rsidRDefault="00C3788D" w:rsidP="00C3788D">
      <w:pPr>
        <w:pStyle w:val="FootnoteText"/>
        <w:rPr>
          <w:sz w:val="16"/>
          <w:szCs w:val="16"/>
        </w:rPr>
      </w:pPr>
      <w:r w:rsidRPr="00F67BE3">
        <w:rPr>
          <w:rStyle w:val="FootnoteReference"/>
          <w:sz w:val="16"/>
          <w:szCs w:val="16"/>
        </w:rPr>
        <w:footnoteRef/>
      </w:r>
      <w:r w:rsidRPr="00F67BE3">
        <w:rPr>
          <w:sz w:val="16"/>
          <w:szCs w:val="16"/>
        </w:rPr>
        <w:t xml:space="preserve"> High fees </w:t>
      </w:r>
      <w:proofErr w:type="gramStart"/>
      <w:r w:rsidRPr="00F67BE3">
        <w:rPr>
          <w:sz w:val="16"/>
          <w:szCs w:val="16"/>
        </w:rPr>
        <w:t xml:space="preserve">can </w:t>
      </w:r>
      <w:r>
        <w:rPr>
          <w:sz w:val="16"/>
          <w:szCs w:val="16"/>
        </w:rPr>
        <w:t>for example</w:t>
      </w:r>
      <w:r w:rsidRPr="00F67BE3">
        <w:rPr>
          <w:sz w:val="16"/>
          <w:szCs w:val="16"/>
        </w:rPr>
        <w:t xml:space="preserve"> be related</w:t>
      </w:r>
      <w:proofErr w:type="gramEnd"/>
      <w:r w:rsidRPr="00F67BE3">
        <w:rPr>
          <w:sz w:val="16"/>
          <w:szCs w:val="16"/>
        </w:rPr>
        <w:t xml:space="preserve"> to</w:t>
      </w:r>
      <w:r>
        <w:rPr>
          <w:sz w:val="16"/>
          <w:szCs w:val="16"/>
        </w:rPr>
        <w:t xml:space="preserve"> costly</w:t>
      </w:r>
      <w:r w:rsidRPr="00F67BE3">
        <w:rPr>
          <w:sz w:val="16"/>
          <w:szCs w:val="16"/>
        </w:rPr>
        <w:t xml:space="preserve"> information verification of green bonds due to a lack of standardised information sources</w:t>
      </w:r>
      <w:r>
        <w:rPr>
          <w:sz w:val="16"/>
          <w:szCs w:val="16"/>
        </w:rPr>
        <w:t xml:space="preserve"> (OECD, 2017). </w:t>
      </w:r>
    </w:p>
  </w:footnote>
  <w:footnote w:id="10">
    <w:p w14:paraId="2677D17D" w14:textId="77777777" w:rsidR="00C3788D" w:rsidRPr="00595050" w:rsidRDefault="00C3788D" w:rsidP="00C3788D">
      <w:pPr>
        <w:pStyle w:val="FootnoteText"/>
        <w:rPr>
          <w:rFonts w:cstheme="minorHAnsi"/>
          <w:sz w:val="16"/>
          <w:szCs w:val="16"/>
        </w:rPr>
      </w:pPr>
      <w:r w:rsidRPr="00F67BE3">
        <w:rPr>
          <w:rStyle w:val="FootnoteReference"/>
          <w:sz w:val="16"/>
          <w:szCs w:val="16"/>
        </w:rPr>
        <w:footnoteRef/>
      </w:r>
      <w:r>
        <w:rPr>
          <w:sz w:val="16"/>
          <w:szCs w:val="16"/>
        </w:rPr>
        <w:t xml:space="preserve"> See Notes</w:t>
      </w:r>
    </w:p>
  </w:footnote>
  <w:footnote w:id="11">
    <w:p w14:paraId="493764D3" w14:textId="77777777" w:rsidR="009522F5" w:rsidRDefault="009522F5" w:rsidP="00B03132">
      <w:pPr>
        <w:pStyle w:val="FootnoteText"/>
      </w:pPr>
      <w:r w:rsidRPr="001F5828">
        <w:rPr>
          <w:rStyle w:val="FootnoteReference"/>
          <w:sz w:val="16"/>
          <w:szCs w:val="16"/>
        </w:rPr>
        <w:footnoteRef/>
      </w:r>
      <w:r w:rsidRPr="001F5828">
        <w:rPr>
          <w:sz w:val="16"/>
          <w:szCs w:val="16"/>
        </w:rPr>
        <w:t xml:space="preserve"> Bolton &amp; </w:t>
      </w:r>
      <w:proofErr w:type="spellStart"/>
      <w:r w:rsidRPr="001F5828">
        <w:rPr>
          <w:sz w:val="16"/>
          <w:szCs w:val="16"/>
        </w:rPr>
        <w:t>Foxon</w:t>
      </w:r>
      <w:proofErr w:type="spellEnd"/>
      <w:r w:rsidRPr="001F5828">
        <w:rPr>
          <w:sz w:val="16"/>
          <w:szCs w:val="16"/>
        </w:rPr>
        <w:t xml:space="preserve"> (2015) apply socio-technical perspective on investment challenges. Thereby, the main features of the socio-technical perspective are </w:t>
      </w:r>
      <w:proofErr w:type="gramStart"/>
      <w:r>
        <w:rPr>
          <w:sz w:val="16"/>
          <w:szCs w:val="16"/>
        </w:rPr>
        <w:t>to a large extent</w:t>
      </w:r>
      <w:proofErr w:type="gramEnd"/>
      <w:r>
        <w:rPr>
          <w:sz w:val="16"/>
          <w:szCs w:val="16"/>
        </w:rPr>
        <w:t xml:space="preserve"> shared</w:t>
      </w:r>
      <w:r w:rsidRPr="001F5828">
        <w:rPr>
          <w:sz w:val="16"/>
          <w:szCs w:val="16"/>
        </w:rPr>
        <w:t xml:space="preserve"> </w:t>
      </w:r>
      <w:r>
        <w:rPr>
          <w:sz w:val="16"/>
          <w:szCs w:val="16"/>
        </w:rPr>
        <w:t>by</w:t>
      </w:r>
      <w:r w:rsidRPr="001F5828">
        <w:rPr>
          <w:sz w:val="16"/>
          <w:szCs w:val="16"/>
        </w:rPr>
        <w:t xml:space="preserve"> </w:t>
      </w:r>
      <w:r>
        <w:rPr>
          <w:sz w:val="16"/>
          <w:szCs w:val="16"/>
        </w:rPr>
        <w:t>the</w:t>
      </w:r>
      <w:r w:rsidRPr="001F5828">
        <w:rPr>
          <w:sz w:val="16"/>
          <w:szCs w:val="16"/>
        </w:rPr>
        <w:t xml:space="preserve"> systems/complexity approach put forward in our paper </w:t>
      </w:r>
      <w:r>
        <w:rPr>
          <w:sz w:val="16"/>
          <w:szCs w:val="16"/>
        </w:rPr>
        <w:t xml:space="preserve">(van den Bergh, 2013; van den Berg et al., 2011). </w:t>
      </w:r>
    </w:p>
  </w:footnote>
  <w:footnote w:id="12">
    <w:p w14:paraId="6D23D0D6" w14:textId="77777777" w:rsidR="009522F5" w:rsidRPr="006230C0" w:rsidRDefault="009522F5" w:rsidP="00B03132">
      <w:pPr>
        <w:pStyle w:val="FootnoteText"/>
        <w:rPr>
          <w:rFonts w:cstheme="minorHAnsi"/>
          <w:sz w:val="16"/>
          <w:szCs w:val="16"/>
        </w:rPr>
      </w:pPr>
      <w:r w:rsidRPr="006230C0">
        <w:rPr>
          <w:rStyle w:val="FootnoteReference"/>
          <w:rFonts w:cstheme="minorHAnsi"/>
          <w:sz w:val="16"/>
          <w:szCs w:val="16"/>
        </w:rPr>
        <w:footnoteRef/>
      </w:r>
      <w:r w:rsidRPr="006230C0">
        <w:rPr>
          <w:rFonts w:cstheme="minorHAnsi"/>
          <w:sz w:val="16"/>
          <w:szCs w:val="16"/>
        </w:rPr>
        <w:t xml:space="preserve"> In system dynamics, </w:t>
      </w:r>
      <w:r w:rsidRPr="006230C0">
        <w:rPr>
          <w:rFonts w:cstheme="minorHAnsi"/>
          <w:i/>
          <w:sz w:val="16"/>
          <w:szCs w:val="16"/>
        </w:rPr>
        <w:t>leverage-points</w:t>
      </w:r>
      <w:r w:rsidRPr="006230C0">
        <w:rPr>
          <w:rFonts w:cstheme="minorHAnsi"/>
          <w:sz w:val="16"/>
          <w:szCs w:val="16"/>
        </w:rPr>
        <w:t xml:space="preserve"> or </w:t>
      </w:r>
      <w:r w:rsidRPr="006230C0">
        <w:rPr>
          <w:rFonts w:cstheme="minorHAnsi"/>
          <w:i/>
          <w:sz w:val="16"/>
          <w:szCs w:val="16"/>
        </w:rPr>
        <w:t>key-points</w:t>
      </w:r>
      <w:r w:rsidRPr="006230C0">
        <w:rPr>
          <w:rFonts w:cstheme="minorHAnsi"/>
          <w:sz w:val="16"/>
          <w:szCs w:val="16"/>
        </w:rPr>
        <w:t xml:space="preserve"> affect feedback loops in the entire system; therefore, the system is sensitive to changes in those variable values. System dynamics aims to identify those points for policy implementation (</w:t>
      </w:r>
      <w:proofErr w:type="spellStart"/>
      <w:r w:rsidRPr="006230C0">
        <w:rPr>
          <w:rFonts w:cstheme="minorHAnsi"/>
          <w:sz w:val="16"/>
          <w:szCs w:val="16"/>
        </w:rPr>
        <w:t>Sterman</w:t>
      </w:r>
      <w:proofErr w:type="spellEnd"/>
      <w:r w:rsidRPr="006230C0">
        <w:rPr>
          <w:rFonts w:cstheme="minorHAnsi"/>
          <w:sz w:val="16"/>
          <w:szCs w:val="16"/>
        </w:rPr>
        <w:t xml:space="preserve">, 2000). </w:t>
      </w:r>
    </w:p>
  </w:footnote>
  <w:footnote w:id="13">
    <w:p w14:paraId="02483882" w14:textId="77777777" w:rsidR="009522F5" w:rsidRPr="004F48DF" w:rsidRDefault="009522F5" w:rsidP="00A85361">
      <w:pPr>
        <w:pStyle w:val="FootnoteText"/>
        <w:rPr>
          <w:sz w:val="16"/>
          <w:szCs w:val="16"/>
        </w:rPr>
      </w:pPr>
      <w:r w:rsidRPr="006230C0">
        <w:rPr>
          <w:rStyle w:val="FootnoteReference"/>
          <w:rFonts w:cstheme="minorHAnsi"/>
          <w:sz w:val="16"/>
          <w:szCs w:val="16"/>
        </w:rPr>
        <w:footnoteRef/>
      </w:r>
      <w:r w:rsidRPr="006230C0">
        <w:rPr>
          <w:rFonts w:cstheme="minorHAnsi"/>
          <w:sz w:val="16"/>
          <w:szCs w:val="16"/>
        </w:rPr>
        <w:t xml:space="preserve"> Bolton &amp; </w:t>
      </w:r>
      <w:proofErr w:type="spellStart"/>
      <w:r w:rsidRPr="006230C0">
        <w:rPr>
          <w:rFonts w:cstheme="minorHAnsi"/>
          <w:sz w:val="16"/>
          <w:szCs w:val="16"/>
        </w:rPr>
        <w:t>Fox</w:t>
      </w:r>
      <w:r>
        <w:rPr>
          <w:rFonts w:cstheme="minorHAnsi"/>
          <w:sz w:val="16"/>
          <w:szCs w:val="16"/>
        </w:rPr>
        <w:t>on</w:t>
      </w:r>
      <w:proofErr w:type="spellEnd"/>
      <w:r>
        <w:rPr>
          <w:rFonts w:cstheme="minorHAnsi"/>
          <w:sz w:val="16"/>
          <w:szCs w:val="16"/>
        </w:rPr>
        <w:t xml:space="preserve"> (2015, p.168) </w:t>
      </w:r>
      <w:proofErr w:type="gramStart"/>
      <w:r>
        <w:rPr>
          <w:rFonts w:cstheme="minorHAnsi"/>
          <w:sz w:val="16"/>
          <w:szCs w:val="16"/>
        </w:rPr>
        <w:t>indicate</w:t>
      </w:r>
      <w:proofErr w:type="gramEnd"/>
      <w:r>
        <w:rPr>
          <w:rFonts w:cstheme="minorHAnsi"/>
          <w:sz w:val="16"/>
          <w:szCs w:val="16"/>
        </w:rPr>
        <w:t xml:space="preserve"> “</w:t>
      </w:r>
      <w:r w:rsidRPr="006230C0">
        <w:rPr>
          <w:rFonts w:cstheme="minorHAnsi"/>
          <w:sz w:val="16"/>
          <w:szCs w:val="16"/>
        </w:rPr>
        <w:t>a key underpinning of the ‘hands off’ relationship which emerged since the 1980s between government and the industry has been basic assumptions o</w:t>
      </w:r>
      <w:r>
        <w:rPr>
          <w:rFonts w:cstheme="minorHAnsi"/>
          <w:sz w:val="16"/>
          <w:szCs w:val="16"/>
        </w:rPr>
        <w:t>f neo-classical economic theory”</w:t>
      </w:r>
      <w:r w:rsidRPr="006230C0">
        <w:rPr>
          <w:rFonts w:cstheme="minorHAnsi"/>
          <w:sz w:val="16"/>
          <w:szCs w:val="16"/>
        </w:rPr>
        <w:t xml:space="preserve">. That is, it </w:t>
      </w:r>
      <w:proofErr w:type="gramStart"/>
      <w:r w:rsidRPr="006230C0">
        <w:rPr>
          <w:rFonts w:cstheme="minorHAnsi"/>
          <w:sz w:val="16"/>
          <w:szCs w:val="16"/>
        </w:rPr>
        <w:t>has been assumed</w:t>
      </w:r>
      <w:proofErr w:type="gramEnd"/>
      <w:r w:rsidRPr="006230C0">
        <w:rPr>
          <w:rFonts w:cstheme="minorHAnsi"/>
          <w:sz w:val="16"/>
          <w:szCs w:val="16"/>
        </w:rPr>
        <w:t xml:space="preserve"> that investments are most efficiently made by the private sector and that the governments should implement appropriate price signals leading the market towards an optimum. Bolton &amp; </w:t>
      </w:r>
      <w:proofErr w:type="spellStart"/>
      <w:r w:rsidRPr="006230C0">
        <w:rPr>
          <w:rFonts w:cstheme="minorHAnsi"/>
          <w:sz w:val="16"/>
          <w:szCs w:val="16"/>
        </w:rPr>
        <w:t>Foxon</w:t>
      </w:r>
      <w:proofErr w:type="spellEnd"/>
      <w:r w:rsidRPr="006230C0">
        <w:rPr>
          <w:rFonts w:cstheme="minorHAnsi"/>
          <w:sz w:val="16"/>
          <w:szCs w:val="16"/>
        </w:rPr>
        <w:t xml:space="preserve"> (2015, p.169) argue that UK energy policy would move into a </w:t>
      </w:r>
      <w:r>
        <w:rPr>
          <w:rFonts w:cstheme="minorHAnsi"/>
          <w:sz w:val="16"/>
          <w:szCs w:val="16"/>
        </w:rPr>
        <w:t>new phase of energy governance “</w:t>
      </w:r>
      <w:r w:rsidRPr="006230C0">
        <w:rPr>
          <w:rFonts w:cstheme="minorHAnsi"/>
          <w:sz w:val="16"/>
          <w:szCs w:val="16"/>
        </w:rPr>
        <w:t xml:space="preserve">where new investment to meet long term climate policy and energy security </w:t>
      </w:r>
      <w:r>
        <w:rPr>
          <w:rFonts w:cstheme="minorHAnsi"/>
          <w:sz w:val="16"/>
          <w:szCs w:val="16"/>
        </w:rPr>
        <w:t>objectives is the main priority”</w:t>
      </w:r>
      <w:r w:rsidRPr="006230C0">
        <w:rPr>
          <w:rFonts w:cstheme="minorHAnsi"/>
          <w:sz w:val="16"/>
          <w:szCs w:val="16"/>
        </w:rPr>
        <w:t>.</w:t>
      </w:r>
      <w:r>
        <w:rPr>
          <w:sz w:val="16"/>
          <w:szCs w:val="16"/>
        </w:rPr>
        <w:t xml:space="preserve"> </w:t>
      </w:r>
    </w:p>
  </w:footnote>
  <w:footnote w:id="14">
    <w:p w14:paraId="390B7A22" w14:textId="77777777" w:rsidR="00C3788D" w:rsidRPr="00AB5055" w:rsidRDefault="00C3788D" w:rsidP="00C3788D">
      <w:pPr>
        <w:pStyle w:val="FootnoteText"/>
        <w:rPr>
          <w:rFonts w:ascii="Calibri" w:hAnsi="Calibri" w:cs="Calibri"/>
          <w:sz w:val="16"/>
          <w:szCs w:val="16"/>
        </w:rPr>
      </w:pPr>
      <w:r w:rsidRPr="00AB5055">
        <w:rPr>
          <w:rStyle w:val="FootnoteReference"/>
          <w:rFonts w:ascii="Calibri" w:hAnsi="Calibri" w:cs="Calibri"/>
          <w:sz w:val="16"/>
          <w:szCs w:val="16"/>
        </w:rPr>
        <w:footnoteRef/>
      </w:r>
      <w:r w:rsidRPr="00AB5055">
        <w:rPr>
          <w:rFonts w:ascii="Calibri" w:hAnsi="Calibri" w:cs="Calibri"/>
          <w:sz w:val="16"/>
          <w:szCs w:val="16"/>
        </w:rPr>
        <w:t xml:space="preserve"> This also was a point raised by a majority of our interviewees. </w:t>
      </w:r>
    </w:p>
  </w:footnote>
  <w:footnote w:id="15">
    <w:p w14:paraId="0859319D" w14:textId="77777777" w:rsidR="00C3788D" w:rsidRPr="00C70880" w:rsidRDefault="00C3788D" w:rsidP="00C3788D">
      <w:pPr>
        <w:autoSpaceDE w:val="0"/>
        <w:autoSpaceDN w:val="0"/>
        <w:adjustRightInd w:val="0"/>
        <w:spacing w:after="0" w:line="240" w:lineRule="auto"/>
        <w:rPr>
          <w:rFonts w:ascii="Calibri" w:eastAsia="CharisSIL" w:hAnsi="Calibri" w:cs="Calibri"/>
          <w:color w:val="C00000"/>
          <w:sz w:val="16"/>
          <w:szCs w:val="16"/>
        </w:rPr>
      </w:pPr>
      <w:r w:rsidRPr="00C70880">
        <w:rPr>
          <w:rStyle w:val="FootnoteReference"/>
          <w:rFonts w:ascii="Calibri" w:hAnsi="Calibri" w:cs="Calibri"/>
          <w:sz w:val="16"/>
          <w:szCs w:val="16"/>
        </w:rPr>
        <w:footnoteRef/>
      </w:r>
      <w:r w:rsidRPr="00C70880">
        <w:rPr>
          <w:rFonts w:ascii="Calibri" w:hAnsi="Calibri" w:cs="Calibri"/>
          <w:sz w:val="16"/>
          <w:szCs w:val="16"/>
        </w:rPr>
        <w:t xml:space="preserve"> F</w:t>
      </w:r>
      <w:r w:rsidRPr="00C70880">
        <w:rPr>
          <w:rFonts w:ascii="Calibri" w:eastAsia="CharisSIL" w:hAnsi="Calibri" w:cs="Calibri"/>
          <w:sz w:val="16"/>
          <w:szCs w:val="16"/>
        </w:rPr>
        <w:t>or example the</w:t>
      </w:r>
      <w:r w:rsidRPr="00C70880">
        <w:rPr>
          <w:rFonts w:ascii="Calibri" w:hAnsi="Calibri" w:cs="Calibri"/>
          <w:sz w:val="16"/>
          <w:szCs w:val="16"/>
        </w:rPr>
        <w:t xml:space="preserve"> </w:t>
      </w:r>
      <w:r w:rsidRPr="00C70880">
        <w:rPr>
          <w:rFonts w:ascii="Calibri" w:eastAsia="CharisSIL" w:hAnsi="Calibri" w:cs="Calibri"/>
          <w:sz w:val="16"/>
          <w:szCs w:val="16"/>
        </w:rPr>
        <w:t>liquidity requirements of banks regulated within the Basel III banking regulations might negatively affect banks' willingness to lend to green projects (</w:t>
      </w:r>
      <w:proofErr w:type="spellStart"/>
      <w:proofErr w:type="gramStart"/>
      <w:r>
        <w:rPr>
          <w:rFonts w:ascii="Calibri" w:hAnsi="Calibri" w:cs="Calibri"/>
          <w:sz w:val="16"/>
          <w:szCs w:val="16"/>
        </w:rPr>
        <w:t>D’Orazio</w:t>
      </w:r>
      <w:proofErr w:type="spellEnd"/>
      <w:r>
        <w:rPr>
          <w:rFonts w:ascii="Calibri" w:hAnsi="Calibri" w:cs="Calibri"/>
          <w:sz w:val="16"/>
          <w:szCs w:val="16"/>
        </w:rPr>
        <w:t xml:space="preserve">  &amp;</w:t>
      </w:r>
      <w:proofErr w:type="gramEnd"/>
      <w:r>
        <w:rPr>
          <w:rFonts w:ascii="Calibri" w:hAnsi="Calibri" w:cs="Calibri"/>
          <w:sz w:val="16"/>
          <w:szCs w:val="16"/>
        </w:rPr>
        <w:t xml:space="preserve"> </w:t>
      </w:r>
      <w:proofErr w:type="spellStart"/>
      <w:r>
        <w:rPr>
          <w:rFonts w:ascii="Calibri" w:hAnsi="Calibri" w:cs="Calibri"/>
          <w:sz w:val="16"/>
          <w:szCs w:val="16"/>
        </w:rPr>
        <w:t>Popoyan</w:t>
      </w:r>
      <w:proofErr w:type="spellEnd"/>
      <w:r>
        <w:rPr>
          <w:rFonts w:ascii="Calibri" w:hAnsi="Calibri" w:cs="Calibri"/>
          <w:sz w:val="16"/>
          <w:szCs w:val="16"/>
        </w:rPr>
        <w:t xml:space="preserve">, </w:t>
      </w:r>
      <w:r w:rsidRPr="00C70880">
        <w:rPr>
          <w:rFonts w:ascii="Calibri" w:hAnsi="Calibri" w:cs="Calibri"/>
          <w:sz w:val="16"/>
          <w:szCs w:val="16"/>
        </w:rPr>
        <w:t xml:space="preserve">2019). </w:t>
      </w:r>
    </w:p>
  </w:footnote>
  <w:footnote w:id="16">
    <w:p w14:paraId="60D0FD8B" w14:textId="77777777" w:rsidR="00C3788D" w:rsidRPr="00C5547E" w:rsidRDefault="00C3788D" w:rsidP="00C3788D">
      <w:pPr>
        <w:pStyle w:val="FootnoteText"/>
        <w:rPr>
          <w:rFonts w:ascii="Calibri" w:hAnsi="Calibri" w:cs="Calibri"/>
          <w:sz w:val="16"/>
          <w:szCs w:val="16"/>
        </w:rPr>
      </w:pPr>
      <w:r w:rsidRPr="00C5547E">
        <w:rPr>
          <w:rStyle w:val="FootnoteReference"/>
          <w:sz w:val="16"/>
          <w:szCs w:val="16"/>
        </w:rPr>
        <w:footnoteRef/>
      </w:r>
      <w:r w:rsidRPr="00C5547E">
        <w:rPr>
          <w:sz w:val="16"/>
          <w:szCs w:val="16"/>
        </w:rPr>
        <w:t xml:space="preserve"> </w:t>
      </w:r>
      <w:r>
        <w:rPr>
          <w:rFonts w:ascii="Calibri" w:hAnsi="Calibri" w:cs="Calibri"/>
          <w:sz w:val="16"/>
          <w:szCs w:val="16"/>
        </w:rPr>
        <w:t>See Notes</w:t>
      </w:r>
    </w:p>
  </w:footnote>
  <w:footnote w:id="17">
    <w:p w14:paraId="4C9BAF76" w14:textId="77777777" w:rsidR="00C3788D" w:rsidRPr="00C5547E" w:rsidRDefault="00C3788D" w:rsidP="00C3788D">
      <w:pPr>
        <w:pStyle w:val="FootnoteText"/>
        <w:rPr>
          <w:rFonts w:ascii="Calibri" w:hAnsi="Calibri" w:cs="Calibri"/>
          <w:sz w:val="16"/>
          <w:szCs w:val="16"/>
        </w:rPr>
      </w:pPr>
      <w:r w:rsidRPr="00C5547E">
        <w:rPr>
          <w:rStyle w:val="FootnoteReference"/>
          <w:rFonts w:ascii="Calibri" w:hAnsi="Calibri" w:cs="Calibri"/>
          <w:sz w:val="16"/>
          <w:szCs w:val="16"/>
        </w:rPr>
        <w:footnoteRef/>
      </w:r>
      <w:r w:rsidRPr="00C5547E">
        <w:rPr>
          <w:rFonts w:ascii="Calibri" w:hAnsi="Calibri" w:cs="Calibri"/>
          <w:sz w:val="16"/>
          <w:szCs w:val="16"/>
        </w:rPr>
        <w:t xml:space="preserve"> </w:t>
      </w:r>
      <w:r w:rsidRPr="00C5547E">
        <w:rPr>
          <w:rFonts w:eastAsia="Times New Roman"/>
          <w:sz w:val="16"/>
          <w:szCs w:val="16"/>
        </w:rPr>
        <w:t>A green bond is a fixed-income financial instrument for raising capital from investors through the debt capital market and aimed at</w:t>
      </w:r>
      <w:r w:rsidRPr="00C5547E">
        <w:rPr>
          <w:rFonts w:ascii="Calibri" w:hAnsi="Calibri" w:cs="Calibri"/>
          <w:bCs/>
          <w:color w:val="222222"/>
          <w:sz w:val="16"/>
          <w:szCs w:val="16"/>
        </w:rPr>
        <w:t xml:space="preserve"> financing low-carbon or other environmentally sustainable activities</w:t>
      </w:r>
      <w:r w:rsidRPr="00C5547E">
        <w:rPr>
          <w:rFonts w:eastAsia="Times New Roman"/>
          <w:sz w:val="16"/>
          <w:szCs w:val="16"/>
        </w:rPr>
        <w:t xml:space="preserve"> (OECD, 2017). For more detailed categorisation, see e.g. CBI (2018). </w:t>
      </w:r>
    </w:p>
  </w:footnote>
  <w:footnote w:id="18">
    <w:p w14:paraId="0BA72646" w14:textId="77777777" w:rsidR="00C3788D" w:rsidRPr="00C5547E" w:rsidRDefault="00C3788D" w:rsidP="00C3788D">
      <w:pPr>
        <w:spacing w:after="0" w:line="240" w:lineRule="auto"/>
        <w:rPr>
          <w:rFonts w:ascii="Calibri" w:eastAsia="Times New Roman" w:hAnsi="Calibri" w:cs="Calibri"/>
          <w:sz w:val="16"/>
          <w:szCs w:val="16"/>
          <w:lang w:eastAsia="en-GB"/>
        </w:rPr>
      </w:pPr>
      <w:r w:rsidRPr="00C5547E">
        <w:rPr>
          <w:rStyle w:val="FootnoteReference"/>
          <w:rFonts w:ascii="Calibri" w:hAnsi="Calibri" w:cs="Calibri"/>
          <w:sz w:val="16"/>
          <w:szCs w:val="16"/>
        </w:rPr>
        <w:footnoteRef/>
      </w:r>
      <w:r w:rsidRPr="00C5547E">
        <w:rPr>
          <w:rFonts w:ascii="Calibri" w:hAnsi="Calibri" w:cs="Calibri"/>
          <w:sz w:val="16"/>
          <w:szCs w:val="16"/>
        </w:rPr>
        <w:t xml:space="preserve"> See Notes</w:t>
      </w:r>
    </w:p>
  </w:footnote>
  <w:footnote w:id="19">
    <w:p w14:paraId="26740E31" w14:textId="77777777" w:rsidR="00C3788D" w:rsidRPr="00C5547E" w:rsidRDefault="00C3788D" w:rsidP="00C3788D">
      <w:pPr>
        <w:spacing w:after="0"/>
        <w:jc w:val="both"/>
        <w:rPr>
          <w:sz w:val="16"/>
          <w:szCs w:val="16"/>
        </w:rPr>
      </w:pPr>
      <w:r w:rsidRPr="00C5547E">
        <w:rPr>
          <w:rStyle w:val="FootnoteReference"/>
          <w:sz w:val="16"/>
          <w:szCs w:val="16"/>
        </w:rPr>
        <w:footnoteRef/>
      </w:r>
      <w:r>
        <w:rPr>
          <w:sz w:val="16"/>
          <w:szCs w:val="16"/>
        </w:rPr>
        <w:t xml:space="preserve"> See Notes</w:t>
      </w:r>
    </w:p>
  </w:footnote>
  <w:footnote w:id="20">
    <w:p w14:paraId="4D514192" w14:textId="77777777" w:rsidR="00C3788D" w:rsidRPr="00C5547E" w:rsidRDefault="00C3788D" w:rsidP="00C3788D">
      <w:pPr>
        <w:pStyle w:val="FootnoteText"/>
        <w:rPr>
          <w:sz w:val="16"/>
          <w:szCs w:val="16"/>
        </w:rPr>
      </w:pPr>
      <w:r w:rsidRPr="00C5547E">
        <w:rPr>
          <w:rStyle w:val="FootnoteReference"/>
          <w:sz w:val="16"/>
          <w:szCs w:val="16"/>
        </w:rPr>
        <w:footnoteRef/>
      </w:r>
      <w:r>
        <w:rPr>
          <w:sz w:val="16"/>
          <w:szCs w:val="16"/>
        </w:rPr>
        <w:t xml:space="preserve"> See Notes </w:t>
      </w:r>
    </w:p>
  </w:footnote>
  <w:footnote w:id="21">
    <w:p w14:paraId="414D5ABA" w14:textId="77777777" w:rsidR="00C3788D" w:rsidRPr="00C5547E" w:rsidRDefault="00C3788D" w:rsidP="00C3788D">
      <w:pPr>
        <w:pStyle w:val="FootnoteText"/>
        <w:rPr>
          <w:rFonts w:ascii="Calibri" w:hAnsi="Calibri" w:cs="Calibri"/>
          <w:spacing w:val="3"/>
          <w:sz w:val="16"/>
          <w:szCs w:val="16"/>
        </w:rPr>
      </w:pPr>
      <w:r w:rsidRPr="00C5547E">
        <w:rPr>
          <w:rStyle w:val="FootnoteReference"/>
          <w:rFonts w:ascii="Calibri" w:hAnsi="Calibri" w:cs="Calibri"/>
          <w:sz w:val="16"/>
          <w:szCs w:val="16"/>
        </w:rPr>
        <w:footnoteRef/>
      </w:r>
      <w:r>
        <w:rPr>
          <w:rFonts w:ascii="Calibri" w:hAnsi="Calibri" w:cs="Calibri"/>
          <w:sz w:val="16"/>
          <w:szCs w:val="16"/>
        </w:rPr>
        <w:t xml:space="preserve"> See Notes</w:t>
      </w:r>
    </w:p>
  </w:footnote>
  <w:footnote w:id="22">
    <w:p w14:paraId="4F9E5F7F" w14:textId="77777777" w:rsidR="00C3788D" w:rsidRPr="00C5547E" w:rsidRDefault="00C3788D" w:rsidP="00C3788D">
      <w:pPr>
        <w:pStyle w:val="FootnoteText"/>
        <w:rPr>
          <w:sz w:val="16"/>
          <w:szCs w:val="16"/>
        </w:rPr>
      </w:pPr>
      <w:r w:rsidRPr="00C5547E">
        <w:rPr>
          <w:rStyle w:val="FootnoteReference"/>
          <w:sz w:val="16"/>
          <w:szCs w:val="16"/>
        </w:rPr>
        <w:footnoteRef/>
      </w:r>
      <w:r>
        <w:rPr>
          <w:sz w:val="16"/>
          <w:szCs w:val="16"/>
        </w:rPr>
        <w:t xml:space="preserve"> See Notes</w:t>
      </w:r>
    </w:p>
  </w:footnote>
  <w:footnote w:id="23">
    <w:p w14:paraId="09C26162" w14:textId="77777777" w:rsidR="00C3788D" w:rsidRPr="00C5547E" w:rsidRDefault="00C3788D" w:rsidP="00C3788D">
      <w:pPr>
        <w:pStyle w:val="FootnoteText"/>
        <w:rPr>
          <w:sz w:val="16"/>
          <w:szCs w:val="16"/>
        </w:rPr>
      </w:pPr>
      <w:r w:rsidRPr="00C5547E">
        <w:rPr>
          <w:rStyle w:val="FootnoteReference"/>
          <w:sz w:val="16"/>
          <w:szCs w:val="16"/>
        </w:rPr>
        <w:footnoteRef/>
      </w:r>
      <w:r>
        <w:rPr>
          <w:sz w:val="16"/>
          <w:szCs w:val="16"/>
        </w:rPr>
        <w:t xml:space="preserve"> See Notes</w:t>
      </w:r>
    </w:p>
  </w:footnote>
  <w:footnote w:id="24">
    <w:p w14:paraId="011EA2B4" w14:textId="77777777" w:rsidR="00C3788D" w:rsidRPr="00C5547E" w:rsidRDefault="00C3788D" w:rsidP="00C3788D">
      <w:pPr>
        <w:spacing w:after="0"/>
        <w:rPr>
          <w:sz w:val="16"/>
          <w:szCs w:val="16"/>
        </w:rPr>
      </w:pPr>
      <w:r w:rsidRPr="00C5547E">
        <w:rPr>
          <w:rStyle w:val="FootnoteReference"/>
          <w:sz w:val="16"/>
          <w:szCs w:val="16"/>
        </w:rPr>
        <w:footnoteRef/>
      </w:r>
      <w:r>
        <w:rPr>
          <w:sz w:val="16"/>
          <w:szCs w:val="16"/>
        </w:rPr>
        <w:t xml:space="preserve"> See Notes</w:t>
      </w:r>
    </w:p>
  </w:footnote>
  <w:footnote w:id="25">
    <w:p w14:paraId="0F548C6A" w14:textId="77777777" w:rsidR="00C3788D" w:rsidRPr="00C5547E" w:rsidRDefault="00C3788D" w:rsidP="00C3788D">
      <w:pPr>
        <w:pStyle w:val="FootnoteText"/>
        <w:rPr>
          <w:rFonts w:ascii="Calibri" w:hAnsi="Calibri" w:cs="Calibri"/>
          <w:sz w:val="16"/>
          <w:szCs w:val="16"/>
        </w:rPr>
      </w:pPr>
      <w:r w:rsidRPr="00C5547E">
        <w:rPr>
          <w:rStyle w:val="FootnoteReference"/>
          <w:rFonts w:ascii="Calibri" w:hAnsi="Calibri" w:cs="Calibri"/>
          <w:sz w:val="16"/>
          <w:szCs w:val="16"/>
        </w:rPr>
        <w:footnoteRef/>
      </w:r>
      <w:r>
        <w:rPr>
          <w:rFonts w:ascii="Calibri" w:hAnsi="Calibri" w:cs="Calibri"/>
          <w:sz w:val="16"/>
          <w:szCs w:val="16"/>
        </w:rPr>
        <w:t xml:space="preserve"> See Notes</w:t>
      </w:r>
    </w:p>
  </w:footnote>
  <w:footnote w:id="26">
    <w:p w14:paraId="399B7AC1" w14:textId="77777777" w:rsidR="00C3788D" w:rsidRPr="000C7823" w:rsidRDefault="00C3788D" w:rsidP="00C3788D">
      <w:pPr>
        <w:pStyle w:val="FootnoteText"/>
        <w:rPr>
          <w:sz w:val="16"/>
          <w:szCs w:val="16"/>
        </w:rPr>
      </w:pPr>
      <w:r w:rsidRPr="00C5547E">
        <w:rPr>
          <w:rStyle w:val="FootnoteReference"/>
          <w:sz w:val="16"/>
          <w:szCs w:val="16"/>
        </w:rPr>
        <w:footnoteRef/>
      </w:r>
      <w:r w:rsidRPr="00C5547E">
        <w:rPr>
          <w:sz w:val="16"/>
          <w:szCs w:val="16"/>
        </w:rPr>
        <w:t xml:space="preserve"> See https://eu.spindices.com/indices/equity/sp-500-esg-factor-weighted-index</w:t>
      </w:r>
    </w:p>
  </w:footnote>
  <w:footnote w:id="27">
    <w:p w14:paraId="14FD884B" w14:textId="113E01D0" w:rsidR="009522F5" w:rsidRPr="004B1519" w:rsidRDefault="009522F5" w:rsidP="009907C2">
      <w:pPr>
        <w:pStyle w:val="FootnoteText"/>
        <w:rPr>
          <w:sz w:val="16"/>
          <w:szCs w:val="16"/>
        </w:rPr>
      </w:pPr>
      <w:r w:rsidRPr="004B1519">
        <w:rPr>
          <w:rStyle w:val="FootnoteReference"/>
          <w:sz w:val="16"/>
          <w:szCs w:val="16"/>
        </w:rPr>
        <w:footnoteRef/>
      </w:r>
      <w:r>
        <w:rPr>
          <w:sz w:val="16"/>
          <w:szCs w:val="16"/>
        </w:rPr>
        <w:t xml:space="preserve"> T</w:t>
      </w:r>
      <w:r w:rsidRPr="004B1519">
        <w:rPr>
          <w:sz w:val="16"/>
          <w:szCs w:val="16"/>
        </w:rPr>
        <w:t xml:space="preserve">he increase of carbon prices </w:t>
      </w:r>
      <w:proofErr w:type="gramStart"/>
      <w:r>
        <w:rPr>
          <w:sz w:val="16"/>
          <w:szCs w:val="16"/>
        </w:rPr>
        <w:t>is often suggested</w:t>
      </w:r>
      <w:proofErr w:type="gramEnd"/>
      <w:r>
        <w:rPr>
          <w:sz w:val="16"/>
          <w:szCs w:val="16"/>
        </w:rPr>
        <w:t xml:space="preserve"> in the research literature as an effective policy instrument to decarbonise the global economy. </w:t>
      </w:r>
      <w:proofErr w:type="gramStart"/>
      <w:r>
        <w:rPr>
          <w:sz w:val="16"/>
          <w:szCs w:val="16"/>
        </w:rPr>
        <w:t xml:space="preserve">This suggestion has also been made by various interviewees </w:t>
      </w:r>
      <w:r w:rsidRPr="004B1519">
        <w:rPr>
          <w:sz w:val="16"/>
          <w:szCs w:val="16"/>
        </w:rPr>
        <w:t>of our study and</w:t>
      </w:r>
      <w:r>
        <w:rPr>
          <w:sz w:val="16"/>
          <w:szCs w:val="16"/>
        </w:rPr>
        <w:t xml:space="preserve"> investors of</w:t>
      </w:r>
      <w:r w:rsidRPr="004B1519">
        <w:rPr>
          <w:sz w:val="16"/>
          <w:szCs w:val="16"/>
        </w:rPr>
        <w:t xml:space="preserve"> the </w:t>
      </w:r>
      <w:r>
        <w:rPr>
          <w:sz w:val="16"/>
          <w:szCs w:val="16"/>
        </w:rPr>
        <w:t>visited</w:t>
      </w:r>
      <w:r w:rsidRPr="004B1519">
        <w:rPr>
          <w:sz w:val="16"/>
          <w:szCs w:val="16"/>
        </w:rPr>
        <w:t xml:space="preserve"> co</w:t>
      </w:r>
      <w:r>
        <w:rPr>
          <w:sz w:val="16"/>
          <w:szCs w:val="16"/>
        </w:rPr>
        <w:t>nference in Switzerland</w:t>
      </w:r>
      <w:proofErr w:type="gramEnd"/>
      <w:r>
        <w:rPr>
          <w:sz w:val="16"/>
          <w:szCs w:val="16"/>
        </w:rPr>
        <w:t>. However,</w:t>
      </w:r>
      <w:r w:rsidRPr="004B1519">
        <w:rPr>
          <w:sz w:val="16"/>
          <w:szCs w:val="16"/>
        </w:rPr>
        <w:t xml:space="preserve"> we think that the possibility to increase (global) carbon prices at sufficient scale</w:t>
      </w:r>
      <w:r>
        <w:rPr>
          <w:sz w:val="16"/>
          <w:szCs w:val="16"/>
        </w:rPr>
        <w:t xml:space="preserve"> and applied to all industries (incl. aviation)</w:t>
      </w:r>
      <w:r w:rsidRPr="004B1519">
        <w:rPr>
          <w:sz w:val="16"/>
          <w:szCs w:val="16"/>
        </w:rPr>
        <w:t xml:space="preserve"> is relatively small due to political challenges. </w:t>
      </w:r>
    </w:p>
  </w:footnote>
  <w:footnote w:id="28">
    <w:p w14:paraId="382F3F66" w14:textId="13CAA93A" w:rsidR="009522F5" w:rsidRPr="004B1519" w:rsidRDefault="009522F5" w:rsidP="004B1519">
      <w:pPr>
        <w:pStyle w:val="CommentText"/>
        <w:spacing w:after="0"/>
        <w:rPr>
          <w:sz w:val="16"/>
          <w:szCs w:val="16"/>
        </w:rPr>
      </w:pPr>
      <w:r w:rsidRPr="004B1519">
        <w:rPr>
          <w:rStyle w:val="FootnoteReference"/>
          <w:sz w:val="16"/>
          <w:szCs w:val="16"/>
        </w:rPr>
        <w:footnoteRef/>
      </w:r>
      <w:r>
        <w:rPr>
          <w:sz w:val="16"/>
          <w:szCs w:val="16"/>
        </w:rPr>
        <w:t xml:space="preserve"> </w:t>
      </w:r>
      <w:r w:rsidRPr="004B1519">
        <w:rPr>
          <w:sz w:val="16"/>
          <w:szCs w:val="16"/>
        </w:rPr>
        <w:t>From an investment perspective, green bonds resemble standard bonds, aside from the fact that they give the investor an opportunity to invest in projects that have a positive effect on climate (Meltzer, 2016).</w:t>
      </w:r>
      <w:r>
        <w:rPr>
          <w:sz w:val="16"/>
          <w:szCs w:val="16"/>
        </w:rPr>
        <w:t xml:space="preserve"> </w:t>
      </w:r>
    </w:p>
  </w:footnote>
  <w:footnote w:id="29">
    <w:p w14:paraId="2FE7DD96" w14:textId="4AA2CA2A" w:rsidR="009522F5" w:rsidRPr="00012A94" w:rsidRDefault="009522F5" w:rsidP="00012A94">
      <w:pPr>
        <w:pStyle w:val="FootnoteText"/>
        <w:rPr>
          <w:rFonts w:ascii="Calibri" w:hAnsi="Calibri" w:cs="Calibri"/>
          <w:sz w:val="16"/>
          <w:szCs w:val="16"/>
        </w:rPr>
      </w:pPr>
      <w:r w:rsidRPr="004B1519">
        <w:rPr>
          <w:rStyle w:val="FootnoteReference"/>
          <w:sz w:val="16"/>
          <w:szCs w:val="16"/>
        </w:rPr>
        <w:footnoteRef/>
      </w:r>
      <w:r w:rsidRPr="004B1519">
        <w:rPr>
          <w:sz w:val="16"/>
          <w:szCs w:val="16"/>
        </w:rPr>
        <w:t xml:space="preserve"> The great majority of institutional investment </w:t>
      </w:r>
      <w:proofErr w:type="gramStart"/>
      <w:r w:rsidRPr="004B1519">
        <w:rPr>
          <w:sz w:val="16"/>
          <w:szCs w:val="16"/>
        </w:rPr>
        <w:t>is allocated</w:t>
      </w:r>
      <w:proofErr w:type="gramEnd"/>
      <w:r w:rsidRPr="004B1519">
        <w:rPr>
          <w:sz w:val="16"/>
          <w:szCs w:val="16"/>
        </w:rPr>
        <w:t xml:space="preserve"> to liquid assets such as bonds &amp; shares. Over recent years, a small but growing </w:t>
      </w:r>
      <w:r w:rsidRPr="00012A94">
        <w:rPr>
          <w:rFonts w:ascii="Calibri" w:hAnsi="Calibri" w:cs="Calibri"/>
          <w:sz w:val="16"/>
          <w:szCs w:val="16"/>
        </w:rPr>
        <w:t xml:space="preserve">fraction of allocation </w:t>
      </w:r>
      <w:proofErr w:type="gramStart"/>
      <w:r w:rsidRPr="00012A94">
        <w:rPr>
          <w:rFonts w:ascii="Calibri" w:hAnsi="Calibri" w:cs="Calibri"/>
          <w:sz w:val="16"/>
          <w:szCs w:val="16"/>
        </w:rPr>
        <w:t>is being made</w:t>
      </w:r>
      <w:proofErr w:type="gramEnd"/>
      <w:r w:rsidRPr="00012A94">
        <w:rPr>
          <w:rFonts w:ascii="Calibri" w:hAnsi="Calibri" w:cs="Calibri"/>
          <w:sz w:val="16"/>
          <w:szCs w:val="16"/>
        </w:rPr>
        <w:t xml:space="preserve"> in alternative (illiquid) investment vehicles (Mercer,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51"/>
    <w:multiLevelType w:val="hybridMultilevel"/>
    <w:tmpl w:val="1C288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F59DE"/>
    <w:multiLevelType w:val="hybridMultilevel"/>
    <w:tmpl w:val="DAB026C2"/>
    <w:lvl w:ilvl="0" w:tplc="F77E5D3E">
      <w:start w:val="1"/>
      <w:numFmt w:val="bullet"/>
      <w:lvlText w:val=""/>
      <w:lvlJc w:val="left"/>
      <w:pPr>
        <w:ind w:left="283" w:hanging="283"/>
      </w:pPr>
      <w:rPr>
        <w:rFonts w:ascii="Symbol" w:hAnsi="Symbol" w:hint="default"/>
      </w:rPr>
    </w:lvl>
    <w:lvl w:ilvl="1" w:tplc="04070003" w:tentative="1">
      <w:start w:val="1"/>
      <w:numFmt w:val="bullet"/>
      <w:lvlText w:val="o"/>
      <w:lvlJc w:val="left"/>
      <w:pPr>
        <w:ind w:left="1213" w:hanging="360"/>
      </w:pPr>
      <w:rPr>
        <w:rFonts w:ascii="Courier New" w:hAnsi="Courier New" w:cs="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cs="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cs="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2" w15:restartNumberingAfterBreak="0">
    <w:nsid w:val="02BE66DD"/>
    <w:multiLevelType w:val="hybridMultilevel"/>
    <w:tmpl w:val="FD5679B2"/>
    <w:lvl w:ilvl="0" w:tplc="EEA86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D1617"/>
    <w:multiLevelType w:val="hybridMultilevel"/>
    <w:tmpl w:val="659CA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258EF"/>
    <w:multiLevelType w:val="hybridMultilevel"/>
    <w:tmpl w:val="4BD81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06C35"/>
    <w:multiLevelType w:val="hybridMultilevel"/>
    <w:tmpl w:val="E266EE8A"/>
    <w:lvl w:ilvl="0" w:tplc="0809000F">
      <w:start w:val="1"/>
      <w:numFmt w:val="decimal"/>
      <w:lvlText w:val="%1."/>
      <w:lvlJc w:val="left"/>
      <w:pPr>
        <w:tabs>
          <w:tab w:val="num" w:pos="720"/>
        </w:tabs>
        <w:ind w:left="720" w:hanging="360"/>
      </w:pPr>
      <w:rPr>
        <w:rFonts w:hint="default"/>
      </w:rPr>
    </w:lvl>
    <w:lvl w:ilvl="1" w:tplc="11380ADC" w:tentative="1">
      <w:start w:val="1"/>
      <w:numFmt w:val="bullet"/>
      <w:lvlText w:val="•"/>
      <w:lvlJc w:val="left"/>
      <w:pPr>
        <w:tabs>
          <w:tab w:val="num" w:pos="1440"/>
        </w:tabs>
        <w:ind w:left="1440" w:hanging="360"/>
      </w:pPr>
      <w:rPr>
        <w:rFonts w:ascii="Arial" w:hAnsi="Arial" w:hint="default"/>
      </w:rPr>
    </w:lvl>
    <w:lvl w:ilvl="2" w:tplc="088C5A60" w:tentative="1">
      <w:start w:val="1"/>
      <w:numFmt w:val="bullet"/>
      <w:lvlText w:val="•"/>
      <w:lvlJc w:val="left"/>
      <w:pPr>
        <w:tabs>
          <w:tab w:val="num" w:pos="2160"/>
        </w:tabs>
        <w:ind w:left="2160" w:hanging="360"/>
      </w:pPr>
      <w:rPr>
        <w:rFonts w:ascii="Arial" w:hAnsi="Arial" w:hint="default"/>
      </w:rPr>
    </w:lvl>
    <w:lvl w:ilvl="3" w:tplc="8982DBC4" w:tentative="1">
      <w:start w:val="1"/>
      <w:numFmt w:val="bullet"/>
      <w:lvlText w:val="•"/>
      <w:lvlJc w:val="left"/>
      <w:pPr>
        <w:tabs>
          <w:tab w:val="num" w:pos="2880"/>
        </w:tabs>
        <w:ind w:left="2880" w:hanging="360"/>
      </w:pPr>
      <w:rPr>
        <w:rFonts w:ascii="Arial" w:hAnsi="Arial" w:hint="default"/>
      </w:rPr>
    </w:lvl>
    <w:lvl w:ilvl="4" w:tplc="94A4F81E" w:tentative="1">
      <w:start w:val="1"/>
      <w:numFmt w:val="bullet"/>
      <w:lvlText w:val="•"/>
      <w:lvlJc w:val="left"/>
      <w:pPr>
        <w:tabs>
          <w:tab w:val="num" w:pos="3600"/>
        </w:tabs>
        <w:ind w:left="3600" w:hanging="360"/>
      </w:pPr>
      <w:rPr>
        <w:rFonts w:ascii="Arial" w:hAnsi="Arial" w:hint="default"/>
      </w:rPr>
    </w:lvl>
    <w:lvl w:ilvl="5" w:tplc="5D62E0EC" w:tentative="1">
      <w:start w:val="1"/>
      <w:numFmt w:val="bullet"/>
      <w:lvlText w:val="•"/>
      <w:lvlJc w:val="left"/>
      <w:pPr>
        <w:tabs>
          <w:tab w:val="num" w:pos="4320"/>
        </w:tabs>
        <w:ind w:left="4320" w:hanging="360"/>
      </w:pPr>
      <w:rPr>
        <w:rFonts w:ascii="Arial" w:hAnsi="Arial" w:hint="default"/>
      </w:rPr>
    </w:lvl>
    <w:lvl w:ilvl="6" w:tplc="52DC33A8" w:tentative="1">
      <w:start w:val="1"/>
      <w:numFmt w:val="bullet"/>
      <w:lvlText w:val="•"/>
      <w:lvlJc w:val="left"/>
      <w:pPr>
        <w:tabs>
          <w:tab w:val="num" w:pos="5040"/>
        </w:tabs>
        <w:ind w:left="5040" w:hanging="360"/>
      </w:pPr>
      <w:rPr>
        <w:rFonts w:ascii="Arial" w:hAnsi="Arial" w:hint="default"/>
      </w:rPr>
    </w:lvl>
    <w:lvl w:ilvl="7" w:tplc="1962232E" w:tentative="1">
      <w:start w:val="1"/>
      <w:numFmt w:val="bullet"/>
      <w:lvlText w:val="•"/>
      <w:lvlJc w:val="left"/>
      <w:pPr>
        <w:tabs>
          <w:tab w:val="num" w:pos="5760"/>
        </w:tabs>
        <w:ind w:left="5760" w:hanging="360"/>
      </w:pPr>
      <w:rPr>
        <w:rFonts w:ascii="Arial" w:hAnsi="Arial" w:hint="default"/>
      </w:rPr>
    </w:lvl>
    <w:lvl w:ilvl="8" w:tplc="1F1CE4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297E63"/>
    <w:multiLevelType w:val="hybridMultilevel"/>
    <w:tmpl w:val="02F85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5E737B"/>
    <w:multiLevelType w:val="hybridMultilevel"/>
    <w:tmpl w:val="FE8C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C6ECA"/>
    <w:multiLevelType w:val="hybridMultilevel"/>
    <w:tmpl w:val="EBB64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807FB8"/>
    <w:multiLevelType w:val="hybridMultilevel"/>
    <w:tmpl w:val="CDB89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21E96"/>
    <w:multiLevelType w:val="hybridMultilevel"/>
    <w:tmpl w:val="3EAC9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405336"/>
    <w:multiLevelType w:val="hybridMultilevel"/>
    <w:tmpl w:val="02724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8C20F3"/>
    <w:multiLevelType w:val="hybridMultilevel"/>
    <w:tmpl w:val="8326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8941BC"/>
    <w:multiLevelType w:val="hybridMultilevel"/>
    <w:tmpl w:val="29945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B3A5F"/>
    <w:multiLevelType w:val="hybridMultilevel"/>
    <w:tmpl w:val="1D98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55F1E"/>
    <w:multiLevelType w:val="hybridMultilevel"/>
    <w:tmpl w:val="806E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E66236"/>
    <w:multiLevelType w:val="hybridMultilevel"/>
    <w:tmpl w:val="E020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A6B7B"/>
    <w:multiLevelType w:val="hybridMultilevel"/>
    <w:tmpl w:val="CF92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12DE1"/>
    <w:multiLevelType w:val="multilevel"/>
    <w:tmpl w:val="AAFAB4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F91043"/>
    <w:multiLevelType w:val="hybridMultilevel"/>
    <w:tmpl w:val="2DCC4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867C6"/>
    <w:multiLevelType w:val="hybridMultilevel"/>
    <w:tmpl w:val="DE1E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D4690E"/>
    <w:multiLevelType w:val="hybridMultilevel"/>
    <w:tmpl w:val="190A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5B555D"/>
    <w:multiLevelType w:val="hybridMultilevel"/>
    <w:tmpl w:val="20F0F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261F2E"/>
    <w:multiLevelType w:val="hybridMultilevel"/>
    <w:tmpl w:val="9CFC0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9307F3"/>
    <w:multiLevelType w:val="hybridMultilevel"/>
    <w:tmpl w:val="6FE40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AA415F"/>
    <w:multiLevelType w:val="hybridMultilevel"/>
    <w:tmpl w:val="13B6A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22335"/>
    <w:multiLevelType w:val="hybridMultilevel"/>
    <w:tmpl w:val="DB307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846D53"/>
    <w:multiLevelType w:val="hybridMultilevel"/>
    <w:tmpl w:val="8C84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E072E"/>
    <w:multiLevelType w:val="hybridMultilevel"/>
    <w:tmpl w:val="56BE0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AA3359"/>
    <w:multiLevelType w:val="hybridMultilevel"/>
    <w:tmpl w:val="5B10C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F600C0"/>
    <w:multiLevelType w:val="multilevel"/>
    <w:tmpl w:val="F71693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313E6E"/>
    <w:multiLevelType w:val="hybridMultilevel"/>
    <w:tmpl w:val="5FA2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E91AB2"/>
    <w:multiLevelType w:val="hybridMultilevel"/>
    <w:tmpl w:val="A7F03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602A95"/>
    <w:multiLevelType w:val="hybridMultilevel"/>
    <w:tmpl w:val="0B342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B45414"/>
    <w:multiLevelType w:val="hybridMultilevel"/>
    <w:tmpl w:val="76982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9D2E84"/>
    <w:multiLevelType w:val="hybridMultilevel"/>
    <w:tmpl w:val="6DC2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2110A6"/>
    <w:multiLevelType w:val="hybridMultilevel"/>
    <w:tmpl w:val="B59C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C06B4"/>
    <w:multiLevelType w:val="hybridMultilevel"/>
    <w:tmpl w:val="E068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6C02F4"/>
    <w:multiLevelType w:val="hybridMultilevel"/>
    <w:tmpl w:val="FF32A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0C45E7"/>
    <w:multiLevelType w:val="hybridMultilevel"/>
    <w:tmpl w:val="D3FE5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F100A7"/>
    <w:multiLevelType w:val="hybridMultilevel"/>
    <w:tmpl w:val="8A7EA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6B3298"/>
    <w:multiLevelType w:val="hybridMultilevel"/>
    <w:tmpl w:val="CB1A1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310178"/>
    <w:multiLevelType w:val="hybridMultilevel"/>
    <w:tmpl w:val="0D82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19"/>
  </w:num>
  <w:num w:numId="4">
    <w:abstractNumId w:val="41"/>
  </w:num>
  <w:num w:numId="5">
    <w:abstractNumId w:val="5"/>
  </w:num>
  <w:num w:numId="6">
    <w:abstractNumId w:val="26"/>
  </w:num>
  <w:num w:numId="7">
    <w:abstractNumId w:val="8"/>
  </w:num>
  <w:num w:numId="8">
    <w:abstractNumId w:val="31"/>
  </w:num>
  <w:num w:numId="9">
    <w:abstractNumId w:val="28"/>
  </w:num>
  <w:num w:numId="10">
    <w:abstractNumId w:val="11"/>
  </w:num>
  <w:num w:numId="11">
    <w:abstractNumId w:val="38"/>
  </w:num>
  <w:num w:numId="12">
    <w:abstractNumId w:val="10"/>
  </w:num>
  <w:num w:numId="13">
    <w:abstractNumId w:val="1"/>
  </w:num>
  <w:num w:numId="14">
    <w:abstractNumId w:val="29"/>
  </w:num>
  <w:num w:numId="15">
    <w:abstractNumId w:val="34"/>
  </w:num>
  <w:num w:numId="16">
    <w:abstractNumId w:val="14"/>
  </w:num>
  <w:num w:numId="17">
    <w:abstractNumId w:val="9"/>
  </w:num>
  <w:num w:numId="18">
    <w:abstractNumId w:val="22"/>
  </w:num>
  <w:num w:numId="19">
    <w:abstractNumId w:val="18"/>
  </w:num>
  <w:num w:numId="20">
    <w:abstractNumId w:val="12"/>
  </w:num>
  <w:num w:numId="21">
    <w:abstractNumId w:val="25"/>
  </w:num>
  <w:num w:numId="22">
    <w:abstractNumId w:val="33"/>
  </w:num>
  <w:num w:numId="23">
    <w:abstractNumId w:val="21"/>
  </w:num>
  <w:num w:numId="24">
    <w:abstractNumId w:val="30"/>
  </w:num>
  <w:num w:numId="25">
    <w:abstractNumId w:val="39"/>
  </w:num>
  <w:num w:numId="26">
    <w:abstractNumId w:val="42"/>
  </w:num>
  <w:num w:numId="27">
    <w:abstractNumId w:val="16"/>
  </w:num>
  <w:num w:numId="28">
    <w:abstractNumId w:val="17"/>
  </w:num>
  <w:num w:numId="29">
    <w:abstractNumId w:val="32"/>
  </w:num>
  <w:num w:numId="30">
    <w:abstractNumId w:val="13"/>
  </w:num>
  <w:num w:numId="31">
    <w:abstractNumId w:val="6"/>
  </w:num>
  <w:num w:numId="32">
    <w:abstractNumId w:val="27"/>
  </w:num>
  <w:num w:numId="33">
    <w:abstractNumId w:val="43"/>
  </w:num>
  <w:num w:numId="34">
    <w:abstractNumId w:val="0"/>
  </w:num>
  <w:num w:numId="35">
    <w:abstractNumId w:val="40"/>
  </w:num>
  <w:num w:numId="36">
    <w:abstractNumId w:val="15"/>
  </w:num>
  <w:num w:numId="37">
    <w:abstractNumId w:val="7"/>
  </w:num>
  <w:num w:numId="38">
    <w:abstractNumId w:val="20"/>
  </w:num>
  <w:num w:numId="39">
    <w:abstractNumId w:val="4"/>
  </w:num>
  <w:num w:numId="40">
    <w:abstractNumId w:val="24"/>
  </w:num>
  <w:num w:numId="41">
    <w:abstractNumId w:val="35"/>
  </w:num>
  <w:num w:numId="42">
    <w:abstractNumId w:val="36"/>
  </w:num>
  <w:num w:numId="43">
    <w:abstractNumId w:val="3"/>
  </w:num>
  <w:num w:numId="44">
    <w:abstractNumId w:val="2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Aled">
    <w15:presenceInfo w15:providerId="AD" w15:userId="S-1-5-21-1091448348-2078336455-1788417572-169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E5"/>
    <w:rsid w:val="00001864"/>
    <w:rsid w:val="00004209"/>
    <w:rsid w:val="00004E19"/>
    <w:rsid w:val="00005542"/>
    <w:rsid w:val="00006D7D"/>
    <w:rsid w:val="000102A5"/>
    <w:rsid w:val="00010649"/>
    <w:rsid w:val="0001094E"/>
    <w:rsid w:val="00012195"/>
    <w:rsid w:val="00012A94"/>
    <w:rsid w:val="000130EA"/>
    <w:rsid w:val="00016532"/>
    <w:rsid w:val="0001668C"/>
    <w:rsid w:val="00017104"/>
    <w:rsid w:val="000207BA"/>
    <w:rsid w:val="00021B6C"/>
    <w:rsid w:val="00023EC0"/>
    <w:rsid w:val="000317F1"/>
    <w:rsid w:val="00031824"/>
    <w:rsid w:val="000332DC"/>
    <w:rsid w:val="00033434"/>
    <w:rsid w:val="0003418D"/>
    <w:rsid w:val="00036200"/>
    <w:rsid w:val="00040EF0"/>
    <w:rsid w:val="00044EE5"/>
    <w:rsid w:val="000456B3"/>
    <w:rsid w:val="000456EF"/>
    <w:rsid w:val="0004715B"/>
    <w:rsid w:val="00047260"/>
    <w:rsid w:val="00050258"/>
    <w:rsid w:val="000523DD"/>
    <w:rsid w:val="000528B8"/>
    <w:rsid w:val="0005422D"/>
    <w:rsid w:val="000547D9"/>
    <w:rsid w:val="00054825"/>
    <w:rsid w:val="000561CF"/>
    <w:rsid w:val="0005635F"/>
    <w:rsid w:val="0005709E"/>
    <w:rsid w:val="00057F25"/>
    <w:rsid w:val="000635C4"/>
    <w:rsid w:val="00063E52"/>
    <w:rsid w:val="00065600"/>
    <w:rsid w:val="00067337"/>
    <w:rsid w:val="00072799"/>
    <w:rsid w:val="00074038"/>
    <w:rsid w:val="0007548B"/>
    <w:rsid w:val="00077843"/>
    <w:rsid w:val="00077985"/>
    <w:rsid w:val="000809C3"/>
    <w:rsid w:val="000809DD"/>
    <w:rsid w:val="00081929"/>
    <w:rsid w:val="00085770"/>
    <w:rsid w:val="00086191"/>
    <w:rsid w:val="00086244"/>
    <w:rsid w:val="00086A1B"/>
    <w:rsid w:val="0009308E"/>
    <w:rsid w:val="00094674"/>
    <w:rsid w:val="00094AC5"/>
    <w:rsid w:val="00095755"/>
    <w:rsid w:val="00096844"/>
    <w:rsid w:val="00097BFC"/>
    <w:rsid w:val="000A357A"/>
    <w:rsid w:val="000A6663"/>
    <w:rsid w:val="000B4554"/>
    <w:rsid w:val="000B4BDB"/>
    <w:rsid w:val="000B6DCF"/>
    <w:rsid w:val="000C2A3D"/>
    <w:rsid w:val="000C4CDB"/>
    <w:rsid w:val="000C57DC"/>
    <w:rsid w:val="000C7823"/>
    <w:rsid w:val="000C794B"/>
    <w:rsid w:val="000D0D00"/>
    <w:rsid w:val="000D12F5"/>
    <w:rsid w:val="000D15AE"/>
    <w:rsid w:val="000D2A7C"/>
    <w:rsid w:val="000D561E"/>
    <w:rsid w:val="000D60C3"/>
    <w:rsid w:val="000E0652"/>
    <w:rsid w:val="000E107C"/>
    <w:rsid w:val="000E46D4"/>
    <w:rsid w:val="000E4D12"/>
    <w:rsid w:val="000E5B58"/>
    <w:rsid w:val="000E6927"/>
    <w:rsid w:val="000F2F71"/>
    <w:rsid w:val="000F4246"/>
    <w:rsid w:val="000F5D73"/>
    <w:rsid w:val="000F65CF"/>
    <w:rsid w:val="000F7B73"/>
    <w:rsid w:val="00103588"/>
    <w:rsid w:val="00103C6D"/>
    <w:rsid w:val="0010457D"/>
    <w:rsid w:val="001139F7"/>
    <w:rsid w:val="00115845"/>
    <w:rsid w:val="00116E60"/>
    <w:rsid w:val="0012073B"/>
    <w:rsid w:val="00122CFA"/>
    <w:rsid w:val="00122F1C"/>
    <w:rsid w:val="001246A4"/>
    <w:rsid w:val="00126326"/>
    <w:rsid w:val="0012672E"/>
    <w:rsid w:val="00130022"/>
    <w:rsid w:val="0013054B"/>
    <w:rsid w:val="00131A50"/>
    <w:rsid w:val="00134C35"/>
    <w:rsid w:val="00135BD5"/>
    <w:rsid w:val="00136C52"/>
    <w:rsid w:val="001377F9"/>
    <w:rsid w:val="00144E80"/>
    <w:rsid w:val="001465F4"/>
    <w:rsid w:val="001476F4"/>
    <w:rsid w:val="001477DC"/>
    <w:rsid w:val="00151ADC"/>
    <w:rsid w:val="0015265E"/>
    <w:rsid w:val="0015341A"/>
    <w:rsid w:val="00154144"/>
    <w:rsid w:val="00155AD4"/>
    <w:rsid w:val="00161C73"/>
    <w:rsid w:val="00161D4E"/>
    <w:rsid w:val="0016562A"/>
    <w:rsid w:val="00166D49"/>
    <w:rsid w:val="00167641"/>
    <w:rsid w:val="001717B8"/>
    <w:rsid w:val="001768DD"/>
    <w:rsid w:val="001853BF"/>
    <w:rsid w:val="00185E75"/>
    <w:rsid w:val="00190F89"/>
    <w:rsid w:val="00193CD4"/>
    <w:rsid w:val="001A068F"/>
    <w:rsid w:val="001A0835"/>
    <w:rsid w:val="001A0A26"/>
    <w:rsid w:val="001A1438"/>
    <w:rsid w:val="001A1B27"/>
    <w:rsid w:val="001A2B74"/>
    <w:rsid w:val="001A31C0"/>
    <w:rsid w:val="001A4A74"/>
    <w:rsid w:val="001A4F0C"/>
    <w:rsid w:val="001A5CCD"/>
    <w:rsid w:val="001A5E2D"/>
    <w:rsid w:val="001B050D"/>
    <w:rsid w:val="001B5DF6"/>
    <w:rsid w:val="001C330B"/>
    <w:rsid w:val="001C3B32"/>
    <w:rsid w:val="001C4C33"/>
    <w:rsid w:val="001C503F"/>
    <w:rsid w:val="001C6412"/>
    <w:rsid w:val="001D0113"/>
    <w:rsid w:val="001D047C"/>
    <w:rsid w:val="001D0989"/>
    <w:rsid w:val="001D0EBA"/>
    <w:rsid w:val="001D19D6"/>
    <w:rsid w:val="001D333E"/>
    <w:rsid w:val="001D3B39"/>
    <w:rsid w:val="001D4621"/>
    <w:rsid w:val="001D5FE7"/>
    <w:rsid w:val="001E2552"/>
    <w:rsid w:val="001E2E4C"/>
    <w:rsid w:val="001E58E1"/>
    <w:rsid w:val="001E628D"/>
    <w:rsid w:val="001E66A7"/>
    <w:rsid w:val="001E6AAA"/>
    <w:rsid w:val="001E6E3B"/>
    <w:rsid w:val="001E710C"/>
    <w:rsid w:val="001E77AE"/>
    <w:rsid w:val="001E7880"/>
    <w:rsid w:val="001F0801"/>
    <w:rsid w:val="001F12D5"/>
    <w:rsid w:val="001F56F7"/>
    <w:rsid w:val="001F5828"/>
    <w:rsid w:val="001F5B14"/>
    <w:rsid w:val="00200B16"/>
    <w:rsid w:val="0020173B"/>
    <w:rsid w:val="00201A68"/>
    <w:rsid w:val="00201F18"/>
    <w:rsid w:val="002022C9"/>
    <w:rsid w:val="00202B0E"/>
    <w:rsid w:val="00203820"/>
    <w:rsid w:val="00204B17"/>
    <w:rsid w:val="00204D53"/>
    <w:rsid w:val="00214314"/>
    <w:rsid w:val="00214BC1"/>
    <w:rsid w:val="00221833"/>
    <w:rsid w:val="002255CF"/>
    <w:rsid w:val="002257F2"/>
    <w:rsid w:val="00226382"/>
    <w:rsid w:val="002278C7"/>
    <w:rsid w:val="00230BA5"/>
    <w:rsid w:val="00230C82"/>
    <w:rsid w:val="00233552"/>
    <w:rsid w:val="00233F05"/>
    <w:rsid w:val="00237670"/>
    <w:rsid w:val="002377DE"/>
    <w:rsid w:val="002405E0"/>
    <w:rsid w:val="00241295"/>
    <w:rsid w:val="00241E34"/>
    <w:rsid w:val="0024308D"/>
    <w:rsid w:val="00243CDC"/>
    <w:rsid w:val="0024733F"/>
    <w:rsid w:val="0024747A"/>
    <w:rsid w:val="00247B0A"/>
    <w:rsid w:val="002515F1"/>
    <w:rsid w:val="002522BE"/>
    <w:rsid w:val="002541E1"/>
    <w:rsid w:val="0026049C"/>
    <w:rsid w:val="00261881"/>
    <w:rsid w:val="00262886"/>
    <w:rsid w:val="00262D04"/>
    <w:rsid w:val="002648E0"/>
    <w:rsid w:val="00271343"/>
    <w:rsid w:val="00271F83"/>
    <w:rsid w:val="00276759"/>
    <w:rsid w:val="0027772A"/>
    <w:rsid w:val="00282FAC"/>
    <w:rsid w:val="002831B9"/>
    <w:rsid w:val="002855B1"/>
    <w:rsid w:val="002865DC"/>
    <w:rsid w:val="00287641"/>
    <w:rsid w:val="00287D68"/>
    <w:rsid w:val="00287DBB"/>
    <w:rsid w:val="00287F68"/>
    <w:rsid w:val="00290DC0"/>
    <w:rsid w:val="00291312"/>
    <w:rsid w:val="0029141F"/>
    <w:rsid w:val="002914F6"/>
    <w:rsid w:val="00292BB9"/>
    <w:rsid w:val="00294697"/>
    <w:rsid w:val="00294730"/>
    <w:rsid w:val="0029526A"/>
    <w:rsid w:val="00295379"/>
    <w:rsid w:val="0029729F"/>
    <w:rsid w:val="002A1558"/>
    <w:rsid w:val="002A157F"/>
    <w:rsid w:val="002A2736"/>
    <w:rsid w:val="002A3357"/>
    <w:rsid w:val="002A4A2C"/>
    <w:rsid w:val="002A4FEC"/>
    <w:rsid w:val="002A7666"/>
    <w:rsid w:val="002A77A2"/>
    <w:rsid w:val="002B0007"/>
    <w:rsid w:val="002B03F4"/>
    <w:rsid w:val="002B0AEB"/>
    <w:rsid w:val="002B1A96"/>
    <w:rsid w:val="002B1B07"/>
    <w:rsid w:val="002B1B52"/>
    <w:rsid w:val="002B438D"/>
    <w:rsid w:val="002B4B3C"/>
    <w:rsid w:val="002B55E5"/>
    <w:rsid w:val="002B7C71"/>
    <w:rsid w:val="002C6B2A"/>
    <w:rsid w:val="002D2DA7"/>
    <w:rsid w:val="002D3526"/>
    <w:rsid w:val="002D4AE8"/>
    <w:rsid w:val="002D65A3"/>
    <w:rsid w:val="002E0160"/>
    <w:rsid w:val="002E2AA4"/>
    <w:rsid w:val="002E31CA"/>
    <w:rsid w:val="002E3D7F"/>
    <w:rsid w:val="002E4366"/>
    <w:rsid w:val="002E55A0"/>
    <w:rsid w:val="002E5D99"/>
    <w:rsid w:val="002E70F5"/>
    <w:rsid w:val="002E770B"/>
    <w:rsid w:val="002E7ABE"/>
    <w:rsid w:val="002F024E"/>
    <w:rsid w:val="002F088C"/>
    <w:rsid w:val="002F573B"/>
    <w:rsid w:val="002F6154"/>
    <w:rsid w:val="003003BF"/>
    <w:rsid w:val="003042CA"/>
    <w:rsid w:val="00313326"/>
    <w:rsid w:val="003137C8"/>
    <w:rsid w:val="00313AA4"/>
    <w:rsid w:val="00315B8D"/>
    <w:rsid w:val="00315FAD"/>
    <w:rsid w:val="003165CB"/>
    <w:rsid w:val="00316DE9"/>
    <w:rsid w:val="00317301"/>
    <w:rsid w:val="00317470"/>
    <w:rsid w:val="00317520"/>
    <w:rsid w:val="00320F54"/>
    <w:rsid w:val="00322AB8"/>
    <w:rsid w:val="00323058"/>
    <w:rsid w:val="00324B4E"/>
    <w:rsid w:val="0033217E"/>
    <w:rsid w:val="00336E09"/>
    <w:rsid w:val="003378F6"/>
    <w:rsid w:val="00342285"/>
    <w:rsid w:val="00345D33"/>
    <w:rsid w:val="00346502"/>
    <w:rsid w:val="00350E3B"/>
    <w:rsid w:val="003548E9"/>
    <w:rsid w:val="00354AD5"/>
    <w:rsid w:val="0035699F"/>
    <w:rsid w:val="00357376"/>
    <w:rsid w:val="003611C4"/>
    <w:rsid w:val="00361882"/>
    <w:rsid w:val="00363EA1"/>
    <w:rsid w:val="00365278"/>
    <w:rsid w:val="00370EFD"/>
    <w:rsid w:val="00372332"/>
    <w:rsid w:val="00373060"/>
    <w:rsid w:val="00374E27"/>
    <w:rsid w:val="00375549"/>
    <w:rsid w:val="003769BF"/>
    <w:rsid w:val="003774F7"/>
    <w:rsid w:val="00377EDE"/>
    <w:rsid w:val="003816CF"/>
    <w:rsid w:val="003818F4"/>
    <w:rsid w:val="00382A0C"/>
    <w:rsid w:val="0038314C"/>
    <w:rsid w:val="003870E9"/>
    <w:rsid w:val="003877AC"/>
    <w:rsid w:val="00387A3A"/>
    <w:rsid w:val="0039047F"/>
    <w:rsid w:val="00392995"/>
    <w:rsid w:val="00392FD1"/>
    <w:rsid w:val="0039594D"/>
    <w:rsid w:val="003968DC"/>
    <w:rsid w:val="00397A19"/>
    <w:rsid w:val="003A052D"/>
    <w:rsid w:val="003A16E9"/>
    <w:rsid w:val="003A2BD6"/>
    <w:rsid w:val="003A2FFF"/>
    <w:rsid w:val="003A3999"/>
    <w:rsid w:val="003A5173"/>
    <w:rsid w:val="003A5D86"/>
    <w:rsid w:val="003A77D1"/>
    <w:rsid w:val="003A7847"/>
    <w:rsid w:val="003B00AB"/>
    <w:rsid w:val="003B14D1"/>
    <w:rsid w:val="003B1DDE"/>
    <w:rsid w:val="003B3463"/>
    <w:rsid w:val="003B4090"/>
    <w:rsid w:val="003B54E8"/>
    <w:rsid w:val="003B6D0D"/>
    <w:rsid w:val="003B7D96"/>
    <w:rsid w:val="003C00DF"/>
    <w:rsid w:val="003C1B86"/>
    <w:rsid w:val="003C4F0B"/>
    <w:rsid w:val="003D006D"/>
    <w:rsid w:val="003D1E91"/>
    <w:rsid w:val="003D26C2"/>
    <w:rsid w:val="003D457F"/>
    <w:rsid w:val="003D5AC7"/>
    <w:rsid w:val="003E0575"/>
    <w:rsid w:val="003E140E"/>
    <w:rsid w:val="003E77EC"/>
    <w:rsid w:val="003F0531"/>
    <w:rsid w:val="003F1518"/>
    <w:rsid w:val="003F1E16"/>
    <w:rsid w:val="003F2E59"/>
    <w:rsid w:val="003F3CD7"/>
    <w:rsid w:val="003F3E42"/>
    <w:rsid w:val="003F3F00"/>
    <w:rsid w:val="003F454B"/>
    <w:rsid w:val="003F47DC"/>
    <w:rsid w:val="003F6018"/>
    <w:rsid w:val="003F670E"/>
    <w:rsid w:val="003F7320"/>
    <w:rsid w:val="003F73A6"/>
    <w:rsid w:val="003F7D4A"/>
    <w:rsid w:val="0040142A"/>
    <w:rsid w:val="0040567F"/>
    <w:rsid w:val="00405D54"/>
    <w:rsid w:val="00407024"/>
    <w:rsid w:val="00407CC9"/>
    <w:rsid w:val="00410CD6"/>
    <w:rsid w:val="00411170"/>
    <w:rsid w:val="00414774"/>
    <w:rsid w:val="0041705C"/>
    <w:rsid w:val="00423D62"/>
    <w:rsid w:val="00424A74"/>
    <w:rsid w:val="00424C65"/>
    <w:rsid w:val="00425170"/>
    <w:rsid w:val="00426940"/>
    <w:rsid w:val="00426A53"/>
    <w:rsid w:val="004279CA"/>
    <w:rsid w:val="004301CF"/>
    <w:rsid w:val="00431638"/>
    <w:rsid w:val="00431A6D"/>
    <w:rsid w:val="004340D6"/>
    <w:rsid w:val="0043498E"/>
    <w:rsid w:val="0043731D"/>
    <w:rsid w:val="00437EB8"/>
    <w:rsid w:val="004407D7"/>
    <w:rsid w:val="00440A92"/>
    <w:rsid w:val="00446962"/>
    <w:rsid w:val="004469AD"/>
    <w:rsid w:val="004542D6"/>
    <w:rsid w:val="00454579"/>
    <w:rsid w:val="00460AF6"/>
    <w:rsid w:val="004624AA"/>
    <w:rsid w:val="00471292"/>
    <w:rsid w:val="00471672"/>
    <w:rsid w:val="00471D87"/>
    <w:rsid w:val="004722A2"/>
    <w:rsid w:val="0048089D"/>
    <w:rsid w:val="0048140D"/>
    <w:rsid w:val="0048285A"/>
    <w:rsid w:val="00482E74"/>
    <w:rsid w:val="00483F89"/>
    <w:rsid w:val="00484575"/>
    <w:rsid w:val="00484AE6"/>
    <w:rsid w:val="004858E5"/>
    <w:rsid w:val="004866D8"/>
    <w:rsid w:val="0049043B"/>
    <w:rsid w:val="00490A92"/>
    <w:rsid w:val="004944BC"/>
    <w:rsid w:val="00494A7A"/>
    <w:rsid w:val="0049517B"/>
    <w:rsid w:val="00497F03"/>
    <w:rsid w:val="004A03E8"/>
    <w:rsid w:val="004A158B"/>
    <w:rsid w:val="004A1D53"/>
    <w:rsid w:val="004A2486"/>
    <w:rsid w:val="004A3D14"/>
    <w:rsid w:val="004A40FC"/>
    <w:rsid w:val="004A670F"/>
    <w:rsid w:val="004B0B15"/>
    <w:rsid w:val="004B1519"/>
    <w:rsid w:val="004B2F1D"/>
    <w:rsid w:val="004B2FE6"/>
    <w:rsid w:val="004B3B68"/>
    <w:rsid w:val="004B48ED"/>
    <w:rsid w:val="004B4D3F"/>
    <w:rsid w:val="004C0273"/>
    <w:rsid w:val="004C1B82"/>
    <w:rsid w:val="004C30C8"/>
    <w:rsid w:val="004C4551"/>
    <w:rsid w:val="004C49EA"/>
    <w:rsid w:val="004C6CC7"/>
    <w:rsid w:val="004D00B4"/>
    <w:rsid w:val="004D0AD0"/>
    <w:rsid w:val="004D1305"/>
    <w:rsid w:val="004D3ADE"/>
    <w:rsid w:val="004D3F60"/>
    <w:rsid w:val="004D4625"/>
    <w:rsid w:val="004D6FBE"/>
    <w:rsid w:val="004E0A15"/>
    <w:rsid w:val="004F09C4"/>
    <w:rsid w:val="004F1497"/>
    <w:rsid w:val="004F21C0"/>
    <w:rsid w:val="004F2664"/>
    <w:rsid w:val="004F36BB"/>
    <w:rsid w:val="004F48DF"/>
    <w:rsid w:val="004F553B"/>
    <w:rsid w:val="005012B2"/>
    <w:rsid w:val="00501B5F"/>
    <w:rsid w:val="005049AA"/>
    <w:rsid w:val="005055BC"/>
    <w:rsid w:val="00506FBE"/>
    <w:rsid w:val="005073B3"/>
    <w:rsid w:val="005115A7"/>
    <w:rsid w:val="005136FC"/>
    <w:rsid w:val="005208D5"/>
    <w:rsid w:val="00520B44"/>
    <w:rsid w:val="00521279"/>
    <w:rsid w:val="005223F9"/>
    <w:rsid w:val="00522BDD"/>
    <w:rsid w:val="0052453E"/>
    <w:rsid w:val="00524832"/>
    <w:rsid w:val="005311AF"/>
    <w:rsid w:val="0053306D"/>
    <w:rsid w:val="0053370F"/>
    <w:rsid w:val="0053464C"/>
    <w:rsid w:val="00534746"/>
    <w:rsid w:val="005353D9"/>
    <w:rsid w:val="0054040D"/>
    <w:rsid w:val="00545ABC"/>
    <w:rsid w:val="00553C20"/>
    <w:rsid w:val="00553F9C"/>
    <w:rsid w:val="005556DD"/>
    <w:rsid w:val="005564C5"/>
    <w:rsid w:val="00557EEA"/>
    <w:rsid w:val="00560F58"/>
    <w:rsid w:val="00561032"/>
    <w:rsid w:val="00561885"/>
    <w:rsid w:val="005624C8"/>
    <w:rsid w:val="00563E49"/>
    <w:rsid w:val="0056420F"/>
    <w:rsid w:val="005645F7"/>
    <w:rsid w:val="00564C7E"/>
    <w:rsid w:val="00564D18"/>
    <w:rsid w:val="00565AE7"/>
    <w:rsid w:val="00572458"/>
    <w:rsid w:val="0057257F"/>
    <w:rsid w:val="00572CD1"/>
    <w:rsid w:val="00575D93"/>
    <w:rsid w:val="0057687A"/>
    <w:rsid w:val="005774AB"/>
    <w:rsid w:val="005776FA"/>
    <w:rsid w:val="00577E58"/>
    <w:rsid w:val="005820EF"/>
    <w:rsid w:val="005821C4"/>
    <w:rsid w:val="0058359A"/>
    <w:rsid w:val="00591086"/>
    <w:rsid w:val="00593519"/>
    <w:rsid w:val="00593F0C"/>
    <w:rsid w:val="00595050"/>
    <w:rsid w:val="00595D71"/>
    <w:rsid w:val="005A160B"/>
    <w:rsid w:val="005A240E"/>
    <w:rsid w:val="005A298E"/>
    <w:rsid w:val="005A4887"/>
    <w:rsid w:val="005A4D6D"/>
    <w:rsid w:val="005A66F1"/>
    <w:rsid w:val="005A6B01"/>
    <w:rsid w:val="005B0FB8"/>
    <w:rsid w:val="005B14B3"/>
    <w:rsid w:val="005B3076"/>
    <w:rsid w:val="005B48BA"/>
    <w:rsid w:val="005B788D"/>
    <w:rsid w:val="005C0C12"/>
    <w:rsid w:val="005C0C99"/>
    <w:rsid w:val="005C32D6"/>
    <w:rsid w:val="005C360E"/>
    <w:rsid w:val="005C4CD0"/>
    <w:rsid w:val="005C654D"/>
    <w:rsid w:val="005D0C08"/>
    <w:rsid w:val="005D3760"/>
    <w:rsid w:val="005D40A1"/>
    <w:rsid w:val="005D4D3E"/>
    <w:rsid w:val="005D4FA5"/>
    <w:rsid w:val="005D5772"/>
    <w:rsid w:val="005D5D9B"/>
    <w:rsid w:val="005D5E9E"/>
    <w:rsid w:val="005E06C9"/>
    <w:rsid w:val="005E15F7"/>
    <w:rsid w:val="005E4163"/>
    <w:rsid w:val="005E4685"/>
    <w:rsid w:val="005E4690"/>
    <w:rsid w:val="005E4A0B"/>
    <w:rsid w:val="005E50B7"/>
    <w:rsid w:val="005E55C3"/>
    <w:rsid w:val="005E6157"/>
    <w:rsid w:val="005E7A3D"/>
    <w:rsid w:val="005F1370"/>
    <w:rsid w:val="005F3DC4"/>
    <w:rsid w:val="005F476A"/>
    <w:rsid w:val="005F5C59"/>
    <w:rsid w:val="005F6EB4"/>
    <w:rsid w:val="00600E82"/>
    <w:rsid w:val="006017C5"/>
    <w:rsid w:val="00602AB1"/>
    <w:rsid w:val="00602CDC"/>
    <w:rsid w:val="00606588"/>
    <w:rsid w:val="00606B0C"/>
    <w:rsid w:val="0061222A"/>
    <w:rsid w:val="0061256F"/>
    <w:rsid w:val="0061324E"/>
    <w:rsid w:val="00614337"/>
    <w:rsid w:val="0061525B"/>
    <w:rsid w:val="00616A50"/>
    <w:rsid w:val="00617593"/>
    <w:rsid w:val="0062150C"/>
    <w:rsid w:val="00622581"/>
    <w:rsid w:val="006230C0"/>
    <w:rsid w:val="00624248"/>
    <w:rsid w:val="00625905"/>
    <w:rsid w:val="00625F23"/>
    <w:rsid w:val="006268DB"/>
    <w:rsid w:val="00627946"/>
    <w:rsid w:val="00631B02"/>
    <w:rsid w:val="006327C8"/>
    <w:rsid w:val="00632C19"/>
    <w:rsid w:val="00634CDE"/>
    <w:rsid w:val="00640C73"/>
    <w:rsid w:val="00640F14"/>
    <w:rsid w:val="0064319C"/>
    <w:rsid w:val="006459C9"/>
    <w:rsid w:val="00650B10"/>
    <w:rsid w:val="00652EDA"/>
    <w:rsid w:val="00654801"/>
    <w:rsid w:val="00655388"/>
    <w:rsid w:val="00655D18"/>
    <w:rsid w:val="00660525"/>
    <w:rsid w:val="00660528"/>
    <w:rsid w:val="00661094"/>
    <w:rsid w:val="00661FEA"/>
    <w:rsid w:val="006637C6"/>
    <w:rsid w:val="00664A7A"/>
    <w:rsid w:val="006652E5"/>
    <w:rsid w:val="00665657"/>
    <w:rsid w:val="006671FC"/>
    <w:rsid w:val="006714BD"/>
    <w:rsid w:val="00673119"/>
    <w:rsid w:val="00673AB5"/>
    <w:rsid w:val="00674AB3"/>
    <w:rsid w:val="00674C03"/>
    <w:rsid w:val="006758A6"/>
    <w:rsid w:val="0067686E"/>
    <w:rsid w:val="00676FDE"/>
    <w:rsid w:val="00677E93"/>
    <w:rsid w:val="00680FCA"/>
    <w:rsid w:val="00684DFA"/>
    <w:rsid w:val="006878BA"/>
    <w:rsid w:val="006907BF"/>
    <w:rsid w:val="00694E38"/>
    <w:rsid w:val="006976A1"/>
    <w:rsid w:val="006A0CDD"/>
    <w:rsid w:val="006A0D76"/>
    <w:rsid w:val="006A407D"/>
    <w:rsid w:val="006A52E4"/>
    <w:rsid w:val="006A77FC"/>
    <w:rsid w:val="006A7B66"/>
    <w:rsid w:val="006B2676"/>
    <w:rsid w:val="006B29EB"/>
    <w:rsid w:val="006B33B8"/>
    <w:rsid w:val="006B5942"/>
    <w:rsid w:val="006B65C7"/>
    <w:rsid w:val="006C087C"/>
    <w:rsid w:val="006C0F98"/>
    <w:rsid w:val="006C1C98"/>
    <w:rsid w:val="006C2EB1"/>
    <w:rsid w:val="006C33D6"/>
    <w:rsid w:val="006C3491"/>
    <w:rsid w:val="006C36B5"/>
    <w:rsid w:val="006C3887"/>
    <w:rsid w:val="006C3F0D"/>
    <w:rsid w:val="006C4C83"/>
    <w:rsid w:val="006C6D0C"/>
    <w:rsid w:val="006C6E29"/>
    <w:rsid w:val="006D03A2"/>
    <w:rsid w:val="006D214D"/>
    <w:rsid w:val="006D309D"/>
    <w:rsid w:val="006D539D"/>
    <w:rsid w:val="006E083B"/>
    <w:rsid w:val="006E3E19"/>
    <w:rsid w:val="006E46DB"/>
    <w:rsid w:val="006E4F80"/>
    <w:rsid w:val="006E7AE9"/>
    <w:rsid w:val="006E7C7A"/>
    <w:rsid w:val="006E7F26"/>
    <w:rsid w:val="006F3595"/>
    <w:rsid w:val="006F3D97"/>
    <w:rsid w:val="006F4F61"/>
    <w:rsid w:val="006F536D"/>
    <w:rsid w:val="006F67B0"/>
    <w:rsid w:val="00702022"/>
    <w:rsid w:val="007064B1"/>
    <w:rsid w:val="00714D32"/>
    <w:rsid w:val="00716AB8"/>
    <w:rsid w:val="00717D96"/>
    <w:rsid w:val="007213F8"/>
    <w:rsid w:val="00726206"/>
    <w:rsid w:val="00726E84"/>
    <w:rsid w:val="00730C12"/>
    <w:rsid w:val="00731116"/>
    <w:rsid w:val="00732E83"/>
    <w:rsid w:val="00733023"/>
    <w:rsid w:val="00733097"/>
    <w:rsid w:val="00736441"/>
    <w:rsid w:val="007366A0"/>
    <w:rsid w:val="00740A4D"/>
    <w:rsid w:val="00740C0D"/>
    <w:rsid w:val="00741DD9"/>
    <w:rsid w:val="00743F21"/>
    <w:rsid w:val="007452DE"/>
    <w:rsid w:val="00746634"/>
    <w:rsid w:val="0075030D"/>
    <w:rsid w:val="0075178D"/>
    <w:rsid w:val="007524EF"/>
    <w:rsid w:val="00752FAF"/>
    <w:rsid w:val="007542BA"/>
    <w:rsid w:val="00754836"/>
    <w:rsid w:val="0075646F"/>
    <w:rsid w:val="00757DD9"/>
    <w:rsid w:val="0076097E"/>
    <w:rsid w:val="0076233D"/>
    <w:rsid w:val="00770E7D"/>
    <w:rsid w:val="007716F2"/>
    <w:rsid w:val="00771B50"/>
    <w:rsid w:val="007735DF"/>
    <w:rsid w:val="00773D20"/>
    <w:rsid w:val="00775F43"/>
    <w:rsid w:val="00776013"/>
    <w:rsid w:val="007767D4"/>
    <w:rsid w:val="00776958"/>
    <w:rsid w:val="007774DD"/>
    <w:rsid w:val="0078097D"/>
    <w:rsid w:val="00781A8B"/>
    <w:rsid w:val="00781D4C"/>
    <w:rsid w:val="00782E04"/>
    <w:rsid w:val="00784788"/>
    <w:rsid w:val="0078551B"/>
    <w:rsid w:val="00786793"/>
    <w:rsid w:val="00787848"/>
    <w:rsid w:val="007927E7"/>
    <w:rsid w:val="00794749"/>
    <w:rsid w:val="00797FE5"/>
    <w:rsid w:val="007A11CC"/>
    <w:rsid w:val="007A2501"/>
    <w:rsid w:val="007A4014"/>
    <w:rsid w:val="007A43BB"/>
    <w:rsid w:val="007A44D5"/>
    <w:rsid w:val="007A4E8F"/>
    <w:rsid w:val="007A6FB8"/>
    <w:rsid w:val="007A72A9"/>
    <w:rsid w:val="007B02FD"/>
    <w:rsid w:val="007B0F84"/>
    <w:rsid w:val="007B3126"/>
    <w:rsid w:val="007B45D7"/>
    <w:rsid w:val="007B55FC"/>
    <w:rsid w:val="007C100B"/>
    <w:rsid w:val="007C2984"/>
    <w:rsid w:val="007C2C35"/>
    <w:rsid w:val="007C7585"/>
    <w:rsid w:val="007D2EF3"/>
    <w:rsid w:val="007D3320"/>
    <w:rsid w:val="007D4CFC"/>
    <w:rsid w:val="007D5EE2"/>
    <w:rsid w:val="007D6518"/>
    <w:rsid w:val="007D7C99"/>
    <w:rsid w:val="007E312F"/>
    <w:rsid w:val="007F037A"/>
    <w:rsid w:val="007F4112"/>
    <w:rsid w:val="007F7B9C"/>
    <w:rsid w:val="008018E9"/>
    <w:rsid w:val="00802C69"/>
    <w:rsid w:val="00806E2C"/>
    <w:rsid w:val="008106E1"/>
    <w:rsid w:val="00810B26"/>
    <w:rsid w:val="0081161D"/>
    <w:rsid w:val="008118A9"/>
    <w:rsid w:val="00815D3D"/>
    <w:rsid w:val="008169DC"/>
    <w:rsid w:val="00821215"/>
    <w:rsid w:val="008218F7"/>
    <w:rsid w:val="008231B7"/>
    <w:rsid w:val="008232F1"/>
    <w:rsid w:val="00827062"/>
    <w:rsid w:val="0083029C"/>
    <w:rsid w:val="00832E0A"/>
    <w:rsid w:val="00834FFA"/>
    <w:rsid w:val="008363EE"/>
    <w:rsid w:val="008400B8"/>
    <w:rsid w:val="00840584"/>
    <w:rsid w:val="008410ED"/>
    <w:rsid w:val="00841A98"/>
    <w:rsid w:val="008431F0"/>
    <w:rsid w:val="00847C51"/>
    <w:rsid w:val="00850580"/>
    <w:rsid w:val="008514DF"/>
    <w:rsid w:val="0085189C"/>
    <w:rsid w:val="00851C43"/>
    <w:rsid w:val="00852647"/>
    <w:rsid w:val="00861831"/>
    <w:rsid w:val="008624A8"/>
    <w:rsid w:val="00862813"/>
    <w:rsid w:val="00862EB7"/>
    <w:rsid w:val="008641A1"/>
    <w:rsid w:val="00864BD3"/>
    <w:rsid w:val="0086533F"/>
    <w:rsid w:val="00866AA6"/>
    <w:rsid w:val="0087301C"/>
    <w:rsid w:val="00874C34"/>
    <w:rsid w:val="00880402"/>
    <w:rsid w:val="0088353F"/>
    <w:rsid w:val="00884D02"/>
    <w:rsid w:val="00884D05"/>
    <w:rsid w:val="00885C10"/>
    <w:rsid w:val="00887877"/>
    <w:rsid w:val="00887B3B"/>
    <w:rsid w:val="00890ED9"/>
    <w:rsid w:val="00891FFF"/>
    <w:rsid w:val="008920AC"/>
    <w:rsid w:val="00892EC2"/>
    <w:rsid w:val="00893B38"/>
    <w:rsid w:val="00893E1B"/>
    <w:rsid w:val="00893E7E"/>
    <w:rsid w:val="008941F1"/>
    <w:rsid w:val="008960AA"/>
    <w:rsid w:val="00896CC5"/>
    <w:rsid w:val="008973B4"/>
    <w:rsid w:val="008A09A1"/>
    <w:rsid w:val="008A1A6A"/>
    <w:rsid w:val="008A23BB"/>
    <w:rsid w:val="008A4AF4"/>
    <w:rsid w:val="008A6832"/>
    <w:rsid w:val="008A6B19"/>
    <w:rsid w:val="008A7449"/>
    <w:rsid w:val="008B281F"/>
    <w:rsid w:val="008B2B15"/>
    <w:rsid w:val="008B3941"/>
    <w:rsid w:val="008B4520"/>
    <w:rsid w:val="008B4A5F"/>
    <w:rsid w:val="008B660B"/>
    <w:rsid w:val="008C1A11"/>
    <w:rsid w:val="008C30AD"/>
    <w:rsid w:val="008C6419"/>
    <w:rsid w:val="008C6890"/>
    <w:rsid w:val="008C7816"/>
    <w:rsid w:val="008D0922"/>
    <w:rsid w:val="008D249E"/>
    <w:rsid w:val="008D28CD"/>
    <w:rsid w:val="008D28D3"/>
    <w:rsid w:val="008D2D28"/>
    <w:rsid w:val="008D5AB0"/>
    <w:rsid w:val="008D686B"/>
    <w:rsid w:val="008D7CA0"/>
    <w:rsid w:val="008E0553"/>
    <w:rsid w:val="008E261F"/>
    <w:rsid w:val="008E33B5"/>
    <w:rsid w:val="008E42D4"/>
    <w:rsid w:val="008E53B1"/>
    <w:rsid w:val="008E5A7F"/>
    <w:rsid w:val="008E6933"/>
    <w:rsid w:val="008E78A0"/>
    <w:rsid w:val="008E7BE1"/>
    <w:rsid w:val="008F1BB5"/>
    <w:rsid w:val="008F3BDD"/>
    <w:rsid w:val="008F3F23"/>
    <w:rsid w:val="008F72D2"/>
    <w:rsid w:val="008F7D49"/>
    <w:rsid w:val="00901040"/>
    <w:rsid w:val="00901B88"/>
    <w:rsid w:val="00901DE4"/>
    <w:rsid w:val="009020A6"/>
    <w:rsid w:val="00902364"/>
    <w:rsid w:val="00902A62"/>
    <w:rsid w:val="00902B98"/>
    <w:rsid w:val="0090605E"/>
    <w:rsid w:val="009069CF"/>
    <w:rsid w:val="00906DC3"/>
    <w:rsid w:val="0090737B"/>
    <w:rsid w:val="009104CD"/>
    <w:rsid w:val="0091064C"/>
    <w:rsid w:val="00910A3C"/>
    <w:rsid w:val="00913A39"/>
    <w:rsid w:val="009148DE"/>
    <w:rsid w:val="0091647A"/>
    <w:rsid w:val="009165C2"/>
    <w:rsid w:val="00916882"/>
    <w:rsid w:val="009168B3"/>
    <w:rsid w:val="009175DC"/>
    <w:rsid w:val="00921D87"/>
    <w:rsid w:val="00925488"/>
    <w:rsid w:val="00925C51"/>
    <w:rsid w:val="00925D13"/>
    <w:rsid w:val="00933B3F"/>
    <w:rsid w:val="009349FD"/>
    <w:rsid w:val="009371E9"/>
    <w:rsid w:val="00937EFB"/>
    <w:rsid w:val="00943EE8"/>
    <w:rsid w:val="009445E0"/>
    <w:rsid w:val="00944A51"/>
    <w:rsid w:val="0094585B"/>
    <w:rsid w:val="009475D1"/>
    <w:rsid w:val="009522F5"/>
    <w:rsid w:val="00954895"/>
    <w:rsid w:val="009554EC"/>
    <w:rsid w:val="00955B1B"/>
    <w:rsid w:val="00956E96"/>
    <w:rsid w:val="009603EE"/>
    <w:rsid w:val="009611E6"/>
    <w:rsid w:val="00962C87"/>
    <w:rsid w:val="00967153"/>
    <w:rsid w:val="0097352E"/>
    <w:rsid w:val="0097397C"/>
    <w:rsid w:val="0097435A"/>
    <w:rsid w:val="0098018F"/>
    <w:rsid w:val="00984738"/>
    <w:rsid w:val="00985590"/>
    <w:rsid w:val="00986938"/>
    <w:rsid w:val="00986B97"/>
    <w:rsid w:val="009871EA"/>
    <w:rsid w:val="00990393"/>
    <w:rsid w:val="009907C2"/>
    <w:rsid w:val="00991F37"/>
    <w:rsid w:val="00992269"/>
    <w:rsid w:val="009926D0"/>
    <w:rsid w:val="00996B6D"/>
    <w:rsid w:val="0099743E"/>
    <w:rsid w:val="0099768A"/>
    <w:rsid w:val="009A0278"/>
    <w:rsid w:val="009A46F1"/>
    <w:rsid w:val="009A50B5"/>
    <w:rsid w:val="009A6F90"/>
    <w:rsid w:val="009B0B08"/>
    <w:rsid w:val="009B0B88"/>
    <w:rsid w:val="009B0D73"/>
    <w:rsid w:val="009B10D9"/>
    <w:rsid w:val="009B29DB"/>
    <w:rsid w:val="009B46B8"/>
    <w:rsid w:val="009B5E1D"/>
    <w:rsid w:val="009B7D23"/>
    <w:rsid w:val="009C02CF"/>
    <w:rsid w:val="009C3134"/>
    <w:rsid w:val="009C4D66"/>
    <w:rsid w:val="009C5F77"/>
    <w:rsid w:val="009C6AA7"/>
    <w:rsid w:val="009D69E4"/>
    <w:rsid w:val="009E01E6"/>
    <w:rsid w:val="009E16D9"/>
    <w:rsid w:val="009E22F8"/>
    <w:rsid w:val="009E3A36"/>
    <w:rsid w:val="009E5F08"/>
    <w:rsid w:val="009E7414"/>
    <w:rsid w:val="009E796C"/>
    <w:rsid w:val="009E7A54"/>
    <w:rsid w:val="009F174F"/>
    <w:rsid w:val="009F3349"/>
    <w:rsid w:val="009F3A19"/>
    <w:rsid w:val="009F4E90"/>
    <w:rsid w:val="00A0029B"/>
    <w:rsid w:val="00A025B8"/>
    <w:rsid w:val="00A04E6B"/>
    <w:rsid w:val="00A04FE2"/>
    <w:rsid w:val="00A058B3"/>
    <w:rsid w:val="00A10652"/>
    <w:rsid w:val="00A11BAC"/>
    <w:rsid w:val="00A11D66"/>
    <w:rsid w:val="00A14476"/>
    <w:rsid w:val="00A1472B"/>
    <w:rsid w:val="00A147B0"/>
    <w:rsid w:val="00A17058"/>
    <w:rsid w:val="00A22448"/>
    <w:rsid w:val="00A23A03"/>
    <w:rsid w:val="00A23D95"/>
    <w:rsid w:val="00A24AFE"/>
    <w:rsid w:val="00A26D37"/>
    <w:rsid w:val="00A30A15"/>
    <w:rsid w:val="00A318C9"/>
    <w:rsid w:val="00A4150B"/>
    <w:rsid w:val="00A43675"/>
    <w:rsid w:val="00A436A1"/>
    <w:rsid w:val="00A437A9"/>
    <w:rsid w:val="00A43A88"/>
    <w:rsid w:val="00A45285"/>
    <w:rsid w:val="00A4528C"/>
    <w:rsid w:val="00A45F71"/>
    <w:rsid w:val="00A4728B"/>
    <w:rsid w:val="00A47436"/>
    <w:rsid w:val="00A50B41"/>
    <w:rsid w:val="00A50F86"/>
    <w:rsid w:val="00A532F7"/>
    <w:rsid w:val="00A534CD"/>
    <w:rsid w:val="00A54038"/>
    <w:rsid w:val="00A567CA"/>
    <w:rsid w:val="00A60B0E"/>
    <w:rsid w:val="00A623F6"/>
    <w:rsid w:val="00A62D5B"/>
    <w:rsid w:val="00A6629E"/>
    <w:rsid w:val="00A7017D"/>
    <w:rsid w:val="00A74E89"/>
    <w:rsid w:val="00A75109"/>
    <w:rsid w:val="00A75174"/>
    <w:rsid w:val="00A82291"/>
    <w:rsid w:val="00A827B1"/>
    <w:rsid w:val="00A8296B"/>
    <w:rsid w:val="00A84AB9"/>
    <w:rsid w:val="00A85214"/>
    <w:rsid w:val="00A85361"/>
    <w:rsid w:val="00A866C3"/>
    <w:rsid w:val="00A8679B"/>
    <w:rsid w:val="00A867CB"/>
    <w:rsid w:val="00A91381"/>
    <w:rsid w:val="00A94459"/>
    <w:rsid w:val="00A94E23"/>
    <w:rsid w:val="00A9573D"/>
    <w:rsid w:val="00A95B21"/>
    <w:rsid w:val="00AA07F5"/>
    <w:rsid w:val="00AA16F9"/>
    <w:rsid w:val="00AB2D16"/>
    <w:rsid w:val="00AB3D3B"/>
    <w:rsid w:val="00AB4147"/>
    <w:rsid w:val="00AB5055"/>
    <w:rsid w:val="00AB593E"/>
    <w:rsid w:val="00AC13E3"/>
    <w:rsid w:val="00AC5E34"/>
    <w:rsid w:val="00AC61F9"/>
    <w:rsid w:val="00AC6862"/>
    <w:rsid w:val="00AC6B9C"/>
    <w:rsid w:val="00AD0984"/>
    <w:rsid w:val="00AD0D6A"/>
    <w:rsid w:val="00AD0EDB"/>
    <w:rsid w:val="00AD4E08"/>
    <w:rsid w:val="00AD59A9"/>
    <w:rsid w:val="00AD7EA7"/>
    <w:rsid w:val="00AE0B07"/>
    <w:rsid w:val="00AE51E1"/>
    <w:rsid w:val="00AE5C14"/>
    <w:rsid w:val="00AE6157"/>
    <w:rsid w:val="00AF26F7"/>
    <w:rsid w:val="00AF35FE"/>
    <w:rsid w:val="00AF4918"/>
    <w:rsid w:val="00AF6369"/>
    <w:rsid w:val="00AF6877"/>
    <w:rsid w:val="00B000AE"/>
    <w:rsid w:val="00B01C7F"/>
    <w:rsid w:val="00B0214E"/>
    <w:rsid w:val="00B03132"/>
    <w:rsid w:val="00B031AB"/>
    <w:rsid w:val="00B03FD5"/>
    <w:rsid w:val="00B049AE"/>
    <w:rsid w:val="00B05BDA"/>
    <w:rsid w:val="00B07785"/>
    <w:rsid w:val="00B07962"/>
    <w:rsid w:val="00B10327"/>
    <w:rsid w:val="00B10E54"/>
    <w:rsid w:val="00B120FD"/>
    <w:rsid w:val="00B15A1A"/>
    <w:rsid w:val="00B16E8D"/>
    <w:rsid w:val="00B20F6D"/>
    <w:rsid w:val="00B21192"/>
    <w:rsid w:val="00B30679"/>
    <w:rsid w:val="00B32404"/>
    <w:rsid w:val="00B32EA1"/>
    <w:rsid w:val="00B3326F"/>
    <w:rsid w:val="00B334D0"/>
    <w:rsid w:val="00B34409"/>
    <w:rsid w:val="00B35789"/>
    <w:rsid w:val="00B3792B"/>
    <w:rsid w:val="00B37994"/>
    <w:rsid w:val="00B37E84"/>
    <w:rsid w:val="00B403B2"/>
    <w:rsid w:val="00B438F9"/>
    <w:rsid w:val="00B51404"/>
    <w:rsid w:val="00B53A08"/>
    <w:rsid w:val="00B5403A"/>
    <w:rsid w:val="00B540A5"/>
    <w:rsid w:val="00B553EB"/>
    <w:rsid w:val="00B619A8"/>
    <w:rsid w:val="00B62A88"/>
    <w:rsid w:val="00B62E62"/>
    <w:rsid w:val="00B63F04"/>
    <w:rsid w:val="00B642B6"/>
    <w:rsid w:val="00B70114"/>
    <w:rsid w:val="00B70B6D"/>
    <w:rsid w:val="00B7136A"/>
    <w:rsid w:val="00B71675"/>
    <w:rsid w:val="00B728F1"/>
    <w:rsid w:val="00B74202"/>
    <w:rsid w:val="00B77448"/>
    <w:rsid w:val="00B778AE"/>
    <w:rsid w:val="00B818B8"/>
    <w:rsid w:val="00B83479"/>
    <w:rsid w:val="00B8381E"/>
    <w:rsid w:val="00B86507"/>
    <w:rsid w:val="00B86EEC"/>
    <w:rsid w:val="00B87A94"/>
    <w:rsid w:val="00B90025"/>
    <w:rsid w:val="00B916D2"/>
    <w:rsid w:val="00B95D2A"/>
    <w:rsid w:val="00B96DFE"/>
    <w:rsid w:val="00BA02D0"/>
    <w:rsid w:val="00BA165C"/>
    <w:rsid w:val="00BA4B1E"/>
    <w:rsid w:val="00BA76A1"/>
    <w:rsid w:val="00BB215E"/>
    <w:rsid w:val="00BB371F"/>
    <w:rsid w:val="00BB4496"/>
    <w:rsid w:val="00BB4ED0"/>
    <w:rsid w:val="00BB5720"/>
    <w:rsid w:val="00BB696F"/>
    <w:rsid w:val="00BB71CA"/>
    <w:rsid w:val="00BC05A7"/>
    <w:rsid w:val="00BC12C2"/>
    <w:rsid w:val="00BC3504"/>
    <w:rsid w:val="00BC53BF"/>
    <w:rsid w:val="00BC7BB8"/>
    <w:rsid w:val="00BD25E9"/>
    <w:rsid w:val="00BD3C83"/>
    <w:rsid w:val="00BD3DB9"/>
    <w:rsid w:val="00BD43F7"/>
    <w:rsid w:val="00BD4823"/>
    <w:rsid w:val="00BD59C1"/>
    <w:rsid w:val="00BD6703"/>
    <w:rsid w:val="00BD7F5E"/>
    <w:rsid w:val="00BE13F2"/>
    <w:rsid w:val="00BE73A5"/>
    <w:rsid w:val="00BE7C4A"/>
    <w:rsid w:val="00BE7E13"/>
    <w:rsid w:val="00BF48FD"/>
    <w:rsid w:val="00BF5AD8"/>
    <w:rsid w:val="00BF788B"/>
    <w:rsid w:val="00BF7D42"/>
    <w:rsid w:val="00C00CEC"/>
    <w:rsid w:val="00C0402C"/>
    <w:rsid w:val="00C056EE"/>
    <w:rsid w:val="00C06F9E"/>
    <w:rsid w:val="00C10F2C"/>
    <w:rsid w:val="00C14E26"/>
    <w:rsid w:val="00C16815"/>
    <w:rsid w:val="00C17189"/>
    <w:rsid w:val="00C20A33"/>
    <w:rsid w:val="00C20EF9"/>
    <w:rsid w:val="00C2203F"/>
    <w:rsid w:val="00C24075"/>
    <w:rsid w:val="00C262E8"/>
    <w:rsid w:val="00C30AD8"/>
    <w:rsid w:val="00C31ADC"/>
    <w:rsid w:val="00C31D4B"/>
    <w:rsid w:val="00C33847"/>
    <w:rsid w:val="00C34B45"/>
    <w:rsid w:val="00C374B5"/>
    <w:rsid w:val="00C3788D"/>
    <w:rsid w:val="00C41F46"/>
    <w:rsid w:val="00C42395"/>
    <w:rsid w:val="00C43891"/>
    <w:rsid w:val="00C477E9"/>
    <w:rsid w:val="00C47E1B"/>
    <w:rsid w:val="00C50095"/>
    <w:rsid w:val="00C53723"/>
    <w:rsid w:val="00C55082"/>
    <w:rsid w:val="00C5547E"/>
    <w:rsid w:val="00C5680D"/>
    <w:rsid w:val="00C57422"/>
    <w:rsid w:val="00C57603"/>
    <w:rsid w:val="00C57891"/>
    <w:rsid w:val="00C57D2F"/>
    <w:rsid w:val="00C602BA"/>
    <w:rsid w:val="00C6086B"/>
    <w:rsid w:val="00C67394"/>
    <w:rsid w:val="00C674B1"/>
    <w:rsid w:val="00C677AC"/>
    <w:rsid w:val="00C700C5"/>
    <w:rsid w:val="00C70880"/>
    <w:rsid w:val="00C70ABD"/>
    <w:rsid w:val="00C72770"/>
    <w:rsid w:val="00C727EA"/>
    <w:rsid w:val="00C73C57"/>
    <w:rsid w:val="00C741DA"/>
    <w:rsid w:val="00C75C91"/>
    <w:rsid w:val="00C768C4"/>
    <w:rsid w:val="00C82350"/>
    <w:rsid w:val="00C8277B"/>
    <w:rsid w:val="00C83E69"/>
    <w:rsid w:val="00C86B0A"/>
    <w:rsid w:val="00C86ED2"/>
    <w:rsid w:val="00C87AFB"/>
    <w:rsid w:val="00C90731"/>
    <w:rsid w:val="00C90AFA"/>
    <w:rsid w:val="00C92FD2"/>
    <w:rsid w:val="00C9791F"/>
    <w:rsid w:val="00C97990"/>
    <w:rsid w:val="00CA2F82"/>
    <w:rsid w:val="00CA389D"/>
    <w:rsid w:val="00CA3E15"/>
    <w:rsid w:val="00CB0646"/>
    <w:rsid w:val="00CB0A09"/>
    <w:rsid w:val="00CB104E"/>
    <w:rsid w:val="00CB1F98"/>
    <w:rsid w:val="00CB20D8"/>
    <w:rsid w:val="00CB3333"/>
    <w:rsid w:val="00CB338F"/>
    <w:rsid w:val="00CB3DFF"/>
    <w:rsid w:val="00CB5057"/>
    <w:rsid w:val="00CB5284"/>
    <w:rsid w:val="00CB61AF"/>
    <w:rsid w:val="00CB7562"/>
    <w:rsid w:val="00CC1CCB"/>
    <w:rsid w:val="00CC2CC9"/>
    <w:rsid w:val="00CC3129"/>
    <w:rsid w:val="00CC3427"/>
    <w:rsid w:val="00CC34BF"/>
    <w:rsid w:val="00CC4350"/>
    <w:rsid w:val="00CC45F9"/>
    <w:rsid w:val="00CC5549"/>
    <w:rsid w:val="00CC6E7F"/>
    <w:rsid w:val="00CD0145"/>
    <w:rsid w:val="00CD1CFF"/>
    <w:rsid w:val="00CD27F6"/>
    <w:rsid w:val="00CD3042"/>
    <w:rsid w:val="00CD34EB"/>
    <w:rsid w:val="00CD412D"/>
    <w:rsid w:val="00CD61B7"/>
    <w:rsid w:val="00CD6205"/>
    <w:rsid w:val="00CE0D2E"/>
    <w:rsid w:val="00CE19B9"/>
    <w:rsid w:val="00CE1A78"/>
    <w:rsid w:val="00CE29A7"/>
    <w:rsid w:val="00CE3844"/>
    <w:rsid w:val="00CE70E6"/>
    <w:rsid w:val="00CF10DA"/>
    <w:rsid w:val="00CF1CD6"/>
    <w:rsid w:val="00CF545E"/>
    <w:rsid w:val="00CF6BEE"/>
    <w:rsid w:val="00CF758B"/>
    <w:rsid w:val="00CF79FA"/>
    <w:rsid w:val="00D002FE"/>
    <w:rsid w:val="00D00543"/>
    <w:rsid w:val="00D02D77"/>
    <w:rsid w:val="00D02FB1"/>
    <w:rsid w:val="00D03D40"/>
    <w:rsid w:val="00D0541B"/>
    <w:rsid w:val="00D06BFF"/>
    <w:rsid w:val="00D07256"/>
    <w:rsid w:val="00D07270"/>
    <w:rsid w:val="00D07A09"/>
    <w:rsid w:val="00D104C2"/>
    <w:rsid w:val="00D12A9F"/>
    <w:rsid w:val="00D13E1E"/>
    <w:rsid w:val="00D13F45"/>
    <w:rsid w:val="00D14573"/>
    <w:rsid w:val="00D147EE"/>
    <w:rsid w:val="00D16068"/>
    <w:rsid w:val="00D16143"/>
    <w:rsid w:val="00D169A8"/>
    <w:rsid w:val="00D20292"/>
    <w:rsid w:val="00D22722"/>
    <w:rsid w:val="00D241C0"/>
    <w:rsid w:val="00D24D5D"/>
    <w:rsid w:val="00D27574"/>
    <w:rsid w:val="00D2794C"/>
    <w:rsid w:val="00D32353"/>
    <w:rsid w:val="00D33C41"/>
    <w:rsid w:val="00D36239"/>
    <w:rsid w:val="00D375A5"/>
    <w:rsid w:val="00D40F06"/>
    <w:rsid w:val="00D431DF"/>
    <w:rsid w:val="00D4398E"/>
    <w:rsid w:val="00D44242"/>
    <w:rsid w:val="00D451B3"/>
    <w:rsid w:val="00D45709"/>
    <w:rsid w:val="00D51818"/>
    <w:rsid w:val="00D52346"/>
    <w:rsid w:val="00D53C9F"/>
    <w:rsid w:val="00D550A8"/>
    <w:rsid w:val="00D566B6"/>
    <w:rsid w:val="00D610A9"/>
    <w:rsid w:val="00D62779"/>
    <w:rsid w:val="00D675D8"/>
    <w:rsid w:val="00D67678"/>
    <w:rsid w:val="00D70B07"/>
    <w:rsid w:val="00D71306"/>
    <w:rsid w:val="00D72A4B"/>
    <w:rsid w:val="00D7335E"/>
    <w:rsid w:val="00D7414D"/>
    <w:rsid w:val="00D7456D"/>
    <w:rsid w:val="00D766FA"/>
    <w:rsid w:val="00D775CB"/>
    <w:rsid w:val="00D8103C"/>
    <w:rsid w:val="00D8197F"/>
    <w:rsid w:val="00D81DF4"/>
    <w:rsid w:val="00D82F0E"/>
    <w:rsid w:val="00D84976"/>
    <w:rsid w:val="00D8510A"/>
    <w:rsid w:val="00D85E8C"/>
    <w:rsid w:val="00D85F67"/>
    <w:rsid w:val="00D876DB"/>
    <w:rsid w:val="00D9018F"/>
    <w:rsid w:val="00D911C5"/>
    <w:rsid w:val="00D923EF"/>
    <w:rsid w:val="00D977BA"/>
    <w:rsid w:val="00DA0089"/>
    <w:rsid w:val="00DA18F9"/>
    <w:rsid w:val="00DA1E9D"/>
    <w:rsid w:val="00DA5298"/>
    <w:rsid w:val="00DA61E5"/>
    <w:rsid w:val="00DA7599"/>
    <w:rsid w:val="00DB04F6"/>
    <w:rsid w:val="00DB0D23"/>
    <w:rsid w:val="00DB1746"/>
    <w:rsid w:val="00DB1EF0"/>
    <w:rsid w:val="00DB3B34"/>
    <w:rsid w:val="00DB4766"/>
    <w:rsid w:val="00DB5021"/>
    <w:rsid w:val="00DB6804"/>
    <w:rsid w:val="00DC05C1"/>
    <w:rsid w:val="00DC22FD"/>
    <w:rsid w:val="00DC6935"/>
    <w:rsid w:val="00DC7ABA"/>
    <w:rsid w:val="00DD02C5"/>
    <w:rsid w:val="00DD0569"/>
    <w:rsid w:val="00DD264D"/>
    <w:rsid w:val="00DD2DBE"/>
    <w:rsid w:val="00DD2FCE"/>
    <w:rsid w:val="00DD5ED5"/>
    <w:rsid w:val="00DD7383"/>
    <w:rsid w:val="00DD7EB5"/>
    <w:rsid w:val="00DE059B"/>
    <w:rsid w:val="00DE0724"/>
    <w:rsid w:val="00DE2F59"/>
    <w:rsid w:val="00DE30B3"/>
    <w:rsid w:val="00DE498F"/>
    <w:rsid w:val="00DE5A3D"/>
    <w:rsid w:val="00DE5C79"/>
    <w:rsid w:val="00DF037E"/>
    <w:rsid w:val="00DF0D6E"/>
    <w:rsid w:val="00DF22FF"/>
    <w:rsid w:val="00DF636A"/>
    <w:rsid w:val="00E00EB8"/>
    <w:rsid w:val="00E07845"/>
    <w:rsid w:val="00E1154E"/>
    <w:rsid w:val="00E11C74"/>
    <w:rsid w:val="00E1356C"/>
    <w:rsid w:val="00E13A23"/>
    <w:rsid w:val="00E143D3"/>
    <w:rsid w:val="00E148B2"/>
    <w:rsid w:val="00E152FA"/>
    <w:rsid w:val="00E15497"/>
    <w:rsid w:val="00E166E0"/>
    <w:rsid w:val="00E200D0"/>
    <w:rsid w:val="00E2018E"/>
    <w:rsid w:val="00E21483"/>
    <w:rsid w:val="00E218D4"/>
    <w:rsid w:val="00E24038"/>
    <w:rsid w:val="00E24370"/>
    <w:rsid w:val="00E2516E"/>
    <w:rsid w:val="00E25BD5"/>
    <w:rsid w:val="00E25CEC"/>
    <w:rsid w:val="00E272F5"/>
    <w:rsid w:val="00E3073F"/>
    <w:rsid w:val="00E31437"/>
    <w:rsid w:val="00E3315E"/>
    <w:rsid w:val="00E33787"/>
    <w:rsid w:val="00E35764"/>
    <w:rsid w:val="00E376E2"/>
    <w:rsid w:val="00E37D70"/>
    <w:rsid w:val="00E40A46"/>
    <w:rsid w:val="00E44CE6"/>
    <w:rsid w:val="00E470F3"/>
    <w:rsid w:val="00E47CBA"/>
    <w:rsid w:val="00E50E74"/>
    <w:rsid w:val="00E5156A"/>
    <w:rsid w:val="00E518D7"/>
    <w:rsid w:val="00E51DEA"/>
    <w:rsid w:val="00E5466D"/>
    <w:rsid w:val="00E565BF"/>
    <w:rsid w:val="00E673F1"/>
    <w:rsid w:val="00E719DE"/>
    <w:rsid w:val="00E72E5A"/>
    <w:rsid w:val="00E731AA"/>
    <w:rsid w:val="00E73881"/>
    <w:rsid w:val="00E73AD1"/>
    <w:rsid w:val="00E73CFD"/>
    <w:rsid w:val="00E748F8"/>
    <w:rsid w:val="00E74E58"/>
    <w:rsid w:val="00E75C8D"/>
    <w:rsid w:val="00E75FD9"/>
    <w:rsid w:val="00E76337"/>
    <w:rsid w:val="00E77A24"/>
    <w:rsid w:val="00E77B27"/>
    <w:rsid w:val="00E77B74"/>
    <w:rsid w:val="00E80951"/>
    <w:rsid w:val="00E820AD"/>
    <w:rsid w:val="00E8366E"/>
    <w:rsid w:val="00E83DD8"/>
    <w:rsid w:val="00E86C44"/>
    <w:rsid w:val="00E8736F"/>
    <w:rsid w:val="00E90A57"/>
    <w:rsid w:val="00E92012"/>
    <w:rsid w:val="00E930A8"/>
    <w:rsid w:val="00E94724"/>
    <w:rsid w:val="00E95A5C"/>
    <w:rsid w:val="00E96C05"/>
    <w:rsid w:val="00EA052B"/>
    <w:rsid w:val="00EA2607"/>
    <w:rsid w:val="00EA2AF8"/>
    <w:rsid w:val="00EA3A89"/>
    <w:rsid w:val="00EA402D"/>
    <w:rsid w:val="00EA5B80"/>
    <w:rsid w:val="00EA603A"/>
    <w:rsid w:val="00EA64C0"/>
    <w:rsid w:val="00EA6860"/>
    <w:rsid w:val="00EA70C4"/>
    <w:rsid w:val="00EB03EA"/>
    <w:rsid w:val="00EB0D38"/>
    <w:rsid w:val="00EB2783"/>
    <w:rsid w:val="00EB3664"/>
    <w:rsid w:val="00EB4055"/>
    <w:rsid w:val="00EB469F"/>
    <w:rsid w:val="00EB4A93"/>
    <w:rsid w:val="00EB7A35"/>
    <w:rsid w:val="00EB7DEC"/>
    <w:rsid w:val="00EB7DF1"/>
    <w:rsid w:val="00EC05C7"/>
    <w:rsid w:val="00EC0CA6"/>
    <w:rsid w:val="00EC0F26"/>
    <w:rsid w:val="00EC2D50"/>
    <w:rsid w:val="00EC3985"/>
    <w:rsid w:val="00EC4BA1"/>
    <w:rsid w:val="00EC5568"/>
    <w:rsid w:val="00EC5CD3"/>
    <w:rsid w:val="00EC6750"/>
    <w:rsid w:val="00EC73C0"/>
    <w:rsid w:val="00EC7B97"/>
    <w:rsid w:val="00EC7C19"/>
    <w:rsid w:val="00ED0F7F"/>
    <w:rsid w:val="00ED11FA"/>
    <w:rsid w:val="00ED18F1"/>
    <w:rsid w:val="00ED261C"/>
    <w:rsid w:val="00EE0647"/>
    <w:rsid w:val="00EE087D"/>
    <w:rsid w:val="00EE089A"/>
    <w:rsid w:val="00EE22B1"/>
    <w:rsid w:val="00EE3DF5"/>
    <w:rsid w:val="00EE6794"/>
    <w:rsid w:val="00EF4F16"/>
    <w:rsid w:val="00EF5662"/>
    <w:rsid w:val="00EF58E5"/>
    <w:rsid w:val="00EF61C6"/>
    <w:rsid w:val="00EF68E0"/>
    <w:rsid w:val="00EF7DBB"/>
    <w:rsid w:val="00F010C6"/>
    <w:rsid w:val="00F01AFD"/>
    <w:rsid w:val="00F022C8"/>
    <w:rsid w:val="00F02598"/>
    <w:rsid w:val="00F03F24"/>
    <w:rsid w:val="00F06262"/>
    <w:rsid w:val="00F06722"/>
    <w:rsid w:val="00F11D70"/>
    <w:rsid w:val="00F14624"/>
    <w:rsid w:val="00F14DBA"/>
    <w:rsid w:val="00F151E8"/>
    <w:rsid w:val="00F158EF"/>
    <w:rsid w:val="00F2092A"/>
    <w:rsid w:val="00F21512"/>
    <w:rsid w:val="00F21A95"/>
    <w:rsid w:val="00F274A8"/>
    <w:rsid w:val="00F27896"/>
    <w:rsid w:val="00F30086"/>
    <w:rsid w:val="00F312F6"/>
    <w:rsid w:val="00F322AF"/>
    <w:rsid w:val="00F32872"/>
    <w:rsid w:val="00F338E6"/>
    <w:rsid w:val="00F347B3"/>
    <w:rsid w:val="00F41872"/>
    <w:rsid w:val="00F4289B"/>
    <w:rsid w:val="00F42E08"/>
    <w:rsid w:val="00F4581E"/>
    <w:rsid w:val="00F45D5E"/>
    <w:rsid w:val="00F4649D"/>
    <w:rsid w:val="00F46ADB"/>
    <w:rsid w:val="00F478E9"/>
    <w:rsid w:val="00F51443"/>
    <w:rsid w:val="00F5257B"/>
    <w:rsid w:val="00F52AD0"/>
    <w:rsid w:val="00F554B0"/>
    <w:rsid w:val="00F61BAD"/>
    <w:rsid w:val="00F639EE"/>
    <w:rsid w:val="00F63C90"/>
    <w:rsid w:val="00F65C7E"/>
    <w:rsid w:val="00F65CA5"/>
    <w:rsid w:val="00F66584"/>
    <w:rsid w:val="00F6750C"/>
    <w:rsid w:val="00F67BE3"/>
    <w:rsid w:val="00F705AF"/>
    <w:rsid w:val="00F732B6"/>
    <w:rsid w:val="00F734DD"/>
    <w:rsid w:val="00F73579"/>
    <w:rsid w:val="00F77D54"/>
    <w:rsid w:val="00F77FE3"/>
    <w:rsid w:val="00F83359"/>
    <w:rsid w:val="00F83801"/>
    <w:rsid w:val="00F85135"/>
    <w:rsid w:val="00F92133"/>
    <w:rsid w:val="00F92959"/>
    <w:rsid w:val="00FA0892"/>
    <w:rsid w:val="00FA205F"/>
    <w:rsid w:val="00FA3E5C"/>
    <w:rsid w:val="00FA64AA"/>
    <w:rsid w:val="00FB15DD"/>
    <w:rsid w:val="00FB3C77"/>
    <w:rsid w:val="00FB460A"/>
    <w:rsid w:val="00FB4E3C"/>
    <w:rsid w:val="00FB5C9D"/>
    <w:rsid w:val="00FB62FD"/>
    <w:rsid w:val="00FB6EC8"/>
    <w:rsid w:val="00FC24D9"/>
    <w:rsid w:val="00FC3C54"/>
    <w:rsid w:val="00FC4834"/>
    <w:rsid w:val="00FC513F"/>
    <w:rsid w:val="00FC5E66"/>
    <w:rsid w:val="00FC6C97"/>
    <w:rsid w:val="00FC7127"/>
    <w:rsid w:val="00FD086B"/>
    <w:rsid w:val="00FD1232"/>
    <w:rsid w:val="00FD2783"/>
    <w:rsid w:val="00FD2BEB"/>
    <w:rsid w:val="00FD360A"/>
    <w:rsid w:val="00FD6E30"/>
    <w:rsid w:val="00FE1893"/>
    <w:rsid w:val="00FE2965"/>
    <w:rsid w:val="00FE3260"/>
    <w:rsid w:val="00FE3EBB"/>
    <w:rsid w:val="00FE5AAE"/>
    <w:rsid w:val="00FF4780"/>
    <w:rsid w:val="00FF4F54"/>
    <w:rsid w:val="00FF63D0"/>
    <w:rsid w:val="00FF69C7"/>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0DE5"/>
  <w15:chartTrackingRefBased/>
  <w15:docId w15:val="{29A65CC6-B109-47AE-9254-3619CA7A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B14"/>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F5B1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5B14"/>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B16E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6E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127"/>
    <w:pPr>
      <w:ind w:left="720"/>
      <w:contextualSpacing/>
    </w:pPr>
  </w:style>
  <w:style w:type="paragraph" w:styleId="Header">
    <w:name w:val="header"/>
    <w:basedOn w:val="Normal"/>
    <w:link w:val="HeaderChar"/>
    <w:uiPriority w:val="99"/>
    <w:unhideWhenUsed/>
    <w:rsid w:val="00A3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A15"/>
  </w:style>
  <w:style w:type="paragraph" w:styleId="Footer">
    <w:name w:val="footer"/>
    <w:basedOn w:val="Normal"/>
    <w:link w:val="FooterChar"/>
    <w:uiPriority w:val="99"/>
    <w:unhideWhenUsed/>
    <w:rsid w:val="00A3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A15"/>
  </w:style>
  <w:style w:type="paragraph" w:styleId="PlainText">
    <w:name w:val="Plain Text"/>
    <w:basedOn w:val="Normal"/>
    <w:link w:val="PlainTextChar"/>
    <w:uiPriority w:val="99"/>
    <w:semiHidden/>
    <w:unhideWhenUsed/>
    <w:rsid w:val="008E33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33B5"/>
    <w:rPr>
      <w:rFonts w:ascii="Calibri" w:hAnsi="Calibri"/>
      <w:szCs w:val="21"/>
    </w:rPr>
  </w:style>
  <w:style w:type="character" w:styleId="Hyperlink">
    <w:name w:val="Hyperlink"/>
    <w:basedOn w:val="DefaultParagraphFont"/>
    <w:uiPriority w:val="99"/>
    <w:unhideWhenUsed/>
    <w:rsid w:val="008E33B5"/>
    <w:rPr>
      <w:color w:val="0563C1" w:themeColor="hyperlink"/>
      <w:u w:val="single"/>
    </w:rPr>
  </w:style>
  <w:style w:type="character" w:styleId="IntenseEmphasis">
    <w:name w:val="Intense Emphasis"/>
    <w:basedOn w:val="DefaultParagraphFont"/>
    <w:uiPriority w:val="21"/>
    <w:qFormat/>
    <w:rsid w:val="00134C35"/>
    <w:rPr>
      <w:i/>
      <w:iCs/>
      <w:color w:val="5B9BD5" w:themeColor="accent1"/>
    </w:rPr>
  </w:style>
  <w:style w:type="paragraph" w:styleId="Caption">
    <w:name w:val="caption"/>
    <w:basedOn w:val="Normal"/>
    <w:next w:val="Normal"/>
    <w:uiPriority w:val="35"/>
    <w:unhideWhenUsed/>
    <w:qFormat/>
    <w:rsid w:val="00134C3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F5B14"/>
    <w:rPr>
      <w:rFonts w:eastAsiaTheme="majorEastAsia" w:cstheme="majorBidi"/>
      <w:b/>
      <w:szCs w:val="26"/>
    </w:rPr>
  </w:style>
  <w:style w:type="character" w:customStyle="1" w:styleId="Heading3Char">
    <w:name w:val="Heading 3 Char"/>
    <w:basedOn w:val="DefaultParagraphFont"/>
    <w:link w:val="Heading3"/>
    <w:uiPriority w:val="9"/>
    <w:rsid w:val="001F5B14"/>
    <w:rPr>
      <w:rFonts w:eastAsiaTheme="majorEastAsia" w:cstheme="majorBidi"/>
      <w:i/>
      <w:szCs w:val="24"/>
    </w:rPr>
  </w:style>
  <w:style w:type="character" w:customStyle="1" w:styleId="A4">
    <w:name w:val="A4"/>
    <w:uiPriority w:val="99"/>
    <w:rsid w:val="00F77FE3"/>
    <w:rPr>
      <w:rFonts w:cs="Minion Pro"/>
      <w:color w:val="000000"/>
      <w:sz w:val="11"/>
      <w:szCs w:val="11"/>
    </w:rPr>
  </w:style>
  <w:style w:type="character" w:styleId="CommentReference">
    <w:name w:val="annotation reference"/>
    <w:basedOn w:val="DefaultParagraphFont"/>
    <w:uiPriority w:val="99"/>
    <w:semiHidden/>
    <w:unhideWhenUsed/>
    <w:rsid w:val="00FF4F54"/>
    <w:rPr>
      <w:sz w:val="16"/>
      <w:szCs w:val="16"/>
    </w:rPr>
  </w:style>
  <w:style w:type="paragraph" w:styleId="CommentText">
    <w:name w:val="annotation text"/>
    <w:basedOn w:val="Normal"/>
    <w:link w:val="CommentTextChar"/>
    <w:uiPriority w:val="99"/>
    <w:unhideWhenUsed/>
    <w:rsid w:val="00FF4F54"/>
    <w:pPr>
      <w:spacing w:line="240" w:lineRule="auto"/>
    </w:pPr>
    <w:rPr>
      <w:sz w:val="20"/>
      <w:szCs w:val="20"/>
    </w:rPr>
  </w:style>
  <w:style w:type="character" w:customStyle="1" w:styleId="CommentTextChar">
    <w:name w:val="Comment Text Char"/>
    <w:basedOn w:val="DefaultParagraphFont"/>
    <w:link w:val="CommentText"/>
    <w:uiPriority w:val="99"/>
    <w:rsid w:val="00FF4F54"/>
    <w:rPr>
      <w:sz w:val="20"/>
      <w:szCs w:val="20"/>
    </w:rPr>
  </w:style>
  <w:style w:type="paragraph" w:styleId="CommentSubject">
    <w:name w:val="annotation subject"/>
    <w:basedOn w:val="CommentText"/>
    <w:next w:val="CommentText"/>
    <w:link w:val="CommentSubjectChar"/>
    <w:uiPriority w:val="99"/>
    <w:semiHidden/>
    <w:unhideWhenUsed/>
    <w:rsid w:val="00FF4F54"/>
    <w:rPr>
      <w:b/>
      <w:bCs/>
    </w:rPr>
  </w:style>
  <w:style w:type="character" w:customStyle="1" w:styleId="CommentSubjectChar">
    <w:name w:val="Comment Subject Char"/>
    <w:basedOn w:val="CommentTextChar"/>
    <w:link w:val="CommentSubject"/>
    <w:uiPriority w:val="99"/>
    <w:semiHidden/>
    <w:rsid w:val="00FF4F54"/>
    <w:rPr>
      <w:b/>
      <w:bCs/>
      <w:sz w:val="20"/>
      <w:szCs w:val="20"/>
    </w:rPr>
  </w:style>
  <w:style w:type="paragraph" w:styleId="BalloonText">
    <w:name w:val="Balloon Text"/>
    <w:basedOn w:val="Normal"/>
    <w:link w:val="BalloonTextChar"/>
    <w:uiPriority w:val="99"/>
    <w:semiHidden/>
    <w:unhideWhenUsed/>
    <w:rsid w:val="00FF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54"/>
    <w:rPr>
      <w:rFonts w:ascii="Segoe UI" w:hAnsi="Segoe UI" w:cs="Segoe UI"/>
      <w:sz w:val="18"/>
      <w:szCs w:val="18"/>
    </w:rPr>
  </w:style>
  <w:style w:type="character" w:customStyle="1" w:styleId="Heading1Char">
    <w:name w:val="Heading 1 Char"/>
    <w:basedOn w:val="DefaultParagraphFont"/>
    <w:link w:val="Heading1"/>
    <w:uiPriority w:val="9"/>
    <w:rsid w:val="001F5B14"/>
    <w:rPr>
      <w:rFonts w:eastAsiaTheme="majorEastAsia" w:cstheme="majorBidi"/>
      <w:b/>
      <w:szCs w:val="32"/>
    </w:rPr>
  </w:style>
  <w:style w:type="paragraph" w:styleId="FootnoteText">
    <w:name w:val="footnote text"/>
    <w:basedOn w:val="Normal"/>
    <w:link w:val="FootnoteTextChar"/>
    <w:uiPriority w:val="99"/>
    <w:unhideWhenUsed/>
    <w:rsid w:val="00AD4E08"/>
    <w:pPr>
      <w:spacing w:after="0" w:line="240" w:lineRule="auto"/>
    </w:pPr>
    <w:rPr>
      <w:sz w:val="20"/>
      <w:szCs w:val="20"/>
    </w:rPr>
  </w:style>
  <w:style w:type="character" w:customStyle="1" w:styleId="FootnoteTextChar">
    <w:name w:val="Footnote Text Char"/>
    <w:basedOn w:val="DefaultParagraphFont"/>
    <w:link w:val="FootnoteText"/>
    <w:uiPriority w:val="99"/>
    <w:rsid w:val="00AD4E08"/>
    <w:rPr>
      <w:sz w:val="20"/>
      <w:szCs w:val="20"/>
    </w:rPr>
  </w:style>
  <w:style w:type="character" w:styleId="FootnoteReference">
    <w:name w:val="footnote reference"/>
    <w:basedOn w:val="DefaultParagraphFont"/>
    <w:uiPriority w:val="99"/>
    <w:unhideWhenUsed/>
    <w:rsid w:val="00AD4E08"/>
    <w:rPr>
      <w:vertAlign w:val="superscript"/>
    </w:rPr>
  </w:style>
  <w:style w:type="paragraph" w:styleId="NormalWeb">
    <w:name w:val="Normal (Web)"/>
    <w:basedOn w:val="Normal"/>
    <w:uiPriority w:val="99"/>
    <w:unhideWhenUsed/>
    <w:rsid w:val="00CC6E7F"/>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Ohne">
    <w:name w:val="Ohne"/>
    <w:rsid w:val="00CC6E7F"/>
  </w:style>
  <w:style w:type="character" w:customStyle="1" w:styleId="apple-converted-space">
    <w:name w:val="apple-converted-space"/>
    <w:basedOn w:val="DefaultParagraphFont"/>
    <w:rsid w:val="00CC6E7F"/>
  </w:style>
  <w:style w:type="character" w:styleId="Strong">
    <w:name w:val="Strong"/>
    <w:basedOn w:val="DefaultParagraphFont"/>
    <w:uiPriority w:val="22"/>
    <w:qFormat/>
    <w:rsid w:val="00CC6E7F"/>
    <w:rPr>
      <w:b/>
      <w:bCs/>
    </w:rPr>
  </w:style>
  <w:style w:type="paragraph" w:customStyle="1" w:styleId="Default">
    <w:name w:val="Default"/>
    <w:rsid w:val="00004209"/>
    <w:pPr>
      <w:autoSpaceDE w:val="0"/>
      <w:autoSpaceDN w:val="0"/>
      <w:adjustRightInd w:val="0"/>
      <w:spacing w:after="0" w:line="240" w:lineRule="auto"/>
    </w:pPr>
    <w:rPr>
      <w:rFonts w:ascii="Symbol" w:hAnsi="Symbol" w:cs="Symbol"/>
      <w:color w:val="000000"/>
      <w:sz w:val="24"/>
      <w:szCs w:val="24"/>
    </w:rPr>
  </w:style>
  <w:style w:type="paragraph" w:styleId="Revision">
    <w:name w:val="Revision"/>
    <w:hidden/>
    <w:uiPriority w:val="99"/>
    <w:semiHidden/>
    <w:rsid w:val="00377EDE"/>
    <w:pPr>
      <w:spacing w:after="0" w:line="240" w:lineRule="auto"/>
    </w:pPr>
  </w:style>
  <w:style w:type="character" w:customStyle="1" w:styleId="html-italic">
    <w:name w:val="html-italic"/>
    <w:basedOn w:val="DefaultParagraphFont"/>
    <w:rsid w:val="0024733F"/>
  </w:style>
  <w:style w:type="paragraph" w:customStyle="1" w:styleId="Pa9">
    <w:name w:val="Pa9"/>
    <w:basedOn w:val="Default"/>
    <w:next w:val="Default"/>
    <w:uiPriority w:val="99"/>
    <w:rsid w:val="00BD25E9"/>
    <w:pPr>
      <w:spacing w:line="187" w:lineRule="atLeast"/>
    </w:pPr>
    <w:rPr>
      <w:rFonts w:ascii="Minion Pro" w:hAnsi="Minion Pro" w:cstheme="minorBidi"/>
      <w:color w:val="auto"/>
    </w:rPr>
  </w:style>
  <w:style w:type="character" w:styleId="FollowedHyperlink">
    <w:name w:val="FollowedHyperlink"/>
    <w:basedOn w:val="DefaultParagraphFont"/>
    <w:uiPriority w:val="99"/>
    <w:semiHidden/>
    <w:unhideWhenUsed/>
    <w:rsid w:val="00862EB7"/>
    <w:rPr>
      <w:color w:val="954F72" w:themeColor="followedHyperlink"/>
      <w:u w:val="single"/>
    </w:rPr>
  </w:style>
  <w:style w:type="character" w:styleId="Emphasis">
    <w:name w:val="Emphasis"/>
    <w:basedOn w:val="DefaultParagraphFont"/>
    <w:uiPriority w:val="20"/>
    <w:qFormat/>
    <w:rsid w:val="00AD7EA7"/>
    <w:rPr>
      <w:i/>
      <w:iCs/>
    </w:rPr>
  </w:style>
  <w:style w:type="paragraph" w:customStyle="1" w:styleId="lead">
    <w:name w:val="lead"/>
    <w:basedOn w:val="Normal"/>
    <w:rsid w:val="00B16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16E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6E8D"/>
    <w:rPr>
      <w:rFonts w:asciiTheme="majorHAnsi" w:eastAsiaTheme="majorEastAsia" w:hAnsiTheme="majorHAnsi" w:cstheme="majorBidi"/>
      <w:color w:val="2E74B5" w:themeColor="accent1" w:themeShade="BF"/>
    </w:rPr>
  </w:style>
  <w:style w:type="character" w:customStyle="1" w:styleId="anchor-text">
    <w:name w:val="anchor-text"/>
    <w:basedOn w:val="DefaultParagraphFont"/>
    <w:rsid w:val="00C57D2F"/>
  </w:style>
  <w:style w:type="paragraph" w:customStyle="1" w:styleId="Pa2">
    <w:name w:val="Pa2"/>
    <w:basedOn w:val="Default"/>
    <w:next w:val="Default"/>
    <w:uiPriority w:val="99"/>
    <w:rsid w:val="003378F6"/>
    <w:pPr>
      <w:spacing w:line="187" w:lineRule="atLeast"/>
    </w:pPr>
    <w:rPr>
      <w:rFonts w:ascii="Minion Pro" w:hAnsi="Minion Pro" w:cstheme="minorBidi"/>
      <w:color w:val="auto"/>
    </w:rPr>
  </w:style>
  <w:style w:type="character" w:customStyle="1" w:styleId="sr-only">
    <w:name w:val="sr-only"/>
    <w:basedOn w:val="DefaultParagraphFont"/>
    <w:rsid w:val="008B2B15"/>
  </w:style>
  <w:style w:type="character" w:customStyle="1" w:styleId="personname">
    <w:name w:val="person_name"/>
    <w:basedOn w:val="DefaultParagraphFont"/>
    <w:rsid w:val="008B2B15"/>
  </w:style>
  <w:style w:type="paragraph" w:customStyle="1" w:styleId="MDPI71References">
    <w:name w:val="MDPI_7.1_References"/>
    <w:basedOn w:val="Normal"/>
    <w:qFormat/>
    <w:rsid w:val="008B2B15"/>
    <w:pPr>
      <w:numPr>
        <w:numId w:val="7"/>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character" w:styleId="LineNumber">
    <w:name w:val="line number"/>
    <w:basedOn w:val="DefaultParagraphFont"/>
    <w:uiPriority w:val="99"/>
    <w:semiHidden/>
    <w:unhideWhenUsed/>
    <w:rsid w:val="0024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5362">
      <w:bodyDiv w:val="1"/>
      <w:marLeft w:val="0"/>
      <w:marRight w:val="0"/>
      <w:marTop w:val="0"/>
      <w:marBottom w:val="0"/>
      <w:divBdr>
        <w:top w:val="none" w:sz="0" w:space="0" w:color="auto"/>
        <w:left w:val="none" w:sz="0" w:space="0" w:color="auto"/>
        <w:bottom w:val="none" w:sz="0" w:space="0" w:color="auto"/>
        <w:right w:val="none" w:sz="0" w:space="0" w:color="auto"/>
      </w:divBdr>
    </w:div>
    <w:div w:id="55209917">
      <w:bodyDiv w:val="1"/>
      <w:marLeft w:val="0"/>
      <w:marRight w:val="0"/>
      <w:marTop w:val="0"/>
      <w:marBottom w:val="0"/>
      <w:divBdr>
        <w:top w:val="none" w:sz="0" w:space="0" w:color="auto"/>
        <w:left w:val="none" w:sz="0" w:space="0" w:color="auto"/>
        <w:bottom w:val="none" w:sz="0" w:space="0" w:color="auto"/>
        <w:right w:val="none" w:sz="0" w:space="0" w:color="auto"/>
      </w:divBdr>
    </w:div>
    <w:div w:id="71437797">
      <w:bodyDiv w:val="1"/>
      <w:marLeft w:val="0"/>
      <w:marRight w:val="0"/>
      <w:marTop w:val="0"/>
      <w:marBottom w:val="0"/>
      <w:divBdr>
        <w:top w:val="none" w:sz="0" w:space="0" w:color="auto"/>
        <w:left w:val="none" w:sz="0" w:space="0" w:color="auto"/>
        <w:bottom w:val="none" w:sz="0" w:space="0" w:color="auto"/>
        <w:right w:val="none" w:sz="0" w:space="0" w:color="auto"/>
      </w:divBdr>
    </w:div>
    <w:div w:id="79836508">
      <w:bodyDiv w:val="1"/>
      <w:marLeft w:val="0"/>
      <w:marRight w:val="0"/>
      <w:marTop w:val="0"/>
      <w:marBottom w:val="0"/>
      <w:divBdr>
        <w:top w:val="none" w:sz="0" w:space="0" w:color="auto"/>
        <w:left w:val="none" w:sz="0" w:space="0" w:color="auto"/>
        <w:bottom w:val="none" w:sz="0" w:space="0" w:color="auto"/>
        <w:right w:val="none" w:sz="0" w:space="0" w:color="auto"/>
      </w:divBdr>
    </w:div>
    <w:div w:id="81143482">
      <w:bodyDiv w:val="1"/>
      <w:marLeft w:val="0"/>
      <w:marRight w:val="0"/>
      <w:marTop w:val="0"/>
      <w:marBottom w:val="0"/>
      <w:divBdr>
        <w:top w:val="none" w:sz="0" w:space="0" w:color="auto"/>
        <w:left w:val="none" w:sz="0" w:space="0" w:color="auto"/>
        <w:bottom w:val="none" w:sz="0" w:space="0" w:color="auto"/>
        <w:right w:val="none" w:sz="0" w:space="0" w:color="auto"/>
      </w:divBdr>
    </w:div>
    <w:div w:id="84114897">
      <w:bodyDiv w:val="1"/>
      <w:marLeft w:val="0"/>
      <w:marRight w:val="0"/>
      <w:marTop w:val="0"/>
      <w:marBottom w:val="0"/>
      <w:divBdr>
        <w:top w:val="none" w:sz="0" w:space="0" w:color="auto"/>
        <w:left w:val="none" w:sz="0" w:space="0" w:color="auto"/>
        <w:bottom w:val="none" w:sz="0" w:space="0" w:color="auto"/>
        <w:right w:val="none" w:sz="0" w:space="0" w:color="auto"/>
      </w:divBdr>
    </w:div>
    <w:div w:id="117843451">
      <w:bodyDiv w:val="1"/>
      <w:marLeft w:val="0"/>
      <w:marRight w:val="0"/>
      <w:marTop w:val="0"/>
      <w:marBottom w:val="0"/>
      <w:divBdr>
        <w:top w:val="none" w:sz="0" w:space="0" w:color="auto"/>
        <w:left w:val="none" w:sz="0" w:space="0" w:color="auto"/>
        <w:bottom w:val="none" w:sz="0" w:space="0" w:color="auto"/>
        <w:right w:val="none" w:sz="0" w:space="0" w:color="auto"/>
      </w:divBdr>
      <w:divsChild>
        <w:div w:id="1770076691">
          <w:marLeft w:val="0"/>
          <w:marRight w:val="0"/>
          <w:marTop w:val="300"/>
          <w:marBottom w:val="0"/>
          <w:divBdr>
            <w:top w:val="none" w:sz="0" w:space="0" w:color="auto"/>
            <w:left w:val="none" w:sz="0" w:space="0" w:color="auto"/>
            <w:bottom w:val="none" w:sz="0" w:space="0" w:color="auto"/>
            <w:right w:val="none" w:sz="0" w:space="0" w:color="auto"/>
          </w:divBdr>
        </w:div>
      </w:divsChild>
    </w:div>
    <w:div w:id="196892691">
      <w:bodyDiv w:val="1"/>
      <w:marLeft w:val="0"/>
      <w:marRight w:val="0"/>
      <w:marTop w:val="0"/>
      <w:marBottom w:val="0"/>
      <w:divBdr>
        <w:top w:val="none" w:sz="0" w:space="0" w:color="auto"/>
        <w:left w:val="none" w:sz="0" w:space="0" w:color="auto"/>
        <w:bottom w:val="none" w:sz="0" w:space="0" w:color="auto"/>
        <w:right w:val="none" w:sz="0" w:space="0" w:color="auto"/>
      </w:divBdr>
    </w:div>
    <w:div w:id="215244957">
      <w:bodyDiv w:val="1"/>
      <w:marLeft w:val="0"/>
      <w:marRight w:val="0"/>
      <w:marTop w:val="0"/>
      <w:marBottom w:val="0"/>
      <w:divBdr>
        <w:top w:val="none" w:sz="0" w:space="0" w:color="auto"/>
        <w:left w:val="none" w:sz="0" w:space="0" w:color="auto"/>
        <w:bottom w:val="none" w:sz="0" w:space="0" w:color="auto"/>
        <w:right w:val="none" w:sz="0" w:space="0" w:color="auto"/>
      </w:divBdr>
    </w:div>
    <w:div w:id="239219582">
      <w:bodyDiv w:val="1"/>
      <w:marLeft w:val="0"/>
      <w:marRight w:val="0"/>
      <w:marTop w:val="0"/>
      <w:marBottom w:val="0"/>
      <w:divBdr>
        <w:top w:val="none" w:sz="0" w:space="0" w:color="auto"/>
        <w:left w:val="none" w:sz="0" w:space="0" w:color="auto"/>
        <w:bottom w:val="none" w:sz="0" w:space="0" w:color="auto"/>
        <w:right w:val="none" w:sz="0" w:space="0" w:color="auto"/>
      </w:divBdr>
    </w:div>
    <w:div w:id="290476722">
      <w:bodyDiv w:val="1"/>
      <w:marLeft w:val="0"/>
      <w:marRight w:val="0"/>
      <w:marTop w:val="0"/>
      <w:marBottom w:val="0"/>
      <w:divBdr>
        <w:top w:val="none" w:sz="0" w:space="0" w:color="auto"/>
        <w:left w:val="none" w:sz="0" w:space="0" w:color="auto"/>
        <w:bottom w:val="none" w:sz="0" w:space="0" w:color="auto"/>
        <w:right w:val="none" w:sz="0" w:space="0" w:color="auto"/>
      </w:divBdr>
    </w:div>
    <w:div w:id="301813526">
      <w:bodyDiv w:val="1"/>
      <w:marLeft w:val="0"/>
      <w:marRight w:val="0"/>
      <w:marTop w:val="0"/>
      <w:marBottom w:val="0"/>
      <w:divBdr>
        <w:top w:val="none" w:sz="0" w:space="0" w:color="auto"/>
        <w:left w:val="none" w:sz="0" w:space="0" w:color="auto"/>
        <w:bottom w:val="none" w:sz="0" w:space="0" w:color="auto"/>
        <w:right w:val="none" w:sz="0" w:space="0" w:color="auto"/>
      </w:divBdr>
      <w:divsChild>
        <w:div w:id="682977021">
          <w:marLeft w:val="0"/>
          <w:marRight w:val="0"/>
          <w:marTop w:val="0"/>
          <w:marBottom w:val="0"/>
          <w:divBdr>
            <w:top w:val="none" w:sz="0" w:space="0" w:color="auto"/>
            <w:left w:val="none" w:sz="0" w:space="0" w:color="auto"/>
            <w:bottom w:val="none" w:sz="0" w:space="0" w:color="auto"/>
            <w:right w:val="none" w:sz="0" w:space="0" w:color="auto"/>
          </w:divBdr>
        </w:div>
        <w:div w:id="359824360">
          <w:marLeft w:val="0"/>
          <w:marRight w:val="0"/>
          <w:marTop w:val="0"/>
          <w:marBottom w:val="0"/>
          <w:divBdr>
            <w:top w:val="none" w:sz="0" w:space="0" w:color="auto"/>
            <w:left w:val="none" w:sz="0" w:space="0" w:color="auto"/>
            <w:bottom w:val="none" w:sz="0" w:space="0" w:color="auto"/>
            <w:right w:val="none" w:sz="0" w:space="0" w:color="auto"/>
          </w:divBdr>
        </w:div>
      </w:divsChild>
    </w:div>
    <w:div w:id="344943624">
      <w:bodyDiv w:val="1"/>
      <w:marLeft w:val="0"/>
      <w:marRight w:val="0"/>
      <w:marTop w:val="0"/>
      <w:marBottom w:val="0"/>
      <w:divBdr>
        <w:top w:val="none" w:sz="0" w:space="0" w:color="auto"/>
        <w:left w:val="none" w:sz="0" w:space="0" w:color="auto"/>
        <w:bottom w:val="none" w:sz="0" w:space="0" w:color="auto"/>
        <w:right w:val="none" w:sz="0" w:space="0" w:color="auto"/>
      </w:divBdr>
    </w:div>
    <w:div w:id="357202404">
      <w:bodyDiv w:val="1"/>
      <w:marLeft w:val="0"/>
      <w:marRight w:val="0"/>
      <w:marTop w:val="0"/>
      <w:marBottom w:val="0"/>
      <w:divBdr>
        <w:top w:val="none" w:sz="0" w:space="0" w:color="auto"/>
        <w:left w:val="none" w:sz="0" w:space="0" w:color="auto"/>
        <w:bottom w:val="none" w:sz="0" w:space="0" w:color="auto"/>
        <w:right w:val="none" w:sz="0" w:space="0" w:color="auto"/>
      </w:divBdr>
    </w:div>
    <w:div w:id="471366954">
      <w:bodyDiv w:val="1"/>
      <w:marLeft w:val="0"/>
      <w:marRight w:val="0"/>
      <w:marTop w:val="0"/>
      <w:marBottom w:val="0"/>
      <w:divBdr>
        <w:top w:val="none" w:sz="0" w:space="0" w:color="auto"/>
        <w:left w:val="none" w:sz="0" w:space="0" w:color="auto"/>
        <w:bottom w:val="none" w:sz="0" w:space="0" w:color="auto"/>
        <w:right w:val="none" w:sz="0" w:space="0" w:color="auto"/>
      </w:divBdr>
    </w:div>
    <w:div w:id="484666047">
      <w:bodyDiv w:val="1"/>
      <w:marLeft w:val="0"/>
      <w:marRight w:val="0"/>
      <w:marTop w:val="0"/>
      <w:marBottom w:val="0"/>
      <w:divBdr>
        <w:top w:val="none" w:sz="0" w:space="0" w:color="auto"/>
        <w:left w:val="none" w:sz="0" w:space="0" w:color="auto"/>
        <w:bottom w:val="none" w:sz="0" w:space="0" w:color="auto"/>
        <w:right w:val="none" w:sz="0" w:space="0" w:color="auto"/>
      </w:divBdr>
      <w:divsChild>
        <w:div w:id="164906050">
          <w:marLeft w:val="446"/>
          <w:marRight w:val="0"/>
          <w:marTop w:val="0"/>
          <w:marBottom w:val="0"/>
          <w:divBdr>
            <w:top w:val="none" w:sz="0" w:space="0" w:color="auto"/>
            <w:left w:val="none" w:sz="0" w:space="0" w:color="auto"/>
            <w:bottom w:val="none" w:sz="0" w:space="0" w:color="auto"/>
            <w:right w:val="none" w:sz="0" w:space="0" w:color="auto"/>
          </w:divBdr>
        </w:div>
        <w:div w:id="1443643738">
          <w:marLeft w:val="446"/>
          <w:marRight w:val="0"/>
          <w:marTop w:val="0"/>
          <w:marBottom w:val="0"/>
          <w:divBdr>
            <w:top w:val="none" w:sz="0" w:space="0" w:color="auto"/>
            <w:left w:val="none" w:sz="0" w:space="0" w:color="auto"/>
            <w:bottom w:val="none" w:sz="0" w:space="0" w:color="auto"/>
            <w:right w:val="none" w:sz="0" w:space="0" w:color="auto"/>
          </w:divBdr>
        </w:div>
        <w:div w:id="534079085">
          <w:marLeft w:val="446"/>
          <w:marRight w:val="0"/>
          <w:marTop w:val="0"/>
          <w:marBottom w:val="0"/>
          <w:divBdr>
            <w:top w:val="none" w:sz="0" w:space="0" w:color="auto"/>
            <w:left w:val="none" w:sz="0" w:space="0" w:color="auto"/>
            <w:bottom w:val="none" w:sz="0" w:space="0" w:color="auto"/>
            <w:right w:val="none" w:sz="0" w:space="0" w:color="auto"/>
          </w:divBdr>
        </w:div>
      </w:divsChild>
    </w:div>
    <w:div w:id="515316991">
      <w:bodyDiv w:val="1"/>
      <w:marLeft w:val="0"/>
      <w:marRight w:val="0"/>
      <w:marTop w:val="0"/>
      <w:marBottom w:val="0"/>
      <w:divBdr>
        <w:top w:val="none" w:sz="0" w:space="0" w:color="auto"/>
        <w:left w:val="none" w:sz="0" w:space="0" w:color="auto"/>
        <w:bottom w:val="none" w:sz="0" w:space="0" w:color="auto"/>
        <w:right w:val="none" w:sz="0" w:space="0" w:color="auto"/>
      </w:divBdr>
    </w:div>
    <w:div w:id="557253785">
      <w:bodyDiv w:val="1"/>
      <w:marLeft w:val="0"/>
      <w:marRight w:val="0"/>
      <w:marTop w:val="0"/>
      <w:marBottom w:val="0"/>
      <w:divBdr>
        <w:top w:val="none" w:sz="0" w:space="0" w:color="auto"/>
        <w:left w:val="none" w:sz="0" w:space="0" w:color="auto"/>
        <w:bottom w:val="none" w:sz="0" w:space="0" w:color="auto"/>
        <w:right w:val="none" w:sz="0" w:space="0" w:color="auto"/>
      </w:divBdr>
    </w:div>
    <w:div w:id="577835450">
      <w:bodyDiv w:val="1"/>
      <w:marLeft w:val="0"/>
      <w:marRight w:val="0"/>
      <w:marTop w:val="0"/>
      <w:marBottom w:val="0"/>
      <w:divBdr>
        <w:top w:val="none" w:sz="0" w:space="0" w:color="auto"/>
        <w:left w:val="none" w:sz="0" w:space="0" w:color="auto"/>
        <w:bottom w:val="none" w:sz="0" w:space="0" w:color="auto"/>
        <w:right w:val="none" w:sz="0" w:space="0" w:color="auto"/>
      </w:divBdr>
    </w:div>
    <w:div w:id="586691047">
      <w:bodyDiv w:val="1"/>
      <w:marLeft w:val="0"/>
      <w:marRight w:val="0"/>
      <w:marTop w:val="0"/>
      <w:marBottom w:val="0"/>
      <w:divBdr>
        <w:top w:val="none" w:sz="0" w:space="0" w:color="auto"/>
        <w:left w:val="none" w:sz="0" w:space="0" w:color="auto"/>
        <w:bottom w:val="none" w:sz="0" w:space="0" w:color="auto"/>
        <w:right w:val="none" w:sz="0" w:space="0" w:color="auto"/>
      </w:divBdr>
    </w:div>
    <w:div w:id="621493710">
      <w:bodyDiv w:val="1"/>
      <w:marLeft w:val="0"/>
      <w:marRight w:val="0"/>
      <w:marTop w:val="0"/>
      <w:marBottom w:val="0"/>
      <w:divBdr>
        <w:top w:val="none" w:sz="0" w:space="0" w:color="auto"/>
        <w:left w:val="none" w:sz="0" w:space="0" w:color="auto"/>
        <w:bottom w:val="none" w:sz="0" w:space="0" w:color="auto"/>
        <w:right w:val="none" w:sz="0" w:space="0" w:color="auto"/>
      </w:divBdr>
    </w:div>
    <w:div w:id="639967729">
      <w:bodyDiv w:val="1"/>
      <w:marLeft w:val="0"/>
      <w:marRight w:val="0"/>
      <w:marTop w:val="0"/>
      <w:marBottom w:val="0"/>
      <w:divBdr>
        <w:top w:val="none" w:sz="0" w:space="0" w:color="auto"/>
        <w:left w:val="none" w:sz="0" w:space="0" w:color="auto"/>
        <w:bottom w:val="none" w:sz="0" w:space="0" w:color="auto"/>
        <w:right w:val="none" w:sz="0" w:space="0" w:color="auto"/>
      </w:divBdr>
    </w:div>
    <w:div w:id="684213318">
      <w:bodyDiv w:val="1"/>
      <w:marLeft w:val="0"/>
      <w:marRight w:val="0"/>
      <w:marTop w:val="0"/>
      <w:marBottom w:val="0"/>
      <w:divBdr>
        <w:top w:val="none" w:sz="0" w:space="0" w:color="auto"/>
        <w:left w:val="none" w:sz="0" w:space="0" w:color="auto"/>
        <w:bottom w:val="none" w:sz="0" w:space="0" w:color="auto"/>
        <w:right w:val="none" w:sz="0" w:space="0" w:color="auto"/>
      </w:divBdr>
    </w:div>
    <w:div w:id="686516774">
      <w:bodyDiv w:val="1"/>
      <w:marLeft w:val="0"/>
      <w:marRight w:val="0"/>
      <w:marTop w:val="0"/>
      <w:marBottom w:val="0"/>
      <w:divBdr>
        <w:top w:val="none" w:sz="0" w:space="0" w:color="auto"/>
        <w:left w:val="none" w:sz="0" w:space="0" w:color="auto"/>
        <w:bottom w:val="none" w:sz="0" w:space="0" w:color="auto"/>
        <w:right w:val="none" w:sz="0" w:space="0" w:color="auto"/>
      </w:divBdr>
    </w:div>
    <w:div w:id="705637358">
      <w:bodyDiv w:val="1"/>
      <w:marLeft w:val="0"/>
      <w:marRight w:val="0"/>
      <w:marTop w:val="0"/>
      <w:marBottom w:val="0"/>
      <w:divBdr>
        <w:top w:val="none" w:sz="0" w:space="0" w:color="auto"/>
        <w:left w:val="none" w:sz="0" w:space="0" w:color="auto"/>
        <w:bottom w:val="none" w:sz="0" w:space="0" w:color="auto"/>
        <w:right w:val="none" w:sz="0" w:space="0" w:color="auto"/>
      </w:divBdr>
    </w:div>
    <w:div w:id="713387820">
      <w:bodyDiv w:val="1"/>
      <w:marLeft w:val="0"/>
      <w:marRight w:val="0"/>
      <w:marTop w:val="0"/>
      <w:marBottom w:val="0"/>
      <w:divBdr>
        <w:top w:val="none" w:sz="0" w:space="0" w:color="auto"/>
        <w:left w:val="none" w:sz="0" w:space="0" w:color="auto"/>
        <w:bottom w:val="none" w:sz="0" w:space="0" w:color="auto"/>
        <w:right w:val="none" w:sz="0" w:space="0" w:color="auto"/>
      </w:divBdr>
    </w:div>
    <w:div w:id="721559491">
      <w:bodyDiv w:val="1"/>
      <w:marLeft w:val="0"/>
      <w:marRight w:val="0"/>
      <w:marTop w:val="0"/>
      <w:marBottom w:val="0"/>
      <w:divBdr>
        <w:top w:val="none" w:sz="0" w:space="0" w:color="auto"/>
        <w:left w:val="none" w:sz="0" w:space="0" w:color="auto"/>
        <w:bottom w:val="none" w:sz="0" w:space="0" w:color="auto"/>
        <w:right w:val="none" w:sz="0" w:space="0" w:color="auto"/>
      </w:divBdr>
    </w:div>
    <w:div w:id="780758441">
      <w:bodyDiv w:val="1"/>
      <w:marLeft w:val="0"/>
      <w:marRight w:val="0"/>
      <w:marTop w:val="0"/>
      <w:marBottom w:val="0"/>
      <w:divBdr>
        <w:top w:val="none" w:sz="0" w:space="0" w:color="auto"/>
        <w:left w:val="none" w:sz="0" w:space="0" w:color="auto"/>
        <w:bottom w:val="none" w:sz="0" w:space="0" w:color="auto"/>
        <w:right w:val="none" w:sz="0" w:space="0" w:color="auto"/>
      </w:divBdr>
    </w:div>
    <w:div w:id="800001041">
      <w:bodyDiv w:val="1"/>
      <w:marLeft w:val="0"/>
      <w:marRight w:val="0"/>
      <w:marTop w:val="0"/>
      <w:marBottom w:val="0"/>
      <w:divBdr>
        <w:top w:val="none" w:sz="0" w:space="0" w:color="auto"/>
        <w:left w:val="none" w:sz="0" w:space="0" w:color="auto"/>
        <w:bottom w:val="none" w:sz="0" w:space="0" w:color="auto"/>
        <w:right w:val="none" w:sz="0" w:space="0" w:color="auto"/>
      </w:divBdr>
      <w:divsChild>
        <w:div w:id="771707257">
          <w:marLeft w:val="360"/>
          <w:marRight w:val="0"/>
          <w:marTop w:val="0"/>
          <w:marBottom w:val="0"/>
          <w:divBdr>
            <w:top w:val="none" w:sz="0" w:space="0" w:color="auto"/>
            <w:left w:val="none" w:sz="0" w:space="0" w:color="auto"/>
            <w:bottom w:val="none" w:sz="0" w:space="0" w:color="auto"/>
            <w:right w:val="none" w:sz="0" w:space="0" w:color="auto"/>
          </w:divBdr>
        </w:div>
      </w:divsChild>
    </w:div>
    <w:div w:id="924847668">
      <w:bodyDiv w:val="1"/>
      <w:marLeft w:val="0"/>
      <w:marRight w:val="0"/>
      <w:marTop w:val="0"/>
      <w:marBottom w:val="0"/>
      <w:divBdr>
        <w:top w:val="none" w:sz="0" w:space="0" w:color="auto"/>
        <w:left w:val="none" w:sz="0" w:space="0" w:color="auto"/>
        <w:bottom w:val="none" w:sz="0" w:space="0" w:color="auto"/>
        <w:right w:val="none" w:sz="0" w:space="0" w:color="auto"/>
      </w:divBdr>
      <w:divsChild>
        <w:div w:id="30157091">
          <w:marLeft w:val="446"/>
          <w:marRight w:val="0"/>
          <w:marTop w:val="0"/>
          <w:marBottom w:val="0"/>
          <w:divBdr>
            <w:top w:val="none" w:sz="0" w:space="0" w:color="auto"/>
            <w:left w:val="none" w:sz="0" w:space="0" w:color="auto"/>
            <w:bottom w:val="none" w:sz="0" w:space="0" w:color="auto"/>
            <w:right w:val="none" w:sz="0" w:space="0" w:color="auto"/>
          </w:divBdr>
        </w:div>
        <w:div w:id="2103530702">
          <w:marLeft w:val="446"/>
          <w:marRight w:val="0"/>
          <w:marTop w:val="0"/>
          <w:marBottom w:val="0"/>
          <w:divBdr>
            <w:top w:val="none" w:sz="0" w:space="0" w:color="auto"/>
            <w:left w:val="none" w:sz="0" w:space="0" w:color="auto"/>
            <w:bottom w:val="none" w:sz="0" w:space="0" w:color="auto"/>
            <w:right w:val="none" w:sz="0" w:space="0" w:color="auto"/>
          </w:divBdr>
        </w:div>
        <w:div w:id="475805779">
          <w:marLeft w:val="1166"/>
          <w:marRight w:val="0"/>
          <w:marTop w:val="0"/>
          <w:marBottom w:val="0"/>
          <w:divBdr>
            <w:top w:val="none" w:sz="0" w:space="0" w:color="auto"/>
            <w:left w:val="none" w:sz="0" w:space="0" w:color="auto"/>
            <w:bottom w:val="none" w:sz="0" w:space="0" w:color="auto"/>
            <w:right w:val="none" w:sz="0" w:space="0" w:color="auto"/>
          </w:divBdr>
        </w:div>
        <w:div w:id="303512034">
          <w:marLeft w:val="446"/>
          <w:marRight w:val="0"/>
          <w:marTop w:val="0"/>
          <w:marBottom w:val="0"/>
          <w:divBdr>
            <w:top w:val="none" w:sz="0" w:space="0" w:color="auto"/>
            <w:left w:val="none" w:sz="0" w:space="0" w:color="auto"/>
            <w:bottom w:val="none" w:sz="0" w:space="0" w:color="auto"/>
            <w:right w:val="none" w:sz="0" w:space="0" w:color="auto"/>
          </w:divBdr>
        </w:div>
        <w:div w:id="819419777">
          <w:marLeft w:val="1166"/>
          <w:marRight w:val="0"/>
          <w:marTop w:val="0"/>
          <w:marBottom w:val="0"/>
          <w:divBdr>
            <w:top w:val="none" w:sz="0" w:space="0" w:color="auto"/>
            <w:left w:val="none" w:sz="0" w:space="0" w:color="auto"/>
            <w:bottom w:val="none" w:sz="0" w:space="0" w:color="auto"/>
            <w:right w:val="none" w:sz="0" w:space="0" w:color="auto"/>
          </w:divBdr>
        </w:div>
        <w:div w:id="1934780698">
          <w:marLeft w:val="1166"/>
          <w:marRight w:val="0"/>
          <w:marTop w:val="0"/>
          <w:marBottom w:val="0"/>
          <w:divBdr>
            <w:top w:val="none" w:sz="0" w:space="0" w:color="auto"/>
            <w:left w:val="none" w:sz="0" w:space="0" w:color="auto"/>
            <w:bottom w:val="none" w:sz="0" w:space="0" w:color="auto"/>
            <w:right w:val="none" w:sz="0" w:space="0" w:color="auto"/>
          </w:divBdr>
        </w:div>
      </w:divsChild>
    </w:div>
    <w:div w:id="942691585">
      <w:bodyDiv w:val="1"/>
      <w:marLeft w:val="0"/>
      <w:marRight w:val="0"/>
      <w:marTop w:val="0"/>
      <w:marBottom w:val="0"/>
      <w:divBdr>
        <w:top w:val="none" w:sz="0" w:space="0" w:color="auto"/>
        <w:left w:val="none" w:sz="0" w:space="0" w:color="auto"/>
        <w:bottom w:val="none" w:sz="0" w:space="0" w:color="auto"/>
        <w:right w:val="none" w:sz="0" w:space="0" w:color="auto"/>
      </w:divBdr>
    </w:div>
    <w:div w:id="950403598">
      <w:bodyDiv w:val="1"/>
      <w:marLeft w:val="0"/>
      <w:marRight w:val="0"/>
      <w:marTop w:val="0"/>
      <w:marBottom w:val="0"/>
      <w:divBdr>
        <w:top w:val="none" w:sz="0" w:space="0" w:color="auto"/>
        <w:left w:val="none" w:sz="0" w:space="0" w:color="auto"/>
        <w:bottom w:val="none" w:sz="0" w:space="0" w:color="auto"/>
        <w:right w:val="none" w:sz="0" w:space="0" w:color="auto"/>
      </w:divBdr>
    </w:div>
    <w:div w:id="964235261">
      <w:bodyDiv w:val="1"/>
      <w:marLeft w:val="0"/>
      <w:marRight w:val="0"/>
      <w:marTop w:val="0"/>
      <w:marBottom w:val="0"/>
      <w:divBdr>
        <w:top w:val="none" w:sz="0" w:space="0" w:color="auto"/>
        <w:left w:val="none" w:sz="0" w:space="0" w:color="auto"/>
        <w:bottom w:val="none" w:sz="0" w:space="0" w:color="auto"/>
        <w:right w:val="none" w:sz="0" w:space="0" w:color="auto"/>
      </w:divBdr>
    </w:div>
    <w:div w:id="1039283225">
      <w:bodyDiv w:val="1"/>
      <w:marLeft w:val="0"/>
      <w:marRight w:val="0"/>
      <w:marTop w:val="0"/>
      <w:marBottom w:val="0"/>
      <w:divBdr>
        <w:top w:val="none" w:sz="0" w:space="0" w:color="auto"/>
        <w:left w:val="none" w:sz="0" w:space="0" w:color="auto"/>
        <w:bottom w:val="none" w:sz="0" w:space="0" w:color="auto"/>
        <w:right w:val="none" w:sz="0" w:space="0" w:color="auto"/>
      </w:divBdr>
    </w:div>
    <w:div w:id="1126388014">
      <w:bodyDiv w:val="1"/>
      <w:marLeft w:val="0"/>
      <w:marRight w:val="0"/>
      <w:marTop w:val="0"/>
      <w:marBottom w:val="0"/>
      <w:divBdr>
        <w:top w:val="none" w:sz="0" w:space="0" w:color="auto"/>
        <w:left w:val="none" w:sz="0" w:space="0" w:color="auto"/>
        <w:bottom w:val="none" w:sz="0" w:space="0" w:color="auto"/>
        <w:right w:val="none" w:sz="0" w:space="0" w:color="auto"/>
      </w:divBdr>
    </w:div>
    <w:div w:id="1158225289">
      <w:bodyDiv w:val="1"/>
      <w:marLeft w:val="0"/>
      <w:marRight w:val="0"/>
      <w:marTop w:val="0"/>
      <w:marBottom w:val="0"/>
      <w:divBdr>
        <w:top w:val="none" w:sz="0" w:space="0" w:color="auto"/>
        <w:left w:val="none" w:sz="0" w:space="0" w:color="auto"/>
        <w:bottom w:val="none" w:sz="0" w:space="0" w:color="auto"/>
        <w:right w:val="none" w:sz="0" w:space="0" w:color="auto"/>
      </w:divBdr>
    </w:div>
    <w:div w:id="1352146461">
      <w:bodyDiv w:val="1"/>
      <w:marLeft w:val="0"/>
      <w:marRight w:val="0"/>
      <w:marTop w:val="0"/>
      <w:marBottom w:val="0"/>
      <w:divBdr>
        <w:top w:val="none" w:sz="0" w:space="0" w:color="auto"/>
        <w:left w:val="none" w:sz="0" w:space="0" w:color="auto"/>
        <w:bottom w:val="none" w:sz="0" w:space="0" w:color="auto"/>
        <w:right w:val="none" w:sz="0" w:space="0" w:color="auto"/>
      </w:divBdr>
    </w:div>
    <w:div w:id="1366180132">
      <w:bodyDiv w:val="1"/>
      <w:marLeft w:val="0"/>
      <w:marRight w:val="0"/>
      <w:marTop w:val="0"/>
      <w:marBottom w:val="0"/>
      <w:divBdr>
        <w:top w:val="none" w:sz="0" w:space="0" w:color="auto"/>
        <w:left w:val="none" w:sz="0" w:space="0" w:color="auto"/>
        <w:bottom w:val="none" w:sz="0" w:space="0" w:color="auto"/>
        <w:right w:val="none" w:sz="0" w:space="0" w:color="auto"/>
      </w:divBdr>
    </w:div>
    <w:div w:id="1377240304">
      <w:bodyDiv w:val="1"/>
      <w:marLeft w:val="0"/>
      <w:marRight w:val="0"/>
      <w:marTop w:val="0"/>
      <w:marBottom w:val="0"/>
      <w:divBdr>
        <w:top w:val="none" w:sz="0" w:space="0" w:color="auto"/>
        <w:left w:val="none" w:sz="0" w:space="0" w:color="auto"/>
        <w:bottom w:val="none" w:sz="0" w:space="0" w:color="auto"/>
        <w:right w:val="none" w:sz="0" w:space="0" w:color="auto"/>
      </w:divBdr>
    </w:div>
    <w:div w:id="1398210827">
      <w:bodyDiv w:val="1"/>
      <w:marLeft w:val="0"/>
      <w:marRight w:val="0"/>
      <w:marTop w:val="0"/>
      <w:marBottom w:val="0"/>
      <w:divBdr>
        <w:top w:val="none" w:sz="0" w:space="0" w:color="auto"/>
        <w:left w:val="none" w:sz="0" w:space="0" w:color="auto"/>
        <w:bottom w:val="none" w:sz="0" w:space="0" w:color="auto"/>
        <w:right w:val="none" w:sz="0" w:space="0" w:color="auto"/>
      </w:divBdr>
    </w:div>
    <w:div w:id="1441606378">
      <w:bodyDiv w:val="1"/>
      <w:marLeft w:val="0"/>
      <w:marRight w:val="0"/>
      <w:marTop w:val="0"/>
      <w:marBottom w:val="0"/>
      <w:divBdr>
        <w:top w:val="none" w:sz="0" w:space="0" w:color="auto"/>
        <w:left w:val="none" w:sz="0" w:space="0" w:color="auto"/>
        <w:bottom w:val="none" w:sz="0" w:space="0" w:color="auto"/>
        <w:right w:val="none" w:sz="0" w:space="0" w:color="auto"/>
      </w:divBdr>
    </w:div>
    <w:div w:id="1536505297">
      <w:bodyDiv w:val="1"/>
      <w:marLeft w:val="0"/>
      <w:marRight w:val="0"/>
      <w:marTop w:val="0"/>
      <w:marBottom w:val="0"/>
      <w:divBdr>
        <w:top w:val="none" w:sz="0" w:space="0" w:color="auto"/>
        <w:left w:val="none" w:sz="0" w:space="0" w:color="auto"/>
        <w:bottom w:val="none" w:sz="0" w:space="0" w:color="auto"/>
        <w:right w:val="none" w:sz="0" w:space="0" w:color="auto"/>
      </w:divBdr>
    </w:div>
    <w:div w:id="1553611545">
      <w:bodyDiv w:val="1"/>
      <w:marLeft w:val="0"/>
      <w:marRight w:val="0"/>
      <w:marTop w:val="0"/>
      <w:marBottom w:val="0"/>
      <w:divBdr>
        <w:top w:val="none" w:sz="0" w:space="0" w:color="auto"/>
        <w:left w:val="none" w:sz="0" w:space="0" w:color="auto"/>
        <w:bottom w:val="none" w:sz="0" w:space="0" w:color="auto"/>
        <w:right w:val="none" w:sz="0" w:space="0" w:color="auto"/>
      </w:divBdr>
    </w:div>
    <w:div w:id="1568764456">
      <w:bodyDiv w:val="1"/>
      <w:marLeft w:val="0"/>
      <w:marRight w:val="0"/>
      <w:marTop w:val="0"/>
      <w:marBottom w:val="0"/>
      <w:divBdr>
        <w:top w:val="none" w:sz="0" w:space="0" w:color="auto"/>
        <w:left w:val="none" w:sz="0" w:space="0" w:color="auto"/>
        <w:bottom w:val="none" w:sz="0" w:space="0" w:color="auto"/>
        <w:right w:val="none" w:sz="0" w:space="0" w:color="auto"/>
      </w:divBdr>
    </w:div>
    <w:div w:id="1664814437">
      <w:bodyDiv w:val="1"/>
      <w:marLeft w:val="0"/>
      <w:marRight w:val="0"/>
      <w:marTop w:val="0"/>
      <w:marBottom w:val="0"/>
      <w:divBdr>
        <w:top w:val="none" w:sz="0" w:space="0" w:color="auto"/>
        <w:left w:val="none" w:sz="0" w:space="0" w:color="auto"/>
        <w:bottom w:val="none" w:sz="0" w:space="0" w:color="auto"/>
        <w:right w:val="none" w:sz="0" w:space="0" w:color="auto"/>
      </w:divBdr>
      <w:divsChild>
        <w:div w:id="1902791101">
          <w:marLeft w:val="0"/>
          <w:marRight w:val="0"/>
          <w:marTop w:val="75"/>
          <w:marBottom w:val="0"/>
          <w:divBdr>
            <w:top w:val="none" w:sz="0" w:space="0" w:color="auto"/>
            <w:left w:val="none" w:sz="0" w:space="0" w:color="auto"/>
            <w:bottom w:val="none" w:sz="0" w:space="0" w:color="auto"/>
            <w:right w:val="none" w:sz="0" w:space="0" w:color="auto"/>
          </w:divBdr>
        </w:div>
      </w:divsChild>
    </w:div>
    <w:div w:id="1747995332">
      <w:bodyDiv w:val="1"/>
      <w:marLeft w:val="0"/>
      <w:marRight w:val="0"/>
      <w:marTop w:val="0"/>
      <w:marBottom w:val="0"/>
      <w:divBdr>
        <w:top w:val="none" w:sz="0" w:space="0" w:color="auto"/>
        <w:left w:val="none" w:sz="0" w:space="0" w:color="auto"/>
        <w:bottom w:val="none" w:sz="0" w:space="0" w:color="auto"/>
        <w:right w:val="none" w:sz="0" w:space="0" w:color="auto"/>
      </w:divBdr>
    </w:div>
    <w:div w:id="1781684985">
      <w:bodyDiv w:val="1"/>
      <w:marLeft w:val="0"/>
      <w:marRight w:val="0"/>
      <w:marTop w:val="0"/>
      <w:marBottom w:val="0"/>
      <w:divBdr>
        <w:top w:val="none" w:sz="0" w:space="0" w:color="auto"/>
        <w:left w:val="none" w:sz="0" w:space="0" w:color="auto"/>
        <w:bottom w:val="none" w:sz="0" w:space="0" w:color="auto"/>
        <w:right w:val="none" w:sz="0" w:space="0" w:color="auto"/>
      </w:divBdr>
    </w:div>
    <w:div w:id="1832794616">
      <w:bodyDiv w:val="1"/>
      <w:marLeft w:val="0"/>
      <w:marRight w:val="0"/>
      <w:marTop w:val="0"/>
      <w:marBottom w:val="0"/>
      <w:divBdr>
        <w:top w:val="none" w:sz="0" w:space="0" w:color="auto"/>
        <w:left w:val="none" w:sz="0" w:space="0" w:color="auto"/>
        <w:bottom w:val="none" w:sz="0" w:space="0" w:color="auto"/>
        <w:right w:val="none" w:sz="0" w:space="0" w:color="auto"/>
      </w:divBdr>
      <w:divsChild>
        <w:div w:id="435178303">
          <w:marLeft w:val="110"/>
          <w:marRight w:val="0"/>
          <w:marTop w:val="0"/>
          <w:marBottom w:val="0"/>
          <w:divBdr>
            <w:top w:val="none" w:sz="0" w:space="0" w:color="auto"/>
            <w:left w:val="none" w:sz="0" w:space="0" w:color="auto"/>
            <w:bottom w:val="none" w:sz="0" w:space="0" w:color="auto"/>
            <w:right w:val="none" w:sz="0" w:space="0" w:color="auto"/>
          </w:divBdr>
        </w:div>
        <w:div w:id="1035614956">
          <w:marLeft w:val="110"/>
          <w:marRight w:val="0"/>
          <w:marTop w:val="0"/>
          <w:marBottom w:val="0"/>
          <w:divBdr>
            <w:top w:val="none" w:sz="0" w:space="0" w:color="auto"/>
            <w:left w:val="none" w:sz="0" w:space="0" w:color="auto"/>
            <w:bottom w:val="none" w:sz="0" w:space="0" w:color="auto"/>
            <w:right w:val="none" w:sz="0" w:space="0" w:color="auto"/>
          </w:divBdr>
        </w:div>
        <w:div w:id="2090761531">
          <w:marLeft w:val="110"/>
          <w:marRight w:val="0"/>
          <w:marTop w:val="0"/>
          <w:marBottom w:val="0"/>
          <w:divBdr>
            <w:top w:val="none" w:sz="0" w:space="0" w:color="auto"/>
            <w:left w:val="none" w:sz="0" w:space="0" w:color="auto"/>
            <w:bottom w:val="none" w:sz="0" w:space="0" w:color="auto"/>
            <w:right w:val="none" w:sz="0" w:space="0" w:color="auto"/>
          </w:divBdr>
        </w:div>
      </w:divsChild>
    </w:div>
    <w:div w:id="1876579386">
      <w:bodyDiv w:val="1"/>
      <w:marLeft w:val="0"/>
      <w:marRight w:val="0"/>
      <w:marTop w:val="0"/>
      <w:marBottom w:val="0"/>
      <w:divBdr>
        <w:top w:val="none" w:sz="0" w:space="0" w:color="auto"/>
        <w:left w:val="none" w:sz="0" w:space="0" w:color="auto"/>
        <w:bottom w:val="none" w:sz="0" w:space="0" w:color="auto"/>
        <w:right w:val="none" w:sz="0" w:space="0" w:color="auto"/>
      </w:divBdr>
    </w:div>
    <w:div w:id="1931312927">
      <w:bodyDiv w:val="1"/>
      <w:marLeft w:val="0"/>
      <w:marRight w:val="0"/>
      <w:marTop w:val="0"/>
      <w:marBottom w:val="0"/>
      <w:divBdr>
        <w:top w:val="none" w:sz="0" w:space="0" w:color="auto"/>
        <w:left w:val="none" w:sz="0" w:space="0" w:color="auto"/>
        <w:bottom w:val="none" w:sz="0" w:space="0" w:color="auto"/>
        <w:right w:val="none" w:sz="0" w:space="0" w:color="auto"/>
      </w:divBdr>
    </w:div>
    <w:div w:id="1969428324">
      <w:bodyDiv w:val="1"/>
      <w:marLeft w:val="0"/>
      <w:marRight w:val="0"/>
      <w:marTop w:val="0"/>
      <w:marBottom w:val="0"/>
      <w:divBdr>
        <w:top w:val="none" w:sz="0" w:space="0" w:color="auto"/>
        <w:left w:val="none" w:sz="0" w:space="0" w:color="auto"/>
        <w:bottom w:val="none" w:sz="0" w:space="0" w:color="auto"/>
        <w:right w:val="none" w:sz="0" w:space="0" w:color="auto"/>
      </w:divBdr>
    </w:div>
    <w:div w:id="1983390062">
      <w:bodyDiv w:val="1"/>
      <w:marLeft w:val="0"/>
      <w:marRight w:val="0"/>
      <w:marTop w:val="0"/>
      <w:marBottom w:val="0"/>
      <w:divBdr>
        <w:top w:val="none" w:sz="0" w:space="0" w:color="auto"/>
        <w:left w:val="none" w:sz="0" w:space="0" w:color="auto"/>
        <w:bottom w:val="none" w:sz="0" w:space="0" w:color="auto"/>
        <w:right w:val="none" w:sz="0" w:space="0" w:color="auto"/>
      </w:divBdr>
    </w:div>
    <w:div w:id="1996300632">
      <w:bodyDiv w:val="1"/>
      <w:marLeft w:val="0"/>
      <w:marRight w:val="0"/>
      <w:marTop w:val="0"/>
      <w:marBottom w:val="0"/>
      <w:divBdr>
        <w:top w:val="none" w:sz="0" w:space="0" w:color="auto"/>
        <w:left w:val="none" w:sz="0" w:space="0" w:color="auto"/>
        <w:bottom w:val="none" w:sz="0" w:space="0" w:color="auto"/>
        <w:right w:val="none" w:sz="0" w:space="0" w:color="auto"/>
      </w:divBdr>
    </w:div>
    <w:div w:id="2007702549">
      <w:bodyDiv w:val="1"/>
      <w:marLeft w:val="0"/>
      <w:marRight w:val="0"/>
      <w:marTop w:val="0"/>
      <w:marBottom w:val="0"/>
      <w:divBdr>
        <w:top w:val="none" w:sz="0" w:space="0" w:color="auto"/>
        <w:left w:val="none" w:sz="0" w:space="0" w:color="auto"/>
        <w:bottom w:val="none" w:sz="0" w:space="0" w:color="auto"/>
        <w:right w:val="none" w:sz="0" w:space="0" w:color="auto"/>
      </w:divBdr>
    </w:div>
    <w:div w:id="2029597045">
      <w:bodyDiv w:val="1"/>
      <w:marLeft w:val="0"/>
      <w:marRight w:val="0"/>
      <w:marTop w:val="0"/>
      <w:marBottom w:val="0"/>
      <w:divBdr>
        <w:top w:val="none" w:sz="0" w:space="0" w:color="auto"/>
        <w:left w:val="none" w:sz="0" w:space="0" w:color="auto"/>
        <w:bottom w:val="none" w:sz="0" w:space="0" w:color="auto"/>
        <w:right w:val="none" w:sz="0" w:space="0" w:color="auto"/>
      </w:divBdr>
    </w:div>
    <w:div w:id="20356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ccc.org.uk/publication/power-sector-scenarios-for-the-fifth-carbon-budget/" TargetMode="External"/><Relationship Id="rId21" Type="http://schemas.openxmlformats.org/officeDocument/2006/relationships/hyperlink" Target="http://carbontracker.live.kiln.digital/Unburnable-Carbon-2-Web-Version.pdf" TargetMode="External"/><Relationship Id="rId42" Type="http://schemas.openxmlformats.org/officeDocument/2006/relationships/hyperlink" Target="https://ec.europa.eu/info/sites/info/files/180131-sustainable-finance-final-report_en.pdf" TargetMode="External"/><Relationship Id="rId47" Type="http://schemas.openxmlformats.org/officeDocument/2006/relationships/hyperlink" Target="https://cam-casarray.anglia.ac.uk/owa/redir.aspx?C=8bZpu-cYdyLKXHIxbDo-Jq43sNT6mvD56dYT1PLu9-PcsstKVi3XCA..&amp;URL=https%3a%2f%2fwww.forbes.com%2fsites%2fkarencorreiadasilva%2f2019%2f04%2f30%2fwhat-can-extinction-rebellion-teach-us-about-behaviour-change%2f%235d8dca667c45" TargetMode="External"/><Relationship Id="rId63" Type="http://schemas.openxmlformats.org/officeDocument/2006/relationships/hyperlink" Target="https://www.iea.org/publications/freepublications/publication/Climate_Policy_Uncertainty.pdf" TargetMode="External"/><Relationship Id="rId68" Type="http://schemas.openxmlformats.org/officeDocument/2006/relationships/hyperlink" Target="https://doi.org/10.1787/5k3xr8k6jb0n-en" TargetMode="External"/><Relationship Id="rId84" Type="http://schemas.openxmlformats.org/officeDocument/2006/relationships/hyperlink" Target="http://dx.doi.org/10.2139/ssrn.2724866" TargetMode="External"/><Relationship Id="rId89" Type="http://schemas.openxmlformats.org/officeDocument/2006/relationships/hyperlink" Target="http://www.legislation.gov.uk/ukpga/2008/27/contents" TargetMode="External"/><Relationship Id="rId16" Type="http://schemas.openxmlformats.org/officeDocument/2006/relationships/hyperlink" Target="https://cam-casarray.anglia.ac.uk/owa/redir.aspx?C=n6nWDhbhFKowmmC6oHKsW9K8_U6UVqbiqFO2ump8FuDcsstKVi3XCA..&amp;URL=https%3a%2f%2fwww.bbc.com%2fnews%2fuk-politics-48126677" TargetMode="External"/><Relationship Id="rId11" Type="http://schemas.openxmlformats.org/officeDocument/2006/relationships/chart" Target="charts/chart1.xml"/><Relationship Id="rId32" Type="http://schemas.openxmlformats.org/officeDocument/2006/relationships/hyperlink" Target="https://climatepolicyinitiative.org/publication/the-challenge-of-institutional-investment-in-renewable-energy/" TargetMode="External"/><Relationship Id="rId37" Type="http://schemas.openxmlformats.org/officeDocument/2006/relationships/hyperlink" Target="https://www.gov.uk/government/collections/energy-trends" TargetMode="External"/><Relationship Id="rId53" Type="http://schemas.openxmlformats.org/officeDocument/2006/relationships/hyperlink" Target="https://www.e3g.org/docs/Unlocking_investment_to_deliver_Britains_low_carbon_future_-_Green_Investment_Bank_Commission_Report_June_2010.pdf" TargetMode="External"/><Relationship Id="rId58" Type="http://schemas.openxmlformats.org/officeDocument/2006/relationships/hyperlink" Target="https://publications.parliament.uk/pa/cm201516/cmselect/cmenergy/542/542.pdf" TargetMode="External"/><Relationship Id="rId74" Type="http://schemas.openxmlformats.org/officeDocument/2006/relationships/hyperlink" Target="https://www.oecd-ilibrary.org/content/paper/5k8zth7s6s6d-en" TargetMode="External"/><Relationship Id="rId79" Type="http://schemas.openxmlformats.org/officeDocument/2006/relationships/hyperlink" Target="https://www.oecd.org/investment/investment-policy/Private-investment-in-clean-energy-infrastructure.pdf" TargetMode="External"/><Relationship Id="rId102" Type="http://schemas.microsoft.com/office/2016/09/relationships/commentsIds" Target="commentsIds.xml"/><Relationship Id="rId5" Type="http://schemas.openxmlformats.org/officeDocument/2006/relationships/webSettings" Target="webSettings.xml"/><Relationship Id="rId90" Type="http://schemas.openxmlformats.org/officeDocument/2006/relationships/hyperlink" Target="https://www.gov.uk/guidance/uk-guarantees-scheme" TargetMode="External"/><Relationship Id="rId95" Type="http://schemas.openxmlformats.org/officeDocument/2006/relationships/hyperlink" Target="https://www.fiduciaryduty21.org/publications.html" TargetMode="External"/><Relationship Id="rId22" Type="http://schemas.openxmlformats.org/officeDocument/2006/relationships/hyperlink" Target="https://www.bis.org/review/r151009a.pdf" TargetMode="External"/><Relationship Id="rId27" Type="http://schemas.openxmlformats.org/officeDocument/2006/relationships/hyperlink" Target="https://www.gov.uk/government/uploads/system/uploads/attachment_data/file/47613/3702-the-carbon-plan-delivering-our-low-carbon-future.pdf" TargetMode="External"/><Relationship Id="rId43" Type="http://schemas.openxmlformats.org/officeDocument/2006/relationships/hyperlink" Target="https://ec.europa.eu/epsc/publications/strategic-notes/financing-sustainability_en" TargetMode="External"/><Relationship Id="rId48" Type="http://schemas.openxmlformats.org/officeDocument/2006/relationships/hyperlink" Target="http://unepinquiry.org/g20greenfinancerepositoryeng/" TargetMode="External"/><Relationship Id="rId64" Type="http://schemas.openxmlformats.org/officeDocument/2006/relationships/hyperlink" Target="https://www.imf.org/external/pubs/ft/wp/2015/wp15105.pdf" TargetMode="External"/><Relationship Id="rId69" Type="http://schemas.openxmlformats.org/officeDocument/2006/relationships/hyperlink" Target="https://assets.publishing.service.gov.uk/government/uploads/system/uploads/attachment_data/file/31544/12-631-kay-review-of-equity-markets-interim-report.pdf" TargetMode="External"/><Relationship Id="rId80" Type="http://schemas.openxmlformats.org/officeDocument/2006/relationships/hyperlink" Target="http://www.oecd.org/fr/publications/overcoming-barriers-to-international-investment-in-clean-energy-9789264227064-en.htm" TargetMode="External"/><Relationship Id="rId85" Type="http://schemas.openxmlformats.org/officeDocument/2006/relationships/hyperlink" Target="https://www.fsb-tcfd.org/publications/final-recommendations-report/" TargetMode="External"/><Relationship Id="rId12" Type="http://schemas.openxmlformats.org/officeDocument/2006/relationships/image" Target="media/image1.png"/><Relationship Id="rId17" Type="http://schemas.openxmlformats.org/officeDocument/2006/relationships/hyperlink" Target="https://rmi.org/wp-content/uploads/2017/07/RMI_Net_Climate_Finance_Discussion_Paper_2017-1.pdf" TargetMode="External"/><Relationship Id="rId25" Type="http://schemas.openxmlformats.org/officeDocument/2006/relationships/hyperlink" Target="https://www.theccc.org.uk/wp-content/uploads/2013/05/1720_EMR_report_web.pdf" TargetMode="External"/><Relationship Id="rId33" Type="http://schemas.openxmlformats.org/officeDocument/2006/relationships/hyperlink" Target="https://climatepolicyinitiative.org/wp-content/uploads/2016/06/Beyond-YieldCos-1.pdf" TargetMode="External"/><Relationship Id="rId38" Type="http://schemas.openxmlformats.org/officeDocument/2006/relationships/hyperlink" Target="https://www.gov.uk/government/publications/energy-investment-report-april-2014" TargetMode="External"/><Relationship Id="rId46" Type="http://schemas.openxmlformats.org/officeDocument/2006/relationships/hyperlink" Target="http://www.fsb.org/2015/11/disclosure-task-force-on-climate-related-risks-2/" TargetMode="External"/><Relationship Id="rId59" Type="http://schemas.openxmlformats.org/officeDocument/2006/relationships/hyperlink" Target="https://openknowledge.worldbank.org/handle/10986/26450" TargetMode="External"/><Relationship Id="rId67" Type="http://schemas.openxmlformats.org/officeDocument/2006/relationships/hyperlink" Target="https://doi.org/10.1787/5k9312v21l6f-en" TargetMode="External"/><Relationship Id="rId20" Type="http://schemas.openxmlformats.org/officeDocument/2006/relationships/hyperlink" Target="https://www.carbonbrief.org/explainer-the-challenge-of-defining-fossil-fuel-subsidies" TargetMode="External"/><Relationship Id="rId41" Type="http://schemas.openxmlformats.org/officeDocument/2006/relationships/hyperlink" Target="https://www.e3g.org/docs/capitalisingthegreeninvestmentbank.pdf" TargetMode="External"/><Relationship Id="rId54" Type="http://schemas.openxmlformats.org/officeDocument/2006/relationships/hyperlink" Target="https://www.green-win-project.eu/resource/financing-low-carbon-transition-current-landscape-and-future-direction-0" TargetMode="External"/><Relationship Id="rId62" Type="http://schemas.openxmlformats.org/officeDocument/2006/relationships/hyperlink" Target="https://www.ictsd.org/bridges-news/biores/news/breaking-down-the-barriers-to-clean-energy-trade-and-investment" TargetMode="External"/><Relationship Id="rId70" Type="http://schemas.openxmlformats.org/officeDocument/2006/relationships/hyperlink" Target="https://ssrn.com/abstract=2841918" TargetMode="External"/><Relationship Id="rId75" Type="http://schemas.openxmlformats.org/officeDocument/2006/relationships/hyperlink" Target="http://www.oecd.org/env/cc/Investors%20in%20Green%20Infrastructure%20brochure%20(f)%20%5Blr%5D.pdf" TargetMode="External"/><Relationship Id="rId83" Type="http://schemas.openxmlformats.org/officeDocument/2006/relationships/hyperlink" Target="https://ssrn.com/abstract=2724866" TargetMode="External"/><Relationship Id="rId88" Type="http://schemas.openxmlformats.org/officeDocument/2006/relationships/hyperlink" Target="https://2degrees-investing.org/" TargetMode="External"/><Relationship Id="rId91" Type="http://schemas.openxmlformats.org/officeDocument/2006/relationships/hyperlink" Target="https://unfccc.int/process-and-meetings/the-paris-agreement/the-paris-agreement" TargetMode="External"/><Relationship Id="rId96" Type="http://schemas.openxmlformats.org/officeDocument/2006/relationships/hyperlink" Target="http://www.vivideconomics.com/publications/energy-and-the-economy-the-2030-outlook-for-uk-business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dersgategroup.org.uk/events/towards-the-new-normal-how-to-increase-investment-in-the-uk-s-green-infrastructure" TargetMode="External"/><Relationship Id="rId23" Type="http://schemas.openxmlformats.org/officeDocument/2006/relationships/hyperlink" Target="https://www.bankofengland.co.uk/speech/2018/mark-carney-speech-at-international-climate-risk-conference-for-supervisors" TargetMode="External"/><Relationship Id="rId28" Type="http://schemas.openxmlformats.org/officeDocument/2006/relationships/hyperlink" Target="https://www.theccc.org.uk/wp-content/uploads/2017/03/The-infrastructure-needs-of-a-low-carbon-economy-Committee-on-Climate-Change-March-2017.pdf" TargetMode="External"/><Relationship Id="rId36" Type="http://schemas.openxmlformats.org/officeDocument/2006/relationships/hyperlink" Target="https://doi.org/10.1787/5k3wh99xgc33-en" TargetMode="External"/><Relationship Id="rId49" Type="http://schemas.openxmlformats.org/officeDocument/2006/relationships/hyperlink" Target="https://outlook.gihub.org/" TargetMode="External"/><Relationship Id="rId57" Type="http://schemas.openxmlformats.org/officeDocument/2006/relationships/hyperlink" Target="https://www.gov.uk/government/publications/securing-the-future-delivering-uk-sustainable-development-strategy" TargetMode="External"/><Relationship Id="rId10" Type="http://schemas.openxmlformats.org/officeDocument/2006/relationships/hyperlink" Target="mailto:Aled.Jones@anglia.ac.uk" TargetMode="External"/><Relationship Id="rId31" Type="http://schemas.openxmlformats.org/officeDocument/2006/relationships/hyperlink" Target="https://www.climatebonds.net/resources/reports/bonds-and-climate-change-state-market-2018" TargetMode="External"/><Relationship Id="rId44" Type="http://schemas.openxmlformats.org/officeDocument/2006/relationships/hyperlink" Target="https://ec.europa.eu/commission/sites/beta-political/files/rp_sustainable_europe_30-01_en_web.pdf" TargetMode="External"/><Relationship Id="rId52" Type="http://schemas.openxmlformats.org/officeDocument/2006/relationships/hyperlink" Target="https://www.gov.uk/government/publications/accelerating-green-finance-green-finance-taskforce-report" TargetMode="External"/><Relationship Id="rId60" Type="http://schemas.openxmlformats.org/officeDocument/2006/relationships/hyperlink" Target="http://www.iigcc.org/publications/publication/proin-scelerisque-suscipit-rhoncus" TargetMode="External"/><Relationship Id="rId65" Type="http://schemas.openxmlformats.org/officeDocument/2006/relationships/hyperlink" Target="https://www.irena.org/DocumentDownloads/Publications/IRENA_Risk_Mitigation_and_Structured_Finance_2016.pdf" TargetMode="External"/><Relationship Id="rId73" Type="http://schemas.openxmlformats.org/officeDocument/2006/relationships/hyperlink" Target="http://www.oecd.org/finance/private-pensions/49016671.pdf" TargetMode="External"/><Relationship Id="rId78" Type="http://schemas.openxmlformats.org/officeDocument/2006/relationships/hyperlink" Target="https://doi.org/10.1787/9789264224582-en" TargetMode="External"/><Relationship Id="rId81" Type="http://schemas.openxmlformats.org/officeDocument/2006/relationships/hyperlink" Target="http://unepinquiry.org/wp-content/uploads/2016/09/11_Progress_Report_on_Approaches_to_Mobilising_Institutional_Investment_for_Green_Infrastructure.pdf" TargetMode="External"/><Relationship Id="rId86" Type="http://schemas.openxmlformats.org/officeDocument/2006/relationships/hyperlink" Target="https://www.fsb-tcfd.org/publications/tcfd-2018-status-report/" TargetMode="External"/><Relationship Id="rId94" Type="http://schemas.openxmlformats.org/officeDocument/2006/relationships/hyperlink" Target="https://eprints.soas.ac.uk/23817/1/On_the_Role_of_Central_Banks_in_Enhancing_Green_Finance(1).pdf"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451@cam.ac.uk" TargetMode="External"/><Relationship Id="rId13" Type="http://schemas.openxmlformats.org/officeDocument/2006/relationships/image" Target="media/image2.png"/><Relationship Id="rId18" Type="http://schemas.openxmlformats.org/officeDocument/2006/relationships/hyperlink" Target="https://www.bba.org.uk/news/reports/financing-the-uks-infrastructure-needs/" TargetMode="External"/><Relationship Id="rId39" Type="http://schemas.openxmlformats.org/officeDocument/2006/relationships/hyperlink" Target="https://assets.publishing.service.gov.uk/government/uploads/system/uploads/attachment_data/file/455512/FOI_2015_15038_PUB.pdf" TargetMode="External"/><Relationship Id="rId34" Type="http://schemas.openxmlformats.org/officeDocument/2006/relationships/hyperlink" Target="https://climatepolicyinitiative.org/wp-content/uploads/2017/08/August-2017-CPI-Energy-Finance-CEIT-Barriers-report-final.pdf" TargetMode="External"/><Relationship Id="rId50" Type="http://schemas.openxmlformats.org/officeDocument/2006/relationships/hyperlink" Target="http://greenfinanceinitiative.org/wp-content/uploads/2017/11/Final-Report-14.11.2017.pdf" TargetMode="External"/><Relationship Id="rId55" Type="http://schemas.openxmlformats.org/officeDocument/2006/relationships/hyperlink" Target="https://refubium.fu-berlin.de/handle/fub188/18116" TargetMode="External"/><Relationship Id="rId76" Type="http://schemas.openxmlformats.org/officeDocument/2006/relationships/hyperlink" Target="https://www.oecd-ilibrary.org/docserver/5k3xr8k6jb0n-en.pdf?expires=1529066539&amp;id=id&amp;accname=guest&amp;checksum=37EA0A186EA86CFEF8496874A8E14AFD" TargetMode="External"/><Relationship Id="rId97" Type="http://schemas.openxmlformats.org/officeDocument/2006/relationships/hyperlink" Target="http://www.vivideconomics.com/publications/financing-green-growth" TargetMode="External"/><Relationship Id="rId7" Type="http://schemas.openxmlformats.org/officeDocument/2006/relationships/endnotes" Target="endnotes.xml"/><Relationship Id="rId71" Type="http://schemas.openxmlformats.org/officeDocument/2006/relationships/hyperlink" Target="https://www.mercer.com/content/dam/mercer/attachments/global/investments/mercer-climate-change-report-2015.pdf" TargetMode="External"/><Relationship Id="rId92" Type="http://schemas.openxmlformats.org/officeDocument/2006/relationships/hyperlink" Target="https://www.unepfi.org/publications/investment-publications/a-legal-framework-for-the-integration-of-environmental-social-and-governance-issues-into-institutional-investment/" TargetMode="External"/><Relationship Id="rId2" Type="http://schemas.openxmlformats.org/officeDocument/2006/relationships/numbering" Target="numbering.xml"/><Relationship Id="rId29" Type="http://schemas.openxmlformats.org/officeDocument/2006/relationships/hyperlink" Target="https://www.theccc.org.uk/publication/reducing-uk-emissions-2018-progress-report-to-parliament/" TargetMode="External"/><Relationship Id="rId24" Type="http://schemas.openxmlformats.org/officeDocument/2006/relationships/hyperlink" Target="https://www.bis.org/review/r190322a.htm" TargetMode="External"/><Relationship Id="rId40" Type="http://schemas.openxmlformats.org/officeDocument/2006/relationships/hyperlink" Target="https://www.e3g.org/docs/A_Sustainable_Finance_Plan_for_the_EU.pdf" TargetMode="External"/><Relationship Id="rId45" Type="http://schemas.openxmlformats.org/officeDocument/2006/relationships/hyperlink" Target="http://www.ey.com/gl/en/industries/financial-services/fso-insights-climate-change-the-investment-perspective" TargetMode="External"/><Relationship Id="rId66" Type="http://schemas.openxmlformats.org/officeDocument/2006/relationships/hyperlink" Target="https://www.gov.uk/government/publications/principles-for-investment-grade-policy-and-projects" TargetMode="External"/><Relationship Id="rId87" Type="http://schemas.openxmlformats.org/officeDocument/2006/relationships/hyperlink" Target="https://cam-casarray.anglia.ac.uk/owa/redir.aspx?C=vrFhvalY4eDh0WTXfD-OQ6F6FKOHAolchoBXmyraWwjcsstKVi3XCA..&amp;URL=https%3a%2f%2fwww.theguardian.com%2fcommentisfree%2f2019%2fapr%2f26%2fschool-climate-strikes-success-forced-uk-politicians-healthy-planet" TargetMode="External"/><Relationship Id="rId61" Type="http://schemas.openxmlformats.org/officeDocument/2006/relationships/hyperlink" Target="http://www.iigcc.org/files/publication-files/Achieving_EUs_%E2%82%AC315bn_ambition.PDF" TargetMode="External"/><Relationship Id="rId82" Type="http://schemas.openxmlformats.org/officeDocument/2006/relationships/hyperlink" Target="https://doi.org/10.1787/9789264272323-en" TargetMode="External"/><Relationship Id="rId19" Type="http://schemas.openxmlformats.org/officeDocument/2006/relationships/hyperlink" Target="https://ora.ox.ac.uk/objects/uuid:e2328230-deac-4976-b270-4d97566f43c9" TargetMode="External"/><Relationship Id="rId14" Type="http://schemas.openxmlformats.org/officeDocument/2006/relationships/hyperlink" Target="https://www.banque-france.fr/en/financial-stability/international-role/network-greening-financial-system" TargetMode="External"/><Relationship Id="rId30" Type="http://schemas.openxmlformats.org/officeDocument/2006/relationships/hyperlink" Target="https://www.theccc.org.uk/publication/net-zero-the-uks-contribution-to-stopping-global-warming/" TargetMode="External"/><Relationship Id="rId35" Type="http://schemas.openxmlformats.org/officeDocument/2006/relationships/hyperlink" Target="https://climatepolicyinitiative.org/wp-content/uploads/2018/03/Systems_Approach_to_Climate_Finance-Methods_Approaches.pdf" TargetMode="External"/><Relationship Id="rId56" Type="http://schemas.openxmlformats.org/officeDocument/2006/relationships/hyperlink" Target="https://www.chathamhouse.org/sites/default/files/public/Research/Energy,%20Environment%20and%20Development/1209pp_hamilton.pdf" TargetMode="External"/><Relationship Id="rId77" Type="http://schemas.openxmlformats.org/officeDocument/2006/relationships/hyperlink" Target="https://www.dropbox.com/referrer_cleansing_redirect?hmac=k0NRZE6lUvuPgLnvEP40M7PUNcWbCKmP2WvZ190t314%3D&amp;url=http%3A%2F%2Fdx.doi.org%2F10.1787%2F5jxt3rhpgn9t-en" TargetMode="External"/><Relationship Id="rId100" Type="http://schemas.microsoft.com/office/2011/relationships/people" Target="people.xml"/><Relationship Id="rId8" Type="http://schemas.openxmlformats.org/officeDocument/2006/relationships/hyperlink" Target="mailto:Sarah.Hafner@anglia.ac.uk" TargetMode="External"/><Relationship Id="rId51" Type="http://schemas.openxmlformats.org/officeDocument/2006/relationships/hyperlink" Target="http://greenfinanceinitiative.org/fifteen-steps-to-green-finance/" TargetMode="External"/><Relationship Id="rId72" Type="http://schemas.openxmlformats.org/officeDocument/2006/relationships/hyperlink" Target="https://www.uk.mercer.com/our-thinking/wealth/european-asset-allocation-report-2018.html" TargetMode="External"/><Relationship Id="rId93" Type="http://schemas.openxmlformats.org/officeDocument/2006/relationships/hyperlink" Target="http://unepinquiry.org/publication/inquiry-global-report-the-financial-system-we-need/" TargetMode="External"/><Relationship Id="rId9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anglia.local\fs\StaffHome\sh9113\My%20Documents\My%20Desktop\Documents%20on%20the%20background%20of%20the%20UK%20energy%20sector%20context\capacity%20and%20generating%20capacit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18C-4A8B-86D5-A8B18CAC13C2}"/>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18C-4A8B-86D5-A8B18CAC13C2}"/>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18C-4A8B-86D5-A8B18CAC13C2}"/>
              </c:ext>
            </c:extLst>
          </c:dPt>
          <c:dPt>
            <c:idx val="3"/>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18C-4A8B-86D5-A8B18CAC13C2}"/>
              </c:ext>
            </c:extLst>
          </c:dPt>
          <c:dPt>
            <c:idx val="4"/>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618C-4A8B-86D5-A8B18CAC13C2}"/>
              </c:ext>
            </c:extLst>
          </c:dPt>
          <c:dPt>
            <c:idx val="5"/>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618C-4A8B-86D5-A8B18CAC13C2}"/>
              </c:ext>
            </c:extLst>
          </c:dPt>
          <c:dPt>
            <c:idx val="6"/>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618C-4A8B-86D5-A8B18CAC13C2}"/>
              </c:ext>
            </c:extLst>
          </c:dPt>
          <c:dPt>
            <c:idx val="7"/>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618C-4A8B-86D5-A8B18CAC13C2}"/>
              </c:ext>
            </c:extLst>
          </c:dPt>
          <c:dPt>
            <c:idx val="8"/>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618C-4A8B-86D5-A8B18CAC13C2}"/>
              </c:ext>
            </c:extLst>
          </c:dPt>
          <c:dLbls>
            <c:dLbl>
              <c:idx val="0"/>
              <c:layout>
                <c:manualLayout>
                  <c:x val="5.0735659066598E-2"/>
                  <c:y val="-4.6296296296296302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18C-4A8B-86D5-A8B18CAC13C2}"/>
                </c:ext>
              </c:extLst>
            </c:dLbl>
            <c:dLbl>
              <c:idx val="1"/>
              <c:layout>
                <c:manualLayout>
                  <c:x val="-5.0735659066598097E-2"/>
                  <c:y val="-5.09259259259259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18C-4A8B-86D5-A8B18CAC13C2}"/>
                </c:ext>
              </c:extLst>
            </c:dLbl>
            <c:dLbl>
              <c:idx val="2"/>
              <c:layout>
                <c:manualLayout>
                  <c:x val="-2.2323689989303199E-2"/>
                  <c:y val="-1.06094453400167E-1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18C-4A8B-86D5-A8B18CAC13C2}"/>
                </c:ext>
              </c:extLst>
            </c:dLbl>
            <c:dLbl>
              <c:idx val="3"/>
              <c:layout>
                <c:manualLayout>
                  <c:x val="0.13191271357315501"/>
                  <c:y val="4.629629629629630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618C-4A8B-86D5-A8B18CAC13C2}"/>
                </c:ext>
              </c:extLst>
            </c:dLbl>
            <c:dLbl>
              <c:idx val="4"/>
              <c:layout>
                <c:manualLayout>
                  <c:x val="-2.0294263626639299E-2"/>
                  <c:y val="-0.1620370370370370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618C-4A8B-86D5-A8B18CAC13C2}"/>
                </c:ext>
              </c:extLst>
            </c:dLbl>
            <c:dLbl>
              <c:idx val="5"/>
              <c:layout>
                <c:manualLayout>
                  <c:x val="2.6382542714630901E-2"/>
                  <c:y val="-6.018518518518520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618C-4A8B-86D5-A8B18CAC13C2}"/>
                </c:ext>
              </c:extLst>
            </c:dLbl>
            <c:dLbl>
              <c:idx val="6"/>
              <c:layout>
                <c:manualLayout>
                  <c:x val="5.68239381545897E-2"/>
                  <c:y val="-4.16666666666666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618C-4A8B-86D5-A8B18CAC13C2}"/>
                </c:ext>
              </c:extLst>
            </c:dLbl>
            <c:dLbl>
              <c:idx val="7"/>
              <c:layout>
                <c:manualLayout>
                  <c:x val="-6.0882790879917704E-3"/>
                  <c:y val="-0.14351851851851899"/>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618C-4A8B-86D5-A8B18CAC13C2}"/>
                </c:ext>
              </c:extLst>
            </c:dLbl>
            <c:dLbl>
              <c:idx val="8"/>
              <c:layout>
                <c:manualLayout>
                  <c:x val="3.9878427102878602E-2"/>
                  <c:y val="7.71835458534100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618C-4A8B-86D5-A8B18CAC13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capacity!$A$18:$A$25</c:f>
              <c:strCache>
                <c:ptCount val="8"/>
                <c:pt idx="0">
                  <c:v>Coal</c:v>
                </c:pt>
                <c:pt idx="1">
                  <c:v>Nuclear</c:v>
                </c:pt>
                <c:pt idx="2">
                  <c:v>Gas</c:v>
                </c:pt>
                <c:pt idx="3">
                  <c:v>Onshore wind</c:v>
                </c:pt>
                <c:pt idx="4">
                  <c:v>Offshore wind</c:v>
                </c:pt>
                <c:pt idx="5">
                  <c:v>Hydro</c:v>
                </c:pt>
                <c:pt idx="6">
                  <c:v>Solar Pv</c:v>
                </c:pt>
                <c:pt idx="7">
                  <c:v>Bioenergy </c:v>
                </c:pt>
              </c:strCache>
            </c:strRef>
          </c:cat>
          <c:val>
            <c:numRef>
              <c:f>capacity!$B$18:$B$25</c:f>
              <c:numCache>
                <c:formatCode>General</c:formatCode>
                <c:ptCount val="8"/>
                <c:pt idx="0">
                  <c:v>1.9</c:v>
                </c:pt>
                <c:pt idx="1">
                  <c:v>17.3</c:v>
                </c:pt>
                <c:pt idx="2">
                  <c:v>29.1</c:v>
                </c:pt>
                <c:pt idx="3">
                  <c:v>5.6</c:v>
                </c:pt>
                <c:pt idx="4">
                  <c:v>5</c:v>
                </c:pt>
                <c:pt idx="5">
                  <c:v>0.8</c:v>
                </c:pt>
                <c:pt idx="6">
                  <c:v>4.5</c:v>
                </c:pt>
                <c:pt idx="7">
                  <c:v>9</c:v>
                </c:pt>
              </c:numCache>
            </c:numRef>
          </c:val>
          <c:extLst>
            <c:ext xmlns:c16="http://schemas.microsoft.com/office/drawing/2014/chart" uri="{C3380CC4-5D6E-409C-BE32-E72D297353CC}">
              <c16:uniqueId val="{00000012-618C-4A8B-86D5-A8B18CAC13C2}"/>
            </c:ext>
          </c:extLst>
        </c:ser>
        <c:dLbls>
          <c:dLblPos val="outEnd"/>
          <c:showLegendKey val="0"/>
          <c:showVal val="0"/>
          <c:showCatName val="0"/>
          <c:showSerName val="0"/>
          <c:showPercent val="1"/>
          <c:showBubbleSize val="0"/>
          <c:showLeaderLines val="1"/>
        </c:dLbls>
        <c:gapWidth val="100"/>
        <c:splitType val="pos"/>
        <c:splitPos val="5"/>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E269-A8C9-498C-B31D-DCCC1C0D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6DDEE3E</Template>
  <TotalTime>296</TotalTime>
  <Pages>51</Pages>
  <Words>24760</Words>
  <Characters>141135</Characters>
  <Application>Microsoft Office Word</Application>
  <DocSecurity>0</DocSecurity>
  <Lines>1176</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Anglia Ruskin University</Company>
  <LinksUpToDate>false</LinksUpToDate>
  <CharactersWithSpaces>165564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Sarah</dc:creator>
  <cp:keywords/>
  <dc:description/>
  <cp:lastModifiedBy>Jones, Aled</cp:lastModifiedBy>
  <cp:revision>14</cp:revision>
  <cp:lastPrinted>2019-05-18T20:53:00Z</cp:lastPrinted>
  <dcterms:created xsi:type="dcterms:W3CDTF">2019-11-10T23:36:00Z</dcterms:created>
  <dcterms:modified xsi:type="dcterms:W3CDTF">2019-11-18T13:33:00Z</dcterms:modified>
</cp:coreProperties>
</file>