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22341" w14:textId="77777777" w:rsidR="00FC268B" w:rsidRPr="00C973DF" w:rsidRDefault="00FC268B" w:rsidP="002A51CF">
      <w:pPr>
        <w:spacing w:line="480" w:lineRule="auto"/>
        <w:jc w:val="both"/>
        <w:rPr>
          <w:rFonts w:ascii="Letters" w:hAnsi="Letters" w:hint="eastAsia"/>
          <w:b/>
        </w:rPr>
      </w:pPr>
      <w:bookmarkStart w:id="0" w:name="_GoBack"/>
      <w:bookmarkEnd w:id="0"/>
      <w:r w:rsidRPr="00C973DF">
        <w:rPr>
          <w:rFonts w:ascii="Letters" w:hAnsi="Letters"/>
          <w:b/>
        </w:rPr>
        <w:t xml:space="preserve">The Effect of </w:t>
      </w:r>
      <w:r w:rsidR="004F75CE" w:rsidRPr="00C973DF">
        <w:rPr>
          <w:rFonts w:ascii="Letters" w:hAnsi="Letters"/>
          <w:b/>
        </w:rPr>
        <w:t>a Standard Blood Donation on Oxygen U</w:t>
      </w:r>
      <w:r w:rsidRPr="00C973DF">
        <w:rPr>
          <w:rFonts w:ascii="Letters" w:hAnsi="Letters"/>
          <w:b/>
        </w:rPr>
        <w:t>ptake</w:t>
      </w:r>
    </w:p>
    <w:p w14:paraId="62CF6740" w14:textId="77777777" w:rsidR="00BE2706" w:rsidRDefault="00BE2706" w:rsidP="00BE2706">
      <w:pPr>
        <w:spacing w:line="480" w:lineRule="auto"/>
        <w:jc w:val="both"/>
        <w:rPr>
          <w:rFonts w:ascii="Letters" w:hAnsi="Letters" w:hint="eastAsia"/>
        </w:rPr>
      </w:pPr>
      <w:r>
        <w:rPr>
          <w:rFonts w:ascii="Letters" w:hAnsi="Letters"/>
        </w:rPr>
        <w:t>Dear Editor,</w:t>
      </w:r>
    </w:p>
    <w:p w14:paraId="49B8FF28" w14:textId="6D48F691" w:rsidR="0031119A" w:rsidRPr="002A51CF" w:rsidRDefault="00D30785" w:rsidP="00D30785">
      <w:pPr>
        <w:spacing w:line="480" w:lineRule="auto"/>
        <w:ind w:firstLine="720"/>
        <w:jc w:val="both"/>
        <w:rPr>
          <w:rFonts w:ascii="Letters" w:hAnsi="Letters" w:hint="eastAsia"/>
        </w:rPr>
      </w:pPr>
      <w:r>
        <w:rPr>
          <w:rFonts w:ascii="Letters" w:hAnsi="Letters"/>
        </w:rPr>
        <w:t>We</w:t>
      </w:r>
      <w:r w:rsidR="004633DB" w:rsidRPr="002A51CF">
        <w:rPr>
          <w:rFonts w:ascii="Letters" w:hAnsi="Letters"/>
        </w:rPr>
        <w:t xml:space="preserve"> read with interes</w:t>
      </w:r>
      <w:r w:rsidR="00862203" w:rsidRPr="002A51CF">
        <w:rPr>
          <w:rFonts w:ascii="Letters" w:hAnsi="Letters"/>
        </w:rPr>
        <w:t xml:space="preserve">t the systematic review by </w:t>
      </w:r>
      <w:r>
        <w:rPr>
          <w:rFonts w:ascii="Letters" w:hAnsi="Letters"/>
        </w:rPr>
        <w:t xml:space="preserve">Van </w:t>
      </w:r>
      <w:proofErr w:type="spellStart"/>
      <w:r>
        <w:rPr>
          <w:rFonts w:ascii="Letters" w:hAnsi="Letters"/>
        </w:rPr>
        <w:t>Remoortel</w:t>
      </w:r>
      <w:proofErr w:type="spellEnd"/>
      <w:r w:rsidR="00810F2A">
        <w:rPr>
          <w:rFonts w:ascii="Letters" w:hAnsi="Letters"/>
        </w:rPr>
        <w:t xml:space="preserve"> and colleaugues</w:t>
      </w:r>
      <w:r w:rsidR="00994095" w:rsidRPr="00994095">
        <w:rPr>
          <w:rFonts w:ascii="Letters" w:hAnsi="Letters"/>
          <w:vertAlign w:val="superscript"/>
        </w:rPr>
        <w:t>1</w:t>
      </w:r>
      <w:r w:rsidR="000E7B4F">
        <w:rPr>
          <w:rFonts w:ascii="Letters" w:hAnsi="Letters"/>
        </w:rPr>
        <w:t>,</w:t>
      </w:r>
      <w:r w:rsidR="0031119A" w:rsidRPr="002A51CF">
        <w:rPr>
          <w:rFonts w:ascii="Letters" w:hAnsi="Letters"/>
        </w:rPr>
        <w:t xml:space="preserve"> </w:t>
      </w:r>
      <w:r w:rsidR="000E7B4F">
        <w:rPr>
          <w:rFonts w:ascii="Letters" w:hAnsi="Letters"/>
        </w:rPr>
        <w:t>concluding</w:t>
      </w:r>
      <w:r w:rsidR="008D09FC" w:rsidRPr="002A51CF">
        <w:rPr>
          <w:rFonts w:ascii="Letters" w:hAnsi="Letters"/>
        </w:rPr>
        <w:t xml:space="preserve"> that a standard whole blood donation reduces haemoglobin levels, VO</w:t>
      </w:r>
      <w:r w:rsidR="008D09FC" w:rsidRPr="002A51CF">
        <w:rPr>
          <w:rFonts w:ascii="Letters" w:hAnsi="Letters"/>
          <w:vertAlign w:val="subscript"/>
        </w:rPr>
        <w:t>2max</w:t>
      </w:r>
      <w:r w:rsidR="008D09FC" w:rsidRPr="002A51CF">
        <w:rPr>
          <w:rFonts w:ascii="Letters" w:hAnsi="Letters"/>
        </w:rPr>
        <w:t xml:space="preserve"> and maximal exercise </w:t>
      </w:r>
      <w:r>
        <w:rPr>
          <w:rFonts w:ascii="Letters" w:hAnsi="Letters"/>
        </w:rPr>
        <w:t>24-48 hours</w:t>
      </w:r>
      <w:r w:rsidR="008D09FC" w:rsidRPr="002A51CF">
        <w:rPr>
          <w:rFonts w:ascii="Letters" w:hAnsi="Letters"/>
        </w:rPr>
        <w:t xml:space="preserve"> following donation.</w:t>
      </w:r>
      <w:r>
        <w:rPr>
          <w:rFonts w:ascii="Letters" w:hAnsi="Letters"/>
        </w:rPr>
        <w:t xml:space="preserve"> We</w:t>
      </w:r>
      <w:r w:rsidR="00022ABF" w:rsidRPr="002A51CF">
        <w:rPr>
          <w:rFonts w:ascii="Letters" w:hAnsi="Letters"/>
        </w:rPr>
        <w:t xml:space="preserve"> </w:t>
      </w:r>
      <w:r>
        <w:rPr>
          <w:rFonts w:ascii="Letters" w:hAnsi="Letters"/>
        </w:rPr>
        <w:t>generally</w:t>
      </w:r>
      <w:r w:rsidR="00950D95">
        <w:rPr>
          <w:rFonts w:ascii="Letters" w:hAnsi="Letters"/>
        </w:rPr>
        <w:t xml:space="preserve"> support the</w:t>
      </w:r>
      <w:r w:rsidR="008D09FC" w:rsidRPr="002A51CF">
        <w:rPr>
          <w:rFonts w:ascii="Letters" w:hAnsi="Letters"/>
        </w:rPr>
        <w:t xml:space="preserve"> </w:t>
      </w:r>
      <w:r w:rsidR="00022ABF" w:rsidRPr="002A51CF">
        <w:rPr>
          <w:rFonts w:ascii="Letters" w:hAnsi="Letters"/>
        </w:rPr>
        <w:t>conclusion</w:t>
      </w:r>
      <w:r w:rsidR="00950D95">
        <w:rPr>
          <w:rFonts w:ascii="Letters" w:hAnsi="Letters"/>
        </w:rPr>
        <w:t>s</w:t>
      </w:r>
      <w:r w:rsidR="000E7B4F">
        <w:rPr>
          <w:rFonts w:ascii="Letters" w:hAnsi="Letters"/>
        </w:rPr>
        <w:t>,</w:t>
      </w:r>
      <w:r w:rsidR="00022ABF" w:rsidRPr="002A51CF">
        <w:rPr>
          <w:rFonts w:ascii="Letters" w:hAnsi="Letters"/>
        </w:rPr>
        <w:t xml:space="preserve"> </w:t>
      </w:r>
      <w:r>
        <w:rPr>
          <w:rFonts w:ascii="Letters" w:hAnsi="Letters"/>
        </w:rPr>
        <w:t>but</w:t>
      </w:r>
      <w:r w:rsidR="00022ABF" w:rsidRPr="002A51CF">
        <w:rPr>
          <w:rFonts w:ascii="Letters" w:hAnsi="Letters"/>
        </w:rPr>
        <w:t xml:space="preserve"> believe some results are possibly skewed, </w:t>
      </w:r>
      <w:r w:rsidR="00CF5ECA">
        <w:rPr>
          <w:rFonts w:ascii="Letters" w:hAnsi="Letters" w:hint="eastAsia"/>
        </w:rPr>
        <w:t>particularly</w:t>
      </w:r>
      <w:r w:rsidR="00CF5ECA">
        <w:rPr>
          <w:rFonts w:ascii="Letters" w:hAnsi="Letters"/>
        </w:rPr>
        <w:t xml:space="preserve"> </w:t>
      </w:r>
      <w:r w:rsidR="0031119A" w:rsidRPr="002A51CF">
        <w:rPr>
          <w:rFonts w:ascii="Letters" w:hAnsi="Letters"/>
        </w:rPr>
        <w:t>regarding VO</w:t>
      </w:r>
      <w:r w:rsidR="0031119A" w:rsidRPr="002A51CF">
        <w:rPr>
          <w:rFonts w:ascii="Letters" w:hAnsi="Letters"/>
          <w:vertAlign w:val="subscript"/>
        </w:rPr>
        <w:t>2max</w:t>
      </w:r>
      <w:r w:rsidR="00A65A7B" w:rsidRPr="002A51CF">
        <w:rPr>
          <w:rFonts w:ascii="Letters" w:hAnsi="Letters"/>
        </w:rPr>
        <w:t xml:space="preserve"> (24-48</w:t>
      </w:r>
      <w:r>
        <w:rPr>
          <w:rFonts w:ascii="Letters" w:hAnsi="Letters"/>
        </w:rPr>
        <w:t xml:space="preserve"> </w:t>
      </w:r>
      <w:r w:rsidR="00A65A7B" w:rsidRPr="002A51CF">
        <w:rPr>
          <w:rFonts w:ascii="Letters" w:hAnsi="Letters"/>
        </w:rPr>
        <w:t>hours after donation)</w:t>
      </w:r>
      <w:r w:rsidR="0031119A" w:rsidRPr="002A51CF">
        <w:rPr>
          <w:rFonts w:ascii="Letters" w:hAnsi="Letters"/>
        </w:rPr>
        <w:t xml:space="preserve">. </w:t>
      </w:r>
    </w:p>
    <w:p w14:paraId="59217380" w14:textId="2BD8F247" w:rsidR="00062067" w:rsidRPr="002A51CF" w:rsidRDefault="00862203" w:rsidP="00457FA3">
      <w:pPr>
        <w:spacing w:line="480" w:lineRule="auto"/>
        <w:ind w:firstLine="720"/>
        <w:jc w:val="both"/>
        <w:rPr>
          <w:rFonts w:ascii="Letters" w:hAnsi="Letters" w:hint="eastAsia"/>
        </w:rPr>
      </w:pPr>
      <w:r w:rsidRPr="002A51CF">
        <w:rPr>
          <w:rFonts w:ascii="Letters" w:hAnsi="Letters"/>
        </w:rPr>
        <w:t xml:space="preserve">The article </w:t>
      </w:r>
      <w:r w:rsidR="0031119A" w:rsidRPr="002A51CF">
        <w:rPr>
          <w:rFonts w:ascii="Letters" w:hAnsi="Letters"/>
        </w:rPr>
        <w:t>identifies that VO</w:t>
      </w:r>
      <w:r w:rsidR="0031119A" w:rsidRPr="002A51CF">
        <w:rPr>
          <w:rFonts w:ascii="Letters" w:hAnsi="Letters"/>
          <w:vertAlign w:val="subscript"/>
        </w:rPr>
        <w:t>2max</w:t>
      </w:r>
      <w:r w:rsidRPr="002A51CF">
        <w:rPr>
          <w:rFonts w:ascii="Letters" w:hAnsi="Letters"/>
        </w:rPr>
        <w:t xml:space="preserve"> decreases by 7% </w:t>
      </w:r>
      <w:r w:rsidR="0031119A" w:rsidRPr="002A51CF">
        <w:rPr>
          <w:rFonts w:ascii="Letters" w:hAnsi="Letters"/>
        </w:rPr>
        <w:t xml:space="preserve">from donating a unit of blood. </w:t>
      </w:r>
      <w:r w:rsidR="00457FA3">
        <w:rPr>
          <w:rFonts w:ascii="Letters" w:hAnsi="Letters"/>
        </w:rPr>
        <w:t>The</w:t>
      </w:r>
      <w:r w:rsidR="00B50F33" w:rsidRPr="002A51CF">
        <w:rPr>
          <w:rFonts w:ascii="Letters" w:hAnsi="Letters"/>
        </w:rPr>
        <w:t xml:space="preserve"> forest plot used in the meta-analysis of this variable uses blood donations</w:t>
      </w:r>
      <w:r w:rsidR="00B476F5">
        <w:rPr>
          <w:rFonts w:ascii="Letters" w:hAnsi="Letters"/>
        </w:rPr>
        <w:t xml:space="preserve"> ranging from 400ml to 500ml. It is </w:t>
      </w:r>
      <w:r w:rsidR="00B50F33" w:rsidRPr="002A51CF">
        <w:rPr>
          <w:rFonts w:ascii="Letters" w:hAnsi="Letters"/>
        </w:rPr>
        <w:t>uncertain as to how this range of data in one forest plot could provide</w:t>
      </w:r>
      <w:r w:rsidR="00FF3552" w:rsidRPr="002A51CF">
        <w:rPr>
          <w:rFonts w:ascii="Letters" w:hAnsi="Letters"/>
        </w:rPr>
        <w:t xml:space="preserve"> </w:t>
      </w:r>
      <w:r w:rsidR="00950D95">
        <w:rPr>
          <w:rFonts w:ascii="Letters" w:hAnsi="Letters"/>
        </w:rPr>
        <w:t xml:space="preserve">a </w:t>
      </w:r>
      <w:r w:rsidR="00FF3552" w:rsidRPr="002A51CF">
        <w:rPr>
          <w:rFonts w:ascii="Letters" w:hAnsi="Letters"/>
        </w:rPr>
        <w:t>robust analysis</w:t>
      </w:r>
      <w:r w:rsidR="00B50F33" w:rsidRPr="002A51CF">
        <w:rPr>
          <w:rFonts w:ascii="Letters" w:hAnsi="Letters"/>
        </w:rPr>
        <w:t xml:space="preserve">.  For example </w:t>
      </w:r>
      <w:proofErr w:type="spellStart"/>
      <w:r w:rsidR="00B50F33" w:rsidRPr="002A51CF">
        <w:rPr>
          <w:rFonts w:ascii="Letters" w:hAnsi="Letters"/>
        </w:rPr>
        <w:t>Ekblom</w:t>
      </w:r>
      <w:proofErr w:type="spellEnd"/>
      <w:r w:rsidR="00810F2A">
        <w:rPr>
          <w:rFonts w:ascii="Letters" w:hAnsi="Letters"/>
        </w:rPr>
        <w:t xml:space="preserve">, </w:t>
      </w:r>
      <w:proofErr w:type="spellStart"/>
      <w:r w:rsidR="00810F2A">
        <w:rPr>
          <w:rFonts w:ascii="Letters" w:hAnsi="Letters"/>
        </w:rPr>
        <w:t>Goldbarg</w:t>
      </w:r>
      <w:proofErr w:type="spellEnd"/>
      <w:r w:rsidR="00810F2A">
        <w:rPr>
          <w:rFonts w:ascii="Letters" w:hAnsi="Letters"/>
        </w:rPr>
        <w:t xml:space="preserve"> and Gullbring</w:t>
      </w:r>
      <w:r w:rsidR="00994095">
        <w:rPr>
          <w:rFonts w:ascii="Letters" w:hAnsi="Letters"/>
          <w:vertAlign w:val="superscript"/>
        </w:rPr>
        <w:t>2</w:t>
      </w:r>
      <w:r w:rsidR="00B50F33" w:rsidRPr="002A51CF">
        <w:rPr>
          <w:rFonts w:ascii="Letters" w:hAnsi="Letters"/>
        </w:rPr>
        <w:t xml:space="preserve"> withdraw 400ml </w:t>
      </w:r>
      <w:r w:rsidR="00451763" w:rsidRPr="002A51CF">
        <w:rPr>
          <w:rFonts w:ascii="Letters" w:hAnsi="Letters"/>
        </w:rPr>
        <w:t>an</w:t>
      </w:r>
      <w:r w:rsidR="00810F2A">
        <w:rPr>
          <w:rFonts w:ascii="Letters" w:hAnsi="Letters"/>
        </w:rPr>
        <w:t xml:space="preserve">d </w:t>
      </w:r>
      <w:proofErr w:type="spellStart"/>
      <w:r w:rsidR="00810F2A">
        <w:rPr>
          <w:rFonts w:ascii="Letters" w:hAnsi="Letters"/>
        </w:rPr>
        <w:t>Brinbaum</w:t>
      </w:r>
      <w:proofErr w:type="spellEnd"/>
      <w:r w:rsidR="00810F2A">
        <w:rPr>
          <w:rFonts w:ascii="Letters" w:hAnsi="Letters"/>
        </w:rPr>
        <w:t>, Dahl and Boone</w:t>
      </w:r>
      <w:r w:rsidR="00994095">
        <w:rPr>
          <w:rFonts w:ascii="Letters" w:hAnsi="Letters"/>
          <w:vertAlign w:val="superscript"/>
        </w:rPr>
        <w:t>3</w:t>
      </w:r>
      <w:r w:rsidR="00451763" w:rsidRPr="002A51CF">
        <w:rPr>
          <w:rFonts w:ascii="Letters" w:hAnsi="Letters"/>
        </w:rPr>
        <w:t xml:space="preserve"> withdraw 500ml (although the review incorrectly states the amount is 450ml in </w:t>
      </w:r>
      <w:r w:rsidR="00DC7A18">
        <w:rPr>
          <w:rFonts w:ascii="Letters" w:hAnsi="Letters"/>
        </w:rPr>
        <w:t xml:space="preserve">their </w:t>
      </w:r>
      <w:r w:rsidR="00451763" w:rsidRPr="002A51CF">
        <w:rPr>
          <w:rFonts w:ascii="Letters" w:hAnsi="Letters"/>
        </w:rPr>
        <w:t xml:space="preserve">Table 1). Thus, given that on average 100ml of blood carries 15g of </w:t>
      </w:r>
      <w:proofErr w:type="spellStart"/>
      <w:r w:rsidR="00451763" w:rsidRPr="002A51CF">
        <w:rPr>
          <w:rFonts w:ascii="Letters" w:hAnsi="Letters"/>
        </w:rPr>
        <w:t>Hb</w:t>
      </w:r>
      <w:proofErr w:type="spellEnd"/>
      <w:r w:rsidR="00B476F5">
        <w:rPr>
          <w:rFonts w:ascii="Letters" w:hAnsi="Letters"/>
        </w:rPr>
        <w:t xml:space="preserve">, </w:t>
      </w:r>
      <w:r w:rsidR="00451763" w:rsidRPr="002A51CF">
        <w:rPr>
          <w:rFonts w:ascii="Letters" w:hAnsi="Letters"/>
        </w:rPr>
        <w:t xml:space="preserve">if the </w:t>
      </w:r>
      <w:r w:rsidR="00355FB3" w:rsidRPr="002A51CF">
        <w:rPr>
          <w:rFonts w:ascii="Letters" w:hAnsi="Letters"/>
        </w:rPr>
        <w:t>mean</w:t>
      </w:r>
      <w:r w:rsidR="00451763" w:rsidRPr="002A51CF">
        <w:rPr>
          <w:rFonts w:ascii="Letters" w:hAnsi="Letters"/>
        </w:rPr>
        <w:t xml:space="preserve"> values of </w:t>
      </w:r>
      <w:proofErr w:type="spellStart"/>
      <w:r w:rsidR="00451763" w:rsidRPr="002A51CF">
        <w:rPr>
          <w:rFonts w:ascii="Letters" w:hAnsi="Letters"/>
        </w:rPr>
        <w:t>Hb</w:t>
      </w:r>
      <w:proofErr w:type="spellEnd"/>
      <w:r w:rsidR="00451763" w:rsidRPr="002A51CF">
        <w:rPr>
          <w:rFonts w:ascii="Letters" w:hAnsi="Letters"/>
        </w:rPr>
        <w:t xml:space="preserve"> are used f</w:t>
      </w:r>
      <w:r w:rsidR="00355FB3" w:rsidRPr="002A51CF">
        <w:rPr>
          <w:rFonts w:ascii="Letters" w:hAnsi="Letters"/>
        </w:rPr>
        <w:t>rom</w:t>
      </w:r>
      <w:r w:rsidR="00451763" w:rsidRPr="002A51CF">
        <w:rPr>
          <w:rFonts w:ascii="Letters" w:hAnsi="Letters"/>
        </w:rPr>
        <w:t xml:space="preserve"> these two studies which are 14.9 and 15.3 </w:t>
      </w:r>
      <w:r w:rsidR="002A51CF" w:rsidRPr="002A51CF">
        <w:rPr>
          <w:rFonts w:ascii="Letters" w:hAnsi="Letters" w:cs="Arial"/>
          <w:sz w:val="22"/>
          <w:szCs w:val="22"/>
          <w:u w:color="262626"/>
        </w:rPr>
        <w:t>g</w:t>
      </w:r>
      <w:r w:rsidR="002A51CF" w:rsidRPr="002A51CF">
        <w:rPr>
          <w:rFonts w:ascii="Letters" w:hAnsi="Letters" w:cs="Arial"/>
          <w:sz w:val="22"/>
          <w:szCs w:val="22"/>
          <w:u w:color="262626"/>
          <w:vertAlign w:val="superscript"/>
        </w:rPr>
        <w:t>.</w:t>
      </w:r>
      <w:r w:rsidR="002A51CF" w:rsidRPr="002A51CF">
        <w:rPr>
          <w:rFonts w:ascii="Letters" w:hAnsi="Letters" w:cs="Arial"/>
          <w:sz w:val="22"/>
          <w:szCs w:val="22"/>
          <w:u w:color="262626"/>
        </w:rPr>
        <w:t>dL</w:t>
      </w:r>
      <w:r w:rsidR="002A51CF" w:rsidRPr="002A51CF">
        <w:rPr>
          <w:rFonts w:ascii="Letters" w:hAnsi="Letters" w:cs="Arial"/>
          <w:sz w:val="22"/>
          <w:szCs w:val="22"/>
          <w:u w:color="262626"/>
          <w:vertAlign w:val="superscript"/>
        </w:rPr>
        <w:t>-1</w:t>
      </w:r>
      <w:r w:rsidR="002A51CF" w:rsidRPr="002A51CF">
        <w:rPr>
          <w:rFonts w:ascii="Letters" w:hAnsi="Letters"/>
          <w:sz w:val="22"/>
          <w:szCs w:val="22"/>
        </w:rPr>
        <w:t xml:space="preserve"> </w:t>
      </w:r>
      <w:r w:rsidR="00451763" w:rsidRPr="002A51CF">
        <w:rPr>
          <w:rFonts w:ascii="Letters" w:hAnsi="Letters"/>
        </w:rPr>
        <w:t>respectively and calculate</w:t>
      </w:r>
      <w:r w:rsidR="008C40B0" w:rsidRPr="002A51CF">
        <w:rPr>
          <w:rFonts w:ascii="Letters" w:hAnsi="Letters"/>
        </w:rPr>
        <w:t>d</w:t>
      </w:r>
      <w:r w:rsidR="00451763" w:rsidRPr="002A51CF">
        <w:rPr>
          <w:rFonts w:ascii="Letters" w:hAnsi="Letters"/>
        </w:rPr>
        <w:t xml:space="preserve"> accordingly per 100ml blood volume lost in donation then the valu</w:t>
      </w:r>
      <w:r w:rsidR="00B476F5">
        <w:rPr>
          <w:rFonts w:ascii="Letters" w:hAnsi="Letters"/>
        </w:rPr>
        <w:t xml:space="preserve">es equate to 59.6 and 76.5 g </w:t>
      </w:r>
      <w:proofErr w:type="spellStart"/>
      <w:r w:rsidR="00B476F5">
        <w:rPr>
          <w:rFonts w:ascii="Letters" w:hAnsi="Letters"/>
        </w:rPr>
        <w:t>Hb</w:t>
      </w:r>
      <w:proofErr w:type="spellEnd"/>
      <w:r w:rsidR="00B476F5">
        <w:rPr>
          <w:rFonts w:ascii="Letters" w:hAnsi="Letters"/>
        </w:rPr>
        <w:t>,</w:t>
      </w:r>
      <w:r w:rsidR="00451763" w:rsidRPr="002A51CF">
        <w:rPr>
          <w:rFonts w:ascii="Letters" w:hAnsi="Letters"/>
        </w:rPr>
        <w:t xml:space="preserve"> </w:t>
      </w:r>
      <w:r w:rsidR="00B476F5">
        <w:rPr>
          <w:rFonts w:ascii="Letters" w:hAnsi="Letters"/>
        </w:rPr>
        <w:t>equating to a</w:t>
      </w:r>
      <w:r w:rsidR="00451763" w:rsidRPr="002A51CF">
        <w:rPr>
          <w:rFonts w:ascii="Letters" w:hAnsi="Letters"/>
        </w:rPr>
        <w:t xml:space="preserve"> </w:t>
      </w:r>
      <w:r w:rsidR="00FF3552" w:rsidRPr="002A51CF">
        <w:rPr>
          <w:rFonts w:ascii="Letters" w:hAnsi="Letters"/>
        </w:rPr>
        <w:t xml:space="preserve">28.4 % </w:t>
      </w:r>
      <w:r w:rsidR="00451763" w:rsidRPr="002A51CF">
        <w:rPr>
          <w:rFonts w:ascii="Letters" w:hAnsi="Letters"/>
        </w:rPr>
        <w:t>differen</w:t>
      </w:r>
      <w:r w:rsidR="007342BA">
        <w:rPr>
          <w:rFonts w:ascii="Letters" w:hAnsi="Letters"/>
        </w:rPr>
        <w:t>ce</w:t>
      </w:r>
      <w:r w:rsidR="00451763" w:rsidRPr="002A51CF">
        <w:rPr>
          <w:rFonts w:ascii="Letters" w:hAnsi="Letters"/>
        </w:rPr>
        <w:t xml:space="preserve"> due to volume and as such will likely have differing effects on VO</w:t>
      </w:r>
      <w:r w:rsidR="00451763" w:rsidRPr="002A51CF">
        <w:rPr>
          <w:rFonts w:ascii="Letters" w:hAnsi="Letters"/>
          <w:vertAlign w:val="subscript"/>
        </w:rPr>
        <w:t>2max</w:t>
      </w:r>
      <w:r w:rsidR="00B476F5">
        <w:rPr>
          <w:rFonts w:ascii="Letters" w:hAnsi="Letters"/>
        </w:rPr>
        <w:t>. I</w:t>
      </w:r>
      <w:r w:rsidR="008C40B0" w:rsidRPr="002A51CF">
        <w:rPr>
          <w:rFonts w:ascii="Letters" w:hAnsi="Letters"/>
        </w:rPr>
        <w:t>ndeed the decrease</w:t>
      </w:r>
      <w:r w:rsidR="00CC1CC8" w:rsidRPr="002A51CF">
        <w:rPr>
          <w:rFonts w:ascii="Letters" w:hAnsi="Letters"/>
        </w:rPr>
        <w:t xml:space="preserve"> </w:t>
      </w:r>
      <w:r w:rsidR="00B476F5">
        <w:rPr>
          <w:rFonts w:ascii="Letters" w:hAnsi="Letters"/>
        </w:rPr>
        <w:t>for</w:t>
      </w:r>
      <w:r w:rsidR="00CC1CC8" w:rsidRPr="002A51CF">
        <w:rPr>
          <w:rFonts w:ascii="Letters" w:hAnsi="Letters"/>
        </w:rPr>
        <w:t xml:space="preserve"> VO</w:t>
      </w:r>
      <w:r w:rsidR="00CC1CC8" w:rsidRPr="002A51CF">
        <w:rPr>
          <w:rFonts w:ascii="Letters" w:hAnsi="Letters"/>
          <w:vertAlign w:val="subscript"/>
        </w:rPr>
        <w:t>2max</w:t>
      </w:r>
      <w:r w:rsidR="00CC1CC8" w:rsidRPr="002A51CF">
        <w:rPr>
          <w:rFonts w:ascii="Letters" w:hAnsi="Letters"/>
        </w:rPr>
        <w:t xml:space="preserve"> </w:t>
      </w:r>
      <w:r w:rsidR="008C40B0" w:rsidRPr="002A51CF">
        <w:rPr>
          <w:rFonts w:ascii="Letters" w:hAnsi="Letters"/>
        </w:rPr>
        <w:t xml:space="preserve">is 6.4 </w:t>
      </w:r>
      <w:r w:rsidR="00B476F5">
        <w:rPr>
          <w:rFonts w:ascii="Letters" w:hAnsi="Letters"/>
        </w:rPr>
        <w:t>%</w:t>
      </w:r>
      <w:r w:rsidR="00644BB5">
        <w:rPr>
          <w:rFonts w:ascii="Letters" w:hAnsi="Letters"/>
        </w:rPr>
        <w:t xml:space="preserve"> </w:t>
      </w:r>
      <w:r w:rsidR="008C40B0" w:rsidRPr="002A51CF">
        <w:rPr>
          <w:rFonts w:ascii="Letters" w:hAnsi="Letters"/>
        </w:rPr>
        <w:t>for Ekblom</w:t>
      </w:r>
      <w:r w:rsidR="00DC7A18">
        <w:rPr>
          <w:rFonts w:ascii="Letters" w:hAnsi="Letters"/>
          <w:vertAlign w:val="superscript"/>
        </w:rPr>
        <w:t>2</w:t>
      </w:r>
      <w:r w:rsidR="008C40B0" w:rsidRPr="002A51CF">
        <w:rPr>
          <w:rFonts w:ascii="Letters" w:hAnsi="Letters"/>
        </w:rPr>
        <w:t xml:space="preserve"> &amp; 9.8</w:t>
      </w:r>
      <w:r w:rsidR="00B476F5">
        <w:rPr>
          <w:rFonts w:ascii="Letters" w:hAnsi="Letters"/>
        </w:rPr>
        <w:t>%</w:t>
      </w:r>
      <w:r w:rsidR="008C40B0" w:rsidRPr="002A51CF">
        <w:rPr>
          <w:rFonts w:ascii="Letters" w:hAnsi="Letters"/>
        </w:rPr>
        <w:t xml:space="preserve"> for Brinbaum</w:t>
      </w:r>
      <w:r w:rsidR="00DC7A18">
        <w:rPr>
          <w:rFonts w:ascii="Letters" w:hAnsi="Letters"/>
          <w:vertAlign w:val="superscript"/>
        </w:rPr>
        <w:t>3</w:t>
      </w:r>
      <w:r w:rsidR="00062067" w:rsidRPr="002A51CF">
        <w:rPr>
          <w:rFonts w:ascii="Letters" w:hAnsi="Letters"/>
        </w:rPr>
        <w:t xml:space="preserve">. </w:t>
      </w:r>
      <w:r w:rsidR="00B476F5">
        <w:rPr>
          <w:rFonts w:ascii="Letters" w:hAnsi="Letters"/>
        </w:rPr>
        <w:t xml:space="preserve">We contend that using </w:t>
      </w:r>
      <w:r w:rsidR="00062067" w:rsidRPr="002A51CF">
        <w:rPr>
          <w:rFonts w:ascii="Letters" w:hAnsi="Letters"/>
        </w:rPr>
        <w:t xml:space="preserve">studies of similar blood volumes </w:t>
      </w:r>
      <w:r w:rsidR="009F3D08" w:rsidRPr="002A51CF">
        <w:rPr>
          <w:rFonts w:ascii="Letters" w:hAnsi="Letters"/>
        </w:rPr>
        <w:t xml:space="preserve">would have provided a more robust analysis. </w:t>
      </w:r>
      <w:r w:rsidR="00062067" w:rsidRPr="002A51CF">
        <w:rPr>
          <w:rFonts w:ascii="Letters" w:hAnsi="Letters"/>
        </w:rPr>
        <w:t xml:space="preserve"> </w:t>
      </w:r>
    </w:p>
    <w:p w14:paraId="7358EAC3" w14:textId="66176DB7" w:rsidR="000B2627" w:rsidRDefault="00457FA3" w:rsidP="000B2627">
      <w:pPr>
        <w:spacing w:line="480" w:lineRule="auto"/>
        <w:ind w:firstLine="720"/>
        <w:jc w:val="both"/>
        <w:rPr>
          <w:rFonts w:ascii="Letters" w:hAnsi="Letters" w:hint="eastAsia"/>
          <w:lang w:val="en-US"/>
        </w:rPr>
      </w:pPr>
      <w:r w:rsidRPr="002A51CF">
        <w:rPr>
          <w:rFonts w:ascii="Letters" w:hAnsi="Letters"/>
        </w:rPr>
        <w:t>Moreover</w:t>
      </w:r>
      <w:r w:rsidR="006D4692" w:rsidRPr="002A51CF">
        <w:rPr>
          <w:rFonts w:ascii="Letters" w:hAnsi="Letters"/>
        </w:rPr>
        <w:t xml:space="preserve"> i</w:t>
      </w:r>
      <w:r w:rsidR="005D5C3F" w:rsidRPr="002A51CF">
        <w:rPr>
          <w:rFonts w:ascii="Letters" w:hAnsi="Letters"/>
        </w:rPr>
        <w:t xml:space="preserve">t is felt that the previously mentioned </w:t>
      </w:r>
      <w:r w:rsidR="00062067" w:rsidRPr="002A51CF">
        <w:rPr>
          <w:rFonts w:ascii="Letters" w:hAnsi="Letters"/>
        </w:rPr>
        <w:t>Ekblom</w:t>
      </w:r>
      <w:r w:rsidR="00DC7A18">
        <w:rPr>
          <w:rFonts w:ascii="Letters" w:hAnsi="Letters"/>
          <w:vertAlign w:val="superscript"/>
        </w:rPr>
        <w:t>2</w:t>
      </w:r>
      <w:r w:rsidR="00062067" w:rsidRPr="002A51CF">
        <w:rPr>
          <w:rFonts w:ascii="Letters" w:hAnsi="Letters"/>
        </w:rPr>
        <w:t xml:space="preserve"> paper should not be in this forest plot, as the testing period (part of the </w:t>
      </w:r>
      <w:r w:rsidR="00A65A7B" w:rsidRPr="002A51CF">
        <w:rPr>
          <w:rFonts w:ascii="Letters" w:hAnsi="Letters"/>
        </w:rPr>
        <w:t>group</w:t>
      </w:r>
      <w:r w:rsidR="00062067" w:rsidRPr="002A51CF">
        <w:rPr>
          <w:rFonts w:ascii="Letters" w:hAnsi="Letters"/>
        </w:rPr>
        <w:t xml:space="preserve"> II</w:t>
      </w:r>
      <w:r w:rsidR="00A65A7B" w:rsidRPr="002A51CF">
        <w:rPr>
          <w:rFonts w:ascii="Letters" w:hAnsi="Letters"/>
        </w:rPr>
        <w:t xml:space="preserve"> work that involved sequential venesections) </w:t>
      </w:r>
      <w:r w:rsidR="00062067" w:rsidRPr="002A51CF">
        <w:rPr>
          <w:rFonts w:ascii="Letters" w:hAnsi="Letters"/>
        </w:rPr>
        <w:t>was 3 days after</w:t>
      </w:r>
      <w:r w:rsidR="00A65A7B" w:rsidRPr="002A51CF">
        <w:rPr>
          <w:rFonts w:ascii="Letters" w:hAnsi="Letters"/>
        </w:rPr>
        <w:t xml:space="preserve"> each blood loss and not the 24-48 hour period </w:t>
      </w:r>
      <w:r w:rsidR="000D36EA" w:rsidRPr="002A51CF">
        <w:rPr>
          <w:rFonts w:ascii="Letters" w:hAnsi="Letters"/>
        </w:rPr>
        <w:t>as intimated</w:t>
      </w:r>
      <w:r w:rsidR="00A65A7B" w:rsidRPr="002A51CF">
        <w:rPr>
          <w:rFonts w:ascii="Letters" w:hAnsi="Letters"/>
        </w:rPr>
        <w:t xml:space="preserve"> in the forest plot. </w:t>
      </w:r>
      <w:r w:rsidR="007E0A5E" w:rsidRPr="002A51CF">
        <w:rPr>
          <w:rFonts w:ascii="Letters" w:hAnsi="Letters"/>
        </w:rPr>
        <w:t xml:space="preserve"> If indeed this period was to be included then it could be argued that the data </w:t>
      </w:r>
      <w:r w:rsidR="00810F2A">
        <w:rPr>
          <w:rFonts w:ascii="Letters" w:hAnsi="Letters"/>
        </w:rPr>
        <w:t>from Gordon and co-workers</w:t>
      </w:r>
      <w:r w:rsidR="00994095">
        <w:rPr>
          <w:rFonts w:ascii="Letters" w:hAnsi="Letters"/>
          <w:vertAlign w:val="superscript"/>
        </w:rPr>
        <w:t>4</w:t>
      </w:r>
      <w:r w:rsidR="007E0A5E" w:rsidRPr="002A51CF">
        <w:rPr>
          <w:rFonts w:ascii="Letters" w:hAnsi="Letters"/>
        </w:rPr>
        <w:t xml:space="preserve"> should be in the plot</w:t>
      </w:r>
      <w:r w:rsidR="00472EBE" w:rsidRPr="002A51CF">
        <w:rPr>
          <w:rFonts w:ascii="Letters" w:hAnsi="Letters"/>
        </w:rPr>
        <w:t xml:space="preserve"> too</w:t>
      </w:r>
      <w:r w:rsidR="00B73B47" w:rsidRPr="002A51CF">
        <w:rPr>
          <w:rFonts w:ascii="Letters" w:hAnsi="Letters"/>
        </w:rPr>
        <w:t>,</w:t>
      </w:r>
      <w:r w:rsidR="007E0A5E" w:rsidRPr="002A51CF">
        <w:rPr>
          <w:rFonts w:ascii="Letters" w:hAnsi="Letters"/>
        </w:rPr>
        <w:t xml:space="preserve"> as their time span was 48-72 hours, </w:t>
      </w:r>
      <w:r w:rsidR="001A7C3E" w:rsidRPr="002A51CF">
        <w:rPr>
          <w:rFonts w:ascii="Letters" w:hAnsi="Letters"/>
        </w:rPr>
        <w:t xml:space="preserve">thus deeming the paper </w:t>
      </w:r>
      <w:r w:rsidR="00570095" w:rsidRPr="002A51CF">
        <w:rPr>
          <w:rFonts w:ascii="Letters" w:hAnsi="Letters"/>
        </w:rPr>
        <w:t>eligible</w:t>
      </w:r>
      <w:r w:rsidR="001A7C3E" w:rsidRPr="002A51CF">
        <w:rPr>
          <w:rFonts w:ascii="Letters" w:hAnsi="Letters"/>
        </w:rPr>
        <w:t>.</w:t>
      </w:r>
      <w:r w:rsidR="007E0A5E" w:rsidRPr="002A51CF">
        <w:rPr>
          <w:rFonts w:ascii="Letters" w:hAnsi="Letters"/>
        </w:rPr>
        <w:t xml:space="preserve"> </w:t>
      </w:r>
    </w:p>
    <w:p w14:paraId="35331EF2" w14:textId="3E46A0FA" w:rsidR="00EE493D" w:rsidRPr="002A51CF" w:rsidRDefault="00CF179C" w:rsidP="000B2627">
      <w:pPr>
        <w:spacing w:line="480" w:lineRule="auto"/>
        <w:ind w:firstLine="720"/>
        <w:jc w:val="both"/>
        <w:rPr>
          <w:rFonts w:ascii="Letters" w:hAnsi="Letters" w:hint="eastAsia"/>
        </w:rPr>
      </w:pPr>
      <w:r w:rsidRPr="002A51CF">
        <w:rPr>
          <w:rFonts w:ascii="Letters" w:hAnsi="Letters"/>
        </w:rPr>
        <w:t xml:space="preserve">Additionally </w:t>
      </w:r>
      <w:r w:rsidR="00FE2BE3">
        <w:rPr>
          <w:rFonts w:ascii="Letters" w:hAnsi="Letters"/>
        </w:rPr>
        <w:t xml:space="preserve">we would question </w:t>
      </w:r>
      <w:r w:rsidRPr="002A51CF">
        <w:rPr>
          <w:rFonts w:ascii="Letters" w:hAnsi="Letters"/>
        </w:rPr>
        <w:t xml:space="preserve">the inclusion of </w:t>
      </w:r>
      <w:r w:rsidR="00E15D8B" w:rsidRPr="002A51CF">
        <w:rPr>
          <w:rFonts w:ascii="Letters" w:hAnsi="Letters"/>
        </w:rPr>
        <w:t xml:space="preserve">the </w:t>
      </w:r>
      <w:r w:rsidR="00027B91" w:rsidRPr="002A51CF">
        <w:rPr>
          <w:rFonts w:ascii="Letters" w:hAnsi="Letters"/>
        </w:rPr>
        <w:t xml:space="preserve">Foster </w:t>
      </w:r>
      <w:r w:rsidR="00810F2A">
        <w:rPr>
          <w:rFonts w:ascii="Letters" w:hAnsi="Letters"/>
        </w:rPr>
        <w:t>and colleauges</w:t>
      </w:r>
      <w:r w:rsidR="00994095">
        <w:rPr>
          <w:rFonts w:ascii="Letters" w:hAnsi="Letters"/>
          <w:vertAlign w:val="superscript"/>
        </w:rPr>
        <w:t>5</w:t>
      </w:r>
      <w:r w:rsidRPr="002A51CF">
        <w:rPr>
          <w:rFonts w:ascii="Letters" w:hAnsi="Letters"/>
        </w:rPr>
        <w:t xml:space="preserve"> </w:t>
      </w:r>
      <w:r w:rsidR="00FE2BE3">
        <w:rPr>
          <w:rFonts w:ascii="Letters" w:hAnsi="Letters"/>
        </w:rPr>
        <w:t>study, partly as the</w:t>
      </w:r>
      <w:r w:rsidR="00A515FE" w:rsidRPr="002A51CF">
        <w:rPr>
          <w:rFonts w:ascii="Letters" w:hAnsi="Letters"/>
        </w:rPr>
        <w:t xml:space="preserve"> donation amount is 500ml (as previously discussed), but also </w:t>
      </w:r>
      <w:r w:rsidR="00027B91" w:rsidRPr="002A51CF">
        <w:rPr>
          <w:rFonts w:ascii="Letters" w:hAnsi="Letters"/>
        </w:rPr>
        <w:t xml:space="preserve">due to </w:t>
      </w:r>
      <w:r w:rsidR="00D570B8">
        <w:rPr>
          <w:rFonts w:ascii="Letters" w:hAnsi="Letters"/>
        </w:rPr>
        <w:t>additional confounding</w:t>
      </w:r>
      <w:r w:rsidR="00101660" w:rsidRPr="002A51CF">
        <w:rPr>
          <w:rFonts w:ascii="Letters" w:hAnsi="Letters"/>
        </w:rPr>
        <w:t xml:space="preserve"> issues. Firstly it does not appear clear if the measure of pre and post blood donation VO</w:t>
      </w:r>
      <w:r w:rsidR="00101660" w:rsidRPr="002A51CF">
        <w:rPr>
          <w:rFonts w:ascii="Letters" w:hAnsi="Letters"/>
          <w:vertAlign w:val="subscript"/>
        </w:rPr>
        <w:t>2max/peak</w:t>
      </w:r>
      <w:r w:rsidR="00101660" w:rsidRPr="002A51CF">
        <w:rPr>
          <w:rFonts w:ascii="Letters" w:hAnsi="Letters"/>
        </w:rPr>
        <w:t xml:space="preserve"> valu</w:t>
      </w:r>
      <w:r w:rsidR="00C42D9B">
        <w:rPr>
          <w:rFonts w:ascii="Letters" w:hAnsi="Letters"/>
        </w:rPr>
        <w:t xml:space="preserve">es were obtained from the first </w:t>
      </w:r>
      <w:r w:rsidR="00C42D9B" w:rsidRPr="00C42D9B">
        <w:rPr>
          <w:rFonts w:ascii="Letters" w:hAnsi="Letters"/>
          <w:color w:val="4F81BD" w:themeColor="accent1"/>
        </w:rPr>
        <w:t>Graded Exercise Test (</w:t>
      </w:r>
      <w:r w:rsidR="00101660" w:rsidRPr="00C42D9B">
        <w:rPr>
          <w:rFonts w:ascii="Letters" w:hAnsi="Letters"/>
          <w:color w:val="4F81BD" w:themeColor="accent1"/>
        </w:rPr>
        <w:t>GXT</w:t>
      </w:r>
      <w:r w:rsidR="00C42D9B" w:rsidRPr="00C42D9B">
        <w:rPr>
          <w:rFonts w:ascii="Letters" w:hAnsi="Letters"/>
          <w:color w:val="4F81BD" w:themeColor="accent1"/>
        </w:rPr>
        <w:t>)</w:t>
      </w:r>
      <w:r w:rsidR="00101660" w:rsidRPr="002A51CF">
        <w:rPr>
          <w:rFonts w:ascii="Letters" w:hAnsi="Letters"/>
        </w:rPr>
        <w:t xml:space="preserve"> or the second GXT (when the talk test is used). Secondly, </w:t>
      </w:r>
      <w:r w:rsidR="00027B91" w:rsidRPr="002A51CF">
        <w:rPr>
          <w:rFonts w:ascii="Letters" w:hAnsi="Letters"/>
        </w:rPr>
        <w:t>the fact that it involves a talk test</w:t>
      </w:r>
      <w:r w:rsidR="0089706B" w:rsidRPr="002A51CF">
        <w:rPr>
          <w:rFonts w:ascii="Letters" w:hAnsi="Letters"/>
        </w:rPr>
        <w:t xml:space="preserve"> (TT)</w:t>
      </w:r>
      <w:r w:rsidR="00027B91" w:rsidRPr="002A51CF">
        <w:rPr>
          <w:rFonts w:ascii="Letters" w:hAnsi="Letters"/>
        </w:rPr>
        <w:t xml:space="preserve">, </w:t>
      </w:r>
      <w:r w:rsidR="00A515FE" w:rsidRPr="002A51CF">
        <w:rPr>
          <w:rFonts w:ascii="Letters" w:hAnsi="Letters"/>
        </w:rPr>
        <w:t xml:space="preserve">(a method </w:t>
      </w:r>
      <w:r w:rsidR="00BB266E" w:rsidRPr="002A51CF">
        <w:rPr>
          <w:rFonts w:ascii="Letters" w:hAnsi="Letters"/>
        </w:rPr>
        <w:t xml:space="preserve">Foster and colleagues </w:t>
      </w:r>
      <w:r w:rsidR="00CD0038">
        <w:rPr>
          <w:rFonts w:ascii="Letters" w:hAnsi="Letters"/>
        </w:rPr>
        <w:t>argue</w:t>
      </w:r>
      <w:r w:rsidR="00BB266E" w:rsidRPr="002A51CF">
        <w:rPr>
          <w:rFonts w:ascii="Letters" w:hAnsi="Letters"/>
        </w:rPr>
        <w:t xml:space="preserve"> is associated </w:t>
      </w:r>
      <w:r w:rsidR="00BB266E" w:rsidRPr="002A51CF">
        <w:rPr>
          <w:rFonts w:ascii="Letters" w:hAnsi="Letters"/>
        </w:rPr>
        <w:lastRenderedPageBreak/>
        <w:t xml:space="preserve">with </w:t>
      </w:r>
      <w:r w:rsidR="00A515FE" w:rsidRPr="002A51CF">
        <w:rPr>
          <w:rFonts w:ascii="Letters" w:hAnsi="Letters"/>
        </w:rPr>
        <w:t>identify</w:t>
      </w:r>
      <w:r w:rsidR="00BB266E" w:rsidRPr="002A51CF">
        <w:rPr>
          <w:rFonts w:ascii="Letters" w:hAnsi="Letters"/>
        </w:rPr>
        <w:t>ing</w:t>
      </w:r>
      <w:r w:rsidR="00A515FE" w:rsidRPr="002A51CF">
        <w:rPr>
          <w:rFonts w:ascii="Letters" w:hAnsi="Letters"/>
        </w:rPr>
        <w:t xml:space="preserve"> </w:t>
      </w:r>
      <w:proofErr w:type="spellStart"/>
      <w:r w:rsidR="00A515FE" w:rsidRPr="002A51CF">
        <w:rPr>
          <w:rFonts w:ascii="Letters" w:hAnsi="Letters"/>
        </w:rPr>
        <w:t>ventilatory</w:t>
      </w:r>
      <w:proofErr w:type="spellEnd"/>
      <w:r w:rsidR="00A515FE" w:rsidRPr="002A51CF">
        <w:rPr>
          <w:rFonts w:ascii="Letters" w:hAnsi="Letters"/>
        </w:rPr>
        <w:t xml:space="preserve"> threshold) </w:t>
      </w:r>
      <w:r w:rsidR="00027B91" w:rsidRPr="002A51CF">
        <w:rPr>
          <w:rFonts w:ascii="Letters" w:hAnsi="Letters"/>
        </w:rPr>
        <w:t xml:space="preserve">while </w:t>
      </w:r>
      <w:r w:rsidR="00101660" w:rsidRPr="002A51CF">
        <w:rPr>
          <w:rFonts w:ascii="Letters" w:hAnsi="Letters"/>
        </w:rPr>
        <w:t xml:space="preserve">possibly </w:t>
      </w:r>
      <w:r w:rsidR="00027B91" w:rsidRPr="002A51CF">
        <w:rPr>
          <w:rFonts w:ascii="Letters" w:hAnsi="Letters"/>
        </w:rPr>
        <w:t>gaining VO</w:t>
      </w:r>
      <w:r w:rsidR="00027B91" w:rsidRPr="002A51CF">
        <w:rPr>
          <w:rFonts w:ascii="Letters" w:hAnsi="Letters"/>
          <w:vertAlign w:val="subscript"/>
        </w:rPr>
        <w:t>2max</w:t>
      </w:r>
      <w:r w:rsidR="00101660" w:rsidRPr="002A51CF">
        <w:rPr>
          <w:rFonts w:ascii="Letters" w:hAnsi="Letters"/>
          <w:vertAlign w:val="subscript"/>
        </w:rPr>
        <w:t>/peak</w:t>
      </w:r>
      <w:r w:rsidR="00027B91" w:rsidRPr="002A51CF">
        <w:rPr>
          <w:rFonts w:ascii="Letters" w:hAnsi="Letters"/>
        </w:rPr>
        <w:t xml:space="preserve"> results</w:t>
      </w:r>
      <w:r w:rsidR="00101660" w:rsidRPr="002A51CF">
        <w:rPr>
          <w:rFonts w:ascii="Letters" w:hAnsi="Letters"/>
        </w:rPr>
        <w:t xml:space="preserve"> compromises ecological validity, as talking while using open circuit spirometry will affect the </w:t>
      </w:r>
      <w:r w:rsidR="00CD0038">
        <w:rPr>
          <w:rFonts w:ascii="Letters" w:hAnsi="Letters"/>
        </w:rPr>
        <w:t>fidelity in expired air samples</w:t>
      </w:r>
      <w:r w:rsidR="00644BB5">
        <w:rPr>
          <w:rFonts w:ascii="Letters" w:hAnsi="Letters"/>
        </w:rPr>
        <w:t xml:space="preserve">. </w:t>
      </w:r>
      <w:r w:rsidR="00163610" w:rsidRPr="002A51CF">
        <w:rPr>
          <w:rFonts w:ascii="Letters" w:hAnsi="Letters"/>
        </w:rPr>
        <w:t>Addi</w:t>
      </w:r>
      <w:r w:rsidR="00163610" w:rsidRPr="002A51CF">
        <w:rPr>
          <w:rFonts w:ascii="Letters" w:hAnsi="Letters" w:hint="eastAsia"/>
        </w:rPr>
        <w:t>tionally</w:t>
      </w:r>
      <w:r w:rsidR="00A40303" w:rsidRPr="002A51CF">
        <w:rPr>
          <w:rFonts w:ascii="Letters" w:hAnsi="Letters"/>
        </w:rPr>
        <w:t>,</w:t>
      </w:r>
      <w:r w:rsidR="00755BBB" w:rsidRPr="002A51CF">
        <w:rPr>
          <w:rFonts w:ascii="Letters" w:hAnsi="Letters"/>
        </w:rPr>
        <w:t xml:space="preserve"> as the participants are exercising to </w:t>
      </w:r>
      <w:r w:rsidR="00163610">
        <w:rPr>
          <w:rFonts w:ascii="Letters" w:hAnsi="Letters"/>
        </w:rPr>
        <w:t xml:space="preserve">volitional </w:t>
      </w:r>
      <w:r w:rsidR="00163610">
        <w:rPr>
          <w:rFonts w:ascii="Letters" w:hAnsi="Letters" w:hint="eastAsia"/>
        </w:rPr>
        <w:t>exhaustion</w:t>
      </w:r>
      <w:r w:rsidR="00163610">
        <w:rPr>
          <w:rFonts w:ascii="Letters" w:hAnsi="Letters"/>
        </w:rPr>
        <w:t xml:space="preserve">, the validity of the test outcome is </w:t>
      </w:r>
      <w:r w:rsidR="00CF5ECA">
        <w:rPr>
          <w:rFonts w:ascii="Letters" w:hAnsi="Letters"/>
        </w:rPr>
        <w:t>raised</w:t>
      </w:r>
      <w:r w:rsidR="00CF5ECA">
        <w:rPr>
          <w:rFonts w:ascii="Letters" w:hAnsi="Letters" w:hint="eastAsia"/>
        </w:rPr>
        <w:t>,</w:t>
      </w:r>
      <w:r w:rsidR="00163610">
        <w:rPr>
          <w:rFonts w:ascii="Letters" w:hAnsi="Letters"/>
        </w:rPr>
        <w:t xml:space="preserve"> as there is a compromise between talking and </w:t>
      </w:r>
      <w:r w:rsidR="00755BBB" w:rsidRPr="002A51CF">
        <w:rPr>
          <w:rFonts w:ascii="Letters" w:hAnsi="Letters"/>
        </w:rPr>
        <w:t xml:space="preserve">concentrating on the exercise </w:t>
      </w:r>
      <w:r w:rsidR="00163610">
        <w:rPr>
          <w:rFonts w:ascii="Letters" w:hAnsi="Letters"/>
        </w:rPr>
        <w:t>component</w:t>
      </w:r>
      <w:r w:rsidR="00755BBB" w:rsidRPr="002A51CF">
        <w:rPr>
          <w:rFonts w:ascii="Letters" w:hAnsi="Letters"/>
        </w:rPr>
        <w:t xml:space="preserve">. </w:t>
      </w:r>
    </w:p>
    <w:p w14:paraId="0536F72B" w14:textId="407599D9" w:rsidR="00EE493D" w:rsidRPr="00FD127D" w:rsidRDefault="00CC42C1" w:rsidP="00CF5ECA">
      <w:pPr>
        <w:spacing w:line="480" w:lineRule="auto"/>
        <w:ind w:firstLine="720"/>
        <w:jc w:val="both"/>
        <w:rPr>
          <w:rFonts w:ascii="Letters" w:hAnsi="Letters" w:hint="eastAsia"/>
          <w:color w:val="000000" w:themeColor="text1"/>
        </w:rPr>
      </w:pPr>
      <w:r w:rsidRPr="00FD127D">
        <w:rPr>
          <w:rFonts w:ascii="Letters" w:hAnsi="Letters"/>
          <w:color w:val="000000" w:themeColor="text1"/>
        </w:rPr>
        <w:t>Finally</w:t>
      </w:r>
      <w:r w:rsidR="00EE4DBA" w:rsidRPr="00FD127D">
        <w:rPr>
          <w:rFonts w:ascii="Letters" w:hAnsi="Letters"/>
          <w:color w:val="000000" w:themeColor="text1"/>
        </w:rPr>
        <w:t xml:space="preserve"> </w:t>
      </w:r>
      <w:r w:rsidR="00FD127D" w:rsidRPr="00FD127D">
        <w:rPr>
          <w:rFonts w:ascii="Letters" w:hAnsi="Letters"/>
          <w:color w:val="000000" w:themeColor="text1"/>
        </w:rPr>
        <w:t xml:space="preserve">there is an error where the amount of participant numbers </w:t>
      </w:r>
      <w:r w:rsidR="00FD127D" w:rsidRPr="00FD127D">
        <w:rPr>
          <w:rFonts w:ascii="Letters" w:hAnsi="Letters" w:hint="eastAsia"/>
          <w:color w:val="000000" w:themeColor="text1"/>
        </w:rPr>
        <w:t>is incorrectly stated</w:t>
      </w:r>
      <w:r w:rsidR="00FD127D" w:rsidRPr="00C42D9B">
        <w:rPr>
          <w:rFonts w:ascii="Letters" w:hAnsi="Letters" w:hint="eastAsia"/>
          <w:color w:val="4F81BD" w:themeColor="accent1"/>
        </w:rPr>
        <w:t xml:space="preserve"> </w:t>
      </w:r>
      <w:r w:rsidR="00C42D9B" w:rsidRPr="00C42D9B">
        <w:rPr>
          <w:rFonts w:ascii="Letters" w:hAnsi="Letters"/>
          <w:color w:val="4F81BD" w:themeColor="accent1"/>
          <w:lang w:val="en-US"/>
        </w:rPr>
        <w:t xml:space="preserve">(10 should be 11) </w:t>
      </w:r>
      <w:r w:rsidR="00FD127D" w:rsidRPr="00FD127D">
        <w:rPr>
          <w:rFonts w:ascii="Letters" w:hAnsi="Letters" w:hint="eastAsia"/>
          <w:color w:val="000000" w:themeColor="text1"/>
        </w:rPr>
        <w:t>for one of the studies</w:t>
      </w:r>
      <w:r w:rsidR="00C42D9B">
        <w:rPr>
          <w:rFonts w:ascii="Letters" w:hAnsi="Letters"/>
          <w:color w:val="000000" w:themeColor="text1"/>
          <w:lang w:val="en-US"/>
        </w:rPr>
        <w:t xml:space="preserve"> </w:t>
      </w:r>
      <w:r w:rsidR="00C42D9B" w:rsidRPr="00C42D9B">
        <w:rPr>
          <w:rFonts w:ascii="Letters" w:hAnsi="Letters"/>
          <w:color w:val="4F81BD" w:themeColor="accent1"/>
          <w:lang w:val="en-US"/>
        </w:rPr>
        <w:t>(</w:t>
      </w:r>
      <w:proofErr w:type="spellStart"/>
      <w:r w:rsidR="00C42D9B" w:rsidRPr="00C42D9B">
        <w:rPr>
          <w:rFonts w:ascii="Letters" w:hAnsi="Letters"/>
          <w:color w:val="4F81BD" w:themeColor="accent1"/>
          <w:lang w:val="en-US"/>
        </w:rPr>
        <w:t>Burnley</w:t>
      </w:r>
      <w:proofErr w:type="spellEnd"/>
      <w:r w:rsidR="00C42D9B" w:rsidRPr="00C42D9B">
        <w:rPr>
          <w:rFonts w:ascii="Letters" w:hAnsi="Letters"/>
          <w:color w:val="4F81BD" w:themeColor="accent1"/>
          <w:lang w:val="en-US"/>
        </w:rPr>
        <w:t xml:space="preserve"> and colleagues</w:t>
      </w:r>
      <w:r w:rsidR="00C42D9B" w:rsidRPr="00C42D9B">
        <w:rPr>
          <w:rFonts w:ascii="Letters" w:hAnsi="Letters"/>
          <w:color w:val="4F81BD" w:themeColor="accent1"/>
          <w:vertAlign w:val="superscript"/>
          <w:lang w:val="en-US"/>
        </w:rPr>
        <w:t>6</w:t>
      </w:r>
      <w:r w:rsidR="00C42D9B" w:rsidRPr="00C42D9B">
        <w:rPr>
          <w:rFonts w:ascii="Letters" w:hAnsi="Letters"/>
          <w:color w:val="4F81BD" w:themeColor="accent1"/>
          <w:lang w:val="en-US"/>
        </w:rPr>
        <w:t xml:space="preserve">) </w:t>
      </w:r>
      <w:r w:rsidR="00FD127D" w:rsidRPr="00FD127D">
        <w:rPr>
          <w:rFonts w:ascii="Letters" w:hAnsi="Letters" w:hint="eastAsia"/>
          <w:color w:val="000000" w:themeColor="text1"/>
        </w:rPr>
        <w:t>represented in the dis</w:t>
      </w:r>
      <w:r w:rsidR="00FD127D" w:rsidRPr="00FD127D">
        <w:rPr>
          <w:rFonts w:ascii="Letters" w:hAnsi="Letters"/>
          <w:color w:val="000000" w:themeColor="text1"/>
          <w:lang w:val="en-US"/>
        </w:rPr>
        <w:t>cussed</w:t>
      </w:r>
      <w:r w:rsidR="00FD127D" w:rsidRPr="00FD127D">
        <w:rPr>
          <w:rFonts w:ascii="Letters" w:hAnsi="Letters" w:hint="eastAsia"/>
          <w:color w:val="000000" w:themeColor="text1"/>
        </w:rPr>
        <w:t xml:space="preserve"> forest plot. </w:t>
      </w:r>
      <w:r w:rsidR="00EE493D" w:rsidRPr="00FD127D">
        <w:rPr>
          <w:rFonts w:ascii="Letters" w:hAnsi="Letters"/>
          <w:color w:val="000000" w:themeColor="text1"/>
        </w:rPr>
        <w:t xml:space="preserve"> The impact of this is that the statistics are wrong, such as affecting the </w:t>
      </w:r>
      <w:r w:rsidR="00990BA0" w:rsidRPr="00FD127D">
        <w:rPr>
          <w:rFonts w:ascii="Letters" w:hAnsi="Letters"/>
          <w:color w:val="000000" w:themeColor="text1"/>
        </w:rPr>
        <w:t xml:space="preserve">confidence intervals. </w:t>
      </w:r>
    </w:p>
    <w:p w14:paraId="28B4EA83" w14:textId="77777777" w:rsidR="00CF5ECA" w:rsidRDefault="00644BB5" w:rsidP="002A51CF">
      <w:pPr>
        <w:spacing w:line="480" w:lineRule="auto"/>
        <w:jc w:val="both"/>
        <w:rPr>
          <w:rFonts w:ascii="Letters" w:hAnsi="Letters" w:hint="eastAsia"/>
        </w:rPr>
      </w:pPr>
      <w:r>
        <w:rPr>
          <w:rFonts w:ascii="Letters" w:hAnsi="Letters"/>
        </w:rPr>
        <w:tab/>
        <w:t>We would very much welcome a response from the authors in this regard.</w:t>
      </w:r>
    </w:p>
    <w:p w14:paraId="3F957EC7" w14:textId="77777777" w:rsidR="00BE2706" w:rsidRDefault="00BE2706" w:rsidP="002A51CF">
      <w:pPr>
        <w:spacing w:line="480" w:lineRule="auto"/>
        <w:jc w:val="both"/>
        <w:rPr>
          <w:rFonts w:ascii="Letters" w:hAnsi="Letters" w:hint="eastAsia"/>
        </w:rPr>
      </w:pPr>
      <w:r>
        <w:rPr>
          <w:rFonts w:ascii="Letters" w:hAnsi="Letters"/>
        </w:rPr>
        <w:t>Yours Sincerely</w:t>
      </w:r>
      <w:r w:rsidR="00585894">
        <w:rPr>
          <w:rFonts w:ascii="Letters" w:hAnsi="Letters"/>
        </w:rPr>
        <w:t>,</w:t>
      </w:r>
    </w:p>
    <w:p w14:paraId="652D744E" w14:textId="3C24A165" w:rsidR="00BE2706" w:rsidRPr="00764CB1" w:rsidRDefault="00585894" w:rsidP="002A51CF">
      <w:pPr>
        <w:spacing w:line="480" w:lineRule="auto"/>
        <w:jc w:val="both"/>
        <w:rPr>
          <w:rFonts w:ascii="Letters" w:hAnsi="Letters" w:hint="eastAsia"/>
          <w:vertAlign w:val="superscript"/>
        </w:rPr>
      </w:pPr>
      <w:r>
        <w:rPr>
          <w:rFonts w:ascii="Letters" w:hAnsi="Letters"/>
        </w:rPr>
        <w:t>Diane Johnson BSc (Hons</w:t>
      </w:r>
      <w:proofErr w:type="gramStart"/>
      <w:r>
        <w:rPr>
          <w:rFonts w:ascii="Letters" w:hAnsi="Letters"/>
        </w:rPr>
        <w:t>)</w:t>
      </w:r>
      <w:r w:rsidR="00764CB1">
        <w:rPr>
          <w:rFonts w:ascii="Letters" w:hAnsi="Letters"/>
          <w:vertAlign w:val="superscript"/>
        </w:rPr>
        <w:t>1</w:t>
      </w:r>
      <w:proofErr w:type="gramEnd"/>
      <w:r>
        <w:rPr>
          <w:rFonts w:ascii="Letters" w:hAnsi="Letters"/>
        </w:rPr>
        <w:t>, Dr Justin Roberts</w:t>
      </w:r>
      <w:r w:rsidR="00764CB1">
        <w:rPr>
          <w:rFonts w:ascii="Letters" w:hAnsi="Letters"/>
          <w:vertAlign w:val="superscript"/>
        </w:rPr>
        <w:t>1</w:t>
      </w:r>
      <w:r>
        <w:rPr>
          <w:rFonts w:ascii="Letters" w:hAnsi="Letters"/>
        </w:rPr>
        <w:t xml:space="preserve"> and Dr Dan Gordon</w:t>
      </w:r>
      <w:r w:rsidR="00764CB1">
        <w:rPr>
          <w:rFonts w:ascii="Letters" w:hAnsi="Letters"/>
          <w:vertAlign w:val="superscript"/>
        </w:rPr>
        <w:t>1</w:t>
      </w:r>
    </w:p>
    <w:p w14:paraId="545948B2" w14:textId="6B333226" w:rsidR="00812B6B" w:rsidRDefault="00764CB1" w:rsidP="002A51CF">
      <w:pPr>
        <w:spacing w:line="480" w:lineRule="auto"/>
        <w:jc w:val="both"/>
      </w:pPr>
      <w:r>
        <w:rPr>
          <w:rFonts w:ascii="Letters" w:hAnsi="Letters"/>
          <w:vertAlign w:val="superscript"/>
        </w:rPr>
        <w:t>1</w:t>
      </w:r>
      <w:r w:rsidR="00812B6B">
        <w:rPr>
          <w:rFonts w:ascii="Letters" w:hAnsi="Letters"/>
        </w:rPr>
        <w:t>Anglia Ruskin U</w:t>
      </w:r>
      <w:r w:rsidR="00812B6B">
        <w:rPr>
          <w:rFonts w:ascii="Letters" w:hAnsi="Letters" w:hint="eastAsia"/>
        </w:rPr>
        <w:t>n</w:t>
      </w:r>
      <w:r w:rsidR="00812B6B">
        <w:rPr>
          <w:rFonts w:ascii="Letters" w:hAnsi="Letters"/>
        </w:rPr>
        <w:t xml:space="preserve">iversity, Department of Sport </w:t>
      </w:r>
      <w:r>
        <w:rPr>
          <w:rFonts w:ascii="Letters" w:hAnsi="Letters"/>
        </w:rPr>
        <w:t xml:space="preserve">and Exercise </w:t>
      </w:r>
      <w:r w:rsidR="00812B6B">
        <w:rPr>
          <w:rFonts w:ascii="Letters" w:hAnsi="Letters"/>
        </w:rPr>
        <w:t>Sciences</w:t>
      </w:r>
      <w:r>
        <w:rPr>
          <w:rFonts w:ascii="Letters" w:hAnsi="Letters"/>
        </w:rPr>
        <w:t>, Cambridge UK</w:t>
      </w:r>
      <w:r w:rsidR="00812B6B" w:rsidRPr="00812B6B">
        <w:t xml:space="preserve"> </w:t>
      </w:r>
    </w:p>
    <w:p w14:paraId="3EE0DEAB" w14:textId="217BFB3C" w:rsidR="00812B6B" w:rsidRDefault="00812B6B" w:rsidP="002A51CF">
      <w:pPr>
        <w:spacing w:line="480" w:lineRule="auto"/>
        <w:jc w:val="both"/>
        <w:rPr>
          <w:rFonts w:ascii="Letters" w:hAnsi="Letters" w:hint="eastAsia"/>
        </w:rPr>
      </w:pPr>
      <w:r w:rsidRPr="00812B6B">
        <w:rPr>
          <w:rFonts w:ascii="Letters" w:hAnsi="Letters"/>
        </w:rPr>
        <w:t>diane.johnson@pgr.anglia.ac.uk</w:t>
      </w:r>
      <w:r w:rsidR="00DC7A18">
        <w:rPr>
          <w:rFonts w:ascii="Letters" w:hAnsi="Letters"/>
        </w:rPr>
        <w:t>; justin.roberts@anglia.ac.uk;</w:t>
      </w:r>
      <w:r w:rsidR="00DC7A18">
        <w:rPr>
          <w:rFonts w:ascii="Letters" w:hAnsi="Letters"/>
          <w:lang w:val="en-US"/>
        </w:rPr>
        <w:t xml:space="preserve"> </w:t>
      </w:r>
      <w:proofErr w:type="spellStart"/>
      <w:r w:rsidR="00DC7A18">
        <w:rPr>
          <w:rFonts w:ascii="Letters" w:hAnsi="Letters"/>
          <w:lang w:val="en-US"/>
        </w:rPr>
        <w:t>dan</w:t>
      </w:r>
      <w:proofErr w:type="spellEnd"/>
      <w:r w:rsidR="00DC7A18">
        <w:rPr>
          <w:rFonts w:ascii="Letters" w:hAnsi="Letters"/>
        </w:rPr>
        <w:t>.gordon@anglia.ac.uk</w:t>
      </w:r>
    </w:p>
    <w:p w14:paraId="56E3F127" w14:textId="01A75950" w:rsidR="001B7B01" w:rsidRDefault="001B7B01" w:rsidP="002A51CF">
      <w:pPr>
        <w:spacing w:line="480" w:lineRule="auto"/>
        <w:jc w:val="both"/>
        <w:rPr>
          <w:rFonts w:ascii="Letters" w:hAnsi="Letters" w:hint="eastAsia"/>
          <w:lang w:val="en-US"/>
        </w:rPr>
      </w:pPr>
      <w:r>
        <w:rPr>
          <w:rFonts w:ascii="Letters" w:hAnsi="Letters"/>
          <w:lang w:val="en-US"/>
        </w:rPr>
        <w:t>There is no conflict of interest.</w:t>
      </w:r>
    </w:p>
    <w:p w14:paraId="1BD3B047" w14:textId="77777777" w:rsidR="00644BB5" w:rsidRDefault="00585894" w:rsidP="002A51CF">
      <w:pPr>
        <w:spacing w:line="480" w:lineRule="auto"/>
        <w:jc w:val="both"/>
        <w:rPr>
          <w:rFonts w:ascii="Letters" w:hAnsi="Letters" w:hint="eastAsia"/>
          <w:lang w:val="en-US"/>
        </w:rPr>
      </w:pPr>
      <w:r>
        <w:rPr>
          <w:rFonts w:ascii="Letters" w:hAnsi="Letters"/>
          <w:lang w:val="en-US"/>
        </w:rPr>
        <w:t>References</w:t>
      </w:r>
    </w:p>
    <w:p w14:paraId="0C19F402" w14:textId="11B239C5" w:rsidR="001B7B01" w:rsidRPr="001B7B01" w:rsidRDefault="001B7B01" w:rsidP="001B7B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etters" w:hAnsi="Letters" w:cs="Arial" w:hint="eastAsia"/>
        </w:rPr>
      </w:pPr>
      <w:r w:rsidRPr="001B7B01">
        <w:rPr>
          <w:rFonts w:ascii="Letters" w:hAnsi="Letters" w:cs="Arial"/>
        </w:rPr>
        <w:t xml:space="preserve">Van </w:t>
      </w:r>
      <w:proofErr w:type="spellStart"/>
      <w:r w:rsidRPr="001B7B01">
        <w:rPr>
          <w:rFonts w:ascii="Letters" w:hAnsi="Letters" w:cs="Arial"/>
        </w:rPr>
        <w:t>Remoortel</w:t>
      </w:r>
      <w:proofErr w:type="spellEnd"/>
      <w:r w:rsidRPr="001B7B01">
        <w:rPr>
          <w:rFonts w:ascii="Letters" w:hAnsi="Letters" w:cs="Arial"/>
        </w:rPr>
        <w:t xml:space="preserve">, H., De Buck, E., </w:t>
      </w:r>
      <w:proofErr w:type="spellStart"/>
      <w:r w:rsidRPr="001B7B01">
        <w:rPr>
          <w:rFonts w:ascii="Letters" w:hAnsi="Letters" w:cs="Arial"/>
        </w:rPr>
        <w:t>Compernolle</w:t>
      </w:r>
      <w:proofErr w:type="spellEnd"/>
      <w:r w:rsidRPr="001B7B01">
        <w:rPr>
          <w:rFonts w:ascii="Letters" w:hAnsi="Letters" w:cs="Arial"/>
        </w:rPr>
        <w:t xml:space="preserve">, V., et al. 2017. The effect of a standard whole blood donation on oxygen uptake and exercise capacity: a systematic review and meta-analysis. </w:t>
      </w:r>
      <w:r w:rsidRPr="001B7B01">
        <w:rPr>
          <w:rFonts w:ascii="Letters" w:hAnsi="Letters" w:cs="Arial"/>
          <w:i/>
        </w:rPr>
        <w:t xml:space="preserve">Transfusion. </w:t>
      </w:r>
      <w:r w:rsidRPr="001B7B01">
        <w:rPr>
          <w:rFonts w:ascii="Letters" w:hAnsi="Letters" w:cs="Arial"/>
        </w:rPr>
        <w:t>57, pp.451-462</w:t>
      </w:r>
    </w:p>
    <w:p w14:paraId="3F3C91CD" w14:textId="61D09F4B" w:rsidR="001B7B01" w:rsidRPr="001B7B01" w:rsidRDefault="001B7B01" w:rsidP="001B7B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etters" w:hAnsi="Letters" w:hint="eastAsia"/>
          <w:lang w:val="en-US"/>
        </w:rPr>
      </w:pPr>
      <w:proofErr w:type="spellStart"/>
      <w:r>
        <w:rPr>
          <w:rFonts w:ascii="Letters" w:hAnsi="Letters"/>
        </w:rPr>
        <w:t>Ekblom</w:t>
      </w:r>
      <w:proofErr w:type="spellEnd"/>
      <w:r>
        <w:rPr>
          <w:rFonts w:ascii="Letters" w:hAnsi="Letters"/>
        </w:rPr>
        <w:t xml:space="preserve">, B., </w:t>
      </w:r>
      <w:proofErr w:type="spellStart"/>
      <w:r>
        <w:rPr>
          <w:rFonts w:ascii="Letters" w:hAnsi="Letters"/>
        </w:rPr>
        <w:t>Goldbarg</w:t>
      </w:r>
      <w:proofErr w:type="spellEnd"/>
      <w:r>
        <w:rPr>
          <w:rFonts w:ascii="Letters" w:hAnsi="Letters"/>
        </w:rPr>
        <w:t xml:space="preserve">, </w:t>
      </w:r>
      <w:proofErr w:type="spellStart"/>
      <w:r>
        <w:rPr>
          <w:rFonts w:ascii="Letters" w:hAnsi="Letters"/>
        </w:rPr>
        <w:t>A.N</w:t>
      </w:r>
      <w:proofErr w:type="spellEnd"/>
      <w:r>
        <w:rPr>
          <w:rFonts w:ascii="Letters" w:hAnsi="Letters"/>
        </w:rPr>
        <w:t xml:space="preserve">. and </w:t>
      </w:r>
      <w:proofErr w:type="spellStart"/>
      <w:r>
        <w:rPr>
          <w:rFonts w:ascii="Letters" w:hAnsi="Letters"/>
        </w:rPr>
        <w:t>Gullbring</w:t>
      </w:r>
      <w:proofErr w:type="spellEnd"/>
      <w:r>
        <w:rPr>
          <w:rFonts w:ascii="Letters" w:hAnsi="Letters"/>
        </w:rPr>
        <w:t xml:space="preserve">, B., 1972. Response to exercise after blood loss and reinfusion. </w:t>
      </w:r>
      <w:r>
        <w:rPr>
          <w:rFonts w:ascii="Letters" w:hAnsi="Letters"/>
          <w:i/>
        </w:rPr>
        <w:t xml:space="preserve">Journal of Applied Physiology. </w:t>
      </w:r>
      <w:r>
        <w:rPr>
          <w:rFonts w:ascii="Letters" w:hAnsi="Letters"/>
        </w:rPr>
        <w:t>33 (2), pp.175-180</w:t>
      </w:r>
    </w:p>
    <w:p w14:paraId="1B7BE507" w14:textId="06AD1B27" w:rsidR="001B7B01" w:rsidRPr="001B7B01" w:rsidRDefault="001B7B01" w:rsidP="001B7B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etters" w:hAnsi="Letters" w:hint="eastAsia"/>
          <w:lang w:val="en-US"/>
        </w:rPr>
      </w:pPr>
      <w:proofErr w:type="spellStart"/>
      <w:r>
        <w:rPr>
          <w:rFonts w:ascii="Letters" w:hAnsi="Letters"/>
        </w:rPr>
        <w:t>Brinbaum</w:t>
      </w:r>
      <w:proofErr w:type="spellEnd"/>
      <w:r>
        <w:rPr>
          <w:rFonts w:ascii="Letters" w:hAnsi="Letters"/>
        </w:rPr>
        <w:t>, L., Dahl, T. and Boone, T., 2006. Effect of blood donation on maximal oxygen consumptio</w:t>
      </w:r>
      <w:r>
        <w:rPr>
          <w:rFonts w:ascii="Letters" w:hAnsi="Letters" w:hint="eastAsia"/>
        </w:rPr>
        <w:t>n</w:t>
      </w:r>
      <w:r>
        <w:rPr>
          <w:rFonts w:ascii="Letters" w:hAnsi="Letters"/>
        </w:rPr>
        <w:t xml:space="preserve">. </w:t>
      </w:r>
      <w:r>
        <w:rPr>
          <w:rFonts w:ascii="Letters" w:hAnsi="Letters"/>
          <w:i/>
        </w:rPr>
        <w:t xml:space="preserve">Journal of sports medicine and physiology. </w:t>
      </w:r>
      <w:r>
        <w:rPr>
          <w:rFonts w:ascii="Letters" w:hAnsi="Letters"/>
        </w:rPr>
        <w:t>46 (4), pp.535-539</w:t>
      </w:r>
    </w:p>
    <w:p w14:paraId="0AADE868" w14:textId="4CD352FB" w:rsidR="001B7B01" w:rsidRPr="001B7B01" w:rsidRDefault="001B7B01" w:rsidP="001B7B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etters" w:hAnsi="Letters" w:hint="eastAsia"/>
          <w:lang w:val="en-US"/>
        </w:rPr>
      </w:pPr>
      <w:r w:rsidRPr="006D4615">
        <w:rPr>
          <w:rFonts w:ascii="Letters" w:hAnsi="Letters" w:cs="Arial"/>
          <w:lang w:val="en-US"/>
        </w:rPr>
        <w:t xml:space="preserve">Gordon, D., Wood, M., Porter, A., </w:t>
      </w:r>
      <w:r w:rsidR="0017363A">
        <w:rPr>
          <w:rFonts w:ascii="Letters" w:hAnsi="Letters" w:cs="Arial"/>
          <w:lang w:val="en-US"/>
        </w:rPr>
        <w:t xml:space="preserve">et al. </w:t>
      </w:r>
      <w:r w:rsidRPr="006D4615">
        <w:rPr>
          <w:rFonts w:ascii="Letters" w:hAnsi="Letters" w:cs="Arial"/>
          <w:lang w:val="en-US"/>
        </w:rPr>
        <w:t xml:space="preserve">2013. Influence of blood donation on the incidence of plateau at VO2max. </w:t>
      </w:r>
      <w:r w:rsidRPr="006D4615">
        <w:rPr>
          <w:rFonts w:ascii="Letters" w:hAnsi="Letters" w:cs="Arial"/>
          <w:i/>
          <w:iCs/>
          <w:lang w:val="en-US"/>
        </w:rPr>
        <w:t xml:space="preserve">European journal of applied physiology, </w:t>
      </w:r>
      <w:r w:rsidRPr="006D4615">
        <w:rPr>
          <w:rFonts w:ascii="Letters" w:hAnsi="Letters" w:cs="Arial"/>
          <w:lang w:val="en-US"/>
        </w:rPr>
        <w:t>[e-journal] 114 (1), pp.21-27.</w:t>
      </w:r>
    </w:p>
    <w:p w14:paraId="0FDB0FAF" w14:textId="13C01499" w:rsidR="001B7B01" w:rsidRPr="001B7B01" w:rsidRDefault="001B7B01" w:rsidP="001B7B0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etters" w:hAnsi="Letters" w:hint="eastAsia"/>
          <w:lang w:val="en-US"/>
        </w:rPr>
      </w:pPr>
      <w:r w:rsidRPr="006D4615">
        <w:rPr>
          <w:rFonts w:ascii="Letters" w:hAnsi="Letters" w:cs="Arial"/>
          <w:color w:val="000000"/>
        </w:rPr>
        <w:t xml:space="preserve">Foster, C., </w:t>
      </w:r>
      <w:proofErr w:type="spellStart"/>
      <w:r w:rsidRPr="006D4615">
        <w:rPr>
          <w:rFonts w:ascii="Letters" w:hAnsi="Letters" w:cs="Arial"/>
          <w:color w:val="000000"/>
        </w:rPr>
        <w:t>Porcari</w:t>
      </w:r>
      <w:proofErr w:type="spellEnd"/>
      <w:r w:rsidRPr="006D4615">
        <w:rPr>
          <w:rFonts w:ascii="Letters" w:hAnsi="Letters" w:cs="Arial"/>
          <w:color w:val="000000"/>
        </w:rPr>
        <w:t xml:space="preserve">, J., Anderson, J., </w:t>
      </w:r>
      <w:r w:rsidR="0017363A">
        <w:rPr>
          <w:rFonts w:ascii="Letters" w:hAnsi="Letters" w:cs="Arial"/>
          <w:color w:val="000000"/>
        </w:rPr>
        <w:t>et al</w:t>
      </w:r>
      <w:r w:rsidRPr="006D4615">
        <w:rPr>
          <w:rFonts w:ascii="Letters" w:hAnsi="Letters" w:cs="Arial"/>
          <w:color w:val="000000"/>
        </w:rPr>
        <w:t>. 2008. The Talk Test as a Marker of Exerc</w:t>
      </w:r>
      <w:r w:rsidR="00DC7A18">
        <w:rPr>
          <w:rFonts w:ascii="Letters" w:hAnsi="Letters" w:cs="Arial"/>
          <w:color w:val="000000"/>
        </w:rPr>
        <w:t>ise Training Intensity</w:t>
      </w:r>
      <w:r w:rsidRPr="006D4615">
        <w:rPr>
          <w:rFonts w:ascii="Letters" w:hAnsi="Letters" w:cs="Arial"/>
          <w:color w:val="000000"/>
        </w:rPr>
        <w:t>.</w:t>
      </w:r>
      <w:r w:rsidRPr="006D4615">
        <w:rPr>
          <w:rFonts w:ascii="Letters" w:hAnsi="Letters" w:cs="Arial"/>
          <w:color w:val="262626"/>
          <w:lang w:val="en-US"/>
        </w:rPr>
        <w:t xml:space="preserve"> </w:t>
      </w:r>
      <w:r w:rsidRPr="006D4615">
        <w:rPr>
          <w:rFonts w:ascii="Letters" w:hAnsi="Letters" w:cs="Arial"/>
          <w:i/>
          <w:color w:val="262626"/>
          <w:lang w:val="en-US"/>
        </w:rPr>
        <w:t>Journal of cardiopulmonary rehabilitation and prevention</w:t>
      </w:r>
      <w:r w:rsidRPr="006D4615">
        <w:rPr>
          <w:rFonts w:ascii="Letters" w:hAnsi="Letters" w:cs="Arial"/>
          <w:color w:val="262626"/>
          <w:lang w:val="en-US"/>
        </w:rPr>
        <w:t>. 28, pp.24-30</w:t>
      </w:r>
    </w:p>
    <w:p w14:paraId="059DC24F" w14:textId="77777777" w:rsidR="00994095" w:rsidRPr="00644BB5" w:rsidRDefault="00994095" w:rsidP="00585894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Letters" w:hAnsi="Letters" w:cs="Arial" w:hint="eastAsia"/>
          <w:color w:val="262626"/>
          <w:lang w:val="en-US"/>
        </w:rPr>
      </w:pPr>
    </w:p>
    <w:sectPr w:rsidR="00994095" w:rsidRPr="00644BB5" w:rsidSect="001B7B01">
      <w:pgSz w:w="11900" w:h="16820"/>
      <w:pgMar w:top="1021" w:right="1021" w:bottom="1021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tter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E3FDB"/>
    <w:multiLevelType w:val="hybridMultilevel"/>
    <w:tmpl w:val="EF80B39A"/>
    <w:lvl w:ilvl="0" w:tplc="FDEA9B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DB"/>
    <w:rsid w:val="000045B0"/>
    <w:rsid w:val="00022ABF"/>
    <w:rsid w:val="00027B91"/>
    <w:rsid w:val="00062067"/>
    <w:rsid w:val="000B2627"/>
    <w:rsid w:val="000D36EA"/>
    <w:rsid w:val="000E7B4F"/>
    <w:rsid w:val="00101660"/>
    <w:rsid w:val="00123637"/>
    <w:rsid w:val="00163610"/>
    <w:rsid w:val="00170406"/>
    <w:rsid w:val="0017363A"/>
    <w:rsid w:val="001A7C3E"/>
    <w:rsid w:val="001B7B01"/>
    <w:rsid w:val="002A51CF"/>
    <w:rsid w:val="0031119A"/>
    <w:rsid w:val="00317A7D"/>
    <w:rsid w:val="00355FB3"/>
    <w:rsid w:val="003D5BAB"/>
    <w:rsid w:val="00451763"/>
    <w:rsid w:val="00457FA3"/>
    <w:rsid w:val="004633DB"/>
    <w:rsid w:val="00472EBE"/>
    <w:rsid w:val="00484058"/>
    <w:rsid w:val="004F75CE"/>
    <w:rsid w:val="00570095"/>
    <w:rsid w:val="00585894"/>
    <w:rsid w:val="005A7CD2"/>
    <w:rsid w:val="005D5C3F"/>
    <w:rsid w:val="0060135F"/>
    <w:rsid w:val="00624EB7"/>
    <w:rsid w:val="00644BB5"/>
    <w:rsid w:val="00651DC2"/>
    <w:rsid w:val="006D4615"/>
    <w:rsid w:val="006D4692"/>
    <w:rsid w:val="007342BA"/>
    <w:rsid w:val="00755BBB"/>
    <w:rsid w:val="00764CB1"/>
    <w:rsid w:val="007A1681"/>
    <w:rsid w:val="007B68D3"/>
    <w:rsid w:val="007E0A5E"/>
    <w:rsid w:val="007E6E8F"/>
    <w:rsid w:val="008012B9"/>
    <w:rsid w:val="00810F2A"/>
    <w:rsid w:val="00812B6B"/>
    <w:rsid w:val="008278E8"/>
    <w:rsid w:val="00862203"/>
    <w:rsid w:val="00887049"/>
    <w:rsid w:val="0089706B"/>
    <w:rsid w:val="008C40B0"/>
    <w:rsid w:val="008D09FC"/>
    <w:rsid w:val="00950D95"/>
    <w:rsid w:val="00990BA0"/>
    <w:rsid w:val="00994095"/>
    <w:rsid w:val="009B27B4"/>
    <w:rsid w:val="009F3D08"/>
    <w:rsid w:val="00A40303"/>
    <w:rsid w:val="00A515FE"/>
    <w:rsid w:val="00A65A7B"/>
    <w:rsid w:val="00A82559"/>
    <w:rsid w:val="00A97381"/>
    <w:rsid w:val="00AC5799"/>
    <w:rsid w:val="00AF6F47"/>
    <w:rsid w:val="00B476F5"/>
    <w:rsid w:val="00B50F33"/>
    <w:rsid w:val="00B73B47"/>
    <w:rsid w:val="00BB266E"/>
    <w:rsid w:val="00BE2706"/>
    <w:rsid w:val="00BF79C3"/>
    <w:rsid w:val="00C3364D"/>
    <w:rsid w:val="00C42D9B"/>
    <w:rsid w:val="00C573C8"/>
    <w:rsid w:val="00C973DF"/>
    <w:rsid w:val="00CC1CC8"/>
    <w:rsid w:val="00CC42C1"/>
    <w:rsid w:val="00CD0038"/>
    <w:rsid w:val="00CF179C"/>
    <w:rsid w:val="00CF5ECA"/>
    <w:rsid w:val="00D30785"/>
    <w:rsid w:val="00D570B8"/>
    <w:rsid w:val="00DC7A18"/>
    <w:rsid w:val="00E15D8B"/>
    <w:rsid w:val="00EB1919"/>
    <w:rsid w:val="00EB62AF"/>
    <w:rsid w:val="00ED7C33"/>
    <w:rsid w:val="00EE493D"/>
    <w:rsid w:val="00EE4DBA"/>
    <w:rsid w:val="00F13F4F"/>
    <w:rsid w:val="00FC268B"/>
    <w:rsid w:val="00FD127D"/>
    <w:rsid w:val="00FE2BE3"/>
    <w:rsid w:val="00FF3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443F1"/>
  <w15:docId w15:val="{3EBDC7E3-20BF-4C82-B128-453FE63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8DD5C-AF4C-4641-9616-D368B05E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655A8D18.dotm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Gordon, Dan</cp:lastModifiedBy>
  <cp:revision>2</cp:revision>
  <dcterms:created xsi:type="dcterms:W3CDTF">2017-12-07T10:10:00Z</dcterms:created>
  <dcterms:modified xsi:type="dcterms:W3CDTF">2017-12-07T10:10:00Z</dcterms:modified>
</cp:coreProperties>
</file>